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6743431" w14:textId="61C93155" w:rsidR="00806144" w:rsidRPr="006A36F7" w:rsidRDefault="00035017" w:rsidP="00740136">
      <w:pPr>
        <w:spacing w:line="360" w:lineRule="auto"/>
        <w:jc w:val="both"/>
        <w:rPr>
          <w:rFonts w:ascii="Palatino Linotype" w:hAnsi="Palatino Linotype"/>
          <w:noProof/>
          <w:sz w:val="22"/>
          <w:szCs w:val="22"/>
        </w:rPr>
      </w:pPr>
      <w:r w:rsidRPr="006A36F7">
        <w:rPr>
          <w:rFonts w:ascii="Palatino Linotype" w:hAnsi="Palatino Linotype" w:cs="Tahoma"/>
          <w:bCs/>
          <w:sz w:val="22"/>
          <w:szCs w:val="22"/>
        </w:rPr>
        <w:t xml:space="preserve">Resolución del Pleno del Instituto de Transparencia, Acceso a la Información Pública y Protección de Datos Personales del Estado de México y Municipios, con domicilio en Metepec, Estado de México, </w:t>
      </w:r>
      <w:r w:rsidR="00AF6580" w:rsidRPr="006A36F7">
        <w:rPr>
          <w:rFonts w:ascii="Palatino Linotype" w:hAnsi="Palatino Linotype" w:cs="Tahoma"/>
          <w:bCs/>
          <w:sz w:val="22"/>
          <w:szCs w:val="22"/>
        </w:rPr>
        <w:t xml:space="preserve">de fecha </w:t>
      </w:r>
      <w:r w:rsidR="0025447C">
        <w:rPr>
          <w:rFonts w:ascii="Palatino Linotype" w:hAnsi="Palatino Linotype" w:cs="Tahoma"/>
          <w:bCs/>
          <w:sz w:val="22"/>
          <w:szCs w:val="22"/>
        </w:rPr>
        <w:t>veintiséis</w:t>
      </w:r>
      <w:r w:rsidR="001622A2" w:rsidRPr="001622A2">
        <w:rPr>
          <w:rFonts w:ascii="Palatino Linotype" w:hAnsi="Palatino Linotype" w:cs="Tahoma"/>
          <w:bCs/>
          <w:sz w:val="22"/>
          <w:szCs w:val="22"/>
        </w:rPr>
        <w:t xml:space="preserve"> de junio</w:t>
      </w:r>
      <w:r w:rsidR="000E005B" w:rsidRPr="001622A2">
        <w:rPr>
          <w:rFonts w:ascii="Palatino Linotype" w:hAnsi="Palatino Linotype" w:cs="Tahoma"/>
          <w:bCs/>
          <w:sz w:val="22"/>
          <w:szCs w:val="22"/>
        </w:rPr>
        <w:t xml:space="preserve"> de dos mil diecinueve</w:t>
      </w:r>
      <w:r w:rsidRPr="001622A2">
        <w:rPr>
          <w:rFonts w:ascii="Palatino Linotype" w:hAnsi="Palatino Linotype" w:cs="Tahoma"/>
          <w:bCs/>
          <w:sz w:val="22"/>
          <w:szCs w:val="22"/>
        </w:rPr>
        <w:t>.</w:t>
      </w:r>
    </w:p>
    <w:p w14:paraId="56743432" w14:textId="77777777" w:rsidR="00035017" w:rsidRPr="006A36F7" w:rsidRDefault="00035017" w:rsidP="00740136">
      <w:pPr>
        <w:spacing w:line="360" w:lineRule="auto"/>
        <w:jc w:val="both"/>
        <w:rPr>
          <w:rFonts w:ascii="Palatino Linotype" w:hAnsi="Palatino Linotype"/>
          <w:noProof/>
          <w:sz w:val="22"/>
          <w:szCs w:val="22"/>
        </w:rPr>
      </w:pPr>
    </w:p>
    <w:p w14:paraId="56743433" w14:textId="52C4ADC6" w:rsidR="00806144" w:rsidRPr="006A36F7" w:rsidRDefault="007516C8" w:rsidP="00740136">
      <w:pPr>
        <w:spacing w:line="360" w:lineRule="auto"/>
        <w:jc w:val="both"/>
        <w:rPr>
          <w:rFonts w:ascii="Palatino Linotype" w:hAnsi="Palatino Linotype" w:cs="Tahoma"/>
          <w:bCs/>
          <w:color w:val="0D0D0D" w:themeColor="text1" w:themeTint="F2"/>
          <w:sz w:val="22"/>
          <w:szCs w:val="22"/>
        </w:rPr>
      </w:pPr>
      <w:r w:rsidRPr="006A36F7">
        <w:rPr>
          <w:rFonts w:ascii="Palatino Linotype" w:hAnsi="Palatino Linotype" w:cs="Tahoma"/>
          <w:b/>
          <w:bCs/>
          <w:color w:val="0D0D0D" w:themeColor="text1" w:themeTint="F2"/>
          <w:sz w:val="22"/>
          <w:szCs w:val="22"/>
        </w:rPr>
        <w:t>VISTO</w:t>
      </w:r>
      <w:r w:rsidR="00806144" w:rsidRPr="006A36F7">
        <w:rPr>
          <w:rFonts w:ascii="Palatino Linotype" w:hAnsi="Palatino Linotype" w:cs="Tahoma"/>
          <w:bCs/>
          <w:color w:val="0D0D0D" w:themeColor="text1" w:themeTint="F2"/>
          <w:sz w:val="22"/>
          <w:szCs w:val="22"/>
        </w:rPr>
        <w:t xml:space="preserve"> el expediente conformado con motivo del Recurso de Revisión </w:t>
      </w:r>
      <w:r w:rsidR="00A438FB" w:rsidRPr="001622A2">
        <w:rPr>
          <w:rFonts w:ascii="Palatino Linotype" w:eastAsia="Calibri" w:hAnsi="Palatino Linotype" w:cs="Tahoma"/>
          <w:b/>
          <w:bCs/>
          <w:sz w:val="22"/>
          <w:szCs w:val="22"/>
          <w:lang w:eastAsia="en-US"/>
        </w:rPr>
        <w:t>0</w:t>
      </w:r>
      <w:r w:rsidR="00E12EFE">
        <w:rPr>
          <w:rFonts w:ascii="Palatino Linotype" w:eastAsia="Calibri" w:hAnsi="Palatino Linotype" w:cs="Tahoma"/>
          <w:b/>
          <w:bCs/>
          <w:sz w:val="22"/>
          <w:szCs w:val="22"/>
          <w:lang w:eastAsia="en-US"/>
        </w:rPr>
        <w:t>2936</w:t>
      </w:r>
      <w:r w:rsidR="00A438FB" w:rsidRPr="001622A2">
        <w:rPr>
          <w:rFonts w:ascii="Palatino Linotype" w:eastAsia="Calibri" w:hAnsi="Palatino Linotype" w:cs="Tahoma"/>
          <w:b/>
          <w:bCs/>
          <w:sz w:val="22"/>
          <w:szCs w:val="22"/>
          <w:lang w:eastAsia="en-US"/>
        </w:rPr>
        <w:t>/INFOEM/IP/RR/2019</w:t>
      </w:r>
      <w:r w:rsidR="00A438FB" w:rsidRPr="001622A2">
        <w:rPr>
          <w:rFonts w:ascii="Palatino Linotype" w:hAnsi="Palatino Linotype" w:cs="Tahoma"/>
          <w:bCs/>
          <w:color w:val="0D0D0D" w:themeColor="text1" w:themeTint="F2"/>
          <w:sz w:val="22"/>
          <w:szCs w:val="22"/>
        </w:rPr>
        <w:t>,</w:t>
      </w:r>
      <w:r w:rsidR="00A438FB" w:rsidRPr="006A36F7">
        <w:rPr>
          <w:rFonts w:ascii="Palatino Linotype" w:hAnsi="Palatino Linotype" w:cs="Tahoma"/>
          <w:bCs/>
          <w:color w:val="0D0D0D" w:themeColor="text1" w:themeTint="F2"/>
          <w:sz w:val="22"/>
          <w:szCs w:val="22"/>
        </w:rPr>
        <w:t xml:space="preserve"> interpuesto por</w:t>
      </w:r>
      <w:r w:rsidR="00E12EFE">
        <w:rPr>
          <w:rFonts w:ascii="Palatino Linotype" w:hAnsi="Palatino Linotype" w:cs="Tahoma"/>
          <w:bCs/>
          <w:color w:val="0D0D0D" w:themeColor="text1" w:themeTint="F2"/>
          <w:sz w:val="22"/>
          <w:szCs w:val="22"/>
        </w:rPr>
        <w:t xml:space="preserve"> </w:t>
      </w:r>
      <w:r w:rsidR="00DA15AE" w:rsidRPr="00DA15AE">
        <w:rPr>
          <w:rFonts w:ascii="Palatino Linotype" w:hAnsi="Palatino Linotype" w:cs="Tahoma"/>
          <w:bCs/>
          <w:color w:val="0D0D0D" w:themeColor="text1" w:themeTint="F2"/>
          <w:sz w:val="22"/>
          <w:szCs w:val="22"/>
          <w:highlight w:val="black"/>
        </w:rPr>
        <w:t>XXXXXXXXXX</w:t>
      </w:r>
      <w:r w:rsidR="00E12EFE">
        <w:rPr>
          <w:rFonts w:ascii="Palatino Linotype" w:hAnsi="Palatino Linotype" w:cs="Tahoma"/>
          <w:bCs/>
          <w:color w:val="0D0D0D" w:themeColor="text1" w:themeTint="F2"/>
          <w:sz w:val="22"/>
          <w:szCs w:val="22"/>
        </w:rPr>
        <w:t xml:space="preserve">, </w:t>
      </w:r>
      <w:r w:rsidRPr="006A36F7">
        <w:rPr>
          <w:rFonts w:ascii="Palatino Linotype" w:eastAsia="Calibri" w:hAnsi="Palatino Linotype" w:cs="Tahoma"/>
          <w:sz w:val="22"/>
          <w:szCs w:val="22"/>
          <w:lang w:val="es-MX" w:eastAsia="en-US"/>
        </w:rPr>
        <w:t xml:space="preserve">en lo sucesivo </w:t>
      </w:r>
      <w:r w:rsidR="008B6EC2" w:rsidRPr="006A36F7">
        <w:rPr>
          <w:rFonts w:ascii="Palatino Linotype" w:eastAsia="Calibri" w:hAnsi="Palatino Linotype" w:cs="Tahoma"/>
          <w:sz w:val="22"/>
          <w:szCs w:val="22"/>
          <w:lang w:val="es-MX" w:eastAsia="en-US"/>
        </w:rPr>
        <w:t xml:space="preserve">Recurrente </w:t>
      </w:r>
      <w:r w:rsidRPr="006A36F7">
        <w:rPr>
          <w:rFonts w:ascii="Palatino Linotype" w:eastAsia="Calibri" w:hAnsi="Palatino Linotype" w:cs="Tahoma"/>
          <w:sz w:val="22"/>
          <w:szCs w:val="22"/>
          <w:lang w:val="es-MX" w:eastAsia="en-US"/>
        </w:rPr>
        <w:t xml:space="preserve">o </w:t>
      </w:r>
      <w:r w:rsidR="008B6EC2" w:rsidRPr="006A36F7">
        <w:rPr>
          <w:rFonts w:ascii="Palatino Linotype" w:eastAsia="Calibri" w:hAnsi="Palatino Linotype" w:cs="Tahoma"/>
          <w:sz w:val="22"/>
          <w:szCs w:val="22"/>
          <w:lang w:val="es-MX" w:eastAsia="en-US"/>
        </w:rPr>
        <w:t>Particular</w:t>
      </w:r>
      <w:r w:rsidRPr="006A36F7">
        <w:rPr>
          <w:rFonts w:ascii="Palatino Linotype" w:eastAsia="Calibri" w:hAnsi="Palatino Linotype" w:cs="Tahoma"/>
          <w:sz w:val="22"/>
          <w:szCs w:val="22"/>
          <w:lang w:val="es-MX" w:eastAsia="en-US"/>
        </w:rPr>
        <w:t>,</w:t>
      </w:r>
      <w:r w:rsidR="004B42D0" w:rsidRPr="006A36F7">
        <w:rPr>
          <w:rFonts w:ascii="Palatino Linotype" w:hAnsi="Palatino Linotype" w:cs="Tahoma"/>
          <w:bCs/>
          <w:color w:val="0D0D0D" w:themeColor="text1" w:themeTint="F2"/>
          <w:sz w:val="22"/>
          <w:szCs w:val="22"/>
        </w:rPr>
        <w:t xml:space="preserve"> </w:t>
      </w:r>
      <w:r w:rsidR="00806144" w:rsidRPr="006A36F7">
        <w:rPr>
          <w:rFonts w:ascii="Palatino Linotype" w:hAnsi="Palatino Linotype" w:cs="Tahoma"/>
          <w:bCs/>
          <w:color w:val="0D0D0D" w:themeColor="text1" w:themeTint="F2"/>
          <w:sz w:val="22"/>
          <w:szCs w:val="22"/>
        </w:rPr>
        <w:t>en contra de la respuesta</w:t>
      </w:r>
      <w:r w:rsidR="005608D0" w:rsidRPr="006A36F7">
        <w:rPr>
          <w:rFonts w:ascii="Palatino Linotype" w:hAnsi="Palatino Linotype" w:cs="Tahoma"/>
          <w:bCs/>
          <w:color w:val="0D0D0D" w:themeColor="text1" w:themeTint="F2"/>
          <w:sz w:val="22"/>
          <w:szCs w:val="22"/>
        </w:rPr>
        <w:t xml:space="preserve"> </w:t>
      </w:r>
      <w:r w:rsidR="008F70FD" w:rsidRPr="006A36F7">
        <w:rPr>
          <w:rFonts w:ascii="Palatino Linotype" w:hAnsi="Palatino Linotype" w:cs="Tahoma"/>
          <w:bCs/>
          <w:color w:val="0D0D0D" w:themeColor="text1" w:themeTint="F2"/>
          <w:sz w:val="22"/>
          <w:szCs w:val="22"/>
        </w:rPr>
        <w:t>del Sujeto Obligado</w:t>
      </w:r>
      <w:r w:rsidR="00854523" w:rsidRPr="006A36F7">
        <w:rPr>
          <w:rFonts w:ascii="Palatino Linotype" w:hAnsi="Palatino Linotype" w:cs="Tahoma"/>
          <w:bCs/>
          <w:color w:val="0D0D0D" w:themeColor="text1" w:themeTint="F2"/>
          <w:sz w:val="22"/>
          <w:szCs w:val="22"/>
        </w:rPr>
        <w:t>,</w:t>
      </w:r>
      <w:r w:rsidR="008F70FD" w:rsidRPr="006A36F7">
        <w:rPr>
          <w:rFonts w:ascii="Palatino Linotype" w:hAnsi="Palatino Linotype" w:cs="Tahoma"/>
          <w:bCs/>
          <w:color w:val="0D0D0D" w:themeColor="text1" w:themeTint="F2"/>
          <w:sz w:val="22"/>
          <w:szCs w:val="22"/>
        </w:rPr>
        <w:t xml:space="preserve"> </w:t>
      </w:r>
      <w:r w:rsidR="00E12EFE">
        <w:rPr>
          <w:rFonts w:ascii="Palatino Linotype" w:eastAsia="Calibri" w:hAnsi="Palatino Linotype" w:cs="Tahoma"/>
          <w:b/>
          <w:sz w:val="22"/>
          <w:szCs w:val="22"/>
          <w:lang w:val="es-MX" w:eastAsia="en-US"/>
        </w:rPr>
        <w:t>Secretaría de Desarrollo Urbano y Metropolitano</w:t>
      </w:r>
      <w:r w:rsidR="00806144" w:rsidRPr="009016C3">
        <w:rPr>
          <w:rFonts w:ascii="Palatino Linotype" w:hAnsi="Palatino Linotype" w:cs="Tahoma"/>
          <w:bCs/>
          <w:color w:val="0D0D0D" w:themeColor="text1" w:themeTint="F2"/>
          <w:sz w:val="22"/>
          <w:szCs w:val="22"/>
        </w:rPr>
        <w:t>,</w:t>
      </w:r>
      <w:r w:rsidR="00806144" w:rsidRPr="006A36F7">
        <w:rPr>
          <w:rFonts w:ascii="Palatino Linotype" w:hAnsi="Palatino Linotype" w:cs="Tahoma"/>
          <w:bCs/>
          <w:color w:val="0D0D0D" w:themeColor="text1" w:themeTint="F2"/>
          <w:sz w:val="22"/>
          <w:szCs w:val="22"/>
        </w:rPr>
        <w:t xml:space="preserve"> se emite la presente Resolución, con base en los Antecedentes y C</w:t>
      </w:r>
      <w:r w:rsidR="00806144" w:rsidRPr="006A36F7">
        <w:rPr>
          <w:rFonts w:ascii="Palatino Linotype" w:hAnsi="Palatino Linotype" w:cs="Tahoma"/>
          <w:bCs/>
          <w:sz w:val="22"/>
          <w:szCs w:val="22"/>
        </w:rPr>
        <w:t>onsidera</w:t>
      </w:r>
      <w:r w:rsidR="00C8780E" w:rsidRPr="006A36F7">
        <w:rPr>
          <w:rFonts w:ascii="Palatino Linotype" w:hAnsi="Palatino Linotype" w:cs="Tahoma"/>
          <w:bCs/>
          <w:sz w:val="22"/>
          <w:szCs w:val="22"/>
        </w:rPr>
        <w:t>ndos</w:t>
      </w:r>
      <w:r w:rsidR="00806144" w:rsidRPr="006A36F7">
        <w:rPr>
          <w:rFonts w:ascii="Palatino Linotype" w:hAnsi="Palatino Linotype" w:cs="Tahoma"/>
          <w:bCs/>
          <w:sz w:val="22"/>
          <w:szCs w:val="22"/>
        </w:rPr>
        <w:t xml:space="preserve"> que a continuación se exponen:</w:t>
      </w:r>
    </w:p>
    <w:p w14:paraId="56743434" w14:textId="77777777" w:rsidR="00806144" w:rsidRPr="006A36F7" w:rsidRDefault="00806144" w:rsidP="00740136">
      <w:pPr>
        <w:spacing w:line="360" w:lineRule="auto"/>
        <w:rPr>
          <w:rFonts w:ascii="Palatino Linotype" w:hAnsi="Palatino Linotype" w:cs="Tahoma"/>
          <w:sz w:val="22"/>
          <w:szCs w:val="22"/>
        </w:rPr>
      </w:pPr>
    </w:p>
    <w:p w14:paraId="56743435" w14:textId="77777777" w:rsidR="00B31222" w:rsidRPr="006A36F7" w:rsidRDefault="0023178B" w:rsidP="00740136">
      <w:pPr>
        <w:tabs>
          <w:tab w:val="center" w:pos="4522"/>
          <w:tab w:val="left" w:pos="7245"/>
        </w:tabs>
        <w:spacing w:line="360" w:lineRule="auto"/>
        <w:jc w:val="center"/>
        <w:rPr>
          <w:rFonts w:ascii="Palatino Linotype" w:hAnsi="Palatino Linotype" w:cs="Tahoma"/>
          <w:b/>
          <w:sz w:val="22"/>
          <w:szCs w:val="22"/>
          <w:lang w:val="es-MX"/>
        </w:rPr>
      </w:pPr>
      <w:r w:rsidRPr="006A36F7">
        <w:rPr>
          <w:rFonts w:ascii="Palatino Linotype" w:hAnsi="Palatino Linotype" w:cs="Tahoma"/>
          <w:b/>
          <w:sz w:val="22"/>
          <w:szCs w:val="22"/>
          <w:lang w:val="es-MX"/>
        </w:rPr>
        <w:t xml:space="preserve">A N T E C E D E N T E S </w:t>
      </w:r>
    </w:p>
    <w:p w14:paraId="56743436" w14:textId="77777777" w:rsidR="00B11CCE" w:rsidRPr="006A36F7" w:rsidRDefault="00B11CCE" w:rsidP="00740136">
      <w:pPr>
        <w:pStyle w:val="Prrafodelista"/>
        <w:tabs>
          <w:tab w:val="left" w:pos="567"/>
        </w:tabs>
        <w:spacing w:line="360" w:lineRule="auto"/>
        <w:ind w:left="0"/>
        <w:contextualSpacing w:val="0"/>
        <w:jc w:val="both"/>
        <w:rPr>
          <w:rFonts w:ascii="Palatino Linotype" w:hAnsi="Palatino Linotype" w:cs="Tahoma"/>
          <w:b/>
          <w:szCs w:val="22"/>
        </w:rPr>
      </w:pPr>
    </w:p>
    <w:p w14:paraId="1384E214" w14:textId="77777777" w:rsidR="00E12EFE" w:rsidRPr="006A36F7" w:rsidRDefault="00E12EFE" w:rsidP="00740136">
      <w:pPr>
        <w:pStyle w:val="Prrafodelista"/>
        <w:tabs>
          <w:tab w:val="left" w:pos="567"/>
        </w:tabs>
        <w:spacing w:line="360" w:lineRule="auto"/>
        <w:ind w:left="0"/>
        <w:contextualSpacing w:val="0"/>
        <w:jc w:val="both"/>
        <w:rPr>
          <w:rFonts w:ascii="Palatino Linotype" w:hAnsi="Palatino Linotype" w:cs="Tahoma"/>
          <w:b/>
          <w:szCs w:val="22"/>
        </w:rPr>
      </w:pPr>
      <w:r w:rsidRPr="006A36F7">
        <w:rPr>
          <w:rFonts w:ascii="Palatino Linotype" w:hAnsi="Palatino Linotype" w:cs="Tahoma"/>
          <w:b/>
          <w:szCs w:val="22"/>
        </w:rPr>
        <w:t xml:space="preserve">I. Presentación de la solicitud de información. </w:t>
      </w:r>
    </w:p>
    <w:p w14:paraId="6BE1C9D1" w14:textId="77777777" w:rsidR="00E12EFE" w:rsidRPr="006A36F7" w:rsidRDefault="00E12EFE" w:rsidP="00740136">
      <w:pPr>
        <w:pStyle w:val="Prrafodelista"/>
        <w:tabs>
          <w:tab w:val="left" w:pos="567"/>
        </w:tabs>
        <w:spacing w:line="360" w:lineRule="auto"/>
        <w:ind w:left="0"/>
        <w:contextualSpacing w:val="0"/>
        <w:jc w:val="both"/>
        <w:rPr>
          <w:rFonts w:ascii="Palatino Linotype" w:hAnsi="Palatino Linotype" w:cs="Tahoma"/>
          <w:szCs w:val="22"/>
        </w:rPr>
      </w:pPr>
    </w:p>
    <w:p w14:paraId="50084BBD" w14:textId="77777777" w:rsidR="00E12EFE" w:rsidRPr="006A36F7" w:rsidRDefault="00E12EFE" w:rsidP="00740136">
      <w:pPr>
        <w:pStyle w:val="Prrafodelista"/>
        <w:tabs>
          <w:tab w:val="left" w:pos="567"/>
        </w:tabs>
        <w:spacing w:line="360" w:lineRule="auto"/>
        <w:ind w:left="0"/>
        <w:contextualSpacing w:val="0"/>
        <w:jc w:val="both"/>
        <w:rPr>
          <w:rFonts w:ascii="Palatino Linotype" w:hAnsi="Palatino Linotype" w:cs="Tahoma"/>
          <w:szCs w:val="22"/>
        </w:rPr>
      </w:pPr>
      <w:r>
        <w:rPr>
          <w:rFonts w:ascii="Palatino Linotype" w:hAnsi="Palatino Linotype" w:cs="Tahoma"/>
          <w:szCs w:val="22"/>
        </w:rPr>
        <w:t>El</w:t>
      </w:r>
      <w:r w:rsidRPr="006A36F7">
        <w:rPr>
          <w:rFonts w:ascii="Palatino Linotype" w:hAnsi="Palatino Linotype" w:cs="Tahoma"/>
          <w:szCs w:val="22"/>
        </w:rPr>
        <w:t xml:space="preserve"> </w:t>
      </w:r>
      <w:r w:rsidRPr="00F72D32">
        <w:rPr>
          <w:rFonts w:ascii="Palatino Linotype" w:hAnsi="Palatino Linotype" w:cs="Tahoma"/>
          <w:szCs w:val="22"/>
        </w:rPr>
        <w:t>veinte de marzo de dos mil diecinueve</w:t>
      </w:r>
      <w:r w:rsidRPr="006A36F7">
        <w:rPr>
          <w:rFonts w:ascii="Palatino Linotype" w:hAnsi="Palatino Linotype" w:cs="Tahoma"/>
          <w:szCs w:val="22"/>
        </w:rPr>
        <w:t xml:space="preserve">, el Particular presentó solicitud de acceso a la información pública número </w:t>
      </w:r>
      <w:r w:rsidRPr="00F72D32">
        <w:rPr>
          <w:rFonts w:ascii="Palatino Linotype" w:hAnsi="Palatino Linotype" w:cs="Tahoma"/>
          <w:b/>
          <w:szCs w:val="22"/>
        </w:rPr>
        <w:t>00060/SEDUM/IP/2019</w:t>
      </w:r>
      <w:r w:rsidRPr="006A36F7">
        <w:rPr>
          <w:rFonts w:ascii="Palatino Linotype" w:hAnsi="Palatino Linotype" w:cs="Tahoma"/>
          <w:b/>
          <w:szCs w:val="22"/>
        </w:rPr>
        <w:t xml:space="preserve"> </w:t>
      </w:r>
      <w:r w:rsidRPr="006A36F7">
        <w:rPr>
          <w:rFonts w:ascii="Palatino Linotype" w:hAnsi="Palatino Linotype" w:cs="Tahoma"/>
          <w:szCs w:val="22"/>
        </w:rPr>
        <w:t>a través del Sistema de Acceso a la Información Mexiquense (SAIMEX) mediante la cual requirió:</w:t>
      </w:r>
    </w:p>
    <w:p w14:paraId="694E7264" w14:textId="77777777" w:rsidR="00E12EFE" w:rsidRPr="006A36F7" w:rsidRDefault="00E12EFE" w:rsidP="00740136">
      <w:pPr>
        <w:tabs>
          <w:tab w:val="left" w:pos="4667"/>
        </w:tabs>
        <w:spacing w:line="360" w:lineRule="auto"/>
        <w:ind w:left="567" w:right="567"/>
        <w:jc w:val="both"/>
        <w:rPr>
          <w:rFonts w:ascii="Palatino Linotype" w:hAnsi="Palatino Linotype" w:cs="Tahoma"/>
          <w:b/>
          <w:bCs/>
          <w:sz w:val="22"/>
          <w:szCs w:val="22"/>
        </w:rPr>
      </w:pPr>
    </w:p>
    <w:p w14:paraId="01875347" w14:textId="77777777" w:rsidR="00E12EFE" w:rsidRPr="006A36F7" w:rsidRDefault="00E12EFE" w:rsidP="00740136">
      <w:pPr>
        <w:tabs>
          <w:tab w:val="left" w:pos="4667"/>
        </w:tabs>
        <w:spacing w:line="360" w:lineRule="auto"/>
        <w:ind w:left="567" w:right="567"/>
        <w:jc w:val="both"/>
        <w:rPr>
          <w:rFonts w:ascii="Palatino Linotype" w:hAnsi="Palatino Linotype" w:cs="Tahoma"/>
          <w:b/>
          <w:bCs/>
          <w:sz w:val="22"/>
          <w:szCs w:val="22"/>
        </w:rPr>
      </w:pPr>
      <w:r w:rsidRPr="006A36F7">
        <w:rPr>
          <w:rFonts w:ascii="Palatino Linotype" w:hAnsi="Palatino Linotype" w:cs="Tahoma"/>
          <w:b/>
          <w:bCs/>
          <w:sz w:val="22"/>
          <w:szCs w:val="22"/>
        </w:rPr>
        <w:t>DESCRIPCIÓN CLARA Y PRECISA DE LA INFORMACIÓN SOLICITADA</w:t>
      </w:r>
    </w:p>
    <w:p w14:paraId="3F928251" w14:textId="5E5BC88A" w:rsidR="00E12EFE" w:rsidRDefault="00F72D32" w:rsidP="00740136">
      <w:pPr>
        <w:tabs>
          <w:tab w:val="left" w:pos="4667"/>
        </w:tabs>
        <w:spacing w:line="360" w:lineRule="auto"/>
        <w:ind w:left="567" w:right="567"/>
        <w:jc w:val="both"/>
        <w:rPr>
          <w:rFonts w:ascii="Palatino Linotype" w:hAnsi="Palatino Linotype"/>
          <w:color w:val="000000"/>
        </w:rPr>
      </w:pPr>
      <w:r>
        <w:rPr>
          <w:rFonts w:ascii="Palatino Linotype" w:hAnsi="Palatino Linotype"/>
          <w:i/>
          <w:color w:val="000000"/>
        </w:rPr>
        <w:t>“</w:t>
      </w:r>
      <w:r w:rsidR="00E12EFE" w:rsidRPr="00F72D32">
        <w:rPr>
          <w:rFonts w:ascii="Palatino Linotype" w:hAnsi="Palatino Linotype"/>
          <w:i/>
          <w:color w:val="000000"/>
        </w:rPr>
        <w:t xml:space="preserve">DERIVADO DE LA RESPUESTA A LA SOLICITUD DE INFORMACIÓN 0010/19. REQUIERO SABER LA ACCIÓN QUE REALIZÓ LA DIRECCIÓN REGIONAL VALLE DE TOLUCA POR LA FALTA DE AUTORIZACIÓN DEL CONDOMINIO DENOMINADO ENTRE ÁRBOLES UBICADO EN ALLE ÁLAMO Y SAUCES 2700. METEPEC. REQUIERO </w:t>
      </w:r>
      <w:r w:rsidR="00E12EFE" w:rsidRPr="00654411">
        <w:rPr>
          <w:rFonts w:ascii="Palatino Linotype" w:hAnsi="Palatino Linotype"/>
          <w:i/>
          <w:color w:val="000000"/>
        </w:rPr>
        <w:t xml:space="preserve">COPIAS SIMPLES DE LA NOTIFICACIÓN DEL CIRATORIO A GARANTÍA DE AUDIENCIA A LA EMPRESA CONSTRUCTORA, LOS RESOLUTIVOS, MULTAS O EL </w:t>
      </w:r>
      <w:r w:rsidR="00E12EFE" w:rsidRPr="00654411">
        <w:rPr>
          <w:rFonts w:ascii="Palatino Linotype" w:hAnsi="Palatino Linotype"/>
          <w:i/>
          <w:color w:val="000000"/>
        </w:rPr>
        <w:lastRenderedPageBreak/>
        <w:t>DOCUMENTO QUE ACREDITE LAS ACCIONES QUE SE HAN REALIZADO POR PARTE DE ESA UNIDAD ADMINISTRATIVA EN CONTRA DE LA EMPRESA</w:t>
      </w:r>
      <w:r w:rsidRPr="00654411">
        <w:rPr>
          <w:rFonts w:ascii="Palatino Linotype" w:hAnsi="Palatino Linotype"/>
          <w:i/>
          <w:color w:val="000000"/>
        </w:rPr>
        <w:t xml:space="preserve">” </w:t>
      </w:r>
      <w:r w:rsidRPr="00654411">
        <w:rPr>
          <w:rFonts w:ascii="Palatino Linotype" w:hAnsi="Palatino Linotype"/>
          <w:color w:val="000000"/>
        </w:rPr>
        <w:t>(Sic).</w:t>
      </w:r>
      <w:r>
        <w:rPr>
          <w:rFonts w:ascii="Palatino Linotype" w:hAnsi="Palatino Linotype"/>
          <w:color w:val="000000"/>
        </w:rPr>
        <w:t xml:space="preserve"> </w:t>
      </w:r>
    </w:p>
    <w:p w14:paraId="65A3F786" w14:textId="77777777" w:rsidR="00F72D32" w:rsidRPr="00F72D32" w:rsidRDefault="00F72D32" w:rsidP="00740136">
      <w:pPr>
        <w:tabs>
          <w:tab w:val="left" w:pos="4667"/>
        </w:tabs>
        <w:spacing w:line="360" w:lineRule="auto"/>
        <w:ind w:left="567" w:right="567"/>
        <w:jc w:val="both"/>
        <w:rPr>
          <w:rFonts w:ascii="Palatino Linotype" w:hAnsi="Palatino Linotype"/>
          <w:color w:val="000000"/>
        </w:rPr>
      </w:pPr>
    </w:p>
    <w:p w14:paraId="729E27C1" w14:textId="77777777" w:rsidR="00E12EFE" w:rsidRPr="006A36F7" w:rsidRDefault="00E12EFE" w:rsidP="00740136">
      <w:pPr>
        <w:tabs>
          <w:tab w:val="left" w:pos="4667"/>
        </w:tabs>
        <w:spacing w:line="360" w:lineRule="auto"/>
        <w:ind w:left="567" w:right="567"/>
        <w:jc w:val="both"/>
        <w:rPr>
          <w:rFonts w:ascii="Palatino Linotype" w:hAnsi="Palatino Linotype" w:cs="Tahoma"/>
          <w:bCs/>
          <w:sz w:val="22"/>
          <w:szCs w:val="22"/>
        </w:rPr>
      </w:pPr>
      <w:r w:rsidRPr="006A36F7">
        <w:rPr>
          <w:rFonts w:ascii="Palatino Linotype" w:hAnsi="Palatino Linotype" w:cs="Tahoma"/>
          <w:b/>
          <w:bCs/>
          <w:sz w:val="22"/>
          <w:szCs w:val="22"/>
        </w:rPr>
        <w:t>MODALIDAD DE ENTREGA</w:t>
      </w:r>
    </w:p>
    <w:p w14:paraId="3868039C" w14:textId="2E1396D5" w:rsidR="00E12EFE" w:rsidRPr="006A36F7" w:rsidRDefault="00654411" w:rsidP="00740136">
      <w:pPr>
        <w:tabs>
          <w:tab w:val="left" w:pos="4667"/>
        </w:tabs>
        <w:spacing w:line="360" w:lineRule="auto"/>
        <w:ind w:left="567" w:right="567"/>
        <w:jc w:val="both"/>
        <w:rPr>
          <w:rFonts w:ascii="Palatino Linotype" w:hAnsi="Palatino Linotype" w:cs="Tahoma"/>
          <w:bCs/>
          <w:sz w:val="22"/>
          <w:szCs w:val="22"/>
        </w:rPr>
      </w:pPr>
      <w:r>
        <w:rPr>
          <w:rFonts w:ascii="Palatino Linotype" w:hAnsi="Palatino Linotype" w:cs="Tahoma"/>
          <w:bCs/>
          <w:sz w:val="22"/>
          <w:szCs w:val="22"/>
        </w:rPr>
        <w:t>Copias simples</w:t>
      </w:r>
    </w:p>
    <w:p w14:paraId="095F521D" w14:textId="77777777" w:rsidR="00E12EFE" w:rsidRPr="006A36F7" w:rsidRDefault="00E12EFE" w:rsidP="00740136">
      <w:pPr>
        <w:autoSpaceDE w:val="0"/>
        <w:autoSpaceDN w:val="0"/>
        <w:adjustRightInd w:val="0"/>
        <w:spacing w:line="360" w:lineRule="auto"/>
        <w:jc w:val="both"/>
        <w:rPr>
          <w:rFonts w:ascii="Palatino Linotype" w:hAnsi="Palatino Linotype" w:cs="Tahoma"/>
          <w:sz w:val="22"/>
          <w:szCs w:val="22"/>
        </w:rPr>
      </w:pPr>
    </w:p>
    <w:p w14:paraId="7DFF7356" w14:textId="569E83A6" w:rsidR="00BB052C" w:rsidRDefault="00E12EFE" w:rsidP="00740136">
      <w:pPr>
        <w:autoSpaceDE w:val="0"/>
        <w:autoSpaceDN w:val="0"/>
        <w:adjustRightInd w:val="0"/>
        <w:spacing w:line="360" w:lineRule="auto"/>
        <w:jc w:val="both"/>
        <w:rPr>
          <w:rFonts w:ascii="Palatino Linotype" w:hAnsi="Palatino Linotype" w:cs="Tahoma"/>
          <w:b/>
          <w:sz w:val="22"/>
          <w:szCs w:val="22"/>
        </w:rPr>
      </w:pPr>
      <w:r w:rsidRPr="006A36F7">
        <w:rPr>
          <w:rFonts w:ascii="Palatino Linotype" w:hAnsi="Palatino Linotype" w:cs="Tahoma"/>
          <w:b/>
          <w:sz w:val="22"/>
          <w:szCs w:val="22"/>
        </w:rPr>
        <w:t>II. Respuesta del Sujeto Obligado.</w:t>
      </w:r>
    </w:p>
    <w:p w14:paraId="056DF76D" w14:textId="77777777" w:rsidR="00BB052C" w:rsidRDefault="00BB052C" w:rsidP="00740136">
      <w:pPr>
        <w:autoSpaceDE w:val="0"/>
        <w:autoSpaceDN w:val="0"/>
        <w:adjustRightInd w:val="0"/>
        <w:spacing w:line="360" w:lineRule="auto"/>
        <w:jc w:val="both"/>
        <w:rPr>
          <w:rFonts w:ascii="Palatino Linotype" w:hAnsi="Palatino Linotype" w:cs="Tahoma"/>
          <w:b/>
          <w:sz w:val="22"/>
          <w:szCs w:val="22"/>
        </w:rPr>
      </w:pPr>
    </w:p>
    <w:p w14:paraId="1A2D5438" w14:textId="6D8D2300" w:rsidR="00BB052C" w:rsidRDefault="00BB052C" w:rsidP="00740136">
      <w:pPr>
        <w:autoSpaceDE w:val="0"/>
        <w:autoSpaceDN w:val="0"/>
        <w:adjustRightInd w:val="0"/>
        <w:spacing w:line="360" w:lineRule="auto"/>
        <w:jc w:val="both"/>
        <w:rPr>
          <w:rFonts w:ascii="Palatino Linotype" w:hAnsi="Palatino Linotype" w:cs="Tahoma"/>
          <w:sz w:val="22"/>
          <w:szCs w:val="22"/>
        </w:rPr>
      </w:pPr>
      <w:r w:rsidRPr="00BB052C">
        <w:rPr>
          <w:rFonts w:ascii="Palatino Linotype" w:hAnsi="Palatino Linotype" w:cs="Tahoma"/>
          <w:sz w:val="22"/>
          <w:szCs w:val="22"/>
        </w:rPr>
        <w:t xml:space="preserve">El dos de abril del año en curso </w:t>
      </w:r>
      <w:r>
        <w:rPr>
          <w:rFonts w:ascii="Palatino Linotype" w:hAnsi="Palatino Linotype" w:cs="Tahoma"/>
          <w:sz w:val="22"/>
          <w:szCs w:val="22"/>
        </w:rPr>
        <w:t>el Sujeto Obligado,</w:t>
      </w:r>
      <w:r w:rsidRPr="00AD50F9">
        <w:rPr>
          <w:rFonts w:ascii="Palatino Linotype" w:hAnsi="Palatino Linotype" w:cs="Tahoma"/>
          <w:sz w:val="22"/>
          <w:szCs w:val="22"/>
        </w:rPr>
        <w:t xml:space="preserve"> notificó la </w:t>
      </w:r>
      <w:r>
        <w:rPr>
          <w:rFonts w:ascii="Palatino Linotype" w:hAnsi="Palatino Linotype" w:cs="Tahoma"/>
          <w:sz w:val="22"/>
          <w:szCs w:val="22"/>
        </w:rPr>
        <w:t xml:space="preserve">respuesta </w:t>
      </w:r>
      <w:r w:rsidRPr="00AD50F9">
        <w:rPr>
          <w:rFonts w:ascii="Palatino Linotype" w:hAnsi="Palatino Linotype" w:cs="Tahoma"/>
          <w:sz w:val="22"/>
          <w:szCs w:val="22"/>
        </w:rPr>
        <w:t>al</w:t>
      </w:r>
      <w:r>
        <w:rPr>
          <w:rFonts w:ascii="Palatino Linotype" w:hAnsi="Palatino Linotype" w:cs="Tahoma"/>
          <w:sz w:val="22"/>
          <w:szCs w:val="22"/>
        </w:rPr>
        <w:t xml:space="preserve"> </w:t>
      </w:r>
      <w:r w:rsidRPr="00AD50F9">
        <w:rPr>
          <w:rFonts w:ascii="Palatino Linotype" w:hAnsi="Palatino Linotype" w:cs="Tahoma"/>
          <w:sz w:val="22"/>
          <w:szCs w:val="22"/>
        </w:rPr>
        <w:t>Solicitante, mediante el Sistema de Acceso a la Información Mexiquense (SAIMEX</w:t>
      </w:r>
      <w:r>
        <w:rPr>
          <w:rFonts w:ascii="Palatino Linotype" w:hAnsi="Palatino Linotype" w:cs="Tahoma"/>
          <w:sz w:val="22"/>
          <w:szCs w:val="22"/>
        </w:rPr>
        <w:t xml:space="preserve">), </w:t>
      </w:r>
      <w:r w:rsidR="001B7C08">
        <w:rPr>
          <w:rFonts w:ascii="Palatino Linotype" w:hAnsi="Palatino Linotype" w:cs="Tahoma"/>
          <w:sz w:val="22"/>
          <w:szCs w:val="22"/>
        </w:rPr>
        <w:t xml:space="preserve">en los siguientes términos: </w:t>
      </w:r>
    </w:p>
    <w:p w14:paraId="7064FEBA" w14:textId="36ED1C98" w:rsidR="001B7C08" w:rsidRDefault="001B7C08" w:rsidP="00740136">
      <w:pPr>
        <w:autoSpaceDE w:val="0"/>
        <w:autoSpaceDN w:val="0"/>
        <w:adjustRightInd w:val="0"/>
        <w:spacing w:line="360" w:lineRule="auto"/>
        <w:jc w:val="center"/>
        <w:rPr>
          <w:rFonts w:ascii="Palatino Linotype" w:hAnsi="Palatino Linotype" w:cs="Tahoma"/>
          <w:sz w:val="22"/>
          <w:szCs w:val="22"/>
        </w:rPr>
      </w:pPr>
      <w:r w:rsidRPr="001B7C08">
        <w:rPr>
          <w:rFonts w:ascii="Palatino Linotype" w:hAnsi="Palatino Linotype" w:cs="Tahoma"/>
          <w:noProof/>
          <w:sz w:val="22"/>
          <w:szCs w:val="22"/>
          <w:lang w:val="es-MX" w:eastAsia="es-MX"/>
        </w:rPr>
        <w:drawing>
          <wp:inline distT="0" distB="0" distL="0" distR="0" wp14:anchorId="05FAA400" wp14:editId="4864BA17">
            <wp:extent cx="5275678" cy="1176020"/>
            <wp:effectExtent l="0" t="0" r="1270" b="508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76739" cy="1176257"/>
                    </a:xfrm>
                    <a:prstGeom prst="rect">
                      <a:avLst/>
                    </a:prstGeom>
                    <a:noFill/>
                    <a:ln>
                      <a:noFill/>
                    </a:ln>
                  </pic:spPr>
                </pic:pic>
              </a:graphicData>
            </a:graphic>
          </wp:inline>
        </w:drawing>
      </w:r>
    </w:p>
    <w:p w14:paraId="5C6167F3" w14:textId="2F0F9484" w:rsidR="001B7C08" w:rsidRDefault="001B7C08" w:rsidP="00740136">
      <w:pPr>
        <w:autoSpaceDE w:val="0"/>
        <w:autoSpaceDN w:val="0"/>
        <w:adjustRightInd w:val="0"/>
        <w:spacing w:line="360" w:lineRule="auto"/>
        <w:jc w:val="center"/>
        <w:rPr>
          <w:rFonts w:ascii="Palatino Linotype" w:hAnsi="Palatino Linotype" w:cs="Tahoma"/>
          <w:sz w:val="22"/>
          <w:szCs w:val="22"/>
        </w:rPr>
      </w:pPr>
      <w:r w:rsidRPr="001B7C08">
        <w:rPr>
          <w:rFonts w:ascii="Palatino Linotype" w:hAnsi="Palatino Linotype" w:cs="Tahoma"/>
          <w:noProof/>
          <w:sz w:val="22"/>
          <w:szCs w:val="22"/>
          <w:lang w:val="es-MX" w:eastAsia="es-MX"/>
        </w:rPr>
        <w:drawing>
          <wp:inline distT="0" distB="0" distL="0" distR="0" wp14:anchorId="2C7BFB12" wp14:editId="24F96939">
            <wp:extent cx="5067300" cy="2321900"/>
            <wp:effectExtent l="0" t="0" r="0" b="254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76590" cy="2326157"/>
                    </a:xfrm>
                    <a:prstGeom prst="rect">
                      <a:avLst/>
                    </a:prstGeom>
                    <a:noFill/>
                    <a:ln>
                      <a:noFill/>
                    </a:ln>
                  </pic:spPr>
                </pic:pic>
              </a:graphicData>
            </a:graphic>
          </wp:inline>
        </w:drawing>
      </w:r>
    </w:p>
    <w:p w14:paraId="0F4682CE" w14:textId="7AF7CEE5" w:rsidR="001B7C08" w:rsidRDefault="001B7C08" w:rsidP="00740136">
      <w:pPr>
        <w:autoSpaceDE w:val="0"/>
        <w:autoSpaceDN w:val="0"/>
        <w:adjustRightInd w:val="0"/>
        <w:spacing w:line="360" w:lineRule="auto"/>
        <w:rPr>
          <w:rFonts w:ascii="Palatino Linotype" w:hAnsi="Palatino Linotype" w:cs="Tahoma"/>
          <w:sz w:val="22"/>
          <w:szCs w:val="22"/>
        </w:rPr>
      </w:pPr>
      <w:r>
        <w:rPr>
          <w:rFonts w:ascii="Palatino Linotype" w:hAnsi="Palatino Linotype" w:cs="Tahoma"/>
          <w:sz w:val="22"/>
          <w:szCs w:val="22"/>
        </w:rPr>
        <w:t xml:space="preserve">De igual forma, el Sujeto Obligado adjuntó los archivos denominados: </w:t>
      </w:r>
    </w:p>
    <w:p w14:paraId="63DB9BE0" w14:textId="77777777" w:rsidR="001B7C08" w:rsidRPr="00BB052C" w:rsidRDefault="001B7C08" w:rsidP="00740136">
      <w:pPr>
        <w:autoSpaceDE w:val="0"/>
        <w:autoSpaceDN w:val="0"/>
        <w:adjustRightInd w:val="0"/>
        <w:spacing w:line="360" w:lineRule="auto"/>
        <w:rPr>
          <w:rFonts w:ascii="Palatino Linotype" w:hAnsi="Palatino Linotype" w:cs="Tahoma"/>
          <w:sz w:val="22"/>
          <w:szCs w:val="22"/>
        </w:rPr>
      </w:pPr>
    </w:p>
    <w:p w14:paraId="16A72891" w14:textId="35CE77D7" w:rsidR="001B7C08" w:rsidRPr="001B7C08" w:rsidRDefault="00F477A0" w:rsidP="00740136">
      <w:pPr>
        <w:pStyle w:val="Prrafodelista"/>
        <w:numPr>
          <w:ilvl w:val="0"/>
          <w:numId w:val="29"/>
        </w:numPr>
        <w:autoSpaceDE w:val="0"/>
        <w:autoSpaceDN w:val="0"/>
        <w:adjustRightInd w:val="0"/>
        <w:spacing w:line="360" w:lineRule="auto"/>
        <w:jc w:val="both"/>
        <w:rPr>
          <w:rFonts w:ascii="Palatino Linotype" w:hAnsi="Palatino Linotype" w:cs="Tahoma"/>
          <w:szCs w:val="22"/>
        </w:rPr>
      </w:pPr>
      <w:r>
        <w:rPr>
          <w:rFonts w:ascii="Palatino Linotype" w:hAnsi="Palatino Linotype" w:cs="Tahoma"/>
          <w:szCs w:val="22"/>
        </w:rPr>
        <w:lastRenderedPageBreak/>
        <w:t xml:space="preserve">“saimex 00060 escaneado pdf”, </w:t>
      </w:r>
      <w:r w:rsidR="001B7C08" w:rsidRPr="001B7C08">
        <w:rPr>
          <w:rFonts w:ascii="Palatino Linotype" w:hAnsi="Palatino Linotype" w:cs="Tahoma"/>
          <w:szCs w:val="22"/>
        </w:rPr>
        <w:t xml:space="preserve">el cual contiene el oficio 21200005L/851/2019, signado por Directora General de Operación Urbana, mismo que es del tenor siguiente: </w:t>
      </w:r>
    </w:p>
    <w:p w14:paraId="1CFF8439" w14:textId="165BCA4D" w:rsidR="001B7C08" w:rsidRDefault="001B7C08" w:rsidP="00740136">
      <w:pPr>
        <w:autoSpaceDE w:val="0"/>
        <w:autoSpaceDN w:val="0"/>
        <w:adjustRightInd w:val="0"/>
        <w:spacing w:line="360" w:lineRule="auto"/>
        <w:jc w:val="both"/>
        <w:rPr>
          <w:rFonts w:ascii="Palatino Linotype" w:hAnsi="Palatino Linotype" w:cs="Tahoma"/>
          <w:b/>
          <w:sz w:val="22"/>
          <w:szCs w:val="22"/>
          <w:highlight w:val="yellow"/>
        </w:rPr>
      </w:pPr>
      <w:r w:rsidRPr="001B7C08">
        <w:rPr>
          <w:rFonts w:ascii="Palatino Linotype" w:hAnsi="Palatino Linotype" w:cs="Tahoma"/>
          <w:b/>
          <w:noProof/>
          <w:sz w:val="22"/>
          <w:szCs w:val="22"/>
          <w:highlight w:val="yellow"/>
          <w:lang w:val="es-MX" w:eastAsia="es-MX"/>
        </w:rPr>
        <w:drawing>
          <wp:inline distT="0" distB="0" distL="0" distR="0" wp14:anchorId="44A4CC91" wp14:editId="32DD4FA1">
            <wp:extent cx="5742940" cy="2960902"/>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42940" cy="2960902"/>
                    </a:xfrm>
                    <a:prstGeom prst="rect">
                      <a:avLst/>
                    </a:prstGeom>
                    <a:noFill/>
                    <a:ln>
                      <a:noFill/>
                    </a:ln>
                  </pic:spPr>
                </pic:pic>
              </a:graphicData>
            </a:graphic>
          </wp:inline>
        </w:drawing>
      </w:r>
    </w:p>
    <w:p w14:paraId="6F44B45E" w14:textId="77777777" w:rsidR="001B7C08" w:rsidRDefault="001B7C08" w:rsidP="00740136">
      <w:pPr>
        <w:autoSpaceDE w:val="0"/>
        <w:autoSpaceDN w:val="0"/>
        <w:adjustRightInd w:val="0"/>
        <w:spacing w:line="360" w:lineRule="auto"/>
        <w:jc w:val="both"/>
        <w:rPr>
          <w:rFonts w:ascii="Palatino Linotype" w:hAnsi="Palatino Linotype" w:cs="Tahoma"/>
          <w:b/>
          <w:sz w:val="22"/>
          <w:szCs w:val="22"/>
          <w:highlight w:val="yellow"/>
        </w:rPr>
      </w:pPr>
    </w:p>
    <w:p w14:paraId="3CB1B0F6" w14:textId="6643D208" w:rsidR="001B7C08" w:rsidRDefault="001B7C08" w:rsidP="00740136">
      <w:pPr>
        <w:autoSpaceDE w:val="0"/>
        <w:autoSpaceDN w:val="0"/>
        <w:adjustRightInd w:val="0"/>
        <w:spacing w:line="360" w:lineRule="auto"/>
        <w:jc w:val="center"/>
        <w:rPr>
          <w:rFonts w:ascii="Palatino Linotype" w:hAnsi="Palatino Linotype" w:cs="Tahoma"/>
          <w:b/>
          <w:sz w:val="22"/>
          <w:szCs w:val="22"/>
          <w:highlight w:val="yellow"/>
        </w:rPr>
      </w:pPr>
      <w:r w:rsidRPr="001B7C08">
        <w:rPr>
          <w:rFonts w:ascii="Palatino Linotype" w:hAnsi="Palatino Linotype" w:cs="Tahoma"/>
          <w:b/>
          <w:noProof/>
          <w:sz w:val="22"/>
          <w:szCs w:val="22"/>
          <w:highlight w:val="yellow"/>
          <w:lang w:val="es-MX" w:eastAsia="es-MX"/>
        </w:rPr>
        <w:drawing>
          <wp:inline distT="0" distB="0" distL="0" distR="0" wp14:anchorId="3ACB0740" wp14:editId="468AF8FE">
            <wp:extent cx="4760348" cy="2225040"/>
            <wp:effectExtent l="0" t="0" r="2540" b="381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763022" cy="2226290"/>
                    </a:xfrm>
                    <a:prstGeom prst="rect">
                      <a:avLst/>
                    </a:prstGeom>
                    <a:noFill/>
                    <a:ln>
                      <a:noFill/>
                    </a:ln>
                  </pic:spPr>
                </pic:pic>
              </a:graphicData>
            </a:graphic>
          </wp:inline>
        </w:drawing>
      </w:r>
    </w:p>
    <w:p w14:paraId="5D0BCD83" w14:textId="77777777" w:rsidR="001B7C08" w:rsidRDefault="001B7C08" w:rsidP="00740136">
      <w:pPr>
        <w:autoSpaceDE w:val="0"/>
        <w:autoSpaceDN w:val="0"/>
        <w:adjustRightInd w:val="0"/>
        <w:spacing w:line="360" w:lineRule="auto"/>
        <w:jc w:val="center"/>
        <w:rPr>
          <w:rFonts w:ascii="Palatino Linotype" w:hAnsi="Palatino Linotype" w:cs="Tahoma"/>
          <w:b/>
          <w:sz w:val="22"/>
          <w:szCs w:val="22"/>
          <w:highlight w:val="yellow"/>
        </w:rPr>
      </w:pPr>
    </w:p>
    <w:p w14:paraId="4841ADC5" w14:textId="279A95C5" w:rsidR="001B7C08" w:rsidRPr="00F477A0" w:rsidRDefault="00F477A0" w:rsidP="00740136">
      <w:pPr>
        <w:pStyle w:val="Prrafodelista"/>
        <w:numPr>
          <w:ilvl w:val="0"/>
          <w:numId w:val="29"/>
        </w:numPr>
        <w:autoSpaceDE w:val="0"/>
        <w:autoSpaceDN w:val="0"/>
        <w:adjustRightInd w:val="0"/>
        <w:spacing w:line="360" w:lineRule="auto"/>
        <w:jc w:val="both"/>
        <w:rPr>
          <w:rFonts w:ascii="Palatino Linotype" w:hAnsi="Palatino Linotype" w:cs="Tahoma"/>
          <w:b/>
          <w:szCs w:val="22"/>
        </w:rPr>
      </w:pPr>
      <w:r w:rsidRPr="001B7C08">
        <w:rPr>
          <w:rFonts w:ascii="Palatino Linotype" w:hAnsi="Palatino Linotype" w:cs="Tahoma"/>
          <w:szCs w:val="22"/>
        </w:rPr>
        <w:t>“instrucción SAIMEX 00060.pdf”,</w:t>
      </w:r>
      <w:r>
        <w:rPr>
          <w:rFonts w:ascii="Palatino Linotype" w:hAnsi="Palatino Linotype" w:cs="Tahoma"/>
          <w:szCs w:val="22"/>
        </w:rPr>
        <w:t xml:space="preserve"> el cual contiene el oficio 21200005020000T/0189/2019, signado por la Directora Regional Valle de Toluca, mismo que es del tenor siguiente: </w:t>
      </w:r>
    </w:p>
    <w:p w14:paraId="0C62065B" w14:textId="77777777" w:rsidR="00F477A0" w:rsidRDefault="00F477A0" w:rsidP="00740136">
      <w:pPr>
        <w:pStyle w:val="Prrafodelista"/>
        <w:autoSpaceDE w:val="0"/>
        <w:autoSpaceDN w:val="0"/>
        <w:adjustRightInd w:val="0"/>
        <w:spacing w:line="360" w:lineRule="auto"/>
        <w:jc w:val="both"/>
        <w:rPr>
          <w:rFonts w:ascii="Palatino Linotype" w:hAnsi="Palatino Linotype" w:cs="Tahoma"/>
          <w:szCs w:val="22"/>
        </w:rPr>
      </w:pPr>
    </w:p>
    <w:p w14:paraId="70706FB2" w14:textId="4335F63F" w:rsidR="00F477A0" w:rsidRPr="001B7C08" w:rsidRDefault="0080030C" w:rsidP="00740136">
      <w:pPr>
        <w:pStyle w:val="Prrafodelista"/>
        <w:autoSpaceDE w:val="0"/>
        <w:autoSpaceDN w:val="0"/>
        <w:adjustRightInd w:val="0"/>
        <w:spacing w:line="360" w:lineRule="auto"/>
        <w:jc w:val="both"/>
        <w:rPr>
          <w:rFonts w:ascii="Palatino Linotype" w:hAnsi="Palatino Linotype" w:cs="Tahoma"/>
          <w:b/>
          <w:szCs w:val="22"/>
        </w:rPr>
      </w:pPr>
      <w:r w:rsidRPr="0080030C">
        <w:rPr>
          <w:rFonts w:ascii="Palatino Linotype" w:hAnsi="Palatino Linotype" w:cs="Tahoma"/>
          <w:b/>
          <w:noProof/>
          <w:szCs w:val="22"/>
          <w:lang w:eastAsia="es-MX"/>
        </w:rPr>
        <w:drawing>
          <wp:inline distT="0" distB="0" distL="0" distR="0" wp14:anchorId="09507BF4" wp14:editId="32C945BD">
            <wp:extent cx="4657104" cy="291465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661123" cy="2917165"/>
                    </a:xfrm>
                    <a:prstGeom prst="rect">
                      <a:avLst/>
                    </a:prstGeom>
                    <a:noFill/>
                    <a:ln>
                      <a:noFill/>
                    </a:ln>
                  </pic:spPr>
                </pic:pic>
              </a:graphicData>
            </a:graphic>
          </wp:inline>
        </w:drawing>
      </w:r>
    </w:p>
    <w:p w14:paraId="6A13ACC7" w14:textId="269DBCD5" w:rsidR="00E12EFE" w:rsidRPr="00561C23" w:rsidRDefault="00E12EFE" w:rsidP="00740136">
      <w:pPr>
        <w:autoSpaceDE w:val="0"/>
        <w:autoSpaceDN w:val="0"/>
        <w:adjustRightInd w:val="0"/>
        <w:spacing w:line="360" w:lineRule="auto"/>
        <w:jc w:val="both"/>
        <w:rPr>
          <w:rFonts w:ascii="Palatino Linotype" w:hAnsi="Palatino Linotype" w:cs="Tahoma"/>
          <w:b/>
          <w:sz w:val="22"/>
          <w:szCs w:val="22"/>
          <w:highlight w:val="yellow"/>
        </w:rPr>
      </w:pPr>
      <w:r w:rsidRPr="00561C23">
        <w:rPr>
          <w:rFonts w:ascii="Palatino Linotype" w:hAnsi="Palatino Linotype" w:cs="Tahoma"/>
          <w:b/>
          <w:sz w:val="22"/>
          <w:szCs w:val="22"/>
          <w:highlight w:val="yellow"/>
        </w:rPr>
        <w:t xml:space="preserve"> </w:t>
      </w:r>
    </w:p>
    <w:p w14:paraId="1E116F47" w14:textId="77777777" w:rsidR="00E12EFE" w:rsidRDefault="00E12EFE" w:rsidP="00740136">
      <w:pPr>
        <w:autoSpaceDE w:val="0"/>
        <w:autoSpaceDN w:val="0"/>
        <w:adjustRightInd w:val="0"/>
        <w:spacing w:line="360" w:lineRule="auto"/>
        <w:jc w:val="both"/>
        <w:rPr>
          <w:rFonts w:ascii="Palatino Linotype" w:hAnsi="Palatino Linotype" w:cs="Tahoma"/>
          <w:b/>
          <w:sz w:val="22"/>
          <w:szCs w:val="22"/>
        </w:rPr>
      </w:pPr>
      <w:r w:rsidRPr="006A36F7">
        <w:rPr>
          <w:rFonts w:ascii="Palatino Linotype" w:hAnsi="Palatino Linotype" w:cs="Tahoma"/>
          <w:b/>
          <w:sz w:val="22"/>
          <w:szCs w:val="22"/>
        </w:rPr>
        <w:t xml:space="preserve">III. Interposición del Recurso de Revisión. </w:t>
      </w:r>
    </w:p>
    <w:p w14:paraId="1DE6B19D" w14:textId="77777777" w:rsidR="00E12EFE" w:rsidRPr="006A36F7" w:rsidRDefault="00E12EFE" w:rsidP="00740136">
      <w:pPr>
        <w:autoSpaceDE w:val="0"/>
        <w:autoSpaceDN w:val="0"/>
        <w:adjustRightInd w:val="0"/>
        <w:spacing w:line="360" w:lineRule="auto"/>
        <w:jc w:val="both"/>
        <w:rPr>
          <w:rFonts w:ascii="Palatino Linotype" w:hAnsi="Palatino Linotype" w:cs="Tahoma"/>
          <w:b/>
          <w:sz w:val="22"/>
          <w:szCs w:val="22"/>
        </w:rPr>
      </w:pPr>
    </w:p>
    <w:p w14:paraId="36389E11" w14:textId="77777777" w:rsidR="00E12EFE" w:rsidRPr="006A36F7" w:rsidRDefault="00E12EFE" w:rsidP="00740136">
      <w:pPr>
        <w:autoSpaceDE w:val="0"/>
        <w:autoSpaceDN w:val="0"/>
        <w:adjustRightInd w:val="0"/>
        <w:spacing w:line="360" w:lineRule="auto"/>
        <w:jc w:val="both"/>
        <w:rPr>
          <w:rFonts w:ascii="Palatino Linotype" w:hAnsi="Palatino Linotype" w:cs="Tahoma"/>
          <w:sz w:val="22"/>
          <w:szCs w:val="22"/>
        </w:rPr>
      </w:pPr>
      <w:r w:rsidRPr="009B796C">
        <w:rPr>
          <w:rFonts w:ascii="Palatino Linotype" w:hAnsi="Palatino Linotype" w:cs="Tahoma"/>
          <w:sz w:val="22"/>
          <w:szCs w:val="22"/>
        </w:rPr>
        <w:t>El veintitrés de abril de dos mil diecinueve</w:t>
      </w:r>
      <w:r w:rsidRPr="006A36F7">
        <w:rPr>
          <w:rFonts w:ascii="Palatino Linotype" w:hAnsi="Palatino Linotype" w:cs="Tahoma"/>
          <w:sz w:val="22"/>
          <w:szCs w:val="22"/>
        </w:rPr>
        <w:t xml:space="preserve">, se recibió en este </w:t>
      </w:r>
      <w:r w:rsidRPr="006A36F7">
        <w:rPr>
          <w:rFonts w:ascii="Palatino Linotype" w:eastAsia="Calibri" w:hAnsi="Palatino Linotype" w:cs="Tahoma"/>
          <w:sz w:val="22"/>
          <w:szCs w:val="22"/>
          <w:lang w:val="es-MX" w:eastAsia="en-US"/>
        </w:rPr>
        <w:t xml:space="preserve">Instituto, a través del </w:t>
      </w:r>
      <w:r w:rsidRPr="006A36F7">
        <w:rPr>
          <w:rFonts w:ascii="Palatino Linotype" w:hAnsi="Palatino Linotype" w:cs="Tahoma"/>
          <w:sz w:val="22"/>
          <w:szCs w:val="22"/>
        </w:rPr>
        <w:t xml:space="preserve">Sistema de Acceso a la Información Mexiquense (SAIMEX), el Recurso de Revisión interpuesto por la parte Recurrente, en contra de la respuesta del Sujeto Obligado, </w:t>
      </w:r>
      <w:r w:rsidRPr="006A36F7">
        <w:rPr>
          <w:rFonts w:ascii="Palatino Linotype" w:hAnsi="Palatino Linotype" w:cs="Tahoma"/>
          <w:sz w:val="22"/>
          <w:szCs w:val="22"/>
          <w:lang w:val="es-MX"/>
        </w:rPr>
        <w:t>en los términos siguientes:</w:t>
      </w:r>
    </w:p>
    <w:p w14:paraId="3514B756" w14:textId="77777777" w:rsidR="00E12EFE" w:rsidRPr="006A36F7" w:rsidRDefault="00E12EFE" w:rsidP="00740136">
      <w:pPr>
        <w:tabs>
          <w:tab w:val="left" w:pos="4667"/>
        </w:tabs>
        <w:spacing w:line="360" w:lineRule="auto"/>
        <w:jc w:val="both"/>
        <w:rPr>
          <w:rFonts w:ascii="Palatino Linotype" w:hAnsi="Palatino Linotype" w:cs="Tahoma"/>
          <w:bCs/>
          <w:sz w:val="22"/>
          <w:szCs w:val="22"/>
        </w:rPr>
      </w:pPr>
    </w:p>
    <w:p w14:paraId="76CA2AD1" w14:textId="77777777" w:rsidR="00E12EFE" w:rsidRPr="006A36F7" w:rsidRDefault="00E12EFE" w:rsidP="00740136">
      <w:pPr>
        <w:tabs>
          <w:tab w:val="left" w:pos="4667"/>
        </w:tabs>
        <w:spacing w:line="360" w:lineRule="auto"/>
        <w:ind w:left="567" w:right="567"/>
        <w:jc w:val="both"/>
        <w:rPr>
          <w:rFonts w:ascii="Palatino Linotype" w:hAnsi="Palatino Linotype" w:cs="Tahoma"/>
          <w:bCs/>
          <w:sz w:val="22"/>
          <w:szCs w:val="22"/>
          <w:lang w:val="es-MX"/>
        </w:rPr>
      </w:pPr>
      <w:r w:rsidRPr="006A36F7">
        <w:rPr>
          <w:rFonts w:ascii="Palatino Linotype" w:hAnsi="Palatino Linotype" w:cs="Tahoma"/>
          <w:b/>
          <w:bCs/>
          <w:sz w:val="22"/>
          <w:szCs w:val="22"/>
          <w:lang w:val="es-MX"/>
        </w:rPr>
        <w:t>ACTO IMPUGNADO:</w:t>
      </w:r>
    </w:p>
    <w:p w14:paraId="44D98631" w14:textId="02F626E2" w:rsidR="00E12EFE" w:rsidRPr="009B796C" w:rsidRDefault="00E12EFE" w:rsidP="00740136">
      <w:pPr>
        <w:autoSpaceDE w:val="0"/>
        <w:autoSpaceDN w:val="0"/>
        <w:adjustRightInd w:val="0"/>
        <w:spacing w:line="360" w:lineRule="auto"/>
        <w:ind w:left="567" w:right="567"/>
        <w:jc w:val="both"/>
        <w:rPr>
          <w:rFonts w:ascii="Palatino Linotype" w:eastAsiaTheme="minorHAnsi" w:hAnsi="Palatino Linotype" w:cs="Tahoma"/>
          <w:szCs w:val="22"/>
          <w:lang w:val="es-MX" w:eastAsia="en-US"/>
        </w:rPr>
      </w:pPr>
      <w:r w:rsidRPr="009B796C">
        <w:rPr>
          <w:rFonts w:ascii="Palatino Linotype" w:eastAsiaTheme="minorHAnsi" w:hAnsi="Palatino Linotype" w:cs="Tahoma"/>
          <w:i/>
          <w:szCs w:val="22"/>
          <w:lang w:val="es-MX" w:eastAsia="en-US"/>
        </w:rPr>
        <w:t>“Respuesta a la solicitud de información con 00060/2019, dado que mencionan que derivado de la visita que realizo el Residente Local Toluca, reporta la no existencia del desarrollo habitacional bajo la figura de condominio, por lo que no resulta procedent</w:t>
      </w:r>
      <w:r w:rsidR="009B796C" w:rsidRPr="009B796C">
        <w:rPr>
          <w:rFonts w:ascii="Palatino Linotype" w:eastAsiaTheme="minorHAnsi" w:hAnsi="Palatino Linotype" w:cs="Tahoma"/>
          <w:i/>
          <w:szCs w:val="22"/>
          <w:lang w:val="es-MX" w:eastAsia="en-US"/>
        </w:rPr>
        <w:t>e tomar alguna medida o acción.</w:t>
      </w:r>
      <w:r w:rsidRPr="009B796C">
        <w:rPr>
          <w:rFonts w:ascii="Palatino Linotype" w:eastAsiaTheme="minorHAnsi" w:hAnsi="Palatino Linotype" w:cs="Tahoma"/>
          <w:i/>
          <w:szCs w:val="22"/>
          <w:lang w:val="es-MX" w:eastAsia="en-US"/>
        </w:rPr>
        <w:t>”</w:t>
      </w:r>
      <w:r w:rsidR="009B796C">
        <w:rPr>
          <w:rFonts w:ascii="Palatino Linotype" w:eastAsiaTheme="minorHAnsi" w:hAnsi="Palatino Linotype" w:cs="Tahoma"/>
          <w:i/>
          <w:szCs w:val="22"/>
          <w:lang w:val="es-MX" w:eastAsia="en-US"/>
        </w:rPr>
        <w:t xml:space="preserve"> </w:t>
      </w:r>
      <w:r w:rsidR="009B796C">
        <w:rPr>
          <w:rFonts w:ascii="Palatino Linotype" w:eastAsiaTheme="minorHAnsi" w:hAnsi="Palatino Linotype" w:cs="Tahoma"/>
          <w:szCs w:val="22"/>
          <w:lang w:val="es-MX" w:eastAsia="en-US"/>
        </w:rPr>
        <w:t xml:space="preserve">(Sic). </w:t>
      </w:r>
    </w:p>
    <w:p w14:paraId="67FDDFCA" w14:textId="77777777" w:rsidR="00E12EFE" w:rsidRPr="006A36F7" w:rsidRDefault="00E12EFE" w:rsidP="00740136">
      <w:pPr>
        <w:autoSpaceDE w:val="0"/>
        <w:autoSpaceDN w:val="0"/>
        <w:adjustRightInd w:val="0"/>
        <w:spacing w:line="360" w:lineRule="auto"/>
        <w:ind w:left="567" w:right="567"/>
        <w:jc w:val="both"/>
        <w:rPr>
          <w:rFonts w:ascii="Palatino Linotype" w:hAnsi="Palatino Linotype" w:cs="Tahoma"/>
          <w:sz w:val="22"/>
          <w:szCs w:val="22"/>
        </w:rPr>
      </w:pPr>
    </w:p>
    <w:p w14:paraId="117F27FF" w14:textId="77777777" w:rsidR="00E12EFE" w:rsidRPr="006A36F7" w:rsidRDefault="00E12EFE" w:rsidP="00740136">
      <w:pPr>
        <w:autoSpaceDE w:val="0"/>
        <w:autoSpaceDN w:val="0"/>
        <w:adjustRightInd w:val="0"/>
        <w:spacing w:line="360" w:lineRule="auto"/>
        <w:ind w:right="567" w:firstLine="567"/>
        <w:jc w:val="both"/>
        <w:rPr>
          <w:rFonts w:ascii="Palatino Linotype" w:hAnsi="Palatino Linotype" w:cs="Tahoma"/>
          <w:b/>
          <w:sz w:val="22"/>
          <w:szCs w:val="22"/>
        </w:rPr>
      </w:pPr>
      <w:r w:rsidRPr="006A36F7">
        <w:rPr>
          <w:rFonts w:ascii="Palatino Linotype" w:hAnsi="Palatino Linotype" w:cs="Tahoma"/>
          <w:b/>
          <w:sz w:val="22"/>
          <w:szCs w:val="22"/>
        </w:rPr>
        <w:t>RAZONES O MOTIVOS DE LA INCONFORMIDAD:</w:t>
      </w:r>
    </w:p>
    <w:p w14:paraId="562E0C6B" w14:textId="64010974" w:rsidR="00E12EFE" w:rsidRDefault="009B796C" w:rsidP="00740136">
      <w:pPr>
        <w:spacing w:line="360" w:lineRule="auto"/>
        <w:ind w:left="567" w:right="539"/>
        <w:jc w:val="both"/>
        <w:rPr>
          <w:rFonts w:ascii="Palatino Linotype" w:hAnsi="Palatino Linotype"/>
          <w:i/>
          <w:color w:val="000000"/>
        </w:rPr>
      </w:pPr>
      <w:r>
        <w:rPr>
          <w:rFonts w:ascii="Palatino Linotype" w:hAnsi="Palatino Linotype"/>
          <w:i/>
          <w:color w:val="000000"/>
        </w:rPr>
        <w:t>“</w:t>
      </w:r>
      <w:r w:rsidR="00E12EFE" w:rsidRPr="009B796C">
        <w:rPr>
          <w:rFonts w:ascii="Palatino Linotype" w:hAnsi="Palatino Linotype"/>
          <w:i/>
          <w:color w:val="000000"/>
        </w:rPr>
        <w:t xml:space="preserve">De acuerdo a lo establecido en el artículo 145 del Reglamento del Libro Quinto del Código Administrativo del Estado de México que versa sobre las normas de las vías públicas en conjuntos </w:t>
      </w:r>
      <w:r w:rsidR="00E12EFE" w:rsidRPr="009B796C">
        <w:rPr>
          <w:rFonts w:ascii="Palatino Linotype" w:hAnsi="Palatino Linotype"/>
          <w:i/>
          <w:color w:val="000000"/>
        </w:rPr>
        <w:lastRenderedPageBreak/>
        <w:t>urbanos para vías secundarias, establece que el mínimo de sección será de 18 metros y 9 metros de arroyo. Por lo que de la evidencia fotográfica que se adjunta, se observa que el el portón de la entrada no puede constituirse como conjunto urbano, por no dar cumplimiento al artículo 145 antes referido. Por lo anterior, solicito nuevamente a la Dirección General de Operación Urbana, 1.me informe quien es servidor responsable de autorizar este tipo de construcciones y de instrumentar un procedimiento administrativo común por falta de autorización (la cual ya se me informo anteriormente que no existe) . 2. Requiero COPIA SIMPLE del documento (en caso de haberse emitido) de la constancia de viabilidad o dictamen único de factibilidad con el nombre ENTRE ÁRBOLES. 3. Se me informó que no esta constituido como condominio bajo que constitución esta dicha construcción???? Nota. Envío evidencia fotográfica para constatar la construcción en proceso en fachada principal y vistas aéreas</w:t>
      </w:r>
      <w:r>
        <w:rPr>
          <w:rFonts w:ascii="Palatino Linotype" w:hAnsi="Palatino Linotype"/>
          <w:i/>
          <w:color w:val="000000"/>
        </w:rPr>
        <w:t>”</w:t>
      </w:r>
      <w:r w:rsidR="00E12EFE" w:rsidRPr="009B796C">
        <w:rPr>
          <w:rFonts w:ascii="Palatino Linotype" w:hAnsi="Palatino Linotype"/>
          <w:i/>
          <w:color w:val="000000"/>
        </w:rPr>
        <w:t>.</w:t>
      </w:r>
      <w:r>
        <w:rPr>
          <w:rFonts w:ascii="Palatino Linotype" w:hAnsi="Palatino Linotype"/>
          <w:i/>
          <w:color w:val="000000"/>
        </w:rPr>
        <w:t xml:space="preserve"> </w:t>
      </w:r>
      <w:r w:rsidRPr="009B796C">
        <w:rPr>
          <w:rFonts w:ascii="Palatino Linotype" w:hAnsi="Palatino Linotype"/>
          <w:color w:val="000000"/>
        </w:rPr>
        <w:t>(Sic)</w:t>
      </w:r>
      <w:r w:rsidR="00E12EFE" w:rsidRPr="009B796C">
        <w:rPr>
          <w:rFonts w:ascii="Palatino Linotype" w:hAnsi="Palatino Linotype"/>
          <w:i/>
          <w:color w:val="000000"/>
        </w:rPr>
        <w:t xml:space="preserve"> </w:t>
      </w:r>
    </w:p>
    <w:p w14:paraId="2412FCB4" w14:textId="77777777" w:rsidR="00222F2E" w:rsidRPr="009B796C" w:rsidRDefault="00222F2E" w:rsidP="00740136">
      <w:pPr>
        <w:spacing w:line="360" w:lineRule="auto"/>
        <w:ind w:left="567" w:right="539"/>
        <w:jc w:val="both"/>
        <w:rPr>
          <w:rFonts w:ascii="Palatino Linotype" w:hAnsi="Palatino Linotype"/>
          <w:i/>
          <w:color w:val="000000"/>
        </w:rPr>
      </w:pPr>
    </w:p>
    <w:p w14:paraId="3F9F5A36" w14:textId="77777777" w:rsidR="00E12EFE" w:rsidRPr="006A36F7" w:rsidRDefault="00E12EFE" w:rsidP="00740136">
      <w:pPr>
        <w:spacing w:line="360" w:lineRule="auto"/>
        <w:jc w:val="both"/>
        <w:rPr>
          <w:rFonts w:ascii="Palatino Linotype" w:eastAsia="Batang" w:hAnsi="Palatino Linotype" w:cs="Tahoma"/>
          <w:b/>
          <w:bCs/>
          <w:sz w:val="22"/>
          <w:szCs w:val="22"/>
        </w:rPr>
      </w:pPr>
      <w:r w:rsidRPr="006A36F7">
        <w:rPr>
          <w:rFonts w:ascii="Palatino Linotype" w:hAnsi="Palatino Linotype" w:cs="Tahoma"/>
          <w:b/>
          <w:sz w:val="22"/>
          <w:szCs w:val="22"/>
        </w:rPr>
        <w:t xml:space="preserve">IV. </w:t>
      </w:r>
      <w:r w:rsidRPr="006A36F7">
        <w:rPr>
          <w:rFonts w:ascii="Palatino Linotype" w:eastAsia="Batang" w:hAnsi="Palatino Linotype" w:cs="Tahoma"/>
          <w:b/>
          <w:bCs/>
          <w:sz w:val="22"/>
          <w:szCs w:val="22"/>
        </w:rPr>
        <w:t>Trámite del Recurso de Revisión ante el Instituto.</w:t>
      </w:r>
    </w:p>
    <w:p w14:paraId="5F548E53" w14:textId="77777777" w:rsidR="00E12EFE" w:rsidRPr="006A36F7" w:rsidRDefault="00E12EFE" w:rsidP="00740136">
      <w:pPr>
        <w:spacing w:line="360" w:lineRule="auto"/>
        <w:jc w:val="both"/>
        <w:rPr>
          <w:rFonts w:ascii="Palatino Linotype" w:eastAsia="Batang" w:hAnsi="Palatino Linotype" w:cs="Tahoma"/>
          <w:b/>
          <w:bCs/>
          <w:sz w:val="22"/>
          <w:szCs w:val="22"/>
        </w:rPr>
      </w:pPr>
    </w:p>
    <w:p w14:paraId="49E4F5A5" w14:textId="3910376E" w:rsidR="00E12EFE" w:rsidRPr="006A36F7" w:rsidRDefault="00E12EFE" w:rsidP="00740136">
      <w:pPr>
        <w:spacing w:line="360" w:lineRule="auto"/>
        <w:jc w:val="both"/>
        <w:rPr>
          <w:rFonts w:ascii="Palatino Linotype" w:eastAsia="Batang" w:hAnsi="Palatino Linotype" w:cs="Tahoma"/>
          <w:bCs/>
          <w:sz w:val="22"/>
          <w:szCs w:val="22"/>
          <w:lang w:val="es-MX"/>
        </w:rPr>
      </w:pPr>
      <w:r w:rsidRPr="006A36F7">
        <w:rPr>
          <w:rFonts w:ascii="Palatino Linotype" w:eastAsia="Batang" w:hAnsi="Palatino Linotype" w:cs="Tahoma"/>
          <w:b/>
          <w:bCs/>
          <w:sz w:val="22"/>
          <w:szCs w:val="22"/>
        </w:rPr>
        <w:t xml:space="preserve">a) Turno del Recurso de Revisión. </w:t>
      </w:r>
      <w:r w:rsidRPr="00222F2E">
        <w:rPr>
          <w:rFonts w:ascii="Palatino Linotype" w:eastAsia="Batang" w:hAnsi="Palatino Linotype" w:cs="Tahoma"/>
          <w:bCs/>
          <w:sz w:val="22"/>
          <w:szCs w:val="22"/>
          <w:lang w:val="es-MX"/>
        </w:rPr>
        <w:t xml:space="preserve">El </w:t>
      </w:r>
      <w:r w:rsidR="00222F2E" w:rsidRPr="00222F2E">
        <w:rPr>
          <w:rFonts w:ascii="Palatino Linotype" w:eastAsia="Batang" w:hAnsi="Palatino Linotype" w:cs="Tahoma"/>
          <w:bCs/>
          <w:sz w:val="22"/>
          <w:szCs w:val="22"/>
          <w:lang w:val="es-MX"/>
        </w:rPr>
        <w:t>veintitrés</w:t>
      </w:r>
      <w:r w:rsidRPr="00222F2E">
        <w:rPr>
          <w:rFonts w:ascii="Palatino Linotype" w:eastAsia="Batang" w:hAnsi="Palatino Linotype" w:cs="Tahoma"/>
          <w:bCs/>
          <w:sz w:val="22"/>
          <w:szCs w:val="22"/>
          <w:lang w:val="es-MX"/>
        </w:rPr>
        <w:t xml:space="preserve"> de abril de</w:t>
      </w:r>
      <w:r w:rsidRPr="006A36F7">
        <w:rPr>
          <w:rFonts w:ascii="Palatino Linotype" w:eastAsia="Batang" w:hAnsi="Palatino Linotype" w:cs="Tahoma"/>
          <w:bCs/>
          <w:sz w:val="22"/>
          <w:szCs w:val="22"/>
          <w:lang w:val="es-MX"/>
        </w:rPr>
        <w:t xml:space="preserve"> dos mil diecinueve, este Instituto asignó el número de expediente </w:t>
      </w:r>
      <w:r w:rsidRPr="00222F2E">
        <w:rPr>
          <w:rFonts w:ascii="Palatino Linotype" w:eastAsia="Calibri" w:hAnsi="Palatino Linotype" w:cs="Tahoma"/>
          <w:b/>
          <w:bCs/>
          <w:sz w:val="22"/>
          <w:szCs w:val="22"/>
          <w:lang w:eastAsia="en-US"/>
        </w:rPr>
        <w:t>02936/INFOEM/IP/RR/2019</w:t>
      </w:r>
      <w:r w:rsidRPr="006A36F7">
        <w:rPr>
          <w:rFonts w:ascii="Palatino Linotype" w:eastAsia="Calibri" w:hAnsi="Palatino Linotype" w:cs="Tahoma"/>
          <w:b/>
          <w:bCs/>
          <w:sz w:val="22"/>
          <w:szCs w:val="22"/>
          <w:lang w:eastAsia="en-US"/>
        </w:rPr>
        <w:t xml:space="preserve"> </w:t>
      </w:r>
      <w:r w:rsidRPr="006A36F7">
        <w:rPr>
          <w:rFonts w:ascii="Palatino Linotype" w:eastAsia="Batang" w:hAnsi="Palatino Linotype" w:cs="Tahoma"/>
          <w:bCs/>
          <w:sz w:val="22"/>
          <w:szCs w:val="22"/>
          <w:lang w:val="es-MX"/>
        </w:rPr>
        <w:t>al Recurso de Revisión, con base en el sistema aprobado por el Pleno de este Órgano Garante y lo turnó al Comisionado Ponente Luis Gustavo Parra Noriega, para los efectos del artículo 185, fracción I, de la Ley de Transparencia y Acceso a la Información Pública del Estado de México y Municipios.</w:t>
      </w:r>
    </w:p>
    <w:p w14:paraId="6FB09F91" w14:textId="77777777" w:rsidR="00E12EFE" w:rsidRPr="006A36F7" w:rsidRDefault="00E12EFE" w:rsidP="00740136">
      <w:pPr>
        <w:spacing w:line="360" w:lineRule="auto"/>
        <w:jc w:val="both"/>
        <w:rPr>
          <w:rFonts w:ascii="Palatino Linotype" w:eastAsia="Batang" w:hAnsi="Palatino Linotype" w:cs="Tahoma"/>
          <w:b/>
          <w:bCs/>
          <w:sz w:val="22"/>
          <w:szCs w:val="22"/>
        </w:rPr>
      </w:pPr>
    </w:p>
    <w:p w14:paraId="65E67BB4" w14:textId="77777777" w:rsidR="00E12EFE" w:rsidRPr="006A36F7" w:rsidRDefault="00E12EFE" w:rsidP="00740136">
      <w:pPr>
        <w:spacing w:line="360" w:lineRule="auto"/>
        <w:jc w:val="both"/>
        <w:rPr>
          <w:rFonts w:ascii="Palatino Linotype" w:hAnsi="Palatino Linotype" w:cs="Tahoma"/>
          <w:bCs/>
          <w:sz w:val="22"/>
          <w:szCs w:val="22"/>
          <w:lang w:val="es-MX"/>
        </w:rPr>
      </w:pPr>
      <w:r w:rsidRPr="006A36F7">
        <w:rPr>
          <w:rFonts w:ascii="Palatino Linotype" w:eastAsia="Batang" w:hAnsi="Palatino Linotype" w:cs="Tahoma"/>
          <w:b/>
          <w:bCs/>
          <w:sz w:val="22"/>
          <w:szCs w:val="22"/>
        </w:rPr>
        <w:t>b) Admisión del Recurso de Revisión</w:t>
      </w:r>
      <w:r w:rsidRPr="006A36F7">
        <w:rPr>
          <w:rFonts w:ascii="Palatino Linotype" w:eastAsia="Batang" w:hAnsi="Palatino Linotype" w:cs="Tahoma"/>
          <w:b/>
          <w:bCs/>
          <w:sz w:val="22"/>
          <w:szCs w:val="22"/>
          <w:lang w:val="es-ES_tradnl"/>
        </w:rPr>
        <w:t xml:space="preserve">. </w:t>
      </w:r>
      <w:r w:rsidRPr="006A36F7">
        <w:rPr>
          <w:rFonts w:ascii="Palatino Linotype" w:eastAsia="Batang" w:hAnsi="Palatino Linotype" w:cs="Tahoma"/>
          <w:bCs/>
          <w:sz w:val="22"/>
          <w:szCs w:val="22"/>
          <w:lang w:val="es-ES_tradnl"/>
        </w:rPr>
        <w:t xml:space="preserve">El </w:t>
      </w:r>
      <w:r w:rsidRPr="00222F2E">
        <w:rPr>
          <w:rFonts w:ascii="Palatino Linotype" w:eastAsia="Batang" w:hAnsi="Palatino Linotype" w:cs="Tahoma"/>
          <w:bCs/>
          <w:sz w:val="22"/>
          <w:szCs w:val="22"/>
          <w:lang w:val="es-ES_tradnl"/>
        </w:rPr>
        <w:t xml:space="preserve">veintinueve de abril </w:t>
      </w:r>
      <w:r w:rsidRPr="00222F2E">
        <w:rPr>
          <w:rFonts w:ascii="Palatino Linotype" w:eastAsia="Batang" w:hAnsi="Palatino Linotype" w:cs="Tahoma"/>
          <w:bCs/>
          <w:sz w:val="22"/>
          <w:szCs w:val="22"/>
          <w:lang w:val="es-MX"/>
        </w:rPr>
        <w:t>de</w:t>
      </w:r>
      <w:r w:rsidRPr="006A36F7">
        <w:rPr>
          <w:rFonts w:ascii="Palatino Linotype" w:eastAsia="Batang" w:hAnsi="Palatino Linotype" w:cs="Tahoma"/>
          <w:bCs/>
          <w:sz w:val="22"/>
          <w:szCs w:val="22"/>
          <w:lang w:val="es-MX"/>
        </w:rPr>
        <w:t xml:space="preserve"> dos mil diecinueve</w:t>
      </w:r>
      <w:r w:rsidRPr="006A36F7">
        <w:rPr>
          <w:rFonts w:ascii="Palatino Linotype" w:eastAsia="Batang" w:hAnsi="Palatino Linotype" w:cs="Tahoma"/>
          <w:bCs/>
          <w:sz w:val="22"/>
          <w:szCs w:val="22"/>
          <w:lang w:val="es-ES_tradnl"/>
        </w:rPr>
        <w:t xml:space="preserve">, </w:t>
      </w:r>
      <w:r w:rsidRPr="006A36F7">
        <w:rPr>
          <w:rFonts w:ascii="Palatino Linotype" w:hAnsi="Palatino Linotype" w:cs="Tahoma"/>
          <w:sz w:val="22"/>
          <w:szCs w:val="22"/>
        </w:rPr>
        <w:t>se</w:t>
      </w:r>
      <w:r w:rsidRPr="006A36F7">
        <w:rPr>
          <w:rFonts w:ascii="Palatino Linotype" w:eastAsia="Calibri" w:hAnsi="Palatino Linotype" w:cs="Tahoma"/>
          <w:sz w:val="22"/>
          <w:szCs w:val="22"/>
          <w:lang w:val="es-MX" w:eastAsia="en-US"/>
        </w:rPr>
        <w:t xml:space="preserve"> acordó la admisión de</w:t>
      </w:r>
      <w:r w:rsidRPr="006A36F7">
        <w:rPr>
          <w:rFonts w:ascii="Palatino Linotype" w:hAnsi="Palatino Linotype" w:cs="Tahoma"/>
          <w:sz w:val="22"/>
          <w:szCs w:val="22"/>
        </w:rPr>
        <w:t>l Recurso de Revisión interpuesto por la parte recurrente en contra de</w:t>
      </w:r>
      <w:r>
        <w:rPr>
          <w:rFonts w:ascii="Palatino Linotype" w:hAnsi="Palatino Linotype" w:cs="Tahoma"/>
          <w:sz w:val="22"/>
          <w:szCs w:val="22"/>
        </w:rPr>
        <w:t xml:space="preserve">l </w:t>
      </w:r>
      <w:r w:rsidRPr="00222F2E">
        <w:rPr>
          <w:rFonts w:ascii="Palatino Linotype" w:hAnsi="Palatino Linotype" w:cs="Tahoma"/>
          <w:sz w:val="22"/>
          <w:szCs w:val="22"/>
        </w:rPr>
        <w:t>Secretaría de Desarrollo Urbano y Metropolitano,</w:t>
      </w:r>
      <w:r w:rsidRPr="006A36F7">
        <w:rPr>
          <w:rFonts w:ascii="Palatino Linotype" w:hAnsi="Palatino Linotype" w:cs="Tahoma"/>
          <w:sz w:val="22"/>
          <w:szCs w:val="22"/>
        </w:rPr>
        <w:t xml:space="preserve"> en términos del artículo 185, fracciones I, II y IV de la </w:t>
      </w:r>
      <w:r w:rsidRPr="006A36F7">
        <w:rPr>
          <w:rFonts w:ascii="Palatino Linotype" w:hAnsi="Palatino Linotype" w:cs="Tahoma"/>
          <w:bCs/>
          <w:sz w:val="22"/>
          <w:szCs w:val="22"/>
          <w:lang w:val="es-MX"/>
        </w:rPr>
        <w:t>Ley de Transparencia y Acceso a la Información Pública del Estado de México y Municipios; acto que le</w:t>
      </w:r>
      <w:r>
        <w:rPr>
          <w:rFonts w:ascii="Palatino Linotype" w:hAnsi="Palatino Linotype" w:cs="Tahoma"/>
          <w:bCs/>
          <w:sz w:val="22"/>
          <w:szCs w:val="22"/>
          <w:lang w:val="es-MX"/>
        </w:rPr>
        <w:t xml:space="preserve"> </w:t>
      </w:r>
      <w:r w:rsidRPr="006A36F7">
        <w:rPr>
          <w:rFonts w:ascii="Palatino Linotype" w:hAnsi="Palatino Linotype" w:cs="Tahoma"/>
          <w:bCs/>
          <w:sz w:val="22"/>
          <w:szCs w:val="22"/>
          <w:lang w:val="es-MX"/>
        </w:rPr>
        <w:t xml:space="preserve">fue notificado a las partes el mismo día, a través del Sistema de Acceso a la Información Mexiquense (SAIMEX), en el que se les otorgó un plazo de siete días hábiles </w:t>
      </w:r>
      <w:r w:rsidRPr="006A36F7">
        <w:rPr>
          <w:rFonts w:ascii="Palatino Linotype" w:hAnsi="Palatino Linotype" w:cs="Tahoma"/>
          <w:bCs/>
          <w:sz w:val="22"/>
          <w:szCs w:val="22"/>
          <w:lang w:val="es-MX"/>
        </w:rPr>
        <w:lastRenderedPageBreak/>
        <w:t>posteriores a dichas notificaciones para que manifestaran lo que a su derecho conviniera y formularan alegatos.</w:t>
      </w:r>
    </w:p>
    <w:p w14:paraId="5624964F" w14:textId="77777777" w:rsidR="00E12EFE" w:rsidRPr="006A36F7" w:rsidRDefault="00E12EFE" w:rsidP="00740136">
      <w:pPr>
        <w:spacing w:line="360" w:lineRule="auto"/>
        <w:jc w:val="both"/>
        <w:rPr>
          <w:rFonts w:ascii="Palatino Linotype" w:hAnsi="Palatino Linotype" w:cs="Tahoma"/>
          <w:sz w:val="22"/>
          <w:szCs w:val="22"/>
        </w:rPr>
      </w:pPr>
    </w:p>
    <w:p w14:paraId="6E3CE4F7" w14:textId="76F4A86A" w:rsidR="00222F2E" w:rsidRDefault="00E12EFE" w:rsidP="00740136">
      <w:pPr>
        <w:spacing w:line="360" w:lineRule="auto"/>
        <w:jc w:val="both"/>
        <w:rPr>
          <w:rFonts w:ascii="Palatino Linotype" w:hAnsi="Palatino Linotype" w:cs="Tahoma"/>
          <w:bCs/>
          <w:iCs/>
          <w:sz w:val="22"/>
          <w:szCs w:val="24"/>
          <w:lang w:val="es-ES_tradnl"/>
        </w:rPr>
      </w:pPr>
      <w:r w:rsidRPr="0067655F">
        <w:rPr>
          <w:rFonts w:ascii="Palatino Linotype" w:hAnsi="Palatino Linotype" w:cs="Tahoma"/>
          <w:b/>
          <w:sz w:val="22"/>
          <w:szCs w:val="22"/>
        </w:rPr>
        <w:t>c) Informe Justificado</w:t>
      </w:r>
      <w:r w:rsidR="00222F2E">
        <w:rPr>
          <w:rFonts w:ascii="Palatino Linotype" w:hAnsi="Palatino Linotype" w:cs="Tahoma"/>
          <w:b/>
          <w:sz w:val="22"/>
          <w:szCs w:val="22"/>
        </w:rPr>
        <w:t xml:space="preserve">. </w:t>
      </w:r>
      <w:r w:rsidR="00222F2E" w:rsidRPr="00A43997">
        <w:rPr>
          <w:rFonts w:ascii="Palatino Linotype" w:hAnsi="Palatino Linotype" w:cs="Tahoma"/>
          <w:bCs/>
          <w:sz w:val="22"/>
          <w:szCs w:val="22"/>
          <w:lang w:val="es-ES_tradnl"/>
        </w:rPr>
        <w:t>El</w:t>
      </w:r>
      <w:r w:rsidR="00222F2E" w:rsidRPr="002B5464">
        <w:rPr>
          <w:rFonts w:ascii="Palatino Linotype" w:hAnsi="Palatino Linotype" w:cs="Tahoma"/>
          <w:bCs/>
          <w:sz w:val="22"/>
          <w:szCs w:val="22"/>
          <w:lang w:val="es-ES_tradnl"/>
        </w:rPr>
        <w:t xml:space="preserve"> </w:t>
      </w:r>
      <w:r w:rsidR="00222F2E">
        <w:rPr>
          <w:rFonts w:ascii="Palatino Linotype" w:hAnsi="Palatino Linotype" w:cs="Tahoma"/>
          <w:bCs/>
          <w:sz w:val="22"/>
          <w:szCs w:val="22"/>
          <w:lang w:val="es-ES_tradnl"/>
        </w:rPr>
        <w:t xml:space="preserve">ocho de mayo </w:t>
      </w:r>
      <w:r w:rsidR="00222F2E" w:rsidRPr="002B5464">
        <w:rPr>
          <w:rFonts w:ascii="Palatino Linotype" w:hAnsi="Palatino Linotype" w:cs="Tahoma"/>
          <w:bCs/>
          <w:sz w:val="22"/>
          <w:szCs w:val="22"/>
          <w:lang w:val="es-ES_tradnl"/>
        </w:rPr>
        <w:t xml:space="preserve">de dos mil diecinueve, </w:t>
      </w:r>
      <w:r w:rsidR="00222F2E" w:rsidRPr="002B5464">
        <w:rPr>
          <w:rFonts w:ascii="Palatino Linotype" w:hAnsi="Palatino Linotype" w:cs="Tahoma"/>
          <w:sz w:val="22"/>
          <w:szCs w:val="24"/>
        </w:rPr>
        <w:t xml:space="preserve">se recibió a través del Sistema de Acceso a la Información Mexiquense (SAIMEX), </w:t>
      </w:r>
      <w:r w:rsidR="00222F2E" w:rsidRPr="002B5464">
        <w:rPr>
          <w:rFonts w:ascii="Palatino Linotype" w:hAnsi="Palatino Linotype" w:cs="Tahoma"/>
          <w:bCs/>
          <w:iCs/>
          <w:sz w:val="22"/>
          <w:szCs w:val="24"/>
        </w:rPr>
        <w:t>el In</w:t>
      </w:r>
      <w:r w:rsidR="00222F2E">
        <w:rPr>
          <w:rFonts w:ascii="Palatino Linotype" w:hAnsi="Palatino Linotype" w:cs="Tahoma"/>
          <w:bCs/>
          <w:iCs/>
          <w:sz w:val="22"/>
          <w:szCs w:val="24"/>
        </w:rPr>
        <w:t>forme Justificado emitido por el Sujeto Obligado</w:t>
      </w:r>
      <w:r w:rsidR="00222F2E" w:rsidRPr="002B5464">
        <w:rPr>
          <w:rFonts w:ascii="Palatino Linotype" w:hAnsi="Palatino Linotype" w:cs="Tahoma"/>
          <w:sz w:val="22"/>
          <w:szCs w:val="24"/>
        </w:rPr>
        <w:t>, en el cual señala</w:t>
      </w:r>
      <w:r w:rsidR="00222F2E" w:rsidRPr="002B5464">
        <w:rPr>
          <w:rFonts w:ascii="Palatino Linotype" w:hAnsi="Palatino Linotype" w:cs="Tahoma"/>
          <w:bCs/>
          <w:iCs/>
          <w:sz w:val="22"/>
          <w:szCs w:val="24"/>
          <w:lang w:val="es-ES_tradnl"/>
        </w:rPr>
        <w:t xml:space="preserve"> lo siguiente:</w:t>
      </w:r>
    </w:p>
    <w:p w14:paraId="22EDDF9F" w14:textId="77777777" w:rsidR="00222F2E" w:rsidRDefault="00222F2E" w:rsidP="00740136">
      <w:pPr>
        <w:spacing w:line="360" w:lineRule="auto"/>
        <w:jc w:val="both"/>
        <w:rPr>
          <w:rFonts w:ascii="Palatino Linotype" w:hAnsi="Palatino Linotype" w:cs="Tahoma"/>
          <w:bCs/>
          <w:iCs/>
          <w:sz w:val="22"/>
          <w:szCs w:val="24"/>
          <w:lang w:val="es-ES_tradnl"/>
        </w:rPr>
      </w:pPr>
    </w:p>
    <w:p w14:paraId="1AA8AD02" w14:textId="648612F1" w:rsidR="00222F2E" w:rsidRDefault="00222F2E" w:rsidP="00740136">
      <w:pPr>
        <w:spacing w:line="360" w:lineRule="auto"/>
        <w:jc w:val="both"/>
        <w:rPr>
          <w:rFonts w:ascii="Palatino Linotype" w:hAnsi="Palatino Linotype" w:cs="Tahoma"/>
          <w:bCs/>
          <w:iCs/>
          <w:sz w:val="22"/>
          <w:szCs w:val="24"/>
          <w:lang w:val="es-ES_tradnl"/>
        </w:rPr>
      </w:pPr>
      <w:r w:rsidRPr="00222F2E">
        <w:rPr>
          <w:rFonts w:ascii="Palatino Linotype" w:hAnsi="Palatino Linotype" w:cs="Tahoma"/>
          <w:bCs/>
          <w:iCs/>
          <w:noProof/>
          <w:sz w:val="22"/>
          <w:szCs w:val="24"/>
          <w:lang w:val="es-MX" w:eastAsia="es-MX"/>
        </w:rPr>
        <w:drawing>
          <wp:inline distT="0" distB="0" distL="0" distR="0" wp14:anchorId="4E0FF4E0" wp14:editId="008B6D78">
            <wp:extent cx="5742940" cy="4853711"/>
            <wp:effectExtent l="0" t="0" r="0" b="444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42940" cy="4853711"/>
                    </a:xfrm>
                    <a:prstGeom prst="rect">
                      <a:avLst/>
                    </a:prstGeom>
                    <a:noFill/>
                    <a:ln>
                      <a:noFill/>
                    </a:ln>
                  </pic:spPr>
                </pic:pic>
              </a:graphicData>
            </a:graphic>
          </wp:inline>
        </w:drawing>
      </w:r>
    </w:p>
    <w:p w14:paraId="7FF34D76" w14:textId="675B543E" w:rsidR="00222F2E" w:rsidRDefault="00222F2E" w:rsidP="00740136">
      <w:pPr>
        <w:spacing w:line="360" w:lineRule="auto"/>
        <w:jc w:val="both"/>
        <w:rPr>
          <w:rFonts w:ascii="Palatino Linotype" w:hAnsi="Palatino Linotype" w:cs="Tahoma"/>
          <w:bCs/>
          <w:iCs/>
          <w:sz w:val="22"/>
          <w:szCs w:val="24"/>
          <w:lang w:val="es-ES_tradnl"/>
        </w:rPr>
      </w:pPr>
      <w:r w:rsidRPr="00222F2E">
        <w:rPr>
          <w:rFonts w:ascii="Palatino Linotype" w:hAnsi="Palatino Linotype" w:cs="Tahoma"/>
          <w:bCs/>
          <w:iCs/>
          <w:noProof/>
          <w:sz w:val="22"/>
          <w:szCs w:val="24"/>
          <w:lang w:val="es-MX" w:eastAsia="es-MX"/>
        </w:rPr>
        <w:lastRenderedPageBreak/>
        <w:drawing>
          <wp:inline distT="0" distB="0" distL="0" distR="0" wp14:anchorId="010F86F1" wp14:editId="4990CEE0">
            <wp:extent cx="5742940" cy="6761515"/>
            <wp:effectExtent l="0" t="0" r="0" b="127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42940" cy="6761515"/>
                    </a:xfrm>
                    <a:prstGeom prst="rect">
                      <a:avLst/>
                    </a:prstGeom>
                    <a:noFill/>
                    <a:ln>
                      <a:noFill/>
                    </a:ln>
                  </pic:spPr>
                </pic:pic>
              </a:graphicData>
            </a:graphic>
          </wp:inline>
        </w:drawing>
      </w:r>
    </w:p>
    <w:p w14:paraId="535D4855" w14:textId="77777777" w:rsidR="00222F2E" w:rsidRDefault="00222F2E" w:rsidP="00740136">
      <w:pPr>
        <w:spacing w:line="360" w:lineRule="auto"/>
        <w:jc w:val="both"/>
        <w:rPr>
          <w:rFonts w:ascii="Palatino Linotype" w:hAnsi="Palatino Linotype" w:cs="Tahoma"/>
          <w:bCs/>
          <w:iCs/>
          <w:sz w:val="22"/>
          <w:szCs w:val="24"/>
          <w:lang w:val="es-ES_tradnl"/>
        </w:rPr>
      </w:pPr>
    </w:p>
    <w:p w14:paraId="14C399A8" w14:textId="63227295" w:rsidR="00222F2E" w:rsidRPr="002B5464" w:rsidRDefault="00222F2E" w:rsidP="00740136">
      <w:pPr>
        <w:spacing w:line="360" w:lineRule="auto"/>
        <w:jc w:val="both"/>
        <w:rPr>
          <w:rFonts w:ascii="Palatino Linotype" w:hAnsi="Palatino Linotype" w:cs="Tahoma"/>
          <w:bCs/>
          <w:iCs/>
          <w:sz w:val="22"/>
          <w:szCs w:val="24"/>
          <w:lang w:val="es-ES_tradnl"/>
        </w:rPr>
      </w:pPr>
      <w:r w:rsidRPr="00222F2E">
        <w:rPr>
          <w:rFonts w:ascii="Palatino Linotype" w:hAnsi="Palatino Linotype" w:cs="Tahoma"/>
          <w:bCs/>
          <w:iCs/>
          <w:noProof/>
          <w:sz w:val="22"/>
          <w:szCs w:val="24"/>
          <w:lang w:val="es-MX" w:eastAsia="es-MX"/>
        </w:rPr>
        <w:lastRenderedPageBreak/>
        <w:drawing>
          <wp:inline distT="0" distB="0" distL="0" distR="0" wp14:anchorId="6A4F76E1" wp14:editId="1A8EA4FA">
            <wp:extent cx="5742940" cy="4969301"/>
            <wp:effectExtent l="0" t="0" r="0" b="317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42940" cy="4969301"/>
                    </a:xfrm>
                    <a:prstGeom prst="rect">
                      <a:avLst/>
                    </a:prstGeom>
                    <a:noFill/>
                    <a:ln>
                      <a:noFill/>
                    </a:ln>
                  </pic:spPr>
                </pic:pic>
              </a:graphicData>
            </a:graphic>
          </wp:inline>
        </w:drawing>
      </w:r>
    </w:p>
    <w:p w14:paraId="6E75EBC0" w14:textId="77777777" w:rsidR="00336156" w:rsidRDefault="00336156" w:rsidP="00740136">
      <w:pPr>
        <w:spacing w:line="360" w:lineRule="auto"/>
        <w:jc w:val="both"/>
        <w:rPr>
          <w:rFonts w:ascii="Palatino Linotype" w:hAnsi="Palatino Linotype" w:cs="Tahoma"/>
          <w:sz w:val="22"/>
          <w:szCs w:val="22"/>
        </w:rPr>
      </w:pPr>
    </w:p>
    <w:p w14:paraId="54A74072" w14:textId="2513E9E7" w:rsidR="00E12EFE" w:rsidRDefault="003B69E8" w:rsidP="00740136">
      <w:pPr>
        <w:spacing w:line="360" w:lineRule="auto"/>
        <w:jc w:val="both"/>
        <w:rPr>
          <w:rFonts w:ascii="Palatino Linotype" w:hAnsi="Palatino Linotype" w:cs="Tahoma"/>
          <w:sz w:val="22"/>
          <w:szCs w:val="22"/>
        </w:rPr>
      </w:pPr>
      <w:r w:rsidRPr="003B69E8">
        <w:rPr>
          <w:rFonts w:ascii="Palatino Linotype" w:hAnsi="Palatino Linotype" w:cs="Tahoma"/>
          <w:sz w:val="22"/>
          <w:szCs w:val="22"/>
        </w:rPr>
        <w:t xml:space="preserve">De igual forma, el Sujeto Obligado </w:t>
      </w:r>
      <w:r>
        <w:rPr>
          <w:rFonts w:ascii="Palatino Linotype" w:hAnsi="Palatino Linotype" w:cs="Tahoma"/>
          <w:sz w:val="22"/>
          <w:szCs w:val="22"/>
        </w:rPr>
        <w:t xml:space="preserve">en la misma fecha anexó un documento denominado “DGOU Informe Justificado 60 pdf”, el cual se encuentra en los mismos términos que el documento referido con antelación. </w:t>
      </w:r>
    </w:p>
    <w:p w14:paraId="2C37E17B" w14:textId="77777777" w:rsidR="003B69E8" w:rsidRDefault="003B69E8" w:rsidP="00740136">
      <w:pPr>
        <w:spacing w:line="360" w:lineRule="auto"/>
        <w:jc w:val="both"/>
        <w:rPr>
          <w:rFonts w:ascii="Palatino Linotype" w:hAnsi="Palatino Linotype" w:cs="Tahoma"/>
          <w:sz w:val="22"/>
          <w:szCs w:val="22"/>
        </w:rPr>
      </w:pPr>
    </w:p>
    <w:p w14:paraId="6D6DB70A" w14:textId="54E6CD8B" w:rsidR="003B69E8" w:rsidRDefault="003B69E8" w:rsidP="00740136">
      <w:pPr>
        <w:spacing w:line="360" w:lineRule="auto"/>
        <w:jc w:val="both"/>
        <w:rPr>
          <w:rFonts w:ascii="Palatino Linotype" w:hAnsi="Palatino Linotype" w:cs="Tahoma"/>
          <w:sz w:val="22"/>
          <w:szCs w:val="22"/>
        </w:rPr>
      </w:pPr>
      <w:r w:rsidRPr="003B69E8">
        <w:rPr>
          <w:rFonts w:ascii="Palatino Linotype" w:hAnsi="Palatino Linotype" w:cs="Tahoma"/>
          <w:b/>
          <w:sz w:val="22"/>
          <w:szCs w:val="22"/>
        </w:rPr>
        <w:t>d)</w:t>
      </w:r>
      <w:r>
        <w:rPr>
          <w:rFonts w:ascii="Palatino Linotype" w:hAnsi="Palatino Linotype" w:cs="Tahoma"/>
          <w:sz w:val="22"/>
          <w:szCs w:val="22"/>
        </w:rPr>
        <w:t xml:space="preserve"> </w:t>
      </w:r>
      <w:r>
        <w:rPr>
          <w:rFonts w:ascii="Palatino Linotype" w:hAnsi="Palatino Linotype"/>
          <w:b/>
          <w:bCs/>
          <w:color w:val="201F1E"/>
          <w:sz w:val="22"/>
          <w:szCs w:val="22"/>
          <w:bdr w:val="none" w:sz="0" w:space="0" w:color="auto" w:frame="1"/>
        </w:rPr>
        <w:t xml:space="preserve">Vista del Informe Justificado y Manifestaciones. </w:t>
      </w:r>
      <w:r>
        <w:rPr>
          <w:color w:val="201F1E"/>
        </w:rPr>
        <w:t xml:space="preserve"> </w:t>
      </w:r>
      <w:r>
        <w:rPr>
          <w:rFonts w:ascii="Palatino Linotype" w:hAnsi="Palatino Linotype"/>
          <w:color w:val="201F1E"/>
          <w:sz w:val="22"/>
          <w:szCs w:val="22"/>
          <w:bdr w:val="none" w:sz="0" w:space="0" w:color="auto" w:frame="1"/>
        </w:rPr>
        <w:t>El doce de junio de dos mil diecinueve, se dictó acuerdo mediante el cual </w:t>
      </w:r>
      <w:r>
        <w:rPr>
          <w:rFonts w:ascii="Palatino Linotype" w:hAnsi="Palatino Linotype"/>
          <w:b/>
          <w:bCs/>
          <w:color w:val="201F1E"/>
          <w:sz w:val="22"/>
          <w:szCs w:val="22"/>
          <w:bdr w:val="none" w:sz="0" w:space="0" w:color="auto" w:frame="1"/>
        </w:rPr>
        <w:t>se pusieron a la vista del Particular el Informe Justificado</w:t>
      </w:r>
      <w:r>
        <w:rPr>
          <w:rFonts w:ascii="Palatino Linotype" w:hAnsi="Palatino Linotype"/>
          <w:color w:val="201F1E"/>
          <w:sz w:val="22"/>
          <w:szCs w:val="22"/>
          <w:bdr w:val="none" w:sz="0" w:space="0" w:color="auto" w:frame="1"/>
        </w:rPr>
        <w:t xml:space="preserve">, así como el archivo adjunto entregado por el Sujeto Obligado, mismo que fue notificado a las </w:t>
      </w:r>
      <w:r>
        <w:rPr>
          <w:rFonts w:ascii="Palatino Linotype" w:hAnsi="Palatino Linotype"/>
          <w:color w:val="201F1E"/>
          <w:sz w:val="22"/>
          <w:szCs w:val="22"/>
          <w:bdr w:val="none" w:sz="0" w:space="0" w:color="auto" w:frame="1"/>
        </w:rPr>
        <w:lastRenderedPageBreak/>
        <w:t xml:space="preserve">partes, a través del Sistema de Acceso a la Información Mexiquense (SAIMEX). </w:t>
      </w:r>
      <w:r w:rsidRPr="007421CA">
        <w:rPr>
          <w:rFonts w:ascii="Palatino Linotype" w:hAnsi="Palatino Linotype"/>
          <w:bCs/>
          <w:color w:val="201F1E"/>
          <w:sz w:val="22"/>
          <w:szCs w:val="22"/>
          <w:bdr w:val="none" w:sz="0" w:space="0" w:color="auto" w:frame="1"/>
        </w:rPr>
        <w:t>No obstante</w:t>
      </w:r>
      <w:r w:rsidRPr="007421CA">
        <w:rPr>
          <w:rFonts w:ascii="Palatino Linotype" w:hAnsi="Palatino Linotype"/>
          <w:bCs/>
          <w:color w:val="201F1E"/>
          <w:sz w:val="22"/>
          <w:szCs w:val="22"/>
          <w:bdr w:val="none" w:sz="0" w:space="0" w:color="auto" w:frame="1"/>
          <w:lang w:val="es-ES_tradnl"/>
        </w:rPr>
        <w:t>, el Recurrente omit</w:t>
      </w:r>
      <w:r>
        <w:rPr>
          <w:rFonts w:ascii="Palatino Linotype" w:hAnsi="Palatino Linotype"/>
          <w:bCs/>
          <w:color w:val="201F1E"/>
          <w:sz w:val="22"/>
          <w:szCs w:val="22"/>
          <w:bdr w:val="none" w:sz="0" w:space="0" w:color="auto" w:frame="1"/>
          <w:lang w:val="es-ES_tradnl"/>
        </w:rPr>
        <w:t>ió realizar manifestación al respecto.</w:t>
      </w:r>
    </w:p>
    <w:p w14:paraId="35684156" w14:textId="77777777" w:rsidR="003B69E8" w:rsidRDefault="003B69E8" w:rsidP="00740136">
      <w:pPr>
        <w:spacing w:line="360" w:lineRule="auto"/>
        <w:jc w:val="both"/>
        <w:rPr>
          <w:rFonts w:ascii="Palatino Linotype" w:hAnsi="Palatino Linotype" w:cs="Tahoma"/>
          <w:b/>
          <w:sz w:val="22"/>
          <w:szCs w:val="22"/>
        </w:rPr>
      </w:pPr>
    </w:p>
    <w:p w14:paraId="1926D519" w14:textId="43F3F2F3" w:rsidR="00E12EFE" w:rsidRPr="006A36F7" w:rsidRDefault="003B69E8" w:rsidP="00740136">
      <w:pPr>
        <w:spacing w:line="360" w:lineRule="auto"/>
        <w:jc w:val="both"/>
        <w:rPr>
          <w:rFonts w:ascii="Palatino Linotype" w:hAnsi="Palatino Linotype" w:cs="Tahoma"/>
          <w:sz w:val="22"/>
          <w:szCs w:val="22"/>
        </w:rPr>
      </w:pPr>
      <w:r>
        <w:rPr>
          <w:rFonts w:ascii="Palatino Linotype" w:hAnsi="Palatino Linotype" w:cs="Tahoma"/>
          <w:b/>
          <w:sz w:val="22"/>
          <w:szCs w:val="22"/>
        </w:rPr>
        <w:t>e</w:t>
      </w:r>
      <w:r w:rsidR="00E12EFE" w:rsidRPr="006A36F7">
        <w:rPr>
          <w:rFonts w:ascii="Palatino Linotype" w:hAnsi="Palatino Linotype" w:cs="Tahoma"/>
          <w:b/>
          <w:sz w:val="22"/>
          <w:szCs w:val="22"/>
        </w:rPr>
        <w:t xml:space="preserve">) Ampliación de plazo: </w:t>
      </w:r>
      <w:r w:rsidR="00E12EFE" w:rsidRPr="006A36F7">
        <w:rPr>
          <w:rFonts w:ascii="Palatino Linotype" w:hAnsi="Palatino Linotype" w:cs="Tahoma"/>
          <w:sz w:val="22"/>
          <w:szCs w:val="22"/>
        </w:rPr>
        <w:t xml:space="preserve">Con fundamento en el artículo 181, párrafo tercero, de la Ley de Transparencia y Acceso a la Información Pública del Estado de México y Municipios, el </w:t>
      </w:r>
      <w:r>
        <w:rPr>
          <w:rFonts w:ascii="Palatino Linotype" w:hAnsi="Palatino Linotype" w:cs="Tahoma"/>
          <w:sz w:val="22"/>
          <w:szCs w:val="22"/>
        </w:rPr>
        <w:t>once de junio</w:t>
      </w:r>
      <w:r w:rsidR="00E12EFE" w:rsidRPr="006A36F7">
        <w:rPr>
          <w:rFonts w:ascii="Palatino Linotype" w:hAnsi="Palatino Linotype" w:cs="Tahoma"/>
          <w:sz w:val="22"/>
          <w:szCs w:val="22"/>
        </w:rPr>
        <w:t xml:space="preserve"> de dos mil diecinueve, se notificó a las partes a través del Sistema de Acceso a la Información Mexiquense (SAIMEX), el Acuerdo de ampliación de plazo</w:t>
      </w:r>
      <w:r w:rsidR="00E12EFE">
        <w:rPr>
          <w:rFonts w:ascii="Palatino Linotype" w:hAnsi="Palatino Linotype" w:cs="Tahoma"/>
          <w:sz w:val="22"/>
          <w:szCs w:val="22"/>
        </w:rPr>
        <w:t xml:space="preserve"> </w:t>
      </w:r>
      <w:r w:rsidR="00E12EFE" w:rsidRPr="006A36F7">
        <w:rPr>
          <w:rFonts w:ascii="Palatino Linotype" w:hAnsi="Palatino Linotype" w:cs="Tahoma"/>
          <w:sz w:val="22"/>
          <w:szCs w:val="22"/>
        </w:rPr>
        <w:t>para resolver el Recurso de Revisión materia de la presente resolución; ello con el fin de contar con los elementos suficientes para generar la resolución que en derecho corresponda, así como, en su caso, allegarse de mayores elementos, a partir de que se otorgó al particular tiempo para presentar manifestaciones con relación al Informe Justificado del Sujeto Obligado.</w:t>
      </w:r>
    </w:p>
    <w:p w14:paraId="1715F4F9" w14:textId="59EA9190" w:rsidR="009B27F8" w:rsidRDefault="009B27F8" w:rsidP="00740136">
      <w:pPr>
        <w:autoSpaceDE w:val="0"/>
        <w:autoSpaceDN w:val="0"/>
        <w:adjustRightInd w:val="0"/>
        <w:jc w:val="both"/>
        <w:rPr>
          <w:rFonts w:ascii="Palatino Linotype" w:eastAsiaTheme="minorHAnsi" w:hAnsi="Palatino Linotype" w:cs="Gotham Book"/>
          <w:i/>
          <w:color w:val="000000"/>
          <w:lang w:eastAsia="en-US"/>
        </w:rPr>
      </w:pPr>
    </w:p>
    <w:p w14:paraId="4063B8DE" w14:textId="0D2C8EDA" w:rsidR="009B27F8" w:rsidRPr="002B5464" w:rsidRDefault="00AC1268" w:rsidP="00740136">
      <w:pPr>
        <w:spacing w:line="360" w:lineRule="auto"/>
        <w:jc w:val="both"/>
        <w:rPr>
          <w:rFonts w:ascii="Palatino Linotype" w:hAnsi="Palatino Linotype" w:cs="Tahoma"/>
          <w:sz w:val="22"/>
          <w:szCs w:val="22"/>
        </w:rPr>
      </w:pPr>
      <w:r>
        <w:rPr>
          <w:rFonts w:ascii="Palatino Linotype" w:hAnsi="Palatino Linotype" w:cs="Tahoma"/>
          <w:b/>
          <w:sz w:val="22"/>
          <w:szCs w:val="24"/>
        </w:rPr>
        <w:t>f</w:t>
      </w:r>
      <w:r w:rsidR="009B27F8" w:rsidRPr="002B5464">
        <w:rPr>
          <w:rFonts w:ascii="Palatino Linotype" w:hAnsi="Palatino Linotype" w:cs="Tahoma"/>
          <w:b/>
          <w:sz w:val="22"/>
          <w:szCs w:val="24"/>
        </w:rPr>
        <w:t>)</w:t>
      </w:r>
      <w:r w:rsidR="009B27F8" w:rsidRPr="002B5464">
        <w:rPr>
          <w:rFonts w:ascii="Palatino Linotype" w:hAnsi="Palatino Linotype" w:cs="Tahoma"/>
          <w:b/>
          <w:sz w:val="22"/>
          <w:szCs w:val="22"/>
        </w:rPr>
        <w:t xml:space="preserve"> Cierre de instrucción. </w:t>
      </w:r>
      <w:r w:rsidR="003B69E8">
        <w:rPr>
          <w:rFonts w:ascii="Palatino Linotype" w:hAnsi="Palatino Linotype" w:cs="Tahoma"/>
          <w:sz w:val="22"/>
          <w:szCs w:val="22"/>
        </w:rPr>
        <w:t>El</w:t>
      </w:r>
      <w:r w:rsidR="009B27F8">
        <w:rPr>
          <w:rFonts w:ascii="Palatino Linotype" w:hAnsi="Palatino Linotype" w:cs="Tahoma"/>
          <w:sz w:val="22"/>
          <w:szCs w:val="22"/>
        </w:rPr>
        <w:t xml:space="preserve"> </w:t>
      </w:r>
      <w:r w:rsidR="00387AE3">
        <w:rPr>
          <w:rFonts w:ascii="Palatino Linotype" w:hAnsi="Palatino Linotype" w:cs="Tahoma"/>
          <w:sz w:val="22"/>
          <w:szCs w:val="22"/>
        </w:rPr>
        <w:t>dieci</w:t>
      </w:r>
      <w:r w:rsidR="003B69E8">
        <w:rPr>
          <w:rFonts w:ascii="Palatino Linotype" w:hAnsi="Palatino Linotype" w:cs="Tahoma"/>
          <w:sz w:val="22"/>
          <w:szCs w:val="22"/>
        </w:rPr>
        <w:t>ocho</w:t>
      </w:r>
      <w:r w:rsidR="009B27F8" w:rsidRPr="00A36E26">
        <w:rPr>
          <w:rFonts w:ascii="Palatino Linotype" w:hAnsi="Palatino Linotype" w:cs="Tahoma"/>
          <w:sz w:val="22"/>
          <w:szCs w:val="22"/>
        </w:rPr>
        <w:t xml:space="preserve"> de</w:t>
      </w:r>
      <w:r w:rsidR="009B27F8">
        <w:rPr>
          <w:rFonts w:ascii="Palatino Linotype" w:hAnsi="Palatino Linotype" w:cs="Tahoma"/>
          <w:sz w:val="22"/>
          <w:szCs w:val="22"/>
        </w:rPr>
        <w:t xml:space="preserve"> </w:t>
      </w:r>
      <w:r w:rsidR="00387AE3">
        <w:rPr>
          <w:rFonts w:ascii="Palatino Linotype" w:hAnsi="Palatino Linotype" w:cs="Tahoma"/>
          <w:sz w:val="22"/>
          <w:szCs w:val="22"/>
        </w:rPr>
        <w:t>junio</w:t>
      </w:r>
      <w:r w:rsidR="009B27F8" w:rsidRPr="00A36E26">
        <w:rPr>
          <w:rFonts w:ascii="Palatino Linotype" w:hAnsi="Palatino Linotype" w:cs="Tahoma"/>
          <w:sz w:val="22"/>
          <w:szCs w:val="22"/>
        </w:rPr>
        <w:t xml:space="preserve"> de dos mil diecinueve</w:t>
      </w:r>
      <w:r w:rsidR="009B27F8" w:rsidRPr="002B5464">
        <w:rPr>
          <w:rFonts w:ascii="Palatino Linotype" w:hAnsi="Palatino Linotype" w:cs="Tahoma"/>
          <w:sz w:val="22"/>
          <w:szCs w:val="22"/>
        </w:rPr>
        <w:t>, al no existir diligencias pendientes por desahogar, se emitió el acuerdo por medio del cual se declaró cerrada la instrucción y se determinó pasar el expediente a resolución, en términos de lo dispuesto en el artículo 185, fracciones VI y VIII, de la Ley de Transparencia y Acceso a la Información Pública del Estado de México y Municipios, mismo que fue notificado a las partes el mismo día, a través del Sistema de Acceso a la Información Mexiquense (SAIMEX).</w:t>
      </w:r>
    </w:p>
    <w:p w14:paraId="4CB7F045" w14:textId="77777777" w:rsidR="009B27F8" w:rsidRPr="002B5464" w:rsidRDefault="009B27F8" w:rsidP="00740136">
      <w:pPr>
        <w:spacing w:line="360" w:lineRule="auto"/>
        <w:jc w:val="both"/>
        <w:rPr>
          <w:rFonts w:ascii="Palatino Linotype" w:hAnsi="Palatino Linotype" w:cs="Tahoma"/>
          <w:sz w:val="22"/>
          <w:szCs w:val="24"/>
        </w:rPr>
      </w:pPr>
    </w:p>
    <w:p w14:paraId="478955D1" w14:textId="77777777" w:rsidR="009B27F8" w:rsidRPr="002B5464" w:rsidRDefault="009B27F8" w:rsidP="00740136">
      <w:pPr>
        <w:spacing w:line="360" w:lineRule="auto"/>
        <w:jc w:val="both"/>
        <w:rPr>
          <w:rFonts w:ascii="Palatino Linotype" w:hAnsi="Palatino Linotype" w:cs="Tahoma"/>
          <w:color w:val="000000"/>
          <w:sz w:val="22"/>
          <w:szCs w:val="22"/>
        </w:rPr>
      </w:pPr>
      <w:r w:rsidRPr="002B5464">
        <w:rPr>
          <w:rFonts w:ascii="Palatino Linotype" w:hAnsi="Palatino Linotype" w:cs="Tahoma"/>
          <w:color w:val="000000"/>
          <w:sz w:val="22"/>
          <w:szCs w:val="22"/>
        </w:rPr>
        <w:t>En razón de que fue debidamente sustanciado el expediente electrónico y no existe diligencia pendiente de desahogo, se emite la resolución que conforme a Derecho proceda, de acuerdo a los siguientes:</w:t>
      </w:r>
    </w:p>
    <w:p w14:paraId="56743465" w14:textId="77777777" w:rsidR="00832B45" w:rsidRPr="006A36F7" w:rsidRDefault="00832B45" w:rsidP="00740136">
      <w:pPr>
        <w:spacing w:line="360" w:lineRule="auto"/>
        <w:jc w:val="both"/>
        <w:rPr>
          <w:rFonts w:ascii="Palatino Linotype" w:hAnsi="Palatino Linotype" w:cs="Tahoma"/>
          <w:color w:val="000000"/>
          <w:sz w:val="22"/>
          <w:szCs w:val="22"/>
        </w:rPr>
      </w:pPr>
    </w:p>
    <w:p w14:paraId="1C7E30B1" w14:textId="77777777" w:rsidR="00467998" w:rsidRDefault="00467998" w:rsidP="00740136">
      <w:pPr>
        <w:spacing w:line="360" w:lineRule="auto"/>
        <w:jc w:val="center"/>
        <w:rPr>
          <w:rFonts w:ascii="Palatino Linotype" w:eastAsia="Calibri" w:hAnsi="Palatino Linotype" w:cs="Tahoma"/>
          <w:b/>
          <w:bCs/>
          <w:sz w:val="22"/>
          <w:szCs w:val="22"/>
          <w:lang w:eastAsia="en-US"/>
        </w:rPr>
      </w:pPr>
    </w:p>
    <w:p w14:paraId="301EB5C4" w14:textId="77777777" w:rsidR="00467998" w:rsidRDefault="00467998" w:rsidP="00740136">
      <w:pPr>
        <w:spacing w:line="360" w:lineRule="auto"/>
        <w:jc w:val="center"/>
        <w:rPr>
          <w:rFonts w:ascii="Palatino Linotype" w:eastAsia="Calibri" w:hAnsi="Palatino Linotype" w:cs="Tahoma"/>
          <w:b/>
          <w:bCs/>
          <w:sz w:val="22"/>
          <w:szCs w:val="22"/>
          <w:lang w:eastAsia="en-US"/>
        </w:rPr>
      </w:pPr>
    </w:p>
    <w:p w14:paraId="252FF446" w14:textId="77777777" w:rsidR="00467998" w:rsidRDefault="00467998" w:rsidP="00740136">
      <w:pPr>
        <w:spacing w:line="360" w:lineRule="auto"/>
        <w:jc w:val="center"/>
        <w:rPr>
          <w:rFonts w:ascii="Palatino Linotype" w:eastAsia="Calibri" w:hAnsi="Palatino Linotype" w:cs="Tahoma"/>
          <w:b/>
          <w:bCs/>
          <w:sz w:val="22"/>
          <w:szCs w:val="22"/>
          <w:lang w:eastAsia="en-US"/>
        </w:rPr>
      </w:pPr>
    </w:p>
    <w:p w14:paraId="4342B355" w14:textId="77777777" w:rsidR="00740136" w:rsidRDefault="00740136" w:rsidP="00740136">
      <w:pPr>
        <w:spacing w:line="360" w:lineRule="auto"/>
        <w:jc w:val="center"/>
        <w:rPr>
          <w:rFonts w:ascii="Palatino Linotype" w:eastAsia="Calibri" w:hAnsi="Palatino Linotype" w:cs="Tahoma"/>
          <w:b/>
          <w:bCs/>
          <w:sz w:val="22"/>
          <w:szCs w:val="22"/>
          <w:lang w:eastAsia="en-US"/>
        </w:rPr>
      </w:pPr>
    </w:p>
    <w:p w14:paraId="34449E72" w14:textId="77777777" w:rsidR="00593BF5" w:rsidRPr="007A6721" w:rsidRDefault="00593BF5" w:rsidP="00740136">
      <w:pPr>
        <w:spacing w:line="360" w:lineRule="auto"/>
        <w:jc w:val="center"/>
        <w:rPr>
          <w:rFonts w:ascii="Palatino Linotype" w:eastAsia="Calibri" w:hAnsi="Palatino Linotype" w:cs="Tahoma"/>
          <w:b/>
          <w:bCs/>
          <w:sz w:val="22"/>
          <w:szCs w:val="22"/>
          <w:lang w:eastAsia="en-US"/>
        </w:rPr>
      </w:pPr>
      <w:r w:rsidRPr="007A6721">
        <w:rPr>
          <w:rFonts w:ascii="Palatino Linotype" w:eastAsia="Calibri" w:hAnsi="Palatino Linotype" w:cs="Tahoma"/>
          <w:b/>
          <w:bCs/>
          <w:sz w:val="22"/>
          <w:szCs w:val="22"/>
          <w:lang w:eastAsia="en-US"/>
        </w:rPr>
        <w:t>CONSIDERANDOS</w:t>
      </w:r>
    </w:p>
    <w:p w14:paraId="4785DADB" w14:textId="77777777" w:rsidR="00336156" w:rsidRDefault="00336156" w:rsidP="00740136">
      <w:pPr>
        <w:spacing w:line="360" w:lineRule="auto"/>
        <w:jc w:val="both"/>
        <w:rPr>
          <w:rFonts w:ascii="Palatino Linotype" w:eastAsia="Calibri" w:hAnsi="Palatino Linotype" w:cs="Tahoma"/>
          <w:b/>
          <w:bCs/>
          <w:sz w:val="22"/>
          <w:szCs w:val="22"/>
          <w:lang w:eastAsia="en-US"/>
        </w:rPr>
      </w:pPr>
    </w:p>
    <w:p w14:paraId="78DFC856" w14:textId="77777777" w:rsidR="00593BF5" w:rsidRPr="007A6721" w:rsidRDefault="00593BF5" w:rsidP="00740136">
      <w:pPr>
        <w:spacing w:line="360" w:lineRule="auto"/>
        <w:jc w:val="both"/>
        <w:rPr>
          <w:rFonts w:ascii="Palatino Linotype" w:eastAsia="Calibri" w:hAnsi="Palatino Linotype" w:cs="Tahoma"/>
          <w:b/>
          <w:bCs/>
          <w:sz w:val="22"/>
          <w:szCs w:val="22"/>
          <w:lang w:eastAsia="en-US"/>
        </w:rPr>
      </w:pPr>
      <w:r w:rsidRPr="007A6721">
        <w:rPr>
          <w:rFonts w:ascii="Palatino Linotype" w:eastAsia="Calibri" w:hAnsi="Palatino Linotype" w:cs="Tahoma"/>
          <w:b/>
          <w:bCs/>
          <w:sz w:val="22"/>
          <w:szCs w:val="22"/>
          <w:lang w:eastAsia="en-US"/>
        </w:rPr>
        <w:t xml:space="preserve">PRIMERO. Competencia. </w:t>
      </w:r>
    </w:p>
    <w:p w14:paraId="3C158A3F" w14:textId="77777777" w:rsidR="00593BF5" w:rsidRPr="007A6721" w:rsidRDefault="00593BF5" w:rsidP="00740136">
      <w:pPr>
        <w:spacing w:line="360" w:lineRule="auto"/>
        <w:jc w:val="both"/>
        <w:rPr>
          <w:rFonts w:ascii="Palatino Linotype" w:eastAsia="Calibri" w:hAnsi="Palatino Linotype" w:cs="Tahoma"/>
          <w:b/>
          <w:bCs/>
          <w:sz w:val="22"/>
          <w:szCs w:val="22"/>
          <w:lang w:eastAsia="en-US"/>
        </w:rPr>
      </w:pPr>
    </w:p>
    <w:p w14:paraId="2165683B" w14:textId="77777777" w:rsidR="00593BF5" w:rsidRPr="007A6721" w:rsidRDefault="00593BF5" w:rsidP="00740136">
      <w:pPr>
        <w:spacing w:line="360" w:lineRule="auto"/>
        <w:jc w:val="both"/>
        <w:rPr>
          <w:rFonts w:ascii="Palatino Linotype" w:eastAsia="Calibri" w:hAnsi="Palatino Linotype" w:cs="Tahoma"/>
          <w:bCs/>
          <w:sz w:val="22"/>
          <w:szCs w:val="22"/>
          <w:lang w:eastAsia="en-US"/>
        </w:rPr>
      </w:pPr>
      <w:r w:rsidRPr="007A6721">
        <w:rPr>
          <w:rFonts w:ascii="Palatino Linotype" w:eastAsia="Calibri" w:hAnsi="Palatino Linotype" w:cs="Tahoma"/>
          <w:bCs/>
          <w:sz w:val="22"/>
          <w:szCs w:val="22"/>
          <w:lang w:eastAsia="en-US"/>
        </w:rPr>
        <w:t>El Instituto de Transparencia, Acceso a la Información Pública y Protección de Datos Personales del Estado de México y Municipios, es competente para conocer y resolver el presente recurso de revisión interpuesto por la parte Recurrente, conforme a lo dispuesto en los artículos 6°, apartado A, de la Constitución Política de los Estados Unidos Mexicanos; 5°, párrafos vigésimo, vigésimo primero y vigésimo segundo, fracciones I, II, III, IV y V, de la Constitución Política del Estado Libre y Soberano de México; 1°, 8°, 9°, 10, 37 y 42, fracciones I, II y III, de la Ley General de Transparencia y Acceso a la Información Pública; 1°, 2°, fracciones II y IV; 13,  29, 36, fracciones I y II; 176, 178, 179, 181 párrafo tercero, 185, 188 y 189, de la Ley Transparencia y Acceso a la Información Pública del Estado de México y Municipios; 7, 9, fracciones I y XXIV y 11, del Reglamento Interior del Instituto de Transparencia, Acceso a la Información Pública y Protección de Datos Personales del Estado de México y Municipios.</w:t>
      </w:r>
    </w:p>
    <w:p w14:paraId="4A5C7500" w14:textId="77777777" w:rsidR="00593BF5" w:rsidRPr="007A6721" w:rsidRDefault="00593BF5" w:rsidP="00740136">
      <w:pPr>
        <w:spacing w:line="360" w:lineRule="auto"/>
        <w:jc w:val="both"/>
        <w:rPr>
          <w:rFonts w:ascii="Palatino Linotype" w:eastAsia="Calibri" w:hAnsi="Palatino Linotype" w:cs="Tahoma"/>
          <w:bCs/>
          <w:sz w:val="22"/>
          <w:szCs w:val="22"/>
          <w:lang w:val="es-ES_tradnl" w:eastAsia="en-US"/>
        </w:rPr>
      </w:pPr>
    </w:p>
    <w:p w14:paraId="58016B79" w14:textId="77777777" w:rsidR="00593BF5" w:rsidRPr="007A6721" w:rsidRDefault="00593BF5" w:rsidP="00740136">
      <w:pPr>
        <w:spacing w:line="360" w:lineRule="auto"/>
        <w:jc w:val="both"/>
        <w:rPr>
          <w:rFonts w:ascii="Palatino Linotype" w:eastAsia="Calibri" w:hAnsi="Palatino Linotype" w:cs="Tahoma"/>
          <w:bCs/>
          <w:sz w:val="22"/>
          <w:szCs w:val="22"/>
          <w:lang w:eastAsia="en-US"/>
        </w:rPr>
      </w:pPr>
      <w:r w:rsidRPr="007A6721">
        <w:rPr>
          <w:rFonts w:ascii="Palatino Linotype" w:eastAsia="Calibri" w:hAnsi="Palatino Linotype" w:cs="Tahoma"/>
          <w:b/>
          <w:bCs/>
          <w:sz w:val="22"/>
          <w:szCs w:val="22"/>
          <w:lang w:eastAsia="en-US"/>
        </w:rPr>
        <w:t>SEGUNDO</w:t>
      </w:r>
      <w:r w:rsidRPr="007A6721">
        <w:rPr>
          <w:rFonts w:ascii="Palatino Linotype" w:eastAsia="Calibri" w:hAnsi="Palatino Linotype" w:cs="Tahoma"/>
          <w:bCs/>
          <w:sz w:val="22"/>
          <w:szCs w:val="22"/>
          <w:lang w:eastAsia="en-US"/>
        </w:rPr>
        <w:t xml:space="preserve">. </w:t>
      </w:r>
      <w:r w:rsidRPr="007A6721">
        <w:rPr>
          <w:rFonts w:ascii="Palatino Linotype" w:eastAsia="Calibri" w:hAnsi="Palatino Linotype" w:cs="Tahoma"/>
          <w:b/>
          <w:bCs/>
          <w:sz w:val="22"/>
          <w:szCs w:val="22"/>
          <w:lang w:eastAsia="en-US"/>
        </w:rPr>
        <w:t>Causales de improcedencia y sobreseimiento.</w:t>
      </w:r>
      <w:r w:rsidRPr="007A6721">
        <w:rPr>
          <w:rFonts w:ascii="Palatino Linotype" w:eastAsia="Calibri" w:hAnsi="Palatino Linotype" w:cs="Tahoma"/>
          <w:bCs/>
          <w:sz w:val="22"/>
          <w:szCs w:val="22"/>
          <w:lang w:eastAsia="en-US"/>
        </w:rPr>
        <w:t xml:space="preserve"> </w:t>
      </w:r>
    </w:p>
    <w:p w14:paraId="4984DF11" w14:textId="77777777" w:rsidR="00593BF5" w:rsidRPr="007A6721" w:rsidRDefault="00593BF5" w:rsidP="00740136">
      <w:pPr>
        <w:spacing w:line="360" w:lineRule="auto"/>
        <w:jc w:val="both"/>
        <w:rPr>
          <w:rFonts w:ascii="Palatino Linotype" w:eastAsia="Calibri" w:hAnsi="Palatino Linotype" w:cs="Tahoma"/>
          <w:bCs/>
          <w:sz w:val="22"/>
          <w:szCs w:val="22"/>
          <w:lang w:eastAsia="en-US"/>
        </w:rPr>
      </w:pPr>
    </w:p>
    <w:p w14:paraId="096E6E6A" w14:textId="77777777" w:rsidR="00593BF5" w:rsidRPr="007A6721" w:rsidRDefault="00593BF5" w:rsidP="00740136">
      <w:pPr>
        <w:spacing w:line="360" w:lineRule="auto"/>
        <w:jc w:val="both"/>
        <w:rPr>
          <w:rFonts w:ascii="Palatino Linotype" w:eastAsia="Calibri" w:hAnsi="Palatino Linotype" w:cs="Tahoma"/>
          <w:bCs/>
          <w:sz w:val="22"/>
          <w:szCs w:val="22"/>
          <w:lang w:eastAsia="en-US"/>
        </w:rPr>
      </w:pPr>
      <w:r w:rsidRPr="007A6721">
        <w:rPr>
          <w:rFonts w:ascii="Palatino Linotype" w:eastAsia="Calibri" w:hAnsi="Palatino Linotype" w:cs="Tahoma"/>
          <w:bCs/>
          <w:sz w:val="22"/>
          <w:szCs w:val="22"/>
          <w:lang w:eastAsia="en-US"/>
        </w:rPr>
        <w:t xml:space="preserve">Previo al análisis de fondo de la controversia presentada en el asunto que nos ocupa, este Instituto se encuentra obligado a efectuar el estudio oficioso de las causales de improcedencia y sobreseimiento, por tratarse de una cuestión de orden público y de estudio preferente (acorde con el Criterio orientador en la Tesis de Jurisprudencia número 940, pág. 1538, segunda parte del Apéndice del Semanario Judicial de la Federación 1917-1988.). </w:t>
      </w:r>
    </w:p>
    <w:p w14:paraId="6C8E86D0" w14:textId="77777777" w:rsidR="00593BF5" w:rsidRDefault="00593BF5" w:rsidP="00740136">
      <w:pPr>
        <w:spacing w:line="360" w:lineRule="auto"/>
        <w:jc w:val="both"/>
        <w:rPr>
          <w:rFonts w:ascii="Palatino Linotype" w:eastAsia="Calibri" w:hAnsi="Palatino Linotype" w:cs="Tahoma"/>
          <w:bCs/>
          <w:sz w:val="22"/>
          <w:szCs w:val="22"/>
          <w:lang w:eastAsia="en-US"/>
        </w:rPr>
      </w:pPr>
    </w:p>
    <w:p w14:paraId="70E69459" w14:textId="77777777" w:rsidR="00740136" w:rsidRPr="007A6721" w:rsidRDefault="00740136" w:rsidP="00740136">
      <w:pPr>
        <w:spacing w:line="360" w:lineRule="auto"/>
        <w:jc w:val="both"/>
        <w:rPr>
          <w:rFonts w:ascii="Palatino Linotype" w:eastAsia="Calibri" w:hAnsi="Palatino Linotype" w:cs="Tahoma"/>
          <w:bCs/>
          <w:sz w:val="22"/>
          <w:szCs w:val="22"/>
          <w:lang w:eastAsia="en-US"/>
        </w:rPr>
      </w:pPr>
    </w:p>
    <w:p w14:paraId="32D6BD25" w14:textId="77777777" w:rsidR="00593BF5" w:rsidRPr="007A6721" w:rsidRDefault="00593BF5" w:rsidP="00740136">
      <w:pPr>
        <w:pStyle w:val="Prrafodelista"/>
        <w:numPr>
          <w:ilvl w:val="0"/>
          <w:numId w:val="6"/>
        </w:numPr>
        <w:spacing w:line="360" w:lineRule="auto"/>
        <w:jc w:val="both"/>
        <w:rPr>
          <w:rFonts w:ascii="Palatino Linotype" w:eastAsia="Calibri" w:hAnsi="Palatino Linotype" w:cs="Tahoma"/>
          <w:b/>
          <w:bCs/>
          <w:szCs w:val="22"/>
          <w:lang w:val="es-ES" w:eastAsia="en-US"/>
        </w:rPr>
      </w:pPr>
      <w:r w:rsidRPr="007A6721">
        <w:rPr>
          <w:rFonts w:ascii="Palatino Linotype" w:eastAsia="Calibri" w:hAnsi="Palatino Linotype" w:cs="Tahoma"/>
          <w:b/>
          <w:bCs/>
          <w:szCs w:val="22"/>
          <w:lang w:val="es-ES" w:eastAsia="en-US"/>
        </w:rPr>
        <w:lastRenderedPageBreak/>
        <w:t>Causales de improcedencia.</w:t>
      </w:r>
    </w:p>
    <w:p w14:paraId="7322F759" w14:textId="77777777" w:rsidR="00593BF5" w:rsidRPr="007A6721" w:rsidRDefault="00593BF5" w:rsidP="00740136">
      <w:pPr>
        <w:spacing w:line="360" w:lineRule="auto"/>
        <w:jc w:val="both"/>
        <w:rPr>
          <w:rFonts w:ascii="Palatino Linotype" w:eastAsia="Calibri" w:hAnsi="Palatino Linotype" w:cs="Tahoma"/>
          <w:bCs/>
          <w:sz w:val="22"/>
          <w:szCs w:val="22"/>
          <w:lang w:eastAsia="en-US"/>
        </w:rPr>
      </w:pPr>
    </w:p>
    <w:p w14:paraId="1F781967" w14:textId="698D1BBF" w:rsidR="00593BF5" w:rsidRDefault="00593BF5" w:rsidP="00740136">
      <w:pPr>
        <w:autoSpaceDE w:val="0"/>
        <w:autoSpaceDN w:val="0"/>
        <w:adjustRightInd w:val="0"/>
        <w:spacing w:line="360" w:lineRule="auto"/>
        <w:jc w:val="both"/>
        <w:rPr>
          <w:rFonts w:ascii="Palatino Linotype" w:eastAsia="Calibri" w:hAnsi="Palatino Linotype" w:cs="Tahoma"/>
          <w:color w:val="000000"/>
          <w:sz w:val="22"/>
          <w:szCs w:val="22"/>
          <w:lang w:eastAsia="es-MX"/>
        </w:rPr>
      </w:pPr>
      <w:r w:rsidRPr="007A6721">
        <w:rPr>
          <w:rFonts w:ascii="Palatino Linotype" w:eastAsia="Calibri" w:hAnsi="Palatino Linotype" w:cs="Tahoma"/>
          <w:color w:val="000000"/>
          <w:sz w:val="22"/>
          <w:szCs w:val="22"/>
          <w:lang w:eastAsia="es-MX"/>
        </w:rPr>
        <w:t xml:space="preserve">En el presente caso, no se actualiza ninguna de las causales de improcedencia establecidas por el artículo 191, de la Ley de Transparencia y Acceso a la Información Pública del Estado de México y Municipios, toda vez que el recurso de revisión fue interpuesto dentro de los quince días que marca la norma; este Instituto no tiene conocimiento </w:t>
      </w:r>
      <w:r w:rsidRPr="007A6721">
        <w:rPr>
          <w:rFonts w:ascii="Palatino Linotype" w:hAnsi="Palatino Linotype" w:cs="Tahoma"/>
          <w:sz w:val="22"/>
          <w:szCs w:val="22"/>
        </w:rPr>
        <w:t>de que se encuentre en trámite algún medio de defensa presentado por el Recurrente ante otra instancia; no existió prevención alguna; la veracidad de la respuesta no formó parte del agravio; no se está ante una consulta o trámite en específico</w:t>
      </w:r>
      <w:r w:rsidR="00D456BD">
        <w:rPr>
          <w:rFonts w:ascii="Palatino Linotype" w:hAnsi="Palatino Linotype" w:cs="Tahoma"/>
          <w:sz w:val="22"/>
          <w:szCs w:val="22"/>
        </w:rPr>
        <w:t>.</w:t>
      </w:r>
    </w:p>
    <w:p w14:paraId="5D7358DC" w14:textId="77777777" w:rsidR="00593BF5" w:rsidRDefault="00593BF5" w:rsidP="00740136">
      <w:pPr>
        <w:autoSpaceDE w:val="0"/>
        <w:autoSpaceDN w:val="0"/>
        <w:adjustRightInd w:val="0"/>
        <w:spacing w:line="360" w:lineRule="auto"/>
        <w:jc w:val="both"/>
        <w:rPr>
          <w:rFonts w:ascii="Palatino Linotype" w:eastAsia="Calibri" w:hAnsi="Palatino Linotype" w:cs="Tahoma"/>
          <w:color w:val="000000"/>
          <w:sz w:val="22"/>
          <w:szCs w:val="22"/>
          <w:lang w:eastAsia="es-MX"/>
        </w:rPr>
      </w:pPr>
    </w:p>
    <w:p w14:paraId="2D24E4F6" w14:textId="56D7E809" w:rsidR="00593BF5" w:rsidRPr="007A6721" w:rsidRDefault="00593BF5" w:rsidP="00740136">
      <w:pPr>
        <w:autoSpaceDE w:val="0"/>
        <w:autoSpaceDN w:val="0"/>
        <w:adjustRightInd w:val="0"/>
        <w:spacing w:line="360" w:lineRule="auto"/>
        <w:jc w:val="both"/>
        <w:rPr>
          <w:rFonts w:ascii="Palatino Linotype" w:eastAsia="Calibri" w:hAnsi="Palatino Linotype" w:cs="Tahoma"/>
          <w:color w:val="000000"/>
          <w:sz w:val="22"/>
          <w:szCs w:val="22"/>
          <w:lang w:eastAsia="es-MX"/>
        </w:rPr>
      </w:pPr>
      <w:r w:rsidRPr="007A6721">
        <w:rPr>
          <w:rFonts w:ascii="Palatino Linotype" w:hAnsi="Palatino Linotype" w:cs="Tahoma"/>
          <w:sz w:val="22"/>
          <w:szCs w:val="24"/>
        </w:rPr>
        <w:t xml:space="preserve">Aunado a lo anterior, del análisis al recurso de revisión interpuesto, se advierte que este actualiza la causal de procedencia prevista por el artículo 179, </w:t>
      </w:r>
      <w:r w:rsidRPr="007A6721">
        <w:rPr>
          <w:rFonts w:ascii="Palatino Linotype" w:eastAsia="Calibri" w:hAnsi="Palatino Linotype" w:cs="Tahoma"/>
          <w:bCs/>
          <w:sz w:val="22"/>
          <w:szCs w:val="22"/>
          <w:lang w:eastAsia="en-US"/>
        </w:rPr>
        <w:t xml:space="preserve">fracción </w:t>
      </w:r>
      <w:r w:rsidR="00D456BD">
        <w:rPr>
          <w:rFonts w:ascii="Palatino Linotype" w:eastAsia="Calibri" w:hAnsi="Palatino Linotype" w:cs="Tahoma"/>
          <w:bCs/>
          <w:sz w:val="22"/>
          <w:szCs w:val="22"/>
          <w:lang w:eastAsia="en-US"/>
        </w:rPr>
        <w:t>III</w:t>
      </w:r>
      <w:r w:rsidRPr="007A6721">
        <w:rPr>
          <w:rFonts w:ascii="Palatino Linotype" w:eastAsia="Calibri" w:hAnsi="Palatino Linotype" w:cs="Tahoma"/>
          <w:bCs/>
          <w:sz w:val="22"/>
          <w:szCs w:val="22"/>
          <w:lang w:eastAsia="en-US"/>
        </w:rPr>
        <w:t>, de la Ley en cita.</w:t>
      </w:r>
    </w:p>
    <w:p w14:paraId="7B708090" w14:textId="77777777" w:rsidR="00593BF5" w:rsidRPr="007A6721" w:rsidRDefault="00593BF5" w:rsidP="00740136">
      <w:pPr>
        <w:spacing w:line="360" w:lineRule="auto"/>
        <w:jc w:val="both"/>
        <w:rPr>
          <w:rFonts w:ascii="Palatino Linotype" w:eastAsia="Calibri" w:hAnsi="Palatino Linotype" w:cs="Tahoma"/>
          <w:bCs/>
          <w:sz w:val="22"/>
          <w:szCs w:val="22"/>
          <w:lang w:eastAsia="en-US"/>
        </w:rPr>
      </w:pPr>
    </w:p>
    <w:p w14:paraId="2601144B" w14:textId="77777777" w:rsidR="00593BF5" w:rsidRPr="007A6721" w:rsidRDefault="00593BF5" w:rsidP="00740136">
      <w:pPr>
        <w:pStyle w:val="Prrafodelista"/>
        <w:numPr>
          <w:ilvl w:val="0"/>
          <w:numId w:val="6"/>
        </w:numPr>
        <w:spacing w:line="276" w:lineRule="auto"/>
        <w:jc w:val="both"/>
        <w:rPr>
          <w:rFonts w:ascii="Palatino Linotype" w:eastAsia="Calibri" w:hAnsi="Palatino Linotype" w:cs="Tahoma"/>
          <w:bCs/>
          <w:szCs w:val="22"/>
          <w:lang w:val="es-ES" w:eastAsia="en-US"/>
        </w:rPr>
      </w:pPr>
      <w:r w:rsidRPr="007A6721">
        <w:rPr>
          <w:rFonts w:ascii="Palatino Linotype" w:eastAsia="Calibri" w:hAnsi="Palatino Linotype" w:cs="Tahoma"/>
          <w:b/>
          <w:bCs/>
          <w:szCs w:val="22"/>
          <w:lang w:val="es-ES" w:eastAsia="en-US"/>
        </w:rPr>
        <w:t>Causales de sobreseimiento</w:t>
      </w:r>
      <w:r w:rsidRPr="007A6721">
        <w:rPr>
          <w:rFonts w:ascii="Palatino Linotype" w:eastAsia="Calibri" w:hAnsi="Palatino Linotype" w:cs="Tahoma"/>
          <w:bCs/>
          <w:szCs w:val="22"/>
          <w:lang w:val="es-ES" w:eastAsia="en-US"/>
        </w:rPr>
        <w:t>.</w:t>
      </w:r>
    </w:p>
    <w:p w14:paraId="12743E04" w14:textId="77777777" w:rsidR="00593BF5" w:rsidRPr="007A6721" w:rsidRDefault="00593BF5" w:rsidP="00740136">
      <w:pPr>
        <w:spacing w:line="276" w:lineRule="auto"/>
        <w:jc w:val="both"/>
        <w:rPr>
          <w:rFonts w:ascii="Palatino Linotype" w:eastAsia="Calibri" w:hAnsi="Palatino Linotype" w:cs="Tahoma"/>
          <w:bCs/>
          <w:sz w:val="22"/>
          <w:szCs w:val="22"/>
          <w:lang w:eastAsia="en-US"/>
        </w:rPr>
      </w:pPr>
    </w:p>
    <w:p w14:paraId="107BDED8" w14:textId="77777777" w:rsidR="00593BF5" w:rsidRPr="007A6721" w:rsidRDefault="00593BF5" w:rsidP="00740136">
      <w:pPr>
        <w:spacing w:line="360" w:lineRule="auto"/>
        <w:jc w:val="both"/>
        <w:rPr>
          <w:rFonts w:ascii="Palatino Linotype" w:eastAsia="Calibri" w:hAnsi="Palatino Linotype" w:cs="Tahoma"/>
          <w:bCs/>
          <w:sz w:val="22"/>
          <w:szCs w:val="22"/>
          <w:lang w:eastAsia="en-US"/>
        </w:rPr>
      </w:pPr>
      <w:r w:rsidRPr="007A6721">
        <w:rPr>
          <w:rFonts w:ascii="Palatino Linotype" w:eastAsia="Calibri" w:hAnsi="Palatino Linotype" w:cs="Tahoma"/>
          <w:bCs/>
          <w:sz w:val="22"/>
          <w:szCs w:val="22"/>
          <w:lang w:eastAsia="en-US"/>
        </w:rPr>
        <w:t xml:space="preserve">De los autos que corren agregados al expediente en el que se actúa, no fue posible advertir que se actualizarán las causales de sobreseimiento previstas por el artículo 192 de la Ley de Transparencia y Acceso a la Información Pública del Estado de México y Municipios; toda vez que no obra constancia de que el solicitante se hubiera desistido del recurso, que hubiera fallecido, que hubiera aparecido una causal de improcedencia durante el trámite del presente recurso, que el Sujeto Obligado hubiera modificado su respuesta y con ello dejado sin materia el recurso de revisión, o bien que el recurso de revisión hubiera quedado sin materia por algún otro motivo. </w:t>
      </w:r>
    </w:p>
    <w:p w14:paraId="7B20D191" w14:textId="77777777" w:rsidR="00593BF5" w:rsidRPr="007A6721" w:rsidRDefault="00593BF5" w:rsidP="00740136">
      <w:pPr>
        <w:spacing w:line="360" w:lineRule="auto"/>
        <w:jc w:val="both"/>
        <w:rPr>
          <w:rFonts w:ascii="Palatino Linotype" w:eastAsia="Calibri" w:hAnsi="Palatino Linotype" w:cs="Tahoma"/>
          <w:bCs/>
          <w:sz w:val="22"/>
          <w:szCs w:val="22"/>
          <w:lang w:eastAsia="en-US"/>
        </w:rPr>
      </w:pPr>
    </w:p>
    <w:p w14:paraId="3514A45C" w14:textId="77777777" w:rsidR="00593BF5" w:rsidRDefault="00593BF5" w:rsidP="00740136">
      <w:pPr>
        <w:spacing w:line="360" w:lineRule="auto"/>
        <w:jc w:val="both"/>
        <w:rPr>
          <w:rFonts w:ascii="Palatino Linotype" w:eastAsia="Calibri" w:hAnsi="Palatino Linotype" w:cs="Tahoma"/>
          <w:bCs/>
          <w:sz w:val="22"/>
          <w:szCs w:val="22"/>
          <w:lang w:eastAsia="en-US"/>
        </w:rPr>
      </w:pPr>
      <w:r w:rsidRPr="007A6721">
        <w:rPr>
          <w:rFonts w:ascii="Palatino Linotype" w:eastAsia="Calibri" w:hAnsi="Palatino Linotype" w:cs="Tahoma"/>
          <w:bCs/>
          <w:sz w:val="22"/>
          <w:szCs w:val="22"/>
          <w:lang w:eastAsia="en-US"/>
        </w:rPr>
        <w:t xml:space="preserve">Consecuentemente, al </w:t>
      </w:r>
      <w:r w:rsidRPr="007A6721">
        <w:rPr>
          <w:rFonts w:ascii="Palatino Linotype" w:eastAsia="Calibri" w:hAnsi="Palatino Linotype" w:cs="Tahoma"/>
          <w:b/>
          <w:bCs/>
          <w:sz w:val="22"/>
          <w:szCs w:val="22"/>
          <w:lang w:eastAsia="en-US"/>
        </w:rPr>
        <w:t>no existir motivo de improcedencia y/o sobreseimiento en el presente asunto,</w:t>
      </w:r>
      <w:r w:rsidRPr="007A6721">
        <w:rPr>
          <w:rFonts w:ascii="Palatino Linotype" w:eastAsia="Calibri" w:hAnsi="Palatino Linotype" w:cs="Tahoma"/>
          <w:bCs/>
          <w:sz w:val="22"/>
          <w:szCs w:val="22"/>
          <w:lang w:eastAsia="en-US"/>
        </w:rPr>
        <w:t xml:space="preserve"> lo conducente es entrar al análisis de fondo de la controversia. Para ello, en el Considerando siguiente se realizará la relatoría de las actuaciones efectuadas por las partes </w:t>
      </w:r>
      <w:r w:rsidRPr="007A6721">
        <w:rPr>
          <w:rFonts w:ascii="Palatino Linotype" w:eastAsia="Calibri" w:hAnsi="Palatino Linotype" w:cs="Tahoma"/>
          <w:bCs/>
          <w:sz w:val="22"/>
          <w:szCs w:val="22"/>
          <w:lang w:eastAsia="en-US"/>
        </w:rPr>
        <w:lastRenderedPageBreak/>
        <w:t>durante el procedimiento de acceso a la información pública, con la finalidad de determinar claramente la cuestión a resolver.</w:t>
      </w:r>
    </w:p>
    <w:p w14:paraId="58D61DAE" w14:textId="77777777" w:rsidR="00740136" w:rsidRPr="007A6721" w:rsidRDefault="00740136" w:rsidP="00740136">
      <w:pPr>
        <w:spacing w:line="360" w:lineRule="auto"/>
        <w:jc w:val="both"/>
        <w:rPr>
          <w:rFonts w:ascii="Palatino Linotype" w:eastAsia="Calibri" w:hAnsi="Palatino Linotype" w:cs="Tahoma"/>
          <w:bCs/>
          <w:sz w:val="22"/>
          <w:szCs w:val="22"/>
          <w:lang w:eastAsia="en-US"/>
        </w:rPr>
      </w:pPr>
    </w:p>
    <w:p w14:paraId="47DEE2BC" w14:textId="64E038C3" w:rsidR="00913A9A" w:rsidRDefault="00913A9A" w:rsidP="00740136">
      <w:pPr>
        <w:spacing w:line="360" w:lineRule="auto"/>
        <w:jc w:val="both"/>
        <w:rPr>
          <w:rFonts w:ascii="Palatino Linotype" w:eastAsia="Calibri" w:hAnsi="Palatino Linotype" w:cs="Tahoma"/>
          <w:b/>
          <w:bCs/>
          <w:sz w:val="22"/>
          <w:szCs w:val="22"/>
          <w:lang w:eastAsia="en-US"/>
        </w:rPr>
      </w:pPr>
      <w:r w:rsidRPr="007A6721">
        <w:rPr>
          <w:rFonts w:ascii="Palatino Linotype" w:eastAsia="Calibri" w:hAnsi="Palatino Linotype" w:cs="Tahoma"/>
          <w:b/>
          <w:bCs/>
          <w:sz w:val="22"/>
          <w:szCs w:val="22"/>
          <w:lang w:eastAsia="en-US"/>
        </w:rPr>
        <w:t>TERCERO.</w:t>
      </w:r>
      <w:r w:rsidRPr="007A6721">
        <w:rPr>
          <w:rFonts w:ascii="Palatino Linotype" w:eastAsia="Calibri" w:hAnsi="Palatino Linotype" w:cs="Tahoma"/>
          <w:bCs/>
          <w:sz w:val="22"/>
          <w:szCs w:val="22"/>
          <w:lang w:eastAsia="en-US"/>
        </w:rPr>
        <w:t xml:space="preserve"> </w:t>
      </w:r>
      <w:r>
        <w:rPr>
          <w:rFonts w:ascii="Palatino Linotype" w:eastAsia="Calibri" w:hAnsi="Palatino Linotype" w:cs="Tahoma"/>
          <w:b/>
          <w:bCs/>
          <w:sz w:val="22"/>
          <w:szCs w:val="22"/>
          <w:lang w:eastAsia="en-US"/>
        </w:rPr>
        <w:t xml:space="preserve">Determinación de la Controversia. </w:t>
      </w:r>
    </w:p>
    <w:p w14:paraId="7529EF27" w14:textId="77777777" w:rsidR="00336156" w:rsidRDefault="00336156" w:rsidP="00740136">
      <w:pPr>
        <w:spacing w:line="360" w:lineRule="auto"/>
        <w:jc w:val="both"/>
        <w:rPr>
          <w:rFonts w:ascii="Palatino Linotype" w:eastAsia="Calibri" w:hAnsi="Palatino Linotype" w:cs="Tahoma"/>
          <w:b/>
          <w:bCs/>
          <w:sz w:val="22"/>
          <w:szCs w:val="22"/>
          <w:lang w:eastAsia="en-US"/>
        </w:rPr>
      </w:pPr>
    </w:p>
    <w:p w14:paraId="77A64A7C" w14:textId="1FFBF141" w:rsidR="00924DDA" w:rsidRDefault="00913A9A" w:rsidP="00740136">
      <w:pPr>
        <w:spacing w:line="360" w:lineRule="auto"/>
        <w:jc w:val="both"/>
        <w:rPr>
          <w:rFonts w:ascii="Palatino Linotype" w:hAnsi="Palatino Linotype" w:cs="Tahoma"/>
          <w:bCs/>
          <w:sz w:val="22"/>
          <w:szCs w:val="22"/>
        </w:rPr>
      </w:pPr>
      <w:r>
        <w:rPr>
          <w:rFonts w:ascii="Palatino Linotype" w:eastAsia="Calibri" w:hAnsi="Palatino Linotype" w:cs="Tahoma"/>
          <w:bCs/>
          <w:sz w:val="22"/>
          <w:szCs w:val="22"/>
          <w:lang w:eastAsia="en-US"/>
        </w:rPr>
        <w:t xml:space="preserve">Una vez realizado el estudio de las constancias que integran el expediente en que se actúa, se desprende que el Recurrente solicitó </w:t>
      </w:r>
      <w:r w:rsidR="00D539B6">
        <w:rPr>
          <w:rFonts w:ascii="Palatino Linotype" w:eastAsia="Calibri" w:hAnsi="Palatino Linotype" w:cs="Tahoma"/>
          <w:bCs/>
          <w:sz w:val="22"/>
          <w:szCs w:val="22"/>
          <w:lang w:eastAsia="en-US"/>
        </w:rPr>
        <w:t>a la Secretaría de Desarrollo Urbano y Metropolitano</w:t>
      </w:r>
      <w:r>
        <w:rPr>
          <w:rFonts w:ascii="Palatino Linotype" w:hAnsi="Palatino Linotype" w:cs="Tahoma"/>
          <w:bCs/>
          <w:sz w:val="22"/>
          <w:szCs w:val="22"/>
        </w:rPr>
        <w:t>,</w:t>
      </w:r>
      <w:r w:rsidR="00924DDA">
        <w:rPr>
          <w:rFonts w:ascii="Palatino Linotype" w:hAnsi="Palatino Linotype" w:cs="Tahoma"/>
          <w:bCs/>
          <w:sz w:val="22"/>
          <w:szCs w:val="22"/>
        </w:rPr>
        <w:t xml:space="preserve"> </w:t>
      </w:r>
      <w:r w:rsidR="00D539B6">
        <w:rPr>
          <w:rFonts w:ascii="Palatino Linotype" w:hAnsi="Palatino Linotype" w:cs="Tahoma"/>
          <w:bCs/>
          <w:sz w:val="22"/>
          <w:szCs w:val="22"/>
        </w:rPr>
        <w:t xml:space="preserve">la acción que realizó la Dirección Regional Valle de Toluca por la falta de autorización del condominio denominado “Entre Árboles”, ubicado en calle Álamo y Sauces 2700, Metepec, asimismo </w:t>
      </w:r>
      <w:r w:rsidR="00DE054E">
        <w:rPr>
          <w:rFonts w:ascii="Palatino Linotype" w:hAnsi="Palatino Linotype" w:cs="Tahoma"/>
          <w:bCs/>
          <w:sz w:val="22"/>
          <w:szCs w:val="22"/>
        </w:rPr>
        <w:t xml:space="preserve">requirió copias simples lo siguiente: </w:t>
      </w:r>
    </w:p>
    <w:p w14:paraId="5F477663" w14:textId="77777777" w:rsidR="00DE054E" w:rsidRDefault="00DE054E" w:rsidP="00740136">
      <w:pPr>
        <w:spacing w:line="360" w:lineRule="auto"/>
        <w:jc w:val="both"/>
        <w:rPr>
          <w:rFonts w:ascii="Palatino Linotype" w:hAnsi="Palatino Linotype" w:cs="Tahoma"/>
          <w:bCs/>
          <w:sz w:val="22"/>
          <w:szCs w:val="22"/>
        </w:rPr>
      </w:pPr>
    </w:p>
    <w:p w14:paraId="16B7B087" w14:textId="544708EC" w:rsidR="00DE054E" w:rsidRDefault="00DE054E" w:rsidP="00740136">
      <w:pPr>
        <w:pStyle w:val="Prrafodelista"/>
        <w:numPr>
          <w:ilvl w:val="0"/>
          <w:numId w:val="6"/>
        </w:numPr>
        <w:spacing w:line="360" w:lineRule="auto"/>
        <w:jc w:val="both"/>
        <w:rPr>
          <w:rFonts w:ascii="Palatino Linotype" w:hAnsi="Palatino Linotype"/>
          <w:color w:val="000000"/>
          <w:szCs w:val="22"/>
        </w:rPr>
      </w:pPr>
      <w:r>
        <w:rPr>
          <w:rFonts w:ascii="Palatino Linotype" w:hAnsi="Palatino Linotype"/>
          <w:color w:val="000000"/>
          <w:szCs w:val="22"/>
        </w:rPr>
        <w:t>Notificación del citatorio a garantía de audiencia a la empresa constructora</w:t>
      </w:r>
    </w:p>
    <w:p w14:paraId="461CA732" w14:textId="0048D2A4" w:rsidR="00DE054E" w:rsidRDefault="00DE054E" w:rsidP="00740136">
      <w:pPr>
        <w:pStyle w:val="Prrafodelista"/>
        <w:numPr>
          <w:ilvl w:val="0"/>
          <w:numId w:val="6"/>
        </w:numPr>
        <w:spacing w:line="360" w:lineRule="auto"/>
        <w:jc w:val="both"/>
        <w:rPr>
          <w:rFonts w:ascii="Palatino Linotype" w:hAnsi="Palatino Linotype"/>
          <w:color w:val="000000"/>
          <w:szCs w:val="22"/>
        </w:rPr>
      </w:pPr>
      <w:r>
        <w:rPr>
          <w:rFonts w:ascii="Palatino Linotype" w:hAnsi="Palatino Linotype"/>
          <w:color w:val="000000"/>
          <w:szCs w:val="22"/>
        </w:rPr>
        <w:t>Resolutivos</w:t>
      </w:r>
    </w:p>
    <w:p w14:paraId="39475306" w14:textId="701F7DEA" w:rsidR="00DE054E" w:rsidRDefault="00DE054E" w:rsidP="00740136">
      <w:pPr>
        <w:pStyle w:val="Prrafodelista"/>
        <w:numPr>
          <w:ilvl w:val="0"/>
          <w:numId w:val="6"/>
        </w:numPr>
        <w:spacing w:line="360" w:lineRule="auto"/>
        <w:jc w:val="both"/>
        <w:rPr>
          <w:rFonts w:ascii="Palatino Linotype" w:hAnsi="Palatino Linotype"/>
          <w:color w:val="000000"/>
          <w:szCs w:val="22"/>
        </w:rPr>
      </w:pPr>
      <w:r>
        <w:rPr>
          <w:rFonts w:ascii="Palatino Linotype" w:hAnsi="Palatino Linotype"/>
          <w:color w:val="000000"/>
          <w:szCs w:val="22"/>
        </w:rPr>
        <w:t xml:space="preserve">Multas </w:t>
      </w:r>
    </w:p>
    <w:p w14:paraId="2C8B1E8B" w14:textId="39F3F695" w:rsidR="00DE054E" w:rsidRPr="00DE054E" w:rsidRDefault="00DE054E" w:rsidP="00740136">
      <w:pPr>
        <w:pStyle w:val="Prrafodelista"/>
        <w:numPr>
          <w:ilvl w:val="0"/>
          <w:numId w:val="6"/>
        </w:numPr>
        <w:spacing w:line="360" w:lineRule="auto"/>
        <w:jc w:val="both"/>
        <w:rPr>
          <w:rFonts w:ascii="Palatino Linotype" w:hAnsi="Palatino Linotype"/>
          <w:color w:val="000000"/>
          <w:szCs w:val="22"/>
        </w:rPr>
      </w:pPr>
      <w:r>
        <w:rPr>
          <w:rFonts w:ascii="Palatino Linotype" w:hAnsi="Palatino Linotype"/>
          <w:color w:val="000000"/>
          <w:szCs w:val="22"/>
        </w:rPr>
        <w:t xml:space="preserve">Documento que acredite las acciones que se han realizado por parte de la Dirección Regional Valle de Toluca en contra de la empresa. </w:t>
      </w:r>
    </w:p>
    <w:p w14:paraId="762479C5" w14:textId="77777777" w:rsidR="00924DDA" w:rsidRPr="00924DDA" w:rsidRDefault="00924DDA" w:rsidP="00740136">
      <w:pPr>
        <w:spacing w:line="360" w:lineRule="auto"/>
        <w:jc w:val="both"/>
        <w:rPr>
          <w:rFonts w:ascii="Palatino Linotype" w:hAnsi="Palatino Linotype" w:cs="Tahoma"/>
          <w:bCs/>
          <w:sz w:val="22"/>
          <w:szCs w:val="22"/>
        </w:rPr>
      </w:pPr>
    </w:p>
    <w:p w14:paraId="733D466C" w14:textId="1D6D0899" w:rsidR="006D4694" w:rsidRDefault="00913A9A" w:rsidP="00740136">
      <w:pPr>
        <w:tabs>
          <w:tab w:val="left" w:pos="4962"/>
        </w:tabs>
        <w:spacing w:line="360" w:lineRule="auto"/>
        <w:jc w:val="both"/>
        <w:rPr>
          <w:rFonts w:ascii="Palatino Linotype" w:eastAsia="Calibri" w:hAnsi="Palatino Linotype" w:cs="Tahoma"/>
          <w:iCs/>
          <w:szCs w:val="22"/>
          <w:lang w:eastAsia="es-ES_tradnl"/>
        </w:rPr>
      </w:pPr>
      <w:r w:rsidRPr="0036707C">
        <w:rPr>
          <w:rFonts w:ascii="Palatino Linotype" w:eastAsia="Calibri" w:hAnsi="Palatino Linotype" w:cs="Tahoma"/>
          <w:iCs/>
          <w:sz w:val="22"/>
          <w:szCs w:val="22"/>
          <w:lang w:eastAsia="es-ES_tradnl"/>
        </w:rPr>
        <w:t xml:space="preserve">En respuesta el Sujeto Obligado, </w:t>
      </w:r>
      <w:r w:rsidR="00DE054E">
        <w:rPr>
          <w:rFonts w:ascii="Palatino Linotype" w:eastAsia="Calibri" w:hAnsi="Palatino Linotype" w:cs="Tahoma"/>
          <w:iCs/>
          <w:sz w:val="22"/>
          <w:szCs w:val="22"/>
          <w:lang w:eastAsia="es-ES_tradnl"/>
        </w:rPr>
        <w:t>manifestó qu</w:t>
      </w:r>
      <w:r w:rsidR="00503655">
        <w:rPr>
          <w:rFonts w:ascii="Palatino Linotype" w:eastAsia="Calibri" w:hAnsi="Palatino Linotype" w:cs="Tahoma"/>
          <w:iCs/>
          <w:sz w:val="22"/>
          <w:szCs w:val="22"/>
          <w:lang w:eastAsia="es-ES_tradnl"/>
        </w:rPr>
        <w:t>e se había instruido al Titular de la Residencia Local Toluca, a efecto de que se aperso</w:t>
      </w:r>
      <w:r w:rsidR="00B17A18">
        <w:rPr>
          <w:rFonts w:ascii="Palatino Linotype" w:eastAsia="Calibri" w:hAnsi="Palatino Linotype" w:cs="Tahoma"/>
          <w:iCs/>
          <w:sz w:val="22"/>
          <w:szCs w:val="22"/>
          <w:lang w:eastAsia="es-ES_tradnl"/>
        </w:rPr>
        <w:t>nara en el domicilio señalado por el Particular, con la finalidad de realizar una inspección de campo para corroborar lo que se encuentra en dicho predio; sin embargo, el Residente reportó la inexistencia del desarrollo habitacional bajo la figura de condominio, por lo que, no procedía por parte de la Dirección Regional Valle de Toluc</w:t>
      </w:r>
      <w:r w:rsidR="006256FD">
        <w:rPr>
          <w:rFonts w:ascii="Palatino Linotype" w:eastAsia="Calibri" w:hAnsi="Palatino Linotype" w:cs="Tahoma"/>
          <w:iCs/>
          <w:sz w:val="22"/>
          <w:szCs w:val="22"/>
          <w:lang w:eastAsia="es-ES_tradnl"/>
        </w:rPr>
        <w:t xml:space="preserve">a tomar alguna medida o acción para instrumentar en su caso procedimiento administrativo común. </w:t>
      </w:r>
    </w:p>
    <w:p w14:paraId="36D59726" w14:textId="01542EDB" w:rsidR="00913A9A" w:rsidRDefault="00913A9A" w:rsidP="00740136">
      <w:pPr>
        <w:tabs>
          <w:tab w:val="left" w:pos="709"/>
        </w:tabs>
        <w:spacing w:line="360" w:lineRule="auto"/>
        <w:ind w:right="-28"/>
        <w:jc w:val="both"/>
        <w:rPr>
          <w:rFonts w:ascii="Palatino Linotype" w:hAnsi="Palatino Linotype"/>
          <w:sz w:val="22"/>
        </w:rPr>
      </w:pPr>
      <w:r w:rsidRPr="00D37195">
        <w:rPr>
          <w:rFonts w:ascii="Palatino Linotype" w:hAnsi="Palatino Linotype" w:cs="Segoe UI"/>
          <w:sz w:val="22"/>
        </w:rPr>
        <w:t xml:space="preserve">Inconforme con la respuesta otorgada por el </w:t>
      </w:r>
      <w:r w:rsidR="00867C4D" w:rsidRPr="00D37195">
        <w:rPr>
          <w:rFonts w:ascii="Palatino Linotype" w:hAnsi="Palatino Linotype" w:cs="Segoe UI"/>
          <w:sz w:val="22"/>
        </w:rPr>
        <w:t>Sujeto Obligado</w:t>
      </w:r>
      <w:r w:rsidRPr="00D37195">
        <w:rPr>
          <w:rFonts w:ascii="Palatino Linotype" w:hAnsi="Palatino Linotype" w:cs="Segoe UI"/>
          <w:sz w:val="22"/>
        </w:rPr>
        <w:t xml:space="preserve">, </w:t>
      </w:r>
      <w:r w:rsidR="00A310EE">
        <w:rPr>
          <w:rFonts w:ascii="Palatino Linotype" w:hAnsi="Palatino Linotype" w:cs="Segoe UI"/>
          <w:sz w:val="22"/>
        </w:rPr>
        <w:t xml:space="preserve">el Particular </w:t>
      </w:r>
      <w:r w:rsidRPr="00D37195">
        <w:rPr>
          <w:rFonts w:ascii="Palatino Linotype" w:hAnsi="Palatino Linotype" w:cs="Segoe UI"/>
          <w:sz w:val="22"/>
        </w:rPr>
        <w:t xml:space="preserve">interpuso </w:t>
      </w:r>
      <w:r w:rsidRPr="00D37195">
        <w:rPr>
          <w:rFonts w:ascii="Palatino Linotype" w:hAnsi="Palatino Linotype" w:cs="Arial"/>
          <w:sz w:val="22"/>
          <w:szCs w:val="28"/>
        </w:rPr>
        <w:t xml:space="preserve">el </w:t>
      </w:r>
      <w:r w:rsidR="00336156">
        <w:rPr>
          <w:rFonts w:ascii="Palatino Linotype" w:hAnsi="Palatino Linotype" w:cs="Arial"/>
          <w:sz w:val="22"/>
          <w:szCs w:val="28"/>
        </w:rPr>
        <w:t>R</w:t>
      </w:r>
      <w:r w:rsidRPr="00D37195">
        <w:rPr>
          <w:rFonts w:ascii="Palatino Linotype" w:hAnsi="Palatino Linotype" w:cs="Arial"/>
          <w:sz w:val="22"/>
          <w:szCs w:val="28"/>
        </w:rPr>
        <w:t xml:space="preserve">ecurso de </w:t>
      </w:r>
      <w:r w:rsidR="00336156">
        <w:rPr>
          <w:rFonts w:ascii="Palatino Linotype" w:hAnsi="Palatino Linotype" w:cs="Arial"/>
          <w:sz w:val="22"/>
          <w:szCs w:val="28"/>
        </w:rPr>
        <w:t>R</w:t>
      </w:r>
      <w:r w:rsidRPr="00D37195">
        <w:rPr>
          <w:rFonts w:ascii="Palatino Linotype" w:hAnsi="Palatino Linotype" w:cs="Arial"/>
          <w:sz w:val="22"/>
          <w:szCs w:val="28"/>
        </w:rPr>
        <w:t>evisión que nos ocupa</w:t>
      </w:r>
      <w:r w:rsidR="005F0BE0">
        <w:rPr>
          <w:rFonts w:ascii="Palatino Linotype" w:hAnsi="Palatino Linotype"/>
          <w:sz w:val="22"/>
        </w:rPr>
        <w:t>, toda vez que la respuesta no corresponde con lo solicitado.</w:t>
      </w:r>
    </w:p>
    <w:p w14:paraId="17EC428A" w14:textId="6F574D93" w:rsidR="00913A9A" w:rsidRDefault="00336156" w:rsidP="00740136">
      <w:pPr>
        <w:spacing w:line="360" w:lineRule="auto"/>
        <w:jc w:val="both"/>
        <w:rPr>
          <w:rFonts w:ascii="Palatino Linotype" w:eastAsia="Calibri" w:hAnsi="Palatino Linotype" w:cs="Tahoma"/>
          <w:bCs/>
          <w:sz w:val="22"/>
          <w:szCs w:val="22"/>
          <w:lang w:eastAsia="en-US"/>
        </w:rPr>
      </w:pPr>
      <w:r>
        <w:rPr>
          <w:rFonts w:ascii="Palatino Linotype" w:eastAsia="Calibri" w:hAnsi="Palatino Linotype" w:cs="Tahoma"/>
          <w:bCs/>
          <w:sz w:val="22"/>
          <w:szCs w:val="22"/>
          <w:lang w:eastAsia="en-US"/>
        </w:rPr>
        <w:lastRenderedPageBreak/>
        <w:t xml:space="preserve">De acuerdo con lo expuesto, se actualiza el supuesto del artículo 179, fracción VI, de la </w:t>
      </w:r>
      <w:r w:rsidRPr="00336156">
        <w:rPr>
          <w:rFonts w:ascii="Palatino Linotype" w:eastAsia="Calibri" w:hAnsi="Palatino Linotype" w:cs="Tahoma"/>
          <w:bCs/>
          <w:sz w:val="22"/>
          <w:szCs w:val="22"/>
          <w:lang w:eastAsia="en-US"/>
        </w:rPr>
        <w:t>Ley de Transparencia y Acceso a la Información Pública del Estado de México y Municipios</w:t>
      </w:r>
      <w:r>
        <w:rPr>
          <w:rFonts w:ascii="Palatino Linotype" w:eastAsia="Calibri" w:hAnsi="Palatino Linotype" w:cs="Tahoma"/>
          <w:bCs/>
          <w:sz w:val="22"/>
          <w:szCs w:val="22"/>
          <w:lang w:eastAsia="en-US"/>
        </w:rPr>
        <w:t xml:space="preserve">, -la entrega de la información no corresponde con lo solicitado-. </w:t>
      </w:r>
      <w:r w:rsidR="00913A9A">
        <w:rPr>
          <w:rFonts w:ascii="Palatino Linotype" w:eastAsia="Calibri" w:hAnsi="Palatino Linotype" w:cs="Tahoma"/>
          <w:bCs/>
          <w:sz w:val="22"/>
          <w:szCs w:val="22"/>
          <w:lang w:eastAsia="en-US"/>
        </w:rPr>
        <w:t>En ese sentido, se advierte que la cuestión a dilucidar es si con la respuesta</w:t>
      </w:r>
      <w:r w:rsidR="006256FD">
        <w:rPr>
          <w:rFonts w:ascii="Palatino Linotype" w:eastAsia="Calibri" w:hAnsi="Palatino Linotype" w:cs="Tahoma"/>
          <w:bCs/>
          <w:sz w:val="22"/>
          <w:szCs w:val="22"/>
          <w:lang w:eastAsia="en-US"/>
        </w:rPr>
        <w:t xml:space="preserve"> otorgada por el Sujeto Obligado</w:t>
      </w:r>
      <w:r w:rsidR="00913A9A">
        <w:rPr>
          <w:rFonts w:ascii="Palatino Linotype" w:eastAsia="Calibri" w:hAnsi="Palatino Linotype" w:cs="Tahoma"/>
          <w:bCs/>
          <w:sz w:val="22"/>
          <w:szCs w:val="22"/>
          <w:lang w:eastAsia="en-US"/>
        </w:rPr>
        <w:t xml:space="preserve"> se satisface </w:t>
      </w:r>
      <w:r w:rsidR="006256FD">
        <w:rPr>
          <w:rFonts w:ascii="Palatino Linotype" w:eastAsia="Calibri" w:hAnsi="Palatino Linotype" w:cs="Tahoma"/>
          <w:bCs/>
          <w:sz w:val="22"/>
          <w:szCs w:val="22"/>
          <w:lang w:eastAsia="en-US"/>
        </w:rPr>
        <w:t xml:space="preserve">lo solicitado por el Particular. </w:t>
      </w:r>
    </w:p>
    <w:p w14:paraId="5DC16AF8" w14:textId="77777777" w:rsidR="00913A9A" w:rsidRDefault="00913A9A" w:rsidP="00740136">
      <w:pPr>
        <w:spacing w:line="360" w:lineRule="auto"/>
        <w:jc w:val="both"/>
        <w:rPr>
          <w:rFonts w:ascii="Palatino Linotype" w:eastAsia="Calibri" w:hAnsi="Palatino Linotype" w:cs="Tahoma"/>
          <w:bCs/>
          <w:sz w:val="22"/>
          <w:szCs w:val="22"/>
          <w:lang w:eastAsia="en-US"/>
        </w:rPr>
      </w:pPr>
    </w:p>
    <w:p w14:paraId="603186D5" w14:textId="77777777" w:rsidR="00913A9A" w:rsidRPr="007A6721" w:rsidRDefault="00913A9A" w:rsidP="00740136">
      <w:pPr>
        <w:spacing w:line="360" w:lineRule="auto"/>
        <w:jc w:val="both"/>
        <w:rPr>
          <w:rFonts w:ascii="Palatino Linotype" w:eastAsia="Calibri" w:hAnsi="Palatino Linotype" w:cs="Tahoma"/>
          <w:bCs/>
          <w:sz w:val="22"/>
          <w:szCs w:val="22"/>
          <w:lang w:eastAsia="en-US"/>
        </w:rPr>
      </w:pPr>
      <w:r>
        <w:rPr>
          <w:rFonts w:ascii="Palatino Linotype" w:eastAsia="Calibri" w:hAnsi="Palatino Linotype" w:cs="Tahoma"/>
          <w:bCs/>
          <w:sz w:val="22"/>
          <w:szCs w:val="22"/>
          <w:lang w:eastAsia="en-US"/>
        </w:rPr>
        <w:t>Es importante precisar</w:t>
      </w:r>
      <w:r w:rsidRPr="007A6721">
        <w:rPr>
          <w:rFonts w:ascii="Palatino Linotype" w:eastAsia="Calibri" w:hAnsi="Palatino Linotype" w:cs="Tahoma"/>
          <w:bCs/>
          <w:sz w:val="22"/>
          <w:szCs w:val="22"/>
          <w:lang w:eastAsia="en-US"/>
        </w:rPr>
        <w:t xml:space="preserve"> que las documentales </w:t>
      </w:r>
      <w:r>
        <w:rPr>
          <w:rFonts w:ascii="Palatino Linotype" w:eastAsia="Calibri" w:hAnsi="Palatino Linotype" w:cs="Tahoma"/>
          <w:bCs/>
          <w:sz w:val="22"/>
          <w:szCs w:val="22"/>
          <w:lang w:eastAsia="en-US"/>
        </w:rPr>
        <w:t>descritas anteriormente o</w:t>
      </w:r>
      <w:r w:rsidRPr="007A6721">
        <w:rPr>
          <w:rFonts w:ascii="Palatino Linotype" w:eastAsia="Calibri" w:hAnsi="Palatino Linotype" w:cs="Tahoma"/>
          <w:bCs/>
          <w:sz w:val="22"/>
          <w:szCs w:val="22"/>
          <w:lang w:eastAsia="en-US"/>
        </w:rPr>
        <w:t xml:space="preserve">bran en el expediente electrónico </w:t>
      </w:r>
      <w:r>
        <w:rPr>
          <w:rFonts w:ascii="Palatino Linotype" w:eastAsia="Calibri" w:hAnsi="Palatino Linotype" w:cs="Tahoma"/>
          <w:bCs/>
          <w:sz w:val="22"/>
          <w:szCs w:val="22"/>
          <w:lang w:eastAsia="en-US"/>
        </w:rPr>
        <w:t>del</w:t>
      </w:r>
      <w:r w:rsidRPr="007A6721">
        <w:rPr>
          <w:rFonts w:ascii="Palatino Linotype" w:eastAsia="Calibri" w:hAnsi="Palatino Linotype" w:cs="Tahoma"/>
          <w:bCs/>
          <w:sz w:val="22"/>
          <w:szCs w:val="22"/>
          <w:lang w:eastAsia="en-US"/>
        </w:rPr>
        <w:t xml:space="preserve"> </w:t>
      </w:r>
      <w:r>
        <w:rPr>
          <w:rFonts w:ascii="Palatino Linotype" w:eastAsia="Calibri" w:hAnsi="Palatino Linotype" w:cs="Tahoma"/>
          <w:bCs/>
          <w:sz w:val="22"/>
          <w:szCs w:val="22"/>
          <w:lang w:eastAsia="en-US"/>
        </w:rPr>
        <w:t xml:space="preserve"> </w:t>
      </w:r>
      <w:r w:rsidRPr="007A6721">
        <w:rPr>
          <w:rFonts w:ascii="Palatino Linotype" w:eastAsia="Calibri" w:hAnsi="Palatino Linotype" w:cs="Tahoma"/>
          <w:bCs/>
          <w:sz w:val="22"/>
          <w:szCs w:val="22"/>
          <w:lang w:eastAsia="en-US"/>
        </w:rPr>
        <w:t>R</w:t>
      </w:r>
      <w:r>
        <w:rPr>
          <w:rFonts w:ascii="Palatino Linotype" w:eastAsia="Calibri" w:hAnsi="Palatino Linotype" w:cs="Tahoma"/>
          <w:bCs/>
          <w:sz w:val="22"/>
          <w:szCs w:val="22"/>
          <w:lang w:eastAsia="en-US"/>
        </w:rPr>
        <w:t xml:space="preserve">ecurso </w:t>
      </w:r>
      <w:r w:rsidRPr="007A6721">
        <w:rPr>
          <w:rFonts w:ascii="Palatino Linotype" w:eastAsia="Calibri" w:hAnsi="Palatino Linotype" w:cs="Tahoma"/>
          <w:bCs/>
          <w:sz w:val="22"/>
          <w:szCs w:val="22"/>
          <w:lang w:eastAsia="en-US"/>
        </w:rPr>
        <w:t>de Revisión</w:t>
      </w:r>
      <w:r>
        <w:rPr>
          <w:rFonts w:ascii="Palatino Linotype" w:eastAsia="Calibri" w:hAnsi="Palatino Linotype" w:cs="Tahoma"/>
          <w:bCs/>
          <w:sz w:val="22"/>
          <w:szCs w:val="22"/>
          <w:lang w:eastAsia="en-US"/>
        </w:rPr>
        <w:t>, las cuales se tomaran</w:t>
      </w:r>
      <w:r w:rsidRPr="007A6721">
        <w:rPr>
          <w:rFonts w:ascii="Palatino Linotype" w:eastAsia="Calibri" w:hAnsi="Palatino Linotype" w:cs="Tahoma"/>
          <w:bCs/>
          <w:sz w:val="22"/>
          <w:szCs w:val="22"/>
          <w:lang w:eastAsia="en-US"/>
        </w:rPr>
        <w:t xml:space="preserve"> en cuenta a efecto de resolver el </w:t>
      </w:r>
      <w:r>
        <w:rPr>
          <w:rFonts w:ascii="Palatino Linotype" w:eastAsia="Calibri" w:hAnsi="Palatino Linotype" w:cs="Tahoma"/>
          <w:bCs/>
          <w:sz w:val="22"/>
          <w:szCs w:val="22"/>
          <w:lang w:eastAsia="en-US"/>
        </w:rPr>
        <w:t xml:space="preserve">presente medio de impugnación, de conformidad </w:t>
      </w:r>
      <w:r w:rsidRPr="007A6721">
        <w:rPr>
          <w:rFonts w:ascii="Palatino Linotype" w:eastAsia="Calibri" w:hAnsi="Palatino Linotype" w:cs="Tahoma"/>
          <w:bCs/>
          <w:sz w:val="22"/>
          <w:szCs w:val="22"/>
          <w:lang w:eastAsia="en-US"/>
        </w:rPr>
        <w:t>a lo dispuesto por el artículo 185, fracción IV, de la Ley de Transparencia y Acceso a la Información Pública del Estado de México y Municipios.</w:t>
      </w:r>
    </w:p>
    <w:p w14:paraId="670E71F1" w14:textId="77777777" w:rsidR="00913A9A" w:rsidRPr="00D04F20" w:rsidRDefault="00913A9A" w:rsidP="00740136">
      <w:pPr>
        <w:tabs>
          <w:tab w:val="left" w:pos="4962"/>
        </w:tabs>
        <w:spacing w:line="360" w:lineRule="auto"/>
        <w:jc w:val="both"/>
        <w:rPr>
          <w:rFonts w:ascii="Palatino Linotype" w:eastAsia="Calibri" w:hAnsi="Palatino Linotype" w:cs="Tahoma"/>
          <w:iCs/>
          <w:sz w:val="22"/>
          <w:szCs w:val="22"/>
          <w:lang w:eastAsia="es-ES_tradnl"/>
        </w:rPr>
      </w:pPr>
    </w:p>
    <w:p w14:paraId="30361F37" w14:textId="77777777" w:rsidR="00913A9A" w:rsidRPr="001E0D8F" w:rsidRDefault="00913A9A" w:rsidP="00740136">
      <w:pPr>
        <w:spacing w:line="360" w:lineRule="auto"/>
        <w:ind w:right="-93"/>
        <w:jc w:val="both"/>
        <w:rPr>
          <w:rFonts w:ascii="Palatino Linotype" w:hAnsi="Palatino Linotype" w:cs="Tahoma"/>
          <w:b/>
          <w:sz w:val="22"/>
          <w:szCs w:val="22"/>
        </w:rPr>
      </w:pPr>
      <w:r w:rsidRPr="007A6721">
        <w:rPr>
          <w:rFonts w:ascii="Palatino Linotype" w:eastAsia="Calibri" w:hAnsi="Palatino Linotype" w:cs="Tahoma"/>
          <w:b/>
          <w:bCs/>
          <w:sz w:val="22"/>
          <w:szCs w:val="22"/>
          <w:lang w:eastAsia="en-US"/>
        </w:rPr>
        <w:t xml:space="preserve">CUARTO. </w:t>
      </w:r>
      <w:r w:rsidRPr="001E0D8F">
        <w:rPr>
          <w:rFonts w:ascii="Palatino Linotype" w:hAnsi="Palatino Linotype" w:cs="Tahoma"/>
          <w:b/>
          <w:sz w:val="22"/>
          <w:szCs w:val="22"/>
        </w:rPr>
        <w:t>Marco normativo aplicable en materia de transparencia y acceso a la información pública.</w:t>
      </w:r>
    </w:p>
    <w:p w14:paraId="275853B4" w14:textId="77777777" w:rsidR="00913A9A" w:rsidRDefault="00913A9A" w:rsidP="00740136">
      <w:pPr>
        <w:spacing w:line="360" w:lineRule="auto"/>
        <w:jc w:val="both"/>
        <w:rPr>
          <w:rFonts w:ascii="Palatino Linotype" w:eastAsia="Calibri" w:hAnsi="Palatino Linotype" w:cs="Tahoma"/>
          <w:b/>
          <w:bCs/>
          <w:sz w:val="22"/>
          <w:szCs w:val="22"/>
          <w:lang w:eastAsia="en-US"/>
        </w:rPr>
      </w:pPr>
    </w:p>
    <w:p w14:paraId="028FE840" w14:textId="77777777" w:rsidR="00913A9A" w:rsidRPr="001E0D8F" w:rsidRDefault="00913A9A" w:rsidP="00740136">
      <w:pPr>
        <w:spacing w:line="360" w:lineRule="auto"/>
        <w:contextualSpacing/>
        <w:jc w:val="both"/>
        <w:rPr>
          <w:rFonts w:ascii="Palatino Linotype" w:hAnsi="Palatino Linotype" w:cs="Tahoma"/>
          <w:sz w:val="22"/>
          <w:szCs w:val="22"/>
        </w:rPr>
      </w:pPr>
      <w:r w:rsidRPr="001E0D8F">
        <w:rPr>
          <w:rFonts w:ascii="Palatino Linotype" w:hAnsi="Palatino Linotype" w:cs="Tahoma"/>
          <w:sz w:val="22"/>
          <w:szCs w:val="22"/>
        </w:rPr>
        <w:t>El artículo 6°, Apartado A), fracción I de la Constitución Política de los Estados Unidos Mexicanos, establece que toda la información en posesión de cualquier autoridad, es pública y sólo podrá ser reservada temporalmente por razones de interés público.</w:t>
      </w:r>
    </w:p>
    <w:p w14:paraId="65CD9A24" w14:textId="77777777" w:rsidR="00913A9A" w:rsidRPr="001E0D8F" w:rsidRDefault="00913A9A" w:rsidP="00740136">
      <w:pPr>
        <w:spacing w:line="360" w:lineRule="auto"/>
        <w:contextualSpacing/>
        <w:jc w:val="both"/>
        <w:rPr>
          <w:rFonts w:ascii="Palatino Linotype" w:hAnsi="Palatino Linotype" w:cs="Tahoma"/>
          <w:sz w:val="22"/>
          <w:szCs w:val="22"/>
        </w:rPr>
      </w:pPr>
    </w:p>
    <w:p w14:paraId="1B9F4E72" w14:textId="77777777" w:rsidR="00913A9A" w:rsidRPr="001E0D8F" w:rsidRDefault="00913A9A" w:rsidP="00740136">
      <w:pPr>
        <w:spacing w:line="360" w:lineRule="auto"/>
        <w:jc w:val="both"/>
        <w:rPr>
          <w:rFonts w:ascii="Palatino Linotype" w:hAnsi="Palatino Linotype" w:cs="Tahoma"/>
          <w:sz w:val="22"/>
          <w:szCs w:val="22"/>
        </w:rPr>
      </w:pPr>
      <w:r w:rsidRPr="001E0D8F">
        <w:rPr>
          <w:rFonts w:ascii="Palatino Linotype" w:hAnsi="Palatino Linotype" w:cs="Tahoma"/>
          <w:sz w:val="22"/>
          <w:szCs w:val="22"/>
        </w:rPr>
        <w:t>La Ley General de Transparencia y Acceso a la Información Pública, publicada en el Diario Oficial de la Federación el 4 de mayo de 2015, dispone en su artículo 70, la información que se considera corresponde a las Obligaciones de Transparencia, la cual debe estar disponible para cualquier persona de manera permanente y actualizada.</w:t>
      </w:r>
    </w:p>
    <w:p w14:paraId="49911D17" w14:textId="77777777" w:rsidR="00913A9A" w:rsidRPr="001E0D8F" w:rsidRDefault="00913A9A" w:rsidP="00740136">
      <w:pPr>
        <w:spacing w:line="360" w:lineRule="auto"/>
        <w:jc w:val="both"/>
        <w:rPr>
          <w:rFonts w:ascii="Palatino Linotype" w:hAnsi="Palatino Linotype" w:cs="Tahoma"/>
          <w:sz w:val="22"/>
          <w:szCs w:val="22"/>
        </w:rPr>
      </w:pPr>
    </w:p>
    <w:p w14:paraId="5F15E59A" w14:textId="77777777" w:rsidR="00913A9A" w:rsidRPr="001E0D8F" w:rsidRDefault="00913A9A" w:rsidP="00740136">
      <w:pPr>
        <w:spacing w:line="360" w:lineRule="auto"/>
        <w:jc w:val="both"/>
        <w:rPr>
          <w:rFonts w:ascii="Palatino Linotype" w:hAnsi="Palatino Linotype" w:cs="Tahoma"/>
          <w:sz w:val="22"/>
          <w:szCs w:val="22"/>
        </w:rPr>
      </w:pPr>
      <w:r w:rsidRPr="001E0D8F">
        <w:rPr>
          <w:rFonts w:ascii="Palatino Linotype" w:hAnsi="Palatino Linotype" w:cs="Tahoma"/>
          <w:sz w:val="22"/>
          <w:szCs w:val="22"/>
        </w:rPr>
        <w:t xml:space="preserve">En este sentido, los Lineamientos técnicos generales para la publicación, homologación y estandarización de la información de las obligaciones establecidas en el título quinto y en la </w:t>
      </w:r>
      <w:r w:rsidRPr="001E0D8F">
        <w:rPr>
          <w:rFonts w:ascii="Palatino Linotype" w:hAnsi="Palatino Linotype" w:cs="Tahoma"/>
          <w:sz w:val="22"/>
          <w:szCs w:val="22"/>
        </w:rPr>
        <w:lastRenderedPageBreak/>
        <w:t>fracción IV del artículo 31 de la Ley General de Transparencia y Acceso a la Información Pública, que deben de difundir los sujetos Obligados en los portales de Internet y en la Plataforma Nacional de Transparencia, establecen los formatos para dar cumplimiento a las Obligaciones de Transparencia, así como los plazos de actualización.</w:t>
      </w:r>
    </w:p>
    <w:p w14:paraId="66163483" w14:textId="77777777" w:rsidR="00913A9A" w:rsidRPr="001E0D8F" w:rsidRDefault="00913A9A" w:rsidP="00740136">
      <w:pPr>
        <w:spacing w:line="360" w:lineRule="auto"/>
        <w:jc w:val="both"/>
        <w:rPr>
          <w:rFonts w:ascii="Palatino Linotype" w:hAnsi="Palatino Linotype" w:cs="Tahoma"/>
          <w:sz w:val="22"/>
          <w:szCs w:val="22"/>
        </w:rPr>
      </w:pPr>
    </w:p>
    <w:p w14:paraId="7CE9712F" w14:textId="77777777" w:rsidR="00913A9A" w:rsidRPr="001E0D8F" w:rsidRDefault="00913A9A" w:rsidP="00740136">
      <w:pPr>
        <w:spacing w:line="360" w:lineRule="auto"/>
        <w:jc w:val="both"/>
        <w:rPr>
          <w:rFonts w:ascii="Palatino Linotype" w:hAnsi="Palatino Linotype" w:cs="Tahoma"/>
          <w:sz w:val="22"/>
          <w:szCs w:val="22"/>
        </w:rPr>
      </w:pPr>
      <w:r w:rsidRPr="001E0D8F">
        <w:rPr>
          <w:rFonts w:ascii="Palatino Linotype" w:hAnsi="Palatino Linotype" w:cs="Tahoma"/>
          <w:sz w:val="22"/>
          <w:szCs w:val="22"/>
        </w:rPr>
        <w:t>Por su parte, en materia local, el artículo 5°, fracción I de la Constitución Política del Estado Libre y Soberano de México, es coincidente con la Constitución Federal, en el sentido de la publicidad de toda la información, con la única restricción de proteger el interés público, así como la información referente a la intimidad de la vida privada y la imagen de las personas, con las excepciones que establezca la ley reglamentaria.</w:t>
      </w:r>
    </w:p>
    <w:p w14:paraId="22A811FC" w14:textId="77777777" w:rsidR="00913A9A" w:rsidRPr="001E0D8F" w:rsidRDefault="00913A9A" w:rsidP="00740136">
      <w:pPr>
        <w:spacing w:line="360" w:lineRule="auto"/>
        <w:jc w:val="both"/>
        <w:rPr>
          <w:rFonts w:ascii="Palatino Linotype" w:hAnsi="Palatino Linotype" w:cs="Tahoma"/>
          <w:sz w:val="22"/>
          <w:szCs w:val="22"/>
        </w:rPr>
      </w:pPr>
    </w:p>
    <w:p w14:paraId="24C6B868" w14:textId="77777777" w:rsidR="00913A9A" w:rsidRPr="001E0D8F" w:rsidRDefault="00913A9A" w:rsidP="00740136">
      <w:pPr>
        <w:spacing w:line="360" w:lineRule="auto"/>
        <w:jc w:val="both"/>
        <w:rPr>
          <w:rFonts w:ascii="Palatino Linotype" w:hAnsi="Palatino Linotype" w:cs="Tahoma"/>
          <w:sz w:val="22"/>
          <w:szCs w:val="22"/>
        </w:rPr>
      </w:pPr>
      <w:r w:rsidRPr="001E0D8F">
        <w:rPr>
          <w:rFonts w:ascii="Palatino Linotype" w:hAnsi="Palatino Linotype" w:cs="Tahoma"/>
          <w:sz w:val="22"/>
          <w:szCs w:val="22"/>
        </w:rPr>
        <w:t>Por su parte, la Ley de Transparencia y Acceso a la Información Pública del Estado de México y Municipios (Reglamentaria del artículo 5° de la Constitución Local), establece lo siguiente:</w:t>
      </w:r>
    </w:p>
    <w:p w14:paraId="769D28AC" w14:textId="77777777" w:rsidR="00913A9A" w:rsidRPr="001E0D8F" w:rsidRDefault="00913A9A" w:rsidP="00740136">
      <w:pPr>
        <w:spacing w:line="360" w:lineRule="auto"/>
        <w:jc w:val="both"/>
        <w:rPr>
          <w:rFonts w:ascii="Palatino Linotype" w:hAnsi="Palatino Linotype" w:cs="Tahoma"/>
          <w:sz w:val="22"/>
          <w:szCs w:val="22"/>
        </w:rPr>
      </w:pPr>
    </w:p>
    <w:p w14:paraId="062E45D9" w14:textId="77777777" w:rsidR="00913A9A" w:rsidRPr="001E0D8F" w:rsidRDefault="00913A9A" w:rsidP="00740136">
      <w:pPr>
        <w:spacing w:line="360" w:lineRule="auto"/>
        <w:jc w:val="both"/>
        <w:rPr>
          <w:rFonts w:ascii="Palatino Linotype" w:hAnsi="Palatino Linotype" w:cs="Tahoma"/>
          <w:sz w:val="22"/>
          <w:szCs w:val="22"/>
        </w:rPr>
      </w:pPr>
      <w:r w:rsidRPr="001E0D8F">
        <w:rPr>
          <w:rFonts w:ascii="Palatino Linotype" w:hAnsi="Palatino Linotype" w:cs="Tahoma"/>
          <w:sz w:val="22"/>
          <w:szCs w:val="22"/>
        </w:rPr>
        <w:t>El artículo 12, que, quienes generen, recopilen, administren, manejen, procesen, archiven o conserven información pública serán responsables de la misma.</w:t>
      </w:r>
    </w:p>
    <w:p w14:paraId="383A56F2" w14:textId="77777777" w:rsidR="00913A9A" w:rsidRPr="001E0D8F" w:rsidRDefault="00913A9A" w:rsidP="00740136">
      <w:pPr>
        <w:spacing w:line="360" w:lineRule="auto"/>
        <w:jc w:val="both"/>
        <w:rPr>
          <w:rFonts w:ascii="Palatino Linotype" w:hAnsi="Palatino Linotype" w:cs="Tahoma"/>
          <w:sz w:val="22"/>
          <w:szCs w:val="22"/>
        </w:rPr>
      </w:pPr>
    </w:p>
    <w:p w14:paraId="312655D6" w14:textId="77777777" w:rsidR="00913A9A" w:rsidRPr="001E0D8F" w:rsidRDefault="00913A9A" w:rsidP="00740136">
      <w:pPr>
        <w:spacing w:line="360" w:lineRule="auto"/>
        <w:jc w:val="both"/>
        <w:rPr>
          <w:rFonts w:ascii="Palatino Linotype" w:hAnsi="Palatino Linotype" w:cs="Tahoma"/>
          <w:sz w:val="22"/>
          <w:szCs w:val="22"/>
        </w:rPr>
      </w:pPr>
      <w:r w:rsidRPr="001E0D8F">
        <w:rPr>
          <w:rFonts w:ascii="Palatino Linotype" w:hAnsi="Palatino Linotype" w:cs="Tahoma"/>
          <w:sz w:val="22"/>
          <w:szCs w:val="22"/>
        </w:rPr>
        <w:t>El artículo 18, que, los Sujetos Obligados deberán documentar todo acto que derive del ejercicio de sus facultades, competencias o funciones, considerando desde su origen la eventual publicidad y reutilización de la información que generen.</w:t>
      </w:r>
    </w:p>
    <w:p w14:paraId="26B7B701" w14:textId="77777777" w:rsidR="00913A9A" w:rsidRPr="001E0D8F" w:rsidRDefault="00913A9A" w:rsidP="00740136">
      <w:pPr>
        <w:spacing w:line="360" w:lineRule="auto"/>
        <w:jc w:val="both"/>
        <w:rPr>
          <w:rFonts w:ascii="Palatino Linotype" w:hAnsi="Palatino Linotype" w:cs="Tahoma"/>
          <w:sz w:val="22"/>
          <w:szCs w:val="22"/>
        </w:rPr>
      </w:pPr>
    </w:p>
    <w:p w14:paraId="70F4670B" w14:textId="77777777" w:rsidR="00913A9A" w:rsidRPr="001E0D8F" w:rsidRDefault="00913A9A" w:rsidP="00740136">
      <w:pPr>
        <w:spacing w:line="360" w:lineRule="auto"/>
        <w:jc w:val="both"/>
        <w:rPr>
          <w:rFonts w:ascii="Palatino Linotype" w:hAnsi="Palatino Linotype" w:cs="Tahoma"/>
          <w:sz w:val="22"/>
          <w:szCs w:val="22"/>
        </w:rPr>
      </w:pPr>
      <w:r w:rsidRPr="001E0D8F">
        <w:rPr>
          <w:rFonts w:ascii="Palatino Linotype" w:hAnsi="Palatino Linotype" w:cs="Tahoma"/>
          <w:sz w:val="22"/>
          <w:szCs w:val="22"/>
        </w:rPr>
        <w:t>El artículo 19, que, se presume que la información debe existir si se refiere a las facultades, competencias y funciones que los ordenamientos jurídicos aplicables otorgan a los sujetos Obligados y en caso de que dichas facultades no se hayan ejercido, se deberá motivar la respuesta en función de las causas que motivaron tal circunstancia.</w:t>
      </w:r>
    </w:p>
    <w:p w14:paraId="6B220E59" w14:textId="77777777" w:rsidR="00913A9A" w:rsidRDefault="00913A9A" w:rsidP="00740136">
      <w:pPr>
        <w:spacing w:line="360" w:lineRule="auto"/>
        <w:jc w:val="both"/>
        <w:rPr>
          <w:rFonts w:ascii="Palatino Linotype" w:hAnsi="Palatino Linotype" w:cs="Tahoma"/>
          <w:sz w:val="22"/>
          <w:szCs w:val="22"/>
        </w:rPr>
      </w:pPr>
    </w:p>
    <w:p w14:paraId="148D6831" w14:textId="77777777" w:rsidR="00913A9A" w:rsidRPr="001E0D8F" w:rsidRDefault="00913A9A" w:rsidP="00740136">
      <w:pPr>
        <w:spacing w:line="360" w:lineRule="auto"/>
        <w:ind w:right="-93"/>
        <w:jc w:val="both"/>
        <w:rPr>
          <w:rFonts w:ascii="Palatino Linotype" w:hAnsi="Palatino Linotype" w:cs="Tahoma"/>
          <w:b/>
          <w:sz w:val="22"/>
          <w:szCs w:val="22"/>
        </w:rPr>
      </w:pPr>
      <w:r w:rsidRPr="001E0D8F">
        <w:rPr>
          <w:rFonts w:ascii="Palatino Linotype" w:hAnsi="Palatino Linotype" w:cs="Tahoma"/>
          <w:b/>
          <w:sz w:val="22"/>
          <w:szCs w:val="22"/>
        </w:rPr>
        <w:lastRenderedPageBreak/>
        <w:t>QUINTO. Estudio de Fondo.</w:t>
      </w:r>
    </w:p>
    <w:p w14:paraId="0FE2DD05" w14:textId="77777777" w:rsidR="00913A9A" w:rsidRDefault="00913A9A" w:rsidP="00740136">
      <w:pPr>
        <w:spacing w:line="360" w:lineRule="auto"/>
        <w:ind w:right="-93"/>
        <w:jc w:val="both"/>
        <w:rPr>
          <w:rFonts w:ascii="Palatino Linotype" w:eastAsia="Calibri" w:hAnsi="Palatino Linotype" w:cs="Tahoma"/>
          <w:bCs/>
          <w:sz w:val="22"/>
          <w:szCs w:val="22"/>
          <w:lang w:eastAsia="en-US"/>
        </w:rPr>
      </w:pPr>
    </w:p>
    <w:p w14:paraId="0D45CBA8" w14:textId="77777777" w:rsidR="00913A9A" w:rsidRPr="001E0D8F" w:rsidRDefault="00913A9A" w:rsidP="00740136">
      <w:pPr>
        <w:spacing w:line="360" w:lineRule="auto"/>
        <w:ind w:right="-93"/>
        <w:jc w:val="both"/>
        <w:rPr>
          <w:rFonts w:ascii="Palatino Linotype" w:eastAsia="Calibri" w:hAnsi="Palatino Linotype" w:cs="Tahoma"/>
          <w:bCs/>
          <w:sz w:val="22"/>
          <w:szCs w:val="22"/>
          <w:lang w:eastAsia="en-US"/>
        </w:rPr>
      </w:pPr>
      <w:r w:rsidRPr="001E0D8F">
        <w:rPr>
          <w:rFonts w:ascii="Palatino Linotype" w:eastAsia="Calibri" w:hAnsi="Palatino Linotype" w:cs="Tahoma"/>
          <w:bCs/>
          <w:sz w:val="22"/>
          <w:szCs w:val="22"/>
          <w:lang w:eastAsia="en-US"/>
        </w:rPr>
        <w:t>En principio, es de suma importancia señalar los objetivos de la Ley de Transparencia y Acceso a la Información Pública del Estado de México y Municipios, en relación con la obligación de acceso por parte de los Sujetos Obligados, los cuales se encuentran establecidos en el artículo 2° de dicho ordenamiento jurídico y son los siguientes:</w:t>
      </w:r>
    </w:p>
    <w:p w14:paraId="49A2A068" w14:textId="77777777" w:rsidR="00913A9A" w:rsidRPr="001E0D8F" w:rsidRDefault="00913A9A" w:rsidP="00740136">
      <w:pPr>
        <w:spacing w:line="360" w:lineRule="auto"/>
        <w:ind w:right="-93"/>
        <w:jc w:val="both"/>
        <w:rPr>
          <w:rFonts w:ascii="Palatino Linotype" w:eastAsia="Calibri" w:hAnsi="Palatino Linotype" w:cs="Tahoma"/>
          <w:bCs/>
          <w:sz w:val="22"/>
          <w:szCs w:val="22"/>
          <w:lang w:eastAsia="en-US"/>
        </w:rPr>
      </w:pPr>
    </w:p>
    <w:p w14:paraId="7EF08E58" w14:textId="77777777" w:rsidR="00913A9A" w:rsidRPr="001E0D8F" w:rsidRDefault="00913A9A" w:rsidP="00740136">
      <w:pPr>
        <w:pStyle w:val="Prrafodelista"/>
        <w:numPr>
          <w:ilvl w:val="0"/>
          <w:numId w:val="2"/>
        </w:numPr>
        <w:spacing w:line="360" w:lineRule="auto"/>
        <w:ind w:right="-93"/>
        <w:jc w:val="both"/>
        <w:rPr>
          <w:rFonts w:ascii="Palatino Linotype" w:eastAsia="Calibri" w:hAnsi="Palatino Linotype" w:cs="Tahoma"/>
          <w:bCs/>
          <w:szCs w:val="22"/>
          <w:lang w:eastAsia="en-US"/>
        </w:rPr>
      </w:pPr>
      <w:r w:rsidRPr="001E0D8F">
        <w:rPr>
          <w:rFonts w:ascii="Palatino Linotype" w:eastAsia="Calibri" w:hAnsi="Palatino Linotype" w:cs="Tahoma"/>
          <w:bCs/>
          <w:szCs w:val="22"/>
          <w:lang w:eastAsia="en-US"/>
        </w:rPr>
        <w:t>Proveer lo necesario para garantizar a toda persona el derecho de acceso a la información pública, a través de procedimientos sencillos, expeditos, oportunos y gratuitos;</w:t>
      </w:r>
    </w:p>
    <w:p w14:paraId="6D91BAA1" w14:textId="77777777" w:rsidR="00913A9A" w:rsidRPr="001E0D8F" w:rsidRDefault="00913A9A" w:rsidP="00740136">
      <w:pPr>
        <w:spacing w:line="360" w:lineRule="auto"/>
        <w:ind w:left="360" w:right="-93"/>
        <w:jc w:val="both"/>
        <w:rPr>
          <w:rFonts w:ascii="Palatino Linotype" w:eastAsia="Calibri" w:hAnsi="Palatino Linotype" w:cs="Tahoma"/>
          <w:bCs/>
          <w:sz w:val="22"/>
          <w:szCs w:val="22"/>
          <w:lang w:eastAsia="en-US"/>
        </w:rPr>
      </w:pPr>
    </w:p>
    <w:p w14:paraId="0AB1ABA7" w14:textId="77777777" w:rsidR="00913A9A" w:rsidRPr="001E0D8F" w:rsidRDefault="00913A9A" w:rsidP="00740136">
      <w:pPr>
        <w:pStyle w:val="Prrafodelista"/>
        <w:numPr>
          <w:ilvl w:val="0"/>
          <w:numId w:val="2"/>
        </w:numPr>
        <w:spacing w:line="360" w:lineRule="auto"/>
        <w:ind w:right="-93"/>
        <w:jc w:val="both"/>
        <w:rPr>
          <w:rFonts w:ascii="Palatino Linotype" w:eastAsia="Calibri" w:hAnsi="Palatino Linotype" w:cs="Tahoma"/>
          <w:bCs/>
          <w:szCs w:val="22"/>
          <w:lang w:eastAsia="en-US"/>
        </w:rPr>
      </w:pPr>
      <w:r w:rsidRPr="001E0D8F">
        <w:rPr>
          <w:rFonts w:ascii="Palatino Linotype" w:eastAsia="Calibri" w:hAnsi="Palatino Linotype" w:cs="Tahoma"/>
          <w:bCs/>
          <w:szCs w:val="22"/>
          <w:lang w:eastAsia="en-US"/>
        </w:rPr>
        <w:t>Transparentar la gestión pública, mediante la difusión de la información generada por los Sujetos Obligados, y</w:t>
      </w:r>
    </w:p>
    <w:p w14:paraId="5D12CE34" w14:textId="77777777" w:rsidR="00913A9A" w:rsidRPr="001E0D8F" w:rsidRDefault="00913A9A" w:rsidP="00740136">
      <w:pPr>
        <w:pStyle w:val="Prrafodelista"/>
        <w:spacing w:line="360" w:lineRule="auto"/>
        <w:rPr>
          <w:rFonts w:ascii="Palatino Linotype" w:eastAsia="Calibri" w:hAnsi="Palatino Linotype" w:cs="Tahoma"/>
          <w:bCs/>
          <w:szCs w:val="22"/>
          <w:lang w:eastAsia="en-US"/>
        </w:rPr>
      </w:pPr>
    </w:p>
    <w:p w14:paraId="357D84FF" w14:textId="77777777" w:rsidR="00913A9A" w:rsidRPr="001E0D8F" w:rsidRDefault="00913A9A" w:rsidP="00740136">
      <w:pPr>
        <w:pStyle w:val="Prrafodelista"/>
        <w:numPr>
          <w:ilvl w:val="0"/>
          <w:numId w:val="2"/>
        </w:numPr>
        <w:spacing w:line="360" w:lineRule="auto"/>
        <w:ind w:right="-93"/>
        <w:jc w:val="both"/>
        <w:rPr>
          <w:rFonts w:ascii="Palatino Linotype" w:eastAsia="Calibri" w:hAnsi="Palatino Linotype" w:cs="Tahoma"/>
          <w:bCs/>
          <w:szCs w:val="22"/>
          <w:lang w:eastAsia="en-US"/>
        </w:rPr>
      </w:pPr>
      <w:r w:rsidRPr="001E0D8F">
        <w:rPr>
          <w:rFonts w:ascii="Palatino Linotype" w:eastAsia="Calibri" w:hAnsi="Palatino Linotype" w:cs="Tahoma"/>
          <w:bCs/>
          <w:szCs w:val="22"/>
          <w:lang w:eastAsia="en-US"/>
        </w:rPr>
        <w:t>Promover, fomentar y difundir la cultura de la transparencia en el ejercicio de la función pública, el acceso a la información y la participación ciudadana, así como, la rendición de cuentas.</w:t>
      </w:r>
    </w:p>
    <w:p w14:paraId="2B63F7E4" w14:textId="77777777" w:rsidR="00913A9A" w:rsidRPr="001E0D8F" w:rsidRDefault="00913A9A" w:rsidP="00740136">
      <w:pPr>
        <w:spacing w:line="360" w:lineRule="auto"/>
        <w:ind w:right="-93"/>
        <w:jc w:val="both"/>
        <w:rPr>
          <w:rFonts w:ascii="Palatino Linotype" w:eastAsia="Calibri" w:hAnsi="Palatino Linotype" w:cs="Tahoma"/>
          <w:bCs/>
          <w:sz w:val="22"/>
          <w:szCs w:val="22"/>
          <w:lang w:eastAsia="en-US"/>
        </w:rPr>
      </w:pPr>
    </w:p>
    <w:p w14:paraId="3529A3B8" w14:textId="77777777" w:rsidR="00913A9A" w:rsidRPr="001E0D8F" w:rsidRDefault="00913A9A" w:rsidP="00740136">
      <w:pPr>
        <w:spacing w:line="360" w:lineRule="auto"/>
        <w:ind w:right="-93"/>
        <w:jc w:val="both"/>
        <w:rPr>
          <w:rFonts w:ascii="Palatino Linotype" w:eastAsia="Calibri" w:hAnsi="Palatino Linotype" w:cs="Tahoma"/>
          <w:bCs/>
          <w:sz w:val="22"/>
          <w:szCs w:val="22"/>
          <w:lang w:eastAsia="en-US"/>
        </w:rPr>
      </w:pPr>
      <w:r w:rsidRPr="001E0D8F">
        <w:rPr>
          <w:rFonts w:ascii="Palatino Linotype" w:eastAsia="Calibri" w:hAnsi="Palatino Linotype" w:cs="Tahoma"/>
          <w:bCs/>
          <w:sz w:val="22"/>
          <w:szCs w:val="22"/>
          <w:lang w:eastAsia="en-US"/>
        </w:rPr>
        <w:t xml:space="preserve">Conforme a lo anterior, se deprende que </w:t>
      </w:r>
      <w:r w:rsidRPr="001E0D8F">
        <w:rPr>
          <w:rFonts w:ascii="Palatino Linotype" w:eastAsia="Calibri" w:hAnsi="Palatino Linotype" w:cs="Tahoma"/>
          <w:b/>
          <w:bCs/>
          <w:sz w:val="22"/>
          <w:szCs w:val="22"/>
          <w:lang w:eastAsia="en-US"/>
        </w:rPr>
        <w:t>los objetivos de la Ley de la materia,</w:t>
      </w:r>
      <w:r w:rsidRPr="001E0D8F">
        <w:rPr>
          <w:rFonts w:ascii="Palatino Linotype" w:eastAsia="Calibri" w:hAnsi="Palatino Linotype" w:cs="Tahoma"/>
          <w:bCs/>
          <w:sz w:val="22"/>
          <w:szCs w:val="22"/>
          <w:lang w:eastAsia="en-US"/>
        </w:rPr>
        <w:t xml:space="preserve"> son establecer las bases que regirán las formas para garantizar el derecho de acceso a la información, mediante procesos sencillos y expeditos, la promoción, fomentación y difusión de la cultura de transparencia y la rendición de cuentas, a través de establecimiento de políticas públicas y mecanismos que garanticen la publicidad de información oportuna, verificable, comprensible, actualizada y completa.</w:t>
      </w:r>
    </w:p>
    <w:p w14:paraId="197AA509" w14:textId="77777777" w:rsidR="00913A9A" w:rsidRPr="001E0D8F" w:rsidRDefault="00913A9A" w:rsidP="00740136">
      <w:pPr>
        <w:spacing w:line="360" w:lineRule="auto"/>
        <w:ind w:right="-93"/>
        <w:jc w:val="both"/>
        <w:rPr>
          <w:rFonts w:ascii="Palatino Linotype" w:eastAsia="Calibri" w:hAnsi="Palatino Linotype" w:cs="Tahoma"/>
          <w:bCs/>
          <w:sz w:val="22"/>
          <w:szCs w:val="22"/>
          <w:lang w:eastAsia="en-US"/>
        </w:rPr>
      </w:pPr>
    </w:p>
    <w:p w14:paraId="1119FFEC" w14:textId="77777777" w:rsidR="00913A9A" w:rsidRDefault="00913A9A" w:rsidP="00740136">
      <w:pPr>
        <w:spacing w:line="360" w:lineRule="auto"/>
        <w:ind w:right="-93"/>
        <w:jc w:val="both"/>
        <w:rPr>
          <w:rFonts w:ascii="Palatino Linotype" w:eastAsia="Calibri" w:hAnsi="Palatino Linotype" w:cs="Tahoma"/>
          <w:bCs/>
          <w:sz w:val="22"/>
          <w:szCs w:val="22"/>
          <w:lang w:eastAsia="en-US"/>
        </w:rPr>
      </w:pPr>
      <w:r w:rsidRPr="001E0D8F">
        <w:rPr>
          <w:rFonts w:ascii="Palatino Linotype" w:eastAsia="Calibri" w:hAnsi="Palatino Linotype" w:cs="Tahoma"/>
          <w:bCs/>
          <w:sz w:val="22"/>
          <w:szCs w:val="22"/>
          <w:lang w:eastAsia="en-US"/>
        </w:rPr>
        <w:lastRenderedPageBreak/>
        <w:t xml:space="preserve">En ese orden de ideas, para la atención de las solicitud de acceso a la información, debe privilegiarse el </w:t>
      </w:r>
      <w:r w:rsidRPr="001E0D8F">
        <w:rPr>
          <w:rFonts w:ascii="Palatino Linotype" w:eastAsia="Calibri" w:hAnsi="Palatino Linotype" w:cs="Tahoma"/>
          <w:b/>
          <w:bCs/>
          <w:sz w:val="22"/>
          <w:szCs w:val="22"/>
          <w:lang w:eastAsia="en-US"/>
        </w:rPr>
        <w:t>principio de máxima publicidad</w:t>
      </w:r>
      <w:r w:rsidRPr="001E0D8F">
        <w:rPr>
          <w:rFonts w:ascii="Palatino Linotype" w:eastAsia="Calibri" w:hAnsi="Palatino Linotype" w:cs="Tahoma"/>
          <w:bCs/>
          <w:sz w:val="22"/>
          <w:szCs w:val="22"/>
          <w:lang w:eastAsia="en-US"/>
        </w:rPr>
        <w:t xml:space="preserve"> el cual dispone que toda la información en posesión de los sujetos Obligados será pública, completa, oportuna y accesible, sujeta a un claro régimen de excepciones que deberán estar definidas y ser legítimas y estrictamente necesarias en una sociedad democrática.</w:t>
      </w:r>
    </w:p>
    <w:p w14:paraId="5DD919B1" w14:textId="77777777" w:rsidR="006F2933" w:rsidRPr="004F4FC3" w:rsidRDefault="006F2933" w:rsidP="00740136">
      <w:pPr>
        <w:pStyle w:val="Prrafodelista"/>
        <w:rPr>
          <w:rFonts w:ascii="Palatino Linotype" w:eastAsia="Calibri" w:hAnsi="Palatino Linotype" w:cs="Tahoma"/>
          <w:b/>
          <w:bCs/>
          <w:sz w:val="20"/>
          <w:szCs w:val="22"/>
          <w:lang w:eastAsia="en-US"/>
        </w:rPr>
      </w:pPr>
    </w:p>
    <w:p w14:paraId="0929B68A" w14:textId="77777777" w:rsidR="00B805C0" w:rsidRDefault="006F2933" w:rsidP="00740136">
      <w:pPr>
        <w:tabs>
          <w:tab w:val="left" w:pos="4962"/>
        </w:tabs>
        <w:spacing w:line="360" w:lineRule="auto"/>
        <w:jc w:val="both"/>
        <w:rPr>
          <w:rFonts w:ascii="Palatino Linotype" w:eastAsia="Calibri" w:hAnsi="Palatino Linotype" w:cs="Tahoma"/>
          <w:b/>
          <w:iCs/>
          <w:sz w:val="22"/>
          <w:szCs w:val="22"/>
          <w:lang w:eastAsia="es-ES_tradnl"/>
        </w:rPr>
      </w:pPr>
      <w:r w:rsidRPr="006F2933">
        <w:rPr>
          <w:rFonts w:ascii="Palatino Linotype" w:eastAsia="Calibri" w:hAnsi="Palatino Linotype" w:cs="Tahoma"/>
          <w:b/>
          <w:iCs/>
          <w:sz w:val="22"/>
          <w:szCs w:val="22"/>
          <w:lang w:eastAsia="es-ES_tradnl"/>
        </w:rPr>
        <w:t xml:space="preserve">a) </w:t>
      </w:r>
      <w:r w:rsidR="006256FD">
        <w:rPr>
          <w:rFonts w:ascii="Palatino Linotype" w:eastAsia="Calibri" w:hAnsi="Palatino Linotype" w:cs="Tahoma"/>
          <w:b/>
          <w:iCs/>
          <w:sz w:val="22"/>
          <w:szCs w:val="22"/>
          <w:lang w:eastAsia="es-ES_tradnl"/>
        </w:rPr>
        <w:t>Información requerida por el Particular y Razones o motivos de inconformidad expuestos en el Recurso de Revisión</w:t>
      </w:r>
      <w:r w:rsidRPr="006F2933">
        <w:rPr>
          <w:rFonts w:ascii="Palatino Linotype" w:eastAsia="Calibri" w:hAnsi="Palatino Linotype" w:cs="Tahoma"/>
          <w:b/>
          <w:iCs/>
          <w:sz w:val="22"/>
          <w:szCs w:val="22"/>
          <w:lang w:eastAsia="es-ES_tradnl"/>
        </w:rPr>
        <w:t>.</w:t>
      </w:r>
    </w:p>
    <w:p w14:paraId="7A0D25EB" w14:textId="77777777" w:rsidR="00336156" w:rsidRDefault="00336156" w:rsidP="00740136">
      <w:pPr>
        <w:tabs>
          <w:tab w:val="left" w:pos="4962"/>
        </w:tabs>
        <w:spacing w:line="360" w:lineRule="auto"/>
        <w:jc w:val="both"/>
        <w:rPr>
          <w:rFonts w:ascii="Palatino Linotype" w:eastAsia="Calibri" w:hAnsi="Palatino Linotype" w:cs="Tahoma"/>
          <w:b/>
          <w:iCs/>
          <w:sz w:val="22"/>
          <w:szCs w:val="22"/>
          <w:lang w:eastAsia="es-ES_tradnl"/>
        </w:rPr>
      </w:pPr>
    </w:p>
    <w:tbl>
      <w:tblPr>
        <w:tblStyle w:val="Tablaconcuadrcula"/>
        <w:tblW w:w="0" w:type="auto"/>
        <w:tblLook w:val="04A0" w:firstRow="1" w:lastRow="0" w:firstColumn="1" w:lastColumn="0" w:noHBand="0" w:noVBand="1"/>
      </w:tblPr>
      <w:tblGrid>
        <w:gridCol w:w="2689"/>
        <w:gridCol w:w="2976"/>
        <w:gridCol w:w="3369"/>
      </w:tblGrid>
      <w:tr w:rsidR="00B805C0" w14:paraId="44B55EB4" w14:textId="77777777" w:rsidTr="00EC44F4">
        <w:tc>
          <w:tcPr>
            <w:tcW w:w="2689" w:type="dxa"/>
          </w:tcPr>
          <w:p w14:paraId="7106CA0A" w14:textId="1303B52A" w:rsidR="00B805C0" w:rsidRDefault="00B805C0" w:rsidP="00740136">
            <w:pPr>
              <w:tabs>
                <w:tab w:val="left" w:pos="4962"/>
              </w:tabs>
              <w:spacing w:line="360" w:lineRule="auto"/>
              <w:jc w:val="both"/>
              <w:rPr>
                <w:rFonts w:ascii="Palatino Linotype" w:eastAsia="Calibri" w:hAnsi="Palatino Linotype" w:cs="Tahoma"/>
                <w:b/>
                <w:iCs/>
                <w:sz w:val="22"/>
                <w:szCs w:val="22"/>
                <w:lang w:eastAsia="es-ES_tradnl"/>
              </w:rPr>
            </w:pPr>
            <w:r w:rsidRPr="00B805C0">
              <w:rPr>
                <w:rFonts w:ascii="Palatino Linotype" w:eastAsia="Calibri" w:hAnsi="Palatino Linotype" w:cs="Tahoma"/>
                <w:b/>
                <w:bCs/>
                <w:szCs w:val="22"/>
                <w:lang w:eastAsia="en-US"/>
              </w:rPr>
              <w:t>Solicitud de información</w:t>
            </w:r>
          </w:p>
        </w:tc>
        <w:tc>
          <w:tcPr>
            <w:tcW w:w="2976" w:type="dxa"/>
          </w:tcPr>
          <w:p w14:paraId="2C81DA58" w14:textId="1049C9DA" w:rsidR="00B805C0" w:rsidRDefault="00B805C0" w:rsidP="00740136">
            <w:pPr>
              <w:tabs>
                <w:tab w:val="left" w:pos="4962"/>
              </w:tabs>
              <w:spacing w:line="360" w:lineRule="auto"/>
              <w:jc w:val="both"/>
              <w:rPr>
                <w:rFonts w:ascii="Palatino Linotype" w:eastAsia="Calibri" w:hAnsi="Palatino Linotype" w:cs="Tahoma"/>
                <w:b/>
                <w:iCs/>
                <w:sz w:val="22"/>
                <w:szCs w:val="22"/>
                <w:lang w:eastAsia="es-ES_tradnl"/>
              </w:rPr>
            </w:pPr>
            <w:r w:rsidRPr="00B805C0">
              <w:rPr>
                <w:rFonts w:ascii="Palatino Linotype" w:eastAsia="Calibri" w:hAnsi="Palatino Linotype" w:cs="Tahoma"/>
                <w:b/>
                <w:bCs/>
                <w:szCs w:val="22"/>
                <w:lang w:eastAsia="en-US"/>
              </w:rPr>
              <w:t>Respuesta otorgada</w:t>
            </w:r>
          </w:p>
        </w:tc>
        <w:tc>
          <w:tcPr>
            <w:tcW w:w="3369" w:type="dxa"/>
          </w:tcPr>
          <w:p w14:paraId="0CA22D6D" w14:textId="79D16F82" w:rsidR="00B805C0" w:rsidRDefault="00B805C0" w:rsidP="00740136">
            <w:pPr>
              <w:tabs>
                <w:tab w:val="left" w:pos="4962"/>
              </w:tabs>
              <w:spacing w:line="360" w:lineRule="auto"/>
              <w:jc w:val="both"/>
              <w:rPr>
                <w:rFonts w:ascii="Palatino Linotype" w:eastAsia="Calibri" w:hAnsi="Palatino Linotype" w:cs="Tahoma"/>
                <w:b/>
                <w:iCs/>
                <w:sz w:val="22"/>
                <w:szCs w:val="22"/>
                <w:lang w:eastAsia="es-ES_tradnl"/>
              </w:rPr>
            </w:pPr>
            <w:r w:rsidRPr="00B805C0">
              <w:rPr>
                <w:rFonts w:ascii="Palatino Linotype" w:eastAsia="Calibri" w:hAnsi="Palatino Linotype" w:cs="Tahoma"/>
                <w:b/>
                <w:bCs/>
                <w:szCs w:val="22"/>
                <w:lang w:eastAsia="en-US"/>
              </w:rPr>
              <w:t>Recurso de Revisión</w:t>
            </w:r>
          </w:p>
        </w:tc>
      </w:tr>
      <w:tr w:rsidR="00B805C0" w14:paraId="1C79299B" w14:textId="77777777" w:rsidTr="00EC44F4">
        <w:tc>
          <w:tcPr>
            <w:tcW w:w="2689" w:type="dxa"/>
          </w:tcPr>
          <w:p w14:paraId="7CFEEA64" w14:textId="01CE35A2" w:rsidR="00B805C0" w:rsidRDefault="00B805C0" w:rsidP="00740136">
            <w:pPr>
              <w:tabs>
                <w:tab w:val="left" w:pos="4962"/>
              </w:tabs>
              <w:spacing w:line="360" w:lineRule="auto"/>
              <w:jc w:val="both"/>
              <w:rPr>
                <w:rFonts w:ascii="Palatino Linotype" w:eastAsia="Calibri" w:hAnsi="Palatino Linotype" w:cs="Tahoma"/>
                <w:b/>
                <w:iCs/>
                <w:sz w:val="22"/>
                <w:szCs w:val="22"/>
                <w:lang w:eastAsia="es-ES_tradnl"/>
              </w:rPr>
            </w:pPr>
            <w:r w:rsidRPr="00647974">
              <w:rPr>
                <w:rFonts w:ascii="Palatino Linotype" w:hAnsi="Palatino Linotype" w:cs="Tahoma"/>
                <w:bCs/>
                <w:szCs w:val="22"/>
              </w:rPr>
              <w:t xml:space="preserve">Acción que realizó la Dirección Regional Valle de Toluca por la falta de autorización del condominio denominado “Entre Árboles”. </w:t>
            </w:r>
          </w:p>
        </w:tc>
        <w:tc>
          <w:tcPr>
            <w:tcW w:w="2976" w:type="dxa"/>
          </w:tcPr>
          <w:p w14:paraId="5A72F7B6" w14:textId="5EEC3F99" w:rsidR="00B805C0" w:rsidRDefault="00B805C0" w:rsidP="00740136">
            <w:pPr>
              <w:tabs>
                <w:tab w:val="left" w:pos="4962"/>
              </w:tabs>
              <w:spacing w:line="360" w:lineRule="auto"/>
              <w:jc w:val="both"/>
              <w:rPr>
                <w:rFonts w:ascii="Palatino Linotype" w:eastAsia="Calibri" w:hAnsi="Palatino Linotype" w:cs="Tahoma"/>
                <w:b/>
                <w:iCs/>
                <w:sz w:val="22"/>
                <w:szCs w:val="22"/>
                <w:lang w:eastAsia="es-ES_tradnl"/>
              </w:rPr>
            </w:pPr>
            <w:r w:rsidRPr="004F4FC3">
              <w:rPr>
                <w:rFonts w:ascii="Palatino Linotype" w:eastAsia="Calibri" w:hAnsi="Palatino Linotype" w:cs="Tahoma"/>
                <w:bCs/>
                <w:szCs w:val="22"/>
                <w:lang w:eastAsia="en-US"/>
              </w:rPr>
              <w:t>Se instruyó al Titular de la Residencia Local Toluca, a efecto de que se constituyera en la dirección señalada; sin embargo, reportó la inexistencia del desarrollo habitacional bajo la figura de condominio.</w:t>
            </w:r>
          </w:p>
        </w:tc>
        <w:tc>
          <w:tcPr>
            <w:tcW w:w="3369" w:type="dxa"/>
          </w:tcPr>
          <w:p w14:paraId="0795E4DA" w14:textId="2850AFD2" w:rsidR="00B805C0" w:rsidRDefault="00B805C0" w:rsidP="00740136">
            <w:pPr>
              <w:tabs>
                <w:tab w:val="left" w:pos="4962"/>
              </w:tabs>
              <w:spacing w:line="360" w:lineRule="auto"/>
              <w:jc w:val="both"/>
              <w:rPr>
                <w:rFonts w:ascii="Palatino Linotype" w:eastAsia="Calibri" w:hAnsi="Palatino Linotype" w:cs="Tahoma"/>
                <w:b/>
                <w:iCs/>
                <w:sz w:val="22"/>
                <w:szCs w:val="22"/>
                <w:lang w:eastAsia="es-ES_tradnl"/>
              </w:rPr>
            </w:pPr>
            <w:r w:rsidRPr="004F4FC3">
              <w:rPr>
                <w:rFonts w:ascii="Palatino Linotype" w:hAnsi="Palatino Linotype"/>
                <w:color w:val="000000"/>
                <w:szCs w:val="14"/>
              </w:rPr>
              <w:t xml:space="preserve">Respuesta </w:t>
            </w:r>
            <w:r>
              <w:rPr>
                <w:rFonts w:ascii="Palatino Linotype" w:hAnsi="Palatino Linotype"/>
                <w:color w:val="000000"/>
                <w:szCs w:val="14"/>
              </w:rPr>
              <w:t>del Sujeto Obligado, en virtud de</w:t>
            </w:r>
            <w:r w:rsidRPr="004F4FC3">
              <w:rPr>
                <w:rFonts w:ascii="Palatino Linotype" w:hAnsi="Palatino Linotype"/>
                <w:color w:val="000000"/>
                <w:szCs w:val="14"/>
              </w:rPr>
              <w:t xml:space="preserve"> que mencionan que derivado de la visita que realizo el Residente Local Toluca, reporta la no existencia del desarrollo habitacional bajo la figura de condominio, por lo que no resulta procedente tomar alguna medida o acción.</w:t>
            </w:r>
          </w:p>
        </w:tc>
      </w:tr>
      <w:tr w:rsidR="00B805C0" w14:paraId="4C241579" w14:textId="77777777" w:rsidTr="00EC44F4">
        <w:tc>
          <w:tcPr>
            <w:tcW w:w="2689" w:type="dxa"/>
          </w:tcPr>
          <w:p w14:paraId="6F3DF1CD" w14:textId="10F652D7" w:rsidR="00B805C0" w:rsidRDefault="00B805C0" w:rsidP="00740136">
            <w:pPr>
              <w:tabs>
                <w:tab w:val="left" w:pos="4962"/>
              </w:tabs>
              <w:spacing w:line="360" w:lineRule="auto"/>
              <w:jc w:val="both"/>
              <w:rPr>
                <w:rFonts w:ascii="Palatino Linotype" w:eastAsia="Calibri" w:hAnsi="Palatino Linotype" w:cs="Tahoma"/>
                <w:b/>
                <w:iCs/>
                <w:sz w:val="22"/>
                <w:szCs w:val="22"/>
                <w:lang w:eastAsia="es-ES_tradnl"/>
              </w:rPr>
            </w:pPr>
            <w:r w:rsidRPr="00647974">
              <w:rPr>
                <w:rFonts w:ascii="Palatino Linotype" w:eastAsia="Calibri" w:hAnsi="Palatino Linotype" w:cs="Tahoma"/>
                <w:bCs/>
                <w:szCs w:val="22"/>
                <w:lang w:eastAsia="en-US"/>
              </w:rPr>
              <w:t xml:space="preserve">Copia simple de </w:t>
            </w:r>
            <w:r w:rsidRPr="00647974">
              <w:rPr>
                <w:rFonts w:ascii="Palatino Linotype" w:hAnsi="Palatino Linotype"/>
                <w:color w:val="000000"/>
                <w:szCs w:val="22"/>
              </w:rPr>
              <w:t xml:space="preserve"> Notificación del citatorio a garantía de audiencia a la empresa constructora</w:t>
            </w:r>
          </w:p>
        </w:tc>
        <w:tc>
          <w:tcPr>
            <w:tcW w:w="2976" w:type="dxa"/>
          </w:tcPr>
          <w:p w14:paraId="36724527" w14:textId="54D4C16B" w:rsidR="00B805C0" w:rsidRDefault="00B805C0" w:rsidP="00740136">
            <w:pPr>
              <w:tabs>
                <w:tab w:val="left" w:pos="4962"/>
              </w:tabs>
              <w:spacing w:line="360" w:lineRule="auto"/>
              <w:jc w:val="both"/>
              <w:rPr>
                <w:rFonts w:ascii="Palatino Linotype" w:eastAsia="Calibri" w:hAnsi="Palatino Linotype" w:cs="Tahoma"/>
                <w:b/>
                <w:iCs/>
                <w:sz w:val="22"/>
                <w:szCs w:val="22"/>
                <w:lang w:eastAsia="es-ES_tradnl"/>
              </w:rPr>
            </w:pPr>
            <w:r w:rsidRPr="004F4FC3">
              <w:rPr>
                <w:rFonts w:ascii="Palatino Linotype" w:eastAsia="Calibri" w:hAnsi="Palatino Linotype" w:cs="Tahoma"/>
                <w:bCs/>
                <w:szCs w:val="22"/>
                <w:lang w:eastAsia="en-US"/>
              </w:rPr>
              <w:t>Ante la inexistencia del desarrollo habitacional bajo la figura de condominio resulta improcedente ejercitar una acción para instrumentar un procedimiento jurídico administrativo</w:t>
            </w:r>
          </w:p>
        </w:tc>
        <w:tc>
          <w:tcPr>
            <w:tcW w:w="3369" w:type="dxa"/>
          </w:tcPr>
          <w:p w14:paraId="58D3B06C" w14:textId="010D125F" w:rsidR="00B805C0" w:rsidRDefault="00B805C0" w:rsidP="00740136">
            <w:pPr>
              <w:tabs>
                <w:tab w:val="left" w:pos="4962"/>
              </w:tabs>
              <w:spacing w:line="360" w:lineRule="auto"/>
              <w:jc w:val="both"/>
              <w:rPr>
                <w:rFonts w:ascii="Palatino Linotype" w:eastAsia="Calibri" w:hAnsi="Palatino Linotype" w:cs="Tahoma"/>
                <w:b/>
                <w:iCs/>
                <w:sz w:val="22"/>
                <w:szCs w:val="22"/>
                <w:lang w:eastAsia="es-ES_tradnl"/>
              </w:rPr>
            </w:pPr>
            <w:r w:rsidRPr="004F4FC3">
              <w:rPr>
                <w:rFonts w:ascii="Palatino Linotype" w:hAnsi="Palatino Linotype"/>
                <w:color w:val="000000"/>
                <w:szCs w:val="14"/>
              </w:rPr>
              <w:t xml:space="preserve">Respuesta </w:t>
            </w:r>
            <w:r>
              <w:rPr>
                <w:rFonts w:ascii="Palatino Linotype" w:hAnsi="Palatino Linotype"/>
                <w:color w:val="000000"/>
                <w:szCs w:val="14"/>
              </w:rPr>
              <w:t>del Sujeto Obligado, en virtud de</w:t>
            </w:r>
            <w:r w:rsidRPr="004F4FC3">
              <w:rPr>
                <w:rFonts w:ascii="Palatino Linotype" w:hAnsi="Palatino Linotype"/>
                <w:color w:val="000000"/>
                <w:szCs w:val="14"/>
              </w:rPr>
              <w:t xml:space="preserve"> que mencionan que derivado de la visita que realizo el Residente Local Toluca, reporta la no existencia del desarrollo habitacional bajo la figura de condominio, por lo que no resulta procedente tomar alguna medida o acción.</w:t>
            </w:r>
          </w:p>
        </w:tc>
      </w:tr>
      <w:tr w:rsidR="00B805C0" w14:paraId="06E82510" w14:textId="77777777" w:rsidTr="00EC44F4">
        <w:tc>
          <w:tcPr>
            <w:tcW w:w="2689" w:type="dxa"/>
          </w:tcPr>
          <w:p w14:paraId="1F588E90" w14:textId="3CD6E858" w:rsidR="00B805C0" w:rsidRDefault="00B805C0" w:rsidP="00740136">
            <w:pPr>
              <w:tabs>
                <w:tab w:val="left" w:pos="4962"/>
              </w:tabs>
              <w:spacing w:line="360" w:lineRule="auto"/>
              <w:jc w:val="both"/>
              <w:rPr>
                <w:rFonts w:ascii="Palatino Linotype" w:eastAsia="Calibri" w:hAnsi="Palatino Linotype" w:cs="Tahoma"/>
                <w:b/>
                <w:iCs/>
                <w:sz w:val="22"/>
                <w:szCs w:val="22"/>
                <w:lang w:eastAsia="es-ES_tradnl"/>
              </w:rPr>
            </w:pPr>
            <w:r w:rsidRPr="00647974">
              <w:rPr>
                <w:rFonts w:ascii="Palatino Linotype" w:eastAsia="Calibri" w:hAnsi="Palatino Linotype" w:cs="Tahoma"/>
                <w:bCs/>
                <w:szCs w:val="22"/>
                <w:lang w:eastAsia="en-US"/>
              </w:rPr>
              <w:lastRenderedPageBreak/>
              <w:t>Copia simple</w:t>
            </w:r>
            <w:r>
              <w:rPr>
                <w:rFonts w:ascii="Palatino Linotype" w:eastAsia="Calibri" w:hAnsi="Palatino Linotype" w:cs="Tahoma"/>
                <w:bCs/>
                <w:szCs w:val="22"/>
                <w:lang w:eastAsia="en-US"/>
              </w:rPr>
              <w:t xml:space="preserve"> de los</w:t>
            </w:r>
            <w:r w:rsidRPr="00647974">
              <w:rPr>
                <w:rFonts w:ascii="Palatino Linotype" w:eastAsia="Calibri" w:hAnsi="Palatino Linotype" w:cs="Tahoma"/>
                <w:bCs/>
                <w:szCs w:val="22"/>
                <w:lang w:eastAsia="en-US"/>
              </w:rPr>
              <w:t xml:space="preserve"> </w:t>
            </w:r>
            <w:r w:rsidRPr="00647974">
              <w:rPr>
                <w:rFonts w:ascii="Palatino Linotype" w:hAnsi="Palatino Linotype"/>
                <w:color w:val="000000"/>
                <w:szCs w:val="22"/>
              </w:rPr>
              <w:t>Resolutivos</w:t>
            </w:r>
          </w:p>
        </w:tc>
        <w:tc>
          <w:tcPr>
            <w:tcW w:w="2976" w:type="dxa"/>
          </w:tcPr>
          <w:p w14:paraId="2361E85B" w14:textId="1B9C50D6" w:rsidR="00B805C0" w:rsidRDefault="00B805C0" w:rsidP="00740136">
            <w:pPr>
              <w:tabs>
                <w:tab w:val="left" w:pos="4962"/>
              </w:tabs>
              <w:spacing w:line="360" w:lineRule="auto"/>
              <w:jc w:val="both"/>
              <w:rPr>
                <w:rFonts w:ascii="Palatino Linotype" w:eastAsia="Calibri" w:hAnsi="Palatino Linotype" w:cs="Tahoma"/>
                <w:b/>
                <w:iCs/>
                <w:sz w:val="22"/>
                <w:szCs w:val="22"/>
                <w:lang w:eastAsia="es-ES_tradnl"/>
              </w:rPr>
            </w:pPr>
            <w:r w:rsidRPr="004F4FC3">
              <w:rPr>
                <w:rFonts w:ascii="Palatino Linotype" w:eastAsia="Calibri" w:hAnsi="Palatino Linotype" w:cs="Tahoma"/>
                <w:bCs/>
                <w:szCs w:val="22"/>
                <w:lang w:eastAsia="en-US"/>
              </w:rPr>
              <w:t>Ante la inexistencia del desarrollo habitacional bajo la figura de condominio resulta improcedente ejercitar una acción para instrumentar un procedimiento jurídico administrativo</w:t>
            </w:r>
          </w:p>
        </w:tc>
        <w:tc>
          <w:tcPr>
            <w:tcW w:w="3369" w:type="dxa"/>
          </w:tcPr>
          <w:p w14:paraId="7E1BADD1" w14:textId="56D5E58D" w:rsidR="00B805C0" w:rsidRDefault="00B805C0" w:rsidP="00740136">
            <w:pPr>
              <w:tabs>
                <w:tab w:val="left" w:pos="4962"/>
              </w:tabs>
              <w:spacing w:line="360" w:lineRule="auto"/>
              <w:jc w:val="both"/>
              <w:rPr>
                <w:rFonts w:ascii="Palatino Linotype" w:eastAsia="Calibri" w:hAnsi="Palatino Linotype" w:cs="Tahoma"/>
                <w:b/>
                <w:iCs/>
                <w:sz w:val="22"/>
                <w:szCs w:val="22"/>
                <w:lang w:eastAsia="es-ES_tradnl"/>
              </w:rPr>
            </w:pPr>
            <w:r w:rsidRPr="004F4FC3">
              <w:rPr>
                <w:rFonts w:ascii="Palatino Linotype" w:hAnsi="Palatino Linotype"/>
                <w:color w:val="000000"/>
                <w:szCs w:val="14"/>
              </w:rPr>
              <w:t xml:space="preserve">Respuesta </w:t>
            </w:r>
            <w:r>
              <w:rPr>
                <w:rFonts w:ascii="Palatino Linotype" w:hAnsi="Palatino Linotype"/>
                <w:color w:val="000000"/>
                <w:szCs w:val="14"/>
              </w:rPr>
              <w:t>del Sujeto Obligado, en virtud de</w:t>
            </w:r>
            <w:r w:rsidRPr="004F4FC3">
              <w:rPr>
                <w:rFonts w:ascii="Palatino Linotype" w:hAnsi="Palatino Linotype"/>
                <w:color w:val="000000"/>
                <w:szCs w:val="14"/>
              </w:rPr>
              <w:t xml:space="preserve"> que mencionan que derivado de la visita que realizo el Residente Local Toluca, reporta la no existencia del desarrollo habitacional bajo la figura de condominio, por lo que no resulta procedente tomar alguna medida o acción.</w:t>
            </w:r>
          </w:p>
        </w:tc>
      </w:tr>
      <w:tr w:rsidR="00B805C0" w14:paraId="278E4728" w14:textId="77777777" w:rsidTr="00EC44F4">
        <w:tc>
          <w:tcPr>
            <w:tcW w:w="2689" w:type="dxa"/>
          </w:tcPr>
          <w:p w14:paraId="12E28D4A" w14:textId="5241BFF4" w:rsidR="00B805C0" w:rsidRDefault="00B805C0" w:rsidP="00740136">
            <w:pPr>
              <w:tabs>
                <w:tab w:val="left" w:pos="4962"/>
              </w:tabs>
              <w:spacing w:line="360" w:lineRule="auto"/>
              <w:jc w:val="both"/>
              <w:rPr>
                <w:rFonts w:ascii="Palatino Linotype" w:eastAsia="Calibri" w:hAnsi="Palatino Linotype" w:cs="Tahoma"/>
                <w:b/>
                <w:iCs/>
                <w:sz w:val="22"/>
                <w:szCs w:val="22"/>
                <w:lang w:eastAsia="es-ES_tradnl"/>
              </w:rPr>
            </w:pPr>
            <w:r w:rsidRPr="00647974">
              <w:rPr>
                <w:rFonts w:ascii="Palatino Linotype" w:eastAsia="Calibri" w:hAnsi="Palatino Linotype" w:cs="Tahoma"/>
                <w:bCs/>
                <w:szCs w:val="22"/>
                <w:lang w:eastAsia="en-US"/>
              </w:rPr>
              <w:t xml:space="preserve">Copia simple </w:t>
            </w:r>
            <w:r>
              <w:rPr>
                <w:rFonts w:ascii="Palatino Linotype" w:eastAsia="Calibri" w:hAnsi="Palatino Linotype" w:cs="Tahoma"/>
                <w:bCs/>
                <w:szCs w:val="22"/>
                <w:lang w:eastAsia="en-US"/>
              </w:rPr>
              <w:t xml:space="preserve">las </w:t>
            </w:r>
            <w:r w:rsidRPr="00647974">
              <w:rPr>
                <w:rFonts w:ascii="Palatino Linotype" w:hAnsi="Palatino Linotype"/>
                <w:color w:val="000000"/>
                <w:szCs w:val="22"/>
              </w:rPr>
              <w:t xml:space="preserve">Multas </w:t>
            </w:r>
          </w:p>
        </w:tc>
        <w:tc>
          <w:tcPr>
            <w:tcW w:w="2976" w:type="dxa"/>
          </w:tcPr>
          <w:p w14:paraId="18530562" w14:textId="3F6DCCE1" w:rsidR="00B805C0" w:rsidRDefault="00B805C0" w:rsidP="00740136">
            <w:pPr>
              <w:tabs>
                <w:tab w:val="left" w:pos="4962"/>
              </w:tabs>
              <w:spacing w:line="360" w:lineRule="auto"/>
              <w:jc w:val="both"/>
              <w:rPr>
                <w:rFonts w:ascii="Palatino Linotype" w:eastAsia="Calibri" w:hAnsi="Palatino Linotype" w:cs="Tahoma"/>
                <w:b/>
                <w:iCs/>
                <w:sz w:val="22"/>
                <w:szCs w:val="22"/>
                <w:lang w:eastAsia="es-ES_tradnl"/>
              </w:rPr>
            </w:pPr>
            <w:r w:rsidRPr="004F4FC3">
              <w:rPr>
                <w:rFonts w:ascii="Palatino Linotype" w:eastAsia="Calibri" w:hAnsi="Palatino Linotype" w:cs="Tahoma"/>
                <w:bCs/>
                <w:szCs w:val="22"/>
                <w:lang w:eastAsia="en-US"/>
              </w:rPr>
              <w:t>Ante la inexistencia del desarrollo habitacional bajo la figura de condominio resulta improcedente ejercitar una acción para instrumentar un procedimiento jurídico administrativo</w:t>
            </w:r>
          </w:p>
        </w:tc>
        <w:tc>
          <w:tcPr>
            <w:tcW w:w="3369" w:type="dxa"/>
          </w:tcPr>
          <w:p w14:paraId="44024E9A" w14:textId="7259BA63" w:rsidR="00B805C0" w:rsidRDefault="00B805C0" w:rsidP="00740136">
            <w:pPr>
              <w:tabs>
                <w:tab w:val="left" w:pos="4962"/>
              </w:tabs>
              <w:spacing w:line="360" w:lineRule="auto"/>
              <w:jc w:val="both"/>
              <w:rPr>
                <w:rFonts w:ascii="Palatino Linotype" w:eastAsia="Calibri" w:hAnsi="Palatino Linotype" w:cs="Tahoma"/>
                <w:b/>
                <w:iCs/>
                <w:sz w:val="22"/>
                <w:szCs w:val="22"/>
                <w:lang w:eastAsia="es-ES_tradnl"/>
              </w:rPr>
            </w:pPr>
            <w:r w:rsidRPr="004F4FC3">
              <w:rPr>
                <w:rFonts w:ascii="Palatino Linotype" w:hAnsi="Palatino Linotype"/>
                <w:color w:val="000000"/>
                <w:szCs w:val="14"/>
              </w:rPr>
              <w:t xml:space="preserve">Respuesta </w:t>
            </w:r>
            <w:r>
              <w:rPr>
                <w:rFonts w:ascii="Palatino Linotype" w:hAnsi="Palatino Linotype"/>
                <w:color w:val="000000"/>
                <w:szCs w:val="14"/>
              </w:rPr>
              <w:t>del Sujeto Obligado, en virtud de</w:t>
            </w:r>
            <w:r w:rsidRPr="004F4FC3">
              <w:rPr>
                <w:rFonts w:ascii="Palatino Linotype" w:hAnsi="Palatino Linotype"/>
                <w:color w:val="000000"/>
                <w:szCs w:val="14"/>
              </w:rPr>
              <w:t xml:space="preserve"> que mencionan que derivado de la visita que realizo el Residente Local Toluca, reporta la no existencia del desarrollo habitacional bajo la figura de condominio, por lo que no resulta procedente tomar alguna medida o acción.</w:t>
            </w:r>
          </w:p>
        </w:tc>
      </w:tr>
      <w:tr w:rsidR="00B805C0" w14:paraId="08A56067" w14:textId="77777777" w:rsidTr="00EC44F4">
        <w:tc>
          <w:tcPr>
            <w:tcW w:w="2689" w:type="dxa"/>
          </w:tcPr>
          <w:p w14:paraId="184CA1E0" w14:textId="26907AD4" w:rsidR="00B805C0" w:rsidRDefault="00B805C0" w:rsidP="00740136">
            <w:pPr>
              <w:tabs>
                <w:tab w:val="left" w:pos="4962"/>
              </w:tabs>
              <w:spacing w:line="360" w:lineRule="auto"/>
              <w:jc w:val="both"/>
              <w:rPr>
                <w:rFonts w:ascii="Palatino Linotype" w:eastAsia="Calibri" w:hAnsi="Palatino Linotype" w:cs="Tahoma"/>
                <w:b/>
                <w:iCs/>
                <w:sz w:val="22"/>
                <w:szCs w:val="22"/>
                <w:lang w:eastAsia="es-ES_tradnl"/>
              </w:rPr>
            </w:pPr>
            <w:r>
              <w:rPr>
                <w:rFonts w:ascii="Palatino Linotype" w:hAnsi="Palatino Linotype"/>
                <w:color w:val="000000"/>
                <w:szCs w:val="22"/>
              </w:rPr>
              <w:t>Copias simples del d</w:t>
            </w:r>
            <w:r w:rsidRPr="00647974">
              <w:rPr>
                <w:rFonts w:ascii="Palatino Linotype" w:hAnsi="Palatino Linotype"/>
                <w:color w:val="000000"/>
                <w:szCs w:val="22"/>
              </w:rPr>
              <w:t xml:space="preserve">ocumento que acredite las acciones que se han realizado por parte de la Dirección Regional Valle de Toluca en contra de la empresa. </w:t>
            </w:r>
          </w:p>
        </w:tc>
        <w:tc>
          <w:tcPr>
            <w:tcW w:w="2976" w:type="dxa"/>
          </w:tcPr>
          <w:p w14:paraId="4EEAC7C5" w14:textId="0FC4E1F2" w:rsidR="00B805C0" w:rsidRDefault="00B805C0" w:rsidP="00740136">
            <w:pPr>
              <w:tabs>
                <w:tab w:val="left" w:pos="4962"/>
              </w:tabs>
              <w:spacing w:line="360" w:lineRule="auto"/>
              <w:jc w:val="both"/>
              <w:rPr>
                <w:rFonts w:ascii="Palatino Linotype" w:eastAsia="Calibri" w:hAnsi="Palatino Linotype" w:cs="Tahoma"/>
                <w:b/>
                <w:iCs/>
                <w:sz w:val="22"/>
                <w:szCs w:val="22"/>
                <w:lang w:eastAsia="es-ES_tradnl"/>
              </w:rPr>
            </w:pPr>
            <w:r w:rsidRPr="004F4FC3">
              <w:rPr>
                <w:rFonts w:ascii="Palatino Linotype" w:eastAsia="Calibri" w:hAnsi="Palatino Linotype" w:cs="Tahoma"/>
                <w:bCs/>
                <w:szCs w:val="22"/>
                <w:lang w:eastAsia="en-US"/>
              </w:rPr>
              <w:t>Ante la inexistencia del desarrollo habitacional bajo la figura de condominio resulta improcedente ejercitar una acción para instrumentar un procedimiento jurídico administrativo</w:t>
            </w:r>
          </w:p>
        </w:tc>
        <w:tc>
          <w:tcPr>
            <w:tcW w:w="3369" w:type="dxa"/>
          </w:tcPr>
          <w:p w14:paraId="1FFEAFA7" w14:textId="0F1CCCF8" w:rsidR="00B805C0" w:rsidRDefault="00B805C0" w:rsidP="00740136">
            <w:pPr>
              <w:tabs>
                <w:tab w:val="left" w:pos="4962"/>
              </w:tabs>
              <w:spacing w:line="360" w:lineRule="auto"/>
              <w:jc w:val="both"/>
              <w:rPr>
                <w:rFonts w:ascii="Palatino Linotype" w:eastAsia="Calibri" w:hAnsi="Palatino Linotype" w:cs="Tahoma"/>
                <w:b/>
                <w:iCs/>
                <w:sz w:val="22"/>
                <w:szCs w:val="22"/>
                <w:lang w:eastAsia="es-ES_tradnl"/>
              </w:rPr>
            </w:pPr>
            <w:r w:rsidRPr="004F4FC3">
              <w:rPr>
                <w:rFonts w:ascii="Palatino Linotype" w:hAnsi="Palatino Linotype"/>
                <w:color w:val="000000"/>
                <w:szCs w:val="14"/>
              </w:rPr>
              <w:t xml:space="preserve">Respuesta </w:t>
            </w:r>
            <w:r>
              <w:rPr>
                <w:rFonts w:ascii="Palatino Linotype" w:hAnsi="Palatino Linotype"/>
                <w:color w:val="000000"/>
                <w:szCs w:val="14"/>
              </w:rPr>
              <w:t>del Sujeto Obligado, en virtud de</w:t>
            </w:r>
            <w:r w:rsidRPr="004F4FC3">
              <w:rPr>
                <w:rFonts w:ascii="Palatino Linotype" w:hAnsi="Palatino Linotype"/>
                <w:color w:val="000000"/>
                <w:szCs w:val="14"/>
              </w:rPr>
              <w:t xml:space="preserve"> que mencionan que derivado de la visita que realizo el Residente Local Toluca, reporta la no existencia del desarrollo habitacional bajo la figura de condominio, por lo que no resulta procedente tomar alguna medida o acción.</w:t>
            </w:r>
          </w:p>
        </w:tc>
      </w:tr>
      <w:tr w:rsidR="00B805C0" w14:paraId="25B55198" w14:textId="77777777" w:rsidTr="00EC44F4">
        <w:tc>
          <w:tcPr>
            <w:tcW w:w="2689" w:type="dxa"/>
            <w:vMerge w:val="restart"/>
          </w:tcPr>
          <w:p w14:paraId="66B76734" w14:textId="77777777" w:rsidR="00B805C0" w:rsidRDefault="00B805C0" w:rsidP="00740136">
            <w:pPr>
              <w:tabs>
                <w:tab w:val="left" w:pos="4962"/>
              </w:tabs>
              <w:spacing w:line="360" w:lineRule="auto"/>
              <w:jc w:val="both"/>
              <w:rPr>
                <w:rFonts w:ascii="Palatino Linotype" w:hAnsi="Palatino Linotype"/>
                <w:color w:val="000000"/>
                <w:szCs w:val="22"/>
              </w:rPr>
            </w:pPr>
          </w:p>
        </w:tc>
        <w:tc>
          <w:tcPr>
            <w:tcW w:w="2976" w:type="dxa"/>
            <w:vMerge w:val="restart"/>
          </w:tcPr>
          <w:p w14:paraId="24FF1966" w14:textId="77777777" w:rsidR="00B805C0" w:rsidRPr="004F4FC3" w:rsidRDefault="00B805C0" w:rsidP="00740136">
            <w:pPr>
              <w:tabs>
                <w:tab w:val="left" w:pos="4962"/>
              </w:tabs>
              <w:spacing w:line="360" w:lineRule="auto"/>
              <w:jc w:val="both"/>
              <w:rPr>
                <w:rFonts w:ascii="Palatino Linotype" w:eastAsia="Calibri" w:hAnsi="Palatino Linotype" w:cs="Tahoma"/>
                <w:bCs/>
                <w:szCs w:val="22"/>
                <w:lang w:eastAsia="en-US"/>
              </w:rPr>
            </w:pPr>
          </w:p>
        </w:tc>
        <w:tc>
          <w:tcPr>
            <w:tcW w:w="3369" w:type="dxa"/>
          </w:tcPr>
          <w:p w14:paraId="697E19EC" w14:textId="162AED8B" w:rsidR="00B805C0" w:rsidRPr="004F4FC3" w:rsidRDefault="00B805C0" w:rsidP="00740136">
            <w:pPr>
              <w:tabs>
                <w:tab w:val="left" w:pos="4962"/>
              </w:tabs>
              <w:spacing w:line="360" w:lineRule="auto"/>
              <w:jc w:val="center"/>
              <w:rPr>
                <w:rFonts w:ascii="Palatino Linotype" w:hAnsi="Palatino Linotype"/>
                <w:color w:val="000000"/>
                <w:szCs w:val="14"/>
              </w:rPr>
            </w:pPr>
            <w:r w:rsidRPr="000F3AA7">
              <w:rPr>
                <w:rFonts w:ascii="Palatino Linotype" w:hAnsi="Palatino Linotype"/>
                <w:b/>
                <w:color w:val="000000"/>
              </w:rPr>
              <w:t>Razones o Motivos de Inconformidad</w:t>
            </w:r>
          </w:p>
        </w:tc>
      </w:tr>
      <w:tr w:rsidR="00B805C0" w14:paraId="433F95A3" w14:textId="77777777" w:rsidTr="00EC44F4">
        <w:tc>
          <w:tcPr>
            <w:tcW w:w="2689" w:type="dxa"/>
            <w:vMerge/>
          </w:tcPr>
          <w:p w14:paraId="30C7A5DB" w14:textId="77777777" w:rsidR="00B805C0" w:rsidRDefault="00B805C0" w:rsidP="00740136">
            <w:pPr>
              <w:tabs>
                <w:tab w:val="left" w:pos="4962"/>
              </w:tabs>
              <w:spacing w:line="360" w:lineRule="auto"/>
              <w:jc w:val="both"/>
              <w:rPr>
                <w:rFonts w:ascii="Palatino Linotype" w:hAnsi="Palatino Linotype"/>
                <w:color w:val="000000"/>
                <w:szCs w:val="22"/>
              </w:rPr>
            </w:pPr>
          </w:p>
        </w:tc>
        <w:tc>
          <w:tcPr>
            <w:tcW w:w="2976" w:type="dxa"/>
            <w:vMerge/>
          </w:tcPr>
          <w:p w14:paraId="76328B89" w14:textId="77777777" w:rsidR="00B805C0" w:rsidRPr="004F4FC3" w:rsidRDefault="00B805C0" w:rsidP="00740136">
            <w:pPr>
              <w:tabs>
                <w:tab w:val="left" w:pos="4962"/>
              </w:tabs>
              <w:spacing w:line="360" w:lineRule="auto"/>
              <w:jc w:val="both"/>
              <w:rPr>
                <w:rFonts w:ascii="Palatino Linotype" w:eastAsia="Calibri" w:hAnsi="Palatino Linotype" w:cs="Tahoma"/>
                <w:bCs/>
                <w:szCs w:val="22"/>
                <w:lang w:eastAsia="en-US"/>
              </w:rPr>
            </w:pPr>
          </w:p>
        </w:tc>
        <w:tc>
          <w:tcPr>
            <w:tcW w:w="3369" w:type="dxa"/>
          </w:tcPr>
          <w:p w14:paraId="0C2003D4" w14:textId="286C9B73" w:rsidR="00B805C0" w:rsidRPr="004F4FC3" w:rsidRDefault="00B805C0" w:rsidP="00740136">
            <w:pPr>
              <w:tabs>
                <w:tab w:val="left" w:pos="4962"/>
              </w:tabs>
              <w:spacing w:line="360" w:lineRule="auto"/>
              <w:jc w:val="both"/>
              <w:rPr>
                <w:rFonts w:ascii="Palatino Linotype" w:hAnsi="Palatino Linotype"/>
                <w:color w:val="000000"/>
                <w:szCs w:val="14"/>
              </w:rPr>
            </w:pPr>
            <w:r w:rsidRPr="003D0982">
              <w:rPr>
                <w:rFonts w:ascii="Palatino Linotype" w:hAnsi="Palatino Linotype"/>
                <w:color w:val="000000"/>
              </w:rPr>
              <w:t xml:space="preserve">Informe quien es servidor responsable de autorizar este tipo de construcciones y de instrumentar un procedimiento administrativo común por falta de autorización (la cual ya se me informo anteriormente que no existe)  </w:t>
            </w:r>
          </w:p>
        </w:tc>
      </w:tr>
      <w:tr w:rsidR="00B805C0" w14:paraId="5E0B1450" w14:textId="77777777" w:rsidTr="00EC44F4">
        <w:tc>
          <w:tcPr>
            <w:tcW w:w="2689" w:type="dxa"/>
            <w:vMerge/>
          </w:tcPr>
          <w:p w14:paraId="3B1F556F" w14:textId="77777777" w:rsidR="00B805C0" w:rsidRDefault="00B805C0" w:rsidP="00740136">
            <w:pPr>
              <w:tabs>
                <w:tab w:val="left" w:pos="4962"/>
              </w:tabs>
              <w:spacing w:line="360" w:lineRule="auto"/>
              <w:jc w:val="both"/>
              <w:rPr>
                <w:rFonts w:ascii="Palatino Linotype" w:hAnsi="Palatino Linotype"/>
                <w:color w:val="000000"/>
                <w:szCs w:val="22"/>
              </w:rPr>
            </w:pPr>
          </w:p>
        </w:tc>
        <w:tc>
          <w:tcPr>
            <w:tcW w:w="2976" w:type="dxa"/>
            <w:vMerge/>
          </w:tcPr>
          <w:p w14:paraId="3C1D4FD4" w14:textId="77777777" w:rsidR="00B805C0" w:rsidRPr="004F4FC3" w:rsidRDefault="00B805C0" w:rsidP="00740136">
            <w:pPr>
              <w:tabs>
                <w:tab w:val="left" w:pos="4962"/>
              </w:tabs>
              <w:spacing w:line="360" w:lineRule="auto"/>
              <w:jc w:val="both"/>
              <w:rPr>
                <w:rFonts w:ascii="Palatino Linotype" w:eastAsia="Calibri" w:hAnsi="Palatino Linotype" w:cs="Tahoma"/>
                <w:bCs/>
                <w:szCs w:val="22"/>
                <w:lang w:eastAsia="en-US"/>
              </w:rPr>
            </w:pPr>
          </w:p>
        </w:tc>
        <w:tc>
          <w:tcPr>
            <w:tcW w:w="3369" w:type="dxa"/>
          </w:tcPr>
          <w:p w14:paraId="4B8C3CF3" w14:textId="2E04351B" w:rsidR="00B805C0" w:rsidRPr="004F4FC3" w:rsidRDefault="00B805C0" w:rsidP="00740136">
            <w:pPr>
              <w:tabs>
                <w:tab w:val="left" w:pos="4962"/>
              </w:tabs>
              <w:spacing w:line="360" w:lineRule="auto"/>
              <w:jc w:val="both"/>
              <w:rPr>
                <w:rFonts w:ascii="Palatino Linotype" w:hAnsi="Palatino Linotype"/>
                <w:color w:val="000000"/>
                <w:szCs w:val="14"/>
              </w:rPr>
            </w:pPr>
            <w:r w:rsidRPr="003D0982">
              <w:rPr>
                <w:rFonts w:ascii="Palatino Linotype" w:hAnsi="Palatino Linotype"/>
                <w:color w:val="000000"/>
              </w:rPr>
              <w:t>Requiero COPIA SIMPLE del documento (en caso de haberse emitido) de la constancia de viabilidad o dictamen único de factibilidad con el nombre ENTRE ÁRBOLES.</w:t>
            </w:r>
          </w:p>
        </w:tc>
      </w:tr>
      <w:tr w:rsidR="00B805C0" w14:paraId="04AD8746" w14:textId="77777777" w:rsidTr="00EC44F4">
        <w:tc>
          <w:tcPr>
            <w:tcW w:w="2689" w:type="dxa"/>
            <w:vMerge/>
          </w:tcPr>
          <w:p w14:paraId="79C8D4C4" w14:textId="77777777" w:rsidR="00B805C0" w:rsidRDefault="00B805C0" w:rsidP="00740136">
            <w:pPr>
              <w:tabs>
                <w:tab w:val="left" w:pos="4962"/>
              </w:tabs>
              <w:spacing w:line="360" w:lineRule="auto"/>
              <w:jc w:val="both"/>
              <w:rPr>
                <w:rFonts w:ascii="Palatino Linotype" w:hAnsi="Palatino Linotype"/>
                <w:color w:val="000000"/>
                <w:szCs w:val="22"/>
              </w:rPr>
            </w:pPr>
          </w:p>
        </w:tc>
        <w:tc>
          <w:tcPr>
            <w:tcW w:w="2976" w:type="dxa"/>
            <w:vMerge/>
          </w:tcPr>
          <w:p w14:paraId="2897546C" w14:textId="77777777" w:rsidR="00B805C0" w:rsidRPr="004F4FC3" w:rsidRDefault="00B805C0" w:rsidP="00740136">
            <w:pPr>
              <w:tabs>
                <w:tab w:val="left" w:pos="4962"/>
              </w:tabs>
              <w:spacing w:line="360" w:lineRule="auto"/>
              <w:jc w:val="both"/>
              <w:rPr>
                <w:rFonts w:ascii="Palatino Linotype" w:eastAsia="Calibri" w:hAnsi="Palatino Linotype" w:cs="Tahoma"/>
                <w:bCs/>
                <w:szCs w:val="22"/>
                <w:lang w:eastAsia="en-US"/>
              </w:rPr>
            </w:pPr>
          </w:p>
        </w:tc>
        <w:tc>
          <w:tcPr>
            <w:tcW w:w="3369" w:type="dxa"/>
          </w:tcPr>
          <w:p w14:paraId="508E7864" w14:textId="4898616B" w:rsidR="00B805C0" w:rsidRPr="003D0982" w:rsidRDefault="00B805C0" w:rsidP="00740136">
            <w:pPr>
              <w:tabs>
                <w:tab w:val="left" w:pos="4962"/>
              </w:tabs>
              <w:spacing w:line="360" w:lineRule="auto"/>
              <w:jc w:val="both"/>
              <w:rPr>
                <w:rFonts w:ascii="Palatino Linotype" w:hAnsi="Palatino Linotype"/>
                <w:color w:val="000000"/>
              </w:rPr>
            </w:pPr>
            <w:r w:rsidRPr="003D0982">
              <w:rPr>
                <w:rFonts w:ascii="Palatino Linotype" w:hAnsi="Palatino Linotype"/>
                <w:color w:val="000000"/>
              </w:rPr>
              <w:t>Se me informó que no esta constituido como condominio bajo que constitución esta dicha construcción???? Nota. Envío evidencia fotográfica para constatar la construcción en proceso en fachada principal y vistas aéreas</w:t>
            </w:r>
          </w:p>
        </w:tc>
      </w:tr>
    </w:tbl>
    <w:p w14:paraId="195F5810" w14:textId="204C74BF" w:rsidR="006F2933" w:rsidRPr="00B805C0" w:rsidRDefault="006F2933" w:rsidP="00740136">
      <w:pPr>
        <w:tabs>
          <w:tab w:val="left" w:pos="4962"/>
        </w:tabs>
        <w:spacing w:line="360" w:lineRule="auto"/>
        <w:jc w:val="both"/>
        <w:rPr>
          <w:rFonts w:ascii="Palatino Linotype" w:eastAsia="Calibri" w:hAnsi="Palatino Linotype" w:cs="Tahoma"/>
          <w:b/>
          <w:iCs/>
          <w:sz w:val="22"/>
          <w:szCs w:val="22"/>
          <w:lang w:eastAsia="es-ES_tradnl"/>
        </w:rPr>
      </w:pPr>
      <w:r w:rsidRPr="006F2933">
        <w:rPr>
          <w:rFonts w:ascii="Palatino Linotype" w:eastAsia="Calibri" w:hAnsi="Palatino Linotype" w:cs="Tahoma"/>
          <w:b/>
          <w:iCs/>
          <w:sz w:val="22"/>
          <w:szCs w:val="22"/>
          <w:lang w:eastAsia="es-ES_tradnl"/>
        </w:rPr>
        <w:t xml:space="preserve"> </w:t>
      </w:r>
    </w:p>
    <w:p w14:paraId="145F8F5E" w14:textId="3D6BF38E" w:rsidR="00B805C0" w:rsidRPr="00AD0F25" w:rsidRDefault="00B805C0" w:rsidP="00740136">
      <w:pPr>
        <w:spacing w:line="360" w:lineRule="auto"/>
        <w:jc w:val="both"/>
        <w:rPr>
          <w:rFonts w:ascii="Palatino Linotype" w:hAnsi="Palatino Linotype" w:cs="Tahoma"/>
          <w:iCs/>
          <w:sz w:val="22"/>
          <w:szCs w:val="22"/>
        </w:rPr>
      </w:pPr>
      <w:r w:rsidRPr="00CF5FAB">
        <w:rPr>
          <w:rFonts w:ascii="Palatino Linotype" w:eastAsia="Calibri" w:hAnsi="Palatino Linotype" w:cs="Tahoma"/>
          <w:bCs/>
          <w:sz w:val="22"/>
          <w:szCs w:val="22"/>
          <w:lang w:eastAsia="en-US"/>
        </w:rPr>
        <w:t xml:space="preserve">Así, es de precisar que </w:t>
      </w:r>
      <w:r w:rsidRPr="00CF5FAB">
        <w:rPr>
          <w:rFonts w:ascii="Palatino Linotype" w:hAnsi="Palatino Linotype" w:cs="Tahoma"/>
          <w:sz w:val="22"/>
          <w:szCs w:val="24"/>
        </w:rPr>
        <w:t xml:space="preserve">del análisis a los motivos de inconformidad hechos valer por el Recurrente </w:t>
      </w:r>
      <w:r w:rsidRPr="00CF5FAB">
        <w:rPr>
          <w:rFonts w:ascii="Palatino Linotype" w:hAnsi="Palatino Linotype" w:cs="Tahoma"/>
          <w:iCs/>
          <w:sz w:val="22"/>
          <w:szCs w:val="22"/>
        </w:rPr>
        <w:t>se advierte que el Particular amplió s</w:t>
      </w:r>
      <w:r w:rsidR="009E2E34">
        <w:rPr>
          <w:rFonts w:ascii="Palatino Linotype" w:hAnsi="Palatino Linotype" w:cs="Tahoma"/>
          <w:iCs/>
          <w:sz w:val="22"/>
          <w:szCs w:val="22"/>
        </w:rPr>
        <w:t xml:space="preserve">u solicitud y mencionó requerir la información relativa al servidor público responsable de </w:t>
      </w:r>
      <w:r w:rsidR="009E2E34" w:rsidRPr="009E2E34">
        <w:rPr>
          <w:rFonts w:ascii="Palatino Linotype" w:hAnsi="Palatino Linotype"/>
          <w:color w:val="000000"/>
          <w:sz w:val="22"/>
        </w:rPr>
        <w:t>autorizar las construcciones y de instrumentar un procedimiento administrativo común por falta de autorización</w:t>
      </w:r>
      <w:r w:rsidR="009E2E34">
        <w:rPr>
          <w:rFonts w:ascii="Palatino Linotype" w:hAnsi="Palatino Linotype" w:cs="Tahoma"/>
          <w:iCs/>
          <w:sz w:val="22"/>
          <w:szCs w:val="22"/>
        </w:rPr>
        <w:t xml:space="preserve">, de igual </w:t>
      </w:r>
      <w:r w:rsidR="009E2E34">
        <w:rPr>
          <w:rFonts w:ascii="Palatino Linotype" w:hAnsi="Palatino Linotype" w:cs="Tahoma"/>
          <w:iCs/>
          <w:sz w:val="22"/>
          <w:szCs w:val="22"/>
        </w:rPr>
        <w:lastRenderedPageBreak/>
        <w:t xml:space="preserve">forma, requirió copia simple de </w:t>
      </w:r>
      <w:r w:rsidR="00AD0F25">
        <w:rPr>
          <w:rFonts w:ascii="Palatino Linotype" w:hAnsi="Palatino Linotype" w:cs="Tahoma"/>
          <w:iCs/>
          <w:sz w:val="22"/>
          <w:szCs w:val="22"/>
        </w:rPr>
        <w:t>la constancia de viabilidad o dictamen único de factibilidad del fraccionamiento “Entre Árboles” y la información referente al régimen de constitución de dicha construcción;</w:t>
      </w:r>
      <w:r w:rsidRPr="00CF5FAB">
        <w:rPr>
          <w:rFonts w:ascii="Palatino Linotype" w:hAnsi="Palatino Linotype" w:cs="Tahoma"/>
          <w:iCs/>
          <w:sz w:val="22"/>
          <w:szCs w:val="22"/>
        </w:rPr>
        <w:t xml:space="preserve"> información que no fue requerida en la solicitud de origen, </w:t>
      </w:r>
      <w:r w:rsidRPr="00CF5FAB">
        <w:rPr>
          <w:rFonts w:ascii="Palatino Linotype" w:eastAsia="Calibri" w:hAnsi="Palatino Linotype" w:cs="Tahoma"/>
          <w:iCs/>
          <w:sz w:val="22"/>
          <w:szCs w:val="22"/>
          <w:lang w:eastAsia="es-ES_tradnl"/>
        </w:rPr>
        <w:t xml:space="preserve">por lo que se configura una </w:t>
      </w:r>
      <w:r w:rsidRPr="00CF5FAB">
        <w:rPr>
          <w:rFonts w:ascii="Palatino Linotype" w:eastAsia="Calibri" w:hAnsi="Palatino Linotype" w:cs="Tahoma"/>
          <w:i/>
          <w:iCs/>
          <w:sz w:val="22"/>
          <w:szCs w:val="22"/>
          <w:lang w:eastAsia="es-ES_tradnl"/>
        </w:rPr>
        <w:t xml:space="preserve">plus petitio, </w:t>
      </w:r>
      <w:r w:rsidRPr="00CF5FAB">
        <w:rPr>
          <w:rFonts w:ascii="Palatino Linotype" w:eastAsia="Calibri" w:hAnsi="Palatino Linotype" w:cs="Tahoma"/>
          <w:iCs/>
          <w:sz w:val="22"/>
          <w:szCs w:val="22"/>
          <w:lang w:eastAsia="es-ES_tradnl"/>
        </w:rPr>
        <w:t xml:space="preserve">que consiste en una ampliación a su requerimiento informativo, argumentos que no son susceptibles de ser valorados en términos de la fracción VII, del Artículo 191 de la </w:t>
      </w:r>
      <w:r w:rsidRPr="00CF5FAB">
        <w:rPr>
          <w:rFonts w:ascii="Palatino Linotype" w:eastAsia="Calibri" w:hAnsi="Palatino Linotype" w:cs="Tahoma"/>
          <w:color w:val="000000"/>
          <w:sz w:val="22"/>
          <w:szCs w:val="22"/>
          <w:lang w:eastAsia="es-MX"/>
        </w:rPr>
        <w:t xml:space="preserve">Ley de Transparencia y Acceso a la Información Pública del Estado de México y Municipios, el cual señala la improcedencia cuando el Recurrente amplíe su solicitud en el Recurso de Revisión, </w:t>
      </w:r>
      <w:r w:rsidRPr="00CF5FAB">
        <w:rPr>
          <w:rFonts w:ascii="Palatino Linotype" w:eastAsia="Calibri" w:hAnsi="Palatino Linotype" w:cs="Tahoma"/>
          <w:b/>
          <w:color w:val="000000"/>
          <w:sz w:val="22"/>
          <w:szCs w:val="22"/>
          <w:u w:val="single"/>
          <w:lang w:eastAsia="es-MX"/>
        </w:rPr>
        <w:t>únicamente respecto de los nuevos contenidos</w:t>
      </w:r>
      <w:r w:rsidRPr="00CF5FAB">
        <w:rPr>
          <w:rFonts w:ascii="Palatino Linotype" w:eastAsia="Calibri" w:hAnsi="Palatino Linotype" w:cs="Tahoma"/>
          <w:color w:val="000000"/>
          <w:sz w:val="22"/>
          <w:szCs w:val="22"/>
          <w:lang w:eastAsia="es-MX"/>
        </w:rPr>
        <w:t xml:space="preserve">. </w:t>
      </w:r>
    </w:p>
    <w:p w14:paraId="310BC9E3" w14:textId="77777777" w:rsidR="00B805C0" w:rsidRPr="00CF5FAB" w:rsidRDefault="00B805C0" w:rsidP="00740136">
      <w:pPr>
        <w:spacing w:line="360" w:lineRule="auto"/>
        <w:jc w:val="both"/>
        <w:rPr>
          <w:rFonts w:ascii="Palatino Linotype" w:eastAsia="Calibri" w:hAnsi="Palatino Linotype" w:cs="Tahoma"/>
          <w:color w:val="000000"/>
          <w:sz w:val="22"/>
          <w:szCs w:val="22"/>
          <w:lang w:eastAsia="es-MX"/>
        </w:rPr>
      </w:pPr>
    </w:p>
    <w:p w14:paraId="2C4CE0E8" w14:textId="4C7D3A51" w:rsidR="00B805C0" w:rsidRDefault="00B805C0" w:rsidP="00740136">
      <w:pPr>
        <w:spacing w:line="360" w:lineRule="auto"/>
        <w:jc w:val="both"/>
        <w:rPr>
          <w:rFonts w:ascii="Palatino Linotype" w:hAnsi="Palatino Linotype"/>
          <w:color w:val="000000"/>
          <w:szCs w:val="22"/>
        </w:rPr>
      </w:pPr>
      <w:r w:rsidRPr="00CF5FAB">
        <w:rPr>
          <w:rFonts w:ascii="Palatino Linotype" w:eastAsia="Calibri" w:hAnsi="Palatino Linotype" w:cs="Tahoma"/>
          <w:color w:val="000000"/>
          <w:sz w:val="22"/>
          <w:szCs w:val="22"/>
          <w:lang w:eastAsia="es-MX"/>
        </w:rPr>
        <w:t>Por lo cual el requerimiento realizado a través del medio de impugnación configura un nuevo contenido que pretende ampliar la solicitud, el cual no será sujeto de análisis por resultar improcedente</w:t>
      </w:r>
      <w:r w:rsidRPr="00CF5FAB">
        <w:rPr>
          <w:rFonts w:ascii="Palatino Linotype" w:hAnsi="Palatino Linotype" w:cs="Tahoma"/>
          <w:iCs/>
          <w:sz w:val="22"/>
          <w:szCs w:val="22"/>
        </w:rPr>
        <w:t xml:space="preserve">; no obstante, se analizará el requerimiento primigenio consistente </w:t>
      </w:r>
      <w:r w:rsidR="004E000D">
        <w:rPr>
          <w:rFonts w:ascii="Palatino Linotype" w:hAnsi="Palatino Linotype" w:cs="Tahoma"/>
          <w:iCs/>
          <w:sz w:val="22"/>
          <w:szCs w:val="22"/>
        </w:rPr>
        <w:t xml:space="preserve">en </w:t>
      </w:r>
      <w:r w:rsidR="008726D3" w:rsidRPr="004E000D">
        <w:rPr>
          <w:rFonts w:ascii="Palatino Linotype" w:hAnsi="Palatino Linotype" w:cs="Tahoma"/>
          <w:iCs/>
          <w:sz w:val="22"/>
          <w:szCs w:val="22"/>
          <w:u w:val="single"/>
        </w:rPr>
        <w:t>la acción que realizó la Dirección Regional Valle de Toluca por la falta de autorización del condominio denominado “Entre Árboles”,</w:t>
      </w:r>
      <w:r w:rsidR="008726D3">
        <w:rPr>
          <w:rFonts w:ascii="Palatino Linotype" w:hAnsi="Palatino Linotype" w:cs="Tahoma"/>
          <w:iCs/>
          <w:sz w:val="22"/>
          <w:szCs w:val="22"/>
        </w:rPr>
        <w:t xml:space="preserve"> copias simples de la notificación del citatorio a garantía de audiencia a la empresa constructora, Resolutivos, Multas, documento que acredite las acciones que se han realizado por parte de la </w:t>
      </w:r>
      <w:r w:rsidR="008726D3" w:rsidRPr="008726D3">
        <w:rPr>
          <w:rFonts w:ascii="Palatino Linotype" w:hAnsi="Palatino Linotype"/>
          <w:color w:val="000000"/>
          <w:sz w:val="22"/>
          <w:szCs w:val="22"/>
        </w:rPr>
        <w:t>Dirección Regional Valle de Toluca en contra de la empresa</w:t>
      </w:r>
      <w:r w:rsidR="008726D3" w:rsidRPr="00647974">
        <w:rPr>
          <w:rFonts w:ascii="Palatino Linotype" w:hAnsi="Palatino Linotype"/>
          <w:color w:val="000000"/>
          <w:szCs w:val="22"/>
        </w:rPr>
        <w:t>.</w:t>
      </w:r>
    </w:p>
    <w:p w14:paraId="26B4EE0A" w14:textId="77777777" w:rsidR="00654A32" w:rsidRDefault="00654A32" w:rsidP="00740136">
      <w:pPr>
        <w:spacing w:line="360" w:lineRule="auto"/>
        <w:jc w:val="both"/>
        <w:rPr>
          <w:rFonts w:ascii="Palatino Linotype" w:hAnsi="Palatino Linotype"/>
          <w:color w:val="000000"/>
          <w:szCs w:val="22"/>
        </w:rPr>
      </w:pPr>
    </w:p>
    <w:p w14:paraId="10F39711" w14:textId="7637DFE3" w:rsidR="00BF12FB" w:rsidRDefault="005C24AA" w:rsidP="00740136">
      <w:pPr>
        <w:spacing w:line="360" w:lineRule="auto"/>
        <w:ind w:right="-93"/>
        <w:jc w:val="both"/>
        <w:rPr>
          <w:rFonts w:ascii="Palatino Linotype" w:eastAsia="Calibri" w:hAnsi="Palatino Linotype" w:cs="Tahoma"/>
          <w:bCs/>
          <w:sz w:val="22"/>
          <w:szCs w:val="22"/>
          <w:lang w:eastAsia="en-US"/>
        </w:rPr>
      </w:pPr>
      <w:r w:rsidRPr="00BF12FB">
        <w:rPr>
          <w:rFonts w:ascii="Palatino Linotype" w:eastAsia="Calibri" w:hAnsi="Palatino Linotype" w:cs="Tahoma"/>
          <w:bCs/>
          <w:sz w:val="22"/>
          <w:szCs w:val="22"/>
          <w:lang w:eastAsia="en-US"/>
        </w:rPr>
        <w:t xml:space="preserve">Previo al estudio de fondo de la respuesta, es de precisar que la solicitud anterior a la que hace referencia en solicitante, es la número </w:t>
      </w:r>
      <w:r w:rsidR="00BF12FB" w:rsidRPr="00BF12FB">
        <w:rPr>
          <w:rFonts w:ascii="Palatino Linotype" w:hAnsi="Palatino Linotype" w:cs="Arial"/>
          <w:b/>
          <w:bCs/>
          <w:color w:val="333333"/>
          <w:sz w:val="22"/>
          <w:szCs w:val="22"/>
        </w:rPr>
        <w:t>00010/SEDUM/IP/2019</w:t>
      </w:r>
      <w:r w:rsidRPr="00BF12FB">
        <w:rPr>
          <w:rFonts w:ascii="Palatino Linotype" w:eastAsia="Calibri" w:hAnsi="Palatino Linotype" w:cs="Tahoma"/>
          <w:bCs/>
          <w:sz w:val="22"/>
          <w:szCs w:val="22"/>
          <w:lang w:eastAsia="en-US"/>
        </w:rPr>
        <w:t xml:space="preserve">, en donde </w:t>
      </w:r>
      <w:r w:rsidR="00BF12FB">
        <w:rPr>
          <w:rFonts w:ascii="Palatino Linotype" w:eastAsia="Calibri" w:hAnsi="Palatino Linotype" w:cs="Tahoma"/>
          <w:bCs/>
          <w:sz w:val="22"/>
          <w:szCs w:val="22"/>
          <w:lang w:eastAsia="en-US"/>
        </w:rPr>
        <w:t xml:space="preserve">el Sujeto Obligado contestó que instruiría al Residente Local de Toluca, a efecto de que realizará una visita de verificación al predio aludido con el fin de determinar la procedencia de instrumentar Procedimiento Jurídico Administrativo Común, en contra de la empresa constructora, tal y como se advierte a continuación: </w:t>
      </w:r>
    </w:p>
    <w:p w14:paraId="253B7D05" w14:textId="22916CC4" w:rsidR="00BF12FB" w:rsidRPr="00BF12FB" w:rsidRDefault="00BF12FB" w:rsidP="00740136">
      <w:pPr>
        <w:spacing w:line="360" w:lineRule="auto"/>
        <w:ind w:right="-93"/>
        <w:jc w:val="center"/>
        <w:rPr>
          <w:rFonts w:ascii="Palatino Linotype" w:eastAsia="Calibri" w:hAnsi="Palatino Linotype" w:cs="Tahoma"/>
          <w:bCs/>
          <w:sz w:val="22"/>
          <w:szCs w:val="22"/>
          <w:lang w:eastAsia="en-US"/>
        </w:rPr>
      </w:pPr>
      <w:bookmarkStart w:id="0" w:name="_GoBack"/>
      <w:r w:rsidRPr="00BF12FB">
        <w:rPr>
          <w:rFonts w:ascii="Palatino Linotype" w:eastAsia="Calibri" w:hAnsi="Palatino Linotype" w:cs="Tahoma"/>
          <w:bCs/>
          <w:noProof/>
          <w:sz w:val="22"/>
          <w:szCs w:val="22"/>
          <w:lang w:val="es-MX" w:eastAsia="es-MX"/>
        </w:rPr>
        <w:lastRenderedPageBreak/>
        <w:drawing>
          <wp:inline distT="0" distB="0" distL="0" distR="0" wp14:anchorId="6F268A6B" wp14:editId="3D6C4B89">
            <wp:extent cx="5475736" cy="6410325"/>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6334"/>
                    <a:stretch/>
                  </pic:blipFill>
                  <pic:spPr bwMode="auto">
                    <a:xfrm>
                      <a:off x="0" y="0"/>
                      <a:ext cx="5479866" cy="6415160"/>
                    </a:xfrm>
                    <a:prstGeom prst="rect">
                      <a:avLst/>
                    </a:prstGeom>
                    <a:noFill/>
                    <a:ln>
                      <a:noFill/>
                    </a:ln>
                    <a:extLst>
                      <a:ext uri="{53640926-AAD7-44D8-BBD7-CCE9431645EC}">
                        <a14:shadowObscured xmlns:a14="http://schemas.microsoft.com/office/drawing/2010/main"/>
                      </a:ext>
                    </a:extLst>
                  </pic:spPr>
                </pic:pic>
              </a:graphicData>
            </a:graphic>
          </wp:inline>
        </w:drawing>
      </w:r>
      <w:bookmarkEnd w:id="0"/>
    </w:p>
    <w:p w14:paraId="01CEE9F5" w14:textId="2375E014" w:rsidR="00BF12FB" w:rsidRDefault="00BF12FB" w:rsidP="00740136">
      <w:pPr>
        <w:spacing w:line="360" w:lineRule="auto"/>
        <w:ind w:right="-93"/>
        <w:jc w:val="center"/>
        <w:rPr>
          <w:rFonts w:ascii="Palatino Linotype" w:eastAsia="Calibri" w:hAnsi="Palatino Linotype" w:cs="Tahoma"/>
          <w:bCs/>
          <w:szCs w:val="22"/>
          <w:lang w:eastAsia="en-US"/>
        </w:rPr>
      </w:pPr>
      <w:r>
        <w:rPr>
          <w:rFonts w:ascii="Palatino Linotype" w:eastAsia="Calibri" w:hAnsi="Palatino Linotype" w:cs="Tahoma"/>
          <w:bCs/>
          <w:noProof/>
          <w:szCs w:val="22"/>
          <w:lang w:val="es-MX" w:eastAsia="es-MX"/>
        </w:rPr>
        <w:lastRenderedPageBreak/>
        <mc:AlternateContent>
          <mc:Choice Requires="wps">
            <w:drawing>
              <wp:anchor distT="0" distB="0" distL="114300" distR="114300" simplePos="0" relativeHeight="251680768" behindDoc="0" locked="0" layoutInCell="1" allowOverlap="1" wp14:anchorId="7C2233C8" wp14:editId="2ED82ADB">
                <wp:simplePos x="0" y="0"/>
                <wp:positionH relativeFrom="column">
                  <wp:posOffset>782320</wp:posOffset>
                </wp:positionH>
                <wp:positionV relativeFrom="paragraph">
                  <wp:posOffset>280670</wp:posOffset>
                </wp:positionV>
                <wp:extent cx="4010025" cy="1457325"/>
                <wp:effectExtent l="19050" t="19050" r="28575" b="28575"/>
                <wp:wrapNone/>
                <wp:docPr id="8" name="Rectángulo 8"/>
                <wp:cNvGraphicFramePr/>
                <a:graphic xmlns:a="http://schemas.openxmlformats.org/drawingml/2006/main">
                  <a:graphicData uri="http://schemas.microsoft.com/office/word/2010/wordprocessingShape">
                    <wps:wsp>
                      <wps:cNvSpPr/>
                      <wps:spPr>
                        <a:xfrm>
                          <a:off x="0" y="0"/>
                          <a:ext cx="4010025" cy="14573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1A98DA5" id="Rectángulo 8" o:spid="_x0000_s1026" style="position:absolute;margin-left:61.6pt;margin-top:22.1pt;width:315.75pt;height:114.75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" filled="f" strokecolor="red" strokeweight="2.25pt"/>
            </w:pict>
          </mc:Fallback>
        </mc:AlternateContent>
      </w:r>
      <w:r w:rsidRPr="00BF12FB">
        <w:rPr>
          <w:rFonts w:ascii="Palatino Linotype" w:eastAsia="Calibri" w:hAnsi="Palatino Linotype" w:cs="Tahoma"/>
          <w:bCs/>
          <w:noProof/>
          <w:szCs w:val="22"/>
          <w:lang w:val="es-MX" w:eastAsia="es-MX"/>
        </w:rPr>
        <w:drawing>
          <wp:inline distT="0" distB="0" distL="0" distR="0" wp14:anchorId="7E5191AD" wp14:editId="65B1E46C">
            <wp:extent cx="4895587" cy="4229100"/>
            <wp:effectExtent l="0" t="0" r="63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902252" cy="4234857"/>
                    </a:xfrm>
                    <a:prstGeom prst="rect">
                      <a:avLst/>
                    </a:prstGeom>
                    <a:noFill/>
                    <a:ln>
                      <a:noFill/>
                    </a:ln>
                  </pic:spPr>
                </pic:pic>
              </a:graphicData>
            </a:graphic>
          </wp:inline>
        </w:drawing>
      </w:r>
    </w:p>
    <w:p w14:paraId="35F0CD08" w14:textId="0B025966" w:rsidR="00BF12FB" w:rsidRDefault="00BF12FB" w:rsidP="00740136">
      <w:pPr>
        <w:spacing w:line="360" w:lineRule="auto"/>
        <w:ind w:right="-93"/>
        <w:jc w:val="center"/>
        <w:rPr>
          <w:rFonts w:ascii="Palatino Linotype" w:eastAsia="Calibri" w:hAnsi="Palatino Linotype" w:cs="Tahoma"/>
          <w:bCs/>
          <w:szCs w:val="22"/>
          <w:lang w:eastAsia="en-US"/>
        </w:rPr>
      </w:pPr>
      <w:r w:rsidRPr="00BF12FB">
        <w:rPr>
          <w:rFonts w:ascii="Palatino Linotype" w:eastAsia="Calibri" w:hAnsi="Palatino Linotype" w:cs="Tahoma"/>
          <w:bCs/>
          <w:noProof/>
          <w:szCs w:val="22"/>
          <w:lang w:val="es-MX" w:eastAsia="es-MX"/>
        </w:rPr>
        <w:drawing>
          <wp:inline distT="0" distB="0" distL="0" distR="0" wp14:anchorId="0523295E" wp14:editId="27A5C45C">
            <wp:extent cx="4444947" cy="1267341"/>
            <wp:effectExtent l="0" t="0" r="0"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505087" cy="1284488"/>
                    </a:xfrm>
                    <a:prstGeom prst="rect">
                      <a:avLst/>
                    </a:prstGeom>
                    <a:noFill/>
                    <a:ln>
                      <a:noFill/>
                    </a:ln>
                  </pic:spPr>
                </pic:pic>
              </a:graphicData>
            </a:graphic>
          </wp:inline>
        </w:drawing>
      </w:r>
    </w:p>
    <w:p w14:paraId="1D6AD35E" w14:textId="77777777" w:rsidR="00467998" w:rsidRDefault="00467998" w:rsidP="00740136">
      <w:pPr>
        <w:spacing w:line="360" w:lineRule="auto"/>
        <w:ind w:right="-93"/>
        <w:jc w:val="both"/>
        <w:rPr>
          <w:rFonts w:ascii="Palatino Linotype" w:eastAsia="Calibri" w:hAnsi="Palatino Linotype" w:cs="Tahoma"/>
          <w:bCs/>
          <w:sz w:val="22"/>
          <w:szCs w:val="22"/>
          <w:lang w:eastAsia="en-US"/>
        </w:rPr>
      </w:pPr>
    </w:p>
    <w:p w14:paraId="2F44F6D2" w14:textId="2D0CB99C" w:rsidR="00BF12FB" w:rsidRDefault="0026006E" w:rsidP="00740136">
      <w:pPr>
        <w:spacing w:line="360" w:lineRule="auto"/>
        <w:ind w:right="-93"/>
        <w:jc w:val="both"/>
        <w:rPr>
          <w:rFonts w:ascii="Palatino Linotype" w:eastAsia="Calibri" w:hAnsi="Palatino Linotype" w:cs="Tahoma"/>
          <w:bCs/>
          <w:sz w:val="22"/>
          <w:szCs w:val="22"/>
          <w:lang w:eastAsia="en-US"/>
        </w:rPr>
      </w:pPr>
      <w:r w:rsidRPr="0026006E">
        <w:rPr>
          <w:rFonts w:ascii="Palatino Linotype" w:eastAsia="Calibri" w:hAnsi="Palatino Linotype" w:cs="Tahoma"/>
          <w:bCs/>
          <w:sz w:val="22"/>
          <w:szCs w:val="22"/>
          <w:lang w:eastAsia="en-US"/>
        </w:rPr>
        <w:t>Asimismo, del cumplimiento a la resolución</w:t>
      </w:r>
      <w:r>
        <w:rPr>
          <w:rFonts w:ascii="Palatino Linotype" w:eastAsia="Calibri" w:hAnsi="Palatino Linotype" w:cs="Tahoma"/>
          <w:bCs/>
          <w:sz w:val="22"/>
          <w:szCs w:val="22"/>
          <w:lang w:eastAsia="en-US"/>
        </w:rPr>
        <w:t xml:space="preserve"> del Recurso de Revisión 0353/INFOEM/IP/RR/2019,</w:t>
      </w:r>
      <w:r w:rsidRPr="0026006E">
        <w:rPr>
          <w:rFonts w:ascii="Palatino Linotype" w:eastAsia="Calibri" w:hAnsi="Palatino Linotype" w:cs="Tahoma"/>
          <w:bCs/>
          <w:sz w:val="22"/>
          <w:szCs w:val="22"/>
          <w:lang w:eastAsia="en-US"/>
        </w:rPr>
        <w:t xml:space="preserve"> recaíd</w:t>
      </w:r>
      <w:r>
        <w:rPr>
          <w:rFonts w:ascii="Palatino Linotype" w:eastAsia="Calibri" w:hAnsi="Palatino Linotype" w:cs="Tahoma"/>
          <w:bCs/>
          <w:sz w:val="22"/>
          <w:szCs w:val="22"/>
          <w:lang w:eastAsia="en-US"/>
        </w:rPr>
        <w:t>o</w:t>
      </w:r>
      <w:r w:rsidRPr="0026006E">
        <w:rPr>
          <w:rFonts w:ascii="Palatino Linotype" w:eastAsia="Calibri" w:hAnsi="Palatino Linotype" w:cs="Tahoma"/>
          <w:bCs/>
          <w:sz w:val="22"/>
          <w:szCs w:val="22"/>
          <w:lang w:eastAsia="en-US"/>
        </w:rPr>
        <w:t xml:space="preserve"> a la solicitud de información referida con antelación</w:t>
      </w:r>
      <w:r>
        <w:rPr>
          <w:rFonts w:ascii="Palatino Linotype" w:eastAsia="Calibri" w:hAnsi="Palatino Linotype" w:cs="Tahoma"/>
          <w:bCs/>
          <w:sz w:val="22"/>
          <w:szCs w:val="22"/>
          <w:lang w:eastAsia="en-US"/>
        </w:rPr>
        <w:t>,</w:t>
      </w:r>
      <w:r w:rsidRPr="0026006E">
        <w:rPr>
          <w:rFonts w:ascii="Palatino Linotype" w:eastAsia="Calibri" w:hAnsi="Palatino Linotype" w:cs="Tahoma"/>
          <w:bCs/>
          <w:sz w:val="22"/>
          <w:szCs w:val="22"/>
          <w:lang w:eastAsia="en-US"/>
        </w:rPr>
        <w:t xml:space="preserve"> se advierte que el Sujeto Obligado </w:t>
      </w:r>
      <w:r>
        <w:rPr>
          <w:rFonts w:ascii="Palatino Linotype" w:eastAsia="Calibri" w:hAnsi="Palatino Linotype" w:cs="Tahoma"/>
          <w:bCs/>
          <w:sz w:val="22"/>
          <w:szCs w:val="22"/>
          <w:lang w:eastAsia="en-US"/>
        </w:rPr>
        <w:t xml:space="preserve">informó que </w:t>
      </w:r>
    </w:p>
    <w:p w14:paraId="5C396F96" w14:textId="77777777" w:rsidR="0026006E" w:rsidRDefault="0026006E" w:rsidP="00740136">
      <w:pPr>
        <w:spacing w:line="360" w:lineRule="auto"/>
        <w:ind w:right="-93"/>
        <w:jc w:val="both"/>
        <w:rPr>
          <w:rFonts w:ascii="Palatino Linotype" w:eastAsia="Calibri" w:hAnsi="Palatino Linotype" w:cs="Tahoma"/>
          <w:bCs/>
          <w:sz w:val="22"/>
          <w:szCs w:val="22"/>
          <w:lang w:eastAsia="en-US"/>
        </w:rPr>
      </w:pPr>
    </w:p>
    <w:p w14:paraId="227AA622" w14:textId="180A0B9B" w:rsidR="0026006E" w:rsidRPr="0026006E" w:rsidRDefault="0026006E" w:rsidP="00740136">
      <w:pPr>
        <w:spacing w:line="360" w:lineRule="auto"/>
        <w:ind w:right="-93"/>
        <w:jc w:val="center"/>
        <w:rPr>
          <w:rFonts w:ascii="Palatino Linotype" w:eastAsia="Calibri" w:hAnsi="Palatino Linotype" w:cs="Tahoma"/>
          <w:bCs/>
          <w:sz w:val="22"/>
          <w:szCs w:val="22"/>
          <w:lang w:eastAsia="en-US"/>
        </w:rPr>
      </w:pPr>
      <w:r w:rsidRPr="0026006E">
        <w:rPr>
          <w:rFonts w:ascii="Palatino Linotype" w:eastAsia="Calibri" w:hAnsi="Palatino Linotype" w:cs="Tahoma"/>
          <w:bCs/>
          <w:noProof/>
          <w:sz w:val="22"/>
          <w:szCs w:val="22"/>
          <w:lang w:val="es-MX" w:eastAsia="es-MX"/>
        </w:rPr>
        <w:lastRenderedPageBreak/>
        <w:drawing>
          <wp:inline distT="0" distB="0" distL="0" distR="0" wp14:anchorId="42DCA830" wp14:editId="43F36302">
            <wp:extent cx="4037330" cy="2905125"/>
            <wp:effectExtent l="0" t="0" r="1270" b="952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038949" cy="2906290"/>
                    </a:xfrm>
                    <a:prstGeom prst="rect">
                      <a:avLst/>
                    </a:prstGeom>
                    <a:noFill/>
                    <a:ln>
                      <a:noFill/>
                    </a:ln>
                  </pic:spPr>
                </pic:pic>
              </a:graphicData>
            </a:graphic>
          </wp:inline>
        </w:drawing>
      </w:r>
    </w:p>
    <w:p w14:paraId="2CC6CA1C" w14:textId="4ED496A2" w:rsidR="00BF12FB" w:rsidRDefault="0026006E" w:rsidP="00740136">
      <w:pPr>
        <w:spacing w:line="360" w:lineRule="auto"/>
        <w:ind w:right="-93"/>
        <w:jc w:val="center"/>
        <w:rPr>
          <w:rFonts w:ascii="Palatino Linotype" w:eastAsia="Calibri" w:hAnsi="Palatino Linotype" w:cs="Tahoma"/>
          <w:bCs/>
          <w:szCs w:val="22"/>
          <w:lang w:eastAsia="en-US"/>
        </w:rPr>
      </w:pPr>
      <w:r>
        <w:rPr>
          <w:rFonts w:ascii="Palatino Linotype" w:eastAsia="Calibri" w:hAnsi="Palatino Linotype" w:cs="Tahoma"/>
          <w:bCs/>
          <w:noProof/>
          <w:szCs w:val="22"/>
          <w:lang w:val="es-MX" w:eastAsia="es-MX"/>
        </w:rPr>
        <mc:AlternateContent>
          <mc:Choice Requires="wps">
            <w:drawing>
              <wp:anchor distT="0" distB="0" distL="114300" distR="114300" simplePos="0" relativeHeight="251681792" behindDoc="0" locked="0" layoutInCell="1" allowOverlap="1" wp14:anchorId="4CA3B70B" wp14:editId="63BBD1CC">
                <wp:simplePos x="0" y="0"/>
                <wp:positionH relativeFrom="column">
                  <wp:posOffset>706120</wp:posOffset>
                </wp:positionH>
                <wp:positionV relativeFrom="paragraph">
                  <wp:posOffset>207010</wp:posOffset>
                </wp:positionV>
                <wp:extent cx="4457700" cy="1295400"/>
                <wp:effectExtent l="19050" t="19050" r="19050" b="19050"/>
                <wp:wrapNone/>
                <wp:docPr id="14" name="Rectángulo 14"/>
                <wp:cNvGraphicFramePr/>
                <a:graphic xmlns:a="http://schemas.openxmlformats.org/drawingml/2006/main">
                  <a:graphicData uri="http://schemas.microsoft.com/office/word/2010/wordprocessingShape">
                    <wps:wsp>
                      <wps:cNvSpPr/>
                      <wps:spPr>
                        <a:xfrm>
                          <a:off x="0" y="0"/>
                          <a:ext cx="4457700" cy="12954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B012C7" id="Rectángulo 14" o:spid="_x0000_s1026" style="position:absolute;margin-left:55.6pt;margin-top:16.3pt;width:351pt;height:102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" filled="f" strokecolor="red" strokeweight="2.25pt"/>
            </w:pict>
          </mc:Fallback>
        </mc:AlternateContent>
      </w:r>
    </w:p>
    <w:p w14:paraId="6B2A28CD" w14:textId="408E7836" w:rsidR="0026006E" w:rsidRDefault="0026006E" w:rsidP="00740136">
      <w:pPr>
        <w:spacing w:line="360" w:lineRule="auto"/>
        <w:ind w:right="-93"/>
        <w:jc w:val="center"/>
        <w:rPr>
          <w:rFonts w:ascii="Palatino Linotype" w:eastAsia="Calibri" w:hAnsi="Palatino Linotype" w:cs="Tahoma"/>
          <w:bCs/>
          <w:szCs w:val="22"/>
          <w:lang w:eastAsia="en-US"/>
        </w:rPr>
      </w:pPr>
      <w:r w:rsidRPr="0026006E">
        <w:rPr>
          <w:rFonts w:ascii="Palatino Linotype" w:eastAsia="Calibri" w:hAnsi="Palatino Linotype" w:cs="Tahoma"/>
          <w:bCs/>
          <w:noProof/>
          <w:szCs w:val="22"/>
          <w:lang w:val="es-MX" w:eastAsia="es-MX"/>
        </w:rPr>
        <w:drawing>
          <wp:inline distT="0" distB="0" distL="0" distR="0" wp14:anchorId="0479FA6E" wp14:editId="4060B263">
            <wp:extent cx="4293428" cy="118745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296395" cy="1188271"/>
                    </a:xfrm>
                    <a:prstGeom prst="rect">
                      <a:avLst/>
                    </a:prstGeom>
                    <a:noFill/>
                    <a:ln>
                      <a:noFill/>
                    </a:ln>
                  </pic:spPr>
                </pic:pic>
              </a:graphicData>
            </a:graphic>
          </wp:inline>
        </w:drawing>
      </w:r>
    </w:p>
    <w:p w14:paraId="376C60E5" w14:textId="77777777" w:rsidR="0026006E" w:rsidRDefault="0026006E" w:rsidP="00740136">
      <w:pPr>
        <w:spacing w:line="360" w:lineRule="auto"/>
        <w:ind w:right="-93"/>
        <w:jc w:val="both"/>
        <w:rPr>
          <w:rFonts w:ascii="Palatino Linotype" w:eastAsia="Calibri" w:hAnsi="Palatino Linotype" w:cs="Tahoma"/>
          <w:bCs/>
          <w:szCs w:val="22"/>
          <w:lang w:eastAsia="en-US"/>
        </w:rPr>
      </w:pPr>
    </w:p>
    <w:p w14:paraId="16EC3C1C" w14:textId="4EFB4E95" w:rsidR="005C24AA" w:rsidRPr="0026006E" w:rsidRDefault="0026006E" w:rsidP="00740136">
      <w:pPr>
        <w:spacing w:line="360" w:lineRule="auto"/>
        <w:ind w:right="-93"/>
        <w:jc w:val="both"/>
        <w:rPr>
          <w:rFonts w:ascii="Palatino Linotype" w:eastAsia="Calibri" w:hAnsi="Palatino Linotype" w:cs="Tahoma"/>
          <w:bCs/>
          <w:sz w:val="22"/>
          <w:szCs w:val="22"/>
          <w:lang w:eastAsia="en-US"/>
        </w:rPr>
      </w:pPr>
      <w:r w:rsidRPr="0026006E">
        <w:rPr>
          <w:rFonts w:ascii="Palatino Linotype" w:eastAsia="Calibri" w:hAnsi="Palatino Linotype" w:cs="Tahoma"/>
          <w:bCs/>
          <w:sz w:val="22"/>
          <w:szCs w:val="22"/>
          <w:lang w:eastAsia="en-US"/>
        </w:rPr>
        <w:t xml:space="preserve">De lo anterior, se desprende que el Sujeto Obligado en cumplimiento a la resolución antes referida, indicó que derivado de la visita al predio, observó que no existían obras de urbanización al interior del predio, ni obras de infraestructura urbana, que tenga como indicio el que se vaya a edificar un condominio en el predio en cita. </w:t>
      </w:r>
    </w:p>
    <w:p w14:paraId="1A028E3C" w14:textId="77777777" w:rsidR="0026006E" w:rsidRDefault="0026006E" w:rsidP="00740136">
      <w:pPr>
        <w:spacing w:line="360" w:lineRule="auto"/>
        <w:ind w:right="-93"/>
        <w:jc w:val="both"/>
        <w:rPr>
          <w:rFonts w:ascii="Palatino Linotype" w:eastAsia="Calibri" w:hAnsi="Palatino Linotype" w:cs="Tahoma"/>
          <w:bCs/>
          <w:sz w:val="22"/>
          <w:szCs w:val="22"/>
          <w:lang w:eastAsia="en-US"/>
        </w:rPr>
      </w:pPr>
    </w:p>
    <w:p w14:paraId="6E3F78C5" w14:textId="5CE17D05" w:rsidR="00011E99" w:rsidRDefault="0026006E" w:rsidP="00740136">
      <w:pPr>
        <w:spacing w:line="360" w:lineRule="auto"/>
        <w:ind w:right="-93"/>
        <w:jc w:val="both"/>
        <w:rPr>
          <w:rFonts w:ascii="Palatino Linotype" w:eastAsia="Calibri" w:hAnsi="Palatino Linotype" w:cs="Tahoma"/>
          <w:bCs/>
          <w:sz w:val="22"/>
          <w:szCs w:val="22"/>
          <w:lang w:eastAsia="en-US"/>
        </w:rPr>
      </w:pPr>
      <w:r>
        <w:rPr>
          <w:rFonts w:ascii="Palatino Linotype" w:eastAsia="Calibri" w:hAnsi="Palatino Linotype" w:cs="Tahoma"/>
          <w:bCs/>
          <w:sz w:val="22"/>
          <w:szCs w:val="22"/>
          <w:lang w:eastAsia="en-US"/>
        </w:rPr>
        <w:t>Ahora bien</w:t>
      </w:r>
      <w:r w:rsidR="00011E99">
        <w:rPr>
          <w:rFonts w:ascii="Palatino Linotype" w:eastAsia="Calibri" w:hAnsi="Palatino Linotype" w:cs="Tahoma"/>
          <w:bCs/>
          <w:sz w:val="22"/>
          <w:szCs w:val="22"/>
          <w:lang w:eastAsia="en-US"/>
        </w:rPr>
        <w:t xml:space="preserve">, </w:t>
      </w:r>
      <w:r w:rsidR="00E379CD">
        <w:rPr>
          <w:rFonts w:ascii="Palatino Linotype" w:eastAsia="Calibri" w:hAnsi="Palatino Linotype" w:cs="Tahoma"/>
          <w:bCs/>
          <w:sz w:val="22"/>
          <w:szCs w:val="22"/>
          <w:lang w:eastAsia="en-US"/>
        </w:rPr>
        <w:t>de las constancias que obran agregadas al expediente, se advierte que el Sujeto Obligado</w:t>
      </w:r>
      <w:r>
        <w:rPr>
          <w:rFonts w:ascii="Palatino Linotype" w:eastAsia="Calibri" w:hAnsi="Palatino Linotype" w:cs="Tahoma"/>
          <w:bCs/>
          <w:sz w:val="22"/>
          <w:szCs w:val="22"/>
          <w:lang w:eastAsia="en-US"/>
        </w:rPr>
        <w:t xml:space="preserve"> en la solicitud de información que nos ocupa,</w:t>
      </w:r>
      <w:r w:rsidR="00E379CD">
        <w:rPr>
          <w:rFonts w:ascii="Palatino Linotype" w:eastAsia="Calibri" w:hAnsi="Palatino Linotype" w:cs="Tahoma"/>
          <w:bCs/>
          <w:sz w:val="22"/>
          <w:szCs w:val="22"/>
          <w:lang w:eastAsia="en-US"/>
        </w:rPr>
        <w:t xml:space="preserve"> respondi</w:t>
      </w:r>
      <w:r w:rsidR="00CC15C9">
        <w:rPr>
          <w:rFonts w:ascii="Palatino Linotype" w:eastAsia="Calibri" w:hAnsi="Palatino Linotype" w:cs="Tahoma"/>
          <w:bCs/>
          <w:sz w:val="22"/>
          <w:szCs w:val="22"/>
          <w:lang w:eastAsia="en-US"/>
        </w:rPr>
        <w:t xml:space="preserve">ó que </w:t>
      </w:r>
      <w:r w:rsidR="005C24AA">
        <w:rPr>
          <w:rFonts w:ascii="Palatino Linotype" w:eastAsia="Calibri" w:hAnsi="Palatino Linotype" w:cs="Tahoma"/>
          <w:bCs/>
          <w:sz w:val="22"/>
          <w:szCs w:val="22"/>
          <w:lang w:eastAsia="en-US"/>
        </w:rPr>
        <w:t>envió a un</w:t>
      </w:r>
      <w:r w:rsidR="00CC15C9">
        <w:rPr>
          <w:rFonts w:ascii="Palatino Linotype" w:eastAsia="Calibri" w:hAnsi="Palatino Linotype" w:cs="Tahoma"/>
          <w:bCs/>
          <w:sz w:val="22"/>
          <w:szCs w:val="22"/>
          <w:lang w:eastAsia="en-US"/>
        </w:rPr>
        <w:t xml:space="preserve"> residente que había instruido a efecto de realizar una inspección de campo para corroborar lo que físicamente se encuentra en el predio en cita</w:t>
      </w:r>
      <w:r w:rsidR="00464C2E">
        <w:rPr>
          <w:rFonts w:ascii="Palatino Linotype" w:eastAsia="Calibri" w:hAnsi="Palatino Linotype" w:cs="Tahoma"/>
          <w:bCs/>
          <w:sz w:val="22"/>
          <w:szCs w:val="22"/>
          <w:lang w:eastAsia="en-US"/>
        </w:rPr>
        <w:t xml:space="preserve">, el cual </w:t>
      </w:r>
      <w:r w:rsidR="00CC15C9">
        <w:rPr>
          <w:rFonts w:ascii="Palatino Linotype" w:eastAsia="Calibri" w:hAnsi="Palatino Linotype" w:cs="Tahoma"/>
          <w:bCs/>
          <w:sz w:val="22"/>
          <w:szCs w:val="22"/>
          <w:lang w:eastAsia="en-US"/>
        </w:rPr>
        <w:t xml:space="preserve">reportó la inexistencia del desarrollo habitacional bajo </w:t>
      </w:r>
      <w:r w:rsidR="00CC15C9">
        <w:rPr>
          <w:rFonts w:ascii="Palatino Linotype" w:eastAsia="Calibri" w:hAnsi="Palatino Linotype" w:cs="Tahoma"/>
          <w:bCs/>
          <w:sz w:val="22"/>
          <w:szCs w:val="22"/>
          <w:lang w:eastAsia="en-US"/>
        </w:rPr>
        <w:lastRenderedPageBreak/>
        <w:t xml:space="preserve">la figura de condominio, por lo que no resultaba procedente iniciar alguna medida o acción para instrumentar un procedimiento jurídico. </w:t>
      </w:r>
      <w:r w:rsidR="00011E99">
        <w:rPr>
          <w:rFonts w:ascii="Palatino Linotype" w:eastAsia="Calibri" w:hAnsi="Palatino Linotype" w:cs="Tahoma"/>
          <w:bCs/>
          <w:sz w:val="22"/>
          <w:szCs w:val="22"/>
          <w:lang w:eastAsia="en-US"/>
        </w:rPr>
        <w:t xml:space="preserve"> </w:t>
      </w:r>
    </w:p>
    <w:p w14:paraId="6F1E5144" w14:textId="77777777" w:rsidR="00011E99" w:rsidRDefault="00011E99" w:rsidP="00740136">
      <w:pPr>
        <w:spacing w:line="360" w:lineRule="auto"/>
        <w:ind w:right="-93"/>
        <w:jc w:val="both"/>
        <w:rPr>
          <w:rFonts w:ascii="Palatino Linotype" w:eastAsia="Calibri" w:hAnsi="Palatino Linotype" w:cs="Tahoma"/>
          <w:bCs/>
          <w:sz w:val="22"/>
          <w:szCs w:val="22"/>
          <w:lang w:eastAsia="en-US"/>
        </w:rPr>
      </w:pPr>
    </w:p>
    <w:p w14:paraId="7284C88A" w14:textId="14B7EB20" w:rsidR="00011E99" w:rsidRDefault="00011E99" w:rsidP="00740136">
      <w:pPr>
        <w:spacing w:line="360" w:lineRule="auto"/>
        <w:ind w:right="-93"/>
        <w:jc w:val="both"/>
        <w:rPr>
          <w:rFonts w:ascii="Palatino Linotype" w:eastAsia="Calibri" w:hAnsi="Palatino Linotype" w:cs="Tahoma"/>
          <w:bCs/>
          <w:sz w:val="22"/>
          <w:szCs w:val="22"/>
          <w:lang w:eastAsia="en-US"/>
        </w:rPr>
      </w:pPr>
      <w:r>
        <w:rPr>
          <w:rFonts w:ascii="Palatino Linotype" w:eastAsia="Calibri" w:hAnsi="Palatino Linotype" w:cs="Tahoma"/>
          <w:bCs/>
          <w:sz w:val="22"/>
          <w:szCs w:val="22"/>
          <w:lang w:eastAsia="en-US"/>
        </w:rPr>
        <w:t xml:space="preserve">Al respecto, </w:t>
      </w:r>
      <w:r w:rsidR="00CC15C9">
        <w:rPr>
          <w:rFonts w:ascii="Palatino Linotype" w:eastAsia="Calibri" w:hAnsi="Palatino Linotype" w:cs="Tahoma"/>
          <w:bCs/>
          <w:sz w:val="22"/>
          <w:szCs w:val="22"/>
          <w:lang w:eastAsia="en-US"/>
        </w:rPr>
        <w:t xml:space="preserve">se procede analizar el marco jurídico aplicable al caso concreto, en los siguientes términos: </w:t>
      </w:r>
    </w:p>
    <w:p w14:paraId="6C8814CC" w14:textId="670F671B" w:rsidR="000D6674" w:rsidRPr="00FB2640" w:rsidRDefault="00FB2640" w:rsidP="00740136">
      <w:pPr>
        <w:spacing w:line="360" w:lineRule="auto"/>
        <w:ind w:left="567" w:right="539"/>
        <w:jc w:val="center"/>
        <w:rPr>
          <w:rFonts w:ascii="Palatino Linotype" w:hAnsi="Palatino Linotype"/>
          <w:i/>
        </w:rPr>
      </w:pPr>
      <w:r w:rsidRPr="00FB2640">
        <w:rPr>
          <w:rFonts w:ascii="Palatino Linotype" w:hAnsi="Palatino Linotype"/>
          <w:i/>
        </w:rPr>
        <w:t>“</w:t>
      </w:r>
      <w:r w:rsidR="000D6674" w:rsidRPr="00FB2640">
        <w:rPr>
          <w:rFonts w:ascii="Palatino Linotype" w:hAnsi="Palatino Linotype"/>
          <w:i/>
        </w:rPr>
        <w:t>LIBRO PRIMERO</w:t>
      </w:r>
    </w:p>
    <w:p w14:paraId="672F17FB" w14:textId="3B92D8EF" w:rsidR="00CC15C9" w:rsidRPr="00FB2640" w:rsidRDefault="000D6674" w:rsidP="00740136">
      <w:pPr>
        <w:spacing w:line="360" w:lineRule="auto"/>
        <w:ind w:left="567" w:right="539"/>
        <w:jc w:val="center"/>
        <w:rPr>
          <w:rFonts w:ascii="Palatino Linotype" w:eastAsia="Calibri" w:hAnsi="Palatino Linotype" w:cs="Tahoma"/>
          <w:bCs/>
          <w:i/>
          <w:lang w:eastAsia="en-US"/>
        </w:rPr>
      </w:pPr>
      <w:r w:rsidRPr="00FB2640">
        <w:rPr>
          <w:rFonts w:ascii="Palatino Linotype" w:hAnsi="Palatino Linotype"/>
          <w:i/>
        </w:rPr>
        <w:t>Parte general</w:t>
      </w:r>
    </w:p>
    <w:p w14:paraId="1F9DB03A" w14:textId="0DAE1B9B" w:rsidR="00CC15C9" w:rsidRPr="00FB2640" w:rsidRDefault="00CC15C9" w:rsidP="00740136">
      <w:pPr>
        <w:spacing w:line="360" w:lineRule="auto"/>
        <w:ind w:left="567" w:right="539"/>
        <w:jc w:val="center"/>
        <w:rPr>
          <w:rFonts w:ascii="Palatino Linotype" w:hAnsi="Palatino Linotype"/>
          <w:i/>
        </w:rPr>
      </w:pPr>
      <w:r w:rsidRPr="00FB2640">
        <w:rPr>
          <w:rFonts w:ascii="Palatino Linotype" w:hAnsi="Palatino Linotype"/>
          <w:i/>
        </w:rPr>
        <w:t>TITULO SEGUNDO</w:t>
      </w:r>
    </w:p>
    <w:p w14:paraId="6EC3F686" w14:textId="7F7E519F" w:rsidR="00CC15C9" w:rsidRPr="00FB2640" w:rsidRDefault="00CC15C9" w:rsidP="00740136">
      <w:pPr>
        <w:spacing w:line="360" w:lineRule="auto"/>
        <w:ind w:left="567" w:right="539"/>
        <w:jc w:val="center"/>
        <w:rPr>
          <w:rFonts w:ascii="Palatino Linotype" w:eastAsia="Calibri" w:hAnsi="Palatino Linotype" w:cs="Tahoma"/>
          <w:bCs/>
          <w:i/>
          <w:lang w:eastAsia="en-US"/>
        </w:rPr>
      </w:pPr>
      <w:r w:rsidRPr="00FB2640">
        <w:rPr>
          <w:rFonts w:ascii="Palatino Linotype" w:hAnsi="Palatino Linotype"/>
          <w:i/>
        </w:rPr>
        <w:t>De las autoridades estatales y municipales</w:t>
      </w:r>
    </w:p>
    <w:p w14:paraId="781739F4" w14:textId="77777777" w:rsidR="008726D3" w:rsidRPr="00FB2640" w:rsidRDefault="008726D3" w:rsidP="00740136">
      <w:pPr>
        <w:spacing w:line="360" w:lineRule="auto"/>
        <w:ind w:left="567" w:right="539"/>
        <w:jc w:val="both"/>
        <w:rPr>
          <w:rFonts w:ascii="Palatino Linotype" w:eastAsia="Calibri" w:hAnsi="Palatino Linotype" w:cs="Tahoma"/>
          <w:bCs/>
          <w:i/>
          <w:lang w:eastAsia="en-US"/>
        </w:rPr>
      </w:pPr>
    </w:p>
    <w:p w14:paraId="5D0FF04C" w14:textId="4087E5D1" w:rsidR="006256FD" w:rsidRPr="00FB2640" w:rsidRDefault="000D6674" w:rsidP="00740136">
      <w:pPr>
        <w:pStyle w:val="Prrafodelista"/>
        <w:spacing w:line="360" w:lineRule="auto"/>
        <w:ind w:left="567" w:right="539"/>
        <w:jc w:val="both"/>
        <w:rPr>
          <w:rFonts w:ascii="Palatino Linotype" w:hAnsi="Palatino Linotype"/>
          <w:i/>
          <w:sz w:val="20"/>
          <w:szCs w:val="20"/>
        </w:rPr>
      </w:pPr>
      <w:r w:rsidRPr="00FB2640">
        <w:rPr>
          <w:rFonts w:ascii="Palatino Linotype" w:hAnsi="Palatino Linotype"/>
          <w:i/>
          <w:sz w:val="20"/>
          <w:szCs w:val="20"/>
        </w:rPr>
        <w:t>Artículo 1.5.- Son atribuciones de las autoridades estatales y municipales a que se refiere este Código, en las materias que les corresponde aplicar:</w:t>
      </w:r>
    </w:p>
    <w:p w14:paraId="38884D08" w14:textId="2E71E9BE" w:rsidR="000D6674" w:rsidRPr="00FB2640" w:rsidRDefault="000D6674" w:rsidP="00740136">
      <w:pPr>
        <w:pStyle w:val="Prrafodelista"/>
        <w:spacing w:line="360" w:lineRule="auto"/>
        <w:ind w:left="567" w:right="539"/>
        <w:jc w:val="both"/>
        <w:rPr>
          <w:rFonts w:ascii="Palatino Linotype" w:hAnsi="Palatino Linotype"/>
          <w:i/>
          <w:sz w:val="20"/>
          <w:szCs w:val="20"/>
        </w:rPr>
      </w:pPr>
      <w:r w:rsidRPr="00FB2640">
        <w:rPr>
          <w:rFonts w:ascii="Palatino Linotype" w:hAnsi="Palatino Linotype"/>
          <w:i/>
          <w:sz w:val="20"/>
          <w:szCs w:val="20"/>
        </w:rPr>
        <w:t>I a IX…</w:t>
      </w:r>
    </w:p>
    <w:p w14:paraId="6320F71D" w14:textId="77777777" w:rsidR="000D6674" w:rsidRPr="00FB2640" w:rsidRDefault="000D6674" w:rsidP="00740136">
      <w:pPr>
        <w:pStyle w:val="Prrafodelista"/>
        <w:spacing w:line="360" w:lineRule="auto"/>
        <w:ind w:left="567" w:right="539"/>
        <w:jc w:val="both"/>
        <w:rPr>
          <w:rFonts w:ascii="Palatino Linotype" w:hAnsi="Palatino Linotype"/>
          <w:i/>
          <w:sz w:val="20"/>
          <w:szCs w:val="20"/>
        </w:rPr>
      </w:pPr>
    </w:p>
    <w:p w14:paraId="5FFFF808" w14:textId="1743A8E3" w:rsidR="000D6674" w:rsidRPr="00FB2640" w:rsidRDefault="000D6674" w:rsidP="00740136">
      <w:pPr>
        <w:pStyle w:val="Prrafodelista"/>
        <w:spacing w:line="360" w:lineRule="auto"/>
        <w:ind w:left="567" w:right="539"/>
        <w:jc w:val="both"/>
        <w:rPr>
          <w:rFonts w:ascii="Palatino Linotype" w:hAnsi="Palatino Linotype"/>
          <w:i/>
          <w:sz w:val="20"/>
          <w:szCs w:val="20"/>
        </w:rPr>
      </w:pPr>
      <w:r w:rsidRPr="00FB2640">
        <w:rPr>
          <w:rFonts w:ascii="Palatino Linotype" w:hAnsi="Palatino Linotype"/>
          <w:i/>
          <w:sz w:val="20"/>
          <w:szCs w:val="20"/>
        </w:rPr>
        <w:t>X. Vigilar la aplicación de las disposiciones de este Código y de las que se deriven del mismo, realizar visitas de verificación, ordenar y ejecutar medidas de seguridad y aplicar sanciones. En todo caso, se buscará orientar y educar a los infractores;</w:t>
      </w:r>
    </w:p>
    <w:p w14:paraId="02B4EC41" w14:textId="77777777" w:rsidR="000D6674" w:rsidRPr="00FB2640" w:rsidRDefault="000D6674" w:rsidP="00740136">
      <w:pPr>
        <w:pStyle w:val="Prrafodelista"/>
        <w:spacing w:line="360" w:lineRule="auto"/>
        <w:ind w:left="567" w:right="539"/>
        <w:jc w:val="both"/>
        <w:rPr>
          <w:rFonts w:ascii="Palatino Linotype" w:hAnsi="Palatino Linotype"/>
          <w:i/>
          <w:sz w:val="20"/>
          <w:szCs w:val="20"/>
        </w:rPr>
      </w:pPr>
    </w:p>
    <w:p w14:paraId="71D82F7C" w14:textId="039D70FF" w:rsidR="000D6674" w:rsidRPr="00FB2640" w:rsidRDefault="000D6674" w:rsidP="00740136">
      <w:pPr>
        <w:pStyle w:val="Prrafodelista"/>
        <w:spacing w:line="360" w:lineRule="auto"/>
        <w:ind w:left="567" w:right="539"/>
        <w:jc w:val="both"/>
        <w:rPr>
          <w:rFonts w:ascii="Palatino Linotype" w:hAnsi="Palatino Linotype"/>
          <w:i/>
          <w:sz w:val="20"/>
          <w:szCs w:val="20"/>
        </w:rPr>
      </w:pPr>
      <w:r w:rsidRPr="00FB2640">
        <w:rPr>
          <w:rFonts w:ascii="Palatino Linotype" w:hAnsi="Palatino Linotype"/>
          <w:i/>
          <w:sz w:val="20"/>
          <w:szCs w:val="20"/>
        </w:rPr>
        <w:t xml:space="preserve">XI a XII… </w:t>
      </w:r>
    </w:p>
    <w:p w14:paraId="7E090F7A" w14:textId="468410C7" w:rsidR="000D6674" w:rsidRDefault="00424DBA" w:rsidP="00740136">
      <w:pPr>
        <w:pStyle w:val="Prrafodelista"/>
        <w:spacing w:line="360" w:lineRule="auto"/>
        <w:ind w:left="567" w:right="-93"/>
        <w:jc w:val="both"/>
      </w:pPr>
      <w:r>
        <w:t>…</w:t>
      </w:r>
    </w:p>
    <w:p w14:paraId="562928DC" w14:textId="22DF2E21" w:rsidR="00531D04" w:rsidRPr="00FB2640" w:rsidRDefault="000D6674" w:rsidP="00740136">
      <w:pPr>
        <w:pStyle w:val="Prrafodelista"/>
        <w:spacing w:line="360" w:lineRule="auto"/>
        <w:ind w:left="567" w:right="539"/>
        <w:jc w:val="center"/>
        <w:rPr>
          <w:rFonts w:ascii="Palatino Linotype" w:hAnsi="Palatino Linotype"/>
          <w:i/>
          <w:sz w:val="20"/>
        </w:rPr>
      </w:pPr>
      <w:r w:rsidRPr="00FB2640">
        <w:rPr>
          <w:rFonts w:ascii="Palatino Linotype" w:hAnsi="Palatino Linotype"/>
          <w:i/>
          <w:sz w:val="20"/>
        </w:rPr>
        <w:t>LIBRO QUINTO</w:t>
      </w:r>
    </w:p>
    <w:p w14:paraId="28D87D93" w14:textId="66F97E9A" w:rsidR="00531D04" w:rsidRPr="00FB2640" w:rsidRDefault="000D6674" w:rsidP="00740136">
      <w:pPr>
        <w:pStyle w:val="Prrafodelista"/>
        <w:spacing w:line="360" w:lineRule="auto"/>
        <w:ind w:left="567" w:right="539"/>
        <w:jc w:val="center"/>
        <w:rPr>
          <w:rFonts w:ascii="Palatino Linotype" w:hAnsi="Palatino Linotype"/>
          <w:i/>
          <w:sz w:val="20"/>
        </w:rPr>
      </w:pPr>
      <w:r w:rsidRPr="00FB2640">
        <w:rPr>
          <w:rFonts w:ascii="Palatino Linotype" w:hAnsi="Palatino Linotype"/>
          <w:i/>
          <w:sz w:val="20"/>
        </w:rPr>
        <w:t>DEL ORDENAMIENTO TERRITORIAL DE LOS ASENTAMIENTOS HUMANOS Y DEL DESARROLLO URBANO DE LOS CENTROS DE POBLACIÓN</w:t>
      </w:r>
    </w:p>
    <w:p w14:paraId="49D60773" w14:textId="0C7AD940" w:rsidR="00531D04" w:rsidRPr="00FB2640" w:rsidRDefault="000D6674" w:rsidP="00740136">
      <w:pPr>
        <w:pStyle w:val="Prrafodelista"/>
        <w:spacing w:line="360" w:lineRule="auto"/>
        <w:ind w:left="567" w:right="539"/>
        <w:jc w:val="center"/>
        <w:rPr>
          <w:rFonts w:ascii="Palatino Linotype" w:hAnsi="Palatino Linotype"/>
          <w:i/>
          <w:sz w:val="20"/>
        </w:rPr>
      </w:pPr>
      <w:r w:rsidRPr="00FB2640">
        <w:rPr>
          <w:rFonts w:ascii="Palatino Linotype" w:hAnsi="Palatino Linotype"/>
          <w:i/>
          <w:sz w:val="20"/>
        </w:rPr>
        <w:t>TÍTULO PRIMERO</w:t>
      </w:r>
    </w:p>
    <w:p w14:paraId="3CA3A8CB" w14:textId="32E8AA6F" w:rsidR="000D6674" w:rsidRPr="00FB2640" w:rsidRDefault="000D6674" w:rsidP="00740136">
      <w:pPr>
        <w:pStyle w:val="Prrafodelista"/>
        <w:spacing w:line="360" w:lineRule="auto"/>
        <w:ind w:left="567" w:right="539"/>
        <w:jc w:val="center"/>
        <w:rPr>
          <w:rFonts w:ascii="Palatino Linotype" w:hAnsi="Palatino Linotype"/>
          <w:i/>
          <w:sz w:val="20"/>
        </w:rPr>
      </w:pPr>
      <w:r w:rsidRPr="00FB2640">
        <w:rPr>
          <w:rFonts w:ascii="Palatino Linotype" w:hAnsi="Palatino Linotype"/>
          <w:i/>
          <w:sz w:val="20"/>
        </w:rPr>
        <w:t>DE LAS DISPOSICIONES GENERALES CAPÍTULO PRIMERO DEL OBJETO Y FINALIDAD</w:t>
      </w:r>
    </w:p>
    <w:p w14:paraId="5FED3707" w14:textId="569B994B" w:rsidR="00531D04" w:rsidRPr="00FB2640" w:rsidRDefault="00531D04" w:rsidP="00740136">
      <w:pPr>
        <w:pStyle w:val="Prrafodelista"/>
        <w:spacing w:line="360" w:lineRule="auto"/>
        <w:ind w:left="567" w:right="539"/>
        <w:jc w:val="both"/>
        <w:rPr>
          <w:rFonts w:ascii="Palatino Linotype" w:hAnsi="Palatino Linotype"/>
          <w:i/>
          <w:sz w:val="20"/>
        </w:rPr>
      </w:pPr>
      <w:r w:rsidRPr="00FB2640">
        <w:rPr>
          <w:rFonts w:ascii="Palatino Linotype" w:hAnsi="Palatino Linotype"/>
          <w:i/>
          <w:sz w:val="20"/>
        </w:rPr>
        <w:t>…</w:t>
      </w:r>
    </w:p>
    <w:p w14:paraId="2A54AF62" w14:textId="6BAEE4D4" w:rsidR="00531D04" w:rsidRPr="00FB2640" w:rsidRDefault="00531D04" w:rsidP="00740136">
      <w:pPr>
        <w:pStyle w:val="Prrafodelista"/>
        <w:spacing w:line="360" w:lineRule="auto"/>
        <w:ind w:left="567" w:right="539"/>
        <w:jc w:val="both"/>
        <w:rPr>
          <w:rFonts w:ascii="Palatino Linotype" w:hAnsi="Palatino Linotype"/>
          <w:i/>
          <w:sz w:val="20"/>
        </w:rPr>
      </w:pPr>
      <w:r w:rsidRPr="00FB2640">
        <w:rPr>
          <w:rFonts w:ascii="Palatino Linotype" w:hAnsi="Palatino Linotype"/>
          <w:i/>
          <w:sz w:val="20"/>
        </w:rPr>
        <w:t>Artículo 5.9. La Secretaría tendrá las atribuciones siguientes:</w:t>
      </w:r>
    </w:p>
    <w:p w14:paraId="79076601" w14:textId="6AB94FD9" w:rsidR="00531D04" w:rsidRPr="00FB2640" w:rsidRDefault="00531D04" w:rsidP="00740136">
      <w:pPr>
        <w:pStyle w:val="Prrafodelista"/>
        <w:spacing w:line="360" w:lineRule="auto"/>
        <w:ind w:left="567" w:right="539"/>
        <w:jc w:val="both"/>
        <w:rPr>
          <w:rFonts w:ascii="Palatino Linotype" w:hAnsi="Palatino Linotype"/>
          <w:i/>
          <w:sz w:val="20"/>
        </w:rPr>
      </w:pPr>
      <w:r w:rsidRPr="00FB2640">
        <w:rPr>
          <w:rFonts w:ascii="Palatino Linotype" w:hAnsi="Palatino Linotype"/>
          <w:i/>
          <w:sz w:val="20"/>
        </w:rPr>
        <w:lastRenderedPageBreak/>
        <w:t xml:space="preserve">I a III… </w:t>
      </w:r>
    </w:p>
    <w:p w14:paraId="2F0B9754" w14:textId="2196B800" w:rsidR="00531D04" w:rsidRPr="00FB2640" w:rsidRDefault="00531D04" w:rsidP="00740136">
      <w:pPr>
        <w:pStyle w:val="Prrafodelista"/>
        <w:spacing w:line="360" w:lineRule="auto"/>
        <w:ind w:left="567" w:right="539"/>
        <w:jc w:val="both"/>
        <w:rPr>
          <w:rFonts w:ascii="Palatino Linotype" w:hAnsi="Palatino Linotype"/>
          <w:i/>
          <w:sz w:val="20"/>
        </w:rPr>
      </w:pPr>
      <w:r w:rsidRPr="00FB2640">
        <w:rPr>
          <w:rFonts w:ascii="Palatino Linotype" w:hAnsi="Palatino Linotype"/>
          <w:i/>
          <w:sz w:val="20"/>
        </w:rPr>
        <w:t>IV. Emitir las autorizaciones de conjuntos urbanos, condominios, subdivisiones, relotificaciones, fusiones y en los casos previstos en este Libro y la reglamentación correspondiente:</w:t>
      </w:r>
    </w:p>
    <w:p w14:paraId="1499F7F3" w14:textId="77777777" w:rsidR="00531D04" w:rsidRPr="00FB2640" w:rsidRDefault="00531D04" w:rsidP="00740136">
      <w:pPr>
        <w:pStyle w:val="Prrafodelista"/>
        <w:spacing w:line="360" w:lineRule="auto"/>
        <w:ind w:left="567" w:right="539"/>
        <w:jc w:val="both"/>
        <w:rPr>
          <w:rFonts w:ascii="Palatino Linotype" w:hAnsi="Palatino Linotype"/>
          <w:i/>
          <w:sz w:val="20"/>
        </w:rPr>
      </w:pPr>
      <w:r w:rsidRPr="00FB2640">
        <w:rPr>
          <w:rFonts w:ascii="Palatino Linotype" w:hAnsi="Palatino Linotype"/>
          <w:i/>
          <w:sz w:val="20"/>
        </w:rPr>
        <w:t xml:space="preserve">Derogado. </w:t>
      </w:r>
    </w:p>
    <w:p w14:paraId="2E1DA04F" w14:textId="71C9EB68" w:rsidR="00531D04" w:rsidRPr="00FB2640" w:rsidRDefault="00531D04" w:rsidP="00740136">
      <w:pPr>
        <w:pStyle w:val="Prrafodelista"/>
        <w:spacing w:line="360" w:lineRule="auto"/>
        <w:ind w:left="567" w:right="539"/>
        <w:jc w:val="both"/>
        <w:rPr>
          <w:rFonts w:ascii="Palatino Linotype" w:hAnsi="Palatino Linotype"/>
          <w:i/>
          <w:sz w:val="20"/>
        </w:rPr>
      </w:pPr>
      <w:r w:rsidRPr="00FB2640">
        <w:rPr>
          <w:rFonts w:ascii="Palatino Linotype" w:hAnsi="Palatino Linotype"/>
          <w:i/>
          <w:sz w:val="20"/>
        </w:rPr>
        <w:t>Así también, podrá autorizar, en términos de la legislación correspondiente, lo siguiente:</w:t>
      </w:r>
    </w:p>
    <w:p w14:paraId="7A3C5DA1" w14:textId="77777777" w:rsidR="00531D04" w:rsidRPr="00FB2640" w:rsidRDefault="00531D04" w:rsidP="00740136">
      <w:pPr>
        <w:pStyle w:val="Prrafodelista"/>
        <w:spacing w:line="360" w:lineRule="auto"/>
        <w:ind w:left="567" w:right="539"/>
        <w:jc w:val="both"/>
        <w:rPr>
          <w:rFonts w:ascii="Palatino Linotype" w:hAnsi="Palatino Linotype"/>
          <w:i/>
          <w:sz w:val="20"/>
        </w:rPr>
      </w:pPr>
      <w:r w:rsidRPr="00FB2640">
        <w:rPr>
          <w:rFonts w:ascii="Palatino Linotype" w:hAnsi="Palatino Linotype"/>
          <w:i/>
          <w:sz w:val="20"/>
        </w:rPr>
        <w:t xml:space="preserve">a) Los proyectos arquitectónicos de las obras de equipamiento urbano; </w:t>
      </w:r>
    </w:p>
    <w:p w14:paraId="6746DEE9" w14:textId="77777777" w:rsidR="00531D04" w:rsidRPr="00FB2640" w:rsidRDefault="00531D04" w:rsidP="00740136">
      <w:pPr>
        <w:pStyle w:val="Prrafodelista"/>
        <w:spacing w:line="360" w:lineRule="auto"/>
        <w:ind w:left="567" w:right="539"/>
        <w:jc w:val="both"/>
        <w:rPr>
          <w:rFonts w:ascii="Palatino Linotype" w:hAnsi="Palatino Linotype"/>
          <w:i/>
          <w:sz w:val="20"/>
        </w:rPr>
      </w:pPr>
      <w:r w:rsidRPr="00FB2640">
        <w:rPr>
          <w:rFonts w:ascii="Palatino Linotype" w:hAnsi="Palatino Linotype"/>
          <w:i/>
          <w:sz w:val="20"/>
        </w:rPr>
        <w:t xml:space="preserve">b) El inicio de obras de urbanización, infraestructura y equipamiento urbano y sus correspondientes prórrogas; </w:t>
      </w:r>
    </w:p>
    <w:p w14:paraId="209140E3" w14:textId="77777777" w:rsidR="00531D04" w:rsidRPr="00FB2640" w:rsidRDefault="00531D04" w:rsidP="00740136">
      <w:pPr>
        <w:pStyle w:val="Prrafodelista"/>
        <w:spacing w:line="360" w:lineRule="auto"/>
        <w:ind w:left="567" w:right="539"/>
        <w:jc w:val="both"/>
        <w:rPr>
          <w:rFonts w:ascii="Palatino Linotype" w:hAnsi="Palatino Linotype"/>
          <w:i/>
          <w:sz w:val="20"/>
        </w:rPr>
      </w:pPr>
      <w:r w:rsidRPr="00FB2640">
        <w:rPr>
          <w:rFonts w:ascii="Palatino Linotype" w:hAnsi="Palatino Linotype"/>
          <w:i/>
          <w:sz w:val="20"/>
        </w:rPr>
        <w:t xml:space="preserve">c) La promoción y publicidad del desarrollo; </w:t>
      </w:r>
    </w:p>
    <w:p w14:paraId="71D23842" w14:textId="7F731A8E" w:rsidR="00531D04" w:rsidRPr="00FB2640" w:rsidRDefault="00531D04" w:rsidP="00740136">
      <w:pPr>
        <w:pStyle w:val="Prrafodelista"/>
        <w:spacing w:line="360" w:lineRule="auto"/>
        <w:ind w:left="567" w:right="539"/>
        <w:jc w:val="both"/>
        <w:rPr>
          <w:rFonts w:ascii="Palatino Linotype" w:hAnsi="Palatino Linotype"/>
          <w:i/>
          <w:sz w:val="20"/>
        </w:rPr>
      </w:pPr>
      <w:r w:rsidRPr="00FB2640">
        <w:rPr>
          <w:rFonts w:ascii="Palatino Linotype" w:hAnsi="Palatino Linotype"/>
          <w:i/>
          <w:sz w:val="20"/>
        </w:rPr>
        <w:t>d) La enajenación y gravamen de lotes;</w:t>
      </w:r>
    </w:p>
    <w:p w14:paraId="7DCEAE78" w14:textId="74BB9061" w:rsidR="00531D04" w:rsidRPr="00FB2640" w:rsidRDefault="00531D04" w:rsidP="00740136">
      <w:pPr>
        <w:pStyle w:val="Prrafodelista"/>
        <w:spacing w:line="360" w:lineRule="auto"/>
        <w:ind w:left="567" w:right="539"/>
        <w:jc w:val="both"/>
        <w:rPr>
          <w:rFonts w:ascii="Palatino Linotype" w:hAnsi="Palatino Linotype"/>
          <w:i/>
          <w:sz w:val="20"/>
        </w:rPr>
      </w:pPr>
      <w:r w:rsidRPr="00FB2640">
        <w:rPr>
          <w:rFonts w:ascii="Palatino Linotype" w:hAnsi="Palatino Linotype"/>
          <w:i/>
          <w:sz w:val="20"/>
        </w:rPr>
        <w:t xml:space="preserve">e) a f)… </w:t>
      </w:r>
    </w:p>
    <w:p w14:paraId="168483A8" w14:textId="31994B3F" w:rsidR="00531D04" w:rsidRPr="00FB2640" w:rsidRDefault="00531D04" w:rsidP="00740136">
      <w:pPr>
        <w:pStyle w:val="Prrafodelista"/>
        <w:spacing w:line="360" w:lineRule="auto"/>
        <w:ind w:left="567" w:right="539"/>
        <w:jc w:val="both"/>
        <w:rPr>
          <w:rFonts w:ascii="Palatino Linotype" w:hAnsi="Palatino Linotype"/>
          <w:i/>
          <w:sz w:val="20"/>
        </w:rPr>
      </w:pPr>
      <w:r w:rsidRPr="00FB2640">
        <w:rPr>
          <w:rFonts w:ascii="Palatino Linotype" w:hAnsi="Palatino Linotype"/>
          <w:i/>
          <w:sz w:val="20"/>
        </w:rPr>
        <w:t>g) El cambio de tipo o del nombre comercial de los conjuntos urbanos, subdivisiones y condominios;</w:t>
      </w:r>
    </w:p>
    <w:p w14:paraId="60E87292" w14:textId="1C98266D" w:rsidR="00531D04" w:rsidRPr="00FB2640" w:rsidRDefault="00531D04" w:rsidP="00740136">
      <w:pPr>
        <w:pStyle w:val="Prrafodelista"/>
        <w:spacing w:line="360" w:lineRule="auto"/>
        <w:ind w:left="567" w:right="539"/>
        <w:jc w:val="both"/>
        <w:rPr>
          <w:rFonts w:ascii="Palatino Linotype" w:hAnsi="Palatino Linotype"/>
          <w:i/>
          <w:sz w:val="20"/>
        </w:rPr>
      </w:pPr>
      <w:r w:rsidRPr="00FB2640">
        <w:rPr>
          <w:rFonts w:ascii="Palatino Linotype" w:hAnsi="Palatino Linotype"/>
          <w:i/>
          <w:sz w:val="20"/>
        </w:rPr>
        <w:t>i) Cualquier otra que en términos de este Libro y su reglamento requiera autorización.</w:t>
      </w:r>
    </w:p>
    <w:p w14:paraId="5DB331C3" w14:textId="77777777" w:rsidR="00531D04" w:rsidRPr="00FB2640" w:rsidRDefault="00531D04" w:rsidP="00740136">
      <w:pPr>
        <w:pStyle w:val="Prrafodelista"/>
        <w:spacing w:line="360" w:lineRule="auto"/>
        <w:ind w:left="567" w:right="539"/>
        <w:jc w:val="both"/>
        <w:rPr>
          <w:rFonts w:ascii="Palatino Linotype" w:hAnsi="Palatino Linotype"/>
          <w:i/>
          <w:sz w:val="20"/>
        </w:rPr>
      </w:pPr>
      <w:r w:rsidRPr="00FB2640">
        <w:rPr>
          <w:rFonts w:ascii="Palatino Linotype" w:hAnsi="Palatino Linotype"/>
          <w:i/>
          <w:sz w:val="20"/>
        </w:rPr>
        <w:t xml:space="preserve">V. Establecer políticas específicas para la autorización de conjuntos urbanos de carácter habitacional, en función de la demanda y de las políticas de ordenamiento territorial señaladas en los planes de desarrollo urbano; </w:t>
      </w:r>
    </w:p>
    <w:p w14:paraId="1406F2E0" w14:textId="3E88F1A9" w:rsidR="00531D04" w:rsidRPr="00FB2640" w:rsidRDefault="00531D04" w:rsidP="00740136">
      <w:pPr>
        <w:pStyle w:val="Prrafodelista"/>
        <w:spacing w:line="360" w:lineRule="auto"/>
        <w:ind w:left="567" w:right="539"/>
        <w:jc w:val="both"/>
        <w:rPr>
          <w:rFonts w:ascii="Palatino Linotype" w:hAnsi="Palatino Linotype"/>
          <w:i/>
          <w:sz w:val="20"/>
        </w:rPr>
      </w:pPr>
      <w:r w:rsidRPr="00FB2640">
        <w:rPr>
          <w:rFonts w:ascii="Palatino Linotype" w:hAnsi="Palatino Linotype"/>
          <w:i/>
          <w:sz w:val="20"/>
        </w:rPr>
        <w:t>VI. Supervisar la ejecución de las obras de urbanización, infraestructura y equipamiento urbano de conjuntos urbanos, subdivisiones y condominios, de conformidad con lo que establezcan las disposiciones reglamentarias del presente Libro y demás ordenamientos jurídicos aplicables, en aquellos casos en que dicha facultad no esté específicamente atribuida a otra dependencia u organismos auxiliar del ámbito federal, estatal o municipal;</w:t>
      </w:r>
    </w:p>
    <w:p w14:paraId="2744E841" w14:textId="4BE35639" w:rsidR="00531D04" w:rsidRPr="00FB2640" w:rsidRDefault="00531D04" w:rsidP="00740136">
      <w:pPr>
        <w:pStyle w:val="Prrafodelista"/>
        <w:spacing w:line="360" w:lineRule="auto"/>
        <w:ind w:left="567" w:right="539"/>
        <w:jc w:val="both"/>
        <w:rPr>
          <w:rFonts w:ascii="Palatino Linotype" w:hAnsi="Palatino Linotype"/>
          <w:i/>
          <w:sz w:val="20"/>
        </w:rPr>
      </w:pPr>
      <w:r w:rsidRPr="00FB2640">
        <w:rPr>
          <w:rFonts w:ascii="Palatino Linotype" w:hAnsi="Palatino Linotype"/>
          <w:i/>
          <w:sz w:val="20"/>
        </w:rPr>
        <w:t>VII a XIX…</w:t>
      </w:r>
    </w:p>
    <w:p w14:paraId="36CC8EBC" w14:textId="2000C995" w:rsidR="00531D04" w:rsidRPr="00FB2640" w:rsidRDefault="00531D04" w:rsidP="00740136">
      <w:pPr>
        <w:pStyle w:val="Prrafodelista"/>
        <w:spacing w:line="360" w:lineRule="auto"/>
        <w:ind w:left="567" w:right="539"/>
        <w:jc w:val="both"/>
        <w:rPr>
          <w:rFonts w:ascii="Palatino Linotype" w:hAnsi="Palatino Linotype"/>
          <w:i/>
          <w:sz w:val="20"/>
        </w:rPr>
      </w:pPr>
      <w:r w:rsidRPr="00FB2640">
        <w:rPr>
          <w:rFonts w:ascii="Palatino Linotype" w:hAnsi="Palatino Linotype"/>
          <w:i/>
          <w:sz w:val="20"/>
        </w:rPr>
        <w:t>XX. Vigilar en el ámbito de su competencia, el cumplimiento de las disposiciones de este Libro y de su reglamentación, así como de las autorizaciones y licencias que expida;</w:t>
      </w:r>
    </w:p>
    <w:p w14:paraId="7EE032B1" w14:textId="283F081C" w:rsidR="0096462D" w:rsidRPr="00FB2640" w:rsidRDefault="0096462D" w:rsidP="00740136">
      <w:pPr>
        <w:pStyle w:val="Prrafodelista"/>
        <w:spacing w:line="360" w:lineRule="auto"/>
        <w:ind w:left="567" w:right="539"/>
        <w:jc w:val="both"/>
        <w:rPr>
          <w:rFonts w:ascii="Palatino Linotype" w:hAnsi="Palatino Linotype"/>
          <w:i/>
          <w:sz w:val="20"/>
        </w:rPr>
      </w:pPr>
      <w:r w:rsidRPr="00FB2640">
        <w:rPr>
          <w:rFonts w:ascii="Palatino Linotype" w:hAnsi="Palatino Linotype"/>
          <w:i/>
          <w:sz w:val="20"/>
        </w:rPr>
        <w:t xml:space="preserve">XXI a </w:t>
      </w:r>
      <w:r w:rsidR="00FB2640" w:rsidRPr="00FB2640">
        <w:rPr>
          <w:rFonts w:ascii="Palatino Linotype" w:hAnsi="Palatino Linotype"/>
          <w:i/>
          <w:sz w:val="20"/>
        </w:rPr>
        <w:t>XXX</w:t>
      </w:r>
    </w:p>
    <w:p w14:paraId="7CBC129B" w14:textId="4F044C28" w:rsidR="0096462D" w:rsidRDefault="00424DBA" w:rsidP="00740136">
      <w:pPr>
        <w:pStyle w:val="Prrafodelista"/>
        <w:spacing w:line="360" w:lineRule="auto"/>
        <w:ind w:left="567" w:right="-93"/>
        <w:jc w:val="both"/>
      </w:pPr>
      <w:r>
        <w:t>…</w:t>
      </w:r>
    </w:p>
    <w:p w14:paraId="0B1DB997" w14:textId="669641CA" w:rsidR="0096462D" w:rsidRPr="00424DBA" w:rsidRDefault="0096462D" w:rsidP="00740136">
      <w:pPr>
        <w:pStyle w:val="Prrafodelista"/>
        <w:spacing w:line="360" w:lineRule="auto"/>
        <w:ind w:right="-93"/>
        <w:jc w:val="center"/>
        <w:rPr>
          <w:rFonts w:ascii="Palatino Linotype" w:hAnsi="Palatino Linotype" w:cs="Tahoma"/>
          <w:i/>
          <w:sz w:val="20"/>
        </w:rPr>
      </w:pPr>
      <w:r w:rsidRPr="00424DBA">
        <w:rPr>
          <w:rFonts w:ascii="Palatino Linotype" w:hAnsi="Palatino Linotype" w:cs="Tahoma"/>
          <w:i/>
          <w:sz w:val="20"/>
        </w:rPr>
        <w:t>TÍTULO SEGUNDO</w:t>
      </w:r>
    </w:p>
    <w:p w14:paraId="684F73AE" w14:textId="2D66C165" w:rsidR="0096462D" w:rsidRPr="00424DBA" w:rsidRDefault="0096462D" w:rsidP="00740136">
      <w:pPr>
        <w:pStyle w:val="Prrafodelista"/>
        <w:spacing w:line="360" w:lineRule="auto"/>
        <w:ind w:right="-93"/>
        <w:jc w:val="center"/>
        <w:rPr>
          <w:rFonts w:ascii="Palatino Linotype" w:hAnsi="Palatino Linotype" w:cs="Tahoma"/>
          <w:i/>
          <w:sz w:val="20"/>
        </w:rPr>
      </w:pPr>
      <w:r w:rsidRPr="00424DBA">
        <w:rPr>
          <w:rFonts w:ascii="Palatino Linotype" w:hAnsi="Palatino Linotype" w:cs="Tahoma"/>
          <w:i/>
          <w:sz w:val="20"/>
        </w:rPr>
        <w:t>DE LAS LICENCIAS, PERMISOS Y CONSTANCIAS</w:t>
      </w:r>
    </w:p>
    <w:p w14:paraId="1B36020F" w14:textId="5A161675" w:rsidR="0096462D" w:rsidRPr="00424DBA" w:rsidRDefault="0096462D" w:rsidP="00740136">
      <w:pPr>
        <w:pStyle w:val="Prrafodelista"/>
        <w:spacing w:line="360" w:lineRule="auto"/>
        <w:ind w:right="-93"/>
        <w:jc w:val="center"/>
        <w:rPr>
          <w:rFonts w:ascii="Palatino Linotype" w:hAnsi="Palatino Linotype" w:cs="Tahoma"/>
          <w:i/>
          <w:sz w:val="20"/>
        </w:rPr>
      </w:pPr>
      <w:r w:rsidRPr="00424DBA">
        <w:rPr>
          <w:rFonts w:ascii="Palatino Linotype" w:hAnsi="Palatino Linotype" w:cs="Tahoma"/>
          <w:i/>
          <w:sz w:val="20"/>
        </w:rPr>
        <w:t>CAPÍTULO PRIMERO</w:t>
      </w:r>
    </w:p>
    <w:p w14:paraId="0D69B7E5" w14:textId="01F9C8BA" w:rsidR="0096462D" w:rsidRPr="00424DBA" w:rsidRDefault="0096462D" w:rsidP="00740136">
      <w:pPr>
        <w:pStyle w:val="Prrafodelista"/>
        <w:spacing w:line="360" w:lineRule="auto"/>
        <w:ind w:right="-93"/>
        <w:jc w:val="center"/>
        <w:rPr>
          <w:rFonts w:ascii="Palatino Linotype" w:hAnsi="Palatino Linotype" w:cs="Tahoma"/>
          <w:i/>
          <w:sz w:val="20"/>
        </w:rPr>
      </w:pPr>
      <w:r w:rsidRPr="00424DBA">
        <w:rPr>
          <w:rFonts w:ascii="Palatino Linotype" w:hAnsi="Palatino Linotype" w:cs="Tahoma"/>
          <w:i/>
          <w:sz w:val="20"/>
        </w:rPr>
        <w:lastRenderedPageBreak/>
        <w:t>DE LAS LICENCIAS DE CONSTRUCCIÓN</w:t>
      </w:r>
    </w:p>
    <w:p w14:paraId="1C686D62" w14:textId="77777777" w:rsidR="0096462D" w:rsidRPr="00424DBA" w:rsidRDefault="0096462D" w:rsidP="00740136">
      <w:pPr>
        <w:pStyle w:val="Prrafodelista"/>
        <w:spacing w:line="360" w:lineRule="auto"/>
        <w:ind w:right="-93"/>
        <w:jc w:val="center"/>
        <w:rPr>
          <w:rFonts w:ascii="Palatino Linotype" w:hAnsi="Palatino Linotype" w:cs="Tahoma"/>
          <w:i/>
          <w:sz w:val="20"/>
        </w:rPr>
      </w:pPr>
    </w:p>
    <w:p w14:paraId="6D390B23" w14:textId="48A3A09E" w:rsidR="0096462D" w:rsidRDefault="0096462D" w:rsidP="00740136">
      <w:pPr>
        <w:pStyle w:val="Prrafodelista"/>
        <w:spacing w:line="360" w:lineRule="auto"/>
        <w:ind w:right="-93"/>
        <w:jc w:val="both"/>
      </w:pPr>
      <w:r>
        <w:t>…</w:t>
      </w:r>
    </w:p>
    <w:p w14:paraId="4855AA16" w14:textId="77777777" w:rsidR="0096462D" w:rsidRDefault="0096462D" w:rsidP="00740136">
      <w:pPr>
        <w:pStyle w:val="Prrafodelista"/>
        <w:spacing w:line="360" w:lineRule="auto"/>
        <w:ind w:right="-93"/>
        <w:jc w:val="both"/>
      </w:pPr>
    </w:p>
    <w:p w14:paraId="603C8F86" w14:textId="77777777" w:rsidR="0096462D" w:rsidRPr="00424DBA" w:rsidRDefault="0096462D" w:rsidP="00740136">
      <w:pPr>
        <w:pStyle w:val="Prrafodelista"/>
        <w:spacing w:line="360" w:lineRule="auto"/>
        <w:ind w:left="567" w:right="539"/>
        <w:jc w:val="both"/>
        <w:rPr>
          <w:rFonts w:ascii="Palatino Linotype" w:hAnsi="Palatino Linotype"/>
          <w:i/>
          <w:sz w:val="20"/>
        </w:rPr>
      </w:pPr>
      <w:r w:rsidRPr="00424DBA">
        <w:rPr>
          <w:rFonts w:ascii="Palatino Linotype" w:hAnsi="Palatino Linotype"/>
          <w:i/>
          <w:sz w:val="20"/>
        </w:rPr>
        <w:t xml:space="preserve">Artículo 18.21. A la solicitud de licencia de construcción se acompañará como mínimo: </w:t>
      </w:r>
    </w:p>
    <w:p w14:paraId="541F4839" w14:textId="77777777" w:rsidR="0096462D" w:rsidRPr="00424DBA" w:rsidRDefault="0096462D" w:rsidP="00740136">
      <w:pPr>
        <w:pStyle w:val="Prrafodelista"/>
        <w:spacing w:line="360" w:lineRule="auto"/>
        <w:ind w:left="567" w:right="539"/>
        <w:jc w:val="both"/>
        <w:rPr>
          <w:rFonts w:ascii="Palatino Linotype" w:hAnsi="Palatino Linotype"/>
          <w:i/>
          <w:sz w:val="20"/>
        </w:rPr>
      </w:pPr>
      <w:r w:rsidRPr="00424DBA">
        <w:rPr>
          <w:rFonts w:ascii="Palatino Linotype" w:hAnsi="Palatino Linotype"/>
          <w:i/>
          <w:sz w:val="20"/>
        </w:rPr>
        <w:t xml:space="preserve">I. Documento que acredite la personalidad del solicitante; </w:t>
      </w:r>
    </w:p>
    <w:p w14:paraId="7C625DEC" w14:textId="77777777" w:rsidR="0096462D" w:rsidRPr="00424DBA" w:rsidRDefault="0096462D" w:rsidP="00740136">
      <w:pPr>
        <w:pStyle w:val="Prrafodelista"/>
        <w:spacing w:line="360" w:lineRule="auto"/>
        <w:ind w:left="567" w:right="539"/>
        <w:jc w:val="both"/>
        <w:rPr>
          <w:rFonts w:ascii="Palatino Linotype" w:hAnsi="Palatino Linotype"/>
          <w:i/>
          <w:sz w:val="20"/>
        </w:rPr>
      </w:pPr>
      <w:r w:rsidRPr="00424DBA">
        <w:rPr>
          <w:rFonts w:ascii="Palatino Linotype" w:hAnsi="Palatino Linotype"/>
          <w:i/>
          <w:sz w:val="20"/>
        </w:rPr>
        <w:t xml:space="preserve">II. Documento que acredite la propiedad o la posesión en concepto de propietario del inmueble; </w:t>
      </w:r>
    </w:p>
    <w:p w14:paraId="557D0B09" w14:textId="77777777" w:rsidR="0096462D" w:rsidRPr="00424DBA" w:rsidRDefault="0096462D" w:rsidP="00740136">
      <w:pPr>
        <w:pStyle w:val="Prrafodelista"/>
        <w:spacing w:line="360" w:lineRule="auto"/>
        <w:ind w:left="567" w:right="539"/>
        <w:jc w:val="both"/>
        <w:rPr>
          <w:rFonts w:ascii="Palatino Linotype" w:hAnsi="Palatino Linotype"/>
          <w:i/>
          <w:sz w:val="20"/>
        </w:rPr>
      </w:pPr>
      <w:r w:rsidRPr="00424DBA">
        <w:rPr>
          <w:rFonts w:ascii="Palatino Linotype" w:hAnsi="Palatino Linotype"/>
          <w:i/>
          <w:sz w:val="20"/>
        </w:rPr>
        <w:t xml:space="preserve">III. De acuerdo al tipo de licencia de construcción que se solicite, adicionalmente se requerirá: </w:t>
      </w:r>
    </w:p>
    <w:p w14:paraId="7C163D84" w14:textId="77777777" w:rsidR="0096462D" w:rsidRPr="00424DBA" w:rsidRDefault="0096462D" w:rsidP="00740136">
      <w:pPr>
        <w:pStyle w:val="Prrafodelista"/>
        <w:spacing w:line="360" w:lineRule="auto"/>
        <w:ind w:left="567" w:right="539"/>
        <w:jc w:val="both"/>
        <w:rPr>
          <w:rFonts w:ascii="Palatino Linotype" w:hAnsi="Palatino Linotype"/>
          <w:i/>
          <w:sz w:val="20"/>
        </w:rPr>
      </w:pPr>
    </w:p>
    <w:p w14:paraId="31BEBAD6" w14:textId="77777777" w:rsidR="0096462D" w:rsidRPr="00424DBA" w:rsidRDefault="0096462D" w:rsidP="00740136">
      <w:pPr>
        <w:pStyle w:val="Prrafodelista"/>
        <w:spacing w:line="360" w:lineRule="auto"/>
        <w:ind w:left="567" w:right="539"/>
        <w:jc w:val="both"/>
        <w:rPr>
          <w:rFonts w:ascii="Palatino Linotype" w:hAnsi="Palatino Linotype"/>
          <w:i/>
          <w:sz w:val="20"/>
        </w:rPr>
      </w:pPr>
      <w:r w:rsidRPr="00424DBA">
        <w:rPr>
          <w:rFonts w:ascii="Palatino Linotype" w:hAnsi="Palatino Linotype"/>
          <w:i/>
          <w:sz w:val="20"/>
        </w:rPr>
        <w:t xml:space="preserve">A). Para obra nueva, así como para la ampliación, modificación o reparación que afecte elementos estructurales de una obra existente: </w:t>
      </w:r>
    </w:p>
    <w:p w14:paraId="44CB23F4" w14:textId="77777777" w:rsidR="0096462D" w:rsidRPr="00424DBA" w:rsidRDefault="0096462D" w:rsidP="00740136">
      <w:pPr>
        <w:pStyle w:val="Prrafodelista"/>
        <w:spacing w:line="360" w:lineRule="auto"/>
        <w:ind w:left="567" w:right="539"/>
        <w:jc w:val="both"/>
        <w:rPr>
          <w:rFonts w:ascii="Palatino Linotype" w:hAnsi="Palatino Linotype"/>
          <w:i/>
          <w:sz w:val="20"/>
        </w:rPr>
      </w:pPr>
    </w:p>
    <w:p w14:paraId="196ADBEC" w14:textId="3FF8AB88" w:rsidR="0096462D" w:rsidRPr="00424DBA" w:rsidRDefault="0096462D" w:rsidP="00740136">
      <w:pPr>
        <w:pStyle w:val="Prrafodelista"/>
        <w:spacing w:line="360" w:lineRule="auto"/>
        <w:ind w:left="567" w:right="539"/>
        <w:jc w:val="both"/>
        <w:rPr>
          <w:rFonts w:ascii="Palatino Linotype" w:hAnsi="Palatino Linotype"/>
          <w:i/>
          <w:sz w:val="20"/>
        </w:rPr>
      </w:pPr>
      <w:r w:rsidRPr="00424DBA">
        <w:rPr>
          <w:rFonts w:ascii="Palatino Linotype" w:hAnsi="Palatino Linotype"/>
          <w:i/>
          <w:sz w:val="20"/>
        </w:rPr>
        <w:t>1. Licencia de uso del suelo, autorización de conjunto urbano o, en los casos que impliquen la construcción de más de diez viviendas o de un coeficiente de utilización del suelo de tres mil o más metros cuadrados de construcción en otros usos, constancia de viabilidad, autorización de subdivisión o de condominio según corresponda, expedida por la Secretaría de Desarrollo Urbano y Metropolitano.</w:t>
      </w:r>
    </w:p>
    <w:p w14:paraId="41D95680" w14:textId="4F3BDAFB" w:rsidR="0096462D" w:rsidRPr="004E000D" w:rsidRDefault="0096462D" w:rsidP="00740136">
      <w:pPr>
        <w:pStyle w:val="Prrafodelista"/>
        <w:spacing w:line="360" w:lineRule="auto"/>
        <w:ind w:left="567" w:right="539"/>
        <w:jc w:val="both"/>
        <w:rPr>
          <w:rFonts w:ascii="Palatino Linotype" w:hAnsi="Palatino Linotype"/>
          <w:i/>
          <w:sz w:val="20"/>
        </w:rPr>
      </w:pPr>
      <w:r w:rsidRPr="004E000D">
        <w:rPr>
          <w:rFonts w:ascii="Palatino Linotype" w:hAnsi="Palatino Linotype"/>
          <w:i/>
          <w:sz w:val="20"/>
        </w:rPr>
        <w:t>…</w:t>
      </w:r>
      <w:r w:rsidR="00424DBA" w:rsidRPr="004E000D">
        <w:rPr>
          <w:rFonts w:ascii="Palatino Linotype" w:hAnsi="Palatino Linotype"/>
          <w:i/>
          <w:sz w:val="20"/>
        </w:rPr>
        <w:t>” (Sic.)</w:t>
      </w:r>
    </w:p>
    <w:p w14:paraId="7B3309E3" w14:textId="77777777" w:rsidR="004E000D" w:rsidRDefault="004E000D" w:rsidP="00740136">
      <w:pPr>
        <w:spacing w:line="360" w:lineRule="auto"/>
        <w:ind w:right="-93"/>
        <w:jc w:val="both"/>
        <w:rPr>
          <w:rFonts w:ascii="Palatino Linotype" w:hAnsi="Palatino Linotype"/>
          <w:sz w:val="22"/>
        </w:rPr>
      </w:pPr>
    </w:p>
    <w:p w14:paraId="503349D4" w14:textId="700F36A2" w:rsidR="00E90C2C" w:rsidRDefault="00E90C2C" w:rsidP="00740136">
      <w:pPr>
        <w:spacing w:line="360" w:lineRule="auto"/>
        <w:ind w:right="-93"/>
        <w:jc w:val="both"/>
        <w:rPr>
          <w:rFonts w:ascii="Palatino Linotype" w:hAnsi="Palatino Linotype"/>
          <w:sz w:val="22"/>
        </w:rPr>
      </w:pPr>
      <w:r>
        <w:rPr>
          <w:rFonts w:ascii="Palatino Linotype" w:hAnsi="Palatino Linotype"/>
          <w:sz w:val="22"/>
        </w:rPr>
        <w:t>A su vez, el Código de Procedimientos Administrativos del Estado de México</w:t>
      </w:r>
      <w:r w:rsidR="00B432DC">
        <w:rPr>
          <w:rFonts w:ascii="Palatino Linotype" w:hAnsi="Palatino Linotype"/>
          <w:sz w:val="22"/>
        </w:rPr>
        <w:t xml:space="preserve"> en su artículo 128</w:t>
      </w:r>
      <w:r w:rsidR="004E000D">
        <w:rPr>
          <w:rFonts w:ascii="Palatino Linotype" w:hAnsi="Palatino Linotype"/>
          <w:sz w:val="22"/>
        </w:rPr>
        <w:t>,</w:t>
      </w:r>
      <w:r w:rsidR="00B432DC">
        <w:rPr>
          <w:rFonts w:ascii="Palatino Linotype" w:hAnsi="Palatino Linotype"/>
          <w:sz w:val="22"/>
        </w:rPr>
        <w:t xml:space="preserve"> dispone que </w:t>
      </w:r>
      <w:r w:rsidR="00B432DC" w:rsidRPr="00B432DC">
        <w:rPr>
          <w:rFonts w:ascii="Palatino Linotype" w:hAnsi="Palatino Linotype"/>
          <w:sz w:val="22"/>
        </w:rPr>
        <w:t>las autoridades administrativas para comprobar el cumplimiento de las disposiciones legales podrán llevar a cabo visitas de verificación en el domicilio, instalaciones, equipos y bienes de los particulares, en los casos en que se señalen en las</w:t>
      </w:r>
      <w:r w:rsidR="00B432DC">
        <w:rPr>
          <w:rFonts w:ascii="Palatino Linotype" w:hAnsi="Palatino Linotype"/>
          <w:sz w:val="22"/>
        </w:rPr>
        <w:t xml:space="preserve"> leyes y reglamentos aplicables. </w:t>
      </w:r>
    </w:p>
    <w:p w14:paraId="263B7DBD" w14:textId="77777777" w:rsidR="00467998" w:rsidRDefault="00467998" w:rsidP="00740136">
      <w:pPr>
        <w:spacing w:line="360" w:lineRule="auto"/>
        <w:ind w:right="-93"/>
        <w:jc w:val="both"/>
        <w:rPr>
          <w:rFonts w:ascii="Palatino Linotype" w:hAnsi="Palatino Linotype"/>
          <w:sz w:val="22"/>
        </w:rPr>
      </w:pPr>
    </w:p>
    <w:p w14:paraId="5F419632" w14:textId="7F9DCAA0" w:rsidR="00B432DC" w:rsidRDefault="00B432DC" w:rsidP="00740136">
      <w:pPr>
        <w:spacing w:line="360" w:lineRule="auto"/>
        <w:ind w:right="-93"/>
        <w:jc w:val="both"/>
        <w:rPr>
          <w:rFonts w:ascii="Palatino Linotype" w:hAnsi="Palatino Linotype"/>
          <w:sz w:val="22"/>
        </w:rPr>
      </w:pPr>
      <w:r>
        <w:rPr>
          <w:rFonts w:ascii="Palatino Linotype" w:hAnsi="Palatino Linotype"/>
          <w:sz w:val="22"/>
        </w:rPr>
        <w:t xml:space="preserve">Asimismo, dispone que dichas visitas únicamente </w:t>
      </w:r>
      <w:r w:rsidR="0021707A">
        <w:rPr>
          <w:rFonts w:ascii="Palatino Linotype" w:hAnsi="Palatino Linotype"/>
          <w:sz w:val="22"/>
        </w:rPr>
        <w:t xml:space="preserve">se practicaran por </w:t>
      </w:r>
      <w:r>
        <w:rPr>
          <w:rFonts w:ascii="Palatino Linotype" w:hAnsi="Palatino Linotype"/>
          <w:sz w:val="22"/>
        </w:rPr>
        <w:t>mandamiento de autoridad administrativa en el que expresará, entre otras cosas, lo relativo al nombre de los servidores pú</w:t>
      </w:r>
      <w:r w:rsidR="007D1AA3">
        <w:rPr>
          <w:rFonts w:ascii="Palatino Linotype" w:hAnsi="Palatino Linotype"/>
          <w:sz w:val="22"/>
        </w:rPr>
        <w:t>blicos que efectuaran la visita, así como</w:t>
      </w:r>
      <w:r>
        <w:rPr>
          <w:rFonts w:ascii="Palatino Linotype" w:hAnsi="Palatino Linotype"/>
          <w:sz w:val="22"/>
        </w:rPr>
        <w:t xml:space="preserve"> los</w:t>
      </w:r>
      <w:r w:rsidR="007D1AA3">
        <w:rPr>
          <w:rFonts w:ascii="Palatino Linotype" w:hAnsi="Palatino Linotype"/>
          <w:sz w:val="22"/>
        </w:rPr>
        <w:t xml:space="preserve"> lugares o zonas a verificarse; por su </w:t>
      </w:r>
      <w:r w:rsidR="007D1AA3">
        <w:rPr>
          <w:rFonts w:ascii="Palatino Linotype" w:hAnsi="Palatino Linotype"/>
          <w:sz w:val="22"/>
        </w:rPr>
        <w:lastRenderedPageBreak/>
        <w:t xml:space="preserve">parte, los verificadores tendrán el deber de hacer constar en el acta que al efecto se levante, todas y cada una de las circunstancias, hechos u omisiones que se observen en la diligencia. </w:t>
      </w:r>
    </w:p>
    <w:p w14:paraId="5B45137F" w14:textId="77777777" w:rsidR="00E90C2C" w:rsidRDefault="00E90C2C" w:rsidP="00740136">
      <w:pPr>
        <w:spacing w:line="360" w:lineRule="auto"/>
        <w:ind w:right="-93"/>
        <w:jc w:val="both"/>
        <w:rPr>
          <w:rFonts w:ascii="Palatino Linotype" w:hAnsi="Palatino Linotype"/>
          <w:sz w:val="22"/>
        </w:rPr>
      </w:pPr>
    </w:p>
    <w:p w14:paraId="23B3B402" w14:textId="1434F8E6" w:rsidR="0096462D" w:rsidRDefault="0096462D" w:rsidP="00740136">
      <w:pPr>
        <w:spacing w:line="360" w:lineRule="auto"/>
        <w:ind w:right="-93"/>
        <w:jc w:val="both"/>
        <w:rPr>
          <w:rFonts w:ascii="Palatino Linotype" w:hAnsi="Palatino Linotype"/>
          <w:sz w:val="22"/>
        </w:rPr>
      </w:pPr>
      <w:r w:rsidRPr="0096462D">
        <w:rPr>
          <w:rFonts w:ascii="Palatino Linotype" w:hAnsi="Palatino Linotype"/>
          <w:sz w:val="22"/>
        </w:rPr>
        <w:t>Por otra parte, el Reglamento Interior de la Secretaría de Desarrollo Urbano y M</w:t>
      </w:r>
      <w:r>
        <w:rPr>
          <w:rFonts w:ascii="Palatino Linotype" w:hAnsi="Palatino Linotype"/>
          <w:sz w:val="22"/>
        </w:rPr>
        <w:t xml:space="preserve">etropolitano, refiere lo siguiente: </w:t>
      </w:r>
    </w:p>
    <w:p w14:paraId="54E94626" w14:textId="77777777" w:rsidR="0096462D" w:rsidRDefault="0096462D" w:rsidP="00740136">
      <w:pPr>
        <w:spacing w:line="360" w:lineRule="auto"/>
        <w:ind w:right="-93"/>
        <w:jc w:val="both"/>
        <w:rPr>
          <w:rFonts w:ascii="Palatino Linotype" w:hAnsi="Palatino Linotype"/>
          <w:sz w:val="22"/>
        </w:rPr>
      </w:pPr>
    </w:p>
    <w:p w14:paraId="2FAC5E01" w14:textId="31D2111D" w:rsidR="00E90C2C" w:rsidRPr="00424DBA" w:rsidRDefault="00424DBA" w:rsidP="00740136">
      <w:pPr>
        <w:spacing w:line="360" w:lineRule="auto"/>
        <w:ind w:left="567" w:right="539"/>
        <w:jc w:val="center"/>
        <w:rPr>
          <w:rFonts w:ascii="Palatino Linotype" w:hAnsi="Palatino Linotype"/>
          <w:i/>
        </w:rPr>
      </w:pPr>
      <w:r w:rsidRPr="00424DBA">
        <w:rPr>
          <w:rFonts w:ascii="Palatino Linotype" w:hAnsi="Palatino Linotype"/>
          <w:i/>
        </w:rPr>
        <w:t>“</w:t>
      </w:r>
      <w:r w:rsidR="00E90C2C" w:rsidRPr="00424DBA">
        <w:rPr>
          <w:rFonts w:ascii="Palatino Linotype" w:hAnsi="Palatino Linotype"/>
          <w:i/>
        </w:rPr>
        <w:t>CAPÍTULO I</w:t>
      </w:r>
    </w:p>
    <w:p w14:paraId="243952B3" w14:textId="029F25FB" w:rsidR="00E90C2C" w:rsidRPr="00424DBA" w:rsidRDefault="00E90C2C" w:rsidP="00740136">
      <w:pPr>
        <w:spacing w:line="360" w:lineRule="auto"/>
        <w:ind w:left="567" w:right="539"/>
        <w:jc w:val="center"/>
        <w:rPr>
          <w:rFonts w:ascii="Palatino Linotype" w:hAnsi="Palatino Linotype"/>
          <w:i/>
          <w:sz w:val="22"/>
        </w:rPr>
      </w:pPr>
      <w:r w:rsidRPr="00424DBA">
        <w:rPr>
          <w:rFonts w:ascii="Palatino Linotype" w:hAnsi="Palatino Linotype"/>
          <w:i/>
        </w:rPr>
        <w:t>DE LA COMPETENCIA Y ORGANIZACIÓN DE LA SECRETARÍA</w:t>
      </w:r>
    </w:p>
    <w:p w14:paraId="4F3D41E8" w14:textId="76388A93" w:rsidR="0096462D" w:rsidRDefault="00E90C2C" w:rsidP="00740136">
      <w:pPr>
        <w:spacing w:line="360" w:lineRule="auto"/>
        <w:ind w:left="567" w:right="539"/>
        <w:jc w:val="both"/>
        <w:rPr>
          <w:rFonts w:ascii="Palatino Linotype" w:hAnsi="Palatino Linotype"/>
          <w:i/>
        </w:rPr>
      </w:pPr>
      <w:r w:rsidRPr="00424DBA">
        <w:rPr>
          <w:rFonts w:ascii="Palatino Linotype" w:hAnsi="Palatino Linotype"/>
          <w:i/>
        </w:rPr>
        <w:t>Artículo 3. Para el estudio, planeación y despacho de los asuntos de su competencia, así como para atender las funciones de control y evaluación que le corresponden, la Secretaría contará con un Secretario, quien será su representante y se auxiliará de las unidades administrativas básicas siguientes:</w:t>
      </w:r>
    </w:p>
    <w:p w14:paraId="722916A5" w14:textId="6DE2ECDA" w:rsidR="00E90C2C" w:rsidRPr="00424DBA" w:rsidRDefault="00E90C2C" w:rsidP="00740136">
      <w:pPr>
        <w:spacing w:line="360" w:lineRule="auto"/>
        <w:ind w:left="567" w:right="539"/>
        <w:jc w:val="both"/>
        <w:rPr>
          <w:rFonts w:ascii="Palatino Linotype" w:hAnsi="Palatino Linotype"/>
          <w:i/>
        </w:rPr>
      </w:pPr>
      <w:r w:rsidRPr="00424DBA">
        <w:rPr>
          <w:rFonts w:ascii="Palatino Linotype" w:hAnsi="Palatino Linotype"/>
          <w:i/>
        </w:rPr>
        <w:t xml:space="preserve">I a V.. </w:t>
      </w:r>
    </w:p>
    <w:p w14:paraId="5476D554" w14:textId="0085988F" w:rsidR="00E90C2C" w:rsidRPr="00424DBA" w:rsidRDefault="00E90C2C" w:rsidP="00740136">
      <w:pPr>
        <w:spacing w:line="360" w:lineRule="auto"/>
        <w:ind w:left="567" w:right="539"/>
        <w:jc w:val="both"/>
        <w:rPr>
          <w:rFonts w:ascii="Palatino Linotype" w:hAnsi="Palatino Linotype"/>
          <w:i/>
        </w:rPr>
      </w:pPr>
      <w:r w:rsidRPr="00424DBA">
        <w:rPr>
          <w:rFonts w:ascii="Palatino Linotype" w:hAnsi="Palatino Linotype"/>
          <w:i/>
        </w:rPr>
        <w:t>VI. Direcciones Regionales.</w:t>
      </w:r>
    </w:p>
    <w:p w14:paraId="203A669D" w14:textId="1DB4B902" w:rsidR="00E90C2C" w:rsidRPr="00424DBA" w:rsidRDefault="00E90C2C" w:rsidP="00740136">
      <w:pPr>
        <w:spacing w:line="360" w:lineRule="auto"/>
        <w:ind w:left="567" w:right="539"/>
        <w:jc w:val="both"/>
        <w:rPr>
          <w:rFonts w:ascii="Palatino Linotype" w:hAnsi="Palatino Linotype"/>
          <w:i/>
        </w:rPr>
      </w:pPr>
      <w:r w:rsidRPr="00424DBA">
        <w:rPr>
          <w:rFonts w:ascii="Palatino Linotype" w:hAnsi="Palatino Linotype"/>
          <w:i/>
        </w:rPr>
        <w:t xml:space="preserve">VII a IX… </w:t>
      </w:r>
    </w:p>
    <w:p w14:paraId="7484977E" w14:textId="77777777" w:rsidR="00E90C2C" w:rsidRPr="00424DBA" w:rsidRDefault="00E90C2C" w:rsidP="00740136">
      <w:pPr>
        <w:spacing w:line="360" w:lineRule="auto"/>
        <w:ind w:left="567" w:right="539"/>
        <w:jc w:val="both"/>
        <w:rPr>
          <w:rFonts w:ascii="Palatino Linotype" w:hAnsi="Palatino Linotype"/>
          <w:i/>
        </w:rPr>
      </w:pPr>
    </w:p>
    <w:p w14:paraId="08A68678" w14:textId="24353500" w:rsidR="00E90C2C" w:rsidRPr="00424DBA" w:rsidRDefault="00E90C2C" w:rsidP="00740136">
      <w:pPr>
        <w:spacing w:line="360" w:lineRule="auto"/>
        <w:ind w:left="567" w:right="539"/>
        <w:jc w:val="center"/>
        <w:rPr>
          <w:rFonts w:ascii="Palatino Linotype" w:hAnsi="Palatino Linotype"/>
          <w:i/>
        </w:rPr>
      </w:pPr>
      <w:r w:rsidRPr="00424DBA">
        <w:rPr>
          <w:rFonts w:ascii="Palatino Linotype" w:hAnsi="Palatino Linotype"/>
          <w:i/>
        </w:rPr>
        <w:t>CAPÍTULO IV</w:t>
      </w:r>
    </w:p>
    <w:p w14:paraId="392A3B7F" w14:textId="77815546" w:rsidR="00E90C2C" w:rsidRPr="00424DBA" w:rsidRDefault="00E90C2C" w:rsidP="00740136">
      <w:pPr>
        <w:spacing w:line="360" w:lineRule="auto"/>
        <w:ind w:left="567" w:right="539"/>
        <w:jc w:val="center"/>
        <w:rPr>
          <w:rFonts w:ascii="Palatino Linotype" w:hAnsi="Palatino Linotype"/>
          <w:i/>
          <w:sz w:val="22"/>
        </w:rPr>
      </w:pPr>
      <w:r w:rsidRPr="00424DBA">
        <w:rPr>
          <w:rFonts w:ascii="Palatino Linotype" w:hAnsi="Palatino Linotype"/>
          <w:i/>
        </w:rPr>
        <w:t>DE LAS ATRIBUCIONES DE LAS UNIDADES ADMINISTRATIVAS DE LA SECRETARÍA</w:t>
      </w:r>
    </w:p>
    <w:p w14:paraId="32469663" w14:textId="2BCD86FC" w:rsidR="00E90C2C" w:rsidRPr="00424DBA" w:rsidRDefault="00E90C2C" w:rsidP="00740136">
      <w:pPr>
        <w:spacing w:line="360" w:lineRule="auto"/>
        <w:ind w:left="567" w:right="539"/>
        <w:jc w:val="center"/>
        <w:rPr>
          <w:rFonts w:ascii="Palatino Linotype" w:hAnsi="Palatino Linotype"/>
          <w:i/>
        </w:rPr>
      </w:pPr>
      <w:r w:rsidRPr="00424DBA">
        <w:rPr>
          <w:rFonts w:ascii="Palatino Linotype" w:hAnsi="Palatino Linotype"/>
          <w:i/>
        </w:rPr>
        <w:t>SECCIÓN II</w:t>
      </w:r>
    </w:p>
    <w:p w14:paraId="111EA0D9" w14:textId="06C04D7D" w:rsidR="00E90C2C" w:rsidRPr="00424DBA" w:rsidRDefault="00E90C2C" w:rsidP="00740136">
      <w:pPr>
        <w:spacing w:line="360" w:lineRule="auto"/>
        <w:ind w:left="567" w:right="539"/>
        <w:jc w:val="center"/>
        <w:rPr>
          <w:rFonts w:ascii="Palatino Linotype" w:hAnsi="Palatino Linotype"/>
          <w:i/>
        </w:rPr>
      </w:pPr>
      <w:r w:rsidRPr="00424DBA">
        <w:rPr>
          <w:rFonts w:ascii="Palatino Linotype" w:hAnsi="Palatino Linotype"/>
          <w:i/>
        </w:rPr>
        <w:t>DE LAS DIRECCIONES REGIONALES</w:t>
      </w:r>
    </w:p>
    <w:p w14:paraId="1A696305" w14:textId="77777777" w:rsidR="00424DBA" w:rsidRDefault="00424DBA" w:rsidP="00740136">
      <w:pPr>
        <w:spacing w:line="360" w:lineRule="auto"/>
        <w:ind w:left="567" w:right="539"/>
        <w:jc w:val="both"/>
        <w:rPr>
          <w:rFonts w:ascii="Palatino Linotype" w:hAnsi="Palatino Linotype"/>
          <w:i/>
        </w:rPr>
      </w:pPr>
    </w:p>
    <w:p w14:paraId="37B15AA9" w14:textId="5F0D504A" w:rsidR="00E90C2C" w:rsidRPr="00424DBA" w:rsidRDefault="00E90C2C" w:rsidP="00740136">
      <w:pPr>
        <w:spacing w:line="360" w:lineRule="auto"/>
        <w:ind w:left="567" w:right="539"/>
        <w:jc w:val="both"/>
        <w:rPr>
          <w:rFonts w:ascii="Palatino Linotype" w:hAnsi="Palatino Linotype"/>
          <w:i/>
        </w:rPr>
      </w:pPr>
      <w:r w:rsidRPr="00424DBA">
        <w:rPr>
          <w:rFonts w:ascii="Palatino Linotype" w:hAnsi="Palatino Linotype"/>
          <w:i/>
        </w:rPr>
        <w:t>Artículo 13. Corresponde a las direcciones regionales:</w:t>
      </w:r>
    </w:p>
    <w:p w14:paraId="1CCE0E36" w14:textId="43CDC0F8" w:rsidR="00E90C2C" w:rsidRPr="00424DBA" w:rsidRDefault="00E90C2C" w:rsidP="00740136">
      <w:pPr>
        <w:spacing w:line="360" w:lineRule="auto"/>
        <w:ind w:left="567" w:right="539"/>
        <w:jc w:val="both"/>
        <w:rPr>
          <w:rFonts w:ascii="Palatino Linotype" w:hAnsi="Palatino Linotype"/>
          <w:i/>
        </w:rPr>
      </w:pPr>
      <w:r w:rsidRPr="00424DBA">
        <w:rPr>
          <w:rFonts w:ascii="Palatino Linotype" w:hAnsi="Palatino Linotype"/>
          <w:i/>
        </w:rPr>
        <w:t xml:space="preserve">I a XIV… </w:t>
      </w:r>
    </w:p>
    <w:p w14:paraId="134E743B" w14:textId="520B37FC" w:rsidR="00E90C2C" w:rsidRPr="00424DBA" w:rsidRDefault="00E90C2C" w:rsidP="00740136">
      <w:pPr>
        <w:spacing w:line="360" w:lineRule="auto"/>
        <w:ind w:left="567" w:right="539"/>
        <w:jc w:val="both"/>
        <w:rPr>
          <w:rFonts w:ascii="Palatino Linotype" w:hAnsi="Palatino Linotype"/>
          <w:i/>
        </w:rPr>
      </w:pPr>
      <w:r w:rsidRPr="00424DBA">
        <w:rPr>
          <w:rFonts w:ascii="Palatino Linotype" w:hAnsi="Palatino Linotype"/>
          <w:i/>
        </w:rPr>
        <w:t>XV. Vigilar, en su ámbito de competencia, el cumplimiento de las disposiciones legales que regulan el ordenamiento territorial de los asentamientos humanos y el desarrollo urbano de los centros de población.</w:t>
      </w:r>
    </w:p>
    <w:p w14:paraId="136FB23D" w14:textId="15D9A37E" w:rsidR="00E90C2C" w:rsidRPr="00424DBA" w:rsidRDefault="00E90C2C" w:rsidP="00740136">
      <w:pPr>
        <w:spacing w:line="360" w:lineRule="auto"/>
        <w:ind w:left="567" w:right="539"/>
        <w:jc w:val="both"/>
        <w:rPr>
          <w:rFonts w:ascii="Palatino Linotype" w:hAnsi="Palatino Linotype"/>
          <w:i/>
        </w:rPr>
      </w:pPr>
      <w:r w:rsidRPr="00424DBA">
        <w:rPr>
          <w:rFonts w:ascii="Palatino Linotype" w:hAnsi="Palatino Linotype"/>
          <w:i/>
        </w:rPr>
        <w:t>XVI…</w:t>
      </w:r>
    </w:p>
    <w:p w14:paraId="5961CAD3" w14:textId="2AD3D91E" w:rsidR="00E90C2C" w:rsidRPr="00424DBA" w:rsidRDefault="00E90C2C" w:rsidP="00740136">
      <w:pPr>
        <w:spacing w:line="360" w:lineRule="auto"/>
        <w:ind w:left="567" w:right="539"/>
        <w:jc w:val="both"/>
        <w:rPr>
          <w:rFonts w:ascii="Palatino Linotype" w:hAnsi="Palatino Linotype"/>
          <w:i/>
        </w:rPr>
      </w:pPr>
      <w:r w:rsidRPr="00424DBA">
        <w:rPr>
          <w:rFonts w:ascii="Palatino Linotype" w:hAnsi="Palatino Linotype"/>
          <w:i/>
        </w:rPr>
        <w:lastRenderedPageBreak/>
        <w:t>XVII. Verificar el cumplimiento de las obligaciones que deriven de las licencias y autorizaciones que emita y, en su caso, imponer las medidas de seguridad y/o las sanciones que prevén las disposiciones legales en la materia. XVIII. Habilitar a servidores públicos, así como días y horas inhábiles para la práctica de diligencias relacionadas con el ejercicio de sus atribuciones.</w:t>
      </w:r>
    </w:p>
    <w:p w14:paraId="6441ED23" w14:textId="77777777" w:rsidR="00E90C2C" w:rsidRPr="00424DBA" w:rsidRDefault="00E90C2C" w:rsidP="00740136">
      <w:pPr>
        <w:spacing w:line="360" w:lineRule="auto"/>
        <w:ind w:left="567" w:right="539"/>
        <w:jc w:val="both"/>
        <w:rPr>
          <w:rFonts w:ascii="Palatino Linotype" w:hAnsi="Palatino Linotype"/>
          <w:i/>
        </w:rPr>
      </w:pPr>
    </w:p>
    <w:p w14:paraId="1C3D2A85" w14:textId="753097F1" w:rsidR="00E90C2C" w:rsidRDefault="00E90C2C" w:rsidP="00740136">
      <w:pPr>
        <w:spacing w:line="360" w:lineRule="auto"/>
        <w:ind w:left="567" w:right="539"/>
        <w:jc w:val="both"/>
        <w:rPr>
          <w:rFonts w:ascii="Palatino Linotype" w:hAnsi="Palatino Linotype"/>
          <w:i/>
        </w:rPr>
      </w:pPr>
      <w:r w:rsidRPr="00424DBA">
        <w:rPr>
          <w:rFonts w:ascii="Palatino Linotype" w:hAnsi="Palatino Linotype"/>
          <w:i/>
        </w:rPr>
        <w:t xml:space="preserve">XIX a XXIII… </w:t>
      </w:r>
    </w:p>
    <w:p w14:paraId="5808698B" w14:textId="0E97E3E3" w:rsidR="00424DBA" w:rsidRPr="004E000D" w:rsidRDefault="00424DBA" w:rsidP="00740136">
      <w:pPr>
        <w:spacing w:line="360" w:lineRule="auto"/>
        <w:ind w:left="567" w:right="539"/>
        <w:jc w:val="both"/>
        <w:rPr>
          <w:rFonts w:ascii="Palatino Linotype" w:hAnsi="Palatino Linotype"/>
          <w:i/>
        </w:rPr>
      </w:pPr>
      <w:r w:rsidRPr="004E000D">
        <w:rPr>
          <w:rFonts w:ascii="Palatino Linotype" w:hAnsi="Palatino Linotype"/>
          <w:i/>
        </w:rPr>
        <w:t xml:space="preserve">…” (Sic). </w:t>
      </w:r>
    </w:p>
    <w:p w14:paraId="07848759" w14:textId="77777777" w:rsidR="002663AC" w:rsidRDefault="002663AC" w:rsidP="00740136">
      <w:pPr>
        <w:spacing w:line="360" w:lineRule="auto"/>
        <w:ind w:left="567" w:right="539"/>
        <w:jc w:val="both"/>
        <w:rPr>
          <w:rFonts w:ascii="Palatino Linotype" w:hAnsi="Palatino Linotype"/>
        </w:rPr>
      </w:pPr>
    </w:p>
    <w:p w14:paraId="45086132" w14:textId="76360ECB" w:rsidR="00C61054" w:rsidRDefault="002663AC" w:rsidP="00740136">
      <w:pPr>
        <w:spacing w:line="360" w:lineRule="auto"/>
        <w:ind w:right="113"/>
        <w:jc w:val="both"/>
        <w:rPr>
          <w:rFonts w:ascii="Palatino Linotype" w:hAnsi="Palatino Linotype"/>
          <w:sz w:val="22"/>
          <w:szCs w:val="22"/>
        </w:rPr>
      </w:pPr>
      <w:r w:rsidRPr="002663AC">
        <w:rPr>
          <w:rFonts w:ascii="Palatino Linotype" w:hAnsi="Palatino Linotype"/>
          <w:sz w:val="22"/>
        </w:rPr>
        <w:t>De las disposiciones referidas con antelación, se advierte que la Secretaría de Desarrollo Urbano</w:t>
      </w:r>
      <w:r w:rsidR="00EE628C">
        <w:rPr>
          <w:rFonts w:ascii="Palatino Linotype" w:hAnsi="Palatino Linotype"/>
          <w:sz w:val="22"/>
        </w:rPr>
        <w:t xml:space="preserve"> y</w:t>
      </w:r>
      <w:r w:rsidRPr="002663AC">
        <w:rPr>
          <w:rFonts w:ascii="Palatino Linotype" w:hAnsi="Palatino Linotype"/>
          <w:sz w:val="22"/>
        </w:rPr>
        <w:t xml:space="preserve"> Metropolitano, </w:t>
      </w:r>
      <w:r w:rsidR="00EE628C">
        <w:rPr>
          <w:rFonts w:ascii="Palatino Linotype" w:hAnsi="Palatino Linotype"/>
          <w:sz w:val="22"/>
        </w:rPr>
        <w:t xml:space="preserve">tiene dentro de sus atribuciones el </w:t>
      </w:r>
      <w:r w:rsidR="00EE628C" w:rsidRPr="00EE628C">
        <w:rPr>
          <w:rFonts w:ascii="Palatino Linotype" w:hAnsi="Palatino Linotype"/>
          <w:sz w:val="22"/>
        </w:rPr>
        <w:t>emitir las autorizaciones de conjuntos urbanos, condominios, subdivisio</w:t>
      </w:r>
      <w:r w:rsidR="00C61054">
        <w:rPr>
          <w:rFonts w:ascii="Palatino Linotype" w:hAnsi="Palatino Linotype"/>
          <w:sz w:val="22"/>
        </w:rPr>
        <w:t xml:space="preserve">nes, relotificaciones, fusiones, asimismo, la promoción y publicidad del desarrollo, el cambio de tipo o del nombre de los conjuntos urbanos, subdivisiones y condominios, </w:t>
      </w:r>
      <w:r w:rsidR="00C61054" w:rsidRPr="00C61054">
        <w:rPr>
          <w:rFonts w:ascii="Palatino Linotype" w:hAnsi="Palatino Linotype"/>
          <w:sz w:val="22"/>
          <w:szCs w:val="22"/>
        </w:rPr>
        <w:t>supervisar la ejecución de las obras de urbanización, infraestructura y equipamiento urbano de conjuntos urbanos, subdivisiones y condominios.</w:t>
      </w:r>
    </w:p>
    <w:p w14:paraId="123BE60B" w14:textId="77777777" w:rsidR="00C61054" w:rsidRDefault="00C61054" w:rsidP="00740136">
      <w:pPr>
        <w:spacing w:line="360" w:lineRule="auto"/>
        <w:ind w:right="113"/>
        <w:jc w:val="both"/>
        <w:rPr>
          <w:rFonts w:ascii="Palatino Linotype" w:hAnsi="Palatino Linotype"/>
          <w:sz w:val="22"/>
          <w:szCs w:val="22"/>
        </w:rPr>
      </w:pPr>
    </w:p>
    <w:p w14:paraId="250A112F" w14:textId="140FD9B7" w:rsidR="00C61054" w:rsidRDefault="00C61054" w:rsidP="00740136">
      <w:pPr>
        <w:pStyle w:val="Prrafodelista"/>
        <w:tabs>
          <w:tab w:val="left" w:pos="7938"/>
        </w:tabs>
        <w:spacing w:line="360" w:lineRule="auto"/>
        <w:ind w:left="0" w:right="113"/>
        <w:jc w:val="both"/>
        <w:rPr>
          <w:rFonts w:ascii="Palatino Linotype" w:hAnsi="Palatino Linotype"/>
          <w:szCs w:val="20"/>
        </w:rPr>
      </w:pPr>
      <w:r w:rsidRPr="00C61054">
        <w:rPr>
          <w:rFonts w:ascii="Palatino Linotype" w:hAnsi="Palatino Linotype"/>
          <w:szCs w:val="20"/>
        </w:rPr>
        <w:t>Por otra parte, los artículos transcritos refieren que a la solicitud de licencia de construcción para obra nueva, así como para la ampliación, modificación o reparación que afecte elementos estructurales de una obra existente, se acompañará entre otras cosas, lo relativa a la licencia de uso del suelo, autorización de conjunto urbano o, en los casos que impliquen la construcción de más de diez viviendas o de un coeficiente de utilización del suelo de tres mil o más metros cuadrados de construcción en otros usos, constancia de viabilidad, autorización de subdivisión o de condominio según corresponda, expedida por la Secretaría de Desarrollo Urbano y Metropolitano.</w:t>
      </w:r>
    </w:p>
    <w:p w14:paraId="190257D8" w14:textId="717AEDD5" w:rsidR="000A3BBF" w:rsidRDefault="00C61054" w:rsidP="00740136">
      <w:pPr>
        <w:spacing w:line="360" w:lineRule="auto"/>
        <w:ind w:right="-93"/>
        <w:jc w:val="both"/>
        <w:rPr>
          <w:rFonts w:ascii="Palatino Linotype" w:hAnsi="Palatino Linotype"/>
          <w:sz w:val="22"/>
        </w:rPr>
      </w:pPr>
      <w:r w:rsidRPr="000A3BBF">
        <w:rPr>
          <w:rFonts w:ascii="Palatino Linotype" w:hAnsi="Palatino Linotype"/>
          <w:sz w:val="22"/>
        </w:rPr>
        <w:t xml:space="preserve">Aunado a lo anterior, </w:t>
      </w:r>
      <w:r w:rsidR="00EB3A39" w:rsidRPr="000A3BBF">
        <w:rPr>
          <w:rFonts w:ascii="Palatino Linotype" w:hAnsi="Palatino Linotype"/>
          <w:sz w:val="22"/>
        </w:rPr>
        <w:t xml:space="preserve">la normativa referida, establece la atribución del Sujeto Obligado para instruir a un servidor público a efecto de que realice las diligencias necesarias para verificar el cumplimiento de la normatividad, asimismo, el Código de Procedimientos Administrativos establece </w:t>
      </w:r>
      <w:r w:rsidR="000A3BBF" w:rsidRPr="000A3BBF">
        <w:rPr>
          <w:rFonts w:ascii="Palatino Linotype" w:hAnsi="Palatino Linotype"/>
          <w:sz w:val="22"/>
        </w:rPr>
        <w:t>los pasos a</w:t>
      </w:r>
      <w:r w:rsidR="00A00E4B" w:rsidRPr="000A3BBF">
        <w:rPr>
          <w:rFonts w:ascii="Palatino Linotype" w:hAnsi="Palatino Linotype"/>
          <w:sz w:val="22"/>
        </w:rPr>
        <w:t xml:space="preserve"> realizar </w:t>
      </w:r>
      <w:r w:rsidR="000A3BBF" w:rsidRPr="000A3BBF">
        <w:rPr>
          <w:rFonts w:ascii="Palatino Linotype" w:hAnsi="Palatino Linotype"/>
          <w:sz w:val="22"/>
        </w:rPr>
        <w:t xml:space="preserve">por </w:t>
      </w:r>
      <w:r w:rsidR="00A00E4B" w:rsidRPr="000A3BBF">
        <w:rPr>
          <w:rFonts w:ascii="Palatino Linotype" w:hAnsi="Palatino Linotype"/>
          <w:sz w:val="22"/>
        </w:rPr>
        <w:t xml:space="preserve">el servidor público que realice las visitas de verificación, entre </w:t>
      </w:r>
      <w:r w:rsidR="00A00E4B" w:rsidRPr="000A3BBF">
        <w:rPr>
          <w:rFonts w:ascii="Palatino Linotype" w:hAnsi="Palatino Linotype"/>
          <w:sz w:val="22"/>
        </w:rPr>
        <w:lastRenderedPageBreak/>
        <w:t xml:space="preserve">las que destaca la relativa a generar un acta </w:t>
      </w:r>
      <w:r w:rsidR="000A3BBF">
        <w:rPr>
          <w:rFonts w:ascii="Palatino Linotype" w:hAnsi="Palatino Linotype"/>
          <w:sz w:val="22"/>
        </w:rPr>
        <w:t xml:space="preserve">donde haga constar todas y cada una de las circunstancias, hechos u omisiones que se observen en la diligencia. </w:t>
      </w:r>
    </w:p>
    <w:p w14:paraId="2977CB56" w14:textId="77777777" w:rsidR="009B6223" w:rsidRDefault="009B6223" w:rsidP="00740136">
      <w:pPr>
        <w:spacing w:line="360" w:lineRule="auto"/>
        <w:ind w:right="-93"/>
        <w:jc w:val="both"/>
        <w:rPr>
          <w:rFonts w:ascii="Palatino Linotype" w:hAnsi="Palatino Linotype"/>
          <w:sz w:val="22"/>
        </w:rPr>
      </w:pPr>
    </w:p>
    <w:p w14:paraId="73C07C01" w14:textId="0074607A" w:rsidR="009B6223" w:rsidRPr="009B6223" w:rsidRDefault="009B6223" w:rsidP="00740136">
      <w:pPr>
        <w:spacing w:line="360" w:lineRule="auto"/>
        <w:ind w:right="-93"/>
        <w:jc w:val="both"/>
        <w:rPr>
          <w:rFonts w:ascii="Palatino Linotype" w:hAnsi="Palatino Linotype"/>
          <w:sz w:val="22"/>
        </w:rPr>
      </w:pPr>
      <w:r>
        <w:rPr>
          <w:rFonts w:ascii="Palatino Linotype" w:hAnsi="Palatino Linotype"/>
          <w:sz w:val="22"/>
        </w:rPr>
        <w:t xml:space="preserve">No obstante lo anterior, se debe destacar que el solicitante de acceso a la información pública, </w:t>
      </w:r>
      <w:r>
        <w:rPr>
          <w:rFonts w:ascii="Palatino Linotype" w:hAnsi="Palatino Linotype"/>
          <w:sz w:val="22"/>
          <w:u w:val="single"/>
        </w:rPr>
        <w:t>no requirió a la autoridad que se constituyera y en su caso, aplicara sanciones por incumplimiento a la norma</w:t>
      </w:r>
      <w:r w:rsidR="005C24AA">
        <w:rPr>
          <w:rFonts w:ascii="Palatino Linotype" w:hAnsi="Palatino Linotype"/>
          <w:sz w:val="22"/>
          <w:u w:val="single"/>
        </w:rPr>
        <w:t xml:space="preserve"> (según la respuesta de la solicitud que cita como precedente)</w:t>
      </w:r>
      <w:r>
        <w:rPr>
          <w:rFonts w:ascii="Palatino Linotype" w:hAnsi="Palatino Linotype"/>
          <w:sz w:val="22"/>
        </w:rPr>
        <w:t xml:space="preserve">; por el contrario, </w:t>
      </w:r>
      <w:r w:rsidR="005C24AA">
        <w:rPr>
          <w:rFonts w:ascii="Palatino Linotype" w:hAnsi="Palatino Linotype"/>
          <w:sz w:val="22"/>
        </w:rPr>
        <w:t>requirió</w:t>
      </w:r>
      <w:r>
        <w:rPr>
          <w:rFonts w:ascii="Palatino Linotype" w:hAnsi="Palatino Linotype"/>
          <w:sz w:val="22"/>
        </w:rPr>
        <w:t xml:space="preserve"> información relacionada con acciones que ya se hubieran realizado por la autoridad competente</w:t>
      </w:r>
      <w:r w:rsidR="005C24AA">
        <w:rPr>
          <w:rFonts w:ascii="Palatino Linotype" w:hAnsi="Palatino Linotype"/>
          <w:sz w:val="22"/>
        </w:rPr>
        <w:t>, en caso de incumplimiento a la ley</w:t>
      </w:r>
      <w:r>
        <w:rPr>
          <w:rFonts w:ascii="Palatino Linotype" w:hAnsi="Palatino Linotype"/>
          <w:sz w:val="22"/>
        </w:rPr>
        <w:t>.</w:t>
      </w:r>
    </w:p>
    <w:p w14:paraId="1402FFB7" w14:textId="77777777" w:rsidR="000A3BBF" w:rsidRDefault="000A3BBF" w:rsidP="00740136">
      <w:pPr>
        <w:spacing w:line="360" w:lineRule="auto"/>
        <w:ind w:right="-93"/>
        <w:jc w:val="both"/>
        <w:rPr>
          <w:rFonts w:ascii="Palatino Linotype" w:hAnsi="Palatino Linotype"/>
          <w:sz w:val="22"/>
        </w:rPr>
      </w:pPr>
    </w:p>
    <w:p w14:paraId="5218C25B" w14:textId="0848DFF5" w:rsidR="000A3BBF" w:rsidRDefault="000A3BBF" w:rsidP="00740136">
      <w:pPr>
        <w:spacing w:line="360" w:lineRule="auto"/>
        <w:ind w:right="-93"/>
        <w:jc w:val="both"/>
        <w:rPr>
          <w:rFonts w:ascii="Palatino Linotype" w:hAnsi="Palatino Linotype"/>
          <w:sz w:val="22"/>
        </w:rPr>
      </w:pPr>
      <w:r>
        <w:rPr>
          <w:rFonts w:ascii="Palatino Linotype" w:hAnsi="Palatino Linotype"/>
          <w:sz w:val="22"/>
        </w:rPr>
        <w:t xml:space="preserve">En ese sentido, de las constancias que obran agregadas al expediente en que se actúa, se observa que si bien el Sujeto Obligado al dar la respuesta a la solicitud de información, adjuntó el oficio por el cual se instruyó al residente a efecto de que se constituyera en el domicilio proporcionado por el Particular para dar cuenta de lo que se encuentra físicamente en el predio referido para que la Secretaría de Desarrollo Urbano y Metropolitano estuviera posibilitad para instrumentar </w:t>
      </w:r>
      <w:r w:rsidR="008F3B90">
        <w:rPr>
          <w:rFonts w:ascii="Palatino Linotype" w:hAnsi="Palatino Linotype"/>
          <w:sz w:val="22"/>
        </w:rPr>
        <w:t xml:space="preserve">acción legal; lo cierto es que, la acción indicada por el Sujeto Obligado constituye un derecho de petición, que no es materia de la </w:t>
      </w:r>
      <w:r w:rsidR="008F3B90" w:rsidRPr="008F3B90">
        <w:rPr>
          <w:rFonts w:ascii="Palatino Linotype" w:hAnsi="Palatino Linotype" w:cs="Tahoma"/>
          <w:sz w:val="22"/>
          <w:szCs w:val="22"/>
        </w:rPr>
        <w:t>Ley de Transparencia y Acceso a la Información Pública del Estado de México y Municipios</w:t>
      </w:r>
      <w:r w:rsidR="008F3B90">
        <w:rPr>
          <w:rFonts w:ascii="Palatino Linotype" w:hAnsi="Palatino Linotype"/>
          <w:sz w:val="22"/>
        </w:rPr>
        <w:t xml:space="preserve"> y, tampoco es lo que solicitó el Recurrente.</w:t>
      </w:r>
      <w:r>
        <w:rPr>
          <w:rFonts w:ascii="Palatino Linotype" w:hAnsi="Palatino Linotype"/>
          <w:sz w:val="22"/>
        </w:rPr>
        <w:t xml:space="preserve"> </w:t>
      </w:r>
    </w:p>
    <w:p w14:paraId="34C594AC" w14:textId="77777777" w:rsidR="00F26A49" w:rsidRDefault="00F26A49" w:rsidP="00740136">
      <w:pPr>
        <w:spacing w:line="360" w:lineRule="auto"/>
        <w:ind w:right="-93"/>
        <w:jc w:val="both"/>
        <w:rPr>
          <w:rFonts w:ascii="Palatino Linotype" w:hAnsi="Palatino Linotype"/>
          <w:sz w:val="22"/>
        </w:rPr>
      </w:pPr>
    </w:p>
    <w:p w14:paraId="277C1E19" w14:textId="72C42378" w:rsidR="008B4C6B" w:rsidRDefault="00056A31" w:rsidP="00740136">
      <w:pPr>
        <w:spacing w:line="360" w:lineRule="auto"/>
        <w:ind w:right="-93"/>
        <w:jc w:val="both"/>
        <w:rPr>
          <w:rFonts w:ascii="Palatino Linotype" w:hAnsi="Palatino Linotype"/>
          <w:sz w:val="22"/>
        </w:rPr>
      </w:pPr>
      <w:r>
        <w:rPr>
          <w:rFonts w:ascii="Palatino Linotype" w:hAnsi="Palatino Linotype"/>
          <w:sz w:val="22"/>
        </w:rPr>
        <w:t>En este sentido</w:t>
      </w:r>
      <w:r w:rsidR="000A3BBF">
        <w:rPr>
          <w:rFonts w:ascii="Palatino Linotype" w:hAnsi="Palatino Linotype"/>
          <w:sz w:val="22"/>
        </w:rPr>
        <w:t xml:space="preserve">, </w:t>
      </w:r>
      <w:r>
        <w:rPr>
          <w:rFonts w:ascii="Palatino Linotype" w:hAnsi="Palatino Linotype"/>
          <w:sz w:val="22"/>
        </w:rPr>
        <w:t>el Sujeto Obligado, basó</w:t>
      </w:r>
      <w:r w:rsidR="00516E15">
        <w:rPr>
          <w:rFonts w:ascii="Palatino Linotype" w:hAnsi="Palatino Linotype"/>
          <w:sz w:val="22"/>
        </w:rPr>
        <w:t xml:space="preserve"> su respuesta en lo manifestado por el residente que se constituyó en el domicilio señalado por el Particular; sin embargo, </w:t>
      </w:r>
      <w:r w:rsidR="008B4C6B">
        <w:rPr>
          <w:rFonts w:ascii="Palatino Linotype" w:hAnsi="Palatino Linotype"/>
          <w:sz w:val="22"/>
        </w:rPr>
        <w:t>de lo reportado únicamente se advierte que el servidor púb</w:t>
      </w:r>
      <w:r>
        <w:rPr>
          <w:rFonts w:ascii="Palatino Linotype" w:hAnsi="Palatino Linotype"/>
          <w:sz w:val="22"/>
        </w:rPr>
        <w:t>lico expresó la inexistencia de un</w:t>
      </w:r>
      <w:r w:rsidR="008B4C6B">
        <w:rPr>
          <w:rFonts w:ascii="Palatino Linotype" w:hAnsi="Palatino Linotype"/>
          <w:sz w:val="22"/>
        </w:rPr>
        <w:t xml:space="preserve"> desarrollo habitacional bajo la figura de condominio, por lo que no resultaba procedente iniciar procedimiento legal</w:t>
      </w:r>
      <w:r>
        <w:rPr>
          <w:rFonts w:ascii="Palatino Linotype" w:hAnsi="Palatino Linotype"/>
          <w:sz w:val="22"/>
        </w:rPr>
        <w:t>.</w:t>
      </w:r>
      <w:r w:rsidR="00B2715F">
        <w:rPr>
          <w:rFonts w:ascii="Palatino Linotype" w:hAnsi="Palatino Linotype"/>
          <w:sz w:val="22"/>
        </w:rPr>
        <w:t xml:space="preserve"> </w:t>
      </w:r>
      <w:r w:rsidR="008B4C6B">
        <w:rPr>
          <w:rFonts w:ascii="Palatino Linotype" w:hAnsi="Palatino Linotype"/>
          <w:sz w:val="22"/>
        </w:rPr>
        <w:t>Así las cosas, de la respuesta y los documentos otorgados</w:t>
      </w:r>
      <w:r w:rsidR="00A30617">
        <w:rPr>
          <w:rFonts w:ascii="Palatino Linotype" w:hAnsi="Palatino Linotype"/>
          <w:sz w:val="22"/>
        </w:rPr>
        <w:t xml:space="preserve"> por</w:t>
      </w:r>
      <w:r w:rsidR="008B4C6B">
        <w:rPr>
          <w:rFonts w:ascii="Palatino Linotype" w:hAnsi="Palatino Linotype"/>
          <w:sz w:val="22"/>
        </w:rPr>
        <w:t xml:space="preserve"> el Sujeto Obligado</w:t>
      </w:r>
      <w:r w:rsidR="00A30617">
        <w:rPr>
          <w:rFonts w:ascii="Palatino Linotype" w:hAnsi="Palatino Linotype"/>
          <w:sz w:val="22"/>
        </w:rPr>
        <w:t>, se puede corroborar que no corresponde la respuesta y la solicitud,</w:t>
      </w:r>
      <w:r w:rsidR="008B4C6B">
        <w:rPr>
          <w:rFonts w:ascii="Palatino Linotype" w:hAnsi="Palatino Linotype"/>
          <w:sz w:val="22"/>
        </w:rPr>
        <w:t xml:space="preserve"> pues como se ha señalado en párrafos precedentes, únicamente se limitó a expresar que se había instruido al residente a efecto de </w:t>
      </w:r>
      <w:r w:rsidR="008B4C6B">
        <w:rPr>
          <w:rFonts w:ascii="Palatino Linotype" w:hAnsi="Palatino Linotype"/>
          <w:sz w:val="22"/>
        </w:rPr>
        <w:lastRenderedPageBreak/>
        <w:t xml:space="preserve">constituirse en el lugar </w:t>
      </w:r>
      <w:r w:rsidR="00777848">
        <w:rPr>
          <w:rFonts w:ascii="Palatino Linotype" w:hAnsi="Palatino Linotype"/>
          <w:sz w:val="22"/>
        </w:rPr>
        <w:t xml:space="preserve">y </w:t>
      </w:r>
      <w:r w:rsidR="00A30617">
        <w:rPr>
          <w:rFonts w:ascii="Palatino Linotype" w:hAnsi="Palatino Linotype"/>
          <w:sz w:val="22"/>
        </w:rPr>
        <w:t>e</w:t>
      </w:r>
      <w:r w:rsidR="00777848">
        <w:rPr>
          <w:rFonts w:ascii="Palatino Linotype" w:hAnsi="Palatino Linotype"/>
          <w:sz w:val="22"/>
        </w:rPr>
        <w:t>ste report</w:t>
      </w:r>
      <w:r w:rsidR="00A30617">
        <w:rPr>
          <w:rFonts w:ascii="Palatino Linotype" w:hAnsi="Palatino Linotype"/>
          <w:sz w:val="22"/>
        </w:rPr>
        <w:t>ó</w:t>
      </w:r>
      <w:r w:rsidR="00777848">
        <w:rPr>
          <w:rFonts w:ascii="Palatino Linotype" w:hAnsi="Palatino Linotype"/>
          <w:sz w:val="22"/>
        </w:rPr>
        <w:t xml:space="preserve"> la no existencia del desarrollo habitacional bajo la figura de condominio, por lo que resultaba improcedente inicia</w:t>
      </w:r>
      <w:r w:rsidR="000A3EE9">
        <w:rPr>
          <w:rFonts w:ascii="Palatino Linotype" w:hAnsi="Palatino Linotype"/>
          <w:sz w:val="22"/>
        </w:rPr>
        <w:t>r</w:t>
      </w:r>
      <w:r w:rsidR="00777848">
        <w:rPr>
          <w:rFonts w:ascii="Palatino Linotype" w:hAnsi="Palatino Linotype"/>
          <w:sz w:val="22"/>
        </w:rPr>
        <w:t xml:space="preserve"> acción legal. </w:t>
      </w:r>
    </w:p>
    <w:p w14:paraId="48D4E3A2" w14:textId="77777777" w:rsidR="008B4C6B" w:rsidRDefault="008B4C6B" w:rsidP="00740136">
      <w:pPr>
        <w:spacing w:line="360" w:lineRule="auto"/>
        <w:ind w:right="-93"/>
        <w:jc w:val="both"/>
        <w:rPr>
          <w:rFonts w:ascii="Palatino Linotype" w:hAnsi="Palatino Linotype"/>
          <w:sz w:val="22"/>
        </w:rPr>
      </w:pPr>
    </w:p>
    <w:p w14:paraId="3077C61D" w14:textId="56E90CC5" w:rsidR="008B4C6B" w:rsidRDefault="008B4C6B" w:rsidP="00740136">
      <w:pPr>
        <w:spacing w:line="360" w:lineRule="auto"/>
        <w:ind w:right="-93"/>
        <w:jc w:val="both"/>
        <w:rPr>
          <w:rFonts w:ascii="Palatino Linotype" w:hAnsi="Palatino Linotype"/>
          <w:sz w:val="22"/>
        </w:rPr>
      </w:pPr>
      <w:r>
        <w:rPr>
          <w:rFonts w:ascii="Palatino Linotype" w:hAnsi="Palatino Linotype"/>
          <w:sz w:val="22"/>
        </w:rPr>
        <w:t xml:space="preserve">En ese sentido, si bien el Particular relacionó el predio con la figura del condominio, lo cierto es que no está obligado a conocer  el régimen específico de construcción del predio aludido </w:t>
      </w:r>
      <w:r w:rsidR="00540F28">
        <w:rPr>
          <w:rFonts w:ascii="Palatino Linotype" w:hAnsi="Palatino Linotype"/>
          <w:sz w:val="22"/>
        </w:rPr>
        <w:t>o</w:t>
      </w:r>
      <w:r>
        <w:rPr>
          <w:rFonts w:ascii="Palatino Linotype" w:hAnsi="Palatino Linotype"/>
          <w:sz w:val="22"/>
        </w:rPr>
        <w:t xml:space="preserve"> ser experto en la materia</w:t>
      </w:r>
      <w:r w:rsidR="00435CED">
        <w:rPr>
          <w:rFonts w:ascii="Palatino Linotype" w:hAnsi="Palatino Linotype"/>
          <w:sz w:val="22"/>
        </w:rPr>
        <w:t xml:space="preserve">. </w:t>
      </w:r>
      <w:r>
        <w:rPr>
          <w:rFonts w:ascii="Palatino Linotype" w:hAnsi="Palatino Linotype"/>
          <w:sz w:val="22"/>
        </w:rPr>
        <w:t xml:space="preserve">  </w:t>
      </w:r>
      <w:r w:rsidR="00A30617">
        <w:rPr>
          <w:rFonts w:ascii="Palatino Linotype" w:hAnsi="Palatino Linotype"/>
          <w:sz w:val="22"/>
        </w:rPr>
        <w:t>Así las cosas, lo que debió hacer el Sujeto Obligado, es identificar el predio señalado por el Recurrente y realizar la búsqueda en sus archivos sobre la existencia de un expediente relacionado con la falta de autorización</w:t>
      </w:r>
      <w:r w:rsidR="00445C2B">
        <w:rPr>
          <w:rFonts w:ascii="Palatino Linotype" w:hAnsi="Palatino Linotype"/>
          <w:sz w:val="22"/>
        </w:rPr>
        <w:t xml:space="preserve"> respecto de la construcción que se está o se llevó a cabo</w:t>
      </w:r>
      <w:r w:rsidR="00A30617">
        <w:rPr>
          <w:rFonts w:ascii="Palatino Linotype" w:hAnsi="Palatino Linotype"/>
          <w:sz w:val="22"/>
        </w:rPr>
        <w:t xml:space="preserve"> y en su caso, la existencia de sanciones, citatorios y procedimientos para garantizar derechos de audiencia</w:t>
      </w:r>
      <w:r w:rsidR="00445C2B">
        <w:rPr>
          <w:rFonts w:ascii="Palatino Linotype" w:hAnsi="Palatino Linotype"/>
          <w:sz w:val="22"/>
        </w:rPr>
        <w:t xml:space="preserve">, de tal suerte que se pronunciara sobre la procedencia o no de entregar los documentos solicitados, de acuerdo a la etapa en que se encontrara el procedimiento, en caso de existir, de lo contrario la inexistencia que debió responder es sobre </w:t>
      </w:r>
      <w:r w:rsidR="00445C2B" w:rsidRPr="00635F2C">
        <w:rPr>
          <w:rFonts w:ascii="Palatino Linotype" w:hAnsi="Palatino Linotype"/>
          <w:sz w:val="22"/>
        </w:rPr>
        <w:t>los documentos solicitados y no sobre la construcción del condominio.</w:t>
      </w:r>
    </w:p>
    <w:p w14:paraId="3AD8E770" w14:textId="77777777" w:rsidR="00F26A49" w:rsidRDefault="00F26A49" w:rsidP="00740136">
      <w:pPr>
        <w:spacing w:line="360" w:lineRule="auto"/>
        <w:ind w:right="-93"/>
        <w:jc w:val="both"/>
        <w:rPr>
          <w:rFonts w:ascii="Palatino Linotype" w:hAnsi="Palatino Linotype"/>
          <w:sz w:val="22"/>
        </w:rPr>
      </w:pPr>
    </w:p>
    <w:p w14:paraId="7BCBE436" w14:textId="28B429C3" w:rsidR="00F26A49" w:rsidRPr="001E0D8F" w:rsidRDefault="00F26A49" w:rsidP="00740136">
      <w:pPr>
        <w:spacing w:line="360" w:lineRule="auto"/>
        <w:ind w:right="-93"/>
        <w:jc w:val="both"/>
        <w:rPr>
          <w:rFonts w:ascii="Palatino Linotype" w:eastAsia="Calibri" w:hAnsi="Palatino Linotype" w:cs="Tahoma"/>
          <w:bCs/>
          <w:sz w:val="22"/>
          <w:szCs w:val="22"/>
          <w:lang w:eastAsia="en-US"/>
        </w:rPr>
      </w:pPr>
      <w:r>
        <w:rPr>
          <w:rFonts w:ascii="Palatino Linotype" w:eastAsia="Calibri" w:hAnsi="Palatino Linotype" w:cs="Tahoma"/>
          <w:bCs/>
          <w:sz w:val="22"/>
          <w:szCs w:val="22"/>
          <w:lang w:eastAsia="en-US"/>
        </w:rPr>
        <w:t>En efecto, para lograr</w:t>
      </w:r>
      <w:r w:rsidRPr="001E0D8F">
        <w:rPr>
          <w:rFonts w:ascii="Palatino Linotype" w:eastAsia="Calibri" w:hAnsi="Palatino Linotype" w:cs="Tahoma"/>
          <w:bCs/>
          <w:sz w:val="22"/>
          <w:szCs w:val="22"/>
          <w:lang w:eastAsia="en-US"/>
        </w:rPr>
        <w:t xml:space="preserve"> lo precisado, </w:t>
      </w:r>
      <w:r>
        <w:rPr>
          <w:rFonts w:ascii="Palatino Linotype" w:eastAsia="Calibri" w:hAnsi="Palatino Linotype" w:cs="Tahoma"/>
          <w:bCs/>
          <w:sz w:val="22"/>
          <w:szCs w:val="22"/>
          <w:lang w:eastAsia="en-US"/>
        </w:rPr>
        <w:t>el</w:t>
      </w:r>
      <w:r w:rsidRPr="001E0D8F">
        <w:rPr>
          <w:rFonts w:ascii="Palatino Linotype" w:eastAsia="Calibri" w:hAnsi="Palatino Linotype" w:cs="Tahoma"/>
          <w:bCs/>
          <w:sz w:val="22"/>
          <w:szCs w:val="22"/>
          <w:lang w:eastAsia="en-US"/>
        </w:rPr>
        <w:t xml:space="preserve"> Sujeto</w:t>
      </w:r>
      <w:r>
        <w:rPr>
          <w:rFonts w:ascii="Palatino Linotype" w:eastAsia="Calibri" w:hAnsi="Palatino Linotype" w:cs="Tahoma"/>
          <w:bCs/>
          <w:sz w:val="22"/>
          <w:szCs w:val="22"/>
          <w:lang w:eastAsia="en-US"/>
        </w:rPr>
        <w:t xml:space="preserve"> Obligado</w:t>
      </w:r>
      <w:r w:rsidRPr="001E0D8F">
        <w:rPr>
          <w:rFonts w:ascii="Palatino Linotype" w:eastAsia="Calibri" w:hAnsi="Palatino Linotype" w:cs="Tahoma"/>
          <w:bCs/>
          <w:sz w:val="22"/>
          <w:szCs w:val="22"/>
          <w:lang w:eastAsia="en-US"/>
        </w:rPr>
        <w:t xml:space="preserve"> deb</w:t>
      </w:r>
      <w:r>
        <w:rPr>
          <w:rFonts w:ascii="Palatino Linotype" w:eastAsia="Calibri" w:hAnsi="Palatino Linotype" w:cs="Tahoma"/>
          <w:bCs/>
          <w:sz w:val="22"/>
          <w:szCs w:val="22"/>
          <w:lang w:eastAsia="en-US"/>
        </w:rPr>
        <w:t>ió</w:t>
      </w:r>
      <w:r w:rsidRPr="001E0D8F">
        <w:rPr>
          <w:rFonts w:ascii="Palatino Linotype" w:eastAsia="Calibri" w:hAnsi="Palatino Linotype" w:cs="Tahoma"/>
          <w:bCs/>
          <w:sz w:val="22"/>
          <w:szCs w:val="22"/>
          <w:lang w:eastAsia="en-US"/>
        </w:rPr>
        <w:t xml:space="preserve"> seguir el procedimiento para la atención a las solicitudes de acceso a la información, establecido en los artículos 151, 160, 162, 163, 164, 165 y 166, de la Ley de Transparencia y Acceso a la Información Pública del Estado de México y Municipios, el cual es el siguiente:</w:t>
      </w:r>
    </w:p>
    <w:p w14:paraId="57FEE992" w14:textId="77777777" w:rsidR="00F26A49" w:rsidRPr="001E0D8F" w:rsidRDefault="00F26A49" w:rsidP="00740136">
      <w:pPr>
        <w:spacing w:line="360" w:lineRule="auto"/>
        <w:ind w:right="-93"/>
        <w:jc w:val="both"/>
        <w:rPr>
          <w:rFonts w:ascii="Palatino Linotype" w:eastAsia="Calibri" w:hAnsi="Palatino Linotype" w:cs="Tahoma"/>
          <w:bCs/>
          <w:sz w:val="22"/>
          <w:szCs w:val="22"/>
          <w:lang w:eastAsia="en-US"/>
        </w:rPr>
      </w:pPr>
    </w:p>
    <w:p w14:paraId="69536CEA" w14:textId="5C09A728" w:rsidR="00F26A49" w:rsidRPr="001E0D8F" w:rsidRDefault="00F26A49" w:rsidP="00740136">
      <w:pPr>
        <w:pStyle w:val="Prrafodelista"/>
        <w:numPr>
          <w:ilvl w:val="0"/>
          <w:numId w:val="3"/>
        </w:numPr>
        <w:spacing w:line="360" w:lineRule="auto"/>
        <w:ind w:right="-93"/>
        <w:jc w:val="both"/>
        <w:rPr>
          <w:rFonts w:ascii="Palatino Linotype" w:eastAsia="Calibri" w:hAnsi="Palatino Linotype" w:cs="Tahoma"/>
          <w:bCs/>
          <w:szCs w:val="22"/>
          <w:lang w:eastAsia="en-US"/>
        </w:rPr>
      </w:pPr>
      <w:r>
        <w:rPr>
          <w:rFonts w:ascii="Palatino Linotype" w:eastAsia="Calibri" w:hAnsi="Palatino Linotype" w:cs="Tahoma"/>
          <w:bCs/>
          <w:szCs w:val="22"/>
          <w:lang w:eastAsia="en-US"/>
        </w:rPr>
        <w:t>Las Unidad</w:t>
      </w:r>
      <w:r w:rsidRPr="001E0D8F">
        <w:rPr>
          <w:rFonts w:ascii="Palatino Linotype" w:eastAsia="Calibri" w:hAnsi="Palatino Linotype" w:cs="Tahoma"/>
          <w:bCs/>
          <w:szCs w:val="22"/>
          <w:lang w:eastAsia="en-US"/>
        </w:rPr>
        <w:t xml:space="preserve"> de Transparencia debe garantizar las medidas y condiciones de accesibilidad para que toda persona puede ejercer el derecho de acceso a la información; por lo que, son las responsables de hacer las notificaciones correspondientes, además de llevar a cabo de todas las gestiones necesarias para facilitar el acceso de la información;</w:t>
      </w:r>
    </w:p>
    <w:p w14:paraId="408635E8" w14:textId="77777777" w:rsidR="00F26A49" w:rsidRPr="001E0D8F" w:rsidRDefault="00F26A49" w:rsidP="00740136">
      <w:pPr>
        <w:pStyle w:val="Prrafodelista"/>
        <w:spacing w:line="360" w:lineRule="auto"/>
        <w:ind w:right="-93"/>
        <w:jc w:val="both"/>
        <w:rPr>
          <w:rFonts w:ascii="Palatino Linotype" w:eastAsia="Calibri" w:hAnsi="Palatino Linotype" w:cs="Tahoma"/>
          <w:bCs/>
          <w:szCs w:val="22"/>
          <w:lang w:eastAsia="en-US"/>
        </w:rPr>
      </w:pPr>
    </w:p>
    <w:p w14:paraId="77CEEA82" w14:textId="4A44D42A" w:rsidR="00F26A49" w:rsidRPr="001E0D8F" w:rsidRDefault="00F26A49" w:rsidP="00740136">
      <w:pPr>
        <w:pStyle w:val="Prrafodelista"/>
        <w:numPr>
          <w:ilvl w:val="0"/>
          <w:numId w:val="3"/>
        </w:numPr>
        <w:spacing w:line="360" w:lineRule="auto"/>
        <w:ind w:right="-93"/>
        <w:jc w:val="both"/>
        <w:rPr>
          <w:rFonts w:ascii="Palatino Linotype" w:eastAsia="Calibri" w:hAnsi="Palatino Linotype" w:cs="Tahoma"/>
          <w:bCs/>
          <w:szCs w:val="22"/>
          <w:lang w:eastAsia="en-US"/>
        </w:rPr>
      </w:pPr>
      <w:r w:rsidRPr="001E0D8F">
        <w:rPr>
          <w:rFonts w:ascii="Palatino Linotype" w:eastAsia="Calibri" w:hAnsi="Palatino Linotype" w:cs="Tahoma"/>
          <w:bCs/>
          <w:szCs w:val="22"/>
          <w:lang w:eastAsia="en-US"/>
        </w:rPr>
        <w:lastRenderedPageBreak/>
        <w:t>La respuesta</w:t>
      </w:r>
      <w:r>
        <w:rPr>
          <w:rFonts w:ascii="Palatino Linotype" w:eastAsia="Calibri" w:hAnsi="Palatino Linotype" w:cs="Tahoma"/>
          <w:bCs/>
          <w:szCs w:val="22"/>
          <w:lang w:eastAsia="en-US"/>
        </w:rPr>
        <w:t xml:space="preserve"> a</w:t>
      </w:r>
      <w:r w:rsidRPr="001E0D8F">
        <w:rPr>
          <w:rFonts w:ascii="Palatino Linotype" w:eastAsia="Calibri" w:hAnsi="Palatino Linotype" w:cs="Tahoma"/>
          <w:bCs/>
          <w:szCs w:val="22"/>
          <w:lang w:eastAsia="en-US"/>
        </w:rPr>
        <w:t xml:space="preserve">l requerimiento informativo deberá notificarse al interesado en el menor tiempo posible, que no podrá exceder </w:t>
      </w:r>
      <w:r w:rsidRPr="005051DA">
        <w:rPr>
          <w:rFonts w:ascii="Palatino Linotype" w:eastAsia="Calibri" w:hAnsi="Palatino Linotype" w:cs="Tahoma"/>
          <w:bCs/>
          <w:szCs w:val="22"/>
          <w:lang w:eastAsia="en-US"/>
        </w:rPr>
        <w:t>quince días, contados a partir del día siguiente a la presentación de esta.</w:t>
      </w:r>
      <w:r w:rsidRPr="001E0D8F">
        <w:rPr>
          <w:rFonts w:ascii="Palatino Linotype" w:eastAsia="Calibri" w:hAnsi="Palatino Linotype" w:cs="Tahoma"/>
          <w:bCs/>
          <w:szCs w:val="22"/>
          <w:lang w:eastAsia="en-US"/>
        </w:rPr>
        <w:t xml:space="preserve"> Excepcionalmente, el plazo referido podrá ampliarse por siete días hábiles más, cuando existan razones fundadas y motivadas, a través del Comité de Transparencia;</w:t>
      </w:r>
    </w:p>
    <w:p w14:paraId="58076646" w14:textId="77777777" w:rsidR="00F26A49" w:rsidRPr="001E0D8F" w:rsidRDefault="00F26A49" w:rsidP="00740136">
      <w:pPr>
        <w:pStyle w:val="Prrafodelista"/>
        <w:spacing w:line="360" w:lineRule="auto"/>
        <w:rPr>
          <w:rFonts w:ascii="Palatino Linotype" w:eastAsia="Calibri" w:hAnsi="Palatino Linotype" w:cs="Tahoma"/>
          <w:bCs/>
          <w:szCs w:val="22"/>
          <w:lang w:eastAsia="en-US"/>
        </w:rPr>
      </w:pPr>
    </w:p>
    <w:p w14:paraId="2EEB7EBF" w14:textId="56670C04" w:rsidR="00F26A49" w:rsidRPr="005051DA" w:rsidRDefault="00F26A49" w:rsidP="00740136">
      <w:pPr>
        <w:pStyle w:val="Prrafodelista"/>
        <w:numPr>
          <w:ilvl w:val="0"/>
          <w:numId w:val="3"/>
        </w:numPr>
        <w:spacing w:line="360" w:lineRule="auto"/>
        <w:ind w:right="-93"/>
        <w:jc w:val="both"/>
        <w:rPr>
          <w:rFonts w:ascii="Palatino Linotype" w:eastAsia="Calibri" w:hAnsi="Palatino Linotype" w:cs="Tahoma"/>
          <w:b/>
          <w:bCs/>
          <w:szCs w:val="22"/>
          <w:u w:val="single"/>
          <w:lang w:eastAsia="en-US"/>
        </w:rPr>
      </w:pPr>
      <w:r w:rsidRPr="005051DA">
        <w:rPr>
          <w:rFonts w:ascii="Palatino Linotype" w:eastAsia="Calibri" w:hAnsi="Palatino Linotype" w:cs="Tahoma"/>
          <w:b/>
          <w:bCs/>
          <w:szCs w:val="22"/>
          <w:u w:val="single"/>
          <w:lang w:eastAsia="en-US"/>
        </w:rPr>
        <w:t>Las Unidad de Transparencia garantizará que la solicitud se turne a todas las áreas competentes que cuenten con la información o deban tenerla de acuerdo a sus facultades, funciones y atribuciones, para que realicen una búsqueda exhaustiva y razonable de la documentación solicitada, con el fin de que proporcionen las expresiones documentales que se encuentren en sus archivos o que estén constreñidos a elaborar;</w:t>
      </w:r>
    </w:p>
    <w:p w14:paraId="1B6A2DC5" w14:textId="77777777" w:rsidR="00F26A49" w:rsidRPr="001E0D8F" w:rsidRDefault="00F26A49" w:rsidP="00740136">
      <w:pPr>
        <w:pStyle w:val="Prrafodelista"/>
        <w:spacing w:line="360" w:lineRule="auto"/>
        <w:rPr>
          <w:rFonts w:ascii="Palatino Linotype" w:eastAsia="Calibri" w:hAnsi="Palatino Linotype" w:cs="Tahoma"/>
          <w:b/>
          <w:bCs/>
          <w:szCs w:val="22"/>
          <w:lang w:eastAsia="en-US"/>
        </w:rPr>
      </w:pPr>
    </w:p>
    <w:p w14:paraId="536AA3E0" w14:textId="77777777" w:rsidR="00F26A49" w:rsidRPr="00BA50F1" w:rsidRDefault="00F26A49" w:rsidP="00740136">
      <w:pPr>
        <w:pStyle w:val="Prrafodelista"/>
        <w:numPr>
          <w:ilvl w:val="0"/>
          <w:numId w:val="3"/>
        </w:numPr>
        <w:spacing w:line="360" w:lineRule="auto"/>
        <w:ind w:right="-93"/>
        <w:jc w:val="both"/>
        <w:rPr>
          <w:rFonts w:ascii="Palatino Linotype" w:eastAsia="Calibri" w:hAnsi="Palatino Linotype" w:cs="Tahoma"/>
          <w:b/>
          <w:bCs/>
          <w:szCs w:val="22"/>
          <w:lang w:eastAsia="en-US"/>
        </w:rPr>
      </w:pPr>
      <w:r w:rsidRPr="001E0D8F">
        <w:rPr>
          <w:rFonts w:ascii="Palatino Linotype" w:eastAsia="Calibri" w:hAnsi="Palatino Linotype" w:cs="Tahoma"/>
          <w:bCs/>
          <w:szCs w:val="22"/>
          <w:lang w:eastAsia="en-US"/>
        </w:rPr>
        <w:t>El acceso se dará en la modalidad de entrega y en su caso, de envío elegido por la solicitante, cuando no se pueda entregarse en dicha modalidad, el Sujeto Obligado deberá ofrecer otras; por lo cual, deberá fundamentar y motivar la necesidad de modificar el medio de entrega, y</w:t>
      </w:r>
    </w:p>
    <w:p w14:paraId="3D1DA2E4" w14:textId="77777777" w:rsidR="00F26A49" w:rsidRPr="00BA50F1" w:rsidRDefault="00F26A49" w:rsidP="00740136">
      <w:pPr>
        <w:pStyle w:val="Prrafodelista"/>
        <w:rPr>
          <w:rFonts w:ascii="Palatino Linotype" w:eastAsia="Calibri" w:hAnsi="Palatino Linotype" w:cs="Tahoma"/>
          <w:b/>
          <w:bCs/>
          <w:szCs w:val="22"/>
          <w:lang w:eastAsia="en-US"/>
        </w:rPr>
      </w:pPr>
    </w:p>
    <w:p w14:paraId="34FEC87D" w14:textId="40A93D3F" w:rsidR="00F26A49" w:rsidRPr="006F2933" w:rsidRDefault="00F26A49" w:rsidP="00740136">
      <w:pPr>
        <w:pStyle w:val="Prrafodelista"/>
        <w:numPr>
          <w:ilvl w:val="0"/>
          <w:numId w:val="3"/>
        </w:numPr>
        <w:spacing w:line="360" w:lineRule="auto"/>
        <w:ind w:right="-93"/>
        <w:jc w:val="both"/>
        <w:rPr>
          <w:rFonts w:ascii="Palatino Linotype" w:eastAsia="Calibri" w:hAnsi="Palatino Linotype" w:cs="Tahoma"/>
          <w:b/>
          <w:bCs/>
          <w:szCs w:val="22"/>
          <w:lang w:eastAsia="en-US"/>
        </w:rPr>
      </w:pPr>
      <w:r w:rsidRPr="00BA50F1">
        <w:rPr>
          <w:rFonts w:ascii="Palatino Linotype" w:eastAsia="Calibri" w:hAnsi="Palatino Linotype" w:cs="Tahoma"/>
          <w:bCs/>
          <w:szCs w:val="22"/>
          <w:lang w:eastAsia="en-US"/>
        </w:rPr>
        <w:t>La Unidad de Transparencia, tendrán disponible la información requerida durante un plazo mínimo de sesenta días hábiles, contados a partir de que la solicitante hubiere realizado, en su caso, el pago respectivo, el cual deberá efectuarse en un plazo no mayor a treinta días hábiles; por lo que, una vez trascurrida dicha temporalidad, los Sujetos Obligados darán por concluida la solicitud y procederán de ser el caso, a la destrucción del material</w:t>
      </w:r>
    </w:p>
    <w:p w14:paraId="2D5E3E13" w14:textId="77777777" w:rsidR="00F26A49" w:rsidRDefault="00F26A49" w:rsidP="00740136"/>
    <w:p w14:paraId="379F66EA" w14:textId="7A047E49" w:rsidR="005051DA" w:rsidRDefault="005051DA" w:rsidP="00740136">
      <w:pPr>
        <w:spacing w:line="360" w:lineRule="auto"/>
        <w:ind w:right="-93"/>
        <w:jc w:val="both"/>
        <w:rPr>
          <w:rFonts w:ascii="Palatino Linotype" w:hAnsi="Palatino Linotype"/>
          <w:sz w:val="22"/>
        </w:rPr>
      </w:pPr>
      <w:r w:rsidRPr="00703A30">
        <w:rPr>
          <w:rFonts w:ascii="Palatino Linotype" w:hAnsi="Palatino Linotype"/>
          <w:sz w:val="22"/>
        </w:rPr>
        <w:t xml:space="preserve">Como se corrobora del expediente, en lugar de realizar la búsqueda de los documentos solicitados, el </w:t>
      </w:r>
      <w:r w:rsidR="00A2785B" w:rsidRPr="00703A30">
        <w:rPr>
          <w:rFonts w:ascii="Palatino Linotype" w:hAnsi="Palatino Linotype"/>
          <w:sz w:val="22"/>
        </w:rPr>
        <w:t>S</w:t>
      </w:r>
      <w:r w:rsidRPr="00703A30">
        <w:rPr>
          <w:rFonts w:ascii="Palatino Linotype" w:hAnsi="Palatino Linotype"/>
          <w:sz w:val="22"/>
        </w:rPr>
        <w:t xml:space="preserve">ujeto Obligado instruyó acciones de campo, como revisar el predio y verificar </w:t>
      </w:r>
      <w:r w:rsidRPr="00703A30">
        <w:rPr>
          <w:rFonts w:ascii="Palatino Linotype" w:hAnsi="Palatino Linotype"/>
          <w:sz w:val="22"/>
        </w:rPr>
        <w:lastRenderedPageBreak/>
        <w:t>si existe una construcción bajo el régimen de condominio</w:t>
      </w:r>
      <w:r w:rsidR="00A2785B" w:rsidRPr="00703A30">
        <w:rPr>
          <w:rFonts w:ascii="Palatino Linotype" w:hAnsi="Palatino Linotype"/>
          <w:sz w:val="22"/>
        </w:rPr>
        <w:t xml:space="preserve"> y contestar</w:t>
      </w:r>
      <w:r w:rsidR="00A2785B">
        <w:rPr>
          <w:rFonts w:ascii="Palatino Linotype" w:hAnsi="Palatino Linotype"/>
          <w:sz w:val="22"/>
        </w:rPr>
        <w:t xml:space="preserve"> que al no existir la construcción bajo el régimen aludido, no proceden sanciones; ello sin dejar de lado, que la imposición de sanciones no deriva de una instrucción de visita.</w:t>
      </w:r>
    </w:p>
    <w:p w14:paraId="1B263600" w14:textId="77777777" w:rsidR="005051DA" w:rsidRDefault="005051DA" w:rsidP="00740136">
      <w:pPr>
        <w:spacing w:line="360" w:lineRule="auto"/>
        <w:ind w:right="-93"/>
        <w:jc w:val="both"/>
        <w:rPr>
          <w:rFonts w:ascii="Palatino Linotype" w:hAnsi="Palatino Linotype"/>
          <w:sz w:val="22"/>
        </w:rPr>
      </w:pPr>
    </w:p>
    <w:p w14:paraId="5F3C8454" w14:textId="44D61DB1" w:rsidR="00A45EFE" w:rsidRDefault="00A30617" w:rsidP="00740136">
      <w:pPr>
        <w:spacing w:line="360" w:lineRule="auto"/>
        <w:ind w:right="-93"/>
        <w:jc w:val="both"/>
        <w:rPr>
          <w:rFonts w:ascii="Palatino Linotype" w:hAnsi="Palatino Linotype"/>
          <w:sz w:val="22"/>
        </w:rPr>
      </w:pPr>
      <w:r>
        <w:rPr>
          <w:rFonts w:ascii="Palatino Linotype" w:hAnsi="Palatino Linotype"/>
          <w:sz w:val="22"/>
        </w:rPr>
        <w:t>Ahora bien,</w:t>
      </w:r>
      <w:r w:rsidR="00435CED">
        <w:rPr>
          <w:rFonts w:ascii="Palatino Linotype" w:hAnsi="Palatino Linotype"/>
          <w:sz w:val="22"/>
        </w:rPr>
        <w:t xml:space="preserve"> </w:t>
      </w:r>
      <w:r>
        <w:rPr>
          <w:rFonts w:ascii="Palatino Linotype" w:hAnsi="Palatino Linotype"/>
          <w:sz w:val="22"/>
        </w:rPr>
        <w:t xml:space="preserve">derivado de la respuesta del Sujeto Obligado en donde indicó que no existe una construcción bajo la figura de condominio, </w:t>
      </w:r>
      <w:r w:rsidR="00435CED">
        <w:rPr>
          <w:rFonts w:ascii="Palatino Linotype" w:hAnsi="Palatino Linotype"/>
          <w:sz w:val="22"/>
        </w:rPr>
        <w:t xml:space="preserve">este Órgano Garante, realizó una investigación con los datos y las fotografías </w:t>
      </w:r>
      <w:r w:rsidR="007B26F4">
        <w:rPr>
          <w:rFonts w:ascii="Palatino Linotype" w:hAnsi="Palatino Linotype"/>
          <w:sz w:val="22"/>
        </w:rPr>
        <w:t>aportados</w:t>
      </w:r>
      <w:r w:rsidR="00435CED">
        <w:rPr>
          <w:rFonts w:ascii="Palatino Linotype" w:hAnsi="Palatino Linotype"/>
          <w:sz w:val="22"/>
        </w:rPr>
        <w:t xml:space="preserve"> por el Recurrente, a efecto de verifica</w:t>
      </w:r>
      <w:r w:rsidR="007B26F4">
        <w:rPr>
          <w:rFonts w:ascii="Palatino Linotype" w:hAnsi="Palatino Linotype"/>
          <w:sz w:val="22"/>
        </w:rPr>
        <w:t>r la existencia de dicho predio</w:t>
      </w:r>
      <w:r w:rsidR="00B2715F">
        <w:rPr>
          <w:rFonts w:ascii="Palatino Linotype" w:hAnsi="Palatino Linotype"/>
          <w:sz w:val="22"/>
        </w:rPr>
        <w:t>. Para tal efecto, s</w:t>
      </w:r>
      <w:r w:rsidR="00A45EFE">
        <w:rPr>
          <w:rFonts w:ascii="Palatino Linotype" w:hAnsi="Palatino Linotype"/>
          <w:sz w:val="22"/>
        </w:rPr>
        <w:t xml:space="preserve">e llevó a cabo la búsqueda tanto del domicilio como del desarrollo </w:t>
      </w:r>
      <w:r w:rsidR="006301F8">
        <w:rPr>
          <w:rFonts w:ascii="Palatino Linotype" w:hAnsi="Palatino Linotype"/>
          <w:sz w:val="22"/>
        </w:rPr>
        <w:t>identificado por el Recurrente,</w:t>
      </w:r>
      <w:r w:rsidR="00A45EFE">
        <w:rPr>
          <w:rFonts w:ascii="Palatino Linotype" w:hAnsi="Palatino Linotype"/>
          <w:sz w:val="22"/>
        </w:rPr>
        <w:t xml:space="preserve"> se contrastó con las fotografías proporcionadas y se identificó que coinciden con la venta de departamentos anunciada en la dirección electrónica </w:t>
      </w:r>
      <w:hyperlink r:id="rId21" w:history="1">
        <w:r w:rsidR="00A45EFE" w:rsidRPr="00E91D5A">
          <w:rPr>
            <w:rStyle w:val="Hipervnculo"/>
            <w:rFonts w:ascii="Palatino Linotype" w:hAnsi="Palatino Linotype"/>
            <w:sz w:val="22"/>
          </w:rPr>
          <w:t>https://www.retobienesraices.mx/project/entrearboles/</w:t>
        </w:r>
      </w:hyperlink>
      <w:r w:rsidR="00A45EFE">
        <w:rPr>
          <w:rFonts w:ascii="Palatino Linotype" w:hAnsi="Palatino Linotype"/>
          <w:sz w:val="22"/>
        </w:rPr>
        <w:t xml:space="preserve">, consultada el quince de </w:t>
      </w:r>
      <w:r w:rsidR="00F26A49">
        <w:rPr>
          <w:rFonts w:ascii="Palatino Linotype" w:hAnsi="Palatino Linotype"/>
          <w:sz w:val="22"/>
        </w:rPr>
        <w:t>junio</w:t>
      </w:r>
      <w:r w:rsidR="00A45EFE">
        <w:rPr>
          <w:rFonts w:ascii="Palatino Linotype" w:hAnsi="Palatino Linotype"/>
          <w:sz w:val="22"/>
        </w:rPr>
        <w:t xml:space="preserve"> de dos mil diecinueve a las doce horas.</w:t>
      </w:r>
    </w:p>
    <w:p w14:paraId="5B2DF6F8" w14:textId="088385A3" w:rsidR="007B26F4" w:rsidRDefault="00B2715F" w:rsidP="00740136">
      <w:pPr>
        <w:spacing w:line="360" w:lineRule="auto"/>
        <w:ind w:right="-93"/>
        <w:jc w:val="center"/>
        <w:rPr>
          <w:rFonts w:ascii="Palatino Linotype" w:hAnsi="Palatino Linotype"/>
          <w:sz w:val="22"/>
        </w:rPr>
      </w:pPr>
      <w:r>
        <w:rPr>
          <w:noProof/>
          <w:lang w:val="es-MX" w:eastAsia="es-MX"/>
        </w:rPr>
        <w:drawing>
          <wp:inline distT="0" distB="0" distL="0" distR="0" wp14:anchorId="38AA6ACC" wp14:editId="3D730406">
            <wp:extent cx="4221581" cy="3714750"/>
            <wp:effectExtent l="0" t="0" r="762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1388" t="6759" r="24192" b="8105"/>
                    <a:stretch/>
                  </pic:blipFill>
                  <pic:spPr bwMode="auto">
                    <a:xfrm>
                      <a:off x="0" y="0"/>
                      <a:ext cx="4255736" cy="3744804"/>
                    </a:xfrm>
                    <a:prstGeom prst="rect">
                      <a:avLst/>
                    </a:prstGeom>
                    <a:ln>
                      <a:noFill/>
                    </a:ln>
                    <a:extLst>
                      <a:ext uri="{53640926-AAD7-44D8-BBD7-CCE9431645EC}">
                        <a14:shadowObscured xmlns:a14="http://schemas.microsoft.com/office/drawing/2010/main"/>
                      </a:ext>
                    </a:extLst>
                  </pic:spPr>
                </pic:pic>
              </a:graphicData>
            </a:graphic>
          </wp:inline>
        </w:drawing>
      </w:r>
    </w:p>
    <w:p w14:paraId="19237376" w14:textId="7B41018A" w:rsidR="00A45EFE" w:rsidRPr="00B2715F" w:rsidRDefault="00A45EFE" w:rsidP="00740136">
      <w:pPr>
        <w:spacing w:line="360" w:lineRule="auto"/>
        <w:ind w:right="-93"/>
        <w:jc w:val="center"/>
        <w:rPr>
          <w:rFonts w:ascii="Palatino Linotype" w:hAnsi="Palatino Linotype"/>
        </w:rPr>
      </w:pPr>
      <w:r w:rsidRPr="00B2715F">
        <w:rPr>
          <w:rFonts w:ascii="Palatino Linotype" w:hAnsi="Palatino Linotype"/>
        </w:rPr>
        <w:t>(</w:t>
      </w:r>
      <w:r w:rsidR="00B2715F" w:rsidRPr="00B2715F">
        <w:rPr>
          <w:rFonts w:ascii="Palatino Linotype" w:hAnsi="Palatino Linotype"/>
        </w:rPr>
        <w:t>Imagen de inicio del desarrollo)</w:t>
      </w:r>
    </w:p>
    <w:p w14:paraId="022CB208" w14:textId="77777777" w:rsidR="007B26F4" w:rsidRDefault="007B26F4" w:rsidP="00740136">
      <w:pPr>
        <w:spacing w:line="360" w:lineRule="auto"/>
        <w:ind w:right="-93"/>
        <w:jc w:val="both"/>
        <w:rPr>
          <w:rFonts w:ascii="Palatino Linotype" w:hAnsi="Palatino Linotype"/>
          <w:sz w:val="22"/>
        </w:rPr>
      </w:pPr>
    </w:p>
    <w:p w14:paraId="6AC66DBE" w14:textId="7FEE6424" w:rsidR="007B26F4" w:rsidRDefault="007B26F4" w:rsidP="00740136">
      <w:pPr>
        <w:spacing w:line="360" w:lineRule="auto"/>
        <w:ind w:left="-284" w:right="-93"/>
        <w:jc w:val="center"/>
        <w:rPr>
          <w:rFonts w:ascii="Palatino Linotype" w:hAnsi="Palatino Linotype"/>
          <w:sz w:val="22"/>
        </w:rPr>
      </w:pPr>
      <w:r>
        <w:rPr>
          <w:noProof/>
          <w:lang w:val="es-MX" w:eastAsia="es-MX"/>
        </w:rPr>
        <w:drawing>
          <wp:inline distT="0" distB="0" distL="0" distR="0" wp14:anchorId="7784C81D" wp14:editId="48529F5D">
            <wp:extent cx="5084966" cy="3171825"/>
            <wp:effectExtent l="0" t="0" r="190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3600" t="15333" r="13589" b="16552"/>
                    <a:stretch/>
                  </pic:blipFill>
                  <pic:spPr bwMode="auto">
                    <a:xfrm>
                      <a:off x="0" y="0"/>
                      <a:ext cx="5109990" cy="3187434"/>
                    </a:xfrm>
                    <a:prstGeom prst="rect">
                      <a:avLst/>
                    </a:prstGeom>
                    <a:ln>
                      <a:noFill/>
                    </a:ln>
                    <a:extLst>
                      <a:ext uri="{53640926-AAD7-44D8-BBD7-CCE9431645EC}">
                        <a14:shadowObscured xmlns:a14="http://schemas.microsoft.com/office/drawing/2010/main"/>
                      </a:ext>
                    </a:extLst>
                  </pic:spPr>
                </pic:pic>
              </a:graphicData>
            </a:graphic>
          </wp:inline>
        </w:drawing>
      </w:r>
    </w:p>
    <w:p w14:paraId="471F9135" w14:textId="21127FAA" w:rsidR="00B2715F" w:rsidRPr="00B2715F" w:rsidRDefault="00B2715F" w:rsidP="00740136">
      <w:pPr>
        <w:spacing w:line="360" w:lineRule="auto"/>
        <w:ind w:left="-284" w:right="-93"/>
        <w:jc w:val="center"/>
        <w:rPr>
          <w:rFonts w:ascii="Palatino Linotype" w:hAnsi="Palatino Linotype"/>
        </w:rPr>
      </w:pPr>
      <w:r w:rsidRPr="00B2715F">
        <w:rPr>
          <w:rFonts w:ascii="Palatino Linotype" w:hAnsi="Palatino Linotype"/>
        </w:rPr>
        <w:t>(Imagen donde se corrobora que corresponde al domicilio indicado por el Recurrente)</w:t>
      </w:r>
    </w:p>
    <w:p w14:paraId="2ECD9847" w14:textId="77777777" w:rsidR="008B4C6B" w:rsidRDefault="008B4C6B" w:rsidP="00740136">
      <w:pPr>
        <w:spacing w:line="360" w:lineRule="auto"/>
        <w:ind w:right="-93"/>
        <w:jc w:val="both"/>
        <w:rPr>
          <w:rFonts w:ascii="Palatino Linotype" w:hAnsi="Palatino Linotype"/>
          <w:sz w:val="22"/>
        </w:rPr>
      </w:pPr>
    </w:p>
    <w:p w14:paraId="0F463AAB" w14:textId="4A3A4983" w:rsidR="00331853" w:rsidRDefault="00331853" w:rsidP="00740136">
      <w:pPr>
        <w:pStyle w:val="Prrafodelista"/>
        <w:tabs>
          <w:tab w:val="left" w:pos="7938"/>
        </w:tabs>
        <w:spacing w:line="360" w:lineRule="auto"/>
        <w:ind w:left="-567" w:right="255"/>
        <w:jc w:val="center"/>
        <w:rPr>
          <w:rFonts w:ascii="Palatino Linotype" w:hAnsi="Palatino Linotype"/>
          <w:i/>
          <w:sz w:val="20"/>
        </w:rPr>
      </w:pPr>
      <w:r>
        <w:rPr>
          <w:noProof/>
          <w:lang w:eastAsia="es-MX"/>
        </w:rPr>
        <mc:AlternateContent>
          <mc:Choice Requires="wps">
            <w:drawing>
              <wp:anchor distT="0" distB="0" distL="114300" distR="114300" simplePos="0" relativeHeight="251679744" behindDoc="0" locked="0" layoutInCell="1" allowOverlap="1" wp14:anchorId="4A4997E3" wp14:editId="27347680">
                <wp:simplePos x="0" y="0"/>
                <wp:positionH relativeFrom="column">
                  <wp:posOffset>-183045</wp:posOffset>
                </wp:positionH>
                <wp:positionV relativeFrom="paragraph">
                  <wp:posOffset>1594221</wp:posOffset>
                </wp:positionV>
                <wp:extent cx="1175657" cy="469075"/>
                <wp:effectExtent l="19050" t="19050" r="24765" b="26670"/>
                <wp:wrapNone/>
                <wp:docPr id="25" name="Rectángulo 25"/>
                <wp:cNvGraphicFramePr/>
                <a:graphic xmlns:a="http://schemas.openxmlformats.org/drawingml/2006/main">
                  <a:graphicData uri="http://schemas.microsoft.com/office/word/2010/wordprocessingShape">
                    <wps:wsp>
                      <wps:cNvSpPr/>
                      <wps:spPr>
                        <a:xfrm>
                          <a:off x="0" y="0"/>
                          <a:ext cx="1175657" cy="4690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A6A51B" id="Rectángulo 25" o:spid="_x0000_s1026" style="position:absolute;margin-left:-14.4pt;margin-top:125.55pt;width:92.55pt;height:36.9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" filled="f" strokecolor="red" strokeweight="2.25pt"/>
            </w:pict>
          </mc:Fallback>
        </mc:AlternateContent>
      </w:r>
      <w:r w:rsidR="001B5B78">
        <w:rPr>
          <w:noProof/>
          <w:lang w:eastAsia="es-MX"/>
        </w:rPr>
        <w:drawing>
          <wp:inline distT="0" distB="0" distL="0" distR="0" wp14:anchorId="0C9089A8" wp14:editId="5CF2BA87">
            <wp:extent cx="5219290" cy="2755127"/>
            <wp:effectExtent l="0" t="0" r="635" b="762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863" t="26961" r="19285" b="11650"/>
                    <a:stretch/>
                  </pic:blipFill>
                  <pic:spPr bwMode="auto">
                    <a:xfrm>
                      <a:off x="0" y="0"/>
                      <a:ext cx="5220014" cy="2755509"/>
                    </a:xfrm>
                    <a:prstGeom prst="rect">
                      <a:avLst/>
                    </a:prstGeom>
                    <a:ln>
                      <a:noFill/>
                    </a:ln>
                    <a:extLst>
                      <a:ext uri="{53640926-AAD7-44D8-BBD7-CCE9431645EC}">
                        <a14:shadowObscured xmlns:a14="http://schemas.microsoft.com/office/drawing/2010/main"/>
                      </a:ext>
                    </a:extLst>
                  </pic:spPr>
                </pic:pic>
              </a:graphicData>
            </a:graphic>
          </wp:inline>
        </w:drawing>
      </w:r>
    </w:p>
    <w:p w14:paraId="1C6A44C7" w14:textId="77777777" w:rsidR="00B2715F" w:rsidRPr="00B2715F" w:rsidRDefault="00B2715F" w:rsidP="00740136">
      <w:pPr>
        <w:pStyle w:val="Prrafodelista"/>
        <w:tabs>
          <w:tab w:val="left" w:pos="7938"/>
        </w:tabs>
        <w:spacing w:line="360" w:lineRule="auto"/>
        <w:ind w:left="567" w:right="567"/>
        <w:jc w:val="both"/>
        <w:rPr>
          <w:rFonts w:ascii="Palatino Linotype" w:hAnsi="Palatino Linotype"/>
          <w:sz w:val="20"/>
          <w:szCs w:val="20"/>
        </w:rPr>
      </w:pPr>
      <w:r w:rsidRPr="00B2715F">
        <w:rPr>
          <w:rFonts w:ascii="Palatino Linotype" w:hAnsi="Palatino Linotype"/>
          <w:sz w:val="20"/>
          <w:szCs w:val="20"/>
        </w:rPr>
        <w:t>(Imagen de la ubicación en mapa del domicilio proporcionado por el Recurrente que indica la empresa que ofrece en venta el desarrollo)</w:t>
      </w:r>
    </w:p>
    <w:p w14:paraId="40E86F69" w14:textId="1B9184BC" w:rsidR="00FB5F45" w:rsidRDefault="008B79C8" w:rsidP="00740136">
      <w:pPr>
        <w:pStyle w:val="Prrafodelista"/>
        <w:spacing w:line="360" w:lineRule="auto"/>
        <w:ind w:left="0" w:right="113"/>
        <w:jc w:val="both"/>
        <w:rPr>
          <w:rFonts w:ascii="Palatino Linotype" w:hAnsi="Palatino Linotype"/>
        </w:rPr>
      </w:pPr>
      <w:r w:rsidRPr="007E587F">
        <w:rPr>
          <w:rFonts w:ascii="Palatino Linotype" w:hAnsi="Palatino Linotype"/>
        </w:rPr>
        <w:lastRenderedPageBreak/>
        <w:t xml:space="preserve">De las imágenes </w:t>
      </w:r>
      <w:r>
        <w:rPr>
          <w:rFonts w:ascii="Palatino Linotype" w:hAnsi="Palatino Linotype"/>
        </w:rPr>
        <w:t>insertas con anterioridad</w:t>
      </w:r>
      <w:r w:rsidR="00740136">
        <w:rPr>
          <w:rFonts w:ascii="Palatino Linotype" w:hAnsi="Palatino Linotype"/>
        </w:rPr>
        <w:t xml:space="preserve">, se tienen indicios de la posible existencia </w:t>
      </w:r>
      <w:r>
        <w:rPr>
          <w:rFonts w:ascii="Palatino Linotype" w:hAnsi="Palatino Linotype"/>
        </w:rPr>
        <w:t>de la construcción aludida por el Particular, independientemente del régimen bajo el que se encuentre regulada, por lo que se presume que la información solicitada por el Recurrente</w:t>
      </w:r>
      <w:r w:rsidR="00F26A49">
        <w:rPr>
          <w:rFonts w:ascii="Palatino Linotype" w:hAnsi="Palatino Linotype"/>
        </w:rPr>
        <w:t>,</w:t>
      </w:r>
      <w:r>
        <w:rPr>
          <w:rFonts w:ascii="Palatino Linotype" w:hAnsi="Palatino Linotype"/>
        </w:rPr>
        <w:t xml:space="preserve"> consistente </w:t>
      </w:r>
      <w:r w:rsidR="00D05E21">
        <w:rPr>
          <w:rFonts w:ascii="Palatino Linotype" w:hAnsi="Palatino Linotype"/>
        </w:rPr>
        <w:t xml:space="preserve">en la construcción de un desarrollo sí existe, de tal suerte que, resulta procedente realizar la búsqueda de un expediente relacionado con </w:t>
      </w:r>
      <w:r>
        <w:rPr>
          <w:rFonts w:ascii="Palatino Linotype" w:hAnsi="Palatino Linotype"/>
        </w:rPr>
        <w:t xml:space="preserve">las acciones legales </w:t>
      </w:r>
      <w:r w:rsidR="00D05E21">
        <w:rPr>
          <w:rFonts w:ascii="Palatino Linotype" w:hAnsi="Palatino Linotype"/>
        </w:rPr>
        <w:t>por no contar con la autorización requerida por la normatividad</w:t>
      </w:r>
      <w:r w:rsidR="00F26A49">
        <w:rPr>
          <w:rFonts w:ascii="Palatino Linotype" w:hAnsi="Palatino Linotype"/>
        </w:rPr>
        <w:t>, de dicho desarrollo aunque este sea o no de condominio</w:t>
      </w:r>
      <w:r w:rsidR="00FB5F45">
        <w:rPr>
          <w:rFonts w:ascii="Palatino Linotype" w:hAnsi="Palatino Linotype"/>
        </w:rPr>
        <w:t>.</w:t>
      </w:r>
      <w:r w:rsidR="00D05E21">
        <w:rPr>
          <w:rFonts w:ascii="Palatino Linotype" w:hAnsi="Palatino Linotype"/>
        </w:rPr>
        <w:t xml:space="preserve"> Es de resaltar que, este Instituto no cuenta con ninguna evidencia para verificar si dicha construcción </w:t>
      </w:r>
      <w:r w:rsidR="00F26A49">
        <w:rPr>
          <w:rFonts w:ascii="Palatino Linotype" w:hAnsi="Palatino Linotype"/>
        </w:rPr>
        <w:t>tiene</w:t>
      </w:r>
      <w:r w:rsidR="00D05E21">
        <w:rPr>
          <w:rFonts w:ascii="Palatino Linotype" w:hAnsi="Palatino Linotype"/>
        </w:rPr>
        <w:t xml:space="preserve"> o no</w:t>
      </w:r>
      <w:r w:rsidR="00740136">
        <w:rPr>
          <w:rFonts w:ascii="Palatino Linotype" w:hAnsi="Palatino Linotype"/>
        </w:rPr>
        <w:t xml:space="preserve"> las autorizaciones requeridas y se resalta que lo publicado en Internet, se toma únicamente como indicio, </w:t>
      </w:r>
      <w:r w:rsidR="00D05E21">
        <w:rPr>
          <w:rFonts w:ascii="Palatino Linotype" w:hAnsi="Palatino Linotype"/>
        </w:rPr>
        <w:t>por lo que corresponde a la autoridad pronunciarse sobre la existencia de la información solicitada.</w:t>
      </w:r>
      <w:r w:rsidR="00FB5F45">
        <w:rPr>
          <w:rFonts w:ascii="Palatino Linotype" w:hAnsi="Palatino Linotype"/>
        </w:rPr>
        <w:t xml:space="preserve"> </w:t>
      </w:r>
    </w:p>
    <w:p w14:paraId="653DE910" w14:textId="77777777" w:rsidR="006301F8" w:rsidRDefault="006301F8" w:rsidP="00740136">
      <w:pPr>
        <w:pStyle w:val="Prrafodelista"/>
        <w:spacing w:line="360" w:lineRule="auto"/>
        <w:ind w:left="0" w:right="113"/>
        <w:jc w:val="both"/>
        <w:rPr>
          <w:rFonts w:ascii="Palatino Linotype" w:hAnsi="Palatino Linotype"/>
        </w:rPr>
      </w:pPr>
    </w:p>
    <w:p w14:paraId="1B357F3D" w14:textId="7A8E9E5A" w:rsidR="006301F8" w:rsidRDefault="006301F8" w:rsidP="00740136">
      <w:pPr>
        <w:pStyle w:val="Prrafodelista"/>
        <w:spacing w:line="360" w:lineRule="auto"/>
        <w:ind w:left="0" w:right="113"/>
        <w:jc w:val="both"/>
        <w:rPr>
          <w:rFonts w:ascii="Palatino Linotype" w:hAnsi="Palatino Linotype"/>
        </w:rPr>
      </w:pPr>
      <w:r>
        <w:rPr>
          <w:rFonts w:ascii="Palatino Linotype" w:hAnsi="Palatino Linotype"/>
        </w:rPr>
        <w:t>Por lo antes expuesto, es dable ordenar al Sujeto Obligado, realice la búsqueda de la información solicitada y dé respuesta sobre la existencia de la información solicitada en sus archivos, independientemente del régimen bajo el cual se encuentre la construcción aludida:</w:t>
      </w:r>
    </w:p>
    <w:p w14:paraId="4D54AA4A" w14:textId="77777777" w:rsidR="006301F8" w:rsidRDefault="006301F8" w:rsidP="00740136">
      <w:pPr>
        <w:pStyle w:val="Prrafodelista"/>
        <w:spacing w:line="360" w:lineRule="auto"/>
        <w:ind w:left="0" w:right="113"/>
        <w:jc w:val="both"/>
        <w:rPr>
          <w:rFonts w:ascii="Palatino Linotype" w:hAnsi="Palatino Linotype"/>
        </w:rPr>
      </w:pPr>
    </w:p>
    <w:p w14:paraId="78CF5656" w14:textId="48214B60" w:rsidR="006301F8" w:rsidRDefault="006301F8" w:rsidP="00740136">
      <w:pPr>
        <w:pStyle w:val="Prrafodelista"/>
        <w:numPr>
          <w:ilvl w:val="0"/>
          <w:numId w:val="31"/>
        </w:numPr>
        <w:spacing w:line="360" w:lineRule="auto"/>
        <w:ind w:right="113"/>
        <w:jc w:val="both"/>
        <w:rPr>
          <w:rFonts w:ascii="Palatino Linotype" w:hAnsi="Palatino Linotype"/>
        </w:rPr>
      </w:pPr>
      <w:r>
        <w:rPr>
          <w:rFonts w:ascii="Palatino Linotype" w:hAnsi="Palatino Linotype"/>
        </w:rPr>
        <w:t>La notificación del cit</w:t>
      </w:r>
      <w:r w:rsidRPr="006301F8">
        <w:rPr>
          <w:rFonts w:ascii="Palatino Linotype" w:hAnsi="Palatino Linotype"/>
        </w:rPr>
        <w:t xml:space="preserve">atorio a garantía de audiencia a la empresa constructora, </w:t>
      </w:r>
    </w:p>
    <w:p w14:paraId="6018BFD6" w14:textId="29109D52" w:rsidR="006301F8" w:rsidRDefault="006301F8" w:rsidP="00740136">
      <w:pPr>
        <w:pStyle w:val="Prrafodelista"/>
        <w:numPr>
          <w:ilvl w:val="0"/>
          <w:numId w:val="31"/>
        </w:numPr>
        <w:spacing w:line="360" w:lineRule="auto"/>
        <w:ind w:right="113"/>
        <w:jc w:val="both"/>
        <w:rPr>
          <w:rFonts w:ascii="Palatino Linotype" w:hAnsi="Palatino Linotype"/>
        </w:rPr>
      </w:pPr>
      <w:r>
        <w:rPr>
          <w:rFonts w:ascii="Palatino Linotype" w:hAnsi="Palatino Linotype"/>
        </w:rPr>
        <w:t>L</w:t>
      </w:r>
      <w:r w:rsidRPr="006301F8">
        <w:rPr>
          <w:rFonts w:ascii="Palatino Linotype" w:hAnsi="Palatino Linotype"/>
        </w:rPr>
        <w:t xml:space="preserve">os resolutivos, </w:t>
      </w:r>
    </w:p>
    <w:p w14:paraId="5FB05153" w14:textId="501174D4" w:rsidR="006301F8" w:rsidRDefault="006301F8" w:rsidP="00740136">
      <w:pPr>
        <w:pStyle w:val="Prrafodelista"/>
        <w:numPr>
          <w:ilvl w:val="0"/>
          <w:numId w:val="31"/>
        </w:numPr>
        <w:spacing w:line="360" w:lineRule="auto"/>
        <w:ind w:right="113"/>
        <w:jc w:val="both"/>
        <w:rPr>
          <w:rFonts w:ascii="Palatino Linotype" w:hAnsi="Palatino Linotype"/>
        </w:rPr>
      </w:pPr>
      <w:r>
        <w:rPr>
          <w:rFonts w:ascii="Palatino Linotype" w:hAnsi="Palatino Linotype"/>
        </w:rPr>
        <w:t>M</w:t>
      </w:r>
      <w:r w:rsidRPr="006301F8">
        <w:rPr>
          <w:rFonts w:ascii="Palatino Linotype" w:hAnsi="Palatino Linotype"/>
        </w:rPr>
        <w:t xml:space="preserve">ultas o </w:t>
      </w:r>
    </w:p>
    <w:p w14:paraId="1322FBE2" w14:textId="66D015FC" w:rsidR="006301F8" w:rsidRDefault="006301F8" w:rsidP="00740136">
      <w:pPr>
        <w:pStyle w:val="Prrafodelista"/>
        <w:numPr>
          <w:ilvl w:val="0"/>
          <w:numId w:val="31"/>
        </w:numPr>
        <w:spacing w:line="360" w:lineRule="auto"/>
        <w:ind w:right="113"/>
        <w:jc w:val="both"/>
        <w:rPr>
          <w:rFonts w:ascii="Palatino Linotype" w:hAnsi="Palatino Linotype"/>
        </w:rPr>
      </w:pPr>
      <w:r>
        <w:rPr>
          <w:rFonts w:ascii="Palatino Linotype" w:hAnsi="Palatino Linotype"/>
        </w:rPr>
        <w:t>E</w:t>
      </w:r>
      <w:r w:rsidRPr="006301F8">
        <w:rPr>
          <w:rFonts w:ascii="Palatino Linotype" w:hAnsi="Palatino Linotype"/>
        </w:rPr>
        <w:t>l documento que acredite las acciones que se han realizado por parte de esa unidad administrativa en contra de la empresa</w:t>
      </w:r>
    </w:p>
    <w:p w14:paraId="13A942C8" w14:textId="77777777" w:rsidR="00FB5F45" w:rsidRDefault="00FB5F45" w:rsidP="00740136">
      <w:pPr>
        <w:pStyle w:val="Prrafodelista"/>
        <w:spacing w:line="360" w:lineRule="auto"/>
        <w:ind w:left="0" w:right="113"/>
        <w:jc w:val="both"/>
        <w:rPr>
          <w:rFonts w:ascii="Palatino Linotype" w:hAnsi="Palatino Linotype"/>
        </w:rPr>
      </w:pPr>
    </w:p>
    <w:p w14:paraId="3FCEA9DF" w14:textId="24045F03" w:rsidR="00A075F3" w:rsidRDefault="006301F8" w:rsidP="00740136">
      <w:pPr>
        <w:spacing w:line="360" w:lineRule="auto"/>
        <w:ind w:right="113"/>
        <w:jc w:val="both"/>
        <w:rPr>
          <w:rFonts w:ascii="Palatino Linotype" w:hAnsi="Palatino Linotype"/>
          <w:sz w:val="24"/>
        </w:rPr>
      </w:pPr>
      <w:r>
        <w:rPr>
          <w:rFonts w:ascii="Palatino Linotype" w:hAnsi="Palatino Linotype"/>
          <w:sz w:val="24"/>
        </w:rPr>
        <w:t xml:space="preserve">En caso de que no se haya realizado ninguna de estas acciones, bastará con que el Sujeto Obligado lo haga del conocimiento del Recurrente, en términos del artículo 19, párrafo segundo de la </w:t>
      </w:r>
      <w:r w:rsidRPr="006301F8">
        <w:rPr>
          <w:rFonts w:ascii="Palatino Linotype" w:hAnsi="Palatino Linotype" w:cs="Tahoma"/>
          <w:sz w:val="22"/>
          <w:szCs w:val="22"/>
        </w:rPr>
        <w:t>Ley de Transparencia y Acceso a la Información Pública del Estado de México y Municipios</w:t>
      </w:r>
      <w:r>
        <w:rPr>
          <w:rFonts w:ascii="Palatino Linotype" w:hAnsi="Palatino Linotype"/>
          <w:sz w:val="24"/>
        </w:rPr>
        <w:t>.</w:t>
      </w:r>
    </w:p>
    <w:p w14:paraId="7B755B9D" w14:textId="2EF8F7ED" w:rsidR="006301F8" w:rsidRDefault="006301F8" w:rsidP="00740136">
      <w:pPr>
        <w:spacing w:line="360" w:lineRule="auto"/>
        <w:ind w:right="113"/>
        <w:jc w:val="both"/>
        <w:rPr>
          <w:rFonts w:ascii="Palatino Linotype" w:hAnsi="Palatino Linotype"/>
          <w:sz w:val="24"/>
        </w:rPr>
      </w:pPr>
      <w:r w:rsidRPr="00703A30">
        <w:rPr>
          <w:rFonts w:ascii="Palatino Linotype" w:hAnsi="Palatino Linotype"/>
          <w:sz w:val="24"/>
        </w:rPr>
        <w:lastRenderedPageBreak/>
        <w:t>Ahora bien, en caso de que se haya realizado un procedimiento administrativo y el mismo no haya causado estado, deberá clasificarlo como reservado, de acuerdo con lo siguiente:</w:t>
      </w:r>
    </w:p>
    <w:p w14:paraId="791B7F8B" w14:textId="77777777" w:rsidR="006301F8" w:rsidRDefault="006301F8" w:rsidP="00740136">
      <w:pPr>
        <w:spacing w:line="360" w:lineRule="auto"/>
        <w:ind w:right="113"/>
        <w:jc w:val="both"/>
        <w:rPr>
          <w:rFonts w:ascii="Palatino Linotype" w:hAnsi="Palatino Linotype"/>
          <w:sz w:val="24"/>
        </w:rPr>
      </w:pPr>
    </w:p>
    <w:p w14:paraId="2543F32D" w14:textId="77777777" w:rsidR="00635F2C" w:rsidRPr="003E4E33" w:rsidRDefault="00635F2C" w:rsidP="00740136">
      <w:pPr>
        <w:tabs>
          <w:tab w:val="left" w:pos="4962"/>
        </w:tabs>
        <w:spacing w:line="360" w:lineRule="auto"/>
        <w:jc w:val="both"/>
        <w:rPr>
          <w:rFonts w:ascii="Palatino Linotype" w:eastAsia="Calibri" w:hAnsi="Palatino Linotype" w:cs="Tahoma"/>
          <w:sz w:val="22"/>
          <w:szCs w:val="22"/>
          <w:lang w:eastAsia="es-ES_tradnl"/>
        </w:rPr>
      </w:pPr>
      <w:r w:rsidRPr="003E4E33">
        <w:rPr>
          <w:rFonts w:ascii="Palatino Linotype" w:eastAsia="Calibri" w:hAnsi="Palatino Linotype" w:cs="Tahoma"/>
          <w:sz w:val="22"/>
          <w:szCs w:val="22"/>
          <w:lang w:eastAsia="es-ES_tradnl"/>
        </w:rPr>
        <w:t>El artículo 140, fracción VIII, de la Ley de Transparencia y Acceso a la Información Pública del Estado de México y Municipios, señala:</w:t>
      </w:r>
    </w:p>
    <w:p w14:paraId="3AD4D11A" w14:textId="77777777" w:rsidR="00635F2C" w:rsidRPr="003E4E33" w:rsidRDefault="00635F2C" w:rsidP="00740136">
      <w:pPr>
        <w:tabs>
          <w:tab w:val="left" w:pos="4962"/>
        </w:tabs>
        <w:spacing w:line="360" w:lineRule="auto"/>
        <w:jc w:val="both"/>
        <w:rPr>
          <w:rFonts w:ascii="Palatino Linotype" w:eastAsia="Calibri" w:hAnsi="Palatino Linotype" w:cs="Tahoma"/>
          <w:sz w:val="22"/>
          <w:szCs w:val="22"/>
          <w:lang w:eastAsia="es-ES_tradnl"/>
        </w:rPr>
      </w:pPr>
    </w:p>
    <w:p w14:paraId="11669E6D" w14:textId="77777777" w:rsidR="00635F2C" w:rsidRPr="00B55FA1" w:rsidRDefault="00635F2C" w:rsidP="00740136">
      <w:pPr>
        <w:tabs>
          <w:tab w:val="left" w:pos="4962"/>
        </w:tabs>
        <w:spacing w:line="360" w:lineRule="auto"/>
        <w:ind w:left="567" w:right="567"/>
        <w:jc w:val="both"/>
        <w:rPr>
          <w:rFonts w:ascii="Palatino Linotype" w:eastAsia="Calibri" w:hAnsi="Palatino Linotype" w:cs="Tahoma"/>
          <w:i/>
          <w:szCs w:val="22"/>
          <w:lang w:eastAsia="es-ES_tradnl"/>
        </w:rPr>
      </w:pPr>
      <w:r w:rsidRPr="00B55FA1">
        <w:rPr>
          <w:rFonts w:ascii="Palatino Linotype" w:eastAsia="Calibri" w:hAnsi="Palatino Linotype" w:cs="Tahoma"/>
          <w:b/>
          <w:bCs/>
          <w:i/>
          <w:szCs w:val="22"/>
          <w:lang w:eastAsia="es-ES_tradnl"/>
        </w:rPr>
        <w:t xml:space="preserve">Artículo 140. </w:t>
      </w:r>
      <w:r w:rsidRPr="00B55FA1">
        <w:rPr>
          <w:rFonts w:ascii="Palatino Linotype" w:eastAsia="Calibri" w:hAnsi="Palatino Linotype" w:cs="Tahoma"/>
          <w:i/>
          <w:szCs w:val="22"/>
          <w:lang w:eastAsia="es-ES_tradnl"/>
        </w:rPr>
        <w:t>El acceso a la información pública será restringido excepcionalmente, cuando por razones de interés público, ésta sea clasificada como reservada, conforme a los criterios siguientes:</w:t>
      </w:r>
    </w:p>
    <w:p w14:paraId="28D8761E" w14:textId="77777777" w:rsidR="00635F2C" w:rsidRPr="00B55FA1" w:rsidRDefault="00635F2C" w:rsidP="00740136">
      <w:pPr>
        <w:tabs>
          <w:tab w:val="left" w:pos="4962"/>
        </w:tabs>
        <w:spacing w:line="360" w:lineRule="auto"/>
        <w:ind w:left="567" w:right="567"/>
        <w:jc w:val="both"/>
        <w:rPr>
          <w:rFonts w:ascii="Palatino Linotype" w:eastAsia="Calibri" w:hAnsi="Palatino Linotype" w:cs="Tahoma"/>
          <w:i/>
          <w:szCs w:val="22"/>
          <w:lang w:eastAsia="es-ES_tradnl"/>
        </w:rPr>
      </w:pPr>
      <w:r w:rsidRPr="00B55FA1">
        <w:rPr>
          <w:rFonts w:ascii="Palatino Linotype" w:eastAsia="Calibri" w:hAnsi="Palatino Linotype" w:cs="Tahoma"/>
          <w:i/>
          <w:szCs w:val="22"/>
          <w:lang w:eastAsia="es-ES_tradnl"/>
        </w:rPr>
        <w:t>…</w:t>
      </w:r>
    </w:p>
    <w:p w14:paraId="1338316C" w14:textId="77777777" w:rsidR="00635F2C" w:rsidRPr="00B55FA1" w:rsidRDefault="00635F2C" w:rsidP="00740136">
      <w:pPr>
        <w:tabs>
          <w:tab w:val="left" w:pos="4962"/>
        </w:tabs>
        <w:spacing w:line="360" w:lineRule="auto"/>
        <w:ind w:left="567" w:right="567"/>
        <w:jc w:val="both"/>
        <w:rPr>
          <w:rFonts w:ascii="Palatino Linotype" w:eastAsia="Calibri" w:hAnsi="Palatino Linotype" w:cs="Tahoma"/>
          <w:i/>
          <w:szCs w:val="22"/>
          <w:lang w:eastAsia="es-ES_tradnl"/>
        </w:rPr>
      </w:pPr>
      <w:r w:rsidRPr="00B55FA1">
        <w:rPr>
          <w:rFonts w:ascii="Palatino Linotype" w:eastAsia="Calibri" w:hAnsi="Palatino Linotype" w:cs="Tahoma"/>
          <w:b/>
          <w:bCs/>
          <w:i/>
          <w:szCs w:val="22"/>
          <w:lang w:eastAsia="es-ES_tradnl"/>
        </w:rPr>
        <w:t xml:space="preserve">VIII. </w:t>
      </w:r>
      <w:r w:rsidRPr="00B55FA1">
        <w:rPr>
          <w:rFonts w:ascii="Palatino Linotype" w:eastAsia="Calibri" w:hAnsi="Palatino Linotype" w:cs="Tahoma"/>
          <w:i/>
          <w:szCs w:val="22"/>
          <w:lang w:eastAsia="es-ES_tradnl"/>
        </w:rPr>
        <w:t xml:space="preserve">Vulnere la conducción de los expedientes judiciales o de los procedimientos administrativos seguidos en forma de juicio, en tanto no hayan quedado firmes; </w:t>
      </w:r>
    </w:p>
    <w:p w14:paraId="6DCCAB83" w14:textId="77777777" w:rsidR="00635F2C" w:rsidRPr="00B55FA1" w:rsidRDefault="00635F2C" w:rsidP="00740136">
      <w:pPr>
        <w:tabs>
          <w:tab w:val="left" w:pos="4962"/>
        </w:tabs>
        <w:spacing w:line="360" w:lineRule="auto"/>
        <w:ind w:left="567" w:right="567"/>
        <w:jc w:val="both"/>
        <w:rPr>
          <w:rFonts w:ascii="Palatino Linotype" w:eastAsia="Calibri" w:hAnsi="Palatino Linotype" w:cs="Tahoma"/>
          <w:i/>
          <w:szCs w:val="22"/>
          <w:lang w:eastAsia="es-ES_tradnl"/>
        </w:rPr>
      </w:pPr>
      <w:r w:rsidRPr="00B55FA1">
        <w:rPr>
          <w:rFonts w:ascii="Palatino Linotype" w:eastAsia="Calibri" w:hAnsi="Palatino Linotype" w:cs="Tahoma"/>
          <w:i/>
          <w:szCs w:val="22"/>
          <w:lang w:eastAsia="es-ES_tradnl"/>
        </w:rPr>
        <w:t>…</w:t>
      </w:r>
    </w:p>
    <w:p w14:paraId="5FDCB208" w14:textId="77777777" w:rsidR="00635F2C" w:rsidRPr="003E4E33" w:rsidRDefault="00635F2C" w:rsidP="00740136">
      <w:pPr>
        <w:tabs>
          <w:tab w:val="left" w:pos="4962"/>
        </w:tabs>
        <w:spacing w:line="360" w:lineRule="auto"/>
        <w:jc w:val="both"/>
        <w:rPr>
          <w:rFonts w:ascii="Palatino Linotype" w:eastAsia="Calibri" w:hAnsi="Palatino Linotype" w:cs="Tahoma"/>
          <w:sz w:val="22"/>
          <w:szCs w:val="22"/>
          <w:lang w:eastAsia="es-ES_tradnl"/>
        </w:rPr>
      </w:pPr>
    </w:p>
    <w:p w14:paraId="30A6B70C" w14:textId="77777777" w:rsidR="00635F2C" w:rsidRPr="003E4E33" w:rsidRDefault="00635F2C" w:rsidP="00740136">
      <w:pPr>
        <w:tabs>
          <w:tab w:val="left" w:pos="4962"/>
        </w:tabs>
        <w:spacing w:line="360" w:lineRule="auto"/>
        <w:jc w:val="both"/>
        <w:rPr>
          <w:rFonts w:ascii="Palatino Linotype" w:eastAsia="Calibri" w:hAnsi="Palatino Linotype" w:cs="Tahoma"/>
          <w:sz w:val="22"/>
          <w:szCs w:val="22"/>
          <w:lang w:eastAsia="es-ES_tradnl"/>
        </w:rPr>
      </w:pPr>
      <w:r w:rsidRPr="003E4E33">
        <w:rPr>
          <w:rFonts w:ascii="Palatino Linotype" w:eastAsia="Calibri" w:hAnsi="Palatino Linotype" w:cs="Tahoma"/>
          <w:sz w:val="22"/>
          <w:szCs w:val="22"/>
          <w:lang w:eastAsia="es-ES_tradnl"/>
        </w:rPr>
        <w:t>Por su parte, en los Lineamientos Generales en Materia de Clasificación y Desclasificación de la Información, así como para la Elaboración de Versiones Públicas, se prevé lo siguiente:</w:t>
      </w:r>
    </w:p>
    <w:p w14:paraId="06C90E8C" w14:textId="77777777" w:rsidR="00635F2C" w:rsidRPr="003E4E33" w:rsidRDefault="00635F2C" w:rsidP="00740136">
      <w:pPr>
        <w:tabs>
          <w:tab w:val="left" w:pos="4962"/>
        </w:tabs>
        <w:spacing w:line="360" w:lineRule="auto"/>
        <w:jc w:val="both"/>
        <w:rPr>
          <w:rFonts w:ascii="Palatino Linotype" w:eastAsia="Calibri" w:hAnsi="Palatino Linotype" w:cs="Tahoma"/>
          <w:sz w:val="22"/>
          <w:szCs w:val="22"/>
          <w:lang w:eastAsia="es-ES_tradnl"/>
        </w:rPr>
      </w:pPr>
    </w:p>
    <w:p w14:paraId="6A3FB366" w14:textId="77777777" w:rsidR="00635F2C" w:rsidRPr="00B55FA1" w:rsidRDefault="00635F2C" w:rsidP="00740136">
      <w:pPr>
        <w:tabs>
          <w:tab w:val="left" w:pos="4962"/>
        </w:tabs>
        <w:spacing w:line="360" w:lineRule="auto"/>
        <w:ind w:left="567" w:right="567"/>
        <w:jc w:val="both"/>
        <w:rPr>
          <w:rFonts w:ascii="Palatino Linotype" w:eastAsia="Calibri" w:hAnsi="Palatino Linotype" w:cs="Tahoma"/>
          <w:i/>
          <w:szCs w:val="22"/>
          <w:lang w:eastAsia="es-ES_tradnl"/>
        </w:rPr>
      </w:pPr>
      <w:r w:rsidRPr="00B55FA1">
        <w:rPr>
          <w:rFonts w:ascii="Palatino Linotype" w:eastAsia="Calibri" w:hAnsi="Palatino Linotype" w:cs="Tahoma"/>
          <w:b/>
          <w:i/>
          <w:szCs w:val="22"/>
          <w:lang w:eastAsia="es-ES_tradnl"/>
        </w:rPr>
        <w:t>Trigésimo.</w:t>
      </w:r>
      <w:r w:rsidRPr="00B55FA1">
        <w:rPr>
          <w:rFonts w:ascii="Palatino Linotype" w:eastAsia="Calibri" w:hAnsi="Palatino Linotype" w:cs="Tahoma"/>
          <w:i/>
          <w:szCs w:val="22"/>
          <w:lang w:eastAsia="es-ES_tradnl"/>
        </w:rPr>
        <w:t xml:space="preserve"> De conformidad con el artículo 113, fracción XI de la Ley General, podrá considerarse como información reservada, aquella que vulnere la conducción de los expedientes judiciales o de los procedimientos administrativos seguidos en forma de juicio, siempre y cuando se acrediten los siguientes elementos: </w:t>
      </w:r>
    </w:p>
    <w:p w14:paraId="28D24625" w14:textId="77777777" w:rsidR="00635F2C" w:rsidRPr="00B55FA1" w:rsidRDefault="00635F2C" w:rsidP="00740136">
      <w:pPr>
        <w:tabs>
          <w:tab w:val="left" w:pos="4962"/>
        </w:tabs>
        <w:spacing w:line="360" w:lineRule="auto"/>
        <w:ind w:left="567" w:right="567"/>
        <w:jc w:val="both"/>
        <w:rPr>
          <w:rFonts w:ascii="Palatino Linotype" w:eastAsia="Calibri" w:hAnsi="Palatino Linotype" w:cs="Tahoma"/>
          <w:i/>
          <w:szCs w:val="22"/>
          <w:lang w:eastAsia="es-ES_tradnl"/>
        </w:rPr>
      </w:pPr>
    </w:p>
    <w:p w14:paraId="25D9B71C" w14:textId="77777777" w:rsidR="00635F2C" w:rsidRPr="00B55FA1" w:rsidRDefault="00635F2C" w:rsidP="00740136">
      <w:pPr>
        <w:tabs>
          <w:tab w:val="left" w:pos="4962"/>
        </w:tabs>
        <w:spacing w:line="360" w:lineRule="auto"/>
        <w:ind w:left="567" w:right="567"/>
        <w:jc w:val="both"/>
        <w:rPr>
          <w:rFonts w:ascii="Palatino Linotype" w:eastAsia="Calibri" w:hAnsi="Palatino Linotype" w:cs="Tahoma"/>
          <w:i/>
          <w:szCs w:val="22"/>
          <w:lang w:eastAsia="es-ES_tradnl"/>
        </w:rPr>
      </w:pPr>
      <w:r w:rsidRPr="00B55FA1">
        <w:rPr>
          <w:rFonts w:ascii="Palatino Linotype" w:eastAsia="Calibri" w:hAnsi="Palatino Linotype" w:cs="Tahoma"/>
          <w:b/>
          <w:i/>
          <w:szCs w:val="22"/>
          <w:lang w:eastAsia="es-ES_tradnl"/>
        </w:rPr>
        <w:t>I.</w:t>
      </w:r>
      <w:r w:rsidRPr="00B55FA1">
        <w:rPr>
          <w:rFonts w:ascii="Palatino Linotype" w:eastAsia="Calibri" w:hAnsi="Palatino Linotype" w:cs="Tahoma"/>
          <w:i/>
          <w:szCs w:val="22"/>
          <w:lang w:eastAsia="es-ES_tradnl"/>
        </w:rPr>
        <w:t xml:space="preserve"> La existencia de un juicio o procedimiento administrativo materialmente jurisdiccional, que se encuentre en trámite, y </w:t>
      </w:r>
    </w:p>
    <w:p w14:paraId="2C527375" w14:textId="77777777" w:rsidR="00635F2C" w:rsidRPr="00B55FA1" w:rsidRDefault="00635F2C" w:rsidP="00740136">
      <w:pPr>
        <w:tabs>
          <w:tab w:val="left" w:pos="4962"/>
        </w:tabs>
        <w:spacing w:line="360" w:lineRule="auto"/>
        <w:ind w:left="567" w:right="567"/>
        <w:jc w:val="both"/>
        <w:rPr>
          <w:rFonts w:ascii="Palatino Linotype" w:eastAsia="Calibri" w:hAnsi="Palatino Linotype" w:cs="Tahoma"/>
          <w:i/>
          <w:szCs w:val="22"/>
          <w:lang w:eastAsia="es-ES_tradnl"/>
        </w:rPr>
      </w:pPr>
      <w:r w:rsidRPr="00B55FA1">
        <w:rPr>
          <w:rFonts w:ascii="Palatino Linotype" w:eastAsia="Calibri" w:hAnsi="Palatino Linotype" w:cs="Tahoma"/>
          <w:b/>
          <w:i/>
          <w:szCs w:val="22"/>
          <w:lang w:eastAsia="es-ES_tradnl"/>
        </w:rPr>
        <w:t>II.</w:t>
      </w:r>
      <w:r w:rsidRPr="00B55FA1">
        <w:rPr>
          <w:rFonts w:ascii="Palatino Linotype" w:eastAsia="Calibri" w:hAnsi="Palatino Linotype" w:cs="Tahoma"/>
          <w:i/>
          <w:szCs w:val="22"/>
          <w:lang w:eastAsia="es-ES_tradnl"/>
        </w:rPr>
        <w:t xml:space="preserve"> Que la información solicitada se refiera a actuaciones, diligencias o constancias propias del procedimiento. </w:t>
      </w:r>
    </w:p>
    <w:p w14:paraId="72241183" w14:textId="77777777" w:rsidR="00635F2C" w:rsidRPr="00B55FA1" w:rsidRDefault="00635F2C" w:rsidP="00740136">
      <w:pPr>
        <w:tabs>
          <w:tab w:val="left" w:pos="4962"/>
        </w:tabs>
        <w:spacing w:line="360" w:lineRule="auto"/>
        <w:ind w:left="567" w:right="567"/>
        <w:jc w:val="both"/>
        <w:rPr>
          <w:rFonts w:ascii="Palatino Linotype" w:eastAsia="Calibri" w:hAnsi="Palatino Linotype" w:cs="Tahoma"/>
          <w:i/>
          <w:szCs w:val="22"/>
          <w:lang w:eastAsia="es-ES_tradnl"/>
        </w:rPr>
      </w:pPr>
    </w:p>
    <w:p w14:paraId="6CC0CFC4" w14:textId="77777777" w:rsidR="00635F2C" w:rsidRPr="00B55FA1" w:rsidRDefault="00635F2C" w:rsidP="00740136">
      <w:pPr>
        <w:tabs>
          <w:tab w:val="left" w:pos="4962"/>
        </w:tabs>
        <w:spacing w:line="360" w:lineRule="auto"/>
        <w:ind w:left="567" w:right="567"/>
        <w:jc w:val="both"/>
        <w:rPr>
          <w:rFonts w:ascii="Palatino Linotype" w:eastAsia="Calibri" w:hAnsi="Palatino Linotype" w:cs="Tahoma"/>
          <w:i/>
          <w:szCs w:val="22"/>
          <w:lang w:eastAsia="es-ES_tradnl"/>
        </w:rPr>
      </w:pPr>
      <w:r w:rsidRPr="00B55FA1">
        <w:rPr>
          <w:rFonts w:ascii="Palatino Linotype" w:eastAsia="Calibri" w:hAnsi="Palatino Linotype" w:cs="Tahoma"/>
          <w:i/>
          <w:szCs w:val="22"/>
          <w:lang w:eastAsia="es-ES_tradnl"/>
        </w:rPr>
        <w:lastRenderedPageBreak/>
        <w:t xml:space="preserve">Para los efectos del primer párrafo de este numeral, se considera procedimiento seguido en forma de juicio a aquel formalmente administrativo, pero materialmente jurisdiccional; esto es, en el que concurran los siguientes elementos: </w:t>
      </w:r>
    </w:p>
    <w:p w14:paraId="3BEF71BD" w14:textId="77777777" w:rsidR="00635F2C" w:rsidRPr="00B55FA1" w:rsidRDefault="00635F2C" w:rsidP="00740136">
      <w:pPr>
        <w:tabs>
          <w:tab w:val="left" w:pos="4962"/>
        </w:tabs>
        <w:spacing w:line="360" w:lineRule="auto"/>
        <w:ind w:left="567" w:right="567"/>
        <w:jc w:val="both"/>
        <w:rPr>
          <w:rFonts w:ascii="Palatino Linotype" w:eastAsia="Calibri" w:hAnsi="Palatino Linotype" w:cs="Tahoma"/>
          <w:i/>
          <w:szCs w:val="22"/>
          <w:lang w:eastAsia="es-ES_tradnl"/>
        </w:rPr>
      </w:pPr>
    </w:p>
    <w:p w14:paraId="6BEB29E9" w14:textId="77777777" w:rsidR="00635F2C" w:rsidRPr="00B55FA1" w:rsidRDefault="00635F2C" w:rsidP="00740136">
      <w:pPr>
        <w:tabs>
          <w:tab w:val="left" w:pos="4962"/>
        </w:tabs>
        <w:spacing w:line="360" w:lineRule="auto"/>
        <w:ind w:left="567" w:right="567"/>
        <w:jc w:val="both"/>
        <w:rPr>
          <w:rFonts w:ascii="Palatino Linotype" w:eastAsia="Calibri" w:hAnsi="Palatino Linotype" w:cs="Tahoma"/>
          <w:i/>
          <w:szCs w:val="22"/>
          <w:lang w:eastAsia="es-ES_tradnl"/>
        </w:rPr>
      </w:pPr>
      <w:r w:rsidRPr="00B55FA1">
        <w:rPr>
          <w:rFonts w:ascii="Palatino Linotype" w:eastAsia="Calibri" w:hAnsi="Palatino Linotype" w:cs="Tahoma"/>
          <w:b/>
          <w:i/>
          <w:szCs w:val="22"/>
          <w:lang w:eastAsia="es-ES_tradnl"/>
        </w:rPr>
        <w:t>1.</w:t>
      </w:r>
      <w:r w:rsidRPr="00B55FA1">
        <w:rPr>
          <w:rFonts w:ascii="Palatino Linotype" w:eastAsia="Calibri" w:hAnsi="Palatino Linotype" w:cs="Tahoma"/>
          <w:i/>
          <w:szCs w:val="22"/>
          <w:lang w:eastAsia="es-ES_tradnl"/>
        </w:rPr>
        <w:t xml:space="preserve"> Que se trate de un procedimiento en el que la autoridad dirima una controversia entre partes contendientes, así como los procedimientos en que la autoridad, frente al particular, prepare su resolución definitiva, aunque sólo sea un trámite para cumplir con la garantía de audiencia, y </w:t>
      </w:r>
    </w:p>
    <w:p w14:paraId="37B3D013" w14:textId="77777777" w:rsidR="00635F2C" w:rsidRPr="00B55FA1" w:rsidRDefault="00635F2C" w:rsidP="00740136">
      <w:pPr>
        <w:tabs>
          <w:tab w:val="left" w:pos="4962"/>
        </w:tabs>
        <w:spacing w:line="360" w:lineRule="auto"/>
        <w:ind w:left="567" w:right="567"/>
        <w:jc w:val="both"/>
        <w:rPr>
          <w:rFonts w:ascii="Palatino Linotype" w:eastAsia="Calibri" w:hAnsi="Palatino Linotype" w:cs="Tahoma"/>
          <w:i/>
          <w:szCs w:val="22"/>
          <w:lang w:eastAsia="es-ES_tradnl"/>
        </w:rPr>
      </w:pPr>
      <w:r w:rsidRPr="00B55FA1">
        <w:rPr>
          <w:rFonts w:ascii="Palatino Linotype" w:eastAsia="Calibri" w:hAnsi="Palatino Linotype" w:cs="Tahoma"/>
          <w:b/>
          <w:i/>
          <w:szCs w:val="22"/>
          <w:lang w:eastAsia="es-ES_tradnl"/>
        </w:rPr>
        <w:t>2.</w:t>
      </w:r>
      <w:r w:rsidRPr="00B55FA1">
        <w:rPr>
          <w:rFonts w:ascii="Palatino Linotype" w:eastAsia="Calibri" w:hAnsi="Palatino Linotype" w:cs="Tahoma"/>
          <w:i/>
          <w:szCs w:val="22"/>
          <w:lang w:eastAsia="es-ES_tradnl"/>
        </w:rPr>
        <w:t xml:space="preserve"> Que se cumplan las formalidades esenciales del procedimiento. </w:t>
      </w:r>
    </w:p>
    <w:p w14:paraId="08422945" w14:textId="77777777" w:rsidR="00635F2C" w:rsidRPr="00B55FA1" w:rsidRDefault="00635F2C" w:rsidP="00740136">
      <w:pPr>
        <w:tabs>
          <w:tab w:val="left" w:pos="4962"/>
        </w:tabs>
        <w:spacing w:line="360" w:lineRule="auto"/>
        <w:ind w:left="567" w:right="567"/>
        <w:jc w:val="both"/>
        <w:rPr>
          <w:rFonts w:ascii="Palatino Linotype" w:eastAsia="Calibri" w:hAnsi="Palatino Linotype" w:cs="Tahoma"/>
          <w:i/>
          <w:szCs w:val="22"/>
          <w:lang w:eastAsia="es-ES_tradnl"/>
        </w:rPr>
      </w:pPr>
    </w:p>
    <w:p w14:paraId="6D35F0AA" w14:textId="77777777" w:rsidR="00635F2C" w:rsidRPr="00B55FA1" w:rsidRDefault="00635F2C" w:rsidP="00740136">
      <w:pPr>
        <w:tabs>
          <w:tab w:val="left" w:pos="4962"/>
        </w:tabs>
        <w:spacing w:line="360" w:lineRule="auto"/>
        <w:ind w:left="567" w:right="567"/>
        <w:jc w:val="both"/>
        <w:rPr>
          <w:rFonts w:ascii="Palatino Linotype" w:eastAsia="Calibri" w:hAnsi="Palatino Linotype" w:cs="Tahoma"/>
          <w:i/>
          <w:szCs w:val="22"/>
          <w:lang w:eastAsia="es-ES_tradnl"/>
        </w:rPr>
      </w:pPr>
      <w:r w:rsidRPr="00B55FA1">
        <w:rPr>
          <w:rFonts w:ascii="Palatino Linotype" w:eastAsia="Calibri" w:hAnsi="Palatino Linotype" w:cs="Tahoma"/>
          <w:i/>
          <w:szCs w:val="22"/>
          <w:lang w:eastAsia="es-ES_tradnl"/>
        </w:rPr>
        <w:t>No serán objeto de reserva las resoluciones interlocutorias o definitivas que se dicten dentro de los procedimientos o con las que se concluya el mismo. En estos casos deberá otorgarse acceso a la resolución en versión pública, testando la información clasifi</w:t>
      </w:r>
      <w:r>
        <w:rPr>
          <w:rFonts w:ascii="Palatino Linotype" w:eastAsia="Calibri" w:hAnsi="Palatino Linotype" w:cs="Tahoma"/>
          <w:i/>
          <w:szCs w:val="22"/>
          <w:lang w:eastAsia="es-ES_tradnl"/>
        </w:rPr>
        <w:t>cada.</w:t>
      </w:r>
    </w:p>
    <w:p w14:paraId="495E973A" w14:textId="77777777" w:rsidR="00635F2C" w:rsidRPr="003E4E33" w:rsidRDefault="00635F2C" w:rsidP="00740136">
      <w:pPr>
        <w:tabs>
          <w:tab w:val="left" w:pos="4962"/>
        </w:tabs>
        <w:spacing w:line="360" w:lineRule="auto"/>
        <w:jc w:val="both"/>
        <w:rPr>
          <w:rFonts w:ascii="Palatino Linotype" w:eastAsia="Calibri" w:hAnsi="Palatino Linotype" w:cs="Tahoma"/>
          <w:sz w:val="22"/>
          <w:szCs w:val="22"/>
          <w:lang w:eastAsia="es-ES_tradnl"/>
        </w:rPr>
      </w:pPr>
    </w:p>
    <w:p w14:paraId="4CDC7472" w14:textId="5917C9D2" w:rsidR="00635F2C" w:rsidRPr="003E4E33" w:rsidRDefault="00635F2C" w:rsidP="00740136">
      <w:pPr>
        <w:tabs>
          <w:tab w:val="left" w:pos="4962"/>
        </w:tabs>
        <w:spacing w:line="360" w:lineRule="auto"/>
        <w:jc w:val="both"/>
        <w:rPr>
          <w:rFonts w:ascii="Palatino Linotype" w:eastAsia="Calibri" w:hAnsi="Palatino Linotype" w:cs="Tahoma"/>
          <w:sz w:val="22"/>
          <w:szCs w:val="22"/>
          <w:lang w:eastAsia="es-ES_tradnl"/>
        </w:rPr>
      </w:pPr>
      <w:r w:rsidRPr="003E4E33">
        <w:rPr>
          <w:rFonts w:ascii="Palatino Linotype" w:eastAsia="Calibri" w:hAnsi="Palatino Linotype" w:cs="Tahoma"/>
          <w:sz w:val="22"/>
          <w:szCs w:val="22"/>
          <w:lang w:eastAsia="es-ES_tradnl"/>
        </w:rPr>
        <w:t xml:space="preserve">De la normatividad citada, se desprende que el supuesto de clasificación </w:t>
      </w:r>
      <w:r>
        <w:rPr>
          <w:rFonts w:ascii="Palatino Linotype" w:eastAsia="Calibri" w:hAnsi="Palatino Linotype" w:cs="Tahoma"/>
          <w:sz w:val="22"/>
          <w:szCs w:val="22"/>
          <w:lang w:eastAsia="es-ES_tradnl"/>
        </w:rPr>
        <w:t>que se actualiza en el presente asunto</w:t>
      </w:r>
      <w:r w:rsidRPr="003E4E33">
        <w:rPr>
          <w:rFonts w:ascii="Palatino Linotype" w:eastAsia="Calibri" w:hAnsi="Palatino Linotype" w:cs="Tahoma"/>
          <w:sz w:val="22"/>
          <w:szCs w:val="22"/>
          <w:lang w:eastAsia="es-ES_tradnl"/>
        </w:rPr>
        <w:t>, prevé que como información reservada podrá clasificarse aquella que vulnere la conducción de los expedientes judiciales o de los procedimientos administrativos seguidos en forma de juicio, en tanto no hayan causado estado. Por lo cual, para considerar que se actualiza dicha causal es necesario que se configuren los siguientes elementos:</w:t>
      </w:r>
    </w:p>
    <w:p w14:paraId="406C143A" w14:textId="77777777" w:rsidR="00635F2C" w:rsidRPr="003E4E33" w:rsidRDefault="00635F2C" w:rsidP="00740136">
      <w:pPr>
        <w:tabs>
          <w:tab w:val="left" w:pos="4962"/>
        </w:tabs>
        <w:spacing w:line="360" w:lineRule="auto"/>
        <w:jc w:val="both"/>
        <w:rPr>
          <w:rFonts w:ascii="Palatino Linotype" w:eastAsia="Calibri" w:hAnsi="Palatino Linotype" w:cs="Tahoma"/>
          <w:sz w:val="22"/>
          <w:szCs w:val="22"/>
          <w:lang w:eastAsia="es-ES_tradnl"/>
        </w:rPr>
      </w:pPr>
    </w:p>
    <w:p w14:paraId="0D50D49B" w14:textId="77777777" w:rsidR="00635F2C" w:rsidRPr="003E4E33" w:rsidRDefault="00635F2C" w:rsidP="00740136">
      <w:pPr>
        <w:pStyle w:val="Prrafodelista"/>
        <w:numPr>
          <w:ilvl w:val="0"/>
          <w:numId w:val="32"/>
        </w:numPr>
        <w:tabs>
          <w:tab w:val="left" w:pos="4962"/>
        </w:tabs>
        <w:spacing w:line="360" w:lineRule="auto"/>
        <w:jc w:val="both"/>
        <w:rPr>
          <w:rFonts w:ascii="Palatino Linotype" w:eastAsia="Calibri" w:hAnsi="Palatino Linotype" w:cs="Tahoma"/>
          <w:szCs w:val="22"/>
          <w:lang w:eastAsia="es-ES_tradnl"/>
        </w:rPr>
      </w:pPr>
      <w:r w:rsidRPr="003E4E33">
        <w:rPr>
          <w:rFonts w:ascii="Palatino Linotype" w:eastAsia="Calibri" w:hAnsi="Palatino Linotype" w:cs="Tahoma"/>
          <w:szCs w:val="22"/>
          <w:lang w:eastAsia="es-ES_tradnl"/>
        </w:rPr>
        <w:t>La existencia de un juicio o procedimiento administrativo materialmente jurisdiccional, que se encuentre en trámite, y</w:t>
      </w:r>
    </w:p>
    <w:p w14:paraId="70F9087C" w14:textId="77777777" w:rsidR="00635F2C" w:rsidRPr="003E4E33" w:rsidRDefault="00635F2C" w:rsidP="00740136">
      <w:pPr>
        <w:pStyle w:val="Prrafodelista"/>
        <w:numPr>
          <w:ilvl w:val="0"/>
          <w:numId w:val="32"/>
        </w:numPr>
        <w:tabs>
          <w:tab w:val="left" w:pos="4962"/>
        </w:tabs>
        <w:spacing w:line="360" w:lineRule="auto"/>
        <w:jc w:val="both"/>
        <w:rPr>
          <w:rFonts w:ascii="Palatino Linotype" w:eastAsia="Calibri" w:hAnsi="Palatino Linotype" w:cs="Tahoma"/>
          <w:szCs w:val="22"/>
          <w:lang w:eastAsia="es-ES_tradnl"/>
        </w:rPr>
      </w:pPr>
      <w:r w:rsidRPr="003E4E33">
        <w:rPr>
          <w:rFonts w:ascii="Palatino Linotype" w:eastAsia="Calibri" w:hAnsi="Palatino Linotype" w:cs="Tahoma"/>
          <w:szCs w:val="22"/>
          <w:lang w:eastAsia="es-ES_tradnl"/>
        </w:rPr>
        <w:t>Que la información solicitada se refiera a actuaciones, diligencias o constancias propias del procedimiento.</w:t>
      </w:r>
    </w:p>
    <w:p w14:paraId="1CC77682" w14:textId="77777777" w:rsidR="00635F2C" w:rsidRPr="003E4E33" w:rsidRDefault="00635F2C" w:rsidP="00740136">
      <w:pPr>
        <w:tabs>
          <w:tab w:val="left" w:pos="4962"/>
        </w:tabs>
        <w:spacing w:line="360" w:lineRule="auto"/>
        <w:jc w:val="both"/>
        <w:rPr>
          <w:rFonts w:ascii="Palatino Linotype" w:eastAsia="Calibri" w:hAnsi="Palatino Linotype" w:cs="Tahoma"/>
          <w:sz w:val="22"/>
          <w:szCs w:val="22"/>
          <w:lang w:eastAsia="es-ES_tradnl"/>
        </w:rPr>
      </w:pPr>
    </w:p>
    <w:p w14:paraId="2B1A1DA3" w14:textId="77777777" w:rsidR="00635F2C" w:rsidRDefault="00635F2C" w:rsidP="00740136">
      <w:pPr>
        <w:tabs>
          <w:tab w:val="left" w:pos="4962"/>
        </w:tabs>
        <w:spacing w:line="360" w:lineRule="auto"/>
        <w:jc w:val="both"/>
        <w:rPr>
          <w:rFonts w:ascii="Palatino Linotype" w:eastAsia="Calibri" w:hAnsi="Palatino Linotype" w:cs="Tahoma"/>
          <w:sz w:val="22"/>
          <w:szCs w:val="22"/>
          <w:lang w:eastAsia="es-ES_tradnl"/>
        </w:rPr>
      </w:pPr>
      <w:r w:rsidRPr="003E4E33">
        <w:rPr>
          <w:rFonts w:ascii="Palatino Linotype" w:eastAsia="Calibri" w:hAnsi="Palatino Linotype" w:cs="Tahoma"/>
          <w:sz w:val="22"/>
          <w:szCs w:val="22"/>
          <w:lang w:eastAsia="es-ES_tradnl"/>
        </w:rPr>
        <w:t>Con base en lo expuesto, se advierte que la información cuya difusión vulnere la conducción de los expedientes judiciales o procedimientos administrativos seguidos en forma de juicio, en tanto no hayan causado estado</w:t>
      </w:r>
      <w:r>
        <w:rPr>
          <w:rFonts w:ascii="Palatino Linotype" w:eastAsia="Calibri" w:hAnsi="Palatino Linotype" w:cs="Tahoma"/>
          <w:sz w:val="22"/>
          <w:szCs w:val="22"/>
          <w:lang w:eastAsia="es-ES_tradnl"/>
        </w:rPr>
        <w:t>, es</w:t>
      </w:r>
      <w:r w:rsidRPr="003E4E33">
        <w:rPr>
          <w:rFonts w:ascii="Palatino Linotype" w:eastAsia="Calibri" w:hAnsi="Palatino Linotype" w:cs="Tahoma"/>
          <w:sz w:val="22"/>
          <w:szCs w:val="22"/>
          <w:lang w:eastAsia="es-ES_tradnl"/>
        </w:rPr>
        <w:t xml:space="preserve"> susceptible de clasificarse como reservada bajo el </w:t>
      </w:r>
      <w:r w:rsidRPr="003E4E33">
        <w:rPr>
          <w:rFonts w:ascii="Palatino Linotype" w:eastAsia="Calibri" w:hAnsi="Palatino Linotype" w:cs="Tahoma"/>
          <w:sz w:val="22"/>
          <w:szCs w:val="22"/>
          <w:lang w:eastAsia="es-ES_tradnl"/>
        </w:rPr>
        <w:lastRenderedPageBreak/>
        <w:t>supuesto aludido</w:t>
      </w:r>
      <w:r>
        <w:rPr>
          <w:rFonts w:ascii="Palatino Linotype" w:eastAsia="Calibri" w:hAnsi="Palatino Linotype" w:cs="Tahoma"/>
          <w:sz w:val="22"/>
          <w:szCs w:val="22"/>
          <w:lang w:eastAsia="es-ES_tradnl"/>
        </w:rPr>
        <w:t xml:space="preserve">. En este sentido, el Sujeto Obligado deberá emitir el acuerdo de clasificación correspondiente en el que funde y motive la clasificación de la información en términos de lo establecido en los artículos </w:t>
      </w:r>
      <w:r>
        <w:rPr>
          <w:rFonts w:ascii="Palatino Linotype" w:hAnsi="Palatino Linotype" w:cs="Tahoma"/>
          <w:bCs/>
          <w:sz w:val="22"/>
          <w:szCs w:val="22"/>
        </w:rPr>
        <w:t xml:space="preserve">49, fracciones II y VIII, 140, fracción VIII, y 141 de la </w:t>
      </w:r>
      <w:r w:rsidRPr="003E4E33">
        <w:rPr>
          <w:rFonts w:ascii="Palatino Linotype" w:eastAsia="Calibri" w:hAnsi="Palatino Linotype" w:cs="Tahoma"/>
          <w:sz w:val="22"/>
          <w:szCs w:val="22"/>
          <w:lang w:eastAsia="es-ES_tradnl"/>
        </w:rPr>
        <w:t>Ley de Transparencia y Acceso a la Información Pública del Estado de México y Municipios</w:t>
      </w:r>
      <w:r>
        <w:rPr>
          <w:rFonts w:ascii="Palatino Linotype" w:eastAsia="Calibri" w:hAnsi="Palatino Linotype" w:cs="Tahoma"/>
          <w:sz w:val="22"/>
          <w:szCs w:val="22"/>
          <w:lang w:eastAsia="es-ES_tradnl"/>
        </w:rPr>
        <w:t>, para lo cual deberá aplicar la prueba de daño de conformidad con el artículo 129, de la Ley citada, el cual establece lo siguiente:</w:t>
      </w:r>
    </w:p>
    <w:p w14:paraId="23EFC9D6" w14:textId="77777777" w:rsidR="00635F2C" w:rsidRDefault="00635F2C" w:rsidP="00740136">
      <w:pPr>
        <w:tabs>
          <w:tab w:val="left" w:pos="4962"/>
        </w:tabs>
        <w:spacing w:line="360" w:lineRule="auto"/>
        <w:jc w:val="both"/>
        <w:rPr>
          <w:rFonts w:ascii="Palatino Linotype" w:eastAsia="Calibri" w:hAnsi="Palatino Linotype" w:cs="Tahoma"/>
          <w:sz w:val="22"/>
          <w:szCs w:val="22"/>
          <w:lang w:eastAsia="es-ES_tradnl"/>
        </w:rPr>
      </w:pPr>
    </w:p>
    <w:p w14:paraId="411EE57E" w14:textId="77777777" w:rsidR="00635F2C" w:rsidRDefault="00635F2C" w:rsidP="00740136">
      <w:pPr>
        <w:tabs>
          <w:tab w:val="left" w:pos="4962"/>
        </w:tabs>
        <w:spacing w:line="360" w:lineRule="auto"/>
        <w:ind w:left="567" w:right="567"/>
        <w:jc w:val="both"/>
        <w:rPr>
          <w:rFonts w:ascii="Palatino Linotype" w:eastAsia="Calibri" w:hAnsi="Palatino Linotype" w:cs="Tahoma"/>
          <w:i/>
          <w:szCs w:val="22"/>
          <w:lang w:eastAsia="es-ES_tradnl"/>
        </w:rPr>
      </w:pPr>
      <w:r w:rsidRPr="00FA6E41">
        <w:rPr>
          <w:rFonts w:ascii="Palatino Linotype" w:eastAsia="Calibri" w:hAnsi="Palatino Linotype" w:cs="Tahoma"/>
          <w:b/>
          <w:bCs/>
          <w:i/>
          <w:szCs w:val="22"/>
          <w:lang w:eastAsia="es-ES_tradnl"/>
        </w:rPr>
        <w:t xml:space="preserve">Artículo 129. </w:t>
      </w:r>
      <w:r w:rsidRPr="00FA6E41">
        <w:rPr>
          <w:rFonts w:ascii="Palatino Linotype" w:eastAsia="Calibri" w:hAnsi="Palatino Linotype" w:cs="Tahoma"/>
          <w:i/>
          <w:szCs w:val="22"/>
          <w:lang w:eastAsia="es-ES_tradnl"/>
        </w:rPr>
        <w:t xml:space="preserve">En la aplicación de la prueba de daño, el sujeto obligado deberá precisar las razones objetivas por las que la apertura de la información generaría una afectación, justificando que: </w:t>
      </w:r>
    </w:p>
    <w:p w14:paraId="5956E8F1" w14:textId="77777777" w:rsidR="00635F2C" w:rsidRPr="00FA6E41" w:rsidRDefault="00635F2C" w:rsidP="00740136">
      <w:pPr>
        <w:tabs>
          <w:tab w:val="left" w:pos="4962"/>
        </w:tabs>
        <w:spacing w:line="360" w:lineRule="auto"/>
        <w:ind w:left="567" w:right="567"/>
        <w:jc w:val="both"/>
        <w:rPr>
          <w:rFonts w:ascii="Palatino Linotype" w:eastAsia="Calibri" w:hAnsi="Palatino Linotype" w:cs="Tahoma"/>
          <w:i/>
          <w:szCs w:val="22"/>
          <w:lang w:eastAsia="es-ES_tradnl"/>
        </w:rPr>
      </w:pPr>
    </w:p>
    <w:p w14:paraId="76333B0A" w14:textId="77777777" w:rsidR="00635F2C" w:rsidRPr="00FA6E41" w:rsidRDefault="00635F2C" w:rsidP="00740136">
      <w:pPr>
        <w:tabs>
          <w:tab w:val="left" w:pos="4962"/>
        </w:tabs>
        <w:spacing w:line="360" w:lineRule="auto"/>
        <w:ind w:left="567" w:right="567"/>
        <w:jc w:val="both"/>
        <w:rPr>
          <w:rFonts w:ascii="Palatino Linotype" w:eastAsia="Calibri" w:hAnsi="Palatino Linotype" w:cs="Tahoma"/>
          <w:i/>
          <w:szCs w:val="22"/>
          <w:lang w:eastAsia="es-ES_tradnl"/>
        </w:rPr>
      </w:pPr>
      <w:r w:rsidRPr="00FA6E41">
        <w:rPr>
          <w:rFonts w:ascii="Palatino Linotype" w:eastAsia="Calibri" w:hAnsi="Palatino Linotype" w:cs="Tahoma"/>
          <w:b/>
          <w:bCs/>
          <w:i/>
          <w:szCs w:val="22"/>
          <w:lang w:eastAsia="es-ES_tradnl"/>
        </w:rPr>
        <w:t xml:space="preserve">I. </w:t>
      </w:r>
      <w:r w:rsidRPr="00FA6E41">
        <w:rPr>
          <w:rFonts w:ascii="Palatino Linotype" w:eastAsia="Calibri" w:hAnsi="Palatino Linotype" w:cs="Tahoma"/>
          <w:i/>
          <w:szCs w:val="22"/>
          <w:lang w:eastAsia="es-ES_tradnl"/>
        </w:rPr>
        <w:t xml:space="preserve">La divulgación de la información representa un riesgo real, demostrable e identificable del perjuicio significativo al interés público o a la seguridad pública; </w:t>
      </w:r>
    </w:p>
    <w:p w14:paraId="266CF881" w14:textId="77777777" w:rsidR="00635F2C" w:rsidRPr="00FA6E41" w:rsidRDefault="00635F2C" w:rsidP="00740136">
      <w:pPr>
        <w:tabs>
          <w:tab w:val="left" w:pos="4962"/>
        </w:tabs>
        <w:spacing w:line="360" w:lineRule="auto"/>
        <w:ind w:left="567" w:right="567"/>
        <w:jc w:val="both"/>
        <w:rPr>
          <w:rFonts w:ascii="Palatino Linotype" w:eastAsia="Calibri" w:hAnsi="Palatino Linotype" w:cs="Tahoma"/>
          <w:i/>
          <w:szCs w:val="22"/>
          <w:lang w:eastAsia="es-ES_tradnl"/>
        </w:rPr>
      </w:pPr>
      <w:r w:rsidRPr="00FA6E41">
        <w:rPr>
          <w:rFonts w:ascii="Palatino Linotype" w:eastAsia="Calibri" w:hAnsi="Palatino Linotype" w:cs="Tahoma"/>
          <w:b/>
          <w:bCs/>
          <w:i/>
          <w:szCs w:val="22"/>
          <w:lang w:eastAsia="es-ES_tradnl"/>
        </w:rPr>
        <w:t xml:space="preserve">II. </w:t>
      </w:r>
      <w:r w:rsidRPr="00FA6E41">
        <w:rPr>
          <w:rFonts w:ascii="Palatino Linotype" w:eastAsia="Calibri" w:hAnsi="Palatino Linotype" w:cs="Tahoma"/>
          <w:i/>
          <w:szCs w:val="22"/>
          <w:lang w:eastAsia="es-ES_tradnl"/>
        </w:rPr>
        <w:t xml:space="preserve">El riesgo de perjuicio que supondría la divulgación supera el interés público general de que se difunda; y </w:t>
      </w:r>
    </w:p>
    <w:p w14:paraId="3D8628BB" w14:textId="77777777" w:rsidR="00635F2C" w:rsidRPr="00FA6E41" w:rsidRDefault="00635F2C" w:rsidP="00740136">
      <w:pPr>
        <w:tabs>
          <w:tab w:val="left" w:pos="4962"/>
        </w:tabs>
        <w:spacing w:line="360" w:lineRule="auto"/>
        <w:ind w:left="567" w:right="567"/>
        <w:jc w:val="both"/>
        <w:rPr>
          <w:rFonts w:ascii="Palatino Linotype" w:eastAsia="Calibri" w:hAnsi="Palatino Linotype" w:cs="Tahoma"/>
          <w:i/>
          <w:szCs w:val="22"/>
          <w:lang w:eastAsia="es-ES_tradnl"/>
        </w:rPr>
      </w:pPr>
      <w:r w:rsidRPr="00FA6E41">
        <w:rPr>
          <w:rFonts w:ascii="Palatino Linotype" w:eastAsia="Calibri" w:hAnsi="Palatino Linotype" w:cs="Tahoma"/>
          <w:b/>
          <w:bCs/>
          <w:i/>
          <w:szCs w:val="22"/>
          <w:lang w:eastAsia="es-ES_tradnl"/>
        </w:rPr>
        <w:t xml:space="preserve">III. </w:t>
      </w:r>
      <w:r w:rsidRPr="00FA6E41">
        <w:rPr>
          <w:rFonts w:ascii="Palatino Linotype" w:eastAsia="Calibri" w:hAnsi="Palatino Linotype" w:cs="Tahoma"/>
          <w:i/>
          <w:szCs w:val="22"/>
          <w:lang w:eastAsia="es-ES_tradnl"/>
        </w:rPr>
        <w:t xml:space="preserve">La limitación se adecua al principio de proporcionalidad y representa el medio menos restrictivo disponible representa el medio menos restrictivo disponible para evitar el perjuicio. </w:t>
      </w:r>
    </w:p>
    <w:p w14:paraId="0027EC03" w14:textId="77777777" w:rsidR="00635F2C" w:rsidRDefault="00635F2C" w:rsidP="00740136">
      <w:pPr>
        <w:tabs>
          <w:tab w:val="left" w:pos="4962"/>
        </w:tabs>
        <w:spacing w:line="360" w:lineRule="auto"/>
        <w:jc w:val="both"/>
        <w:rPr>
          <w:rFonts w:ascii="Palatino Linotype" w:eastAsia="Calibri" w:hAnsi="Palatino Linotype" w:cs="Tahoma"/>
          <w:sz w:val="22"/>
          <w:szCs w:val="22"/>
          <w:lang w:eastAsia="es-ES_tradnl"/>
        </w:rPr>
      </w:pPr>
    </w:p>
    <w:p w14:paraId="7FD4EA9A" w14:textId="34538ECD" w:rsidR="00E82502" w:rsidRDefault="00E82502" w:rsidP="00740136">
      <w:pPr>
        <w:spacing w:line="360" w:lineRule="auto"/>
        <w:jc w:val="both"/>
        <w:rPr>
          <w:rFonts w:ascii="Palatino Linotype" w:hAnsi="Palatino Linotype" w:cs="Tahoma"/>
          <w:sz w:val="22"/>
          <w:szCs w:val="22"/>
          <w:lang w:eastAsia="es-MX"/>
        </w:rPr>
      </w:pPr>
      <w:r>
        <w:rPr>
          <w:rFonts w:ascii="Palatino Linotype" w:hAnsi="Palatino Linotype" w:cs="Tahoma"/>
          <w:sz w:val="22"/>
          <w:szCs w:val="22"/>
          <w:lang w:eastAsia="es-MX"/>
        </w:rPr>
        <w:t>Con conclusión, deberá entregar el acuerdo de su Comité de Transparencia, en el que indique el procedimiento administrativo que se realiza, la fecha de inicio y probable término, fije un plazo de reserva y acredite la prueba de daño.</w:t>
      </w:r>
    </w:p>
    <w:p w14:paraId="2639018B" w14:textId="77777777" w:rsidR="00E82502" w:rsidRDefault="00E82502" w:rsidP="00740136">
      <w:pPr>
        <w:spacing w:line="360" w:lineRule="auto"/>
        <w:jc w:val="both"/>
        <w:rPr>
          <w:rFonts w:ascii="Palatino Linotype" w:hAnsi="Palatino Linotype" w:cs="Tahoma"/>
          <w:sz w:val="22"/>
          <w:szCs w:val="22"/>
          <w:lang w:eastAsia="es-MX"/>
        </w:rPr>
      </w:pPr>
    </w:p>
    <w:p w14:paraId="1695F00E" w14:textId="5B1F2FBC" w:rsidR="00635F2C" w:rsidRPr="001A73C5" w:rsidRDefault="00635F2C" w:rsidP="00740136">
      <w:pPr>
        <w:spacing w:line="360" w:lineRule="auto"/>
        <w:jc w:val="both"/>
        <w:rPr>
          <w:rFonts w:ascii="Palatino Linotype" w:hAnsi="Palatino Linotype" w:cs="Tahoma"/>
          <w:sz w:val="22"/>
          <w:szCs w:val="22"/>
          <w:lang w:eastAsia="es-MX"/>
        </w:rPr>
      </w:pPr>
      <w:r w:rsidRPr="001A73C5">
        <w:rPr>
          <w:rFonts w:ascii="Palatino Linotype" w:hAnsi="Palatino Linotype" w:cs="Tahoma"/>
          <w:sz w:val="22"/>
          <w:szCs w:val="22"/>
          <w:lang w:eastAsia="es-MX"/>
        </w:rPr>
        <w:t xml:space="preserve">Finalmente, no pasa desapercibido para este Instituto que el Particular requirió </w:t>
      </w:r>
      <w:r>
        <w:rPr>
          <w:rFonts w:ascii="Palatino Linotype" w:hAnsi="Palatino Linotype" w:cs="Tahoma"/>
          <w:sz w:val="22"/>
          <w:szCs w:val="22"/>
          <w:lang w:eastAsia="es-MX"/>
        </w:rPr>
        <w:t>la información</w:t>
      </w:r>
      <w:r w:rsidRPr="001A73C5">
        <w:rPr>
          <w:rFonts w:ascii="Palatino Linotype" w:hAnsi="Palatino Linotype" w:cs="Tahoma"/>
          <w:sz w:val="22"/>
          <w:szCs w:val="22"/>
          <w:lang w:eastAsia="es-MX"/>
        </w:rPr>
        <w:t xml:space="preserve"> </w:t>
      </w:r>
      <w:r w:rsidR="00703A30" w:rsidRPr="001770DA">
        <w:rPr>
          <w:rFonts w:ascii="Palatino Linotype" w:hAnsi="Palatino Linotype" w:cs="Tahoma"/>
          <w:sz w:val="22"/>
          <w:szCs w:val="22"/>
          <w:lang w:eastAsia="es-MX"/>
        </w:rPr>
        <w:t>en copias simples</w:t>
      </w:r>
      <w:r w:rsidR="001770DA">
        <w:rPr>
          <w:rFonts w:ascii="Palatino Linotype" w:hAnsi="Palatino Linotype" w:cs="Tahoma"/>
          <w:sz w:val="22"/>
          <w:szCs w:val="22"/>
          <w:lang w:eastAsia="es-MX"/>
        </w:rPr>
        <w:t xml:space="preserve"> por SAIMEX, por lo que se entiende que la remisión de los documento por el Sistema de Acceso a la Información Mexiquense (SAIMEX), atiende lo requerido por el Particular, por lo que no se genera costo adicional</w:t>
      </w:r>
      <w:r w:rsidRPr="001A73C5">
        <w:rPr>
          <w:rFonts w:ascii="Palatino Linotype" w:hAnsi="Palatino Linotype" w:cs="Tahoma"/>
          <w:sz w:val="22"/>
          <w:szCs w:val="22"/>
          <w:lang w:eastAsia="es-MX"/>
        </w:rPr>
        <w:t xml:space="preserve">. </w:t>
      </w:r>
    </w:p>
    <w:p w14:paraId="11270F13" w14:textId="77777777" w:rsidR="00635F2C" w:rsidRDefault="00635F2C" w:rsidP="00740136">
      <w:pPr>
        <w:spacing w:line="360" w:lineRule="auto"/>
        <w:jc w:val="both"/>
        <w:rPr>
          <w:rFonts w:ascii="Palatino Linotype" w:hAnsi="Palatino Linotype" w:cs="Tahoma"/>
          <w:sz w:val="22"/>
          <w:szCs w:val="22"/>
          <w:lang w:eastAsia="es-MX"/>
        </w:rPr>
      </w:pPr>
    </w:p>
    <w:p w14:paraId="24B88A9A" w14:textId="77777777" w:rsidR="00611119" w:rsidRPr="001A73C5" w:rsidRDefault="00611119" w:rsidP="00740136">
      <w:pPr>
        <w:spacing w:line="360" w:lineRule="auto"/>
        <w:jc w:val="both"/>
        <w:rPr>
          <w:rFonts w:ascii="Palatino Linotype" w:hAnsi="Palatino Linotype" w:cs="Tahoma"/>
          <w:sz w:val="22"/>
          <w:szCs w:val="22"/>
          <w:lang w:eastAsia="es-MX"/>
        </w:rPr>
      </w:pPr>
    </w:p>
    <w:p w14:paraId="7AE3BFD9" w14:textId="5551E89E" w:rsidR="00992904" w:rsidRDefault="00BD605F" w:rsidP="00740136">
      <w:pPr>
        <w:tabs>
          <w:tab w:val="left" w:pos="8080"/>
        </w:tabs>
        <w:spacing w:line="360" w:lineRule="auto"/>
        <w:ind w:right="113"/>
        <w:jc w:val="both"/>
        <w:rPr>
          <w:rFonts w:ascii="Palatino Linotype" w:hAnsi="Palatino Linotype" w:cs="Bookman Old Style"/>
          <w:b/>
          <w:sz w:val="22"/>
        </w:rPr>
      </w:pPr>
      <w:r w:rsidRPr="002331B0">
        <w:rPr>
          <w:rFonts w:ascii="Palatino Linotype" w:hAnsi="Palatino Linotype" w:cs="Bookman Old Style"/>
          <w:b/>
          <w:sz w:val="22"/>
        </w:rPr>
        <w:lastRenderedPageBreak/>
        <w:t>DE LA VERSIÓN PÚBLICA.</w:t>
      </w:r>
    </w:p>
    <w:p w14:paraId="3F2BC130" w14:textId="77777777" w:rsidR="00703A30" w:rsidRPr="002331B0" w:rsidRDefault="00703A30" w:rsidP="00740136">
      <w:pPr>
        <w:tabs>
          <w:tab w:val="left" w:pos="8080"/>
        </w:tabs>
        <w:spacing w:line="360" w:lineRule="auto"/>
        <w:ind w:right="113"/>
        <w:jc w:val="both"/>
        <w:rPr>
          <w:rFonts w:ascii="Palatino Linotype" w:hAnsi="Palatino Linotype" w:cs="Bookman Old Style"/>
          <w:b/>
          <w:sz w:val="22"/>
        </w:rPr>
      </w:pPr>
    </w:p>
    <w:p w14:paraId="5CC22341" w14:textId="1E7BAED1" w:rsidR="00992904" w:rsidRDefault="00992904" w:rsidP="00740136">
      <w:pPr>
        <w:tabs>
          <w:tab w:val="left" w:pos="2130"/>
        </w:tabs>
        <w:spacing w:line="360" w:lineRule="auto"/>
        <w:jc w:val="both"/>
        <w:rPr>
          <w:rFonts w:ascii="Palatino Linotype" w:eastAsia="Calibri" w:hAnsi="Palatino Linotype" w:cs="Tahoma"/>
          <w:bCs/>
          <w:sz w:val="22"/>
          <w:szCs w:val="22"/>
          <w:lang w:eastAsia="en-US"/>
        </w:rPr>
      </w:pPr>
      <w:r w:rsidRPr="00992904">
        <w:rPr>
          <w:rFonts w:ascii="Palatino Linotype" w:eastAsia="Calibri" w:hAnsi="Palatino Linotype" w:cs="Tahoma"/>
          <w:bCs/>
          <w:sz w:val="22"/>
          <w:szCs w:val="22"/>
          <w:lang w:eastAsia="en-US"/>
        </w:rPr>
        <w:t>Finalmente, no pasa desapercibido que la información requerida</w:t>
      </w:r>
      <w:r w:rsidRPr="00992904">
        <w:rPr>
          <w:rFonts w:ascii="Palatino Linotype" w:eastAsia="Calibri" w:hAnsi="Palatino Linotype" w:cs="Tahoma"/>
          <w:b/>
          <w:bCs/>
          <w:sz w:val="22"/>
          <w:szCs w:val="22"/>
          <w:lang w:eastAsia="en-US"/>
        </w:rPr>
        <w:t xml:space="preserve">, </w:t>
      </w:r>
      <w:r w:rsidRPr="00992904">
        <w:rPr>
          <w:rFonts w:ascii="Palatino Linotype" w:eastAsia="Calibri" w:hAnsi="Palatino Linotype" w:cs="Tahoma"/>
          <w:bCs/>
          <w:sz w:val="22"/>
          <w:szCs w:val="22"/>
          <w:lang w:eastAsia="en-US"/>
        </w:rPr>
        <w:t xml:space="preserve">podría contener datos </w:t>
      </w:r>
      <w:r w:rsidR="00172EC3">
        <w:rPr>
          <w:rFonts w:ascii="Palatino Linotype" w:eastAsia="Calibri" w:hAnsi="Palatino Linotype" w:cs="Tahoma"/>
          <w:bCs/>
          <w:sz w:val="22"/>
          <w:szCs w:val="22"/>
          <w:lang w:eastAsia="en-US"/>
        </w:rPr>
        <w:t xml:space="preserve">personales </w:t>
      </w:r>
      <w:r w:rsidRPr="00992904">
        <w:rPr>
          <w:rFonts w:ascii="Palatino Linotype" w:eastAsia="Calibri" w:hAnsi="Palatino Linotype" w:cs="Tahoma"/>
          <w:bCs/>
          <w:sz w:val="22"/>
          <w:szCs w:val="22"/>
          <w:lang w:eastAsia="en-US"/>
        </w:rPr>
        <w:t>confidenciales; por lo que, en su caso, deberá entregar versión pública en la que se eliminen estos, junto con el acuerdo del Comité de Transparencia, en el que se funde y motive la eliminación de la información, de conformidad con lo establecido en los artículos 49, fracciones II y VIII, 128, 132, fracción I, 138, 143</w:t>
      </w:r>
      <w:r w:rsidR="009C7D6E">
        <w:rPr>
          <w:rFonts w:ascii="Palatino Linotype" w:eastAsia="Calibri" w:hAnsi="Palatino Linotype" w:cs="Tahoma"/>
          <w:bCs/>
          <w:sz w:val="22"/>
          <w:szCs w:val="22"/>
          <w:lang w:eastAsia="en-US"/>
        </w:rPr>
        <w:t>, fracción I</w:t>
      </w:r>
      <w:r w:rsidRPr="00992904">
        <w:rPr>
          <w:rFonts w:ascii="Palatino Linotype" w:eastAsia="Calibri" w:hAnsi="Palatino Linotype" w:cs="Tahoma"/>
          <w:bCs/>
          <w:sz w:val="22"/>
          <w:szCs w:val="22"/>
          <w:lang w:eastAsia="en-US"/>
        </w:rPr>
        <w:t xml:space="preserve"> y 149 de la Ley de Transparencia y Acceso a la Información Pública de Estado de México y Municipios.</w:t>
      </w:r>
    </w:p>
    <w:p w14:paraId="4C377079" w14:textId="77777777" w:rsidR="00E9344D" w:rsidRDefault="00E9344D" w:rsidP="00740136">
      <w:pPr>
        <w:spacing w:line="360" w:lineRule="auto"/>
        <w:ind w:right="-93"/>
        <w:jc w:val="both"/>
        <w:rPr>
          <w:rFonts w:ascii="Palatino Linotype" w:hAnsi="Palatino Linotype"/>
          <w:color w:val="000000"/>
          <w:sz w:val="22"/>
          <w:szCs w:val="22"/>
        </w:rPr>
      </w:pPr>
    </w:p>
    <w:p w14:paraId="71B165BB" w14:textId="28E6E685" w:rsidR="00BA46A8" w:rsidRPr="001A73C5" w:rsidRDefault="00BA46A8" w:rsidP="00740136">
      <w:pPr>
        <w:spacing w:line="360" w:lineRule="auto"/>
        <w:jc w:val="both"/>
        <w:rPr>
          <w:rFonts w:ascii="Palatino Linotype" w:hAnsi="Palatino Linotype" w:cs="Tahoma"/>
          <w:b/>
          <w:sz w:val="22"/>
          <w:szCs w:val="22"/>
        </w:rPr>
      </w:pPr>
      <w:r>
        <w:rPr>
          <w:rFonts w:ascii="Palatino Linotype" w:hAnsi="Palatino Linotype" w:cs="Tahoma"/>
          <w:b/>
          <w:sz w:val="22"/>
          <w:szCs w:val="22"/>
        </w:rPr>
        <w:t>SEXTO</w:t>
      </w:r>
      <w:r w:rsidRPr="001A73C5">
        <w:rPr>
          <w:rFonts w:ascii="Palatino Linotype" w:hAnsi="Palatino Linotype" w:cs="Tahoma"/>
          <w:b/>
          <w:sz w:val="22"/>
          <w:szCs w:val="22"/>
        </w:rPr>
        <w:t xml:space="preserve">. </w:t>
      </w:r>
      <w:r>
        <w:rPr>
          <w:rFonts w:ascii="Palatino Linotype" w:hAnsi="Palatino Linotype" w:cs="Tahoma"/>
          <w:b/>
          <w:sz w:val="22"/>
          <w:szCs w:val="22"/>
        </w:rPr>
        <w:t>Decisión</w:t>
      </w:r>
      <w:r w:rsidRPr="001A73C5">
        <w:rPr>
          <w:rFonts w:ascii="Palatino Linotype" w:hAnsi="Palatino Linotype" w:cs="Tahoma"/>
          <w:b/>
          <w:sz w:val="22"/>
          <w:szCs w:val="22"/>
        </w:rPr>
        <w:t>.</w:t>
      </w:r>
    </w:p>
    <w:p w14:paraId="02EDA3CB" w14:textId="77777777" w:rsidR="00BA46A8" w:rsidRDefault="00BA46A8" w:rsidP="00740136">
      <w:pPr>
        <w:spacing w:line="360" w:lineRule="auto"/>
        <w:jc w:val="both"/>
        <w:rPr>
          <w:rFonts w:ascii="Palatino Linotype" w:hAnsi="Palatino Linotype" w:cs="Tahoma"/>
          <w:sz w:val="22"/>
          <w:szCs w:val="22"/>
        </w:rPr>
      </w:pPr>
    </w:p>
    <w:p w14:paraId="3A7B11E2" w14:textId="489D877E" w:rsidR="002331B0" w:rsidRDefault="004866EC" w:rsidP="00740136">
      <w:pPr>
        <w:autoSpaceDE w:val="0"/>
        <w:autoSpaceDN w:val="0"/>
        <w:adjustRightInd w:val="0"/>
        <w:spacing w:line="360" w:lineRule="auto"/>
        <w:jc w:val="both"/>
        <w:rPr>
          <w:rFonts w:ascii="Palatino Linotype" w:hAnsi="Palatino Linotype" w:cs="Arial"/>
          <w:sz w:val="22"/>
          <w:szCs w:val="22"/>
        </w:rPr>
      </w:pPr>
      <w:r>
        <w:rPr>
          <w:rFonts w:ascii="Palatino Linotype" w:hAnsi="Palatino Linotype" w:cs="Arial"/>
          <w:sz w:val="22"/>
          <w:szCs w:val="22"/>
        </w:rPr>
        <w:t>De acuerdo con lo expuesto y</w:t>
      </w:r>
      <w:r w:rsidR="00223C13" w:rsidRPr="006A36F7">
        <w:rPr>
          <w:rFonts w:ascii="Palatino Linotype" w:hAnsi="Palatino Linotype" w:cs="Arial"/>
          <w:sz w:val="22"/>
          <w:szCs w:val="22"/>
        </w:rPr>
        <w:t>, con fundamento en los</w:t>
      </w:r>
      <w:r w:rsidR="00776E99" w:rsidRPr="006A36F7">
        <w:rPr>
          <w:rFonts w:ascii="Palatino Linotype" w:hAnsi="Palatino Linotype" w:cs="Arial"/>
          <w:sz w:val="22"/>
          <w:szCs w:val="22"/>
        </w:rPr>
        <w:t xml:space="preserve"> artículo</w:t>
      </w:r>
      <w:r w:rsidR="00223C13" w:rsidRPr="006A36F7">
        <w:rPr>
          <w:rFonts w:ascii="Palatino Linotype" w:hAnsi="Palatino Linotype" w:cs="Arial"/>
          <w:sz w:val="22"/>
          <w:szCs w:val="22"/>
        </w:rPr>
        <w:t>s</w:t>
      </w:r>
      <w:r w:rsidR="00846AC6">
        <w:rPr>
          <w:rFonts w:ascii="Palatino Linotype" w:hAnsi="Palatino Linotype" w:cs="Arial"/>
          <w:sz w:val="22"/>
          <w:szCs w:val="22"/>
        </w:rPr>
        <w:t xml:space="preserve"> 186</w:t>
      </w:r>
      <w:r w:rsidR="00776E99" w:rsidRPr="006A36F7">
        <w:rPr>
          <w:rFonts w:ascii="Palatino Linotype" w:hAnsi="Palatino Linotype" w:cs="Arial"/>
          <w:sz w:val="22"/>
          <w:szCs w:val="22"/>
        </w:rPr>
        <w:t xml:space="preserve"> fracción I</w:t>
      </w:r>
      <w:r w:rsidR="00060F74">
        <w:rPr>
          <w:rFonts w:ascii="Palatino Linotype" w:hAnsi="Palatino Linotype" w:cs="Arial"/>
          <w:sz w:val="22"/>
          <w:szCs w:val="22"/>
        </w:rPr>
        <w:t>II</w:t>
      </w:r>
      <w:r w:rsidR="00776E99" w:rsidRPr="006A36F7">
        <w:rPr>
          <w:rFonts w:ascii="Palatino Linotype" w:hAnsi="Palatino Linotype" w:cs="Arial"/>
          <w:sz w:val="22"/>
          <w:szCs w:val="22"/>
        </w:rPr>
        <w:t xml:space="preserve"> de la Ley de Transparencia y Acceso a la Información Pública del Estado de México y Municipios, </w:t>
      </w:r>
      <w:r w:rsidR="00935607" w:rsidRPr="006A36F7">
        <w:rPr>
          <w:rFonts w:ascii="Palatino Linotype" w:hAnsi="Palatino Linotype" w:cs="Arial"/>
          <w:sz w:val="22"/>
          <w:szCs w:val="22"/>
        </w:rPr>
        <w:t xml:space="preserve">es procedente </w:t>
      </w:r>
      <w:r w:rsidR="002331B0">
        <w:rPr>
          <w:rFonts w:ascii="Palatino Linotype" w:hAnsi="Palatino Linotype" w:cs="Arial"/>
          <w:b/>
          <w:sz w:val="22"/>
          <w:szCs w:val="22"/>
        </w:rPr>
        <w:t xml:space="preserve">REVOCAR </w:t>
      </w:r>
      <w:r w:rsidR="00060F74">
        <w:rPr>
          <w:rFonts w:ascii="Palatino Linotype" w:hAnsi="Palatino Linotype" w:cs="Arial"/>
          <w:sz w:val="22"/>
          <w:szCs w:val="22"/>
        </w:rPr>
        <w:t>la respuesta del Sujeto Obligado y ORDENAR la entrega</w:t>
      </w:r>
      <w:r w:rsidR="009C7D6E">
        <w:rPr>
          <w:rFonts w:ascii="Palatino Linotype" w:hAnsi="Palatino Linotype" w:cs="Arial"/>
          <w:sz w:val="22"/>
          <w:szCs w:val="22"/>
        </w:rPr>
        <w:t>, en su caso en versión pública,</w:t>
      </w:r>
      <w:r w:rsidR="00060F74">
        <w:rPr>
          <w:rFonts w:ascii="Palatino Linotype" w:hAnsi="Palatino Linotype" w:cs="Arial"/>
          <w:sz w:val="22"/>
          <w:szCs w:val="22"/>
        </w:rPr>
        <w:t xml:space="preserve"> de</w:t>
      </w:r>
      <w:r w:rsidR="009C7D6E">
        <w:rPr>
          <w:rFonts w:ascii="Palatino Linotype" w:hAnsi="Palatino Linotype" w:cs="Arial"/>
          <w:sz w:val="22"/>
          <w:szCs w:val="22"/>
        </w:rPr>
        <w:t xml:space="preserve"> lo siguiente</w:t>
      </w:r>
      <w:r w:rsidR="002331B0">
        <w:rPr>
          <w:rFonts w:ascii="Palatino Linotype" w:hAnsi="Palatino Linotype" w:cs="Arial"/>
          <w:sz w:val="22"/>
          <w:szCs w:val="22"/>
        </w:rPr>
        <w:t>:</w:t>
      </w:r>
    </w:p>
    <w:p w14:paraId="5DC61723" w14:textId="77777777" w:rsidR="002331B0" w:rsidRDefault="002331B0" w:rsidP="00740136">
      <w:pPr>
        <w:autoSpaceDE w:val="0"/>
        <w:autoSpaceDN w:val="0"/>
        <w:adjustRightInd w:val="0"/>
        <w:spacing w:line="360" w:lineRule="auto"/>
        <w:jc w:val="both"/>
        <w:rPr>
          <w:rFonts w:ascii="Palatino Linotype" w:hAnsi="Palatino Linotype" w:cs="Arial"/>
          <w:sz w:val="22"/>
          <w:szCs w:val="22"/>
        </w:rPr>
      </w:pPr>
    </w:p>
    <w:p w14:paraId="70584E04" w14:textId="08C6EA94" w:rsidR="002331B0" w:rsidRDefault="009C7D6E" w:rsidP="00740136">
      <w:pPr>
        <w:autoSpaceDE w:val="0"/>
        <w:autoSpaceDN w:val="0"/>
        <w:adjustRightInd w:val="0"/>
        <w:spacing w:line="360" w:lineRule="auto"/>
        <w:jc w:val="both"/>
        <w:rPr>
          <w:rFonts w:ascii="Palatino Linotype" w:hAnsi="Palatino Linotype" w:cs="Arial"/>
          <w:sz w:val="22"/>
          <w:szCs w:val="22"/>
        </w:rPr>
      </w:pPr>
      <w:r>
        <w:rPr>
          <w:rFonts w:ascii="Palatino Linotype" w:eastAsia="Calibri" w:hAnsi="Palatino Linotype" w:cs="Tahoma"/>
          <w:bCs/>
          <w:sz w:val="22"/>
          <w:szCs w:val="22"/>
          <w:lang w:eastAsia="en-US"/>
        </w:rPr>
        <w:t xml:space="preserve">De encontrarse concluido el procedimiento, </w:t>
      </w:r>
      <w:r w:rsidR="002331B0">
        <w:rPr>
          <w:rFonts w:ascii="Palatino Linotype" w:hAnsi="Palatino Linotype" w:cs="Arial"/>
          <w:sz w:val="22"/>
          <w:szCs w:val="22"/>
        </w:rPr>
        <w:t>los documentos que den cuenta de l</w:t>
      </w:r>
      <w:r w:rsidR="002331B0" w:rsidRPr="002331B0">
        <w:rPr>
          <w:rFonts w:ascii="Palatino Linotype" w:hAnsi="Palatino Linotype" w:cs="Arial"/>
          <w:sz w:val="22"/>
          <w:szCs w:val="22"/>
        </w:rPr>
        <w:t xml:space="preserve">a notificación del citatorio a garantía de audiencia a la empresa constructora, </w:t>
      </w:r>
      <w:r w:rsidR="002331B0">
        <w:rPr>
          <w:rFonts w:ascii="Palatino Linotype" w:hAnsi="Palatino Linotype" w:cs="Arial"/>
          <w:sz w:val="22"/>
          <w:szCs w:val="22"/>
        </w:rPr>
        <w:t>l</w:t>
      </w:r>
      <w:r w:rsidR="002331B0" w:rsidRPr="002331B0">
        <w:rPr>
          <w:rFonts w:ascii="Palatino Linotype" w:hAnsi="Palatino Linotype" w:cs="Arial"/>
          <w:sz w:val="22"/>
          <w:szCs w:val="22"/>
        </w:rPr>
        <w:t>os resolutivos</w:t>
      </w:r>
      <w:r w:rsidR="002331B0">
        <w:rPr>
          <w:rFonts w:ascii="Palatino Linotype" w:hAnsi="Palatino Linotype" w:cs="Arial"/>
          <w:sz w:val="22"/>
          <w:szCs w:val="22"/>
        </w:rPr>
        <w:t xml:space="preserve"> (de la determinación de la autoridad)</w:t>
      </w:r>
      <w:r w:rsidR="002331B0" w:rsidRPr="002331B0">
        <w:rPr>
          <w:rFonts w:ascii="Palatino Linotype" w:hAnsi="Palatino Linotype" w:cs="Arial"/>
          <w:sz w:val="22"/>
          <w:szCs w:val="22"/>
        </w:rPr>
        <w:t xml:space="preserve">, </w:t>
      </w:r>
      <w:r w:rsidR="002331B0">
        <w:rPr>
          <w:rFonts w:ascii="Palatino Linotype" w:hAnsi="Palatino Linotype" w:cs="Arial"/>
          <w:sz w:val="22"/>
          <w:szCs w:val="22"/>
        </w:rPr>
        <w:t>m</w:t>
      </w:r>
      <w:r w:rsidR="002331B0" w:rsidRPr="002331B0">
        <w:rPr>
          <w:rFonts w:ascii="Palatino Linotype" w:hAnsi="Palatino Linotype" w:cs="Arial"/>
          <w:sz w:val="22"/>
          <w:szCs w:val="22"/>
        </w:rPr>
        <w:t xml:space="preserve">ultas o </w:t>
      </w:r>
      <w:r w:rsidR="002331B0">
        <w:rPr>
          <w:rFonts w:ascii="Palatino Linotype" w:hAnsi="Palatino Linotype" w:cs="Arial"/>
          <w:sz w:val="22"/>
          <w:szCs w:val="22"/>
        </w:rPr>
        <w:t>e</w:t>
      </w:r>
      <w:r w:rsidR="002331B0" w:rsidRPr="002331B0">
        <w:rPr>
          <w:rFonts w:ascii="Palatino Linotype" w:hAnsi="Palatino Linotype" w:cs="Arial"/>
          <w:sz w:val="22"/>
          <w:szCs w:val="22"/>
        </w:rPr>
        <w:t>l documento que acredite las acciones que se han realizado por parte de esa unidad administrativa en contra de la empresa</w:t>
      </w:r>
      <w:r w:rsidR="002331B0">
        <w:rPr>
          <w:rFonts w:ascii="Palatino Linotype" w:hAnsi="Palatino Linotype" w:cs="Arial"/>
          <w:sz w:val="22"/>
          <w:szCs w:val="22"/>
        </w:rPr>
        <w:t>.</w:t>
      </w:r>
    </w:p>
    <w:p w14:paraId="183DB87C" w14:textId="77777777" w:rsidR="009C7D6E" w:rsidRDefault="009C7D6E" w:rsidP="00740136">
      <w:pPr>
        <w:autoSpaceDE w:val="0"/>
        <w:autoSpaceDN w:val="0"/>
        <w:adjustRightInd w:val="0"/>
        <w:spacing w:line="360" w:lineRule="auto"/>
        <w:jc w:val="both"/>
        <w:rPr>
          <w:rFonts w:ascii="Palatino Linotype" w:hAnsi="Palatino Linotype" w:cs="Arial"/>
          <w:sz w:val="22"/>
          <w:szCs w:val="22"/>
        </w:rPr>
      </w:pPr>
    </w:p>
    <w:p w14:paraId="7A5093CC" w14:textId="47E413CD" w:rsidR="009C7D6E" w:rsidRDefault="009C7D6E" w:rsidP="00740136">
      <w:pPr>
        <w:tabs>
          <w:tab w:val="left" w:pos="2130"/>
        </w:tabs>
        <w:spacing w:line="360" w:lineRule="auto"/>
        <w:jc w:val="both"/>
        <w:rPr>
          <w:rFonts w:ascii="Palatino Linotype" w:eastAsia="Calibri" w:hAnsi="Palatino Linotype" w:cs="Tahoma"/>
          <w:bCs/>
          <w:sz w:val="22"/>
          <w:szCs w:val="22"/>
          <w:lang w:eastAsia="en-US"/>
        </w:rPr>
      </w:pPr>
      <w:r>
        <w:rPr>
          <w:rFonts w:ascii="Palatino Linotype" w:eastAsia="Calibri" w:hAnsi="Palatino Linotype" w:cs="Tahoma"/>
          <w:bCs/>
          <w:sz w:val="22"/>
          <w:szCs w:val="22"/>
          <w:lang w:eastAsia="en-US"/>
        </w:rPr>
        <w:t>En caso de que dichos documentos contengan</w:t>
      </w:r>
      <w:r w:rsidRPr="00992904">
        <w:rPr>
          <w:rFonts w:ascii="Palatino Linotype" w:eastAsia="Calibri" w:hAnsi="Palatino Linotype" w:cs="Tahoma"/>
          <w:bCs/>
          <w:sz w:val="22"/>
          <w:szCs w:val="22"/>
          <w:lang w:eastAsia="en-US"/>
        </w:rPr>
        <w:t xml:space="preserve"> datos</w:t>
      </w:r>
      <w:r>
        <w:rPr>
          <w:rFonts w:ascii="Palatino Linotype" w:eastAsia="Calibri" w:hAnsi="Palatino Linotype" w:cs="Tahoma"/>
          <w:bCs/>
          <w:sz w:val="22"/>
          <w:szCs w:val="22"/>
          <w:lang w:eastAsia="en-US"/>
        </w:rPr>
        <w:t xml:space="preserve"> personales</w:t>
      </w:r>
      <w:r w:rsidRPr="00992904">
        <w:rPr>
          <w:rFonts w:ascii="Palatino Linotype" w:eastAsia="Calibri" w:hAnsi="Palatino Linotype" w:cs="Tahoma"/>
          <w:bCs/>
          <w:sz w:val="22"/>
          <w:szCs w:val="22"/>
          <w:lang w:eastAsia="en-US"/>
        </w:rPr>
        <w:t xml:space="preserve"> confidenciales; </w:t>
      </w:r>
      <w:r>
        <w:rPr>
          <w:rFonts w:ascii="Palatino Linotype" w:eastAsia="Calibri" w:hAnsi="Palatino Linotype" w:cs="Tahoma"/>
          <w:bCs/>
          <w:sz w:val="22"/>
          <w:szCs w:val="22"/>
          <w:lang w:eastAsia="en-US"/>
        </w:rPr>
        <w:t>se</w:t>
      </w:r>
      <w:r w:rsidRPr="00992904">
        <w:rPr>
          <w:rFonts w:ascii="Palatino Linotype" w:eastAsia="Calibri" w:hAnsi="Palatino Linotype" w:cs="Tahoma"/>
          <w:bCs/>
          <w:sz w:val="22"/>
          <w:szCs w:val="22"/>
          <w:lang w:eastAsia="en-US"/>
        </w:rPr>
        <w:t xml:space="preserve"> deberá entregar versión pública en la que se eliminen, junto con el acuerdo del Comité de Transparencia, en el que se funde y motive la eliminación de la información, de conformidad con lo establecido en los artículos 49, fracciones II y VIII, 128, 132, fracción I, 138, 143</w:t>
      </w:r>
      <w:r>
        <w:rPr>
          <w:rFonts w:ascii="Palatino Linotype" w:eastAsia="Calibri" w:hAnsi="Palatino Linotype" w:cs="Tahoma"/>
          <w:bCs/>
          <w:sz w:val="22"/>
          <w:szCs w:val="22"/>
          <w:lang w:eastAsia="en-US"/>
        </w:rPr>
        <w:t xml:space="preserve">, fracción </w:t>
      </w:r>
      <w:r>
        <w:rPr>
          <w:rFonts w:ascii="Palatino Linotype" w:eastAsia="Calibri" w:hAnsi="Palatino Linotype" w:cs="Tahoma"/>
          <w:bCs/>
          <w:sz w:val="22"/>
          <w:szCs w:val="22"/>
          <w:lang w:eastAsia="en-US"/>
        </w:rPr>
        <w:lastRenderedPageBreak/>
        <w:t>I</w:t>
      </w:r>
      <w:r w:rsidRPr="00992904">
        <w:rPr>
          <w:rFonts w:ascii="Palatino Linotype" w:eastAsia="Calibri" w:hAnsi="Palatino Linotype" w:cs="Tahoma"/>
          <w:bCs/>
          <w:sz w:val="22"/>
          <w:szCs w:val="22"/>
          <w:lang w:eastAsia="en-US"/>
        </w:rPr>
        <w:t xml:space="preserve"> y 149 de la Ley de Transparencia y Acceso a la Información Pública de Estado de México y Municipios.</w:t>
      </w:r>
    </w:p>
    <w:p w14:paraId="137287F0" w14:textId="77777777" w:rsidR="002331B0" w:rsidRDefault="002331B0" w:rsidP="00740136">
      <w:pPr>
        <w:autoSpaceDE w:val="0"/>
        <w:autoSpaceDN w:val="0"/>
        <w:adjustRightInd w:val="0"/>
        <w:spacing w:line="360" w:lineRule="auto"/>
        <w:jc w:val="both"/>
        <w:rPr>
          <w:rFonts w:ascii="Palatino Linotype" w:hAnsi="Palatino Linotype" w:cs="Arial"/>
          <w:sz w:val="22"/>
          <w:szCs w:val="22"/>
        </w:rPr>
      </w:pPr>
    </w:p>
    <w:p w14:paraId="54579F31" w14:textId="15346330" w:rsidR="002331B0" w:rsidRDefault="002331B0" w:rsidP="00740136">
      <w:pPr>
        <w:tabs>
          <w:tab w:val="left" w:pos="2130"/>
        </w:tabs>
        <w:spacing w:line="360" w:lineRule="auto"/>
        <w:jc w:val="both"/>
        <w:rPr>
          <w:rFonts w:ascii="Palatino Linotype" w:eastAsia="Calibri" w:hAnsi="Palatino Linotype" w:cs="Tahoma"/>
          <w:bCs/>
          <w:sz w:val="22"/>
          <w:szCs w:val="22"/>
          <w:lang w:eastAsia="en-US"/>
        </w:rPr>
      </w:pPr>
      <w:r>
        <w:rPr>
          <w:rFonts w:ascii="Palatino Linotype" w:hAnsi="Palatino Linotype" w:cs="Bookman Old Style"/>
          <w:sz w:val="22"/>
        </w:rPr>
        <w:t>En caso de que el procedimiento administrativo no haya causado estado</w:t>
      </w:r>
      <w:r w:rsidR="009C7D6E">
        <w:rPr>
          <w:rFonts w:ascii="Palatino Linotype" w:hAnsi="Palatino Linotype" w:cs="Bookman Old Style"/>
          <w:sz w:val="22"/>
        </w:rPr>
        <w:t>,</w:t>
      </w:r>
      <w:r>
        <w:rPr>
          <w:rFonts w:ascii="Palatino Linotype" w:hAnsi="Palatino Linotype" w:cs="Bookman Old Style"/>
          <w:sz w:val="22"/>
        </w:rPr>
        <w:t xml:space="preserve"> únicamente deberá entregar el acuerdo de clasificación emitido por el Comité de Transparencia, en términos de los artículos </w:t>
      </w:r>
      <w:r w:rsidRPr="00992904">
        <w:rPr>
          <w:rFonts w:ascii="Palatino Linotype" w:eastAsia="Calibri" w:hAnsi="Palatino Linotype" w:cs="Tahoma"/>
          <w:bCs/>
          <w:sz w:val="22"/>
          <w:szCs w:val="22"/>
          <w:lang w:eastAsia="en-US"/>
        </w:rPr>
        <w:t>49, fracciones II y VIII, 132, fracción I, 14</w:t>
      </w:r>
      <w:r>
        <w:rPr>
          <w:rFonts w:ascii="Palatino Linotype" w:eastAsia="Calibri" w:hAnsi="Palatino Linotype" w:cs="Tahoma"/>
          <w:bCs/>
          <w:sz w:val="22"/>
          <w:szCs w:val="22"/>
          <w:lang w:eastAsia="en-US"/>
        </w:rPr>
        <w:t>0, fracción VI,</w:t>
      </w:r>
      <w:r w:rsidRPr="00992904">
        <w:rPr>
          <w:rFonts w:ascii="Palatino Linotype" w:eastAsia="Calibri" w:hAnsi="Palatino Linotype" w:cs="Tahoma"/>
          <w:bCs/>
          <w:sz w:val="22"/>
          <w:szCs w:val="22"/>
          <w:lang w:eastAsia="en-US"/>
        </w:rPr>
        <w:t xml:space="preserve"> de la Ley de Transparencia y Acceso a la Información Pública de Estado de México y Municipios.</w:t>
      </w:r>
    </w:p>
    <w:p w14:paraId="2F50B9AD" w14:textId="77777777" w:rsidR="009C7D6E" w:rsidRDefault="009C7D6E" w:rsidP="00740136">
      <w:pPr>
        <w:tabs>
          <w:tab w:val="left" w:pos="2130"/>
        </w:tabs>
        <w:spacing w:line="360" w:lineRule="auto"/>
        <w:jc w:val="both"/>
        <w:rPr>
          <w:rFonts w:ascii="Palatino Linotype" w:eastAsia="Calibri" w:hAnsi="Palatino Linotype" w:cs="Tahoma"/>
          <w:bCs/>
          <w:sz w:val="22"/>
          <w:szCs w:val="22"/>
          <w:lang w:eastAsia="en-US"/>
        </w:rPr>
      </w:pPr>
    </w:p>
    <w:p w14:paraId="7FF91C35" w14:textId="77777777" w:rsidR="009C7D6E" w:rsidRDefault="009C7D6E" w:rsidP="00740136">
      <w:pPr>
        <w:tabs>
          <w:tab w:val="left" w:pos="8080"/>
        </w:tabs>
        <w:spacing w:line="360" w:lineRule="auto"/>
        <w:ind w:right="113"/>
        <w:jc w:val="both"/>
        <w:rPr>
          <w:rFonts w:ascii="Palatino Linotype" w:hAnsi="Palatino Linotype" w:cs="Bookman Old Style"/>
          <w:sz w:val="22"/>
        </w:rPr>
      </w:pPr>
      <w:r w:rsidRPr="002B5464">
        <w:rPr>
          <w:rFonts w:ascii="Palatino Linotype" w:hAnsi="Palatino Linotype" w:cs="Bookman Old Style"/>
          <w:sz w:val="22"/>
        </w:rPr>
        <w:t xml:space="preserve">De no encontrarse la información que se ordena entregar, deberá </w:t>
      </w:r>
      <w:r>
        <w:rPr>
          <w:rFonts w:ascii="Palatino Linotype" w:hAnsi="Palatino Linotype" w:cs="Bookman Old Style"/>
          <w:sz w:val="22"/>
        </w:rPr>
        <w:t>pronunciarse</w:t>
      </w:r>
      <w:r w:rsidRPr="002B5464">
        <w:rPr>
          <w:rFonts w:ascii="Palatino Linotype" w:hAnsi="Palatino Linotype" w:cs="Bookman Old Style"/>
          <w:sz w:val="22"/>
        </w:rPr>
        <w:t xml:space="preserve"> en términos del artículo 19, párrafo </w:t>
      </w:r>
      <w:r>
        <w:rPr>
          <w:rFonts w:ascii="Palatino Linotype" w:hAnsi="Palatino Linotype" w:cs="Bookman Old Style"/>
          <w:sz w:val="22"/>
        </w:rPr>
        <w:t xml:space="preserve">segundo </w:t>
      </w:r>
      <w:r w:rsidRPr="002B5464">
        <w:rPr>
          <w:rFonts w:ascii="Palatino Linotype" w:hAnsi="Palatino Linotype" w:cs="Bookman Old Style"/>
          <w:sz w:val="22"/>
        </w:rPr>
        <w:t>de la Ley de Transparencia y Acceso a la Información Pública del Estado de México y Municipios</w:t>
      </w:r>
      <w:r>
        <w:rPr>
          <w:rFonts w:ascii="Palatino Linotype" w:hAnsi="Palatino Linotype" w:cs="Bookman Old Style"/>
          <w:sz w:val="22"/>
        </w:rPr>
        <w:t>.</w:t>
      </w:r>
    </w:p>
    <w:p w14:paraId="6D53B3A1" w14:textId="77777777" w:rsidR="00992904" w:rsidRDefault="00992904" w:rsidP="00740136">
      <w:pPr>
        <w:tabs>
          <w:tab w:val="left" w:pos="8080"/>
        </w:tabs>
        <w:spacing w:line="360" w:lineRule="auto"/>
        <w:ind w:right="113"/>
        <w:jc w:val="both"/>
        <w:rPr>
          <w:rFonts w:ascii="Palatino Linotype" w:hAnsi="Palatino Linotype" w:cs="Bookman Old Style"/>
          <w:sz w:val="22"/>
        </w:rPr>
      </w:pPr>
    </w:p>
    <w:p w14:paraId="567434D4" w14:textId="77777777" w:rsidR="00776E99" w:rsidRPr="006A36F7" w:rsidRDefault="00776E99" w:rsidP="00740136">
      <w:pPr>
        <w:spacing w:line="360" w:lineRule="auto"/>
        <w:jc w:val="both"/>
        <w:rPr>
          <w:rFonts w:ascii="Palatino Linotype" w:hAnsi="Palatino Linotype" w:cs="Tahoma"/>
          <w:sz w:val="22"/>
          <w:szCs w:val="22"/>
          <w:lang w:val="es-MX"/>
        </w:rPr>
      </w:pPr>
      <w:r w:rsidRPr="006A36F7">
        <w:rPr>
          <w:rFonts w:ascii="Palatino Linotype" w:hAnsi="Palatino Linotype" w:cs="Tahoma"/>
          <w:sz w:val="22"/>
          <w:szCs w:val="22"/>
          <w:lang w:val="es-MX"/>
        </w:rPr>
        <w:t xml:space="preserve">Por lo antes expuesto y fundado. </w:t>
      </w:r>
    </w:p>
    <w:p w14:paraId="469F4E4B" w14:textId="77777777" w:rsidR="00CC59B8" w:rsidRDefault="00CC59B8" w:rsidP="00740136">
      <w:pPr>
        <w:spacing w:line="360" w:lineRule="auto"/>
        <w:jc w:val="center"/>
        <w:rPr>
          <w:rFonts w:ascii="Palatino Linotype" w:hAnsi="Palatino Linotype" w:cs="Tahoma"/>
          <w:b/>
          <w:bCs/>
          <w:sz w:val="22"/>
          <w:szCs w:val="22"/>
          <w:lang w:val="es-ES_tradnl"/>
        </w:rPr>
      </w:pPr>
    </w:p>
    <w:p w14:paraId="21FF1F8F" w14:textId="77777777" w:rsidR="004960D2" w:rsidRDefault="004960D2" w:rsidP="00740136">
      <w:pPr>
        <w:spacing w:line="360" w:lineRule="auto"/>
        <w:jc w:val="center"/>
        <w:rPr>
          <w:rFonts w:ascii="Palatino Linotype" w:hAnsi="Palatino Linotype" w:cs="Tahoma"/>
          <w:b/>
          <w:bCs/>
          <w:sz w:val="22"/>
          <w:szCs w:val="22"/>
          <w:lang w:val="es-ES_tradnl"/>
        </w:rPr>
      </w:pPr>
    </w:p>
    <w:p w14:paraId="567434D6" w14:textId="02AD1F88" w:rsidR="003B3C9D" w:rsidRPr="006A36F7" w:rsidRDefault="00776E99" w:rsidP="00740136">
      <w:pPr>
        <w:spacing w:line="360" w:lineRule="auto"/>
        <w:jc w:val="center"/>
        <w:rPr>
          <w:rFonts w:ascii="Palatino Linotype" w:hAnsi="Palatino Linotype" w:cs="Tahoma"/>
          <w:b/>
          <w:bCs/>
          <w:sz w:val="22"/>
          <w:szCs w:val="22"/>
          <w:lang w:val="es-ES_tradnl"/>
        </w:rPr>
      </w:pPr>
      <w:r w:rsidRPr="006A36F7">
        <w:rPr>
          <w:rFonts w:ascii="Palatino Linotype" w:hAnsi="Palatino Linotype" w:cs="Tahoma"/>
          <w:b/>
          <w:bCs/>
          <w:sz w:val="22"/>
          <w:szCs w:val="22"/>
          <w:lang w:val="es-ES_tradnl"/>
        </w:rPr>
        <w:t>R</w:t>
      </w:r>
      <w:r w:rsidR="00300671" w:rsidRPr="006A36F7">
        <w:rPr>
          <w:rFonts w:ascii="Palatino Linotype" w:hAnsi="Palatino Linotype" w:cs="Tahoma"/>
          <w:b/>
          <w:bCs/>
          <w:sz w:val="22"/>
          <w:szCs w:val="22"/>
          <w:lang w:val="es-ES_tradnl"/>
        </w:rPr>
        <w:t xml:space="preserve"> </w:t>
      </w:r>
      <w:r w:rsidRPr="006A36F7">
        <w:rPr>
          <w:rFonts w:ascii="Palatino Linotype" w:hAnsi="Palatino Linotype" w:cs="Tahoma"/>
          <w:b/>
          <w:bCs/>
          <w:sz w:val="22"/>
          <w:szCs w:val="22"/>
          <w:lang w:val="es-ES_tradnl"/>
        </w:rPr>
        <w:t>E</w:t>
      </w:r>
      <w:r w:rsidR="00300671" w:rsidRPr="006A36F7">
        <w:rPr>
          <w:rFonts w:ascii="Palatino Linotype" w:hAnsi="Palatino Linotype" w:cs="Tahoma"/>
          <w:b/>
          <w:bCs/>
          <w:sz w:val="22"/>
          <w:szCs w:val="22"/>
          <w:lang w:val="es-ES_tradnl"/>
        </w:rPr>
        <w:t xml:space="preserve"> </w:t>
      </w:r>
      <w:r w:rsidRPr="006A36F7">
        <w:rPr>
          <w:rFonts w:ascii="Palatino Linotype" w:hAnsi="Palatino Linotype" w:cs="Tahoma"/>
          <w:b/>
          <w:bCs/>
          <w:sz w:val="22"/>
          <w:szCs w:val="22"/>
          <w:lang w:val="es-ES_tradnl"/>
        </w:rPr>
        <w:t>S</w:t>
      </w:r>
      <w:r w:rsidR="00300671" w:rsidRPr="006A36F7">
        <w:rPr>
          <w:rFonts w:ascii="Palatino Linotype" w:hAnsi="Palatino Linotype" w:cs="Tahoma"/>
          <w:b/>
          <w:bCs/>
          <w:sz w:val="22"/>
          <w:szCs w:val="22"/>
          <w:lang w:val="es-ES_tradnl"/>
        </w:rPr>
        <w:t xml:space="preserve"> </w:t>
      </w:r>
      <w:r w:rsidRPr="006A36F7">
        <w:rPr>
          <w:rFonts w:ascii="Palatino Linotype" w:hAnsi="Palatino Linotype" w:cs="Tahoma"/>
          <w:b/>
          <w:bCs/>
          <w:sz w:val="22"/>
          <w:szCs w:val="22"/>
          <w:lang w:val="es-ES_tradnl"/>
        </w:rPr>
        <w:t>U</w:t>
      </w:r>
      <w:r w:rsidR="00300671" w:rsidRPr="006A36F7">
        <w:rPr>
          <w:rFonts w:ascii="Palatino Linotype" w:hAnsi="Palatino Linotype" w:cs="Tahoma"/>
          <w:b/>
          <w:bCs/>
          <w:sz w:val="22"/>
          <w:szCs w:val="22"/>
          <w:lang w:val="es-ES_tradnl"/>
        </w:rPr>
        <w:t xml:space="preserve"> </w:t>
      </w:r>
      <w:r w:rsidRPr="006A36F7">
        <w:rPr>
          <w:rFonts w:ascii="Palatino Linotype" w:hAnsi="Palatino Linotype" w:cs="Tahoma"/>
          <w:b/>
          <w:bCs/>
          <w:sz w:val="22"/>
          <w:szCs w:val="22"/>
          <w:lang w:val="es-ES_tradnl"/>
        </w:rPr>
        <w:t>E</w:t>
      </w:r>
      <w:r w:rsidR="00300671" w:rsidRPr="006A36F7">
        <w:rPr>
          <w:rFonts w:ascii="Palatino Linotype" w:hAnsi="Palatino Linotype" w:cs="Tahoma"/>
          <w:b/>
          <w:bCs/>
          <w:sz w:val="22"/>
          <w:szCs w:val="22"/>
          <w:lang w:val="es-ES_tradnl"/>
        </w:rPr>
        <w:t xml:space="preserve"> </w:t>
      </w:r>
      <w:r w:rsidRPr="006A36F7">
        <w:rPr>
          <w:rFonts w:ascii="Palatino Linotype" w:hAnsi="Palatino Linotype" w:cs="Tahoma"/>
          <w:b/>
          <w:bCs/>
          <w:sz w:val="22"/>
          <w:szCs w:val="22"/>
          <w:lang w:val="es-ES_tradnl"/>
        </w:rPr>
        <w:t>L</w:t>
      </w:r>
      <w:r w:rsidR="00300671" w:rsidRPr="006A36F7">
        <w:rPr>
          <w:rFonts w:ascii="Palatino Linotype" w:hAnsi="Palatino Linotype" w:cs="Tahoma"/>
          <w:b/>
          <w:bCs/>
          <w:sz w:val="22"/>
          <w:szCs w:val="22"/>
          <w:lang w:val="es-ES_tradnl"/>
        </w:rPr>
        <w:t xml:space="preserve"> </w:t>
      </w:r>
      <w:r w:rsidRPr="006A36F7">
        <w:rPr>
          <w:rFonts w:ascii="Palatino Linotype" w:hAnsi="Palatino Linotype" w:cs="Tahoma"/>
          <w:b/>
          <w:bCs/>
          <w:sz w:val="22"/>
          <w:szCs w:val="22"/>
          <w:lang w:val="es-ES_tradnl"/>
        </w:rPr>
        <w:t>V</w:t>
      </w:r>
      <w:r w:rsidR="00300671" w:rsidRPr="006A36F7">
        <w:rPr>
          <w:rFonts w:ascii="Palatino Linotype" w:hAnsi="Palatino Linotype" w:cs="Tahoma"/>
          <w:b/>
          <w:bCs/>
          <w:sz w:val="22"/>
          <w:szCs w:val="22"/>
          <w:lang w:val="es-ES_tradnl"/>
        </w:rPr>
        <w:t xml:space="preserve"> </w:t>
      </w:r>
      <w:r w:rsidRPr="006A36F7">
        <w:rPr>
          <w:rFonts w:ascii="Palatino Linotype" w:hAnsi="Palatino Linotype" w:cs="Tahoma"/>
          <w:b/>
          <w:bCs/>
          <w:sz w:val="22"/>
          <w:szCs w:val="22"/>
          <w:lang w:val="es-ES_tradnl"/>
        </w:rPr>
        <w:t>E</w:t>
      </w:r>
      <w:r w:rsidR="00300671" w:rsidRPr="006A36F7">
        <w:rPr>
          <w:rFonts w:ascii="Palatino Linotype" w:hAnsi="Palatino Linotype" w:cs="Tahoma"/>
          <w:b/>
          <w:bCs/>
          <w:sz w:val="22"/>
          <w:szCs w:val="22"/>
          <w:lang w:val="es-ES_tradnl"/>
        </w:rPr>
        <w:t xml:space="preserve"> </w:t>
      </w:r>
    </w:p>
    <w:p w14:paraId="7D440F6D" w14:textId="77777777" w:rsidR="00330DDD" w:rsidRDefault="00330DDD" w:rsidP="00740136">
      <w:pPr>
        <w:spacing w:line="360" w:lineRule="auto"/>
        <w:jc w:val="both"/>
        <w:rPr>
          <w:rFonts w:ascii="Palatino Linotype" w:hAnsi="Palatino Linotype" w:cs="Tahoma"/>
          <w:b/>
          <w:bCs/>
          <w:sz w:val="22"/>
          <w:szCs w:val="22"/>
          <w:lang w:val="es-ES_tradnl"/>
        </w:rPr>
      </w:pPr>
    </w:p>
    <w:p w14:paraId="4000232A" w14:textId="0331EF11" w:rsidR="007B442D" w:rsidRPr="001A73C5" w:rsidRDefault="007B442D" w:rsidP="00740136">
      <w:pPr>
        <w:spacing w:line="360" w:lineRule="auto"/>
        <w:jc w:val="both"/>
        <w:rPr>
          <w:rFonts w:ascii="Palatino Linotype" w:hAnsi="Palatino Linotype" w:cs="Tahoma"/>
          <w:sz w:val="22"/>
          <w:szCs w:val="22"/>
        </w:rPr>
      </w:pPr>
      <w:r w:rsidRPr="001A73C5">
        <w:rPr>
          <w:rFonts w:ascii="Palatino Linotype" w:hAnsi="Palatino Linotype" w:cs="Tahoma"/>
          <w:b/>
          <w:bCs/>
          <w:sz w:val="22"/>
          <w:szCs w:val="22"/>
          <w:lang w:val="es-ES_tradnl"/>
        </w:rPr>
        <w:t xml:space="preserve">PRIMERO. </w:t>
      </w:r>
      <w:r w:rsidRPr="001A73C5">
        <w:rPr>
          <w:rFonts w:ascii="Palatino Linotype" w:hAnsi="Palatino Linotype" w:cs="Tahoma"/>
          <w:sz w:val="22"/>
          <w:szCs w:val="22"/>
        </w:rPr>
        <w:t xml:space="preserve">Se </w:t>
      </w:r>
      <w:r w:rsidR="009C7D6E">
        <w:rPr>
          <w:rFonts w:ascii="Palatino Linotype" w:hAnsi="Palatino Linotype" w:cs="Tahoma"/>
          <w:b/>
          <w:sz w:val="22"/>
          <w:szCs w:val="22"/>
        </w:rPr>
        <w:t>REVOCA</w:t>
      </w:r>
      <w:r w:rsidRPr="001A73C5">
        <w:rPr>
          <w:rFonts w:ascii="Palatino Linotype" w:hAnsi="Palatino Linotype" w:cs="Tahoma"/>
          <w:b/>
          <w:sz w:val="22"/>
          <w:szCs w:val="22"/>
        </w:rPr>
        <w:t xml:space="preserve"> </w:t>
      </w:r>
      <w:r w:rsidRPr="001A73C5">
        <w:rPr>
          <w:rFonts w:ascii="Palatino Linotype" w:hAnsi="Palatino Linotype" w:cs="Tahoma"/>
          <w:sz w:val="22"/>
          <w:szCs w:val="22"/>
        </w:rPr>
        <w:t xml:space="preserve">la respuesta entregada por el Sujeto Obligado a la solicitud de información con número </w:t>
      </w:r>
      <w:r w:rsidR="000F2044" w:rsidRPr="000F2044">
        <w:rPr>
          <w:rFonts w:ascii="Palatino Linotype" w:hAnsi="Palatino Linotype"/>
          <w:b/>
          <w:bCs/>
          <w:sz w:val="22"/>
        </w:rPr>
        <w:t>00060/SEDUM/IP/2019</w:t>
      </w:r>
      <w:r w:rsidRPr="001A73C5">
        <w:rPr>
          <w:rFonts w:ascii="Palatino Linotype" w:hAnsi="Palatino Linotype" w:cs="Tahoma"/>
          <w:sz w:val="22"/>
          <w:szCs w:val="22"/>
        </w:rPr>
        <w:t xml:space="preserve">, por resultar </w:t>
      </w:r>
      <w:r w:rsidRPr="001A73C5">
        <w:rPr>
          <w:rFonts w:ascii="Palatino Linotype" w:hAnsi="Palatino Linotype" w:cs="Tahoma"/>
          <w:b/>
          <w:sz w:val="22"/>
          <w:szCs w:val="22"/>
        </w:rPr>
        <w:t>FUNDADO</w:t>
      </w:r>
      <w:r w:rsidRPr="001A73C5">
        <w:rPr>
          <w:rFonts w:ascii="Palatino Linotype" w:hAnsi="Palatino Linotype" w:cs="Tahoma"/>
          <w:sz w:val="22"/>
          <w:szCs w:val="22"/>
        </w:rPr>
        <w:t xml:space="preserve"> el motivo de inconformidad vertido por el Recurrente, en términos de los Considerandos </w:t>
      </w:r>
      <w:r w:rsidRPr="001A73C5">
        <w:rPr>
          <w:rFonts w:ascii="Palatino Linotype" w:hAnsi="Palatino Linotype" w:cs="Tahoma"/>
          <w:b/>
          <w:sz w:val="22"/>
          <w:szCs w:val="22"/>
        </w:rPr>
        <w:t>QUINTO y SEXTO</w:t>
      </w:r>
      <w:r w:rsidRPr="001A73C5">
        <w:rPr>
          <w:rFonts w:ascii="Palatino Linotype" w:hAnsi="Palatino Linotype" w:cs="Tahoma"/>
          <w:sz w:val="22"/>
          <w:szCs w:val="22"/>
        </w:rPr>
        <w:t xml:space="preserve"> de la presente Resolución.</w:t>
      </w:r>
    </w:p>
    <w:p w14:paraId="6051DC78" w14:textId="77777777" w:rsidR="007B442D" w:rsidRPr="001A73C5" w:rsidRDefault="007B442D" w:rsidP="00740136">
      <w:pPr>
        <w:spacing w:line="360" w:lineRule="auto"/>
        <w:jc w:val="both"/>
        <w:rPr>
          <w:rFonts w:ascii="Palatino Linotype" w:hAnsi="Palatino Linotype" w:cs="Tahoma"/>
          <w:sz w:val="22"/>
          <w:szCs w:val="22"/>
        </w:rPr>
      </w:pPr>
    </w:p>
    <w:p w14:paraId="795C0C1C" w14:textId="77777777" w:rsidR="00330DDD" w:rsidRDefault="00330DDD" w:rsidP="00740136">
      <w:pPr>
        <w:tabs>
          <w:tab w:val="left" w:pos="4962"/>
        </w:tabs>
        <w:spacing w:line="360" w:lineRule="auto"/>
        <w:jc w:val="both"/>
        <w:rPr>
          <w:rFonts w:ascii="Palatino Linotype" w:hAnsi="Palatino Linotype" w:cs="Tahoma"/>
          <w:sz w:val="22"/>
          <w:szCs w:val="22"/>
        </w:rPr>
      </w:pPr>
      <w:r>
        <w:rPr>
          <w:rFonts w:ascii="Palatino Linotype" w:eastAsia="Calibri" w:hAnsi="Palatino Linotype" w:cs="Tahoma"/>
          <w:b/>
          <w:bCs/>
          <w:sz w:val="22"/>
          <w:szCs w:val="22"/>
          <w:lang w:eastAsia="en-US"/>
        </w:rPr>
        <w:t xml:space="preserve">SEGUNDO. </w:t>
      </w:r>
      <w:r>
        <w:rPr>
          <w:rFonts w:ascii="Palatino Linotype" w:eastAsia="Calibri" w:hAnsi="Palatino Linotype" w:cs="Tahoma"/>
          <w:bCs/>
          <w:sz w:val="22"/>
          <w:szCs w:val="22"/>
          <w:lang w:eastAsia="en-US"/>
        </w:rPr>
        <w:t xml:space="preserve">Se </w:t>
      </w:r>
      <w:r>
        <w:rPr>
          <w:rFonts w:ascii="Palatino Linotype" w:eastAsia="Calibri" w:hAnsi="Palatino Linotype" w:cs="Tahoma"/>
          <w:b/>
          <w:bCs/>
          <w:sz w:val="22"/>
          <w:szCs w:val="22"/>
          <w:lang w:eastAsia="en-US"/>
        </w:rPr>
        <w:t>ORDENA</w:t>
      </w:r>
      <w:r>
        <w:rPr>
          <w:rFonts w:ascii="Palatino Linotype" w:eastAsia="Calibri" w:hAnsi="Palatino Linotype" w:cs="Tahoma"/>
          <w:bCs/>
          <w:sz w:val="22"/>
          <w:szCs w:val="22"/>
          <w:lang w:eastAsia="en-US"/>
        </w:rPr>
        <w:t xml:space="preserve"> al Sujeto Obligado, a efecto de que entregue, en su caso, en versión pública, previa búsqueda exhaustiva y razonable, vía el Sistema de Acceso a la Información Mexiquense (SAIMEX): </w:t>
      </w:r>
    </w:p>
    <w:p w14:paraId="5B499916" w14:textId="77777777" w:rsidR="00330DDD" w:rsidRDefault="00330DDD" w:rsidP="00740136">
      <w:pPr>
        <w:tabs>
          <w:tab w:val="left" w:pos="4962"/>
        </w:tabs>
        <w:spacing w:line="360" w:lineRule="auto"/>
        <w:jc w:val="both"/>
        <w:rPr>
          <w:rFonts w:ascii="Palatino Linotype" w:eastAsia="Calibri" w:hAnsi="Palatino Linotype" w:cs="Tahoma"/>
          <w:bCs/>
          <w:sz w:val="22"/>
          <w:szCs w:val="22"/>
          <w:lang w:eastAsia="en-US"/>
        </w:rPr>
      </w:pPr>
    </w:p>
    <w:p w14:paraId="3182D834" w14:textId="77777777" w:rsidR="00330DDD" w:rsidRDefault="00330DDD" w:rsidP="00740136">
      <w:pPr>
        <w:autoSpaceDE w:val="0"/>
        <w:autoSpaceDN w:val="0"/>
        <w:adjustRightInd w:val="0"/>
        <w:spacing w:line="360" w:lineRule="auto"/>
        <w:jc w:val="both"/>
        <w:rPr>
          <w:rFonts w:ascii="Palatino Linotype" w:hAnsi="Palatino Linotype" w:cs="Arial"/>
          <w:sz w:val="22"/>
          <w:szCs w:val="22"/>
        </w:rPr>
      </w:pPr>
      <w:r>
        <w:rPr>
          <w:rFonts w:ascii="Palatino Linotype" w:eastAsia="Calibri" w:hAnsi="Palatino Linotype" w:cs="Tahoma"/>
          <w:bCs/>
          <w:sz w:val="22"/>
          <w:szCs w:val="22"/>
          <w:lang w:eastAsia="en-US"/>
        </w:rPr>
        <w:lastRenderedPageBreak/>
        <w:t xml:space="preserve">De encontrarse concluido el procedimiento administrativo, </w:t>
      </w:r>
      <w:r>
        <w:rPr>
          <w:rFonts w:ascii="Palatino Linotype" w:hAnsi="Palatino Linotype" w:cs="Arial"/>
          <w:sz w:val="22"/>
          <w:szCs w:val="22"/>
        </w:rPr>
        <w:t>los documentos que den cuenta de la notificación del citatorio a garantía de audiencia a la empresa constructora, los resolutivos (de la determinación de la autoridad), multas o el documento que acredite las acciones que se han realizado por parte de esa unidad administrativa en contra de la empresa.</w:t>
      </w:r>
    </w:p>
    <w:p w14:paraId="03AD1C5C" w14:textId="77777777" w:rsidR="00330DDD" w:rsidRDefault="00330DDD" w:rsidP="00740136">
      <w:pPr>
        <w:autoSpaceDE w:val="0"/>
        <w:autoSpaceDN w:val="0"/>
        <w:adjustRightInd w:val="0"/>
        <w:spacing w:line="360" w:lineRule="auto"/>
        <w:jc w:val="both"/>
        <w:rPr>
          <w:rFonts w:ascii="Palatino Linotype" w:hAnsi="Palatino Linotype" w:cs="Arial"/>
          <w:sz w:val="22"/>
          <w:szCs w:val="22"/>
        </w:rPr>
      </w:pPr>
    </w:p>
    <w:p w14:paraId="2325A441" w14:textId="7AD24959" w:rsidR="00330DDD" w:rsidRDefault="004960D2" w:rsidP="00740136">
      <w:pPr>
        <w:tabs>
          <w:tab w:val="left" w:pos="2130"/>
        </w:tabs>
        <w:spacing w:line="360" w:lineRule="auto"/>
        <w:jc w:val="both"/>
        <w:rPr>
          <w:rFonts w:ascii="Palatino Linotype" w:eastAsia="Calibri" w:hAnsi="Palatino Linotype" w:cs="Tahoma"/>
          <w:bCs/>
          <w:sz w:val="22"/>
          <w:szCs w:val="22"/>
          <w:lang w:eastAsia="en-US"/>
        </w:rPr>
      </w:pPr>
      <w:r>
        <w:rPr>
          <w:rFonts w:ascii="Palatino Linotype" w:eastAsia="Calibri" w:hAnsi="Palatino Linotype" w:cs="Tahoma"/>
          <w:bCs/>
          <w:sz w:val="22"/>
          <w:szCs w:val="22"/>
          <w:lang w:eastAsia="en-US"/>
        </w:rPr>
        <w:t>De ser necesarias las versiones públicas, por</w:t>
      </w:r>
      <w:r w:rsidR="00330DDD">
        <w:rPr>
          <w:rFonts w:ascii="Palatino Linotype" w:eastAsia="Calibri" w:hAnsi="Palatino Linotype" w:cs="Tahoma"/>
          <w:bCs/>
          <w:sz w:val="22"/>
          <w:szCs w:val="22"/>
          <w:lang w:eastAsia="en-US"/>
        </w:rPr>
        <w:t xml:space="preserve"> conten</w:t>
      </w:r>
      <w:r>
        <w:rPr>
          <w:rFonts w:ascii="Palatino Linotype" w:eastAsia="Calibri" w:hAnsi="Palatino Linotype" w:cs="Tahoma"/>
          <w:bCs/>
          <w:sz w:val="22"/>
          <w:szCs w:val="22"/>
          <w:lang w:eastAsia="en-US"/>
        </w:rPr>
        <w:t>er</w:t>
      </w:r>
      <w:r w:rsidR="00330DDD">
        <w:rPr>
          <w:rFonts w:ascii="Palatino Linotype" w:eastAsia="Calibri" w:hAnsi="Palatino Linotype" w:cs="Tahoma"/>
          <w:bCs/>
          <w:sz w:val="22"/>
          <w:szCs w:val="22"/>
          <w:lang w:eastAsia="en-US"/>
        </w:rPr>
        <w:t xml:space="preserve"> </w:t>
      </w:r>
      <w:r>
        <w:rPr>
          <w:rFonts w:ascii="Palatino Linotype" w:eastAsia="Calibri" w:hAnsi="Palatino Linotype" w:cs="Tahoma"/>
          <w:bCs/>
          <w:sz w:val="22"/>
          <w:szCs w:val="22"/>
          <w:lang w:eastAsia="en-US"/>
        </w:rPr>
        <w:t>datos personales confidenciales,</w:t>
      </w:r>
      <w:r w:rsidR="00330DDD">
        <w:rPr>
          <w:rFonts w:ascii="Palatino Linotype" w:eastAsia="Calibri" w:hAnsi="Palatino Linotype" w:cs="Tahoma"/>
          <w:bCs/>
          <w:sz w:val="22"/>
          <w:szCs w:val="22"/>
          <w:lang w:eastAsia="en-US"/>
        </w:rPr>
        <w:t xml:space="preserve"> se deberá</w:t>
      </w:r>
      <w:r>
        <w:rPr>
          <w:rFonts w:ascii="Palatino Linotype" w:eastAsia="Calibri" w:hAnsi="Palatino Linotype" w:cs="Tahoma"/>
          <w:bCs/>
          <w:sz w:val="22"/>
          <w:szCs w:val="22"/>
          <w:lang w:eastAsia="en-US"/>
        </w:rPr>
        <w:t>n</w:t>
      </w:r>
      <w:r w:rsidR="00330DDD">
        <w:rPr>
          <w:rFonts w:ascii="Palatino Linotype" w:eastAsia="Calibri" w:hAnsi="Palatino Linotype" w:cs="Tahoma"/>
          <w:bCs/>
          <w:sz w:val="22"/>
          <w:szCs w:val="22"/>
          <w:lang w:eastAsia="en-US"/>
        </w:rPr>
        <w:t xml:space="preserve"> entregar junto con el acuerdo del Comité de Transparencia, en el que se funde y motive la eliminación de la información, de conformidad con lo establecido en los artículos 49, fracciones II y VIII, 128, 132, fracción I</w:t>
      </w:r>
      <w:r>
        <w:rPr>
          <w:rFonts w:ascii="Palatino Linotype" w:eastAsia="Calibri" w:hAnsi="Palatino Linotype" w:cs="Tahoma"/>
          <w:bCs/>
          <w:sz w:val="22"/>
          <w:szCs w:val="22"/>
          <w:lang w:eastAsia="en-US"/>
        </w:rPr>
        <w:t>I</w:t>
      </w:r>
      <w:r w:rsidR="00330DDD">
        <w:rPr>
          <w:rFonts w:ascii="Palatino Linotype" w:eastAsia="Calibri" w:hAnsi="Palatino Linotype" w:cs="Tahoma"/>
          <w:bCs/>
          <w:sz w:val="22"/>
          <w:szCs w:val="22"/>
          <w:lang w:eastAsia="en-US"/>
        </w:rPr>
        <w:t>, 143, fracción I y 149 de la Ley de Transparencia y Acceso a la Información Pública de Estado de México y Municipios.</w:t>
      </w:r>
    </w:p>
    <w:p w14:paraId="761B193E" w14:textId="77777777" w:rsidR="00330DDD" w:rsidRDefault="00330DDD" w:rsidP="00740136">
      <w:pPr>
        <w:autoSpaceDE w:val="0"/>
        <w:autoSpaceDN w:val="0"/>
        <w:adjustRightInd w:val="0"/>
        <w:spacing w:line="360" w:lineRule="auto"/>
        <w:jc w:val="both"/>
        <w:rPr>
          <w:rFonts w:ascii="Palatino Linotype" w:hAnsi="Palatino Linotype" w:cs="Arial"/>
          <w:sz w:val="22"/>
          <w:szCs w:val="22"/>
        </w:rPr>
      </w:pPr>
    </w:p>
    <w:p w14:paraId="08A4523E" w14:textId="657116BD" w:rsidR="00330DDD" w:rsidRDefault="00330DDD" w:rsidP="00740136">
      <w:pPr>
        <w:tabs>
          <w:tab w:val="left" w:pos="2130"/>
        </w:tabs>
        <w:spacing w:line="360" w:lineRule="auto"/>
        <w:jc w:val="both"/>
        <w:rPr>
          <w:rFonts w:ascii="Palatino Linotype" w:eastAsia="Calibri" w:hAnsi="Palatino Linotype" w:cs="Tahoma"/>
          <w:bCs/>
          <w:sz w:val="22"/>
          <w:szCs w:val="22"/>
          <w:lang w:eastAsia="en-US"/>
        </w:rPr>
      </w:pPr>
      <w:r>
        <w:rPr>
          <w:rFonts w:ascii="Palatino Linotype" w:hAnsi="Palatino Linotype" w:cs="Bookman Old Style"/>
          <w:sz w:val="22"/>
        </w:rPr>
        <w:t xml:space="preserve">En caso de que el procedimiento administrativo no haya causado estado, únicamente deberá entregar el acuerdo de clasificación emitido por el Comité de Transparencia, en términos de los artículos </w:t>
      </w:r>
      <w:r>
        <w:rPr>
          <w:rFonts w:ascii="Palatino Linotype" w:eastAsia="Calibri" w:hAnsi="Palatino Linotype" w:cs="Tahoma"/>
          <w:bCs/>
          <w:sz w:val="22"/>
          <w:szCs w:val="22"/>
          <w:lang w:eastAsia="en-US"/>
        </w:rPr>
        <w:t>49, fracciones II y VIII, 132, fracción I</w:t>
      </w:r>
      <w:r w:rsidR="004960D2">
        <w:rPr>
          <w:rFonts w:ascii="Palatino Linotype" w:eastAsia="Calibri" w:hAnsi="Palatino Linotype" w:cs="Tahoma"/>
          <w:bCs/>
          <w:sz w:val="22"/>
          <w:szCs w:val="22"/>
          <w:lang w:eastAsia="en-US"/>
        </w:rPr>
        <w:t>I</w:t>
      </w:r>
      <w:r>
        <w:rPr>
          <w:rFonts w:ascii="Palatino Linotype" w:eastAsia="Calibri" w:hAnsi="Palatino Linotype" w:cs="Tahoma"/>
          <w:bCs/>
          <w:sz w:val="22"/>
          <w:szCs w:val="22"/>
          <w:lang w:eastAsia="en-US"/>
        </w:rPr>
        <w:t>, 140, fracción VI, de la Ley de Transparencia y Acceso a la Información Pública de Estado de México y Municipios.</w:t>
      </w:r>
    </w:p>
    <w:p w14:paraId="22F3CB99" w14:textId="77777777" w:rsidR="00330DDD" w:rsidRDefault="00330DDD" w:rsidP="00740136">
      <w:pPr>
        <w:tabs>
          <w:tab w:val="left" w:pos="2130"/>
        </w:tabs>
        <w:spacing w:line="360" w:lineRule="auto"/>
        <w:jc w:val="both"/>
        <w:rPr>
          <w:rFonts w:ascii="Palatino Linotype" w:eastAsia="Calibri" w:hAnsi="Palatino Linotype" w:cs="Tahoma"/>
          <w:bCs/>
          <w:sz w:val="22"/>
          <w:szCs w:val="22"/>
          <w:lang w:eastAsia="en-US"/>
        </w:rPr>
      </w:pPr>
    </w:p>
    <w:p w14:paraId="7804C0E6" w14:textId="7DD67376" w:rsidR="00703A30" w:rsidRPr="00AB7A1A" w:rsidRDefault="00330DDD" w:rsidP="00740136">
      <w:pPr>
        <w:spacing w:line="360" w:lineRule="auto"/>
        <w:ind w:right="-93"/>
        <w:jc w:val="both"/>
        <w:rPr>
          <w:rFonts w:ascii="Palatino Linotype" w:eastAsia="Calibri" w:hAnsi="Palatino Linotype" w:cs="Tahoma"/>
          <w:iCs/>
          <w:szCs w:val="22"/>
          <w:lang w:eastAsia="es-ES_tradnl"/>
        </w:rPr>
      </w:pPr>
      <w:r>
        <w:rPr>
          <w:rFonts w:ascii="Palatino Linotype" w:hAnsi="Palatino Linotype" w:cs="Bookman Old Style"/>
          <w:sz w:val="22"/>
        </w:rPr>
        <w:t>De no encontrarse la información que se ordena entregar, deberá hacerlo del conocimiento del Recurrente, en términos del artículo 19, párrafo segundo, de la Ley de Transparencia y Acceso a la Información Pública del Estado de México y Municipios.</w:t>
      </w:r>
      <w:r w:rsidR="00703A30">
        <w:rPr>
          <w:rFonts w:ascii="Palatino Linotype" w:eastAsia="Calibri" w:hAnsi="Palatino Linotype" w:cs="Tahoma"/>
          <w:iCs/>
          <w:sz w:val="22"/>
          <w:szCs w:val="22"/>
          <w:lang w:eastAsia="es-ES_tradnl"/>
        </w:rPr>
        <w:t xml:space="preserve">  </w:t>
      </w:r>
    </w:p>
    <w:p w14:paraId="050376AE" w14:textId="77777777" w:rsidR="00992904" w:rsidRDefault="00992904" w:rsidP="00740136">
      <w:pPr>
        <w:tabs>
          <w:tab w:val="left" w:pos="8080"/>
        </w:tabs>
        <w:spacing w:line="360" w:lineRule="auto"/>
        <w:ind w:right="113"/>
        <w:jc w:val="both"/>
        <w:rPr>
          <w:rFonts w:ascii="Palatino Linotype" w:hAnsi="Palatino Linotype" w:cs="Bookman Old Style"/>
          <w:sz w:val="22"/>
        </w:rPr>
      </w:pPr>
    </w:p>
    <w:p w14:paraId="430A9776" w14:textId="77777777" w:rsidR="007B442D" w:rsidRPr="001A73C5" w:rsidRDefault="007B442D" w:rsidP="00740136">
      <w:pPr>
        <w:spacing w:line="360" w:lineRule="auto"/>
        <w:jc w:val="both"/>
        <w:rPr>
          <w:rFonts w:ascii="Palatino Linotype" w:hAnsi="Palatino Linotype" w:cs="Tahoma"/>
          <w:i/>
          <w:sz w:val="22"/>
          <w:szCs w:val="22"/>
        </w:rPr>
      </w:pPr>
      <w:r w:rsidRPr="001A73C5">
        <w:rPr>
          <w:rFonts w:ascii="Palatino Linotype" w:hAnsi="Palatino Linotype" w:cs="Tahoma"/>
          <w:b/>
          <w:sz w:val="22"/>
          <w:szCs w:val="22"/>
        </w:rPr>
        <w:t xml:space="preserve">TERCERO. NOTIFÍQUESE </w:t>
      </w:r>
      <w:r>
        <w:rPr>
          <w:rFonts w:ascii="Palatino Linotype" w:hAnsi="Palatino Linotype" w:cs="Tahoma"/>
          <w:sz w:val="22"/>
          <w:szCs w:val="22"/>
        </w:rPr>
        <w:t>la presente R</w:t>
      </w:r>
      <w:r w:rsidRPr="001A73C5">
        <w:rPr>
          <w:rFonts w:ascii="Palatino Linotype" w:hAnsi="Palatino Linotype" w:cs="Tahoma"/>
          <w:sz w:val="22"/>
          <w:szCs w:val="22"/>
        </w:rPr>
        <w:t>esolución al Titular de la Unidad de Transparencia del Sujeto Obligado, para que conforme al artículo 186 último párrafo, 189 segundo párrafo y 194 de la Ley de Transparencia y Acceso a la Información Pública del Estado de México y Municipios; dé cumplimiento a lo ordenado dentro del plazo de diez días hábiles, e informe a este Instituto en un plazo de tres días hábiles siguientes sobre el cumplimiento dado a la presente.</w:t>
      </w:r>
    </w:p>
    <w:p w14:paraId="18BCDC24" w14:textId="34510ECF" w:rsidR="007B442D" w:rsidRDefault="007B442D" w:rsidP="00740136">
      <w:pPr>
        <w:shd w:val="clear" w:color="auto" w:fill="FFFFFF" w:themeFill="background1"/>
        <w:spacing w:line="360" w:lineRule="auto"/>
        <w:jc w:val="both"/>
        <w:rPr>
          <w:rFonts w:ascii="Palatino Linotype" w:hAnsi="Palatino Linotype" w:cs="Tahoma"/>
          <w:sz w:val="22"/>
          <w:szCs w:val="22"/>
        </w:rPr>
      </w:pPr>
      <w:r w:rsidRPr="001A73C5">
        <w:rPr>
          <w:rFonts w:ascii="Palatino Linotype" w:eastAsia="Calibri" w:hAnsi="Palatino Linotype" w:cs="Tahoma"/>
          <w:b/>
          <w:sz w:val="22"/>
          <w:szCs w:val="22"/>
          <w:lang w:eastAsia="es-MX"/>
        </w:rPr>
        <w:lastRenderedPageBreak/>
        <w:t>CUARTO</w:t>
      </w:r>
      <w:r w:rsidRPr="001A73C5">
        <w:rPr>
          <w:rFonts w:ascii="Palatino Linotype" w:eastAsia="Calibri" w:hAnsi="Palatino Linotype" w:cs="Tahoma"/>
          <w:b/>
          <w:bCs/>
          <w:sz w:val="22"/>
          <w:szCs w:val="22"/>
          <w:lang w:eastAsia="en-US"/>
        </w:rPr>
        <w:t xml:space="preserve">. </w:t>
      </w:r>
      <w:r w:rsidRPr="001A73C5">
        <w:rPr>
          <w:rFonts w:ascii="Palatino Linotype" w:hAnsi="Palatino Linotype" w:cs="Tahoma"/>
          <w:b/>
          <w:sz w:val="22"/>
          <w:szCs w:val="22"/>
        </w:rPr>
        <w:t>NOTIFÍQUESE</w:t>
      </w:r>
      <w:r w:rsidRPr="001A73C5">
        <w:rPr>
          <w:rFonts w:ascii="Palatino Linotype" w:hAnsi="Palatino Linotype" w:cs="Tahoma"/>
          <w:sz w:val="22"/>
          <w:szCs w:val="22"/>
        </w:rPr>
        <w:t xml:space="preserve"> al Recurrente la presente Resolución, asimismo, se hace de su conocimiento que de conformidad con lo establecido en el artículo 196 de la Ley de Transparencia y Acceso a la Información Pública del Estado de México y Municipios podrá promover el Juicio de Amparo en los términos de las leyes aplicables.</w:t>
      </w:r>
    </w:p>
    <w:p w14:paraId="56FDCB9C" w14:textId="0D50F988" w:rsidR="00A00D05" w:rsidRPr="00A00D05" w:rsidRDefault="00A00D05" w:rsidP="00740136">
      <w:pPr>
        <w:shd w:val="clear" w:color="auto" w:fill="FFFFFF" w:themeFill="background1"/>
        <w:spacing w:line="360" w:lineRule="auto"/>
        <w:jc w:val="both"/>
        <w:rPr>
          <w:rFonts w:ascii="Palatino Linotype" w:hAnsi="Palatino Linotype" w:cs="Tahoma"/>
          <w:b/>
          <w:sz w:val="22"/>
          <w:szCs w:val="22"/>
        </w:rPr>
      </w:pPr>
    </w:p>
    <w:p w14:paraId="567434DE" w14:textId="0083ABD9" w:rsidR="00DB429F" w:rsidRPr="006A36F7" w:rsidRDefault="00DB429F" w:rsidP="00740136">
      <w:pPr>
        <w:spacing w:line="360" w:lineRule="auto"/>
        <w:jc w:val="both"/>
        <w:rPr>
          <w:rFonts w:ascii="Palatino Linotype" w:hAnsi="Palatino Linotype" w:cs="Arial"/>
          <w:sz w:val="22"/>
          <w:szCs w:val="22"/>
          <w:lang w:eastAsia="es-MX"/>
        </w:rPr>
      </w:pPr>
      <w:r w:rsidRPr="006A36F7">
        <w:rPr>
          <w:rFonts w:ascii="Palatino Linotype" w:hAnsi="Palatino Linotype" w:cs="Arial"/>
          <w:sz w:val="22"/>
          <w:szCs w:val="22"/>
          <w:lang w:eastAsia="es-MX"/>
        </w:rPr>
        <w:t xml:space="preserve">ASÍ, POR </w:t>
      </w:r>
      <w:r w:rsidRPr="006A36F7">
        <w:rPr>
          <w:rFonts w:ascii="Palatino Linotype" w:hAnsi="Palatino Linotype" w:cs="Arial"/>
          <w:b/>
          <w:sz w:val="22"/>
          <w:szCs w:val="22"/>
          <w:lang w:eastAsia="es-MX"/>
        </w:rPr>
        <w:t>UNANIMIDAD</w:t>
      </w:r>
      <w:r w:rsidRPr="006A36F7">
        <w:rPr>
          <w:rFonts w:ascii="Palatino Linotype" w:hAnsi="Palatino Linotype" w:cs="Arial"/>
          <w:sz w:val="22"/>
          <w:szCs w:val="22"/>
          <w:lang w:eastAsia="es-MX"/>
        </w:rPr>
        <w:t xml:space="preserve"> DE VOTOS, LO RESOLVIERON Y FIRMAN LOS COMISIONADOS DEL INSTITUTO DE TRANSPARENCIA, ACCESO A LA INFORMACIÓN PÚBLICA Y PROTECCIÓN DE DATOS PERSONALES DEL ESTADO DE MÉXICO Y MUNICIPIOS, ZULEMA MARTÍNEZ SÁNCHEZ, </w:t>
      </w:r>
      <w:r w:rsidRPr="006A36F7">
        <w:rPr>
          <w:rFonts w:ascii="Palatino Linotype" w:hAnsi="Palatino Linotype" w:cs="Arial"/>
          <w:bCs/>
          <w:sz w:val="22"/>
          <w:szCs w:val="22"/>
          <w:lang w:eastAsia="es-MX"/>
        </w:rPr>
        <w:t>EVA ABAID YAPUR</w:t>
      </w:r>
      <w:r w:rsidR="0021629F">
        <w:rPr>
          <w:rFonts w:ascii="Palatino Linotype" w:hAnsi="Palatino Linotype" w:cs="Arial"/>
          <w:bCs/>
          <w:sz w:val="22"/>
          <w:szCs w:val="22"/>
          <w:lang w:eastAsia="es-MX"/>
        </w:rPr>
        <w:t xml:space="preserve"> CON VOTO PARTICULAR</w:t>
      </w:r>
      <w:r w:rsidR="008F70FD" w:rsidRPr="006A36F7">
        <w:rPr>
          <w:rFonts w:ascii="Palatino Linotype" w:hAnsi="Palatino Linotype" w:cs="Arial"/>
          <w:bCs/>
          <w:sz w:val="22"/>
          <w:szCs w:val="22"/>
          <w:lang w:eastAsia="es-MX"/>
        </w:rPr>
        <w:t xml:space="preserve">, </w:t>
      </w:r>
      <w:r w:rsidRPr="006A36F7">
        <w:rPr>
          <w:rFonts w:ascii="Palatino Linotype" w:hAnsi="Palatino Linotype" w:cs="Arial"/>
          <w:sz w:val="22"/>
          <w:szCs w:val="22"/>
          <w:lang w:eastAsia="es-MX"/>
        </w:rPr>
        <w:t>JOSÉ GUADALUPE LUNA HERNÁNDEZ</w:t>
      </w:r>
      <w:r w:rsidR="000009ED">
        <w:rPr>
          <w:rFonts w:ascii="Palatino Linotype" w:hAnsi="Palatino Linotype" w:cs="Arial"/>
          <w:sz w:val="22"/>
          <w:szCs w:val="22"/>
          <w:lang w:eastAsia="es-MX"/>
        </w:rPr>
        <w:t xml:space="preserve"> CON VOTO PARTICULAR</w:t>
      </w:r>
      <w:r w:rsidR="008F70FD" w:rsidRPr="006A36F7">
        <w:rPr>
          <w:rFonts w:ascii="Palatino Linotype" w:hAnsi="Palatino Linotype" w:cs="Arial"/>
          <w:sz w:val="22"/>
          <w:szCs w:val="22"/>
          <w:lang w:eastAsia="es-MX"/>
        </w:rPr>
        <w:t>,</w:t>
      </w:r>
      <w:r w:rsidRPr="006A36F7">
        <w:rPr>
          <w:rFonts w:ascii="Palatino Linotype" w:hAnsi="Palatino Linotype" w:cs="Arial"/>
          <w:sz w:val="22"/>
          <w:szCs w:val="22"/>
          <w:lang w:eastAsia="es-MX"/>
        </w:rPr>
        <w:t xml:space="preserve"> </w:t>
      </w:r>
      <w:r w:rsidRPr="006A36F7">
        <w:rPr>
          <w:rFonts w:ascii="Palatino Linotype" w:hAnsi="Palatino Linotype" w:cs="Arial"/>
          <w:sz w:val="22"/>
          <w:szCs w:val="22"/>
          <w:lang w:val="es-ES_tradnl" w:eastAsia="es-MX"/>
        </w:rPr>
        <w:t xml:space="preserve">JAVIER MARTÍNEZ CRUZ </w:t>
      </w:r>
      <w:r w:rsidR="000009ED">
        <w:rPr>
          <w:rFonts w:ascii="Palatino Linotype" w:hAnsi="Palatino Linotype" w:cs="Arial"/>
          <w:sz w:val="22"/>
          <w:szCs w:val="22"/>
          <w:lang w:val="es-ES_tradnl" w:eastAsia="es-MX"/>
        </w:rPr>
        <w:t xml:space="preserve">CON VOTO PARTICULAR </w:t>
      </w:r>
      <w:r w:rsidRPr="006A36F7">
        <w:rPr>
          <w:rFonts w:ascii="Palatino Linotype" w:hAnsi="Palatino Linotype" w:cs="Arial"/>
          <w:sz w:val="22"/>
          <w:szCs w:val="22"/>
          <w:lang w:val="es-ES_tradnl" w:eastAsia="es-MX"/>
        </w:rPr>
        <w:t>Y LUIS GUSTAVO PARRA NORIEGA</w:t>
      </w:r>
      <w:r w:rsidRPr="006A36F7">
        <w:rPr>
          <w:rFonts w:ascii="Palatino Linotype" w:hAnsi="Palatino Linotype" w:cs="Arial"/>
          <w:sz w:val="22"/>
          <w:szCs w:val="22"/>
          <w:lang w:eastAsia="es-MX"/>
        </w:rPr>
        <w:t xml:space="preserve">, EN LA </w:t>
      </w:r>
      <w:r w:rsidR="00C742C5">
        <w:rPr>
          <w:rFonts w:ascii="Palatino Linotype" w:hAnsi="Palatino Linotype" w:cs="Arial"/>
          <w:sz w:val="22"/>
          <w:szCs w:val="22"/>
          <w:lang w:eastAsia="es-MX"/>
        </w:rPr>
        <w:t xml:space="preserve">VIGÉSIMA </w:t>
      </w:r>
      <w:r w:rsidR="00D7444B">
        <w:rPr>
          <w:rFonts w:ascii="Palatino Linotype" w:hAnsi="Palatino Linotype" w:cs="Arial"/>
          <w:sz w:val="22"/>
          <w:szCs w:val="22"/>
          <w:lang w:eastAsia="es-MX"/>
        </w:rPr>
        <w:t>CUARTA</w:t>
      </w:r>
      <w:r w:rsidR="001934DC" w:rsidRPr="006A36F7">
        <w:rPr>
          <w:rFonts w:ascii="Palatino Linotype" w:hAnsi="Palatino Linotype" w:cs="Arial"/>
          <w:sz w:val="22"/>
          <w:szCs w:val="22"/>
          <w:lang w:eastAsia="es-MX"/>
        </w:rPr>
        <w:t xml:space="preserve"> </w:t>
      </w:r>
      <w:r w:rsidRPr="006A36F7">
        <w:rPr>
          <w:rFonts w:ascii="Palatino Linotype" w:hAnsi="Palatino Linotype" w:cs="Arial"/>
          <w:sz w:val="22"/>
          <w:szCs w:val="22"/>
          <w:lang w:eastAsia="es-MX"/>
        </w:rPr>
        <w:t xml:space="preserve">SESIÓN ORDINARIA, CELEBRADA EL </w:t>
      </w:r>
      <w:r w:rsidR="00D7444B">
        <w:rPr>
          <w:rFonts w:ascii="Palatino Linotype" w:hAnsi="Palatino Linotype" w:cs="Arial"/>
          <w:sz w:val="22"/>
          <w:szCs w:val="22"/>
          <w:lang w:eastAsia="es-MX"/>
        </w:rPr>
        <w:t>VEINTISÉIS</w:t>
      </w:r>
      <w:r w:rsidR="00C742C5">
        <w:rPr>
          <w:rFonts w:ascii="Palatino Linotype" w:hAnsi="Palatino Linotype" w:cs="Arial"/>
          <w:sz w:val="22"/>
          <w:szCs w:val="22"/>
          <w:lang w:eastAsia="es-MX"/>
        </w:rPr>
        <w:t xml:space="preserve"> DE JUNIO</w:t>
      </w:r>
      <w:r w:rsidR="00300671" w:rsidRPr="006A36F7">
        <w:rPr>
          <w:rFonts w:ascii="Palatino Linotype" w:hAnsi="Palatino Linotype" w:cs="Arial"/>
          <w:sz w:val="22"/>
          <w:szCs w:val="22"/>
          <w:lang w:eastAsia="es-MX"/>
        </w:rPr>
        <w:t xml:space="preserve"> </w:t>
      </w:r>
      <w:r w:rsidRPr="006A36F7">
        <w:rPr>
          <w:rFonts w:ascii="Palatino Linotype" w:hAnsi="Palatino Linotype" w:cs="Arial"/>
          <w:sz w:val="22"/>
          <w:szCs w:val="22"/>
          <w:lang w:eastAsia="es-MX"/>
        </w:rPr>
        <w:t>DE DOS MIL DIECI</w:t>
      </w:r>
      <w:r w:rsidR="007479DD" w:rsidRPr="006A36F7">
        <w:rPr>
          <w:rFonts w:ascii="Palatino Linotype" w:hAnsi="Palatino Linotype" w:cs="Arial"/>
          <w:sz w:val="22"/>
          <w:szCs w:val="22"/>
          <w:lang w:eastAsia="es-MX"/>
        </w:rPr>
        <w:t>NUEVE,</w:t>
      </w:r>
      <w:r w:rsidRPr="006A36F7">
        <w:rPr>
          <w:rFonts w:ascii="Palatino Linotype" w:hAnsi="Palatino Linotype" w:cs="Arial"/>
          <w:sz w:val="22"/>
          <w:szCs w:val="22"/>
          <w:lang w:eastAsia="es-MX"/>
        </w:rPr>
        <w:t xml:space="preserve"> ANTE EL SECRETARIO TÉCNICO DEL PLENO, ALEXIS TAPIA RAMÍREZ.</w:t>
      </w:r>
    </w:p>
    <w:p w14:paraId="567434DF" w14:textId="4C98B64A" w:rsidR="004022FB" w:rsidRDefault="004022FB" w:rsidP="00740136">
      <w:pPr>
        <w:spacing w:line="360" w:lineRule="auto"/>
        <w:ind w:right="-93"/>
        <w:jc w:val="both"/>
        <w:rPr>
          <w:rFonts w:ascii="Palatino Linotype" w:eastAsia="Calibri" w:hAnsi="Palatino Linotype" w:cs="Tahoma"/>
          <w:b/>
          <w:bCs/>
          <w:sz w:val="22"/>
          <w:szCs w:val="22"/>
          <w:lang w:eastAsia="en-US"/>
        </w:rPr>
      </w:pPr>
    </w:p>
    <w:p w14:paraId="19961EC2" w14:textId="77777777" w:rsidR="00DF30A3" w:rsidRDefault="00DF30A3" w:rsidP="00740136">
      <w:pPr>
        <w:spacing w:line="360" w:lineRule="auto"/>
        <w:ind w:right="-93"/>
        <w:jc w:val="both"/>
        <w:rPr>
          <w:rFonts w:ascii="Palatino Linotype" w:eastAsia="Calibri" w:hAnsi="Palatino Linotype" w:cs="Tahoma"/>
          <w:b/>
          <w:bCs/>
          <w:sz w:val="22"/>
          <w:szCs w:val="22"/>
          <w:lang w:eastAsia="en-US"/>
        </w:rPr>
      </w:pPr>
    </w:p>
    <w:p w14:paraId="56AA0B4A" w14:textId="77777777" w:rsidR="00611119" w:rsidRDefault="00611119" w:rsidP="00740136">
      <w:pPr>
        <w:spacing w:line="360" w:lineRule="auto"/>
        <w:ind w:right="-93"/>
        <w:jc w:val="both"/>
        <w:rPr>
          <w:rFonts w:ascii="Palatino Linotype" w:eastAsia="Calibri" w:hAnsi="Palatino Linotype" w:cs="Tahoma"/>
          <w:b/>
          <w:bCs/>
          <w:sz w:val="22"/>
          <w:szCs w:val="22"/>
          <w:lang w:eastAsia="en-US"/>
        </w:rPr>
      </w:pPr>
    </w:p>
    <w:p w14:paraId="547FEB73" w14:textId="77777777" w:rsidR="00611119" w:rsidRPr="006A36F7" w:rsidRDefault="00611119" w:rsidP="00740136">
      <w:pPr>
        <w:spacing w:line="360" w:lineRule="auto"/>
        <w:ind w:right="-93"/>
        <w:jc w:val="both"/>
        <w:rPr>
          <w:rFonts w:ascii="Palatino Linotype" w:eastAsia="Calibri" w:hAnsi="Palatino Linotype" w:cs="Tahoma"/>
          <w:b/>
          <w:bCs/>
          <w:sz w:val="22"/>
          <w:szCs w:val="22"/>
          <w:lang w:eastAsia="en-US"/>
        </w:rPr>
      </w:pPr>
    </w:p>
    <w:p w14:paraId="567434E0" w14:textId="77777777" w:rsidR="00035017" w:rsidRPr="006A36F7" w:rsidRDefault="00035017" w:rsidP="00740136">
      <w:pPr>
        <w:spacing w:line="360" w:lineRule="auto"/>
        <w:jc w:val="both"/>
        <w:rPr>
          <w:rFonts w:ascii="Palatino Linotype" w:hAnsi="Palatino Linotype" w:cs="Tahoma"/>
          <w:sz w:val="22"/>
          <w:szCs w:val="22"/>
          <w:lang w:val="es-MX"/>
        </w:rPr>
      </w:pPr>
      <w:r w:rsidRPr="006A36F7">
        <w:rPr>
          <w:rFonts w:ascii="Palatino Linotype" w:hAnsi="Palatino Linotype" w:cs="Tahoma"/>
          <w:noProof/>
          <w:sz w:val="22"/>
          <w:szCs w:val="22"/>
          <w:lang w:val="es-MX" w:eastAsia="es-MX"/>
        </w:rPr>
        <mc:AlternateContent>
          <mc:Choice Requires="wps">
            <w:drawing>
              <wp:anchor distT="0" distB="0" distL="114300" distR="114300" simplePos="0" relativeHeight="251673600" behindDoc="0" locked="0" layoutInCell="1" allowOverlap="1" wp14:anchorId="567434F5" wp14:editId="567434F6">
                <wp:simplePos x="0" y="0"/>
                <wp:positionH relativeFrom="margin">
                  <wp:align>center</wp:align>
                </wp:positionH>
                <wp:positionV relativeFrom="paragraph">
                  <wp:posOffset>129540</wp:posOffset>
                </wp:positionV>
                <wp:extent cx="2551430" cy="790575"/>
                <wp:effectExtent l="0" t="0" r="20320" b="28575"/>
                <wp:wrapNone/>
                <wp:docPr id="21" name="Cuadro de texto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51430" cy="7905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56743528" w14:textId="77777777" w:rsidR="00F26A49" w:rsidRPr="007516C8" w:rsidRDefault="00F26A49" w:rsidP="00035017">
                            <w:pPr>
                              <w:jc w:val="center"/>
                              <w:rPr>
                                <w:rFonts w:ascii="Palatino Linotype" w:hAnsi="Palatino Linotype" w:cs="Tahoma"/>
                                <w:b/>
                                <w:sz w:val="22"/>
                                <w:szCs w:val="22"/>
                              </w:rPr>
                            </w:pPr>
                            <w:r w:rsidRPr="007516C8">
                              <w:rPr>
                                <w:rFonts w:ascii="Palatino Linotype" w:hAnsi="Palatino Linotype" w:cs="Tahoma"/>
                                <w:b/>
                                <w:sz w:val="22"/>
                                <w:szCs w:val="22"/>
                              </w:rPr>
                              <w:t>Zulema Martínez Sánchez</w:t>
                            </w:r>
                          </w:p>
                          <w:p w14:paraId="56743529" w14:textId="77777777" w:rsidR="00F26A49" w:rsidRPr="00DF30A3" w:rsidRDefault="00F26A49" w:rsidP="00035017">
                            <w:pPr>
                              <w:jc w:val="center"/>
                              <w:rPr>
                                <w:rFonts w:ascii="Palatino Linotype" w:hAnsi="Palatino Linotype" w:cs="Tahoma"/>
                                <w:sz w:val="22"/>
                                <w:szCs w:val="22"/>
                              </w:rPr>
                            </w:pPr>
                            <w:r w:rsidRPr="00DF30A3">
                              <w:rPr>
                                <w:rFonts w:ascii="Palatino Linotype" w:hAnsi="Palatino Linotype" w:cs="Tahoma"/>
                                <w:sz w:val="22"/>
                                <w:szCs w:val="22"/>
                              </w:rPr>
                              <w:t>Comisionada Presidenta</w:t>
                            </w:r>
                          </w:p>
                          <w:p w14:paraId="5674352A" w14:textId="77777777" w:rsidR="00F26A49" w:rsidRPr="00016AF3" w:rsidRDefault="00F26A49" w:rsidP="00035017">
                            <w:pPr>
                              <w:jc w:val="center"/>
                              <w:rPr>
                                <w:rFonts w:ascii="Palatino Linotype" w:hAnsi="Palatino Linotype"/>
                                <w:b/>
                                <w:sz w:val="24"/>
                                <w:szCs w:val="24"/>
                              </w:rPr>
                            </w:pPr>
                            <w:r w:rsidRPr="008F70FD">
                              <w:rPr>
                                <w:rFonts w:ascii="Palatino Linotype" w:hAnsi="Palatino Linotype"/>
                                <w:b/>
                                <w:sz w:val="24"/>
                                <w:szCs w:val="24"/>
                              </w:rPr>
                              <w:t>(Rúbrica)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67434F5" id="_x0000_t202" coordsize="21600,21600" o:spt="202" path="m,l,21600r21600,l21600,xe">
                <v:stroke joinstyle="miter"/>
                <v:path gradientshapeok="t" o:connecttype="rect"/>
              </v:shapetype>
              <v:shape id="Cuadro de texto 21" o:spid="_x0000_s1026" type="#_x0000_t202" style="position:absolute;left:0;text-align:left;margin-left:0;margin-top:10.2pt;width:200.9pt;height:62.25pt;z-index:2516736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" fillcolor="white [3201]" strokecolor="white [3212]" strokeweight=".5pt">
                <v:path arrowok="t"/>
                <v:textbox>
                  <w:txbxContent>
                    <w:p w14:paraId="56743528" w14:textId="77777777" w:rsidR="00F26A49" w:rsidRPr="007516C8" w:rsidRDefault="00F26A49" w:rsidP="00035017">
                      <w:pPr>
                        <w:jc w:val="center"/>
                        <w:rPr>
                          <w:rFonts w:ascii="Palatino Linotype" w:hAnsi="Palatino Linotype" w:cs="Tahoma"/>
                          <w:b/>
                          <w:sz w:val="22"/>
                          <w:szCs w:val="22"/>
                        </w:rPr>
                      </w:pPr>
                      <w:r w:rsidRPr="007516C8">
                        <w:rPr>
                          <w:rFonts w:ascii="Palatino Linotype" w:hAnsi="Palatino Linotype" w:cs="Tahoma"/>
                          <w:b/>
                          <w:sz w:val="22"/>
                          <w:szCs w:val="22"/>
                        </w:rPr>
                        <w:t>Zulema Martínez Sánchez</w:t>
                      </w:r>
                    </w:p>
                    <w:p w14:paraId="56743529" w14:textId="77777777" w:rsidR="00F26A49" w:rsidRPr="00DF30A3" w:rsidRDefault="00F26A49" w:rsidP="00035017">
                      <w:pPr>
                        <w:jc w:val="center"/>
                        <w:rPr>
                          <w:rFonts w:ascii="Palatino Linotype" w:hAnsi="Palatino Linotype" w:cs="Tahoma"/>
                          <w:sz w:val="22"/>
                          <w:szCs w:val="22"/>
                        </w:rPr>
                      </w:pPr>
                      <w:r w:rsidRPr="00DF30A3">
                        <w:rPr>
                          <w:rFonts w:ascii="Palatino Linotype" w:hAnsi="Palatino Linotype" w:cs="Tahoma"/>
                          <w:sz w:val="22"/>
                          <w:szCs w:val="22"/>
                        </w:rPr>
                        <w:t>Comisionada Presidenta</w:t>
                      </w:r>
                    </w:p>
                    <w:p w14:paraId="5674352A" w14:textId="77777777" w:rsidR="00F26A49" w:rsidRPr="00016AF3" w:rsidRDefault="00F26A49" w:rsidP="00035017">
                      <w:pPr>
                        <w:jc w:val="center"/>
                        <w:rPr>
                          <w:rFonts w:ascii="Palatino Linotype" w:hAnsi="Palatino Linotype"/>
                          <w:b/>
                          <w:sz w:val="24"/>
                          <w:szCs w:val="24"/>
                        </w:rPr>
                      </w:pPr>
                      <w:r w:rsidRPr="008F70FD">
                        <w:rPr>
                          <w:rFonts w:ascii="Palatino Linotype" w:hAnsi="Palatino Linotype"/>
                          <w:b/>
                          <w:sz w:val="24"/>
                          <w:szCs w:val="24"/>
                        </w:rPr>
                        <w:t>(Rúbrica)</w:t>
                      </w:r>
                    </w:p>
                  </w:txbxContent>
                </v:textbox>
                <w10:wrap anchorx="margin"/>
              </v:shape>
            </w:pict>
          </mc:Fallback>
        </mc:AlternateContent>
      </w:r>
    </w:p>
    <w:p w14:paraId="567434E1" w14:textId="77777777" w:rsidR="00035017" w:rsidRPr="006A36F7" w:rsidRDefault="00035017" w:rsidP="00740136">
      <w:pPr>
        <w:spacing w:line="360" w:lineRule="auto"/>
        <w:jc w:val="both"/>
        <w:rPr>
          <w:rFonts w:ascii="Palatino Linotype" w:hAnsi="Palatino Linotype" w:cs="Tahoma"/>
          <w:sz w:val="22"/>
          <w:szCs w:val="22"/>
          <w:lang w:val="es-MX"/>
        </w:rPr>
      </w:pPr>
    </w:p>
    <w:p w14:paraId="567434E2" w14:textId="77777777" w:rsidR="00035017" w:rsidRPr="006A36F7" w:rsidRDefault="00035017" w:rsidP="00740136">
      <w:pPr>
        <w:spacing w:line="360" w:lineRule="auto"/>
        <w:jc w:val="both"/>
        <w:rPr>
          <w:rFonts w:ascii="Palatino Linotype" w:hAnsi="Palatino Linotype" w:cs="Tahoma"/>
          <w:b/>
          <w:sz w:val="22"/>
          <w:szCs w:val="22"/>
          <w:lang w:val="es-MX"/>
        </w:rPr>
      </w:pPr>
    </w:p>
    <w:p w14:paraId="567434E3" w14:textId="77777777" w:rsidR="00035017" w:rsidRPr="006A36F7" w:rsidRDefault="00035017" w:rsidP="00740136">
      <w:pPr>
        <w:spacing w:line="360" w:lineRule="auto"/>
        <w:jc w:val="both"/>
        <w:rPr>
          <w:rFonts w:ascii="Palatino Linotype" w:hAnsi="Palatino Linotype" w:cs="Tahoma"/>
          <w:b/>
          <w:sz w:val="22"/>
          <w:szCs w:val="22"/>
          <w:lang w:val="es-MX"/>
        </w:rPr>
      </w:pPr>
    </w:p>
    <w:p w14:paraId="567434E4" w14:textId="7542E2B2" w:rsidR="00035017" w:rsidRDefault="00035017" w:rsidP="00740136">
      <w:pPr>
        <w:spacing w:line="360" w:lineRule="auto"/>
        <w:jc w:val="both"/>
        <w:rPr>
          <w:rFonts w:ascii="Palatino Linotype" w:hAnsi="Palatino Linotype" w:cs="Tahoma"/>
          <w:b/>
          <w:sz w:val="22"/>
          <w:szCs w:val="22"/>
          <w:lang w:val="es-MX"/>
        </w:rPr>
      </w:pPr>
    </w:p>
    <w:p w14:paraId="21FFC9A4" w14:textId="0D5BA75F" w:rsidR="00DF30A3" w:rsidRDefault="00DF30A3" w:rsidP="00740136">
      <w:pPr>
        <w:spacing w:line="360" w:lineRule="auto"/>
        <w:jc w:val="both"/>
        <w:rPr>
          <w:rFonts w:ascii="Palatino Linotype" w:hAnsi="Palatino Linotype" w:cs="Tahoma"/>
          <w:b/>
          <w:sz w:val="22"/>
          <w:szCs w:val="22"/>
          <w:lang w:val="es-MX"/>
        </w:rPr>
      </w:pPr>
    </w:p>
    <w:p w14:paraId="567434E5" w14:textId="77777777" w:rsidR="00035017" w:rsidRPr="006A36F7" w:rsidRDefault="00035017" w:rsidP="00740136">
      <w:pPr>
        <w:spacing w:line="360" w:lineRule="auto"/>
        <w:jc w:val="both"/>
        <w:rPr>
          <w:rFonts w:ascii="Palatino Linotype" w:hAnsi="Palatino Linotype" w:cs="Tahoma"/>
          <w:b/>
          <w:sz w:val="22"/>
          <w:szCs w:val="22"/>
          <w:lang w:val="es-MX"/>
        </w:rPr>
      </w:pPr>
      <w:r w:rsidRPr="006A36F7">
        <w:rPr>
          <w:rFonts w:ascii="Palatino Linotype" w:hAnsi="Palatino Linotype" w:cs="Tahoma"/>
          <w:noProof/>
          <w:sz w:val="22"/>
          <w:szCs w:val="22"/>
          <w:lang w:val="es-MX" w:eastAsia="es-MX"/>
        </w:rPr>
        <mc:AlternateContent>
          <mc:Choice Requires="wps">
            <w:drawing>
              <wp:anchor distT="0" distB="0" distL="114300" distR="114300" simplePos="0" relativeHeight="251674624" behindDoc="0" locked="0" layoutInCell="1" allowOverlap="1" wp14:anchorId="567434F7" wp14:editId="567434F8">
                <wp:simplePos x="0" y="0"/>
                <wp:positionH relativeFrom="margin">
                  <wp:align>left</wp:align>
                </wp:positionH>
                <wp:positionV relativeFrom="paragraph">
                  <wp:posOffset>20955</wp:posOffset>
                </wp:positionV>
                <wp:extent cx="1943100" cy="990600"/>
                <wp:effectExtent l="0" t="0" r="19050" b="19050"/>
                <wp:wrapNone/>
                <wp:docPr id="22" name="Cuadro de texto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3100" cy="9906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5674352B" w14:textId="77777777" w:rsidR="00F26A49" w:rsidRDefault="00F26A49" w:rsidP="00035017">
                            <w:pPr>
                              <w:jc w:val="center"/>
                              <w:rPr>
                                <w:rFonts w:ascii="Palatino Linotype" w:hAnsi="Palatino Linotype" w:cs="Tahoma"/>
                                <w:b/>
                                <w:sz w:val="22"/>
                                <w:szCs w:val="22"/>
                              </w:rPr>
                            </w:pPr>
                          </w:p>
                          <w:p w14:paraId="5674352C" w14:textId="77777777" w:rsidR="00F26A49" w:rsidRPr="007516C8" w:rsidRDefault="00F26A49" w:rsidP="00035017">
                            <w:pPr>
                              <w:jc w:val="center"/>
                              <w:rPr>
                                <w:rFonts w:ascii="Palatino Linotype" w:hAnsi="Palatino Linotype" w:cs="Tahoma"/>
                                <w:b/>
                                <w:sz w:val="22"/>
                                <w:szCs w:val="22"/>
                              </w:rPr>
                            </w:pPr>
                            <w:r w:rsidRPr="007516C8">
                              <w:rPr>
                                <w:rFonts w:ascii="Palatino Linotype" w:hAnsi="Palatino Linotype" w:cs="Tahoma"/>
                                <w:b/>
                                <w:sz w:val="22"/>
                                <w:szCs w:val="22"/>
                              </w:rPr>
                              <w:t>Eva Abaid Yapur</w:t>
                            </w:r>
                          </w:p>
                          <w:p w14:paraId="5674352D" w14:textId="77777777" w:rsidR="00F26A49" w:rsidRPr="00DF30A3" w:rsidRDefault="00F26A49" w:rsidP="00035017">
                            <w:pPr>
                              <w:jc w:val="center"/>
                              <w:rPr>
                                <w:rFonts w:ascii="Palatino Linotype" w:hAnsi="Palatino Linotype" w:cs="Tahoma"/>
                                <w:sz w:val="22"/>
                                <w:szCs w:val="22"/>
                              </w:rPr>
                            </w:pPr>
                            <w:r w:rsidRPr="00DF30A3">
                              <w:rPr>
                                <w:rFonts w:ascii="Palatino Linotype" w:hAnsi="Palatino Linotype" w:cs="Tahoma"/>
                                <w:sz w:val="22"/>
                                <w:szCs w:val="22"/>
                              </w:rPr>
                              <w:t>Comisionada</w:t>
                            </w:r>
                          </w:p>
                          <w:p w14:paraId="5674352E" w14:textId="77777777" w:rsidR="00F26A49" w:rsidRPr="007516C8" w:rsidRDefault="00F26A49" w:rsidP="00035017">
                            <w:pPr>
                              <w:jc w:val="center"/>
                              <w:rPr>
                                <w:rFonts w:ascii="Palatino Linotype" w:hAnsi="Palatino Linotype" w:cs="Tahoma"/>
                                <w:b/>
                                <w:sz w:val="22"/>
                                <w:szCs w:val="22"/>
                              </w:rPr>
                            </w:pPr>
                            <w:r w:rsidRPr="008F70FD">
                              <w:rPr>
                                <w:rFonts w:ascii="Palatino Linotype" w:hAnsi="Palatino Linotype" w:cs="Tahoma"/>
                                <w:b/>
                                <w:sz w:val="22"/>
                                <w:szCs w:val="22"/>
                              </w:rPr>
                              <w:t>(Rúbrica)</w:t>
                            </w:r>
                          </w:p>
                          <w:p w14:paraId="5674352F" w14:textId="77777777" w:rsidR="00F26A49" w:rsidRPr="0080253B" w:rsidRDefault="00F26A49" w:rsidP="00035017">
                            <w:pPr>
                              <w:jc w:val="center"/>
                              <w:rPr>
                                <w:rFonts w:ascii="Palatino Linotype" w:hAnsi="Palatino Linotype" w:cs="Tahoma"/>
                                <w:b/>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7434F7" id="Cuadro de texto 22" o:spid="_x0000_s1027" type="#_x0000_t202" style="position:absolute;left:0;text-align:left;margin-left:0;margin-top:1.65pt;width:153pt;height:78pt;z-index:2516746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" fillcolor="white [3201]" strokecolor="white [3212]" strokeweight=".5pt">
                <v:path arrowok="t"/>
                <v:textbox>
                  <w:txbxContent>
                    <w:p w14:paraId="5674352B" w14:textId="77777777" w:rsidR="00F26A49" w:rsidRDefault="00F26A49" w:rsidP="00035017">
                      <w:pPr>
                        <w:jc w:val="center"/>
                        <w:rPr>
                          <w:rFonts w:ascii="Palatino Linotype" w:hAnsi="Palatino Linotype" w:cs="Tahoma"/>
                          <w:b/>
                          <w:sz w:val="22"/>
                          <w:szCs w:val="22"/>
                        </w:rPr>
                      </w:pPr>
                    </w:p>
                    <w:p w14:paraId="5674352C" w14:textId="77777777" w:rsidR="00F26A49" w:rsidRPr="007516C8" w:rsidRDefault="00F26A49" w:rsidP="00035017">
                      <w:pPr>
                        <w:jc w:val="center"/>
                        <w:rPr>
                          <w:rFonts w:ascii="Palatino Linotype" w:hAnsi="Palatino Linotype" w:cs="Tahoma"/>
                          <w:b/>
                          <w:sz w:val="22"/>
                          <w:szCs w:val="22"/>
                        </w:rPr>
                      </w:pPr>
                      <w:r w:rsidRPr="007516C8">
                        <w:rPr>
                          <w:rFonts w:ascii="Palatino Linotype" w:hAnsi="Palatino Linotype" w:cs="Tahoma"/>
                          <w:b/>
                          <w:sz w:val="22"/>
                          <w:szCs w:val="22"/>
                        </w:rPr>
                        <w:t>Eva Abaid Yapur</w:t>
                      </w:r>
                    </w:p>
                    <w:p w14:paraId="5674352D" w14:textId="77777777" w:rsidR="00F26A49" w:rsidRPr="00DF30A3" w:rsidRDefault="00F26A49" w:rsidP="00035017">
                      <w:pPr>
                        <w:jc w:val="center"/>
                        <w:rPr>
                          <w:rFonts w:ascii="Palatino Linotype" w:hAnsi="Palatino Linotype" w:cs="Tahoma"/>
                          <w:sz w:val="22"/>
                          <w:szCs w:val="22"/>
                        </w:rPr>
                      </w:pPr>
                      <w:r w:rsidRPr="00DF30A3">
                        <w:rPr>
                          <w:rFonts w:ascii="Palatino Linotype" w:hAnsi="Palatino Linotype" w:cs="Tahoma"/>
                          <w:sz w:val="22"/>
                          <w:szCs w:val="22"/>
                        </w:rPr>
                        <w:t>Comisionada</w:t>
                      </w:r>
                    </w:p>
                    <w:p w14:paraId="5674352E" w14:textId="77777777" w:rsidR="00F26A49" w:rsidRPr="007516C8" w:rsidRDefault="00F26A49" w:rsidP="00035017">
                      <w:pPr>
                        <w:jc w:val="center"/>
                        <w:rPr>
                          <w:rFonts w:ascii="Palatino Linotype" w:hAnsi="Palatino Linotype" w:cs="Tahoma"/>
                          <w:b/>
                          <w:sz w:val="22"/>
                          <w:szCs w:val="22"/>
                        </w:rPr>
                      </w:pPr>
                      <w:r w:rsidRPr="008F70FD">
                        <w:rPr>
                          <w:rFonts w:ascii="Palatino Linotype" w:hAnsi="Palatino Linotype" w:cs="Tahoma"/>
                          <w:b/>
                          <w:sz w:val="22"/>
                          <w:szCs w:val="22"/>
                        </w:rPr>
                        <w:t>(Rúbrica)</w:t>
                      </w:r>
                    </w:p>
                    <w:p w14:paraId="5674352F" w14:textId="77777777" w:rsidR="00F26A49" w:rsidRPr="0080253B" w:rsidRDefault="00F26A49" w:rsidP="00035017">
                      <w:pPr>
                        <w:jc w:val="center"/>
                        <w:rPr>
                          <w:rFonts w:ascii="Palatino Linotype" w:hAnsi="Palatino Linotype" w:cs="Tahoma"/>
                          <w:b/>
                          <w:sz w:val="22"/>
                          <w:szCs w:val="22"/>
                        </w:rPr>
                      </w:pPr>
                    </w:p>
                  </w:txbxContent>
                </v:textbox>
                <w10:wrap anchorx="margin"/>
              </v:shape>
            </w:pict>
          </mc:Fallback>
        </mc:AlternateContent>
      </w:r>
      <w:r w:rsidRPr="006A36F7">
        <w:rPr>
          <w:rFonts w:ascii="Palatino Linotype" w:hAnsi="Palatino Linotype" w:cs="Tahoma"/>
          <w:noProof/>
          <w:sz w:val="22"/>
          <w:szCs w:val="22"/>
          <w:lang w:val="es-MX" w:eastAsia="es-MX"/>
        </w:rPr>
        <mc:AlternateContent>
          <mc:Choice Requires="wps">
            <w:drawing>
              <wp:anchor distT="0" distB="0" distL="114300" distR="114300" simplePos="0" relativeHeight="251675648" behindDoc="0" locked="0" layoutInCell="1" allowOverlap="1" wp14:anchorId="567434F9" wp14:editId="567434FA">
                <wp:simplePos x="0" y="0"/>
                <wp:positionH relativeFrom="margin">
                  <wp:align>right</wp:align>
                </wp:positionH>
                <wp:positionV relativeFrom="paragraph">
                  <wp:posOffset>9525</wp:posOffset>
                </wp:positionV>
                <wp:extent cx="2800350" cy="942975"/>
                <wp:effectExtent l="0" t="0" r="19050" b="28575"/>
                <wp:wrapNone/>
                <wp:docPr id="35" name="Cuadro de texto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00350" cy="9429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56743530" w14:textId="77777777" w:rsidR="00F26A49" w:rsidRDefault="00F26A49" w:rsidP="00035017">
                            <w:pPr>
                              <w:jc w:val="center"/>
                              <w:rPr>
                                <w:rFonts w:ascii="Palatino Linotype" w:hAnsi="Palatino Linotype" w:cs="Tahoma"/>
                                <w:b/>
                                <w:sz w:val="22"/>
                                <w:szCs w:val="22"/>
                              </w:rPr>
                            </w:pPr>
                          </w:p>
                          <w:p w14:paraId="56743531" w14:textId="77777777" w:rsidR="00F26A49" w:rsidRPr="007516C8" w:rsidRDefault="00F26A49" w:rsidP="00035017">
                            <w:pPr>
                              <w:jc w:val="center"/>
                              <w:rPr>
                                <w:rFonts w:ascii="Palatino Linotype" w:hAnsi="Palatino Linotype" w:cs="Tahoma"/>
                                <w:b/>
                                <w:sz w:val="22"/>
                                <w:szCs w:val="22"/>
                              </w:rPr>
                            </w:pPr>
                            <w:r w:rsidRPr="007516C8">
                              <w:rPr>
                                <w:rFonts w:ascii="Palatino Linotype" w:hAnsi="Palatino Linotype" w:cs="Tahoma"/>
                                <w:b/>
                                <w:sz w:val="22"/>
                                <w:szCs w:val="22"/>
                              </w:rPr>
                              <w:t>José Guadalupe Luna Hernández</w:t>
                            </w:r>
                          </w:p>
                          <w:p w14:paraId="56743532" w14:textId="77777777" w:rsidR="00F26A49" w:rsidRPr="00DF30A3" w:rsidRDefault="00F26A49" w:rsidP="00035017">
                            <w:pPr>
                              <w:jc w:val="center"/>
                              <w:rPr>
                                <w:rFonts w:ascii="Palatino Linotype" w:hAnsi="Palatino Linotype" w:cs="Tahoma"/>
                                <w:sz w:val="22"/>
                                <w:szCs w:val="22"/>
                              </w:rPr>
                            </w:pPr>
                            <w:r w:rsidRPr="00DF30A3">
                              <w:rPr>
                                <w:rFonts w:ascii="Palatino Linotype" w:hAnsi="Palatino Linotype" w:cs="Tahoma"/>
                                <w:sz w:val="22"/>
                                <w:szCs w:val="22"/>
                              </w:rPr>
                              <w:t>Comisionado</w:t>
                            </w:r>
                          </w:p>
                          <w:p w14:paraId="56743533" w14:textId="77777777" w:rsidR="00F26A49" w:rsidRPr="00DF30A3" w:rsidRDefault="00F26A49" w:rsidP="008F70FD">
                            <w:pPr>
                              <w:spacing w:line="276" w:lineRule="auto"/>
                              <w:jc w:val="center"/>
                              <w:rPr>
                                <w:rFonts w:ascii="Palatino Linotype" w:eastAsia="Calibri" w:hAnsi="Palatino Linotype" w:cs="Tahoma"/>
                                <w:b/>
                                <w:sz w:val="22"/>
                                <w:szCs w:val="24"/>
                              </w:rPr>
                            </w:pPr>
                            <w:r w:rsidRPr="00DF30A3">
                              <w:rPr>
                                <w:rFonts w:ascii="Palatino Linotype" w:eastAsia="Calibri" w:hAnsi="Palatino Linotype" w:cs="Tahoma"/>
                                <w:b/>
                                <w:sz w:val="22"/>
                                <w:szCs w:val="24"/>
                              </w:rPr>
                              <w:t>(Rúbrica)</w:t>
                            </w:r>
                          </w:p>
                          <w:p w14:paraId="56743534" w14:textId="77777777" w:rsidR="00F26A49" w:rsidRPr="0080253B" w:rsidRDefault="00F26A49" w:rsidP="00035017">
                            <w:pPr>
                              <w:jc w:val="center"/>
                              <w:rPr>
                                <w:rFonts w:ascii="Palatino Linotype" w:hAnsi="Palatino Linotype"/>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7434F9" id="Cuadro de texto 35" o:spid="_x0000_s1028" type="#_x0000_t202" style="position:absolute;left:0;text-align:left;margin-left:169.3pt;margin-top:.75pt;width:220.5pt;height:74.25pt;z-index:2516756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" fillcolor="white [3201]" strokecolor="white [3212]" strokeweight=".5pt">
                <v:path arrowok="t"/>
                <v:textbox>
                  <w:txbxContent>
                    <w:p w14:paraId="56743530" w14:textId="77777777" w:rsidR="00F26A49" w:rsidRDefault="00F26A49" w:rsidP="00035017">
                      <w:pPr>
                        <w:jc w:val="center"/>
                        <w:rPr>
                          <w:rFonts w:ascii="Palatino Linotype" w:hAnsi="Palatino Linotype" w:cs="Tahoma"/>
                          <w:b/>
                          <w:sz w:val="22"/>
                          <w:szCs w:val="22"/>
                        </w:rPr>
                      </w:pPr>
                    </w:p>
                    <w:p w14:paraId="56743531" w14:textId="77777777" w:rsidR="00F26A49" w:rsidRPr="007516C8" w:rsidRDefault="00F26A49" w:rsidP="00035017">
                      <w:pPr>
                        <w:jc w:val="center"/>
                        <w:rPr>
                          <w:rFonts w:ascii="Palatino Linotype" w:hAnsi="Palatino Linotype" w:cs="Tahoma"/>
                          <w:b/>
                          <w:sz w:val="22"/>
                          <w:szCs w:val="22"/>
                        </w:rPr>
                      </w:pPr>
                      <w:r w:rsidRPr="007516C8">
                        <w:rPr>
                          <w:rFonts w:ascii="Palatino Linotype" w:hAnsi="Palatino Linotype" w:cs="Tahoma"/>
                          <w:b/>
                          <w:sz w:val="22"/>
                          <w:szCs w:val="22"/>
                        </w:rPr>
                        <w:t>José Guadalupe Luna Hernández</w:t>
                      </w:r>
                    </w:p>
                    <w:p w14:paraId="56743532" w14:textId="77777777" w:rsidR="00F26A49" w:rsidRPr="00DF30A3" w:rsidRDefault="00F26A49" w:rsidP="00035017">
                      <w:pPr>
                        <w:jc w:val="center"/>
                        <w:rPr>
                          <w:rFonts w:ascii="Palatino Linotype" w:hAnsi="Palatino Linotype" w:cs="Tahoma"/>
                          <w:sz w:val="22"/>
                          <w:szCs w:val="22"/>
                        </w:rPr>
                      </w:pPr>
                      <w:r w:rsidRPr="00DF30A3">
                        <w:rPr>
                          <w:rFonts w:ascii="Palatino Linotype" w:hAnsi="Palatino Linotype" w:cs="Tahoma"/>
                          <w:sz w:val="22"/>
                          <w:szCs w:val="22"/>
                        </w:rPr>
                        <w:t>Comisionado</w:t>
                      </w:r>
                    </w:p>
                    <w:p w14:paraId="56743533" w14:textId="77777777" w:rsidR="00F26A49" w:rsidRPr="00DF30A3" w:rsidRDefault="00F26A49" w:rsidP="008F70FD">
                      <w:pPr>
                        <w:spacing w:line="276" w:lineRule="auto"/>
                        <w:jc w:val="center"/>
                        <w:rPr>
                          <w:rFonts w:ascii="Palatino Linotype" w:eastAsia="Calibri" w:hAnsi="Palatino Linotype" w:cs="Tahoma"/>
                          <w:b/>
                          <w:sz w:val="22"/>
                          <w:szCs w:val="24"/>
                        </w:rPr>
                      </w:pPr>
                      <w:r w:rsidRPr="00DF30A3">
                        <w:rPr>
                          <w:rFonts w:ascii="Palatino Linotype" w:eastAsia="Calibri" w:hAnsi="Palatino Linotype" w:cs="Tahoma"/>
                          <w:b/>
                          <w:sz w:val="22"/>
                          <w:szCs w:val="24"/>
                        </w:rPr>
                        <w:t>(Rúbrica)</w:t>
                      </w:r>
                    </w:p>
                    <w:p w14:paraId="56743534" w14:textId="77777777" w:rsidR="00F26A49" w:rsidRPr="0080253B" w:rsidRDefault="00F26A49" w:rsidP="00035017">
                      <w:pPr>
                        <w:jc w:val="center"/>
                        <w:rPr>
                          <w:rFonts w:ascii="Palatino Linotype" w:hAnsi="Palatino Linotype"/>
                          <w:sz w:val="22"/>
                          <w:szCs w:val="22"/>
                        </w:rPr>
                      </w:pPr>
                    </w:p>
                  </w:txbxContent>
                </v:textbox>
                <w10:wrap anchorx="margin"/>
              </v:shape>
            </w:pict>
          </mc:Fallback>
        </mc:AlternateContent>
      </w:r>
    </w:p>
    <w:p w14:paraId="567434E6" w14:textId="77777777" w:rsidR="00035017" w:rsidRPr="006A36F7" w:rsidRDefault="00035017" w:rsidP="00740136">
      <w:pPr>
        <w:spacing w:line="360" w:lineRule="auto"/>
        <w:jc w:val="both"/>
        <w:rPr>
          <w:rFonts w:ascii="Palatino Linotype" w:hAnsi="Palatino Linotype" w:cs="Tahoma"/>
          <w:b/>
          <w:sz w:val="22"/>
          <w:szCs w:val="22"/>
          <w:lang w:val="es-MX"/>
        </w:rPr>
      </w:pPr>
    </w:p>
    <w:p w14:paraId="567434E7" w14:textId="77777777" w:rsidR="00035017" w:rsidRPr="006A36F7" w:rsidRDefault="00035017" w:rsidP="00740136">
      <w:pPr>
        <w:spacing w:line="360" w:lineRule="auto"/>
        <w:jc w:val="both"/>
        <w:rPr>
          <w:rFonts w:ascii="Palatino Linotype" w:hAnsi="Palatino Linotype" w:cs="Tahoma"/>
          <w:b/>
          <w:sz w:val="22"/>
          <w:szCs w:val="22"/>
          <w:lang w:val="es-MX"/>
        </w:rPr>
      </w:pPr>
    </w:p>
    <w:p w14:paraId="567434E8" w14:textId="77777777" w:rsidR="00035017" w:rsidRPr="006A36F7" w:rsidRDefault="00035017" w:rsidP="00740136">
      <w:pPr>
        <w:spacing w:line="360" w:lineRule="auto"/>
        <w:jc w:val="both"/>
        <w:rPr>
          <w:rFonts w:ascii="Palatino Linotype" w:hAnsi="Palatino Linotype" w:cs="Tahoma"/>
          <w:b/>
          <w:sz w:val="22"/>
          <w:szCs w:val="22"/>
          <w:lang w:val="es-MX"/>
        </w:rPr>
      </w:pPr>
    </w:p>
    <w:p w14:paraId="567434E9" w14:textId="7983BE07" w:rsidR="00035017" w:rsidRDefault="00035017" w:rsidP="00740136">
      <w:pPr>
        <w:spacing w:line="360" w:lineRule="auto"/>
        <w:jc w:val="both"/>
        <w:rPr>
          <w:rFonts w:ascii="Palatino Linotype" w:hAnsi="Palatino Linotype" w:cs="Tahoma"/>
          <w:b/>
          <w:sz w:val="22"/>
          <w:szCs w:val="22"/>
          <w:lang w:val="es-MX"/>
        </w:rPr>
      </w:pPr>
    </w:p>
    <w:p w14:paraId="4E1E0B8D" w14:textId="02865E80" w:rsidR="00DF30A3" w:rsidRDefault="00DF30A3" w:rsidP="00740136">
      <w:pPr>
        <w:spacing w:line="360" w:lineRule="auto"/>
        <w:jc w:val="both"/>
        <w:rPr>
          <w:rFonts w:ascii="Palatino Linotype" w:hAnsi="Palatino Linotype" w:cs="Tahoma"/>
          <w:b/>
          <w:sz w:val="22"/>
          <w:szCs w:val="22"/>
          <w:lang w:val="es-MX"/>
        </w:rPr>
      </w:pPr>
    </w:p>
    <w:p w14:paraId="77E41144" w14:textId="77777777" w:rsidR="00DF30A3" w:rsidRPr="006A36F7" w:rsidRDefault="00DF30A3" w:rsidP="00740136">
      <w:pPr>
        <w:spacing w:line="360" w:lineRule="auto"/>
        <w:jc w:val="both"/>
        <w:rPr>
          <w:rFonts w:ascii="Palatino Linotype" w:hAnsi="Palatino Linotype" w:cs="Tahoma"/>
          <w:b/>
          <w:sz w:val="22"/>
          <w:szCs w:val="22"/>
          <w:lang w:val="es-MX"/>
        </w:rPr>
      </w:pPr>
    </w:p>
    <w:p w14:paraId="567434EA" w14:textId="77777777" w:rsidR="00035017" w:rsidRPr="006A36F7" w:rsidRDefault="00035017" w:rsidP="00740136">
      <w:pPr>
        <w:spacing w:line="360" w:lineRule="auto"/>
        <w:jc w:val="both"/>
        <w:rPr>
          <w:rFonts w:ascii="Palatino Linotype" w:hAnsi="Palatino Linotype" w:cs="Tahoma"/>
          <w:b/>
          <w:sz w:val="22"/>
          <w:szCs w:val="22"/>
          <w:lang w:val="es-MX"/>
        </w:rPr>
      </w:pPr>
    </w:p>
    <w:p w14:paraId="567434EB" w14:textId="77777777" w:rsidR="00035017" w:rsidRPr="006A36F7" w:rsidRDefault="00D147D5" w:rsidP="00740136">
      <w:pPr>
        <w:spacing w:line="360" w:lineRule="auto"/>
        <w:jc w:val="both"/>
        <w:rPr>
          <w:rFonts w:ascii="Palatino Linotype" w:hAnsi="Palatino Linotype" w:cs="Tahoma"/>
          <w:sz w:val="22"/>
          <w:szCs w:val="22"/>
          <w:lang w:val="es-MX"/>
        </w:rPr>
      </w:pPr>
      <w:r w:rsidRPr="006A36F7">
        <w:rPr>
          <w:rFonts w:ascii="Palatino Linotype" w:hAnsi="Palatino Linotype" w:cs="Tahoma"/>
          <w:noProof/>
          <w:sz w:val="22"/>
          <w:szCs w:val="22"/>
          <w:lang w:val="es-MX" w:eastAsia="es-MX"/>
        </w:rPr>
        <mc:AlternateContent>
          <mc:Choice Requires="wps">
            <w:drawing>
              <wp:anchor distT="0" distB="0" distL="114300" distR="114300" simplePos="0" relativeHeight="251678720" behindDoc="0" locked="0" layoutInCell="1" allowOverlap="1" wp14:anchorId="567434FB" wp14:editId="567434FC">
                <wp:simplePos x="0" y="0"/>
                <wp:positionH relativeFrom="margin">
                  <wp:posOffset>3182620</wp:posOffset>
                </wp:positionH>
                <wp:positionV relativeFrom="paragraph">
                  <wp:posOffset>50165</wp:posOffset>
                </wp:positionV>
                <wp:extent cx="2276475" cy="962025"/>
                <wp:effectExtent l="0" t="0" r="28575" b="28575"/>
                <wp:wrapNone/>
                <wp:docPr id="5" name="Cuadro de texto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6475" cy="96202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56743535" w14:textId="77777777" w:rsidR="00F26A49" w:rsidRDefault="00F26A49" w:rsidP="00035017">
                            <w:pPr>
                              <w:jc w:val="center"/>
                              <w:rPr>
                                <w:rFonts w:ascii="Palatino Linotype" w:hAnsi="Palatino Linotype" w:cs="Tahoma"/>
                                <w:b/>
                                <w:sz w:val="22"/>
                                <w:szCs w:val="22"/>
                                <w:lang w:val="es-MX"/>
                              </w:rPr>
                            </w:pPr>
                          </w:p>
                          <w:p w14:paraId="56743536" w14:textId="77777777" w:rsidR="00F26A49" w:rsidRPr="007516C8" w:rsidRDefault="00F26A49" w:rsidP="00035017">
                            <w:pPr>
                              <w:jc w:val="center"/>
                              <w:rPr>
                                <w:rFonts w:ascii="Palatino Linotype" w:hAnsi="Palatino Linotype" w:cs="Tahoma"/>
                                <w:b/>
                                <w:sz w:val="22"/>
                                <w:szCs w:val="22"/>
                              </w:rPr>
                            </w:pPr>
                            <w:r w:rsidRPr="007516C8">
                              <w:rPr>
                                <w:rFonts w:ascii="Palatino Linotype" w:hAnsi="Palatino Linotype" w:cs="Tahoma"/>
                                <w:b/>
                                <w:sz w:val="22"/>
                                <w:szCs w:val="22"/>
                                <w:lang w:val="es-MX"/>
                              </w:rPr>
                              <w:t>Luis Gustavo Parra Noriega</w:t>
                            </w:r>
                          </w:p>
                          <w:p w14:paraId="56743537" w14:textId="77777777" w:rsidR="00F26A49" w:rsidRPr="00DF30A3" w:rsidRDefault="00F26A49" w:rsidP="00035017">
                            <w:pPr>
                              <w:jc w:val="center"/>
                              <w:rPr>
                                <w:rFonts w:ascii="Palatino Linotype" w:hAnsi="Palatino Linotype" w:cs="Tahoma"/>
                                <w:sz w:val="22"/>
                                <w:szCs w:val="22"/>
                              </w:rPr>
                            </w:pPr>
                            <w:r w:rsidRPr="00DF30A3">
                              <w:rPr>
                                <w:rFonts w:ascii="Palatino Linotype" w:hAnsi="Palatino Linotype" w:cs="Tahoma"/>
                                <w:sz w:val="22"/>
                                <w:szCs w:val="22"/>
                              </w:rPr>
                              <w:t>Comisionado</w:t>
                            </w:r>
                          </w:p>
                          <w:p w14:paraId="56743538" w14:textId="77777777" w:rsidR="00F26A49" w:rsidRPr="007516C8" w:rsidRDefault="00F26A49" w:rsidP="00035017">
                            <w:pPr>
                              <w:jc w:val="center"/>
                              <w:rPr>
                                <w:rFonts w:ascii="Palatino Linotype" w:hAnsi="Palatino Linotype"/>
                                <w:b/>
                                <w:sz w:val="22"/>
                                <w:szCs w:val="22"/>
                              </w:rPr>
                            </w:pPr>
                            <w:r w:rsidRPr="008F70FD">
                              <w:rPr>
                                <w:rFonts w:ascii="Palatino Linotype" w:hAnsi="Palatino Linotype"/>
                                <w:b/>
                                <w:sz w:val="22"/>
                                <w:szCs w:val="22"/>
                              </w:rPr>
                              <w:t>(Rúbrica)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7434FB" id="Cuadro de texto 9" o:spid="_x0000_s1029" type="#_x0000_t202" style="position:absolute;left:0;text-align:left;margin-left:250.6pt;margin-top:3.95pt;width:179.25pt;height:75.7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" fillcolor="white [3201]" strokecolor="white [3212]" strokeweight=".5pt">
                <v:path arrowok="t"/>
                <v:textbox>
                  <w:txbxContent>
                    <w:p w14:paraId="56743535" w14:textId="77777777" w:rsidR="00F26A49" w:rsidRDefault="00F26A49" w:rsidP="00035017">
                      <w:pPr>
                        <w:jc w:val="center"/>
                        <w:rPr>
                          <w:rFonts w:ascii="Palatino Linotype" w:hAnsi="Palatino Linotype" w:cs="Tahoma"/>
                          <w:b/>
                          <w:sz w:val="22"/>
                          <w:szCs w:val="22"/>
                          <w:lang w:val="es-MX"/>
                        </w:rPr>
                      </w:pPr>
                    </w:p>
                    <w:p w14:paraId="56743536" w14:textId="77777777" w:rsidR="00F26A49" w:rsidRPr="007516C8" w:rsidRDefault="00F26A49" w:rsidP="00035017">
                      <w:pPr>
                        <w:jc w:val="center"/>
                        <w:rPr>
                          <w:rFonts w:ascii="Palatino Linotype" w:hAnsi="Palatino Linotype" w:cs="Tahoma"/>
                          <w:b/>
                          <w:sz w:val="22"/>
                          <w:szCs w:val="22"/>
                        </w:rPr>
                      </w:pPr>
                      <w:r w:rsidRPr="007516C8">
                        <w:rPr>
                          <w:rFonts w:ascii="Palatino Linotype" w:hAnsi="Palatino Linotype" w:cs="Tahoma"/>
                          <w:b/>
                          <w:sz w:val="22"/>
                          <w:szCs w:val="22"/>
                          <w:lang w:val="es-MX"/>
                        </w:rPr>
                        <w:t>Luis Gustavo Parra Noriega</w:t>
                      </w:r>
                    </w:p>
                    <w:p w14:paraId="56743537" w14:textId="77777777" w:rsidR="00F26A49" w:rsidRPr="00DF30A3" w:rsidRDefault="00F26A49" w:rsidP="00035017">
                      <w:pPr>
                        <w:jc w:val="center"/>
                        <w:rPr>
                          <w:rFonts w:ascii="Palatino Linotype" w:hAnsi="Palatino Linotype" w:cs="Tahoma"/>
                          <w:sz w:val="22"/>
                          <w:szCs w:val="22"/>
                        </w:rPr>
                      </w:pPr>
                      <w:r w:rsidRPr="00DF30A3">
                        <w:rPr>
                          <w:rFonts w:ascii="Palatino Linotype" w:hAnsi="Palatino Linotype" w:cs="Tahoma"/>
                          <w:sz w:val="22"/>
                          <w:szCs w:val="22"/>
                        </w:rPr>
                        <w:t>Comisionado</w:t>
                      </w:r>
                    </w:p>
                    <w:p w14:paraId="56743538" w14:textId="77777777" w:rsidR="00F26A49" w:rsidRPr="007516C8" w:rsidRDefault="00F26A49" w:rsidP="00035017">
                      <w:pPr>
                        <w:jc w:val="center"/>
                        <w:rPr>
                          <w:rFonts w:ascii="Palatino Linotype" w:hAnsi="Palatino Linotype"/>
                          <w:b/>
                          <w:sz w:val="22"/>
                          <w:szCs w:val="22"/>
                        </w:rPr>
                      </w:pPr>
                      <w:r w:rsidRPr="008F70FD">
                        <w:rPr>
                          <w:rFonts w:ascii="Palatino Linotype" w:hAnsi="Palatino Linotype"/>
                          <w:b/>
                          <w:sz w:val="22"/>
                          <w:szCs w:val="22"/>
                        </w:rPr>
                        <w:t>(Rúbrica)</w:t>
                      </w:r>
                    </w:p>
                  </w:txbxContent>
                </v:textbox>
                <w10:wrap anchorx="margin"/>
              </v:shape>
            </w:pict>
          </mc:Fallback>
        </mc:AlternateContent>
      </w:r>
      <w:r w:rsidRPr="006A36F7">
        <w:rPr>
          <w:rFonts w:ascii="Palatino Linotype" w:hAnsi="Palatino Linotype" w:cs="Tahoma"/>
          <w:noProof/>
          <w:sz w:val="22"/>
          <w:szCs w:val="22"/>
          <w:lang w:val="es-MX" w:eastAsia="es-MX"/>
        </w:rPr>
        <mc:AlternateContent>
          <mc:Choice Requires="wps">
            <w:drawing>
              <wp:anchor distT="0" distB="0" distL="114300" distR="114300" simplePos="0" relativeHeight="251677696" behindDoc="0" locked="0" layoutInCell="1" allowOverlap="1" wp14:anchorId="567434FD" wp14:editId="567434FE">
                <wp:simplePos x="0" y="0"/>
                <wp:positionH relativeFrom="margin">
                  <wp:align>left</wp:align>
                </wp:positionH>
                <wp:positionV relativeFrom="paragraph">
                  <wp:posOffset>8890</wp:posOffset>
                </wp:positionV>
                <wp:extent cx="2133600" cy="1009650"/>
                <wp:effectExtent l="0" t="0" r="19050" b="19050"/>
                <wp:wrapNone/>
                <wp:docPr id="3" name="Cuadro de texto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33600" cy="10096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56743539" w14:textId="77777777" w:rsidR="00F26A49" w:rsidRDefault="00F26A49" w:rsidP="00035017">
                            <w:pPr>
                              <w:jc w:val="center"/>
                              <w:rPr>
                                <w:rFonts w:ascii="Palatino Linotype" w:hAnsi="Palatino Linotype" w:cs="Tahoma"/>
                                <w:b/>
                                <w:sz w:val="22"/>
                                <w:szCs w:val="22"/>
                              </w:rPr>
                            </w:pPr>
                          </w:p>
                          <w:p w14:paraId="5674353A" w14:textId="77777777" w:rsidR="00F26A49" w:rsidRPr="007516C8" w:rsidRDefault="00F26A49" w:rsidP="00035017">
                            <w:pPr>
                              <w:jc w:val="center"/>
                              <w:rPr>
                                <w:rFonts w:ascii="Palatino Linotype" w:hAnsi="Palatino Linotype" w:cs="Tahoma"/>
                                <w:b/>
                                <w:sz w:val="22"/>
                                <w:szCs w:val="22"/>
                              </w:rPr>
                            </w:pPr>
                            <w:r w:rsidRPr="007516C8">
                              <w:rPr>
                                <w:rFonts w:ascii="Palatino Linotype" w:hAnsi="Palatino Linotype" w:cs="Tahoma"/>
                                <w:b/>
                                <w:sz w:val="22"/>
                                <w:szCs w:val="22"/>
                              </w:rPr>
                              <w:t>Javier Martínez Cruz</w:t>
                            </w:r>
                          </w:p>
                          <w:p w14:paraId="5674353B" w14:textId="77777777" w:rsidR="00F26A49" w:rsidRPr="00DF30A3" w:rsidRDefault="00F26A49" w:rsidP="00035017">
                            <w:pPr>
                              <w:jc w:val="center"/>
                              <w:rPr>
                                <w:rFonts w:ascii="Palatino Linotype" w:hAnsi="Palatino Linotype" w:cs="Tahoma"/>
                                <w:sz w:val="22"/>
                                <w:szCs w:val="22"/>
                              </w:rPr>
                            </w:pPr>
                            <w:r w:rsidRPr="00DF30A3">
                              <w:rPr>
                                <w:rFonts w:ascii="Palatino Linotype" w:hAnsi="Palatino Linotype" w:cs="Tahoma"/>
                                <w:sz w:val="22"/>
                                <w:szCs w:val="22"/>
                              </w:rPr>
                              <w:t>Comisionado</w:t>
                            </w:r>
                          </w:p>
                          <w:p w14:paraId="5674353C" w14:textId="77777777" w:rsidR="00F26A49" w:rsidRPr="007516C8" w:rsidRDefault="00F26A49" w:rsidP="00035017">
                            <w:pPr>
                              <w:jc w:val="center"/>
                              <w:rPr>
                                <w:rFonts w:ascii="Palatino Linotype" w:hAnsi="Palatino Linotype"/>
                                <w:b/>
                                <w:sz w:val="22"/>
                                <w:szCs w:val="22"/>
                              </w:rPr>
                            </w:pPr>
                            <w:r w:rsidRPr="008F70FD">
                              <w:rPr>
                                <w:rFonts w:ascii="Palatino Linotype" w:hAnsi="Palatino Linotype"/>
                                <w:b/>
                                <w:sz w:val="22"/>
                                <w:szCs w:val="22"/>
                              </w:rPr>
                              <w:t>(Rúbrica)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7434FD" id="Cuadro de texto 8" o:spid="_x0000_s1030" type="#_x0000_t202" style="position:absolute;left:0;text-align:left;margin-left:0;margin-top:.7pt;width:168pt;height:79.5pt;z-index:2516776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" fillcolor="white [3201]" strokecolor="white [3212]" strokeweight=".5pt">
                <v:path arrowok="t"/>
                <v:textbox>
                  <w:txbxContent>
                    <w:p w14:paraId="56743539" w14:textId="77777777" w:rsidR="00F26A49" w:rsidRDefault="00F26A49" w:rsidP="00035017">
                      <w:pPr>
                        <w:jc w:val="center"/>
                        <w:rPr>
                          <w:rFonts w:ascii="Palatino Linotype" w:hAnsi="Palatino Linotype" w:cs="Tahoma"/>
                          <w:b/>
                          <w:sz w:val="22"/>
                          <w:szCs w:val="22"/>
                        </w:rPr>
                      </w:pPr>
                    </w:p>
                    <w:p w14:paraId="5674353A" w14:textId="77777777" w:rsidR="00F26A49" w:rsidRPr="007516C8" w:rsidRDefault="00F26A49" w:rsidP="00035017">
                      <w:pPr>
                        <w:jc w:val="center"/>
                        <w:rPr>
                          <w:rFonts w:ascii="Palatino Linotype" w:hAnsi="Palatino Linotype" w:cs="Tahoma"/>
                          <w:b/>
                          <w:sz w:val="22"/>
                          <w:szCs w:val="22"/>
                        </w:rPr>
                      </w:pPr>
                      <w:r w:rsidRPr="007516C8">
                        <w:rPr>
                          <w:rFonts w:ascii="Palatino Linotype" w:hAnsi="Palatino Linotype" w:cs="Tahoma"/>
                          <w:b/>
                          <w:sz w:val="22"/>
                          <w:szCs w:val="22"/>
                        </w:rPr>
                        <w:t>Javier Martínez Cruz</w:t>
                      </w:r>
                    </w:p>
                    <w:p w14:paraId="5674353B" w14:textId="77777777" w:rsidR="00F26A49" w:rsidRPr="00DF30A3" w:rsidRDefault="00F26A49" w:rsidP="00035017">
                      <w:pPr>
                        <w:jc w:val="center"/>
                        <w:rPr>
                          <w:rFonts w:ascii="Palatino Linotype" w:hAnsi="Palatino Linotype" w:cs="Tahoma"/>
                          <w:sz w:val="22"/>
                          <w:szCs w:val="22"/>
                        </w:rPr>
                      </w:pPr>
                      <w:r w:rsidRPr="00DF30A3">
                        <w:rPr>
                          <w:rFonts w:ascii="Palatino Linotype" w:hAnsi="Palatino Linotype" w:cs="Tahoma"/>
                          <w:sz w:val="22"/>
                          <w:szCs w:val="22"/>
                        </w:rPr>
                        <w:t>Comisionado</w:t>
                      </w:r>
                    </w:p>
                    <w:p w14:paraId="5674353C" w14:textId="77777777" w:rsidR="00F26A49" w:rsidRPr="007516C8" w:rsidRDefault="00F26A49" w:rsidP="00035017">
                      <w:pPr>
                        <w:jc w:val="center"/>
                        <w:rPr>
                          <w:rFonts w:ascii="Palatino Linotype" w:hAnsi="Palatino Linotype"/>
                          <w:b/>
                          <w:sz w:val="22"/>
                          <w:szCs w:val="22"/>
                        </w:rPr>
                      </w:pPr>
                      <w:r w:rsidRPr="008F70FD">
                        <w:rPr>
                          <w:rFonts w:ascii="Palatino Linotype" w:hAnsi="Palatino Linotype"/>
                          <w:b/>
                          <w:sz w:val="22"/>
                          <w:szCs w:val="22"/>
                        </w:rPr>
                        <w:t>(Rúbrica)</w:t>
                      </w:r>
                    </w:p>
                  </w:txbxContent>
                </v:textbox>
                <w10:wrap anchorx="margin"/>
              </v:shape>
            </w:pict>
          </mc:Fallback>
        </mc:AlternateContent>
      </w:r>
    </w:p>
    <w:p w14:paraId="567434EC" w14:textId="77777777" w:rsidR="00035017" w:rsidRPr="006A36F7" w:rsidRDefault="00035017" w:rsidP="00740136">
      <w:pPr>
        <w:spacing w:line="360" w:lineRule="auto"/>
        <w:jc w:val="both"/>
        <w:rPr>
          <w:rFonts w:ascii="Palatino Linotype" w:hAnsi="Palatino Linotype" w:cs="Tahoma"/>
          <w:sz w:val="22"/>
          <w:szCs w:val="22"/>
          <w:lang w:val="es-MX"/>
        </w:rPr>
      </w:pPr>
    </w:p>
    <w:p w14:paraId="567434ED" w14:textId="77777777" w:rsidR="00035017" w:rsidRPr="006A36F7" w:rsidRDefault="00035017" w:rsidP="00740136">
      <w:pPr>
        <w:spacing w:line="360" w:lineRule="auto"/>
        <w:jc w:val="both"/>
        <w:rPr>
          <w:rFonts w:ascii="Palatino Linotype" w:hAnsi="Palatino Linotype" w:cs="Tahoma"/>
          <w:sz w:val="22"/>
          <w:szCs w:val="22"/>
          <w:lang w:val="es-MX"/>
        </w:rPr>
      </w:pPr>
    </w:p>
    <w:p w14:paraId="567434EE" w14:textId="7F87EFA4" w:rsidR="00035017" w:rsidRDefault="00035017" w:rsidP="00740136">
      <w:pPr>
        <w:spacing w:line="360" w:lineRule="auto"/>
        <w:jc w:val="both"/>
        <w:rPr>
          <w:rFonts w:ascii="Palatino Linotype" w:hAnsi="Palatino Linotype" w:cs="Tahoma"/>
          <w:sz w:val="22"/>
          <w:szCs w:val="22"/>
          <w:lang w:val="es-MX"/>
        </w:rPr>
      </w:pPr>
    </w:p>
    <w:p w14:paraId="1D016E6D" w14:textId="6379582E" w:rsidR="00DF30A3" w:rsidRDefault="00DF30A3" w:rsidP="00740136">
      <w:pPr>
        <w:spacing w:line="360" w:lineRule="auto"/>
        <w:jc w:val="both"/>
        <w:rPr>
          <w:rFonts w:ascii="Palatino Linotype" w:hAnsi="Palatino Linotype" w:cs="Tahoma"/>
          <w:sz w:val="22"/>
          <w:szCs w:val="22"/>
          <w:lang w:val="es-MX"/>
        </w:rPr>
      </w:pPr>
    </w:p>
    <w:p w14:paraId="4138D559" w14:textId="77777777" w:rsidR="00DF30A3" w:rsidRPr="006A36F7" w:rsidRDefault="00DF30A3" w:rsidP="00740136">
      <w:pPr>
        <w:spacing w:line="360" w:lineRule="auto"/>
        <w:jc w:val="both"/>
        <w:rPr>
          <w:rFonts w:ascii="Palatino Linotype" w:hAnsi="Palatino Linotype" w:cs="Tahoma"/>
          <w:sz w:val="22"/>
          <w:szCs w:val="22"/>
          <w:lang w:val="es-MX"/>
        </w:rPr>
      </w:pPr>
    </w:p>
    <w:p w14:paraId="567434EF" w14:textId="77777777" w:rsidR="00035017" w:rsidRPr="006A36F7" w:rsidRDefault="008C67EF" w:rsidP="00740136">
      <w:pPr>
        <w:spacing w:line="360" w:lineRule="auto"/>
        <w:jc w:val="both"/>
        <w:rPr>
          <w:rFonts w:ascii="Palatino Linotype" w:hAnsi="Palatino Linotype" w:cs="Tahoma"/>
          <w:sz w:val="22"/>
          <w:szCs w:val="22"/>
          <w:lang w:val="es-MX"/>
        </w:rPr>
      </w:pPr>
      <w:r w:rsidRPr="006A36F7">
        <w:rPr>
          <w:rFonts w:ascii="Palatino Linotype" w:hAnsi="Palatino Linotype" w:cs="Tahoma"/>
          <w:noProof/>
          <w:sz w:val="22"/>
          <w:szCs w:val="22"/>
          <w:lang w:val="es-MX" w:eastAsia="es-MX"/>
        </w:rPr>
        <mc:AlternateContent>
          <mc:Choice Requires="wps">
            <w:drawing>
              <wp:anchor distT="0" distB="0" distL="114300" distR="114300" simplePos="0" relativeHeight="251676672" behindDoc="0" locked="0" layoutInCell="1" allowOverlap="1" wp14:anchorId="567434FF" wp14:editId="56743500">
                <wp:simplePos x="0" y="0"/>
                <wp:positionH relativeFrom="page">
                  <wp:posOffset>2295525</wp:posOffset>
                </wp:positionH>
                <wp:positionV relativeFrom="paragraph">
                  <wp:posOffset>25400</wp:posOffset>
                </wp:positionV>
                <wp:extent cx="3152775" cy="1066800"/>
                <wp:effectExtent l="0" t="0" r="28575" b="19050"/>
                <wp:wrapNone/>
                <wp:docPr id="24" name="Cuadro de texto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52775" cy="1066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5674353D" w14:textId="77777777" w:rsidR="00F26A49" w:rsidRDefault="00F26A49" w:rsidP="00035017">
                            <w:pPr>
                              <w:jc w:val="center"/>
                              <w:rPr>
                                <w:rFonts w:ascii="Palatino Linotype" w:hAnsi="Palatino Linotype" w:cs="Tahoma"/>
                                <w:b/>
                                <w:sz w:val="22"/>
                                <w:szCs w:val="22"/>
                              </w:rPr>
                            </w:pPr>
                          </w:p>
                          <w:p w14:paraId="5674353E" w14:textId="77777777" w:rsidR="00F26A49" w:rsidRDefault="00F26A49" w:rsidP="00035017">
                            <w:pPr>
                              <w:jc w:val="center"/>
                              <w:rPr>
                                <w:rFonts w:ascii="Palatino Linotype" w:hAnsi="Palatino Linotype" w:cs="Tahoma"/>
                                <w:b/>
                                <w:sz w:val="22"/>
                                <w:szCs w:val="22"/>
                              </w:rPr>
                            </w:pPr>
                          </w:p>
                          <w:p w14:paraId="5674353F" w14:textId="77777777" w:rsidR="00F26A49" w:rsidRPr="007516C8" w:rsidRDefault="00F26A49" w:rsidP="00035017">
                            <w:pPr>
                              <w:jc w:val="center"/>
                              <w:rPr>
                                <w:rFonts w:ascii="Palatino Linotype" w:hAnsi="Palatino Linotype" w:cs="Tahoma"/>
                                <w:b/>
                                <w:sz w:val="22"/>
                                <w:szCs w:val="22"/>
                              </w:rPr>
                            </w:pPr>
                            <w:r w:rsidRPr="007516C8">
                              <w:rPr>
                                <w:rFonts w:ascii="Palatino Linotype" w:hAnsi="Palatino Linotype" w:cs="Tahoma"/>
                                <w:b/>
                                <w:sz w:val="22"/>
                                <w:szCs w:val="22"/>
                              </w:rPr>
                              <w:t>Alexis Tapia Ramírez</w:t>
                            </w:r>
                          </w:p>
                          <w:p w14:paraId="56743540" w14:textId="77777777" w:rsidR="00F26A49" w:rsidRPr="00DF30A3" w:rsidRDefault="00F26A49" w:rsidP="00035017">
                            <w:pPr>
                              <w:jc w:val="center"/>
                              <w:rPr>
                                <w:rFonts w:ascii="Palatino Linotype" w:hAnsi="Palatino Linotype" w:cs="Tahoma"/>
                                <w:sz w:val="22"/>
                                <w:szCs w:val="22"/>
                              </w:rPr>
                            </w:pPr>
                            <w:r w:rsidRPr="00DF30A3">
                              <w:rPr>
                                <w:rFonts w:ascii="Palatino Linotype" w:hAnsi="Palatino Linotype" w:cs="Tahoma"/>
                                <w:sz w:val="22"/>
                                <w:szCs w:val="22"/>
                              </w:rPr>
                              <w:t xml:space="preserve">Secretario Técnico del Pleno </w:t>
                            </w:r>
                          </w:p>
                          <w:p w14:paraId="56743541" w14:textId="77777777" w:rsidR="00F26A49" w:rsidRPr="0080253B" w:rsidRDefault="00F26A49" w:rsidP="00035017">
                            <w:pPr>
                              <w:jc w:val="center"/>
                              <w:rPr>
                                <w:rFonts w:ascii="Palatino Linotype" w:hAnsi="Palatino Linotype"/>
                                <w:b/>
                                <w:sz w:val="24"/>
                                <w:szCs w:val="24"/>
                              </w:rPr>
                            </w:pPr>
                            <w:r w:rsidRPr="008F70FD">
                              <w:rPr>
                                <w:rFonts w:ascii="Palatino Linotype" w:hAnsi="Palatino Linotype"/>
                                <w:b/>
                                <w:sz w:val="24"/>
                                <w:szCs w:val="24"/>
                              </w:rPr>
                              <w:t>(Rúbrica)</w:t>
                            </w:r>
                          </w:p>
                          <w:p w14:paraId="56743542" w14:textId="77777777" w:rsidR="00F26A49" w:rsidRPr="00EF2FC0" w:rsidRDefault="00F26A49" w:rsidP="00035017">
                            <w:pPr>
                              <w:jc w:val="center"/>
                              <w:rPr>
                                <w:rFonts w:ascii="Palatino Linotype" w:hAnsi="Palatino Linotype"/>
                                <w:sz w:val="24"/>
                                <w:szCs w:val="24"/>
                              </w:rPr>
                            </w:pPr>
                          </w:p>
                          <w:p w14:paraId="56743543" w14:textId="77777777" w:rsidR="00F26A49" w:rsidRDefault="00F26A49" w:rsidP="0003501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7434FF" id="Cuadro de texto 24" o:spid="_x0000_s1031" type="#_x0000_t202" style="position:absolute;left:0;text-align:left;margin-left:180.75pt;margin-top:2pt;width:248.25pt;height:84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" fillcolor="white [3201]" strokecolor="white [3212]" strokeweight=".5pt">
                <v:path arrowok="t"/>
                <v:textbox>
                  <w:txbxContent>
                    <w:p w14:paraId="5674353D" w14:textId="77777777" w:rsidR="00F26A49" w:rsidRDefault="00F26A49" w:rsidP="00035017">
                      <w:pPr>
                        <w:jc w:val="center"/>
                        <w:rPr>
                          <w:rFonts w:ascii="Palatino Linotype" w:hAnsi="Palatino Linotype" w:cs="Tahoma"/>
                          <w:b/>
                          <w:sz w:val="22"/>
                          <w:szCs w:val="22"/>
                        </w:rPr>
                      </w:pPr>
                    </w:p>
                    <w:p w14:paraId="5674353E" w14:textId="77777777" w:rsidR="00F26A49" w:rsidRDefault="00F26A49" w:rsidP="00035017">
                      <w:pPr>
                        <w:jc w:val="center"/>
                        <w:rPr>
                          <w:rFonts w:ascii="Palatino Linotype" w:hAnsi="Palatino Linotype" w:cs="Tahoma"/>
                          <w:b/>
                          <w:sz w:val="22"/>
                          <w:szCs w:val="22"/>
                        </w:rPr>
                      </w:pPr>
                    </w:p>
                    <w:p w14:paraId="5674353F" w14:textId="77777777" w:rsidR="00F26A49" w:rsidRPr="007516C8" w:rsidRDefault="00F26A49" w:rsidP="00035017">
                      <w:pPr>
                        <w:jc w:val="center"/>
                        <w:rPr>
                          <w:rFonts w:ascii="Palatino Linotype" w:hAnsi="Palatino Linotype" w:cs="Tahoma"/>
                          <w:b/>
                          <w:sz w:val="22"/>
                          <w:szCs w:val="22"/>
                        </w:rPr>
                      </w:pPr>
                      <w:r w:rsidRPr="007516C8">
                        <w:rPr>
                          <w:rFonts w:ascii="Palatino Linotype" w:hAnsi="Palatino Linotype" w:cs="Tahoma"/>
                          <w:b/>
                          <w:sz w:val="22"/>
                          <w:szCs w:val="22"/>
                        </w:rPr>
                        <w:t>Alexis Tapia Ramírez</w:t>
                      </w:r>
                    </w:p>
                    <w:p w14:paraId="56743540" w14:textId="77777777" w:rsidR="00F26A49" w:rsidRPr="00DF30A3" w:rsidRDefault="00F26A49" w:rsidP="00035017">
                      <w:pPr>
                        <w:jc w:val="center"/>
                        <w:rPr>
                          <w:rFonts w:ascii="Palatino Linotype" w:hAnsi="Palatino Linotype" w:cs="Tahoma"/>
                          <w:sz w:val="22"/>
                          <w:szCs w:val="22"/>
                        </w:rPr>
                      </w:pPr>
                      <w:r w:rsidRPr="00DF30A3">
                        <w:rPr>
                          <w:rFonts w:ascii="Palatino Linotype" w:hAnsi="Palatino Linotype" w:cs="Tahoma"/>
                          <w:sz w:val="22"/>
                          <w:szCs w:val="22"/>
                        </w:rPr>
                        <w:t xml:space="preserve">Secretario Técnico del Pleno </w:t>
                      </w:r>
                    </w:p>
                    <w:p w14:paraId="56743541" w14:textId="77777777" w:rsidR="00F26A49" w:rsidRPr="0080253B" w:rsidRDefault="00F26A49" w:rsidP="00035017">
                      <w:pPr>
                        <w:jc w:val="center"/>
                        <w:rPr>
                          <w:rFonts w:ascii="Palatino Linotype" w:hAnsi="Palatino Linotype"/>
                          <w:b/>
                          <w:sz w:val="24"/>
                          <w:szCs w:val="24"/>
                        </w:rPr>
                      </w:pPr>
                      <w:r w:rsidRPr="008F70FD">
                        <w:rPr>
                          <w:rFonts w:ascii="Palatino Linotype" w:hAnsi="Palatino Linotype"/>
                          <w:b/>
                          <w:sz w:val="24"/>
                          <w:szCs w:val="24"/>
                        </w:rPr>
                        <w:t>(Rúbrica)</w:t>
                      </w:r>
                    </w:p>
                    <w:p w14:paraId="56743542" w14:textId="77777777" w:rsidR="00F26A49" w:rsidRPr="00EF2FC0" w:rsidRDefault="00F26A49" w:rsidP="00035017">
                      <w:pPr>
                        <w:jc w:val="center"/>
                        <w:rPr>
                          <w:rFonts w:ascii="Palatino Linotype" w:hAnsi="Palatino Linotype"/>
                          <w:sz w:val="24"/>
                          <w:szCs w:val="24"/>
                        </w:rPr>
                      </w:pPr>
                    </w:p>
                    <w:p w14:paraId="56743543" w14:textId="77777777" w:rsidR="00F26A49" w:rsidRDefault="00F26A49" w:rsidP="00035017"/>
                  </w:txbxContent>
                </v:textbox>
                <w10:wrap anchorx="page"/>
              </v:shape>
            </w:pict>
          </mc:Fallback>
        </mc:AlternateContent>
      </w:r>
    </w:p>
    <w:p w14:paraId="567434F0" w14:textId="77777777" w:rsidR="00035017" w:rsidRPr="006A36F7" w:rsidRDefault="00035017" w:rsidP="00740136">
      <w:pPr>
        <w:spacing w:line="360" w:lineRule="auto"/>
        <w:jc w:val="both"/>
        <w:rPr>
          <w:rFonts w:ascii="Palatino Linotype" w:hAnsi="Palatino Linotype" w:cs="Tahoma"/>
          <w:sz w:val="22"/>
          <w:szCs w:val="22"/>
          <w:lang w:val="es-MX"/>
        </w:rPr>
      </w:pPr>
    </w:p>
    <w:p w14:paraId="567434F1" w14:textId="77777777" w:rsidR="008C67EF" w:rsidRPr="006A36F7" w:rsidRDefault="008C67EF" w:rsidP="00740136">
      <w:pPr>
        <w:spacing w:line="360" w:lineRule="auto"/>
        <w:jc w:val="both"/>
        <w:rPr>
          <w:rFonts w:ascii="Palatino Linotype" w:hAnsi="Palatino Linotype" w:cs="Tahoma"/>
          <w:sz w:val="22"/>
          <w:szCs w:val="22"/>
          <w:lang w:val="es-MX"/>
        </w:rPr>
      </w:pPr>
    </w:p>
    <w:p w14:paraId="567434F2" w14:textId="77777777" w:rsidR="008C67EF" w:rsidRPr="006A36F7" w:rsidRDefault="008C67EF" w:rsidP="00740136">
      <w:pPr>
        <w:spacing w:line="360" w:lineRule="auto"/>
        <w:jc w:val="both"/>
        <w:rPr>
          <w:rFonts w:ascii="Palatino Linotype" w:hAnsi="Palatino Linotype" w:cs="Tahoma"/>
          <w:sz w:val="22"/>
          <w:szCs w:val="22"/>
          <w:lang w:val="es-MX"/>
        </w:rPr>
      </w:pPr>
    </w:p>
    <w:p w14:paraId="2598CD1D" w14:textId="77777777" w:rsidR="00992904" w:rsidRDefault="00992904" w:rsidP="00740136">
      <w:pPr>
        <w:spacing w:line="360" w:lineRule="auto"/>
        <w:jc w:val="both"/>
        <w:rPr>
          <w:rFonts w:ascii="Palatino Linotype" w:eastAsia="Calibri" w:hAnsi="Palatino Linotype" w:cs="Arial"/>
          <w:sz w:val="22"/>
          <w:szCs w:val="22"/>
          <w:lang w:eastAsia="en-US"/>
        </w:rPr>
      </w:pPr>
    </w:p>
    <w:p w14:paraId="567434F4" w14:textId="5D1E551D" w:rsidR="00C159C6" w:rsidRPr="006A36F7" w:rsidRDefault="007516C8" w:rsidP="00740136">
      <w:pPr>
        <w:spacing w:line="360" w:lineRule="auto"/>
        <w:jc w:val="both"/>
        <w:rPr>
          <w:rFonts w:ascii="Palatino Linotype" w:eastAsia="Calibri" w:hAnsi="Palatino Linotype" w:cs="Arial"/>
          <w:sz w:val="22"/>
          <w:szCs w:val="22"/>
          <w:lang w:eastAsia="en-US"/>
        </w:rPr>
      </w:pPr>
      <w:r w:rsidRPr="006A36F7">
        <w:rPr>
          <w:rFonts w:ascii="Palatino Linotype" w:eastAsia="Calibri" w:hAnsi="Palatino Linotype" w:cs="Arial"/>
          <w:sz w:val="22"/>
          <w:szCs w:val="22"/>
          <w:lang w:eastAsia="en-US"/>
        </w:rPr>
        <w:t xml:space="preserve">Esta foja corresponde a la </w:t>
      </w:r>
      <w:r w:rsidR="006C1EB6" w:rsidRPr="006A36F7">
        <w:rPr>
          <w:rFonts w:ascii="Palatino Linotype" w:eastAsia="Calibri" w:hAnsi="Palatino Linotype" w:cs="Arial"/>
          <w:sz w:val="22"/>
          <w:szCs w:val="22"/>
          <w:lang w:eastAsia="en-US"/>
        </w:rPr>
        <w:t xml:space="preserve">Resolución </w:t>
      </w:r>
      <w:r w:rsidRPr="006A36F7">
        <w:rPr>
          <w:rFonts w:ascii="Palatino Linotype" w:eastAsia="Calibri" w:hAnsi="Palatino Linotype" w:cs="Arial"/>
          <w:sz w:val="22"/>
          <w:szCs w:val="22"/>
          <w:lang w:eastAsia="en-US"/>
        </w:rPr>
        <w:t xml:space="preserve">de fecha </w:t>
      </w:r>
      <w:r w:rsidR="00D7444B">
        <w:rPr>
          <w:rFonts w:ascii="Palatino Linotype" w:eastAsia="Calibri" w:hAnsi="Palatino Linotype" w:cs="Arial"/>
          <w:sz w:val="22"/>
          <w:szCs w:val="22"/>
          <w:lang w:eastAsia="en-US"/>
        </w:rPr>
        <w:t>veintiséis</w:t>
      </w:r>
      <w:r w:rsidR="00C742C5">
        <w:rPr>
          <w:rFonts w:ascii="Palatino Linotype" w:eastAsia="Calibri" w:hAnsi="Palatino Linotype" w:cs="Arial"/>
          <w:sz w:val="22"/>
          <w:szCs w:val="22"/>
          <w:lang w:eastAsia="en-US"/>
        </w:rPr>
        <w:t xml:space="preserve"> de junio</w:t>
      </w:r>
      <w:r w:rsidR="00300671" w:rsidRPr="006A36F7">
        <w:rPr>
          <w:rFonts w:ascii="Palatino Linotype" w:eastAsia="Calibri" w:hAnsi="Palatino Linotype" w:cs="Arial"/>
          <w:sz w:val="22"/>
          <w:szCs w:val="22"/>
          <w:lang w:eastAsia="en-US"/>
        </w:rPr>
        <w:t xml:space="preserve"> </w:t>
      </w:r>
      <w:r w:rsidRPr="006A36F7">
        <w:rPr>
          <w:rFonts w:ascii="Palatino Linotype" w:eastAsia="Calibri" w:hAnsi="Palatino Linotype" w:cs="Arial"/>
          <w:sz w:val="22"/>
          <w:szCs w:val="22"/>
          <w:lang w:eastAsia="en-US"/>
        </w:rPr>
        <w:t>de dos mil dieci</w:t>
      </w:r>
      <w:r w:rsidR="007479DD" w:rsidRPr="006A36F7">
        <w:rPr>
          <w:rFonts w:ascii="Palatino Linotype" w:eastAsia="Calibri" w:hAnsi="Palatino Linotype" w:cs="Arial"/>
          <w:sz w:val="22"/>
          <w:szCs w:val="22"/>
          <w:lang w:eastAsia="en-US"/>
        </w:rPr>
        <w:t>nueve</w:t>
      </w:r>
      <w:r w:rsidRPr="006A36F7">
        <w:rPr>
          <w:rFonts w:ascii="Palatino Linotype" w:eastAsia="Calibri" w:hAnsi="Palatino Linotype" w:cs="Arial"/>
          <w:sz w:val="22"/>
          <w:szCs w:val="22"/>
          <w:lang w:eastAsia="en-US"/>
        </w:rPr>
        <w:t xml:space="preserve">, emitida en el </w:t>
      </w:r>
      <w:r w:rsidR="006C1EB6" w:rsidRPr="006A36F7">
        <w:rPr>
          <w:rFonts w:ascii="Palatino Linotype" w:eastAsia="Calibri" w:hAnsi="Palatino Linotype" w:cs="Arial"/>
          <w:sz w:val="22"/>
          <w:szCs w:val="22"/>
          <w:lang w:eastAsia="en-US"/>
        </w:rPr>
        <w:t xml:space="preserve">Recurso </w:t>
      </w:r>
      <w:r w:rsidRPr="006A36F7">
        <w:rPr>
          <w:rFonts w:ascii="Palatino Linotype" w:eastAsia="Calibri" w:hAnsi="Palatino Linotype" w:cs="Arial"/>
          <w:sz w:val="22"/>
          <w:szCs w:val="22"/>
          <w:lang w:eastAsia="en-US"/>
        </w:rPr>
        <w:t xml:space="preserve">de </w:t>
      </w:r>
      <w:r w:rsidR="006C1EB6" w:rsidRPr="006A36F7">
        <w:rPr>
          <w:rFonts w:ascii="Palatino Linotype" w:eastAsia="Calibri" w:hAnsi="Palatino Linotype" w:cs="Arial"/>
          <w:sz w:val="22"/>
          <w:szCs w:val="22"/>
          <w:lang w:eastAsia="en-US"/>
        </w:rPr>
        <w:t xml:space="preserve">Revisión </w:t>
      </w:r>
      <w:r w:rsidRPr="006A36F7">
        <w:rPr>
          <w:rFonts w:ascii="Palatino Linotype" w:eastAsia="Calibri" w:hAnsi="Palatino Linotype" w:cs="Arial"/>
          <w:sz w:val="22"/>
          <w:szCs w:val="22"/>
          <w:lang w:eastAsia="en-US"/>
        </w:rPr>
        <w:t xml:space="preserve">número </w:t>
      </w:r>
      <w:r w:rsidR="00C742C5">
        <w:rPr>
          <w:rFonts w:ascii="Palatino Linotype" w:eastAsia="Calibri" w:hAnsi="Palatino Linotype" w:cs="Tahoma"/>
          <w:b/>
          <w:bCs/>
          <w:sz w:val="22"/>
          <w:szCs w:val="22"/>
          <w:lang w:eastAsia="en-US"/>
        </w:rPr>
        <w:t>0</w:t>
      </w:r>
      <w:r w:rsidR="000F2044">
        <w:rPr>
          <w:rFonts w:ascii="Palatino Linotype" w:eastAsia="Calibri" w:hAnsi="Palatino Linotype" w:cs="Tahoma"/>
          <w:b/>
          <w:bCs/>
          <w:sz w:val="22"/>
          <w:szCs w:val="22"/>
          <w:lang w:eastAsia="en-US"/>
        </w:rPr>
        <w:t>2936</w:t>
      </w:r>
      <w:r w:rsidR="00EA656A" w:rsidRPr="00DF30A3">
        <w:rPr>
          <w:rFonts w:ascii="Palatino Linotype" w:eastAsia="Calibri" w:hAnsi="Palatino Linotype" w:cs="Tahoma"/>
          <w:b/>
          <w:bCs/>
          <w:sz w:val="22"/>
          <w:szCs w:val="22"/>
          <w:lang w:eastAsia="en-US"/>
        </w:rPr>
        <w:t>/INFOEM/IP/RR/2019</w:t>
      </w:r>
      <w:r w:rsidR="00796319" w:rsidRPr="00DF30A3">
        <w:rPr>
          <w:rFonts w:ascii="Palatino Linotype" w:eastAsia="Calibri" w:hAnsi="Palatino Linotype" w:cs="Arial"/>
          <w:b/>
          <w:bCs/>
          <w:sz w:val="22"/>
          <w:szCs w:val="22"/>
          <w:lang w:eastAsia="en-US"/>
        </w:rPr>
        <w:t>.</w:t>
      </w:r>
    </w:p>
    <w:sectPr w:rsidR="00C159C6" w:rsidRPr="006A36F7" w:rsidSect="007516C8">
      <w:headerReference w:type="default" r:id="rId25"/>
      <w:footerReference w:type="default" r:id="rId26"/>
      <w:headerReference w:type="first" r:id="rId27"/>
      <w:footerReference w:type="first" r:id="rId28"/>
      <w:pgSz w:w="12240" w:h="15840"/>
      <w:pgMar w:top="365" w:right="1608" w:bottom="1418" w:left="1588" w:header="709" w:footer="91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CB8D4AB" w14:textId="77777777" w:rsidR="002B4EB3" w:rsidRDefault="002B4EB3" w:rsidP="00B31222">
      <w:r>
        <w:separator/>
      </w:r>
    </w:p>
  </w:endnote>
  <w:endnote w:type="continuationSeparator" w:id="0">
    <w:p w14:paraId="3E6D5964" w14:textId="77777777" w:rsidR="002B4EB3" w:rsidRDefault="002B4EB3" w:rsidP="00B312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Palatino Linotype">
    <w:panose1 w:val="02040502050505030304"/>
    <w:charset w:val="00"/>
    <w:family w:val="roman"/>
    <w:pitch w:val="variable"/>
    <w:sig w:usb0="E0000287" w:usb1="40000013" w:usb2="00000000" w:usb3="00000000" w:csb0="0000019F" w:csb1="00000000"/>
  </w:font>
  <w:font w:name="Tahoma">
    <w:panose1 w:val="020B0604030504040204"/>
    <w:charset w:val="00"/>
    <w:family w:val="swiss"/>
    <w:pitch w:val="variable"/>
    <w:sig w:usb0="E1002EFF" w:usb1="C000605B" w:usb2="00000029" w:usb3="00000000" w:csb0="000101FF" w:csb1="00000000"/>
  </w:font>
  <w:font w:name="Gotham Book">
    <w:altName w:val="Gotham Book"/>
    <w:panose1 w:val="00000000000000000000"/>
    <w:charset w:val="00"/>
    <w:family w:val="swiss"/>
    <w:notTrueType/>
    <w:pitch w:val="default"/>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Garamond">
    <w:altName w:val="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82885407"/>
      <w:docPartObj>
        <w:docPartGallery w:val="Page Numbers (Bottom of Page)"/>
        <w:docPartUnique/>
      </w:docPartObj>
    </w:sdtPr>
    <w:sdtEndPr/>
    <w:sdtContent>
      <w:sdt>
        <w:sdtPr>
          <w:id w:val="-184136331"/>
          <w:docPartObj>
            <w:docPartGallery w:val="Page Numbers (Top of Page)"/>
            <w:docPartUnique/>
          </w:docPartObj>
        </w:sdtPr>
        <w:sdtEndPr/>
        <w:sdtContent>
          <w:p w14:paraId="56743512" w14:textId="77777777" w:rsidR="00F26A49" w:rsidRDefault="00F26A49">
            <w:pPr>
              <w:pStyle w:val="Piedepgina"/>
              <w:jc w:val="right"/>
            </w:pPr>
          </w:p>
          <w:p w14:paraId="56743513" w14:textId="77777777" w:rsidR="00F26A49" w:rsidRDefault="00F26A49">
            <w:pPr>
              <w:pStyle w:val="Piedepgina"/>
              <w:jc w:val="right"/>
            </w:pPr>
          </w:p>
          <w:p w14:paraId="56743514" w14:textId="4D7F0C05" w:rsidR="00F26A49" w:rsidRPr="00035017" w:rsidRDefault="00F26A49">
            <w:pPr>
              <w:pStyle w:val="Piedepgina"/>
              <w:jc w:val="right"/>
            </w:pPr>
            <w:r w:rsidRPr="00035017">
              <w:t xml:space="preserve">Página </w:t>
            </w:r>
            <w:r w:rsidRPr="00035017">
              <w:rPr>
                <w:b/>
                <w:bCs/>
              </w:rPr>
              <w:fldChar w:fldCharType="begin"/>
            </w:r>
            <w:r w:rsidRPr="00035017">
              <w:rPr>
                <w:b/>
                <w:bCs/>
              </w:rPr>
              <w:instrText>PAGE</w:instrText>
            </w:r>
            <w:r w:rsidRPr="00035017">
              <w:rPr>
                <w:b/>
                <w:bCs/>
              </w:rPr>
              <w:fldChar w:fldCharType="separate"/>
            </w:r>
            <w:r w:rsidR="00DA15AE">
              <w:rPr>
                <w:b/>
                <w:bCs/>
                <w:noProof/>
              </w:rPr>
              <w:t>20</w:t>
            </w:r>
            <w:r w:rsidRPr="00035017">
              <w:rPr>
                <w:b/>
                <w:bCs/>
              </w:rPr>
              <w:fldChar w:fldCharType="end"/>
            </w:r>
            <w:r w:rsidRPr="00035017">
              <w:t xml:space="preserve"> de </w:t>
            </w:r>
            <w:r w:rsidRPr="00035017">
              <w:rPr>
                <w:b/>
                <w:bCs/>
              </w:rPr>
              <w:fldChar w:fldCharType="begin"/>
            </w:r>
            <w:r w:rsidRPr="00035017">
              <w:rPr>
                <w:b/>
                <w:bCs/>
              </w:rPr>
              <w:instrText>NUMPAGES</w:instrText>
            </w:r>
            <w:r w:rsidRPr="00035017">
              <w:rPr>
                <w:b/>
                <w:bCs/>
              </w:rPr>
              <w:fldChar w:fldCharType="separate"/>
            </w:r>
            <w:r w:rsidR="00DA15AE">
              <w:rPr>
                <w:b/>
                <w:bCs/>
                <w:noProof/>
              </w:rPr>
              <w:t>41</w:t>
            </w:r>
            <w:r w:rsidRPr="00035017">
              <w:rPr>
                <w:b/>
                <w:bCs/>
              </w:rPr>
              <w:fldChar w:fldCharType="end"/>
            </w:r>
          </w:p>
        </w:sdtContent>
      </w:sdt>
    </w:sdtContent>
  </w:sdt>
  <w:p w14:paraId="56743515" w14:textId="77777777" w:rsidR="00F26A49" w:rsidRDefault="00F26A49">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18104165"/>
      <w:docPartObj>
        <w:docPartGallery w:val="Page Numbers (Bottom of Page)"/>
        <w:docPartUnique/>
      </w:docPartObj>
    </w:sdtPr>
    <w:sdtEndPr/>
    <w:sdtContent>
      <w:sdt>
        <w:sdtPr>
          <w:id w:val="-766006968"/>
          <w:docPartObj>
            <w:docPartGallery w:val="Page Numbers (Top of Page)"/>
            <w:docPartUnique/>
          </w:docPartObj>
        </w:sdtPr>
        <w:sdtEndPr/>
        <w:sdtContent>
          <w:p w14:paraId="56743526" w14:textId="4AADF760" w:rsidR="00F26A49" w:rsidRDefault="00F26A49">
            <w:pPr>
              <w:pStyle w:val="Piedepgina"/>
              <w:jc w:val="right"/>
            </w:pPr>
            <w:r>
              <w:t xml:space="preserve">Página </w:t>
            </w:r>
            <w:r>
              <w:rPr>
                <w:b/>
                <w:bCs/>
                <w:sz w:val="24"/>
                <w:szCs w:val="24"/>
              </w:rPr>
              <w:fldChar w:fldCharType="begin"/>
            </w:r>
            <w:r>
              <w:rPr>
                <w:b/>
                <w:bCs/>
              </w:rPr>
              <w:instrText>PAGE</w:instrText>
            </w:r>
            <w:r>
              <w:rPr>
                <w:b/>
                <w:bCs/>
                <w:sz w:val="24"/>
                <w:szCs w:val="24"/>
              </w:rPr>
              <w:fldChar w:fldCharType="separate"/>
            </w:r>
            <w:r w:rsidR="00DA15AE">
              <w:rPr>
                <w:b/>
                <w:bCs/>
                <w:noProof/>
              </w:rPr>
              <w:t>1</w:t>
            </w:r>
            <w:r>
              <w:rPr>
                <w:b/>
                <w:bCs/>
                <w:sz w:val="24"/>
                <w:szCs w:val="24"/>
              </w:rPr>
              <w:fldChar w:fldCharType="end"/>
            </w:r>
            <w:r>
              <w:t xml:space="preserve"> de </w:t>
            </w:r>
            <w:r>
              <w:rPr>
                <w:b/>
                <w:bCs/>
                <w:sz w:val="24"/>
                <w:szCs w:val="24"/>
              </w:rPr>
              <w:fldChar w:fldCharType="begin"/>
            </w:r>
            <w:r>
              <w:rPr>
                <w:b/>
                <w:bCs/>
              </w:rPr>
              <w:instrText>NUMPAGES</w:instrText>
            </w:r>
            <w:r>
              <w:rPr>
                <w:b/>
                <w:bCs/>
                <w:sz w:val="24"/>
                <w:szCs w:val="24"/>
              </w:rPr>
              <w:fldChar w:fldCharType="separate"/>
            </w:r>
            <w:r w:rsidR="00DA15AE">
              <w:rPr>
                <w:b/>
                <w:bCs/>
                <w:noProof/>
              </w:rPr>
              <w:t>41</w:t>
            </w:r>
            <w:r>
              <w:rPr>
                <w:b/>
                <w:bCs/>
                <w:sz w:val="24"/>
                <w:szCs w:val="24"/>
              </w:rPr>
              <w:fldChar w:fldCharType="end"/>
            </w:r>
          </w:p>
        </w:sdtContent>
      </w:sdt>
    </w:sdtContent>
  </w:sdt>
  <w:p w14:paraId="56743527" w14:textId="77777777" w:rsidR="00F26A49" w:rsidRDefault="00F26A49">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35ED863" w14:textId="77777777" w:rsidR="002B4EB3" w:rsidRDefault="002B4EB3" w:rsidP="00B31222">
      <w:r>
        <w:separator/>
      </w:r>
    </w:p>
  </w:footnote>
  <w:footnote w:type="continuationSeparator" w:id="0">
    <w:p w14:paraId="4423AFFF" w14:textId="77777777" w:rsidR="002B4EB3" w:rsidRDefault="002B4EB3" w:rsidP="00B3122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568" w:type="dxa"/>
      <w:tblLayout w:type="fixed"/>
      <w:tblLook w:val="04A0" w:firstRow="1" w:lastRow="0" w:firstColumn="1" w:lastColumn="0" w:noHBand="0" w:noVBand="1"/>
    </w:tblPr>
    <w:tblGrid>
      <w:gridCol w:w="2835"/>
      <w:gridCol w:w="6733"/>
    </w:tblGrid>
    <w:tr w:rsidR="00F26A49" w:rsidRPr="005C106F" w14:paraId="56743510" w14:textId="77777777" w:rsidTr="00202DB8">
      <w:trPr>
        <w:trHeight w:val="1435"/>
      </w:trPr>
      <w:tc>
        <w:tcPr>
          <w:tcW w:w="2835" w:type="dxa"/>
          <w:shd w:val="clear" w:color="auto" w:fill="auto"/>
        </w:tcPr>
        <w:p w14:paraId="56743505" w14:textId="77777777" w:rsidR="00F26A49" w:rsidRPr="005C106F" w:rsidRDefault="00F26A49" w:rsidP="00EF4A64">
          <w:pPr>
            <w:tabs>
              <w:tab w:val="right" w:pos="4273"/>
            </w:tabs>
            <w:rPr>
              <w:rFonts w:ascii="Garamond" w:eastAsia="Calibri" w:hAnsi="Garamond"/>
              <w:sz w:val="16"/>
              <w:szCs w:val="16"/>
              <w:lang w:val="es-MX" w:eastAsia="en-US"/>
            </w:rPr>
          </w:pPr>
        </w:p>
      </w:tc>
      <w:tc>
        <w:tcPr>
          <w:tcW w:w="6733" w:type="dxa"/>
          <w:shd w:val="clear" w:color="auto" w:fill="auto"/>
        </w:tcPr>
        <w:tbl>
          <w:tblPr>
            <w:tblStyle w:val="Tablaconcuadrcula"/>
            <w:tblW w:w="6319" w:type="dxa"/>
            <w:tblInd w:w="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98"/>
            <w:gridCol w:w="3621"/>
          </w:tblGrid>
          <w:tr w:rsidR="00F26A49" w:rsidRPr="00E152D8" w14:paraId="56743508" w14:textId="77777777" w:rsidTr="00812BB6">
            <w:trPr>
              <w:trHeight w:val="144"/>
            </w:trPr>
            <w:tc>
              <w:tcPr>
                <w:tcW w:w="2698" w:type="dxa"/>
              </w:tcPr>
              <w:p w14:paraId="56743506" w14:textId="77777777" w:rsidR="00F26A49" w:rsidRPr="00E152D8" w:rsidRDefault="00F26A49" w:rsidP="00E152D8">
                <w:pPr>
                  <w:tabs>
                    <w:tab w:val="right" w:pos="8838"/>
                  </w:tabs>
                  <w:ind w:right="-105"/>
                  <w:rPr>
                    <w:rFonts w:ascii="Palatino Linotype" w:eastAsia="Calibri" w:hAnsi="Palatino Linotype" w:cs="Tahoma"/>
                    <w:b/>
                    <w:sz w:val="22"/>
                    <w:szCs w:val="22"/>
                    <w:lang w:val="es-MX" w:eastAsia="en-US"/>
                  </w:rPr>
                </w:pPr>
                <w:r w:rsidRPr="00E152D8">
                  <w:rPr>
                    <w:rFonts w:ascii="Palatino Linotype" w:eastAsia="Calibri" w:hAnsi="Palatino Linotype" w:cs="Tahoma"/>
                    <w:b/>
                    <w:sz w:val="22"/>
                    <w:szCs w:val="22"/>
                    <w:lang w:val="es-MX" w:eastAsia="en-US"/>
                  </w:rPr>
                  <w:t>Recurso de Revisión:</w:t>
                </w:r>
              </w:p>
            </w:tc>
            <w:tc>
              <w:tcPr>
                <w:tcW w:w="3621" w:type="dxa"/>
              </w:tcPr>
              <w:p w14:paraId="56743507" w14:textId="57FC9175" w:rsidR="00F26A49" w:rsidRPr="007E434B" w:rsidRDefault="00F26A49" w:rsidP="00BB052C">
                <w:pPr>
                  <w:tabs>
                    <w:tab w:val="right" w:pos="8838"/>
                  </w:tabs>
                  <w:ind w:left="-28" w:right="-32"/>
                  <w:jc w:val="both"/>
                  <w:rPr>
                    <w:rFonts w:ascii="Palatino Linotype" w:eastAsia="Calibri" w:hAnsi="Palatino Linotype" w:cs="Tahoma"/>
                    <w:bCs/>
                    <w:sz w:val="22"/>
                    <w:szCs w:val="22"/>
                    <w:lang w:eastAsia="en-US"/>
                  </w:rPr>
                </w:pPr>
                <w:r w:rsidRPr="007E434B">
                  <w:rPr>
                    <w:rFonts w:ascii="Palatino Linotype" w:eastAsia="Calibri" w:hAnsi="Palatino Linotype" w:cs="Tahoma"/>
                    <w:bCs/>
                    <w:sz w:val="22"/>
                    <w:szCs w:val="22"/>
                    <w:lang w:eastAsia="en-US"/>
                  </w:rPr>
                  <w:t>0</w:t>
                </w:r>
                <w:r>
                  <w:rPr>
                    <w:rFonts w:ascii="Palatino Linotype" w:eastAsia="Calibri" w:hAnsi="Palatino Linotype" w:cs="Tahoma"/>
                    <w:bCs/>
                    <w:sz w:val="22"/>
                    <w:szCs w:val="22"/>
                    <w:lang w:eastAsia="en-US"/>
                  </w:rPr>
                  <w:t>2936</w:t>
                </w:r>
                <w:r w:rsidRPr="007E434B">
                  <w:rPr>
                    <w:rFonts w:ascii="Palatino Linotype" w:eastAsia="Calibri" w:hAnsi="Palatino Linotype" w:cs="Tahoma"/>
                    <w:bCs/>
                    <w:sz w:val="22"/>
                    <w:szCs w:val="22"/>
                    <w:lang w:eastAsia="en-US"/>
                  </w:rPr>
                  <w:t>/INFOEM/IP/RR/2019</w:t>
                </w:r>
              </w:p>
            </w:tc>
          </w:tr>
          <w:tr w:rsidR="00F26A49" w:rsidRPr="00E152D8" w14:paraId="5674350B" w14:textId="77777777" w:rsidTr="00812BB6">
            <w:trPr>
              <w:trHeight w:val="283"/>
            </w:trPr>
            <w:tc>
              <w:tcPr>
                <w:tcW w:w="2698" w:type="dxa"/>
              </w:tcPr>
              <w:p w14:paraId="56743509" w14:textId="77777777" w:rsidR="00F26A49" w:rsidRPr="00E152D8" w:rsidRDefault="00F26A49" w:rsidP="00E152D8">
                <w:pPr>
                  <w:tabs>
                    <w:tab w:val="right" w:pos="8838"/>
                  </w:tabs>
                  <w:ind w:right="-105"/>
                  <w:rPr>
                    <w:rFonts w:ascii="Palatino Linotype" w:eastAsia="Calibri" w:hAnsi="Palatino Linotype" w:cs="Tahoma"/>
                    <w:b/>
                    <w:sz w:val="22"/>
                    <w:szCs w:val="22"/>
                    <w:lang w:val="es-MX" w:eastAsia="en-US"/>
                  </w:rPr>
                </w:pPr>
                <w:r>
                  <w:rPr>
                    <w:rFonts w:ascii="Palatino Linotype" w:eastAsia="Calibri" w:hAnsi="Palatino Linotype" w:cs="Tahoma"/>
                    <w:b/>
                    <w:sz w:val="22"/>
                    <w:szCs w:val="22"/>
                    <w:lang w:val="es-MX" w:eastAsia="en-US"/>
                  </w:rPr>
                  <w:t>Sujeto Obligado</w:t>
                </w:r>
                <w:r w:rsidRPr="00E152D8">
                  <w:rPr>
                    <w:rFonts w:ascii="Palatino Linotype" w:eastAsia="Calibri" w:hAnsi="Palatino Linotype" w:cs="Tahoma"/>
                    <w:b/>
                    <w:sz w:val="22"/>
                    <w:szCs w:val="22"/>
                    <w:lang w:val="es-MX" w:eastAsia="en-US"/>
                  </w:rPr>
                  <w:t>:</w:t>
                </w:r>
              </w:p>
            </w:tc>
            <w:tc>
              <w:tcPr>
                <w:tcW w:w="3621" w:type="dxa"/>
              </w:tcPr>
              <w:p w14:paraId="5674350A" w14:textId="20B294B4" w:rsidR="00F26A49" w:rsidRPr="007E434B" w:rsidRDefault="00F26A49" w:rsidP="00B6595D">
                <w:pPr>
                  <w:tabs>
                    <w:tab w:val="right" w:pos="8838"/>
                  </w:tabs>
                  <w:ind w:right="-32"/>
                  <w:jc w:val="both"/>
                  <w:rPr>
                    <w:rFonts w:ascii="Palatino Linotype" w:eastAsia="Calibri" w:hAnsi="Palatino Linotype" w:cs="Tahoma"/>
                    <w:b/>
                    <w:sz w:val="22"/>
                    <w:szCs w:val="22"/>
                    <w:lang w:val="es-MX" w:eastAsia="en-US"/>
                  </w:rPr>
                </w:pPr>
                <w:r>
                  <w:rPr>
                    <w:rFonts w:ascii="Palatino Linotype" w:eastAsia="Calibri" w:hAnsi="Palatino Linotype" w:cs="Tahoma"/>
                    <w:sz w:val="22"/>
                    <w:szCs w:val="22"/>
                    <w:lang w:val="es-MX" w:eastAsia="en-US"/>
                  </w:rPr>
                  <w:t>Secretaría de Desarrollo Urbano y Metropolitano</w:t>
                </w:r>
              </w:p>
            </w:tc>
          </w:tr>
          <w:tr w:rsidR="00F26A49" w:rsidRPr="00E152D8" w14:paraId="5674350E" w14:textId="77777777" w:rsidTr="00812BB6">
            <w:trPr>
              <w:trHeight w:val="283"/>
            </w:trPr>
            <w:tc>
              <w:tcPr>
                <w:tcW w:w="2698" w:type="dxa"/>
              </w:tcPr>
              <w:p w14:paraId="5674350C" w14:textId="77777777" w:rsidR="00F26A49" w:rsidRPr="00E152D8" w:rsidRDefault="00F26A49" w:rsidP="00E152D8">
                <w:pPr>
                  <w:tabs>
                    <w:tab w:val="right" w:pos="8838"/>
                  </w:tabs>
                  <w:ind w:right="-105"/>
                  <w:rPr>
                    <w:rFonts w:ascii="Palatino Linotype" w:eastAsia="Calibri" w:hAnsi="Palatino Linotype" w:cs="Tahoma"/>
                    <w:b/>
                    <w:sz w:val="22"/>
                    <w:szCs w:val="22"/>
                    <w:lang w:val="es-MX" w:eastAsia="en-US"/>
                  </w:rPr>
                </w:pPr>
                <w:r w:rsidRPr="00E152D8">
                  <w:rPr>
                    <w:rFonts w:ascii="Palatino Linotype" w:eastAsia="Calibri" w:hAnsi="Palatino Linotype" w:cs="Tahoma"/>
                    <w:b/>
                    <w:sz w:val="22"/>
                    <w:szCs w:val="22"/>
                    <w:lang w:val="es-MX" w:eastAsia="en-US"/>
                  </w:rPr>
                  <w:t>Comisionado Ponente:</w:t>
                </w:r>
              </w:p>
            </w:tc>
            <w:tc>
              <w:tcPr>
                <w:tcW w:w="3621" w:type="dxa"/>
              </w:tcPr>
              <w:p w14:paraId="5674350D" w14:textId="77777777" w:rsidR="00F26A49" w:rsidRPr="00E152D8" w:rsidRDefault="00F26A49" w:rsidP="00E152D8">
                <w:pPr>
                  <w:tabs>
                    <w:tab w:val="right" w:pos="8838"/>
                  </w:tabs>
                  <w:ind w:right="-32"/>
                  <w:jc w:val="both"/>
                  <w:rPr>
                    <w:rFonts w:ascii="Palatino Linotype" w:eastAsia="Calibri" w:hAnsi="Palatino Linotype" w:cs="Tahoma"/>
                    <w:b/>
                    <w:sz w:val="22"/>
                    <w:szCs w:val="22"/>
                    <w:lang w:val="es-MX" w:eastAsia="en-US"/>
                  </w:rPr>
                </w:pPr>
                <w:r w:rsidRPr="00E152D8">
                  <w:rPr>
                    <w:rFonts w:ascii="Palatino Linotype" w:eastAsia="Calibri" w:hAnsi="Palatino Linotype" w:cs="Tahoma"/>
                    <w:sz w:val="22"/>
                    <w:szCs w:val="22"/>
                    <w:lang w:val="es-MX" w:eastAsia="en-US"/>
                  </w:rPr>
                  <w:t>Luis Gustavo Parra Noriega</w:t>
                </w:r>
              </w:p>
            </w:tc>
          </w:tr>
        </w:tbl>
        <w:p w14:paraId="5674350F" w14:textId="77777777" w:rsidR="00F26A49" w:rsidRPr="005C106F" w:rsidRDefault="00F26A49" w:rsidP="00232673">
          <w:pPr>
            <w:tabs>
              <w:tab w:val="right" w:pos="8838"/>
            </w:tabs>
            <w:ind w:left="-28"/>
            <w:jc w:val="both"/>
            <w:rPr>
              <w:rFonts w:ascii="Arial" w:eastAsia="Calibri" w:hAnsi="Arial" w:cs="Arial"/>
              <w:b/>
              <w:sz w:val="22"/>
              <w:szCs w:val="22"/>
              <w:lang w:val="es-MX" w:eastAsia="en-US"/>
            </w:rPr>
          </w:pPr>
        </w:p>
      </w:tc>
    </w:tr>
  </w:tbl>
  <w:p w14:paraId="56743511" w14:textId="77777777" w:rsidR="00F26A49" w:rsidRPr="00443C6B" w:rsidRDefault="00F26A49" w:rsidP="00EF4A64">
    <w:pPr>
      <w:pStyle w:val="Encabezado"/>
      <w:rPr>
        <w:sz w:val="14"/>
        <w:lang w:val="es-MX"/>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568" w:type="dxa"/>
      <w:tblLayout w:type="fixed"/>
      <w:tblLook w:val="04A0" w:firstRow="1" w:lastRow="0" w:firstColumn="1" w:lastColumn="0" w:noHBand="0" w:noVBand="1"/>
    </w:tblPr>
    <w:tblGrid>
      <w:gridCol w:w="2835"/>
      <w:gridCol w:w="6733"/>
    </w:tblGrid>
    <w:tr w:rsidR="00F26A49" w:rsidRPr="005C106F" w14:paraId="56743524" w14:textId="77777777" w:rsidTr="005762DA">
      <w:trPr>
        <w:trHeight w:val="1435"/>
      </w:trPr>
      <w:tc>
        <w:tcPr>
          <w:tcW w:w="2835" w:type="dxa"/>
          <w:shd w:val="clear" w:color="auto" w:fill="auto"/>
        </w:tcPr>
        <w:p w14:paraId="56743516" w14:textId="77777777" w:rsidR="00F26A49" w:rsidRPr="005C106F" w:rsidRDefault="00F26A49" w:rsidP="005608D0">
          <w:pPr>
            <w:tabs>
              <w:tab w:val="right" w:pos="4273"/>
            </w:tabs>
            <w:rPr>
              <w:rFonts w:ascii="Garamond" w:eastAsia="Calibri" w:hAnsi="Garamond"/>
              <w:sz w:val="16"/>
              <w:szCs w:val="16"/>
              <w:lang w:val="es-MX" w:eastAsia="en-US"/>
            </w:rPr>
          </w:pPr>
        </w:p>
      </w:tc>
      <w:tc>
        <w:tcPr>
          <w:tcW w:w="6733" w:type="dxa"/>
          <w:shd w:val="clear" w:color="auto" w:fill="auto"/>
        </w:tcPr>
        <w:tbl>
          <w:tblPr>
            <w:tblStyle w:val="Tablaconcuadrcula"/>
            <w:tblW w:w="6319" w:type="dxa"/>
            <w:tblInd w:w="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98"/>
            <w:gridCol w:w="3621"/>
          </w:tblGrid>
          <w:tr w:rsidR="00F26A49" w:rsidRPr="00E152D8" w14:paraId="56743519" w14:textId="77777777" w:rsidTr="005762DA">
            <w:trPr>
              <w:trHeight w:val="144"/>
            </w:trPr>
            <w:tc>
              <w:tcPr>
                <w:tcW w:w="2698" w:type="dxa"/>
              </w:tcPr>
              <w:p w14:paraId="56743517" w14:textId="77777777" w:rsidR="00F26A49" w:rsidRPr="00E152D8" w:rsidRDefault="00F26A49" w:rsidP="005608D0">
                <w:pPr>
                  <w:tabs>
                    <w:tab w:val="right" w:pos="8838"/>
                  </w:tabs>
                  <w:ind w:right="-105"/>
                  <w:rPr>
                    <w:rFonts w:ascii="Palatino Linotype" w:eastAsia="Calibri" w:hAnsi="Palatino Linotype" w:cs="Tahoma"/>
                    <w:b/>
                    <w:sz w:val="22"/>
                    <w:szCs w:val="22"/>
                    <w:lang w:val="es-MX" w:eastAsia="en-US"/>
                  </w:rPr>
                </w:pPr>
                <w:r w:rsidRPr="00E152D8">
                  <w:rPr>
                    <w:rFonts w:ascii="Palatino Linotype" w:eastAsia="Calibri" w:hAnsi="Palatino Linotype" w:cs="Tahoma"/>
                    <w:b/>
                    <w:sz w:val="22"/>
                    <w:szCs w:val="22"/>
                    <w:lang w:val="es-MX" w:eastAsia="en-US"/>
                  </w:rPr>
                  <w:t>Recurso de Revisión:</w:t>
                </w:r>
              </w:p>
            </w:tc>
            <w:tc>
              <w:tcPr>
                <w:tcW w:w="3621" w:type="dxa"/>
              </w:tcPr>
              <w:p w14:paraId="56743518" w14:textId="1092DF79" w:rsidR="00F26A49" w:rsidRPr="00E152D8" w:rsidRDefault="00F26A49" w:rsidP="00E12EFE">
                <w:pPr>
                  <w:tabs>
                    <w:tab w:val="right" w:pos="8838"/>
                  </w:tabs>
                  <w:ind w:left="-28" w:right="-32"/>
                  <w:jc w:val="both"/>
                  <w:rPr>
                    <w:rFonts w:ascii="Palatino Linotype" w:eastAsia="Calibri" w:hAnsi="Palatino Linotype" w:cs="Tahoma"/>
                    <w:bCs/>
                    <w:sz w:val="22"/>
                    <w:szCs w:val="22"/>
                    <w:lang w:eastAsia="en-US"/>
                  </w:rPr>
                </w:pPr>
                <w:r w:rsidRPr="001622A2">
                  <w:rPr>
                    <w:rFonts w:ascii="Palatino Linotype" w:eastAsia="Calibri" w:hAnsi="Palatino Linotype" w:cs="Tahoma"/>
                    <w:bCs/>
                    <w:sz w:val="22"/>
                    <w:szCs w:val="22"/>
                    <w:lang w:eastAsia="en-US"/>
                  </w:rPr>
                  <w:t>0</w:t>
                </w:r>
                <w:r>
                  <w:rPr>
                    <w:rFonts w:ascii="Palatino Linotype" w:eastAsia="Calibri" w:hAnsi="Palatino Linotype" w:cs="Tahoma"/>
                    <w:bCs/>
                    <w:sz w:val="22"/>
                    <w:szCs w:val="22"/>
                    <w:lang w:eastAsia="en-US"/>
                  </w:rPr>
                  <w:t>2936</w:t>
                </w:r>
                <w:r w:rsidRPr="001622A2">
                  <w:rPr>
                    <w:rFonts w:ascii="Palatino Linotype" w:eastAsia="Calibri" w:hAnsi="Palatino Linotype" w:cs="Tahoma"/>
                    <w:bCs/>
                    <w:sz w:val="22"/>
                    <w:szCs w:val="22"/>
                    <w:lang w:eastAsia="en-US"/>
                  </w:rPr>
                  <w:t>/INFOEM/IP/RR/2019</w:t>
                </w:r>
              </w:p>
            </w:tc>
          </w:tr>
          <w:tr w:rsidR="00F26A49" w:rsidRPr="00E152D8" w14:paraId="5674351C" w14:textId="77777777" w:rsidTr="005762DA">
            <w:trPr>
              <w:trHeight w:val="144"/>
            </w:trPr>
            <w:tc>
              <w:tcPr>
                <w:tcW w:w="2698" w:type="dxa"/>
              </w:tcPr>
              <w:p w14:paraId="5674351A" w14:textId="77777777" w:rsidR="00F26A49" w:rsidRPr="00E152D8" w:rsidRDefault="00F26A49" w:rsidP="005608D0">
                <w:pPr>
                  <w:tabs>
                    <w:tab w:val="right" w:pos="8838"/>
                  </w:tabs>
                  <w:ind w:right="-105"/>
                  <w:rPr>
                    <w:rFonts w:ascii="Palatino Linotype" w:eastAsia="Calibri" w:hAnsi="Palatino Linotype" w:cs="Tahoma"/>
                    <w:b/>
                    <w:sz w:val="22"/>
                    <w:szCs w:val="22"/>
                    <w:lang w:val="es-MX" w:eastAsia="en-US"/>
                  </w:rPr>
                </w:pPr>
                <w:r w:rsidRPr="00E152D8">
                  <w:rPr>
                    <w:rFonts w:ascii="Palatino Linotype" w:eastAsia="Calibri" w:hAnsi="Palatino Linotype" w:cs="Tahoma"/>
                    <w:b/>
                    <w:sz w:val="22"/>
                    <w:szCs w:val="22"/>
                    <w:lang w:val="es-MX" w:eastAsia="en-US"/>
                  </w:rPr>
                  <w:t>Recurrente:</w:t>
                </w:r>
              </w:p>
            </w:tc>
            <w:tc>
              <w:tcPr>
                <w:tcW w:w="3621" w:type="dxa"/>
              </w:tcPr>
              <w:p w14:paraId="5674351B" w14:textId="5A2E232C" w:rsidR="00F26A49" w:rsidRPr="00E152D8" w:rsidRDefault="00DA15AE" w:rsidP="007B0FDC">
                <w:pPr>
                  <w:tabs>
                    <w:tab w:val="right" w:pos="8838"/>
                  </w:tabs>
                  <w:ind w:right="-32"/>
                  <w:jc w:val="both"/>
                  <w:rPr>
                    <w:rFonts w:ascii="Palatino Linotype" w:eastAsia="Calibri" w:hAnsi="Palatino Linotype" w:cs="Tahoma"/>
                    <w:sz w:val="22"/>
                    <w:szCs w:val="22"/>
                    <w:lang w:val="es-MX" w:eastAsia="en-US"/>
                  </w:rPr>
                </w:pPr>
                <w:r w:rsidRPr="00DA15AE">
                  <w:rPr>
                    <w:rFonts w:ascii="Palatino Linotype" w:eastAsia="Calibri" w:hAnsi="Palatino Linotype" w:cs="Tahoma"/>
                    <w:sz w:val="22"/>
                    <w:szCs w:val="22"/>
                    <w:highlight w:val="black"/>
                    <w:lang w:val="es-MX" w:eastAsia="en-US"/>
                  </w:rPr>
                  <w:t>XXXXXXXXXXXXXXXXXX</w:t>
                </w:r>
              </w:p>
            </w:tc>
          </w:tr>
          <w:tr w:rsidR="00F26A49" w:rsidRPr="00E152D8" w14:paraId="5674351F" w14:textId="77777777" w:rsidTr="005762DA">
            <w:trPr>
              <w:trHeight w:val="283"/>
            </w:trPr>
            <w:tc>
              <w:tcPr>
                <w:tcW w:w="2698" w:type="dxa"/>
              </w:tcPr>
              <w:p w14:paraId="5674351D" w14:textId="77777777" w:rsidR="00F26A49" w:rsidRPr="00E152D8" w:rsidRDefault="00F26A49" w:rsidP="005608D0">
                <w:pPr>
                  <w:tabs>
                    <w:tab w:val="right" w:pos="8838"/>
                  </w:tabs>
                  <w:ind w:right="-105"/>
                  <w:rPr>
                    <w:rFonts w:ascii="Palatino Linotype" w:eastAsia="Calibri" w:hAnsi="Palatino Linotype" w:cs="Tahoma"/>
                    <w:b/>
                    <w:sz w:val="22"/>
                    <w:szCs w:val="22"/>
                    <w:lang w:val="es-MX" w:eastAsia="en-US"/>
                  </w:rPr>
                </w:pPr>
                <w:r>
                  <w:rPr>
                    <w:rFonts w:ascii="Palatino Linotype" w:eastAsia="Calibri" w:hAnsi="Palatino Linotype" w:cs="Tahoma"/>
                    <w:b/>
                    <w:sz w:val="22"/>
                    <w:szCs w:val="22"/>
                    <w:lang w:val="es-MX" w:eastAsia="en-US"/>
                  </w:rPr>
                  <w:t>Sujeto Obligado</w:t>
                </w:r>
                <w:r w:rsidRPr="00E152D8">
                  <w:rPr>
                    <w:rFonts w:ascii="Palatino Linotype" w:eastAsia="Calibri" w:hAnsi="Palatino Linotype" w:cs="Tahoma"/>
                    <w:b/>
                    <w:sz w:val="22"/>
                    <w:szCs w:val="22"/>
                    <w:lang w:val="es-MX" w:eastAsia="en-US"/>
                  </w:rPr>
                  <w:t>:</w:t>
                </w:r>
              </w:p>
            </w:tc>
            <w:tc>
              <w:tcPr>
                <w:tcW w:w="3621" w:type="dxa"/>
              </w:tcPr>
              <w:p w14:paraId="5674351E" w14:textId="1CEE7783" w:rsidR="00F26A49" w:rsidRPr="00E152D8" w:rsidRDefault="00F26A49" w:rsidP="0025447C">
                <w:pPr>
                  <w:tabs>
                    <w:tab w:val="right" w:pos="8838"/>
                  </w:tabs>
                  <w:ind w:right="-32"/>
                  <w:jc w:val="both"/>
                  <w:rPr>
                    <w:rFonts w:ascii="Palatino Linotype" w:eastAsia="Calibri" w:hAnsi="Palatino Linotype" w:cs="Tahoma"/>
                    <w:b/>
                    <w:sz w:val="22"/>
                    <w:szCs w:val="22"/>
                    <w:lang w:val="es-MX" w:eastAsia="en-US"/>
                  </w:rPr>
                </w:pPr>
                <w:r>
                  <w:rPr>
                    <w:rFonts w:ascii="Palatino Linotype" w:eastAsia="Calibri" w:hAnsi="Palatino Linotype" w:cs="Tahoma"/>
                    <w:sz w:val="22"/>
                    <w:szCs w:val="22"/>
                    <w:lang w:val="es-MX" w:eastAsia="en-US"/>
                  </w:rPr>
                  <w:t>Secretaría de Desarrollo Urbano y Metropolitano</w:t>
                </w:r>
              </w:p>
            </w:tc>
          </w:tr>
          <w:tr w:rsidR="00F26A49" w:rsidRPr="00E152D8" w14:paraId="56743522" w14:textId="77777777" w:rsidTr="005762DA">
            <w:trPr>
              <w:trHeight w:val="283"/>
            </w:trPr>
            <w:tc>
              <w:tcPr>
                <w:tcW w:w="2698" w:type="dxa"/>
              </w:tcPr>
              <w:p w14:paraId="56743520" w14:textId="77777777" w:rsidR="00F26A49" w:rsidRPr="00E152D8" w:rsidRDefault="00F26A49" w:rsidP="005608D0">
                <w:pPr>
                  <w:tabs>
                    <w:tab w:val="right" w:pos="8838"/>
                  </w:tabs>
                  <w:ind w:right="-105"/>
                  <w:rPr>
                    <w:rFonts w:ascii="Palatino Linotype" w:eastAsia="Calibri" w:hAnsi="Palatino Linotype" w:cs="Tahoma"/>
                    <w:b/>
                    <w:sz w:val="22"/>
                    <w:szCs w:val="22"/>
                    <w:lang w:val="es-MX" w:eastAsia="en-US"/>
                  </w:rPr>
                </w:pPr>
                <w:r w:rsidRPr="00E152D8">
                  <w:rPr>
                    <w:rFonts w:ascii="Palatino Linotype" w:eastAsia="Calibri" w:hAnsi="Palatino Linotype" w:cs="Tahoma"/>
                    <w:b/>
                    <w:sz w:val="22"/>
                    <w:szCs w:val="22"/>
                    <w:lang w:val="es-MX" w:eastAsia="en-US"/>
                  </w:rPr>
                  <w:t>Comisionado Ponente:</w:t>
                </w:r>
              </w:p>
            </w:tc>
            <w:tc>
              <w:tcPr>
                <w:tcW w:w="3621" w:type="dxa"/>
              </w:tcPr>
              <w:p w14:paraId="56743521" w14:textId="77777777" w:rsidR="00F26A49" w:rsidRPr="00E152D8" w:rsidRDefault="00F26A49" w:rsidP="005608D0">
                <w:pPr>
                  <w:tabs>
                    <w:tab w:val="right" w:pos="8838"/>
                  </w:tabs>
                  <w:ind w:right="-32"/>
                  <w:jc w:val="both"/>
                  <w:rPr>
                    <w:rFonts w:ascii="Palatino Linotype" w:eastAsia="Calibri" w:hAnsi="Palatino Linotype" w:cs="Tahoma"/>
                    <w:b/>
                    <w:sz w:val="22"/>
                    <w:szCs w:val="22"/>
                    <w:lang w:val="es-MX" w:eastAsia="en-US"/>
                  </w:rPr>
                </w:pPr>
                <w:r w:rsidRPr="00E152D8">
                  <w:rPr>
                    <w:rFonts w:ascii="Palatino Linotype" w:eastAsia="Calibri" w:hAnsi="Palatino Linotype" w:cs="Tahoma"/>
                    <w:sz w:val="22"/>
                    <w:szCs w:val="22"/>
                    <w:lang w:val="es-MX" w:eastAsia="en-US"/>
                  </w:rPr>
                  <w:t>Luis Gustavo Parra Noriega</w:t>
                </w:r>
              </w:p>
            </w:tc>
          </w:tr>
        </w:tbl>
        <w:p w14:paraId="56743523" w14:textId="77777777" w:rsidR="00F26A49" w:rsidRPr="005C106F" w:rsidRDefault="00F26A49" w:rsidP="005608D0">
          <w:pPr>
            <w:tabs>
              <w:tab w:val="right" w:pos="8838"/>
            </w:tabs>
            <w:ind w:left="-28"/>
            <w:jc w:val="both"/>
            <w:rPr>
              <w:rFonts w:ascii="Arial" w:eastAsia="Calibri" w:hAnsi="Arial" w:cs="Arial"/>
              <w:b/>
              <w:sz w:val="22"/>
              <w:szCs w:val="22"/>
              <w:lang w:val="es-MX" w:eastAsia="en-US"/>
            </w:rPr>
          </w:pPr>
        </w:p>
      </w:tc>
    </w:tr>
  </w:tbl>
  <w:p w14:paraId="56743525" w14:textId="77777777" w:rsidR="00F26A49" w:rsidRDefault="00F26A49">
    <w:pPr>
      <w:pStyle w:val="Encabezado"/>
    </w:pPr>
  </w:p>
  <w:p w14:paraId="29B4B785" w14:textId="77777777" w:rsidR="00611119" w:rsidRDefault="00611119">
    <w:pPr>
      <w:pStyle w:val="Encabezado"/>
    </w:pPr>
  </w:p>
  <w:p w14:paraId="14F133CD" w14:textId="77777777" w:rsidR="00611119" w:rsidRPr="007516C8" w:rsidRDefault="00611119">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3"/>
    <w:multiLevelType w:val="singleLevel"/>
    <w:tmpl w:val="7816848E"/>
    <w:lvl w:ilvl="0">
      <w:start w:val="1"/>
      <w:numFmt w:val="bullet"/>
      <w:pStyle w:val="Listaconvietas2"/>
      <w:lvlText w:val=""/>
      <w:lvlJc w:val="left"/>
      <w:pPr>
        <w:tabs>
          <w:tab w:val="num" w:pos="643"/>
        </w:tabs>
        <w:ind w:left="643" w:hanging="360"/>
      </w:pPr>
      <w:rPr>
        <w:rFonts w:ascii="Symbol" w:hAnsi="Symbol" w:hint="default"/>
      </w:rPr>
    </w:lvl>
  </w:abstractNum>
  <w:abstractNum w:abstractNumId="1" w15:restartNumberingAfterBreak="0">
    <w:nsid w:val="00D17236"/>
    <w:multiLevelType w:val="hybridMultilevel"/>
    <w:tmpl w:val="5E8EE80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18A3A90"/>
    <w:multiLevelType w:val="hybridMultilevel"/>
    <w:tmpl w:val="C96CF0F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2923AE3"/>
    <w:multiLevelType w:val="hybridMultilevel"/>
    <w:tmpl w:val="CEBA312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7EE6D2A"/>
    <w:multiLevelType w:val="hybridMultilevel"/>
    <w:tmpl w:val="3EC469B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988672E"/>
    <w:multiLevelType w:val="hybridMultilevel"/>
    <w:tmpl w:val="2E2A5EAC"/>
    <w:lvl w:ilvl="0" w:tplc="6D888DFA">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09CB6C09"/>
    <w:multiLevelType w:val="hybridMultilevel"/>
    <w:tmpl w:val="D01C426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0EA56FC0"/>
    <w:multiLevelType w:val="hybridMultilevel"/>
    <w:tmpl w:val="CEBA312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3A56762"/>
    <w:multiLevelType w:val="hybridMultilevel"/>
    <w:tmpl w:val="CEBA312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4372E0F"/>
    <w:multiLevelType w:val="hybridMultilevel"/>
    <w:tmpl w:val="4F7A543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17AF527C"/>
    <w:multiLevelType w:val="hybridMultilevel"/>
    <w:tmpl w:val="FC783C7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1FBA60E1"/>
    <w:multiLevelType w:val="hybridMultilevel"/>
    <w:tmpl w:val="F57C3FA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22F6703C"/>
    <w:multiLevelType w:val="hybridMultilevel"/>
    <w:tmpl w:val="9A90FA9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7896E44"/>
    <w:multiLevelType w:val="hybridMultilevel"/>
    <w:tmpl w:val="FA18237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2838302D"/>
    <w:multiLevelType w:val="hybridMultilevel"/>
    <w:tmpl w:val="F05218D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32D13C0D"/>
    <w:multiLevelType w:val="hybridMultilevel"/>
    <w:tmpl w:val="224053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388915C1"/>
    <w:multiLevelType w:val="hybridMultilevel"/>
    <w:tmpl w:val="84BEE21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3C816A84"/>
    <w:multiLevelType w:val="hybridMultilevel"/>
    <w:tmpl w:val="BE44CBF8"/>
    <w:lvl w:ilvl="0" w:tplc="7480C6B8">
      <w:start w:val="1"/>
      <w:numFmt w:val="lowerLetter"/>
      <w:lvlText w:val="%1)"/>
      <w:lvlJc w:val="left"/>
      <w:pPr>
        <w:ind w:left="720" w:hanging="360"/>
      </w:pPr>
      <w:rPr>
        <w:rFonts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4AC47536"/>
    <w:multiLevelType w:val="hybridMultilevel"/>
    <w:tmpl w:val="CEBA312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500509C8"/>
    <w:multiLevelType w:val="hybridMultilevel"/>
    <w:tmpl w:val="892CD77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58377736"/>
    <w:multiLevelType w:val="hybridMultilevel"/>
    <w:tmpl w:val="CEBA312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5A134E1A"/>
    <w:multiLevelType w:val="hybridMultilevel"/>
    <w:tmpl w:val="133E86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5C0D1D37"/>
    <w:multiLevelType w:val="hybridMultilevel"/>
    <w:tmpl w:val="76EA6F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5C7E0CC6"/>
    <w:multiLevelType w:val="hybridMultilevel"/>
    <w:tmpl w:val="7E9EDD9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60557AF1"/>
    <w:multiLevelType w:val="hybridMultilevel"/>
    <w:tmpl w:val="9782CE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61B35969"/>
    <w:multiLevelType w:val="hybridMultilevel"/>
    <w:tmpl w:val="AB28B14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6BF97366"/>
    <w:multiLevelType w:val="hybridMultilevel"/>
    <w:tmpl w:val="AF5043F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6C43224E"/>
    <w:multiLevelType w:val="hybridMultilevel"/>
    <w:tmpl w:val="819A84C8"/>
    <w:lvl w:ilvl="0" w:tplc="080A000F">
      <w:start w:val="1"/>
      <w:numFmt w:val="decimal"/>
      <w:lvlText w:val="%1."/>
      <w:lvlJc w:val="left"/>
      <w:pPr>
        <w:ind w:left="720" w:hanging="360"/>
      </w:pPr>
      <w:rPr>
        <w:b/>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75422B96"/>
    <w:multiLevelType w:val="hybridMultilevel"/>
    <w:tmpl w:val="B164EBC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75E24028"/>
    <w:multiLevelType w:val="hybridMultilevel"/>
    <w:tmpl w:val="F05EE9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79AD3969"/>
    <w:multiLevelType w:val="hybridMultilevel"/>
    <w:tmpl w:val="5E8EE80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7A6A0DAA"/>
    <w:multiLevelType w:val="hybridMultilevel"/>
    <w:tmpl w:val="0688DECC"/>
    <w:lvl w:ilvl="0" w:tplc="9F0C27C2">
      <w:start w:val="1"/>
      <w:numFmt w:val="decimal"/>
      <w:lvlText w:val="%1."/>
      <w:lvlJc w:val="left"/>
      <w:pPr>
        <w:ind w:left="644" w:hanging="360"/>
      </w:pPr>
      <w:rPr>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0"/>
  </w:num>
  <w:num w:numId="2">
    <w:abstractNumId w:val="14"/>
  </w:num>
  <w:num w:numId="3">
    <w:abstractNumId w:val="28"/>
  </w:num>
  <w:num w:numId="4">
    <w:abstractNumId w:val="19"/>
  </w:num>
  <w:num w:numId="5">
    <w:abstractNumId w:val="21"/>
  </w:num>
  <w:num w:numId="6">
    <w:abstractNumId w:val="4"/>
  </w:num>
  <w:num w:numId="7">
    <w:abstractNumId w:val="15"/>
  </w:num>
  <w:num w:numId="8">
    <w:abstractNumId w:val="27"/>
  </w:num>
  <w:num w:numId="9">
    <w:abstractNumId w:val="16"/>
  </w:num>
  <w:num w:numId="10">
    <w:abstractNumId w:val="25"/>
  </w:num>
  <w:num w:numId="11">
    <w:abstractNumId w:val="2"/>
  </w:num>
  <w:num w:numId="12">
    <w:abstractNumId w:val="29"/>
  </w:num>
  <w:num w:numId="13">
    <w:abstractNumId w:val="17"/>
  </w:num>
  <w:num w:numId="14">
    <w:abstractNumId w:val="22"/>
  </w:num>
  <w:num w:numId="15">
    <w:abstractNumId w:val="6"/>
  </w:num>
  <w:num w:numId="16">
    <w:abstractNumId w:val="13"/>
  </w:num>
  <w:num w:numId="17">
    <w:abstractNumId w:val="11"/>
  </w:num>
  <w:num w:numId="18">
    <w:abstractNumId w:val="12"/>
  </w:num>
  <w:num w:numId="19">
    <w:abstractNumId w:val="30"/>
  </w:num>
  <w:num w:numId="20">
    <w:abstractNumId w:val="7"/>
  </w:num>
  <w:num w:numId="21">
    <w:abstractNumId w:val="1"/>
  </w:num>
  <w:num w:numId="22">
    <w:abstractNumId w:val="8"/>
  </w:num>
  <w:num w:numId="23">
    <w:abstractNumId w:val="3"/>
  </w:num>
  <w:num w:numId="24">
    <w:abstractNumId w:val="20"/>
  </w:num>
  <w:num w:numId="25">
    <w:abstractNumId w:val="18"/>
  </w:num>
  <w:num w:numId="26">
    <w:abstractNumId w:val="31"/>
  </w:num>
  <w:num w:numId="27">
    <w:abstractNumId w:val="10"/>
  </w:num>
  <w:num w:numId="28">
    <w:abstractNumId w:val="9"/>
  </w:num>
  <w:num w:numId="29">
    <w:abstractNumId w:val="23"/>
  </w:num>
  <w:num w:numId="30">
    <w:abstractNumId w:val="26"/>
  </w:num>
  <w:num w:numId="31">
    <w:abstractNumId w:val="24"/>
  </w:num>
  <w:num w:numId="32">
    <w:abstractNumId w:val="5"/>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6" w:nlCheck="1" w:checkStyle="0"/>
  <w:activeWritingStyle w:appName="MSWord" w:lang="es-ES" w:vendorID="64" w:dllVersion="6" w:nlCheck="1" w:checkStyle="1"/>
  <w:activeWritingStyle w:appName="MSWord" w:lang="es-ES_tradnl" w:vendorID="64" w:dllVersion="6" w:nlCheck="1" w:checkStyle="1"/>
  <w:activeWritingStyle w:appName="MSWord" w:lang="es-MX" w:vendorID="64" w:dllVersion="6" w:nlCheck="1" w:checkStyle="1"/>
  <w:activeWritingStyle w:appName="MSWord" w:lang="es-ES" w:vendorID="64" w:dllVersion="0" w:nlCheck="1" w:checkStyle="0"/>
  <w:activeWritingStyle w:appName="MSWord" w:lang="es-MX" w:vendorID="64" w:dllVersion="0" w:nlCheck="1" w:checkStyle="0"/>
  <w:activeWritingStyle w:appName="MSWord" w:lang="es-ES_tradnl" w:vendorID="64" w:dllVersion="0" w:nlCheck="1" w:checkStyle="0"/>
  <w:activeWritingStyle w:appName="MSWord" w:lang="en-US" w:vendorID="64" w:dllVersion="6" w:nlCheck="1" w:checkStyle="1"/>
  <w:activeWritingStyle w:appName="MSWord" w:lang="es-ES" w:vendorID="64" w:dllVersion="131078" w:nlCheck="1" w:checkStyle="1"/>
  <w:activeWritingStyle w:appName="MSWord" w:lang="es-MX" w:vendorID="64" w:dllVersion="131078" w:nlCheck="1" w:checkStyle="1"/>
  <w:activeWritingStyle w:appName="MSWord" w:lang="es-ES_tradnl" w:vendorID="64" w:dllVersion="131078" w:nlCheck="1" w:checkStyle="1"/>
  <w:defaultTabStop w:val="708"/>
  <w:hyphenationZone w:val="425"/>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1222"/>
    <w:rsid w:val="000007E9"/>
    <w:rsid w:val="000009ED"/>
    <w:rsid w:val="00001067"/>
    <w:rsid w:val="0000265E"/>
    <w:rsid w:val="000027EB"/>
    <w:rsid w:val="0000485A"/>
    <w:rsid w:val="00004A65"/>
    <w:rsid w:val="00006543"/>
    <w:rsid w:val="00010026"/>
    <w:rsid w:val="00011DAE"/>
    <w:rsid w:val="00011E99"/>
    <w:rsid w:val="00013A19"/>
    <w:rsid w:val="00014465"/>
    <w:rsid w:val="000171EB"/>
    <w:rsid w:val="0001771D"/>
    <w:rsid w:val="00021C64"/>
    <w:rsid w:val="0002231C"/>
    <w:rsid w:val="00022C71"/>
    <w:rsid w:val="00024810"/>
    <w:rsid w:val="000272B9"/>
    <w:rsid w:val="000302A1"/>
    <w:rsid w:val="00034E9D"/>
    <w:rsid w:val="00035017"/>
    <w:rsid w:val="00036147"/>
    <w:rsid w:val="000373BC"/>
    <w:rsid w:val="00037F4B"/>
    <w:rsid w:val="0004214D"/>
    <w:rsid w:val="00042FB0"/>
    <w:rsid w:val="00043323"/>
    <w:rsid w:val="00043C4B"/>
    <w:rsid w:val="0004646B"/>
    <w:rsid w:val="00046600"/>
    <w:rsid w:val="00046F1D"/>
    <w:rsid w:val="00051921"/>
    <w:rsid w:val="0005440D"/>
    <w:rsid w:val="00054FDD"/>
    <w:rsid w:val="000562E0"/>
    <w:rsid w:val="000567DD"/>
    <w:rsid w:val="00056A31"/>
    <w:rsid w:val="00056D9F"/>
    <w:rsid w:val="00056F5B"/>
    <w:rsid w:val="0006017B"/>
    <w:rsid w:val="00060F74"/>
    <w:rsid w:val="00062804"/>
    <w:rsid w:val="000630CF"/>
    <w:rsid w:val="0006374C"/>
    <w:rsid w:val="00064038"/>
    <w:rsid w:val="00067867"/>
    <w:rsid w:val="00067EEE"/>
    <w:rsid w:val="00073920"/>
    <w:rsid w:val="00073C4E"/>
    <w:rsid w:val="0008148B"/>
    <w:rsid w:val="000816BA"/>
    <w:rsid w:val="00081885"/>
    <w:rsid w:val="00081D04"/>
    <w:rsid w:val="00082C5D"/>
    <w:rsid w:val="00085CF1"/>
    <w:rsid w:val="00085F6F"/>
    <w:rsid w:val="00086262"/>
    <w:rsid w:val="00091A15"/>
    <w:rsid w:val="00092535"/>
    <w:rsid w:val="000939DD"/>
    <w:rsid w:val="00097211"/>
    <w:rsid w:val="000A0466"/>
    <w:rsid w:val="000A3BBF"/>
    <w:rsid w:val="000A3EE9"/>
    <w:rsid w:val="000A47A6"/>
    <w:rsid w:val="000A4C67"/>
    <w:rsid w:val="000B0FAA"/>
    <w:rsid w:val="000B0FB6"/>
    <w:rsid w:val="000B2C93"/>
    <w:rsid w:val="000B36DD"/>
    <w:rsid w:val="000B3FBF"/>
    <w:rsid w:val="000C27CA"/>
    <w:rsid w:val="000C5BBD"/>
    <w:rsid w:val="000D453A"/>
    <w:rsid w:val="000D5064"/>
    <w:rsid w:val="000D6674"/>
    <w:rsid w:val="000E005B"/>
    <w:rsid w:val="000E2948"/>
    <w:rsid w:val="000E5B22"/>
    <w:rsid w:val="000E6EB0"/>
    <w:rsid w:val="000F2044"/>
    <w:rsid w:val="000F24C8"/>
    <w:rsid w:val="000F33A7"/>
    <w:rsid w:val="000F3AA7"/>
    <w:rsid w:val="000F3DA0"/>
    <w:rsid w:val="000F3E6B"/>
    <w:rsid w:val="000F4061"/>
    <w:rsid w:val="000F555D"/>
    <w:rsid w:val="000F5975"/>
    <w:rsid w:val="000F674A"/>
    <w:rsid w:val="000F7A45"/>
    <w:rsid w:val="000F7FD8"/>
    <w:rsid w:val="00100BAC"/>
    <w:rsid w:val="001017B7"/>
    <w:rsid w:val="001034C6"/>
    <w:rsid w:val="001036FF"/>
    <w:rsid w:val="001049B0"/>
    <w:rsid w:val="001050A6"/>
    <w:rsid w:val="00106724"/>
    <w:rsid w:val="00110ABC"/>
    <w:rsid w:val="001125F4"/>
    <w:rsid w:val="0011354F"/>
    <w:rsid w:val="001137EE"/>
    <w:rsid w:val="00114068"/>
    <w:rsid w:val="001150E9"/>
    <w:rsid w:val="00117267"/>
    <w:rsid w:val="001206E6"/>
    <w:rsid w:val="00122664"/>
    <w:rsid w:val="00123832"/>
    <w:rsid w:val="00124134"/>
    <w:rsid w:val="00127757"/>
    <w:rsid w:val="00130745"/>
    <w:rsid w:val="001325E8"/>
    <w:rsid w:val="00132A80"/>
    <w:rsid w:val="00132F95"/>
    <w:rsid w:val="00134A3B"/>
    <w:rsid w:val="00135946"/>
    <w:rsid w:val="00137B0F"/>
    <w:rsid w:val="0014199D"/>
    <w:rsid w:val="0014307A"/>
    <w:rsid w:val="00144D0B"/>
    <w:rsid w:val="00145D24"/>
    <w:rsid w:val="00147566"/>
    <w:rsid w:val="00151053"/>
    <w:rsid w:val="00151E39"/>
    <w:rsid w:val="00152B91"/>
    <w:rsid w:val="0015337B"/>
    <w:rsid w:val="00156A6B"/>
    <w:rsid w:val="00157645"/>
    <w:rsid w:val="00157D55"/>
    <w:rsid w:val="00162234"/>
    <w:rsid w:val="001622A2"/>
    <w:rsid w:val="00163AFF"/>
    <w:rsid w:val="00163BC1"/>
    <w:rsid w:val="00163EDA"/>
    <w:rsid w:val="0016606F"/>
    <w:rsid w:val="0016796B"/>
    <w:rsid w:val="00170545"/>
    <w:rsid w:val="0017067D"/>
    <w:rsid w:val="001715F4"/>
    <w:rsid w:val="001723FF"/>
    <w:rsid w:val="00172EC3"/>
    <w:rsid w:val="0017459B"/>
    <w:rsid w:val="001770DA"/>
    <w:rsid w:val="00180989"/>
    <w:rsid w:val="00182B3F"/>
    <w:rsid w:val="00183D24"/>
    <w:rsid w:val="00183E3F"/>
    <w:rsid w:val="001847FF"/>
    <w:rsid w:val="001851A6"/>
    <w:rsid w:val="00191DF6"/>
    <w:rsid w:val="00191E78"/>
    <w:rsid w:val="00192294"/>
    <w:rsid w:val="001934DC"/>
    <w:rsid w:val="0019389B"/>
    <w:rsid w:val="00194111"/>
    <w:rsid w:val="001A0A9D"/>
    <w:rsid w:val="001A1B94"/>
    <w:rsid w:val="001A3A58"/>
    <w:rsid w:val="001A6B36"/>
    <w:rsid w:val="001A7FD2"/>
    <w:rsid w:val="001B107D"/>
    <w:rsid w:val="001B43B8"/>
    <w:rsid w:val="001B5B40"/>
    <w:rsid w:val="001B5B78"/>
    <w:rsid w:val="001B79D2"/>
    <w:rsid w:val="001B7C08"/>
    <w:rsid w:val="001D7BD2"/>
    <w:rsid w:val="001E2A4D"/>
    <w:rsid w:val="001E49D7"/>
    <w:rsid w:val="001E53C2"/>
    <w:rsid w:val="001E576D"/>
    <w:rsid w:val="001F1540"/>
    <w:rsid w:val="001F1980"/>
    <w:rsid w:val="001F2865"/>
    <w:rsid w:val="001F4147"/>
    <w:rsid w:val="001F652C"/>
    <w:rsid w:val="001F6DBF"/>
    <w:rsid w:val="001F74A4"/>
    <w:rsid w:val="001F7FEC"/>
    <w:rsid w:val="00202DB8"/>
    <w:rsid w:val="0020547B"/>
    <w:rsid w:val="00205D66"/>
    <w:rsid w:val="002070BE"/>
    <w:rsid w:val="00207736"/>
    <w:rsid w:val="00207855"/>
    <w:rsid w:val="00215D0D"/>
    <w:rsid w:val="0021629F"/>
    <w:rsid w:val="0021707A"/>
    <w:rsid w:val="002179CD"/>
    <w:rsid w:val="002179DA"/>
    <w:rsid w:val="00217AEF"/>
    <w:rsid w:val="00220816"/>
    <w:rsid w:val="00222574"/>
    <w:rsid w:val="00222F2E"/>
    <w:rsid w:val="00222FCE"/>
    <w:rsid w:val="002235F7"/>
    <w:rsid w:val="00223C13"/>
    <w:rsid w:val="00223ECD"/>
    <w:rsid w:val="002244BB"/>
    <w:rsid w:val="00224774"/>
    <w:rsid w:val="00224F7A"/>
    <w:rsid w:val="00225152"/>
    <w:rsid w:val="00230E81"/>
    <w:rsid w:val="00231211"/>
    <w:rsid w:val="0023178B"/>
    <w:rsid w:val="00232673"/>
    <w:rsid w:val="002331B0"/>
    <w:rsid w:val="00236863"/>
    <w:rsid w:val="00237383"/>
    <w:rsid w:val="002378D5"/>
    <w:rsid w:val="00237C1F"/>
    <w:rsid w:val="0024184F"/>
    <w:rsid w:val="002433A4"/>
    <w:rsid w:val="00243924"/>
    <w:rsid w:val="002457AF"/>
    <w:rsid w:val="002473C5"/>
    <w:rsid w:val="00250389"/>
    <w:rsid w:val="00250FE4"/>
    <w:rsid w:val="00252669"/>
    <w:rsid w:val="00254288"/>
    <w:rsid w:val="0025447C"/>
    <w:rsid w:val="002579CE"/>
    <w:rsid w:val="0026006E"/>
    <w:rsid w:val="00260FEC"/>
    <w:rsid w:val="002612A0"/>
    <w:rsid w:val="00262BF1"/>
    <w:rsid w:val="002639BC"/>
    <w:rsid w:val="00264538"/>
    <w:rsid w:val="00264886"/>
    <w:rsid w:val="002657E2"/>
    <w:rsid w:val="002663AC"/>
    <w:rsid w:val="002727CC"/>
    <w:rsid w:val="00273679"/>
    <w:rsid w:val="002757AE"/>
    <w:rsid w:val="002811AA"/>
    <w:rsid w:val="00281F04"/>
    <w:rsid w:val="00281F48"/>
    <w:rsid w:val="00282BAA"/>
    <w:rsid w:val="00284486"/>
    <w:rsid w:val="00285644"/>
    <w:rsid w:val="0028581E"/>
    <w:rsid w:val="002859D1"/>
    <w:rsid w:val="00287A2B"/>
    <w:rsid w:val="00287C6B"/>
    <w:rsid w:val="00291955"/>
    <w:rsid w:val="00291ACA"/>
    <w:rsid w:val="00293491"/>
    <w:rsid w:val="002A0D89"/>
    <w:rsid w:val="002A1142"/>
    <w:rsid w:val="002A1F13"/>
    <w:rsid w:val="002A3D21"/>
    <w:rsid w:val="002A3F0A"/>
    <w:rsid w:val="002A5257"/>
    <w:rsid w:val="002A5AD6"/>
    <w:rsid w:val="002A6193"/>
    <w:rsid w:val="002A7A2C"/>
    <w:rsid w:val="002B20A1"/>
    <w:rsid w:val="002B46D4"/>
    <w:rsid w:val="002B49F6"/>
    <w:rsid w:val="002B4EB3"/>
    <w:rsid w:val="002B54CF"/>
    <w:rsid w:val="002B6DDE"/>
    <w:rsid w:val="002C1077"/>
    <w:rsid w:val="002C3B75"/>
    <w:rsid w:val="002C65C0"/>
    <w:rsid w:val="002C6B42"/>
    <w:rsid w:val="002D40FA"/>
    <w:rsid w:val="002D788C"/>
    <w:rsid w:val="002E0369"/>
    <w:rsid w:val="002E1640"/>
    <w:rsid w:val="002E378C"/>
    <w:rsid w:val="002E728F"/>
    <w:rsid w:val="002F0CE9"/>
    <w:rsid w:val="002F1957"/>
    <w:rsid w:val="002F20F7"/>
    <w:rsid w:val="002F2D2D"/>
    <w:rsid w:val="002F7CA0"/>
    <w:rsid w:val="00300671"/>
    <w:rsid w:val="00301F46"/>
    <w:rsid w:val="00306418"/>
    <w:rsid w:val="003100F3"/>
    <w:rsid w:val="00310C11"/>
    <w:rsid w:val="00310D7C"/>
    <w:rsid w:val="00316600"/>
    <w:rsid w:val="00316DFD"/>
    <w:rsid w:val="003172EC"/>
    <w:rsid w:val="003207C6"/>
    <w:rsid w:val="00323325"/>
    <w:rsid w:val="00325984"/>
    <w:rsid w:val="00325EC0"/>
    <w:rsid w:val="00330DDD"/>
    <w:rsid w:val="00331853"/>
    <w:rsid w:val="00332BB1"/>
    <w:rsid w:val="003340EC"/>
    <w:rsid w:val="00336034"/>
    <w:rsid w:val="00336156"/>
    <w:rsid w:val="00336C10"/>
    <w:rsid w:val="00336CFC"/>
    <w:rsid w:val="0034057C"/>
    <w:rsid w:val="003411EE"/>
    <w:rsid w:val="003435D1"/>
    <w:rsid w:val="003474BA"/>
    <w:rsid w:val="00347CA7"/>
    <w:rsid w:val="0035180E"/>
    <w:rsid w:val="00353B6D"/>
    <w:rsid w:val="00354920"/>
    <w:rsid w:val="00355909"/>
    <w:rsid w:val="00355DC6"/>
    <w:rsid w:val="003604D7"/>
    <w:rsid w:val="003638A6"/>
    <w:rsid w:val="00363F22"/>
    <w:rsid w:val="00364521"/>
    <w:rsid w:val="0036707C"/>
    <w:rsid w:val="00367F82"/>
    <w:rsid w:val="003709DA"/>
    <w:rsid w:val="00375460"/>
    <w:rsid w:val="003756AF"/>
    <w:rsid w:val="0037670F"/>
    <w:rsid w:val="00377491"/>
    <w:rsid w:val="0037778A"/>
    <w:rsid w:val="00380441"/>
    <w:rsid w:val="003864D2"/>
    <w:rsid w:val="0038781C"/>
    <w:rsid w:val="00387AE3"/>
    <w:rsid w:val="00390249"/>
    <w:rsid w:val="00390BF8"/>
    <w:rsid w:val="003921B2"/>
    <w:rsid w:val="0039286F"/>
    <w:rsid w:val="00392E12"/>
    <w:rsid w:val="00394FD0"/>
    <w:rsid w:val="003956E9"/>
    <w:rsid w:val="003965EC"/>
    <w:rsid w:val="00396BA0"/>
    <w:rsid w:val="003975B0"/>
    <w:rsid w:val="003A0E17"/>
    <w:rsid w:val="003A15D6"/>
    <w:rsid w:val="003A357E"/>
    <w:rsid w:val="003A422C"/>
    <w:rsid w:val="003A6E62"/>
    <w:rsid w:val="003A6FE7"/>
    <w:rsid w:val="003A7173"/>
    <w:rsid w:val="003A7BE8"/>
    <w:rsid w:val="003B2140"/>
    <w:rsid w:val="003B3C9D"/>
    <w:rsid w:val="003B413E"/>
    <w:rsid w:val="003B45A9"/>
    <w:rsid w:val="003B69E8"/>
    <w:rsid w:val="003C28B8"/>
    <w:rsid w:val="003C68DA"/>
    <w:rsid w:val="003C7FD0"/>
    <w:rsid w:val="003D0268"/>
    <w:rsid w:val="003D0982"/>
    <w:rsid w:val="003D0D5C"/>
    <w:rsid w:val="003D1A43"/>
    <w:rsid w:val="003D1A64"/>
    <w:rsid w:val="003D2A4F"/>
    <w:rsid w:val="003D34BE"/>
    <w:rsid w:val="003D4B63"/>
    <w:rsid w:val="003D6BB8"/>
    <w:rsid w:val="003E1713"/>
    <w:rsid w:val="003E31E5"/>
    <w:rsid w:val="003E32ED"/>
    <w:rsid w:val="003E58C9"/>
    <w:rsid w:val="003E6C3C"/>
    <w:rsid w:val="003F2F62"/>
    <w:rsid w:val="004002FF"/>
    <w:rsid w:val="004004E9"/>
    <w:rsid w:val="004022FB"/>
    <w:rsid w:val="00402871"/>
    <w:rsid w:val="004052C5"/>
    <w:rsid w:val="0040764D"/>
    <w:rsid w:val="004100AA"/>
    <w:rsid w:val="00411A08"/>
    <w:rsid w:val="00412203"/>
    <w:rsid w:val="00412DC4"/>
    <w:rsid w:val="00417DE3"/>
    <w:rsid w:val="00420CD8"/>
    <w:rsid w:val="00422869"/>
    <w:rsid w:val="004230EF"/>
    <w:rsid w:val="00424608"/>
    <w:rsid w:val="00424DBA"/>
    <w:rsid w:val="00432121"/>
    <w:rsid w:val="0043257A"/>
    <w:rsid w:val="00435319"/>
    <w:rsid w:val="00435CED"/>
    <w:rsid w:val="00440556"/>
    <w:rsid w:val="004406CF"/>
    <w:rsid w:val="0044198D"/>
    <w:rsid w:val="0044271A"/>
    <w:rsid w:val="0044278F"/>
    <w:rsid w:val="00442B41"/>
    <w:rsid w:val="004435B4"/>
    <w:rsid w:val="00445C2B"/>
    <w:rsid w:val="00447C48"/>
    <w:rsid w:val="00450FB7"/>
    <w:rsid w:val="00457548"/>
    <w:rsid w:val="0045757E"/>
    <w:rsid w:val="0046048A"/>
    <w:rsid w:val="00463EA3"/>
    <w:rsid w:val="00464C2E"/>
    <w:rsid w:val="0046566A"/>
    <w:rsid w:val="00465F43"/>
    <w:rsid w:val="00466346"/>
    <w:rsid w:val="00467780"/>
    <w:rsid w:val="00467998"/>
    <w:rsid w:val="00467D2F"/>
    <w:rsid w:val="00471C5B"/>
    <w:rsid w:val="00471E46"/>
    <w:rsid w:val="004751D6"/>
    <w:rsid w:val="00476B3C"/>
    <w:rsid w:val="00477E20"/>
    <w:rsid w:val="00477E8A"/>
    <w:rsid w:val="004809AF"/>
    <w:rsid w:val="00480BB8"/>
    <w:rsid w:val="0048519E"/>
    <w:rsid w:val="004860BD"/>
    <w:rsid w:val="004866EC"/>
    <w:rsid w:val="00486D92"/>
    <w:rsid w:val="00487430"/>
    <w:rsid w:val="00487D0E"/>
    <w:rsid w:val="00491DB2"/>
    <w:rsid w:val="004960D2"/>
    <w:rsid w:val="004A07F1"/>
    <w:rsid w:val="004A0BB0"/>
    <w:rsid w:val="004A182E"/>
    <w:rsid w:val="004A26CD"/>
    <w:rsid w:val="004A577A"/>
    <w:rsid w:val="004A7990"/>
    <w:rsid w:val="004B42D0"/>
    <w:rsid w:val="004B43B3"/>
    <w:rsid w:val="004B51A0"/>
    <w:rsid w:val="004B591D"/>
    <w:rsid w:val="004B6860"/>
    <w:rsid w:val="004B7F5D"/>
    <w:rsid w:val="004C001D"/>
    <w:rsid w:val="004C2232"/>
    <w:rsid w:val="004C2782"/>
    <w:rsid w:val="004C6D50"/>
    <w:rsid w:val="004D1C65"/>
    <w:rsid w:val="004D39D3"/>
    <w:rsid w:val="004D5DB3"/>
    <w:rsid w:val="004E000D"/>
    <w:rsid w:val="004E136A"/>
    <w:rsid w:val="004E1448"/>
    <w:rsid w:val="004E1B47"/>
    <w:rsid w:val="004E1EDE"/>
    <w:rsid w:val="004E2BB7"/>
    <w:rsid w:val="004E3B59"/>
    <w:rsid w:val="004E41C7"/>
    <w:rsid w:val="004F1465"/>
    <w:rsid w:val="004F2999"/>
    <w:rsid w:val="004F2D88"/>
    <w:rsid w:val="004F4A2A"/>
    <w:rsid w:val="004F4CC8"/>
    <w:rsid w:val="004F4FC3"/>
    <w:rsid w:val="0050016E"/>
    <w:rsid w:val="00503655"/>
    <w:rsid w:val="005051DA"/>
    <w:rsid w:val="0050591E"/>
    <w:rsid w:val="005070C3"/>
    <w:rsid w:val="00510F7E"/>
    <w:rsid w:val="00511933"/>
    <w:rsid w:val="00513163"/>
    <w:rsid w:val="00515F48"/>
    <w:rsid w:val="00515F84"/>
    <w:rsid w:val="00516E15"/>
    <w:rsid w:val="00521DDE"/>
    <w:rsid w:val="005220BE"/>
    <w:rsid w:val="005248B2"/>
    <w:rsid w:val="00527D2D"/>
    <w:rsid w:val="00531D04"/>
    <w:rsid w:val="00540F28"/>
    <w:rsid w:val="00542D5F"/>
    <w:rsid w:val="00542D77"/>
    <w:rsid w:val="005435DE"/>
    <w:rsid w:val="005439B6"/>
    <w:rsid w:val="00544785"/>
    <w:rsid w:val="00545672"/>
    <w:rsid w:val="00546BAE"/>
    <w:rsid w:val="0055108C"/>
    <w:rsid w:val="005516C0"/>
    <w:rsid w:val="00552AB4"/>
    <w:rsid w:val="00552EBD"/>
    <w:rsid w:val="00554A40"/>
    <w:rsid w:val="00555F71"/>
    <w:rsid w:val="00556859"/>
    <w:rsid w:val="005608D0"/>
    <w:rsid w:val="00565A44"/>
    <w:rsid w:val="00565C0E"/>
    <w:rsid w:val="00573909"/>
    <w:rsid w:val="005744D3"/>
    <w:rsid w:val="005762DA"/>
    <w:rsid w:val="00580D73"/>
    <w:rsid w:val="00581D41"/>
    <w:rsid w:val="005830BF"/>
    <w:rsid w:val="005863B8"/>
    <w:rsid w:val="00586FA8"/>
    <w:rsid w:val="00587F23"/>
    <w:rsid w:val="00593BF5"/>
    <w:rsid w:val="00593CB4"/>
    <w:rsid w:val="00594120"/>
    <w:rsid w:val="00595D26"/>
    <w:rsid w:val="0059612D"/>
    <w:rsid w:val="005A30A4"/>
    <w:rsid w:val="005A39AB"/>
    <w:rsid w:val="005A7991"/>
    <w:rsid w:val="005B0D7C"/>
    <w:rsid w:val="005B1986"/>
    <w:rsid w:val="005B2F6E"/>
    <w:rsid w:val="005B6854"/>
    <w:rsid w:val="005C0C8B"/>
    <w:rsid w:val="005C1E50"/>
    <w:rsid w:val="005C24AA"/>
    <w:rsid w:val="005C24D0"/>
    <w:rsid w:val="005C2AB0"/>
    <w:rsid w:val="005C4034"/>
    <w:rsid w:val="005C55CC"/>
    <w:rsid w:val="005C62EF"/>
    <w:rsid w:val="005C651C"/>
    <w:rsid w:val="005C77A1"/>
    <w:rsid w:val="005D5607"/>
    <w:rsid w:val="005D5E5B"/>
    <w:rsid w:val="005E371F"/>
    <w:rsid w:val="005E5677"/>
    <w:rsid w:val="005E6829"/>
    <w:rsid w:val="005E71A9"/>
    <w:rsid w:val="005E7894"/>
    <w:rsid w:val="005E7C99"/>
    <w:rsid w:val="005F03DB"/>
    <w:rsid w:val="005F0BE0"/>
    <w:rsid w:val="005F1700"/>
    <w:rsid w:val="005F1AE5"/>
    <w:rsid w:val="005F36E3"/>
    <w:rsid w:val="005F3F8B"/>
    <w:rsid w:val="00603A46"/>
    <w:rsid w:val="00611002"/>
    <w:rsid w:val="00611119"/>
    <w:rsid w:val="006134E0"/>
    <w:rsid w:val="00616189"/>
    <w:rsid w:val="006168A7"/>
    <w:rsid w:val="00616B06"/>
    <w:rsid w:val="00617464"/>
    <w:rsid w:val="0062020B"/>
    <w:rsid w:val="006217BB"/>
    <w:rsid w:val="00624851"/>
    <w:rsid w:val="00625506"/>
    <w:rsid w:val="006256FD"/>
    <w:rsid w:val="00625BD5"/>
    <w:rsid w:val="00625DFB"/>
    <w:rsid w:val="006301F8"/>
    <w:rsid w:val="0063115F"/>
    <w:rsid w:val="00632A67"/>
    <w:rsid w:val="00633619"/>
    <w:rsid w:val="00635590"/>
    <w:rsid w:val="00635A1E"/>
    <w:rsid w:val="00635F2C"/>
    <w:rsid w:val="00636401"/>
    <w:rsid w:val="00636712"/>
    <w:rsid w:val="00637179"/>
    <w:rsid w:val="00642903"/>
    <w:rsid w:val="006437B2"/>
    <w:rsid w:val="00643FBC"/>
    <w:rsid w:val="006446D3"/>
    <w:rsid w:val="006449D5"/>
    <w:rsid w:val="006452C2"/>
    <w:rsid w:val="006476CA"/>
    <w:rsid w:val="00647974"/>
    <w:rsid w:val="00653812"/>
    <w:rsid w:val="00654411"/>
    <w:rsid w:val="00654A32"/>
    <w:rsid w:val="006552AE"/>
    <w:rsid w:val="00655773"/>
    <w:rsid w:val="006563CA"/>
    <w:rsid w:val="006578FC"/>
    <w:rsid w:val="006608AB"/>
    <w:rsid w:val="006628ED"/>
    <w:rsid w:val="006643BB"/>
    <w:rsid w:val="00664587"/>
    <w:rsid w:val="00665052"/>
    <w:rsid w:val="006676C2"/>
    <w:rsid w:val="00667EF4"/>
    <w:rsid w:val="006713A4"/>
    <w:rsid w:val="00673DD4"/>
    <w:rsid w:val="00674AEB"/>
    <w:rsid w:val="0068182D"/>
    <w:rsid w:val="00683BCF"/>
    <w:rsid w:val="0068693D"/>
    <w:rsid w:val="006877F1"/>
    <w:rsid w:val="00690D82"/>
    <w:rsid w:val="00691034"/>
    <w:rsid w:val="006921A6"/>
    <w:rsid w:val="00693506"/>
    <w:rsid w:val="00693B2B"/>
    <w:rsid w:val="006A026A"/>
    <w:rsid w:val="006A0311"/>
    <w:rsid w:val="006A2477"/>
    <w:rsid w:val="006A335C"/>
    <w:rsid w:val="006A36F7"/>
    <w:rsid w:val="006A3BD2"/>
    <w:rsid w:val="006A45E9"/>
    <w:rsid w:val="006A73E2"/>
    <w:rsid w:val="006B0426"/>
    <w:rsid w:val="006B0A3B"/>
    <w:rsid w:val="006B0E83"/>
    <w:rsid w:val="006B21DD"/>
    <w:rsid w:val="006B69DB"/>
    <w:rsid w:val="006C10C0"/>
    <w:rsid w:val="006C1EB6"/>
    <w:rsid w:val="006C3747"/>
    <w:rsid w:val="006C3E05"/>
    <w:rsid w:val="006C5A76"/>
    <w:rsid w:val="006C70C1"/>
    <w:rsid w:val="006C7760"/>
    <w:rsid w:val="006D1EB0"/>
    <w:rsid w:val="006D363F"/>
    <w:rsid w:val="006D4694"/>
    <w:rsid w:val="006D4D74"/>
    <w:rsid w:val="006D522C"/>
    <w:rsid w:val="006D61AE"/>
    <w:rsid w:val="006D7795"/>
    <w:rsid w:val="006D7ACB"/>
    <w:rsid w:val="006D7C70"/>
    <w:rsid w:val="006E241A"/>
    <w:rsid w:val="006E6157"/>
    <w:rsid w:val="006F1F3A"/>
    <w:rsid w:val="006F2933"/>
    <w:rsid w:val="00702DD7"/>
    <w:rsid w:val="00703A30"/>
    <w:rsid w:val="00703A54"/>
    <w:rsid w:val="00705C40"/>
    <w:rsid w:val="00707833"/>
    <w:rsid w:val="007079D3"/>
    <w:rsid w:val="0071087E"/>
    <w:rsid w:val="007208A6"/>
    <w:rsid w:val="007235AA"/>
    <w:rsid w:val="00723B40"/>
    <w:rsid w:val="00723E23"/>
    <w:rsid w:val="00724B13"/>
    <w:rsid w:val="00727911"/>
    <w:rsid w:val="0073225C"/>
    <w:rsid w:val="00735836"/>
    <w:rsid w:val="00735C0A"/>
    <w:rsid w:val="00735C21"/>
    <w:rsid w:val="0073614A"/>
    <w:rsid w:val="007365E6"/>
    <w:rsid w:val="00737082"/>
    <w:rsid w:val="00740136"/>
    <w:rsid w:val="00740C8C"/>
    <w:rsid w:val="00741BC6"/>
    <w:rsid w:val="00743966"/>
    <w:rsid w:val="00743DA8"/>
    <w:rsid w:val="00746CC7"/>
    <w:rsid w:val="007479DD"/>
    <w:rsid w:val="007516C8"/>
    <w:rsid w:val="007541F8"/>
    <w:rsid w:val="00754412"/>
    <w:rsid w:val="007574BB"/>
    <w:rsid w:val="0075751E"/>
    <w:rsid w:val="0075764C"/>
    <w:rsid w:val="007606EE"/>
    <w:rsid w:val="00760F24"/>
    <w:rsid w:val="00762198"/>
    <w:rsid w:val="00770792"/>
    <w:rsid w:val="00774FFE"/>
    <w:rsid w:val="00775638"/>
    <w:rsid w:val="0077599A"/>
    <w:rsid w:val="0077666F"/>
    <w:rsid w:val="00776E99"/>
    <w:rsid w:val="00777353"/>
    <w:rsid w:val="00777602"/>
    <w:rsid w:val="00777848"/>
    <w:rsid w:val="007835C9"/>
    <w:rsid w:val="00784909"/>
    <w:rsid w:val="00785461"/>
    <w:rsid w:val="00786FF3"/>
    <w:rsid w:val="00790B7C"/>
    <w:rsid w:val="00793090"/>
    <w:rsid w:val="00796319"/>
    <w:rsid w:val="00797A28"/>
    <w:rsid w:val="00797B53"/>
    <w:rsid w:val="00797E3A"/>
    <w:rsid w:val="007A2F42"/>
    <w:rsid w:val="007A2F67"/>
    <w:rsid w:val="007A3918"/>
    <w:rsid w:val="007A4A05"/>
    <w:rsid w:val="007A569B"/>
    <w:rsid w:val="007B0E89"/>
    <w:rsid w:val="007B0FDC"/>
    <w:rsid w:val="007B1364"/>
    <w:rsid w:val="007B26F4"/>
    <w:rsid w:val="007B2C38"/>
    <w:rsid w:val="007B2E54"/>
    <w:rsid w:val="007B2E61"/>
    <w:rsid w:val="007B442D"/>
    <w:rsid w:val="007B5ADF"/>
    <w:rsid w:val="007B60EF"/>
    <w:rsid w:val="007B6E92"/>
    <w:rsid w:val="007B7498"/>
    <w:rsid w:val="007B77E9"/>
    <w:rsid w:val="007B7AEE"/>
    <w:rsid w:val="007C37C6"/>
    <w:rsid w:val="007C48BF"/>
    <w:rsid w:val="007D1AA3"/>
    <w:rsid w:val="007D2F75"/>
    <w:rsid w:val="007D3811"/>
    <w:rsid w:val="007D7433"/>
    <w:rsid w:val="007E22E7"/>
    <w:rsid w:val="007E434B"/>
    <w:rsid w:val="007E4C1B"/>
    <w:rsid w:val="007E587F"/>
    <w:rsid w:val="007E64AE"/>
    <w:rsid w:val="007E69BB"/>
    <w:rsid w:val="007E700D"/>
    <w:rsid w:val="007F1500"/>
    <w:rsid w:val="007F2249"/>
    <w:rsid w:val="007F3DF2"/>
    <w:rsid w:val="007F3EF1"/>
    <w:rsid w:val="007F666D"/>
    <w:rsid w:val="007F789E"/>
    <w:rsid w:val="0080030C"/>
    <w:rsid w:val="0080060B"/>
    <w:rsid w:val="00802515"/>
    <w:rsid w:val="00802B67"/>
    <w:rsid w:val="008049A0"/>
    <w:rsid w:val="00806144"/>
    <w:rsid w:val="00806EA0"/>
    <w:rsid w:val="0081283F"/>
    <w:rsid w:val="00812BB6"/>
    <w:rsid w:val="00812C23"/>
    <w:rsid w:val="0081480A"/>
    <w:rsid w:val="0081616D"/>
    <w:rsid w:val="00816B1E"/>
    <w:rsid w:val="008171DF"/>
    <w:rsid w:val="008202EB"/>
    <w:rsid w:val="00832B45"/>
    <w:rsid w:val="008336A5"/>
    <w:rsid w:val="008373C0"/>
    <w:rsid w:val="008406B5"/>
    <w:rsid w:val="0084145F"/>
    <w:rsid w:val="00841DA2"/>
    <w:rsid w:val="0084277D"/>
    <w:rsid w:val="008458F6"/>
    <w:rsid w:val="00845AED"/>
    <w:rsid w:val="00846AC6"/>
    <w:rsid w:val="00851AE4"/>
    <w:rsid w:val="00851E7A"/>
    <w:rsid w:val="0085267C"/>
    <w:rsid w:val="00852CAD"/>
    <w:rsid w:val="00854523"/>
    <w:rsid w:val="00854A47"/>
    <w:rsid w:val="0085598D"/>
    <w:rsid w:val="008615B8"/>
    <w:rsid w:val="00862771"/>
    <w:rsid w:val="00865241"/>
    <w:rsid w:val="008671D1"/>
    <w:rsid w:val="00867C4D"/>
    <w:rsid w:val="00871023"/>
    <w:rsid w:val="008726D3"/>
    <w:rsid w:val="008764E1"/>
    <w:rsid w:val="00876C0A"/>
    <w:rsid w:val="00876F54"/>
    <w:rsid w:val="00877292"/>
    <w:rsid w:val="0088046B"/>
    <w:rsid w:val="00883FB3"/>
    <w:rsid w:val="00885168"/>
    <w:rsid w:val="008859F9"/>
    <w:rsid w:val="00887889"/>
    <w:rsid w:val="00887B13"/>
    <w:rsid w:val="00891634"/>
    <w:rsid w:val="0089173B"/>
    <w:rsid w:val="0089220F"/>
    <w:rsid w:val="008935AA"/>
    <w:rsid w:val="0089520B"/>
    <w:rsid w:val="008A0DF3"/>
    <w:rsid w:val="008A134B"/>
    <w:rsid w:val="008A30D6"/>
    <w:rsid w:val="008A33DE"/>
    <w:rsid w:val="008B2BD8"/>
    <w:rsid w:val="008B4795"/>
    <w:rsid w:val="008B4C6B"/>
    <w:rsid w:val="008B6848"/>
    <w:rsid w:val="008B6EC2"/>
    <w:rsid w:val="008B79C8"/>
    <w:rsid w:val="008B7EF3"/>
    <w:rsid w:val="008C1A04"/>
    <w:rsid w:val="008C2FA1"/>
    <w:rsid w:val="008C3CF9"/>
    <w:rsid w:val="008C50AA"/>
    <w:rsid w:val="008C50EA"/>
    <w:rsid w:val="008C5C93"/>
    <w:rsid w:val="008C67EF"/>
    <w:rsid w:val="008C6A2B"/>
    <w:rsid w:val="008C6B46"/>
    <w:rsid w:val="008D0FF9"/>
    <w:rsid w:val="008D7E0D"/>
    <w:rsid w:val="008D7EDB"/>
    <w:rsid w:val="008E2986"/>
    <w:rsid w:val="008E45EB"/>
    <w:rsid w:val="008E4838"/>
    <w:rsid w:val="008E5C09"/>
    <w:rsid w:val="008E64F0"/>
    <w:rsid w:val="008F0AAF"/>
    <w:rsid w:val="008F18ED"/>
    <w:rsid w:val="008F2645"/>
    <w:rsid w:val="008F3B90"/>
    <w:rsid w:val="008F6853"/>
    <w:rsid w:val="008F70FD"/>
    <w:rsid w:val="009016C3"/>
    <w:rsid w:val="00902B34"/>
    <w:rsid w:val="00903D37"/>
    <w:rsid w:val="0090486C"/>
    <w:rsid w:val="00906410"/>
    <w:rsid w:val="009126B2"/>
    <w:rsid w:val="00912ABA"/>
    <w:rsid w:val="00913A9A"/>
    <w:rsid w:val="009145C1"/>
    <w:rsid w:val="00917D6F"/>
    <w:rsid w:val="00921B1A"/>
    <w:rsid w:val="009241D4"/>
    <w:rsid w:val="00924389"/>
    <w:rsid w:val="00924DDA"/>
    <w:rsid w:val="0092600D"/>
    <w:rsid w:val="00926D49"/>
    <w:rsid w:val="0092746A"/>
    <w:rsid w:val="00927823"/>
    <w:rsid w:val="0093039D"/>
    <w:rsid w:val="00930D73"/>
    <w:rsid w:val="00931E4F"/>
    <w:rsid w:val="0093364D"/>
    <w:rsid w:val="00934AA6"/>
    <w:rsid w:val="00935607"/>
    <w:rsid w:val="00935E91"/>
    <w:rsid w:val="009377A0"/>
    <w:rsid w:val="009411AA"/>
    <w:rsid w:val="0094268A"/>
    <w:rsid w:val="00943205"/>
    <w:rsid w:val="00944513"/>
    <w:rsid w:val="0094782C"/>
    <w:rsid w:val="00955F9F"/>
    <w:rsid w:val="00961B04"/>
    <w:rsid w:val="0096202E"/>
    <w:rsid w:val="0096462D"/>
    <w:rsid w:val="00966BD6"/>
    <w:rsid w:val="009676DF"/>
    <w:rsid w:val="00967869"/>
    <w:rsid w:val="00971F54"/>
    <w:rsid w:val="009725C5"/>
    <w:rsid w:val="00973F40"/>
    <w:rsid w:val="00975232"/>
    <w:rsid w:val="009818CF"/>
    <w:rsid w:val="00982940"/>
    <w:rsid w:val="0098595F"/>
    <w:rsid w:val="00992904"/>
    <w:rsid w:val="009934CF"/>
    <w:rsid w:val="00994299"/>
    <w:rsid w:val="00994DE8"/>
    <w:rsid w:val="00995312"/>
    <w:rsid w:val="009A0D75"/>
    <w:rsid w:val="009A347A"/>
    <w:rsid w:val="009A5B23"/>
    <w:rsid w:val="009B0763"/>
    <w:rsid w:val="009B26C7"/>
    <w:rsid w:val="009B27F8"/>
    <w:rsid w:val="009B6059"/>
    <w:rsid w:val="009B6223"/>
    <w:rsid w:val="009B680A"/>
    <w:rsid w:val="009B6A6F"/>
    <w:rsid w:val="009B75FE"/>
    <w:rsid w:val="009B796C"/>
    <w:rsid w:val="009C09D9"/>
    <w:rsid w:val="009C1AFE"/>
    <w:rsid w:val="009C2441"/>
    <w:rsid w:val="009C7D6E"/>
    <w:rsid w:val="009D048B"/>
    <w:rsid w:val="009D7DDA"/>
    <w:rsid w:val="009E065A"/>
    <w:rsid w:val="009E2E34"/>
    <w:rsid w:val="009E5419"/>
    <w:rsid w:val="009E5A4B"/>
    <w:rsid w:val="009E5A6E"/>
    <w:rsid w:val="009F0491"/>
    <w:rsid w:val="009F0A95"/>
    <w:rsid w:val="009F100E"/>
    <w:rsid w:val="009F1635"/>
    <w:rsid w:val="009F1746"/>
    <w:rsid w:val="009F240A"/>
    <w:rsid w:val="009F38BB"/>
    <w:rsid w:val="009F46DC"/>
    <w:rsid w:val="009F6EDF"/>
    <w:rsid w:val="00A00D05"/>
    <w:rsid w:val="00A00E4B"/>
    <w:rsid w:val="00A02C0D"/>
    <w:rsid w:val="00A051E4"/>
    <w:rsid w:val="00A06B77"/>
    <w:rsid w:val="00A075F3"/>
    <w:rsid w:val="00A119A3"/>
    <w:rsid w:val="00A125A9"/>
    <w:rsid w:val="00A14230"/>
    <w:rsid w:val="00A14A8B"/>
    <w:rsid w:val="00A15750"/>
    <w:rsid w:val="00A15CC2"/>
    <w:rsid w:val="00A1620D"/>
    <w:rsid w:val="00A16AC0"/>
    <w:rsid w:val="00A20B0A"/>
    <w:rsid w:val="00A22D79"/>
    <w:rsid w:val="00A22FEA"/>
    <w:rsid w:val="00A23D31"/>
    <w:rsid w:val="00A26025"/>
    <w:rsid w:val="00A272C8"/>
    <w:rsid w:val="00A2785B"/>
    <w:rsid w:val="00A301A7"/>
    <w:rsid w:val="00A30617"/>
    <w:rsid w:val="00A30C34"/>
    <w:rsid w:val="00A30FD3"/>
    <w:rsid w:val="00A310EE"/>
    <w:rsid w:val="00A31829"/>
    <w:rsid w:val="00A32BAA"/>
    <w:rsid w:val="00A32DDA"/>
    <w:rsid w:val="00A346F3"/>
    <w:rsid w:val="00A35E2F"/>
    <w:rsid w:val="00A3676A"/>
    <w:rsid w:val="00A37891"/>
    <w:rsid w:val="00A4088B"/>
    <w:rsid w:val="00A40A51"/>
    <w:rsid w:val="00A42993"/>
    <w:rsid w:val="00A438FB"/>
    <w:rsid w:val="00A43DDA"/>
    <w:rsid w:val="00A45EFE"/>
    <w:rsid w:val="00A47916"/>
    <w:rsid w:val="00A51788"/>
    <w:rsid w:val="00A5420A"/>
    <w:rsid w:val="00A57C3D"/>
    <w:rsid w:val="00A57E86"/>
    <w:rsid w:val="00A621CF"/>
    <w:rsid w:val="00A622B0"/>
    <w:rsid w:val="00A631FA"/>
    <w:rsid w:val="00A646EB"/>
    <w:rsid w:val="00A6697B"/>
    <w:rsid w:val="00A727AE"/>
    <w:rsid w:val="00A74C2D"/>
    <w:rsid w:val="00A768CC"/>
    <w:rsid w:val="00A76B34"/>
    <w:rsid w:val="00A8132C"/>
    <w:rsid w:val="00A84EAD"/>
    <w:rsid w:val="00A854FF"/>
    <w:rsid w:val="00A8745D"/>
    <w:rsid w:val="00A90F9B"/>
    <w:rsid w:val="00A92694"/>
    <w:rsid w:val="00A93072"/>
    <w:rsid w:val="00A94475"/>
    <w:rsid w:val="00A94CC6"/>
    <w:rsid w:val="00A9629C"/>
    <w:rsid w:val="00AA35D5"/>
    <w:rsid w:val="00AA417B"/>
    <w:rsid w:val="00AA533F"/>
    <w:rsid w:val="00AA7207"/>
    <w:rsid w:val="00AB010D"/>
    <w:rsid w:val="00AB2A36"/>
    <w:rsid w:val="00AB5D9D"/>
    <w:rsid w:val="00AC0EB7"/>
    <w:rsid w:val="00AC1268"/>
    <w:rsid w:val="00AC1B61"/>
    <w:rsid w:val="00AC5EE6"/>
    <w:rsid w:val="00AC71C2"/>
    <w:rsid w:val="00AD0F25"/>
    <w:rsid w:val="00AD1740"/>
    <w:rsid w:val="00AD1923"/>
    <w:rsid w:val="00AD2611"/>
    <w:rsid w:val="00AD3D57"/>
    <w:rsid w:val="00AD42C1"/>
    <w:rsid w:val="00AD5855"/>
    <w:rsid w:val="00AD728F"/>
    <w:rsid w:val="00AE273C"/>
    <w:rsid w:val="00AE6BAB"/>
    <w:rsid w:val="00AE7834"/>
    <w:rsid w:val="00AF090B"/>
    <w:rsid w:val="00AF11C6"/>
    <w:rsid w:val="00AF28EC"/>
    <w:rsid w:val="00AF367A"/>
    <w:rsid w:val="00AF6580"/>
    <w:rsid w:val="00B02EB9"/>
    <w:rsid w:val="00B03FF6"/>
    <w:rsid w:val="00B070AA"/>
    <w:rsid w:val="00B07E94"/>
    <w:rsid w:val="00B10400"/>
    <w:rsid w:val="00B11CCE"/>
    <w:rsid w:val="00B1415B"/>
    <w:rsid w:val="00B1448B"/>
    <w:rsid w:val="00B15BF7"/>
    <w:rsid w:val="00B1733A"/>
    <w:rsid w:val="00B17A18"/>
    <w:rsid w:val="00B202EE"/>
    <w:rsid w:val="00B2065E"/>
    <w:rsid w:val="00B21A0D"/>
    <w:rsid w:val="00B23B3F"/>
    <w:rsid w:val="00B25F49"/>
    <w:rsid w:val="00B26756"/>
    <w:rsid w:val="00B269F1"/>
    <w:rsid w:val="00B2715F"/>
    <w:rsid w:val="00B274AE"/>
    <w:rsid w:val="00B274BF"/>
    <w:rsid w:val="00B30205"/>
    <w:rsid w:val="00B31222"/>
    <w:rsid w:val="00B332A5"/>
    <w:rsid w:val="00B35188"/>
    <w:rsid w:val="00B35448"/>
    <w:rsid w:val="00B3716A"/>
    <w:rsid w:val="00B41440"/>
    <w:rsid w:val="00B414D1"/>
    <w:rsid w:val="00B42B2B"/>
    <w:rsid w:val="00B42E81"/>
    <w:rsid w:val="00B4329D"/>
    <w:rsid w:val="00B432DC"/>
    <w:rsid w:val="00B44807"/>
    <w:rsid w:val="00B520F9"/>
    <w:rsid w:val="00B5495A"/>
    <w:rsid w:val="00B577A3"/>
    <w:rsid w:val="00B60AB8"/>
    <w:rsid w:val="00B64B52"/>
    <w:rsid w:val="00B657BE"/>
    <w:rsid w:val="00B6595D"/>
    <w:rsid w:val="00B67D46"/>
    <w:rsid w:val="00B7262F"/>
    <w:rsid w:val="00B73FD4"/>
    <w:rsid w:val="00B740D5"/>
    <w:rsid w:val="00B74FC5"/>
    <w:rsid w:val="00B75A6C"/>
    <w:rsid w:val="00B76D35"/>
    <w:rsid w:val="00B805C0"/>
    <w:rsid w:val="00B81E3A"/>
    <w:rsid w:val="00B83E2A"/>
    <w:rsid w:val="00B83E38"/>
    <w:rsid w:val="00B8580B"/>
    <w:rsid w:val="00B86C19"/>
    <w:rsid w:val="00B908CF"/>
    <w:rsid w:val="00B9572E"/>
    <w:rsid w:val="00BA0733"/>
    <w:rsid w:val="00BA0AF6"/>
    <w:rsid w:val="00BA46A8"/>
    <w:rsid w:val="00BA4993"/>
    <w:rsid w:val="00BA7CC3"/>
    <w:rsid w:val="00BB052C"/>
    <w:rsid w:val="00BB20F1"/>
    <w:rsid w:val="00BB375D"/>
    <w:rsid w:val="00BB4B53"/>
    <w:rsid w:val="00BB515F"/>
    <w:rsid w:val="00BC11C7"/>
    <w:rsid w:val="00BC2C0C"/>
    <w:rsid w:val="00BC6175"/>
    <w:rsid w:val="00BC758B"/>
    <w:rsid w:val="00BD1319"/>
    <w:rsid w:val="00BD605F"/>
    <w:rsid w:val="00BE0A93"/>
    <w:rsid w:val="00BE17C6"/>
    <w:rsid w:val="00BE33AC"/>
    <w:rsid w:val="00BE4865"/>
    <w:rsid w:val="00BE5347"/>
    <w:rsid w:val="00BE5F81"/>
    <w:rsid w:val="00BE6DA2"/>
    <w:rsid w:val="00BE7B48"/>
    <w:rsid w:val="00BF12FB"/>
    <w:rsid w:val="00BF1A8A"/>
    <w:rsid w:val="00BF219A"/>
    <w:rsid w:val="00C04C52"/>
    <w:rsid w:val="00C10F14"/>
    <w:rsid w:val="00C1251F"/>
    <w:rsid w:val="00C13255"/>
    <w:rsid w:val="00C141BF"/>
    <w:rsid w:val="00C159C6"/>
    <w:rsid w:val="00C15DFF"/>
    <w:rsid w:val="00C16B4B"/>
    <w:rsid w:val="00C17427"/>
    <w:rsid w:val="00C25238"/>
    <w:rsid w:val="00C25C49"/>
    <w:rsid w:val="00C3081B"/>
    <w:rsid w:val="00C31E61"/>
    <w:rsid w:val="00C3345C"/>
    <w:rsid w:val="00C408C6"/>
    <w:rsid w:val="00C502A5"/>
    <w:rsid w:val="00C50D2D"/>
    <w:rsid w:val="00C521F7"/>
    <w:rsid w:val="00C53008"/>
    <w:rsid w:val="00C549DB"/>
    <w:rsid w:val="00C55151"/>
    <w:rsid w:val="00C560FA"/>
    <w:rsid w:val="00C56596"/>
    <w:rsid w:val="00C57FF9"/>
    <w:rsid w:val="00C61054"/>
    <w:rsid w:val="00C61451"/>
    <w:rsid w:val="00C61B8A"/>
    <w:rsid w:val="00C63E22"/>
    <w:rsid w:val="00C64224"/>
    <w:rsid w:val="00C64434"/>
    <w:rsid w:val="00C64FA9"/>
    <w:rsid w:val="00C66EB4"/>
    <w:rsid w:val="00C67641"/>
    <w:rsid w:val="00C70E41"/>
    <w:rsid w:val="00C728F4"/>
    <w:rsid w:val="00C73C57"/>
    <w:rsid w:val="00C742C5"/>
    <w:rsid w:val="00C74D43"/>
    <w:rsid w:val="00C77CBF"/>
    <w:rsid w:val="00C801CF"/>
    <w:rsid w:val="00C8061A"/>
    <w:rsid w:val="00C857D8"/>
    <w:rsid w:val="00C8780E"/>
    <w:rsid w:val="00C92172"/>
    <w:rsid w:val="00C92552"/>
    <w:rsid w:val="00C929A8"/>
    <w:rsid w:val="00C93F1B"/>
    <w:rsid w:val="00C97307"/>
    <w:rsid w:val="00C9744D"/>
    <w:rsid w:val="00CA2E81"/>
    <w:rsid w:val="00CA780B"/>
    <w:rsid w:val="00CB05F4"/>
    <w:rsid w:val="00CB675A"/>
    <w:rsid w:val="00CC15C9"/>
    <w:rsid w:val="00CC2092"/>
    <w:rsid w:val="00CC4899"/>
    <w:rsid w:val="00CC59B8"/>
    <w:rsid w:val="00CD0A7D"/>
    <w:rsid w:val="00CD1A44"/>
    <w:rsid w:val="00CD3A5D"/>
    <w:rsid w:val="00CD4806"/>
    <w:rsid w:val="00CD52D4"/>
    <w:rsid w:val="00CD5FD4"/>
    <w:rsid w:val="00CE0585"/>
    <w:rsid w:val="00CE0DCE"/>
    <w:rsid w:val="00CE2A00"/>
    <w:rsid w:val="00CE33C1"/>
    <w:rsid w:val="00CE340E"/>
    <w:rsid w:val="00CE76FF"/>
    <w:rsid w:val="00CF066F"/>
    <w:rsid w:val="00CF48B1"/>
    <w:rsid w:val="00D00894"/>
    <w:rsid w:val="00D02370"/>
    <w:rsid w:val="00D0310D"/>
    <w:rsid w:val="00D05C7C"/>
    <w:rsid w:val="00D05E21"/>
    <w:rsid w:val="00D07742"/>
    <w:rsid w:val="00D07ADB"/>
    <w:rsid w:val="00D11557"/>
    <w:rsid w:val="00D147D5"/>
    <w:rsid w:val="00D14DB7"/>
    <w:rsid w:val="00D15AAC"/>
    <w:rsid w:val="00D15ED5"/>
    <w:rsid w:val="00D23BC6"/>
    <w:rsid w:val="00D2464B"/>
    <w:rsid w:val="00D248D9"/>
    <w:rsid w:val="00D26AE1"/>
    <w:rsid w:val="00D31114"/>
    <w:rsid w:val="00D348F7"/>
    <w:rsid w:val="00D3640C"/>
    <w:rsid w:val="00D36A6E"/>
    <w:rsid w:val="00D40258"/>
    <w:rsid w:val="00D40BC3"/>
    <w:rsid w:val="00D434EC"/>
    <w:rsid w:val="00D44E9D"/>
    <w:rsid w:val="00D456BD"/>
    <w:rsid w:val="00D472A7"/>
    <w:rsid w:val="00D476B5"/>
    <w:rsid w:val="00D476DA"/>
    <w:rsid w:val="00D477EF"/>
    <w:rsid w:val="00D51853"/>
    <w:rsid w:val="00D539B6"/>
    <w:rsid w:val="00D6110D"/>
    <w:rsid w:val="00D6315E"/>
    <w:rsid w:val="00D656BA"/>
    <w:rsid w:val="00D717A5"/>
    <w:rsid w:val="00D7444B"/>
    <w:rsid w:val="00D74FFF"/>
    <w:rsid w:val="00D80DFE"/>
    <w:rsid w:val="00D82D10"/>
    <w:rsid w:val="00D84B17"/>
    <w:rsid w:val="00D8507D"/>
    <w:rsid w:val="00D86622"/>
    <w:rsid w:val="00D90C9D"/>
    <w:rsid w:val="00D91910"/>
    <w:rsid w:val="00D91AA8"/>
    <w:rsid w:val="00D9416C"/>
    <w:rsid w:val="00D944A6"/>
    <w:rsid w:val="00D954A2"/>
    <w:rsid w:val="00D964FC"/>
    <w:rsid w:val="00D969C4"/>
    <w:rsid w:val="00D96FC3"/>
    <w:rsid w:val="00D97378"/>
    <w:rsid w:val="00D97CD6"/>
    <w:rsid w:val="00DA0E0D"/>
    <w:rsid w:val="00DA15AE"/>
    <w:rsid w:val="00DA1F5B"/>
    <w:rsid w:val="00DA2B47"/>
    <w:rsid w:val="00DA495D"/>
    <w:rsid w:val="00DA53ED"/>
    <w:rsid w:val="00DA6D45"/>
    <w:rsid w:val="00DA7BA0"/>
    <w:rsid w:val="00DB03DD"/>
    <w:rsid w:val="00DB429F"/>
    <w:rsid w:val="00DB512E"/>
    <w:rsid w:val="00DB52C3"/>
    <w:rsid w:val="00DB5DA3"/>
    <w:rsid w:val="00DB79D3"/>
    <w:rsid w:val="00DC09E4"/>
    <w:rsid w:val="00DC10B0"/>
    <w:rsid w:val="00DC1594"/>
    <w:rsid w:val="00DC28CF"/>
    <w:rsid w:val="00DC45F5"/>
    <w:rsid w:val="00DC4B25"/>
    <w:rsid w:val="00DC4BCD"/>
    <w:rsid w:val="00DC750A"/>
    <w:rsid w:val="00DC7E77"/>
    <w:rsid w:val="00DD07A3"/>
    <w:rsid w:val="00DD1495"/>
    <w:rsid w:val="00DD178F"/>
    <w:rsid w:val="00DD3E76"/>
    <w:rsid w:val="00DD6CDB"/>
    <w:rsid w:val="00DD7579"/>
    <w:rsid w:val="00DE054E"/>
    <w:rsid w:val="00DE24EC"/>
    <w:rsid w:val="00DE4107"/>
    <w:rsid w:val="00DE6FF0"/>
    <w:rsid w:val="00DE7431"/>
    <w:rsid w:val="00DE7B67"/>
    <w:rsid w:val="00DF0591"/>
    <w:rsid w:val="00DF0BFC"/>
    <w:rsid w:val="00DF0ED5"/>
    <w:rsid w:val="00DF12C5"/>
    <w:rsid w:val="00DF17BD"/>
    <w:rsid w:val="00DF2C3E"/>
    <w:rsid w:val="00DF30A3"/>
    <w:rsid w:val="00DF464D"/>
    <w:rsid w:val="00DF5B3C"/>
    <w:rsid w:val="00DF5CF1"/>
    <w:rsid w:val="00DF72D9"/>
    <w:rsid w:val="00DF790C"/>
    <w:rsid w:val="00DF7D3D"/>
    <w:rsid w:val="00DF7EC8"/>
    <w:rsid w:val="00E007CF"/>
    <w:rsid w:val="00E00C15"/>
    <w:rsid w:val="00E028ED"/>
    <w:rsid w:val="00E04BA7"/>
    <w:rsid w:val="00E05754"/>
    <w:rsid w:val="00E05C48"/>
    <w:rsid w:val="00E0614A"/>
    <w:rsid w:val="00E07B94"/>
    <w:rsid w:val="00E07E66"/>
    <w:rsid w:val="00E104F6"/>
    <w:rsid w:val="00E10748"/>
    <w:rsid w:val="00E10E63"/>
    <w:rsid w:val="00E1222D"/>
    <w:rsid w:val="00E12EFE"/>
    <w:rsid w:val="00E12F57"/>
    <w:rsid w:val="00E130A4"/>
    <w:rsid w:val="00E152D8"/>
    <w:rsid w:val="00E168F5"/>
    <w:rsid w:val="00E173CD"/>
    <w:rsid w:val="00E20151"/>
    <w:rsid w:val="00E22DFA"/>
    <w:rsid w:val="00E27DDF"/>
    <w:rsid w:val="00E30A90"/>
    <w:rsid w:val="00E3145E"/>
    <w:rsid w:val="00E33BF6"/>
    <w:rsid w:val="00E379CD"/>
    <w:rsid w:val="00E405F8"/>
    <w:rsid w:val="00E43469"/>
    <w:rsid w:val="00E445DA"/>
    <w:rsid w:val="00E45379"/>
    <w:rsid w:val="00E50A5C"/>
    <w:rsid w:val="00E50B22"/>
    <w:rsid w:val="00E50BC9"/>
    <w:rsid w:val="00E50C90"/>
    <w:rsid w:val="00E51588"/>
    <w:rsid w:val="00E51F43"/>
    <w:rsid w:val="00E528CB"/>
    <w:rsid w:val="00E52DFD"/>
    <w:rsid w:val="00E53706"/>
    <w:rsid w:val="00E54C61"/>
    <w:rsid w:val="00E56157"/>
    <w:rsid w:val="00E60CF3"/>
    <w:rsid w:val="00E62E3B"/>
    <w:rsid w:val="00E65875"/>
    <w:rsid w:val="00E72348"/>
    <w:rsid w:val="00E72E71"/>
    <w:rsid w:val="00E73254"/>
    <w:rsid w:val="00E75E8B"/>
    <w:rsid w:val="00E76A71"/>
    <w:rsid w:val="00E772F5"/>
    <w:rsid w:val="00E8155D"/>
    <w:rsid w:val="00E82502"/>
    <w:rsid w:val="00E8304C"/>
    <w:rsid w:val="00E85D82"/>
    <w:rsid w:val="00E866E9"/>
    <w:rsid w:val="00E90C2C"/>
    <w:rsid w:val="00E92C08"/>
    <w:rsid w:val="00E9344D"/>
    <w:rsid w:val="00E95C71"/>
    <w:rsid w:val="00E97764"/>
    <w:rsid w:val="00EA0E04"/>
    <w:rsid w:val="00EA1DFB"/>
    <w:rsid w:val="00EA220D"/>
    <w:rsid w:val="00EA2F58"/>
    <w:rsid w:val="00EA31FB"/>
    <w:rsid w:val="00EA3A85"/>
    <w:rsid w:val="00EA573F"/>
    <w:rsid w:val="00EA5D2C"/>
    <w:rsid w:val="00EA5D8E"/>
    <w:rsid w:val="00EA656A"/>
    <w:rsid w:val="00EB30CF"/>
    <w:rsid w:val="00EB31B1"/>
    <w:rsid w:val="00EB3A39"/>
    <w:rsid w:val="00EB3B88"/>
    <w:rsid w:val="00EB6626"/>
    <w:rsid w:val="00EB73E6"/>
    <w:rsid w:val="00EC261B"/>
    <w:rsid w:val="00EC44F4"/>
    <w:rsid w:val="00EC5752"/>
    <w:rsid w:val="00EC5CA0"/>
    <w:rsid w:val="00EC60A0"/>
    <w:rsid w:val="00EC64AC"/>
    <w:rsid w:val="00EC7372"/>
    <w:rsid w:val="00ED30E8"/>
    <w:rsid w:val="00ED3378"/>
    <w:rsid w:val="00ED6E44"/>
    <w:rsid w:val="00EE021D"/>
    <w:rsid w:val="00EE1FFC"/>
    <w:rsid w:val="00EE2A0D"/>
    <w:rsid w:val="00EE32D5"/>
    <w:rsid w:val="00EE5507"/>
    <w:rsid w:val="00EE59D8"/>
    <w:rsid w:val="00EE628C"/>
    <w:rsid w:val="00EE73C5"/>
    <w:rsid w:val="00EF1884"/>
    <w:rsid w:val="00EF267F"/>
    <w:rsid w:val="00EF349A"/>
    <w:rsid w:val="00EF4A64"/>
    <w:rsid w:val="00EF4D15"/>
    <w:rsid w:val="00EF668C"/>
    <w:rsid w:val="00EF7B4E"/>
    <w:rsid w:val="00F02171"/>
    <w:rsid w:val="00F033EF"/>
    <w:rsid w:val="00F038F3"/>
    <w:rsid w:val="00F040C6"/>
    <w:rsid w:val="00F07BD7"/>
    <w:rsid w:val="00F11389"/>
    <w:rsid w:val="00F11AB3"/>
    <w:rsid w:val="00F16AD7"/>
    <w:rsid w:val="00F26A49"/>
    <w:rsid w:val="00F305C9"/>
    <w:rsid w:val="00F35243"/>
    <w:rsid w:val="00F4003E"/>
    <w:rsid w:val="00F4376E"/>
    <w:rsid w:val="00F43E6E"/>
    <w:rsid w:val="00F44423"/>
    <w:rsid w:val="00F46C14"/>
    <w:rsid w:val="00F477A0"/>
    <w:rsid w:val="00F501F8"/>
    <w:rsid w:val="00F50BB4"/>
    <w:rsid w:val="00F51236"/>
    <w:rsid w:val="00F52112"/>
    <w:rsid w:val="00F53751"/>
    <w:rsid w:val="00F541B8"/>
    <w:rsid w:val="00F54227"/>
    <w:rsid w:val="00F54C30"/>
    <w:rsid w:val="00F56CC2"/>
    <w:rsid w:val="00F61B76"/>
    <w:rsid w:val="00F62492"/>
    <w:rsid w:val="00F628D3"/>
    <w:rsid w:val="00F6310D"/>
    <w:rsid w:val="00F63555"/>
    <w:rsid w:val="00F6497E"/>
    <w:rsid w:val="00F67789"/>
    <w:rsid w:val="00F677E2"/>
    <w:rsid w:val="00F71E08"/>
    <w:rsid w:val="00F72BF9"/>
    <w:rsid w:val="00F72D32"/>
    <w:rsid w:val="00F738AE"/>
    <w:rsid w:val="00F74E05"/>
    <w:rsid w:val="00F75EAD"/>
    <w:rsid w:val="00F7651D"/>
    <w:rsid w:val="00F77154"/>
    <w:rsid w:val="00F777E3"/>
    <w:rsid w:val="00F80F33"/>
    <w:rsid w:val="00F81CC1"/>
    <w:rsid w:val="00F9173A"/>
    <w:rsid w:val="00F9650A"/>
    <w:rsid w:val="00F967C7"/>
    <w:rsid w:val="00FA0037"/>
    <w:rsid w:val="00FA0437"/>
    <w:rsid w:val="00FA0E91"/>
    <w:rsid w:val="00FA233F"/>
    <w:rsid w:val="00FA2E05"/>
    <w:rsid w:val="00FA4DC6"/>
    <w:rsid w:val="00FA600E"/>
    <w:rsid w:val="00FA7D57"/>
    <w:rsid w:val="00FB0008"/>
    <w:rsid w:val="00FB071C"/>
    <w:rsid w:val="00FB09D6"/>
    <w:rsid w:val="00FB236C"/>
    <w:rsid w:val="00FB2640"/>
    <w:rsid w:val="00FB5F45"/>
    <w:rsid w:val="00FB60C5"/>
    <w:rsid w:val="00FB7DDC"/>
    <w:rsid w:val="00FC2209"/>
    <w:rsid w:val="00FC4210"/>
    <w:rsid w:val="00FC43A8"/>
    <w:rsid w:val="00FC7531"/>
    <w:rsid w:val="00FC7EAA"/>
    <w:rsid w:val="00FD3D01"/>
    <w:rsid w:val="00FD4C0B"/>
    <w:rsid w:val="00FD4FA5"/>
    <w:rsid w:val="00FD5095"/>
    <w:rsid w:val="00FD6C1B"/>
    <w:rsid w:val="00FD7CE9"/>
    <w:rsid w:val="00FE1DE2"/>
    <w:rsid w:val="00FE57C8"/>
    <w:rsid w:val="00FF01D7"/>
    <w:rsid w:val="00FF2982"/>
    <w:rsid w:val="00FF456A"/>
    <w:rsid w:val="00FF6204"/>
    <w:rsid w:val="00FF634D"/>
    <w:rsid w:val="00FF71E0"/>
    <w:rsid w:val="00FF770C"/>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56743430"/>
  <w15:chartTrackingRefBased/>
  <w15:docId w15:val="{440D23D2-4CAD-462F-B298-09B72795E2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31222"/>
    <w:pPr>
      <w:spacing w:after="0" w:line="240" w:lineRule="auto"/>
    </w:pPr>
    <w:rPr>
      <w:rFonts w:ascii="Times New Roman" w:eastAsia="Times New Roman" w:hAnsi="Times New Roman" w:cs="Times New Roman"/>
      <w:sz w:val="20"/>
      <w:szCs w:val="20"/>
      <w:lang w:val="es-ES" w:eastAsia="es-ES"/>
    </w:rPr>
  </w:style>
  <w:style w:type="paragraph" w:styleId="Ttulo1">
    <w:name w:val="heading 1"/>
    <w:basedOn w:val="Normal"/>
    <w:next w:val="Normal"/>
    <w:link w:val="Ttulo1Car"/>
    <w:uiPriority w:val="9"/>
    <w:qFormat/>
    <w:rsid w:val="00B31222"/>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3">
    <w:name w:val="heading 3"/>
    <w:basedOn w:val="Normal"/>
    <w:next w:val="Normal"/>
    <w:link w:val="Ttulo3Car"/>
    <w:uiPriority w:val="9"/>
    <w:semiHidden/>
    <w:unhideWhenUsed/>
    <w:qFormat/>
    <w:rsid w:val="0002231C"/>
    <w:pPr>
      <w:keepNext/>
      <w:keepLines/>
      <w:spacing w:before="40"/>
      <w:outlineLvl w:val="2"/>
    </w:pPr>
    <w:rPr>
      <w:rFonts w:asciiTheme="majorHAnsi" w:eastAsiaTheme="majorEastAsia" w:hAnsiTheme="majorHAnsi" w:cstheme="majorBidi"/>
      <w:color w:val="1F3763"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B31222"/>
    <w:rPr>
      <w:rFonts w:asciiTheme="majorHAnsi" w:eastAsiaTheme="majorEastAsia" w:hAnsiTheme="majorHAnsi" w:cstheme="majorBidi"/>
      <w:color w:val="2F5496" w:themeColor="accent1" w:themeShade="BF"/>
      <w:sz w:val="32"/>
      <w:szCs w:val="32"/>
      <w:lang w:val="es-ES" w:eastAsia="es-ES"/>
    </w:rPr>
  </w:style>
  <w:style w:type="paragraph" w:styleId="Encabezado">
    <w:name w:val="header"/>
    <w:basedOn w:val="Normal"/>
    <w:link w:val="EncabezadoCar"/>
    <w:uiPriority w:val="99"/>
    <w:unhideWhenUsed/>
    <w:rsid w:val="00B31222"/>
    <w:pPr>
      <w:tabs>
        <w:tab w:val="center" w:pos="4419"/>
        <w:tab w:val="right" w:pos="8838"/>
      </w:tabs>
    </w:pPr>
  </w:style>
  <w:style w:type="character" w:customStyle="1" w:styleId="EncabezadoCar">
    <w:name w:val="Encabezado Car"/>
    <w:basedOn w:val="Fuentedeprrafopredeter"/>
    <w:link w:val="Encabezado"/>
    <w:uiPriority w:val="99"/>
    <w:rsid w:val="00B31222"/>
    <w:rPr>
      <w:rFonts w:ascii="Times New Roman" w:eastAsia="Times New Roman" w:hAnsi="Times New Roman" w:cs="Times New Roman"/>
      <w:sz w:val="20"/>
      <w:szCs w:val="20"/>
      <w:lang w:val="es-ES" w:eastAsia="es-ES"/>
    </w:rPr>
  </w:style>
  <w:style w:type="paragraph" w:styleId="Piedepgina">
    <w:name w:val="footer"/>
    <w:basedOn w:val="Normal"/>
    <w:link w:val="PiedepginaCar"/>
    <w:uiPriority w:val="99"/>
    <w:unhideWhenUsed/>
    <w:rsid w:val="00B31222"/>
    <w:pPr>
      <w:tabs>
        <w:tab w:val="center" w:pos="4419"/>
        <w:tab w:val="right" w:pos="8838"/>
      </w:tabs>
    </w:pPr>
  </w:style>
  <w:style w:type="character" w:customStyle="1" w:styleId="PiedepginaCar">
    <w:name w:val="Pie de página Car"/>
    <w:basedOn w:val="Fuentedeprrafopredeter"/>
    <w:link w:val="Piedepgina"/>
    <w:uiPriority w:val="99"/>
    <w:rsid w:val="00B31222"/>
    <w:rPr>
      <w:rFonts w:ascii="Times New Roman" w:eastAsia="Times New Roman" w:hAnsi="Times New Roman" w:cs="Times New Roman"/>
      <w:sz w:val="20"/>
      <w:szCs w:val="20"/>
      <w:lang w:val="es-ES"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B31222"/>
    <w:pPr>
      <w:ind w:left="720"/>
      <w:contextualSpacing/>
    </w:pPr>
    <w:rPr>
      <w:rFonts w:ascii="Century Gothic" w:hAnsi="Century Gothic"/>
      <w:sz w:val="22"/>
      <w:szCs w:val="24"/>
      <w:lang w:val="es-MX"/>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basedOn w:val="Fuentedeprrafopredeter"/>
    <w:link w:val="Prrafodelista"/>
    <w:uiPriority w:val="34"/>
    <w:qFormat/>
    <w:rsid w:val="00B31222"/>
    <w:rPr>
      <w:rFonts w:ascii="Century Gothic" w:eastAsia="Times New Roman" w:hAnsi="Century Gothic" w:cs="Times New Roman"/>
      <w:szCs w:val="24"/>
      <w:lang w:eastAsia="es-ES"/>
    </w:rPr>
  </w:style>
  <w:style w:type="character" w:styleId="Hipervnculo">
    <w:name w:val="Hyperlink"/>
    <w:aliases w:val="Hipervínculo1,Hipervínculo11,Hipervínculo12,Hipervínculo13,Hipervínculo14,Hipervínculo15"/>
    <w:basedOn w:val="Fuentedeprrafopredeter"/>
    <w:uiPriority w:val="99"/>
    <w:unhideWhenUsed/>
    <w:rsid w:val="00B31222"/>
    <w:rPr>
      <w:color w:val="0563C1" w:themeColor="hyperlink"/>
      <w:u w:val="single"/>
    </w:rPr>
  </w:style>
  <w:style w:type="character" w:styleId="Refdenotaalpie">
    <w:name w:val="footnote reference"/>
    <w:aliases w:val="Ref,de nota al pie,ftref, BVI fnr,16 Point,Superscript 6 Point,(Diplomarbeit FZ),BVI fnr,Footnote Reference,Texto de nota al pie,Footnotes refss,Appel note de bas de page,Footnote number,referencia nota al pie,f,4_G,Texto nota al pie"/>
    <w:basedOn w:val="Fuentedeprrafopredeter"/>
    <w:unhideWhenUsed/>
    <w:qFormat/>
    <w:rsid w:val="00B31222"/>
    <w:rPr>
      <w:vertAlign w:val="superscript"/>
    </w:rPr>
  </w:style>
  <w:style w:type="paragraph" w:styleId="Textonotapie">
    <w:name w:val="footnote text"/>
    <w:aliases w:val="Footnote reference,FA Fu,Footnote Text Char Char Char Char Char,Footnote Text Char Char Char Char,Footnote Text Char Char Char,ADB,single space,footnote text,fn,ft,Footnote Text Char1,Footnote Text Char Char,FOOTNOTES,Schriftart: 9 pt,Ca"/>
    <w:basedOn w:val="Normal"/>
    <w:link w:val="TextonotapieCar"/>
    <w:uiPriority w:val="99"/>
    <w:unhideWhenUsed/>
    <w:qFormat/>
    <w:rsid w:val="00B31222"/>
    <w:rPr>
      <w:rFonts w:ascii="Calibri" w:eastAsia="Calibri" w:hAnsi="Calibri"/>
      <w:lang w:val="es-MX" w:eastAsia="en-US"/>
    </w:rPr>
  </w:style>
  <w:style w:type="character" w:customStyle="1" w:styleId="TextonotapieCar">
    <w:name w:val="Texto nota pie Car"/>
    <w:aliases w:val="Footnote reference Car,FA Fu Car,Footnote Text Char Char Char Char Char Car,Footnote Text Char Char Char Char Car,Footnote Text Char Char Char Car,ADB Car,single space Car,footnote text Car,fn Car,ft Car,Footnote Text Char1 Car,Ca Car"/>
    <w:basedOn w:val="Fuentedeprrafopredeter"/>
    <w:link w:val="Textonotapie"/>
    <w:uiPriority w:val="99"/>
    <w:rsid w:val="00B31222"/>
    <w:rPr>
      <w:rFonts w:ascii="Calibri" w:eastAsia="Calibri" w:hAnsi="Calibri" w:cs="Times New Roman"/>
      <w:sz w:val="20"/>
      <w:szCs w:val="20"/>
    </w:rPr>
  </w:style>
  <w:style w:type="character" w:styleId="Hipervnculovisitado">
    <w:name w:val="FollowedHyperlink"/>
    <w:basedOn w:val="Fuentedeprrafopredeter"/>
    <w:uiPriority w:val="99"/>
    <w:semiHidden/>
    <w:unhideWhenUsed/>
    <w:rsid w:val="00B31222"/>
    <w:rPr>
      <w:color w:val="954F72" w:themeColor="followedHyperlink"/>
      <w:u w:val="single"/>
    </w:rPr>
  </w:style>
  <w:style w:type="table" w:styleId="Tablaconcuadrcula">
    <w:name w:val="Table Grid"/>
    <w:basedOn w:val="Tablanormal"/>
    <w:uiPriority w:val="59"/>
    <w:rsid w:val="00B31222"/>
    <w:pPr>
      <w:spacing w:after="0" w:line="240" w:lineRule="auto"/>
    </w:pPr>
    <w:rPr>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B31222"/>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B31222"/>
    <w:rPr>
      <w:rFonts w:ascii="Segoe UI" w:eastAsia="Times New Roman" w:hAnsi="Segoe UI" w:cs="Segoe UI"/>
      <w:sz w:val="18"/>
      <w:szCs w:val="18"/>
      <w:lang w:val="es-ES" w:eastAsia="es-ES"/>
    </w:rPr>
  </w:style>
  <w:style w:type="character" w:styleId="Refdecomentario">
    <w:name w:val="annotation reference"/>
    <w:basedOn w:val="Fuentedeprrafopredeter"/>
    <w:uiPriority w:val="99"/>
    <w:semiHidden/>
    <w:unhideWhenUsed/>
    <w:rsid w:val="00B31222"/>
    <w:rPr>
      <w:sz w:val="16"/>
      <w:szCs w:val="16"/>
    </w:rPr>
  </w:style>
  <w:style w:type="paragraph" w:styleId="Textocomentario">
    <w:name w:val="annotation text"/>
    <w:basedOn w:val="Normal"/>
    <w:link w:val="TextocomentarioCar"/>
    <w:uiPriority w:val="99"/>
    <w:semiHidden/>
    <w:unhideWhenUsed/>
    <w:rsid w:val="00B31222"/>
  </w:style>
  <w:style w:type="character" w:customStyle="1" w:styleId="TextocomentarioCar">
    <w:name w:val="Texto comentario Car"/>
    <w:basedOn w:val="Fuentedeprrafopredeter"/>
    <w:link w:val="Textocomentario"/>
    <w:uiPriority w:val="99"/>
    <w:semiHidden/>
    <w:rsid w:val="00B31222"/>
    <w:rPr>
      <w:rFonts w:ascii="Times New Roman" w:eastAsia="Times New Roman" w:hAnsi="Times New Roman" w:cs="Times New Roman"/>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B31222"/>
    <w:rPr>
      <w:b/>
      <w:bCs/>
    </w:rPr>
  </w:style>
  <w:style w:type="character" w:customStyle="1" w:styleId="AsuntodelcomentarioCar">
    <w:name w:val="Asunto del comentario Car"/>
    <w:basedOn w:val="TextocomentarioCar"/>
    <w:link w:val="Asuntodelcomentario"/>
    <w:uiPriority w:val="99"/>
    <w:semiHidden/>
    <w:rsid w:val="00B31222"/>
    <w:rPr>
      <w:rFonts w:ascii="Times New Roman" w:eastAsia="Times New Roman" w:hAnsi="Times New Roman" w:cs="Times New Roman"/>
      <w:b/>
      <w:bCs/>
      <w:sz w:val="20"/>
      <w:szCs w:val="20"/>
      <w:lang w:val="es-ES" w:eastAsia="es-ES"/>
    </w:rPr>
  </w:style>
  <w:style w:type="character" w:customStyle="1" w:styleId="Mencionar1">
    <w:name w:val="Mencionar1"/>
    <w:basedOn w:val="Fuentedeprrafopredeter"/>
    <w:uiPriority w:val="99"/>
    <w:semiHidden/>
    <w:unhideWhenUsed/>
    <w:rsid w:val="00B31222"/>
    <w:rPr>
      <w:color w:val="2B579A"/>
      <w:shd w:val="clear" w:color="auto" w:fill="E6E6E6"/>
    </w:rPr>
  </w:style>
  <w:style w:type="character" w:customStyle="1" w:styleId="Mencionar2">
    <w:name w:val="Mencionar2"/>
    <w:basedOn w:val="Fuentedeprrafopredeter"/>
    <w:uiPriority w:val="99"/>
    <w:semiHidden/>
    <w:unhideWhenUsed/>
    <w:rsid w:val="00B31222"/>
    <w:rPr>
      <w:color w:val="2B579A"/>
      <w:shd w:val="clear" w:color="auto" w:fill="E6E6E6"/>
    </w:rPr>
  </w:style>
  <w:style w:type="character" w:customStyle="1" w:styleId="maestrofonttexto">
    <w:name w:val="maestro_fonttexto"/>
    <w:basedOn w:val="Fuentedeprrafopredeter"/>
    <w:rsid w:val="00B31222"/>
  </w:style>
  <w:style w:type="character" w:styleId="Textoennegrita">
    <w:name w:val="Strong"/>
    <w:qFormat/>
    <w:rsid w:val="00B31222"/>
    <w:rPr>
      <w:b/>
      <w:bCs/>
    </w:rPr>
  </w:style>
  <w:style w:type="paragraph" w:styleId="HTMLconformatoprevio">
    <w:name w:val="HTML Preformatted"/>
    <w:basedOn w:val="Normal"/>
    <w:link w:val="HTMLconformatoprevioCar"/>
    <w:uiPriority w:val="99"/>
    <w:semiHidden/>
    <w:unhideWhenUsed/>
    <w:rsid w:val="00B312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lang w:val="es-MX" w:eastAsia="es-MX"/>
    </w:rPr>
  </w:style>
  <w:style w:type="character" w:customStyle="1" w:styleId="HTMLconformatoprevioCar">
    <w:name w:val="HTML con formato previo Car"/>
    <w:basedOn w:val="Fuentedeprrafopredeter"/>
    <w:link w:val="HTMLconformatoprevio"/>
    <w:uiPriority w:val="99"/>
    <w:semiHidden/>
    <w:rsid w:val="00B31222"/>
    <w:rPr>
      <w:rFonts w:ascii="Courier New" w:eastAsia="Times New Roman" w:hAnsi="Courier New" w:cs="Courier New"/>
      <w:sz w:val="20"/>
      <w:szCs w:val="20"/>
      <w:lang w:eastAsia="es-MX"/>
    </w:rPr>
  </w:style>
  <w:style w:type="paragraph" w:customStyle="1" w:styleId="Default">
    <w:name w:val="Default"/>
    <w:rsid w:val="00B31222"/>
    <w:pPr>
      <w:autoSpaceDE w:val="0"/>
      <w:autoSpaceDN w:val="0"/>
      <w:adjustRightInd w:val="0"/>
      <w:spacing w:after="0" w:line="240" w:lineRule="auto"/>
    </w:pPr>
    <w:rPr>
      <w:rFonts w:ascii="Arial" w:hAnsi="Arial" w:cs="Arial"/>
      <w:color w:val="000000"/>
      <w:sz w:val="24"/>
      <w:szCs w:val="24"/>
    </w:rPr>
  </w:style>
  <w:style w:type="character" w:customStyle="1" w:styleId="CharacterStyle1">
    <w:name w:val="Character Style 1"/>
    <w:uiPriority w:val="99"/>
    <w:rsid w:val="00B31222"/>
    <w:rPr>
      <w:sz w:val="20"/>
      <w:szCs w:val="20"/>
    </w:rPr>
  </w:style>
  <w:style w:type="paragraph" w:customStyle="1" w:styleId="Estilo1">
    <w:name w:val="Estilo1"/>
    <w:basedOn w:val="Textoindependiente"/>
    <w:rsid w:val="00B31222"/>
    <w:rPr>
      <w:lang w:val="es-MX"/>
    </w:rPr>
  </w:style>
  <w:style w:type="paragraph" w:styleId="Textoindependiente">
    <w:name w:val="Body Text"/>
    <w:basedOn w:val="Normal"/>
    <w:link w:val="TextoindependienteCar"/>
    <w:uiPriority w:val="99"/>
    <w:unhideWhenUsed/>
    <w:rsid w:val="00B31222"/>
    <w:pPr>
      <w:spacing w:after="120"/>
    </w:pPr>
  </w:style>
  <w:style w:type="character" w:customStyle="1" w:styleId="TextoindependienteCar">
    <w:name w:val="Texto independiente Car"/>
    <w:basedOn w:val="Fuentedeprrafopredeter"/>
    <w:link w:val="Textoindependiente"/>
    <w:uiPriority w:val="99"/>
    <w:rsid w:val="00B31222"/>
    <w:rPr>
      <w:rFonts w:ascii="Times New Roman" w:eastAsia="Times New Roman" w:hAnsi="Times New Roman" w:cs="Times New Roman"/>
      <w:sz w:val="20"/>
      <w:szCs w:val="20"/>
      <w:lang w:val="es-ES" w:eastAsia="es-ES"/>
    </w:rPr>
  </w:style>
  <w:style w:type="paragraph" w:styleId="Sinespaciado">
    <w:name w:val="No Spacing"/>
    <w:aliases w:val="INAI,Francesa"/>
    <w:link w:val="SinespaciadoCar"/>
    <w:uiPriority w:val="1"/>
    <w:qFormat/>
    <w:rsid w:val="00B31222"/>
    <w:pPr>
      <w:spacing w:after="0" w:line="240" w:lineRule="auto"/>
      <w:ind w:left="567" w:right="567"/>
      <w:jc w:val="both"/>
    </w:pPr>
    <w:rPr>
      <w:rFonts w:ascii="Arial" w:eastAsia="Batang" w:hAnsi="Arial" w:cs="Times New Roman"/>
      <w:sz w:val="20"/>
      <w:szCs w:val="24"/>
      <w:lang w:eastAsia="es-ES"/>
    </w:rPr>
  </w:style>
  <w:style w:type="character" w:customStyle="1" w:styleId="SinespaciadoCar">
    <w:name w:val="Sin espaciado Car"/>
    <w:aliases w:val="INAI Car,Francesa Car"/>
    <w:basedOn w:val="Fuentedeprrafopredeter"/>
    <w:link w:val="Sinespaciado"/>
    <w:uiPriority w:val="1"/>
    <w:rsid w:val="00B31222"/>
    <w:rPr>
      <w:rFonts w:ascii="Arial" w:eastAsia="Batang" w:hAnsi="Arial" w:cs="Times New Roman"/>
      <w:sz w:val="20"/>
      <w:szCs w:val="24"/>
      <w:lang w:eastAsia="es-ES"/>
    </w:rPr>
  </w:style>
  <w:style w:type="paragraph" w:styleId="Lista">
    <w:name w:val="List"/>
    <w:basedOn w:val="Normal"/>
    <w:uiPriority w:val="99"/>
    <w:unhideWhenUsed/>
    <w:rsid w:val="00B31222"/>
    <w:pPr>
      <w:ind w:left="283" w:hanging="283"/>
      <w:contextualSpacing/>
    </w:pPr>
  </w:style>
  <w:style w:type="paragraph" w:styleId="Lista2">
    <w:name w:val="List 2"/>
    <w:basedOn w:val="Normal"/>
    <w:uiPriority w:val="99"/>
    <w:unhideWhenUsed/>
    <w:rsid w:val="00B31222"/>
    <w:pPr>
      <w:ind w:left="566" w:hanging="283"/>
      <w:contextualSpacing/>
    </w:pPr>
  </w:style>
  <w:style w:type="paragraph" w:styleId="Lista3">
    <w:name w:val="List 3"/>
    <w:basedOn w:val="Normal"/>
    <w:uiPriority w:val="99"/>
    <w:unhideWhenUsed/>
    <w:rsid w:val="00B31222"/>
    <w:pPr>
      <w:ind w:left="849" w:hanging="283"/>
      <w:contextualSpacing/>
    </w:pPr>
  </w:style>
  <w:style w:type="paragraph" w:styleId="Lista4">
    <w:name w:val="List 4"/>
    <w:basedOn w:val="Normal"/>
    <w:uiPriority w:val="99"/>
    <w:unhideWhenUsed/>
    <w:rsid w:val="00B31222"/>
    <w:pPr>
      <w:ind w:left="1132" w:hanging="283"/>
      <w:contextualSpacing/>
    </w:pPr>
  </w:style>
  <w:style w:type="paragraph" w:styleId="Saludo">
    <w:name w:val="Salutation"/>
    <w:basedOn w:val="Normal"/>
    <w:next w:val="Normal"/>
    <w:link w:val="SaludoCar"/>
    <w:uiPriority w:val="99"/>
    <w:unhideWhenUsed/>
    <w:rsid w:val="00B31222"/>
  </w:style>
  <w:style w:type="character" w:customStyle="1" w:styleId="SaludoCar">
    <w:name w:val="Saludo Car"/>
    <w:basedOn w:val="Fuentedeprrafopredeter"/>
    <w:link w:val="Saludo"/>
    <w:uiPriority w:val="99"/>
    <w:rsid w:val="00B31222"/>
    <w:rPr>
      <w:rFonts w:ascii="Times New Roman" w:eastAsia="Times New Roman" w:hAnsi="Times New Roman" w:cs="Times New Roman"/>
      <w:sz w:val="20"/>
      <w:szCs w:val="20"/>
      <w:lang w:val="es-ES" w:eastAsia="es-ES"/>
    </w:rPr>
  </w:style>
  <w:style w:type="paragraph" w:styleId="Listaconvietas2">
    <w:name w:val="List Bullet 2"/>
    <w:basedOn w:val="Normal"/>
    <w:uiPriority w:val="99"/>
    <w:unhideWhenUsed/>
    <w:rsid w:val="00B31222"/>
    <w:pPr>
      <w:numPr>
        <w:numId w:val="1"/>
      </w:numPr>
      <w:contextualSpacing/>
    </w:pPr>
  </w:style>
  <w:style w:type="paragraph" w:styleId="Puesto">
    <w:name w:val="Title"/>
    <w:basedOn w:val="Normal"/>
    <w:next w:val="Normal"/>
    <w:link w:val="PuestoCar"/>
    <w:uiPriority w:val="10"/>
    <w:qFormat/>
    <w:rsid w:val="00B31222"/>
    <w:pPr>
      <w:contextualSpacing/>
    </w:pPr>
    <w:rPr>
      <w:rFonts w:asciiTheme="majorHAnsi" w:eastAsiaTheme="majorEastAsia" w:hAnsiTheme="majorHAnsi" w:cstheme="majorBidi"/>
      <w:spacing w:val="-10"/>
      <w:kern w:val="28"/>
      <w:sz w:val="56"/>
      <w:szCs w:val="56"/>
    </w:rPr>
  </w:style>
  <w:style w:type="character" w:customStyle="1" w:styleId="PuestoCar">
    <w:name w:val="Puesto Car"/>
    <w:basedOn w:val="Fuentedeprrafopredeter"/>
    <w:link w:val="Puesto"/>
    <w:uiPriority w:val="10"/>
    <w:rsid w:val="00B31222"/>
    <w:rPr>
      <w:rFonts w:asciiTheme="majorHAnsi" w:eastAsiaTheme="majorEastAsia" w:hAnsiTheme="majorHAnsi" w:cstheme="majorBidi"/>
      <w:spacing w:val="-10"/>
      <w:kern w:val="28"/>
      <w:sz w:val="56"/>
      <w:szCs w:val="56"/>
      <w:lang w:val="es-ES" w:eastAsia="es-ES"/>
    </w:rPr>
  </w:style>
  <w:style w:type="paragraph" w:styleId="Sangradetextonormal">
    <w:name w:val="Body Text Indent"/>
    <w:basedOn w:val="Normal"/>
    <w:link w:val="SangradetextonormalCar"/>
    <w:uiPriority w:val="99"/>
    <w:unhideWhenUsed/>
    <w:rsid w:val="00B31222"/>
    <w:pPr>
      <w:spacing w:after="120"/>
      <w:ind w:left="283"/>
    </w:pPr>
  </w:style>
  <w:style w:type="character" w:customStyle="1" w:styleId="SangradetextonormalCar">
    <w:name w:val="Sangría de texto normal Car"/>
    <w:basedOn w:val="Fuentedeprrafopredeter"/>
    <w:link w:val="Sangradetextonormal"/>
    <w:uiPriority w:val="99"/>
    <w:rsid w:val="00B31222"/>
    <w:rPr>
      <w:rFonts w:ascii="Times New Roman" w:eastAsia="Times New Roman" w:hAnsi="Times New Roman" w:cs="Times New Roman"/>
      <w:sz w:val="20"/>
      <w:szCs w:val="20"/>
      <w:lang w:val="es-ES" w:eastAsia="es-ES"/>
    </w:rPr>
  </w:style>
  <w:style w:type="paragraph" w:styleId="Textoindependienteprimerasangra2">
    <w:name w:val="Body Text First Indent 2"/>
    <w:basedOn w:val="Sangradetextonormal"/>
    <w:link w:val="Textoindependienteprimerasangra2Car"/>
    <w:uiPriority w:val="99"/>
    <w:unhideWhenUsed/>
    <w:rsid w:val="00B31222"/>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B31222"/>
    <w:rPr>
      <w:rFonts w:ascii="Times New Roman" w:eastAsia="Times New Roman" w:hAnsi="Times New Roman" w:cs="Times New Roman"/>
      <w:sz w:val="20"/>
      <w:szCs w:val="20"/>
      <w:lang w:val="es-ES" w:eastAsia="es-ES"/>
    </w:rPr>
  </w:style>
  <w:style w:type="character" w:customStyle="1" w:styleId="Mencionar3">
    <w:name w:val="Mencionar3"/>
    <w:basedOn w:val="Fuentedeprrafopredeter"/>
    <w:uiPriority w:val="99"/>
    <w:semiHidden/>
    <w:unhideWhenUsed/>
    <w:rsid w:val="00A47916"/>
    <w:rPr>
      <w:color w:val="2B579A"/>
      <w:shd w:val="clear" w:color="auto" w:fill="E6E6E6"/>
    </w:rPr>
  </w:style>
  <w:style w:type="character" w:customStyle="1" w:styleId="Mencionar4">
    <w:name w:val="Mencionar4"/>
    <w:basedOn w:val="Fuentedeprrafopredeter"/>
    <w:uiPriority w:val="99"/>
    <w:semiHidden/>
    <w:unhideWhenUsed/>
    <w:rsid w:val="00802515"/>
    <w:rPr>
      <w:color w:val="2B579A"/>
      <w:shd w:val="clear" w:color="auto" w:fill="E6E6E6"/>
    </w:rPr>
  </w:style>
  <w:style w:type="character" w:customStyle="1" w:styleId="maestrofonttexto1">
    <w:name w:val="maestro_fonttexto1"/>
    <w:basedOn w:val="Fuentedeprrafopredeter"/>
    <w:rsid w:val="00C25238"/>
    <w:rPr>
      <w:rFonts w:ascii="Arial" w:hAnsi="Arial" w:cs="Arial" w:hint="default"/>
      <w:sz w:val="15"/>
      <w:szCs w:val="15"/>
    </w:rPr>
  </w:style>
  <w:style w:type="character" w:customStyle="1" w:styleId="apple-converted-space">
    <w:name w:val="apple-converted-space"/>
    <w:basedOn w:val="Fuentedeprrafopredeter"/>
    <w:rsid w:val="00581D41"/>
  </w:style>
  <w:style w:type="character" w:customStyle="1" w:styleId="Ttulo3Car">
    <w:name w:val="Título 3 Car"/>
    <w:basedOn w:val="Fuentedeprrafopredeter"/>
    <w:link w:val="Ttulo3"/>
    <w:uiPriority w:val="9"/>
    <w:semiHidden/>
    <w:rsid w:val="0002231C"/>
    <w:rPr>
      <w:rFonts w:asciiTheme="majorHAnsi" w:eastAsiaTheme="majorEastAsia" w:hAnsiTheme="majorHAnsi" w:cstheme="majorBidi"/>
      <w:color w:val="1F3763" w:themeColor="accent1" w:themeShade="7F"/>
      <w:sz w:val="24"/>
      <w:szCs w:val="24"/>
      <w:lang w:val="es-ES" w:eastAsia="es-ES"/>
    </w:rPr>
  </w:style>
  <w:style w:type="paragraph" w:customStyle="1" w:styleId="xmsonormal">
    <w:name w:val="x_msonormal"/>
    <w:basedOn w:val="Normal"/>
    <w:rsid w:val="0044278F"/>
    <w:pPr>
      <w:spacing w:before="100" w:beforeAutospacing="1" w:after="100" w:afterAutospacing="1"/>
    </w:pPr>
    <w:rPr>
      <w:sz w:val="24"/>
      <w:szCs w:val="24"/>
      <w:lang w:val="es-MX" w:eastAsia="es-MX"/>
    </w:rPr>
  </w:style>
  <w:style w:type="paragraph" w:styleId="NormalWeb">
    <w:name w:val="Normal (Web)"/>
    <w:basedOn w:val="Normal"/>
    <w:uiPriority w:val="99"/>
    <w:semiHidden/>
    <w:unhideWhenUsed/>
    <w:rsid w:val="009016C3"/>
    <w:pPr>
      <w:spacing w:before="100" w:beforeAutospacing="1" w:after="100" w:afterAutospacing="1"/>
    </w:pPr>
    <w:rPr>
      <w:sz w:val="24"/>
      <w:szCs w:val="24"/>
      <w:lang w:val="es-MX" w:eastAsia="es-MX"/>
    </w:rPr>
  </w:style>
  <w:style w:type="paragraph" w:customStyle="1" w:styleId="texto">
    <w:name w:val="texto"/>
    <w:basedOn w:val="Normal"/>
    <w:rsid w:val="00EE2A0D"/>
    <w:pPr>
      <w:spacing w:before="100" w:beforeAutospacing="1" w:after="100" w:afterAutospacing="1"/>
    </w:pPr>
    <w:rPr>
      <w:sz w:val="24"/>
      <w:szCs w:val="24"/>
      <w:lang w:val="es-MX"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148243">
      <w:bodyDiv w:val="1"/>
      <w:marLeft w:val="0"/>
      <w:marRight w:val="0"/>
      <w:marTop w:val="0"/>
      <w:marBottom w:val="0"/>
      <w:divBdr>
        <w:top w:val="none" w:sz="0" w:space="0" w:color="auto"/>
        <w:left w:val="none" w:sz="0" w:space="0" w:color="auto"/>
        <w:bottom w:val="none" w:sz="0" w:space="0" w:color="auto"/>
        <w:right w:val="none" w:sz="0" w:space="0" w:color="auto"/>
      </w:divBdr>
    </w:div>
    <w:div w:id="9069151">
      <w:bodyDiv w:val="1"/>
      <w:marLeft w:val="0"/>
      <w:marRight w:val="0"/>
      <w:marTop w:val="0"/>
      <w:marBottom w:val="0"/>
      <w:divBdr>
        <w:top w:val="none" w:sz="0" w:space="0" w:color="auto"/>
        <w:left w:val="none" w:sz="0" w:space="0" w:color="auto"/>
        <w:bottom w:val="none" w:sz="0" w:space="0" w:color="auto"/>
        <w:right w:val="none" w:sz="0" w:space="0" w:color="auto"/>
      </w:divBdr>
    </w:div>
    <w:div w:id="22561575">
      <w:bodyDiv w:val="1"/>
      <w:marLeft w:val="0"/>
      <w:marRight w:val="0"/>
      <w:marTop w:val="0"/>
      <w:marBottom w:val="0"/>
      <w:divBdr>
        <w:top w:val="none" w:sz="0" w:space="0" w:color="auto"/>
        <w:left w:val="none" w:sz="0" w:space="0" w:color="auto"/>
        <w:bottom w:val="none" w:sz="0" w:space="0" w:color="auto"/>
        <w:right w:val="none" w:sz="0" w:space="0" w:color="auto"/>
      </w:divBdr>
    </w:div>
    <w:div w:id="24212379">
      <w:bodyDiv w:val="1"/>
      <w:marLeft w:val="0"/>
      <w:marRight w:val="0"/>
      <w:marTop w:val="0"/>
      <w:marBottom w:val="0"/>
      <w:divBdr>
        <w:top w:val="none" w:sz="0" w:space="0" w:color="auto"/>
        <w:left w:val="none" w:sz="0" w:space="0" w:color="auto"/>
        <w:bottom w:val="none" w:sz="0" w:space="0" w:color="auto"/>
        <w:right w:val="none" w:sz="0" w:space="0" w:color="auto"/>
      </w:divBdr>
    </w:div>
    <w:div w:id="35350906">
      <w:bodyDiv w:val="1"/>
      <w:marLeft w:val="0"/>
      <w:marRight w:val="0"/>
      <w:marTop w:val="0"/>
      <w:marBottom w:val="0"/>
      <w:divBdr>
        <w:top w:val="none" w:sz="0" w:space="0" w:color="auto"/>
        <w:left w:val="none" w:sz="0" w:space="0" w:color="auto"/>
        <w:bottom w:val="none" w:sz="0" w:space="0" w:color="auto"/>
        <w:right w:val="none" w:sz="0" w:space="0" w:color="auto"/>
      </w:divBdr>
    </w:div>
    <w:div w:id="64108941">
      <w:bodyDiv w:val="1"/>
      <w:marLeft w:val="0"/>
      <w:marRight w:val="0"/>
      <w:marTop w:val="0"/>
      <w:marBottom w:val="0"/>
      <w:divBdr>
        <w:top w:val="none" w:sz="0" w:space="0" w:color="auto"/>
        <w:left w:val="none" w:sz="0" w:space="0" w:color="auto"/>
        <w:bottom w:val="none" w:sz="0" w:space="0" w:color="auto"/>
        <w:right w:val="none" w:sz="0" w:space="0" w:color="auto"/>
      </w:divBdr>
    </w:div>
    <w:div w:id="77215633">
      <w:bodyDiv w:val="1"/>
      <w:marLeft w:val="0"/>
      <w:marRight w:val="0"/>
      <w:marTop w:val="0"/>
      <w:marBottom w:val="0"/>
      <w:divBdr>
        <w:top w:val="none" w:sz="0" w:space="0" w:color="auto"/>
        <w:left w:val="none" w:sz="0" w:space="0" w:color="auto"/>
        <w:bottom w:val="none" w:sz="0" w:space="0" w:color="auto"/>
        <w:right w:val="none" w:sz="0" w:space="0" w:color="auto"/>
      </w:divBdr>
    </w:div>
    <w:div w:id="89354492">
      <w:bodyDiv w:val="1"/>
      <w:marLeft w:val="0"/>
      <w:marRight w:val="0"/>
      <w:marTop w:val="0"/>
      <w:marBottom w:val="0"/>
      <w:divBdr>
        <w:top w:val="none" w:sz="0" w:space="0" w:color="auto"/>
        <w:left w:val="none" w:sz="0" w:space="0" w:color="auto"/>
        <w:bottom w:val="none" w:sz="0" w:space="0" w:color="auto"/>
        <w:right w:val="none" w:sz="0" w:space="0" w:color="auto"/>
      </w:divBdr>
    </w:div>
    <w:div w:id="135338151">
      <w:bodyDiv w:val="1"/>
      <w:marLeft w:val="0"/>
      <w:marRight w:val="0"/>
      <w:marTop w:val="0"/>
      <w:marBottom w:val="0"/>
      <w:divBdr>
        <w:top w:val="none" w:sz="0" w:space="0" w:color="auto"/>
        <w:left w:val="none" w:sz="0" w:space="0" w:color="auto"/>
        <w:bottom w:val="none" w:sz="0" w:space="0" w:color="auto"/>
        <w:right w:val="none" w:sz="0" w:space="0" w:color="auto"/>
      </w:divBdr>
    </w:div>
    <w:div w:id="145703357">
      <w:bodyDiv w:val="1"/>
      <w:marLeft w:val="0"/>
      <w:marRight w:val="0"/>
      <w:marTop w:val="0"/>
      <w:marBottom w:val="0"/>
      <w:divBdr>
        <w:top w:val="none" w:sz="0" w:space="0" w:color="auto"/>
        <w:left w:val="none" w:sz="0" w:space="0" w:color="auto"/>
        <w:bottom w:val="none" w:sz="0" w:space="0" w:color="auto"/>
        <w:right w:val="none" w:sz="0" w:space="0" w:color="auto"/>
      </w:divBdr>
    </w:div>
    <w:div w:id="184249317">
      <w:bodyDiv w:val="1"/>
      <w:marLeft w:val="0"/>
      <w:marRight w:val="0"/>
      <w:marTop w:val="0"/>
      <w:marBottom w:val="0"/>
      <w:divBdr>
        <w:top w:val="none" w:sz="0" w:space="0" w:color="auto"/>
        <w:left w:val="none" w:sz="0" w:space="0" w:color="auto"/>
        <w:bottom w:val="none" w:sz="0" w:space="0" w:color="auto"/>
        <w:right w:val="none" w:sz="0" w:space="0" w:color="auto"/>
      </w:divBdr>
    </w:div>
    <w:div w:id="231282173">
      <w:bodyDiv w:val="1"/>
      <w:marLeft w:val="0"/>
      <w:marRight w:val="0"/>
      <w:marTop w:val="0"/>
      <w:marBottom w:val="0"/>
      <w:divBdr>
        <w:top w:val="none" w:sz="0" w:space="0" w:color="auto"/>
        <w:left w:val="none" w:sz="0" w:space="0" w:color="auto"/>
        <w:bottom w:val="none" w:sz="0" w:space="0" w:color="auto"/>
        <w:right w:val="none" w:sz="0" w:space="0" w:color="auto"/>
      </w:divBdr>
    </w:div>
    <w:div w:id="263848016">
      <w:bodyDiv w:val="1"/>
      <w:marLeft w:val="0"/>
      <w:marRight w:val="0"/>
      <w:marTop w:val="0"/>
      <w:marBottom w:val="0"/>
      <w:divBdr>
        <w:top w:val="none" w:sz="0" w:space="0" w:color="auto"/>
        <w:left w:val="none" w:sz="0" w:space="0" w:color="auto"/>
        <w:bottom w:val="none" w:sz="0" w:space="0" w:color="auto"/>
        <w:right w:val="none" w:sz="0" w:space="0" w:color="auto"/>
      </w:divBdr>
    </w:div>
    <w:div w:id="345209379">
      <w:bodyDiv w:val="1"/>
      <w:marLeft w:val="0"/>
      <w:marRight w:val="0"/>
      <w:marTop w:val="0"/>
      <w:marBottom w:val="0"/>
      <w:divBdr>
        <w:top w:val="none" w:sz="0" w:space="0" w:color="auto"/>
        <w:left w:val="none" w:sz="0" w:space="0" w:color="auto"/>
        <w:bottom w:val="none" w:sz="0" w:space="0" w:color="auto"/>
        <w:right w:val="none" w:sz="0" w:space="0" w:color="auto"/>
      </w:divBdr>
    </w:div>
    <w:div w:id="411246475">
      <w:bodyDiv w:val="1"/>
      <w:marLeft w:val="0"/>
      <w:marRight w:val="0"/>
      <w:marTop w:val="0"/>
      <w:marBottom w:val="0"/>
      <w:divBdr>
        <w:top w:val="none" w:sz="0" w:space="0" w:color="auto"/>
        <w:left w:val="none" w:sz="0" w:space="0" w:color="auto"/>
        <w:bottom w:val="none" w:sz="0" w:space="0" w:color="auto"/>
        <w:right w:val="none" w:sz="0" w:space="0" w:color="auto"/>
      </w:divBdr>
    </w:div>
    <w:div w:id="475414075">
      <w:bodyDiv w:val="1"/>
      <w:marLeft w:val="0"/>
      <w:marRight w:val="0"/>
      <w:marTop w:val="0"/>
      <w:marBottom w:val="0"/>
      <w:divBdr>
        <w:top w:val="none" w:sz="0" w:space="0" w:color="auto"/>
        <w:left w:val="none" w:sz="0" w:space="0" w:color="auto"/>
        <w:bottom w:val="none" w:sz="0" w:space="0" w:color="auto"/>
        <w:right w:val="none" w:sz="0" w:space="0" w:color="auto"/>
      </w:divBdr>
    </w:div>
    <w:div w:id="486745336">
      <w:bodyDiv w:val="1"/>
      <w:marLeft w:val="0"/>
      <w:marRight w:val="0"/>
      <w:marTop w:val="0"/>
      <w:marBottom w:val="0"/>
      <w:divBdr>
        <w:top w:val="none" w:sz="0" w:space="0" w:color="auto"/>
        <w:left w:val="none" w:sz="0" w:space="0" w:color="auto"/>
        <w:bottom w:val="none" w:sz="0" w:space="0" w:color="auto"/>
        <w:right w:val="none" w:sz="0" w:space="0" w:color="auto"/>
      </w:divBdr>
    </w:div>
    <w:div w:id="522020283">
      <w:bodyDiv w:val="1"/>
      <w:marLeft w:val="0"/>
      <w:marRight w:val="0"/>
      <w:marTop w:val="0"/>
      <w:marBottom w:val="0"/>
      <w:divBdr>
        <w:top w:val="none" w:sz="0" w:space="0" w:color="auto"/>
        <w:left w:val="none" w:sz="0" w:space="0" w:color="auto"/>
        <w:bottom w:val="none" w:sz="0" w:space="0" w:color="auto"/>
        <w:right w:val="none" w:sz="0" w:space="0" w:color="auto"/>
      </w:divBdr>
    </w:div>
    <w:div w:id="533153652">
      <w:bodyDiv w:val="1"/>
      <w:marLeft w:val="0"/>
      <w:marRight w:val="0"/>
      <w:marTop w:val="0"/>
      <w:marBottom w:val="0"/>
      <w:divBdr>
        <w:top w:val="none" w:sz="0" w:space="0" w:color="auto"/>
        <w:left w:val="none" w:sz="0" w:space="0" w:color="auto"/>
        <w:bottom w:val="none" w:sz="0" w:space="0" w:color="auto"/>
        <w:right w:val="none" w:sz="0" w:space="0" w:color="auto"/>
      </w:divBdr>
    </w:div>
    <w:div w:id="552814093">
      <w:bodyDiv w:val="1"/>
      <w:marLeft w:val="0"/>
      <w:marRight w:val="0"/>
      <w:marTop w:val="0"/>
      <w:marBottom w:val="0"/>
      <w:divBdr>
        <w:top w:val="none" w:sz="0" w:space="0" w:color="auto"/>
        <w:left w:val="none" w:sz="0" w:space="0" w:color="auto"/>
        <w:bottom w:val="none" w:sz="0" w:space="0" w:color="auto"/>
        <w:right w:val="none" w:sz="0" w:space="0" w:color="auto"/>
      </w:divBdr>
    </w:div>
    <w:div w:id="635836293">
      <w:bodyDiv w:val="1"/>
      <w:marLeft w:val="0"/>
      <w:marRight w:val="0"/>
      <w:marTop w:val="0"/>
      <w:marBottom w:val="0"/>
      <w:divBdr>
        <w:top w:val="none" w:sz="0" w:space="0" w:color="auto"/>
        <w:left w:val="none" w:sz="0" w:space="0" w:color="auto"/>
        <w:bottom w:val="none" w:sz="0" w:space="0" w:color="auto"/>
        <w:right w:val="none" w:sz="0" w:space="0" w:color="auto"/>
      </w:divBdr>
    </w:div>
    <w:div w:id="640352948">
      <w:bodyDiv w:val="1"/>
      <w:marLeft w:val="0"/>
      <w:marRight w:val="0"/>
      <w:marTop w:val="0"/>
      <w:marBottom w:val="0"/>
      <w:divBdr>
        <w:top w:val="none" w:sz="0" w:space="0" w:color="auto"/>
        <w:left w:val="none" w:sz="0" w:space="0" w:color="auto"/>
        <w:bottom w:val="none" w:sz="0" w:space="0" w:color="auto"/>
        <w:right w:val="none" w:sz="0" w:space="0" w:color="auto"/>
      </w:divBdr>
    </w:div>
    <w:div w:id="727726578">
      <w:bodyDiv w:val="1"/>
      <w:marLeft w:val="0"/>
      <w:marRight w:val="0"/>
      <w:marTop w:val="0"/>
      <w:marBottom w:val="0"/>
      <w:divBdr>
        <w:top w:val="none" w:sz="0" w:space="0" w:color="auto"/>
        <w:left w:val="none" w:sz="0" w:space="0" w:color="auto"/>
        <w:bottom w:val="none" w:sz="0" w:space="0" w:color="auto"/>
        <w:right w:val="none" w:sz="0" w:space="0" w:color="auto"/>
      </w:divBdr>
      <w:divsChild>
        <w:div w:id="114184103">
          <w:marLeft w:val="0"/>
          <w:marRight w:val="0"/>
          <w:marTop w:val="0"/>
          <w:marBottom w:val="101"/>
          <w:divBdr>
            <w:top w:val="none" w:sz="0" w:space="0" w:color="auto"/>
            <w:left w:val="none" w:sz="0" w:space="0" w:color="auto"/>
            <w:bottom w:val="none" w:sz="0" w:space="0" w:color="auto"/>
            <w:right w:val="none" w:sz="0" w:space="0" w:color="auto"/>
          </w:divBdr>
        </w:div>
        <w:div w:id="299727192">
          <w:marLeft w:val="864"/>
          <w:marRight w:val="0"/>
          <w:marTop w:val="0"/>
          <w:marBottom w:val="101"/>
          <w:divBdr>
            <w:top w:val="none" w:sz="0" w:space="0" w:color="auto"/>
            <w:left w:val="none" w:sz="0" w:space="0" w:color="auto"/>
            <w:bottom w:val="none" w:sz="0" w:space="0" w:color="auto"/>
            <w:right w:val="none" w:sz="0" w:space="0" w:color="auto"/>
          </w:divBdr>
        </w:div>
        <w:div w:id="379132686">
          <w:marLeft w:val="0"/>
          <w:marRight w:val="0"/>
          <w:marTop w:val="0"/>
          <w:marBottom w:val="101"/>
          <w:divBdr>
            <w:top w:val="none" w:sz="0" w:space="0" w:color="auto"/>
            <w:left w:val="none" w:sz="0" w:space="0" w:color="auto"/>
            <w:bottom w:val="none" w:sz="0" w:space="0" w:color="auto"/>
            <w:right w:val="none" w:sz="0" w:space="0" w:color="auto"/>
          </w:divBdr>
        </w:div>
        <w:div w:id="873268233">
          <w:marLeft w:val="0"/>
          <w:marRight w:val="0"/>
          <w:marTop w:val="0"/>
          <w:marBottom w:val="101"/>
          <w:divBdr>
            <w:top w:val="none" w:sz="0" w:space="0" w:color="auto"/>
            <w:left w:val="none" w:sz="0" w:space="0" w:color="auto"/>
            <w:bottom w:val="none" w:sz="0" w:space="0" w:color="auto"/>
            <w:right w:val="none" w:sz="0" w:space="0" w:color="auto"/>
          </w:divBdr>
        </w:div>
        <w:div w:id="1094596331">
          <w:marLeft w:val="864"/>
          <w:marRight w:val="0"/>
          <w:marTop w:val="0"/>
          <w:marBottom w:val="101"/>
          <w:divBdr>
            <w:top w:val="none" w:sz="0" w:space="0" w:color="auto"/>
            <w:left w:val="none" w:sz="0" w:space="0" w:color="auto"/>
            <w:bottom w:val="none" w:sz="0" w:space="0" w:color="auto"/>
            <w:right w:val="none" w:sz="0" w:space="0" w:color="auto"/>
          </w:divBdr>
        </w:div>
        <w:div w:id="1377126269">
          <w:marLeft w:val="864"/>
          <w:marRight w:val="0"/>
          <w:marTop w:val="0"/>
          <w:marBottom w:val="101"/>
          <w:divBdr>
            <w:top w:val="none" w:sz="0" w:space="0" w:color="auto"/>
            <w:left w:val="none" w:sz="0" w:space="0" w:color="auto"/>
            <w:bottom w:val="none" w:sz="0" w:space="0" w:color="auto"/>
            <w:right w:val="none" w:sz="0" w:space="0" w:color="auto"/>
          </w:divBdr>
        </w:div>
        <w:div w:id="1605503555">
          <w:marLeft w:val="0"/>
          <w:marRight w:val="0"/>
          <w:marTop w:val="0"/>
          <w:marBottom w:val="101"/>
          <w:divBdr>
            <w:top w:val="none" w:sz="0" w:space="0" w:color="auto"/>
            <w:left w:val="none" w:sz="0" w:space="0" w:color="auto"/>
            <w:bottom w:val="none" w:sz="0" w:space="0" w:color="auto"/>
            <w:right w:val="none" w:sz="0" w:space="0" w:color="auto"/>
          </w:divBdr>
        </w:div>
        <w:div w:id="1980643673">
          <w:marLeft w:val="864"/>
          <w:marRight w:val="0"/>
          <w:marTop w:val="0"/>
          <w:marBottom w:val="101"/>
          <w:divBdr>
            <w:top w:val="none" w:sz="0" w:space="0" w:color="auto"/>
            <w:left w:val="none" w:sz="0" w:space="0" w:color="auto"/>
            <w:bottom w:val="none" w:sz="0" w:space="0" w:color="auto"/>
            <w:right w:val="none" w:sz="0" w:space="0" w:color="auto"/>
          </w:divBdr>
        </w:div>
        <w:div w:id="2001273032">
          <w:marLeft w:val="0"/>
          <w:marRight w:val="0"/>
          <w:marTop w:val="0"/>
          <w:marBottom w:val="101"/>
          <w:divBdr>
            <w:top w:val="none" w:sz="0" w:space="0" w:color="auto"/>
            <w:left w:val="none" w:sz="0" w:space="0" w:color="auto"/>
            <w:bottom w:val="none" w:sz="0" w:space="0" w:color="auto"/>
            <w:right w:val="none" w:sz="0" w:space="0" w:color="auto"/>
          </w:divBdr>
        </w:div>
      </w:divsChild>
    </w:div>
    <w:div w:id="739791667">
      <w:bodyDiv w:val="1"/>
      <w:marLeft w:val="0"/>
      <w:marRight w:val="0"/>
      <w:marTop w:val="0"/>
      <w:marBottom w:val="0"/>
      <w:divBdr>
        <w:top w:val="none" w:sz="0" w:space="0" w:color="auto"/>
        <w:left w:val="none" w:sz="0" w:space="0" w:color="auto"/>
        <w:bottom w:val="none" w:sz="0" w:space="0" w:color="auto"/>
        <w:right w:val="none" w:sz="0" w:space="0" w:color="auto"/>
      </w:divBdr>
    </w:div>
    <w:div w:id="751972095">
      <w:bodyDiv w:val="1"/>
      <w:marLeft w:val="0"/>
      <w:marRight w:val="0"/>
      <w:marTop w:val="0"/>
      <w:marBottom w:val="0"/>
      <w:divBdr>
        <w:top w:val="none" w:sz="0" w:space="0" w:color="auto"/>
        <w:left w:val="none" w:sz="0" w:space="0" w:color="auto"/>
        <w:bottom w:val="none" w:sz="0" w:space="0" w:color="auto"/>
        <w:right w:val="none" w:sz="0" w:space="0" w:color="auto"/>
      </w:divBdr>
    </w:div>
    <w:div w:id="796415900">
      <w:bodyDiv w:val="1"/>
      <w:marLeft w:val="0"/>
      <w:marRight w:val="0"/>
      <w:marTop w:val="0"/>
      <w:marBottom w:val="0"/>
      <w:divBdr>
        <w:top w:val="none" w:sz="0" w:space="0" w:color="auto"/>
        <w:left w:val="none" w:sz="0" w:space="0" w:color="auto"/>
        <w:bottom w:val="none" w:sz="0" w:space="0" w:color="auto"/>
        <w:right w:val="none" w:sz="0" w:space="0" w:color="auto"/>
      </w:divBdr>
    </w:div>
    <w:div w:id="880476978">
      <w:bodyDiv w:val="1"/>
      <w:marLeft w:val="0"/>
      <w:marRight w:val="0"/>
      <w:marTop w:val="0"/>
      <w:marBottom w:val="0"/>
      <w:divBdr>
        <w:top w:val="none" w:sz="0" w:space="0" w:color="auto"/>
        <w:left w:val="none" w:sz="0" w:space="0" w:color="auto"/>
        <w:bottom w:val="none" w:sz="0" w:space="0" w:color="auto"/>
        <w:right w:val="none" w:sz="0" w:space="0" w:color="auto"/>
      </w:divBdr>
    </w:div>
    <w:div w:id="907039483">
      <w:bodyDiv w:val="1"/>
      <w:marLeft w:val="0"/>
      <w:marRight w:val="0"/>
      <w:marTop w:val="0"/>
      <w:marBottom w:val="0"/>
      <w:divBdr>
        <w:top w:val="none" w:sz="0" w:space="0" w:color="auto"/>
        <w:left w:val="none" w:sz="0" w:space="0" w:color="auto"/>
        <w:bottom w:val="none" w:sz="0" w:space="0" w:color="auto"/>
        <w:right w:val="none" w:sz="0" w:space="0" w:color="auto"/>
      </w:divBdr>
    </w:div>
    <w:div w:id="922181510">
      <w:bodyDiv w:val="1"/>
      <w:marLeft w:val="0"/>
      <w:marRight w:val="0"/>
      <w:marTop w:val="0"/>
      <w:marBottom w:val="0"/>
      <w:divBdr>
        <w:top w:val="none" w:sz="0" w:space="0" w:color="auto"/>
        <w:left w:val="none" w:sz="0" w:space="0" w:color="auto"/>
        <w:bottom w:val="none" w:sz="0" w:space="0" w:color="auto"/>
        <w:right w:val="none" w:sz="0" w:space="0" w:color="auto"/>
      </w:divBdr>
    </w:div>
    <w:div w:id="927662792">
      <w:bodyDiv w:val="1"/>
      <w:marLeft w:val="0"/>
      <w:marRight w:val="0"/>
      <w:marTop w:val="0"/>
      <w:marBottom w:val="0"/>
      <w:divBdr>
        <w:top w:val="none" w:sz="0" w:space="0" w:color="auto"/>
        <w:left w:val="none" w:sz="0" w:space="0" w:color="auto"/>
        <w:bottom w:val="none" w:sz="0" w:space="0" w:color="auto"/>
        <w:right w:val="none" w:sz="0" w:space="0" w:color="auto"/>
      </w:divBdr>
    </w:div>
    <w:div w:id="962924810">
      <w:bodyDiv w:val="1"/>
      <w:marLeft w:val="0"/>
      <w:marRight w:val="0"/>
      <w:marTop w:val="0"/>
      <w:marBottom w:val="0"/>
      <w:divBdr>
        <w:top w:val="none" w:sz="0" w:space="0" w:color="auto"/>
        <w:left w:val="none" w:sz="0" w:space="0" w:color="auto"/>
        <w:bottom w:val="none" w:sz="0" w:space="0" w:color="auto"/>
        <w:right w:val="none" w:sz="0" w:space="0" w:color="auto"/>
      </w:divBdr>
    </w:div>
    <w:div w:id="1123034770">
      <w:bodyDiv w:val="1"/>
      <w:marLeft w:val="0"/>
      <w:marRight w:val="0"/>
      <w:marTop w:val="0"/>
      <w:marBottom w:val="0"/>
      <w:divBdr>
        <w:top w:val="none" w:sz="0" w:space="0" w:color="auto"/>
        <w:left w:val="none" w:sz="0" w:space="0" w:color="auto"/>
        <w:bottom w:val="none" w:sz="0" w:space="0" w:color="auto"/>
        <w:right w:val="none" w:sz="0" w:space="0" w:color="auto"/>
      </w:divBdr>
    </w:div>
    <w:div w:id="1151601446">
      <w:bodyDiv w:val="1"/>
      <w:marLeft w:val="0"/>
      <w:marRight w:val="0"/>
      <w:marTop w:val="0"/>
      <w:marBottom w:val="0"/>
      <w:divBdr>
        <w:top w:val="none" w:sz="0" w:space="0" w:color="auto"/>
        <w:left w:val="none" w:sz="0" w:space="0" w:color="auto"/>
        <w:bottom w:val="none" w:sz="0" w:space="0" w:color="auto"/>
        <w:right w:val="none" w:sz="0" w:space="0" w:color="auto"/>
      </w:divBdr>
    </w:div>
    <w:div w:id="1152402866">
      <w:bodyDiv w:val="1"/>
      <w:marLeft w:val="0"/>
      <w:marRight w:val="0"/>
      <w:marTop w:val="0"/>
      <w:marBottom w:val="0"/>
      <w:divBdr>
        <w:top w:val="none" w:sz="0" w:space="0" w:color="auto"/>
        <w:left w:val="none" w:sz="0" w:space="0" w:color="auto"/>
        <w:bottom w:val="none" w:sz="0" w:space="0" w:color="auto"/>
        <w:right w:val="none" w:sz="0" w:space="0" w:color="auto"/>
      </w:divBdr>
    </w:div>
    <w:div w:id="1160736548">
      <w:bodyDiv w:val="1"/>
      <w:marLeft w:val="0"/>
      <w:marRight w:val="0"/>
      <w:marTop w:val="0"/>
      <w:marBottom w:val="0"/>
      <w:divBdr>
        <w:top w:val="none" w:sz="0" w:space="0" w:color="auto"/>
        <w:left w:val="none" w:sz="0" w:space="0" w:color="auto"/>
        <w:bottom w:val="none" w:sz="0" w:space="0" w:color="auto"/>
        <w:right w:val="none" w:sz="0" w:space="0" w:color="auto"/>
      </w:divBdr>
    </w:div>
    <w:div w:id="1196694563">
      <w:bodyDiv w:val="1"/>
      <w:marLeft w:val="0"/>
      <w:marRight w:val="0"/>
      <w:marTop w:val="0"/>
      <w:marBottom w:val="0"/>
      <w:divBdr>
        <w:top w:val="none" w:sz="0" w:space="0" w:color="auto"/>
        <w:left w:val="none" w:sz="0" w:space="0" w:color="auto"/>
        <w:bottom w:val="none" w:sz="0" w:space="0" w:color="auto"/>
        <w:right w:val="none" w:sz="0" w:space="0" w:color="auto"/>
      </w:divBdr>
    </w:div>
    <w:div w:id="1307010189">
      <w:bodyDiv w:val="1"/>
      <w:marLeft w:val="0"/>
      <w:marRight w:val="0"/>
      <w:marTop w:val="0"/>
      <w:marBottom w:val="0"/>
      <w:divBdr>
        <w:top w:val="none" w:sz="0" w:space="0" w:color="auto"/>
        <w:left w:val="none" w:sz="0" w:space="0" w:color="auto"/>
        <w:bottom w:val="none" w:sz="0" w:space="0" w:color="auto"/>
        <w:right w:val="none" w:sz="0" w:space="0" w:color="auto"/>
      </w:divBdr>
    </w:div>
    <w:div w:id="1371564610">
      <w:bodyDiv w:val="1"/>
      <w:marLeft w:val="0"/>
      <w:marRight w:val="0"/>
      <w:marTop w:val="0"/>
      <w:marBottom w:val="0"/>
      <w:divBdr>
        <w:top w:val="none" w:sz="0" w:space="0" w:color="auto"/>
        <w:left w:val="none" w:sz="0" w:space="0" w:color="auto"/>
        <w:bottom w:val="none" w:sz="0" w:space="0" w:color="auto"/>
        <w:right w:val="none" w:sz="0" w:space="0" w:color="auto"/>
      </w:divBdr>
    </w:div>
    <w:div w:id="1389761608">
      <w:bodyDiv w:val="1"/>
      <w:marLeft w:val="0"/>
      <w:marRight w:val="0"/>
      <w:marTop w:val="0"/>
      <w:marBottom w:val="0"/>
      <w:divBdr>
        <w:top w:val="none" w:sz="0" w:space="0" w:color="auto"/>
        <w:left w:val="none" w:sz="0" w:space="0" w:color="auto"/>
        <w:bottom w:val="none" w:sz="0" w:space="0" w:color="auto"/>
        <w:right w:val="none" w:sz="0" w:space="0" w:color="auto"/>
      </w:divBdr>
    </w:div>
    <w:div w:id="1408769777">
      <w:bodyDiv w:val="1"/>
      <w:marLeft w:val="0"/>
      <w:marRight w:val="0"/>
      <w:marTop w:val="0"/>
      <w:marBottom w:val="0"/>
      <w:divBdr>
        <w:top w:val="none" w:sz="0" w:space="0" w:color="auto"/>
        <w:left w:val="none" w:sz="0" w:space="0" w:color="auto"/>
        <w:bottom w:val="none" w:sz="0" w:space="0" w:color="auto"/>
        <w:right w:val="none" w:sz="0" w:space="0" w:color="auto"/>
      </w:divBdr>
    </w:div>
    <w:div w:id="1463695208">
      <w:bodyDiv w:val="1"/>
      <w:marLeft w:val="0"/>
      <w:marRight w:val="0"/>
      <w:marTop w:val="0"/>
      <w:marBottom w:val="0"/>
      <w:divBdr>
        <w:top w:val="none" w:sz="0" w:space="0" w:color="auto"/>
        <w:left w:val="none" w:sz="0" w:space="0" w:color="auto"/>
        <w:bottom w:val="none" w:sz="0" w:space="0" w:color="auto"/>
        <w:right w:val="none" w:sz="0" w:space="0" w:color="auto"/>
      </w:divBdr>
    </w:div>
    <w:div w:id="1471170500">
      <w:bodyDiv w:val="1"/>
      <w:marLeft w:val="0"/>
      <w:marRight w:val="0"/>
      <w:marTop w:val="0"/>
      <w:marBottom w:val="0"/>
      <w:divBdr>
        <w:top w:val="none" w:sz="0" w:space="0" w:color="auto"/>
        <w:left w:val="none" w:sz="0" w:space="0" w:color="auto"/>
        <w:bottom w:val="none" w:sz="0" w:space="0" w:color="auto"/>
        <w:right w:val="none" w:sz="0" w:space="0" w:color="auto"/>
      </w:divBdr>
      <w:divsChild>
        <w:div w:id="618731566">
          <w:marLeft w:val="0"/>
          <w:marRight w:val="0"/>
          <w:marTop w:val="0"/>
          <w:marBottom w:val="0"/>
          <w:divBdr>
            <w:top w:val="none" w:sz="0" w:space="0" w:color="auto"/>
            <w:left w:val="none" w:sz="0" w:space="0" w:color="auto"/>
            <w:bottom w:val="none" w:sz="0" w:space="0" w:color="auto"/>
            <w:right w:val="none" w:sz="0" w:space="0" w:color="auto"/>
          </w:divBdr>
        </w:div>
      </w:divsChild>
    </w:div>
    <w:div w:id="1507086820">
      <w:bodyDiv w:val="1"/>
      <w:marLeft w:val="0"/>
      <w:marRight w:val="0"/>
      <w:marTop w:val="0"/>
      <w:marBottom w:val="0"/>
      <w:divBdr>
        <w:top w:val="none" w:sz="0" w:space="0" w:color="auto"/>
        <w:left w:val="none" w:sz="0" w:space="0" w:color="auto"/>
        <w:bottom w:val="none" w:sz="0" w:space="0" w:color="auto"/>
        <w:right w:val="none" w:sz="0" w:space="0" w:color="auto"/>
      </w:divBdr>
    </w:div>
    <w:div w:id="1535651232">
      <w:bodyDiv w:val="1"/>
      <w:marLeft w:val="0"/>
      <w:marRight w:val="0"/>
      <w:marTop w:val="0"/>
      <w:marBottom w:val="0"/>
      <w:divBdr>
        <w:top w:val="none" w:sz="0" w:space="0" w:color="auto"/>
        <w:left w:val="none" w:sz="0" w:space="0" w:color="auto"/>
        <w:bottom w:val="none" w:sz="0" w:space="0" w:color="auto"/>
        <w:right w:val="none" w:sz="0" w:space="0" w:color="auto"/>
      </w:divBdr>
    </w:div>
    <w:div w:id="1551650933">
      <w:bodyDiv w:val="1"/>
      <w:marLeft w:val="0"/>
      <w:marRight w:val="0"/>
      <w:marTop w:val="0"/>
      <w:marBottom w:val="0"/>
      <w:divBdr>
        <w:top w:val="none" w:sz="0" w:space="0" w:color="auto"/>
        <w:left w:val="none" w:sz="0" w:space="0" w:color="auto"/>
        <w:bottom w:val="none" w:sz="0" w:space="0" w:color="auto"/>
        <w:right w:val="none" w:sz="0" w:space="0" w:color="auto"/>
      </w:divBdr>
    </w:div>
    <w:div w:id="1554538060">
      <w:bodyDiv w:val="1"/>
      <w:marLeft w:val="0"/>
      <w:marRight w:val="0"/>
      <w:marTop w:val="0"/>
      <w:marBottom w:val="0"/>
      <w:divBdr>
        <w:top w:val="none" w:sz="0" w:space="0" w:color="auto"/>
        <w:left w:val="none" w:sz="0" w:space="0" w:color="auto"/>
        <w:bottom w:val="none" w:sz="0" w:space="0" w:color="auto"/>
        <w:right w:val="none" w:sz="0" w:space="0" w:color="auto"/>
      </w:divBdr>
    </w:div>
    <w:div w:id="1559169990">
      <w:bodyDiv w:val="1"/>
      <w:marLeft w:val="0"/>
      <w:marRight w:val="0"/>
      <w:marTop w:val="0"/>
      <w:marBottom w:val="0"/>
      <w:divBdr>
        <w:top w:val="none" w:sz="0" w:space="0" w:color="auto"/>
        <w:left w:val="none" w:sz="0" w:space="0" w:color="auto"/>
        <w:bottom w:val="none" w:sz="0" w:space="0" w:color="auto"/>
        <w:right w:val="none" w:sz="0" w:space="0" w:color="auto"/>
      </w:divBdr>
    </w:div>
    <w:div w:id="1627085049">
      <w:bodyDiv w:val="1"/>
      <w:marLeft w:val="0"/>
      <w:marRight w:val="0"/>
      <w:marTop w:val="0"/>
      <w:marBottom w:val="0"/>
      <w:divBdr>
        <w:top w:val="none" w:sz="0" w:space="0" w:color="auto"/>
        <w:left w:val="none" w:sz="0" w:space="0" w:color="auto"/>
        <w:bottom w:val="none" w:sz="0" w:space="0" w:color="auto"/>
        <w:right w:val="none" w:sz="0" w:space="0" w:color="auto"/>
      </w:divBdr>
    </w:div>
    <w:div w:id="1635596606">
      <w:bodyDiv w:val="1"/>
      <w:marLeft w:val="0"/>
      <w:marRight w:val="0"/>
      <w:marTop w:val="0"/>
      <w:marBottom w:val="0"/>
      <w:divBdr>
        <w:top w:val="none" w:sz="0" w:space="0" w:color="auto"/>
        <w:left w:val="none" w:sz="0" w:space="0" w:color="auto"/>
        <w:bottom w:val="none" w:sz="0" w:space="0" w:color="auto"/>
        <w:right w:val="none" w:sz="0" w:space="0" w:color="auto"/>
      </w:divBdr>
    </w:div>
    <w:div w:id="1647122621">
      <w:bodyDiv w:val="1"/>
      <w:marLeft w:val="0"/>
      <w:marRight w:val="0"/>
      <w:marTop w:val="0"/>
      <w:marBottom w:val="0"/>
      <w:divBdr>
        <w:top w:val="none" w:sz="0" w:space="0" w:color="auto"/>
        <w:left w:val="none" w:sz="0" w:space="0" w:color="auto"/>
        <w:bottom w:val="none" w:sz="0" w:space="0" w:color="auto"/>
        <w:right w:val="none" w:sz="0" w:space="0" w:color="auto"/>
      </w:divBdr>
    </w:div>
    <w:div w:id="1655446754">
      <w:bodyDiv w:val="1"/>
      <w:marLeft w:val="0"/>
      <w:marRight w:val="0"/>
      <w:marTop w:val="0"/>
      <w:marBottom w:val="0"/>
      <w:divBdr>
        <w:top w:val="none" w:sz="0" w:space="0" w:color="auto"/>
        <w:left w:val="none" w:sz="0" w:space="0" w:color="auto"/>
        <w:bottom w:val="none" w:sz="0" w:space="0" w:color="auto"/>
        <w:right w:val="none" w:sz="0" w:space="0" w:color="auto"/>
      </w:divBdr>
    </w:div>
    <w:div w:id="1718508768">
      <w:bodyDiv w:val="1"/>
      <w:marLeft w:val="0"/>
      <w:marRight w:val="0"/>
      <w:marTop w:val="0"/>
      <w:marBottom w:val="0"/>
      <w:divBdr>
        <w:top w:val="none" w:sz="0" w:space="0" w:color="auto"/>
        <w:left w:val="none" w:sz="0" w:space="0" w:color="auto"/>
        <w:bottom w:val="none" w:sz="0" w:space="0" w:color="auto"/>
        <w:right w:val="none" w:sz="0" w:space="0" w:color="auto"/>
      </w:divBdr>
    </w:div>
    <w:div w:id="1725979085">
      <w:bodyDiv w:val="1"/>
      <w:marLeft w:val="0"/>
      <w:marRight w:val="0"/>
      <w:marTop w:val="0"/>
      <w:marBottom w:val="0"/>
      <w:divBdr>
        <w:top w:val="none" w:sz="0" w:space="0" w:color="auto"/>
        <w:left w:val="none" w:sz="0" w:space="0" w:color="auto"/>
        <w:bottom w:val="none" w:sz="0" w:space="0" w:color="auto"/>
        <w:right w:val="none" w:sz="0" w:space="0" w:color="auto"/>
      </w:divBdr>
    </w:div>
    <w:div w:id="1792213480">
      <w:bodyDiv w:val="1"/>
      <w:marLeft w:val="0"/>
      <w:marRight w:val="0"/>
      <w:marTop w:val="0"/>
      <w:marBottom w:val="0"/>
      <w:divBdr>
        <w:top w:val="none" w:sz="0" w:space="0" w:color="auto"/>
        <w:left w:val="none" w:sz="0" w:space="0" w:color="auto"/>
        <w:bottom w:val="none" w:sz="0" w:space="0" w:color="auto"/>
        <w:right w:val="none" w:sz="0" w:space="0" w:color="auto"/>
      </w:divBdr>
    </w:div>
    <w:div w:id="1799257608">
      <w:bodyDiv w:val="1"/>
      <w:marLeft w:val="0"/>
      <w:marRight w:val="0"/>
      <w:marTop w:val="0"/>
      <w:marBottom w:val="0"/>
      <w:divBdr>
        <w:top w:val="none" w:sz="0" w:space="0" w:color="auto"/>
        <w:left w:val="none" w:sz="0" w:space="0" w:color="auto"/>
        <w:bottom w:val="none" w:sz="0" w:space="0" w:color="auto"/>
        <w:right w:val="none" w:sz="0" w:space="0" w:color="auto"/>
      </w:divBdr>
    </w:div>
    <w:div w:id="1845970503">
      <w:bodyDiv w:val="1"/>
      <w:marLeft w:val="0"/>
      <w:marRight w:val="0"/>
      <w:marTop w:val="0"/>
      <w:marBottom w:val="0"/>
      <w:divBdr>
        <w:top w:val="none" w:sz="0" w:space="0" w:color="auto"/>
        <w:left w:val="none" w:sz="0" w:space="0" w:color="auto"/>
        <w:bottom w:val="none" w:sz="0" w:space="0" w:color="auto"/>
        <w:right w:val="none" w:sz="0" w:space="0" w:color="auto"/>
      </w:divBdr>
    </w:div>
    <w:div w:id="1890992600">
      <w:bodyDiv w:val="1"/>
      <w:marLeft w:val="0"/>
      <w:marRight w:val="0"/>
      <w:marTop w:val="0"/>
      <w:marBottom w:val="0"/>
      <w:divBdr>
        <w:top w:val="none" w:sz="0" w:space="0" w:color="auto"/>
        <w:left w:val="none" w:sz="0" w:space="0" w:color="auto"/>
        <w:bottom w:val="none" w:sz="0" w:space="0" w:color="auto"/>
        <w:right w:val="none" w:sz="0" w:space="0" w:color="auto"/>
      </w:divBdr>
    </w:div>
    <w:div w:id="1894342954">
      <w:bodyDiv w:val="1"/>
      <w:marLeft w:val="0"/>
      <w:marRight w:val="0"/>
      <w:marTop w:val="0"/>
      <w:marBottom w:val="0"/>
      <w:divBdr>
        <w:top w:val="none" w:sz="0" w:space="0" w:color="auto"/>
        <w:left w:val="none" w:sz="0" w:space="0" w:color="auto"/>
        <w:bottom w:val="none" w:sz="0" w:space="0" w:color="auto"/>
        <w:right w:val="none" w:sz="0" w:space="0" w:color="auto"/>
      </w:divBdr>
    </w:div>
    <w:div w:id="1973051331">
      <w:bodyDiv w:val="1"/>
      <w:marLeft w:val="0"/>
      <w:marRight w:val="0"/>
      <w:marTop w:val="0"/>
      <w:marBottom w:val="0"/>
      <w:divBdr>
        <w:top w:val="none" w:sz="0" w:space="0" w:color="auto"/>
        <w:left w:val="none" w:sz="0" w:space="0" w:color="auto"/>
        <w:bottom w:val="none" w:sz="0" w:space="0" w:color="auto"/>
        <w:right w:val="none" w:sz="0" w:space="0" w:color="auto"/>
      </w:divBdr>
      <w:divsChild>
        <w:div w:id="250899446">
          <w:marLeft w:val="0"/>
          <w:marRight w:val="0"/>
          <w:marTop w:val="0"/>
          <w:marBottom w:val="0"/>
          <w:divBdr>
            <w:top w:val="none" w:sz="0" w:space="0" w:color="auto"/>
            <w:left w:val="none" w:sz="0" w:space="0" w:color="auto"/>
            <w:bottom w:val="none" w:sz="0" w:space="0" w:color="auto"/>
            <w:right w:val="none" w:sz="0" w:space="0" w:color="auto"/>
          </w:divBdr>
        </w:div>
      </w:divsChild>
    </w:div>
    <w:div w:id="2012105317">
      <w:bodyDiv w:val="1"/>
      <w:marLeft w:val="0"/>
      <w:marRight w:val="0"/>
      <w:marTop w:val="0"/>
      <w:marBottom w:val="0"/>
      <w:divBdr>
        <w:top w:val="none" w:sz="0" w:space="0" w:color="auto"/>
        <w:left w:val="none" w:sz="0" w:space="0" w:color="auto"/>
        <w:bottom w:val="none" w:sz="0" w:space="0" w:color="auto"/>
        <w:right w:val="none" w:sz="0" w:space="0" w:color="auto"/>
      </w:divBdr>
    </w:div>
    <w:div w:id="2044862491">
      <w:bodyDiv w:val="1"/>
      <w:marLeft w:val="0"/>
      <w:marRight w:val="0"/>
      <w:marTop w:val="0"/>
      <w:marBottom w:val="0"/>
      <w:divBdr>
        <w:top w:val="none" w:sz="0" w:space="0" w:color="auto"/>
        <w:left w:val="none" w:sz="0" w:space="0" w:color="auto"/>
        <w:bottom w:val="none" w:sz="0" w:space="0" w:color="auto"/>
        <w:right w:val="none" w:sz="0" w:space="0" w:color="auto"/>
      </w:divBdr>
    </w:div>
    <w:div w:id="2046325245">
      <w:bodyDiv w:val="1"/>
      <w:marLeft w:val="0"/>
      <w:marRight w:val="0"/>
      <w:marTop w:val="0"/>
      <w:marBottom w:val="0"/>
      <w:divBdr>
        <w:top w:val="none" w:sz="0" w:space="0" w:color="auto"/>
        <w:left w:val="none" w:sz="0" w:space="0" w:color="auto"/>
        <w:bottom w:val="none" w:sz="0" w:space="0" w:color="auto"/>
        <w:right w:val="none" w:sz="0" w:space="0" w:color="auto"/>
      </w:divBdr>
    </w:div>
    <w:div w:id="2066100371">
      <w:bodyDiv w:val="1"/>
      <w:marLeft w:val="0"/>
      <w:marRight w:val="0"/>
      <w:marTop w:val="0"/>
      <w:marBottom w:val="0"/>
      <w:divBdr>
        <w:top w:val="none" w:sz="0" w:space="0" w:color="auto"/>
        <w:left w:val="none" w:sz="0" w:space="0" w:color="auto"/>
        <w:bottom w:val="none" w:sz="0" w:space="0" w:color="auto"/>
        <w:right w:val="none" w:sz="0" w:space="0" w:color="auto"/>
      </w:divBdr>
    </w:div>
    <w:div w:id="2072076472">
      <w:bodyDiv w:val="1"/>
      <w:marLeft w:val="0"/>
      <w:marRight w:val="0"/>
      <w:marTop w:val="0"/>
      <w:marBottom w:val="0"/>
      <w:divBdr>
        <w:top w:val="none" w:sz="0" w:space="0" w:color="auto"/>
        <w:left w:val="none" w:sz="0" w:space="0" w:color="auto"/>
        <w:bottom w:val="none" w:sz="0" w:space="0" w:color="auto"/>
        <w:right w:val="none" w:sz="0" w:space="0" w:color="auto"/>
      </w:divBdr>
    </w:div>
    <w:div w:id="2102483461">
      <w:bodyDiv w:val="1"/>
      <w:marLeft w:val="0"/>
      <w:marRight w:val="0"/>
      <w:marTop w:val="0"/>
      <w:marBottom w:val="0"/>
      <w:divBdr>
        <w:top w:val="none" w:sz="0" w:space="0" w:color="auto"/>
        <w:left w:val="none" w:sz="0" w:space="0" w:color="auto"/>
        <w:bottom w:val="none" w:sz="0" w:space="0" w:color="auto"/>
        <w:right w:val="none" w:sz="0" w:space="0" w:color="auto"/>
      </w:divBdr>
    </w:div>
    <w:div w:id="2106028405">
      <w:bodyDiv w:val="1"/>
      <w:marLeft w:val="0"/>
      <w:marRight w:val="0"/>
      <w:marTop w:val="0"/>
      <w:marBottom w:val="0"/>
      <w:divBdr>
        <w:top w:val="none" w:sz="0" w:space="0" w:color="auto"/>
        <w:left w:val="none" w:sz="0" w:space="0" w:color="auto"/>
        <w:bottom w:val="none" w:sz="0" w:space="0" w:color="auto"/>
        <w:right w:val="none" w:sz="0" w:space="0" w:color="auto"/>
      </w:divBdr>
    </w:div>
    <w:div w:id="2119793409">
      <w:bodyDiv w:val="1"/>
      <w:marLeft w:val="0"/>
      <w:marRight w:val="0"/>
      <w:marTop w:val="0"/>
      <w:marBottom w:val="0"/>
      <w:divBdr>
        <w:top w:val="none" w:sz="0" w:space="0" w:color="auto"/>
        <w:left w:val="none" w:sz="0" w:space="0" w:color="auto"/>
        <w:bottom w:val="none" w:sz="0" w:space="0" w:color="auto"/>
        <w:right w:val="none" w:sz="0" w:space="0" w:color="auto"/>
      </w:divBdr>
    </w:div>
    <w:div w:id="21455850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hyperlink" Target="https://www.retobienesraices.mx/project/entrearboles/" TargetMode="Externa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5.png"/><Relationship Id="rId28" Type="http://schemas.openxmlformats.org/officeDocument/2006/relationships/footer" Target="footer2.xml"/><Relationship Id="rId10" Type="http://schemas.openxmlformats.org/officeDocument/2006/relationships/image" Target="media/image3.emf"/><Relationship Id="rId1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4.png"/><Relationship Id="rId27" Type="http://schemas.openxmlformats.org/officeDocument/2006/relationships/header" Target="header2.xml"/><Relationship Id="rId30"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BE6A15-311D-4FAA-AF77-43C374134A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41</Pages>
  <Words>7806</Words>
  <Characters>42937</Characters>
  <Application>Microsoft Office Word</Application>
  <DocSecurity>0</DocSecurity>
  <Lines>357</Lines>
  <Paragraphs>101</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50642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INFOEM</dc:creator>
  <cp:keywords/>
  <dc:description/>
  <cp:lastModifiedBy>USUARIO</cp:lastModifiedBy>
  <cp:revision>2</cp:revision>
  <cp:lastPrinted>2019-07-01T22:34:00Z</cp:lastPrinted>
  <dcterms:created xsi:type="dcterms:W3CDTF">2019-08-23T17:33:00Z</dcterms:created>
  <dcterms:modified xsi:type="dcterms:W3CDTF">2019-08-23T17:33:00Z</dcterms:modified>
</cp:coreProperties>
</file>