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67141E">
        <w:rPr>
          <w:rFonts w:ascii="Palatino Linotype" w:hAnsi="Palatino Linotype" w:cs="Arial"/>
          <w:color w:val="000000"/>
          <w:lang w:eastAsia="es-MX"/>
        </w:rPr>
        <w:t>veintiocho de agosto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835D9D">
        <w:rPr>
          <w:rFonts w:ascii="Palatino Linotype" w:hAnsi="Palatino Linotype" w:cs="Arial"/>
          <w:b/>
        </w:rPr>
        <w:t>5350</w:t>
      </w:r>
      <w:r w:rsidRPr="000272B4">
        <w:rPr>
          <w:rFonts w:ascii="Palatino Linotype" w:hAnsi="Palatino Linotype" w:cs="Arial"/>
          <w:b/>
        </w:rPr>
        <w:t>/INFOEM/IP/RR/2019</w:t>
      </w:r>
      <w:r w:rsidRPr="000272B4">
        <w:rPr>
          <w:rFonts w:ascii="Palatino Linotype" w:hAnsi="Palatino Linotype" w:cs="Arial"/>
        </w:rPr>
        <w:t>, interpuesto por</w:t>
      </w:r>
      <w:r w:rsidR="00835D9D">
        <w:rPr>
          <w:rFonts w:ascii="Palatino Linotype" w:hAnsi="Palatino Linotype" w:cs="Arial"/>
        </w:rPr>
        <w:t xml:space="preserve"> el </w:t>
      </w:r>
      <w:r w:rsidR="00E40810">
        <w:rPr>
          <w:rFonts w:ascii="Palatino Linotype" w:hAnsi="Palatino Linotype"/>
          <w:b/>
          <w:lang w:val="es-ES_tradnl"/>
        </w:rPr>
        <w:t>C.</w:t>
      </w:r>
      <w:r w:rsidR="00835D9D">
        <w:rPr>
          <w:rFonts w:ascii="Palatino Linotype" w:hAnsi="Palatino Linotype"/>
          <w:b/>
          <w:lang w:val="es-ES_tradnl"/>
        </w:rPr>
        <w:t xml:space="preserve"> </w:t>
      </w:r>
      <w:r w:rsidR="00095CB8">
        <w:rPr>
          <w:rFonts w:ascii="Palatino Linotype" w:hAnsi="Palatino Linotype"/>
          <w:b/>
          <w:sz w:val="22"/>
          <w:szCs w:val="22"/>
          <w:lang w:val="es-ES_tradnl"/>
        </w:rPr>
        <w:t>xxxxxxxxxxxxxxxxxxxxxxxxxxxx</w:t>
      </w:r>
      <w:r w:rsidR="00835D9D">
        <w:rPr>
          <w:rFonts w:ascii="Palatino Linotype" w:hAnsi="Palatino Linotype"/>
          <w:b/>
          <w:sz w:val="22"/>
          <w:szCs w:val="22"/>
          <w:lang w:val="es-ES_tradnl"/>
        </w:rPr>
        <w:t xml:space="preserve"> </w:t>
      </w:r>
      <w:r w:rsidR="00095CB8">
        <w:rPr>
          <w:rFonts w:ascii="Palatino Linotype" w:hAnsi="Palatino Linotype"/>
          <w:b/>
          <w:sz w:val="22"/>
          <w:szCs w:val="22"/>
          <w:lang w:val="es-ES_tradnl"/>
        </w:rPr>
        <w:t>xxxxxxxxxx</w:t>
      </w:r>
      <w:bookmarkStart w:id="0" w:name="_GoBack"/>
      <w:bookmarkEnd w:id="0"/>
      <w:r w:rsidR="00835D9D">
        <w:rPr>
          <w:rFonts w:ascii="Palatino Linotype" w:hAnsi="Palatino Linotype"/>
          <w:b/>
          <w:lang w:val="es-ES_tradnl"/>
        </w:rPr>
        <w:t xml:space="preserve"> </w:t>
      </w:r>
      <w:r w:rsidRPr="000272B4">
        <w:rPr>
          <w:rFonts w:ascii="Palatino Linotype" w:hAnsi="Palatino Linotype" w:cs="Arial"/>
        </w:rPr>
        <w:t>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835D9D" w:rsidRPr="00835D9D">
        <w:rPr>
          <w:rFonts w:ascii="Palatino Linotype" w:hAnsi="Palatino Linotype" w:cs="Arial"/>
          <w:b/>
        </w:rPr>
        <w:t>Tribunal Estatal de Conciliación y Arbitraje</w:t>
      </w:r>
      <w:r w:rsidRPr="00945A70">
        <w:rPr>
          <w:rFonts w:ascii="Palatino Linotype" w:hAnsi="Palatino Linotype" w:cs="Arial"/>
        </w:rPr>
        <w:t xml:space="preserve">, </w:t>
      </w:r>
      <w:r w:rsidRPr="000272B4">
        <w:rPr>
          <w:rFonts w:ascii="Palatino Linotype" w:hAnsi="Palatino Linotype" w:cs="Arial"/>
        </w:rPr>
        <w:t xml:space="preserve">en lo sucesivo el </w:t>
      </w:r>
      <w:r w:rsidRPr="00835D9D">
        <w:rPr>
          <w:rFonts w:ascii="Palatino Linotype" w:hAnsi="Palatino Linotype" w:cs="Arial"/>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6137E5">
        <w:rPr>
          <w:rFonts w:ascii="Palatino Linotype" w:hAnsi="Palatino Linotype" w:cs="Arial"/>
          <w:b/>
        </w:rPr>
        <w:t xml:space="preserve">veintidós </w:t>
      </w:r>
      <w:r w:rsidRPr="000272B4">
        <w:rPr>
          <w:rFonts w:ascii="Palatino Linotype" w:hAnsi="Palatino Linotype" w:cs="Arial"/>
          <w:b/>
        </w:rPr>
        <w:t xml:space="preserve">de </w:t>
      </w:r>
      <w:r w:rsidR="005F1AE1">
        <w:rPr>
          <w:rFonts w:ascii="Palatino Linotype" w:hAnsi="Palatino Linotype" w:cs="Arial"/>
          <w:b/>
        </w:rPr>
        <w:t>ma</w:t>
      </w:r>
      <w:r w:rsidR="00E92A81">
        <w:rPr>
          <w:rFonts w:ascii="Palatino Linotype" w:hAnsi="Palatino Linotype" w:cs="Arial"/>
          <w:b/>
        </w:rPr>
        <w:t>y</w:t>
      </w:r>
      <w:r w:rsidR="005F1AE1">
        <w:rPr>
          <w:rFonts w:ascii="Palatino Linotype" w:hAnsi="Palatino Linotype" w:cs="Arial"/>
          <w:b/>
        </w:rPr>
        <w: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E92A81" w:rsidRPr="00E92A81">
        <w:rPr>
          <w:rFonts w:ascii="Palatino Linotype" w:hAnsi="Palatino Linotype" w:cs="Arial"/>
          <w:b/>
        </w:rPr>
        <w:t>0</w:t>
      </w:r>
      <w:r w:rsidR="006137E5">
        <w:rPr>
          <w:rFonts w:ascii="Palatino Linotype" w:hAnsi="Palatino Linotype" w:cs="Arial"/>
          <w:b/>
        </w:rPr>
        <w:t>0</w:t>
      </w:r>
      <w:r w:rsidR="00E92A81" w:rsidRPr="00E92A81">
        <w:rPr>
          <w:rFonts w:ascii="Palatino Linotype" w:hAnsi="Palatino Linotype" w:cs="Arial"/>
          <w:b/>
        </w:rPr>
        <w:t>04</w:t>
      </w:r>
      <w:r w:rsidR="006137E5">
        <w:rPr>
          <w:rFonts w:ascii="Palatino Linotype" w:hAnsi="Palatino Linotype" w:cs="Arial"/>
          <w:b/>
        </w:rPr>
        <w:t>4</w:t>
      </w:r>
      <w:r w:rsidR="005F1AE1" w:rsidRPr="005F1AE1">
        <w:rPr>
          <w:rFonts w:ascii="Palatino Linotype" w:hAnsi="Palatino Linotype" w:cs="Arial"/>
          <w:b/>
        </w:rPr>
        <w:t>/</w:t>
      </w:r>
      <w:r w:rsidR="006137E5">
        <w:rPr>
          <w:rFonts w:ascii="Palatino Linotype" w:hAnsi="Palatino Linotype" w:cs="Arial"/>
          <w:b/>
        </w:rPr>
        <w:t>TRIECA</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BA5C84">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9F13D3" w:rsidRPr="009F13D3">
        <w:rPr>
          <w:rFonts w:ascii="Palatino Linotype" w:hAnsi="Palatino Linotype" w:cs="Arial"/>
          <w:i/>
          <w:lang w:eastAsia="es-MX"/>
        </w:rPr>
        <w:t>De acuerdo al los artículos 365 y 365 Bis de la Ley Federal del Trabajo, solicito el Acta del Consejo Estatal Ordinario del Sindicato de maestros al servicio del estado de México 2018, la cual fue depositada</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113E45" w:rsidRPr="005F1AE1">
        <w:rPr>
          <w:rFonts w:ascii="Palatino Linotype" w:hAnsi="Palatino Linotype" w:cs="Arial"/>
        </w:rPr>
        <w:t>A través de SAIMEX</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127DBF" w:rsidP="00113E45">
      <w:pPr>
        <w:spacing w:line="360" w:lineRule="auto"/>
        <w:jc w:val="both"/>
        <w:rPr>
          <w:rFonts w:ascii="Palatino Linotype" w:hAnsi="Palatino Linotype" w:cs="Arial"/>
          <w:lang w:val="es-ES_tradnl"/>
        </w:rPr>
      </w:pPr>
      <w:r>
        <w:rPr>
          <w:rFonts w:ascii="Palatino Linotype" w:hAnsi="Palatino Linotype" w:cs="Arial"/>
        </w:rPr>
        <w:t xml:space="preserve">Por </w:t>
      </w:r>
      <w:r w:rsidR="00605643">
        <w:rPr>
          <w:rFonts w:ascii="Palatino Linotype" w:hAnsi="Palatino Linotype" w:cs="Arial"/>
        </w:rPr>
        <w:t>lo que en fecha</w:t>
      </w:r>
      <w:r w:rsidR="007A69F7">
        <w:rPr>
          <w:rFonts w:ascii="Palatino Linotype" w:hAnsi="Palatino Linotype" w:cs="Arial"/>
        </w:rPr>
        <w:t xml:space="preserve"> </w:t>
      </w:r>
      <w:r w:rsidR="008E4077">
        <w:rPr>
          <w:rFonts w:ascii="Palatino Linotype" w:hAnsi="Palatino Linotype" w:cs="Arial"/>
        </w:rPr>
        <w:t>trece</w:t>
      </w:r>
      <w:r w:rsidR="001B6A97">
        <w:rPr>
          <w:rFonts w:ascii="Palatino Linotype" w:hAnsi="Palatino Linotype" w:cs="Arial"/>
        </w:rPr>
        <w:t xml:space="preserve"> de mayo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113E45" w:rsidRPr="00FF28B0" w:rsidRDefault="00113E45" w:rsidP="00D70568">
      <w:pPr>
        <w:ind w:left="851" w:right="616"/>
        <w:jc w:val="both"/>
        <w:rPr>
          <w:rFonts w:ascii="Palatino Linotype" w:hAnsi="Palatino Linotype"/>
          <w:i/>
        </w:rPr>
      </w:pPr>
      <w:r w:rsidRPr="000272B4">
        <w:rPr>
          <w:rFonts w:ascii="Palatino Linotype" w:hAnsi="Palatino Linotype"/>
          <w:i/>
        </w:rPr>
        <w:t>“</w:t>
      </w:r>
      <w:r w:rsidR="00D70568" w:rsidRPr="00D70568">
        <w:rPr>
          <w:rFonts w:ascii="Palatino Linotype" w:hAnsi="Palatino Linotype"/>
          <w:i/>
        </w:rPr>
        <w:t>Estimado solicitante: respecto a su solicitud : 00044/TRIECA/IP/2019 donde usted solicita "De acuerdo al los artículos 365 y 365 Bis de la Ley Federal del Trabajo, solicito el Acta del Consejo Estatal Ordinario del Sindicato de maestros al servicio del estado de México 2018, la cual fue depositada."Después de realizar una búsqueda exhaustiva, minuciosa y detallada en el expediente que corresponde al registro sindical del gremio denominado Sindicato de Maestros al Servicio del Estado de México, no se encontró depósito o constancia alguna relativa a documentos con la denominación de “Acta del Congreso Ordinario del Sindicato de Maestros al Servicio del Estado de México 2018”. Reciba usted un cordial saludo</w:t>
      </w:r>
      <w:r w:rsidR="008E4077" w:rsidRPr="008E4077">
        <w:rPr>
          <w:rFonts w:ascii="Palatino Linotype" w:hAnsi="Palatino Linotype"/>
          <w:i/>
        </w:rPr>
        <w:t>.</w:t>
      </w:r>
      <w:r w:rsidR="005B2607">
        <w:rPr>
          <w:rFonts w:ascii="Palatino Linotype" w:hAnsi="Palatino Linotype"/>
          <w:i/>
        </w:rPr>
        <w:t>” (SIC)</w:t>
      </w:r>
    </w:p>
    <w:p w:rsidR="00113E45" w:rsidRPr="000272B4" w:rsidRDefault="00113E45" w:rsidP="00113E45">
      <w:pPr>
        <w:spacing w:line="360" w:lineRule="auto"/>
        <w:jc w:val="both"/>
        <w:rPr>
          <w:rFonts w:ascii="Palatino Linotype" w:hAnsi="Palatino Linotype" w:cs="Arial"/>
          <w:lang w:val="es-ES_tradn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del recurso de revisión. </w:t>
      </w:r>
    </w:p>
    <w:p w:rsidR="00E55515" w:rsidRDefault="00113E45" w:rsidP="00353A12">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E55515">
        <w:rPr>
          <w:rFonts w:ascii="Palatino Linotype" w:hAnsi="Palatino Linotype" w:cs="Arial"/>
          <w:b/>
        </w:rPr>
        <w:t>doce</w:t>
      </w:r>
      <w:r w:rsidR="001853B9">
        <w:rPr>
          <w:rFonts w:ascii="Palatino Linotype" w:hAnsi="Palatino Linotype" w:cs="Arial"/>
          <w:b/>
        </w:rPr>
        <w:t xml:space="preserve"> </w:t>
      </w:r>
      <w:r w:rsidRPr="000272B4">
        <w:rPr>
          <w:rFonts w:ascii="Palatino Linotype" w:hAnsi="Palatino Linotype" w:cs="Arial"/>
          <w:b/>
        </w:rPr>
        <w:t xml:space="preserve">de </w:t>
      </w:r>
      <w:r w:rsidR="00E55515">
        <w:rPr>
          <w:rFonts w:ascii="Palatino Linotype" w:hAnsi="Palatino Linotype" w:cs="Arial"/>
          <w:b/>
        </w:rPr>
        <w:t>junio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w:t>
      </w:r>
      <w:r w:rsidR="004E7F0D">
        <w:rPr>
          <w:rFonts w:ascii="Palatino Linotype" w:hAnsi="Palatino Linotype" w:cs="Arial"/>
        </w:rPr>
        <w:t xml:space="preserve">: </w:t>
      </w:r>
      <w:r w:rsidR="004E7F0D" w:rsidRPr="00E55515">
        <w:rPr>
          <w:rFonts w:ascii="Palatino Linotype" w:hAnsi="Palatino Linotype"/>
          <w:i/>
        </w:rPr>
        <w:t>“</w:t>
      </w:r>
      <w:r w:rsidR="00E55515" w:rsidRPr="00E55515">
        <w:rPr>
          <w:rFonts w:ascii="Palatino Linotype" w:hAnsi="Palatino Linotype"/>
          <w:i/>
        </w:rPr>
        <w:t>No entrega información que de acuerdo a normalidades le corresponde almacenar</w:t>
      </w:r>
      <w:r w:rsidR="004E7F0D" w:rsidRPr="00E55515">
        <w:rPr>
          <w:rFonts w:ascii="Palatino Linotype" w:hAnsi="Palatino Linotype"/>
          <w:i/>
        </w:rPr>
        <w:t>”,</w:t>
      </w:r>
      <w:r w:rsidRPr="00E55515">
        <w:rPr>
          <w:rFonts w:ascii="Palatino Linotype" w:hAnsi="Palatino Linotype"/>
          <w:i/>
        </w:rPr>
        <w:t xml:space="preserve"> </w:t>
      </w:r>
      <w:r w:rsidR="00E55515" w:rsidRPr="00E55515">
        <w:rPr>
          <w:rFonts w:ascii="Palatino Linotype" w:hAnsi="Palatino Linotype"/>
        </w:rPr>
        <w:t xml:space="preserve">y </w:t>
      </w:r>
      <w:r w:rsidR="004E7F0D">
        <w:rPr>
          <w:rFonts w:ascii="Palatino Linotype" w:hAnsi="Palatino Linotype" w:cs="Arial"/>
        </w:rPr>
        <w:t>como</w:t>
      </w:r>
      <w:r w:rsidRPr="000272B4">
        <w:rPr>
          <w:rFonts w:ascii="Palatino Linotype" w:hAnsi="Palatino Linotype" w:cs="Arial"/>
        </w:rPr>
        <w:t xml:space="preserve"> razones o motivos </w:t>
      </w:r>
      <w:r w:rsidR="00E55515">
        <w:rPr>
          <w:rFonts w:ascii="Palatino Linotype" w:hAnsi="Palatino Linotype" w:cs="Arial"/>
        </w:rPr>
        <w:t>de inconformidad los siguientes:</w:t>
      </w:r>
    </w:p>
    <w:p w:rsidR="00E55515" w:rsidRDefault="00E55515" w:rsidP="00353A12">
      <w:pPr>
        <w:spacing w:line="360" w:lineRule="auto"/>
        <w:ind w:right="49"/>
        <w:jc w:val="both"/>
        <w:rPr>
          <w:rFonts w:ascii="Palatino Linotype" w:hAnsi="Palatino Linotype" w:cs="Arial"/>
        </w:rPr>
      </w:pPr>
    </w:p>
    <w:p w:rsidR="00643F34" w:rsidRPr="00E55515" w:rsidRDefault="00E55515" w:rsidP="00E55515">
      <w:pPr>
        <w:ind w:left="851" w:right="616"/>
        <w:jc w:val="both"/>
        <w:rPr>
          <w:rFonts w:ascii="Palatino Linotype" w:hAnsi="Palatino Linotype"/>
          <w:i/>
        </w:rPr>
      </w:pPr>
      <w:r>
        <w:rPr>
          <w:rFonts w:ascii="Palatino Linotype" w:hAnsi="Palatino Linotype"/>
          <w:i/>
        </w:rPr>
        <w:t>“</w:t>
      </w:r>
      <w:r w:rsidRPr="00E55515">
        <w:rPr>
          <w:rFonts w:ascii="Palatino Linotype" w:hAnsi="Palatino Linotype"/>
          <w:i/>
        </w:rPr>
        <w:t xml:space="preserve">De acuerdo al articulo 365 y 365 Bis de la Ley Federal del Trabajo, 141 de la Ley del Trabajo de los Servidores Públicos del Estado de México: ARTÍCULO 141. Los sindicatos deberán ser registrados ante el Tribunal, para cuyo efecto entregarán a éste, por duplicado, los siguientes documentos: I. Acta de la asamblea constitutiva o copia de ella; II. Estatutos del sindicato; III. Lista de </w:t>
      </w:r>
      <w:r w:rsidRPr="00E55515">
        <w:rPr>
          <w:rFonts w:ascii="Palatino Linotype" w:hAnsi="Palatino Linotype"/>
          <w:i/>
        </w:rPr>
        <w:lastRenderedPageBreak/>
        <w:t>miembros en servicio activo que lo integran,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 IV. Acta de la sesión en que se haya elegido la directiva o copia autorizada de aquélla. V. Constituirse por lo menos con 20 trabajadores en servicio activo. El Tribunal al recibir la solicitud de registro constatará, por los medios legales que los documentos precisados en las fracciones anteriores, cuenten con los registros y formalidades que establece esta ley, para proceder, en su caso, al registro. Tomando en consideración estos artículos y fracciones el tribunal tiene la responsabilidad de contar con el documento (acta del consejo estatal ordinario 2018), en la que consten los nombres de la directiva del comité ejecutivo estatal 2018-2021</w:t>
      </w:r>
      <w:r>
        <w:rPr>
          <w:rFonts w:ascii="Palatino Linotype" w:hAnsi="Palatino Linotype"/>
          <w:i/>
        </w:rPr>
        <w:t>.” (sic)</w:t>
      </w:r>
    </w:p>
    <w:p w:rsidR="00E55515" w:rsidRDefault="00E55515" w:rsidP="00353A12">
      <w:pPr>
        <w:spacing w:line="360" w:lineRule="auto"/>
        <w:ind w:right="49"/>
        <w:jc w:val="both"/>
        <w:rPr>
          <w:rFonts w:ascii="Palatino Linotype" w:hAnsi="Palatino Linotype" w:cs="Arial"/>
          <w:b/>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36603B">
        <w:rPr>
          <w:rFonts w:ascii="Palatino Linotype" w:hAnsi="Palatino Linotype" w:cs="Arial"/>
        </w:rPr>
        <w:t xml:space="preserve">dieciséis </w:t>
      </w:r>
      <w:r>
        <w:rPr>
          <w:rFonts w:ascii="Palatino Linotype" w:hAnsi="Palatino Linotype" w:cs="Arial"/>
        </w:rPr>
        <w:t xml:space="preserve">de </w:t>
      </w:r>
      <w:r w:rsidR="00FB31E0">
        <w:rPr>
          <w:rFonts w:ascii="Palatino Linotype" w:hAnsi="Palatino Linotype" w:cs="Arial"/>
        </w:rPr>
        <w:t>mayo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E55515">
        <w:rPr>
          <w:rFonts w:ascii="Palatino Linotype" w:hAnsi="Palatino Linotype" w:cs="Arial"/>
        </w:rPr>
        <w:t>dieciocho</w:t>
      </w:r>
      <w:r w:rsidR="0036603B">
        <w:rPr>
          <w:rFonts w:ascii="Palatino Linotype" w:hAnsi="Palatino Linotype" w:cs="Arial"/>
        </w:rPr>
        <w:t xml:space="preserve"> </w:t>
      </w:r>
      <w:r w:rsidRPr="00612F90">
        <w:rPr>
          <w:rFonts w:ascii="Palatino Linotype" w:hAnsi="Palatino Linotype" w:cs="Arial"/>
        </w:rPr>
        <w:t xml:space="preserve">de </w:t>
      </w:r>
      <w:r w:rsidR="00E55515">
        <w:rPr>
          <w:rFonts w:ascii="Palatino Linotype" w:hAnsi="Palatino Linotype" w:cs="Arial"/>
        </w:rPr>
        <w:t>junio</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 la impugnación, determinándose en </w:t>
      </w:r>
      <w:r w:rsidRPr="00612F90">
        <w:rPr>
          <w:rFonts w:ascii="Palatino Linotype" w:hAnsi="Palatino Linotype" w:cs="Arial"/>
        </w:rPr>
        <w:lastRenderedPageBreak/>
        <w:t>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Pr="000272B4" w:rsidRDefault="00113E45" w:rsidP="00E11432">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 xml:space="preserve">SUJETO OBLIGADO </w:t>
      </w:r>
      <w:r w:rsidR="00CE2898" w:rsidRPr="00CE2898">
        <w:rPr>
          <w:rFonts w:ascii="Palatino Linotype" w:hAnsi="Palatino Linotype" w:cs="Arial"/>
        </w:rPr>
        <w:t xml:space="preserve">adjuntó </w:t>
      </w:r>
      <w:r w:rsidR="00E55515">
        <w:rPr>
          <w:rFonts w:ascii="Palatino Linotype" w:hAnsi="Palatino Linotype" w:cs="Arial"/>
        </w:rPr>
        <w:t>dos</w:t>
      </w:r>
      <w:r w:rsidR="00CE2898" w:rsidRPr="00CE2898">
        <w:rPr>
          <w:rFonts w:ascii="Palatino Linotype" w:hAnsi="Palatino Linotype" w:cs="Arial"/>
        </w:rPr>
        <w:t xml:space="preserve"> archivos electrónicos</w:t>
      </w:r>
      <w:r w:rsidR="0036603B">
        <w:rPr>
          <w:rFonts w:ascii="Palatino Linotype" w:hAnsi="Palatino Linotype" w:cs="Arial"/>
        </w:rPr>
        <w:t xml:space="preserve"> en formato PDF</w:t>
      </w:r>
      <w:r w:rsidR="00CE2898">
        <w:rPr>
          <w:rFonts w:ascii="Palatino Linotype" w:hAnsi="Palatino Linotype" w:cs="Arial"/>
        </w:rPr>
        <w:t xml:space="preserve">, </w:t>
      </w:r>
      <w:r w:rsidR="00E11432">
        <w:rPr>
          <w:rFonts w:ascii="Palatino Linotype" w:hAnsi="Palatino Linotype" w:cs="Arial"/>
        </w:rPr>
        <w:t xml:space="preserve">los cuales </w:t>
      </w:r>
      <w:r w:rsidR="00831913">
        <w:rPr>
          <w:rFonts w:ascii="Palatino Linotype" w:hAnsi="Palatino Linotype" w:cs="Arial"/>
        </w:rPr>
        <w:t>se pus</w:t>
      </w:r>
      <w:r w:rsidR="00E11432">
        <w:rPr>
          <w:rFonts w:ascii="Palatino Linotype" w:hAnsi="Palatino Linotype" w:cs="Arial"/>
        </w:rPr>
        <w:t>ieron</w:t>
      </w:r>
      <w:r w:rsidR="00831913">
        <w:rPr>
          <w:rFonts w:ascii="Palatino Linotype" w:hAnsi="Palatino Linotype" w:cs="Arial"/>
        </w:rPr>
        <w:t xml:space="preserve"> a la vista el </w:t>
      </w:r>
      <w:r w:rsidR="00E55515">
        <w:rPr>
          <w:rFonts w:ascii="Palatino Linotype" w:hAnsi="Palatino Linotype" w:cs="Arial"/>
        </w:rPr>
        <w:t>primero</w:t>
      </w:r>
      <w:r w:rsidR="00831913">
        <w:rPr>
          <w:rFonts w:ascii="Palatino Linotype" w:hAnsi="Palatino Linotype" w:cs="Arial"/>
        </w:rPr>
        <w:t xml:space="preserve"> de </w:t>
      </w:r>
      <w:r w:rsidR="0036603B">
        <w:rPr>
          <w:rFonts w:ascii="Palatino Linotype" w:hAnsi="Palatino Linotype" w:cs="Arial"/>
        </w:rPr>
        <w:t>ju</w:t>
      </w:r>
      <w:r w:rsidR="00E55515">
        <w:rPr>
          <w:rFonts w:ascii="Palatino Linotype" w:hAnsi="Palatino Linotype" w:cs="Arial"/>
        </w:rPr>
        <w:t>l</w:t>
      </w:r>
      <w:r w:rsidR="0036603B">
        <w:rPr>
          <w:rFonts w:ascii="Palatino Linotype" w:hAnsi="Palatino Linotype" w:cs="Arial"/>
        </w:rPr>
        <w:t>io</w:t>
      </w:r>
      <w:r w:rsidR="00831913">
        <w:rPr>
          <w:rFonts w:ascii="Palatino Linotype" w:hAnsi="Palatino Linotype" w:cs="Arial"/>
        </w:rPr>
        <w:t xml:space="preserve"> de dos mil diecinueve</w:t>
      </w:r>
      <w:r w:rsidR="002B3695">
        <w:rPr>
          <w:rFonts w:ascii="Palatino Linotype" w:hAnsi="Palatino Linotype" w:cs="Arial"/>
        </w:rPr>
        <w:t xml:space="preserve"> a efecto de que el hoy recurrente emitiera las manifestaciones que considerara pertinentes</w:t>
      </w:r>
      <w:r w:rsidR="00831913">
        <w:rPr>
          <w:rFonts w:ascii="Palatino Linotype" w:hAnsi="Palatino Linotype" w:cs="Arial"/>
        </w:rPr>
        <w:t>,</w:t>
      </w:r>
      <w:r w:rsidR="0098772F">
        <w:rPr>
          <w:rFonts w:ascii="Palatino Linotype" w:hAnsi="Palatino Linotype" w:cs="Arial"/>
        </w:rPr>
        <w:t xml:space="preserve"> por su lado </w:t>
      </w:r>
      <w:r w:rsidRPr="000272B4">
        <w:rPr>
          <w:rFonts w:ascii="Palatino Linotype" w:hAnsi="Palatino Linotype" w:cs="Arial"/>
          <w:b/>
        </w:rPr>
        <w:t>la parte RECURRENTE</w:t>
      </w:r>
      <w:r w:rsidRPr="000272B4">
        <w:rPr>
          <w:rFonts w:ascii="Palatino Linotype" w:hAnsi="Palatino Linotype" w:cs="Arial"/>
        </w:rPr>
        <w:t xml:space="preserve"> </w:t>
      </w:r>
      <w:r w:rsidR="0036603B">
        <w:rPr>
          <w:rFonts w:ascii="Palatino Linotype" w:hAnsi="Palatino Linotype" w:cs="Arial"/>
        </w:rPr>
        <w:t xml:space="preserve">no </w:t>
      </w:r>
      <w:r w:rsidR="00E11432">
        <w:rPr>
          <w:rFonts w:ascii="Palatino Linotype" w:hAnsi="Palatino Linotype" w:cs="Arial"/>
        </w:rPr>
        <w:t xml:space="preserve">presentó </w:t>
      </w:r>
      <w:r w:rsidR="0036603B">
        <w:rPr>
          <w:rFonts w:ascii="Palatino Linotype" w:hAnsi="Palatino Linotype" w:cs="Arial"/>
        </w:rPr>
        <w:t xml:space="preserve">manifestación alguna, ni exhibió pruebas ni los alegatos </w:t>
      </w:r>
      <w:r w:rsidRPr="000272B4">
        <w:rPr>
          <w:rFonts w:ascii="Palatino Linotype" w:hAnsi="Palatino Linotype" w:cs="Arial"/>
        </w:rPr>
        <w:t>que estimará convenientes, en el plazo establecido para tal efecto</w:t>
      </w:r>
      <w:r w:rsidR="0098772F">
        <w:rPr>
          <w:rFonts w:ascii="Palatino Linotype" w:hAnsi="Palatino Linotype" w:cs="Arial"/>
        </w:rPr>
        <w:t>.</w:t>
      </w:r>
    </w:p>
    <w:p w:rsidR="00FE3D0E" w:rsidRPr="00B975F4" w:rsidRDefault="00FE3D0E" w:rsidP="00B975F4">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E55515">
        <w:rPr>
          <w:rFonts w:ascii="Palatino Linotype" w:hAnsi="Palatino Linotype" w:cs="Arial"/>
        </w:rPr>
        <w:t>cinco</w:t>
      </w:r>
      <w:r w:rsidR="00D61AC4">
        <w:rPr>
          <w:rFonts w:ascii="Palatino Linotype" w:hAnsi="Palatino Linotype" w:cs="Arial"/>
        </w:rPr>
        <w:t xml:space="preserve"> </w:t>
      </w:r>
      <w:r w:rsidRPr="00311506">
        <w:rPr>
          <w:rFonts w:ascii="Palatino Linotype" w:hAnsi="Palatino Linotype" w:cs="Arial"/>
        </w:rPr>
        <w:t xml:space="preserve">de </w:t>
      </w:r>
      <w:r w:rsidR="00316F4C">
        <w:rPr>
          <w:rFonts w:ascii="Palatino Linotype" w:hAnsi="Palatino Linotype" w:cs="Arial"/>
        </w:rPr>
        <w:t>ju</w:t>
      </w:r>
      <w:r w:rsidR="00E55515">
        <w:rPr>
          <w:rFonts w:ascii="Palatino Linotype" w:hAnsi="Palatino Linotype" w:cs="Arial"/>
        </w:rPr>
        <w:t>l</w:t>
      </w:r>
      <w:r w:rsidR="00316F4C">
        <w:rPr>
          <w:rFonts w:ascii="Palatino Linotype" w:hAnsi="Palatino Linotype" w:cs="Arial"/>
        </w:rPr>
        <w:t>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D61AC4">
        <w:rPr>
          <w:rFonts w:ascii="Palatino Linotype" w:hAnsi="Palatino Linotype" w:cs="Arial"/>
        </w:rPr>
        <w:t xml:space="preserve"> y</w:t>
      </w:r>
      <w:r w:rsidR="00B975F4">
        <w:rPr>
          <w:rFonts w:ascii="Palatino Linotype" w:hAnsi="Palatino Linotype" w:cs="Arial"/>
        </w:rPr>
        <w:t xml:space="preserve"> en fecha </w:t>
      </w:r>
      <w:r w:rsidR="00D61AC4">
        <w:rPr>
          <w:rFonts w:ascii="Palatino Linotype" w:hAnsi="Palatino Linotype" w:cs="Arial"/>
        </w:rPr>
        <w:t>tre</w:t>
      </w:r>
      <w:r w:rsidR="00E55515">
        <w:rPr>
          <w:rFonts w:ascii="Palatino Linotype" w:hAnsi="Palatino Linotype" w:cs="Arial"/>
        </w:rPr>
        <w:t>ce</w:t>
      </w:r>
      <w:r w:rsidR="00040D90">
        <w:rPr>
          <w:rFonts w:ascii="Palatino Linotype" w:hAnsi="Palatino Linotype" w:cs="Arial"/>
        </w:rPr>
        <w:t xml:space="preserve"> </w:t>
      </w:r>
      <w:r w:rsidR="00B975F4">
        <w:rPr>
          <w:rFonts w:ascii="Palatino Linotype" w:hAnsi="Palatino Linotype" w:cs="Arial"/>
        </w:rPr>
        <w:t xml:space="preserve">de </w:t>
      </w:r>
      <w:r w:rsidR="00E55515">
        <w:rPr>
          <w:rFonts w:ascii="Palatino Linotype" w:hAnsi="Palatino Linotype" w:cs="Arial"/>
        </w:rPr>
        <w:t>agosto</w:t>
      </w:r>
      <w:r w:rsidR="00B975F4">
        <w:rPr>
          <w:rFonts w:ascii="Palatino Linotype" w:hAnsi="Palatino Linotype" w:cs="Arial"/>
        </w:rPr>
        <w:t xml:space="preserve"> de dos mil diecinueve, se ordenó ampliar el término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752D08" w:rsidRPr="000272B4" w:rsidRDefault="00752D08" w:rsidP="00752D08">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752D08" w:rsidRPr="000272B4" w:rsidRDefault="00752D08" w:rsidP="00752D08">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w:t>
      </w:r>
      <w:r w:rsidRPr="000272B4">
        <w:rPr>
          <w:rFonts w:ascii="Palatino Linotype" w:hAnsi="Palatino Linotype"/>
          <w:shd w:val="clear" w:color="auto" w:fill="FFFFFF"/>
        </w:rPr>
        <w:lastRenderedPageBreak/>
        <w:t>resolver el presente recurso de revisión interpuesto por la parte RECURRENTE, conforme a lo dispuesto en los artículos 6, apartado A de la Constitución Política de los Estados Unidos Mexicanos; 5, párrafos vigésimo</w:t>
      </w:r>
      <w:r w:rsidR="00E2201D">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E2201D">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E2201D">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752D08" w:rsidRPr="000272B4" w:rsidRDefault="00752D08" w:rsidP="00752D08">
      <w:pPr>
        <w:spacing w:line="360" w:lineRule="auto"/>
        <w:jc w:val="both"/>
        <w:rPr>
          <w:rFonts w:ascii="Palatino Linotype" w:hAnsi="Palatino Linotype"/>
          <w:shd w:val="clear" w:color="auto" w:fill="FFFFFF"/>
        </w:rPr>
      </w:pP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p>
    <w:p w:rsidR="00752D08" w:rsidRDefault="00752D08" w:rsidP="00752D08">
      <w:pPr>
        <w:autoSpaceDE w:val="0"/>
        <w:autoSpaceDN w:val="0"/>
        <w:adjustRightInd w:val="0"/>
        <w:spacing w:line="360" w:lineRule="auto"/>
        <w:jc w:val="both"/>
        <w:rPr>
          <w:rFonts w:ascii="Palatino Linotype" w:hAnsi="Palatino Linotype" w:cs="Arial"/>
          <w:b/>
        </w:rPr>
      </w:pPr>
      <w:r w:rsidRPr="00A977C0">
        <w:rPr>
          <w:rFonts w:ascii="Palatino Linotype" w:hAnsi="Palatino Linotype" w:cs="Arial"/>
          <w:b/>
        </w:rPr>
        <w:t xml:space="preserve">TERCERO. </w:t>
      </w:r>
      <w:r>
        <w:rPr>
          <w:rFonts w:ascii="Palatino Linotype" w:eastAsia="Calibri" w:hAnsi="Palatino Linotype" w:cs="Arial"/>
          <w:b/>
        </w:rPr>
        <w:t>Análisis de las causales de sobreseimiento</w:t>
      </w:r>
      <w:r w:rsidRPr="0053687A">
        <w:rPr>
          <w:rFonts w:ascii="Palatino Linotype" w:hAnsi="Palatino Linotype"/>
          <w:b/>
        </w:rPr>
        <w:t>.</w:t>
      </w:r>
    </w:p>
    <w:p w:rsidR="00752D08" w:rsidRDefault="00752D08" w:rsidP="00752D08">
      <w:pPr>
        <w:autoSpaceDE w:val="0"/>
        <w:autoSpaceDN w:val="0"/>
        <w:adjustRightInd w:val="0"/>
        <w:spacing w:line="360" w:lineRule="auto"/>
        <w:jc w:val="both"/>
        <w:rPr>
          <w:rFonts w:ascii="Palatino Linotype" w:hAnsi="Palatino Linotype" w:cs="Arial"/>
        </w:rPr>
      </w:pPr>
      <w:r w:rsidRPr="00BA7451">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w:t>
      </w:r>
      <w:r w:rsidRPr="00BA7451">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52D08" w:rsidRPr="00311506" w:rsidRDefault="00752D08" w:rsidP="00752D08">
      <w:pPr>
        <w:tabs>
          <w:tab w:val="left" w:pos="709"/>
        </w:tabs>
        <w:spacing w:line="360" w:lineRule="auto"/>
        <w:jc w:val="both"/>
        <w:rPr>
          <w:rFonts w:ascii="Palatino Linotype" w:hAnsi="Palatino Linotype" w:cs="Arial"/>
        </w:rPr>
      </w:pPr>
    </w:p>
    <w:p w:rsidR="00752D08" w:rsidRPr="00D35E16" w:rsidRDefault="00752D08" w:rsidP="00752D08">
      <w:pPr>
        <w:autoSpaceDE w:val="0"/>
        <w:autoSpaceDN w:val="0"/>
        <w:adjustRightInd w:val="0"/>
        <w:spacing w:line="360" w:lineRule="auto"/>
        <w:jc w:val="both"/>
        <w:rPr>
          <w:rFonts w:ascii="Palatino Linotype" w:hAnsi="Palatino Linotype" w:cs="Arial"/>
        </w:rPr>
      </w:pPr>
      <w:r>
        <w:rPr>
          <w:rFonts w:ascii="Palatino Linotype" w:hAnsi="Palatino Linotype" w:cs="Arial"/>
        </w:rPr>
        <w:t>Ahora bien,</w:t>
      </w:r>
      <w:r w:rsidRPr="00D35E16">
        <w:rPr>
          <w:rFonts w:ascii="Palatino Linotype" w:hAnsi="Palatino Linotype" w:cs="Arial"/>
        </w:rPr>
        <w:t xml:space="preserve"> derivado del caso en concreto que nos ocupa, por cuestión de método y técnica jurídica, se procede a estudiar el presente, bajo la luz de lo que consagra la fracción III del artículo 192 de la Ley de Transparencia y Acceso a la Información Pública del Estado de México y Municipios, que establece:</w:t>
      </w:r>
    </w:p>
    <w:p w:rsidR="00752D08" w:rsidRPr="00D35E16" w:rsidRDefault="00752D08" w:rsidP="00752D08">
      <w:pPr>
        <w:autoSpaceDE w:val="0"/>
        <w:autoSpaceDN w:val="0"/>
        <w:adjustRightInd w:val="0"/>
        <w:spacing w:line="360" w:lineRule="auto"/>
        <w:jc w:val="both"/>
        <w:rPr>
          <w:rFonts w:ascii="Palatino Linotype" w:hAnsi="Palatino Linotype" w:cs="Arial"/>
        </w:rPr>
      </w:pPr>
    </w:p>
    <w:p w:rsidR="00752D08" w:rsidRDefault="00752D08" w:rsidP="00752D08">
      <w:pPr>
        <w:spacing w:line="360" w:lineRule="auto"/>
        <w:ind w:left="851" w:right="1134"/>
        <w:jc w:val="both"/>
        <w:rPr>
          <w:rFonts w:ascii="Palatino Linotype" w:hAnsi="Palatino Linotype" w:cs="Arial"/>
          <w:i/>
        </w:rPr>
      </w:pPr>
      <w:r w:rsidRPr="00BC5B26">
        <w:rPr>
          <w:rFonts w:ascii="Palatino Linotype" w:hAnsi="Palatino Linotype" w:cs="Arial"/>
          <w:i/>
        </w:rPr>
        <w:t>“Artículo 192. El recurso será sobreseído, en todo o en parte, cuando una vez admitido, se actualicen alguno de los siguientes supuestos:</w:t>
      </w:r>
    </w:p>
    <w:p w:rsidR="00752D08" w:rsidRDefault="00752D08" w:rsidP="00752D08">
      <w:pPr>
        <w:spacing w:line="360" w:lineRule="auto"/>
        <w:ind w:left="851" w:right="1134"/>
        <w:jc w:val="both"/>
        <w:rPr>
          <w:rFonts w:ascii="Palatino Linotype" w:hAnsi="Palatino Linotype" w:cs="Arial"/>
          <w:i/>
        </w:rPr>
      </w:pPr>
      <w:r>
        <w:rPr>
          <w:rFonts w:ascii="Palatino Linotype" w:hAnsi="Palatino Linotype" w:cs="Arial"/>
          <w:i/>
        </w:rPr>
        <w:t>…</w:t>
      </w:r>
    </w:p>
    <w:p w:rsidR="00752D08" w:rsidRPr="00E65257" w:rsidRDefault="00752D08" w:rsidP="00752D08">
      <w:pPr>
        <w:spacing w:line="360" w:lineRule="auto"/>
        <w:ind w:left="851" w:right="1134"/>
        <w:jc w:val="both"/>
        <w:rPr>
          <w:rFonts w:ascii="Palatino Linotype" w:hAnsi="Palatino Linotype" w:cs="Arial"/>
          <w:i/>
        </w:rPr>
      </w:pPr>
      <w:r w:rsidRPr="00E65257">
        <w:rPr>
          <w:rFonts w:ascii="Palatino Linotype" w:hAnsi="Palatino Linotype" w:cs="Arial"/>
          <w:i/>
        </w:rPr>
        <w:t>III. El sujeto obligado responsable del acto lo modifique o revoque de tal manera que el recurso de revisión quede sin materia;</w:t>
      </w:r>
    </w:p>
    <w:p w:rsidR="00752D08" w:rsidRDefault="00752D08" w:rsidP="00752D08">
      <w:pPr>
        <w:spacing w:line="360" w:lineRule="auto"/>
        <w:jc w:val="both"/>
        <w:rPr>
          <w:rFonts w:ascii="Palatino Linotype" w:hAnsi="Palatino Linotype"/>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Precepto legal que contiene cuatro elementos objetivos: </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1.- El sujeto obligado responsable, </w:t>
      </w: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2.- Del acto, </w:t>
      </w:r>
    </w:p>
    <w:p w:rsidR="00752D08" w:rsidRDefault="00752D08" w:rsidP="00752D08">
      <w:pPr>
        <w:spacing w:line="360" w:lineRule="auto"/>
        <w:jc w:val="both"/>
        <w:rPr>
          <w:rFonts w:ascii="Palatino Linotype" w:hAnsi="Palatino Linotype" w:cs="Arial"/>
        </w:rPr>
      </w:pPr>
      <w:r>
        <w:rPr>
          <w:rFonts w:ascii="Palatino Linotype" w:hAnsi="Palatino Linotype" w:cs="Arial"/>
        </w:rPr>
        <w:t>3.- Que se modifique o revoque, y</w:t>
      </w:r>
    </w:p>
    <w:p w:rsidR="00752D08" w:rsidRDefault="00752D08" w:rsidP="00752D08">
      <w:pPr>
        <w:spacing w:line="360" w:lineRule="auto"/>
        <w:jc w:val="both"/>
        <w:rPr>
          <w:rFonts w:ascii="Palatino Linotype" w:hAnsi="Palatino Linotype" w:cs="Arial"/>
        </w:rPr>
      </w:pPr>
      <w:r>
        <w:rPr>
          <w:rFonts w:ascii="Palatino Linotype" w:hAnsi="Palatino Linotype" w:cs="Arial"/>
        </w:rPr>
        <w:t>4.- De tal manera que el medio de impugnación quede sin efecto o materia</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sidRPr="00E35FE0">
        <w:rPr>
          <w:rFonts w:ascii="Palatino Linotype" w:hAnsi="Palatino Linotype" w:cs="Arial"/>
        </w:rPr>
        <w:lastRenderedPageBreak/>
        <w:t xml:space="preserve">El primer elemento normativo se actualiza ya que el sujeto obligado responsable es </w:t>
      </w:r>
      <w:r>
        <w:rPr>
          <w:rFonts w:ascii="Palatino Linotype" w:hAnsi="Palatino Linotype" w:cs="Arial"/>
        </w:rPr>
        <w:t xml:space="preserve">el </w:t>
      </w:r>
      <w:r w:rsidR="006052C1" w:rsidRPr="006052C1">
        <w:rPr>
          <w:rFonts w:ascii="Palatino Linotype" w:hAnsi="Palatino Linotype" w:cs="Arial"/>
        </w:rPr>
        <w:t>Tribunal Estatal de Conciliación y Arbitraje</w:t>
      </w:r>
      <w:r>
        <w:rPr>
          <w:rFonts w:ascii="Palatino Linotype" w:hAnsi="Palatino Linotype" w:cs="Arial"/>
        </w:rPr>
        <w:t>.</w:t>
      </w:r>
    </w:p>
    <w:p w:rsidR="00752D08" w:rsidRDefault="00752D08" w:rsidP="00752D08">
      <w:pPr>
        <w:spacing w:line="360" w:lineRule="auto"/>
        <w:jc w:val="both"/>
        <w:rPr>
          <w:rFonts w:ascii="Palatino Linotype" w:hAnsi="Palatino Linotype" w:cs="Arial"/>
        </w:rPr>
      </w:pPr>
    </w:p>
    <w:p w:rsidR="00752D08" w:rsidRPr="00B2036C" w:rsidRDefault="00752D08" w:rsidP="00752D08">
      <w:pPr>
        <w:spacing w:line="360" w:lineRule="auto"/>
        <w:jc w:val="both"/>
        <w:rPr>
          <w:rFonts w:ascii="Palatino Linotype" w:hAnsi="Palatino Linotype" w:cs="Arial"/>
        </w:rPr>
      </w:pPr>
      <w:r w:rsidRPr="00EF1C5C">
        <w:rPr>
          <w:rFonts w:ascii="Palatino Linotype" w:hAnsi="Palatino Linotype" w:cs="Arial"/>
        </w:rPr>
        <w:t xml:space="preserve">El segundo elemento normativo es la existencia de un acto, en el caso en concreto que nos ocupa se actualiza con la existencia de la respuesta del </w:t>
      </w:r>
      <w:r w:rsidRPr="00EF1C5C">
        <w:rPr>
          <w:rFonts w:ascii="Palatino Linotype" w:hAnsi="Palatino Linotype" w:cs="Arial"/>
          <w:b/>
        </w:rPr>
        <w:t>sujeto obligado</w:t>
      </w:r>
      <w:r w:rsidRPr="00EF1C5C">
        <w:rPr>
          <w:rFonts w:ascii="Palatino Linotype" w:hAnsi="Palatino Linotype" w:cs="Arial"/>
        </w:rPr>
        <w:t xml:space="preserve"> (primigeniamente otorgada), la cual precisamente es la que se impugna porque es la que a su decir </w:t>
      </w:r>
      <w:r w:rsidR="00CB6235" w:rsidRPr="00CB6235">
        <w:rPr>
          <w:rFonts w:ascii="Palatino Linotype" w:hAnsi="Palatino Linotype" w:cs="Arial"/>
        </w:rPr>
        <w:t>el tribunal tiene la responsabilidad de contar con el documento (acta del consejo estatal ordinario 2018), en la que consten los nombres de la directiva del comité ejecutivo estatal 2018-2021</w:t>
      </w:r>
      <w:r w:rsidR="00CB6235">
        <w:rPr>
          <w:rFonts w:ascii="Palatino Linotype" w:hAnsi="Palatino Linotype" w:cs="Arial"/>
        </w:rPr>
        <w:t xml:space="preserve">, </w:t>
      </w:r>
      <w:r>
        <w:rPr>
          <w:rFonts w:ascii="Palatino Linotype" w:hAnsi="Palatino Linotype" w:cs="Arial"/>
        </w:rPr>
        <w:t>que se pidió originalmente</w:t>
      </w:r>
      <w:r w:rsidRPr="00EF1C5C">
        <w:rPr>
          <w:rFonts w:ascii="Palatino Linotype" w:hAnsi="Palatino Linotype" w:cs="Arial"/>
        </w:rPr>
        <w:t>.</w:t>
      </w:r>
    </w:p>
    <w:p w:rsidR="00752D08" w:rsidRPr="00B2036C" w:rsidRDefault="00752D08" w:rsidP="00752D08">
      <w:pPr>
        <w:spacing w:line="360" w:lineRule="auto"/>
        <w:jc w:val="both"/>
        <w:rPr>
          <w:rFonts w:ascii="Palatino Linotype" w:hAnsi="Palatino Linotype" w:cs="Arial"/>
        </w:rPr>
      </w:pPr>
    </w:p>
    <w:p w:rsidR="00752D08" w:rsidRPr="00B2036C" w:rsidRDefault="00752D08" w:rsidP="00752D08">
      <w:pPr>
        <w:spacing w:line="360" w:lineRule="auto"/>
        <w:jc w:val="both"/>
        <w:rPr>
          <w:rFonts w:ascii="Palatino Linotype" w:hAnsi="Palatino Linotype" w:cs="Arial"/>
        </w:rPr>
      </w:pPr>
      <w:r w:rsidRPr="00B2036C">
        <w:rPr>
          <w:rFonts w:ascii="Palatino Linotype" w:hAnsi="Palatino Linotype" w:cs="Arial"/>
        </w:rPr>
        <w:t xml:space="preserve">Cabe destacar que la respuesta que da el </w:t>
      </w:r>
      <w:r w:rsidRPr="00B2036C">
        <w:rPr>
          <w:rFonts w:ascii="Palatino Linotype" w:hAnsi="Palatino Linotype" w:cs="Arial"/>
          <w:b/>
        </w:rPr>
        <w:t>sujeto obligado</w:t>
      </w:r>
      <w:r w:rsidRPr="00B2036C">
        <w:rPr>
          <w:rFonts w:ascii="Palatino Linotype" w:hAnsi="Palatino Linotype" w:cs="Arial"/>
        </w:rPr>
        <w:t xml:space="preserve">, el precepto normativo en estudio, lo consagra como “acto”, esto es así, ya que las respuestas que emiten los sujetos obligados son </w:t>
      </w:r>
      <w:r>
        <w:rPr>
          <w:rFonts w:ascii="Palatino Linotype" w:hAnsi="Palatino Linotype" w:cs="Arial"/>
        </w:rPr>
        <w:t>considerados, (en el contexto que la propia Ley establece), como “</w:t>
      </w:r>
      <w:r w:rsidRPr="00B2036C">
        <w:rPr>
          <w:rFonts w:ascii="Palatino Linotype" w:hAnsi="Palatino Linotype" w:cs="Arial"/>
        </w:rPr>
        <w:t>actos</w:t>
      </w:r>
      <w:r>
        <w:rPr>
          <w:rFonts w:ascii="Palatino Linotype" w:hAnsi="Palatino Linotype" w:cs="Arial"/>
        </w:rPr>
        <w:t>”,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w:t>
      </w:r>
      <w:r w:rsidRPr="00B2036C">
        <w:rPr>
          <w:rFonts w:ascii="Palatino Linotype" w:hAnsi="Palatino Linotype" w:cs="Arial"/>
        </w:rPr>
        <w:t xml:space="preserve"> </w:t>
      </w:r>
    </w:p>
    <w:p w:rsidR="00752D08" w:rsidRPr="00B2036C" w:rsidRDefault="00752D08" w:rsidP="00752D08">
      <w:pPr>
        <w:spacing w:line="360" w:lineRule="auto"/>
        <w:jc w:val="both"/>
        <w:rPr>
          <w:rFonts w:ascii="Palatino Linotype" w:hAnsi="Palatino Linotype" w:cs="Arial"/>
        </w:rPr>
      </w:pPr>
    </w:p>
    <w:p w:rsidR="00752D08" w:rsidRPr="006A34BE" w:rsidRDefault="00752D08" w:rsidP="00752D08">
      <w:pPr>
        <w:spacing w:line="360" w:lineRule="auto"/>
        <w:jc w:val="both"/>
        <w:rPr>
          <w:rFonts w:ascii="Palatino Linotype" w:hAnsi="Palatino Linotype" w:cs="Arial"/>
        </w:rPr>
      </w:pPr>
      <w:r w:rsidRPr="00B2036C">
        <w:rPr>
          <w:rFonts w:ascii="Palatino Linotype" w:hAnsi="Palatino Linotype" w:cs="Arial"/>
        </w:rPr>
        <w:t>La naturaleza jurídica de</w:t>
      </w:r>
      <w:r>
        <w:rPr>
          <w:rFonts w:ascii="Palatino Linotype" w:hAnsi="Palatino Linotype" w:cs="Arial"/>
        </w:rPr>
        <w:t xml:space="preserve"> </w:t>
      </w:r>
      <w:r w:rsidRPr="00B2036C">
        <w:rPr>
          <w:rFonts w:ascii="Palatino Linotype" w:hAnsi="Palatino Linotype" w:cs="Arial"/>
        </w:rPr>
        <w:t>l</w:t>
      </w:r>
      <w:r>
        <w:rPr>
          <w:rFonts w:ascii="Palatino Linotype" w:hAnsi="Palatino Linotype" w:cs="Arial"/>
        </w:rPr>
        <w:t>os</w:t>
      </w:r>
      <w:r w:rsidRPr="00B2036C">
        <w:rPr>
          <w:rFonts w:ascii="Palatino Linotype" w:hAnsi="Palatino Linotype" w:cs="Arial"/>
        </w:rPr>
        <w:t xml:space="preserve"> actos que emiten los sujetos obligados están delimitados por la </w:t>
      </w:r>
      <w:r w:rsidRPr="006A34BE">
        <w:rPr>
          <w:rFonts w:ascii="Palatino Linotype" w:hAnsi="Palatino Linotype" w:cs="Arial"/>
        </w:rPr>
        <w:t>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752D08" w:rsidRPr="006A34BE" w:rsidRDefault="00752D08" w:rsidP="00752D08">
      <w:pPr>
        <w:spacing w:line="360" w:lineRule="auto"/>
        <w:jc w:val="both"/>
        <w:rPr>
          <w:rFonts w:ascii="Palatino Linotype" w:hAnsi="Palatino Linotype" w:cs="Arial"/>
        </w:rPr>
      </w:pPr>
    </w:p>
    <w:p w:rsidR="00752D08" w:rsidRPr="006A34BE" w:rsidRDefault="00752D08" w:rsidP="00752D08">
      <w:pPr>
        <w:spacing w:line="360" w:lineRule="auto"/>
        <w:ind w:left="851" w:right="850"/>
        <w:jc w:val="both"/>
        <w:rPr>
          <w:rFonts w:ascii="Palatino Linotype" w:hAnsi="Palatino Linotype" w:cs="Arial"/>
          <w:i/>
        </w:rPr>
      </w:pPr>
      <w:r w:rsidRPr="006A34BE">
        <w:rPr>
          <w:rFonts w:ascii="Palatino Linotype" w:hAnsi="Palatino Linotype" w:cs="Arial"/>
          <w:i/>
        </w:rPr>
        <w:lastRenderedPageBreak/>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752D08" w:rsidRDefault="00752D08" w:rsidP="00752D08">
      <w:pPr>
        <w:spacing w:line="360" w:lineRule="auto"/>
        <w:ind w:left="851" w:right="850"/>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752D08" w:rsidRPr="000067B2" w:rsidRDefault="00752D08" w:rsidP="00752D08">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IV. Realizar, con efectividad, los trámites internos necesarios para la atención de las solicitudes de acceso a la información; </w:t>
      </w:r>
    </w:p>
    <w:p w:rsidR="00752D08" w:rsidRPr="000067B2" w:rsidRDefault="00752D08" w:rsidP="00752D08">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rsidR="00752D08" w:rsidRPr="005D6E0C" w:rsidRDefault="00752D08" w:rsidP="00752D08">
      <w:pPr>
        <w:spacing w:line="360" w:lineRule="auto"/>
        <w:ind w:left="851" w:right="850"/>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w:t>
      </w:r>
      <w:r w:rsidRPr="008901AD">
        <w:rPr>
          <w:rFonts w:ascii="Palatino Linotype" w:hAnsi="Palatino Linotype" w:cs="Arial"/>
          <w:i/>
        </w:rPr>
        <w:lastRenderedPageBreak/>
        <w:t xml:space="preserve">recursos de revisión que se hayan emitido en contra de sus respuestas y del cumplimiento de las mismas;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752D08" w:rsidRPr="008901AD"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752D08" w:rsidRPr="008901AD" w:rsidRDefault="00752D08" w:rsidP="00752D08">
      <w:pPr>
        <w:spacing w:line="360" w:lineRule="auto"/>
        <w:jc w:val="both"/>
        <w:rPr>
          <w:rFonts w:ascii="Palatino Linotype" w:hAnsi="Palatino Linotype" w:cs="Arial"/>
        </w:rPr>
      </w:pPr>
    </w:p>
    <w:p w:rsidR="00752D08" w:rsidRPr="00124D36" w:rsidRDefault="00752D08" w:rsidP="00752D08">
      <w:pPr>
        <w:spacing w:line="360" w:lineRule="auto"/>
        <w:jc w:val="both"/>
        <w:rPr>
          <w:rFonts w:ascii="Palatino Linotype" w:hAnsi="Palatino Linotype" w:cs="Arial"/>
        </w:rPr>
      </w:pPr>
      <w:r w:rsidRPr="00124D36">
        <w:rPr>
          <w:rFonts w:ascii="Palatino Linotype" w:hAnsi="Palatino Linotype" w:cs="Arial"/>
        </w:rPr>
        <w:t>Es decir, la impugnación del Recurrente debe ser sobre la emisión de un “Acto” contenid</w:t>
      </w:r>
      <w:r>
        <w:rPr>
          <w:rFonts w:ascii="Palatino Linotype" w:hAnsi="Palatino Linotype" w:cs="Arial"/>
        </w:rPr>
        <w:t>o</w:t>
      </w:r>
      <w:r w:rsidRPr="00124D36">
        <w:rPr>
          <w:rFonts w:ascii="Palatino Linotype" w:hAnsi="Palatino Linotype" w:cs="Arial"/>
        </w:rPr>
        <w:t xml:space="preserve"> </w:t>
      </w:r>
      <w:r>
        <w:rPr>
          <w:rFonts w:ascii="Palatino Linotype" w:hAnsi="Palatino Linotype" w:cs="Arial"/>
        </w:rPr>
        <w:t>en la hipótesis descrita en las fracciones II, V y VI, en las cuales se deja ver que la Unidad de Transparencia ha de e</w:t>
      </w:r>
      <w:r w:rsidRPr="005D6E0C">
        <w:rPr>
          <w:rFonts w:ascii="Palatino Linotype" w:hAnsi="Palatino Linotype" w:cs="Arial"/>
        </w:rPr>
        <w:t xml:space="preserve">fectuar las notificaciones a los solicitantes; </w:t>
      </w:r>
      <w:r w:rsidRPr="00124D36">
        <w:rPr>
          <w:rFonts w:ascii="Palatino Linotype" w:hAnsi="Palatino Linotype" w:cs="Arial"/>
        </w:rPr>
        <w:t>lo que en el presente caso se actualiza</w:t>
      </w:r>
      <w:r>
        <w:rPr>
          <w:rFonts w:ascii="Palatino Linotype" w:hAnsi="Palatino Linotype" w:cs="Arial"/>
        </w:rPr>
        <w:t xml:space="preserve"> como un acto atribuible al ente público y que se perfecciona</w:t>
      </w:r>
      <w:r w:rsidRPr="00124D36">
        <w:rPr>
          <w:rFonts w:ascii="Palatino Linotype" w:hAnsi="Palatino Linotype" w:cs="Arial"/>
        </w:rPr>
        <w:t xml:space="preserve"> con la respuesta dada por el </w:t>
      </w:r>
      <w:r w:rsidRPr="005D6E0C">
        <w:rPr>
          <w:rFonts w:ascii="Palatino Linotype" w:hAnsi="Palatino Linotype" w:cs="Arial"/>
        </w:rPr>
        <w:t>sujeto obligado</w:t>
      </w:r>
      <w:r>
        <w:rPr>
          <w:rFonts w:ascii="Palatino Linotype" w:hAnsi="Palatino Linotype" w:cs="Arial"/>
        </w:rPr>
        <w:t>.</w:t>
      </w:r>
    </w:p>
    <w:p w:rsidR="00752D08" w:rsidRPr="00124D36"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impugnado (en el presente caso que un dato que pidió no era), </w:t>
      </w:r>
      <w:r>
        <w:rPr>
          <w:rFonts w:ascii="Palatino Linotype" w:hAnsi="Palatino Linotype" w:cs="Arial"/>
          <w:b/>
          <w:u w:val="single"/>
        </w:rPr>
        <w:t>la modifique o revoque</w:t>
      </w:r>
      <w:r>
        <w:rPr>
          <w:rFonts w:ascii="Palatino Linotype" w:hAnsi="Palatino Linotype" w:cs="Arial"/>
        </w:rPr>
        <w:t xml:space="preserve">; en cuanto hace a la modificación, ocurre cuando quien emitió su respuesta </w:t>
      </w:r>
      <w:r>
        <w:rPr>
          <w:rFonts w:ascii="Palatino Linotype" w:hAnsi="Palatino Linotype" w:cs="Arial"/>
        </w:rPr>
        <w:lastRenderedPageBreak/>
        <w:t>(acto o resolución), con posterioridad cambia la información proporcionada en un principio, cuyos resultados no dejan sin efectos la respuesta dada, sino que tiene por objeto añadir, suprimir, o sustituir datos, lo cual puede ser de forma parcial.</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Por cuanto hace a la revocación, a diferencia de la modificación, ocurre cuando la dependencia o entidad responsable del acto o resolución impugnada (sujeto obligado), suprime, elimina o cancela la totalidad de su respuesta y emite otra en su lugar dejando sin efecto de lo que en un principio afecto al hoy recurrente; e</w:t>
      </w:r>
      <w:r w:rsidRPr="006E36BD">
        <w:rPr>
          <w:rFonts w:ascii="Palatino Linotype" w:hAnsi="Palatino Linotype" w:cs="Arial"/>
        </w:rPr>
        <w:t xml:space="preserve">n el presente caso, se actualiza el sobreseimiento ya que en </w:t>
      </w:r>
      <w:r w:rsidRPr="00EF1C5C">
        <w:rPr>
          <w:rFonts w:ascii="Palatino Linotype" w:hAnsi="Palatino Linotype" w:cs="Arial"/>
        </w:rPr>
        <w:t>fecha</w:t>
      </w:r>
      <w:r>
        <w:rPr>
          <w:rFonts w:ascii="Palatino Linotype" w:hAnsi="Palatino Linotype" w:cs="Arial"/>
        </w:rPr>
        <w:t>s</w:t>
      </w:r>
      <w:r w:rsidRPr="00EF1C5C">
        <w:rPr>
          <w:rFonts w:ascii="Palatino Linotype" w:hAnsi="Palatino Linotype" w:cs="Arial"/>
        </w:rPr>
        <w:t xml:space="preserve"> </w:t>
      </w:r>
      <w:r w:rsidR="00CB6235">
        <w:rPr>
          <w:rFonts w:ascii="Palatino Linotype" w:hAnsi="Palatino Linotype" w:cs="Arial"/>
        </w:rPr>
        <w:t xml:space="preserve">veintiséis de junio </w:t>
      </w:r>
      <w:r w:rsidRPr="00FE7314">
        <w:rPr>
          <w:rFonts w:ascii="Palatino Linotype" w:hAnsi="Palatino Linotype" w:cs="Arial"/>
        </w:rPr>
        <w:t>de dos mil dieci</w:t>
      </w:r>
      <w:r>
        <w:rPr>
          <w:rFonts w:ascii="Palatino Linotype" w:hAnsi="Palatino Linotype" w:cs="Arial"/>
        </w:rPr>
        <w:t>nueve</w:t>
      </w:r>
      <w:r w:rsidRPr="006E36BD">
        <w:rPr>
          <w:rFonts w:ascii="Palatino Linotype" w:hAnsi="Palatino Linotype" w:cs="Arial"/>
        </w:rPr>
        <w:t xml:space="preserve">, el </w:t>
      </w:r>
      <w:r w:rsidRPr="006E36BD">
        <w:rPr>
          <w:rFonts w:ascii="Palatino Linotype" w:hAnsi="Palatino Linotype" w:cs="Arial"/>
          <w:b/>
        </w:rPr>
        <w:t>sujeto obligado</w:t>
      </w:r>
      <w:r w:rsidRPr="006E36BD">
        <w:rPr>
          <w:rFonts w:ascii="Palatino Linotype" w:hAnsi="Palatino Linotype" w:cs="Arial"/>
        </w:rPr>
        <w:t xml:space="preserve">, remitió información que en un principio no se envió, mediante lo cual </w:t>
      </w:r>
      <w:r w:rsidR="00CB6235">
        <w:rPr>
          <w:rFonts w:ascii="Palatino Linotype" w:hAnsi="Palatino Linotype" w:cs="Arial"/>
          <w:b/>
          <w:u w:val="single"/>
        </w:rPr>
        <w:t>revocó</w:t>
      </w:r>
      <w:r w:rsidRPr="006E36BD">
        <w:rPr>
          <w:rFonts w:ascii="Palatino Linotype" w:hAnsi="Palatino Linotype" w:cs="Arial"/>
          <w:b/>
        </w:rPr>
        <w:t xml:space="preserve"> </w:t>
      </w:r>
      <w:r w:rsidR="00CB6235">
        <w:rPr>
          <w:rFonts w:ascii="Palatino Linotype" w:hAnsi="Palatino Linotype" w:cs="Arial"/>
        </w:rPr>
        <w:t>su</w:t>
      </w:r>
      <w:r w:rsidRPr="006E36BD">
        <w:rPr>
          <w:rFonts w:ascii="Palatino Linotype" w:hAnsi="Palatino Linotype" w:cs="Arial"/>
        </w:rPr>
        <w:t xml:space="preserve"> respuesta </w:t>
      </w:r>
      <w:r w:rsidR="00D8406E">
        <w:rPr>
          <w:rFonts w:ascii="Palatino Linotype" w:hAnsi="Palatino Linotype" w:cs="Arial"/>
        </w:rPr>
        <w:t>originalmente</w:t>
      </w:r>
      <w:r w:rsidR="00CB6235">
        <w:rPr>
          <w:rFonts w:ascii="Palatino Linotype" w:hAnsi="Palatino Linotype" w:cs="Arial"/>
        </w:rPr>
        <w:t xml:space="preserve"> proporcionada</w:t>
      </w:r>
      <w:r w:rsidRPr="006E36BD">
        <w:rPr>
          <w:rFonts w:ascii="Palatino Linotype" w:hAnsi="Palatino Linotype" w:cs="Arial"/>
        </w:rPr>
        <w:t>.</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Ahora bien, este Instituto considera que el </w:t>
      </w:r>
      <w:r>
        <w:rPr>
          <w:rFonts w:ascii="Palatino Linotype" w:hAnsi="Palatino Linotype" w:cs="Arial"/>
          <w:b/>
        </w:rPr>
        <w:t>sujeto obligado</w:t>
      </w:r>
      <w:r>
        <w:rPr>
          <w:rFonts w:ascii="Palatino Linotype" w:hAnsi="Palatino Linotype" w:cs="Arial"/>
        </w:rPr>
        <w:t xml:space="preserve"> </w:t>
      </w:r>
      <w:r w:rsidR="00B4005D">
        <w:rPr>
          <w:rFonts w:ascii="Palatino Linotype" w:hAnsi="Palatino Linotype" w:cs="Arial"/>
        </w:rPr>
        <w:t xml:space="preserve">revocó </w:t>
      </w:r>
      <w:r>
        <w:rPr>
          <w:rFonts w:ascii="Palatino Linotype" w:hAnsi="Palatino Linotype" w:cs="Arial"/>
        </w:rPr>
        <w:t xml:space="preserve">su respuesta, ya que en </w:t>
      </w:r>
      <w:r w:rsidR="00B4005D">
        <w:rPr>
          <w:rFonts w:ascii="Palatino Linotype" w:hAnsi="Palatino Linotype" w:cs="Arial"/>
        </w:rPr>
        <w:t>la etapa de instrucción</w:t>
      </w:r>
      <w:r w:rsidRPr="005A7D34">
        <w:rPr>
          <w:rFonts w:ascii="Palatino Linotype" w:hAnsi="Palatino Linotype" w:cs="Arial"/>
        </w:rPr>
        <w:t xml:space="preserve"> envió información que una vez que se analizó se cae en la cuenta de que deja sin materia el presente asunto</w:t>
      </w:r>
      <w:r>
        <w:rPr>
          <w:rFonts w:ascii="Palatino Linotype" w:hAnsi="Palatino Linotype" w:cs="Arial"/>
        </w:rPr>
        <w:t xml:space="preserve"> lo anterior es así por las siguientes consideraciones.</w:t>
      </w:r>
    </w:p>
    <w:p w:rsidR="00752D08" w:rsidRPr="00514B84" w:rsidRDefault="00752D08" w:rsidP="00752D08">
      <w:pPr>
        <w:spacing w:line="360" w:lineRule="auto"/>
        <w:jc w:val="both"/>
        <w:rPr>
          <w:rFonts w:ascii="Palatino Linotype" w:hAnsi="Palatino Linotype" w:cs="Arial"/>
        </w:rPr>
      </w:pPr>
    </w:p>
    <w:p w:rsidR="00752D08" w:rsidRPr="00514B84" w:rsidRDefault="00752D08" w:rsidP="00752D08">
      <w:pPr>
        <w:spacing w:line="360" w:lineRule="auto"/>
        <w:jc w:val="both"/>
        <w:rPr>
          <w:rFonts w:ascii="Palatino Linotype" w:hAnsi="Palatino Linotype" w:cs="Arial"/>
        </w:rPr>
      </w:pPr>
      <w:r w:rsidRPr="00514B84">
        <w:rPr>
          <w:rFonts w:ascii="Palatino Linotype" w:hAnsi="Palatino Linotype" w:cs="Arial"/>
        </w:rPr>
        <w:t>Recapitulando que el hoy recurrente requirió, le fuese entregado por parte del sujeto obligado lo siguiente:</w:t>
      </w:r>
    </w:p>
    <w:p w:rsidR="00752D08" w:rsidRPr="00514B84" w:rsidRDefault="00752D08" w:rsidP="00752D08">
      <w:pPr>
        <w:spacing w:line="360" w:lineRule="auto"/>
        <w:jc w:val="both"/>
        <w:rPr>
          <w:rFonts w:ascii="Palatino Linotype" w:hAnsi="Palatino Linotype" w:cs="Arial"/>
        </w:rPr>
      </w:pPr>
    </w:p>
    <w:p w:rsidR="00095D9B" w:rsidRDefault="00163BE6" w:rsidP="00752D08">
      <w:pPr>
        <w:tabs>
          <w:tab w:val="left" w:pos="709"/>
        </w:tabs>
        <w:spacing w:line="360" w:lineRule="auto"/>
        <w:ind w:left="709" w:right="474"/>
        <w:jc w:val="both"/>
        <w:rPr>
          <w:rFonts w:ascii="Palatino Linotype" w:hAnsi="Palatino Linotype" w:cs="Arial"/>
          <w:i/>
          <w:lang w:eastAsia="es-MX"/>
        </w:rPr>
      </w:pPr>
      <w:r w:rsidRPr="00852257">
        <w:rPr>
          <w:rFonts w:ascii="Palatino Linotype" w:hAnsi="Palatino Linotype" w:cs="Arial"/>
          <w:i/>
          <w:lang w:eastAsia="es-MX"/>
        </w:rPr>
        <w:t>“</w:t>
      </w:r>
      <w:r w:rsidR="00095D9B" w:rsidRPr="00095D9B">
        <w:rPr>
          <w:rFonts w:ascii="Palatino Linotype" w:hAnsi="Palatino Linotype" w:cs="Arial"/>
          <w:i/>
          <w:lang w:eastAsia="es-MX"/>
        </w:rPr>
        <w:t>De acuerdo al los artículos 365 y 365 Bis de la Ley Federal del Trabajo, solicito el Acta del Consejo Estatal Ordinario del Sindicato de maestros al servicio del estado de México 2018, la cual fue depositada</w:t>
      </w:r>
      <w:r w:rsidR="00095D9B">
        <w:rPr>
          <w:rFonts w:ascii="Palatino Linotype" w:hAnsi="Palatino Linotype" w:cs="Arial"/>
          <w:i/>
          <w:lang w:eastAsia="es-MX"/>
        </w:rPr>
        <w:t>” (sic)</w:t>
      </w:r>
    </w:p>
    <w:p w:rsidR="00F963B8" w:rsidRDefault="00F963B8" w:rsidP="00681B00">
      <w:pPr>
        <w:autoSpaceDE w:val="0"/>
        <w:autoSpaceDN w:val="0"/>
        <w:adjustRightInd w:val="0"/>
        <w:spacing w:line="360" w:lineRule="auto"/>
        <w:ind w:right="18"/>
        <w:jc w:val="both"/>
        <w:rPr>
          <w:rFonts w:ascii="Palatino Linotype" w:hAnsi="Palatino Linotype" w:cs="Arial"/>
        </w:rPr>
      </w:pPr>
    </w:p>
    <w:p w:rsidR="000E62F9" w:rsidRDefault="000E62F9" w:rsidP="00F963B8">
      <w:pPr>
        <w:spacing w:line="360" w:lineRule="auto"/>
        <w:jc w:val="both"/>
        <w:rPr>
          <w:rFonts w:ascii="Palatino Linotype" w:hAnsi="Palatino Linotype" w:cs="Arial"/>
        </w:rPr>
      </w:pPr>
    </w:p>
    <w:p w:rsidR="000E62F9" w:rsidRDefault="00F963B8" w:rsidP="00F963B8">
      <w:pPr>
        <w:spacing w:line="360" w:lineRule="auto"/>
        <w:jc w:val="both"/>
        <w:rPr>
          <w:rFonts w:ascii="Palatino Linotype" w:hAnsi="Palatino Linotype" w:cs="Arial"/>
        </w:rPr>
      </w:pPr>
      <w:r>
        <w:rPr>
          <w:rFonts w:ascii="Palatino Linotype" w:hAnsi="Palatino Linotype" w:cs="Arial"/>
        </w:rPr>
        <w:t>Previamente es de precisarse</w:t>
      </w:r>
      <w:r w:rsidRPr="00F963B8">
        <w:rPr>
          <w:rFonts w:ascii="Palatino Linotype" w:hAnsi="Palatino Linotype" w:cs="Arial"/>
        </w:rPr>
        <w:t xml:space="preserve">, que se obvia el análisis de la competencia por parte del SUJETO OBLIGADO, para </w:t>
      </w:r>
      <w:r w:rsidRPr="00F370E9">
        <w:rPr>
          <w:rFonts w:ascii="Palatino Linotype" w:hAnsi="Palatino Linotype" w:cs="Arial"/>
        </w:rPr>
        <w:t xml:space="preserve">generar, administrar o poseer la información </w:t>
      </w:r>
      <w:r w:rsidR="00095D9B">
        <w:rPr>
          <w:rFonts w:ascii="Palatino Linotype" w:hAnsi="Palatino Linotype" w:cs="Arial"/>
        </w:rPr>
        <w:t>solicitada</w:t>
      </w:r>
      <w:r w:rsidRPr="00F963B8">
        <w:rPr>
          <w:rFonts w:ascii="Palatino Linotype" w:hAnsi="Palatino Linotype" w:cs="Arial"/>
        </w:rPr>
        <w:t xml:space="preserve">, dado que éste ha asumido </w:t>
      </w:r>
      <w:r w:rsidR="00F370E9">
        <w:rPr>
          <w:rFonts w:ascii="Palatino Linotype" w:hAnsi="Palatino Linotype" w:cs="Arial"/>
        </w:rPr>
        <w:t xml:space="preserve">contar con </w:t>
      </w:r>
      <w:r w:rsidRPr="00F963B8">
        <w:rPr>
          <w:rFonts w:ascii="Palatino Linotype" w:hAnsi="Palatino Linotype" w:cs="Arial"/>
        </w:rPr>
        <w:t xml:space="preserve">la misma, </w:t>
      </w:r>
      <w:r w:rsidR="00095D9B">
        <w:rPr>
          <w:rFonts w:ascii="Palatino Linotype" w:hAnsi="Palatino Linotype" w:cs="Arial"/>
        </w:rPr>
        <w:t>durante la instrucción</w:t>
      </w:r>
      <w:r w:rsidRPr="00F963B8">
        <w:rPr>
          <w:rFonts w:ascii="Palatino Linotype" w:hAnsi="Palatino Linotype" w:cs="Arial"/>
        </w:rPr>
        <w:t xml:space="preserve">, </w:t>
      </w:r>
      <w:r w:rsidR="00F370E9">
        <w:rPr>
          <w:rFonts w:ascii="Palatino Linotype" w:hAnsi="Palatino Linotype" w:cs="Arial"/>
        </w:rPr>
        <w:t>el cual se analizará más adelante</w:t>
      </w:r>
      <w:r w:rsidR="00270545">
        <w:rPr>
          <w:rFonts w:ascii="Palatino Linotype" w:hAnsi="Palatino Linotype" w:cs="Arial"/>
        </w:rPr>
        <w:t xml:space="preserve">, </w:t>
      </w:r>
      <w:r w:rsidR="00F370E9">
        <w:rPr>
          <w:rFonts w:ascii="Palatino Linotype" w:hAnsi="Palatino Linotype" w:cs="Arial"/>
        </w:rPr>
        <w:t xml:space="preserve">ya que en respuesta </w:t>
      </w:r>
      <w:r w:rsidR="00095D9B">
        <w:rPr>
          <w:rFonts w:ascii="Palatino Linotype" w:hAnsi="Palatino Linotype" w:cs="Arial"/>
        </w:rPr>
        <w:t>de forma económica manifestó no contar con dicha acta, no obstante de aducir que hizo una búsqueda, como a continuación se aprecia:</w:t>
      </w:r>
      <w:r w:rsidR="004B3EDF">
        <w:rPr>
          <w:rFonts w:ascii="Palatino Linotype" w:hAnsi="Palatino Linotype" w:cs="Arial"/>
        </w:rPr>
        <w:t xml:space="preserve"> </w:t>
      </w:r>
    </w:p>
    <w:p w:rsidR="000E62F9" w:rsidRDefault="000E62F9" w:rsidP="00F963B8">
      <w:pPr>
        <w:spacing w:line="360" w:lineRule="auto"/>
        <w:jc w:val="both"/>
        <w:rPr>
          <w:rFonts w:ascii="Palatino Linotype" w:hAnsi="Palatino Linotype" w:cs="Arial"/>
        </w:rPr>
      </w:pPr>
    </w:p>
    <w:p w:rsidR="00F963B8" w:rsidRDefault="00095D9B" w:rsidP="000E62F9">
      <w:pPr>
        <w:spacing w:line="360" w:lineRule="auto"/>
        <w:ind w:left="1134" w:right="1183"/>
        <w:jc w:val="both"/>
        <w:rPr>
          <w:rFonts w:ascii="Palatino Linotype" w:hAnsi="Palatino Linotype" w:cs="Arial"/>
        </w:rPr>
      </w:pPr>
      <w:r>
        <w:rPr>
          <w:rFonts w:ascii="Palatino Linotype" w:hAnsi="Palatino Linotype" w:cs="Arial"/>
        </w:rPr>
        <w:t>“…</w:t>
      </w:r>
      <w:r w:rsidRPr="004B3EDF">
        <w:rPr>
          <w:rFonts w:ascii="Palatino Linotype" w:hAnsi="Palatino Linotype" w:cs="Arial"/>
          <w:b/>
          <w:u w:val="single"/>
        </w:rPr>
        <w:t>Después de realizar una búsqueda exhaustiva, minuciosa y detallada</w:t>
      </w:r>
      <w:r w:rsidRPr="00095D9B">
        <w:rPr>
          <w:rFonts w:ascii="Palatino Linotype" w:hAnsi="Palatino Linotype" w:cs="Arial"/>
        </w:rPr>
        <w:t xml:space="preserve"> en el expediente que corresponde al registro sindical del gremio denominado Sindicato de Maestros al Servicio del Estado de México, no se encontró depósito o constancia alguna relativa a documentos con la denominación de </w:t>
      </w:r>
      <w:r w:rsidRPr="004B3EDF">
        <w:rPr>
          <w:rFonts w:ascii="Palatino Linotype" w:hAnsi="Palatino Linotype" w:cs="Arial"/>
          <w:b/>
          <w:u w:val="single"/>
        </w:rPr>
        <w:t>“Acta del Congreso Ordinario del Sindicato de Maestros al Servicio del Estado de México 2018</w:t>
      </w:r>
      <w:r w:rsidRPr="00095D9B">
        <w:rPr>
          <w:rFonts w:ascii="Palatino Linotype" w:hAnsi="Palatino Linotype" w:cs="Arial"/>
        </w:rPr>
        <w:t>”</w:t>
      </w:r>
      <w:r>
        <w:rPr>
          <w:rFonts w:ascii="Palatino Linotype" w:hAnsi="Palatino Linotype" w:cs="Arial"/>
        </w:rPr>
        <w:t xml:space="preserve"> </w:t>
      </w:r>
    </w:p>
    <w:p w:rsidR="00095D9B" w:rsidRDefault="00095D9B" w:rsidP="00752D08">
      <w:pPr>
        <w:autoSpaceDE w:val="0"/>
        <w:autoSpaceDN w:val="0"/>
        <w:adjustRightInd w:val="0"/>
        <w:spacing w:line="360" w:lineRule="auto"/>
        <w:ind w:right="18"/>
        <w:jc w:val="both"/>
        <w:rPr>
          <w:rFonts w:ascii="Palatino Linotype" w:hAnsi="Palatino Linotype" w:cs="Arial"/>
        </w:rPr>
      </w:pPr>
    </w:p>
    <w:p w:rsidR="000E62F9" w:rsidRDefault="00752D08"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Ahora bien, </w:t>
      </w:r>
      <w:r w:rsidR="00FC0972">
        <w:rPr>
          <w:rFonts w:ascii="Palatino Linotype" w:hAnsi="Palatino Linotype" w:cs="Arial"/>
        </w:rPr>
        <w:t xml:space="preserve">el recurrente adujo en sus razones o motivos de incomodidad </w:t>
      </w:r>
      <w:r>
        <w:rPr>
          <w:rFonts w:ascii="Palatino Linotype" w:hAnsi="Palatino Linotype" w:cs="Arial"/>
        </w:rPr>
        <w:t xml:space="preserve">de forma literal </w:t>
      </w:r>
      <w:r w:rsidR="00FC0972">
        <w:rPr>
          <w:rFonts w:ascii="Palatino Linotype" w:hAnsi="Palatino Linotype" w:cs="Arial"/>
        </w:rPr>
        <w:t>lo siguiente</w:t>
      </w:r>
      <w:r>
        <w:rPr>
          <w:rFonts w:ascii="Palatino Linotype" w:hAnsi="Palatino Linotype" w:cs="Arial"/>
        </w:rPr>
        <w:t>:</w:t>
      </w:r>
      <w:r w:rsidR="0034638C">
        <w:rPr>
          <w:rFonts w:ascii="Palatino Linotype" w:hAnsi="Palatino Linotype" w:cs="Arial"/>
        </w:rPr>
        <w:t xml:space="preserve"> </w:t>
      </w: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4B3EDF" w:rsidP="000E62F9">
      <w:pPr>
        <w:autoSpaceDE w:val="0"/>
        <w:autoSpaceDN w:val="0"/>
        <w:adjustRightInd w:val="0"/>
        <w:spacing w:line="360" w:lineRule="auto"/>
        <w:ind w:left="1134" w:right="1041"/>
        <w:jc w:val="both"/>
        <w:rPr>
          <w:rFonts w:ascii="Palatino Linotype" w:hAnsi="Palatino Linotype" w:cs="Arial"/>
          <w:i/>
        </w:rPr>
      </w:pPr>
      <w:r w:rsidRPr="004B3EDF">
        <w:rPr>
          <w:rFonts w:ascii="Palatino Linotype" w:hAnsi="Palatino Linotype" w:cs="Arial"/>
          <w:i/>
        </w:rPr>
        <w:t xml:space="preserve">De acuerdo al artículo 365 y 365 Bis de la Ley Federal del Trabajo, 141 de la Ley del Trabajo de los Servidores Públicos del Estado de México: ARTÍCULO 141. Los sindicatos deberán ser registrados ante el Tribunal, para cuyo efecto entregarán a éste, por duplicado, los </w:t>
      </w:r>
      <w:r w:rsidRPr="004B3EDF">
        <w:rPr>
          <w:rFonts w:ascii="Palatino Linotype" w:hAnsi="Palatino Linotype" w:cs="Arial"/>
          <w:i/>
        </w:rPr>
        <w:lastRenderedPageBreak/>
        <w:t>siguientes documentos: I. Acta de la asamblea constitutiva o copia de ella; II. Estatutos del sindicato; III. Lista de miembros en servicio activo que lo integran,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 IV. Acta de la sesión en que se haya elegido la directiva o copia autorizada de aquélla. V. Constituirse por lo menos con 20 trabajadores en servicio activo. El Tribunal al recibir la solicitud de registro constatará, por los medios legales que los documentos precisados en las fracciones anteriores, cuenten con los registros y formalidades que establece esta ley, para proceder, en su caso, al registro. Tomando en consideración estos artículos y fracciones el tribunal tiene la responsabilidad de contar con el documento (acta del consejo estatal ordinario 2018), en la que consten los nombres de la directiva del comité ejecutivo estatal 2018-2021</w:t>
      </w:r>
      <w:r w:rsidR="00FC0972" w:rsidRPr="00FC0972">
        <w:rPr>
          <w:rFonts w:ascii="Palatino Linotype" w:hAnsi="Palatino Linotype"/>
          <w:color w:val="000000"/>
        </w:rPr>
        <w:t>…</w:t>
      </w:r>
      <w:r w:rsidR="00752D08" w:rsidRPr="00FC0972">
        <w:rPr>
          <w:rFonts w:ascii="Palatino Linotype" w:hAnsi="Palatino Linotype" w:cs="Arial"/>
          <w:i/>
        </w:rPr>
        <w:t>” (sic)</w:t>
      </w:r>
      <w:r w:rsidR="0034638C">
        <w:rPr>
          <w:rFonts w:ascii="Palatino Linotype" w:hAnsi="Palatino Linotype" w:cs="Arial"/>
          <w:i/>
        </w:rPr>
        <w:t xml:space="preserve">, </w:t>
      </w:r>
    </w:p>
    <w:p w:rsidR="000E62F9" w:rsidRDefault="000E62F9" w:rsidP="00752D08">
      <w:pPr>
        <w:autoSpaceDE w:val="0"/>
        <w:autoSpaceDN w:val="0"/>
        <w:adjustRightInd w:val="0"/>
        <w:spacing w:line="360" w:lineRule="auto"/>
        <w:ind w:right="18"/>
        <w:jc w:val="both"/>
        <w:rPr>
          <w:rFonts w:ascii="Palatino Linotype" w:hAnsi="Palatino Linotype" w:cs="Arial"/>
          <w:i/>
        </w:rPr>
      </w:pPr>
    </w:p>
    <w:p w:rsidR="00752D08" w:rsidRDefault="000E62F9"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C</w:t>
      </w:r>
      <w:r w:rsidR="00FC0972">
        <w:rPr>
          <w:rFonts w:ascii="Palatino Linotype" w:hAnsi="Palatino Linotype" w:cs="Arial"/>
        </w:rPr>
        <w:t xml:space="preserve">omo se puede apreciar los argumentos </w:t>
      </w:r>
      <w:r w:rsidR="00842531">
        <w:rPr>
          <w:rFonts w:ascii="Palatino Linotype" w:hAnsi="Palatino Linotype" w:cs="Arial"/>
        </w:rPr>
        <w:t>son fundados</w:t>
      </w:r>
      <w:r>
        <w:rPr>
          <w:rFonts w:ascii="Palatino Linotype" w:hAnsi="Palatino Linotype" w:cs="Arial"/>
        </w:rPr>
        <w:t xml:space="preserve"> y</w:t>
      </w:r>
      <w:r w:rsidR="00842531">
        <w:rPr>
          <w:rFonts w:ascii="Palatino Linotype" w:hAnsi="Palatino Linotype" w:cs="Arial"/>
        </w:rPr>
        <w:t xml:space="preserve"> </w:t>
      </w:r>
      <w:r w:rsidR="004B3EDF">
        <w:rPr>
          <w:rFonts w:ascii="Palatino Linotype" w:hAnsi="Palatino Linotype" w:cs="Arial"/>
        </w:rPr>
        <w:t>por ende</w:t>
      </w:r>
      <w:r w:rsidR="00752D08">
        <w:rPr>
          <w:rFonts w:ascii="Palatino Linotype" w:hAnsi="Palatino Linotype" w:cs="Arial"/>
        </w:rPr>
        <w:t xml:space="preserve">, </w:t>
      </w:r>
      <w:r w:rsidR="0034638C">
        <w:rPr>
          <w:rFonts w:ascii="Palatino Linotype" w:hAnsi="Palatino Linotype" w:cs="Arial"/>
        </w:rPr>
        <w:t xml:space="preserve">durante el periodo de instrucción, </w:t>
      </w:r>
      <w:r w:rsidR="004B3EDF">
        <w:rPr>
          <w:rFonts w:ascii="Palatino Linotype" w:hAnsi="Palatino Linotype" w:cs="Arial"/>
        </w:rPr>
        <w:t xml:space="preserve">el sujeto obligado </w:t>
      </w:r>
      <w:r w:rsidR="0034638C">
        <w:rPr>
          <w:rFonts w:ascii="Palatino Linotype" w:hAnsi="Palatino Linotype" w:cs="Arial"/>
        </w:rPr>
        <w:t>adjunt</w:t>
      </w:r>
      <w:r w:rsidR="004B3EDF">
        <w:rPr>
          <w:rFonts w:ascii="Palatino Linotype" w:hAnsi="Palatino Linotype" w:cs="Arial"/>
        </w:rPr>
        <w:t>ó</w:t>
      </w:r>
      <w:r w:rsidR="0034638C">
        <w:rPr>
          <w:rFonts w:ascii="Palatino Linotype" w:hAnsi="Palatino Linotype" w:cs="Arial"/>
        </w:rPr>
        <w:t xml:space="preserve"> </w:t>
      </w:r>
      <w:r w:rsidR="004B3EDF">
        <w:rPr>
          <w:rFonts w:ascii="Palatino Linotype" w:hAnsi="Palatino Linotype" w:cs="Arial"/>
        </w:rPr>
        <w:t>el acta requerida</w:t>
      </w:r>
      <w:r>
        <w:rPr>
          <w:rFonts w:ascii="Palatino Linotype" w:hAnsi="Palatino Linotype" w:cs="Arial"/>
        </w:rPr>
        <w:t>, como se aprecia a continuación</w:t>
      </w:r>
      <w:r w:rsidR="004B3EDF">
        <w:rPr>
          <w:rFonts w:ascii="Palatino Linotype" w:hAnsi="Palatino Linotype" w:cs="Arial"/>
        </w:rPr>
        <w:t>.</w:t>
      </w:r>
    </w:p>
    <w:p w:rsidR="00752D08" w:rsidRDefault="00752D08"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00653788" wp14:editId="096A339B">
            <wp:extent cx="5600700" cy="659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86" t="13881" r="33129" b="6458"/>
                    <a:stretch/>
                  </pic:blipFill>
                  <pic:spPr bwMode="auto">
                    <a:xfrm>
                      <a:off x="0" y="0"/>
                      <a:ext cx="5600700" cy="6591300"/>
                    </a:xfrm>
                    <a:prstGeom prst="rect">
                      <a:avLst/>
                    </a:prstGeom>
                    <a:ln>
                      <a:noFill/>
                    </a:ln>
                    <a:extLst>
                      <a:ext uri="{53640926-AAD7-44D8-BBD7-CCE9431645EC}">
                        <a14:shadowObscured xmlns:a14="http://schemas.microsoft.com/office/drawing/2010/main"/>
                      </a:ext>
                    </a:extLst>
                  </pic:spPr>
                </pic:pic>
              </a:graphicData>
            </a:graphic>
          </wp:inline>
        </w:drawing>
      </w: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0E9471A6" wp14:editId="211E862E">
            <wp:extent cx="5648325" cy="67151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17" t="16596" r="33299" b="4345"/>
                    <a:stretch/>
                  </pic:blipFill>
                  <pic:spPr bwMode="auto">
                    <a:xfrm>
                      <a:off x="0" y="0"/>
                      <a:ext cx="5648325" cy="6715125"/>
                    </a:xfrm>
                    <a:prstGeom prst="rect">
                      <a:avLst/>
                    </a:prstGeom>
                    <a:ln>
                      <a:noFill/>
                    </a:ln>
                    <a:extLst>
                      <a:ext uri="{53640926-AAD7-44D8-BBD7-CCE9431645EC}">
                        <a14:shadowObscured xmlns:a14="http://schemas.microsoft.com/office/drawing/2010/main"/>
                      </a:ext>
                    </a:extLst>
                  </pic:spPr>
                </pic:pic>
              </a:graphicData>
            </a:graphic>
          </wp:inline>
        </w:drawing>
      </w: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0E62F9">
      <w:pPr>
        <w:autoSpaceDE w:val="0"/>
        <w:autoSpaceDN w:val="0"/>
        <w:adjustRightInd w:val="0"/>
        <w:spacing w:line="360" w:lineRule="auto"/>
        <w:ind w:right="18"/>
        <w:jc w:val="center"/>
        <w:rPr>
          <w:rFonts w:ascii="Palatino Linotype" w:hAnsi="Palatino Linotype" w:cs="Arial"/>
        </w:rPr>
      </w:pPr>
      <w:r>
        <w:rPr>
          <w:noProof/>
          <w:lang w:val="es-MX" w:eastAsia="es-MX"/>
        </w:rPr>
        <w:drawing>
          <wp:inline distT="0" distB="0" distL="0" distR="0" wp14:anchorId="28E14CDD" wp14:editId="1CA0FE33">
            <wp:extent cx="5486400" cy="6572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47" t="15691" r="33300" b="4949"/>
                    <a:stretch/>
                  </pic:blipFill>
                  <pic:spPr bwMode="auto">
                    <a:xfrm>
                      <a:off x="0" y="0"/>
                      <a:ext cx="5486400" cy="6572250"/>
                    </a:xfrm>
                    <a:prstGeom prst="rect">
                      <a:avLst/>
                    </a:prstGeom>
                    <a:ln>
                      <a:noFill/>
                    </a:ln>
                    <a:extLst>
                      <a:ext uri="{53640926-AAD7-44D8-BBD7-CCE9431645EC}">
                        <a14:shadowObscured xmlns:a14="http://schemas.microsoft.com/office/drawing/2010/main"/>
                      </a:ext>
                    </a:extLst>
                  </pic:spPr>
                </pic:pic>
              </a:graphicData>
            </a:graphic>
          </wp:inline>
        </w:drawing>
      </w:r>
    </w:p>
    <w:p w:rsidR="000E62F9" w:rsidRDefault="000E62F9" w:rsidP="00752D08">
      <w:pPr>
        <w:autoSpaceDE w:val="0"/>
        <w:autoSpaceDN w:val="0"/>
        <w:adjustRightInd w:val="0"/>
        <w:spacing w:line="360" w:lineRule="auto"/>
        <w:ind w:right="18"/>
        <w:jc w:val="both"/>
        <w:rPr>
          <w:rFonts w:ascii="Palatino Linotype" w:hAnsi="Palatino Linotype" w:cs="Arial"/>
        </w:rPr>
      </w:pPr>
    </w:p>
    <w:p w:rsidR="000E62F9" w:rsidRDefault="000E62F9" w:rsidP="00752D08">
      <w:pPr>
        <w:autoSpaceDE w:val="0"/>
        <w:autoSpaceDN w:val="0"/>
        <w:adjustRightInd w:val="0"/>
        <w:spacing w:line="360" w:lineRule="auto"/>
        <w:ind w:right="18"/>
        <w:jc w:val="both"/>
        <w:rPr>
          <w:rFonts w:ascii="Palatino Linotype" w:hAnsi="Palatino Linotype" w:cs="Arial"/>
        </w:rPr>
      </w:pPr>
    </w:p>
    <w:p w:rsidR="00752D08" w:rsidRDefault="00752D08"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Como podemos apreciar el sujeto obligado en este punto da certeza </w:t>
      </w:r>
      <w:r w:rsidR="00581EC2">
        <w:rPr>
          <w:rFonts w:ascii="Palatino Linotype" w:hAnsi="Palatino Linotype" w:cs="Arial"/>
        </w:rPr>
        <w:t xml:space="preserve">y remite precisamente el acta solicitada por el hoy recurrente </w:t>
      </w:r>
      <w:r>
        <w:rPr>
          <w:rFonts w:ascii="Palatino Linotype" w:hAnsi="Palatino Linotype" w:cs="Arial"/>
        </w:rPr>
        <w:t>que</w:t>
      </w:r>
      <w:r w:rsidR="00581EC2">
        <w:rPr>
          <w:rFonts w:ascii="Palatino Linotype" w:hAnsi="Palatino Linotype" w:cs="Arial"/>
        </w:rPr>
        <w:t xml:space="preserve"> en un principio</w:t>
      </w:r>
      <w:r>
        <w:rPr>
          <w:rFonts w:ascii="Palatino Linotype" w:hAnsi="Palatino Linotype" w:cs="Arial"/>
        </w:rPr>
        <w:t xml:space="preserve"> no se le proporcionó, es decir, l</w:t>
      </w:r>
      <w:r w:rsidRPr="00514B84">
        <w:rPr>
          <w:rFonts w:ascii="Palatino Linotype" w:hAnsi="Palatino Linotype" w:cs="Arial"/>
        </w:rPr>
        <w:t xml:space="preserve">os elementos que no se proporcionaron en un principio que fueron adheridos en informe de justificación es </w:t>
      </w:r>
      <w:r w:rsidR="00244907">
        <w:rPr>
          <w:rFonts w:ascii="Palatino Linotype" w:hAnsi="Palatino Linotype" w:cs="Arial"/>
        </w:rPr>
        <w:t>la propia acta</w:t>
      </w:r>
      <w:r w:rsidR="001B699C">
        <w:rPr>
          <w:rFonts w:ascii="Palatino Linotype" w:hAnsi="Palatino Linotype" w:cs="Arial"/>
        </w:rPr>
        <w:t xml:space="preserve">, y es </w:t>
      </w:r>
      <w:r w:rsidR="006C53AC">
        <w:rPr>
          <w:rFonts w:ascii="Palatino Linotype" w:hAnsi="Palatino Linotype" w:cs="Arial"/>
        </w:rPr>
        <w:t>precisamente</w:t>
      </w:r>
      <w:r w:rsidR="001B699C">
        <w:rPr>
          <w:rFonts w:ascii="Palatino Linotype" w:hAnsi="Palatino Linotype" w:cs="Arial"/>
        </w:rPr>
        <w:t xml:space="preserve"> en lo que estribo la razón o motivo de </w:t>
      </w:r>
      <w:r w:rsidR="006C53AC">
        <w:rPr>
          <w:rFonts w:ascii="Palatino Linotype" w:hAnsi="Palatino Linotype" w:cs="Arial"/>
        </w:rPr>
        <w:t>inconformidad</w:t>
      </w:r>
      <w:r>
        <w:rPr>
          <w:rFonts w:ascii="Palatino Linotype" w:hAnsi="Palatino Linotype"/>
        </w:rPr>
        <w:t>, es deci</w:t>
      </w:r>
      <w:r w:rsidR="006C53AC">
        <w:rPr>
          <w:rFonts w:ascii="Palatino Linotype" w:hAnsi="Palatino Linotype"/>
        </w:rPr>
        <w:t xml:space="preserve">r, el sujeto obligado </w:t>
      </w:r>
      <w:r w:rsidR="00244907">
        <w:rPr>
          <w:rFonts w:ascii="Palatino Linotype" w:hAnsi="Palatino Linotype"/>
        </w:rPr>
        <w:t>revocó</w:t>
      </w:r>
      <w:r>
        <w:rPr>
          <w:rFonts w:ascii="Palatino Linotype" w:hAnsi="Palatino Linotype"/>
        </w:rPr>
        <w:t xml:space="preserve"> su respuesta</w:t>
      </w:r>
      <w:r>
        <w:rPr>
          <w:rFonts w:ascii="Palatino Linotype" w:hAnsi="Palatino Linotype" w:cs="Arial"/>
        </w:rPr>
        <w:t>, en ese sentido, el cuarto elemento normativo de la figura legal del sobreseimiento, consistente en: “…</w:t>
      </w:r>
      <w:r w:rsidRPr="00CF076D">
        <w:rPr>
          <w:rFonts w:ascii="Palatino Linotype" w:hAnsi="Palatino Linotype" w:cs="Arial"/>
          <w:i/>
        </w:rPr>
        <w:t>de tal manera que el medio de impugnación quede sin materia</w:t>
      </w:r>
      <w:r>
        <w:rPr>
          <w:rFonts w:ascii="Palatino Linotype" w:hAnsi="Palatino Linotype" w:cs="Arial"/>
        </w:rPr>
        <w:t xml:space="preserve">…”, en el presente caso, se actualiza tal circunstancia, ya que el acto impugnado que dio origen al presente recurso quedó sin materia pues se </w:t>
      </w:r>
      <w:r w:rsidR="00244907">
        <w:rPr>
          <w:rFonts w:ascii="Palatino Linotype" w:hAnsi="Palatino Linotype" w:cs="Arial"/>
        </w:rPr>
        <w:t>remitió el acta</w:t>
      </w:r>
      <w:r>
        <w:rPr>
          <w:rFonts w:ascii="Palatino Linotype" w:hAnsi="Palatino Linotype" w:cs="Arial"/>
        </w:rPr>
        <w:t xml:space="preserve"> que no se proporcionó en un principio y que da certeza al recurrente.</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rPr>
      </w:pPr>
      <w:r>
        <w:rPr>
          <w:rFonts w:ascii="Palatino Linotype" w:hAnsi="Palatino Linotype" w:cs="Arial"/>
        </w:rPr>
        <w:t xml:space="preserve">Derivado de lo anterior, </w:t>
      </w:r>
      <w:r>
        <w:rPr>
          <w:rFonts w:ascii="Palatino Linotype" w:hAnsi="Palatino Linotype"/>
        </w:rPr>
        <w:t>este Instituto considera que se actualiza la causal de sobreseimiento establecida en el artículo 192, fracción III de la Ley de Transparencia y Acceso a la Información Pública del Estado de México y Municipios, ya que deja sin materia los actos impugnados, que a la letra señala:</w:t>
      </w:r>
    </w:p>
    <w:p w:rsidR="00752D08" w:rsidRDefault="00752D08" w:rsidP="00752D08">
      <w:pPr>
        <w:pStyle w:val="Default"/>
        <w:spacing w:line="360" w:lineRule="auto"/>
        <w:jc w:val="both"/>
        <w:rPr>
          <w:rFonts w:ascii="Palatino Linotype" w:hAnsi="Palatino Linotype"/>
          <w:color w:val="auto"/>
        </w:rPr>
      </w:pP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“Artículo 192. El recurso será sobreseído, en todo o en parte, cuando una vez admitido, se actualicen alguno de los siguientes supuestos:</w:t>
      </w: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w:t>
      </w: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174089" w:rsidRDefault="00174089"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 xml:space="preserve">con fundamento en el artículo 186 fracción I de la Ley de Transparencia y Acceso a la Información Pública del Estado de México y Municipios,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w:t>
      </w:r>
      <w:r w:rsidRPr="00A54486">
        <w:rPr>
          <w:rFonts w:ascii="Palatino Linotype" w:hAnsi="Palatino Linotype" w:cs="Arial"/>
        </w:rPr>
        <w:lastRenderedPageBreak/>
        <w:t xml:space="preserve">revisión </w:t>
      </w:r>
      <w:r>
        <w:rPr>
          <w:rFonts w:ascii="Palatino Linotype" w:hAnsi="Palatino Linotype" w:cs="Arial"/>
        </w:rPr>
        <w:t>0</w:t>
      </w:r>
      <w:r w:rsidR="005E78F6">
        <w:rPr>
          <w:rFonts w:ascii="Palatino Linotype" w:hAnsi="Palatino Linotype" w:cs="Arial"/>
        </w:rPr>
        <w:t>5350</w:t>
      </w:r>
      <w:r w:rsidRPr="00A54486">
        <w:rPr>
          <w:rFonts w:ascii="Palatino Linotype" w:hAnsi="Palatino Linotype" w:cs="Arial"/>
        </w:rPr>
        <w:t>/INFOEM/IP/RR/201</w:t>
      </w:r>
      <w:r>
        <w:rPr>
          <w:rFonts w:ascii="Palatino Linotype" w:hAnsi="Palatino Linotype" w:cs="Arial"/>
        </w:rPr>
        <w:t>9</w:t>
      </w:r>
      <w:r w:rsidRPr="00A54486">
        <w:rPr>
          <w:rFonts w:ascii="Palatino Linotype" w:hAnsi="Palatino Linotype" w:cs="Arial"/>
        </w:rPr>
        <w:t xml:space="preserve"> que ha sido materia del presente fallo, por lo antes expuesto y fundado</w:t>
      </w:r>
      <w:r>
        <w:rPr>
          <w:rFonts w:ascii="Palatino Linotype" w:hAnsi="Palatino Linotype" w:cs="Arial"/>
        </w:rPr>
        <w:t>, este Pleno:</w:t>
      </w:r>
    </w:p>
    <w:p w:rsidR="005E78F6" w:rsidRDefault="005E78F6" w:rsidP="00752D08">
      <w:pPr>
        <w:spacing w:line="360" w:lineRule="auto"/>
        <w:jc w:val="both"/>
        <w:rPr>
          <w:rFonts w:ascii="Palatino Linotype" w:hAnsi="Palatino Linotype" w:cs="Arial"/>
        </w:rPr>
      </w:pPr>
    </w:p>
    <w:p w:rsidR="00752D08" w:rsidRPr="00AD2F93" w:rsidRDefault="00752D08" w:rsidP="00752D08">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RESUELVE</w:t>
      </w:r>
    </w:p>
    <w:p w:rsidR="00752D08" w:rsidRPr="00AD2F93" w:rsidRDefault="00752D08" w:rsidP="00752D08">
      <w:pPr>
        <w:spacing w:line="360" w:lineRule="auto"/>
        <w:jc w:val="both"/>
        <w:rPr>
          <w:rFonts w:ascii="Palatino Linotype" w:hAnsi="Palatino Linotype" w:cs="Arial"/>
          <w:sz w:val="23"/>
          <w:szCs w:val="23"/>
        </w:rPr>
      </w:pPr>
    </w:p>
    <w:p w:rsidR="00752D08" w:rsidRPr="00846DBA" w:rsidRDefault="00752D08" w:rsidP="00752D08">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el recurso de revisión número </w:t>
      </w:r>
      <w:r>
        <w:rPr>
          <w:rFonts w:ascii="Palatino Linotype" w:hAnsi="Palatino Linotype" w:cs="Arial"/>
        </w:rPr>
        <w:t>0</w:t>
      </w:r>
      <w:r w:rsidR="005E78F6">
        <w:rPr>
          <w:rFonts w:ascii="Palatino Linotype" w:hAnsi="Palatino Linotype" w:cs="Arial"/>
        </w:rPr>
        <w:t>5350</w:t>
      </w:r>
      <w:r w:rsidRPr="00846DBA">
        <w:rPr>
          <w:rFonts w:ascii="Palatino Linotype" w:hAnsi="Palatino Linotype" w:cs="Arial"/>
        </w:rPr>
        <w:t>/INFOEM/IP/RR/201</w:t>
      </w:r>
      <w:r>
        <w:rPr>
          <w:rFonts w:ascii="Palatino Linotype" w:hAnsi="Palatino Linotype" w:cs="Arial"/>
        </w:rPr>
        <w:t>9</w:t>
      </w:r>
      <w:r w:rsidRPr="00846DBA">
        <w:rPr>
          <w:rFonts w:ascii="Palatino Linotype" w:hAnsi="Palatino Linotype" w:cs="Arial"/>
        </w:rPr>
        <w:t>, porque al modificar la respuesta</w:t>
      </w:r>
      <w:r>
        <w:rPr>
          <w:rFonts w:ascii="Palatino Linotype" w:hAnsi="Palatino Linotype" w:cs="Arial"/>
        </w:rPr>
        <w:t>,</w:t>
      </w:r>
      <w:r w:rsidRPr="00846DBA">
        <w:rPr>
          <w:rFonts w:ascii="Palatino Linotype" w:hAnsi="Palatino Linotype" w:cs="Arial"/>
        </w:rPr>
        <w:t xml:space="preserve"> el recurso de revisión quedó sin materia en términos del Considerando </w:t>
      </w:r>
      <w:r>
        <w:rPr>
          <w:rFonts w:ascii="Palatino Linotype" w:hAnsi="Palatino Linotype" w:cs="Arial"/>
        </w:rPr>
        <w:t>TERCERO</w:t>
      </w:r>
      <w:r w:rsidRPr="00846DBA">
        <w:rPr>
          <w:rFonts w:ascii="Palatino Linotype" w:hAnsi="Palatino Linotype" w:cs="Arial"/>
        </w:rPr>
        <w:t xml:space="preserve"> de la presente resolución.</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FA53BB" w:rsidRDefault="00FA53BB" w:rsidP="00FA53BB">
      <w:pPr>
        <w:spacing w:line="360" w:lineRule="auto"/>
        <w:jc w:val="both"/>
        <w:rPr>
          <w:rFonts w:ascii="Palatino Linotype" w:hAnsi="Palatino Linotype" w:cs="Arial"/>
        </w:rPr>
      </w:pPr>
    </w:p>
    <w:p w:rsidR="004B4F61" w:rsidRDefault="00113E45" w:rsidP="004B4F61">
      <w:pPr>
        <w:spacing w:line="360" w:lineRule="auto"/>
        <w:jc w:val="both"/>
        <w:rPr>
          <w:rFonts w:ascii="Palatino Linotype" w:hAnsi="Palatino Linotype" w:cs="Arial"/>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w:t>
      </w:r>
      <w:r w:rsidRPr="00AD2F93">
        <w:rPr>
          <w:rFonts w:ascii="Palatino Linotype" w:hAnsi="Palatino Linotype" w:cs="Arial"/>
          <w:sz w:val="23"/>
          <w:szCs w:val="23"/>
        </w:rPr>
        <w:lastRenderedPageBreak/>
        <w:t>GUSTAVO PARRA NORIEGA</w:t>
      </w:r>
      <w:r w:rsidR="00AD2F93" w:rsidRPr="00AD2F93">
        <w:rPr>
          <w:rFonts w:ascii="Palatino Linotype" w:hAnsi="Palatino Linotype" w:cs="Arial"/>
          <w:sz w:val="23"/>
          <w:szCs w:val="23"/>
        </w:rPr>
        <w:t>, EN LA</w:t>
      </w:r>
      <w:r w:rsidRPr="00AD2F93">
        <w:rPr>
          <w:rFonts w:ascii="Palatino Linotype" w:hAnsi="Palatino Linotype" w:cs="Arial"/>
          <w:sz w:val="23"/>
          <w:szCs w:val="23"/>
        </w:rPr>
        <w:t xml:space="preserve"> </w:t>
      </w:r>
      <w:r w:rsidR="0067141E">
        <w:rPr>
          <w:rFonts w:ascii="Palatino Linotype" w:hAnsi="Palatino Linotype" w:cs="Arial"/>
        </w:rPr>
        <w:t>TRIGÉSIMA PRIMERA SESIÓN ORDINARIA CELEBRADA EL VEINTIOCHO DE AGOSTO DE DOS MIL DIECINUEVE</w:t>
      </w:r>
      <w:r w:rsidRPr="00AD2F93">
        <w:rPr>
          <w:rFonts w:ascii="Palatino Linotype" w:hAnsi="Palatino Linotype" w:cs="Arial"/>
          <w:sz w:val="23"/>
          <w:szCs w:val="23"/>
        </w:rPr>
        <w:t>, ANTE EL SECRETARIO TÉCNICO DEL PLENO, ALEXIS TAPIA RAMÍREZ.</w:t>
      </w:r>
      <w:r w:rsidR="004B4F61">
        <w:rPr>
          <w:rFonts w:ascii="Palatino Linotype" w:hAnsi="Palatino Linotype" w:cs="Arial"/>
          <w:sz w:val="23"/>
          <w:szCs w:val="23"/>
        </w:rPr>
        <w:t xml:space="preserve"> </w:t>
      </w:r>
      <w:r w:rsidR="004B4F61" w:rsidRPr="00F876A8">
        <w:rPr>
          <w:rFonts w:ascii="Palatino Linotype" w:hAnsi="Palatino Linotype" w:cs="Arial"/>
        </w:rPr>
        <w:t>.</w:t>
      </w:r>
      <w:r w:rsidR="0067141E">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7F3292" w:rsidRDefault="007F3292" w:rsidP="004B4F61">
      <w:pPr>
        <w:spacing w:line="360" w:lineRule="auto"/>
        <w:jc w:val="both"/>
        <w:rPr>
          <w:rFonts w:ascii="Palatino Linotype" w:hAnsi="Palatino Linotype"/>
          <w:b/>
        </w:rPr>
      </w:pPr>
    </w:p>
    <w:p w:rsidR="007F3292" w:rsidRDefault="007F3292"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w:t>
                            </w:r>
                            <w:r w:rsidR="00E80BC6">
                              <w:rPr>
                                <w:rFonts w:ascii="Palatino Linotype" w:hAnsi="Palatino Linotype"/>
                              </w:rPr>
                              <w:t>Rúbrica</w:t>
                            </w:r>
                            <w:r w:rsidRPr="007F3292">
                              <w:rPr>
                                <w:rFonts w:ascii="Palatino Linotype" w:hAnsi="Palatino Linotype"/>
                              </w:rPr>
                              <w:t>)</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w:t>
                      </w:r>
                      <w:r w:rsidR="00E80BC6">
                        <w:rPr>
                          <w:rFonts w:ascii="Palatino Linotype" w:hAnsi="Palatino Linotype"/>
                        </w:rPr>
                        <w:t>Rúbrica</w:t>
                      </w:r>
                      <w:r w:rsidRPr="007F3292">
                        <w:rPr>
                          <w:rFonts w:ascii="Palatino Linotype" w:hAnsi="Palatino Linotype"/>
                        </w:rPr>
                        <w:t>)</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7F3292" w:rsidRDefault="007F3292"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67141E" w:rsidRPr="0067141E">
        <w:rPr>
          <w:rFonts w:ascii="Palatino Linotype" w:hAnsi="Palatino Linotype" w:cs="Arial"/>
          <w:sz w:val="20"/>
          <w:szCs w:val="20"/>
        </w:rPr>
        <w:t>veintiocho de agosto de dos mil diecinueve</w:t>
      </w:r>
      <w:r w:rsidRPr="00363A57">
        <w:rPr>
          <w:rFonts w:ascii="Palatino Linotype" w:hAnsi="Palatino Linotype" w:cs="Arial"/>
          <w:sz w:val="20"/>
          <w:szCs w:val="20"/>
        </w:rPr>
        <w:t xml:space="preserve">, emitida en el recurso de revisión </w:t>
      </w:r>
      <w:r w:rsidRPr="0067141E">
        <w:rPr>
          <w:rFonts w:ascii="Palatino Linotype" w:hAnsi="Palatino Linotype" w:cs="Arial"/>
          <w:sz w:val="20"/>
          <w:szCs w:val="20"/>
        </w:rPr>
        <w:t>0</w:t>
      </w:r>
      <w:r w:rsidR="0067141E">
        <w:rPr>
          <w:rFonts w:ascii="Palatino Linotype" w:hAnsi="Palatino Linotype" w:cs="Arial"/>
          <w:sz w:val="20"/>
          <w:szCs w:val="20"/>
        </w:rPr>
        <w:t>5350</w:t>
      </w:r>
      <w:r w:rsidRPr="0067141E">
        <w:rPr>
          <w:rFonts w:ascii="Palatino Linotype" w:hAnsi="Palatino Linotype" w:cs="Arial"/>
          <w:sz w:val="20"/>
          <w:szCs w:val="20"/>
        </w:rPr>
        <w:t>/INFOEM</w:t>
      </w:r>
      <w:r w:rsidRPr="00363A57">
        <w:rPr>
          <w:rFonts w:ascii="Palatino Linotype" w:hAnsi="Palatino Linotype" w:cs="Arial"/>
          <w:bCs/>
          <w:sz w:val="20"/>
          <w:szCs w:val="20"/>
          <w:lang w:eastAsia="es-MX"/>
        </w:rPr>
        <w:t>/IP/RR/201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11"/>
      <w:footerReference w:type="default" r:id="rId12"/>
      <w:headerReference w:type="first" r:id="rId13"/>
      <w:footerReference w:type="first" r:id="rId14"/>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552" w:rsidRDefault="00083552" w:rsidP="00113E45">
      <w:r>
        <w:separator/>
      </w:r>
    </w:p>
  </w:endnote>
  <w:endnote w:type="continuationSeparator" w:id="0">
    <w:p w:rsidR="00083552" w:rsidRDefault="00083552"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95CB8">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95CB8">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95CB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95CB8">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552" w:rsidRDefault="00083552" w:rsidP="00113E45">
      <w:r>
        <w:separator/>
      </w:r>
    </w:p>
  </w:footnote>
  <w:footnote w:type="continuationSeparator" w:id="0">
    <w:p w:rsidR="00083552" w:rsidRDefault="00083552" w:rsidP="0011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AE7A60" w:rsidRPr="005A5E02" w:rsidRDefault="00AE7A60" w:rsidP="00835D9D">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835D9D">
            <w:rPr>
              <w:rFonts w:ascii="Palatino Linotype" w:hAnsi="Palatino Linotype"/>
              <w:b/>
              <w:sz w:val="22"/>
              <w:szCs w:val="22"/>
              <w:lang w:val="es-ES_tradnl"/>
            </w:rPr>
            <w:t>5350</w:t>
          </w:r>
          <w:r w:rsidRPr="00792FF5">
            <w:rPr>
              <w:rFonts w:ascii="Palatino Linotype" w:hAnsi="Palatino Linotype"/>
              <w:b/>
              <w:sz w:val="22"/>
              <w:szCs w:val="22"/>
              <w:lang w:val="es-ES_tradnl"/>
            </w:rPr>
            <w:t>/INFOEM/IP/RR/2019</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AE7A60" w:rsidRPr="00927A01" w:rsidRDefault="00835D9D" w:rsidP="00835D9D">
          <w:pPr>
            <w:tabs>
              <w:tab w:val="left" w:pos="3153"/>
            </w:tabs>
            <w:ind w:left="-45"/>
            <w:jc w:val="both"/>
            <w:rPr>
              <w:rFonts w:ascii="Palatino Linotype" w:hAnsi="Palatino Linotype"/>
              <w:b/>
              <w:sz w:val="22"/>
              <w:szCs w:val="22"/>
              <w:lang w:val="es-ES_tradnl"/>
            </w:rPr>
          </w:pPr>
          <w:r w:rsidRPr="00835D9D">
            <w:rPr>
              <w:rFonts w:ascii="Palatino Linotype" w:hAnsi="Palatino Linotype"/>
              <w:b/>
              <w:sz w:val="22"/>
              <w:szCs w:val="22"/>
              <w:lang w:val="es-ES_tradnl"/>
            </w:rPr>
            <w:t>Tribunal Estatal de Conciliación y Arbitraje</w:t>
          </w:r>
          <w:r w:rsidR="000A351F">
            <w:rPr>
              <w:rFonts w:ascii="Palatino Linotype" w:hAnsi="Palatino Linotype"/>
              <w:b/>
              <w:sz w:val="22"/>
              <w:szCs w:val="22"/>
              <w:lang w:val="es-ES_tradnl"/>
            </w:rPr>
            <w:t>.</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3261" w:type="dxa"/>
      <w:tblLayout w:type="fixed"/>
      <w:tblLook w:val="04A0" w:firstRow="1" w:lastRow="0" w:firstColumn="1" w:lastColumn="0" w:noHBand="0" w:noVBand="1"/>
    </w:tblPr>
    <w:tblGrid>
      <w:gridCol w:w="2551"/>
      <w:gridCol w:w="3827"/>
    </w:tblGrid>
    <w:tr w:rsidR="00AE7A60" w:rsidRPr="005A5E02" w:rsidTr="00835D9D">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rsidR="00AE7A60" w:rsidRPr="005A5E02" w:rsidRDefault="00AE7A60" w:rsidP="00835D9D">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835D9D">
            <w:rPr>
              <w:rFonts w:ascii="Palatino Linotype" w:hAnsi="Palatino Linotype"/>
              <w:b/>
              <w:sz w:val="22"/>
              <w:szCs w:val="22"/>
              <w:lang w:val="es-ES_tradnl"/>
            </w:rPr>
            <w:t>5350</w:t>
          </w:r>
          <w:r w:rsidRPr="00792FF5">
            <w:rPr>
              <w:rFonts w:ascii="Palatino Linotype" w:hAnsi="Palatino Linotype"/>
              <w:b/>
              <w:sz w:val="22"/>
              <w:szCs w:val="22"/>
              <w:lang w:val="es-ES_tradnl"/>
            </w:rPr>
            <w:t>/INFOEM/IP/RR/2019</w:t>
          </w:r>
        </w:p>
      </w:tc>
    </w:tr>
    <w:tr w:rsidR="00AE7A60" w:rsidRPr="005A5E02" w:rsidTr="00835D9D">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7" w:type="dxa"/>
          <w:shd w:val="clear" w:color="auto" w:fill="auto"/>
          <w:vAlign w:val="center"/>
        </w:tcPr>
        <w:p w:rsidR="00AE7A60" w:rsidRPr="00927A01" w:rsidRDefault="00095CB8" w:rsidP="00E40810">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xxxxxxxxxxxxxxxxxxxxxxxxxxxxxxxx</w:t>
          </w:r>
        </w:p>
      </w:tc>
    </w:tr>
    <w:tr w:rsidR="00AE7A60" w:rsidRPr="00835D9D" w:rsidTr="00835D9D">
      <w:trPr>
        <w:trHeight w:val="228"/>
      </w:trPr>
      <w:tc>
        <w:tcPr>
          <w:tcW w:w="2551" w:type="dxa"/>
          <w:shd w:val="clear" w:color="auto" w:fill="auto"/>
          <w:vAlign w:val="center"/>
        </w:tcPr>
        <w:p w:rsidR="00AE7A60" w:rsidRPr="005A5E02" w:rsidRDefault="00AE7A60" w:rsidP="00835D9D">
          <w:pPr>
            <w:ind w:left="-45"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rsidR="00B61DCC" w:rsidRDefault="00835D9D" w:rsidP="00B61DCC">
          <w:pPr>
            <w:ind w:left="-45" w:right="-533"/>
            <w:jc w:val="both"/>
            <w:rPr>
              <w:rFonts w:ascii="Palatino Linotype" w:hAnsi="Palatino Linotype"/>
              <w:b/>
              <w:sz w:val="22"/>
              <w:szCs w:val="22"/>
              <w:lang w:val="es-ES_tradnl"/>
            </w:rPr>
          </w:pPr>
          <w:r w:rsidRPr="00835D9D">
            <w:rPr>
              <w:rFonts w:ascii="Palatino Linotype" w:hAnsi="Palatino Linotype"/>
              <w:b/>
              <w:sz w:val="22"/>
              <w:szCs w:val="22"/>
              <w:lang w:val="es-ES_tradnl"/>
            </w:rPr>
            <w:t>Tribunal Estatal de Conciliación</w:t>
          </w:r>
        </w:p>
        <w:p w:rsidR="00AE7A60" w:rsidRPr="00927A01" w:rsidRDefault="00B61DCC" w:rsidP="00B61DCC">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 y Arbitraje</w:t>
          </w:r>
        </w:p>
      </w:tc>
    </w:tr>
    <w:tr w:rsidR="00AE7A60" w:rsidRPr="005A5E02" w:rsidTr="00835D9D">
      <w:tc>
        <w:tcPr>
          <w:tcW w:w="2551" w:type="dxa"/>
          <w:shd w:val="clear" w:color="auto" w:fill="auto"/>
          <w:vAlign w:val="center"/>
        </w:tcPr>
        <w:p w:rsidR="00AE7A60" w:rsidRPr="005A5E02" w:rsidRDefault="00AE7A60" w:rsidP="0067141E">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67141E">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827"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8"/>
  </w:num>
  <w:num w:numId="5">
    <w:abstractNumId w:val="6"/>
  </w:num>
  <w:num w:numId="6">
    <w:abstractNumId w:val="5"/>
  </w:num>
  <w:num w:numId="7">
    <w:abstractNumId w:val="9"/>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15D64"/>
    <w:rsid w:val="00021F0B"/>
    <w:rsid w:val="00022ADE"/>
    <w:rsid w:val="000250BB"/>
    <w:rsid w:val="000253FB"/>
    <w:rsid w:val="00037050"/>
    <w:rsid w:val="00040D90"/>
    <w:rsid w:val="00050FF2"/>
    <w:rsid w:val="00051BDC"/>
    <w:rsid w:val="00056B17"/>
    <w:rsid w:val="00060986"/>
    <w:rsid w:val="00077D38"/>
    <w:rsid w:val="00077DA3"/>
    <w:rsid w:val="00083552"/>
    <w:rsid w:val="00091891"/>
    <w:rsid w:val="00092FD9"/>
    <w:rsid w:val="000938CF"/>
    <w:rsid w:val="00095CB8"/>
    <w:rsid w:val="00095D9B"/>
    <w:rsid w:val="000A2425"/>
    <w:rsid w:val="000A351F"/>
    <w:rsid w:val="000A6F7A"/>
    <w:rsid w:val="000B7C51"/>
    <w:rsid w:val="000C16FF"/>
    <w:rsid w:val="000C1926"/>
    <w:rsid w:val="000D1D04"/>
    <w:rsid w:val="000D3560"/>
    <w:rsid w:val="000D4FEB"/>
    <w:rsid w:val="000E62F9"/>
    <w:rsid w:val="00105B74"/>
    <w:rsid w:val="00106F34"/>
    <w:rsid w:val="001073A5"/>
    <w:rsid w:val="00113E45"/>
    <w:rsid w:val="00127DBF"/>
    <w:rsid w:val="001603AF"/>
    <w:rsid w:val="001636A5"/>
    <w:rsid w:val="00163BE6"/>
    <w:rsid w:val="0016431C"/>
    <w:rsid w:val="00164E83"/>
    <w:rsid w:val="00174089"/>
    <w:rsid w:val="00182655"/>
    <w:rsid w:val="0018475A"/>
    <w:rsid w:val="001853B9"/>
    <w:rsid w:val="0018599C"/>
    <w:rsid w:val="00186BFF"/>
    <w:rsid w:val="00195B24"/>
    <w:rsid w:val="0019611D"/>
    <w:rsid w:val="001A099E"/>
    <w:rsid w:val="001A1F69"/>
    <w:rsid w:val="001A3594"/>
    <w:rsid w:val="001B699C"/>
    <w:rsid w:val="001B6A97"/>
    <w:rsid w:val="001D4928"/>
    <w:rsid w:val="001E23A3"/>
    <w:rsid w:val="001E713B"/>
    <w:rsid w:val="001E78AA"/>
    <w:rsid w:val="001E7A3A"/>
    <w:rsid w:val="001F62CA"/>
    <w:rsid w:val="00200879"/>
    <w:rsid w:val="002043B1"/>
    <w:rsid w:val="002138B7"/>
    <w:rsid w:val="002201A0"/>
    <w:rsid w:val="00231453"/>
    <w:rsid w:val="0023246F"/>
    <w:rsid w:val="0023424F"/>
    <w:rsid w:val="00236D2C"/>
    <w:rsid w:val="0024136A"/>
    <w:rsid w:val="002438E8"/>
    <w:rsid w:val="00244907"/>
    <w:rsid w:val="00256122"/>
    <w:rsid w:val="002627A2"/>
    <w:rsid w:val="002628BF"/>
    <w:rsid w:val="00262AC8"/>
    <w:rsid w:val="00267A53"/>
    <w:rsid w:val="00270545"/>
    <w:rsid w:val="00271C92"/>
    <w:rsid w:val="00271D9B"/>
    <w:rsid w:val="00275A9D"/>
    <w:rsid w:val="00277020"/>
    <w:rsid w:val="00284869"/>
    <w:rsid w:val="00293E0B"/>
    <w:rsid w:val="00297A41"/>
    <w:rsid w:val="002B3695"/>
    <w:rsid w:val="002B3C9E"/>
    <w:rsid w:val="002B7AEC"/>
    <w:rsid w:val="002C2DB0"/>
    <w:rsid w:val="002C6F29"/>
    <w:rsid w:val="002D08E1"/>
    <w:rsid w:val="002E0F46"/>
    <w:rsid w:val="002F7689"/>
    <w:rsid w:val="0031126F"/>
    <w:rsid w:val="00313810"/>
    <w:rsid w:val="00313F0A"/>
    <w:rsid w:val="00315F95"/>
    <w:rsid w:val="00316F4C"/>
    <w:rsid w:val="003215D8"/>
    <w:rsid w:val="00322241"/>
    <w:rsid w:val="003264AD"/>
    <w:rsid w:val="00326CC3"/>
    <w:rsid w:val="00332666"/>
    <w:rsid w:val="00344DBB"/>
    <w:rsid w:val="0034638C"/>
    <w:rsid w:val="003526C8"/>
    <w:rsid w:val="00353A12"/>
    <w:rsid w:val="0036528C"/>
    <w:rsid w:val="0036603B"/>
    <w:rsid w:val="00372C97"/>
    <w:rsid w:val="00374370"/>
    <w:rsid w:val="00380D76"/>
    <w:rsid w:val="003839F4"/>
    <w:rsid w:val="003958E1"/>
    <w:rsid w:val="0039742B"/>
    <w:rsid w:val="003A041F"/>
    <w:rsid w:val="003A0725"/>
    <w:rsid w:val="003A7632"/>
    <w:rsid w:val="003B475A"/>
    <w:rsid w:val="003B56A3"/>
    <w:rsid w:val="003D2060"/>
    <w:rsid w:val="003E377E"/>
    <w:rsid w:val="003E4892"/>
    <w:rsid w:val="003F15A9"/>
    <w:rsid w:val="00404CE0"/>
    <w:rsid w:val="0041155C"/>
    <w:rsid w:val="0041694C"/>
    <w:rsid w:val="00417436"/>
    <w:rsid w:val="00421704"/>
    <w:rsid w:val="00424992"/>
    <w:rsid w:val="0043170B"/>
    <w:rsid w:val="00435BF2"/>
    <w:rsid w:val="00442EEF"/>
    <w:rsid w:val="004431A7"/>
    <w:rsid w:val="0044527E"/>
    <w:rsid w:val="004467B2"/>
    <w:rsid w:val="00447544"/>
    <w:rsid w:val="00451B73"/>
    <w:rsid w:val="00452D25"/>
    <w:rsid w:val="00452F88"/>
    <w:rsid w:val="004543BF"/>
    <w:rsid w:val="004628C8"/>
    <w:rsid w:val="004708F6"/>
    <w:rsid w:val="004817E4"/>
    <w:rsid w:val="00482780"/>
    <w:rsid w:val="0049559A"/>
    <w:rsid w:val="004977FD"/>
    <w:rsid w:val="004A1232"/>
    <w:rsid w:val="004A5666"/>
    <w:rsid w:val="004A6FD8"/>
    <w:rsid w:val="004B3EDF"/>
    <w:rsid w:val="004B4F61"/>
    <w:rsid w:val="004C060E"/>
    <w:rsid w:val="004D3D61"/>
    <w:rsid w:val="004E7F0D"/>
    <w:rsid w:val="005053AE"/>
    <w:rsid w:val="00505C5F"/>
    <w:rsid w:val="005101F5"/>
    <w:rsid w:val="005139FC"/>
    <w:rsid w:val="00514B84"/>
    <w:rsid w:val="00521D87"/>
    <w:rsid w:val="00523A31"/>
    <w:rsid w:val="00524903"/>
    <w:rsid w:val="005415C0"/>
    <w:rsid w:val="00547F2F"/>
    <w:rsid w:val="00554F71"/>
    <w:rsid w:val="00556BD7"/>
    <w:rsid w:val="00580E69"/>
    <w:rsid w:val="00581EC2"/>
    <w:rsid w:val="00582766"/>
    <w:rsid w:val="00583535"/>
    <w:rsid w:val="0059172D"/>
    <w:rsid w:val="00591EAF"/>
    <w:rsid w:val="005A0459"/>
    <w:rsid w:val="005A51AE"/>
    <w:rsid w:val="005A77AB"/>
    <w:rsid w:val="005B252C"/>
    <w:rsid w:val="005B2607"/>
    <w:rsid w:val="005B58AB"/>
    <w:rsid w:val="005E1436"/>
    <w:rsid w:val="005E5C2F"/>
    <w:rsid w:val="005E78F6"/>
    <w:rsid w:val="005F1AE1"/>
    <w:rsid w:val="00603A57"/>
    <w:rsid w:val="006052C1"/>
    <w:rsid w:val="00605643"/>
    <w:rsid w:val="006064F2"/>
    <w:rsid w:val="006067C3"/>
    <w:rsid w:val="006076D2"/>
    <w:rsid w:val="006137E5"/>
    <w:rsid w:val="00615897"/>
    <w:rsid w:val="0061643C"/>
    <w:rsid w:val="006166C8"/>
    <w:rsid w:val="00621DE2"/>
    <w:rsid w:val="00622554"/>
    <w:rsid w:val="006275B9"/>
    <w:rsid w:val="006337C6"/>
    <w:rsid w:val="00633F88"/>
    <w:rsid w:val="00635CC2"/>
    <w:rsid w:val="00637863"/>
    <w:rsid w:val="00643F34"/>
    <w:rsid w:val="00650AA6"/>
    <w:rsid w:val="00652F11"/>
    <w:rsid w:val="0066599B"/>
    <w:rsid w:val="0067141E"/>
    <w:rsid w:val="0067362D"/>
    <w:rsid w:val="00673B22"/>
    <w:rsid w:val="00681B00"/>
    <w:rsid w:val="00681F77"/>
    <w:rsid w:val="0068532B"/>
    <w:rsid w:val="00687ACF"/>
    <w:rsid w:val="0069739B"/>
    <w:rsid w:val="006B33CF"/>
    <w:rsid w:val="006B4441"/>
    <w:rsid w:val="006C30C7"/>
    <w:rsid w:val="006C4125"/>
    <w:rsid w:val="006C53AC"/>
    <w:rsid w:val="006C63E7"/>
    <w:rsid w:val="006C6986"/>
    <w:rsid w:val="006E23FD"/>
    <w:rsid w:val="006F5F53"/>
    <w:rsid w:val="00704745"/>
    <w:rsid w:val="00710248"/>
    <w:rsid w:val="00711FF6"/>
    <w:rsid w:val="00712717"/>
    <w:rsid w:val="00721F57"/>
    <w:rsid w:val="007322F3"/>
    <w:rsid w:val="00733133"/>
    <w:rsid w:val="007332B1"/>
    <w:rsid w:val="00733FD4"/>
    <w:rsid w:val="00746C37"/>
    <w:rsid w:val="00752C7C"/>
    <w:rsid w:val="00752D08"/>
    <w:rsid w:val="0076646B"/>
    <w:rsid w:val="007714D1"/>
    <w:rsid w:val="00772967"/>
    <w:rsid w:val="007764BB"/>
    <w:rsid w:val="0078074C"/>
    <w:rsid w:val="00780C57"/>
    <w:rsid w:val="007831AC"/>
    <w:rsid w:val="007A69F7"/>
    <w:rsid w:val="007A6E73"/>
    <w:rsid w:val="007B2A10"/>
    <w:rsid w:val="007B4978"/>
    <w:rsid w:val="007C1E7D"/>
    <w:rsid w:val="007C73D1"/>
    <w:rsid w:val="007D37CB"/>
    <w:rsid w:val="007D57B2"/>
    <w:rsid w:val="007E51C8"/>
    <w:rsid w:val="007E543E"/>
    <w:rsid w:val="007F3292"/>
    <w:rsid w:val="007F59FA"/>
    <w:rsid w:val="007F5EAB"/>
    <w:rsid w:val="00800464"/>
    <w:rsid w:val="00802686"/>
    <w:rsid w:val="008135DC"/>
    <w:rsid w:val="008150FA"/>
    <w:rsid w:val="008212DA"/>
    <w:rsid w:val="00826211"/>
    <w:rsid w:val="00830522"/>
    <w:rsid w:val="00831913"/>
    <w:rsid w:val="00832756"/>
    <w:rsid w:val="00835D9D"/>
    <w:rsid w:val="00836CBE"/>
    <w:rsid w:val="00842531"/>
    <w:rsid w:val="00852257"/>
    <w:rsid w:val="008535D7"/>
    <w:rsid w:val="00855285"/>
    <w:rsid w:val="008559BD"/>
    <w:rsid w:val="00860BE6"/>
    <w:rsid w:val="008631C6"/>
    <w:rsid w:val="008660F9"/>
    <w:rsid w:val="008770B8"/>
    <w:rsid w:val="00881A20"/>
    <w:rsid w:val="008938E4"/>
    <w:rsid w:val="0089735E"/>
    <w:rsid w:val="008A063B"/>
    <w:rsid w:val="008B0341"/>
    <w:rsid w:val="008B164D"/>
    <w:rsid w:val="008B298C"/>
    <w:rsid w:val="008C0081"/>
    <w:rsid w:val="008C09F2"/>
    <w:rsid w:val="008C7A5F"/>
    <w:rsid w:val="008D14A7"/>
    <w:rsid w:val="008D76CC"/>
    <w:rsid w:val="008E1475"/>
    <w:rsid w:val="008E4077"/>
    <w:rsid w:val="008E69B6"/>
    <w:rsid w:val="008E7A4E"/>
    <w:rsid w:val="00907026"/>
    <w:rsid w:val="009149A8"/>
    <w:rsid w:val="009170C7"/>
    <w:rsid w:val="0092022B"/>
    <w:rsid w:val="009214BE"/>
    <w:rsid w:val="00922ABA"/>
    <w:rsid w:val="00927819"/>
    <w:rsid w:val="00932647"/>
    <w:rsid w:val="0093353F"/>
    <w:rsid w:val="00941C69"/>
    <w:rsid w:val="00944456"/>
    <w:rsid w:val="00945A70"/>
    <w:rsid w:val="009460C9"/>
    <w:rsid w:val="00953461"/>
    <w:rsid w:val="00953982"/>
    <w:rsid w:val="00960431"/>
    <w:rsid w:val="00960AE0"/>
    <w:rsid w:val="0096400C"/>
    <w:rsid w:val="0097392B"/>
    <w:rsid w:val="00975037"/>
    <w:rsid w:val="00975505"/>
    <w:rsid w:val="0098772F"/>
    <w:rsid w:val="00991AD4"/>
    <w:rsid w:val="0099461B"/>
    <w:rsid w:val="009B2CA4"/>
    <w:rsid w:val="009C10F4"/>
    <w:rsid w:val="009C1232"/>
    <w:rsid w:val="009C4EC5"/>
    <w:rsid w:val="009C7CD2"/>
    <w:rsid w:val="009D017E"/>
    <w:rsid w:val="009E04F2"/>
    <w:rsid w:val="009E1A21"/>
    <w:rsid w:val="009E477C"/>
    <w:rsid w:val="009F13D3"/>
    <w:rsid w:val="009F1562"/>
    <w:rsid w:val="009F6794"/>
    <w:rsid w:val="00A03BDC"/>
    <w:rsid w:val="00A05DF7"/>
    <w:rsid w:val="00A07C3D"/>
    <w:rsid w:val="00A07DE7"/>
    <w:rsid w:val="00A1003B"/>
    <w:rsid w:val="00A163FD"/>
    <w:rsid w:val="00A202E5"/>
    <w:rsid w:val="00A40D82"/>
    <w:rsid w:val="00A4754F"/>
    <w:rsid w:val="00A64787"/>
    <w:rsid w:val="00A711BB"/>
    <w:rsid w:val="00A73285"/>
    <w:rsid w:val="00A82CEC"/>
    <w:rsid w:val="00A83BB6"/>
    <w:rsid w:val="00A842A1"/>
    <w:rsid w:val="00AA3899"/>
    <w:rsid w:val="00AA7B2B"/>
    <w:rsid w:val="00AB09E0"/>
    <w:rsid w:val="00AB18FE"/>
    <w:rsid w:val="00AB6D5B"/>
    <w:rsid w:val="00AC66C0"/>
    <w:rsid w:val="00AC71C0"/>
    <w:rsid w:val="00AD1483"/>
    <w:rsid w:val="00AD2F93"/>
    <w:rsid w:val="00AD6AEE"/>
    <w:rsid w:val="00AD704B"/>
    <w:rsid w:val="00AE0083"/>
    <w:rsid w:val="00AE0503"/>
    <w:rsid w:val="00AE5A08"/>
    <w:rsid w:val="00AE7A60"/>
    <w:rsid w:val="00AF1C47"/>
    <w:rsid w:val="00AF75BD"/>
    <w:rsid w:val="00AF7A7A"/>
    <w:rsid w:val="00B0031E"/>
    <w:rsid w:val="00B0284F"/>
    <w:rsid w:val="00B0739E"/>
    <w:rsid w:val="00B10667"/>
    <w:rsid w:val="00B10711"/>
    <w:rsid w:val="00B1309E"/>
    <w:rsid w:val="00B23718"/>
    <w:rsid w:val="00B269C8"/>
    <w:rsid w:val="00B3374D"/>
    <w:rsid w:val="00B36F25"/>
    <w:rsid w:val="00B4005D"/>
    <w:rsid w:val="00B4022F"/>
    <w:rsid w:val="00B54EF1"/>
    <w:rsid w:val="00B5603E"/>
    <w:rsid w:val="00B57739"/>
    <w:rsid w:val="00B57DB1"/>
    <w:rsid w:val="00B609C3"/>
    <w:rsid w:val="00B61DCC"/>
    <w:rsid w:val="00B65221"/>
    <w:rsid w:val="00B74157"/>
    <w:rsid w:val="00B9010F"/>
    <w:rsid w:val="00B93ACD"/>
    <w:rsid w:val="00B964AF"/>
    <w:rsid w:val="00B975F4"/>
    <w:rsid w:val="00BA05A3"/>
    <w:rsid w:val="00BA1C48"/>
    <w:rsid w:val="00BA5C84"/>
    <w:rsid w:val="00BB32CF"/>
    <w:rsid w:val="00BB7105"/>
    <w:rsid w:val="00BC177D"/>
    <w:rsid w:val="00BC6362"/>
    <w:rsid w:val="00BD4184"/>
    <w:rsid w:val="00BD6E59"/>
    <w:rsid w:val="00BD75AF"/>
    <w:rsid w:val="00BE33F5"/>
    <w:rsid w:val="00BF1F28"/>
    <w:rsid w:val="00BF26D3"/>
    <w:rsid w:val="00C15809"/>
    <w:rsid w:val="00C16E09"/>
    <w:rsid w:val="00C25D8A"/>
    <w:rsid w:val="00C41871"/>
    <w:rsid w:val="00C438D5"/>
    <w:rsid w:val="00C43AA4"/>
    <w:rsid w:val="00C479F5"/>
    <w:rsid w:val="00C47A51"/>
    <w:rsid w:val="00C53B97"/>
    <w:rsid w:val="00C56376"/>
    <w:rsid w:val="00C57153"/>
    <w:rsid w:val="00C63CFF"/>
    <w:rsid w:val="00C66244"/>
    <w:rsid w:val="00C74DF0"/>
    <w:rsid w:val="00C82685"/>
    <w:rsid w:val="00CA5FE7"/>
    <w:rsid w:val="00CA6CFF"/>
    <w:rsid w:val="00CB6235"/>
    <w:rsid w:val="00CB7676"/>
    <w:rsid w:val="00CC538E"/>
    <w:rsid w:val="00CC5BEB"/>
    <w:rsid w:val="00CD4CB9"/>
    <w:rsid w:val="00CE2898"/>
    <w:rsid w:val="00CF506C"/>
    <w:rsid w:val="00D005F5"/>
    <w:rsid w:val="00D01494"/>
    <w:rsid w:val="00D1133B"/>
    <w:rsid w:val="00D1313E"/>
    <w:rsid w:val="00D1638F"/>
    <w:rsid w:val="00D1710B"/>
    <w:rsid w:val="00D31014"/>
    <w:rsid w:val="00D3299A"/>
    <w:rsid w:val="00D4286D"/>
    <w:rsid w:val="00D44D83"/>
    <w:rsid w:val="00D44F0D"/>
    <w:rsid w:val="00D466FD"/>
    <w:rsid w:val="00D5159F"/>
    <w:rsid w:val="00D51B93"/>
    <w:rsid w:val="00D61AC4"/>
    <w:rsid w:val="00D65974"/>
    <w:rsid w:val="00D70568"/>
    <w:rsid w:val="00D706B8"/>
    <w:rsid w:val="00D736D2"/>
    <w:rsid w:val="00D8406E"/>
    <w:rsid w:val="00D858D6"/>
    <w:rsid w:val="00D86FD6"/>
    <w:rsid w:val="00DA44D4"/>
    <w:rsid w:val="00DB1723"/>
    <w:rsid w:val="00DB5802"/>
    <w:rsid w:val="00DC65FC"/>
    <w:rsid w:val="00DC7A32"/>
    <w:rsid w:val="00DD1A72"/>
    <w:rsid w:val="00DD388B"/>
    <w:rsid w:val="00DE13B7"/>
    <w:rsid w:val="00DF3686"/>
    <w:rsid w:val="00DF4941"/>
    <w:rsid w:val="00DF56B1"/>
    <w:rsid w:val="00DF6ED6"/>
    <w:rsid w:val="00DF7AD9"/>
    <w:rsid w:val="00E11432"/>
    <w:rsid w:val="00E2201D"/>
    <w:rsid w:val="00E25D26"/>
    <w:rsid w:val="00E2758A"/>
    <w:rsid w:val="00E3073E"/>
    <w:rsid w:val="00E36CD3"/>
    <w:rsid w:val="00E40810"/>
    <w:rsid w:val="00E46D86"/>
    <w:rsid w:val="00E55515"/>
    <w:rsid w:val="00E632E2"/>
    <w:rsid w:val="00E6443A"/>
    <w:rsid w:val="00E65E68"/>
    <w:rsid w:val="00E74A56"/>
    <w:rsid w:val="00E76D3A"/>
    <w:rsid w:val="00E80BC6"/>
    <w:rsid w:val="00E83BE4"/>
    <w:rsid w:val="00E84429"/>
    <w:rsid w:val="00E8776A"/>
    <w:rsid w:val="00E92A81"/>
    <w:rsid w:val="00EA30E3"/>
    <w:rsid w:val="00EB0A0E"/>
    <w:rsid w:val="00EB1F57"/>
    <w:rsid w:val="00EB75B7"/>
    <w:rsid w:val="00EC4280"/>
    <w:rsid w:val="00EC5C8C"/>
    <w:rsid w:val="00EC6B6A"/>
    <w:rsid w:val="00ED0357"/>
    <w:rsid w:val="00ED282A"/>
    <w:rsid w:val="00ED2F8E"/>
    <w:rsid w:val="00ED56A2"/>
    <w:rsid w:val="00ED6BE1"/>
    <w:rsid w:val="00EE50A2"/>
    <w:rsid w:val="00EF0AFA"/>
    <w:rsid w:val="00EF2530"/>
    <w:rsid w:val="00EF4769"/>
    <w:rsid w:val="00F0019B"/>
    <w:rsid w:val="00F01BD0"/>
    <w:rsid w:val="00F14594"/>
    <w:rsid w:val="00F1572D"/>
    <w:rsid w:val="00F16A28"/>
    <w:rsid w:val="00F21FE3"/>
    <w:rsid w:val="00F2354F"/>
    <w:rsid w:val="00F27B79"/>
    <w:rsid w:val="00F31B26"/>
    <w:rsid w:val="00F3209F"/>
    <w:rsid w:val="00F35FE6"/>
    <w:rsid w:val="00F370E9"/>
    <w:rsid w:val="00F37DBF"/>
    <w:rsid w:val="00F43F24"/>
    <w:rsid w:val="00F50E9C"/>
    <w:rsid w:val="00F56C50"/>
    <w:rsid w:val="00F60D0B"/>
    <w:rsid w:val="00F6262B"/>
    <w:rsid w:val="00F65967"/>
    <w:rsid w:val="00F66FAC"/>
    <w:rsid w:val="00F72128"/>
    <w:rsid w:val="00F733C1"/>
    <w:rsid w:val="00F80C0D"/>
    <w:rsid w:val="00F82136"/>
    <w:rsid w:val="00F84124"/>
    <w:rsid w:val="00F84C05"/>
    <w:rsid w:val="00F8635A"/>
    <w:rsid w:val="00F91E1D"/>
    <w:rsid w:val="00F92FDE"/>
    <w:rsid w:val="00F963B8"/>
    <w:rsid w:val="00FA3214"/>
    <w:rsid w:val="00FA3E22"/>
    <w:rsid w:val="00FA53BB"/>
    <w:rsid w:val="00FA5BF6"/>
    <w:rsid w:val="00FA6433"/>
    <w:rsid w:val="00FA6B3D"/>
    <w:rsid w:val="00FB037D"/>
    <w:rsid w:val="00FB25CA"/>
    <w:rsid w:val="00FB31E0"/>
    <w:rsid w:val="00FC0972"/>
    <w:rsid w:val="00FC0D19"/>
    <w:rsid w:val="00FC76F6"/>
    <w:rsid w:val="00FD5735"/>
    <w:rsid w:val="00FD65E1"/>
    <w:rsid w:val="00FE3D0E"/>
    <w:rsid w:val="00FE6999"/>
    <w:rsid w:val="00FE7314"/>
    <w:rsid w:val="00FE7D0E"/>
    <w:rsid w:val="00FE7D6F"/>
    <w:rsid w:val="00FF09BE"/>
    <w:rsid w:val="00FF0A29"/>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customStyle="1" w:styleId="xmsonormal">
    <w:name w:val="x_msonormal"/>
    <w:basedOn w:val="Normal"/>
    <w:rsid w:val="00F963B8"/>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57760">
      <w:bodyDiv w:val="1"/>
      <w:marLeft w:val="0"/>
      <w:marRight w:val="0"/>
      <w:marTop w:val="0"/>
      <w:marBottom w:val="0"/>
      <w:divBdr>
        <w:top w:val="none" w:sz="0" w:space="0" w:color="auto"/>
        <w:left w:val="none" w:sz="0" w:space="0" w:color="auto"/>
        <w:bottom w:val="none" w:sz="0" w:space="0" w:color="auto"/>
        <w:right w:val="none" w:sz="0" w:space="0" w:color="auto"/>
      </w:divBdr>
    </w:div>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40161846">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429742340">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670331301">
      <w:bodyDiv w:val="1"/>
      <w:marLeft w:val="0"/>
      <w:marRight w:val="0"/>
      <w:marTop w:val="0"/>
      <w:marBottom w:val="0"/>
      <w:divBdr>
        <w:top w:val="none" w:sz="0" w:space="0" w:color="auto"/>
        <w:left w:val="none" w:sz="0" w:space="0" w:color="auto"/>
        <w:bottom w:val="none" w:sz="0" w:space="0" w:color="auto"/>
        <w:right w:val="none" w:sz="0" w:space="0" w:color="auto"/>
      </w:divBdr>
    </w:div>
    <w:div w:id="753547923">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095203223">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434327290">
      <w:bodyDiv w:val="1"/>
      <w:marLeft w:val="0"/>
      <w:marRight w:val="0"/>
      <w:marTop w:val="0"/>
      <w:marBottom w:val="0"/>
      <w:divBdr>
        <w:top w:val="none" w:sz="0" w:space="0" w:color="auto"/>
        <w:left w:val="none" w:sz="0" w:space="0" w:color="auto"/>
        <w:bottom w:val="none" w:sz="0" w:space="0" w:color="auto"/>
        <w:right w:val="none" w:sz="0" w:space="0" w:color="auto"/>
      </w:divBdr>
    </w:div>
    <w:div w:id="147456358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 w:id="21414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860B0-E432-4B12-A927-07B44B08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3547</Words>
  <Characters>19512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2019-09-02T22:37:00Z</cp:lastPrinted>
  <dcterms:created xsi:type="dcterms:W3CDTF">2019-09-04T23:58:00Z</dcterms:created>
  <dcterms:modified xsi:type="dcterms:W3CDTF">2019-09-04T23:58:00Z</dcterms:modified>
</cp:coreProperties>
</file>