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0BF191D" w:rsidR="00BF3214" w:rsidRPr="00017648"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01764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017648">
        <w:rPr>
          <w:rFonts w:ascii="Palatino Linotype" w:eastAsia="Times New Roman" w:hAnsi="Palatino Linotype" w:cs="Arial"/>
          <w:color w:val="000000"/>
          <w:sz w:val="24"/>
          <w:szCs w:val="24"/>
          <w:lang w:eastAsia="es-MX"/>
        </w:rPr>
        <w:t xml:space="preserve">Estado de </w:t>
      </w:r>
      <w:r w:rsidR="00AB02FA" w:rsidRPr="00017648">
        <w:rPr>
          <w:rFonts w:ascii="Palatino Linotype" w:eastAsia="Times New Roman" w:hAnsi="Palatino Linotype" w:cs="Arial"/>
          <w:color w:val="000000"/>
          <w:sz w:val="24"/>
          <w:szCs w:val="24"/>
          <w:lang w:eastAsia="es-MX"/>
        </w:rPr>
        <w:t xml:space="preserve">México, </w:t>
      </w:r>
      <w:r w:rsidR="00017648" w:rsidRPr="00017648">
        <w:rPr>
          <w:rFonts w:ascii="Palatino Linotype" w:eastAsia="Times New Roman" w:hAnsi="Palatino Linotype" w:cs="Arial"/>
          <w:color w:val="000000"/>
          <w:sz w:val="24"/>
          <w:szCs w:val="24"/>
          <w:lang w:eastAsia="es-MX"/>
        </w:rPr>
        <w:t>tres de julio de dos mil diecinueve</w:t>
      </w:r>
      <w:r w:rsidRPr="00017648">
        <w:rPr>
          <w:rFonts w:ascii="Palatino Linotype" w:eastAsia="Times New Roman" w:hAnsi="Palatino Linotype" w:cs="Arial"/>
          <w:color w:val="000000"/>
          <w:sz w:val="24"/>
          <w:szCs w:val="24"/>
          <w:lang w:eastAsia="es-MX"/>
        </w:rPr>
        <w:t>.</w:t>
      </w:r>
    </w:p>
    <w:p w14:paraId="1C07CFE0" w14:textId="77777777" w:rsidR="009D066D" w:rsidRPr="00017648"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1BA8E53" w:rsidR="00BF3214" w:rsidRPr="00017648" w:rsidRDefault="00BF3214" w:rsidP="00AD2A55">
      <w:pPr>
        <w:tabs>
          <w:tab w:val="left" w:pos="1701"/>
        </w:tabs>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VISTO</w:t>
      </w:r>
      <w:r w:rsidRPr="00017648">
        <w:rPr>
          <w:rFonts w:ascii="Palatino Linotype" w:hAnsi="Palatino Linotype" w:cs="Arial"/>
          <w:sz w:val="24"/>
          <w:szCs w:val="24"/>
        </w:rPr>
        <w:t xml:space="preserve"> el expediente electrónico formado con motivo del recurso de revisión número </w:t>
      </w:r>
      <w:r w:rsidR="000B2630" w:rsidRPr="00017648">
        <w:rPr>
          <w:rFonts w:ascii="Palatino Linotype" w:hAnsi="Palatino Linotype" w:cs="Arial"/>
          <w:b/>
          <w:bCs/>
          <w:sz w:val="24"/>
          <w:szCs w:val="24"/>
          <w:lang w:eastAsia="es-MX"/>
        </w:rPr>
        <w:t>0</w:t>
      </w:r>
      <w:r w:rsidR="00A13530" w:rsidRPr="00017648">
        <w:rPr>
          <w:rFonts w:ascii="Palatino Linotype" w:hAnsi="Palatino Linotype" w:cs="Arial"/>
          <w:b/>
          <w:bCs/>
          <w:sz w:val="24"/>
          <w:szCs w:val="24"/>
          <w:lang w:eastAsia="es-MX"/>
        </w:rPr>
        <w:t>3065</w:t>
      </w:r>
      <w:r w:rsidR="0044569F" w:rsidRPr="00017648">
        <w:rPr>
          <w:rFonts w:ascii="Palatino Linotype" w:hAnsi="Palatino Linotype" w:cs="Arial"/>
          <w:b/>
          <w:bCs/>
          <w:sz w:val="24"/>
          <w:szCs w:val="24"/>
          <w:lang w:eastAsia="es-MX"/>
        </w:rPr>
        <w:t>/INFOEM/IP/RR/201</w:t>
      </w:r>
      <w:r w:rsidR="00A13530" w:rsidRPr="00017648">
        <w:rPr>
          <w:rFonts w:ascii="Palatino Linotype" w:hAnsi="Palatino Linotype" w:cs="Arial"/>
          <w:b/>
          <w:bCs/>
          <w:sz w:val="24"/>
          <w:szCs w:val="24"/>
          <w:lang w:eastAsia="es-MX"/>
        </w:rPr>
        <w:t>9</w:t>
      </w:r>
      <w:r w:rsidRPr="00017648">
        <w:rPr>
          <w:rFonts w:ascii="Palatino Linotype" w:hAnsi="Palatino Linotype" w:cs="Arial"/>
          <w:sz w:val="24"/>
          <w:szCs w:val="24"/>
        </w:rPr>
        <w:t xml:space="preserve">, interpuesto por </w:t>
      </w:r>
      <w:r w:rsidR="00AB02FA" w:rsidRPr="00017648">
        <w:rPr>
          <w:rFonts w:ascii="Palatino Linotype" w:hAnsi="Palatino Linotype" w:cs="Arial"/>
          <w:sz w:val="24"/>
          <w:szCs w:val="24"/>
        </w:rPr>
        <w:t>e</w:t>
      </w:r>
      <w:r w:rsidR="008447B3" w:rsidRPr="00017648">
        <w:rPr>
          <w:rFonts w:ascii="Palatino Linotype" w:hAnsi="Palatino Linotype" w:cs="Arial"/>
          <w:sz w:val="24"/>
          <w:szCs w:val="24"/>
        </w:rPr>
        <w:t xml:space="preserve">l </w:t>
      </w:r>
      <w:r w:rsidR="00F60B1C" w:rsidRPr="00017648">
        <w:rPr>
          <w:rFonts w:ascii="Palatino Linotype" w:hAnsi="Palatino Linotype" w:cs="Arial"/>
          <w:b/>
          <w:sz w:val="24"/>
          <w:szCs w:val="24"/>
        </w:rPr>
        <w:t xml:space="preserve">C. </w:t>
      </w:r>
      <w:r w:rsidR="000C4D81">
        <w:rPr>
          <w:rFonts w:ascii="Palatino Linotype" w:hAnsi="Palatino Linotype" w:cs="Arial"/>
          <w:b/>
          <w:sz w:val="24"/>
          <w:szCs w:val="24"/>
        </w:rPr>
        <w:t>XXXXXXXXX</w:t>
      </w:r>
      <w:r w:rsidR="007052CB" w:rsidRPr="00017648">
        <w:rPr>
          <w:rFonts w:ascii="Palatino Linotype" w:hAnsi="Palatino Linotype" w:cs="Arial"/>
          <w:b/>
          <w:sz w:val="24"/>
          <w:szCs w:val="24"/>
        </w:rPr>
        <w:t xml:space="preserve">, </w:t>
      </w:r>
      <w:r w:rsidRPr="00017648">
        <w:rPr>
          <w:rFonts w:ascii="Palatino Linotype" w:hAnsi="Palatino Linotype" w:cs="Arial"/>
          <w:sz w:val="24"/>
          <w:szCs w:val="24"/>
        </w:rPr>
        <w:t>en</w:t>
      </w:r>
      <w:r w:rsidR="00173A17" w:rsidRPr="00017648">
        <w:rPr>
          <w:rFonts w:ascii="Palatino Linotype" w:hAnsi="Palatino Linotype" w:cs="Arial"/>
          <w:sz w:val="24"/>
          <w:szCs w:val="24"/>
        </w:rPr>
        <w:t xml:space="preserve"> </w:t>
      </w:r>
      <w:r w:rsidRPr="00017648">
        <w:rPr>
          <w:rFonts w:ascii="Palatino Linotype" w:hAnsi="Palatino Linotype" w:cs="Arial"/>
          <w:sz w:val="24"/>
          <w:szCs w:val="24"/>
        </w:rPr>
        <w:t xml:space="preserve">lo </w:t>
      </w:r>
      <w:r w:rsidR="00B75470" w:rsidRPr="00017648">
        <w:rPr>
          <w:rFonts w:ascii="Palatino Linotype" w:hAnsi="Palatino Linotype" w:cs="Arial"/>
          <w:sz w:val="24"/>
          <w:szCs w:val="24"/>
        </w:rPr>
        <w:t>s</w:t>
      </w:r>
      <w:r w:rsidR="00F60B1C" w:rsidRPr="00017648">
        <w:rPr>
          <w:rFonts w:ascii="Palatino Linotype" w:hAnsi="Palatino Linotype" w:cs="Arial"/>
          <w:sz w:val="24"/>
          <w:szCs w:val="24"/>
        </w:rPr>
        <w:t xml:space="preserve">ucesivo </w:t>
      </w:r>
      <w:r w:rsidR="001168FD" w:rsidRPr="00017648">
        <w:rPr>
          <w:rFonts w:ascii="Palatino Linotype" w:hAnsi="Palatino Linotype" w:cs="Arial"/>
          <w:b/>
          <w:sz w:val="24"/>
          <w:szCs w:val="24"/>
        </w:rPr>
        <w:t>l</w:t>
      </w:r>
      <w:r w:rsidR="00A13530" w:rsidRPr="00017648">
        <w:rPr>
          <w:rFonts w:ascii="Palatino Linotype" w:hAnsi="Palatino Linotype" w:cs="Arial"/>
          <w:b/>
          <w:sz w:val="24"/>
          <w:szCs w:val="24"/>
        </w:rPr>
        <w:t>a</w:t>
      </w:r>
      <w:r w:rsidR="00440B5C" w:rsidRPr="00017648">
        <w:rPr>
          <w:rFonts w:ascii="Palatino Linotype" w:hAnsi="Palatino Linotype" w:cs="Arial"/>
          <w:b/>
          <w:sz w:val="24"/>
          <w:szCs w:val="24"/>
        </w:rPr>
        <w:t xml:space="preserve"> Recurrente</w:t>
      </w:r>
      <w:r w:rsidRPr="00017648">
        <w:rPr>
          <w:rFonts w:ascii="Palatino Linotype" w:hAnsi="Palatino Linotype" w:cs="Arial"/>
          <w:sz w:val="24"/>
          <w:szCs w:val="24"/>
        </w:rPr>
        <w:t>,</w:t>
      </w:r>
      <w:r w:rsidR="00163D26" w:rsidRPr="00017648">
        <w:rPr>
          <w:rFonts w:ascii="Palatino Linotype" w:hAnsi="Palatino Linotype" w:cs="Arial"/>
          <w:sz w:val="24"/>
          <w:szCs w:val="24"/>
        </w:rPr>
        <w:t xml:space="preserve"> en contra de </w:t>
      </w:r>
      <w:r w:rsidR="00017648" w:rsidRPr="00017648">
        <w:rPr>
          <w:rFonts w:ascii="Palatino Linotype" w:hAnsi="Palatino Linotype" w:cs="Arial"/>
          <w:sz w:val="24"/>
          <w:szCs w:val="24"/>
        </w:rPr>
        <w:t xml:space="preserve">la </w:t>
      </w:r>
      <w:r w:rsidR="0059317F" w:rsidRPr="00017648">
        <w:rPr>
          <w:rFonts w:ascii="Palatino Linotype" w:hAnsi="Palatino Linotype" w:cs="Arial"/>
          <w:sz w:val="24"/>
          <w:szCs w:val="24"/>
        </w:rPr>
        <w:t>respuesta</w:t>
      </w:r>
      <w:r w:rsidRPr="00017648">
        <w:rPr>
          <w:rFonts w:ascii="Palatino Linotype" w:hAnsi="Palatino Linotype" w:cs="Arial"/>
          <w:sz w:val="24"/>
          <w:szCs w:val="24"/>
        </w:rPr>
        <w:t xml:space="preserve"> de</w:t>
      </w:r>
      <w:r w:rsidR="003D23D7" w:rsidRPr="00017648">
        <w:rPr>
          <w:rFonts w:ascii="Palatino Linotype" w:hAnsi="Palatino Linotype" w:cs="Arial"/>
          <w:sz w:val="24"/>
          <w:szCs w:val="24"/>
        </w:rPr>
        <w:t xml:space="preserve">l </w:t>
      </w:r>
      <w:r w:rsidR="00A13530" w:rsidRPr="00017648">
        <w:rPr>
          <w:rFonts w:ascii="Palatino Linotype" w:hAnsi="Palatino Linotype" w:cs="Arial"/>
          <w:b/>
          <w:sz w:val="24"/>
          <w:szCs w:val="24"/>
        </w:rPr>
        <w:t>Sistema de Autopistas, Aeropuertos, Servicios Conexos y Auxiliares del Estado de México</w:t>
      </w:r>
      <w:r w:rsidR="007052CB" w:rsidRPr="00017648">
        <w:rPr>
          <w:rFonts w:ascii="Palatino Linotype" w:hAnsi="Palatino Linotype" w:cs="Arial"/>
          <w:b/>
          <w:sz w:val="24"/>
          <w:szCs w:val="24"/>
        </w:rPr>
        <w:t>,</w:t>
      </w:r>
      <w:r w:rsidR="000B2630" w:rsidRPr="00017648">
        <w:rPr>
          <w:rFonts w:ascii="Palatino Linotype" w:hAnsi="Palatino Linotype" w:cs="Arial"/>
          <w:b/>
          <w:sz w:val="24"/>
          <w:szCs w:val="24"/>
        </w:rPr>
        <w:t xml:space="preserve"> </w:t>
      </w:r>
      <w:r w:rsidRPr="00017648">
        <w:rPr>
          <w:rFonts w:ascii="Palatino Linotype" w:hAnsi="Palatino Linotype" w:cs="Arial"/>
          <w:sz w:val="24"/>
          <w:szCs w:val="24"/>
        </w:rPr>
        <w:t>en lo subsecuente</w:t>
      </w:r>
      <w:r w:rsidR="00E468E5" w:rsidRPr="00017648">
        <w:rPr>
          <w:rFonts w:ascii="Palatino Linotype" w:hAnsi="Palatino Linotype" w:cs="Arial"/>
          <w:b/>
          <w:sz w:val="24"/>
          <w:szCs w:val="24"/>
        </w:rPr>
        <w:t xml:space="preserve"> e</w:t>
      </w:r>
      <w:r w:rsidRPr="00017648">
        <w:rPr>
          <w:rFonts w:ascii="Palatino Linotype" w:hAnsi="Palatino Linotype" w:cs="Arial"/>
          <w:b/>
          <w:sz w:val="24"/>
          <w:szCs w:val="24"/>
        </w:rPr>
        <w:t xml:space="preserve">l Sujeto Obligado, </w:t>
      </w:r>
      <w:r w:rsidRPr="00017648">
        <w:rPr>
          <w:rFonts w:ascii="Palatino Linotype" w:hAnsi="Palatino Linotype" w:cs="Arial"/>
          <w:sz w:val="24"/>
          <w:szCs w:val="24"/>
        </w:rPr>
        <w:t>se procede a dictar la presente resolución.</w:t>
      </w:r>
    </w:p>
    <w:p w14:paraId="138C6F64" w14:textId="77777777" w:rsidR="00081DAC" w:rsidRPr="00017648"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017648" w:rsidRDefault="00BF3214" w:rsidP="00AD2A55">
      <w:pPr>
        <w:spacing w:after="0" w:line="360" w:lineRule="auto"/>
        <w:jc w:val="center"/>
        <w:rPr>
          <w:rFonts w:ascii="Palatino Linotype" w:hAnsi="Palatino Linotype" w:cs="Arial"/>
          <w:b/>
          <w:sz w:val="24"/>
          <w:szCs w:val="24"/>
        </w:rPr>
      </w:pPr>
      <w:r w:rsidRPr="00017648">
        <w:rPr>
          <w:rFonts w:ascii="Palatino Linotype" w:hAnsi="Palatino Linotype" w:cs="Arial"/>
          <w:b/>
          <w:sz w:val="24"/>
          <w:szCs w:val="24"/>
        </w:rPr>
        <w:t>A N T E C E D E N T E S</w:t>
      </w:r>
    </w:p>
    <w:p w14:paraId="6A86D231" w14:textId="77777777" w:rsidR="00081DAC" w:rsidRPr="00017648" w:rsidRDefault="00081DAC" w:rsidP="00AD2A55">
      <w:pPr>
        <w:spacing w:after="0" w:line="360" w:lineRule="auto"/>
        <w:jc w:val="center"/>
        <w:rPr>
          <w:rFonts w:ascii="Palatino Linotype" w:hAnsi="Palatino Linotype" w:cs="Arial"/>
          <w:b/>
          <w:sz w:val="24"/>
          <w:szCs w:val="24"/>
        </w:rPr>
      </w:pPr>
    </w:p>
    <w:p w14:paraId="513A9A0F" w14:textId="77777777" w:rsidR="00EE326A" w:rsidRPr="00017648" w:rsidRDefault="00BF3214" w:rsidP="00AD2A55">
      <w:pPr>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PRIMERO.</w:t>
      </w:r>
      <w:r w:rsidR="00EE326A" w:rsidRPr="00017648">
        <w:rPr>
          <w:rFonts w:ascii="Palatino Linotype" w:hAnsi="Palatino Linotype" w:cs="Arial"/>
          <w:b/>
          <w:sz w:val="24"/>
          <w:szCs w:val="24"/>
        </w:rPr>
        <w:t xml:space="preserve"> De la solicitud de información.</w:t>
      </w:r>
    </w:p>
    <w:p w14:paraId="50351FBE" w14:textId="594E29D3" w:rsidR="00BF3214" w:rsidRPr="00017648" w:rsidRDefault="00BF3214" w:rsidP="00AD2A5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Con fecha </w:t>
      </w:r>
      <w:r w:rsidR="00A13530" w:rsidRPr="00017648">
        <w:rPr>
          <w:rFonts w:ascii="Palatino Linotype" w:hAnsi="Palatino Linotype" w:cs="Arial"/>
          <w:sz w:val="24"/>
          <w:szCs w:val="24"/>
        </w:rPr>
        <w:t>veintiséis</w:t>
      </w:r>
      <w:r w:rsidR="00E40647" w:rsidRPr="00017648">
        <w:rPr>
          <w:rFonts w:ascii="Palatino Linotype" w:hAnsi="Palatino Linotype" w:cs="Arial"/>
          <w:sz w:val="24"/>
          <w:szCs w:val="24"/>
        </w:rPr>
        <w:t xml:space="preserve"> de marzo de dos mil dieci</w:t>
      </w:r>
      <w:r w:rsidR="00A13530" w:rsidRPr="00017648">
        <w:rPr>
          <w:rFonts w:ascii="Palatino Linotype" w:hAnsi="Palatino Linotype" w:cs="Arial"/>
          <w:sz w:val="24"/>
          <w:szCs w:val="24"/>
        </w:rPr>
        <w:t>nueve</w:t>
      </w:r>
      <w:r w:rsidRPr="00017648">
        <w:rPr>
          <w:rFonts w:ascii="Palatino Linotype" w:hAnsi="Palatino Linotype" w:cs="Arial"/>
          <w:sz w:val="24"/>
          <w:szCs w:val="24"/>
        </w:rPr>
        <w:t xml:space="preserve">, </w:t>
      </w:r>
      <w:r w:rsidR="00A66EA6" w:rsidRPr="00017648">
        <w:rPr>
          <w:rFonts w:ascii="Palatino Linotype" w:hAnsi="Palatino Linotype" w:cs="Arial"/>
          <w:sz w:val="24"/>
          <w:szCs w:val="24"/>
        </w:rPr>
        <w:t>e</w:t>
      </w:r>
      <w:r w:rsidR="001168FD" w:rsidRPr="00017648">
        <w:rPr>
          <w:rFonts w:ascii="Palatino Linotype" w:hAnsi="Palatino Linotype" w:cs="Arial"/>
          <w:sz w:val="24"/>
          <w:szCs w:val="24"/>
        </w:rPr>
        <w:t>l</w:t>
      </w:r>
      <w:r w:rsidR="00440B5C" w:rsidRPr="00017648">
        <w:rPr>
          <w:rFonts w:ascii="Palatino Linotype" w:hAnsi="Palatino Linotype" w:cs="Arial"/>
          <w:sz w:val="24"/>
          <w:szCs w:val="24"/>
        </w:rPr>
        <w:t xml:space="preserve"> Recurrente</w:t>
      </w:r>
      <w:r w:rsidRPr="00017648">
        <w:rPr>
          <w:rFonts w:ascii="Palatino Linotype" w:hAnsi="Palatino Linotype" w:cs="Arial"/>
          <w:sz w:val="24"/>
          <w:szCs w:val="24"/>
        </w:rPr>
        <w:t>, presentó a través del Sistema de Acceso a la Información Mexiquense (</w:t>
      </w:r>
      <w:r w:rsidRPr="00017648">
        <w:rPr>
          <w:rFonts w:ascii="Palatino Linotype" w:hAnsi="Palatino Linotype" w:cs="Arial"/>
          <w:b/>
          <w:sz w:val="24"/>
          <w:szCs w:val="24"/>
        </w:rPr>
        <w:t>SAIMEX)</w:t>
      </w:r>
      <w:r w:rsidRPr="00017648">
        <w:rPr>
          <w:rFonts w:ascii="Palatino Linotype" w:hAnsi="Palatino Linotype" w:cs="Arial"/>
          <w:sz w:val="24"/>
          <w:szCs w:val="24"/>
        </w:rPr>
        <w:t xml:space="preserve"> ante </w:t>
      </w:r>
      <w:r w:rsidR="00DB31DF" w:rsidRPr="00017648">
        <w:rPr>
          <w:rFonts w:ascii="Palatino Linotype" w:hAnsi="Palatino Linotype" w:cs="Arial"/>
          <w:sz w:val="24"/>
          <w:szCs w:val="24"/>
        </w:rPr>
        <w:t>e</w:t>
      </w:r>
      <w:r w:rsidRPr="00017648">
        <w:rPr>
          <w:rFonts w:ascii="Palatino Linotype" w:hAnsi="Palatino Linotype" w:cs="Arial"/>
          <w:sz w:val="24"/>
          <w:szCs w:val="24"/>
        </w:rPr>
        <w:t>l Sujeto Obligado, solicitud de acceso a la información pública, registrada bajo el número de expediente</w:t>
      </w:r>
      <w:r w:rsidRPr="00017648">
        <w:rPr>
          <w:rFonts w:ascii="Palatino Linotype" w:hAnsi="Palatino Linotype" w:cs="Arial"/>
          <w:b/>
          <w:sz w:val="24"/>
          <w:szCs w:val="24"/>
        </w:rPr>
        <w:t xml:space="preserve"> </w:t>
      </w:r>
      <w:r w:rsidR="00A13530" w:rsidRPr="00017648">
        <w:rPr>
          <w:rFonts w:ascii="Palatino Linotype" w:hAnsi="Palatino Linotype" w:cs="Arial"/>
          <w:b/>
          <w:sz w:val="24"/>
          <w:szCs w:val="24"/>
        </w:rPr>
        <w:t>00041/SAASCAEM/IP/2019</w:t>
      </w:r>
      <w:r w:rsidRPr="00017648">
        <w:rPr>
          <w:rFonts w:ascii="Palatino Linotype" w:hAnsi="Palatino Linotype" w:cs="Arial"/>
          <w:b/>
          <w:sz w:val="24"/>
          <w:szCs w:val="24"/>
        </w:rPr>
        <w:t>,</w:t>
      </w:r>
      <w:r w:rsidRPr="00017648">
        <w:rPr>
          <w:rFonts w:ascii="Palatino Linotype" w:hAnsi="Palatino Linotype" w:cs="Arial"/>
          <w:b/>
          <w:sz w:val="24"/>
          <w:szCs w:val="24"/>
          <w:lang w:eastAsia="es-MX"/>
        </w:rPr>
        <w:t xml:space="preserve"> </w:t>
      </w:r>
      <w:r w:rsidRPr="00017648">
        <w:rPr>
          <w:rFonts w:ascii="Palatino Linotype" w:hAnsi="Palatino Linotype" w:cs="Arial"/>
          <w:sz w:val="24"/>
          <w:szCs w:val="24"/>
        </w:rPr>
        <w:t>mediante la cual solicitó información en el tenor siguiente:</w:t>
      </w:r>
    </w:p>
    <w:p w14:paraId="210FA440" w14:textId="77777777" w:rsidR="00081DAC" w:rsidRPr="00017648" w:rsidRDefault="00081DAC" w:rsidP="00AD2A55">
      <w:pPr>
        <w:spacing w:after="0" w:line="360" w:lineRule="auto"/>
        <w:ind w:left="851" w:right="850"/>
        <w:jc w:val="both"/>
        <w:rPr>
          <w:rFonts w:ascii="Palatino Linotype" w:hAnsi="Palatino Linotype" w:cs="Arial"/>
          <w:i/>
          <w:sz w:val="20"/>
          <w:szCs w:val="24"/>
        </w:rPr>
      </w:pPr>
    </w:p>
    <w:p w14:paraId="701CF820" w14:textId="4D369D00" w:rsidR="00BF3214" w:rsidRPr="00017648" w:rsidRDefault="00BF3214" w:rsidP="00E40647">
      <w:pPr>
        <w:ind w:left="851" w:right="850"/>
        <w:jc w:val="both"/>
        <w:rPr>
          <w:rFonts w:ascii="Palatino Linotype" w:eastAsia="Times New Roman" w:hAnsi="Palatino Linotype" w:cs="Times New Roman"/>
          <w:i/>
          <w:lang w:eastAsia="es-MX"/>
        </w:rPr>
      </w:pPr>
      <w:r w:rsidRPr="00017648">
        <w:rPr>
          <w:rFonts w:ascii="Palatino Linotype" w:eastAsia="Times New Roman" w:hAnsi="Palatino Linotype" w:cs="Times New Roman"/>
          <w:i/>
          <w:lang w:eastAsia="es-ES"/>
        </w:rPr>
        <w:t>“</w:t>
      </w:r>
      <w:r w:rsidR="00A13530" w:rsidRPr="00017648">
        <w:rPr>
          <w:rFonts w:ascii="Palatino Linotype" w:hAnsi="Palatino Linotype"/>
          <w:i/>
          <w:color w:val="000000"/>
        </w:rPr>
        <w:t xml:space="preserve">Cuantos Vehículos Oficiales Estatales y Municipales “Ambulancias, Bomberos, Patrullas, Protección Civil, entre otros considerados Vehículos o Unidades Oficiales “circularon del 7 de Mayo al 7 de Agosto del 2014 por la autopista Naucalpan Ecatepec, en dirección: Ecatepec – Tlalnepantla “Plaza de cobro Vallejo km 5+950,. </w:t>
      </w:r>
      <w:proofErr w:type="spellStart"/>
      <w:r w:rsidR="00A13530" w:rsidRPr="00017648">
        <w:rPr>
          <w:rFonts w:ascii="Palatino Linotype" w:hAnsi="Palatino Linotype"/>
          <w:i/>
          <w:color w:val="000000"/>
        </w:rPr>
        <w:t>Ceilan</w:t>
      </w:r>
      <w:proofErr w:type="spellEnd"/>
      <w:r w:rsidR="00A13530" w:rsidRPr="00017648">
        <w:rPr>
          <w:rFonts w:ascii="Palatino Linotype" w:hAnsi="Palatino Linotype"/>
          <w:i/>
          <w:color w:val="000000"/>
        </w:rPr>
        <w:t xml:space="preserve">, Vaso regulador Tlalnepantla", Tlalnepantla "Plaza de cobro Vallejo y </w:t>
      </w:r>
      <w:proofErr w:type="spellStart"/>
      <w:r w:rsidR="00A13530" w:rsidRPr="00017648">
        <w:rPr>
          <w:rFonts w:ascii="Palatino Linotype" w:hAnsi="Palatino Linotype"/>
          <w:i/>
          <w:color w:val="000000"/>
        </w:rPr>
        <w:t>Ceilan</w:t>
      </w:r>
      <w:proofErr w:type="spellEnd"/>
      <w:r w:rsidR="00A13530" w:rsidRPr="00017648">
        <w:rPr>
          <w:rFonts w:ascii="Palatino Linotype" w:hAnsi="Palatino Linotype"/>
          <w:i/>
          <w:color w:val="000000"/>
        </w:rPr>
        <w:t xml:space="preserve"> km 5+ 975” – Ecatepec "Plaza de Cobro México - Pachuca Km 12+ 350 y km 12 + </w:t>
      </w:r>
      <w:r w:rsidR="00A13530" w:rsidRPr="00017648">
        <w:rPr>
          <w:rFonts w:ascii="Palatino Linotype" w:hAnsi="Palatino Linotype"/>
          <w:i/>
          <w:color w:val="000000"/>
        </w:rPr>
        <w:lastRenderedPageBreak/>
        <w:t>450". Así mismo cuales fueron los Horarios de cada uno de los Vehículos, quien firmo por el paso del vehículo o unidad, cual es el número de unidad “número de placa de vehículo</w:t>
      </w:r>
      <w:proofErr w:type="gramStart"/>
      <w:r w:rsidR="00A13530" w:rsidRPr="00017648">
        <w:rPr>
          <w:rFonts w:ascii="Palatino Linotype" w:hAnsi="Palatino Linotype"/>
          <w:i/>
          <w:color w:val="000000"/>
        </w:rPr>
        <w:t>” ,</w:t>
      </w:r>
      <w:proofErr w:type="gramEnd"/>
      <w:r w:rsidR="00A13530" w:rsidRPr="00017648">
        <w:rPr>
          <w:rFonts w:ascii="Palatino Linotype" w:hAnsi="Palatino Linotype"/>
          <w:i/>
          <w:color w:val="000000"/>
        </w:rPr>
        <w:t xml:space="preserve"> a que entidad pertenece “Municipal o Estatal”. Que costo tiene el paso de cada unidad o Vehículo para el Gobierno Municipal o´ Estatal según sea el caso.</w:t>
      </w:r>
      <w:r w:rsidRPr="00017648">
        <w:rPr>
          <w:rFonts w:ascii="Palatino Linotype" w:eastAsia="Times New Roman" w:hAnsi="Palatino Linotype" w:cs="Times New Roman"/>
          <w:i/>
          <w:lang w:eastAsia="es-ES"/>
        </w:rPr>
        <w:t>”</w:t>
      </w:r>
      <w:r w:rsidRPr="00017648">
        <w:rPr>
          <w:rFonts w:ascii="Palatino Linotype" w:eastAsia="Times New Roman" w:hAnsi="Palatino Linotype" w:cs="Times New Roman"/>
          <w:i/>
          <w:lang w:val="es-ES_tradnl" w:eastAsia="es-ES"/>
        </w:rPr>
        <w:t xml:space="preserve"> </w:t>
      </w:r>
      <w:r w:rsidR="00EA51DC" w:rsidRPr="00017648">
        <w:rPr>
          <w:rFonts w:ascii="Palatino Linotype" w:eastAsia="Times New Roman" w:hAnsi="Palatino Linotype" w:cs="Times New Roman"/>
          <w:i/>
          <w:lang w:val="es-ES_tradnl" w:eastAsia="es-ES"/>
        </w:rPr>
        <w:t>(Sic).</w:t>
      </w:r>
    </w:p>
    <w:p w14:paraId="76D99508" w14:textId="77777777" w:rsidR="00582883" w:rsidRPr="00017648" w:rsidRDefault="00582883" w:rsidP="00582883">
      <w:pPr>
        <w:ind w:left="851" w:right="850"/>
        <w:jc w:val="both"/>
        <w:rPr>
          <w:rFonts w:ascii="Palatino Linotype" w:eastAsia="Times New Roman" w:hAnsi="Palatino Linotype" w:cs="Times New Roman"/>
          <w:i/>
          <w:lang w:eastAsia="es-MX"/>
        </w:rPr>
      </w:pPr>
    </w:p>
    <w:p w14:paraId="0D420965" w14:textId="77777777" w:rsidR="00CE2A0C" w:rsidRPr="00017648" w:rsidRDefault="00CE2A0C" w:rsidP="00CE2A0C">
      <w:pPr>
        <w:spacing w:before="240" w:after="240" w:line="360" w:lineRule="auto"/>
        <w:jc w:val="both"/>
        <w:rPr>
          <w:rFonts w:ascii="Palatino Linotype" w:hAnsi="Palatino Linotype" w:cs="Arial"/>
          <w:sz w:val="24"/>
          <w:szCs w:val="24"/>
        </w:rPr>
      </w:pPr>
      <w:r w:rsidRPr="00017648">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017648">
        <w:rPr>
          <w:rFonts w:ascii="Palatino Linotype" w:hAnsi="Palatino Linotype" w:cs="Arial"/>
          <w:i/>
          <w:sz w:val="24"/>
          <w:szCs w:val="24"/>
        </w:rPr>
        <w:t>a través del SAIMEX</w:t>
      </w:r>
      <w:r w:rsidRPr="00017648">
        <w:rPr>
          <w:rFonts w:ascii="Palatino Linotype" w:hAnsi="Palatino Linotype" w:cs="Arial"/>
          <w:sz w:val="24"/>
          <w:szCs w:val="24"/>
        </w:rPr>
        <w:t>”.</w:t>
      </w:r>
    </w:p>
    <w:p w14:paraId="02F2F7ED" w14:textId="77777777" w:rsidR="004B184A" w:rsidRPr="00017648" w:rsidRDefault="004B184A" w:rsidP="00AD2A55">
      <w:pPr>
        <w:spacing w:after="0" w:line="360" w:lineRule="auto"/>
        <w:jc w:val="both"/>
        <w:rPr>
          <w:rFonts w:ascii="Palatino Linotype" w:hAnsi="Palatino Linotype" w:cs="Arial"/>
          <w:b/>
          <w:sz w:val="24"/>
          <w:szCs w:val="24"/>
        </w:rPr>
      </w:pPr>
    </w:p>
    <w:p w14:paraId="0B25D304" w14:textId="77777777" w:rsidR="004F3065" w:rsidRPr="00017648" w:rsidRDefault="00BF3214" w:rsidP="004F3065">
      <w:pPr>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 xml:space="preserve">SEGUNDO. </w:t>
      </w:r>
      <w:r w:rsidR="004F3065" w:rsidRPr="00017648">
        <w:rPr>
          <w:rFonts w:ascii="Palatino Linotype" w:hAnsi="Palatino Linotype" w:cs="Arial"/>
          <w:b/>
          <w:sz w:val="24"/>
          <w:szCs w:val="24"/>
        </w:rPr>
        <w:t xml:space="preserve">De la respuesta del sujeto obligado. </w:t>
      </w:r>
    </w:p>
    <w:p w14:paraId="451D0876" w14:textId="260C55FE" w:rsidR="004F3065" w:rsidRPr="00017648" w:rsidRDefault="004F3065" w:rsidP="004F3065">
      <w:pPr>
        <w:spacing w:before="240" w:after="240" w:line="360" w:lineRule="auto"/>
        <w:jc w:val="both"/>
        <w:rPr>
          <w:rFonts w:ascii="Palatino Linotype" w:hAnsi="Palatino Linotype"/>
          <w:sz w:val="24"/>
          <w:szCs w:val="24"/>
        </w:rPr>
      </w:pPr>
      <w:r w:rsidRPr="00017648">
        <w:rPr>
          <w:rFonts w:ascii="Palatino Linotype" w:hAnsi="Palatino Linotype"/>
          <w:sz w:val="24"/>
          <w:szCs w:val="24"/>
        </w:rPr>
        <w:t xml:space="preserve">De las constancias que obran en el expediente electrónico del SAIMEX, se advierte que, el Sujeto Obligado, en fecha veintitrés de abril de la presente anualidad, dio respuesta a la solicitud de acceso a la información, en los siguientes </w:t>
      </w:r>
      <w:proofErr w:type="spellStart"/>
      <w:r w:rsidRPr="00017648">
        <w:rPr>
          <w:rFonts w:ascii="Palatino Linotype" w:hAnsi="Palatino Linotype"/>
          <w:sz w:val="24"/>
          <w:szCs w:val="24"/>
        </w:rPr>
        <w:t>terminos</w:t>
      </w:r>
      <w:proofErr w:type="spellEnd"/>
      <w:r w:rsidRPr="00017648">
        <w:rPr>
          <w:rFonts w:ascii="Palatino Linotype" w:hAnsi="Palatino Linotype"/>
          <w:sz w:val="24"/>
          <w:szCs w:val="24"/>
        </w:rPr>
        <w:t>:</w:t>
      </w:r>
    </w:p>
    <w:p w14:paraId="01067497" w14:textId="681C1F3B" w:rsidR="006102EC" w:rsidRPr="00017648" w:rsidRDefault="004F3065" w:rsidP="004F3065">
      <w:pPr>
        <w:spacing w:after="0" w:line="240" w:lineRule="auto"/>
        <w:ind w:left="851" w:right="850"/>
        <w:jc w:val="right"/>
        <w:rPr>
          <w:rFonts w:ascii="Palatino Linotype" w:hAnsi="Palatino Linotype"/>
          <w:i/>
          <w:color w:val="000000"/>
        </w:rPr>
      </w:pPr>
      <w:r w:rsidRPr="00017648">
        <w:rPr>
          <w:rFonts w:ascii="Palatino Linotype" w:hAnsi="Palatino Linotype"/>
          <w:i/>
          <w:color w:val="000000"/>
        </w:rPr>
        <w:t>Folio de la solicitud: 00041/SAASCAEM/IP/2019</w:t>
      </w:r>
    </w:p>
    <w:p w14:paraId="1A8FB92E" w14:textId="77777777" w:rsidR="004F3065" w:rsidRPr="00017648" w:rsidRDefault="004F3065" w:rsidP="004F3065">
      <w:pPr>
        <w:spacing w:after="0" w:line="240" w:lineRule="auto"/>
        <w:ind w:left="851" w:right="850"/>
        <w:jc w:val="right"/>
        <w:rPr>
          <w:rFonts w:ascii="Palatino Linotype" w:hAnsi="Palatino Linotype"/>
          <w:i/>
          <w:color w:val="000000"/>
        </w:rPr>
      </w:pPr>
    </w:p>
    <w:p w14:paraId="19E70DE7" w14:textId="5F34D4EC" w:rsidR="004F3065" w:rsidRPr="00017648" w:rsidRDefault="004F3065" w:rsidP="004F3065">
      <w:pPr>
        <w:spacing w:after="0" w:line="240" w:lineRule="auto"/>
        <w:ind w:left="851" w:right="850"/>
        <w:jc w:val="both"/>
        <w:rPr>
          <w:rFonts w:ascii="Palatino Linotype" w:hAnsi="Palatino Linotype"/>
          <w:i/>
          <w:color w:val="000000"/>
        </w:rPr>
      </w:pPr>
      <w:r w:rsidRPr="00017648">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BFD296" w14:textId="77777777" w:rsidR="004F3065" w:rsidRPr="00017648" w:rsidRDefault="004F3065" w:rsidP="004F3065">
      <w:pPr>
        <w:spacing w:after="0" w:line="240" w:lineRule="auto"/>
        <w:ind w:left="851" w:right="850"/>
        <w:jc w:val="both"/>
        <w:rPr>
          <w:rFonts w:ascii="Palatino Linotype" w:hAnsi="Palatino Linotype"/>
          <w:i/>
          <w:color w:val="000000"/>
        </w:rPr>
      </w:pPr>
    </w:p>
    <w:p w14:paraId="08D95341" w14:textId="1903A0E9" w:rsidR="004F3065" w:rsidRPr="00017648" w:rsidRDefault="004F3065" w:rsidP="004F3065">
      <w:pPr>
        <w:spacing w:after="0" w:line="240" w:lineRule="auto"/>
        <w:ind w:left="851" w:right="850"/>
        <w:jc w:val="both"/>
        <w:rPr>
          <w:rFonts w:ascii="Palatino Linotype" w:hAnsi="Palatino Linotype"/>
          <w:i/>
          <w:color w:val="000000"/>
        </w:rPr>
      </w:pPr>
      <w:r w:rsidRPr="00017648">
        <w:rPr>
          <w:rFonts w:ascii="Palatino Linotype" w:hAnsi="Palatino Linotype"/>
          <w:i/>
          <w:color w:val="000000"/>
        </w:rPr>
        <w:t>En atención a su solicitud de información, recibida a través del SAIMEX, se anexa información.</w:t>
      </w:r>
    </w:p>
    <w:p w14:paraId="57FE72CC" w14:textId="77777777" w:rsidR="004F3065" w:rsidRPr="00017648" w:rsidRDefault="004F3065" w:rsidP="004F3065">
      <w:pPr>
        <w:spacing w:after="0" w:line="240" w:lineRule="auto"/>
        <w:ind w:left="851" w:right="850"/>
        <w:jc w:val="both"/>
        <w:rPr>
          <w:rFonts w:ascii="Palatino Linotype" w:hAnsi="Palatino Linotype"/>
          <w:i/>
          <w:color w:val="000000"/>
        </w:rPr>
      </w:pPr>
    </w:p>
    <w:p w14:paraId="3B40BFC5" w14:textId="2E36AB8E" w:rsidR="004F3065" w:rsidRPr="00017648" w:rsidRDefault="004F3065" w:rsidP="004F3065">
      <w:pPr>
        <w:spacing w:after="0" w:line="240" w:lineRule="auto"/>
        <w:ind w:left="851" w:right="850"/>
        <w:jc w:val="both"/>
        <w:rPr>
          <w:rFonts w:ascii="Palatino Linotype" w:hAnsi="Palatino Linotype"/>
          <w:i/>
          <w:color w:val="000000"/>
        </w:rPr>
      </w:pPr>
      <w:r w:rsidRPr="00017648">
        <w:rPr>
          <w:rFonts w:ascii="Palatino Linotype" w:hAnsi="Palatino Linotype"/>
          <w:i/>
          <w:color w:val="000000"/>
        </w:rPr>
        <w:t>ATENTAMENTE</w:t>
      </w:r>
    </w:p>
    <w:p w14:paraId="026039E9" w14:textId="5BC59B51" w:rsidR="004F3065" w:rsidRPr="00017648" w:rsidRDefault="004F3065" w:rsidP="004F3065">
      <w:pPr>
        <w:spacing w:after="0" w:line="240" w:lineRule="auto"/>
        <w:ind w:left="851" w:right="850"/>
        <w:jc w:val="both"/>
        <w:rPr>
          <w:rFonts w:ascii="Palatino Linotype" w:eastAsia="Times New Roman" w:hAnsi="Palatino Linotype" w:cs="Times New Roman"/>
          <w:i/>
          <w:lang w:val="es-ES_tradnl" w:eastAsia="es-ES"/>
        </w:rPr>
      </w:pPr>
      <w:r w:rsidRPr="00017648">
        <w:rPr>
          <w:rFonts w:ascii="Palatino Linotype" w:hAnsi="Palatino Linotype"/>
          <w:i/>
          <w:color w:val="000000"/>
        </w:rPr>
        <w:t>C. MARCO ANTONIO ORTIZ MÉRIDA</w:t>
      </w:r>
    </w:p>
    <w:p w14:paraId="2EA45CD9" w14:textId="0A0B1C1C" w:rsidR="006102EC" w:rsidRPr="00017648" w:rsidRDefault="006102EC" w:rsidP="00AD2A55">
      <w:pPr>
        <w:spacing w:after="0" w:line="360" w:lineRule="auto"/>
        <w:jc w:val="both"/>
        <w:rPr>
          <w:rFonts w:ascii="Palatino Linotype" w:hAnsi="Palatino Linotype" w:cs="Arial"/>
          <w:sz w:val="24"/>
          <w:szCs w:val="24"/>
        </w:rPr>
      </w:pPr>
    </w:p>
    <w:p w14:paraId="5786DFB0" w14:textId="77777777" w:rsidR="004F3065" w:rsidRPr="00017648" w:rsidRDefault="004F3065" w:rsidP="004F3065">
      <w:pPr>
        <w:spacing w:after="0" w:line="360" w:lineRule="auto"/>
        <w:jc w:val="both"/>
        <w:rPr>
          <w:rFonts w:ascii="Palatino Linotype" w:hAnsi="Palatino Linotype" w:cs="Arial"/>
          <w:b/>
          <w:sz w:val="24"/>
          <w:szCs w:val="24"/>
        </w:rPr>
      </w:pPr>
    </w:p>
    <w:p w14:paraId="4AFEFBC8" w14:textId="09C6E47B" w:rsidR="004F3065" w:rsidRPr="00017648" w:rsidRDefault="004F3065" w:rsidP="004F306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lastRenderedPageBreak/>
        <w:t xml:space="preserve">A la respuesta </w:t>
      </w:r>
      <w:r w:rsidR="000926F0" w:rsidRPr="00017648">
        <w:rPr>
          <w:rFonts w:ascii="Palatino Linotype" w:hAnsi="Palatino Linotype" w:cs="Arial"/>
          <w:sz w:val="24"/>
          <w:szCs w:val="24"/>
        </w:rPr>
        <w:t>el Sujeto Obligado adjunto dos archivos, los cuales contienen los siguientes nombres y contenidos:</w:t>
      </w:r>
    </w:p>
    <w:p w14:paraId="6DFC7950" w14:textId="115E5C60" w:rsidR="000926F0" w:rsidRPr="00017648" w:rsidRDefault="000926F0" w:rsidP="004F3065">
      <w:pPr>
        <w:spacing w:after="0" w:line="360" w:lineRule="auto"/>
        <w:jc w:val="both"/>
        <w:rPr>
          <w:rFonts w:ascii="Palatino Linotype" w:hAnsi="Palatino Linotype" w:cs="Arial"/>
          <w:sz w:val="24"/>
          <w:szCs w:val="24"/>
        </w:rPr>
      </w:pPr>
      <w:r w:rsidRPr="00017648">
        <w:rPr>
          <w:rFonts w:ascii="Palatino Linotype" w:hAnsi="Palatino Linotype" w:cs="Arial"/>
          <w:b/>
          <w:sz w:val="24"/>
          <w:szCs w:val="24"/>
        </w:rPr>
        <w:t xml:space="preserve">RESPUESTA 41.pdf, </w:t>
      </w:r>
      <w:r w:rsidRPr="00017648">
        <w:rPr>
          <w:rFonts w:ascii="Palatino Linotype" w:hAnsi="Palatino Linotype" w:cs="Arial"/>
          <w:sz w:val="24"/>
          <w:szCs w:val="24"/>
        </w:rPr>
        <w:t xml:space="preserve">contiene el oficio 213C0201000500S/120-2019 de fecha veintitrés </w:t>
      </w:r>
      <w:r w:rsidR="00533229" w:rsidRPr="00017648">
        <w:rPr>
          <w:rFonts w:ascii="Palatino Linotype" w:hAnsi="Palatino Linotype" w:cs="Arial"/>
          <w:sz w:val="24"/>
          <w:szCs w:val="24"/>
        </w:rPr>
        <w:t>de abril de dos mil diecinueve, en donde el Titular de la Unidad de Transparencia Informa que se anexa archivo electrónico con la información solicitada.</w:t>
      </w:r>
    </w:p>
    <w:p w14:paraId="2E38043F" w14:textId="6AEF8017" w:rsidR="000926F0" w:rsidRPr="00017648" w:rsidRDefault="000926F0" w:rsidP="004F3065">
      <w:pPr>
        <w:spacing w:after="0" w:line="360" w:lineRule="auto"/>
        <w:jc w:val="both"/>
        <w:rPr>
          <w:rFonts w:ascii="Palatino Linotype" w:hAnsi="Palatino Linotype" w:cs="Arial"/>
          <w:sz w:val="24"/>
          <w:szCs w:val="24"/>
        </w:rPr>
      </w:pPr>
      <w:r w:rsidRPr="00017648">
        <w:rPr>
          <w:rFonts w:ascii="Palatino Linotype" w:hAnsi="Palatino Linotype" w:cs="Arial"/>
          <w:b/>
          <w:sz w:val="24"/>
          <w:szCs w:val="24"/>
        </w:rPr>
        <w:t>SAIMEX 00041-SAASCAEM-IP-2019.pdf</w:t>
      </w:r>
      <w:r w:rsidR="00533229" w:rsidRPr="00017648">
        <w:rPr>
          <w:rFonts w:ascii="Palatino Linotype" w:hAnsi="Palatino Linotype" w:cs="Arial"/>
          <w:b/>
          <w:sz w:val="24"/>
          <w:szCs w:val="24"/>
        </w:rPr>
        <w:t xml:space="preserve">, </w:t>
      </w:r>
      <w:r w:rsidR="00533229" w:rsidRPr="00017648">
        <w:rPr>
          <w:rFonts w:ascii="Palatino Linotype" w:hAnsi="Palatino Linotype" w:cs="Arial"/>
          <w:sz w:val="24"/>
          <w:szCs w:val="24"/>
        </w:rPr>
        <w:t>contiene setenta y cuatro páginas en las que se muestra apartados por nombre de case y fecha, es decir en el primer apartado se muestra que el siete de mayo, en la caseta de vallejo, paso un vehículo de seguridad estatal a las 21:54 horas y se infiere el número de vehículo, se muestra también que cruzo una vez y el costo fue de diecisiete pesos, así consecutivamente, de las otras casetas en diversas fechas y diversos vehículos.</w:t>
      </w:r>
    </w:p>
    <w:p w14:paraId="6C404C22" w14:textId="77777777" w:rsidR="004F3065" w:rsidRPr="00017648" w:rsidRDefault="004F3065" w:rsidP="004F3065">
      <w:pPr>
        <w:spacing w:after="0" w:line="360" w:lineRule="auto"/>
        <w:jc w:val="both"/>
        <w:rPr>
          <w:rFonts w:ascii="Palatino Linotype" w:hAnsi="Palatino Linotype" w:cs="Arial"/>
          <w:b/>
          <w:sz w:val="24"/>
          <w:szCs w:val="24"/>
        </w:rPr>
      </w:pPr>
    </w:p>
    <w:p w14:paraId="7BDD7A1D" w14:textId="2FDE3D20" w:rsidR="00533229" w:rsidRPr="00017648" w:rsidRDefault="006102EC" w:rsidP="00533229">
      <w:pPr>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TERCERO.</w:t>
      </w:r>
      <w:r w:rsidR="00533229" w:rsidRPr="00017648">
        <w:rPr>
          <w:rFonts w:ascii="Palatino Linotype" w:hAnsi="Palatino Linotype" w:cs="Arial"/>
          <w:b/>
          <w:sz w:val="24"/>
          <w:szCs w:val="24"/>
        </w:rPr>
        <w:t xml:space="preserve"> Del recurso de revisión.</w:t>
      </w:r>
    </w:p>
    <w:p w14:paraId="7AA2A1F8" w14:textId="6085C66E" w:rsidR="00533229" w:rsidRPr="00017648" w:rsidRDefault="00533229" w:rsidP="00533229">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Inconforme con la respuesta por parte del Sujeto Obligado, el ahora Recurrente en fecha </w:t>
      </w:r>
      <w:r w:rsidR="000504A1" w:rsidRPr="00017648">
        <w:rPr>
          <w:rFonts w:ascii="Palatino Linotype" w:hAnsi="Palatino Linotype" w:cs="Arial"/>
          <w:sz w:val="24"/>
          <w:szCs w:val="24"/>
        </w:rPr>
        <w:t>veinticinco de abril</w:t>
      </w:r>
      <w:r w:rsidRPr="00017648">
        <w:rPr>
          <w:rFonts w:ascii="Palatino Linotype" w:hAnsi="Palatino Linotype" w:cs="Arial"/>
          <w:sz w:val="24"/>
          <w:szCs w:val="24"/>
        </w:rPr>
        <w:t xml:space="preserve"> de dos mil dieci</w:t>
      </w:r>
      <w:r w:rsidR="000504A1" w:rsidRPr="00017648">
        <w:rPr>
          <w:rFonts w:ascii="Palatino Linotype" w:hAnsi="Palatino Linotype" w:cs="Arial"/>
          <w:sz w:val="24"/>
          <w:szCs w:val="24"/>
        </w:rPr>
        <w:t>nueve</w:t>
      </w:r>
      <w:r w:rsidRPr="00017648">
        <w:rPr>
          <w:rFonts w:ascii="Palatino Linotype" w:hAnsi="Palatino Linotype" w:cs="Arial"/>
          <w:sz w:val="24"/>
          <w:szCs w:val="24"/>
        </w:rPr>
        <w:t>, interpuso el recurso de revisión, el cual fue registrado</w:t>
      </w:r>
      <w:r w:rsidRPr="00017648">
        <w:rPr>
          <w:rFonts w:ascii="Palatino Linotype" w:hAnsi="Palatino Linotype" w:cs="Arial"/>
          <w:b/>
          <w:sz w:val="24"/>
          <w:szCs w:val="24"/>
        </w:rPr>
        <w:t xml:space="preserve"> </w:t>
      </w:r>
      <w:r w:rsidRPr="00017648">
        <w:rPr>
          <w:rFonts w:ascii="Palatino Linotype" w:hAnsi="Palatino Linotype" w:cs="Arial"/>
          <w:sz w:val="24"/>
          <w:szCs w:val="24"/>
        </w:rPr>
        <w:t xml:space="preserve">en el sistema electrónico con el expediente número </w:t>
      </w:r>
      <w:r w:rsidRPr="00017648">
        <w:rPr>
          <w:rFonts w:ascii="Palatino Linotype" w:hAnsi="Palatino Linotype" w:cs="Arial"/>
          <w:b/>
          <w:bCs/>
          <w:sz w:val="24"/>
          <w:szCs w:val="24"/>
          <w:lang w:eastAsia="es-MX"/>
        </w:rPr>
        <w:t>0</w:t>
      </w:r>
      <w:r w:rsidR="000504A1" w:rsidRPr="00017648">
        <w:rPr>
          <w:rFonts w:ascii="Palatino Linotype" w:hAnsi="Palatino Linotype" w:cs="Arial"/>
          <w:b/>
          <w:bCs/>
          <w:sz w:val="24"/>
          <w:szCs w:val="24"/>
          <w:lang w:eastAsia="es-MX"/>
        </w:rPr>
        <w:t>3065</w:t>
      </w:r>
      <w:r w:rsidRPr="00017648">
        <w:rPr>
          <w:rFonts w:ascii="Palatino Linotype" w:hAnsi="Palatino Linotype" w:cs="Arial"/>
          <w:b/>
          <w:bCs/>
          <w:sz w:val="24"/>
          <w:szCs w:val="24"/>
          <w:lang w:eastAsia="es-MX"/>
        </w:rPr>
        <w:t>/INFOEM/IP/RR/201</w:t>
      </w:r>
      <w:r w:rsidR="000504A1" w:rsidRPr="00017648">
        <w:rPr>
          <w:rFonts w:ascii="Palatino Linotype" w:hAnsi="Palatino Linotype" w:cs="Arial"/>
          <w:b/>
          <w:bCs/>
          <w:sz w:val="24"/>
          <w:szCs w:val="24"/>
          <w:lang w:eastAsia="es-MX"/>
        </w:rPr>
        <w:t>9</w:t>
      </w:r>
      <w:r w:rsidRPr="00017648">
        <w:rPr>
          <w:rFonts w:ascii="Palatino Linotype" w:hAnsi="Palatino Linotype" w:cs="Arial"/>
          <w:sz w:val="24"/>
          <w:szCs w:val="24"/>
        </w:rPr>
        <w:t>, en el cual aduce, las siguientes manifestaciones:</w:t>
      </w:r>
    </w:p>
    <w:p w14:paraId="4C2C959D" w14:textId="77777777" w:rsidR="00533229" w:rsidRPr="00017648" w:rsidRDefault="00533229" w:rsidP="00533229">
      <w:pPr>
        <w:spacing w:after="0" w:line="360" w:lineRule="auto"/>
        <w:jc w:val="both"/>
        <w:rPr>
          <w:rFonts w:ascii="Palatino Linotype" w:hAnsi="Palatino Linotype" w:cs="Arial"/>
          <w:sz w:val="24"/>
          <w:szCs w:val="24"/>
        </w:rPr>
      </w:pPr>
    </w:p>
    <w:p w14:paraId="65747EE0" w14:textId="77777777" w:rsidR="00533229" w:rsidRPr="00017648" w:rsidRDefault="00533229" w:rsidP="00533229">
      <w:pPr>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Acto Impugnado:</w:t>
      </w:r>
    </w:p>
    <w:p w14:paraId="41344538" w14:textId="7170BA0B" w:rsidR="00533229" w:rsidRPr="00017648" w:rsidRDefault="00533229" w:rsidP="00533229">
      <w:pPr>
        <w:ind w:left="851" w:right="850"/>
        <w:jc w:val="both"/>
        <w:rPr>
          <w:rFonts w:ascii="Palatino Linotype" w:hAnsi="Palatino Linotype"/>
          <w:i/>
          <w:color w:val="000000"/>
        </w:rPr>
      </w:pPr>
      <w:r w:rsidRPr="00017648">
        <w:rPr>
          <w:rFonts w:ascii="Palatino Linotype" w:hAnsi="Palatino Linotype"/>
          <w:i/>
          <w:color w:val="000000"/>
        </w:rPr>
        <w:t>“</w:t>
      </w:r>
      <w:r w:rsidR="000504A1" w:rsidRPr="00017648">
        <w:rPr>
          <w:rFonts w:ascii="Palatino Linotype" w:hAnsi="Palatino Linotype"/>
          <w:i/>
          <w:color w:val="000000"/>
        </w:rPr>
        <w:t>Falta de Información así como especificación de la misma</w:t>
      </w:r>
      <w:r w:rsidRPr="00017648">
        <w:rPr>
          <w:rFonts w:ascii="Palatino Linotype" w:hAnsi="Palatino Linotype"/>
          <w:i/>
          <w:color w:val="000000"/>
        </w:rPr>
        <w:t>.”(Sic).</w:t>
      </w:r>
    </w:p>
    <w:p w14:paraId="0D505A20" w14:textId="77777777" w:rsidR="00533229" w:rsidRPr="00017648" w:rsidRDefault="00533229" w:rsidP="00533229">
      <w:pPr>
        <w:spacing w:after="0" w:line="360" w:lineRule="auto"/>
        <w:ind w:left="851" w:right="850"/>
        <w:jc w:val="center"/>
        <w:rPr>
          <w:rFonts w:ascii="Palatino Linotype" w:eastAsia="Times New Roman" w:hAnsi="Palatino Linotype" w:cs="Times New Roman"/>
          <w:i/>
          <w:sz w:val="24"/>
          <w:szCs w:val="24"/>
          <w:lang w:eastAsia="es-MX"/>
        </w:rPr>
      </w:pPr>
    </w:p>
    <w:p w14:paraId="5E9E3CDD" w14:textId="77777777" w:rsidR="00533229" w:rsidRPr="00017648" w:rsidRDefault="00533229" w:rsidP="00533229">
      <w:pPr>
        <w:spacing w:after="0" w:line="360" w:lineRule="auto"/>
        <w:jc w:val="both"/>
        <w:rPr>
          <w:rFonts w:ascii="Palatino Linotype" w:hAnsi="Palatino Linotype" w:cs="Arial"/>
          <w:sz w:val="24"/>
          <w:szCs w:val="24"/>
        </w:rPr>
      </w:pPr>
      <w:r w:rsidRPr="00017648">
        <w:rPr>
          <w:rFonts w:ascii="Palatino Linotype" w:hAnsi="Palatino Linotype" w:cs="Arial"/>
          <w:b/>
          <w:sz w:val="24"/>
          <w:szCs w:val="24"/>
        </w:rPr>
        <w:t>Razones o Motivos de Inconformidad</w:t>
      </w:r>
      <w:r w:rsidRPr="00017648">
        <w:rPr>
          <w:rFonts w:ascii="Palatino Linotype" w:hAnsi="Palatino Linotype" w:cs="Arial"/>
          <w:sz w:val="24"/>
          <w:szCs w:val="24"/>
        </w:rPr>
        <w:t xml:space="preserve">: </w:t>
      </w:r>
    </w:p>
    <w:p w14:paraId="7791CFCF" w14:textId="25597A6F" w:rsidR="00533229" w:rsidRPr="00017648" w:rsidRDefault="00533229" w:rsidP="00533229">
      <w:pPr>
        <w:tabs>
          <w:tab w:val="left" w:pos="851"/>
        </w:tabs>
        <w:spacing w:after="0" w:line="240" w:lineRule="auto"/>
        <w:ind w:left="851" w:right="850"/>
        <w:jc w:val="both"/>
        <w:rPr>
          <w:rFonts w:ascii="Palatino Linotype" w:eastAsia="Times New Roman" w:hAnsi="Palatino Linotype" w:cs="Times New Roman"/>
          <w:i/>
          <w:lang w:eastAsia="es-MX"/>
        </w:rPr>
      </w:pPr>
      <w:r w:rsidRPr="00017648">
        <w:rPr>
          <w:rFonts w:ascii="Palatino Linotype" w:hAnsi="Palatino Linotype" w:cs="Arial"/>
          <w:i/>
        </w:rPr>
        <w:t>“</w:t>
      </w:r>
      <w:r w:rsidR="000504A1" w:rsidRPr="00017648">
        <w:rPr>
          <w:rFonts w:ascii="Palatino Linotype" w:hAnsi="Palatino Linotype"/>
          <w:i/>
          <w:color w:val="000000"/>
        </w:rPr>
        <w:t xml:space="preserve">Mi estimado titular de la área de trasparecía Marco Antonio Ortiz Mérida, lamentable mente en el archivo de su respuesta es similar al que en años posteriores me fue enviado, dando la misma respuesta de la petición anterior, reiteramos la </w:t>
      </w:r>
      <w:r w:rsidR="000504A1" w:rsidRPr="00017648">
        <w:rPr>
          <w:rFonts w:ascii="Palatino Linotype" w:hAnsi="Palatino Linotype"/>
          <w:i/>
          <w:color w:val="000000"/>
        </w:rPr>
        <w:lastRenderedPageBreak/>
        <w:t xml:space="preserve">solicitud ya que no se detalla el recorrido de los vehículos antes mencionados por la salida CEYLAN, así mismo en dicha respuesta solo se anexa la respuestas VALLEJO R4, R6 </w:t>
      </w:r>
      <w:proofErr w:type="spellStart"/>
      <w:r w:rsidR="000504A1" w:rsidRPr="00017648">
        <w:rPr>
          <w:rFonts w:ascii="Palatino Linotype" w:hAnsi="Palatino Linotype"/>
          <w:i/>
          <w:color w:val="000000"/>
        </w:rPr>
        <w:t>y</w:t>
      </w:r>
      <w:proofErr w:type="spellEnd"/>
      <w:r w:rsidR="000504A1" w:rsidRPr="00017648">
        <w:rPr>
          <w:rFonts w:ascii="Palatino Linotype" w:hAnsi="Palatino Linotype"/>
          <w:i/>
          <w:color w:val="000000"/>
        </w:rPr>
        <w:t xml:space="preserve"> Insurgentes, pero no se detalla o define cual caseta es y mucho menos se incluye la salida a </w:t>
      </w:r>
      <w:proofErr w:type="spellStart"/>
      <w:r w:rsidR="000504A1" w:rsidRPr="00017648">
        <w:rPr>
          <w:rFonts w:ascii="Palatino Linotype" w:hAnsi="Palatino Linotype"/>
          <w:i/>
          <w:color w:val="000000"/>
        </w:rPr>
        <w:t>Ceilan</w:t>
      </w:r>
      <w:proofErr w:type="spellEnd"/>
      <w:r w:rsidR="000504A1" w:rsidRPr="00017648">
        <w:rPr>
          <w:rFonts w:ascii="Palatino Linotype" w:hAnsi="Palatino Linotype"/>
          <w:i/>
          <w:color w:val="000000"/>
        </w:rPr>
        <w:t xml:space="preserve">, se anexa foto de la caseta. Agradezco su comprensión, Sin </w:t>
      </w:r>
      <w:proofErr w:type="spellStart"/>
      <w:r w:rsidR="000504A1" w:rsidRPr="00017648">
        <w:rPr>
          <w:rFonts w:ascii="Palatino Linotype" w:hAnsi="Palatino Linotype"/>
          <w:i/>
          <w:color w:val="000000"/>
        </w:rPr>
        <w:t>mas</w:t>
      </w:r>
      <w:proofErr w:type="spellEnd"/>
      <w:r w:rsidR="000504A1" w:rsidRPr="00017648">
        <w:rPr>
          <w:rFonts w:ascii="Palatino Linotype" w:hAnsi="Palatino Linotype"/>
          <w:i/>
          <w:color w:val="000000"/>
        </w:rPr>
        <w:t xml:space="preserve"> por el momento le envió un cordial saludo.</w:t>
      </w:r>
      <w:r w:rsidRPr="00017648">
        <w:rPr>
          <w:rFonts w:ascii="Palatino Linotype" w:hAnsi="Palatino Linotype"/>
          <w:i/>
          <w:color w:val="000000"/>
        </w:rPr>
        <w:t>” (Sic)</w:t>
      </w:r>
    </w:p>
    <w:p w14:paraId="772D7723" w14:textId="05DA5FB4" w:rsidR="009763E3" w:rsidRPr="00017648" w:rsidRDefault="009763E3" w:rsidP="004F3065">
      <w:pPr>
        <w:spacing w:after="0" w:line="360" w:lineRule="auto"/>
        <w:jc w:val="both"/>
        <w:rPr>
          <w:rFonts w:ascii="Palatino Linotype" w:hAnsi="Palatino Linotype"/>
          <w:sz w:val="24"/>
          <w:szCs w:val="24"/>
        </w:rPr>
      </w:pPr>
    </w:p>
    <w:p w14:paraId="65EBFBB4" w14:textId="16EFBA3E" w:rsidR="000504A1" w:rsidRPr="00017648" w:rsidRDefault="000504A1" w:rsidP="000504A1">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Al formato de recurso de revisión el Sujeto Obligado adjunto dos archivos ambos con el mismo nombre, no obstante muestran el mismo contenido, que versa en una imagen de la caseta de </w:t>
      </w:r>
      <w:proofErr w:type="spellStart"/>
      <w:r w:rsidRPr="00017648">
        <w:rPr>
          <w:rFonts w:ascii="Palatino Linotype" w:hAnsi="Palatino Linotype" w:cs="Arial"/>
          <w:sz w:val="24"/>
          <w:szCs w:val="24"/>
        </w:rPr>
        <w:t>ceylan</w:t>
      </w:r>
      <w:proofErr w:type="spellEnd"/>
      <w:r w:rsidRPr="00017648">
        <w:rPr>
          <w:rFonts w:ascii="Palatino Linotype" w:hAnsi="Palatino Linotype" w:cs="Arial"/>
          <w:sz w:val="24"/>
          <w:szCs w:val="24"/>
        </w:rPr>
        <w:t>.</w:t>
      </w:r>
    </w:p>
    <w:p w14:paraId="05C89AB8" w14:textId="77777777" w:rsidR="000504A1" w:rsidRPr="00017648" w:rsidRDefault="000504A1" w:rsidP="000504A1">
      <w:pPr>
        <w:spacing w:after="0" w:line="360" w:lineRule="auto"/>
        <w:jc w:val="both"/>
        <w:rPr>
          <w:rFonts w:ascii="Palatino Linotype" w:hAnsi="Palatino Linotype" w:cs="Arial"/>
          <w:sz w:val="24"/>
          <w:szCs w:val="24"/>
        </w:rPr>
      </w:pPr>
    </w:p>
    <w:p w14:paraId="28D358ED" w14:textId="77777777" w:rsidR="000504A1" w:rsidRPr="00017648" w:rsidRDefault="006102EC" w:rsidP="000504A1">
      <w:pPr>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CUARTO</w:t>
      </w:r>
      <w:r w:rsidR="005353D8" w:rsidRPr="00017648">
        <w:rPr>
          <w:rFonts w:ascii="Palatino Linotype" w:hAnsi="Palatino Linotype" w:cs="Arial"/>
          <w:b/>
          <w:sz w:val="24"/>
          <w:szCs w:val="24"/>
        </w:rPr>
        <w:t xml:space="preserve">. </w:t>
      </w:r>
      <w:r w:rsidR="000504A1" w:rsidRPr="00017648">
        <w:rPr>
          <w:rFonts w:ascii="Palatino Linotype" w:hAnsi="Palatino Linotype" w:cs="Arial"/>
          <w:b/>
          <w:sz w:val="24"/>
          <w:szCs w:val="24"/>
        </w:rPr>
        <w:t>Del turno del recurso de revisión.</w:t>
      </w:r>
    </w:p>
    <w:p w14:paraId="4F074B99" w14:textId="3EDA2C8A" w:rsidR="000504A1" w:rsidRPr="00017648" w:rsidRDefault="000504A1" w:rsidP="000504A1">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Medio de impugnación que le fue turnado a la Comisionada </w:t>
      </w:r>
      <w:r w:rsidRPr="00017648">
        <w:rPr>
          <w:rFonts w:ascii="Palatino Linotype" w:hAnsi="Palatino Linotype" w:cs="Arial"/>
          <w:b/>
          <w:sz w:val="24"/>
          <w:szCs w:val="24"/>
        </w:rPr>
        <w:t>Zulema Martínez Sánchez</w:t>
      </w:r>
      <w:r w:rsidRPr="00017648">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dos de mayo de la presente anualidad, determinándose en él, un plazo de siete días para que las partes manifestaran lo que a su derecho corresponda en términos del numeral ya citado.</w:t>
      </w:r>
    </w:p>
    <w:p w14:paraId="36842D13" w14:textId="0C1E277C" w:rsidR="009F6F65" w:rsidRPr="00017648" w:rsidRDefault="009F6F65" w:rsidP="00533229">
      <w:pPr>
        <w:spacing w:after="0" w:line="360" w:lineRule="auto"/>
        <w:jc w:val="both"/>
        <w:rPr>
          <w:rFonts w:ascii="Palatino Linotype" w:eastAsia="Times New Roman" w:hAnsi="Palatino Linotype" w:cs="Times New Roman"/>
          <w:i/>
          <w:lang w:eastAsia="es-MX"/>
        </w:rPr>
      </w:pPr>
    </w:p>
    <w:p w14:paraId="32D06FA6" w14:textId="77777777" w:rsidR="000504A1" w:rsidRPr="00017648" w:rsidRDefault="00E43D75" w:rsidP="000504A1">
      <w:pPr>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QUIN</w:t>
      </w:r>
      <w:r w:rsidR="00E07EC8" w:rsidRPr="00017648">
        <w:rPr>
          <w:rFonts w:ascii="Palatino Linotype" w:hAnsi="Palatino Linotype" w:cs="Arial"/>
          <w:b/>
          <w:sz w:val="24"/>
          <w:szCs w:val="24"/>
        </w:rPr>
        <w:t>T</w:t>
      </w:r>
      <w:r w:rsidR="00BF3214" w:rsidRPr="00017648">
        <w:rPr>
          <w:rFonts w:ascii="Palatino Linotype" w:hAnsi="Palatino Linotype" w:cs="Arial"/>
          <w:b/>
          <w:sz w:val="24"/>
          <w:szCs w:val="24"/>
        </w:rPr>
        <w:t xml:space="preserve">O. </w:t>
      </w:r>
      <w:r w:rsidR="000504A1" w:rsidRPr="00017648">
        <w:rPr>
          <w:rFonts w:ascii="Palatino Linotype" w:hAnsi="Palatino Linotype" w:cs="Arial"/>
          <w:b/>
          <w:sz w:val="24"/>
          <w:szCs w:val="24"/>
        </w:rPr>
        <w:t>De la etapa de manifestaciones y/o alegatos.</w:t>
      </w:r>
    </w:p>
    <w:p w14:paraId="26C9DAF9" w14:textId="73D92DFD" w:rsidR="000504A1" w:rsidRPr="00017648" w:rsidRDefault="000504A1" w:rsidP="0070695D">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Así, una vez transcurrido el término legal referido se destaca que tanto el Sujeto Obligado </w:t>
      </w:r>
      <w:r w:rsidR="0070695D" w:rsidRPr="00017648">
        <w:rPr>
          <w:rFonts w:ascii="Palatino Linotype" w:hAnsi="Palatino Linotype" w:cs="Arial"/>
          <w:sz w:val="24"/>
          <w:szCs w:val="24"/>
        </w:rPr>
        <w:t>en fecha siete de mayo de dos mil diecinueve, presento manifestaciones mediante cuatro archivos, los cuales no se pusieron a la vista del particular, por los motivos que más adelante se plasmarán.</w:t>
      </w:r>
    </w:p>
    <w:p w14:paraId="6DC64A74" w14:textId="77777777" w:rsidR="0070695D" w:rsidRPr="00017648" w:rsidRDefault="0070695D" w:rsidP="0070695D">
      <w:pPr>
        <w:spacing w:after="0" w:line="360" w:lineRule="auto"/>
        <w:jc w:val="both"/>
        <w:rPr>
          <w:rFonts w:ascii="Palatino Linotype" w:hAnsi="Palatino Linotype" w:cs="Arial"/>
          <w:sz w:val="24"/>
          <w:szCs w:val="24"/>
        </w:rPr>
      </w:pPr>
    </w:p>
    <w:p w14:paraId="6B23349B" w14:textId="6942E423" w:rsidR="0070695D" w:rsidRPr="00017648" w:rsidRDefault="0070695D" w:rsidP="0070695D">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Por parte del Recurrente en fecha diecisiete de mayo de dos mil diecinueve, presento manifestaciones mediante dos archivos, </w:t>
      </w:r>
      <w:r w:rsidR="00636970" w:rsidRPr="00017648">
        <w:rPr>
          <w:rFonts w:ascii="Palatino Linotype" w:hAnsi="Palatino Linotype" w:cs="Arial"/>
          <w:sz w:val="24"/>
          <w:szCs w:val="24"/>
        </w:rPr>
        <w:t xml:space="preserve">el primero de ellos con el nombre </w:t>
      </w:r>
      <w:r w:rsidR="00636970" w:rsidRPr="00017648">
        <w:rPr>
          <w:rFonts w:ascii="Palatino Linotype" w:hAnsi="Palatino Linotype" w:cs="Arial"/>
          <w:b/>
          <w:sz w:val="24"/>
          <w:szCs w:val="24"/>
        </w:rPr>
        <w:lastRenderedPageBreak/>
        <w:t xml:space="preserve">autopista.png, </w:t>
      </w:r>
      <w:r w:rsidR="00A976C4" w:rsidRPr="00017648">
        <w:rPr>
          <w:rFonts w:ascii="Palatino Linotype" w:hAnsi="Palatino Linotype" w:cs="Arial"/>
          <w:sz w:val="24"/>
          <w:szCs w:val="24"/>
        </w:rPr>
        <w:t xml:space="preserve">el cual </w:t>
      </w:r>
      <w:r w:rsidR="00636970" w:rsidRPr="00017648">
        <w:rPr>
          <w:rFonts w:ascii="Palatino Linotype" w:hAnsi="Palatino Linotype" w:cs="Arial"/>
          <w:sz w:val="24"/>
          <w:szCs w:val="24"/>
        </w:rPr>
        <w:t>contiene la misma i</w:t>
      </w:r>
      <w:r w:rsidR="00A976C4" w:rsidRPr="00017648">
        <w:rPr>
          <w:rFonts w:ascii="Palatino Linotype" w:hAnsi="Palatino Linotype" w:cs="Arial"/>
          <w:sz w:val="24"/>
          <w:szCs w:val="24"/>
        </w:rPr>
        <w:t>nformación</w:t>
      </w:r>
      <w:r w:rsidR="00636970" w:rsidRPr="00017648">
        <w:rPr>
          <w:rFonts w:ascii="Palatino Linotype" w:hAnsi="Palatino Linotype" w:cs="Arial"/>
          <w:sz w:val="24"/>
          <w:szCs w:val="24"/>
        </w:rPr>
        <w:t xml:space="preserve"> remitida en el formato del recurso de revisión que corresponde a la imagen de la caseta de </w:t>
      </w:r>
      <w:proofErr w:type="spellStart"/>
      <w:r w:rsidR="00636970" w:rsidRPr="00017648">
        <w:rPr>
          <w:rFonts w:ascii="Palatino Linotype" w:hAnsi="Palatino Linotype" w:cs="Arial"/>
          <w:sz w:val="24"/>
          <w:szCs w:val="24"/>
        </w:rPr>
        <w:t>ceylan</w:t>
      </w:r>
      <w:proofErr w:type="spellEnd"/>
      <w:r w:rsidR="00A976C4" w:rsidRPr="00017648">
        <w:rPr>
          <w:rFonts w:ascii="Palatino Linotype" w:hAnsi="Palatino Linotype" w:cs="Arial"/>
          <w:sz w:val="24"/>
          <w:szCs w:val="24"/>
        </w:rPr>
        <w:t xml:space="preserve">, el otro archivo denominado </w:t>
      </w:r>
      <w:r w:rsidR="00C82165" w:rsidRPr="00017648">
        <w:rPr>
          <w:rFonts w:ascii="Palatino Linotype" w:hAnsi="Palatino Linotype" w:cs="Arial"/>
          <w:b/>
          <w:sz w:val="24"/>
          <w:szCs w:val="24"/>
        </w:rPr>
        <w:t xml:space="preserve">249836.page.pdf, </w:t>
      </w:r>
      <w:r w:rsidR="00A976C4" w:rsidRPr="00017648">
        <w:rPr>
          <w:rFonts w:ascii="Palatino Linotype" w:hAnsi="Palatino Linotype" w:cs="Arial"/>
          <w:sz w:val="24"/>
          <w:szCs w:val="24"/>
        </w:rPr>
        <w:t>contiene el acuerdo de admisión inmerso en el expediente SAIMEX.</w:t>
      </w:r>
    </w:p>
    <w:p w14:paraId="5C792FDA" w14:textId="77777777" w:rsidR="0070695D" w:rsidRPr="00017648" w:rsidRDefault="0070695D" w:rsidP="0070695D">
      <w:pPr>
        <w:spacing w:after="0" w:line="360" w:lineRule="auto"/>
        <w:jc w:val="both"/>
        <w:rPr>
          <w:rFonts w:ascii="Palatino Linotype" w:hAnsi="Palatino Linotype" w:cs="Arial"/>
          <w:sz w:val="24"/>
          <w:szCs w:val="24"/>
        </w:rPr>
      </w:pPr>
    </w:p>
    <w:p w14:paraId="28E24D17" w14:textId="77777777" w:rsidR="000504A1" w:rsidRPr="00017648" w:rsidRDefault="000504A1" w:rsidP="000504A1">
      <w:pPr>
        <w:tabs>
          <w:tab w:val="left" w:pos="3206"/>
        </w:tabs>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Del cierre de instrucción.</w:t>
      </w:r>
      <w:r w:rsidRPr="00017648">
        <w:rPr>
          <w:rFonts w:ascii="Palatino Linotype" w:hAnsi="Palatino Linotype" w:cs="Arial"/>
          <w:b/>
          <w:sz w:val="24"/>
          <w:szCs w:val="24"/>
        </w:rPr>
        <w:tab/>
      </w:r>
    </w:p>
    <w:p w14:paraId="0CB4270A" w14:textId="5048749A" w:rsidR="000504A1" w:rsidRPr="00017648" w:rsidRDefault="000504A1" w:rsidP="000504A1">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Así, una vez transcurrido el término legal, se decreta el cierre de instrucción en fecha </w:t>
      </w:r>
      <w:r w:rsidR="00C82165" w:rsidRPr="00017648">
        <w:rPr>
          <w:rFonts w:ascii="Palatino Linotype" w:hAnsi="Palatino Linotype" w:cs="Arial"/>
          <w:sz w:val="24"/>
          <w:szCs w:val="24"/>
        </w:rPr>
        <w:t xml:space="preserve">seis </w:t>
      </w:r>
      <w:r w:rsidRPr="00017648">
        <w:rPr>
          <w:rFonts w:ascii="Palatino Linotype" w:hAnsi="Palatino Linotype" w:cs="Arial"/>
          <w:sz w:val="24"/>
          <w:szCs w:val="24"/>
        </w:rPr>
        <w:t>de junio de dos mil dieci</w:t>
      </w:r>
      <w:r w:rsidR="00C82165" w:rsidRPr="00017648">
        <w:rPr>
          <w:rFonts w:ascii="Palatino Linotype" w:hAnsi="Palatino Linotype" w:cs="Arial"/>
          <w:sz w:val="24"/>
          <w:szCs w:val="24"/>
        </w:rPr>
        <w:t>nueve</w:t>
      </w:r>
      <w:r w:rsidRPr="0001764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60FB78" w14:textId="77777777" w:rsidR="00C82165" w:rsidRPr="00017648" w:rsidRDefault="00C82165" w:rsidP="000504A1">
      <w:pPr>
        <w:spacing w:after="0" w:line="360" w:lineRule="auto"/>
        <w:jc w:val="both"/>
        <w:rPr>
          <w:rFonts w:ascii="Palatino Linotype" w:hAnsi="Palatino Linotype" w:cs="Arial"/>
          <w:sz w:val="24"/>
          <w:szCs w:val="24"/>
        </w:rPr>
      </w:pPr>
    </w:p>
    <w:p w14:paraId="2E4F4B6F" w14:textId="77777777" w:rsidR="00C82165" w:rsidRPr="00017648" w:rsidRDefault="00C82165" w:rsidP="00C82165">
      <w:pPr>
        <w:spacing w:after="0" w:line="360" w:lineRule="auto"/>
        <w:jc w:val="both"/>
        <w:rPr>
          <w:rFonts w:ascii="Palatino Linotype" w:hAnsi="Palatino Linotype"/>
          <w:b/>
          <w:noProof/>
          <w:sz w:val="24"/>
          <w:szCs w:val="24"/>
          <w:lang w:eastAsia="es-MX"/>
        </w:rPr>
      </w:pPr>
      <w:r w:rsidRPr="00017648">
        <w:rPr>
          <w:rFonts w:ascii="Palatino Linotype" w:hAnsi="Palatino Linotype"/>
          <w:b/>
          <w:noProof/>
          <w:sz w:val="24"/>
          <w:szCs w:val="24"/>
          <w:lang w:eastAsia="es-MX"/>
        </w:rPr>
        <w:t>De la ampliación para emitir resolución del recurso de revisión.</w:t>
      </w:r>
    </w:p>
    <w:p w14:paraId="330DA4FC" w14:textId="7B0BF766" w:rsidR="00C82165" w:rsidRPr="00017648" w:rsidRDefault="00C82165" w:rsidP="00C8216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En fecha catorce de junio dos mil diecinueve, se remitió a las partes el acuerdo de ampliación del plazo para resolver el presente recurso de revisión en términos del artículo 181 de la Ley de Transparencia y Acceso a la Información Pública del Estado de México y Municipios.</w:t>
      </w:r>
    </w:p>
    <w:p w14:paraId="399BEFE7" w14:textId="77777777" w:rsidR="00C82165" w:rsidRPr="00017648" w:rsidRDefault="00C82165" w:rsidP="000504A1">
      <w:pPr>
        <w:spacing w:after="0" w:line="360" w:lineRule="auto"/>
        <w:jc w:val="both"/>
        <w:rPr>
          <w:rFonts w:ascii="Palatino Linotype" w:hAnsi="Palatino Linotype" w:cs="Arial"/>
          <w:sz w:val="24"/>
          <w:szCs w:val="24"/>
        </w:rPr>
      </w:pPr>
    </w:p>
    <w:p w14:paraId="6AE9A437" w14:textId="77777777" w:rsidR="00BF3214" w:rsidRPr="00017648" w:rsidRDefault="00BF3214" w:rsidP="00AD2A55">
      <w:pPr>
        <w:spacing w:after="0" w:line="360" w:lineRule="auto"/>
        <w:jc w:val="center"/>
        <w:rPr>
          <w:rFonts w:ascii="Palatino Linotype" w:hAnsi="Palatino Linotype" w:cs="Arial"/>
          <w:b/>
          <w:sz w:val="24"/>
          <w:szCs w:val="24"/>
        </w:rPr>
      </w:pPr>
      <w:r w:rsidRPr="00017648">
        <w:rPr>
          <w:rFonts w:ascii="Palatino Linotype" w:hAnsi="Palatino Linotype" w:cs="Arial"/>
          <w:b/>
          <w:sz w:val="24"/>
          <w:szCs w:val="24"/>
        </w:rPr>
        <w:t xml:space="preserve">C O N S I D E R A N D O </w:t>
      </w:r>
    </w:p>
    <w:p w14:paraId="204DC932" w14:textId="77777777" w:rsidR="00983EFD" w:rsidRPr="00017648" w:rsidRDefault="00983EFD" w:rsidP="00AD2A55">
      <w:pPr>
        <w:spacing w:after="0" w:line="360" w:lineRule="auto"/>
        <w:jc w:val="center"/>
        <w:rPr>
          <w:rFonts w:ascii="Palatino Linotype" w:hAnsi="Palatino Linotype" w:cs="Arial"/>
          <w:b/>
          <w:sz w:val="24"/>
          <w:szCs w:val="24"/>
        </w:rPr>
      </w:pPr>
    </w:p>
    <w:p w14:paraId="632C3657" w14:textId="77777777" w:rsidR="00EE326A" w:rsidRPr="00017648" w:rsidRDefault="00BF3214" w:rsidP="00AD2A55">
      <w:pPr>
        <w:spacing w:after="0" w:line="360" w:lineRule="auto"/>
        <w:jc w:val="both"/>
        <w:rPr>
          <w:rFonts w:ascii="Palatino Linotype" w:hAnsi="Palatino Linotype" w:cs="Arial"/>
          <w:sz w:val="24"/>
          <w:szCs w:val="24"/>
        </w:rPr>
      </w:pPr>
      <w:r w:rsidRPr="00017648">
        <w:rPr>
          <w:rFonts w:ascii="Palatino Linotype" w:hAnsi="Palatino Linotype" w:cs="Arial"/>
          <w:b/>
          <w:sz w:val="24"/>
          <w:szCs w:val="24"/>
        </w:rPr>
        <w:t xml:space="preserve">PRIMERO. </w:t>
      </w:r>
      <w:r w:rsidR="00EE326A" w:rsidRPr="00017648">
        <w:rPr>
          <w:rFonts w:ascii="Palatino Linotype" w:hAnsi="Palatino Linotype" w:cs="Arial"/>
          <w:b/>
          <w:sz w:val="24"/>
          <w:szCs w:val="24"/>
        </w:rPr>
        <w:t>De la c</w:t>
      </w:r>
      <w:r w:rsidRPr="00017648">
        <w:rPr>
          <w:rFonts w:ascii="Palatino Linotype" w:hAnsi="Palatino Linotype" w:cs="Arial"/>
          <w:b/>
          <w:sz w:val="24"/>
          <w:szCs w:val="24"/>
        </w:rPr>
        <w:t>ompetencia</w:t>
      </w:r>
      <w:r w:rsidRPr="00017648">
        <w:rPr>
          <w:rFonts w:ascii="Palatino Linotype" w:hAnsi="Palatino Linotype" w:cs="Arial"/>
          <w:sz w:val="24"/>
          <w:szCs w:val="24"/>
        </w:rPr>
        <w:t>.</w:t>
      </w:r>
    </w:p>
    <w:p w14:paraId="322D83C5" w14:textId="0DC0395E" w:rsidR="00BF3214" w:rsidRPr="00017648" w:rsidRDefault="00BF3214" w:rsidP="00AD2A5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017648">
        <w:rPr>
          <w:rFonts w:ascii="Palatino Linotype" w:hAnsi="Palatino Linotype" w:cs="Arial"/>
          <w:sz w:val="24"/>
          <w:szCs w:val="24"/>
        </w:rPr>
        <w:t>ciudadano</w:t>
      </w:r>
      <w:r w:rsidR="00982CAE" w:rsidRPr="00017648">
        <w:rPr>
          <w:rFonts w:ascii="Palatino Linotype" w:hAnsi="Palatino Linotype" w:cs="Arial"/>
          <w:sz w:val="24"/>
          <w:szCs w:val="24"/>
        </w:rPr>
        <w:t>,</w:t>
      </w:r>
      <w:r w:rsidR="00B90166" w:rsidRPr="00017648">
        <w:rPr>
          <w:rFonts w:ascii="Palatino Linotype" w:hAnsi="Palatino Linotype" w:cs="Arial"/>
          <w:b/>
          <w:sz w:val="24"/>
          <w:szCs w:val="24"/>
        </w:rPr>
        <w:t xml:space="preserve"> </w:t>
      </w:r>
      <w:r w:rsidRPr="00017648">
        <w:rPr>
          <w:rFonts w:ascii="Palatino Linotype" w:hAnsi="Palatino Linotype" w:cs="Arial"/>
          <w:sz w:val="24"/>
          <w:szCs w:val="24"/>
        </w:rPr>
        <w:t xml:space="preserve">conforme a lo dispuesto en los artículos 6, apartado A, fracción IV de la Constitución Política de los Estados </w:t>
      </w:r>
      <w:r w:rsidRPr="00017648">
        <w:rPr>
          <w:rFonts w:ascii="Palatino Linotype" w:hAnsi="Palatino Linotype" w:cs="Arial"/>
          <w:sz w:val="24"/>
          <w:szCs w:val="24"/>
        </w:rPr>
        <w:lastRenderedPageBreak/>
        <w:t xml:space="preserve">Unidos Mexicanos, 5, párrafos </w:t>
      </w:r>
      <w:r w:rsidR="00A726D8" w:rsidRPr="00017648">
        <w:rPr>
          <w:rFonts w:ascii="Palatino Linotype" w:hAnsi="Palatino Linotype" w:cs="Arial"/>
          <w:sz w:val="24"/>
          <w:szCs w:val="24"/>
        </w:rPr>
        <w:t>vigésimo</w:t>
      </w:r>
      <w:r w:rsidRPr="00017648">
        <w:rPr>
          <w:rFonts w:ascii="Palatino Linotype" w:hAnsi="Palatino Linotype" w:cs="Arial"/>
          <w:sz w:val="24"/>
          <w:szCs w:val="24"/>
        </w:rPr>
        <w:t xml:space="preserve">, </w:t>
      </w:r>
      <w:r w:rsidR="00A726D8" w:rsidRPr="00017648">
        <w:rPr>
          <w:rFonts w:ascii="Palatino Linotype" w:hAnsi="Palatino Linotype" w:cs="Arial"/>
          <w:sz w:val="24"/>
          <w:szCs w:val="24"/>
        </w:rPr>
        <w:t>vigésimo primero y vigésimo segundo</w:t>
      </w:r>
      <w:r w:rsidRPr="00017648">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546882" w:rsidRPr="00017648">
        <w:rPr>
          <w:rFonts w:ascii="Palatino Linotype" w:hAnsi="Palatino Linotype" w:cs="Arial"/>
          <w:sz w:val="24"/>
          <w:szCs w:val="24"/>
        </w:rPr>
        <w:t>VII y XI</w:t>
      </w:r>
      <w:r w:rsidRPr="00017648">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017648">
        <w:rPr>
          <w:rFonts w:ascii="Palatino Linotype" w:hAnsi="Palatino Linotype" w:cs="Arial"/>
          <w:sz w:val="24"/>
          <w:szCs w:val="24"/>
        </w:rPr>
        <w:t xml:space="preserve">9, fracciones I y XXIV y 11 </w:t>
      </w:r>
      <w:r w:rsidRPr="00017648">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017648" w:rsidRDefault="00617BF5" w:rsidP="00AD2A55">
      <w:pPr>
        <w:spacing w:after="0" w:line="360" w:lineRule="auto"/>
        <w:jc w:val="both"/>
        <w:rPr>
          <w:rFonts w:ascii="Palatino Linotype" w:hAnsi="Palatino Linotype" w:cs="Arial"/>
          <w:sz w:val="24"/>
          <w:szCs w:val="24"/>
        </w:rPr>
      </w:pPr>
    </w:p>
    <w:p w14:paraId="7CB52BFD" w14:textId="77777777" w:rsidR="00EE326A" w:rsidRPr="00017648" w:rsidRDefault="00BF3214" w:rsidP="00AD2A55">
      <w:pPr>
        <w:autoSpaceDE w:val="0"/>
        <w:autoSpaceDN w:val="0"/>
        <w:adjustRightInd w:val="0"/>
        <w:spacing w:after="0" w:line="360" w:lineRule="auto"/>
        <w:jc w:val="both"/>
        <w:rPr>
          <w:rFonts w:ascii="Palatino Linotype" w:hAnsi="Palatino Linotype" w:cs="Arial"/>
          <w:b/>
          <w:sz w:val="24"/>
          <w:szCs w:val="24"/>
        </w:rPr>
      </w:pPr>
      <w:r w:rsidRPr="00017648">
        <w:rPr>
          <w:rFonts w:ascii="Palatino Linotype" w:hAnsi="Palatino Linotype" w:cs="Arial"/>
          <w:b/>
          <w:sz w:val="24"/>
          <w:szCs w:val="24"/>
        </w:rPr>
        <w:t xml:space="preserve">SEGUNDO. </w:t>
      </w:r>
      <w:r w:rsidR="00EE326A" w:rsidRPr="00017648">
        <w:rPr>
          <w:rFonts w:ascii="Palatino Linotype" w:hAnsi="Palatino Linotype" w:cs="Arial"/>
          <w:b/>
          <w:sz w:val="24"/>
          <w:szCs w:val="24"/>
        </w:rPr>
        <w:t xml:space="preserve"> De los a</w:t>
      </w:r>
      <w:r w:rsidR="00A17DC4" w:rsidRPr="00017648">
        <w:rPr>
          <w:rFonts w:ascii="Palatino Linotype" w:hAnsi="Palatino Linotype" w:cs="Arial"/>
          <w:b/>
          <w:sz w:val="24"/>
          <w:szCs w:val="24"/>
        </w:rPr>
        <w:t xml:space="preserve">lcances del Recurso de Revisión. </w:t>
      </w:r>
    </w:p>
    <w:p w14:paraId="4D65891D" w14:textId="22657795" w:rsidR="000035B9" w:rsidRPr="00017648" w:rsidRDefault="00A17DC4" w:rsidP="00AD2A55">
      <w:pPr>
        <w:autoSpaceDE w:val="0"/>
        <w:autoSpaceDN w:val="0"/>
        <w:adjustRightInd w:val="0"/>
        <w:spacing w:after="0" w:line="360" w:lineRule="auto"/>
        <w:jc w:val="both"/>
        <w:rPr>
          <w:rFonts w:ascii="Palatino Linotype" w:hAnsi="Palatino Linotype" w:cs="Arial"/>
          <w:sz w:val="24"/>
          <w:szCs w:val="24"/>
        </w:rPr>
      </w:pPr>
      <w:r w:rsidRPr="00017648">
        <w:rPr>
          <w:rFonts w:ascii="Palatino Linotype" w:hAnsi="Palatino Linotype" w:cs="Arial"/>
          <w:sz w:val="24"/>
          <w:szCs w:val="24"/>
        </w:rPr>
        <w:t>Anterior a todo debe destacarse que el recurso de revisión tiene el fin y alcance que señalan los numerales 176, 179</w:t>
      </w:r>
      <w:r w:rsidR="00546882" w:rsidRPr="00017648">
        <w:rPr>
          <w:rFonts w:ascii="Palatino Linotype" w:hAnsi="Palatino Linotype" w:cs="Arial"/>
          <w:sz w:val="24"/>
          <w:szCs w:val="24"/>
        </w:rPr>
        <w:t xml:space="preserve"> fracciones VII y XI</w:t>
      </w:r>
      <w:r w:rsidRPr="00017648">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9FE9E2" w14:textId="77777777" w:rsidR="00C82165" w:rsidRPr="00017648" w:rsidRDefault="00C82165" w:rsidP="00AD2A55">
      <w:pPr>
        <w:autoSpaceDE w:val="0"/>
        <w:autoSpaceDN w:val="0"/>
        <w:adjustRightInd w:val="0"/>
        <w:spacing w:after="0" w:line="360" w:lineRule="auto"/>
        <w:jc w:val="both"/>
        <w:rPr>
          <w:rFonts w:ascii="Palatino Linotype" w:hAnsi="Palatino Linotype" w:cs="Arial"/>
          <w:sz w:val="24"/>
          <w:szCs w:val="24"/>
        </w:rPr>
      </w:pPr>
    </w:p>
    <w:p w14:paraId="6F4666C3" w14:textId="77777777" w:rsidR="00C82165" w:rsidRPr="00017648" w:rsidRDefault="00C82165" w:rsidP="00C82165">
      <w:pPr>
        <w:autoSpaceDE w:val="0"/>
        <w:autoSpaceDN w:val="0"/>
        <w:adjustRightInd w:val="0"/>
        <w:spacing w:before="240" w:after="240" w:line="360" w:lineRule="auto"/>
        <w:jc w:val="both"/>
        <w:rPr>
          <w:rFonts w:ascii="Palatino Linotype" w:hAnsi="Palatino Linotype" w:cs="Arial"/>
          <w:b/>
          <w:sz w:val="24"/>
          <w:szCs w:val="24"/>
        </w:rPr>
      </w:pPr>
      <w:r w:rsidRPr="00017648">
        <w:rPr>
          <w:rFonts w:ascii="Palatino Linotype" w:hAnsi="Palatino Linotype" w:cs="Arial"/>
          <w:b/>
          <w:sz w:val="28"/>
        </w:rPr>
        <w:t>TERCERO</w:t>
      </w:r>
      <w:r w:rsidRPr="00017648">
        <w:rPr>
          <w:rFonts w:ascii="Palatino Linotype" w:hAnsi="Palatino Linotype" w:cs="Arial"/>
          <w:b/>
        </w:rPr>
        <w:t xml:space="preserve">. </w:t>
      </w:r>
      <w:r w:rsidRPr="00017648">
        <w:rPr>
          <w:rFonts w:ascii="Palatino Linotype" w:hAnsi="Palatino Linotype" w:cs="Arial"/>
          <w:b/>
          <w:sz w:val="24"/>
          <w:szCs w:val="24"/>
        </w:rPr>
        <w:t xml:space="preserve">Causales de sobreseimiento. </w:t>
      </w:r>
    </w:p>
    <w:p w14:paraId="7AE12890" w14:textId="77777777" w:rsidR="00C82165" w:rsidRPr="00017648" w:rsidRDefault="00C82165" w:rsidP="00C82165">
      <w:pPr>
        <w:pStyle w:val="Prrafodelista"/>
        <w:autoSpaceDE w:val="0"/>
        <w:autoSpaceDN w:val="0"/>
        <w:adjustRightInd w:val="0"/>
        <w:spacing w:line="360" w:lineRule="auto"/>
        <w:ind w:left="0"/>
        <w:jc w:val="both"/>
        <w:rPr>
          <w:rFonts w:ascii="Palatino Linotype" w:hAnsi="Palatino Linotype" w:cs="Arial"/>
        </w:rPr>
      </w:pPr>
      <w:r w:rsidRPr="00017648">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017648">
        <w:rPr>
          <w:rFonts w:ascii="Palatino Linotype" w:hAnsi="Palatino Linotype" w:cs="Arial"/>
        </w:rPr>
        <w:t>procedibilidad</w:t>
      </w:r>
      <w:proofErr w:type="spellEnd"/>
      <w:r w:rsidRPr="00017648">
        <w:rPr>
          <w:rFonts w:ascii="Palatino Linotype" w:hAnsi="Palatino Linotype" w:cs="Arial"/>
        </w:rPr>
        <w:t xml:space="preserve"> que deben estudiarse con la finalidad de dar cumplimiento a los principios de legalidad y objetividad inmersos en el artículo 9 de Ley de Transparencia </w:t>
      </w:r>
      <w:r w:rsidRPr="00017648">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2ADE0F54" w14:textId="77777777" w:rsidR="00C82165" w:rsidRPr="00017648" w:rsidRDefault="00C82165" w:rsidP="00C82165">
      <w:pPr>
        <w:pStyle w:val="Prrafodelista"/>
        <w:autoSpaceDE w:val="0"/>
        <w:autoSpaceDN w:val="0"/>
        <w:adjustRightInd w:val="0"/>
        <w:spacing w:line="360" w:lineRule="auto"/>
        <w:ind w:left="0"/>
        <w:jc w:val="both"/>
        <w:rPr>
          <w:rFonts w:ascii="Palatino Linotype" w:hAnsi="Palatino Linotype" w:cs="Arial"/>
        </w:rPr>
      </w:pPr>
    </w:p>
    <w:p w14:paraId="52C7B70B" w14:textId="77777777" w:rsidR="00DB2788" w:rsidRPr="00017648" w:rsidRDefault="00C82165" w:rsidP="00DB2788">
      <w:pPr>
        <w:pStyle w:val="Prrafodelista"/>
        <w:autoSpaceDE w:val="0"/>
        <w:autoSpaceDN w:val="0"/>
        <w:adjustRightInd w:val="0"/>
        <w:spacing w:line="360" w:lineRule="auto"/>
        <w:ind w:left="0"/>
        <w:jc w:val="both"/>
        <w:rPr>
          <w:rFonts w:ascii="Palatino Linotype" w:hAnsi="Palatino Linotype" w:cs="Arial"/>
        </w:rPr>
      </w:pPr>
      <w:r w:rsidRPr="00017648">
        <w:rPr>
          <w:rFonts w:ascii="Palatino Linotype" w:hAnsi="Palatino Linotype" w:cs="Arial"/>
        </w:rPr>
        <w:t xml:space="preserve">Siendo una facultad legal entrar al estudio de las causales de sobreseimiento que hagan valer las partes o que se adviertan de oficio por este </w:t>
      </w:r>
      <w:proofErr w:type="spellStart"/>
      <w:r w:rsidRPr="00017648">
        <w:rPr>
          <w:rFonts w:ascii="Palatino Linotype" w:hAnsi="Palatino Linotype" w:cs="Arial"/>
        </w:rPr>
        <w:t>Resolutor</w:t>
      </w:r>
      <w:proofErr w:type="spellEnd"/>
      <w:r w:rsidRPr="00017648">
        <w:rPr>
          <w:rFonts w:ascii="Palatino Linotype" w:hAnsi="Palatino Linotype" w:cs="Arial"/>
        </w:rPr>
        <w:t xml:space="preserve">;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w:t>
      </w:r>
      <w:r w:rsidR="00DB2788" w:rsidRPr="00017648">
        <w:rPr>
          <w:rFonts w:ascii="Palatino Linotype" w:hAnsi="Palatino Linotype" w:cs="Arial"/>
        </w:rPr>
        <w:t>su fondo, cuando una vez admitido el recurso de revisión se advierta una causal de sobreseimiento.</w:t>
      </w:r>
    </w:p>
    <w:p w14:paraId="52C5F85D" w14:textId="77777777" w:rsidR="00DB2788" w:rsidRPr="00017648" w:rsidRDefault="00DB2788" w:rsidP="00DB2788">
      <w:pPr>
        <w:pStyle w:val="Prrafodelista"/>
        <w:autoSpaceDE w:val="0"/>
        <w:autoSpaceDN w:val="0"/>
        <w:adjustRightInd w:val="0"/>
        <w:spacing w:line="360" w:lineRule="auto"/>
        <w:ind w:left="0"/>
        <w:jc w:val="both"/>
        <w:rPr>
          <w:rFonts w:ascii="Palatino Linotype" w:hAnsi="Palatino Linotype" w:cs="Arial"/>
        </w:rPr>
      </w:pPr>
    </w:p>
    <w:p w14:paraId="0FD5D9AF" w14:textId="77777777" w:rsidR="00DB2788" w:rsidRPr="00017648" w:rsidRDefault="00DB2788" w:rsidP="00DB2788">
      <w:pPr>
        <w:spacing w:after="0" w:line="360" w:lineRule="auto"/>
        <w:jc w:val="both"/>
        <w:rPr>
          <w:rFonts w:ascii="Palatino Linotype" w:hAnsi="Palatino Linotype" w:cs="Arial"/>
          <w:sz w:val="24"/>
          <w:szCs w:val="24"/>
          <w:lang w:eastAsia="es-MX"/>
        </w:rPr>
      </w:pPr>
      <w:r w:rsidRPr="00017648">
        <w:rPr>
          <w:rFonts w:ascii="Palatino Linotype" w:hAnsi="Palatino Linotype" w:cs="Arial"/>
          <w:sz w:val="24"/>
          <w:szCs w:val="24"/>
          <w:lang w:eastAsia="es-MX"/>
        </w:rPr>
        <w:t xml:space="preserve">Es necesario retomar los requerimientos del solicitante que versan específicamente en </w:t>
      </w:r>
    </w:p>
    <w:p w14:paraId="75D0BB3B" w14:textId="39CE41A7" w:rsidR="00DB2788" w:rsidRPr="00017648" w:rsidRDefault="00DB2788" w:rsidP="00DB2788">
      <w:pPr>
        <w:pStyle w:val="Prrafodelista"/>
        <w:autoSpaceDE w:val="0"/>
        <w:autoSpaceDN w:val="0"/>
        <w:adjustRightInd w:val="0"/>
        <w:spacing w:line="360" w:lineRule="auto"/>
        <w:ind w:left="0"/>
        <w:jc w:val="both"/>
        <w:rPr>
          <w:rFonts w:ascii="Palatino Linotype" w:hAnsi="Palatino Linotype"/>
          <w:color w:val="000000"/>
        </w:rPr>
      </w:pPr>
      <w:r w:rsidRPr="00017648">
        <w:rPr>
          <w:rFonts w:ascii="Palatino Linotype" w:hAnsi="Palatino Linotype" w:cs="Arial"/>
        </w:rPr>
        <w:t xml:space="preserve"> “</w:t>
      </w:r>
      <w:r w:rsidRPr="00017648">
        <w:rPr>
          <w:rFonts w:ascii="Palatino Linotype" w:hAnsi="Palatino Linotype"/>
          <w:i/>
          <w:color w:val="000000"/>
        </w:rPr>
        <w:t xml:space="preserve">Cuantos Vehículos Oficiales Estatales y Municipales “Ambulancias, Bomberos, Patrullas, Protección Civil, entre otros considerados Vehículos o Unidades Oficiales “circularon del 7 de Mayo al 7 de Agosto del 2014 por la autopista Naucalpan Ecatepec, en dirección: Ecatepec – Tlalnepantla “Plaza de cobro Vallejo km 5+950,. </w:t>
      </w:r>
      <w:proofErr w:type="spellStart"/>
      <w:r w:rsidRPr="00017648">
        <w:rPr>
          <w:rFonts w:ascii="Palatino Linotype" w:hAnsi="Palatino Linotype"/>
          <w:i/>
          <w:color w:val="000000"/>
        </w:rPr>
        <w:t>Ceilan</w:t>
      </w:r>
      <w:proofErr w:type="spellEnd"/>
      <w:r w:rsidRPr="00017648">
        <w:rPr>
          <w:rFonts w:ascii="Palatino Linotype" w:hAnsi="Palatino Linotype"/>
          <w:i/>
          <w:color w:val="000000"/>
        </w:rPr>
        <w:t xml:space="preserve">, Vaso regulador Tlalnepantla", Tlalnepantla "Plaza de cobro Vallejo y </w:t>
      </w:r>
      <w:proofErr w:type="spellStart"/>
      <w:r w:rsidRPr="00017648">
        <w:rPr>
          <w:rFonts w:ascii="Palatino Linotype" w:hAnsi="Palatino Linotype"/>
          <w:i/>
          <w:color w:val="000000"/>
        </w:rPr>
        <w:t>Ceilan</w:t>
      </w:r>
      <w:proofErr w:type="spellEnd"/>
      <w:r w:rsidRPr="00017648">
        <w:rPr>
          <w:rFonts w:ascii="Palatino Linotype" w:hAnsi="Palatino Linotype"/>
          <w:i/>
          <w:color w:val="000000"/>
        </w:rPr>
        <w:t xml:space="preserve"> km 5+ 975” – Ecatepec "Plaza de Cobro México - Pachuca Km 12+ 350 y km 12 + 450". Así mismo cuales fueron los Horarios de cada uno de los Vehículos, quien firmo por el paso del vehículo o unidad, cual es el número de unidad “número de placa de vehículo</w:t>
      </w:r>
      <w:proofErr w:type="gramStart"/>
      <w:r w:rsidRPr="00017648">
        <w:rPr>
          <w:rFonts w:ascii="Palatino Linotype" w:hAnsi="Palatino Linotype"/>
          <w:i/>
          <w:color w:val="000000"/>
        </w:rPr>
        <w:t>” ,</w:t>
      </w:r>
      <w:proofErr w:type="gramEnd"/>
      <w:r w:rsidRPr="00017648">
        <w:rPr>
          <w:rFonts w:ascii="Palatino Linotype" w:hAnsi="Palatino Linotype"/>
          <w:i/>
          <w:color w:val="000000"/>
        </w:rPr>
        <w:t xml:space="preserve"> a que entidad pertenece “Municipal o Estatal”. Que costo tiene el paso de cada unidad o Vehículo para el Gobierno Municipal o´ Estatal según sea el caso.” </w:t>
      </w:r>
      <w:r w:rsidR="00C82165" w:rsidRPr="00017648">
        <w:rPr>
          <w:rFonts w:ascii="Palatino Linotype" w:hAnsi="Palatino Linotype" w:cs="Arial"/>
          <w:color w:val="000000" w:themeColor="text1"/>
        </w:rPr>
        <w:t xml:space="preserve">En respuesta el Sujeto Obligado, </w:t>
      </w:r>
      <w:proofErr w:type="spellStart"/>
      <w:r w:rsidRPr="00017648">
        <w:rPr>
          <w:rFonts w:ascii="Palatino Linotype" w:hAnsi="Palatino Linotype" w:cs="Arial"/>
          <w:color w:val="000000" w:themeColor="text1"/>
        </w:rPr>
        <w:t>remitio</w:t>
      </w:r>
      <w:proofErr w:type="spellEnd"/>
      <w:r w:rsidRPr="00017648">
        <w:rPr>
          <w:rFonts w:ascii="Palatino Linotype" w:hAnsi="Palatino Linotype" w:cs="Arial"/>
          <w:color w:val="000000" w:themeColor="text1"/>
        </w:rPr>
        <w:t xml:space="preserve"> un archivo mediante el cual hizo de conocimiento un acumulado de </w:t>
      </w:r>
      <w:r w:rsidRPr="00017648">
        <w:rPr>
          <w:rFonts w:ascii="Palatino Linotype" w:hAnsi="Palatino Linotype" w:cs="Arial"/>
        </w:rPr>
        <w:t xml:space="preserve">setenta y cuatro páginas en las que se muestra apartados por nombre de case y fecha, es decir en el primer apartado se muestra que el siete de mayo, en la </w:t>
      </w:r>
      <w:r w:rsidRPr="00017648">
        <w:rPr>
          <w:rFonts w:ascii="Palatino Linotype" w:hAnsi="Palatino Linotype" w:cs="Arial"/>
        </w:rPr>
        <w:lastRenderedPageBreak/>
        <w:t>caseta de vallejo, paso un vehículo de seguridad estatal a las 21:54 horas y se infiere el número de vehículo, se muestra también que cruzo una vez y el costo fue de diecisiete pesos, así consecutivamente, de las otras casetas en diversas fechas y diversos vehículos. Posterior  a ello el Recurrente suscribió recurso de revisión en donde manifestó que “</w:t>
      </w:r>
      <w:r w:rsidRPr="00017648">
        <w:rPr>
          <w:rFonts w:ascii="Palatino Linotype" w:hAnsi="Palatino Linotype"/>
          <w:i/>
          <w:color w:val="000000"/>
        </w:rPr>
        <w:t xml:space="preserve">no se detalla el recorrido de los vehículos antes mencionados por la salida CEYLAN, así mismo en dicha respuesta solo se anexa la respuestas VALLEJO R4, R6 </w:t>
      </w:r>
      <w:proofErr w:type="spellStart"/>
      <w:r w:rsidRPr="00017648">
        <w:rPr>
          <w:rFonts w:ascii="Palatino Linotype" w:hAnsi="Palatino Linotype"/>
          <w:i/>
          <w:color w:val="000000"/>
        </w:rPr>
        <w:t>y</w:t>
      </w:r>
      <w:proofErr w:type="spellEnd"/>
      <w:r w:rsidRPr="00017648">
        <w:rPr>
          <w:rFonts w:ascii="Palatino Linotype" w:hAnsi="Palatino Linotype"/>
          <w:i/>
          <w:color w:val="000000"/>
        </w:rPr>
        <w:t xml:space="preserve"> Insurgentes, pero no se detalla o define cual caseta es y mucho menos se incluye la salida a </w:t>
      </w:r>
      <w:proofErr w:type="spellStart"/>
      <w:r w:rsidRPr="00017648">
        <w:rPr>
          <w:rFonts w:ascii="Palatino Linotype" w:hAnsi="Palatino Linotype"/>
          <w:i/>
          <w:color w:val="000000"/>
        </w:rPr>
        <w:t>Ceilan</w:t>
      </w:r>
      <w:proofErr w:type="spellEnd"/>
      <w:r w:rsidRPr="00017648">
        <w:rPr>
          <w:rFonts w:ascii="Palatino Linotype" w:hAnsi="Palatino Linotype"/>
          <w:i/>
          <w:color w:val="000000"/>
        </w:rPr>
        <w:t>.</w:t>
      </w:r>
      <w:r w:rsidRPr="00017648">
        <w:rPr>
          <w:rFonts w:ascii="Palatino Linotype" w:hAnsi="Palatino Linotype"/>
          <w:color w:val="000000"/>
        </w:rPr>
        <w:t xml:space="preserve"> Por último el Sujeto Obligado remitió informe ju</w:t>
      </w:r>
      <w:r w:rsidR="009D79F6" w:rsidRPr="00017648">
        <w:rPr>
          <w:rFonts w:ascii="Palatino Linotype" w:hAnsi="Palatino Linotype"/>
          <w:color w:val="000000"/>
        </w:rPr>
        <w:t>stificado en el cual se detallan cuatro archivos, el primero de ellos corresponde al reporte de la caseta de Ceylán de fecha del siete al treinta y uno de mayo, del primero al treinta de junio, del primero al treinta y uno de julio y del primero al siete de agosto de dos mil catorce, en donde se muestra la dependencia a la que corresponde el vehículo, la fecha el número de vehículo</w:t>
      </w:r>
      <w:r w:rsidR="00B607CE" w:rsidRPr="00017648">
        <w:rPr>
          <w:rFonts w:ascii="Palatino Linotype" w:hAnsi="Palatino Linotype"/>
          <w:color w:val="000000"/>
        </w:rPr>
        <w:t xml:space="preserve"> el aforo y el costo, el segundo archivo corresponde a la contestación del director de operación, remitida al titular de la Unidad de Transparencia, el tercer archivo corresponde al oficio 213CO201020000L/535/2019, de fecha veintisiete de marzo de la presente anualidad en donde el director de operación solicita al gerente de proyecto ICA Infraestructura S.A. de C.V. remita información y por último el cuarto archivo corresponde al oficio 213C0201000500S-133/2019, de fecha siete de mayo de dos mil diecinueve, en donde el titular de transparencia se dirige a la comisionada Ponente a efecto de informar que se cumple con lo establecido en el artículo 185 fracción II de la Ley de Transparencia local, </w:t>
      </w:r>
    </w:p>
    <w:p w14:paraId="4E7AC662" w14:textId="77777777" w:rsidR="00B607CE" w:rsidRPr="00017648" w:rsidRDefault="00B607CE" w:rsidP="00DB2788">
      <w:pPr>
        <w:pStyle w:val="Prrafodelista"/>
        <w:autoSpaceDE w:val="0"/>
        <w:autoSpaceDN w:val="0"/>
        <w:adjustRightInd w:val="0"/>
        <w:spacing w:line="360" w:lineRule="auto"/>
        <w:ind w:left="0"/>
        <w:jc w:val="both"/>
        <w:rPr>
          <w:rFonts w:ascii="Palatino Linotype" w:hAnsi="Palatino Linotype"/>
          <w:color w:val="000000"/>
        </w:rPr>
      </w:pPr>
    </w:p>
    <w:p w14:paraId="5F6A81E5" w14:textId="712E1BAD" w:rsidR="009D79F6" w:rsidRPr="00017648" w:rsidRDefault="00B607CE" w:rsidP="00DB2788">
      <w:pPr>
        <w:pStyle w:val="Prrafodelista"/>
        <w:autoSpaceDE w:val="0"/>
        <w:autoSpaceDN w:val="0"/>
        <w:adjustRightInd w:val="0"/>
        <w:spacing w:line="360" w:lineRule="auto"/>
        <w:ind w:left="0"/>
        <w:jc w:val="both"/>
        <w:rPr>
          <w:rFonts w:ascii="Palatino Linotype" w:hAnsi="Palatino Linotype" w:cs="Arial"/>
          <w:b/>
        </w:rPr>
      </w:pPr>
      <w:r w:rsidRPr="00017648">
        <w:rPr>
          <w:rFonts w:ascii="Palatino Linotype" w:hAnsi="Palatino Linotype"/>
          <w:color w:val="000000"/>
        </w:rPr>
        <w:t>C</w:t>
      </w:r>
      <w:r w:rsidR="009D79F6" w:rsidRPr="00017648">
        <w:rPr>
          <w:rFonts w:ascii="Palatino Linotype" w:hAnsi="Palatino Linotype"/>
          <w:color w:val="000000"/>
        </w:rPr>
        <w:t xml:space="preserve">abe señalar que como lo manifiesta el Recurrente en sus motivos de inconformidad, ya se había solicitado la misma información anteriormente, recayendo en un recurso </w:t>
      </w:r>
      <w:r w:rsidR="009D79F6" w:rsidRPr="00017648">
        <w:rPr>
          <w:rFonts w:ascii="Palatino Linotype" w:hAnsi="Palatino Linotype"/>
          <w:color w:val="000000"/>
        </w:rPr>
        <w:lastRenderedPageBreak/>
        <w:t>de revisi</w:t>
      </w:r>
      <w:r w:rsidRPr="00017648">
        <w:rPr>
          <w:rFonts w:ascii="Palatino Linotype" w:hAnsi="Palatino Linotype"/>
          <w:color w:val="000000"/>
        </w:rPr>
        <w:t>ón</w:t>
      </w:r>
      <w:r w:rsidR="009D79F6" w:rsidRPr="00017648">
        <w:rPr>
          <w:rFonts w:ascii="Palatino Linotype" w:hAnsi="Palatino Linotype"/>
          <w:color w:val="000000"/>
        </w:rPr>
        <w:t xml:space="preserve"> diverso al que se estudia, </w:t>
      </w:r>
      <w:r w:rsidRPr="00017648">
        <w:rPr>
          <w:rFonts w:ascii="Palatino Linotype" w:hAnsi="Palatino Linotype"/>
          <w:color w:val="000000"/>
        </w:rPr>
        <w:t xml:space="preserve">para determinar lo conducente, realicemos una comparación de los requerimientos solicitados en </w:t>
      </w:r>
      <w:r w:rsidR="007F2179" w:rsidRPr="00017648">
        <w:rPr>
          <w:rFonts w:ascii="Palatino Linotype" w:hAnsi="Palatino Linotype"/>
          <w:color w:val="000000"/>
        </w:rPr>
        <w:t xml:space="preserve">la solicitud de información </w:t>
      </w:r>
      <w:r w:rsidR="007F2179" w:rsidRPr="00017648">
        <w:rPr>
          <w:rFonts w:ascii="Palatino Linotype" w:hAnsi="Palatino Linotype" w:cs="Arial"/>
          <w:b/>
        </w:rPr>
        <w:t xml:space="preserve">00089/SAASCAEM/IP/2016, </w:t>
      </w:r>
      <w:r w:rsidR="007F2179" w:rsidRPr="00017648">
        <w:rPr>
          <w:rFonts w:ascii="Palatino Linotype" w:hAnsi="Palatino Linotype" w:cs="Arial"/>
        </w:rPr>
        <w:t xml:space="preserve">recayendo en el recurso de revisión </w:t>
      </w:r>
      <w:r w:rsidR="007F2179" w:rsidRPr="00017648">
        <w:rPr>
          <w:rFonts w:ascii="Palatino Linotype" w:hAnsi="Palatino Linotype" w:cs="Arial"/>
          <w:b/>
        </w:rPr>
        <w:t>2715/INFOEM/IP/RR/2016.</w:t>
      </w:r>
    </w:p>
    <w:tbl>
      <w:tblPr>
        <w:tblStyle w:val="Tablaconcuadrcula"/>
        <w:tblW w:w="9209" w:type="dxa"/>
        <w:tblLayout w:type="fixed"/>
        <w:tblLook w:val="04A0" w:firstRow="1" w:lastRow="0" w:firstColumn="1" w:lastColumn="0" w:noHBand="0" w:noVBand="1"/>
      </w:tblPr>
      <w:tblGrid>
        <w:gridCol w:w="4673"/>
        <w:gridCol w:w="4536"/>
      </w:tblGrid>
      <w:tr w:rsidR="00F054F4" w:rsidRPr="00017648" w14:paraId="5F288C16" w14:textId="77777777" w:rsidTr="00F054F4">
        <w:tc>
          <w:tcPr>
            <w:tcW w:w="4673" w:type="dxa"/>
            <w:shd w:val="clear" w:color="auto" w:fill="00B050"/>
          </w:tcPr>
          <w:p w14:paraId="66613857" w14:textId="181C531C" w:rsidR="00F054F4" w:rsidRPr="00017648" w:rsidRDefault="00F054F4" w:rsidP="00F054F4">
            <w:pPr>
              <w:pStyle w:val="Sinespaciado"/>
              <w:jc w:val="center"/>
              <w:rPr>
                <w:rFonts w:ascii="Palatino Linotype" w:hAnsi="Palatino Linotype"/>
                <w:b/>
                <w:sz w:val="22"/>
                <w:szCs w:val="22"/>
              </w:rPr>
            </w:pPr>
            <w:r w:rsidRPr="00017648">
              <w:rPr>
                <w:rFonts w:ascii="Palatino Linotype" w:hAnsi="Palatino Linotype"/>
                <w:b/>
                <w:sz w:val="22"/>
                <w:szCs w:val="22"/>
              </w:rPr>
              <w:t>Información solicitada en el recurso de revisión, 3065/INFOEM/IP/RR/2019.</w:t>
            </w:r>
          </w:p>
        </w:tc>
        <w:tc>
          <w:tcPr>
            <w:tcW w:w="4536" w:type="dxa"/>
            <w:shd w:val="clear" w:color="auto" w:fill="00B050"/>
          </w:tcPr>
          <w:p w14:paraId="3ABB41D0" w14:textId="314476B2" w:rsidR="00F054F4" w:rsidRPr="00017648" w:rsidRDefault="00F054F4" w:rsidP="00F054F4">
            <w:pPr>
              <w:pStyle w:val="Sinespaciado"/>
              <w:jc w:val="center"/>
              <w:rPr>
                <w:rFonts w:ascii="Palatino Linotype" w:hAnsi="Palatino Linotype"/>
                <w:b/>
                <w:sz w:val="22"/>
                <w:szCs w:val="22"/>
              </w:rPr>
            </w:pPr>
            <w:r w:rsidRPr="00017648">
              <w:rPr>
                <w:rFonts w:ascii="Palatino Linotype" w:hAnsi="Palatino Linotype"/>
                <w:b/>
                <w:sz w:val="22"/>
                <w:szCs w:val="22"/>
              </w:rPr>
              <w:t>Información solicitada en el recurso de revisión 02715/INFOEM/IP/RR/2016.</w:t>
            </w:r>
          </w:p>
        </w:tc>
      </w:tr>
      <w:tr w:rsidR="00F054F4" w:rsidRPr="00017648" w14:paraId="59DB8617" w14:textId="77777777" w:rsidTr="00F054F4">
        <w:tc>
          <w:tcPr>
            <w:tcW w:w="4673" w:type="dxa"/>
          </w:tcPr>
          <w:p w14:paraId="268762F0" w14:textId="7F1E0EFF" w:rsidR="00F054F4" w:rsidRPr="00017648" w:rsidRDefault="00F054F4" w:rsidP="00F054F4">
            <w:pPr>
              <w:ind w:right="34"/>
              <w:jc w:val="both"/>
              <w:rPr>
                <w:rFonts w:ascii="Palatino Linotype" w:eastAsia="Times New Roman" w:hAnsi="Palatino Linotype" w:cs="Arial"/>
                <w:i/>
                <w:sz w:val="24"/>
                <w:szCs w:val="24"/>
                <w:lang w:eastAsia="es-ES"/>
              </w:rPr>
            </w:pPr>
            <w:r w:rsidRPr="00017648">
              <w:rPr>
                <w:rFonts w:ascii="Palatino Linotype" w:eastAsia="Times New Roman" w:hAnsi="Palatino Linotype" w:cs="Arial"/>
                <w:i/>
                <w:sz w:val="24"/>
                <w:szCs w:val="24"/>
                <w:lang w:eastAsia="es-ES"/>
              </w:rPr>
              <w:t xml:space="preserve">Cuantos Vehículos Oficiales Estatales y Municipales “Ambulancias, Bomberos, Patrullas, Protección Civil, entre otros considerados Vehículos o Unidades Oficiales “circularon del 7 de Mayo al 7 de Agosto del 2014 por la autopista Naucalpan Ecatepec, en dirección: Ecatepec – Tlalnepantla “Plaza de cobro Vallejo km 5+950,. </w:t>
            </w:r>
            <w:proofErr w:type="spellStart"/>
            <w:r w:rsidRPr="00017648">
              <w:rPr>
                <w:rFonts w:ascii="Palatino Linotype" w:eastAsia="Times New Roman" w:hAnsi="Palatino Linotype" w:cs="Arial"/>
                <w:i/>
                <w:sz w:val="24"/>
                <w:szCs w:val="24"/>
                <w:lang w:eastAsia="es-ES"/>
              </w:rPr>
              <w:t>Ceilan</w:t>
            </w:r>
            <w:proofErr w:type="spellEnd"/>
            <w:r w:rsidRPr="00017648">
              <w:rPr>
                <w:rFonts w:ascii="Palatino Linotype" w:eastAsia="Times New Roman" w:hAnsi="Palatino Linotype" w:cs="Arial"/>
                <w:i/>
                <w:sz w:val="24"/>
                <w:szCs w:val="24"/>
                <w:lang w:eastAsia="es-ES"/>
              </w:rPr>
              <w:t xml:space="preserve">, Vaso regulador Tlalnepantla", Tlalnepantla "Plaza de cobro Vallejo y </w:t>
            </w:r>
            <w:proofErr w:type="spellStart"/>
            <w:r w:rsidRPr="00017648">
              <w:rPr>
                <w:rFonts w:ascii="Palatino Linotype" w:eastAsia="Times New Roman" w:hAnsi="Palatino Linotype" w:cs="Arial"/>
                <w:i/>
                <w:sz w:val="24"/>
                <w:szCs w:val="24"/>
                <w:lang w:eastAsia="es-ES"/>
              </w:rPr>
              <w:t>Ceilan</w:t>
            </w:r>
            <w:proofErr w:type="spellEnd"/>
            <w:r w:rsidRPr="00017648">
              <w:rPr>
                <w:rFonts w:ascii="Palatino Linotype" w:eastAsia="Times New Roman" w:hAnsi="Palatino Linotype" w:cs="Arial"/>
                <w:i/>
                <w:sz w:val="24"/>
                <w:szCs w:val="24"/>
                <w:lang w:eastAsia="es-ES"/>
              </w:rPr>
              <w:t xml:space="preserve"> km 5+ 975” – Ecatepec "Plaza de Cobro México - Pachuca Km 12+ 350 y km 12 + 450". Así mismo cuales fueron los Horarios de cada uno de los Vehículos, quien firmo por el paso del vehículo o unidad, cual es el número de unidad “número de placa de vehículo</w:t>
            </w:r>
            <w:proofErr w:type="gramStart"/>
            <w:r w:rsidRPr="00017648">
              <w:rPr>
                <w:rFonts w:ascii="Palatino Linotype" w:eastAsia="Times New Roman" w:hAnsi="Palatino Linotype" w:cs="Arial"/>
                <w:i/>
                <w:sz w:val="24"/>
                <w:szCs w:val="24"/>
                <w:lang w:eastAsia="es-ES"/>
              </w:rPr>
              <w:t>” ,</w:t>
            </w:r>
            <w:proofErr w:type="gramEnd"/>
            <w:r w:rsidRPr="00017648">
              <w:rPr>
                <w:rFonts w:ascii="Palatino Linotype" w:eastAsia="Times New Roman" w:hAnsi="Palatino Linotype" w:cs="Arial"/>
                <w:i/>
                <w:sz w:val="24"/>
                <w:szCs w:val="24"/>
                <w:lang w:eastAsia="es-ES"/>
              </w:rPr>
              <w:t xml:space="preserve"> a que entidad pertenece “Municipal o Estatal”. Que costo tiene el paso de cada unidad o Vehículo para el Gobierno Municipal o´ Estatal según sea el caso.” </w:t>
            </w:r>
          </w:p>
          <w:p w14:paraId="31931610" w14:textId="6EC7441D" w:rsidR="00F054F4" w:rsidRPr="00017648" w:rsidRDefault="00F054F4" w:rsidP="00F054F4">
            <w:pPr>
              <w:ind w:left="171" w:right="34"/>
              <w:jc w:val="both"/>
              <w:rPr>
                <w:rFonts w:ascii="Palatino Linotype" w:eastAsia="Times New Roman" w:hAnsi="Palatino Linotype" w:cs="Arial"/>
                <w:i/>
                <w:sz w:val="24"/>
                <w:szCs w:val="24"/>
                <w:lang w:eastAsia="es-ES"/>
              </w:rPr>
            </w:pPr>
          </w:p>
        </w:tc>
        <w:tc>
          <w:tcPr>
            <w:tcW w:w="4536" w:type="dxa"/>
          </w:tcPr>
          <w:p w14:paraId="1FC9EC98" w14:textId="7DE6DBB0" w:rsidR="00F054F4" w:rsidRPr="00017648" w:rsidRDefault="00F054F4" w:rsidP="00F054F4">
            <w:pPr>
              <w:pStyle w:val="Sinespaciado"/>
              <w:jc w:val="both"/>
              <w:rPr>
                <w:rFonts w:ascii="Palatino Linotype" w:hAnsi="Palatino Linotype"/>
                <w:sz w:val="22"/>
                <w:szCs w:val="22"/>
              </w:rPr>
            </w:pPr>
            <w:r w:rsidRPr="00017648">
              <w:rPr>
                <w:rFonts w:ascii="Palatino Linotype" w:hAnsi="Palatino Linotype" w:cs="Arial"/>
                <w:i/>
              </w:rPr>
              <w:t>Cuantos Vehículos Oficiales Estatales y Municipales “Ambulancias, Bomberos, Patrullas, Protección Civil, entre otros considerados Vehículos o Unidades Oficiales “circularon del 7 de Mayo al 7 de Agosto del 2014 por la autopista Naucalpan Ecatepec, en dirección: Ecatepec – Tlalnepantla “Plaza de cobro Vallejo km 5+950 Vaso regulador Tlalnepantla", Tlalnepantla "Plaza de cobro Vallejo km 5+ 975” – Ecatepec "Plaza de Cobro México - Pachuca Km 12+ 350 y km 12 + 450". Así mismo cuales fueron los Horarios de cada uno de los Vehículos, quien firmo por el paso del vehículo o unidad, cual es el número de unidad “número de placa de vehículo</w:t>
            </w:r>
            <w:proofErr w:type="gramStart"/>
            <w:r w:rsidRPr="00017648">
              <w:rPr>
                <w:rFonts w:ascii="Palatino Linotype" w:hAnsi="Palatino Linotype" w:cs="Arial"/>
                <w:i/>
              </w:rPr>
              <w:t>” ,</w:t>
            </w:r>
            <w:proofErr w:type="gramEnd"/>
            <w:r w:rsidRPr="00017648">
              <w:rPr>
                <w:rFonts w:ascii="Palatino Linotype" w:hAnsi="Palatino Linotype" w:cs="Arial"/>
                <w:i/>
              </w:rPr>
              <w:t xml:space="preserve"> a que entidad pertenece “Municipal o Estatal”. Que costo tiene el paso de cada unidad o Vehículo para el Gobierno Municipal o´ Estatal según sea el caso</w:t>
            </w:r>
          </w:p>
        </w:tc>
      </w:tr>
    </w:tbl>
    <w:p w14:paraId="56EAEEA1" w14:textId="77777777" w:rsidR="00F054F4" w:rsidRPr="00017648" w:rsidRDefault="00F054F4" w:rsidP="00F054F4">
      <w:pPr>
        <w:tabs>
          <w:tab w:val="left" w:pos="851"/>
          <w:tab w:val="left" w:pos="8222"/>
        </w:tabs>
        <w:spacing w:before="240" w:after="0" w:line="360" w:lineRule="auto"/>
        <w:ind w:right="851"/>
        <w:jc w:val="both"/>
        <w:rPr>
          <w:rFonts w:ascii="Palatino Linotype" w:hAnsi="Palatino Linotype" w:cs="Arial"/>
          <w:i/>
          <w:sz w:val="24"/>
          <w:szCs w:val="24"/>
        </w:rPr>
      </w:pPr>
    </w:p>
    <w:p w14:paraId="19C68D85" w14:textId="0B2B6E1B" w:rsidR="007A57E1" w:rsidRPr="00017648" w:rsidRDefault="00C82165" w:rsidP="00C82165">
      <w:pPr>
        <w:pStyle w:val="Sinespaciado"/>
        <w:spacing w:line="360" w:lineRule="auto"/>
        <w:jc w:val="both"/>
        <w:rPr>
          <w:rFonts w:ascii="Palatino Linotype" w:hAnsi="Palatino Linotype"/>
          <w:color w:val="000000"/>
          <w:sz w:val="22"/>
          <w:szCs w:val="22"/>
        </w:rPr>
      </w:pPr>
      <w:r w:rsidRPr="00017648">
        <w:rPr>
          <w:rFonts w:ascii="Palatino Linotype" w:hAnsi="Palatino Linotype"/>
          <w:color w:val="000000"/>
        </w:rPr>
        <w:t xml:space="preserve">De lo anterior se aprecia que los requerimientos antes mencionados refieren a que la particular requiere información que </w:t>
      </w:r>
      <w:r w:rsidR="007A57E1" w:rsidRPr="00017648">
        <w:rPr>
          <w:rFonts w:ascii="Palatino Linotype" w:hAnsi="Palatino Linotype"/>
          <w:color w:val="000000"/>
        </w:rPr>
        <w:t xml:space="preserve">ya fue solicitada, a decir de los motivos de inconformidad la Recurrente mencionó que </w:t>
      </w:r>
      <w:r w:rsidR="007A57E1" w:rsidRPr="00017648">
        <w:rPr>
          <w:rFonts w:ascii="Palatino Linotype" w:hAnsi="Palatino Linotype"/>
          <w:b/>
          <w:i/>
          <w:color w:val="000000"/>
        </w:rPr>
        <w:t xml:space="preserve">“en el archivo de su respuesta es similar </w:t>
      </w:r>
      <w:r w:rsidR="007A57E1" w:rsidRPr="00017648">
        <w:rPr>
          <w:rFonts w:ascii="Palatino Linotype" w:hAnsi="Palatino Linotype"/>
          <w:b/>
          <w:i/>
          <w:color w:val="000000"/>
        </w:rPr>
        <w:lastRenderedPageBreak/>
        <w:t>al que en años posteriores me fue enviado, dando la misma respuesta de la petición anterior”</w:t>
      </w:r>
      <w:r w:rsidRPr="00017648">
        <w:rPr>
          <w:rFonts w:ascii="Palatino Linotype" w:hAnsi="Palatino Linotype"/>
          <w:b/>
          <w:i/>
          <w:color w:val="000000"/>
        </w:rPr>
        <w:t xml:space="preserve"> </w:t>
      </w:r>
      <w:r w:rsidR="007A57E1" w:rsidRPr="00017648">
        <w:rPr>
          <w:rFonts w:ascii="Palatino Linotype" w:hAnsi="Palatino Linotype"/>
          <w:b/>
          <w:i/>
          <w:color w:val="000000"/>
        </w:rPr>
        <w:t xml:space="preserve"> </w:t>
      </w:r>
      <w:r w:rsidR="007A57E1" w:rsidRPr="00017648">
        <w:rPr>
          <w:rFonts w:ascii="Palatino Linotype" w:hAnsi="Palatino Linotype"/>
          <w:color w:val="000000"/>
        </w:rPr>
        <w:t xml:space="preserve">dando pauta para revisar si esta solicitud de información ya había sido solicitada, encontrando </w:t>
      </w:r>
      <w:r w:rsidR="00192A34" w:rsidRPr="00017648">
        <w:rPr>
          <w:rFonts w:ascii="Palatino Linotype" w:hAnsi="Palatino Linotype"/>
          <w:color w:val="000000"/>
        </w:rPr>
        <w:t>igualdad</w:t>
      </w:r>
      <w:r w:rsidR="007A57E1" w:rsidRPr="00017648">
        <w:rPr>
          <w:rFonts w:ascii="Palatino Linotype" w:hAnsi="Palatino Linotype"/>
          <w:color w:val="000000"/>
        </w:rPr>
        <w:t xml:space="preserve"> en la solicitud</w:t>
      </w:r>
      <w:r w:rsidR="00192A34" w:rsidRPr="00017648">
        <w:rPr>
          <w:rFonts w:ascii="Palatino Linotype" w:hAnsi="Palatino Linotype"/>
          <w:color w:val="000000"/>
        </w:rPr>
        <w:t>es</w:t>
      </w:r>
      <w:r w:rsidR="007A57E1" w:rsidRPr="00017648">
        <w:rPr>
          <w:rFonts w:ascii="Palatino Linotype" w:hAnsi="Palatino Linotype"/>
          <w:color w:val="000000"/>
        </w:rPr>
        <w:t xml:space="preserve"> de información, así como en la Recurrente y en el Sujeto Obligado.</w:t>
      </w:r>
    </w:p>
    <w:p w14:paraId="5578FD71" w14:textId="77777777" w:rsidR="007A57E1" w:rsidRPr="00017648" w:rsidRDefault="007A57E1" w:rsidP="00C82165">
      <w:pPr>
        <w:pStyle w:val="Sinespaciado"/>
        <w:spacing w:line="360" w:lineRule="auto"/>
        <w:jc w:val="both"/>
        <w:rPr>
          <w:rFonts w:ascii="Palatino Linotype" w:hAnsi="Palatino Linotype"/>
          <w:color w:val="000000"/>
          <w:sz w:val="22"/>
          <w:szCs w:val="22"/>
        </w:rPr>
      </w:pPr>
    </w:p>
    <w:p w14:paraId="78995546" w14:textId="0667A7AA" w:rsidR="00C82165" w:rsidRPr="00017648" w:rsidRDefault="00C82165" w:rsidP="00C82165">
      <w:pPr>
        <w:spacing w:line="360" w:lineRule="auto"/>
        <w:jc w:val="both"/>
        <w:rPr>
          <w:rFonts w:ascii="Palatino Linotype" w:hAnsi="Palatino Linotype" w:cs="Arial"/>
          <w:sz w:val="24"/>
          <w:szCs w:val="24"/>
        </w:rPr>
      </w:pPr>
      <w:r w:rsidRPr="00017648">
        <w:rPr>
          <w:rFonts w:ascii="Palatino Linotype" w:hAnsi="Palatino Linotype" w:cs="Arial"/>
          <w:sz w:val="24"/>
          <w:szCs w:val="24"/>
        </w:rPr>
        <w:t xml:space="preserve">En este sentido, </w:t>
      </w:r>
      <w:r w:rsidR="00192A34" w:rsidRPr="00017648">
        <w:rPr>
          <w:rFonts w:ascii="Palatino Linotype" w:hAnsi="Palatino Linotype" w:cs="Arial"/>
          <w:sz w:val="24"/>
          <w:szCs w:val="24"/>
        </w:rPr>
        <w:t xml:space="preserve">los puntos </w:t>
      </w:r>
      <w:r w:rsidRPr="00017648">
        <w:rPr>
          <w:rFonts w:ascii="Palatino Linotype" w:hAnsi="Palatino Linotype" w:cs="Arial"/>
          <w:sz w:val="24"/>
          <w:szCs w:val="24"/>
        </w:rPr>
        <w:t xml:space="preserve">de controversia de los recursos de revisión se </w:t>
      </w:r>
      <w:r w:rsidR="00192A34" w:rsidRPr="00017648">
        <w:rPr>
          <w:rFonts w:ascii="Palatino Linotype" w:hAnsi="Palatino Linotype" w:cs="Arial"/>
          <w:sz w:val="24"/>
          <w:szCs w:val="24"/>
        </w:rPr>
        <w:t xml:space="preserve">puntualiza en que la </w:t>
      </w:r>
      <w:r w:rsidRPr="00017648">
        <w:rPr>
          <w:rFonts w:ascii="Palatino Linotype" w:hAnsi="Palatino Linotype" w:cs="Arial"/>
          <w:sz w:val="24"/>
          <w:szCs w:val="24"/>
        </w:rPr>
        <w:t>información requerida</w:t>
      </w:r>
      <w:r w:rsidR="00192A34" w:rsidRPr="00017648">
        <w:rPr>
          <w:rFonts w:ascii="Palatino Linotype" w:hAnsi="Palatino Linotype" w:cs="Arial"/>
          <w:sz w:val="24"/>
          <w:szCs w:val="24"/>
        </w:rPr>
        <w:t xml:space="preserve"> en la presente solicitud de información ya había sido solicitada con anterioridad y</w:t>
      </w:r>
      <w:r w:rsidRPr="00017648">
        <w:rPr>
          <w:rFonts w:ascii="Palatino Linotype" w:hAnsi="Palatino Linotype" w:cs="Arial"/>
          <w:sz w:val="24"/>
          <w:szCs w:val="24"/>
        </w:rPr>
        <w:t xml:space="preserve"> fue impugnada mediante el </w:t>
      </w:r>
      <w:r w:rsidRPr="00017648">
        <w:rPr>
          <w:rFonts w:ascii="Palatino Linotype" w:hAnsi="Palatino Linotype"/>
          <w:color w:val="000000"/>
          <w:sz w:val="24"/>
          <w:szCs w:val="24"/>
        </w:rPr>
        <w:t xml:space="preserve">recurso de revisión </w:t>
      </w:r>
      <w:r w:rsidRPr="00017648">
        <w:rPr>
          <w:rFonts w:ascii="Palatino Linotype" w:hAnsi="Palatino Linotype"/>
          <w:b/>
          <w:color w:val="000000"/>
          <w:sz w:val="24"/>
          <w:szCs w:val="24"/>
        </w:rPr>
        <w:t>0</w:t>
      </w:r>
      <w:r w:rsidR="00192A34" w:rsidRPr="00017648">
        <w:rPr>
          <w:rFonts w:ascii="Palatino Linotype" w:hAnsi="Palatino Linotype"/>
          <w:b/>
          <w:color w:val="000000"/>
          <w:sz w:val="24"/>
          <w:szCs w:val="24"/>
        </w:rPr>
        <w:t>2715</w:t>
      </w:r>
      <w:r w:rsidRPr="00017648">
        <w:rPr>
          <w:rFonts w:ascii="Palatino Linotype" w:hAnsi="Palatino Linotype"/>
          <w:b/>
          <w:color w:val="000000"/>
          <w:sz w:val="24"/>
          <w:szCs w:val="24"/>
        </w:rPr>
        <w:t>/INFOEM/IP/RR/201</w:t>
      </w:r>
      <w:r w:rsidR="00192A34" w:rsidRPr="00017648">
        <w:rPr>
          <w:rFonts w:ascii="Palatino Linotype" w:hAnsi="Palatino Linotype"/>
          <w:b/>
          <w:color w:val="000000"/>
          <w:sz w:val="24"/>
          <w:szCs w:val="24"/>
        </w:rPr>
        <w:t>6</w:t>
      </w:r>
      <w:r w:rsidRPr="00017648">
        <w:rPr>
          <w:rFonts w:ascii="Palatino Linotype" w:hAnsi="Palatino Linotype"/>
          <w:sz w:val="24"/>
          <w:szCs w:val="24"/>
        </w:rPr>
        <w:t xml:space="preserve">, del cual </w:t>
      </w:r>
      <w:r w:rsidRPr="00017648">
        <w:rPr>
          <w:rFonts w:ascii="Palatino Linotype" w:hAnsi="Palatino Linotype" w:cs="Arial"/>
          <w:sz w:val="24"/>
          <w:szCs w:val="24"/>
        </w:rPr>
        <w:t xml:space="preserve">recayó la resolución del Pleno de este Instituto en la </w:t>
      </w:r>
      <w:r w:rsidR="00192A34" w:rsidRPr="00017648">
        <w:rPr>
          <w:rFonts w:ascii="Palatino Linotype" w:hAnsi="Palatino Linotype" w:cs="Arial"/>
          <w:sz w:val="24"/>
          <w:szCs w:val="24"/>
        </w:rPr>
        <w:t xml:space="preserve">Trigésima Quinta </w:t>
      </w:r>
      <w:r w:rsidRPr="00017648">
        <w:rPr>
          <w:rFonts w:ascii="Palatino Linotype" w:hAnsi="Palatino Linotype" w:cs="Arial"/>
          <w:sz w:val="24"/>
          <w:szCs w:val="24"/>
        </w:rPr>
        <w:t xml:space="preserve">Sesión Ordinaria celebrada el </w:t>
      </w:r>
      <w:r w:rsidR="00192A34" w:rsidRPr="00017648">
        <w:rPr>
          <w:rFonts w:ascii="Palatino Linotype" w:hAnsi="Palatino Linotype" w:cs="Arial"/>
          <w:sz w:val="24"/>
          <w:szCs w:val="24"/>
        </w:rPr>
        <w:t>veintisiete de septiembre de dos mil dieciséis,</w:t>
      </w:r>
      <w:r w:rsidRPr="00017648">
        <w:rPr>
          <w:rFonts w:ascii="Palatino Linotype" w:hAnsi="Palatino Linotype" w:cs="Arial"/>
          <w:sz w:val="24"/>
          <w:szCs w:val="24"/>
        </w:rPr>
        <w:t xml:space="preserve"> </w:t>
      </w:r>
      <w:r w:rsidR="00192A34" w:rsidRPr="00017648">
        <w:rPr>
          <w:rFonts w:ascii="Palatino Linotype" w:hAnsi="Palatino Linotype" w:cs="Arial"/>
          <w:sz w:val="24"/>
          <w:szCs w:val="24"/>
        </w:rPr>
        <w:t>misma que fue aprobada por unanimidad de votos por el Pleno de este Instituto</w:t>
      </w:r>
      <w:r w:rsidRPr="00017648">
        <w:rPr>
          <w:rFonts w:ascii="Palatino Linotype" w:hAnsi="Palatino Linotype" w:cs="Arial"/>
          <w:sz w:val="24"/>
          <w:szCs w:val="24"/>
        </w:rPr>
        <w:t xml:space="preserve"> en los términos siguientes:</w:t>
      </w:r>
    </w:p>
    <w:p w14:paraId="228505B8" w14:textId="4B0CD36C" w:rsidR="00C82165" w:rsidRPr="00017648" w:rsidRDefault="00192A34" w:rsidP="00C82165">
      <w:pPr>
        <w:spacing w:line="360" w:lineRule="auto"/>
        <w:jc w:val="center"/>
        <w:rPr>
          <w:rFonts w:ascii="Palatino Linotype" w:hAnsi="Palatino Linotype" w:cs="Arial"/>
        </w:rPr>
      </w:pPr>
      <w:r w:rsidRPr="00017648">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4617BD09" wp14:editId="568A047D">
                <wp:simplePos x="0" y="0"/>
                <wp:positionH relativeFrom="column">
                  <wp:posOffset>224790</wp:posOffset>
                </wp:positionH>
                <wp:positionV relativeFrom="paragraph">
                  <wp:posOffset>43179</wp:posOffset>
                </wp:positionV>
                <wp:extent cx="5238750" cy="3343275"/>
                <wp:effectExtent l="19050" t="19050" r="19050" b="28575"/>
                <wp:wrapNone/>
                <wp:docPr id="9" name="Conector recto 9"/>
                <wp:cNvGraphicFramePr/>
                <a:graphic xmlns:a="http://schemas.openxmlformats.org/drawingml/2006/main">
                  <a:graphicData uri="http://schemas.microsoft.com/office/word/2010/wordprocessingShape">
                    <wps:wsp>
                      <wps:cNvCnPr/>
                      <wps:spPr>
                        <a:xfrm>
                          <a:off x="0" y="0"/>
                          <a:ext cx="5238750" cy="33432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2E18C" id="Conector recto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7pt,3.4pt" to="430.2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f4wgEAANYDAAAOAAAAZHJzL2Uyb0RvYy54bWysU9uO0zAUfEfiHyy/07QpZbtR033oCl4Q&#10;VCx8gNc5biz5pmPTpH/PsZvNrgAJgXhxfDkznhmf7O5Ga9gZMGrvWr5aLDkDJ32n3anl376+f7Pl&#10;LCbhOmG8g5ZfIPK7/etXuyE0UPvemw6QEYmLzRBa3qcUmqqKsgcr4sIHcHSoPFqRaImnqkMxELs1&#10;Vb1cvqsGj11ALyFG2r2/HvJ94VcKZPqsVITETMtJWyojlvExj9V+J5oTitBrOckQ/6DCCu3o0pnq&#10;XiTBvqP+hcpqiT56lRbS28orpSUUD+RmtfzJzUMvAhQvFE4Mc0zx/9HKT+cjMt21/JYzJyw90YEe&#10;SiaPDPOH3eaMhhAbKj24I06rGI6YDY8Kbf6SFTaWXC9zrjAmJmlzU6+3NxuKX9LZev12Xd9sMmv1&#10;DA8Y0wfwluVJy4122bhoxPljTNfSp5K8bRwbWl5vNxNR1ndVVGbpYuBa9gUUuSMNq0JX+goOBtlZ&#10;UEcIKcGl1aTFOKrOMKWNmYHLPwOn+gyF0nN/A54R5Wbv0gy22nn83e1pfJKsrvUU5Qvfefrou0t5&#10;q3JAzVPSnho9d+fLdYE//477HwAAAP//AwBQSwMEFAAGAAgAAAAhAKx8Xa7dAAAACAEAAA8AAABk&#10;cnMvZG93bnJldi54bWxMj8FOwzAQRO9I/IO1SNyoA0lDFbKpChIXempBiOMmXpKI2A6x2wa+nuUE&#10;x9GMZt6U69kO6shT6L1DuF4koNg13vSuRXh5frxagQqRnKHBO0b44gDr6vyspML4k9vxcR9bJSUu&#10;FITQxTgWWoemY0th4Ud24r37yVIUObXaTHSScjvomyTJtaXeyUJHIz903HzsDxbhvs6+Z/v2yrs2&#10;bLL+qb+lz+0W8fJi3tyBijzHvzD84gs6VMJU+4MzQQ0I6TKTJEIuB8Re5YnoGmGZpinoqtT/D1Q/&#10;AAAA//8DAFBLAQItABQABgAIAAAAIQC2gziS/gAAAOEBAAATAAAAAAAAAAAAAAAAAAAAAABbQ29u&#10;dGVudF9UeXBlc10ueG1sUEsBAi0AFAAGAAgAAAAhADj9If/WAAAAlAEAAAsAAAAAAAAAAAAAAAAA&#10;LwEAAF9yZWxzLy5yZWxzUEsBAi0AFAAGAAgAAAAhABjpR/jCAQAA1gMAAA4AAAAAAAAAAAAAAAAA&#10;LgIAAGRycy9lMm9Eb2MueG1sUEsBAi0AFAAGAAgAAAAhAKx8Xa7dAAAACAEAAA8AAAAAAAAAAAAA&#10;AAAAHAQAAGRycy9kb3ducmV2LnhtbFBLBQYAAAAABAAEAPMAAAAmBQAAAAA=&#10;" strokecolor="#5b9bd5 [3204]" strokeweight="2.25pt">
                <v:stroke joinstyle="miter"/>
              </v:line>
            </w:pict>
          </mc:Fallback>
        </mc:AlternateContent>
      </w:r>
    </w:p>
    <w:p w14:paraId="5404CFC9" w14:textId="129C3CFC" w:rsidR="00192A34" w:rsidRPr="00017648" w:rsidRDefault="00192A34" w:rsidP="00C82165">
      <w:pPr>
        <w:spacing w:line="360" w:lineRule="auto"/>
        <w:jc w:val="both"/>
        <w:rPr>
          <w:rFonts w:ascii="Palatino Linotype" w:hAnsi="Palatino Linotype"/>
          <w:sz w:val="24"/>
          <w:szCs w:val="24"/>
        </w:rPr>
      </w:pPr>
      <w:r w:rsidRPr="00017648">
        <w:rPr>
          <w:noProof/>
          <w:lang w:eastAsia="es-MX"/>
        </w:rPr>
        <w:lastRenderedPageBreak/>
        <w:drawing>
          <wp:inline distT="0" distB="0" distL="0" distR="0" wp14:anchorId="0EDC47D2" wp14:editId="167797FD">
            <wp:extent cx="5314605" cy="5857875"/>
            <wp:effectExtent l="190500" t="190500" r="191135" b="1809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5775" t="18036" r="7206" b="8635"/>
                    <a:stretch/>
                  </pic:blipFill>
                  <pic:spPr bwMode="auto">
                    <a:xfrm>
                      <a:off x="0" y="0"/>
                      <a:ext cx="5322825" cy="586693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7A44329" w14:textId="77777777" w:rsidR="00192A34" w:rsidRPr="00017648" w:rsidRDefault="00192A34" w:rsidP="00C82165">
      <w:pPr>
        <w:spacing w:line="360" w:lineRule="auto"/>
        <w:jc w:val="both"/>
        <w:rPr>
          <w:rFonts w:ascii="Palatino Linotype" w:hAnsi="Palatino Linotype"/>
          <w:sz w:val="24"/>
          <w:szCs w:val="24"/>
        </w:rPr>
      </w:pPr>
    </w:p>
    <w:p w14:paraId="53B1605F" w14:textId="77777777" w:rsidR="00192A34" w:rsidRPr="00017648" w:rsidRDefault="00192A34" w:rsidP="00C82165">
      <w:pPr>
        <w:spacing w:line="360" w:lineRule="auto"/>
        <w:jc w:val="both"/>
        <w:rPr>
          <w:rFonts w:ascii="Palatino Linotype" w:hAnsi="Palatino Linotype"/>
          <w:sz w:val="24"/>
          <w:szCs w:val="24"/>
        </w:rPr>
      </w:pPr>
    </w:p>
    <w:p w14:paraId="56CB0C9A" w14:textId="77777777" w:rsidR="00192A34" w:rsidRPr="00017648" w:rsidRDefault="00192A34" w:rsidP="00C82165">
      <w:pPr>
        <w:spacing w:line="360" w:lineRule="auto"/>
        <w:jc w:val="both"/>
        <w:rPr>
          <w:rFonts w:ascii="Palatino Linotype" w:hAnsi="Palatino Linotype"/>
          <w:sz w:val="24"/>
          <w:szCs w:val="24"/>
        </w:rPr>
      </w:pPr>
    </w:p>
    <w:p w14:paraId="64391A9D" w14:textId="44CC01CD" w:rsidR="00C82165" w:rsidRPr="00017648" w:rsidRDefault="00C82165" w:rsidP="00C82165">
      <w:pPr>
        <w:spacing w:line="360" w:lineRule="auto"/>
        <w:jc w:val="both"/>
        <w:rPr>
          <w:rFonts w:ascii="Palatino Linotype" w:hAnsi="Palatino Linotype"/>
          <w:sz w:val="24"/>
          <w:szCs w:val="24"/>
        </w:rPr>
      </w:pPr>
      <w:r w:rsidRPr="00017648">
        <w:rPr>
          <w:rFonts w:ascii="Palatino Linotype" w:hAnsi="Palatino Linotype"/>
          <w:sz w:val="24"/>
          <w:szCs w:val="24"/>
        </w:rPr>
        <w:lastRenderedPageBreak/>
        <w:t xml:space="preserve">Así, en el presente caso, de conformidad a las constancias del </w:t>
      </w:r>
      <w:r w:rsidRPr="00017648">
        <w:rPr>
          <w:rFonts w:ascii="Palatino Linotype" w:hAnsi="Palatino Linotype"/>
          <w:b/>
          <w:sz w:val="24"/>
          <w:szCs w:val="24"/>
        </w:rPr>
        <w:t>SAIMEX</w:t>
      </w:r>
      <w:r w:rsidRPr="00017648">
        <w:rPr>
          <w:rFonts w:ascii="Palatino Linotype" w:hAnsi="Palatino Linotype"/>
          <w:sz w:val="24"/>
          <w:szCs w:val="24"/>
        </w:rPr>
        <w:t xml:space="preserve">, se advierte la resolución recaída al recurso de revisión </w:t>
      </w:r>
      <w:r w:rsidRPr="00017648">
        <w:rPr>
          <w:rFonts w:ascii="Palatino Linotype" w:eastAsiaTheme="minorEastAsia" w:hAnsi="Palatino Linotype" w:cs="Arial"/>
          <w:b/>
          <w:bCs/>
          <w:sz w:val="24"/>
          <w:szCs w:val="24"/>
        </w:rPr>
        <w:t>0</w:t>
      </w:r>
      <w:r w:rsidR="00192A34" w:rsidRPr="00017648">
        <w:rPr>
          <w:rFonts w:ascii="Palatino Linotype" w:eastAsiaTheme="minorEastAsia" w:hAnsi="Palatino Linotype" w:cs="Arial"/>
          <w:b/>
          <w:bCs/>
          <w:sz w:val="24"/>
          <w:szCs w:val="24"/>
        </w:rPr>
        <w:t>2715</w:t>
      </w:r>
      <w:r w:rsidRPr="00017648">
        <w:rPr>
          <w:rFonts w:ascii="Palatino Linotype" w:eastAsiaTheme="minorEastAsia" w:hAnsi="Palatino Linotype" w:cs="Arial"/>
          <w:b/>
          <w:bCs/>
          <w:sz w:val="24"/>
          <w:szCs w:val="24"/>
        </w:rPr>
        <w:t>/INFOEM/IP/RR/201</w:t>
      </w:r>
      <w:r w:rsidR="00192A34" w:rsidRPr="00017648">
        <w:rPr>
          <w:rFonts w:ascii="Palatino Linotype" w:eastAsiaTheme="minorEastAsia" w:hAnsi="Palatino Linotype" w:cs="Arial"/>
          <w:b/>
          <w:bCs/>
          <w:sz w:val="24"/>
          <w:szCs w:val="24"/>
        </w:rPr>
        <w:t>6</w:t>
      </w:r>
      <w:r w:rsidRPr="00017648">
        <w:rPr>
          <w:rFonts w:ascii="Palatino Linotype" w:hAnsi="Palatino Linotype"/>
          <w:sz w:val="24"/>
          <w:szCs w:val="24"/>
        </w:rPr>
        <w:t xml:space="preserve"> que le fue notificada a l</w:t>
      </w:r>
      <w:r w:rsidRPr="00017648">
        <w:rPr>
          <w:rFonts w:ascii="Palatino Linotype" w:hAnsi="Palatino Linotype"/>
          <w:b/>
          <w:sz w:val="24"/>
          <w:szCs w:val="24"/>
        </w:rPr>
        <w:t xml:space="preserve">a </w:t>
      </w:r>
      <w:r w:rsidRPr="00017648">
        <w:rPr>
          <w:rFonts w:ascii="Palatino Linotype" w:hAnsi="Palatino Linotype"/>
          <w:sz w:val="24"/>
          <w:szCs w:val="24"/>
        </w:rPr>
        <w:t xml:space="preserve">Recurrente, en fecha </w:t>
      </w:r>
      <w:r w:rsidR="00192A34" w:rsidRPr="00017648">
        <w:rPr>
          <w:rFonts w:ascii="Palatino Linotype" w:hAnsi="Palatino Linotype"/>
          <w:sz w:val="24"/>
          <w:szCs w:val="24"/>
        </w:rPr>
        <w:t xml:space="preserve">treinta de septiembre de dos mil </w:t>
      </w:r>
      <w:r w:rsidR="003F2EBF" w:rsidRPr="00017648">
        <w:rPr>
          <w:rFonts w:ascii="Palatino Linotype" w:hAnsi="Palatino Linotype"/>
          <w:sz w:val="24"/>
          <w:szCs w:val="24"/>
        </w:rPr>
        <w:t>dieciséis</w:t>
      </w:r>
      <w:r w:rsidRPr="00017648">
        <w:rPr>
          <w:rFonts w:ascii="Palatino Linotype" w:hAnsi="Palatino Linotype"/>
          <w:sz w:val="24"/>
          <w:szCs w:val="24"/>
        </w:rPr>
        <w:t xml:space="preserve">, como se aprecia de la siguiente imagen: </w:t>
      </w:r>
    </w:p>
    <w:p w14:paraId="21279973" w14:textId="709B8CCE" w:rsidR="00C82165" w:rsidRPr="00017648" w:rsidRDefault="000C4D81" w:rsidP="00C82165">
      <w:pPr>
        <w:jc w:val="center"/>
        <w:rPr>
          <w:noProof/>
          <w:lang w:eastAsia="es-MX"/>
        </w:rPr>
      </w:pPr>
      <w:r>
        <w:rPr>
          <w:noProof/>
          <w:lang w:eastAsia="es-MX"/>
        </w:rPr>
        <w:drawing>
          <wp:inline distT="0" distB="0" distL="0" distR="0" wp14:anchorId="3D05CD4D" wp14:editId="6EE55FDD">
            <wp:extent cx="4800600" cy="3733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3733800"/>
                    </a:xfrm>
                    <a:prstGeom prst="rect">
                      <a:avLst/>
                    </a:prstGeom>
                    <a:noFill/>
                    <a:ln>
                      <a:noFill/>
                    </a:ln>
                  </pic:spPr>
                </pic:pic>
              </a:graphicData>
            </a:graphic>
          </wp:inline>
        </w:drawing>
      </w:r>
    </w:p>
    <w:p w14:paraId="07368934" w14:textId="389D0C0F" w:rsidR="00C82165" w:rsidRPr="00017648" w:rsidRDefault="00C82165" w:rsidP="00C82165">
      <w:pPr>
        <w:spacing w:line="360" w:lineRule="auto"/>
        <w:jc w:val="both"/>
        <w:rPr>
          <w:rFonts w:ascii="Palatino Linotype" w:hAnsi="Palatino Linotype"/>
          <w:sz w:val="24"/>
          <w:szCs w:val="24"/>
        </w:rPr>
      </w:pPr>
      <w:r w:rsidRPr="00017648">
        <w:rPr>
          <w:rFonts w:ascii="Palatino Linotype" w:hAnsi="Palatino Linotype"/>
          <w:sz w:val="24"/>
          <w:szCs w:val="24"/>
        </w:rPr>
        <w:t>En consecuencia, el plazo de 15 días hábiles otorgado a la</w:t>
      </w:r>
      <w:r w:rsidRPr="00017648">
        <w:rPr>
          <w:rFonts w:ascii="Palatino Linotype" w:hAnsi="Palatino Linotype"/>
          <w:b/>
          <w:sz w:val="24"/>
          <w:szCs w:val="24"/>
        </w:rPr>
        <w:t xml:space="preserve"> </w:t>
      </w:r>
      <w:r w:rsidRPr="00017648">
        <w:rPr>
          <w:rFonts w:ascii="Palatino Linotype" w:hAnsi="Palatino Linotype"/>
          <w:sz w:val="24"/>
          <w:szCs w:val="24"/>
        </w:rPr>
        <w:t xml:space="preserve">Recurrente, para su impugnación feneció el </w:t>
      </w:r>
      <w:r w:rsidR="003F2EBF" w:rsidRPr="00017648">
        <w:rPr>
          <w:rFonts w:ascii="Palatino Linotype" w:hAnsi="Palatino Linotype"/>
          <w:b/>
          <w:sz w:val="24"/>
          <w:szCs w:val="24"/>
        </w:rPr>
        <w:t xml:space="preserve">catorce de octubre de dos mil </w:t>
      </w:r>
      <w:r w:rsidR="00E12E3A" w:rsidRPr="00017648">
        <w:rPr>
          <w:rFonts w:ascii="Palatino Linotype" w:hAnsi="Palatino Linotype"/>
          <w:b/>
          <w:sz w:val="24"/>
          <w:szCs w:val="24"/>
        </w:rPr>
        <w:t>dieciséis</w:t>
      </w:r>
      <w:r w:rsidR="003F2EBF" w:rsidRPr="00017648">
        <w:rPr>
          <w:rFonts w:ascii="Palatino Linotype" w:hAnsi="Palatino Linotype"/>
          <w:b/>
          <w:sz w:val="24"/>
          <w:szCs w:val="24"/>
        </w:rPr>
        <w:t>,</w:t>
      </w:r>
      <w:r w:rsidRPr="00017648">
        <w:rPr>
          <w:rFonts w:ascii="Palatino Linotype" w:hAnsi="Palatino Linotype"/>
          <w:sz w:val="24"/>
          <w:szCs w:val="24"/>
        </w:rPr>
        <w:t xml:space="preserve"> sin que se tenga conocimiento por parte de este Instituto, que la resolución en comento, haya sido controvertida vía Juicio de Amparo, por lo que debe considerarse que ha causado estado, es decir, puede concluirse jurídicamente existe una resolución ejecutoria que decidió el asunto planteado.</w:t>
      </w:r>
    </w:p>
    <w:p w14:paraId="7D8B38A7" w14:textId="77777777" w:rsidR="00017648" w:rsidRPr="00017648" w:rsidRDefault="00017648" w:rsidP="00C82165">
      <w:pPr>
        <w:spacing w:line="360" w:lineRule="auto"/>
        <w:jc w:val="both"/>
        <w:rPr>
          <w:rFonts w:ascii="Palatino Linotype" w:hAnsi="Palatino Linotype"/>
          <w:sz w:val="24"/>
          <w:szCs w:val="24"/>
        </w:rPr>
      </w:pPr>
    </w:p>
    <w:p w14:paraId="1BD99EC2" w14:textId="6618ADFD" w:rsidR="00017648" w:rsidRPr="00017648" w:rsidRDefault="00017648" w:rsidP="00017648">
      <w:pPr>
        <w:spacing w:line="360" w:lineRule="auto"/>
        <w:jc w:val="both"/>
        <w:rPr>
          <w:rFonts w:ascii="Palatino Linotype" w:eastAsia="Times New Roman" w:hAnsi="Palatino Linotype" w:cs="Arial"/>
          <w:sz w:val="24"/>
          <w:szCs w:val="24"/>
        </w:rPr>
      </w:pPr>
      <w:r w:rsidRPr="00017648">
        <w:rPr>
          <w:rFonts w:ascii="Palatino Linotype" w:hAnsi="Palatino Linotype"/>
          <w:sz w:val="24"/>
          <w:szCs w:val="24"/>
        </w:rPr>
        <w:lastRenderedPageBreak/>
        <w:t xml:space="preserve">Adicional a ello, el Sujeto Obligado dio cumplimiento en términos del artículo </w:t>
      </w:r>
      <w:r w:rsidRPr="00017648">
        <w:rPr>
          <w:rFonts w:ascii="Palatino Linotype" w:eastAsia="Times New Roman" w:hAnsi="Palatino Linotype" w:cs="Arial"/>
          <w:bCs/>
          <w:sz w:val="24"/>
          <w:szCs w:val="24"/>
        </w:rPr>
        <w:t xml:space="preserve">186, último párrafo y 189 párrafo segundo de la Ley de Transparencia y Acceso a la Información Pública del Estado de México y Municipios, </w:t>
      </w:r>
      <w:r w:rsidRPr="00017648">
        <w:rPr>
          <w:rFonts w:ascii="Palatino Linotype" w:eastAsia="Times New Roman" w:hAnsi="Palatino Linotype" w:cs="Arial"/>
          <w:sz w:val="24"/>
          <w:szCs w:val="24"/>
        </w:rPr>
        <w:t>como se muestra a continuación:</w:t>
      </w:r>
    </w:p>
    <w:p w14:paraId="06582013" w14:textId="33923D7C" w:rsidR="00017648" w:rsidRPr="00017648" w:rsidRDefault="000C4D81" w:rsidP="00017648">
      <w:pPr>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645FD710" wp14:editId="2D8A7409">
            <wp:extent cx="5486400" cy="3562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562350"/>
                    </a:xfrm>
                    <a:prstGeom prst="rect">
                      <a:avLst/>
                    </a:prstGeom>
                    <a:noFill/>
                    <a:ln>
                      <a:noFill/>
                    </a:ln>
                  </pic:spPr>
                </pic:pic>
              </a:graphicData>
            </a:graphic>
          </wp:inline>
        </w:drawing>
      </w:r>
      <w:bookmarkStart w:id="0" w:name="_GoBack"/>
      <w:bookmarkEnd w:id="0"/>
    </w:p>
    <w:p w14:paraId="1EECADB2" w14:textId="77777777" w:rsidR="00C82165" w:rsidRPr="00017648" w:rsidRDefault="00C82165" w:rsidP="00C82165">
      <w:pPr>
        <w:spacing w:line="360" w:lineRule="auto"/>
        <w:jc w:val="both"/>
        <w:rPr>
          <w:rFonts w:ascii="Palatino Linotype" w:hAnsi="Palatino Linotype" w:cs="Arial"/>
          <w:sz w:val="24"/>
          <w:szCs w:val="24"/>
        </w:rPr>
      </w:pPr>
      <w:r w:rsidRPr="00017648">
        <w:rPr>
          <w:rFonts w:ascii="Palatino Linotype" w:hAnsi="Palatino Linotype"/>
          <w:sz w:val="24"/>
          <w:szCs w:val="24"/>
        </w:rPr>
        <w:t xml:space="preserve">En este orden de ideas, se advierte que en los presentes recursos de revisión se </w:t>
      </w:r>
      <w:proofErr w:type="gramStart"/>
      <w:r w:rsidRPr="00017648">
        <w:rPr>
          <w:rFonts w:ascii="Palatino Linotype" w:hAnsi="Palatino Linotype" w:cs="Arial"/>
          <w:sz w:val="24"/>
          <w:szCs w:val="24"/>
        </w:rPr>
        <w:t>actualizan</w:t>
      </w:r>
      <w:proofErr w:type="gramEnd"/>
      <w:r w:rsidRPr="00017648">
        <w:rPr>
          <w:rFonts w:ascii="Palatino Linotype" w:hAnsi="Palatino Linotype" w:cs="Arial"/>
          <w:sz w:val="24"/>
          <w:szCs w:val="24"/>
        </w:rPr>
        <w:t xml:space="preserve"> las hipótesis jurídicas, previstas en los artículos 195, fracción I y 196, fracción II del Código de Procedimientos Administrativos del Estado de México, de aplicación supletoria, en términos del artículo 195 de la Ley de Transparencia y Acceso a la Información Pública del Estado de México y Municipios, los cuales se insertan a continuación:</w:t>
      </w:r>
    </w:p>
    <w:p w14:paraId="78D04640" w14:textId="77777777" w:rsidR="00C82165" w:rsidRPr="00017648" w:rsidRDefault="00C82165" w:rsidP="00C82165">
      <w:pPr>
        <w:spacing w:after="0" w:line="240" w:lineRule="auto"/>
        <w:ind w:left="709" w:right="760"/>
        <w:rPr>
          <w:rFonts w:ascii="Palatino Linotype" w:hAnsi="Palatino Linotype" w:cs="Arial"/>
          <w:b/>
          <w:i/>
          <w:sz w:val="20"/>
          <w:u w:val="single"/>
        </w:rPr>
      </w:pPr>
      <w:r w:rsidRPr="00017648">
        <w:rPr>
          <w:rFonts w:ascii="Palatino Linotype" w:hAnsi="Palatino Linotype" w:cs="Arial"/>
          <w:b/>
          <w:i/>
          <w:u w:val="single"/>
        </w:rPr>
        <w:t>Ley de Transparencia y Acceso a la Información Pública del Estado de México y Municipios</w:t>
      </w:r>
    </w:p>
    <w:p w14:paraId="6923F51E" w14:textId="77777777" w:rsidR="00C82165" w:rsidRPr="00017648" w:rsidRDefault="00C82165" w:rsidP="00C82165">
      <w:pPr>
        <w:spacing w:after="0" w:line="240" w:lineRule="auto"/>
        <w:ind w:left="709" w:right="760"/>
        <w:jc w:val="both"/>
        <w:rPr>
          <w:rFonts w:ascii="Palatino Linotype" w:hAnsi="Palatino Linotype" w:cs="Arial"/>
          <w:b/>
          <w:i/>
        </w:rPr>
      </w:pPr>
    </w:p>
    <w:p w14:paraId="237F6115" w14:textId="77777777" w:rsidR="00C82165" w:rsidRPr="00017648" w:rsidRDefault="00C82165" w:rsidP="00C82165">
      <w:pPr>
        <w:spacing w:after="0" w:line="240" w:lineRule="auto"/>
        <w:ind w:left="709" w:right="760"/>
        <w:jc w:val="both"/>
        <w:rPr>
          <w:rFonts w:ascii="Palatino Linotype" w:hAnsi="Palatino Linotype" w:cs="Arial"/>
          <w:b/>
          <w:i/>
        </w:rPr>
      </w:pPr>
      <w:r w:rsidRPr="00017648">
        <w:rPr>
          <w:rFonts w:ascii="Palatino Linotype" w:hAnsi="Palatino Linotype" w:cs="Arial"/>
          <w:b/>
          <w:i/>
        </w:rPr>
        <w:t>Artículo 195</w:t>
      </w:r>
      <w:r w:rsidRPr="00017648">
        <w:rPr>
          <w:rFonts w:ascii="Palatino Linotype" w:hAnsi="Palatino Linotype" w:cs="Arial"/>
          <w:i/>
        </w:rPr>
        <w:t xml:space="preserve">. En la tramitación del recurso de revisión se </w:t>
      </w:r>
      <w:r w:rsidRPr="00017648">
        <w:rPr>
          <w:rFonts w:ascii="Palatino Linotype" w:hAnsi="Palatino Linotype" w:cs="Arial"/>
          <w:b/>
          <w:i/>
        </w:rPr>
        <w:t>aplicarán supletoriamente</w:t>
      </w:r>
      <w:r w:rsidRPr="00017648">
        <w:rPr>
          <w:rFonts w:ascii="Palatino Linotype" w:hAnsi="Palatino Linotype" w:cs="Arial"/>
          <w:i/>
        </w:rPr>
        <w:t xml:space="preserve"> las disposiciones contenidas en el </w:t>
      </w:r>
      <w:r w:rsidRPr="00017648">
        <w:rPr>
          <w:rFonts w:ascii="Palatino Linotype" w:hAnsi="Palatino Linotype" w:cs="Arial"/>
          <w:b/>
          <w:i/>
        </w:rPr>
        <w:t>Código de Procedimientos Administrativos del Estado de México.</w:t>
      </w:r>
    </w:p>
    <w:p w14:paraId="68BC2CA8" w14:textId="77777777" w:rsidR="00C82165" w:rsidRPr="00017648" w:rsidRDefault="00C82165" w:rsidP="00C82165">
      <w:pPr>
        <w:spacing w:after="0" w:line="240" w:lineRule="auto"/>
        <w:ind w:left="709" w:right="760"/>
        <w:jc w:val="both"/>
        <w:rPr>
          <w:rFonts w:ascii="Palatino Linotype" w:hAnsi="Palatino Linotype" w:cs="Arial"/>
          <w:i/>
        </w:rPr>
      </w:pPr>
    </w:p>
    <w:p w14:paraId="160A148E" w14:textId="77777777" w:rsidR="00C82165" w:rsidRPr="00017648" w:rsidRDefault="00C82165" w:rsidP="00C82165">
      <w:pPr>
        <w:spacing w:after="0" w:line="240" w:lineRule="auto"/>
        <w:ind w:left="709" w:right="760"/>
        <w:rPr>
          <w:rFonts w:ascii="Palatino Linotype" w:hAnsi="Palatino Linotype" w:cs="Arial"/>
          <w:b/>
          <w:i/>
          <w:u w:val="single"/>
        </w:rPr>
      </w:pPr>
      <w:r w:rsidRPr="00017648">
        <w:rPr>
          <w:rFonts w:ascii="Palatino Linotype" w:hAnsi="Palatino Linotype" w:cs="Arial"/>
          <w:b/>
          <w:i/>
          <w:u w:val="single"/>
        </w:rPr>
        <w:t>Código de Procedimientos Administrativos del Estado de México</w:t>
      </w:r>
    </w:p>
    <w:p w14:paraId="1BC3582A" w14:textId="77777777" w:rsidR="00C82165" w:rsidRPr="00017648" w:rsidRDefault="00C82165" w:rsidP="00C82165">
      <w:pPr>
        <w:spacing w:after="0" w:line="240" w:lineRule="auto"/>
        <w:ind w:left="709" w:right="760"/>
        <w:jc w:val="both"/>
        <w:rPr>
          <w:rFonts w:ascii="Palatino Linotype" w:hAnsi="Palatino Linotype" w:cs="Arial"/>
          <w:b/>
          <w:i/>
        </w:rPr>
      </w:pPr>
    </w:p>
    <w:p w14:paraId="301A0F29" w14:textId="77777777" w:rsidR="00C82165" w:rsidRPr="00017648" w:rsidRDefault="00C82165" w:rsidP="00C82165">
      <w:pPr>
        <w:spacing w:after="0" w:line="240" w:lineRule="auto"/>
        <w:ind w:left="709" w:right="760"/>
        <w:jc w:val="both"/>
        <w:rPr>
          <w:rFonts w:ascii="Palatino Linotype" w:hAnsi="Palatino Linotype" w:cs="Arial"/>
          <w:i/>
        </w:rPr>
      </w:pPr>
      <w:r w:rsidRPr="00017648">
        <w:rPr>
          <w:rFonts w:ascii="Palatino Linotype" w:hAnsi="Palatino Linotype" w:cs="Arial"/>
          <w:b/>
          <w:i/>
        </w:rPr>
        <w:t>Artículo 195</w:t>
      </w:r>
      <w:r w:rsidRPr="00017648">
        <w:rPr>
          <w:rFonts w:ascii="Palatino Linotype" w:hAnsi="Palatino Linotype" w:cs="Arial"/>
          <w:i/>
        </w:rPr>
        <w:t xml:space="preserve">.- Es </w:t>
      </w:r>
      <w:r w:rsidRPr="00017648">
        <w:rPr>
          <w:rFonts w:ascii="Palatino Linotype" w:hAnsi="Palatino Linotype" w:cs="Arial"/>
          <w:b/>
          <w:i/>
        </w:rPr>
        <w:t>improcedente</w:t>
      </w:r>
      <w:r w:rsidRPr="00017648">
        <w:rPr>
          <w:rFonts w:ascii="Palatino Linotype" w:hAnsi="Palatino Linotype" w:cs="Arial"/>
          <w:i/>
        </w:rPr>
        <w:t xml:space="preserve"> el recurso: </w:t>
      </w:r>
    </w:p>
    <w:p w14:paraId="72C471CE" w14:textId="77777777" w:rsidR="00C82165" w:rsidRPr="00017648" w:rsidRDefault="00C82165" w:rsidP="00C82165">
      <w:pPr>
        <w:spacing w:after="0" w:line="240" w:lineRule="auto"/>
        <w:ind w:left="709" w:right="760"/>
        <w:jc w:val="both"/>
        <w:rPr>
          <w:rFonts w:ascii="Palatino Linotype" w:hAnsi="Palatino Linotype" w:cs="Arial"/>
          <w:b/>
          <w:i/>
        </w:rPr>
      </w:pPr>
    </w:p>
    <w:p w14:paraId="754EEAD6" w14:textId="77777777" w:rsidR="00C82165" w:rsidRPr="00017648" w:rsidRDefault="00C82165" w:rsidP="00C82165">
      <w:pPr>
        <w:spacing w:after="0" w:line="240" w:lineRule="auto"/>
        <w:ind w:left="709" w:right="760"/>
        <w:jc w:val="both"/>
        <w:rPr>
          <w:rFonts w:ascii="Palatino Linotype" w:hAnsi="Palatino Linotype" w:cs="Arial"/>
          <w:i/>
        </w:rPr>
      </w:pPr>
      <w:r w:rsidRPr="00017648">
        <w:rPr>
          <w:rFonts w:ascii="Palatino Linotype" w:hAnsi="Palatino Linotype" w:cs="Arial"/>
          <w:b/>
          <w:i/>
        </w:rPr>
        <w:t>I. Contra actos que hayan sido impugnados en un anterior recurso administrativo</w:t>
      </w:r>
      <w:r w:rsidRPr="00017648">
        <w:rPr>
          <w:rFonts w:ascii="Palatino Linotype" w:hAnsi="Palatino Linotype" w:cs="Arial"/>
          <w:i/>
        </w:rPr>
        <w:t xml:space="preserve"> o en un proceso jurisdiccional, </w:t>
      </w:r>
      <w:r w:rsidRPr="00017648">
        <w:rPr>
          <w:rFonts w:ascii="Palatino Linotype" w:hAnsi="Palatino Linotype" w:cs="Arial"/>
          <w:b/>
          <w:i/>
        </w:rPr>
        <w:t>siempre que exista resolución ejecutoria que decida el asunto planteado</w:t>
      </w:r>
      <w:r w:rsidRPr="00017648">
        <w:rPr>
          <w:rFonts w:ascii="Palatino Linotype" w:hAnsi="Palatino Linotype" w:cs="Arial"/>
          <w:i/>
        </w:rPr>
        <w:t>;</w:t>
      </w:r>
    </w:p>
    <w:p w14:paraId="6F940F72" w14:textId="77777777" w:rsidR="00C82165" w:rsidRPr="00017648" w:rsidRDefault="00C82165" w:rsidP="00C82165">
      <w:pPr>
        <w:spacing w:after="0" w:line="240" w:lineRule="auto"/>
        <w:ind w:left="709" w:right="760"/>
        <w:jc w:val="both"/>
        <w:rPr>
          <w:rFonts w:ascii="Palatino Linotype" w:hAnsi="Palatino Linotype" w:cs="Arial"/>
          <w:b/>
          <w:i/>
        </w:rPr>
      </w:pPr>
      <w:r w:rsidRPr="00017648">
        <w:rPr>
          <w:rFonts w:ascii="Palatino Linotype" w:hAnsi="Palatino Linotype" w:cs="Arial"/>
          <w:b/>
          <w:i/>
        </w:rPr>
        <w:t xml:space="preserve">Artículo 196.- </w:t>
      </w:r>
      <w:r w:rsidRPr="00017648">
        <w:rPr>
          <w:rFonts w:ascii="Palatino Linotype" w:hAnsi="Palatino Linotype" w:cs="Arial"/>
          <w:i/>
        </w:rPr>
        <w:t xml:space="preserve">Será </w:t>
      </w:r>
      <w:proofErr w:type="spellStart"/>
      <w:r w:rsidRPr="00017648">
        <w:rPr>
          <w:rFonts w:ascii="Palatino Linotype" w:hAnsi="Palatino Linotype" w:cs="Arial"/>
          <w:b/>
          <w:i/>
        </w:rPr>
        <w:t>sobreseido</w:t>
      </w:r>
      <w:proofErr w:type="spellEnd"/>
      <w:r w:rsidRPr="00017648">
        <w:rPr>
          <w:rFonts w:ascii="Palatino Linotype" w:hAnsi="Palatino Linotype" w:cs="Arial"/>
          <w:i/>
        </w:rPr>
        <w:t xml:space="preserve"> el recurso cuando</w:t>
      </w:r>
      <w:r w:rsidRPr="00017648">
        <w:rPr>
          <w:rFonts w:ascii="Palatino Linotype" w:hAnsi="Palatino Linotype" w:cs="Arial"/>
          <w:b/>
          <w:i/>
        </w:rPr>
        <w:t>:</w:t>
      </w:r>
    </w:p>
    <w:p w14:paraId="1E21846C" w14:textId="77777777" w:rsidR="00C82165" w:rsidRPr="00017648" w:rsidRDefault="00C82165" w:rsidP="00C82165">
      <w:pPr>
        <w:spacing w:after="0" w:line="240" w:lineRule="auto"/>
        <w:ind w:left="709" w:right="760"/>
        <w:jc w:val="both"/>
        <w:rPr>
          <w:rFonts w:ascii="Palatino Linotype" w:hAnsi="Palatino Linotype" w:cs="Arial"/>
          <w:i/>
        </w:rPr>
      </w:pPr>
      <w:r w:rsidRPr="00017648">
        <w:rPr>
          <w:rFonts w:ascii="Palatino Linotype" w:hAnsi="Palatino Linotype" w:cs="Arial"/>
          <w:i/>
        </w:rPr>
        <w:t>…</w:t>
      </w:r>
    </w:p>
    <w:p w14:paraId="06E1EE64" w14:textId="77777777" w:rsidR="00C82165" w:rsidRPr="00017648" w:rsidRDefault="00C82165" w:rsidP="00C82165">
      <w:pPr>
        <w:spacing w:after="0" w:line="240" w:lineRule="auto"/>
        <w:ind w:left="709" w:right="760"/>
        <w:jc w:val="both"/>
        <w:rPr>
          <w:rFonts w:ascii="Palatino Linotype" w:hAnsi="Palatino Linotype" w:cs="Arial"/>
          <w:i/>
        </w:rPr>
      </w:pPr>
      <w:r w:rsidRPr="00017648">
        <w:rPr>
          <w:rFonts w:ascii="Palatino Linotype" w:hAnsi="Palatino Linotype" w:cs="Arial"/>
          <w:i/>
        </w:rPr>
        <w:t xml:space="preserve">II. Durante el procedimiento apareciere o </w:t>
      </w:r>
      <w:r w:rsidRPr="00017648">
        <w:rPr>
          <w:rFonts w:ascii="Palatino Linotype" w:hAnsi="Palatino Linotype" w:cs="Arial"/>
          <w:b/>
          <w:i/>
        </w:rPr>
        <w:t>sobreviniere alguna de las causas de improcedencia</w:t>
      </w:r>
      <w:r w:rsidRPr="00017648">
        <w:rPr>
          <w:rFonts w:ascii="Palatino Linotype" w:hAnsi="Palatino Linotype" w:cs="Arial"/>
          <w:i/>
        </w:rPr>
        <w:t xml:space="preserve"> del recurso;</w:t>
      </w:r>
    </w:p>
    <w:p w14:paraId="24832CED" w14:textId="77777777" w:rsidR="00C82165" w:rsidRPr="00017648" w:rsidRDefault="00C82165" w:rsidP="00C82165">
      <w:pPr>
        <w:spacing w:after="0" w:line="240" w:lineRule="auto"/>
        <w:ind w:left="709" w:right="760"/>
        <w:jc w:val="both"/>
        <w:rPr>
          <w:rFonts w:ascii="Palatino Linotype" w:hAnsi="Palatino Linotype" w:cs="Arial"/>
        </w:rPr>
      </w:pPr>
    </w:p>
    <w:p w14:paraId="575F3539" w14:textId="77777777" w:rsidR="00C82165" w:rsidRPr="00017648" w:rsidRDefault="00C82165" w:rsidP="00C82165">
      <w:pPr>
        <w:spacing w:line="276" w:lineRule="auto"/>
        <w:ind w:left="851" w:right="899"/>
        <w:jc w:val="both"/>
        <w:rPr>
          <w:rFonts w:ascii="Palatino Linotype" w:hAnsi="Palatino Linotype" w:cs="Arial"/>
          <w:sz w:val="8"/>
        </w:rPr>
      </w:pPr>
    </w:p>
    <w:p w14:paraId="7A899D3A" w14:textId="77777777" w:rsidR="00C82165" w:rsidRPr="00017648" w:rsidRDefault="00C82165" w:rsidP="00C8216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De la fundamentación jurídica citada se desprende que, el medio de impugnación será sobreseído cuando durante la </w:t>
      </w:r>
      <w:r w:rsidRPr="00017648">
        <w:rPr>
          <w:rFonts w:ascii="Palatino Linotype" w:hAnsi="Palatino Linotype"/>
          <w:sz w:val="24"/>
          <w:szCs w:val="24"/>
        </w:rPr>
        <w:t>tramitación</w:t>
      </w:r>
      <w:r w:rsidRPr="00017648">
        <w:rPr>
          <w:rFonts w:ascii="Palatino Linotype" w:hAnsi="Palatino Linotype" w:cs="Arial"/>
          <w:sz w:val="24"/>
          <w:szCs w:val="24"/>
        </w:rPr>
        <w:t xml:space="preserve"> del procedimiento aparezca una causal de improcedencia, lo cual nos remite de manera particular, a la causal que alude a que es improcedente cuando los actos ya hayan sido impugnados por el mismo Recurrente, en otro medio de defensa en que ya se haya dictado resolución ejecutoria que decida el fondo del asunto.</w:t>
      </w:r>
    </w:p>
    <w:p w14:paraId="1A0BFA02" w14:textId="77777777" w:rsidR="00C82165" w:rsidRPr="00017648" w:rsidRDefault="00C82165" w:rsidP="00C8216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Así mismo cabe citar lo que establece el artículo 1.205 del </w:t>
      </w:r>
      <w:r w:rsidRPr="00017648">
        <w:rPr>
          <w:rFonts w:ascii="Palatino Linotype" w:hAnsi="Palatino Linotype"/>
          <w:sz w:val="24"/>
          <w:szCs w:val="24"/>
        </w:rPr>
        <w:t>Código</w:t>
      </w:r>
      <w:r w:rsidRPr="00017648">
        <w:rPr>
          <w:rFonts w:ascii="Palatino Linotype" w:hAnsi="Palatino Linotype" w:cs="Arial"/>
          <w:sz w:val="24"/>
          <w:szCs w:val="24"/>
        </w:rPr>
        <w:t xml:space="preserve"> de Procedimientos Civiles del Estado de México, que establece que hay cosa juzgada cuando la sentencia ha causado estado; es decir,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14:paraId="3258D1EE" w14:textId="77777777" w:rsidR="00C82165" w:rsidRPr="00017648" w:rsidRDefault="00C82165" w:rsidP="00C82165">
      <w:pPr>
        <w:spacing w:after="0" w:line="360" w:lineRule="auto"/>
        <w:jc w:val="both"/>
        <w:rPr>
          <w:rFonts w:ascii="Palatino Linotype" w:hAnsi="Palatino Linotype"/>
          <w:sz w:val="24"/>
          <w:szCs w:val="24"/>
        </w:rPr>
      </w:pPr>
      <w:r w:rsidRPr="00017648">
        <w:rPr>
          <w:rFonts w:ascii="Palatino Linotype" w:hAnsi="Palatino Linotype" w:cs="Arial"/>
          <w:sz w:val="24"/>
          <w:szCs w:val="24"/>
        </w:rPr>
        <w:lastRenderedPageBreak/>
        <w:t xml:space="preserve">En este mismo sentido es importante señalar que </w:t>
      </w:r>
      <w:r w:rsidRPr="00017648">
        <w:rPr>
          <w:rFonts w:ascii="Palatino Linotype" w:hAnsi="Palatino Linotype"/>
          <w:sz w:val="24"/>
          <w:szCs w:val="24"/>
        </w:rPr>
        <w:t>los artículos 1.206, 1.207 y 1.208 del Código de Procedimientos Civiles del Estado de México, establece lo siguiente:</w:t>
      </w:r>
    </w:p>
    <w:p w14:paraId="147A5534" w14:textId="77777777" w:rsidR="00C82165" w:rsidRPr="00017648" w:rsidRDefault="00C82165" w:rsidP="00C82165">
      <w:pPr>
        <w:spacing w:line="276" w:lineRule="auto"/>
        <w:ind w:left="851" w:right="899"/>
        <w:jc w:val="both"/>
        <w:rPr>
          <w:rFonts w:ascii="Palatino Linotype" w:hAnsi="Palatino Linotype"/>
          <w:b/>
          <w:i/>
          <w:sz w:val="10"/>
        </w:rPr>
      </w:pPr>
    </w:p>
    <w:p w14:paraId="34237925" w14:textId="77777777" w:rsidR="00C82165" w:rsidRPr="00017648" w:rsidRDefault="00C82165" w:rsidP="00C82165">
      <w:pPr>
        <w:spacing w:after="0"/>
        <w:ind w:left="709" w:right="760"/>
        <w:jc w:val="both"/>
        <w:rPr>
          <w:rFonts w:ascii="Palatino Linotype" w:hAnsi="Palatino Linotype"/>
          <w:b/>
          <w:i/>
        </w:rPr>
      </w:pPr>
      <w:r w:rsidRPr="00017648">
        <w:rPr>
          <w:rFonts w:ascii="Palatino Linotype" w:hAnsi="Palatino Linotype"/>
          <w:b/>
          <w:i/>
        </w:rPr>
        <w:t>“</w:t>
      </w:r>
      <w:proofErr w:type="spellStart"/>
      <w:r w:rsidRPr="00017648">
        <w:rPr>
          <w:rFonts w:ascii="Palatino Linotype" w:hAnsi="Palatino Linotype"/>
          <w:b/>
          <w:i/>
        </w:rPr>
        <w:t>Indiscutibilidad</w:t>
      </w:r>
      <w:proofErr w:type="spellEnd"/>
      <w:r w:rsidRPr="00017648">
        <w:rPr>
          <w:rFonts w:ascii="Palatino Linotype" w:hAnsi="Palatino Linotype"/>
          <w:b/>
          <w:i/>
        </w:rPr>
        <w:t xml:space="preserve"> de la cosa juzgada</w:t>
      </w:r>
    </w:p>
    <w:p w14:paraId="4FEB3E55" w14:textId="77777777" w:rsidR="00C82165" w:rsidRPr="00017648" w:rsidRDefault="00C82165" w:rsidP="00C82165">
      <w:pPr>
        <w:spacing w:after="0"/>
        <w:ind w:left="709" w:right="760"/>
        <w:jc w:val="both"/>
        <w:rPr>
          <w:rFonts w:ascii="Palatino Linotype" w:hAnsi="Palatino Linotype"/>
          <w:i/>
        </w:rPr>
      </w:pPr>
      <w:r w:rsidRPr="00017648">
        <w:rPr>
          <w:rFonts w:ascii="Palatino Linotype" w:hAnsi="Palatino Linotype"/>
          <w:b/>
          <w:i/>
        </w:rPr>
        <w:t>Artículo 1.206.-</w:t>
      </w:r>
      <w:r w:rsidRPr="00017648">
        <w:rPr>
          <w:rFonts w:ascii="Palatino Linotype" w:hAnsi="Palatino Linotype"/>
          <w:i/>
        </w:rPr>
        <w:t xml:space="preserve"> </w:t>
      </w:r>
      <w:r w:rsidRPr="00017648">
        <w:rPr>
          <w:rFonts w:ascii="Palatino Linotype" w:hAnsi="Palatino Linotype"/>
          <w:b/>
          <w:i/>
        </w:rPr>
        <w:t xml:space="preserve">La cosa juzgada es la sentencia que constituye verdad legal, contra ella no se admite recurso ni prueba </w:t>
      </w:r>
      <w:r w:rsidRPr="00017648">
        <w:rPr>
          <w:rFonts w:ascii="Palatino Linotype" w:hAnsi="Palatino Linotype" w:cs="Arial"/>
          <w:b/>
          <w:i/>
        </w:rPr>
        <w:t>que</w:t>
      </w:r>
      <w:r w:rsidRPr="00017648">
        <w:rPr>
          <w:rFonts w:ascii="Palatino Linotype" w:hAnsi="Palatino Linotype"/>
          <w:b/>
          <w:i/>
        </w:rPr>
        <w:t xml:space="preserve"> pueda</w:t>
      </w:r>
      <w:r w:rsidRPr="00017648">
        <w:rPr>
          <w:rFonts w:ascii="Palatino Linotype" w:hAnsi="Palatino Linotype"/>
          <w:i/>
        </w:rPr>
        <w:t xml:space="preserve"> discutirla, </w:t>
      </w:r>
      <w:r w:rsidRPr="00017648">
        <w:rPr>
          <w:rFonts w:ascii="Palatino Linotype" w:hAnsi="Palatino Linotype"/>
          <w:b/>
          <w:i/>
        </w:rPr>
        <w:t>modificarla, revocarla</w:t>
      </w:r>
      <w:r w:rsidRPr="00017648">
        <w:rPr>
          <w:rFonts w:ascii="Palatino Linotype" w:hAnsi="Palatino Linotype"/>
          <w:i/>
        </w:rPr>
        <w:t xml:space="preserve"> o anularla, salvo los casos expresamente determinados por la ley. </w:t>
      </w:r>
    </w:p>
    <w:p w14:paraId="0EC31E12" w14:textId="77777777" w:rsidR="00C82165" w:rsidRPr="00017648" w:rsidRDefault="00C82165" w:rsidP="00C82165">
      <w:pPr>
        <w:spacing w:after="0"/>
        <w:ind w:left="709" w:right="760"/>
        <w:jc w:val="both"/>
        <w:rPr>
          <w:rFonts w:ascii="Palatino Linotype" w:hAnsi="Palatino Linotype"/>
          <w:b/>
          <w:i/>
        </w:rPr>
      </w:pPr>
      <w:r w:rsidRPr="00017648">
        <w:rPr>
          <w:rFonts w:ascii="Palatino Linotype" w:hAnsi="Palatino Linotype"/>
          <w:b/>
          <w:i/>
        </w:rPr>
        <w:t xml:space="preserve">Elementos de la cosa juzgada </w:t>
      </w:r>
    </w:p>
    <w:p w14:paraId="6E654E2F" w14:textId="77777777" w:rsidR="00C82165" w:rsidRPr="00017648" w:rsidRDefault="00C82165" w:rsidP="00C82165">
      <w:pPr>
        <w:spacing w:after="0"/>
        <w:ind w:left="709" w:right="760"/>
        <w:jc w:val="both"/>
        <w:rPr>
          <w:rFonts w:ascii="Palatino Linotype" w:hAnsi="Palatino Linotype"/>
          <w:b/>
          <w:i/>
        </w:rPr>
      </w:pPr>
    </w:p>
    <w:p w14:paraId="3F756360" w14:textId="77777777" w:rsidR="00C82165" w:rsidRPr="00017648" w:rsidRDefault="00C82165" w:rsidP="00C82165">
      <w:pPr>
        <w:spacing w:after="0"/>
        <w:ind w:left="709" w:right="760"/>
        <w:jc w:val="both"/>
        <w:rPr>
          <w:rFonts w:ascii="Palatino Linotype" w:hAnsi="Palatino Linotype"/>
          <w:i/>
        </w:rPr>
      </w:pPr>
      <w:r w:rsidRPr="00017648">
        <w:rPr>
          <w:rFonts w:ascii="Palatino Linotype" w:hAnsi="Palatino Linotype"/>
          <w:b/>
          <w:i/>
        </w:rPr>
        <w:t>Artículo 1.207.-</w:t>
      </w:r>
      <w:r w:rsidRPr="00017648">
        <w:rPr>
          <w:rFonts w:ascii="Palatino Linotype" w:hAnsi="Palatino Linotype"/>
          <w:i/>
        </w:rPr>
        <w:t xml:space="preserve"> Para que la cosa juzgada surta efecto en otro juicio, es necesario que entre el caso resuelto por la </w:t>
      </w:r>
      <w:r w:rsidRPr="00017648">
        <w:rPr>
          <w:rFonts w:ascii="Palatino Linotype" w:hAnsi="Palatino Linotype" w:cs="Arial"/>
          <w:i/>
        </w:rPr>
        <w:t>sentencia</w:t>
      </w:r>
      <w:r w:rsidRPr="00017648">
        <w:rPr>
          <w:rFonts w:ascii="Palatino Linotype" w:hAnsi="Palatino Linotype"/>
          <w:i/>
        </w:rPr>
        <w:t xml:space="preserve"> y aquel en que sea invocada, concurra identidad en las cosas, las causas, las personas de los litigantes. </w:t>
      </w:r>
    </w:p>
    <w:p w14:paraId="15722EEC" w14:textId="77777777" w:rsidR="00C82165" w:rsidRPr="00017648" w:rsidRDefault="00C82165" w:rsidP="00C82165">
      <w:pPr>
        <w:spacing w:after="0"/>
        <w:ind w:left="709" w:right="760"/>
        <w:jc w:val="both"/>
        <w:rPr>
          <w:rFonts w:ascii="Palatino Linotype" w:hAnsi="Palatino Linotype"/>
          <w:b/>
          <w:i/>
        </w:rPr>
      </w:pPr>
    </w:p>
    <w:p w14:paraId="587ECD6E" w14:textId="77777777" w:rsidR="00C82165" w:rsidRPr="00017648" w:rsidRDefault="00C82165" w:rsidP="00C82165">
      <w:pPr>
        <w:spacing w:after="0"/>
        <w:ind w:left="709" w:right="760"/>
        <w:jc w:val="both"/>
        <w:rPr>
          <w:rFonts w:ascii="Palatino Linotype" w:hAnsi="Palatino Linotype"/>
          <w:b/>
          <w:i/>
        </w:rPr>
      </w:pPr>
      <w:r w:rsidRPr="00017648">
        <w:rPr>
          <w:rFonts w:ascii="Palatino Linotype" w:hAnsi="Palatino Linotype"/>
          <w:b/>
          <w:i/>
        </w:rPr>
        <w:t xml:space="preserve">Identidad de personas en la cosa juzgada </w:t>
      </w:r>
    </w:p>
    <w:p w14:paraId="139BC98F" w14:textId="77777777" w:rsidR="00C82165" w:rsidRPr="00017648" w:rsidRDefault="00C82165" w:rsidP="00C82165">
      <w:pPr>
        <w:spacing w:after="0"/>
        <w:ind w:left="709" w:right="760"/>
        <w:jc w:val="both"/>
        <w:rPr>
          <w:rFonts w:ascii="Palatino Linotype" w:hAnsi="Palatino Linotype"/>
          <w:i/>
        </w:rPr>
      </w:pPr>
      <w:r w:rsidRPr="00017648">
        <w:rPr>
          <w:rFonts w:ascii="Palatino Linotype" w:hAnsi="Palatino Linotype"/>
          <w:b/>
          <w:i/>
        </w:rPr>
        <w:t>Artículo 1.208.-</w:t>
      </w:r>
      <w:r w:rsidRPr="00017648">
        <w:rPr>
          <w:rFonts w:ascii="Palatino Linotype" w:hAnsi="Palatino Linotype"/>
          <w:i/>
        </w:rPr>
        <w:t xml:space="preserve"> Se entiende que hay identidad de personas siempre que los litigantes del segundo juicio, sean </w:t>
      </w:r>
      <w:r w:rsidRPr="00017648">
        <w:rPr>
          <w:rFonts w:ascii="Palatino Linotype" w:hAnsi="Palatino Linotype" w:cs="Arial"/>
          <w:i/>
        </w:rPr>
        <w:t>causahabientes</w:t>
      </w:r>
      <w:r w:rsidRPr="00017648">
        <w:rPr>
          <w:rFonts w:ascii="Palatino Linotype" w:hAnsi="Palatino Linotype"/>
          <w:i/>
        </w:rPr>
        <w:t xml:space="preserve"> de los que contendieron en el anterior o estén unidos a ellos por solidaridad o indivisibilidad de las prestaciones entre los que tienen derecho a exigirlas u obligación de satisfacerlas.”</w:t>
      </w:r>
    </w:p>
    <w:p w14:paraId="5A902932" w14:textId="77777777" w:rsidR="00C82165" w:rsidRPr="00017648" w:rsidRDefault="00C82165" w:rsidP="00C82165">
      <w:pPr>
        <w:spacing w:after="0"/>
        <w:ind w:left="709" w:right="760"/>
        <w:jc w:val="both"/>
        <w:rPr>
          <w:rFonts w:ascii="Palatino Linotype" w:hAnsi="Palatino Linotype"/>
        </w:rPr>
      </w:pPr>
    </w:p>
    <w:p w14:paraId="6789507B" w14:textId="77777777" w:rsidR="00C82165" w:rsidRPr="00017648" w:rsidRDefault="00C82165" w:rsidP="00C82165">
      <w:pPr>
        <w:spacing w:line="276" w:lineRule="auto"/>
        <w:ind w:left="851" w:right="899"/>
        <w:jc w:val="both"/>
        <w:rPr>
          <w:rFonts w:ascii="Palatino Linotype" w:hAnsi="Palatino Linotype"/>
          <w:sz w:val="4"/>
        </w:rPr>
      </w:pPr>
    </w:p>
    <w:p w14:paraId="19E17F6A" w14:textId="59ADE053" w:rsidR="00C82165" w:rsidRPr="00017648" w:rsidRDefault="00C82165" w:rsidP="00C82165">
      <w:pPr>
        <w:spacing w:line="360" w:lineRule="auto"/>
        <w:jc w:val="both"/>
        <w:rPr>
          <w:rFonts w:ascii="Palatino Linotype" w:hAnsi="Palatino Linotype" w:cs="Arial"/>
          <w:sz w:val="24"/>
          <w:szCs w:val="24"/>
        </w:rPr>
      </w:pPr>
      <w:r w:rsidRPr="00017648">
        <w:rPr>
          <w:rFonts w:ascii="Palatino Linotype" w:hAnsi="Palatino Linotype" w:cs="Arial"/>
          <w:sz w:val="24"/>
          <w:szCs w:val="24"/>
        </w:rPr>
        <w:t xml:space="preserve">De lo anterior se establece específicamente que cuando hablamos de </w:t>
      </w:r>
      <w:r w:rsidRPr="00017648">
        <w:rPr>
          <w:rFonts w:ascii="Palatino Linotype" w:hAnsi="Palatino Linotype" w:cs="Arial"/>
          <w:b/>
          <w:sz w:val="24"/>
          <w:szCs w:val="24"/>
        </w:rPr>
        <w:t xml:space="preserve">cosa juzgada, </w:t>
      </w:r>
      <w:r w:rsidRPr="00017648">
        <w:rPr>
          <w:rFonts w:ascii="Palatino Linotype" w:hAnsi="Palatino Linotype" w:cs="Arial"/>
          <w:sz w:val="24"/>
          <w:szCs w:val="24"/>
        </w:rPr>
        <w:t>constriñe a que se</w:t>
      </w:r>
      <w:r w:rsidRPr="00017648">
        <w:rPr>
          <w:rFonts w:ascii="Palatino Linotype" w:hAnsi="Palatino Linotype" w:cs="Arial"/>
          <w:b/>
          <w:sz w:val="24"/>
          <w:szCs w:val="24"/>
        </w:rPr>
        <w:t xml:space="preserve"> </w:t>
      </w:r>
      <w:r w:rsidRPr="00017648">
        <w:rPr>
          <w:rFonts w:ascii="Palatino Linotype" w:hAnsi="Palatino Linotype" w:cs="Arial"/>
          <w:sz w:val="24"/>
          <w:szCs w:val="24"/>
        </w:rPr>
        <w:t xml:space="preserve">trate no sólo del mismo acto, sino también de la misma pretensión y considerando que la causa que dio origen al acto impugnado en los presentes recursos de revisión y en el </w:t>
      </w:r>
      <w:r w:rsidRPr="00017648">
        <w:rPr>
          <w:rFonts w:ascii="Palatino Linotype" w:hAnsi="Palatino Linotype" w:cs="Arial"/>
          <w:b/>
          <w:sz w:val="24"/>
          <w:szCs w:val="24"/>
        </w:rPr>
        <w:t>0</w:t>
      </w:r>
      <w:r w:rsidR="003F2EBF" w:rsidRPr="00017648">
        <w:rPr>
          <w:rFonts w:ascii="Palatino Linotype" w:hAnsi="Palatino Linotype" w:cs="Arial"/>
          <w:b/>
          <w:sz w:val="24"/>
          <w:szCs w:val="24"/>
        </w:rPr>
        <w:t>3065</w:t>
      </w:r>
      <w:r w:rsidRPr="00017648">
        <w:rPr>
          <w:rFonts w:ascii="Palatino Linotype" w:hAnsi="Palatino Linotype" w:cs="Arial"/>
          <w:b/>
          <w:sz w:val="24"/>
          <w:szCs w:val="24"/>
        </w:rPr>
        <w:t>/INFOEM/IP/RR/201</w:t>
      </w:r>
      <w:r w:rsidR="003F2EBF" w:rsidRPr="00017648">
        <w:rPr>
          <w:rFonts w:ascii="Palatino Linotype" w:hAnsi="Palatino Linotype" w:cs="Arial"/>
          <w:b/>
          <w:sz w:val="24"/>
          <w:szCs w:val="24"/>
        </w:rPr>
        <w:t>9</w:t>
      </w:r>
      <w:r w:rsidRPr="00017648">
        <w:rPr>
          <w:rFonts w:ascii="Palatino Linotype" w:hAnsi="Palatino Linotype"/>
          <w:sz w:val="24"/>
          <w:szCs w:val="24"/>
        </w:rPr>
        <w:t>,</w:t>
      </w:r>
      <w:r w:rsidRPr="00017648">
        <w:rPr>
          <w:rFonts w:ascii="Palatino Linotype" w:hAnsi="Palatino Linotype" w:cs="Arial"/>
          <w:sz w:val="24"/>
          <w:szCs w:val="24"/>
        </w:rPr>
        <w:t xml:space="preserve"> radica en la misma materia; brindando certeza jurídica al particular y garantizando de que no se pronuncien resoluciones contradictorias que alteren la estabilidad de la</w:t>
      </w:r>
      <w:r w:rsidRPr="00017648">
        <w:rPr>
          <w:rFonts w:ascii="Palatino Linotype" w:hAnsi="Palatino Linotype" w:cs="Arial"/>
          <w:b/>
          <w:sz w:val="24"/>
          <w:szCs w:val="24"/>
        </w:rPr>
        <w:t xml:space="preserve"> </w:t>
      </w:r>
      <w:r w:rsidRPr="00017648">
        <w:rPr>
          <w:rFonts w:ascii="Palatino Linotype" w:hAnsi="Palatino Linotype" w:cs="Arial"/>
          <w:sz w:val="24"/>
          <w:szCs w:val="24"/>
        </w:rPr>
        <w:t>Recurrente.</w:t>
      </w:r>
    </w:p>
    <w:p w14:paraId="604CEA98" w14:textId="77777777" w:rsidR="00017648" w:rsidRPr="00017648" w:rsidRDefault="00017648" w:rsidP="00C82165">
      <w:pPr>
        <w:spacing w:line="360" w:lineRule="auto"/>
        <w:jc w:val="both"/>
        <w:rPr>
          <w:rFonts w:ascii="Palatino Linotype" w:hAnsi="Palatino Linotype" w:cs="Arial"/>
          <w:sz w:val="6"/>
          <w:szCs w:val="24"/>
        </w:rPr>
      </w:pPr>
    </w:p>
    <w:p w14:paraId="7AE1BB3A" w14:textId="77777777" w:rsidR="00C82165" w:rsidRPr="00017648" w:rsidRDefault="00C82165" w:rsidP="00C82165">
      <w:pPr>
        <w:spacing w:line="360" w:lineRule="auto"/>
        <w:jc w:val="both"/>
        <w:rPr>
          <w:rFonts w:ascii="Palatino Linotype" w:hAnsi="Palatino Linotype"/>
          <w:sz w:val="24"/>
          <w:szCs w:val="24"/>
        </w:rPr>
      </w:pPr>
      <w:r w:rsidRPr="00017648">
        <w:rPr>
          <w:rFonts w:ascii="Palatino Linotype" w:hAnsi="Palatino Linotype" w:cs="Arial"/>
          <w:sz w:val="24"/>
          <w:szCs w:val="24"/>
        </w:rPr>
        <w:t xml:space="preserve">Sirve de sustento a lo anterior, la Tesis Aislada </w:t>
      </w:r>
      <w:r w:rsidRPr="00017648">
        <w:rPr>
          <w:rFonts w:ascii="Palatino Linotype" w:hAnsi="Palatino Linotype"/>
          <w:sz w:val="24"/>
          <w:szCs w:val="24"/>
        </w:rPr>
        <w:t xml:space="preserve">1a. XCV/2016 (10a.) de la Décima Época de la Primera Sala de la suprema corte de Justicia de la Nación, que es del tenor literal siguiente: </w:t>
      </w:r>
    </w:p>
    <w:p w14:paraId="40D8A957" w14:textId="77777777" w:rsidR="00C82165" w:rsidRPr="00017648" w:rsidRDefault="00C82165" w:rsidP="00C82165">
      <w:pPr>
        <w:spacing w:line="360" w:lineRule="auto"/>
        <w:jc w:val="both"/>
        <w:rPr>
          <w:rFonts w:ascii="Palatino Linotype" w:hAnsi="Palatino Linotype" w:cs="Arial"/>
          <w:sz w:val="2"/>
        </w:rPr>
      </w:pPr>
    </w:p>
    <w:p w14:paraId="52E53F74" w14:textId="77777777" w:rsidR="00C82165" w:rsidRPr="00017648" w:rsidRDefault="00C82165" w:rsidP="00C82165">
      <w:pPr>
        <w:ind w:left="851" w:right="899"/>
        <w:jc w:val="both"/>
        <w:rPr>
          <w:rFonts w:ascii="Palatino Linotype" w:hAnsi="Palatino Linotype"/>
          <w:i/>
        </w:rPr>
      </w:pPr>
      <w:r w:rsidRPr="00017648">
        <w:rPr>
          <w:rFonts w:ascii="Palatino Linotype" w:hAnsi="Palatino Linotype"/>
          <w:i/>
        </w:rPr>
        <w:lastRenderedPageBreak/>
        <w:t>“</w:t>
      </w:r>
      <w:r w:rsidRPr="00017648">
        <w:rPr>
          <w:rFonts w:ascii="Palatino Linotype" w:hAnsi="Palatino Linotype"/>
          <w:b/>
          <w:i/>
        </w:rPr>
        <w:t xml:space="preserve">COSA JUZGADA. EL ARTÍCULO 61, FRACCIÓN XI, DE LA LEY DE AMPARO QUE LA PREVÉ COMO CAUSA DE IMPROCEDENCIA DEL JUICIO RELATIVO, ES COMPATIBLE CON EL DERECHO A LA SEGURIDAD JURÍDICA. </w:t>
      </w:r>
      <w:r w:rsidRPr="00017648">
        <w:rPr>
          <w:rFonts w:ascii="Palatino Linotype" w:hAnsi="Palatino Linotype"/>
          <w:i/>
        </w:rPr>
        <w:t xml:space="preserve">Conforme al precepto y porción normativa señalados, </w:t>
      </w:r>
      <w:r w:rsidRPr="00017648">
        <w:rPr>
          <w:rFonts w:ascii="Palatino Linotype" w:hAnsi="Palatino Linotype"/>
          <w:b/>
          <w:i/>
          <w:u w:val="single"/>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017648">
        <w:rPr>
          <w:rFonts w:ascii="Palatino Linotype" w:hAnsi="Palatino Linotype"/>
          <w:b/>
          <w:i/>
        </w:rPr>
        <w:t>,</w:t>
      </w:r>
      <w:r w:rsidRPr="00017648">
        <w:rPr>
          <w:rFonts w:ascii="Palatino Linotype" w:hAnsi="Palatino Linotype"/>
          <w:i/>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017648">
        <w:rPr>
          <w:rFonts w:ascii="Palatino Linotype" w:hAnsi="Palatino Linotype"/>
          <w:i/>
        </w:rPr>
        <w:t>inatacabilidad</w:t>
      </w:r>
      <w:proofErr w:type="spellEnd"/>
      <w:r w:rsidRPr="00017648">
        <w:rPr>
          <w:rFonts w:ascii="Palatino Linotype" w:hAnsi="Palatino Linotype"/>
          <w:i/>
        </w:rPr>
        <w:t xml:space="preserve"> a través de un diverso juicio constitucional, siempre que tal determinación se haya realizado en atención a razones o circunstancias que hagan </w:t>
      </w:r>
      <w:proofErr w:type="spellStart"/>
      <w:r w:rsidRPr="00017648">
        <w:rPr>
          <w:rFonts w:ascii="Palatino Linotype" w:hAnsi="Palatino Linotype"/>
          <w:i/>
        </w:rPr>
        <w:t>inejercitable</w:t>
      </w:r>
      <w:proofErr w:type="spellEnd"/>
      <w:r w:rsidRPr="00017648">
        <w:rPr>
          <w:rFonts w:ascii="Palatino Linotype" w:hAnsi="Palatino Linotype"/>
          <w:i/>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 (Sic)</w:t>
      </w:r>
    </w:p>
    <w:p w14:paraId="3FC01E9B" w14:textId="77777777" w:rsidR="00C82165" w:rsidRPr="00017648" w:rsidRDefault="00C82165" w:rsidP="00C82165">
      <w:pPr>
        <w:ind w:left="851" w:right="899"/>
        <w:jc w:val="both"/>
        <w:rPr>
          <w:rFonts w:ascii="Palatino Linotype" w:hAnsi="Palatino Linotype"/>
          <w:i/>
          <w:sz w:val="14"/>
        </w:rPr>
      </w:pPr>
    </w:p>
    <w:p w14:paraId="4862F580" w14:textId="77777777" w:rsidR="00C82165" w:rsidRPr="00017648" w:rsidRDefault="00C82165" w:rsidP="00C82165">
      <w:pPr>
        <w:spacing w:line="360" w:lineRule="auto"/>
        <w:jc w:val="both"/>
        <w:rPr>
          <w:rFonts w:ascii="Palatino Linotype" w:hAnsi="Palatino Linotype" w:cs="Arial"/>
          <w:sz w:val="24"/>
          <w:szCs w:val="24"/>
        </w:rPr>
      </w:pPr>
      <w:r w:rsidRPr="00017648">
        <w:rPr>
          <w:rFonts w:ascii="Palatino Linotype" w:hAnsi="Palatino Linotype" w:cs="Arial"/>
          <w:sz w:val="24"/>
          <w:szCs w:val="24"/>
        </w:rPr>
        <w:t xml:space="preserve">Siendo suficiente lo anterior, para denotar que se está en imposibilidad de realizar el análisis de las cuestiones de fondo que fueron planteadas por la Recurrente, por lo que un segundo fallo carecería de eficacia jurídica, con la posibilidad además de incurrir en contradicción de resoluciones, por ello </w:t>
      </w:r>
      <w:r w:rsidRPr="00017648">
        <w:rPr>
          <w:rFonts w:ascii="Palatino Linotype" w:hAnsi="Palatino Linotype" w:cs="Arial"/>
          <w:sz w:val="24"/>
          <w:szCs w:val="24"/>
          <w:lang w:eastAsia="es-CO"/>
        </w:rPr>
        <w:t xml:space="preserve">con la finalidad de </w:t>
      </w:r>
      <w:r w:rsidRPr="00017648">
        <w:rPr>
          <w:rFonts w:ascii="Palatino Linotype" w:hAnsi="Palatino Linotype" w:cs="Arial"/>
          <w:sz w:val="24"/>
          <w:szCs w:val="24"/>
        </w:rPr>
        <w:t xml:space="preserve">evitar la </w:t>
      </w:r>
      <w:r w:rsidRPr="00017648">
        <w:rPr>
          <w:rFonts w:ascii="Palatino Linotype" w:hAnsi="Palatino Linotype" w:cs="Arial"/>
          <w:bCs/>
          <w:sz w:val="24"/>
          <w:szCs w:val="24"/>
        </w:rPr>
        <w:t>duplicidad de resoluciones sobre un mismo tema se estima procedente omitir el estudio de fondo,</w:t>
      </w:r>
      <w:r w:rsidRPr="00017648">
        <w:rPr>
          <w:rFonts w:ascii="Palatino Linotype" w:hAnsi="Palatino Linotype" w:cs="Arial"/>
          <w:sz w:val="24"/>
          <w:szCs w:val="24"/>
          <w:lang w:eastAsia="es-CO"/>
        </w:rPr>
        <w:t xml:space="preserve"> </w:t>
      </w:r>
      <w:r w:rsidRPr="00017648">
        <w:rPr>
          <w:rFonts w:ascii="Palatino Linotype" w:hAnsi="Palatino Linotype" w:cs="Arial"/>
          <w:sz w:val="24"/>
          <w:szCs w:val="24"/>
        </w:rPr>
        <w:t>puesto que ya hubo pronunciamiento de este Pleno al respecto; máxime que la misma controversia no puede ser decidida más de una vez.</w:t>
      </w:r>
    </w:p>
    <w:p w14:paraId="17711D7F" w14:textId="77777777" w:rsidR="00C82165" w:rsidRPr="00017648" w:rsidRDefault="00C82165" w:rsidP="00C82165">
      <w:pPr>
        <w:spacing w:line="360" w:lineRule="auto"/>
        <w:jc w:val="both"/>
        <w:rPr>
          <w:rFonts w:ascii="Palatino Linotype" w:eastAsia="Times New Roman" w:hAnsi="Palatino Linotype" w:cs="Times New Roman"/>
          <w:sz w:val="4"/>
          <w:szCs w:val="24"/>
          <w:lang w:eastAsia="es-MX"/>
        </w:rPr>
      </w:pPr>
    </w:p>
    <w:p w14:paraId="5394661A" w14:textId="7DB3AD84" w:rsidR="00C82165" w:rsidRPr="00017648" w:rsidRDefault="00C82165" w:rsidP="00C82165">
      <w:pPr>
        <w:pStyle w:val="Sinespaciado"/>
        <w:spacing w:line="360" w:lineRule="auto"/>
        <w:jc w:val="both"/>
        <w:rPr>
          <w:rFonts w:ascii="Palatino Linotype" w:hAnsi="Palatino Linotype"/>
        </w:rPr>
      </w:pPr>
      <w:r w:rsidRPr="00017648">
        <w:rPr>
          <w:rFonts w:ascii="Palatino Linotype" w:hAnsi="Palatino Linotype"/>
        </w:rPr>
        <w:lastRenderedPageBreak/>
        <w:t xml:space="preserve">Acorde al estudio realizado se determinó que la información solicitada ya había sido requerida anteriormente, no obstante al determinarse mediante resolución, lo conducente y al darse cumplimiento, se considera innecesario analizar </w:t>
      </w:r>
      <w:r w:rsidR="003F2EBF" w:rsidRPr="00017648">
        <w:rPr>
          <w:rFonts w:ascii="Palatino Linotype" w:hAnsi="Palatino Linotype"/>
        </w:rPr>
        <w:t>y estudiar los casos nuevamente.</w:t>
      </w:r>
    </w:p>
    <w:p w14:paraId="1CE39E06" w14:textId="77777777" w:rsidR="003F2EBF" w:rsidRPr="00017648" w:rsidRDefault="003F2EBF" w:rsidP="00C82165">
      <w:pPr>
        <w:pStyle w:val="Sinespaciado"/>
        <w:spacing w:line="360" w:lineRule="auto"/>
        <w:jc w:val="both"/>
        <w:rPr>
          <w:rFonts w:ascii="Palatino Linotype" w:hAnsi="Palatino Linotype"/>
          <w:sz w:val="20"/>
        </w:rPr>
      </w:pPr>
    </w:p>
    <w:p w14:paraId="28F40D26" w14:textId="77777777" w:rsidR="00C82165" w:rsidRDefault="00C82165" w:rsidP="00C82165">
      <w:pPr>
        <w:spacing w:after="0" w:line="360" w:lineRule="auto"/>
        <w:contextualSpacing/>
        <w:jc w:val="both"/>
        <w:rPr>
          <w:rFonts w:ascii="Palatino Linotype" w:hAnsi="Palatino Linotype" w:cs="Arial"/>
          <w:sz w:val="24"/>
          <w:szCs w:val="24"/>
          <w:lang w:val="es-ES_tradnl"/>
        </w:rPr>
      </w:pPr>
      <w:r w:rsidRPr="00017648">
        <w:rPr>
          <w:rFonts w:ascii="Palatino Linotype" w:hAnsi="Palatino Linotype"/>
          <w:sz w:val="24"/>
          <w:szCs w:val="24"/>
        </w:rPr>
        <w:t xml:space="preserve">En consecuencia, se </w:t>
      </w:r>
      <w:r w:rsidRPr="00017648">
        <w:rPr>
          <w:rFonts w:ascii="Palatino Linotype" w:hAnsi="Palatino Linotype" w:cs="Arial"/>
          <w:sz w:val="24"/>
          <w:szCs w:val="24"/>
          <w:lang w:val="es-ES_tradnl"/>
        </w:rPr>
        <w:t xml:space="preserve">determina </w:t>
      </w:r>
      <w:r w:rsidRPr="00017648">
        <w:rPr>
          <w:rFonts w:ascii="Palatino Linotype" w:hAnsi="Palatino Linotype" w:cs="Arial"/>
          <w:b/>
          <w:sz w:val="24"/>
          <w:szCs w:val="24"/>
          <w:lang w:val="es-ES_tradnl"/>
        </w:rPr>
        <w:t>SOBRESEER</w:t>
      </w:r>
      <w:r w:rsidRPr="00017648">
        <w:rPr>
          <w:rFonts w:ascii="Palatino Linotype" w:hAnsi="Palatino Linotype" w:cs="Arial"/>
          <w:sz w:val="24"/>
          <w:szCs w:val="24"/>
          <w:lang w:val="es-ES_tradnl"/>
        </w:rPr>
        <w:t xml:space="preserve"> por quedarse sin materia los presentes recursos de revisión en virtud de que al haber determinado que la información ya había sido solicitada y puesto que ya se dio cumplimiento a las resoluciones que determinaron su entrega es aplicable lo siguiente:</w:t>
      </w:r>
    </w:p>
    <w:p w14:paraId="22552468" w14:textId="77777777" w:rsidR="00017648" w:rsidRPr="00017648" w:rsidRDefault="00017648" w:rsidP="00C82165">
      <w:pPr>
        <w:spacing w:after="0" w:line="360" w:lineRule="auto"/>
        <w:contextualSpacing/>
        <w:jc w:val="both"/>
        <w:rPr>
          <w:rFonts w:ascii="Palatino Linotype" w:hAnsi="Palatino Linotype" w:cs="Arial"/>
          <w:sz w:val="16"/>
          <w:szCs w:val="24"/>
          <w:lang w:val="es-ES_tradnl"/>
        </w:rPr>
      </w:pPr>
    </w:p>
    <w:p w14:paraId="35A922DA" w14:textId="77777777" w:rsidR="00C82165" w:rsidRPr="00017648" w:rsidRDefault="00C82165" w:rsidP="00C82165">
      <w:pPr>
        <w:spacing w:before="120" w:after="120"/>
        <w:ind w:left="709" w:right="709"/>
        <w:jc w:val="both"/>
        <w:rPr>
          <w:rFonts w:ascii="Palatino Linotype" w:hAnsi="Palatino Linotype" w:cs="Arial"/>
          <w:i/>
        </w:rPr>
      </w:pPr>
      <w:r w:rsidRPr="00017648">
        <w:rPr>
          <w:rFonts w:ascii="Palatino Linotype" w:hAnsi="Palatino Linotype" w:cs="Arial"/>
          <w:i/>
        </w:rPr>
        <w:t>“</w:t>
      </w:r>
      <w:r w:rsidRPr="00017648">
        <w:rPr>
          <w:rFonts w:ascii="Palatino Linotype" w:hAnsi="Palatino Linotype" w:cs="Arial"/>
          <w:b/>
          <w:i/>
        </w:rPr>
        <w:t>Artículo 139. El recurso de revisión sólo podrá ser sobreseído cuando:</w:t>
      </w:r>
    </w:p>
    <w:p w14:paraId="34AAD9F1" w14:textId="77777777" w:rsidR="00C82165" w:rsidRPr="00017648" w:rsidRDefault="00C82165" w:rsidP="00C82165">
      <w:pPr>
        <w:pStyle w:val="Prrafodelista"/>
        <w:spacing w:before="120" w:after="120"/>
        <w:ind w:left="993" w:right="709"/>
        <w:jc w:val="both"/>
        <w:rPr>
          <w:rFonts w:ascii="Palatino Linotype" w:hAnsi="Palatino Linotype" w:cs="Arial"/>
          <w:i/>
        </w:rPr>
      </w:pPr>
      <w:r w:rsidRPr="00017648">
        <w:rPr>
          <w:rFonts w:ascii="Palatino Linotype" w:hAnsi="Palatino Linotype" w:cs="Arial"/>
          <w:i/>
        </w:rPr>
        <w:t>…</w:t>
      </w:r>
    </w:p>
    <w:p w14:paraId="1977B6BD" w14:textId="77777777" w:rsidR="00C82165" w:rsidRPr="00017648" w:rsidRDefault="00C82165" w:rsidP="00C82165">
      <w:pPr>
        <w:pStyle w:val="Prrafodelista"/>
        <w:spacing w:before="120" w:after="120"/>
        <w:ind w:left="993" w:right="709"/>
        <w:jc w:val="both"/>
        <w:rPr>
          <w:rFonts w:ascii="Palatino Linotype" w:hAnsi="Palatino Linotype" w:cs="Arial"/>
          <w:i/>
        </w:rPr>
      </w:pPr>
      <w:r w:rsidRPr="00017648">
        <w:rPr>
          <w:rFonts w:ascii="Palatino Linotype" w:hAnsi="Palatino Linotype" w:cs="Arial"/>
          <w:i/>
        </w:rPr>
        <w:t xml:space="preserve">V. Quede sin materia el recurso de revisión. …” </w:t>
      </w:r>
    </w:p>
    <w:p w14:paraId="20AA2F61" w14:textId="77777777" w:rsidR="00C82165" w:rsidRDefault="00C82165" w:rsidP="00C82165">
      <w:pPr>
        <w:pStyle w:val="Prrafodelista"/>
        <w:spacing w:before="120" w:after="120"/>
        <w:ind w:left="1489" w:right="709"/>
        <w:jc w:val="both"/>
        <w:rPr>
          <w:rFonts w:ascii="Palatino Linotype" w:hAnsi="Palatino Linotype" w:cs="Arial"/>
          <w:i/>
        </w:rPr>
      </w:pPr>
    </w:p>
    <w:p w14:paraId="376263C7" w14:textId="77777777" w:rsidR="00017648" w:rsidRPr="00017648" w:rsidRDefault="00017648" w:rsidP="00C82165">
      <w:pPr>
        <w:pStyle w:val="Prrafodelista"/>
        <w:spacing w:before="120" w:after="120"/>
        <w:ind w:left="1489" w:right="709"/>
        <w:jc w:val="both"/>
        <w:rPr>
          <w:rFonts w:ascii="Palatino Linotype" w:hAnsi="Palatino Linotype" w:cs="Arial"/>
          <w:i/>
          <w:sz w:val="10"/>
        </w:rPr>
      </w:pPr>
    </w:p>
    <w:p w14:paraId="3BE850FD" w14:textId="77777777" w:rsidR="00C82165" w:rsidRPr="00017648" w:rsidRDefault="00C82165" w:rsidP="00C82165">
      <w:pPr>
        <w:spacing w:after="0" w:line="360" w:lineRule="auto"/>
        <w:jc w:val="both"/>
        <w:rPr>
          <w:rFonts w:ascii="Palatino Linotype" w:hAnsi="Palatino Linotype" w:cs="Arial"/>
          <w:sz w:val="24"/>
          <w:szCs w:val="24"/>
          <w:lang w:eastAsia="es-MX"/>
        </w:rPr>
      </w:pPr>
      <w:r w:rsidRPr="00017648">
        <w:rPr>
          <w:rFonts w:ascii="Palatino Linotype" w:hAnsi="Palatino Linotype" w:cs="Arial"/>
          <w:sz w:val="24"/>
          <w:szCs w:val="24"/>
          <w:lang w:eastAsia="es-MX"/>
        </w:rPr>
        <w:t>Así, con fundamento en lo prescrito en los artículos 36 fracciones II y III, 186 fracciones I y 192 fracción V de la Ley de Transparencia y Acceso a la Información Pública del Estado de México y Municipios este Pleno:</w:t>
      </w:r>
    </w:p>
    <w:p w14:paraId="5A77CEF4" w14:textId="77777777" w:rsidR="00C82165" w:rsidRDefault="00C82165" w:rsidP="00C82165">
      <w:pPr>
        <w:spacing w:after="0" w:line="360" w:lineRule="auto"/>
        <w:jc w:val="both"/>
        <w:rPr>
          <w:rFonts w:ascii="Palatino Linotype" w:hAnsi="Palatino Linotype"/>
          <w:sz w:val="18"/>
          <w:szCs w:val="24"/>
        </w:rPr>
      </w:pPr>
    </w:p>
    <w:p w14:paraId="414B46B3" w14:textId="77777777" w:rsidR="00C82165" w:rsidRPr="00017648" w:rsidRDefault="00C82165" w:rsidP="00C82165">
      <w:pPr>
        <w:spacing w:after="0" w:line="360" w:lineRule="auto"/>
        <w:jc w:val="center"/>
        <w:rPr>
          <w:rFonts w:ascii="Palatino Linotype" w:eastAsia="Times New Roman" w:hAnsi="Palatino Linotype"/>
          <w:b/>
          <w:bCs/>
          <w:spacing w:val="60"/>
          <w:sz w:val="28"/>
          <w:szCs w:val="28"/>
          <w:lang w:val="es-ES_tradnl"/>
        </w:rPr>
      </w:pPr>
      <w:r w:rsidRPr="00017648">
        <w:rPr>
          <w:rFonts w:ascii="Palatino Linotype" w:eastAsia="Times New Roman" w:hAnsi="Palatino Linotype"/>
          <w:b/>
          <w:bCs/>
          <w:spacing w:val="60"/>
          <w:sz w:val="28"/>
          <w:szCs w:val="28"/>
          <w:lang w:val="es-ES_tradnl"/>
        </w:rPr>
        <w:t xml:space="preserve">   RESUELVE</w:t>
      </w:r>
    </w:p>
    <w:p w14:paraId="7FE4159E" w14:textId="77777777" w:rsidR="00C82165" w:rsidRPr="00017648" w:rsidRDefault="00C82165" w:rsidP="00C82165">
      <w:pPr>
        <w:autoSpaceDE w:val="0"/>
        <w:autoSpaceDN w:val="0"/>
        <w:adjustRightInd w:val="0"/>
        <w:spacing w:after="0" w:line="360" w:lineRule="auto"/>
        <w:ind w:right="49"/>
        <w:jc w:val="both"/>
        <w:rPr>
          <w:rFonts w:ascii="Palatino Linotype" w:hAnsi="Palatino Linotype" w:cs="Arial"/>
          <w:b/>
          <w:sz w:val="24"/>
          <w:szCs w:val="24"/>
          <w:lang w:val="es-ES_tradnl"/>
        </w:rPr>
      </w:pPr>
    </w:p>
    <w:p w14:paraId="1A8B3B13" w14:textId="1102C3C9" w:rsidR="00E12E3A" w:rsidRPr="00017648" w:rsidRDefault="00C82165" w:rsidP="00E12E3A">
      <w:pPr>
        <w:spacing w:after="0" w:line="360" w:lineRule="auto"/>
        <w:jc w:val="both"/>
        <w:rPr>
          <w:rFonts w:ascii="Palatino Linotype" w:hAnsi="Palatino Linotype"/>
          <w:noProof/>
          <w:sz w:val="24"/>
          <w:szCs w:val="24"/>
          <w:lang w:eastAsia="es-MX"/>
        </w:rPr>
      </w:pPr>
      <w:r w:rsidRPr="00017648">
        <w:rPr>
          <w:rFonts w:ascii="Palatino Linotype" w:hAnsi="Palatino Linotype"/>
          <w:b/>
          <w:noProof/>
          <w:sz w:val="28"/>
          <w:szCs w:val="28"/>
          <w:lang w:eastAsia="es-MX"/>
        </w:rPr>
        <w:t>PRIMERO</w:t>
      </w:r>
      <w:r w:rsidRPr="00017648">
        <w:rPr>
          <w:rFonts w:ascii="Palatino Linotype" w:hAnsi="Palatino Linotype"/>
          <w:noProof/>
          <w:sz w:val="24"/>
          <w:szCs w:val="24"/>
          <w:lang w:eastAsia="es-MX"/>
        </w:rPr>
        <w:t xml:space="preserve">. </w:t>
      </w:r>
      <w:r w:rsidR="00E12E3A" w:rsidRPr="00017648">
        <w:rPr>
          <w:rFonts w:ascii="Palatino Linotype" w:hAnsi="Palatino Linotype"/>
          <w:noProof/>
          <w:sz w:val="24"/>
          <w:szCs w:val="24"/>
          <w:lang w:eastAsia="es-MX"/>
        </w:rPr>
        <w:t xml:space="preserve">Se </w:t>
      </w:r>
      <w:r w:rsidR="00E12E3A" w:rsidRPr="00017648">
        <w:rPr>
          <w:rFonts w:ascii="Palatino Linotype" w:hAnsi="Palatino Linotype"/>
          <w:b/>
          <w:noProof/>
          <w:sz w:val="24"/>
          <w:szCs w:val="24"/>
          <w:lang w:eastAsia="es-MX"/>
        </w:rPr>
        <w:t>SOBRESEE</w:t>
      </w:r>
      <w:r w:rsidR="00E12E3A" w:rsidRPr="00017648">
        <w:rPr>
          <w:rFonts w:ascii="Palatino Linotype" w:hAnsi="Palatino Linotype"/>
          <w:noProof/>
          <w:sz w:val="24"/>
          <w:szCs w:val="24"/>
          <w:lang w:eastAsia="es-MX"/>
        </w:rPr>
        <w:t xml:space="preserve"> el recurso de revisión número </w:t>
      </w:r>
      <w:r w:rsidR="00E12E3A" w:rsidRPr="00017648">
        <w:rPr>
          <w:rFonts w:ascii="Palatino Linotype" w:hAnsi="Palatino Linotype"/>
          <w:b/>
          <w:noProof/>
          <w:sz w:val="24"/>
          <w:szCs w:val="24"/>
          <w:lang w:eastAsia="es-MX"/>
        </w:rPr>
        <w:t>03065/INFOEM/IP/RR/2019,</w:t>
      </w:r>
      <w:r w:rsidR="00E12E3A" w:rsidRPr="00017648">
        <w:rPr>
          <w:rFonts w:ascii="Palatino Linotype" w:hAnsi="Palatino Linotype"/>
          <w:noProof/>
          <w:sz w:val="24"/>
          <w:szCs w:val="24"/>
          <w:lang w:eastAsia="es-MX"/>
        </w:rPr>
        <w:t xml:space="preserve"> por quedarse sin materia en términos del Considerando tercero de la presente resolución.</w:t>
      </w:r>
    </w:p>
    <w:p w14:paraId="6C1E515F" w14:textId="7114AF2A" w:rsidR="00C82165" w:rsidRPr="00017648" w:rsidRDefault="00C82165" w:rsidP="00C82165">
      <w:pPr>
        <w:pStyle w:val="Sinespaciado"/>
        <w:spacing w:line="360" w:lineRule="auto"/>
        <w:jc w:val="both"/>
        <w:rPr>
          <w:rFonts w:ascii="Palatino Linotype" w:hAnsi="Palatino Linotype"/>
        </w:rPr>
      </w:pPr>
    </w:p>
    <w:p w14:paraId="30BB43D2" w14:textId="77777777" w:rsidR="00C82165" w:rsidRPr="00017648" w:rsidRDefault="00C82165" w:rsidP="00C82165">
      <w:pPr>
        <w:spacing w:after="0" w:line="360" w:lineRule="auto"/>
        <w:jc w:val="both"/>
        <w:rPr>
          <w:rFonts w:ascii="Palatino Linotype" w:hAnsi="Palatino Linotype" w:cs="Arial"/>
          <w:sz w:val="24"/>
          <w:szCs w:val="24"/>
        </w:rPr>
      </w:pPr>
      <w:r w:rsidRPr="00017648">
        <w:rPr>
          <w:rFonts w:ascii="Palatino Linotype" w:hAnsi="Palatino Linotype" w:cs="Arial"/>
          <w:b/>
          <w:sz w:val="28"/>
          <w:szCs w:val="28"/>
        </w:rPr>
        <w:lastRenderedPageBreak/>
        <w:t>SEGUNDO.</w:t>
      </w:r>
      <w:r w:rsidRPr="00017648">
        <w:rPr>
          <w:rFonts w:ascii="Palatino Linotype" w:hAnsi="Palatino Linotype" w:cs="Arial"/>
          <w:b/>
          <w:sz w:val="24"/>
          <w:szCs w:val="24"/>
        </w:rPr>
        <w:t xml:space="preserve"> </w:t>
      </w:r>
      <w:r w:rsidRPr="00017648">
        <w:rPr>
          <w:rFonts w:ascii="Palatino Linotype" w:hAnsi="Palatino Linotype"/>
          <w:noProof/>
          <w:sz w:val="24"/>
          <w:szCs w:val="24"/>
          <w:lang w:eastAsia="es-MX"/>
        </w:rPr>
        <w:t xml:space="preserve">Notifiquese la presente resolución </w:t>
      </w:r>
      <w:r w:rsidRPr="00017648">
        <w:rPr>
          <w:rFonts w:ascii="Palatino Linotype" w:hAnsi="Palatino Linotype" w:cs="Arial"/>
          <w:sz w:val="24"/>
          <w:szCs w:val="24"/>
        </w:rPr>
        <w:t>al Titular de la Unidad de Transparencia del</w:t>
      </w:r>
      <w:r w:rsidRPr="00017648">
        <w:rPr>
          <w:rFonts w:ascii="Palatino Linotype" w:hAnsi="Palatino Linotype" w:cs="Arial"/>
          <w:b/>
          <w:sz w:val="24"/>
          <w:szCs w:val="24"/>
        </w:rPr>
        <w:t xml:space="preserve"> </w:t>
      </w:r>
      <w:r w:rsidRPr="00017648">
        <w:rPr>
          <w:rFonts w:ascii="Palatino Linotype" w:hAnsi="Palatino Linotype" w:cs="Arial"/>
          <w:sz w:val="24"/>
          <w:szCs w:val="24"/>
        </w:rPr>
        <w:t>Sujeto Obligado, vía SAIMEX.</w:t>
      </w:r>
    </w:p>
    <w:p w14:paraId="1B258BFC" w14:textId="77777777" w:rsidR="00C82165" w:rsidRPr="00017648" w:rsidRDefault="00C82165" w:rsidP="00C82165">
      <w:pPr>
        <w:autoSpaceDE w:val="0"/>
        <w:autoSpaceDN w:val="0"/>
        <w:adjustRightInd w:val="0"/>
        <w:spacing w:after="0" w:line="360" w:lineRule="auto"/>
        <w:jc w:val="both"/>
        <w:rPr>
          <w:rFonts w:ascii="Palatino Linotype" w:hAnsi="Palatino Linotype" w:cs="Arial"/>
          <w:b/>
          <w:sz w:val="24"/>
          <w:szCs w:val="24"/>
        </w:rPr>
      </w:pPr>
    </w:p>
    <w:p w14:paraId="0A77FAF9" w14:textId="77777777" w:rsidR="00C82165" w:rsidRPr="00017648" w:rsidRDefault="00C82165" w:rsidP="00C82165">
      <w:pPr>
        <w:autoSpaceDE w:val="0"/>
        <w:autoSpaceDN w:val="0"/>
        <w:adjustRightInd w:val="0"/>
        <w:spacing w:after="0" w:line="360" w:lineRule="auto"/>
        <w:jc w:val="both"/>
        <w:rPr>
          <w:rFonts w:ascii="Palatino Linotype" w:hAnsi="Palatino Linotype" w:cs="Arial"/>
          <w:sz w:val="24"/>
          <w:szCs w:val="24"/>
        </w:rPr>
      </w:pPr>
      <w:r w:rsidRPr="00017648">
        <w:rPr>
          <w:rFonts w:ascii="Palatino Linotype" w:hAnsi="Palatino Linotype" w:cs="Arial"/>
          <w:b/>
          <w:sz w:val="28"/>
          <w:szCs w:val="28"/>
        </w:rPr>
        <w:t>TERCERO</w:t>
      </w:r>
      <w:r w:rsidRPr="00017648">
        <w:rPr>
          <w:rFonts w:ascii="Palatino Linotype" w:hAnsi="Palatino Linotype" w:cs="Arial"/>
          <w:b/>
          <w:sz w:val="24"/>
          <w:szCs w:val="24"/>
        </w:rPr>
        <w:t xml:space="preserve">. </w:t>
      </w:r>
      <w:r w:rsidRPr="00017648">
        <w:rPr>
          <w:rFonts w:ascii="Palatino Linotype" w:hAnsi="Palatino Linotype"/>
          <w:noProof/>
          <w:sz w:val="24"/>
          <w:szCs w:val="24"/>
          <w:lang w:eastAsia="es-MX"/>
        </w:rPr>
        <w:t xml:space="preserve">Notifiquese la presente resolución </w:t>
      </w:r>
      <w:r w:rsidRPr="00017648">
        <w:rPr>
          <w:rFonts w:ascii="Palatino Linotype" w:hAnsi="Palatino Linotype" w:cs="Arial"/>
          <w:sz w:val="24"/>
          <w:szCs w:val="24"/>
        </w:rPr>
        <w:t>al Recurrente vía SAIMEX y hágase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7E3CD51" w14:textId="77777777" w:rsidR="00C82165" w:rsidRPr="00017648" w:rsidRDefault="00C82165" w:rsidP="00C82165">
      <w:pPr>
        <w:autoSpaceDE w:val="0"/>
        <w:autoSpaceDN w:val="0"/>
        <w:adjustRightInd w:val="0"/>
        <w:spacing w:after="0" w:line="360" w:lineRule="auto"/>
        <w:ind w:left="709" w:hanging="709"/>
        <w:jc w:val="both"/>
        <w:rPr>
          <w:rFonts w:ascii="Palatino Linotype" w:hAnsi="Palatino Linotype" w:cs="Arial"/>
          <w:sz w:val="24"/>
          <w:szCs w:val="24"/>
        </w:rPr>
      </w:pPr>
    </w:p>
    <w:p w14:paraId="3948725F" w14:textId="137ADEBB" w:rsidR="00C82165" w:rsidRPr="00017648" w:rsidRDefault="00C82165" w:rsidP="00C82165">
      <w:pPr>
        <w:spacing w:after="0" w:line="360" w:lineRule="auto"/>
        <w:jc w:val="both"/>
        <w:rPr>
          <w:rFonts w:ascii="Palatino Linotype" w:hAnsi="Palatino Linotype" w:cs="Arial"/>
          <w:sz w:val="24"/>
          <w:szCs w:val="24"/>
        </w:rPr>
      </w:pPr>
      <w:r w:rsidRPr="00017648">
        <w:rPr>
          <w:rFonts w:ascii="Palatino Linotype" w:hAnsi="Palatino Linotype" w:cs="Arial"/>
          <w:sz w:val="24"/>
          <w:szCs w:val="24"/>
        </w:rPr>
        <w:t xml:space="preserve">ASÍ LO RESUELVE, POR </w:t>
      </w:r>
      <w:r w:rsidR="00F90E4D">
        <w:rPr>
          <w:rFonts w:ascii="Palatino Linotype" w:hAnsi="Palatino Linotype" w:cs="Arial"/>
          <w:sz w:val="24"/>
          <w:szCs w:val="24"/>
        </w:rPr>
        <w:t>MAYORÍA</w:t>
      </w:r>
      <w:r w:rsidRPr="00017648">
        <w:rPr>
          <w:rFonts w:ascii="Palatino Linotype" w:hAnsi="Palatino Linotype" w:cs="Arial"/>
          <w:sz w:val="24"/>
          <w:szCs w:val="24"/>
        </w:rPr>
        <w:t xml:space="preserve"> DE VOTOS EL PLENO DEL</w:t>
      </w:r>
      <w:r w:rsidRPr="0001764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7648">
        <w:rPr>
          <w:rFonts w:ascii="Palatino Linotype" w:hAnsi="Palatino Linotype" w:cs="Arial"/>
          <w:sz w:val="24"/>
          <w:szCs w:val="24"/>
        </w:rPr>
        <w:t>, CONFORMADO POR LOS COMISIONADOS ZULEMA MARTÍNEZ SÁNCHEZ, EVA ABAID YAPUR, JOSÉ GUADALUPE L</w:t>
      </w:r>
      <w:r w:rsidR="00017648">
        <w:rPr>
          <w:rFonts w:ascii="Palatino Linotype" w:hAnsi="Palatino Linotype" w:cs="Arial"/>
          <w:sz w:val="24"/>
          <w:szCs w:val="24"/>
        </w:rPr>
        <w:t xml:space="preserve">UNA HERNÁNDEZ, </w:t>
      </w:r>
      <w:r w:rsidRPr="00017648">
        <w:rPr>
          <w:rFonts w:ascii="Palatino Linotype" w:hAnsi="Palatino Linotype" w:cs="Arial"/>
          <w:sz w:val="24"/>
          <w:szCs w:val="24"/>
        </w:rPr>
        <w:t>JAVIER MARTÍNEZ CRUZ Y LUIS GUSTAVO PARRA NORIEGA</w:t>
      </w:r>
      <w:r w:rsidR="00017648">
        <w:rPr>
          <w:rFonts w:ascii="Palatino Linotype" w:hAnsi="Palatino Linotype" w:cs="Arial"/>
          <w:sz w:val="24"/>
          <w:szCs w:val="24"/>
        </w:rPr>
        <w:t>,</w:t>
      </w:r>
      <w:r w:rsidR="00017648" w:rsidRPr="00017648">
        <w:rPr>
          <w:rFonts w:ascii="Palatino Linotype" w:hAnsi="Palatino Linotype" w:cs="Arial"/>
          <w:sz w:val="24"/>
          <w:szCs w:val="24"/>
        </w:rPr>
        <w:t xml:space="preserve"> EMITIENDO VOTO </w:t>
      </w:r>
      <w:r w:rsidR="00017648">
        <w:rPr>
          <w:rFonts w:ascii="Palatino Linotype" w:hAnsi="Palatino Linotype" w:cs="Arial"/>
          <w:sz w:val="24"/>
          <w:szCs w:val="24"/>
        </w:rPr>
        <w:t>EN CONTRA CON VOTO DISIDENTE</w:t>
      </w:r>
      <w:r w:rsidR="00017648" w:rsidRPr="00017648">
        <w:rPr>
          <w:rFonts w:ascii="Palatino Linotype" w:hAnsi="Palatino Linotype" w:cs="Arial"/>
          <w:sz w:val="24"/>
          <w:szCs w:val="24"/>
        </w:rPr>
        <w:t>,</w:t>
      </w:r>
      <w:r w:rsidRPr="00017648">
        <w:rPr>
          <w:rFonts w:ascii="Palatino Linotype" w:hAnsi="Palatino Linotype" w:cs="Arial"/>
          <w:sz w:val="24"/>
          <w:szCs w:val="24"/>
        </w:rPr>
        <w:t xml:space="preserve"> EN LA </w:t>
      </w:r>
      <w:r w:rsidR="00017648">
        <w:rPr>
          <w:rFonts w:ascii="Palatino Linotype" w:hAnsi="Palatino Linotype" w:cs="Arial"/>
          <w:sz w:val="24"/>
          <w:szCs w:val="24"/>
        </w:rPr>
        <w:t>VIGÉSIMA</w:t>
      </w:r>
      <w:r w:rsidRPr="00017648">
        <w:rPr>
          <w:rFonts w:ascii="Palatino Linotype" w:hAnsi="Palatino Linotype" w:cs="Arial"/>
          <w:sz w:val="24"/>
          <w:szCs w:val="24"/>
        </w:rPr>
        <w:t xml:space="preserve"> QUINTA SESIÓN ORDINARIA CELEBRADA EL </w:t>
      </w:r>
      <w:r w:rsidR="00F90E4D">
        <w:rPr>
          <w:rFonts w:ascii="Palatino Linotype" w:hAnsi="Palatino Linotype" w:cs="Arial"/>
          <w:sz w:val="24"/>
          <w:szCs w:val="24"/>
        </w:rPr>
        <w:t>TRES</w:t>
      </w:r>
      <w:r w:rsidR="00017648">
        <w:rPr>
          <w:rFonts w:ascii="Palatino Linotype" w:hAnsi="Palatino Linotype" w:cs="Arial"/>
          <w:sz w:val="24"/>
          <w:szCs w:val="24"/>
        </w:rPr>
        <w:t xml:space="preserve"> DE JULIO DE DOS MIL DIECINUEVE</w:t>
      </w:r>
      <w:r w:rsidRPr="00017648">
        <w:rPr>
          <w:rFonts w:ascii="Palatino Linotype" w:hAnsi="Palatino Linotype" w:cs="Arial"/>
          <w:sz w:val="24"/>
          <w:szCs w:val="24"/>
        </w:rPr>
        <w:t>, ANTE EL SECRETARIO TÉCNICO DEL PLENO, ALEXIS TAPIA RAMÍREZ --</w:t>
      </w:r>
      <w:r w:rsidR="00017648" w:rsidRPr="00017648">
        <w:rPr>
          <w:rFonts w:ascii="Palatino Linotype" w:hAnsi="Palatino Linotype" w:cs="Arial"/>
          <w:sz w:val="24"/>
          <w:szCs w:val="24"/>
        </w:rPr>
        <w:t>------------------------------------------------------------------------------------------------------------------------------------------------------------------------------------------------------------------------------------------------------------------------------------------------------------------------------------------------------------------------------------------------------------------------------------------------------------------------------------------------------------------------------------------------------------------------------------------------------------------------------------------------------------------------------------------------------------------------</w:t>
      </w:r>
      <w:r w:rsidR="00F90E4D">
        <w:rPr>
          <w:rFonts w:ascii="Palatino Linotype" w:hAnsi="Palatino Linotype" w:cs="Arial"/>
          <w:sz w:val="24"/>
          <w:szCs w:val="24"/>
        </w:rPr>
        <w:t>---------------------------------------------</w:t>
      </w:r>
    </w:p>
    <w:p w14:paraId="2B58671A" w14:textId="77777777" w:rsidR="00C82165" w:rsidRPr="00017648" w:rsidRDefault="00C82165" w:rsidP="00C82165">
      <w:pPr>
        <w:spacing w:after="0" w:line="360" w:lineRule="auto"/>
        <w:jc w:val="both"/>
        <w:rPr>
          <w:rFonts w:ascii="Palatino Linotype" w:hAnsi="Palatino Linotype" w:cs="Arial"/>
          <w:sz w:val="24"/>
          <w:szCs w:val="24"/>
        </w:rPr>
      </w:pPr>
    </w:p>
    <w:p w14:paraId="797819F2" w14:textId="77777777" w:rsidR="00C82165" w:rsidRPr="00017648" w:rsidRDefault="00C82165" w:rsidP="00C82165">
      <w:pPr>
        <w:spacing w:after="0" w:line="360" w:lineRule="auto"/>
        <w:jc w:val="both"/>
        <w:rPr>
          <w:rFonts w:ascii="Palatino Linotype" w:hAnsi="Palatino Linotype" w:cs="Arial"/>
          <w:sz w:val="24"/>
          <w:szCs w:val="24"/>
        </w:rPr>
      </w:pPr>
      <w:r w:rsidRPr="0001764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8CB1442" wp14:editId="31D4FEE5">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DC3C93" w14:textId="77777777" w:rsidR="00C82165" w:rsidRPr="00016AF3" w:rsidRDefault="00C82165" w:rsidP="00C82165">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B1442"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25DC3C93" w14:textId="77777777" w:rsidR="00C82165" w:rsidRPr="00016AF3" w:rsidRDefault="00C82165" w:rsidP="00C82165">
                      <w:pPr>
                        <w:spacing w:line="240" w:lineRule="auto"/>
                        <w:jc w:val="center"/>
                        <w:rPr>
                          <w:rFonts w:ascii="Palatino Linotype" w:hAnsi="Palatino Linotype"/>
                          <w:b/>
                          <w:sz w:val="24"/>
                          <w:szCs w:val="24"/>
                        </w:rPr>
                      </w:pPr>
                    </w:p>
                  </w:txbxContent>
                </v:textbox>
                <w10:wrap anchorx="page"/>
              </v:shape>
            </w:pict>
          </mc:Fallback>
        </mc:AlternateContent>
      </w:r>
    </w:p>
    <w:p w14:paraId="0F886063" w14:textId="77777777" w:rsidR="00C82165" w:rsidRPr="00017648" w:rsidRDefault="00C82165" w:rsidP="00C82165">
      <w:pPr>
        <w:spacing w:after="0" w:line="360" w:lineRule="auto"/>
        <w:jc w:val="both"/>
        <w:rPr>
          <w:rFonts w:ascii="Palatino Linotype" w:hAnsi="Palatino Linotype"/>
          <w:sz w:val="24"/>
          <w:szCs w:val="24"/>
        </w:rPr>
      </w:pPr>
      <w:r w:rsidRPr="00017648">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34365A4" wp14:editId="5B9F253C">
                <wp:simplePos x="0" y="0"/>
                <wp:positionH relativeFrom="page">
                  <wp:posOffset>2600325</wp:posOffset>
                </wp:positionH>
                <wp:positionV relativeFrom="paragraph">
                  <wp:posOffset>121920</wp:posOffset>
                </wp:positionV>
                <wp:extent cx="2551430" cy="971550"/>
                <wp:effectExtent l="0" t="0" r="20320" b="19050"/>
                <wp:wrapNone/>
                <wp:docPr id="16" name="Cuadro de texto 1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0C9318" w14:textId="77777777" w:rsidR="00C82165" w:rsidRPr="00EF2FC0" w:rsidRDefault="00C82165" w:rsidP="00C8216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673C255" w14:textId="77777777" w:rsidR="00C82165" w:rsidRDefault="00C82165" w:rsidP="00C82165">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CB4B3A5" w14:textId="48605964" w:rsidR="00DA6A7F" w:rsidRDefault="00DA6A7F" w:rsidP="00C82165">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11F2FCB7" w14:textId="77777777" w:rsidR="00C82165" w:rsidRPr="00016AF3" w:rsidRDefault="00C82165" w:rsidP="00C82165">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365A4" id="_x0000_t202" coordsize="21600,21600" o:spt="202" path="m,l,21600r21600,l21600,xe">
                <v:stroke joinstyle="miter"/>
                <v:path gradientshapeok="t" o:connecttype="rect"/>
              </v:shapetype>
              <v:shape id="Cuadro de texto 16" o:spid="_x0000_s1027" type="#_x0000_t202" style="position:absolute;left:0;text-align:left;margin-left:204.75pt;margin-top:9.6pt;width:200.9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mlAIAAMIFAAAOAAAAZHJzL2Uyb0RvYy54bWysVNtuGjEQfa/Uf7D83iwQSBuUJaJEqSpF&#10;SdSkyrPx2rCq1+PaBpZ+fY+9QC6NVKXqy+7Yc2Y8c+Zydt42hq2VDzXZkvePepwpK6mq7aLk3+8v&#10;P3ziLERhK2HIqpJvVeDnk/fvzjZurAa0JFMpz+DEhvHGlXwZoxsXRZBL1YhwRE5ZKDX5RkQc/aKo&#10;vNjAe2OKQa93UmzIV86TVCHg9qJT8kn2r7WS8UbroCIzJUdsMX99/s7Tt5icifHCC7es5S4M8Q9R&#10;NKK2ePTg6kJEwVa+/sNVU0tPgXQ8ktQUpHUtVc4B2fR7L7K5Wwqnci4gJ7gDTeH/uZXX61vP6gq1&#10;O+HMigY1mq1E5YlVikXVRmLQgKaNC2Og7xzwsf1MLUz29wGXKftW+yb9kReDHoRvDyTDFZO4HIxG&#10;/eExVBK604/90ShXoXi0dj7EL4oaloSSexQxcyvWVyEiEkD3kPRYIFNXl7Ux+ZAaR82MZ2uBkpuY&#10;Y4TFM5SxbFPyk2M8/TcP88UrHuDP2GSpcovtwkoMdUxkKW6NShhjvykNijMhr8QopFT2EGdGJ5RG&#10;Rm8x3OEfo3qLcZcHLPLLZOPBuKkt+Y6l59RWP/bE6A6PwjzJO4mxnbddb+0bZU7VFv3jqRvE4ORl&#10;jSJfiRBvhcfkoS+wTeINPtoQikQ7ibMl+V+v3Sc8BgJazjaY5JKHnyvhFWfmq8WonPaHwzT6+TAc&#10;fRzg4J9q5k81dtXMCJ3Tx95yMosJH81e1J6aByydaXoVKmEl3i553Iuz2O0XLC2pptMMwrA7Ea/s&#10;nZPJdWI5tfB9+yC82/V5GrZr2s+8GL9o9w6bLC1NV5F0nWch8dyxuuMfiyKPyG6ppU309JxRj6t3&#10;8hsAAP//AwBQSwMEFAAGAAgAAAAhAGqpBpTfAAAACgEAAA8AAABkcnMvZG93bnJldi54bWxMj8FO&#10;g0AQhu8mvsNmTLzZBYpKkaUhGmNiTYzVi7cpjEBkZwm7benbO570OPN/+eebYj3bQR1o8r1jA/Ei&#10;AkVcu6bn1sDH++NVBsoH5AYHx2TgRB7W5flZgXnjjvxGh21olZSwz9FAF8KYa+3rjiz6hRuJJfty&#10;k8Ug49TqZsKjlNtBJ1F0oy32LBc6HOm+o/p7u7cGntNPfFiGDZ0Cz69V9ZSNqX8x5vJiru5ABZrD&#10;Hwy/+qIOpTjt3J4brwYDabS6FlSCVQJKgCyOl6B2srhNEtBlof+/UP4AAAD//wMAUEsBAi0AFAAG&#10;AAgAAAAhALaDOJL+AAAA4QEAABMAAAAAAAAAAAAAAAAAAAAAAFtDb250ZW50X1R5cGVzXS54bWxQ&#10;SwECLQAUAAYACAAAACEAOP0h/9YAAACUAQAACwAAAAAAAAAAAAAAAAAvAQAAX3JlbHMvLnJlbHNQ&#10;SwECLQAUAAYACAAAACEA66WA5pQCAADCBQAADgAAAAAAAAAAAAAAAAAuAgAAZHJzL2Uyb0RvYy54&#10;bWxQSwECLQAUAAYACAAAACEAaqkGlN8AAAAKAQAADwAAAAAAAAAAAAAAAADuBAAAZHJzL2Rvd25y&#10;ZXYueG1sUEsFBgAAAAAEAAQA8wAAAPoFAAAAAA==&#10;" fillcolor="white [3201]" strokecolor="white [3212]" strokeweight=".5pt">
                <v:textbox>
                  <w:txbxContent>
                    <w:p w14:paraId="0D0C9318" w14:textId="77777777" w:rsidR="00C82165" w:rsidRPr="00EF2FC0" w:rsidRDefault="00C82165" w:rsidP="00C8216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673C255" w14:textId="77777777" w:rsidR="00C82165" w:rsidRDefault="00C82165" w:rsidP="00C82165">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CB4B3A5" w14:textId="48605964" w:rsidR="00DA6A7F" w:rsidRDefault="00DA6A7F" w:rsidP="00C82165">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11F2FCB7" w14:textId="77777777" w:rsidR="00C82165" w:rsidRPr="00016AF3" w:rsidRDefault="00C82165" w:rsidP="00C82165">
                      <w:pPr>
                        <w:spacing w:line="240" w:lineRule="auto"/>
                        <w:jc w:val="center"/>
                        <w:rPr>
                          <w:rFonts w:ascii="Palatino Linotype" w:hAnsi="Palatino Linotype"/>
                          <w:b/>
                          <w:sz w:val="24"/>
                          <w:szCs w:val="24"/>
                        </w:rPr>
                      </w:pPr>
                    </w:p>
                  </w:txbxContent>
                </v:textbox>
                <w10:wrap anchorx="page"/>
              </v:shape>
            </w:pict>
          </mc:Fallback>
        </mc:AlternateContent>
      </w:r>
    </w:p>
    <w:p w14:paraId="7DE67906" w14:textId="77777777" w:rsidR="00C82165" w:rsidRPr="00017648" w:rsidRDefault="00C82165" w:rsidP="00C82165">
      <w:pPr>
        <w:spacing w:after="0" w:line="360" w:lineRule="auto"/>
        <w:jc w:val="center"/>
        <w:rPr>
          <w:rFonts w:ascii="Palatino Linotype" w:hAnsi="Palatino Linotype"/>
          <w:sz w:val="24"/>
          <w:szCs w:val="24"/>
        </w:rPr>
      </w:pPr>
    </w:p>
    <w:p w14:paraId="0DBDCAD4" w14:textId="77777777" w:rsidR="00C82165" w:rsidRPr="00017648" w:rsidRDefault="00C82165" w:rsidP="00C82165">
      <w:pPr>
        <w:spacing w:after="0" w:line="360" w:lineRule="auto"/>
        <w:rPr>
          <w:rFonts w:ascii="Palatino Linotype" w:hAnsi="Palatino Linotype"/>
          <w:b/>
          <w:sz w:val="24"/>
          <w:szCs w:val="24"/>
        </w:rPr>
      </w:pPr>
    </w:p>
    <w:p w14:paraId="451ACD01" w14:textId="77777777" w:rsidR="00C82165" w:rsidRPr="00017648" w:rsidRDefault="00C82165" w:rsidP="00C82165">
      <w:pPr>
        <w:spacing w:after="0" w:line="360" w:lineRule="auto"/>
        <w:rPr>
          <w:rFonts w:ascii="Palatino Linotype" w:hAnsi="Palatino Linotype"/>
          <w:b/>
          <w:sz w:val="24"/>
          <w:szCs w:val="24"/>
        </w:rPr>
      </w:pPr>
    </w:p>
    <w:p w14:paraId="30377CBA" w14:textId="77777777" w:rsidR="00C82165" w:rsidRPr="00017648" w:rsidRDefault="00C82165" w:rsidP="00C82165">
      <w:pPr>
        <w:spacing w:after="0" w:line="360" w:lineRule="auto"/>
        <w:rPr>
          <w:rFonts w:ascii="Palatino Linotype" w:hAnsi="Palatino Linotype"/>
          <w:b/>
          <w:sz w:val="18"/>
          <w:szCs w:val="24"/>
        </w:rPr>
      </w:pPr>
    </w:p>
    <w:p w14:paraId="5BB8AB7C" w14:textId="77777777" w:rsidR="00C82165" w:rsidRPr="00017648" w:rsidRDefault="00C82165" w:rsidP="00C82165">
      <w:pPr>
        <w:spacing w:after="0" w:line="360" w:lineRule="auto"/>
        <w:rPr>
          <w:rFonts w:ascii="Palatino Linotype" w:hAnsi="Palatino Linotype"/>
          <w:b/>
          <w:sz w:val="24"/>
          <w:szCs w:val="24"/>
        </w:rPr>
      </w:pPr>
    </w:p>
    <w:p w14:paraId="56978B90" w14:textId="77777777" w:rsidR="00C82165" w:rsidRPr="00017648" w:rsidRDefault="00C82165" w:rsidP="00C82165">
      <w:pPr>
        <w:spacing w:after="0" w:line="360" w:lineRule="auto"/>
        <w:rPr>
          <w:rFonts w:ascii="Palatino Linotype" w:hAnsi="Palatino Linotype"/>
          <w:b/>
          <w:sz w:val="24"/>
          <w:szCs w:val="24"/>
        </w:rPr>
      </w:pPr>
      <w:r w:rsidRPr="00017648">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036454C7" wp14:editId="3B1511F0">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D5B70C" w14:textId="77777777" w:rsidR="00C82165" w:rsidRPr="00EF2FC0" w:rsidRDefault="00C82165" w:rsidP="00C8216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EDC1488" w14:textId="77777777" w:rsidR="00C82165" w:rsidRDefault="00C82165" w:rsidP="00C8216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8B28CEE"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D45C564" w14:textId="77777777" w:rsidR="00DA6A7F" w:rsidRDefault="00DA6A7F" w:rsidP="00C82165">
                            <w:pPr>
                              <w:spacing w:after="0" w:line="240" w:lineRule="auto"/>
                              <w:jc w:val="center"/>
                              <w:rPr>
                                <w:rFonts w:ascii="Palatino Linotype" w:hAnsi="Palatino Linotype"/>
                                <w:sz w:val="24"/>
                                <w:szCs w:val="24"/>
                              </w:rPr>
                            </w:pPr>
                          </w:p>
                          <w:p w14:paraId="0C0CA90F" w14:textId="77777777" w:rsidR="00C82165" w:rsidRDefault="00C82165" w:rsidP="00C82165">
                            <w:pPr>
                              <w:spacing w:after="0" w:line="240" w:lineRule="auto"/>
                              <w:jc w:val="center"/>
                              <w:rPr>
                                <w:rFonts w:ascii="Palatino Linotype" w:hAnsi="Palatino Linotype"/>
                                <w:b/>
                                <w:sz w:val="24"/>
                                <w:szCs w:val="24"/>
                              </w:rPr>
                            </w:pPr>
                          </w:p>
                          <w:p w14:paraId="5CBE5D78" w14:textId="77777777" w:rsidR="00C82165" w:rsidRPr="00797B31" w:rsidRDefault="00C82165" w:rsidP="00C8216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54C7" id="Cuadro de texto 35" o:spid="_x0000_s1028" type="#_x0000_t202" style="position:absolute;margin-left:149.05pt;margin-top:.9pt;width:200.25pt;height:7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UlQIAAMIFAAAOAAAAZHJzL2Uyb0RvYy54bWysVFtP2zAUfp+0/2D5faQtLZeKFHVFTJMQ&#10;oMHEs+vYrTXbx7PdJt2v37GTlMKQJqa9JLbPd27fuVxcNkaTrfBBgS3p8GhAibAcKmVXJf3+eP3p&#10;jJIQma2YBitKuhOBXs4+frio3VSMYA26Ep6gERumtSvpOkY3LYrA18KwcAROWBRK8IZFvPpVUXlW&#10;o3Wji9FgcFLU4CvngYsQ8PWqFdJZti+l4PFOyiAi0SXF2GL++vxdpm8xu2DTlWdurXgXBvuHKAxT&#10;Fp3uTV2xyMjGqz9MGcU9BJDxiIMpQErFRc4BsxkOXmXzsGZO5FyQnOD2NIX/Z5bfbu89UVVJjyeU&#10;WGawRosNqzyQSpAomggEJUhT7cIU0Q8O8bH5DA2Wu38P+Jiyb6Q36Y95EZQj4bs9yWiKcHwcTcbH&#10;w1N0xlF2dj45nuQqFM/azof4RYAh6VBSj0XM3LLtTYgYCUJ7SHIWQKvqWmmdL6lxxEJ7smVYch1z&#10;jKjxAqUtqUt6klz/zcJy9YYFtKdt0hS5xbqwEkMtE/kUd1okjLbfhESKMyFvxMg4F3YfZ0YnlMSM&#10;3qPY4Z+jeo9ymwdqZM9g417ZKAu+ZekltdWPnhjZ4rEwB3mnY2yWTe6tUd8oS6h22D8e2kEMjl8r&#10;LPINC/GeeZw8bBncJvEOP1IDFgm6EyVr8L/eek94HAiUUlLjJJc0/NwwLyjRXy2OyvlwPE6jny/j&#10;yekIL/5QsjyU2I1ZAHbOEPeW4/mY8FH3R+nBPOHSmSevKGKWo++Sxv64iO1+waXFxXyeQTjsjsUb&#10;++B4Mp1YTi382Dwx77o+T8N2C/3Ms+mrdm+xSdPCfBNBqjwLieeW1Y5/XBR5RLqlljbR4T2jnlfv&#10;7DcAAAD//wMAUEsDBBQABgAIAAAAIQC4fd/T2gAAAAYBAAAPAAAAZHJzL2Rvd25yZXYueG1sTI9B&#10;S8NAEIXvgv9hGcGb3bVGCWk2JSgiqCBWL96m2WkSzM6G7LZN/73jSY9v3vDe98r17Ad1oCn2gS1c&#10;Lwwo4ia4nlsLnx+PVzmomJAdDoHJwokirKvzsxILF478TodNapWEcCzQQpfSWGgdm448xkUYicXb&#10;hcljEjm12k14lHA/6KUxd9pjz9LQ4Uj3HTXfm7238Jx94cNNeqFT4vmtrp/yMYuv1l5ezPUKVKI5&#10;/T3DL76gQyVM27BnF9VgQYYkuQq+mJkxt6C2orNlDroq9X/86gcAAP//AwBQSwECLQAUAAYACAAA&#10;ACEAtoM4kv4AAADhAQAAEwAAAAAAAAAAAAAAAAAAAAAAW0NvbnRlbnRfVHlwZXNdLnhtbFBLAQIt&#10;ABQABgAIAAAAIQA4/SH/1gAAAJQBAAALAAAAAAAAAAAAAAAAAC8BAABfcmVscy8ucmVsc1BLAQIt&#10;ABQABgAIAAAAIQCziw+UlQIAAMIFAAAOAAAAAAAAAAAAAAAAAC4CAABkcnMvZTJvRG9jLnhtbFBL&#10;AQItABQABgAIAAAAIQC4fd/T2gAAAAYBAAAPAAAAAAAAAAAAAAAAAO8EAABkcnMvZG93bnJldi54&#10;bWxQSwUGAAAAAAQABADzAAAA9gUAAAAA&#10;" fillcolor="white [3201]" strokecolor="white [3212]" strokeweight=".5pt">
                <v:textbox>
                  <w:txbxContent>
                    <w:p w14:paraId="31D5B70C" w14:textId="77777777" w:rsidR="00C82165" w:rsidRPr="00EF2FC0" w:rsidRDefault="00C82165" w:rsidP="00C8216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EDC1488" w14:textId="77777777" w:rsidR="00C82165" w:rsidRDefault="00C82165" w:rsidP="00C8216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8B28CEE"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D45C564" w14:textId="77777777" w:rsidR="00DA6A7F" w:rsidRDefault="00DA6A7F" w:rsidP="00C82165">
                      <w:pPr>
                        <w:spacing w:after="0" w:line="240" w:lineRule="auto"/>
                        <w:jc w:val="center"/>
                        <w:rPr>
                          <w:rFonts w:ascii="Palatino Linotype" w:hAnsi="Palatino Linotype"/>
                          <w:sz w:val="24"/>
                          <w:szCs w:val="24"/>
                        </w:rPr>
                      </w:pPr>
                    </w:p>
                    <w:p w14:paraId="0C0CA90F" w14:textId="77777777" w:rsidR="00C82165" w:rsidRDefault="00C82165" w:rsidP="00C82165">
                      <w:pPr>
                        <w:spacing w:after="0" w:line="240" w:lineRule="auto"/>
                        <w:jc w:val="center"/>
                        <w:rPr>
                          <w:rFonts w:ascii="Palatino Linotype" w:hAnsi="Palatino Linotype"/>
                          <w:b/>
                          <w:sz w:val="24"/>
                          <w:szCs w:val="24"/>
                        </w:rPr>
                      </w:pPr>
                    </w:p>
                    <w:p w14:paraId="5CBE5D78" w14:textId="77777777" w:rsidR="00C82165" w:rsidRPr="00797B31" w:rsidRDefault="00C82165" w:rsidP="00C82165">
                      <w:pPr>
                        <w:spacing w:line="240" w:lineRule="auto"/>
                        <w:jc w:val="center"/>
                        <w:rPr>
                          <w:rFonts w:ascii="Palatino Linotype" w:hAnsi="Palatino Linotype"/>
                          <w:sz w:val="24"/>
                          <w:szCs w:val="24"/>
                        </w:rPr>
                      </w:pPr>
                    </w:p>
                  </w:txbxContent>
                </v:textbox>
                <w10:wrap anchorx="margin"/>
              </v:shape>
            </w:pict>
          </mc:Fallback>
        </mc:AlternateContent>
      </w:r>
      <w:r w:rsidRPr="00017648">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25DEE25" wp14:editId="5885BFA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14A734" w14:textId="77777777" w:rsidR="00C82165" w:rsidRPr="00EF2FC0" w:rsidRDefault="00C82165" w:rsidP="00C8216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495F2ADD" w14:textId="77777777" w:rsidR="00C82165" w:rsidRDefault="00C82165" w:rsidP="00C82165">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52D1330"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264A8DC2" w14:textId="77777777" w:rsidR="00DA6A7F" w:rsidRPr="00EF2FC0" w:rsidRDefault="00DA6A7F" w:rsidP="00C82165">
                            <w:pPr>
                              <w:spacing w:after="0" w:line="240" w:lineRule="auto"/>
                              <w:jc w:val="center"/>
                              <w:rPr>
                                <w:rFonts w:ascii="Palatino Linotype" w:hAnsi="Palatino Linotype"/>
                                <w:sz w:val="24"/>
                                <w:szCs w:val="24"/>
                              </w:rPr>
                            </w:pPr>
                          </w:p>
                          <w:p w14:paraId="62FC4A3B" w14:textId="77777777" w:rsidR="00C82165" w:rsidRDefault="00C82165" w:rsidP="00C82165">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EE25" id="Cuadro de texto 22" o:spid="_x0000_s1029" type="#_x0000_t202" style="position:absolute;margin-left:0;margin-top:1.65pt;width:153pt;height:7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eRlQ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ZN767hvlCVUO+wfD+0gBsev&#10;FBb5moV4xzxOHvYFbpN4ix+pAYsEnUTJGvzvt+4THgcCtZTUOMklDb82zAtK9DeLozIZjsdp9PNh&#10;fHI2woM/1CwPNXZjFoCdM8S95XgWEz7qXpQezCMunXl6FVXMcny7pLEXF7HdL7i0uJjPMwiH3bF4&#10;be8dT64Ty6mFH5pH5l3X52nYbqCfeTZ91e4tNllamG8iSJVnIfHcstrxj4sij0i31NImOjxn1PPq&#10;nT0BAAD//wMAUEsDBBQABgAIAAAAIQAPogxQ2wAAAAYBAAAPAAAAZHJzL2Rvd25yZXYueG1sTI9B&#10;S8NAFITvgv9heYI3u9GtocRsSlBEUKFYvXjbZp9JMPs2ZF/b9N/7POlxmGHmm3I9h0EdcEp9JAvX&#10;iwwUUhN9T62Fj/fHqxWoxI68GyKhhRMmWFfnZ6UrfDzSGx623CopoVQ4Cx3zWGidmg6DS4s4Ion3&#10;FafgWOTUaj+5o5SHQd9kWa6D60kWOjfifYfN93YfLDwvP92D4Rc8Mc2bun5ajcv0au3lxVzfgWKc&#10;+S8Mv/iCDpUw7eKefFKDBTnCFowBJabJctE7Sd3mBnRV6v/41Q8AAAD//wMAUEsBAi0AFAAGAAgA&#10;AAAhALaDOJL+AAAA4QEAABMAAAAAAAAAAAAAAAAAAAAAAFtDb250ZW50X1R5cGVzXS54bWxQSwEC&#10;LQAUAAYACAAAACEAOP0h/9YAAACUAQAACwAAAAAAAAAAAAAAAAAvAQAAX3JlbHMvLnJlbHNQSwEC&#10;LQAUAAYACAAAACEAVRj3kZUCAADCBQAADgAAAAAAAAAAAAAAAAAuAgAAZHJzL2Uyb0RvYy54bWxQ&#10;SwECLQAUAAYACAAAACEAD6IMUNsAAAAGAQAADwAAAAAAAAAAAAAAAADvBAAAZHJzL2Rvd25yZXYu&#10;eG1sUEsFBgAAAAAEAAQA8wAAAPcFAAAAAA==&#10;" fillcolor="white [3201]" strokecolor="white [3212]" strokeweight=".5pt">
                <v:textbox>
                  <w:txbxContent>
                    <w:p w14:paraId="0E14A734" w14:textId="77777777" w:rsidR="00C82165" w:rsidRPr="00EF2FC0" w:rsidRDefault="00C82165" w:rsidP="00C8216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495F2ADD" w14:textId="77777777" w:rsidR="00C82165" w:rsidRDefault="00C82165" w:rsidP="00C82165">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52D1330"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264A8DC2" w14:textId="77777777" w:rsidR="00DA6A7F" w:rsidRPr="00EF2FC0" w:rsidRDefault="00DA6A7F" w:rsidP="00C82165">
                      <w:pPr>
                        <w:spacing w:after="0" w:line="240" w:lineRule="auto"/>
                        <w:jc w:val="center"/>
                        <w:rPr>
                          <w:rFonts w:ascii="Palatino Linotype" w:hAnsi="Palatino Linotype"/>
                          <w:sz w:val="24"/>
                          <w:szCs w:val="24"/>
                        </w:rPr>
                      </w:pPr>
                    </w:p>
                    <w:p w14:paraId="62FC4A3B" w14:textId="77777777" w:rsidR="00C82165" w:rsidRDefault="00C82165" w:rsidP="00C82165">
                      <w:pPr>
                        <w:spacing w:after="0" w:line="240" w:lineRule="auto"/>
                        <w:jc w:val="center"/>
                      </w:pPr>
                    </w:p>
                  </w:txbxContent>
                </v:textbox>
                <w10:wrap anchorx="margin"/>
              </v:shape>
            </w:pict>
          </mc:Fallback>
        </mc:AlternateContent>
      </w:r>
    </w:p>
    <w:p w14:paraId="0ED1F326" w14:textId="77777777" w:rsidR="00C82165" w:rsidRPr="00017648" w:rsidRDefault="00C82165" w:rsidP="00C82165">
      <w:pPr>
        <w:spacing w:after="0" w:line="360" w:lineRule="auto"/>
        <w:rPr>
          <w:rFonts w:ascii="Palatino Linotype" w:hAnsi="Palatino Linotype"/>
          <w:b/>
          <w:sz w:val="24"/>
          <w:szCs w:val="24"/>
        </w:rPr>
      </w:pPr>
    </w:p>
    <w:p w14:paraId="2769B87F" w14:textId="77777777" w:rsidR="00C82165" w:rsidRPr="00017648" w:rsidRDefault="00C82165" w:rsidP="00C82165">
      <w:pPr>
        <w:spacing w:after="0" w:line="360" w:lineRule="auto"/>
        <w:rPr>
          <w:rFonts w:ascii="Palatino Linotype" w:hAnsi="Palatino Linotype"/>
          <w:b/>
          <w:sz w:val="24"/>
          <w:szCs w:val="24"/>
        </w:rPr>
      </w:pPr>
    </w:p>
    <w:p w14:paraId="1DD7A2C0" w14:textId="77777777" w:rsidR="00C82165" w:rsidRPr="00017648" w:rsidRDefault="00C82165" w:rsidP="00C82165">
      <w:pPr>
        <w:spacing w:after="0" w:line="360" w:lineRule="auto"/>
        <w:rPr>
          <w:rFonts w:ascii="Palatino Linotype" w:hAnsi="Palatino Linotype"/>
          <w:b/>
          <w:sz w:val="24"/>
          <w:szCs w:val="24"/>
        </w:rPr>
      </w:pPr>
    </w:p>
    <w:p w14:paraId="748B6595" w14:textId="77777777" w:rsidR="00C82165" w:rsidRPr="00017648" w:rsidRDefault="00C82165" w:rsidP="00C82165">
      <w:pPr>
        <w:spacing w:after="0" w:line="360" w:lineRule="auto"/>
        <w:rPr>
          <w:rFonts w:ascii="Palatino Linotype" w:hAnsi="Palatino Linotype"/>
          <w:b/>
          <w:sz w:val="24"/>
          <w:szCs w:val="24"/>
        </w:rPr>
      </w:pPr>
    </w:p>
    <w:p w14:paraId="22C4EA0F" w14:textId="77777777" w:rsidR="00C82165" w:rsidRPr="00017648" w:rsidRDefault="00C82165" w:rsidP="00C82165">
      <w:pPr>
        <w:spacing w:after="0" w:line="360" w:lineRule="auto"/>
        <w:rPr>
          <w:rFonts w:ascii="Palatino Linotype" w:hAnsi="Palatino Linotype"/>
          <w:b/>
          <w:sz w:val="20"/>
          <w:szCs w:val="24"/>
        </w:rPr>
      </w:pPr>
    </w:p>
    <w:p w14:paraId="77540EB2" w14:textId="77777777" w:rsidR="00C82165" w:rsidRPr="00017648" w:rsidRDefault="00C82165" w:rsidP="00C82165">
      <w:pPr>
        <w:spacing w:after="0" w:line="360" w:lineRule="auto"/>
        <w:rPr>
          <w:rFonts w:ascii="Palatino Linotype" w:hAnsi="Palatino Linotype"/>
          <w:b/>
          <w:sz w:val="24"/>
          <w:szCs w:val="24"/>
        </w:rPr>
      </w:pPr>
      <w:r w:rsidRPr="00017648">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1E157A8D" wp14:editId="390B3EC0">
                <wp:simplePos x="0" y="0"/>
                <wp:positionH relativeFrom="margin">
                  <wp:align>left</wp:align>
                </wp:positionH>
                <wp:positionV relativeFrom="paragraph">
                  <wp:posOffset>8255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B8B37F" w14:textId="77777777" w:rsidR="00C82165" w:rsidRPr="00EF2FC0" w:rsidRDefault="00C82165" w:rsidP="00C8216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FAB9D1" w14:textId="74D56D2F" w:rsidR="00C82165" w:rsidRDefault="00C82165" w:rsidP="00DA6A7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B3B0779"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3ACAA57A" w14:textId="77777777" w:rsidR="00DA6A7F" w:rsidRPr="00DA6A7F" w:rsidRDefault="00DA6A7F" w:rsidP="00DA6A7F">
                            <w:pPr>
                              <w:spacing w:after="0" w:line="240" w:lineRule="auto"/>
                              <w:jc w:val="center"/>
                              <w:rPr>
                                <w:rFonts w:ascii="Palatino Linotype" w:hAnsi="Palatino Linotype"/>
                                <w:sz w:val="24"/>
                                <w:szCs w:val="24"/>
                              </w:rPr>
                            </w:pPr>
                          </w:p>
                          <w:p w14:paraId="50B78328" w14:textId="77777777" w:rsidR="00C82165" w:rsidRDefault="00C82165" w:rsidP="00C82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57A8D" id="Cuadro de texto 2" o:spid="_x0000_s1030" type="#_x0000_t202" style="position:absolute;margin-left:0;margin-top:.65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xrS+5NoAAAAGAQAADwAAAGRycy9kb3ducmV2LnhtbEyP&#10;wUrDQBCG74LvsIzgzW50YykxmxIUEVQoVi/eptkxCWZnQ3bbpm/veNLjN//wzzflevaDOtAU+8AW&#10;rhcZKOImuJ5bCx/vj1crUDEhOxwCk4UTRVhX52clFi4c+Y0O29QqKeFYoIUupbHQOjYdeYyLMBJL&#10;9hUmj0lwarWb8CjlftA3WbbUHnuWCx2OdN9R873dewvP+Sc+mPRCp8Tzpq6fVmMeX629vJjrO1CJ&#10;5vS3DL/6og6VOO3Cnl1UgwV5JMnUgJLQmKXwTji/NaCrUv/Xr34AAAD//wMAUEsBAi0AFAAGAAgA&#10;AAAhALaDOJL+AAAA4QEAABMAAAAAAAAAAAAAAAAAAAAAAFtDb250ZW50X1R5cGVzXS54bWxQSwEC&#10;LQAUAAYACAAAACEAOP0h/9YAAACUAQAACwAAAAAAAAAAAAAAAAAvAQAAX3JlbHMvLnJlbHNQSwEC&#10;LQAUAAYACAAAACEAbKgQl5YCAADABQAADgAAAAAAAAAAAAAAAAAuAgAAZHJzL2Uyb0RvYy54bWxQ&#10;SwECLQAUAAYACAAAACEAxrS+5NoAAAAGAQAADwAAAAAAAAAAAAAAAADwBAAAZHJzL2Rvd25yZXYu&#10;eG1sUEsFBgAAAAAEAAQA8wAAAPcFAAAAAA==&#10;" fillcolor="white [3201]" strokecolor="white [3212]" strokeweight=".5pt">
                <v:textbox>
                  <w:txbxContent>
                    <w:p w14:paraId="03B8B37F" w14:textId="77777777" w:rsidR="00C82165" w:rsidRPr="00EF2FC0" w:rsidRDefault="00C82165" w:rsidP="00C8216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FAB9D1" w14:textId="74D56D2F" w:rsidR="00C82165" w:rsidRDefault="00C82165" w:rsidP="00DA6A7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B3B0779"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3ACAA57A" w14:textId="77777777" w:rsidR="00DA6A7F" w:rsidRPr="00DA6A7F" w:rsidRDefault="00DA6A7F" w:rsidP="00DA6A7F">
                      <w:pPr>
                        <w:spacing w:after="0" w:line="240" w:lineRule="auto"/>
                        <w:jc w:val="center"/>
                        <w:rPr>
                          <w:rFonts w:ascii="Palatino Linotype" w:hAnsi="Palatino Linotype"/>
                          <w:sz w:val="24"/>
                          <w:szCs w:val="24"/>
                        </w:rPr>
                      </w:pPr>
                    </w:p>
                    <w:p w14:paraId="50B78328" w14:textId="77777777" w:rsidR="00C82165" w:rsidRDefault="00C82165" w:rsidP="00C82165"/>
                  </w:txbxContent>
                </v:textbox>
                <w10:wrap anchorx="margin"/>
              </v:shape>
            </w:pict>
          </mc:Fallback>
        </mc:AlternateContent>
      </w:r>
      <w:r w:rsidRPr="00017648">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F73292F" wp14:editId="7FFFDD51">
                <wp:simplePos x="0" y="0"/>
                <wp:positionH relativeFrom="margin">
                  <wp:align>right</wp:align>
                </wp:positionH>
                <wp:positionV relativeFrom="paragraph">
                  <wp:posOffset>13335</wp:posOffset>
                </wp:positionV>
                <wp:extent cx="2133600" cy="914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2F75AA" w14:textId="77777777" w:rsidR="00C82165" w:rsidRPr="00EF2FC0" w:rsidRDefault="00C82165" w:rsidP="00C8216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6C1D652" w14:textId="77777777" w:rsidR="00C82165" w:rsidRDefault="00C82165" w:rsidP="00C8216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A0A5620"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29A71BD" w14:textId="77777777" w:rsidR="00DA6A7F" w:rsidRPr="00EF2FC0" w:rsidRDefault="00DA6A7F" w:rsidP="00C82165">
                            <w:pPr>
                              <w:spacing w:after="0" w:line="240" w:lineRule="auto"/>
                              <w:jc w:val="center"/>
                              <w:rPr>
                                <w:rFonts w:ascii="Palatino Linotype" w:hAnsi="Palatino Linotype"/>
                                <w:sz w:val="24"/>
                                <w:szCs w:val="24"/>
                              </w:rPr>
                            </w:pPr>
                          </w:p>
                          <w:p w14:paraId="6547E047" w14:textId="77777777" w:rsidR="00C82165" w:rsidRDefault="00C82165" w:rsidP="00C82165">
                            <w:pPr>
                              <w:spacing w:after="0" w:line="240" w:lineRule="auto"/>
                              <w:jc w:val="center"/>
                              <w:rPr>
                                <w:rFonts w:ascii="Palatino Linotype" w:hAnsi="Palatino Linotype"/>
                                <w:b/>
                                <w:sz w:val="24"/>
                                <w:szCs w:val="24"/>
                              </w:rPr>
                            </w:pPr>
                          </w:p>
                          <w:p w14:paraId="1173F17E" w14:textId="77777777" w:rsidR="00C82165" w:rsidRDefault="00C82165" w:rsidP="00C82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3292F" id="Cuadro de texto 7" o:spid="_x0000_s1031" type="#_x0000_t202" style="position:absolute;margin-left:116.8pt;margin-top:1.05pt;width:168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3LlgIAAMAFAAAOAAAAZHJzL2Uyb0RvYy54bWysVEtPGzEQvlfqf7B8L5sX0EZsUBpEVQkB&#10;KlScHa+dWLU9ru1kN/31jL27SaBcqHrZHXs+z+Obx8VlYzTZCh8U2JIOTwaUCMuhUnZV0p+P158+&#10;UxIisxXTYEVJdyLQy9nHDxe1m4oRrEFXwhM0YsO0diVdx+imRRH4WhgWTsAJi0oJ3rCIR78qKs9q&#10;tG50MRoMzooafOU8cBEC3l61SjrL9qUUPN5JGUQkuqQYW8xfn7/L9C1mF2y68sytFe/CYP8QhWHK&#10;otO9qSsWGdl49Zcpo7iHADKecDAFSKm4yDlgNsPBq2we1syJnAuSE9yepvD/zPLb7b0nqirpOSWW&#10;GSzRYsMqD6QSJIomAjlPJNUuTBH74BAdm6/QYLH7+4CXKfdGepP+mBVBPdK921OMlgjHy9FwPD4b&#10;oIqj7stwMkEZzReH186H+E2AIUkoqccSZmbZ9ibEFtpDkrMAWlXXSut8SG0jFtqTLcOC65hjROMv&#10;UNqSuqRn49NBNvxClxvvYGG5esMC2tM2uRO5wbqwEkMtE1mKOy0SRtsfQiLBmZA3YmScC7uPM6MT&#10;SmJG73nY4Q9Rvedxmwe+yJ7Bxv1joyz4lqWX1Fa/emJki8caHuWdxNgsm9xZp32jLKHaYf94aMcw&#10;OH6tsMg3LMR75nHusC9wl8Q7/EgNWCToJErW4P+8dZ/wOA6opaTGOS5p+L1hXlCiv1sclNxjOPj5&#10;MDk9H6EPf6xZHmvsxiwAO2eIW8vxLCZ81L0oPZgnXDnz5BVVzHL0XdLYi4vYbhdcWVzM5xmEo+5Y&#10;vLEPjifTieXUwo/NE/Ou6/M0a7fQTzybvmr3FpteWphvIkiVZyHx3LLa8Y9rIk9Tt9LSHjo+Z9Rh&#10;8c6eAQAA//8DAFBLAwQUAAYACAAAACEA5dfaqNsAAAAGAQAADwAAAGRycy9kb3ducmV2LnhtbEyP&#10;QUvDQBSE74L/YXmCN7tJE0KJ2ZSgiKCCWL1422afSTD7NmRf2/Tf+zzpcZhh5ptqu/hRHXGOQyAD&#10;6SoBhdQGN1Bn4OP94WYDKrIlZ8dAaOCMEbb15UVlSxdO9IbHHXdKSiiW1kDPPJVax7ZHb+MqTEji&#10;fYXZWxY5d9rN9iTlftTrJCm0twPJQm8nvOux/d4dvIGn/NPeZ/yMZ6bltWkeN1MeX4y5vlqaW1CM&#10;C/+F4Rdf0KEWpn04kItqNCBH2MA6BSVmlhWi95LKixR0Xen/+PUPAAAA//8DAFBLAQItABQABgAI&#10;AAAAIQC2gziS/gAAAOEBAAATAAAAAAAAAAAAAAAAAAAAAABbQ29udGVudF9UeXBlc10ueG1sUEsB&#10;Ai0AFAAGAAgAAAAhADj9If/WAAAAlAEAAAsAAAAAAAAAAAAAAAAALwEAAF9yZWxzLy5yZWxzUEsB&#10;Ai0AFAAGAAgAAAAhAP2gfcuWAgAAwAUAAA4AAAAAAAAAAAAAAAAALgIAAGRycy9lMm9Eb2MueG1s&#10;UEsBAi0AFAAGAAgAAAAhAOXX2qjbAAAABgEAAA8AAAAAAAAAAAAAAAAA8AQAAGRycy9kb3ducmV2&#10;LnhtbFBLBQYAAAAABAAEAPMAAAD4BQAAAAA=&#10;" fillcolor="white [3201]" strokecolor="white [3212]" strokeweight=".5pt">
                <v:textbox>
                  <w:txbxContent>
                    <w:p w14:paraId="2B2F75AA" w14:textId="77777777" w:rsidR="00C82165" w:rsidRPr="00EF2FC0" w:rsidRDefault="00C82165" w:rsidP="00C8216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6C1D652" w14:textId="77777777" w:rsidR="00C82165" w:rsidRDefault="00C82165" w:rsidP="00C8216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A0A5620"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29A71BD" w14:textId="77777777" w:rsidR="00DA6A7F" w:rsidRPr="00EF2FC0" w:rsidRDefault="00DA6A7F" w:rsidP="00C82165">
                      <w:pPr>
                        <w:spacing w:after="0" w:line="240" w:lineRule="auto"/>
                        <w:jc w:val="center"/>
                        <w:rPr>
                          <w:rFonts w:ascii="Palatino Linotype" w:hAnsi="Palatino Linotype"/>
                          <w:sz w:val="24"/>
                          <w:szCs w:val="24"/>
                        </w:rPr>
                      </w:pPr>
                    </w:p>
                    <w:p w14:paraId="6547E047" w14:textId="77777777" w:rsidR="00C82165" w:rsidRDefault="00C82165" w:rsidP="00C82165">
                      <w:pPr>
                        <w:spacing w:after="0" w:line="240" w:lineRule="auto"/>
                        <w:jc w:val="center"/>
                        <w:rPr>
                          <w:rFonts w:ascii="Palatino Linotype" w:hAnsi="Palatino Linotype"/>
                          <w:b/>
                          <w:sz w:val="24"/>
                          <w:szCs w:val="24"/>
                        </w:rPr>
                      </w:pPr>
                    </w:p>
                    <w:p w14:paraId="1173F17E" w14:textId="77777777" w:rsidR="00C82165" w:rsidRDefault="00C82165" w:rsidP="00C82165"/>
                  </w:txbxContent>
                </v:textbox>
                <w10:wrap anchorx="margin"/>
              </v:shape>
            </w:pict>
          </mc:Fallback>
        </mc:AlternateContent>
      </w:r>
    </w:p>
    <w:p w14:paraId="6EC4CD47" w14:textId="77777777" w:rsidR="00C82165" w:rsidRPr="00017648" w:rsidRDefault="00C82165" w:rsidP="00C82165">
      <w:pPr>
        <w:spacing w:after="0" w:line="360" w:lineRule="auto"/>
        <w:rPr>
          <w:rFonts w:ascii="Palatino Linotype" w:hAnsi="Palatino Linotype"/>
          <w:b/>
          <w:sz w:val="24"/>
          <w:szCs w:val="24"/>
        </w:rPr>
      </w:pPr>
    </w:p>
    <w:p w14:paraId="0F041E7F" w14:textId="77777777" w:rsidR="00C82165" w:rsidRPr="00017648" w:rsidRDefault="00C82165" w:rsidP="00C82165">
      <w:pPr>
        <w:spacing w:after="0" w:line="360" w:lineRule="auto"/>
        <w:rPr>
          <w:rFonts w:ascii="Palatino Linotype" w:hAnsi="Palatino Linotype"/>
          <w:b/>
          <w:sz w:val="24"/>
          <w:szCs w:val="24"/>
        </w:rPr>
      </w:pPr>
    </w:p>
    <w:p w14:paraId="2C12B1CC" w14:textId="77777777" w:rsidR="00C82165" w:rsidRPr="00017648" w:rsidRDefault="00C82165" w:rsidP="00C82165">
      <w:pPr>
        <w:spacing w:after="0" w:line="360" w:lineRule="auto"/>
        <w:rPr>
          <w:rFonts w:ascii="Palatino Linotype" w:hAnsi="Palatino Linotype" w:cs="Arial"/>
          <w:sz w:val="24"/>
          <w:szCs w:val="24"/>
        </w:rPr>
      </w:pPr>
    </w:p>
    <w:p w14:paraId="643BB9C5" w14:textId="77777777" w:rsidR="00C82165" w:rsidRPr="00017648" w:rsidRDefault="00C82165" w:rsidP="00C82165">
      <w:pPr>
        <w:spacing w:after="0" w:line="360" w:lineRule="auto"/>
        <w:rPr>
          <w:rFonts w:ascii="Palatino Linotype" w:hAnsi="Palatino Linotype" w:cs="Arial"/>
          <w:sz w:val="24"/>
          <w:szCs w:val="24"/>
        </w:rPr>
      </w:pPr>
      <w:r w:rsidRPr="00017648">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5DA6656" wp14:editId="7694B91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FC818" w14:textId="77777777" w:rsidR="00C82165" w:rsidRPr="007F6133" w:rsidRDefault="00C82165" w:rsidP="00C8216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11C257F" w14:textId="77777777" w:rsidR="00C82165" w:rsidRDefault="00C82165" w:rsidP="00C8216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7E4147A"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6996C3D8" w14:textId="77777777" w:rsidR="00DA6A7F" w:rsidRDefault="00DA6A7F" w:rsidP="00C82165">
                            <w:pPr>
                              <w:spacing w:after="0" w:line="240" w:lineRule="auto"/>
                              <w:jc w:val="center"/>
                              <w:rPr>
                                <w:rFonts w:ascii="Palatino Linotype" w:hAnsi="Palatino Linotype"/>
                                <w:sz w:val="24"/>
                                <w:szCs w:val="24"/>
                              </w:rPr>
                            </w:pPr>
                          </w:p>
                          <w:p w14:paraId="0FD75EBE" w14:textId="77777777" w:rsidR="00C82165" w:rsidRDefault="00C82165" w:rsidP="00C82165">
                            <w:pPr>
                              <w:spacing w:after="0" w:line="240" w:lineRule="auto"/>
                              <w:jc w:val="center"/>
                              <w:rPr>
                                <w:rFonts w:ascii="Palatino Linotype" w:hAnsi="Palatino Linotype"/>
                                <w:b/>
                                <w:sz w:val="24"/>
                                <w:szCs w:val="24"/>
                              </w:rPr>
                            </w:pPr>
                          </w:p>
                          <w:p w14:paraId="545A5E30" w14:textId="77777777" w:rsidR="00C82165" w:rsidRDefault="00C82165" w:rsidP="00C82165">
                            <w:pPr>
                              <w:jc w:val="center"/>
                              <w:rPr>
                                <w:rFonts w:ascii="Palatino Linotype" w:hAnsi="Palatino Linotype"/>
                                <w:sz w:val="24"/>
                                <w:szCs w:val="24"/>
                              </w:rPr>
                            </w:pPr>
                          </w:p>
                          <w:p w14:paraId="29DC3600" w14:textId="77777777" w:rsidR="00C82165" w:rsidRPr="00EF2FC0" w:rsidRDefault="00C82165" w:rsidP="00C82165">
                            <w:pPr>
                              <w:jc w:val="center"/>
                              <w:rPr>
                                <w:rFonts w:ascii="Palatino Linotype" w:hAnsi="Palatino Linotype"/>
                                <w:sz w:val="24"/>
                                <w:szCs w:val="24"/>
                              </w:rPr>
                            </w:pPr>
                          </w:p>
                          <w:p w14:paraId="00105A52" w14:textId="77777777" w:rsidR="00C82165" w:rsidRDefault="00C82165" w:rsidP="00C82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A6656" id="Cuadro de texto 24" o:spid="_x0000_s1032" type="#_x0000_t202" style="position:absolute;margin-left:0;margin-top:16pt;width:248.25pt;height:74.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ka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saU&#10;WGbwjRYbVnkglSBRNBEIelCm2oUpoh8d4mPzBRp87n4/4GbKvpHepD/mRdCPgu/2IiMV4bh5OpyM&#10;zs8nlHD0XYxHF2gjfXE47XyIXwUYkoySenzErC3b3obYQntIuiyAVtWN0jovUuGIhfZky/DJdcwx&#10;IvkLlLakLunZ6WSQiV/4cukdGJarNxiQT9t0ncgl1oWVFGqVyFbcaZEw2n4XEiXOgrwRI+Nc2H2c&#10;GZ1QEjN6z8EOf4jqPYfbPPBEvhls3B82yoJvVXopbfWzF0a2eHzDo7yTGZtlk2vrrC+UJVQ7rB8P&#10;bSMGx28UPvItC/GBeew8LBmcJvEeP1IDPhJ0FiVr8L/f2k94bAj0UlJjJ5c0/NowLyjR3yy2ysVw&#10;PE6tnxfjyfkIF/7Yszz22I1ZAFbOEOeW49lM+Kh7U3owzzh05ulWdDHL8e6Sxt5cxHa+4NDiYj7P&#10;IGx2x+KtfXQ8USeVUwk/Nc/Mu67OU7PdQd/zbPqq3FtsOmlhvokgVe6FpHOraqc/DorcTd1QS5Po&#10;eJ1Rh9E7+wMAAP//AwBQSwMEFAAGAAgAAAAhAGdB3yzdAAAABwEAAA8AAABkcnMvZG93bnJldi54&#10;bWxMj0FLw0AQhe+C/2EZwZvd2KYljdmUoIiggli99LbNjkkwOxuy0zb9944nPT2G93jvm2Iz+V4d&#10;cYxdIAO3swQUUh1cR42Bz4/HmwxUZEvO9oHQwBkjbMrLi8LmLpzoHY9bbpSUUMytgZZ5yLWOdYve&#10;xlkYkMT7CqO3LOfYaDfak5T7Xs+TZKW97UgWWjvgfYv19/bgDTynO/uw4Bc8M01vVfWUDWl8Neb6&#10;aqruQDFO/BeGX3xBh1KY9uFALqregDzCBhZzUXHT9WoJai+xLFmCLgv9n7/8AQAA//8DAFBLAQIt&#10;ABQABgAIAAAAIQC2gziS/gAAAOEBAAATAAAAAAAAAAAAAAAAAAAAAABbQ29udGVudF9UeXBlc10u&#10;eG1sUEsBAi0AFAAGAAgAAAAhADj9If/WAAAAlAEAAAsAAAAAAAAAAAAAAAAALwEAAF9yZWxzLy5y&#10;ZWxzUEsBAi0AFAAGAAgAAAAhAL2M2RqaAgAAwgUAAA4AAAAAAAAAAAAAAAAALgIAAGRycy9lMm9E&#10;b2MueG1sUEsBAi0AFAAGAAgAAAAhAGdB3yzdAAAABwEAAA8AAAAAAAAAAAAAAAAA9AQAAGRycy9k&#10;b3ducmV2LnhtbFBLBQYAAAAABAAEAPMAAAD+BQAAAAA=&#10;" fillcolor="white [3201]" strokecolor="white [3212]" strokeweight=".5pt">
                <v:textbox>
                  <w:txbxContent>
                    <w:p w14:paraId="412FC818" w14:textId="77777777" w:rsidR="00C82165" w:rsidRPr="007F6133" w:rsidRDefault="00C82165" w:rsidP="00C8216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11C257F" w14:textId="77777777" w:rsidR="00C82165" w:rsidRDefault="00C82165" w:rsidP="00C8216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7E4147A" w14:textId="77777777" w:rsidR="00DA6A7F" w:rsidRDefault="00DA6A7F" w:rsidP="00DA6A7F">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6996C3D8" w14:textId="77777777" w:rsidR="00DA6A7F" w:rsidRDefault="00DA6A7F" w:rsidP="00C82165">
                      <w:pPr>
                        <w:spacing w:after="0" w:line="240" w:lineRule="auto"/>
                        <w:jc w:val="center"/>
                        <w:rPr>
                          <w:rFonts w:ascii="Palatino Linotype" w:hAnsi="Palatino Linotype"/>
                          <w:sz w:val="24"/>
                          <w:szCs w:val="24"/>
                        </w:rPr>
                      </w:pPr>
                    </w:p>
                    <w:p w14:paraId="0FD75EBE" w14:textId="77777777" w:rsidR="00C82165" w:rsidRDefault="00C82165" w:rsidP="00C82165">
                      <w:pPr>
                        <w:spacing w:after="0" w:line="240" w:lineRule="auto"/>
                        <w:jc w:val="center"/>
                        <w:rPr>
                          <w:rFonts w:ascii="Palatino Linotype" w:hAnsi="Palatino Linotype"/>
                          <w:b/>
                          <w:sz w:val="24"/>
                          <w:szCs w:val="24"/>
                        </w:rPr>
                      </w:pPr>
                    </w:p>
                    <w:p w14:paraId="545A5E30" w14:textId="77777777" w:rsidR="00C82165" w:rsidRDefault="00C82165" w:rsidP="00C82165">
                      <w:pPr>
                        <w:jc w:val="center"/>
                        <w:rPr>
                          <w:rFonts w:ascii="Palatino Linotype" w:hAnsi="Palatino Linotype"/>
                          <w:sz w:val="24"/>
                          <w:szCs w:val="24"/>
                        </w:rPr>
                      </w:pPr>
                    </w:p>
                    <w:p w14:paraId="29DC3600" w14:textId="77777777" w:rsidR="00C82165" w:rsidRPr="00EF2FC0" w:rsidRDefault="00C82165" w:rsidP="00C82165">
                      <w:pPr>
                        <w:jc w:val="center"/>
                        <w:rPr>
                          <w:rFonts w:ascii="Palatino Linotype" w:hAnsi="Palatino Linotype"/>
                          <w:sz w:val="24"/>
                          <w:szCs w:val="24"/>
                        </w:rPr>
                      </w:pPr>
                    </w:p>
                    <w:p w14:paraId="00105A52" w14:textId="77777777" w:rsidR="00C82165" w:rsidRDefault="00C82165" w:rsidP="00C82165"/>
                  </w:txbxContent>
                </v:textbox>
                <w10:wrap anchorx="page"/>
              </v:shape>
            </w:pict>
          </mc:Fallback>
        </mc:AlternateContent>
      </w:r>
    </w:p>
    <w:p w14:paraId="6252B286" w14:textId="77777777" w:rsidR="00C82165" w:rsidRPr="00017648" w:rsidRDefault="00C82165" w:rsidP="00C82165">
      <w:pPr>
        <w:spacing w:after="0" w:line="360" w:lineRule="auto"/>
        <w:jc w:val="both"/>
        <w:rPr>
          <w:rFonts w:ascii="Palatino Linotype" w:hAnsi="Palatino Linotype" w:cs="Arial"/>
          <w:sz w:val="24"/>
          <w:szCs w:val="24"/>
        </w:rPr>
      </w:pPr>
    </w:p>
    <w:p w14:paraId="1997B777" w14:textId="77777777" w:rsidR="00C82165" w:rsidRPr="00017648" w:rsidRDefault="00C82165" w:rsidP="00C82165">
      <w:pPr>
        <w:spacing w:after="0" w:line="360" w:lineRule="auto"/>
        <w:jc w:val="both"/>
        <w:rPr>
          <w:rFonts w:ascii="Palatino Linotype" w:hAnsi="Palatino Linotype" w:cs="Arial"/>
          <w:sz w:val="24"/>
          <w:szCs w:val="24"/>
        </w:rPr>
      </w:pPr>
    </w:p>
    <w:p w14:paraId="6C662293" w14:textId="77777777" w:rsidR="00C82165" w:rsidRPr="00017648" w:rsidRDefault="00C82165" w:rsidP="00C82165">
      <w:pPr>
        <w:spacing w:after="0" w:line="360" w:lineRule="auto"/>
        <w:jc w:val="both"/>
        <w:rPr>
          <w:rFonts w:ascii="Palatino Linotype" w:hAnsi="Palatino Linotype" w:cs="Arial"/>
          <w:sz w:val="20"/>
          <w:szCs w:val="20"/>
        </w:rPr>
      </w:pPr>
    </w:p>
    <w:p w14:paraId="25495325" w14:textId="358CA771" w:rsidR="00C82165" w:rsidRPr="00017648" w:rsidRDefault="00C82165" w:rsidP="00C82165">
      <w:pPr>
        <w:spacing w:after="0" w:line="240" w:lineRule="auto"/>
        <w:jc w:val="both"/>
        <w:rPr>
          <w:rFonts w:ascii="Palatino Linotype" w:hAnsi="Palatino Linotype" w:cs="Arial"/>
          <w:sz w:val="20"/>
          <w:szCs w:val="20"/>
        </w:rPr>
      </w:pPr>
      <w:r w:rsidRPr="00017648">
        <w:rPr>
          <w:rFonts w:ascii="Palatino Linotype" w:hAnsi="Palatino Linotype" w:cs="Arial"/>
          <w:sz w:val="20"/>
          <w:szCs w:val="20"/>
        </w:rPr>
        <w:t xml:space="preserve">Esta hoja corresponde a la resolución de fecha </w:t>
      </w:r>
      <w:r w:rsidR="00DA6A7F">
        <w:rPr>
          <w:rFonts w:ascii="Palatino Linotype" w:hAnsi="Palatino Linotype" w:cs="Arial"/>
          <w:sz w:val="20"/>
          <w:szCs w:val="20"/>
        </w:rPr>
        <w:t>tres de julio de dos mil diecinueve</w:t>
      </w:r>
      <w:r w:rsidRPr="00017648">
        <w:rPr>
          <w:rFonts w:ascii="Palatino Linotype" w:hAnsi="Palatino Linotype" w:cs="Arial"/>
          <w:sz w:val="20"/>
          <w:szCs w:val="20"/>
        </w:rPr>
        <w:t xml:space="preserve">, emitida en el recurso de revisión </w:t>
      </w:r>
      <w:r w:rsidR="00F90E4D">
        <w:rPr>
          <w:rFonts w:ascii="Palatino Linotype" w:hAnsi="Palatino Linotype" w:cs="Arial"/>
          <w:bCs/>
          <w:sz w:val="20"/>
          <w:szCs w:val="20"/>
          <w:lang w:eastAsia="es-MX"/>
        </w:rPr>
        <w:t>03065</w:t>
      </w:r>
      <w:r w:rsidRPr="00017648">
        <w:rPr>
          <w:rFonts w:ascii="Palatino Linotype" w:hAnsi="Palatino Linotype" w:cs="Arial"/>
          <w:bCs/>
          <w:sz w:val="20"/>
          <w:szCs w:val="20"/>
          <w:lang w:eastAsia="es-MX"/>
        </w:rPr>
        <w:t>/INFOEM/IP/RR/201</w:t>
      </w:r>
      <w:r w:rsidR="00DA6A7F">
        <w:rPr>
          <w:rFonts w:ascii="Palatino Linotype" w:hAnsi="Palatino Linotype" w:cs="Arial"/>
          <w:bCs/>
          <w:sz w:val="20"/>
          <w:szCs w:val="20"/>
          <w:lang w:eastAsia="es-MX"/>
        </w:rPr>
        <w:t>9</w:t>
      </w:r>
      <w:r w:rsidRPr="00017648">
        <w:rPr>
          <w:rFonts w:ascii="Palatino Linotype" w:hAnsi="Palatino Linotype" w:cs="Arial"/>
          <w:sz w:val="20"/>
          <w:szCs w:val="20"/>
        </w:rPr>
        <w:t>.</w:t>
      </w:r>
    </w:p>
    <w:p w14:paraId="09078218" w14:textId="77777777" w:rsidR="00C82165" w:rsidRPr="00721F45" w:rsidRDefault="00C82165" w:rsidP="00C82165">
      <w:pPr>
        <w:spacing w:after="0" w:line="240" w:lineRule="auto"/>
        <w:rPr>
          <w:rFonts w:ascii="Palatino Linotype" w:hAnsi="Palatino Linotype"/>
          <w:sz w:val="20"/>
          <w:szCs w:val="20"/>
        </w:rPr>
      </w:pPr>
      <w:r w:rsidRPr="00017648">
        <w:rPr>
          <w:rFonts w:ascii="Palatino Linotype" w:hAnsi="Palatino Linotype"/>
          <w:sz w:val="20"/>
          <w:szCs w:val="20"/>
        </w:rPr>
        <w:t>OSAM/MOC</w:t>
      </w:r>
    </w:p>
    <w:p w14:paraId="05F7C3E3" w14:textId="77777777" w:rsidR="000C0F46" w:rsidRDefault="000C0F46" w:rsidP="00C82165">
      <w:pPr>
        <w:autoSpaceDE w:val="0"/>
        <w:autoSpaceDN w:val="0"/>
        <w:adjustRightInd w:val="0"/>
        <w:spacing w:after="0" w:line="360" w:lineRule="auto"/>
        <w:jc w:val="both"/>
        <w:rPr>
          <w:rFonts w:ascii="Palatino Linotype" w:hAnsi="Palatino Linotype"/>
          <w:sz w:val="24"/>
          <w:szCs w:val="24"/>
          <w:lang w:eastAsia="es-MX"/>
        </w:rPr>
      </w:pPr>
    </w:p>
    <w:sectPr w:rsidR="000C0F46"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947F9" w14:textId="77777777" w:rsidR="00393FB7" w:rsidRDefault="00393FB7" w:rsidP="00BF3214">
      <w:pPr>
        <w:spacing w:after="0" w:line="240" w:lineRule="auto"/>
      </w:pPr>
      <w:r>
        <w:separator/>
      </w:r>
    </w:p>
  </w:endnote>
  <w:endnote w:type="continuationSeparator" w:id="0">
    <w:p w14:paraId="3CE1049F" w14:textId="77777777" w:rsidR="00393FB7" w:rsidRDefault="00393FB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D81">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0C4D81">
              <w:rPr>
                <w:rFonts w:ascii="Palatino Linotype" w:hAnsi="Palatino Linotype"/>
                <w:bCs/>
                <w:noProof/>
                <w:sz w:val="20"/>
              </w:rPr>
              <w:t>19</w:t>
            </w:r>
            <w:r w:rsidR="00BF7292">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D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0C4D81">
      <w:rPr>
        <w:rFonts w:ascii="Palatino Linotype" w:hAnsi="Palatino Linotype"/>
        <w:bCs/>
        <w:noProof/>
        <w:sz w:val="20"/>
      </w:rPr>
      <w:t>19</w:t>
    </w:r>
    <w:r w:rsidR="00BF7292">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F301" w14:textId="77777777" w:rsidR="00393FB7" w:rsidRDefault="00393FB7" w:rsidP="00BF3214">
      <w:pPr>
        <w:spacing w:after="0" w:line="240" w:lineRule="auto"/>
      </w:pPr>
      <w:r>
        <w:separator/>
      </w:r>
    </w:p>
  </w:footnote>
  <w:footnote w:type="continuationSeparator" w:id="0">
    <w:p w14:paraId="27DC52C3" w14:textId="77777777" w:rsidR="00393FB7" w:rsidRDefault="00393FB7"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C82165" w14:paraId="35E5EC0A" w14:textId="77777777" w:rsidTr="00AB02FA">
      <w:trPr>
        <w:trHeight w:val="227"/>
      </w:trPr>
      <w:tc>
        <w:tcPr>
          <w:tcW w:w="5099" w:type="dxa"/>
          <w:hideMark/>
        </w:tcPr>
        <w:p w14:paraId="7BC472F9" w14:textId="77777777" w:rsidR="00C82165" w:rsidRDefault="00C82165" w:rsidP="00C8216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1A4BEAD3" w:rsidR="00C82165" w:rsidRDefault="00C82165" w:rsidP="00C82165">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03065/INFOEM/IP/RR/2019</w:t>
          </w:r>
        </w:p>
      </w:tc>
    </w:tr>
    <w:tr w:rsidR="00C82165" w14:paraId="0482DFAC" w14:textId="77777777" w:rsidTr="00AB02FA">
      <w:trPr>
        <w:trHeight w:val="242"/>
      </w:trPr>
      <w:tc>
        <w:tcPr>
          <w:tcW w:w="5099" w:type="dxa"/>
          <w:hideMark/>
        </w:tcPr>
        <w:p w14:paraId="509D07E9" w14:textId="77777777" w:rsidR="00C82165" w:rsidRDefault="00C82165" w:rsidP="00C8216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5A6B9158" w:rsidR="00C82165" w:rsidRDefault="00C82165" w:rsidP="00C82165">
          <w:pPr>
            <w:spacing w:after="120" w:line="256" w:lineRule="auto"/>
            <w:ind w:left="-486" w:right="214" w:firstLine="284"/>
            <w:jc w:val="right"/>
            <w:rPr>
              <w:rFonts w:ascii="Palatino Linotype" w:hAnsi="Palatino Linotype" w:cs="Arial"/>
              <w:szCs w:val="20"/>
            </w:rPr>
          </w:pPr>
          <w:r w:rsidRPr="00C82165">
            <w:rPr>
              <w:rFonts w:ascii="Palatino Linotype" w:hAnsi="Palatino Linotype"/>
              <w:bCs/>
              <w:color w:val="000000"/>
            </w:rPr>
            <w:t>Sistema de Autopistas, Aeropuertos, Servicios Conexos y Auxiliares del Estado de México</w:t>
          </w:r>
        </w:p>
      </w:tc>
    </w:tr>
    <w:tr w:rsidR="00E91508" w14:paraId="7B7E63F5" w14:textId="77777777" w:rsidTr="00AB02FA">
      <w:trPr>
        <w:trHeight w:val="342"/>
      </w:trPr>
      <w:tc>
        <w:tcPr>
          <w:tcW w:w="5099"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E91508" w:rsidRDefault="00E91508"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91508" w14:paraId="25A37BB4" w14:textId="77777777" w:rsidTr="00AB02FA">
      <w:trPr>
        <w:trHeight w:val="227"/>
      </w:trPr>
      <w:tc>
        <w:tcPr>
          <w:tcW w:w="5099"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38FC66BA" w:rsidR="00E91508" w:rsidRDefault="00E91508" w:rsidP="00A1353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A13530">
            <w:rPr>
              <w:rFonts w:ascii="Palatino Linotype" w:hAnsi="Palatino Linotype" w:cs="Arial"/>
              <w:bCs/>
              <w:sz w:val="24"/>
              <w:lang w:eastAsia="es-MX"/>
            </w:rPr>
            <w:t>3065/INFOEM/IP/RR/2019</w:t>
          </w:r>
        </w:p>
      </w:tc>
    </w:tr>
    <w:tr w:rsidR="00E91508" w14:paraId="480BC2A1" w14:textId="77777777" w:rsidTr="00AB02FA">
      <w:trPr>
        <w:trHeight w:val="242"/>
      </w:trPr>
      <w:tc>
        <w:tcPr>
          <w:tcW w:w="5099"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3FDBCBCE" w:rsidR="00E91508" w:rsidRPr="00C82165" w:rsidRDefault="00A13530" w:rsidP="00AB02FA">
          <w:pPr>
            <w:spacing w:after="120" w:line="256" w:lineRule="auto"/>
            <w:ind w:left="-486" w:right="214" w:firstLine="284"/>
            <w:jc w:val="right"/>
            <w:rPr>
              <w:rFonts w:ascii="Palatino Linotype" w:hAnsi="Palatino Linotype" w:cs="Arial"/>
            </w:rPr>
          </w:pPr>
          <w:r w:rsidRPr="00C82165">
            <w:rPr>
              <w:rFonts w:ascii="Palatino Linotype" w:hAnsi="Palatino Linotype"/>
              <w:bCs/>
              <w:color w:val="000000"/>
            </w:rPr>
            <w:t>Sistema de Autopistas, Aeropuertos, Servicios Conexos y Auxiliares del Estado de México</w:t>
          </w:r>
        </w:p>
      </w:tc>
    </w:tr>
    <w:tr w:rsidR="00E91508" w14:paraId="60A059F9" w14:textId="77777777" w:rsidTr="00AB02FA">
      <w:trPr>
        <w:trHeight w:val="342"/>
      </w:trPr>
      <w:tc>
        <w:tcPr>
          <w:tcW w:w="5099"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3285864A" w:rsidR="00E91508" w:rsidRPr="003D23D7" w:rsidRDefault="000C4D81"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E91508" w14:paraId="7854C9FF" w14:textId="77777777" w:rsidTr="00AB02FA">
      <w:trPr>
        <w:trHeight w:val="342"/>
      </w:trPr>
      <w:tc>
        <w:tcPr>
          <w:tcW w:w="5099"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412F"/>
    <w:multiLevelType w:val="hybridMultilevel"/>
    <w:tmpl w:val="EDC05C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1D593B"/>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3"/>
  </w:num>
  <w:num w:numId="4">
    <w:abstractNumId w:val="5"/>
  </w:num>
  <w:num w:numId="5">
    <w:abstractNumId w:val="20"/>
  </w:num>
  <w:num w:numId="6">
    <w:abstractNumId w:val="29"/>
  </w:num>
  <w:num w:numId="7">
    <w:abstractNumId w:val="10"/>
  </w:num>
  <w:num w:numId="8">
    <w:abstractNumId w:val="19"/>
  </w:num>
  <w:num w:numId="9">
    <w:abstractNumId w:val="31"/>
  </w:num>
  <w:num w:numId="10">
    <w:abstractNumId w:val="23"/>
  </w:num>
  <w:num w:numId="11">
    <w:abstractNumId w:val="0"/>
  </w:num>
  <w:num w:numId="12">
    <w:abstractNumId w:val="11"/>
  </w:num>
  <w:num w:numId="13">
    <w:abstractNumId w:val="21"/>
  </w:num>
  <w:num w:numId="14">
    <w:abstractNumId w:val="13"/>
  </w:num>
  <w:num w:numId="15">
    <w:abstractNumId w:val="24"/>
  </w:num>
  <w:num w:numId="16">
    <w:abstractNumId w:val="27"/>
  </w:num>
  <w:num w:numId="17">
    <w:abstractNumId w:val="12"/>
  </w:num>
  <w:num w:numId="18">
    <w:abstractNumId w:val="9"/>
  </w:num>
  <w:num w:numId="19">
    <w:abstractNumId w:val="30"/>
  </w:num>
  <w:num w:numId="20">
    <w:abstractNumId w:val="33"/>
  </w:num>
  <w:num w:numId="21">
    <w:abstractNumId w:val="28"/>
  </w:num>
  <w:num w:numId="22">
    <w:abstractNumId w:val="22"/>
  </w:num>
  <w:num w:numId="23">
    <w:abstractNumId w:val="4"/>
  </w:num>
  <w:num w:numId="24">
    <w:abstractNumId w:val="26"/>
  </w:num>
  <w:num w:numId="25">
    <w:abstractNumId w:val="17"/>
  </w:num>
  <w:num w:numId="26">
    <w:abstractNumId w:val="2"/>
  </w:num>
  <w:num w:numId="27">
    <w:abstractNumId w:val="16"/>
  </w:num>
  <w:num w:numId="28">
    <w:abstractNumId w:val="25"/>
  </w:num>
  <w:num w:numId="29">
    <w:abstractNumId w:val="34"/>
  </w:num>
  <w:num w:numId="30">
    <w:abstractNumId w:val="35"/>
  </w:num>
  <w:num w:numId="31">
    <w:abstractNumId w:val="14"/>
  </w:num>
  <w:num w:numId="32">
    <w:abstractNumId w:val="6"/>
  </w:num>
  <w:num w:numId="33">
    <w:abstractNumId w:val="7"/>
  </w:num>
  <w:num w:numId="34">
    <w:abstractNumId w:val="15"/>
  </w:num>
  <w:num w:numId="35">
    <w:abstractNumId w:val="8"/>
  </w:num>
  <w:num w:numId="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17648"/>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04A1"/>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6F0"/>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4D81"/>
    <w:rsid w:val="000C511F"/>
    <w:rsid w:val="000C620D"/>
    <w:rsid w:val="000C650F"/>
    <w:rsid w:val="000C6549"/>
    <w:rsid w:val="000D172D"/>
    <w:rsid w:val="000D2D00"/>
    <w:rsid w:val="000D2DCA"/>
    <w:rsid w:val="000D3FB5"/>
    <w:rsid w:val="000D419B"/>
    <w:rsid w:val="000D4293"/>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2A34"/>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330"/>
    <w:rsid w:val="001B1D8A"/>
    <w:rsid w:val="001B3637"/>
    <w:rsid w:val="001B3DCE"/>
    <w:rsid w:val="001B5588"/>
    <w:rsid w:val="001B6B1E"/>
    <w:rsid w:val="001B7300"/>
    <w:rsid w:val="001B7445"/>
    <w:rsid w:val="001B7495"/>
    <w:rsid w:val="001B7A62"/>
    <w:rsid w:val="001C0DAA"/>
    <w:rsid w:val="001C150C"/>
    <w:rsid w:val="001C16ED"/>
    <w:rsid w:val="001C225E"/>
    <w:rsid w:val="001C2EBC"/>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8E"/>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2F65"/>
    <w:rsid w:val="003934C5"/>
    <w:rsid w:val="00393680"/>
    <w:rsid w:val="00393B5C"/>
    <w:rsid w:val="00393FB7"/>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52F6"/>
    <w:rsid w:val="003B5A10"/>
    <w:rsid w:val="003B5D68"/>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EBF"/>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CA5"/>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528"/>
    <w:rsid w:val="0045294C"/>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065"/>
    <w:rsid w:val="004F3C5E"/>
    <w:rsid w:val="004F4BE0"/>
    <w:rsid w:val="004F4DA9"/>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3229"/>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970"/>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9B8"/>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0695D"/>
    <w:rsid w:val="0071083C"/>
    <w:rsid w:val="00710E13"/>
    <w:rsid w:val="00710E33"/>
    <w:rsid w:val="00711111"/>
    <w:rsid w:val="00711386"/>
    <w:rsid w:val="0071149E"/>
    <w:rsid w:val="00713ECC"/>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57E1"/>
    <w:rsid w:val="007A6933"/>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179"/>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024"/>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B65"/>
    <w:rsid w:val="00950417"/>
    <w:rsid w:val="009505F1"/>
    <w:rsid w:val="009507D7"/>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6C8"/>
    <w:rsid w:val="0098178F"/>
    <w:rsid w:val="00981817"/>
    <w:rsid w:val="00982CAE"/>
    <w:rsid w:val="00983EFD"/>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D79F6"/>
    <w:rsid w:val="009E031A"/>
    <w:rsid w:val="009E127A"/>
    <w:rsid w:val="009E358F"/>
    <w:rsid w:val="009E3937"/>
    <w:rsid w:val="009E4BBB"/>
    <w:rsid w:val="009F0920"/>
    <w:rsid w:val="009F0D2E"/>
    <w:rsid w:val="009F2D46"/>
    <w:rsid w:val="009F3F85"/>
    <w:rsid w:val="009F5648"/>
    <w:rsid w:val="009F5C70"/>
    <w:rsid w:val="009F6F65"/>
    <w:rsid w:val="00A00432"/>
    <w:rsid w:val="00A02747"/>
    <w:rsid w:val="00A035A1"/>
    <w:rsid w:val="00A038B8"/>
    <w:rsid w:val="00A04DD8"/>
    <w:rsid w:val="00A05CFB"/>
    <w:rsid w:val="00A074B7"/>
    <w:rsid w:val="00A11107"/>
    <w:rsid w:val="00A12093"/>
    <w:rsid w:val="00A1299F"/>
    <w:rsid w:val="00A13530"/>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65F8"/>
    <w:rsid w:val="00A66B81"/>
    <w:rsid w:val="00A66EA6"/>
    <w:rsid w:val="00A6748D"/>
    <w:rsid w:val="00A676BA"/>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25D2"/>
    <w:rsid w:val="00A942C6"/>
    <w:rsid w:val="00A9531E"/>
    <w:rsid w:val="00A976C4"/>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4A08"/>
    <w:rsid w:val="00B56931"/>
    <w:rsid w:val="00B57D5C"/>
    <w:rsid w:val="00B607CE"/>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01B"/>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737"/>
    <w:rsid w:val="00BF4C87"/>
    <w:rsid w:val="00BF4CDB"/>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165"/>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2A0C"/>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2B"/>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BB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66C6"/>
    <w:rsid w:val="00DA6A7F"/>
    <w:rsid w:val="00DB0383"/>
    <w:rsid w:val="00DB0A7C"/>
    <w:rsid w:val="00DB1447"/>
    <w:rsid w:val="00DB207B"/>
    <w:rsid w:val="00DB2788"/>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2E3A"/>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5E4"/>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2E8"/>
    <w:rsid w:val="00F016EE"/>
    <w:rsid w:val="00F01972"/>
    <w:rsid w:val="00F01BDC"/>
    <w:rsid w:val="00F0377E"/>
    <w:rsid w:val="00F03833"/>
    <w:rsid w:val="00F03A65"/>
    <w:rsid w:val="00F03E1B"/>
    <w:rsid w:val="00F03F02"/>
    <w:rsid w:val="00F03FC3"/>
    <w:rsid w:val="00F04D45"/>
    <w:rsid w:val="00F054BC"/>
    <w:rsid w:val="00F054F4"/>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0E4D"/>
    <w:rsid w:val="00F91682"/>
    <w:rsid w:val="00F916B7"/>
    <w:rsid w:val="00F920BD"/>
    <w:rsid w:val="00F93C3B"/>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E8B5-BD84-4D6E-8BF2-E54F36F1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19</Pages>
  <Words>3959</Words>
  <Characters>21778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66</cp:revision>
  <cp:lastPrinted>2019-07-08T19:46:00Z</cp:lastPrinted>
  <dcterms:created xsi:type="dcterms:W3CDTF">2017-12-14T03:29:00Z</dcterms:created>
  <dcterms:modified xsi:type="dcterms:W3CDTF">2019-08-21T16:36:00Z</dcterms:modified>
</cp:coreProperties>
</file>