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626" w:rsidRPr="005744EF" w:rsidRDefault="001A2626" w:rsidP="001A2626">
      <w:pPr>
        <w:spacing w:before="240" w:after="240" w:line="360" w:lineRule="auto"/>
        <w:jc w:val="both"/>
        <w:rPr>
          <w:rFonts w:ascii="Palatino Linotype" w:hAnsi="Palatino Linotype"/>
          <w:b/>
          <w:sz w:val="23"/>
          <w:szCs w:val="23"/>
        </w:rPr>
      </w:pPr>
      <w:r w:rsidRPr="005744EF">
        <w:rPr>
          <w:b/>
          <w:noProof/>
          <w:sz w:val="23"/>
          <w:szCs w:val="23"/>
          <w:lang w:eastAsia="es-MX"/>
        </w:rPr>
        <mc:AlternateContent>
          <mc:Choice Requires="wps">
            <w:drawing>
              <wp:anchor distT="0" distB="0" distL="114300" distR="114300" simplePos="0" relativeHeight="251659264" behindDoc="1" locked="0" layoutInCell="0" allowOverlap="1" wp14:anchorId="4865DD8F" wp14:editId="06F19C8E">
                <wp:simplePos x="0" y="0"/>
                <wp:positionH relativeFrom="margin">
                  <wp:align>center</wp:align>
                </wp:positionH>
                <wp:positionV relativeFrom="margin">
                  <wp:posOffset>3325692</wp:posOffset>
                </wp:positionV>
                <wp:extent cx="7092315" cy="81788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92315" cy="817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A2626" w:rsidRDefault="001A2626" w:rsidP="001A2626">
                            <w:pPr>
                              <w:pStyle w:val="NormalWeb"/>
                              <w:spacing w:before="0" w:beforeAutospacing="0" w:after="0" w:afterAutospacing="0"/>
                              <w:jc w:val="center"/>
                            </w:pPr>
                            <w:r>
                              <w:rPr>
                                <w:rFonts w:ascii="Palatino Linotype" w:hAnsi="Palatino Linotype"/>
                                <w:color w:val="A6A6A6" w:themeColor="background1" w:themeShade="A6"/>
                                <w:sz w:val="72"/>
                                <w:szCs w:val="72"/>
                                <w14:textFill>
                                  <w14:solidFill>
                                    <w14:schemeClr w14:val="bg1">
                                      <w14:alpha w14:val="50000"/>
                                      <w14:lumMod w14:val="65000"/>
                                    </w14:schemeClr>
                                  </w14:solidFill>
                                </w14:textFill>
                              </w:rPr>
                              <w:t xml:space="preserve">VOTO PARTICULAR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65DD8F" id="_x0000_t202" coordsize="21600,21600" o:spt="202" path="m,l,21600r21600,l21600,xe">
                <v:stroke joinstyle="miter"/>
                <v:path gradientshapeok="t" o:connecttype="rect"/>
              </v:shapetype>
              <v:shape id="Cuadro de texto 1" o:spid="_x0000_s1026" type="#_x0000_t202" style="position:absolute;left:0;text-align:left;margin-left:0;margin-top:261.85pt;width:558.45pt;height:64.4pt;rotation:-45;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" o:allowincell="f" filled="f" stroked="f">
                <v:stroke joinstyle="round"/>
                <o:lock v:ext="edit" shapetype="t"/>
                <v:textbox style="mso-fit-shape-to-text:t">
                  <w:txbxContent>
                    <w:p w:rsidR="001A2626" w:rsidRDefault="001A2626" w:rsidP="001A2626">
                      <w:pPr>
                        <w:pStyle w:val="NormalWeb"/>
                        <w:spacing w:before="0" w:beforeAutospacing="0" w:after="0" w:afterAutospacing="0"/>
                        <w:jc w:val="center"/>
                      </w:pPr>
                      <w:r>
                        <w:rPr>
                          <w:rFonts w:ascii="Palatino Linotype" w:hAnsi="Palatino Linotype"/>
                          <w:color w:val="A6A6A6" w:themeColor="background1" w:themeShade="A6"/>
                          <w:sz w:val="72"/>
                          <w:szCs w:val="72"/>
                          <w14:textFill>
                            <w14:solidFill>
                              <w14:schemeClr w14:val="bg1">
                                <w14:alpha w14:val="50000"/>
                                <w14:lumMod w14:val="65000"/>
                              </w14:schemeClr>
                            </w14:solidFill>
                          </w14:textFill>
                        </w:rPr>
                        <w:t xml:space="preserve">VOTO PARTICULAR </w:t>
                      </w:r>
                    </w:p>
                  </w:txbxContent>
                </v:textbox>
                <w10:wrap anchorx="margin" anchory="margin"/>
              </v:shape>
            </w:pict>
          </mc:Fallback>
        </mc:AlternateContent>
      </w:r>
      <w:r w:rsidRPr="005744EF">
        <w:rPr>
          <w:rFonts w:ascii="Palatino Linotype" w:hAnsi="Palatino Linotype"/>
          <w:b/>
          <w:sz w:val="23"/>
          <w:szCs w:val="23"/>
        </w:rPr>
        <w:t xml:space="preserve">VOTO PARTICULAR QUE FORMULA EL COMISIONADO JAVIER MARTÍNEZ CRUZ, EN RELACIÓN CON LA RESOLUCIÓN DICTADA POR EL PLENO DEL INSTITUTO DE TRANSPARENCIA, ACCESO A LA INFORMACIÓN PÚBLICA Y PROTECCIÓN DE DATOS PERSONALES DEL ESTADO DE MÉXICO Y MUNICIPIOS, EN LA </w:t>
      </w:r>
      <w:r w:rsidR="007619E6" w:rsidRPr="005744EF">
        <w:rPr>
          <w:rFonts w:ascii="Palatino Linotype" w:hAnsi="Palatino Linotype"/>
          <w:b/>
          <w:sz w:val="23"/>
          <w:szCs w:val="23"/>
        </w:rPr>
        <w:t xml:space="preserve">VIGÉSIMA </w:t>
      </w:r>
      <w:r w:rsidRPr="005744EF">
        <w:rPr>
          <w:rFonts w:ascii="Palatino Linotype" w:hAnsi="Palatino Linotype"/>
          <w:b/>
          <w:sz w:val="23"/>
          <w:szCs w:val="23"/>
        </w:rPr>
        <w:t xml:space="preserve">SESIÓN ORDINARIA DEL </w:t>
      </w:r>
      <w:r w:rsidR="007619E6" w:rsidRPr="005744EF">
        <w:rPr>
          <w:rFonts w:ascii="Palatino Linotype" w:hAnsi="Palatino Linotype"/>
          <w:b/>
          <w:sz w:val="23"/>
          <w:szCs w:val="23"/>
        </w:rPr>
        <w:t xml:space="preserve">VEINTINUEVE DE MAYO </w:t>
      </w:r>
      <w:r w:rsidRPr="005744EF">
        <w:rPr>
          <w:rFonts w:ascii="Palatino Linotype" w:hAnsi="Palatino Linotype"/>
          <w:b/>
          <w:sz w:val="23"/>
          <w:szCs w:val="23"/>
        </w:rPr>
        <w:t xml:space="preserve">DE DOS MIL DIECINUEVE, EN EL RECURSO DE REVISIÓN </w:t>
      </w:r>
      <w:r w:rsidRPr="005744EF">
        <w:rPr>
          <w:rFonts w:ascii="Palatino Linotype" w:hAnsi="Palatino Linotype"/>
          <w:b/>
          <w:bCs/>
          <w:sz w:val="23"/>
          <w:szCs w:val="23"/>
        </w:rPr>
        <w:t>0</w:t>
      </w:r>
      <w:r w:rsidR="007619E6" w:rsidRPr="005744EF">
        <w:rPr>
          <w:rFonts w:ascii="Palatino Linotype" w:hAnsi="Palatino Linotype"/>
          <w:b/>
          <w:bCs/>
          <w:sz w:val="23"/>
          <w:szCs w:val="23"/>
        </w:rPr>
        <w:t>1512</w:t>
      </w:r>
      <w:r w:rsidRPr="005744EF">
        <w:rPr>
          <w:rFonts w:ascii="Palatino Linotype" w:hAnsi="Palatino Linotype"/>
          <w:b/>
          <w:bCs/>
          <w:sz w:val="23"/>
          <w:szCs w:val="23"/>
        </w:rPr>
        <w:t>/INFOEM/IP/RR/2019.</w:t>
      </w:r>
    </w:p>
    <w:p w:rsidR="001A2626" w:rsidRPr="005744EF" w:rsidRDefault="001A2626" w:rsidP="001A2626">
      <w:pPr>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El Pleno del Instituto de Transparencia, Acceso a la Información Pública y Protección de Datos Personales del Estado de México resolvió por unanimidad de votos, la resolución relativa al recurso de revisión </w:t>
      </w:r>
      <w:r w:rsidRPr="005744EF">
        <w:rPr>
          <w:rFonts w:ascii="Palatino Linotype" w:hAnsi="Palatino Linotype" w:cs="Arial"/>
          <w:b/>
          <w:bCs/>
          <w:sz w:val="23"/>
          <w:szCs w:val="23"/>
          <w:lang w:eastAsia="es-MX"/>
        </w:rPr>
        <w:t>0</w:t>
      </w:r>
      <w:r w:rsidR="007619E6" w:rsidRPr="005744EF">
        <w:rPr>
          <w:rFonts w:ascii="Palatino Linotype" w:hAnsi="Palatino Linotype" w:cs="Arial"/>
          <w:b/>
          <w:bCs/>
          <w:sz w:val="23"/>
          <w:szCs w:val="23"/>
          <w:lang w:eastAsia="es-MX"/>
        </w:rPr>
        <w:t>1512</w:t>
      </w:r>
      <w:r w:rsidRPr="005744EF">
        <w:rPr>
          <w:rFonts w:ascii="Palatino Linotype" w:hAnsi="Palatino Linotype" w:cs="Arial"/>
          <w:b/>
          <w:bCs/>
          <w:sz w:val="23"/>
          <w:szCs w:val="23"/>
          <w:lang w:eastAsia="es-MX"/>
        </w:rPr>
        <w:t xml:space="preserve">/INFOEM/IP/RR/2019, </w:t>
      </w:r>
      <w:r w:rsidRPr="005744EF">
        <w:rPr>
          <w:rFonts w:ascii="Palatino Linotype" w:hAnsi="Palatino Linotype"/>
          <w:sz w:val="23"/>
          <w:szCs w:val="23"/>
        </w:rPr>
        <w:t xml:space="preserve">presentada por la Comisionada </w:t>
      </w:r>
      <w:r w:rsidR="00E6161B">
        <w:rPr>
          <w:rFonts w:ascii="Palatino Linotype" w:hAnsi="Palatino Linotype"/>
          <w:sz w:val="23"/>
          <w:szCs w:val="23"/>
        </w:rPr>
        <w:t>Zulema Martínez Sánchez</w:t>
      </w:r>
      <w:r w:rsidRPr="005744EF">
        <w:rPr>
          <w:rFonts w:ascii="Palatino Linotype" w:hAnsi="Palatino Linotype"/>
          <w:sz w:val="23"/>
          <w:szCs w:val="23"/>
        </w:rPr>
        <w:t xml:space="preserve">, respecto de la cual el Comisionado Javier Martínez Cruz emite </w:t>
      </w:r>
      <w:r w:rsidRPr="005744EF">
        <w:rPr>
          <w:rFonts w:ascii="Palatino Linotype" w:hAnsi="Palatino Linotype"/>
          <w:b/>
          <w:sz w:val="23"/>
          <w:szCs w:val="23"/>
        </w:rPr>
        <w:t>VOTO PARTICULAR</w:t>
      </w:r>
      <w:r w:rsidRPr="005744EF">
        <w:rPr>
          <w:rFonts w:ascii="Palatino Linotype" w:hAnsi="Palatino Linotype"/>
          <w:sz w:val="23"/>
          <w:szCs w:val="23"/>
        </w:rPr>
        <w:t>, con fundamento en el artículo 14 fracción XI de</w:t>
      </w:r>
      <w:bookmarkStart w:id="0" w:name="_GoBack"/>
      <w:r w:rsidRPr="005744EF">
        <w:rPr>
          <w:rFonts w:ascii="Palatino Linotype" w:hAnsi="Palatino Linotype"/>
          <w:sz w:val="23"/>
          <w:szCs w:val="23"/>
        </w:rPr>
        <w:t xml:space="preserve">l Reglamento </w:t>
      </w:r>
      <w:bookmarkEnd w:id="0"/>
      <w:r w:rsidRPr="005744EF">
        <w:rPr>
          <w:rFonts w:ascii="Palatino Linotype" w:hAnsi="Palatino Linotype"/>
          <w:sz w:val="23"/>
          <w:szCs w:val="23"/>
        </w:rPr>
        <w:t>del Instituto de Transparencia, Acceso a la Información Pública y Protección de Personales Datos del Estado de México.</w:t>
      </w:r>
    </w:p>
    <w:p w:rsidR="007619E6" w:rsidRPr="005744EF" w:rsidRDefault="001A2626" w:rsidP="001A2626">
      <w:pPr>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De manera previa a la emisión del presente voto, se debe precisar </w:t>
      </w:r>
      <w:r w:rsidR="007619E6" w:rsidRPr="005744EF">
        <w:rPr>
          <w:rFonts w:ascii="Palatino Linotype" w:hAnsi="Palatino Linotype"/>
          <w:sz w:val="23"/>
          <w:szCs w:val="23"/>
        </w:rPr>
        <w:t>que el particular solicitó a</w:t>
      </w:r>
      <w:r w:rsidRPr="005744EF">
        <w:rPr>
          <w:rFonts w:ascii="Palatino Linotype" w:hAnsi="Palatino Linotype"/>
          <w:sz w:val="23"/>
          <w:szCs w:val="23"/>
        </w:rPr>
        <w:t xml:space="preserve">l </w:t>
      </w:r>
      <w:r w:rsidR="007619E6" w:rsidRPr="005744EF">
        <w:rPr>
          <w:rFonts w:ascii="Palatino Linotype" w:hAnsi="Palatino Linotype"/>
          <w:sz w:val="23"/>
          <w:szCs w:val="23"/>
        </w:rPr>
        <w:t>Ayuntamiento de Tlalnepantla de Baz</w:t>
      </w:r>
      <w:r w:rsidRPr="005744EF">
        <w:rPr>
          <w:rFonts w:ascii="Palatino Linotype" w:hAnsi="Palatino Linotype"/>
          <w:sz w:val="23"/>
          <w:szCs w:val="23"/>
        </w:rPr>
        <w:t>, proporcionara</w:t>
      </w:r>
      <w:r w:rsidR="007619E6" w:rsidRPr="005744EF">
        <w:rPr>
          <w:rFonts w:ascii="Palatino Linotype" w:hAnsi="Palatino Linotype"/>
          <w:sz w:val="23"/>
          <w:szCs w:val="23"/>
        </w:rPr>
        <w:t xml:space="preserve"> lo siguiente:</w:t>
      </w:r>
    </w:p>
    <w:p w:rsidR="007619E6" w:rsidRPr="005744EF" w:rsidRDefault="007619E6" w:rsidP="007619E6">
      <w:pPr>
        <w:ind w:left="851" w:right="901"/>
        <w:jc w:val="both"/>
        <w:rPr>
          <w:rFonts w:ascii="Palatino Linotype" w:hAnsi="Palatino Linotype" w:cs="Arial"/>
          <w:i/>
          <w:sz w:val="21"/>
          <w:szCs w:val="21"/>
          <w:lang w:eastAsia="es-MX"/>
        </w:rPr>
      </w:pPr>
      <w:r w:rsidRPr="00A75128">
        <w:rPr>
          <w:rFonts w:ascii="Palatino Linotype" w:hAnsi="Palatino Linotype" w:cs="Arial"/>
          <w:i/>
          <w:lang w:eastAsia="es-MX"/>
        </w:rPr>
        <w:t>“</w:t>
      </w:r>
      <w:r w:rsidRPr="005744EF">
        <w:rPr>
          <w:rStyle w:val="Ninguno"/>
          <w:rFonts w:ascii="Palatino Linotype" w:hAnsi="Palatino Linotype"/>
          <w:bCs/>
          <w:i/>
          <w:sz w:val="21"/>
          <w:szCs w:val="21"/>
        </w:rPr>
        <w:t xml:space="preserve">Por medio de la presente se me informe los siguientes puntos 1. </w:t>
      </w:r>
      <w:r w:rsidRPr="005744EF">
        <w:rPr>
          <w:rStyle w:val="Ninguno"/>
          <w:rFonts w:ascii="Palatino Linotype" w:hAnsi="Palatino Linotype"/>
          <w:b/>
          <w:bCs/>
          <w:i/>
          <w:sz w:val="21"/>
          <w:szCs w:val="21"/>
        </w:rPr>
        <w:t>Si</w:t>
      </w:r>
      <w:r w:rsidRPr="005744EF">
        <w:rPr>
          <w:rStyle w:val="Ninguno"/>
          <w:rFonts w:ascii="Palatino Linotype" w:hAnsi="Palatino Linotype"/>
          <w:bCs/>
          <w:i/>
          <w:sz w:val="21"/>
          <w:szCs w:val="21"/>
        </w:rPr>
        <w:t xml:space="preserve"> en la subdirección de Tránsito y vialidad </w:t>
      </w:r>
      <w:r w:rsidRPr="005744EF">
        <w:rPr>
          <w:rStyle w:val="Ninguno"/>
          <w:rFonts w:ascii="Palatino Linotype" w:hAnsi="Palatino Linotype"/>
          <w:b/>
          <w:bCs/>
          <w:i/>
          <w:sz w:val="21"/>
          <w:szCs w:val="21"/>
          <w:u w:val="single"/>
        </w:rPr>
        <w:t xml:space="preserve">hay elementos de la subdirección de Seguridad Pública como comisionados haciendo labores de </w:t>
      </w:r>
      <w:proofErr w:type="spellStart"/>
      <w:r w:rsidRPr="005744EF">
        <w:rPr>
          <w:rStyle w:val="Ninguno"/>
          <w:rFonts w:ascii="Palatino Linotype" w:hAnsi="Palatino Linotype"/>
          <w:b/>
          <w:bCs/>
          <w:i/>
          <w:sz w:val="21"/>
          <w:szCs w:val="21"/>
          <w:u w:val="single"/>
        </w:rPr>
        <w:t>de</w:t>
      </w:r>
      <w:proofErr w:type="spellEnd"/>
      <w:r w:rsidRPr="005744EF">
        <w:rPr>
          <w:rStyle w:val="Ninguno"/>
          <w:rFonts w:ascii="Palatino Linotype" w:hAnsi="Palatino Linotype"/>
          <w:b/>
          <w:bCs/>
          <w:i/>
          <w:sz w:val="21"/>
          <w:szCs w:val="21"/>
          <w:u w:val="single"/>
        </w:rPr>
        <w:t xml:space="preserve"> tránsito y vialidad</w:t>
      </w:r>
      <w:r w:rsidRPr="005744EF">
        <w:rPr>
          <w:rStyle w:val="Ninguno"/>
          <w:rFonts w:ascii="Palatino Linotype" w:hAnsi="Palatino Linotype"/>
          <w:bCs/>
          <w:i/>
          <w:sz w:val="21"/>
          <w:szCs w:val="21"/>
        </w:rPr>
        <w:t xml:space="preserve"> 2. </w:t>
      </w:r>
      <w:r w:rsidRPr="005744EF">
        <w:rPr>
          <w:rStyle w:val="Ninguno"/>
          <w:rFonts w:ascii="Palatino Linotype" w:hAnsi="Palatino Linotype"/>
          <w:b/>
          <w:bCs/>
          <w:i/>
          <w:sz w:val="21"/>
          <w:szCs w:val="21"/>
        </w:rPr>
        <w:t>Si</w:t>
      </w:r>
      <w:r w:rsidRPr="005744EF">
        <w:rPr>
          <w:rStyle w:val="Ninguno"/>
          <w:rFonts w:ascii="Palatino Linotype" w:hAnsi="Palatino Linotype"/>
          <w:bCs/>
          <w:i/>
          <w:sz w:val="21"/>
          <w:szCs w:val="21"/>
        </w:rPr>
        <w:t xml:space="preserve"> es que </w:t>
      </w:r>
      <w:r w:rsidRPr="005744EF">
        <w:rPr>
          <w:rStyle w:val="Ninguno"/>
          <w:rFonts w:ascii="Palatino Linotype" w:hAnsi="Palatino Linotype"/>
          <w:b/>
          <w:bCs/>
          <w:i/>
          <w:sz w:val="21"/>
          <w:szCs w:val="21"/>
          <w:u w:val="single"/>
        </w:rPr>
        <w:t>hay elementos de la subdirección de seguridad pública comisionados en la subdirección de tránsito y vialidad que funciones tienen</w:t>
      </w:r>
      <w:r w:rsidRPr="005744EF">
        <w:rPr>
          <w:rStyle w:val="Ninguno"/>
          <w:rFonts w:ascii="Palatino Linotype" w:hAnsi="Palatino Linotype"/>
          <w:bCs/>
          <w:i/>
          <w:sz w:val="21"/>
          <w:szCs w:val="21"/>
        </w:rPr>
        <w:t xml:space="preserve"> 3. </w:t>
      </w:r>
      <w:r w:rsidRPr="005744EF">
        <w:rPr>
          <w:rStyle w:val="Ninguno"/>
          <w:rFonts w:ascii="Palatino Linotype" w:hAnsi="Palatino Linotype"/>
          <w:b/>
          <w:bCs/>
          <w:i/>
          <w:sz w:val="21"/>
          <w:szCs w:val="21"/>
          <w:u w:val="single"/>
        </w:rPr>
        <w:t>Si hay elementos</w:t>
      </w:r>
      <w:r w:rsidRPr="005744EF">
        <w:rPr>
          <w:rStyle w:val="Ninguno"/>
          <w:rFonts w:ascii="Palatino Linotype" w:hAnsi="Palatino Linotype"/>
          <w:bCs/>
          <w:i/>
          <w:sz w:val="21"/>
          <w:szCs w:val="21"/>
        </w:rPr>
        <w:t xml:space="preserve"> de seguridad pública </w:t>
      </w:r>
      <w:r w:rsidRPr="005744EF">
        <w:rPr>
          <w:rStyle w:val="Ninguno"/>
          <w:rFonts w:ascii="Palatino Linotype" w:hAnsi="Palatino Linotype"/>
          <w:b/>
          <w:bCs/>
          <w:i/>
          <w:sz w:val="21"/>
          <w:szCs w:val="21"/>
        </w:rPr>
        <w:t>comisionados en la subdirección de tránsito y vialidad que funciones tienen</w:t>
      </w:r>
      <w:r w:rsidRPr="005744EF">
        <w:rPr>
          <w:rFonts w:ascii="Palatino Linotype" w:hAnsi="Palatino Linotype" w:cs="Arial"/>
          <w:i/>
          <w:sz w:val="21"/>
          <w:szCs w:val="21"/>
          <w:lang w:eastAsia="es-MX"/>
        </w:rPr>
        <w:t>” (Sic)</w:t>
      </w:r>
    </w:p>
    <w:p w:rsidR="007619E6" w:rsidRPr="005744EF" w:rsidRDefault="007619E6" w:rsidP="007619E6">
      <w:pPr>
        <w:ind w:left="851" w:right="901"/>
        <w:jc w:val="both"/>
        <w:rPr>
          <w:rFonts w:ascii="Palatino Linotype" w:hAnsi="Palatino Linotype" w:cs="Arial"/>
          <w:i/>
          <w:sz w:val="21"/>
          <w:szCs w:val="21"/>
          <w:lang w:eastAsia="es-MX"/>
        </w:rPr>
      </w:pPr>
    </w:p>
    <w:p w:rsidR="007619E6" w:rsidRDefault="007619E6" w:rsidP="007619E6">
      <w:pPr>
        <w:ind w:left="851" w:right="901"/>
        <w:jc w:val="both"/>
        <w:rPr>
          <w:rFonts w:ascii="Palatino Linotype" w:hAnsi="Palatino Linotype" w:cs="Arial"/>
          <w:i/>
          <w:sz w:val="21"/>
          <w:szCs w:val="21"/>
          <w:lang w:eastAsia="es-MX"/>
        </w:rPr>
      </w:pPr>
      <w:r w:rsidRPr="005744EF">
        <w:rPr>
          <w:rFonts w:ascii="Palatino Linotype" w:hAnsi="Palatino Linotype" w:cs="Arial"/>
          <w:i/>
          <w:sz w:val="21"/>
          <w:szCs w:val="21"/>
          <w:lang w:eastAsia="es-MX"/>
        </w:rPr>
        <w:lastRenderedPageBreak/>
        <w:t>Énfasis añadido.</w:t>
      </w:r>
    </w:p>
    <w:p w:rsidR="005744EF" w:rsidRPr="005744EF" w:rsidRDefault="005744EF" w:rsidP="007619E6">
      <w:pPr>
        <w:ind w:left="851" w:right="901"/>
        <w:jc w:val="both"/>
        <w:rPr>
          <w:rFonts w:ascii="Palatino Linotype" w:hAnsi="Palatino Linotype" w:cs="Arial"/>
          <w:i/>
          <w:sz w:val="21"/>
          <w:szCs w:val="21"/>
          <w:lang w:eastAsia="es-MX"/>
        </w:rPr>
      </w:pPr>
    </w:p>
    <w:p w:rsidR="001A2626" w:rsidRPr="005744EF" w:rsidRDefault="001A2626" w:rsidP="001A2626">
      <w:pPr>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En respuesta, </w:t>
      </w:r>
      <w:r w:rsidR="007619E6" w:rsidRPr="005744EF">
        <w:rPr>
          <w:rFonts w:ascii="Palatino Linotype" w:hAnsi="Palatino Linotype"/>
          <w:sz w:val="23"/>
          <w:szCs w:val="23"/>
        </w:rPr>
        <w:t xml:space="preserve">el Sujeto Obligado </w:t>
      </w:r>
      <w:r w:rsidR="007619E6" w:rsidRPr="005744EF">
        <w:rPr>
          <w:rFonts w:ascii="Palatino Linotype" w:hAnsi="Palatino Linotype"/>
          <w:sz w:val="23"/>
          <w:szCs w:val="23"/>
          <w:lang w:val="es-ES_tradnl"/>
        </w:rPr>
        <w:t xml:space="preserve">anexó un archivo electrónico denominado </w:t>
      </w:r>
      <w:r w:rsidR="007619E6" w:rsidRPr="005744EF">
        <w:rPr>
          <w:rFonts w:ascii="Palatino Linotype" w:hAnsi="Palatino Linotype"/>
          <w:b/>
          <w:i/>
          <w:sz w:val="23"/>
          <w:szCs w:val="23"/>
          <w:lang w:val="es-ES_tradnl"/>
        </w:rPr>
        <w:t>SAIMEX256.zip</w:t>
      </w:r>
      <w:r w:rsidR="007619E6" w:rsidRPr="005744EF">
        <w:rPr>
          <w:rFonts w:ascii="Palatino Linotype" w:hAnsi="Palatino Linotype"/>
          <w:sz w:val="23"/>
          <w:szCs w:val="23"/>
          <w:lang w:val="es-ES_tradnl"/>
        </w:rPr>
        <w:t>,</w:t>
      </w:r>
      <w:r w:rsidR="007619E6" w:rsidRPr="005744EF">
        <w:rPr>
          <w:rFonts w:ascii="Palatino Linotype" w:hAnsi="Palatino Linotype"/>
          <w:sz w:val="23"/>
          <w:szCs w:val="23"/>
        </w:rPr>
        <w:t xml:space="preserve"> por virtud del cual pretendió atender los requerimientos materia de la solicitud, sin embargo es de mencionar que tal circunstancia no sucedió.</w:t>
      </w:r>
      <w:r w:rsidRPr="005744EF">
        <w:rPr>
          <w:rFonts w:ascii="Palatino Linotype" w:hAnsi="Palatino Linotype"/>
          <w:sz w:val="23"/>
          <w:szCs w:val="23"/>
        </w:rPr>
        <w:t xml:space="preserve"> </w:t>
      </w:r>
    </w:p>
    <w:p w:rsidR="001A2626" w:rsidRPr="005744EF" w:rsidRDefault="001A2626" w:rsidP="001A2626">
      <w:pPr>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Al </w:t>
      </w:r>
      <w:r w:rsidR="007619E6" w:rsidRPr="005744EF">
        <w:rPr>
          <w:rFonts w:ascii="Palatino Linotype" w:hAnsi="Palatino Linotype"/>
          <w:sz w:val="23"/>
          <w:szCs w:val="23"/>
        </w:rPr>
        <w:t>estar inconforme con la respuesta del Sujeto Obligado</w:t>
      </w:r>
      <w:r w:rsidRPr="005744EF">
        <w:rPr>
          <w:rFonts w:ascii="Palatino Linotype" w:hAnsi="Palatino Linotype"/>
          <w:sz w:val="23"/>
          <w:szCs w:val="23"/>
        </w:rPr>
        <w:t xml:space="preserve">, el particular </w:t>
      </w:r>
      <w:r w:rsidR="007619E6" w:rsidRPr="005744EF">
        <w:rPr>
          <w:rFonts w:ascii="Palatino Linotype" w:hAnsi="Palatino Linotype"/>
          <w:sz w:val="23"/>
          <w:szCs w:val="23"/>
        </w:rPr>
        <w:t xml:space="preserve">presento recurso de revisión señalando </w:t>
      </w:r>
      <w:r w:rsidRPr="005744EF">
        <w:rPr>
          <w:rFonts w:ascii="Palatino Linotype" w:hAnsi="Palatino Linotype"/>
          <w:sz w:val="23"/>
          <w:szCs w:val="23"/>
        </w:rPr>
        <w:t xml:space="preserve">como acto impugnado su solicitud y como motivo de inconformidad, que </w:t>
      </w:r>
      <w:r w:rsidR="00A03B09" w:rsidRPr="005744EF">
        <w:rPr>
          <w:rFonts w:ascii="Palatino Linotype" w:hAnsi="Palatino Linotype"/>
          <w:sz w:val="23"/>
          <w:szCs w:val="23"/>
        </w:rPr>
        <w:t>la información requerida no pone en riesgo a la Comisaria de Seguridad Pública, no implica que se le proporcione información del estado de fuerza, datos personales o información relevante</w:t>
      </w:r>
      <w:r w:rsidRPr="005744EF">
        <w:rPr>
          <w:rFonts w:ascii="Palatino Linotype" w:hAnsi="Palatino Linotype"/>
          <w:sz w:val="23"/>
          <w:szCs w:val="23"/>
        </w:rPr>
        <w:t xml:space="preserve">. </w:t>
      </w:r>
    </w:p>
    <w:p w:rsidR="005744EF" w:rsidRPr="005744EF" w:rsidRDefault="001A2626" w:rsidP="00A03B09">
      <w:pPr>
        <w:spacing w:after="0" w:line="360" w:lineRule="auto"/>
        <w:jc w:val="both"/>
        <w:rPr>
          <w:rFonts w:ascii="Palatino Linotype" w:hAnsi="Palatino Linotype"/>
          <w:sz w:val="23"/>
          <w:szCs w:val="23"/>
        </w:rPr>
      </w:pPr>
      <w:r w:rsidRPr="005744EF">
        <w:rPr>
          <w:rFonts w:ascii="Palatino Linotype" w:hAnsi="Palatino Linotype"/>
          <w:sz w:val="23"/>
          <w:szCs w:val="23"/>
        </w:rPr>
        <w:t xml:space="preserve">Por su parte el Sujeto Obligado </w:t>
      </w:r>
      <w:r w:rsidR="00A03B09" w:rsidRPr="005744EF">
        <w:rPr>
          <w:rFonts w:ascii="Palatino Linotype" w:hAnsi="Palatino Linotype"/>
          <w:sz w:val="23"/>
          <w:szCs w:val="23"/>
        </w:rPr>
        <w:t xml:space="preserve">en fecha veintiuno de marzo de dos mil diecinueve presentó su informe justificado, el cual consta de una carpeta comprimida que contiene dos archivos en formato </w:t>
      </w:r>
      <w:proofErr w:type="spellStart"/>
      <w:r w:rsidR="00A03B09" w:rsidRPr="005744EF">
        <w:rPr>
          <w:rFonts w:ascii="Palatino Linotype" w:hAnsi="Palatino Linotype"/>
          <w:sz w:val="23"/>
          <w:szCs w:val="23"/>
        </w:rPr>
        <w:t>pdf</w:t>
      </w:r>
      <w:proofErr w:type="spellEnd"/>
      <w:r w:rsidR="00A03B09" w:rsidRPr="005744EF">
        <w:rPr>
          <w:rFonts w:ascii="Palatino Linotype" w:hAnsi="Palatino Linotype"/>
          <w:sz w:val="23"/>
          <w:szCs w:val="23"/>
        </w:rPr>
        <w:t>, el primero de ellos contiene el oficio suscrito por el servidor público habilitado de la Comisaría General de seguridad Publica por virtud del cual entre otras cosas refiere lo siguiente:</w:t>
      </w:r>
    </w:p>
    <w:p w:rsidR="00A03B09" w:rsidRDefault="00A03B09" w:rsidP="00A03B09">
      <w:pPr>
        <w:spacing w:after="0" w:line="360" w:lineRule="auto"/>
        <w:jc w:val="both"/>
        <w:rPr>
          <w:rFonts w:ascii="Palatino Linotype" w:hAnsi="Palatino Linotype"/>
          <w:sz w:val="24"/>
          <w:szCs w:val="24"/>
        </w:rPr>
      </w:pPr>
      <w:r>
        <w:rPr>
          <w:noProof/>
          <w:lang w:eastAsia="es-MX"/>
        </w:rPr>
        <w:lastRenderedPageBreak/>
        <w:drawing>
          <wp:inline distT="0" distB="0" distL="0" distR="0" wp14:anchorId="7E3C15F5" wp14:editId="54290418">
            <wp:extent cx="5666537" cy="30533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00" t="18645" r="60327" b="29956"/>
                    <a:stretch/>
                  </pic:blipFill>
                  <pic:spPr bwMode="auto">
                    <a:xfrm>
                      <a:off x="0" y="0"/>
                      <a:ext cx="5725116" cy="3084865"/>
                    </a:xfrm>
                    <a:prstGeom prst="rect">
                      <a:avLst/>
                    </a:prstGeom>
                    <a:ln>
                      <a:noFill/>
                    </a:ln>
                    <a:extLst>
                      <a:ext uri="{53640926-AAD7-44D8-BBD7-CCE9431645EC}">
                        <a14:shadowObscured xmlns:a14="http://schemas.microsoft.com/office/drawing/2010/main"/>
                      </a:ext>
                    </a:extLst>
                  </pic:spPr>
                </pic:pic>
              </a:graphicData>
            </a:graphic>
          </wp:inline>
        </w:drawing>
      </w:r>
    </w:p>
    <w:p w:rsidR="00A03B09" w:rsidRDefault="00A03B09" w:rsidP="00A03B09">
      <w:pPr>
        <w:spacing w:after="0" w:line="360" w:lineRule="auto"/>
        <w:jc w:val="both"/>
        <w:rPr>
          <w:rFonts w:ascii="Palatino Linotype" w:hAnsi="Palatino Linotype"/>
          <w:sz w:val="24"/>
          <w:szCs w:val="24"/>
        </w:rPr>
      </w:pPr>
      <w:r>
        <w:rPr>
          <w:noProof/>
          <w:lang w:eastAsia="es-MX"/>
        </w:rPr>
        <w:drawing>
          <wp:inline distT="0" distB="0" distL="0" distR="0" wp14:anchorId="60064C02" wp14:editId="5CAB4A92">
            <wp:extent cx="5597525" cy="2226365"/>
            <wp:effectExtent l="0" t="0" r="317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11" t="23697" r="57921" b="51875"/>
                    <a:stretch/>
                  </pic:blipFill>
                  <pic:spPr bwMode="auto">
                    <a:xfrm>
                      <a:off x="0" y="0"/>
                      <a:ext cx="5656306" cy="2249745"/>
                    </a:xfrm>
                    <a:prstGeom prst="rect">
                      <a:avLst/>
                    </a:prstGeom>
                    <a:ln>
                      <a:noFill/>
                    </a:ln>
                    <a:extLst>
                      <a:ext uri="{53640926-AAD7-44D8-BBD7-CCE9431645EC}">
                        <a14:shadowObscured xmlns:a14="http://schemas.microsoft.com/office/drawing/2010/main"/>
                      </a:ext>
                    </a:extLst>
                  </pic:spPr>
                </pic:pic>
              </a:graphicData>
            </a:graphic>
          </wp:inline>
        </w:drawing>
      </w:r>
    </w:p>
    <w:p w:rsidR="005744EF" w:rsidRPr="005744EF" w:rsidRDefault="005744EF" w:rsidP="005744EF">
      <w:pPr>
        <w:spacing w:before="240" w:after="240" w:line="360" w:lineRule="auto"/>
        <w:jc w:val="both"/>
        <w:rPr>
          <w:rFonts w:ascii="Palatino Linotype" w:hAnsi="Palatino Linotype"/>
          <w:sz w:val="23"/>
          <w:szCs w:val="23"/>
          <w:lang w:val="es-ES"/>
        </w:rPr>
      </w:pPr>
      <w:r w:rsidRPr="005744EF">
        <w:rPr>
          <w:rFonts w:ascii="Palatino Linotype" w:hAnsi="Palatino Linotype"/>
          <w:sz w:val="23"/>
          <w:szCs w:val="23"/>
        </w:rPr>
        <w:t xml:space="preserve">Del mismo modo </w:t>
      </w:r>
      <w:r w:rsidRPr="005744EF">
        <w:rPr>
          <w:rFonts w:ascii="Palatino Linotype" w:hAnsi="Palatino Linotype"/>
          <w:sz w:val="23"/>
          <w:szCs w:val="23"/>
          <w:lang w:val="es-ES"/>
        </w:rPr>
        <w:t>anexó el Reglamento Interno de la Administración Pública Municipal de Tlalnepantla de Baz, México, en el que se encuentran los artículos que señala en el Informe Justificado con las atribuciones descritas.</w:t>
      </w:r>
    </w:p>
    <w:p w:rsidR="001A2626" w:rsidRPr="005744EF" w:rsidRDefault="005744EF" w:rsidP="001A2626">
      <w:pPr>
        <w:spacing w:before="240" w:after="240" w:line="360" w:lineRule="auto"/>
        <w:jc w:val="both"/>
        <w:rPr>
          <w:rFonts w:ascii="Palatino Linotype" w:hAnsi="Palatino Linotype" w:cs="Arial"/>
          <w:bCs/>
          <w:sz w:val="23"/>
          <w:szCs w:val="23"/>
          <w:lang w:eastAsia="es-MX"/>
        </w:rPr>
      </w:pPr>
      <w:r w:rsidRPr="005744EF">
        <w:rPr>
          <w:rFonts w:ascii="Palatino Linotype" w:hAnsi="Palatino Linotype" w:cs="Arial"/>
          <w:bCs/>
          <w:sz w:val="23"/>
          <w:szCs w:val="23"/>
          <w:lang w:eastAsia="es-MX"/>
        </w:rPr>
        <w:t xml:space="preserve">En mérito de lo anterior, se coincide con la Comisionada Ponente que la información proporcionada por el Sujeto Obligado al momento de rendir su informe justificado </w:t>
      </w:r>
      <w:r w:rsidRPr="005744EF">
        <w:rPr>
          <w:rFonts w:ascii="Palatino Linotype" w:hAnsi="Palatino Linotype" w:cs="Arial"/>
          <w:bCs/>
          <w:sz w:val="23"/>
          <w:szCs w:val="23"/>
          <w:lang w:eastAsia="es-MX"/>
        </w:rPr>
        <w:lastRenderedPageBreak/>
        <w:t xml:space="preserve">modifica su respuesta primigenia, razón por la cual se </w:t>
      </w:r>
      <w:r w:rsidR="001A2626" w:rsidRPr="005744EF">
        <w:rPr>
          <w:rFonts w:ascii="Palatino Linotype" w:hAnsi="Palatino Linotype" w:cs="Arial"/>
          <w:bCs/>
          <w:sz w:val="23"/>
          <w:szCs w:val="23"/>
          <w:lang w:eastAsia="es-MX"/>
        </w:rPr>
        <w:t xml:space="preserve">determinó que en el presente caso se actualizó la causal de sobreseimiento prevista en la fracción </w:t>
      </w:r>
      <w:r w:rsidR="001A2626" w:rsidRPr="005744EF">
        <w:rPr>
          <w:rFonts w:ascii="Palatino Linotype" w:eastAsia="Times New Roman" w:hAnsi="Palatino Linotype" w:cs="Times New Roman"/>
          <w:sz w:val="23"/>
          <w:szCs w:val="23"/>
          <w:lang w:eastAsia="es-ES"/>
        </w:rPr>
        <w:t xml:space="preserve">III del artículo 192 de la Ley de Transparencia y Acceso a la Información Pública del Estado de México y Municipios, es decir, cuando el Sujeto Obligado responsable del acto lo modifique o revoque de tal manera que el recurso de revisión quede sin materia, </w:t>
      </w:r>
      <w:r w:rsidR="001A2626" w:rsidRPr="005744EF">
        <w:rPr>
          <w:rFonts w:ascii="Palatino Linotype" w:hAnsi="Palatino Linotype" w:cs="Arial"/>
          <w:bCs/>
          <w:sz w:val="23"/>
          <w:szCs w:val="23"/>
          <w:lang w:eastAsia="es-MX"/>
        </w:rPr>
        <w:t>no obstante, el documento enviado en alcance al informe justificado, no fue puesto a la vista del particular.</w:t>
      </w:r>
    </w:p>
    <w:p w:rsidR="001A2626" w:rsidRPr="005744EF" w:rsidRDefault="005744EF" w:rsidP="001A2626">
      <w:pPr>
        <w:spacing w:before="240" w:after="240" w:line="360" w:lineRule="auto"/>
        <w:jc w:val="both"/>
        <w:rPr>
          <w:rFonts w:ascii="Palatino Linotype" w:hAnsi="Palatino Linotype" w:cs="Arial"/>
          <w:bCs/>
          <w:sz w:val="23"/>
          <w:szCs w:val="23"/>
          <w:lang w:eastAsia="es-MX"/>
        </w:rPr>
      </w:pPr>
      <w:r w:rsidRPr="005744EF">
        <w:rPr>
          <w:rFonts w:ascii="Palatino Linotype" w:hAnsi="Palatino Linotype" w:cs="Arial"/>
          <w:bCs/>
          <w:sz w:val="23"/>
          <w:szCs w:val="23"/>
          <w:lang w:eastAsia="es-MX"/>
        </w:rPr>
        <w:t>S</w:t>
      </w:r>
      <w:r w:rsidR="001A2626" w:rsidRPr="005744EF">
        <w:rPr>
          <w:rFonts w:ascii="Palatino Linotype" w:hAnsi="Palatino Linotype" w:cs="Arial"/>
          <w:bCs/>
          <w:sz w:val="23"/>
          <w:szCs w:val="23"/>
          <w:lang w:eastAsia="es-MX"/>
        </w:rPr>
        <w:t xml:space="preserve">in embargo, estimo necesario precisar algunas consideraciones procedimentales, toda vez que como fue referido en el párrafo anterior, las partes, y de manera específica los Sujetos Obligados cuentan con un plazo de siete días para rendir su informe justificado, mismo que de conformidad con el artículo 185 fracción III de la Ley de la Materia, deberá hacerse del conocimiento del Recurrente cuando se modifique la respuesta, para que en el plazo de tres días hábiles manifieste lo que a su derecho convenga. </w:t>
      </w:r>
    </w:p>
    <w:p w:rsidR="001A2626" w:rsidRPr="005744EF" w:rsidRDefault="001A2626" w:rsidP="001A2626">
      <w:pPr>
        <w:spacing w:before="240" w:after="240" w:line="360" w:lineRule="auto"/>
        <w:jc w:val="both"/>
        <w:rPr>
          <w:rFonts w:ascii="Palatino Linotype" w:hAnsi="Palatino Linotype" w:cs="Arial"/>
          <w:bCs/>
          <w:sz w:val="23"/>
          <w:szCs w:val="23"/>
          <w:lang w:eastAsia="es-MX"/>
        </w:rPr>
      </w:pPr>
      <w:r w:rsidRPr="005744EF">
        <w:rPr>
          <w:rFonts w:ascii="Palatino Linotype" w:hAnsi="Palatino Linotype" w:cs="Arial"/>
          <w:bCs/>
          <w:sz w:val="23"/>
          <w:szCs w:val="23"/>
          <w:lang w:eastAsia="es-MX"/>
        </w:rPr>
        <w:t>Es así que considero que se coloca al Recurrente en estado de indefensión, al encontrarse imposibilitado para combatir las argumentaciones contenidas en el  informe justificado, esto es así, resultado de no haberse hecho de su conocimiento el contenido del documento que sirvió de apoyo para determinar sobreseer el recurso de revisión.</w:t>
      </w:r>
    </w:p>
    <w:p w:rsidR="001A2626" w:rsidRPr="005744EF" w:rsidRDefault="001A2626" w:rsidP="001A2626">
      <w:pPr>
        <w:spacing w:before="240" w:after="240" w:line="360" w:lineRule="auto"/>
        <w:jc w:val="both"/>
        <w:rPr>
          <w:rFonts w:ascii="Palatino Linotype" w:hAnsi="Palatino Linotype" w:cs="Arial"/>
          <w:bCs/>
          <w:sz w:val="23"/>
          <w:szCs w:val="23"/>
          <w:lang w:eastAsia="es-MX"/>
        </w:rPr>
      </w:pPr>
      <w:r w:rsidRPr="005744EF">
        <w:rPr>
          <w:rFonts w:ascii="Palatino Linotype" w:hAnsi="Palatino Linotype" w:cs="Arial"/>
          <w:bCs/>
          <w:sz w:val="23"/>
          <w:szCs w:val="23"/>
          <w:lang w:eastAsia="es-MX"/>
        </w:rPr>
        <w:t xml:space="preserve">Actuación que trae implícita en sí misma un acto de inconstitucionalidad, al no permitir que el particular se pudiera pronunciar sobre la información novedosa, toda vez que si nos remitimos al contenido del artículo 14 de la Constitución Política de los Estados Unidos Mexicanos, nos encontramos ante </w:t>
      </w:r>
      <w:r w:rsidR="005744EF" w:rsidRPr="005744EF">
        <w:rPr>
          <w:rFonts w:ascii="Palatino Linotype" w:hAnsi="Palatino Linotype" w:cs="Arial"/>
          <w:bCs/>
          <w:sz w:val="23"/>
          <w:szCs w:val="23"/>
          <w:lang w:eastAsia="es-MX"/>
        </w:rPr>
        <w:t>un precepto</w:t>
      </w:r>
      <w:r w:rsidRPr="005744EF">
        <w:rPr>
          <w:rFonts w:ascii="Palatino Linotype" w:hAnsi="Palatino Linotype" w:cs="Arial"/>
          <w:bCs/>
          <w:sz w:val="23"/>
          <w:szCs w:val="23"/>
          <w:lang w:eastAsia="es-MX"/>
        </w:rPr>
        <w:t xml:space="preserve"> jurídico que tutela los derechos fundamentales de los gobernados, al establecer lo siguiente:</w:t>
      </w:r>
    </w:p>
    <w:p w:rsidR="001A2626" w:rsidRPr="005744EF" w:rsidRDefault="001A2626" w:rsidP="001A2626">
      <w:pPr>
        <w:tabs>
          <w:tab w:val="left" w:pos="8647"/>
        </w:tabs>
        <w:spacing w:before="240" w:after="240" w:line="240" w:lineRule="auto"/>
        <w:ind w:left="851" w:right="900"/>
        <w:jc w:val="both"/>
        <w:rPr>
          <w:rFonts w:ascii="Palatino Linotype" w:hAnsi="Palatino Linotype"/>
          <w:i/>
          <w:sz w:val="21"/>
          <w:szCs w:val="21"/>
        </w:rPr>
      </w:pPr>
      <w:r w:rsidRPr="005744EF">
        <w:rPr>
          <w:rFonts w:ascii="Palatino Linotype" w:hAnsi="Palatino Linotype"/>
          <w:b/>
          <w:i/>
          <w:sz w:val="21"/>
          <w:szCs w:val="21"/>
        </w:rPr>
        <w:lastRenderedPageBreak/>
        <w:t xml:space="preserve">“Artículo 14. </w:t>
      </w:r>
      <w:r w:rsidRPr="005744EF">
        <w:rPr>
          <w:rFonts w:ascii="Palatino Linotype" w:hAnsi="Palatino Linotype"/>
          <w:i/>
          <w:sz w:val="21"/>
          <w:szCs w:val="21"/>
        </w:rPr>
        <w:t xml:space="preserve">A ninguna ley se dará efecto retroactivo en perjuicio de persona alguna. </w:t>
      </w:r>
    </w:p>
    <w:p w:rsidR="001A2626" w:rsidRPr="005744EF" w:rsidRDefault="001A2626" w:rsidP="001A2626">
      <w:pPr>
        <w:tabs>
          <w:tab w:val="left" w:pos="8647"/>
        </w:tabs>
        <w:spacing w:before="240" w:after="240" w:line="240" w:lineRule="auto"/>
        <w:ind w:left="851" w:right="900"/>
        <w:jc w:val="both"/>
        <w:rPr>
          <w:rFonts w:ascii="Palatino Linotype" w:hAnsi="Palatino Linotype"/>
          <w:i/>
          <w:sz w:val="21"/>
          <w:szCs w:val="21"/>
        </w:rPr>
      </w:pPr>
      <w:r w:rsidRPr="005744EF">
        <w:rPr>
          <w:rFonts w:ascii="Palatino Linotype" w:hAnsi="Palatino Linotype"/>
          <w:i/>
          <w:sz w:val="21"/>
          <w:szCs w:val="21"/>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1A2626" w:rsidRPr="005744EF" w:rsidRDefault="001A2626" w:rsidP="001A2626">
      <w:pPr>
        <w:tabs>
          <w:tab w:val="left" w:pos="8647"/>
        </w:tabs>
        <w:spacing w:before="240" w:after="240" w:line="240" w:lineRule="auto"/>
        <w:ind w:left="851" w:right="900"/>
        <w:jc w:val="both"/>
        <w:rPr>
          <w:rFonts w:ascii="Palatino Linotype" w:hAnsi="Palatino Linotype"/>
          <w:i/>
          <w:sz w:val="21"/>
          <w:szCs w:val="21"/>
        </w:rPr>
      </w:pPr>
      <w:r w:rsidRPr="005744EF">
        <w:rPr>
          <w:rFonts w:ascii="Palatino Linotype" w:hAnsi="Palatino Linotype"/>
          <w:i/>
          <w:sz w:val="21"/>
          <w:szCs w:val="21"/>
        </w:rPr>
        <w:t>En los juicios del orden criminal queda prohibido imponer, por simple analogía, y aún por mayoría de razón, pena alguna que no esté decretada por una ley exactamente aplicable al delito de que se trata.</w:t>
      </w:r>
    </w:p>
    <w:p w:rsidR="001A2626" w:rsidRDefault="001A2626" w:rsidP="001A2626">
      <w:pPr>
        <w:tabs>
          <w:tab w:val="left" w:pos="8647"/>
        </w:tabs>
        <w:spacing w:before="240" w:after="240" w:line="240" w:lineRule="auto"/>
        <w:ind w:left="851" w:right="900"/>
        <w:jc w:val="both"/>
        <w:rPr>
          <w:rFonts w:ascii="Palatino Linotype" w:hAnsi="Palatino Linotype"/>
          <w:i/>
          <w:sz w:val="21"/>
          <w:szCs w:val="21"/>
        </w:rPr>
      </w:pPr>
      <w:r w:rsidRPr="005744EF">
        <w:rPr>
          <w:rFonts w:ascii="Palatino Linotype" w:hAnsi="Palatino Linotype"/>
          <w:i/>
          <w:sz w:val="21"/>
          <w:szCs w:val="21"/>
        </w:rPr>
        <w:t>En los juicios del orden civil, la sentencia definitiva deberá ser conforme a la letra o a la interpretación jurídica de la ley, y a falta de ésta se fundará en los principios generales del derecho.”</w:t>
      </w:r>
    </w:p>
    <w:p w:rsidR="005744EF" w:rsidRPr="005744EF" w:rsidRDefault="005744EF" w:rsidP="001A2626">
      <w:pPr>
        <w:tabs>
          <w:tab w:val="left" w:pos="8647"/>
        </w:tabs>
        <w:spacing w:before="240" w:after="240" w:line="240" w:lineRule="auto"/>
        <w:ind w:left="851" w:right="900"/>
        <w:jc w:val="both"/>
        <w:rPr>
          <w:rFonts w:ascii="Palatino Linotype" w:hAnsi="Palatino Linotype"/>
          <w:i/>
          <w:sz w:val="21"/>
          <w:szCs w:val="21"/>
        </w:rPr>
      </w:pPr>
    </w:p>
    <w:p w:rsidR="001A2626" w:rsidRPr="005744EF" w:rsidRDefault="001A2626" w:rsidP="001A2626">
      <w:pPr>
        <w:tabs>
          <w:tab w:val="left" w:pos="8647"/>
        </w:tabs>
        <w:spacing w:before="240" w:after="240" w:line="360" w:lineRule="auto"/>
        <w:jc w:val="both"/>
        <w:rPr>
          <w:rFonts w:ascii="Palatino Linotype" w:hAnsi="Palatino Linotype"/>
          <w:sz w:val="23"/>
          <w:szCs w:val="23"/>
        </w:rPr>
      </w:pPr>
      <w:r w:rsidRPr="005744EF">
        <w:rPr>
          <w:rFonts w:ascii="Palatino Linotype" w:hAnsi="Palatino Linotype"/>
          <w:sz w:val="23"/>
          <w:szCs w:val="23"/>
        </w:rPr>
        <w:t>De la transcripción anterior, puede advertirse que el texto del artículo 14 Constitucional es muy amplio, sin embargo, establece un eje principal que es la protección a los derechos de los individuos, cuales quiera que sean éstos; por consiguiente las formalidades esenciales del procedimiento son las de conducir el propio procedimiento con las condiciones legales que deben guiar todo proceso, ello para otorgar al posible afectado una razonable oportunidad de defensa para dar cabal cumplimiento a las garantías de seguridad y certeza jurídica. Concebido el principio de seguridad jurídica, como la garantía que se otorga a todo individuo, de que la norma será cumplida; mientras que la certeza jurídica, como el principio que prevale al ciudadano de actuaciones arbitrarias frente al derecho en cuestión.</w:t>
      </w:r>
    </w:p>
    <w:p w:rsidR="001A2626" w:rsidRPr="005744EF" w:rsidRDefault="001A2626" w:rsidP="001A2626">
      <w:pPr>
        <w:tabs>
          <w:tab w:val="left" w:pos="8647"/>
        </w:tabs>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Cuestiones que hacen posible establecer que en el caso concreto, la norma no se cumplió a favor del particular, en virtud de que se pasó por alto lo prescrito en la Ley de la Materia al omitir, la ponencia </w:t>
      </w:r>
      <w:proofErr w:type="spellStart"/>
      <w:r w:rsidRPr="005744EF">
        <w:rPr>
          <w:rFonts w:ascii="Palatino Linotype" w:hAnsi="Palatino Linotype"/>
          <w:sz w:val="23"/>
          <w:szCs w:val="23"/>
        </w:rPr>
        <w:t>resolutora</w:t>
      </w:r>
      <w:proofErr w:type="spellEnd"/>
      <w:r w:rsidRPr="005744EF">
        <w:rPr>
          <w:rFonts w:ascii="Palatino Linotype" w:hAnsi="Palatino Linotype"/>
          <w:sz w:val="23"/>
          <w:szCs w:val="23"/>
        </w:rPr>
        <w:t xml:space="preserve">, hacer del conocimiento del particular el </w:t>
      </w:r>
      <w:r w:rsidRPr="005744EF">
        <w:rPr>
          <w:rFonts w:ascii="Palatino Linotype" w:hAnsi="Palatino Linotype"/>
          <w:sz w:val="23"/>
          <w:szCs w:val="23"/>
        </w:rPr>
        <w:lastRenderedPageBreak/>
        <w:t>contenido del documento proporcionado en alcance al informe justificado, para que éste pudiera manifestar lo que a su derecho conviniera, garantizando así el principio de seguridad jurídica al que todos los gobernados tienen derecho.</w:t>
      </w:r>
    </w:p>
    <w:p w:rsidR="001A2626" w:rsidRPr="005744EF" w:rsidRDefault="001A2626" w:rsidP="001A2626">
      <w:pPr>
        <w:tabs>
          <w:tab w:val="left" w:pos="8647"/>
        </w:tabs>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Por lo tanto, dicha garantía no se debe entender como una simple comunicación a la parte afectada para que tenga conocimiento de un acto que lo pudiera perjudicar, sino que es </w:t>
      </w:r>
      <w:r w:rsidR="005744EF" w:rsidRPr="005744EF">
        <w:rPr>
          <w:rFonts w:ascii="Palatino Linotype" w:hAnsi="Palatino Linotype"/>
          <w:sz w:val="23"/>
          <w:szCs w:val="23"/>
        </w:rPr>
        <w:t>necesario darle</w:t>
      </w:r>
      <w:r w:rsidRPr="005744EF">
        <w:rPr>
          <w:rFonts w:ascii="Palatino Linotype" w:hAnsi="Palatino Linotype"/>
          <w:sz w:val="23"/>
          <w:szCs w:val="23"/>
        </w:rPr>
        <w:t xml:space="preserve"> a conocer el acto de forma completa, clara y abierta, esto es, dar la oportunidad de controvertir las actuaciones que de forma tajante dejen sin materia el medio de impugnación, asimismo, en saber a qué atenerse, con tal grado de certidumbre que no quede en estado de indefensión.</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 xml:space="preserve">Al respecto, se debe partir recordando que todo proceso está constituido: por la existencia y subsistencia de un litigio entre partes, que en la definición de Carnelutti es </w:t>
      </w:r>
      <w:r w:rsidRPr="005744EF">
        <w:rPr>
          <w:rFonts w:ascii="Palatino Linotype" w:hAnsi="Palatino Linotype" w:cs="Arial"/>
          <w:i/>
          <w:sz w:val="23"/>
          <w:szCs w:val="23"/>
        </w:rPr>
        <w:t>"…el conflicto de intereses calificado por la pretensión de uno de los interesados y la resistencia del otro, toda vez que esta oposición de intereses es lo que constituye la materia del proceso..."</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 xml:space="preserve">De manera que, si bien en el asunto que es materia de la resolución que trajo consigo la emisión del presente voto particular, se puede advertir que el Sujeto Obligado modificó la respuesta, y con ello cesaron, desaparecieron o se extinguieron las causas que dieron origen al recurso de revisión ante el surgimiento de una cuestión que deja sin materia el medio ejercido por el Recurrente, también lo es que existe un derecho superior, legalmente reconocido tanto en nuestra Carta Magna como en la Propia Ley de Transparencia y Acceso a la Información Pública del Estado de México y Municipios que faculta a los particulares para acceder a la información en posesión de los Sujetos Obligados que en ejercicio de sus funciones y/o atribuciones generen, administren o posean; y que en la afectación de tal derecho otorga la garantía secundaria del recurso </w:t>
      </w:r>
      <w:r w:rsidRPr="005744EF">
        <w:rPr>
          <w:rFonts w:ascii="Palatino Linotype" w:hAnsi="Palatino Linotype" w:cs="Arial"/>
          <w:sz w:val="23"/>
          <w:szCs w:val="23"/>
        </w:rPr>
        <w:lastRenderedPageBreak/>
        <w:t xml:space="preserve">de revisión, con la finalidad de reparar cualquier posible afectación, que procede en contra de cualquiera de las causas enmarcadas en el artículo 179 de la Ley en comento.  </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Recurso de revisión que debe ser resuelto conforme a lo siguiente:</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b/>
          <w:i/>
          <w:sz w:val="21"/>
          <w:szCs w:val="21"/>
        </w:rPr>
        <w:t>“Artículo 185.</w:t>
      </w:r>
      <w:r w:rsidRPr="005744EF">
        <w:rPr>
          <w:rFonts w:ascii="Palatino Linotype" w:hAnsi="Palatino Linotype"/>
          <w:i/>
          <w:sz w:val="21"/>
          <w:szCs w:val="21"/>
        </w:rPr>
        <w:t xml:space="preserve"> El Instituto resolverá el recurso de revisión conforme a lo siguiente: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I. Interpuesto el recurso de revisión, el sistema electrónico y excepcionalmente, el Presidente del Pleno lo turnará en un plazo no mayor de tres días hábiles, al Comisionado ponente que corresponda, quien deberá proceder a su análisis para que decrete su admisión o su </w:t>
      </w:r>
      <w:proofErr w:type="spellStart"/>
      <w:r w:rsidRPr="005744EF">
        <w:rPr>
          <w:rFonts w:ascii="Palatino Linotype" w:hAnsi="Palatino Linotype"/>
          <w:i/>
          <w:sz w:val="21"/>
          <w:szCs w:val="21"/>
        </w:rPr>
        <w:t>desechamiento</w:t>
      </w:r>
      <w:proofErr w:type="spellEnd"/>
      <w:r w:rsidRPr="005744EF">
        <w:rPr>
          <w:rFonts w:ascii="Palatino Linotype" w:hAnsi="Palatino Linotype"/>
          <w:i/>
          <w:sz w:val="21"/>
          <w:szCs w:val="21"/>
        </w:rPr>
        <w:t>;</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II. Admitido el recurso de revisión, la o el Comisionado ponente deberá integrar un expediente y ponerlo a disposición de las partes, para que, en un plazo máximo de siete días hábiles, manifiesten lo que a su derecho convenga;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III. Recibido el informe justificado, cuando se modifique la respuesta, este se pondrá a disposición del recurrente para que en un plazo de tres días hábiles, manifieste lo que a su derecho convenga;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IV. Dentro del plazo mencionado en la fracción II, las partes podrán ofrecer todo tipo de pruebas o alegatos excepto la confesional por parte de los sujetos obligados y aquéllas que sean contrarias a derecho;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V. La o el Comisionado ponente podrá determinar la celebración de audiencias con las partes durante la sustanciación del recurso de revisión;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VI. Concluido el plazo señalado en la fracción II del presente artículo, la o el Comisionado ponente procederá a decretar el cierre de instrucción; </w:t>
      </w:r>
    </w:p>
    <w:p w:rsidR="001A2626" w:rsidRPr="005744EF" w:rsidRDefault="001A2626" w:rsidP="001A2626">
      <w:pPr>
        <w:spacing w:before="240" w:after="240" w:line="276" w:lineRule="auto"/>
        <w:ind w:left="851" w:right="902"/>
        <w:jc w:val="both"/>
        <w:rPr>
          <w:rFonts w:ascii="Palatino Linotype" w:hAnsi="Palatino Linotype"/>
          <w:i/>
          <w:sz w:val="21"/>
          <w:szCs w:val="21"/>
        </w:rPr>
      </w:pPr>
      <w:r w:rsidRPr="005744EF">
        <w:rPr>
          <w:rFonts w:ascii="Palatino Linotype" w:hAnsi="Palatino Linotype"/>
          <w:i/>
          <w:sz w:val="21"/>
          <w:szCs w:val="21"/>
        </w:rPr>
        <w:t xml:space="preserve">VII. El Instituto no estará obligado a atender la información remitida por el sujeto obligado una vez decretado el cierre de instrucción; y </w:t>
      </w:r>
    </w:p>
    <w:p w:rsidR="001A2626" w:rsidRPr="005744EF" w:rsidRDefault="001A2626" w:rsidP="001A2626">
      <w:pPr>
        <w:spacing w:before="240" w:after="240" w:line="276" w:lineRule="auto"/>
        <w:ind w:left="851" w:right="902"/>
        <w:jc w:val="both"/>
        <w:rPr>
          <w:rFonts w:ascii="Palatino Linotype" w:hAnsi="Palatino Linotype" w:cs="Arial"/>
          <w:i/>
          <w:sz w:val="21"/>
          <w:szCs w:val="21"/>
        </w:rPr>
      </w:pPr>
      <w:r w:rsidRPr="005744EF">
        <w:rPr>
          <w:rFonts w:ascii="Palatino Linotype" w:hAnsi="Palatino Linotype"/>
          <w:i/>
          <w:sz w:val="21"/>
          <w:szCs w:val="21"/>
        </w:rPr>
        <w:t>VIII. Decretado el cierre de instrucción, el expediente pasará a resolución, en un plazo que no podrá exceder de veinte días hábiles.”</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lastRenderedPageBreak/>
        <w:t>Bajo este contexto, la figura de la notificación, es un acto revestido de formalidades que tienen por objeto, principalmente, el seguimiento de un protocolo que el legislador ha considerado suficiente para presumir con alta probabilidad, que el destinatario ha tenido conocimiento completo del acto a notificar.</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En las relatadas circunstancias, la causa que me aparta del contenido a plenitud de la resolución que se dictó, es en torno a una posible vulneración del derecho del particular, al no haberse hecho de su conocimiento la información enviada en informe justificado que modifica la respuesta de origen, toda vez que en su contenido no se encuentran los elementos mínimos para que el gobernado pueda hacer valer sus derechos, lo que implica que se deje abierta la posibilidad de que las autoridades incurran en arbitrariedades.</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En este sentido, se debieron garantizar los derechos del particular para conocer y manifestar su defensa respecto del alcance que contribuyo para dejar sin materia el recurso de revisión, pues como autoridad, el de ordenar “dar vista” de los nuevos elementos aportados, era suficiente para estimar que podía ejercer sus derechos y así estar en oportunidad de ser escuchado.</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 xml:space="preserve">Máxime, que este Instituto de Transparencia, es el Órgano público estatal constitucionalmente autónomo, especializado, independiente, imparcial y colegiado, responsable de garantizar tanto el derecho de acceso a la información pública y la protección de datos personales en posesión de los Sujetos Obligados; lo cual, lo faculta para establecer las determinaciones necesarias tendientes a satisfacer el derecho de acceso a la información de los gobernados en observancia de los principios de publicidad, certeza, eficacia, legalidad, objetividad, profesionalismo, simplicidad, </w:t>
      </w:r>
      <w:r w:rsidRPr="005744EF">
        <w:rPr>
          <w:rFonts w:ascii="Palatino Linotype" w:hAnsi="Palatino Linotype" w:cs="Arial"/>
          <w:sz w:val="23"/>
          <w:szCs w:val="23"/>
        </w:rPr>
        <w:lastRenderedPageBreak/>
        <w:t>rapidez y transparencia ya mencionados; como así se lo permite la fracción II del artículo 2 de la Ley  de Transparencia y Acceso a la Información Pública del Estado de México y Municipios, prevé que son objetivos de la misma proveer lo necesario para garantizar a toda persona el derecho de acceso a la información pública, a través  de procedimientos sencillos, expeditos, oportunos y gratuitos.</w:t>
      </w:r>
    </w:p>
    <w:p w:rsidR="001A2626" w:rsidRPr="005744EF"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 xml:space="preserve">En conclusión, no resulta compatible que no se haya puesto a disposición del particular el informe justificado al ser el medio que permitió allegarse de elementos para sobreseer el recurso de revisión, ante la falta de tutela efectiva al procedimiento enmarcado para la resolución del medio de impugnación, puesto que no se encuentra justificado que la Ponencia </w:t>
      </w:r>
      <w:proofErr w:type="spellStart"/>
      <w:r w:rsidRPr="005744EF">
        <w:rPr>
          <w:rFonts w:ascii="Palatino Linotype" w:hAnsi="Palatino Linotype" w:cs="Arial"/>
          <w:sz w:val="23"/>
          <w:szCs w:val="23"/>
        </w:rPr>
        <w:t>resolutora</w:t>
      </w:r>
      <w:proofErr w:type="spellEnd"/>
      <w:r w:rsidRPr="005744EF">
        <w:rPr>
          <w:rFonts w:ascii="Palatino Linotype" w:hAnsi="Palatino Linotype" w:cs="Arial"/>
          <w:sz w:val="23"/>
          <w:szCs w:val="23"/>
        </w:rPr>
        <w:t xml:space="preserve"> haya negado el acceso al mismo, y por otro lado, que sean documentos que permiten que lo establecido en la fracción III del artículo </w:t>
      </w:r>
      <w:r w:rsidR="005744EF" w:rsidRPr="005744EF">
        <w:rPr>
          <w:rFonts w:ascii="Palatino Linotype" w:hAnsi="Palatino Linotype" w:cs="Arial"/>
          <w:sz w:val="23"/>
          <w:szCs w:val="23"/>
        </w:rPr>
        <w:t>1</w:t>
      </w:r>
      <w:r w:rsidRPr="005744EF">
        <w:rPr>
          <w:rFonts w:ascii="Palatino Linotype" w:hAnsi="Palatino Linotype" w:cs="Arial"/>
          <w:sz w:val="23"/>
          <w:szCs w:val="23"/>
        </w:rPr>
        <w:t xml:space="preserve">92 de la Ley de la Materia,  se actualice, toda vez que en ningún momento se le permitió a la particular que manifestara su conformidad con la documentación enviada o su descontento con la misma. </w:t>
      </w:r>
    </w:p>
    <w:p w:rsidR="001A2626" w:rsidRDefault="001A2626" w:rsidP="001A2626">
      <w:pPr>
        <w:spacing w:before="240" w:after="240" w:line="360" w:lineRule="auto"/>
        <w:jc w:val="both"/>
        <w:rPr>
          <w:rFonts w:ascii="Palatino Linotype" w:hAnsi="Palatino Linotype" w:cs="Arial"/>
          <w:sz w:val="23"/>
          <w:szCs w:val="23"/>
        </w:rPr>
      </w:pPr>
      <w:r w:rsidRPr="005744EF">
        <w:rPr>
          <w:rFonts w:ascii="Palatino Linotype" w:hAnsi="Palatino Linotype" w:cs="Arial"/>
          <w:sz w:val="23"/>
          <w:szCs w:val="23"/>
        </w:rPr>
        <w:t xml:space="preserve">Sirve de apoyo el criterio emitido por el </w:t>
      </w:r>
      <w:r w:rsidRPr="005744EF">
        <w:rPr>
          <w:rFonts w:ascii="Palatino Linotype" w:hAnsi="Palatino Linotype" w:cs="Calibri"/>
          <w:sz w:val="23"/>
          <w:szCs w:val="23"/>
        </w:rPr>
        <w:t xml:space="preserve">Décimo Quinto Tribunal Colegiado en Materia Administrativa del Primer Circuito, </w:t>
      </w:r>
      <w:r w:rsidRPr="005744EF">
        <w:rPr>
          <w:rFonts w:ascii="Palatino Linotype" w:hAnsi="Palatino Linotype" w:cs="Arial"/>
          <w:sz w:val="23"/>
          <w:szCs w:val="23"/>
        </w:rPr>
        <w:t xml:space="preserve">localizable en la Tesis </w:t>
      </w:r>
      <w:r w:rsidRPr="005744EF">
        <w:rPr>
          <w:rFonts w:ascii="Palatino Linotype" w:hAnsi="Palatino Linotype" w:cstheme="minorHAnsi"/>
          <w:sz w:val="23"/>
          <w:szCs w:val="23"/>
        </w:rPr>
        <w:t>I</w:t>
      </w:r>
      <w:r w:rsidRPr="005744EF">
        <w:rPr>
          <w:rFonts w:ascii="Palatino Linotype" w:hAnsi="Palatino Linotype" w:cs="Arial"/>
          <w:sz w:val="23"/>
          <w:szCs w:val="23"/>
        </w:rPr>
        <w:t xml:space="preserve">.15o.A.2 K publicada en el Semanario Judicial de la Federación y su Gaceta, Décima Época, </w:t>
      </w:r>
      <w:r w:rsidRPr="005744EF">
        <w:rPr>
          <w:rFonts w:ascii="Palatino Linotype" w:hAnsi="Palatino Linotype"/>
          <w:sz w:val="23"/>
          <w:szCs w:val="23"/>
        </w:rPr>
        <w:t xml:space="preserve">Libro X, de julio de 2012, página 2035, de rubro y texto </w:t>
      </w:r>
      <w:r w:rsidRPr="005744EF">
        <w:rPr>
          <w:rFonts w:ascii="Palatino Linotype" w:hAnsi="Palatino Linotype" w:cs="Arial"/>
          <w:sz w:val="23"/>
          <w:szCs w:val="23"/>
        </w:rPr>
        <w:t>siguiente:</w:t>
      </w:r>
    </w:p>
    <w:p w:rsidR="005744EF" w:rsidRPr="005744EF" w:rsidRDefault="005744EF" w:rsidP="001A2626">
      <w:pPr>
        <w:spacing w:before="240" w:after="240" w:line="360" w:lineRule="auto"/>
        <w:jc w:val="both"/>
        <w:rPr>
          <w:rFonts w:ascii="Palatino Linotype" w:hAnsi="Palatino Linotype" w:cs="Arial"/>
          <w:sz w:val="23"/>
          <w:szCs w:val="23"/>
        </w:rPr>
      </w:pPr>
    </w:p>
    <w:p w:rsidR="001A2626" w:rsidRPr="005744EF" w:rsidRDefault="001A2626" w:rsidP="001A2626">
      <w:pPr>
        <w:spacing w:line="276" w:lineRule="auto"/>
        <w:ind w:left="851" w:right="900"/>
        <w:jc w:val="both"/>
        <w:rPr>
          <w:rFonts w:ascii="Palatino Linotype" w:hAnsi="Palatino Linotype"/>
          <w:i/>
          <w:sz w:val="21"/>
          <w:szCs w:val="21"/>
        </w:rPr>
      </w:pPr>
      <w:r w:rsidRPr="005744EF">
        <w:rPr>
          <w:rFonts w:ascii="Palatino Linotype" w:hAnsi="Palatino Linotype"/>
          <w:b/>
          <w:i/>
          <w:sz w:val="21"/>
          <w:szCs w:val="21"/>
        </w:rPr>
        <w:t>“PRINCIPIOS DE CONTRADICCIÓN E IGUALDAD DE ARMAS PREVISTOS EN EL DERECHO INTERNACIONAL DE LOS DERECHOS HUMANOS. RIGEN EL PROCEDIMIENTO DEL JUICIO DE AMPARO INDIRECTO</w:t>
      </w:r>
      <w:r w:rsidRPr="005744EF">
        <w:rPr>
          <w:rFonts w:ascii="Palatino Linotype" w:hAnsi="Palatino Linotype"/>
          <w:i/>
          <w:sz w:val="21"/>
          <w:szCs w:val="21"/>
        </w:rPr>
        <w:t xml:space="preserve">. El derecho al debido proceso reconocido a favor de los gobernados en </w:t>
      </w:r>
      <w:r w:rsidRPr="005744EF">
        <w:rPr>
          <w:rFonts w:ascii="Palatino Linotype" w:hAnsi="Palatino Linotype"/>
          <w:i/>
          <w:sz w:val="21"/>
          <w:szCs w:val="21"/>
        </w:rPr>
        <w:lastRenderedPageBreak/>
        <w:t xml:space="preserve">el artículo 14 constitucional lleva implícita la necesidad de que en todo procedimiento, como el del juicio de amparo, rijan diversos principios establecidos en la ley, la jurisprudencia, la doctrina y el derecho internacional de los derechos humanos, como son, entre otros, los de contradicción, legalidad, oportunidad, igualdad de armas, probidad, lealtad y buena fe, libre apreciación de la prueba, economía procesal e inmutabilidad de las resoluciones judiciales. De los anteriores principios destacan el de contradicción y el de igualdad de armas, reconocidos, respectivamente, en los artículos 14, numerales 1 y 3, inciso e), del Pacto Internacional de Derechos Civiles y Políticos y 8, numerales 1 y 2, inciso e), de la Convención Americana sobre Derechos Humanos, cuyo contenido está encaminado a garantizar que las partes contendientes en un juicio tengan los mismos derechos de ser escuchadas, de ofrecer pruebas, alegar y recurrir las resoluciones que no les resulten favorables. El primero de esos principios tiene aplicación en la materia probatoria y su principal objetivo es permitir la refutación, ya que por medio de aquél se posibilita debatir sobre la prueba de la parte contraria, de manera que constituye un examen de veracidad al que son sometidos los medios de convicción, porque a través de este principio se establece que tiene razón o una parte u otra, pero no las dos en el mismo tiempo y en el mismo proceso. </w:t>
      </w:r>
      <w:r w:rsidRPr="005744EF">
        <w:rPr>
          <w:rFonts w:ascii="Palatino Linotype" w:hAnsi="Palatino Linotype"/>
          <w:b/>
          <w:i/>
          <w:sz w:val="21"/>
          <w:szCs w:val="21"/>
        </w:rPr>
        <w:t>El segundo tiene una connotación más amplia, pues exige el reconocimiento a la igualdad, particularmente, cuando en el proceso existe una situación disímil entre las partes, ya sea por su condición económica, social o por el carácter de autoridad con que se actúa, que se refleja en una desigual posibilidad de defensa, siendo evidente su presencia en el derecho administrativo en el que se suele conferir privilegios al Estado en su relación con los administrados</w:t>
      </w:r>
      <w:r w:rsidRPr="005744EF">
        <w:rPr>
          <w:rFonts w:ascii="Palatino Linotype" w:hAnsi="Palatino Linotype"/>
          <w:i/>
          <w:sz w:val="21"/>
          <w:szCs w:val="21"/>
        </w:rPr>
        <w:t xml:space="preserve">. Ahora bien, el resultado de la interpretación sistemática de los artículos 147, 149, 150, 151, 152, 153, 154 y 155 de la Ley de Amparo permite arribar a la conclusión de que en tales preceptos legales se encuentran albergados los principios en comento y éstos rigen el procedimiento en el juicio de amparo, porque esas disposiciones exigen a las autoridades responsables rendir su informe justificado con una anticipación que permita su conocimiento por el quejoso, al menos ocho días antes de la fecha para la celebración de la audiencia constitucional, y determinan que en tal informe se expresen las razones y fundamentos legales que estimen pertinentes para sostener la constitucionalidad del acto reclamado o la improcedencia del juicio y se acompañe, en su caso, copia certificada de las constancias que sean necesarias para apoyarlo; </w:t>
      </w:r>
      <w:r w:rsidRPr="005744EF">
        <w:rPr>
          <w:rFonts w:ascii="Palatino Linotype" w:hAnsi="Palatino Linotype"/>
          <w:b/>
          <w:i/>
          <w:sz w:val="21"/>
          <w:szCs w:val="21"/>
        </w:rPr>
        <w:t xml:space="preserve">obligan a que el informe sea tomado en consideración, aun cuando </w:t>
      </w:r>
      <w:r w:rsidRPr="005744EF">
        <w:rPr>
          <w:rFonts w:ascii="Palatino Linotype" w:hAnsi="Palatino Linotype"/>
          <w:b/>
          <w:i/>
          <w:sz w:val="21"/>
          <w:szCs w:val="21"/>
        </w:rPr>
        <w:lastRenderedPageBreak/>
        <w:t>se rinda fuera del plazo señalado, siempre que las partes hayan tenido oportunidad de conocerlo y de preparar las pruebas que lo desvirtúen</w:t>
      </w:r>
      <w:r w:rsidRPr="005744EF">
        <w:rPr>
          <w:rFonts w:ascii="Palatino Linotype" w:hAnsi="Palatino Linotype"/>
          <w:i/>
          <w:sz w:val="21"/>
          <w:szCs w:val="21"/>
        </w:rPr>
        <w:t>; regulan que las pruebas y alegatos deben ofrecerse, rendirse y formularse en la audiencia y tratándose de la testimonial o la pericial, las partes pueden formular repreguntas; obligan al Juez de Distrito a requerir a las autoridades la expedición de las copias que no hayan sido oportunamente expedidas; e indican que si alguna de las partes objeta de falso un documento, se debe suspender la audiencia constitucional, a efecto de que se presenten las pruebas y contrapruebas relativas a su autenticidad.”</w:t>
      </w:r>
    </w:p>
    <w:p w:rsidR="001A2626" w:rsidRDefault="001A2626" w:rsidP="001A2626">
      <w:pPr>
        <w:spacing w:line="276" w:lineRule="auto"/>
        <w:ind w:left="851" w:right="900"/>
        <w:jc w:val="both"/>
        <w:rPr>
          <w:rFonts w:ascii="Palatino Linotype" w:hAnsi="Palatino Linotype"/>
          <w:i/>
          <w:sz w:val="21"/>
          <w:szCs w:val="21"/>
        </w:rPr>
      </w:pPr>
      <w:r w:rsidRPr="005744EF">
        <w:rPr>
          <w:rFonts w:ascii="Palatino Linotype" w:hAnsi="Palatino Linotype"/>
          <w:i/>
          <w:sz w:val="21"/>
          <w:szCs w:val="21"/>
        </w:rPr>
        <w:t xml:space="preserve">Amparo en revisión 84/2012. Jaime Manuel Figueroa Pérez. 18 de abril de 2012. Unanimidad de votos. Ponente: Armando Cortés Galván. Secretario: Samuel Sánchez </w:t>
      </w:r>
      <w:proofErr w:type="spellStart"/>
      <w:r w:rsidRPr="005744EF">
        <w:rPr>
          <w:rFonts w:ascii="Palatino Linotype" w:hAnsi="Palatino Linotype"/>
          <w:i/>
          <w:sz w:val="21"/>
          <w:szCs w:val="21"/>
        </w:rPr>
        <w:t>Sánchez</w:t>
      </w:r>
      <w:proofErr w:type="spellEnd"/>
      <w:r w:rsidRPr="005744EF">
        <w:rPr>
          <w:rFonts w:ascii="Palatino Linotype" w:hAnsi="Palatino Linotype"/>
          <w:i/>
          <w:sz w:val="21"/>
          <w:szCs w:val="21"/>
        </w:rPr>
        <w:t>.</w:t>
      </w:r>
    </w:p>
    <w:p w:rsidR="005744EF" w:rsidRPr="005744EF" w:rsidRDefault="005744EF" w:rsidP="001A2626">
      <w:pPr>
        <w:spacing w:line="276" w:lineRule="auto"/>
        <w:ind w:left="851" w:right="900"/>
        <w:jc w:val="both"/>
        <w:rPr>
          <w:rFonts w:ascii="Palatino Linotype" w:hAnsi="Palatino Linotype"/>
          <w:i/>
          <w:sz w:val="21"/>
          <w:szCs w:val="21"/>
        </w:rPr>
      </w:pPr>
    </w:p>
    <w:p w:rsidR="001A2626" w:rsidRPr="005744EF" w:rsidRDefault="001A2626" w:rsidP="001A2626">
      <w:pPr>
        <w:spacing w:before="240" w:after="240" w:line="360" w:lineRule="auto"/>
        <w:jc w:val="both"/>
        <w:rPr>
          <w:rFonts w:ascii="Palatino Linotype" w:hAnsi="Palatino Linotype"/>
          <w:sz w:val="23"/>
          <w:szCs w:val="23"/>
        </w:rPr>
      </w:pPr>
      <w:r w:rsidRPr="005744EF">
        <w:rPr>
          <w:rFonts w:ascii="Palatino Linotype" w:hAnsi="Palatino Linotype"/>
          <w:sz w:val="23"/>
          <w:szCs w:val="23"/>
        </w:rPr>
        <w:t xml:space="preserve">Finalmente, ante la premisa de que dicha actuación refleja una desigualdad entre las partes, en virtud de que el Sujeto Obligado conoce todas las actuaciones que obran en el expediente electrónico, mientras que al particular se le notifica una resolución en la que se determinó sobreseer el asunto materia de la </w:t>
      </w:r>
      <w:proofErr w:type="spellStart"/>
      <w:r w:rsidRPr="005744EF">
        <w:rPr>
          <w:rFonts w:ascii="Palatino Linotype" w:hAnsi="Palatino Linotype"/>
          <w:i/>
          <w:sz w:val="23"/>
          <w:szCs w:val="23"/>
        </w:rPr>
        <w:t>litis</w:t>
      </w:r>
      <w:proofErr w:type="spellEnd"/>
      <w:r w:rsidRPr="005744EF">
        <w:rPr>
          <w:rFonts w:ascii="Palatino Linotype" w:hAnsi="Palatino Linotype"/>
          <w:sz w:val="23"/>
          <w:szCs w:val="23"/>
        </w:rPr>
        <w:t xml:space="preserve"> ante la modificación de la respuesta, es importante mencionar que en la sustanciación de los procesos, debe prevalecer entre otros, el principio de igualdad de oportunidades, que exhorta a los Órganos Garantes a salvaguardar la igualdad de las partes, en especial en los casos en los que se adviertan situaciones distintas entre estas, que se reflejen en una desigual posibilidad de defensa, por lo que, la facultad potestativa de los Órganos Garantes para tomar en consideración los alcances a los informes justificados que sean proporcionados por los Sujetos Obligados, aun cuando se rinda fuera del plazo señalado por las disposiciones de la materia, debe ajustarse a derecho permitiendo que las partes tengan oportunidad de conocer  la información y de preparar las pruebas que considere convenientes a su derecho. </w:t>
      </w:r>
    </w:p>
    <w:p w:rsidR="001A2626" w:rsidRPr="005744EF" w:rsidRDefault="001A2626" w:rsidP="001A2626">
      <w:pPr>
        <w:spacing w:before="240" w:after="0" w:line="360" w:lineRule="auto"/>
        <w:jc w:val="both"/>
        <w:rPr>
          <w:rFonts w:ascii="Palatino Linotype" w:hAnsi="Palatino Linotype" w:cs="Arial"/>
          <w:sz w:val="23"/>
          <w:szCs w:val="23"/>
        </w:rPr>
      </w:pPr>
      <w:r w:rsidRPr="005744EF">
        <w:rPr>
          <w:rFonts w:ascii="Palatino Linotype" w:hAnsi="Palatino Linotype" w:cs="Arial"/>
          <w:sz w:val="23"/>
          <w:szCs w:val="23"/>
        </w:rPr>
        <w:lastRenderedPageBreak/>
        <w:t>Por todo lo expuesto, es que formulo el presente voto particular, en los términos precisados, considerando que las reflexiones aquí expuestas hubieran resultado importantes para emitir una resolución más apegada a Derecho.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tblGrid>
      <w:tr w:rsidR="001A2626" w:rsidRPr="005744EF" w:rsidTr="002E081F">
        <w:trPr>
          <w:trHeight w:val="809"/>
          <w:jc w:val="center"/>
        </w:trPr>
        <w:tc>
          <w:tcPr>
            <w:tcW w:w="4396" w:type="dxa"/>
          </w:tcPr>
          <w:p w:rsidR="001A2626" w:rsidRPr="005744EF" w:rsidRDefault="001A2626" w:rsidP="002E081F">
            <w:pPr>
              <w:jc w:val="center"/>
              <w:rPr>
                <w:rFonts w:ascii="Palatino Linotype" w:hAnsi="Palatino Linotype"/>
                <w:b/>
                <w:sz w:val="23"/>
                <w:szCs w:val="23"/>
              </w:rPr>
            </w:pPr>
          </w:p>
          <w:p w:rsidR="001A2626" w:rsidRPr="005744EF" w:rsidRDefault="001A2626" w:rsidP="002E081F">
            <w:pPr>
              <w:jc w:val="center"/>
              <w:rPr>
                <w:rFonts w:ascii="Palatino Linotype" w:hAnsi="Palatino Linotype"/>
                <w:b/>
                <w:sz w:val="23"/>
                <w:szCs w:val="23"/>
              </w:rPr>
            </w:pPr>
          </w:p>
          <w:p w:rsidR="001A2626" w:rsidRPr="005744EF" w:rsidRDefault="001A2626" w:rsidP="002E081F">
            <w:pPr>
              <w:rPr>
                <w:rFonts w:ascii="Palatino Linotype" w:hAnsi="Palatino Linotype"/>
                <w:b/>
                <w:sz w:val="23"/>
                <w:szCs w:val="23"/>
              </w:rPr>
            </w:pPr>
          </w:p>
          <w:p w:rsidR="001A2626" w:rsidRPr="005744EF" w:rsidRDefault="001A2626" w:rsidP="002E081F">
            <w:pPr>
              <w:jc w:val="center"/>
              <w:rPr>
                <w:rFonts w:ascii="Palatino Linotype" w:hAnsi="Palatino Linotype"/>
                <w:b/>
                <w:sz w:val="23"/>
                <w:szCs w:val="23"/>
              </w:rPr>
            </w:pPr>
          </w:p>
          <w:p w:rsidR="001A2626" w:rsidRPr="005744EF" w:rsidRDefault="001A2626" w:rsidP="002E081F">
            <w:pPr>
              <w:jc w:val="center"/>
              <w:rPr>
                <w:rFonts w:ascii="Palatino Linotype" w:hAnsi="Palatino Linotype"/>
                <w:b/>
                <w:sz w:val="23"/>
                <w:szCs w:val="23"/>
              </w:rPr>
            </w:pPr>
          </w:p>
          <w:p w:rsidR="001A2626" w:rsidRPr="005744EF" w:rsidRDefault="001A2626" w:rsidP="002E081F">
            <w:pPr>
              <w:jc w:val="center"/>
              <w:rPr>
                <w:rFonts w:ascii="Palatino Linotype" w:hAnsi="Palatino Linotype"/>
                <w:b/>
                <w:sz w:val="23"/>
                <w:szCs w:val="23"/>
              </w:rPr>
            </w:pPr>
            <w:r w:rsidRPr="005744EF">
              <w:rPr>
                <w:rFonts w:ascii="Palatino Linotype" w:hAnsi="Palatino Linotype"/>
                <w:b/>
                <w:sz w:val="23"/>
                <w:szCs w:val="23"/>
              </w:rPr>
              <w:t>Javier Martínez Cruz</w:t>
            </w:r>
          </w:p>
        </w:tc>
      </w:tr>
      <w:tr w:rsidR="001A2626" w:rsidRPr="005744EF" w:rsidTr="002E081F">
        <w:trPr>
          <w:trHeight w:val="319"/>
          <w:jc w:val="center"/>
        </w:trPr>
        <w:tc>
          <w:tcPr>
            <w:tcW w:w="4396" w:type="dxa"/>
          </w:tcPr>
          <w:p w:rsidR="001A2626" w:rsidRPr="005744EF" w:rsidRDefault="001A2626" w:rsidP="002E081F">
            <w:pPr>
              <w:jc w:val="center"/>
              <w:rPr>
                <w:rFonts w:ascii="Palatino Linotype" w:hAnsi="Palatino Linotype"/>
                <w:b/>
                <w:sz w:val="23"/>
                <w:szCs w:val="23"/>
              </w:rPr>
            </w:pPr>
            <w:r w:rsidRPr="005744EF">
              <w:rPr>
                <w:rFonts w:ascii="Palatino Linotype" w:hAnsi="Palatino Linotype"/>
                <w:b/>
                <w:sz w:val="23"/>
                <w:szCs w:val="23"/>
              </w:rPr>
              <w:t>Comisionado</w:t>
            </w:r>
          </w:p>
          <w:p w:rsidR="005744EF" w:rsidRPr="005744EF" w:rsidRDefault="005744EF" w:rsidP="002E081F">
            <w:pPr>
              <w:jc w:val="center"/>
              <w:rPr>
                <w:rFonts w:ascii="Palatino Linotype" w:hAnsi="Palatino Linotype"/>
                <w:b/>
                <w:sz w:val="23"/>
                <w:szCs w:val="23"/>
              </w:rPr>
            </w:pPr>
          </w:p>
          <w:p w:rsidR="001A2626" w:rsidRPr="005744EF" w:rsidRDefault="001A2626" w:rsidP="002E081F">
            <w:pPr>
              <w:jc w:val="center"/>
              <w:rPr>
                <w:rFonts w:ascii="Palatino Linotype" w:hAnsi="Palatino Linotype"/>
                <w:sz w:val="23"/>
                <w:szCs w:val="23"/>
              </w:rPr>
            </w:pPr>
          </w:p>
        </w:tc>
      </w:tr>
    </w:tbl>
    <w:p w:rsidR="001A2626" w:rsidRPr="002C45F3" w:rsidRDefault="001A2626" w:rsidP="001A2626">
      <w:pPr>
        <w:spacing w:after="0" w:line="240" w:lineRule="auto"/>
        <w:jc w:val="both"/>
        <w:rPr>
          <w:rFonts w:ascii="Palatino Linotype" w:hAnsi="Palatino Linotype" w:cs="Arial"/>
          <w:sz w:val="24"/>
          <w:szCs w:val="24"/>
        </w:rPr>
      </w:pPr>
    </w:p>
    <w:p w:rsidR="00E4570F" w:rsidRDefault="006F5283"/>
    <w:sectPr w:rsidR="00E4570F" w:rsidSect="00C2172B">
      <w:headerReference w:type="even" r:id="rId8"/>
      <w:headerReference w:type="default" r:id="rId9"/>
      <w:footerReference w:type="default" r:id="rId10"/>
      <w:headerReference w:type="first" r:id="rId11"/>
      <w:pgSz w:w="12240" w:h="15840"/>
      <w:pgMar w:top="1276"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283" w:rsidRDefault="006F5283" w:rsidP="007619E6">
      <w:pPr>
        <w:spacing w:after="0" w:line="240" w:lineRule="auto"/>
      </w:pPr>
      <w:r>
        <w:separator/>
      </w:r>
    </w:p>
  </w:endnote>
  <w:endnote w:type="continuationSeparator" w:id="0">
    <w:p w:rsidR="006F5283" w:rsidRDefault="006F5283" w:rsidP="00761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C6" w:rsidRPr="00986599" w:rsidRDefault="004B31F4" w:rsidP="006558C6">
    <w:pPr>
      <w:pStyle w:val="Piedepgina"/>
      <w:jc w:val="right"/>
      <w:rPr>
        <w:rFonts w:ascii="Arial" w:hAnsi="Arial" w:cs="Arial"/>
        <w:sz w:val="20"/>
        <w:szCs w:val="20"/>
      </w:rPr>
    </w:pP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161B">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161B">
      <w:rPr>
        <w:rFonts w:ascii="Arial" w:hAnsi="Arial" w:cs="Arial"/>
        <w:b/>
        <w:bCs/>
        <w:noProof/>
        <w:sz w:val="20"/>
        <w:szCs w:val="20"/>
      </w:rPr>
      <w:t>12</w:t>
    </w:r>
    <w:r w:rsidRPr="00986599">
      <w:rPr>
        <w:rFonts w:ascii="Arial" w:hAnsi="Arial" w:cs="Arial"/>
        <w:b/>
        <w:bCs/>
        <w:sz w:val="20"/>
        <w:szCs w:val="20"/>
      </w:rPr>
      <w:fldChar w:fldCharType="end"/>
    </w:r>
  </w:p>
  <w:p w:rsidR="006558C6" w:rsidRDefault="006F52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283" w:rsidRDefault="006F5283" w:rsidP="007619E6">
      <w:pPr>
        <w:spacing w:after="0" w:line="240" w:lineRule="auto"/>
      </w:pPr>
      <w:r>
        <w:separator/>
      </w:r>
    </w:p>
  </w:footnote>
  <w:footnote w:type="continuationSeparator" w:id="0">
    <w:p w:rsidR="006F5283" w:rsidRDefault="006F5283" w:rsidP="00761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F9C" w:rsidRDefault="006F528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464110" o:spid="_x0000_s2050" type="#_x0000_t75" style="position:absolute;margin-left:0;margin-top:0;width:598.5pt;height:779.25pt;z-index:-251656192;mso-position-horizontal:center;mso-position-horizontal-relative:margin;mso-position-vertical:center;mso-position-vertical-relative:margin" o:allowincell="f">
          <v:imagedata r:id="rId1" o:title="fondo opinion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7E8" w:rsidRDefault="006F5283" w:rsidP="00C46947">
    <w:pPr>
      <w:pStyle w:val="Encabezado"/>
      <w:jc w:val="right"/>
      <w:rPr>
        <w:rFonts w:ascii="Palatino Linotype" w:hAnsi="Palatino Linotype"/>
        <w:sz w:val="20"/>
        <w:szCs w:val="20"/>
      </w:rPr>
    </w:pPr>
    <w:r>
      <w:rPr>
        <w:rFonts w:ascii="Palatino Linotype" w:hAnsi="Palatino Linotype"/>
        <w:b/>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464111" o:spid="_x0000_s2051" type="#_x0000_t75" style="position:absolute;left:0;text-align:left;margin-left:-80.15pt;margin-top:-114.85pt;width:598.5pt;height:779.25pt;z-index:-251655168;mso-position-horizontal-relative:margin;mso-position-vertical-relative:margin" o:allowincell="f">
          <v:imagedata r:id="rId1" o:title="fondo opinion particular"/>
          <w10:wrap anchorx="margin" anchory="margin"/>
        </v:shape>
      </w:pict>
    </w:r>
  </w:p>
  <w:p w:rsidR="00C46947" w:rsidRPr="0022313A" w:rsidRDefault="004B31F4" w:rsidP="00C46947">
    <w:pPr>
      <w:pStyle w:val="Encabezado"/>
      <w:jc w:val="right"/>
      <w:rPr>
        <w:rFonts w:ascii="Palatino Linotype" w:hAnsi="Palatino Linotype"/>
        <w:b/>
        <w:sz w:val="20"/>
        <w:szCs w:val="20"/>
      </w:rPr>
    </w:pPr>
    <w:r w:rsidRPr="0022313A">
      <w:rPr>
        <w:rFonts w:ascii="Palatino Linotype" w:hAnsi="Palatino Linotype"/>
        <w:b/>
        <w:sz w:val="20"/>
        <w:szCs w:val="20"/>
      </w:rPr>
      <w:t xml:space="preserve">VOTO PARTICULAR </w:t>
    </w:r>
  </w:p>
  <w:p w:rsidR="00C46947" w:rsidRPr="0022313A" w:rsidRDefault="004B31F4" w:rsidP="00C46947">
    <w:pPr>
      <w:pStyle w:val="Encabezado"/>
      <w:jc w:val="right"/>
      <w:rPr>
        <w:rFonts w:ascii="Palatino Linotype" w:hAnsi="Palatino Linotype"/>
        <w:b/>
        <w:sz w:val="20"/>
        <w:szCs w:val="20"/>
      </w:rPr>
    </w:pPr>
    <w:r w:rsidRPr="0022313A">
      <w:rPr>
        <w:rFonts w:ascii="Palatino Linotype" w:hAnsi="Palatino Linotype"/>
        <w:b/>
        <w:sz w:val="20"/>
        <w:szCs w:val="20"/>
      </w:rPr>
      <w:t xml:space="preserve">RECURSO DE REVISIÓN </w:t>
    </w:r>
    <w:r>
      <w:rPr>
        <w:rFonts w:ascii="Palatino Linotype" w:hAnsi="Palatino Linotype" w:cs="Arial"/>
        <w:b/>
        <w:bCs/>
        <w:sz w:val="20"/>
        <w:szCs w:val="20"/>
        <w:lang w:eastAsia="es-MX"/>
      </w:rPr>
      <w:t>0</w:t>
    </w:r>
    <w:r w:rsidR="007619E6">
      <w:rPr>
        <w:rFonts w:ascii="Palatino Linotype" w:hAnsi="Palatino Linotype" w:cs="Arial"/>
        <w:b/>
        <w:bCs/>
        <w:sz w:val="20"/>
        <w:szCs w:val="20"/>
        <w:lang w:eastAsia="es-MX"/>
      </w:rPr>
      <w:t>1512</w:t>
    </w:r>
    <w:r w:rsidRPr="0022313A">
      <w:rPr>
        <w:rFonts w:ascii="Palatino Linotype" w:hAnsi="Palatino Linotype" w:cs="Arial"/>
        <w:b/>
        <w:bCs/>
        <w:sz w:val="20"/>
        <w:szCs w:val="20"/>
        <w:lang w:eastAsia="es-MX"/>
      </w:rPr>
      <w:t>/INFOEM/IP/RR/201</w:t>
    </w:r>
    <w:r>
      <w:rPr>
        <w:rFonts w:ascii="Palatino Linotype" w:hAnsi="Palatino Linotype" w:cs="Arial"/>
        <w:b/>
        <w:bCs/>
        <w:sz w:val="20"/>
        <w:szCs w:val="20"/>
        <w:lang w:eastAsia="es-MX"/>
      </w:rPr>
      <w:t>9</w:t>
    </w:r>
    <w:r w:rsidRPr="0022313A">
      <w:rPr>
        <w:rFonts w:ascii="Palatino Linotype" w:hAnsi="Palatino Linotype" w:cs="Arial"/>
        <w:b/>
        <w:bCs/>
        <w:sz w:val="20"/>
        <w:szCs w:val="20"/>
        <w:lang w:eastAsia="es-MX"/>
      </w:rPr>
      <w:t xml:space="preserve"> </w:t>
    </w:r>
  </w:p>
  <w:p w:rsidR="00F16BC6" w:rsidRPr="00C51F7E" w:rsidRDefault="006F5283" w:rsidP="00C51F7E">
    <w:pPr>
      <w:pStyle w:val="Encabezado"/>
      <w:jc w:val="right"/>
      <w:rPr>
        <w:rFonts w:ascii="Palatino Linotype" w:hAnsi="Palatino Linotype"/>
      </w:rPr>
    </w:pPr>
  </w:p>
  <w:p w:rsidR="00F16BC6" w:rsidRDefault="006F52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F9C" w:rsidRDefault="006F528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464109" o:spid="_x0000_s2049" type="#_x0000_t75" style="position:absolute;margin-left:0;margin-top:0;width:598.5pt;height:779.25pt;z-index:-251657216;mso-position-horizontal:center;mso-position-horizontal-relative:margin;mso-position-vertical:center;mso-position-vertical-relative:margin" o:allowincell="f">
          <v:imagedata r:id="rId1" o:title="fondo opinion particula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626"/>
    <w:rsid w:val="001A2626"/>
    <w:rsid w:val="004164B8"/>
    <w:rsid w:val="004B31F4"/>
    <w:rsid w:val="005744EF"/>
    <w:rsid w:val="006D3739"/>
    <w:rsid w:val="006F5283"/>
    <w:rsid w:val="007619E6"/>
    <w:rsid w:val="007F51D0"/>
    <w:rsid w:val="00A03B09"/>
    <w:rsid w:val="00A51902"/>
    <w:rsid w:val="00BE4381"/>
    <w:rsid w:val="00E616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8FB07CE-791C-4F02-904E-EC9B6819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6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6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626"/>
  </w:style>
  <w:style w:type="paragraph" w:styleId="Piedepgina">
    <w:name w:val="footer"/>
    <w:basedOn w:val="Normal"/>
    <w:link w:val="PiedepginaCar"/>
    <w:uiPriority w:val="99"/>
    <w:unhideWhenUsed/>
    <w:rsid w:val="001A26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626"/>
  </w:style>
  <w:style w:type="table" w:styleId="Tablaconcuadrcula">
    <w:name w:val="Table Grid"/>
    <w:basedOn w:val="Tablanormal"/>
    <w:uiPriority w:val="39"/>
    <w:rsid w:val="001A2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262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Ninguno">
    <w:name w:val="Ninguno"/>
    <w:rsid w:val="007619E6"/>
    <w:rPr>
      <w:lang w:val="es-ES_tradnl"/>
    </w:rPr>
  </w:style>
  <w:style w:type="paragraph" w:styleId="Textodeglobo">
    <w:name w:val="Balloon Text"/>
    <w:basedOn w:val="Normal"/>
    <w:link w:val="TextodegloboCar"/>
    <w:uiPriority w:val="99"/>
    <w:semiHidden/>
    <w:unhideWhenUsed/>
    <w:rsid w:val="007F51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51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12</Pages>
  <Words>2894</Words>
  <Characters>15918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2019-06-03T22:33:00Z</cp:lastPrinted>
  <dcterms:created xsi:type="dcterms:W3CDTF">2019-05-31T18:56:00Z</dcterms:created>
  <dcterms:modified xsi:type="dcterms:W3CDTF">2019-06-03T22:43:00Z</dcterms:modified>
</cp:coreProperties>
</file>