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F7BAF" w14:textId="49B3FE7D" w:rsidR="00327FDE" w:rsidRPr="00FF1532" w:rsidRDefault="00327FDE" w:rsidP="00AF110A">
      <w:pPr>
        <w:spacing w:line="360" w:lineRule="auto"/>
        <w:jc w:val="both"/>
        <w:rPr>
          <w:rFonts w:ascii="Palatino Linotype" w:hAnsi="Palatino Linotype" w:cs="Tahoma"/>
          <w:bCs/>
          <w:sz w:val="22"/>
          <w:szCs w:val="24"/>
        </w:rPr>
      </w:pPr>
      <w:r w:rsidRPr="00FF1532">
        <w:rPr>
          <w:rFonts w:ascii="Palatino Linotype" w:hAnsi="Palatino Linotype" w:cs="Tahoma"/>
          <w:bCs/>
          <w:sz w:val="22"/>
          <w:szCs w:val="24"/>
        </w:rPr>
        <w:t xml:space="preserve">Resolución del Pleno del </w:t>
      </w:r>
      <w:r w:rsidR="002C4AEA" w:rsidRPr="00FF1532">
        <w:rPr>
          <w:rFonts w:ascii="Palatino Linotype" w:hAnsi="Palatino Linotype" w:cs="Tahoma"/>
          <w:bCs/>
          <w:sz w:val="22"/>
          <w:szCs w:val="24"/>
        </w:rPr>
        <w:t>Instituto de Transparencia, Acceso</w:t>
      </w:r>
      <w:r w:rsidRPr="00FF1532">
        <w:rPr>
          <w:rFonts w:ascii="Palatino Linotype" w:hAnsi="Palatino Linotype" w:cs="Tahoma"/>
          <w:bCs/>
          <w:sz w:val="22"/>
          <w:szCs w:val="24"/>
        </w:rPr>
        <w:t xml:space="preserve"> a la Información Pública y Protección de Datos Personales del Estado de México y Municipios, con domicilio en Metepec, Estado de México, de fecha </w:t>
      </w:r>
      <w:r w:rsidR="00B42424">
        <w:rPr>
          <w:rFonts w:ascii="Palatino Linotype" w:hAnsi="Palatino Linotype" w:cs="Tahoma"/>
          <w:bCs/>
          <w:sz w:val="22"/>
          <w:szCs w:val="24"/>
        </w:rPr>
        <w:t>once</w:t>
      </w:r>
      <w:r w:rsidR="00524FE0" w:rsidRPr="00FF1532">
        <w:rPr>
          <w:rFonts w:ascii="Palatino Linotype" w:hAnsi="Palatino Linotype" w:cs="Tahoma"/>
          <w:bCs/>
          <w:sz w:val="22"/>
          <w:szCs w:val="24"/>
        </w:rPr>
        <w:t xml:space="preserve"> d</w:t>
      </w:r>
      <w:r w:rsidR="00B42424">
        <w:rPr>
          <w:rFonts w:ascii="Palatino Linotype" w:hAnsi="Palatino Linotype" w:cs="Tahoma"/>
          <w:bCs/>
          <w:sz w:val="22"/>
          <w:szCs w:val="24"/>
        </w:rPr>
        <w:t>e septiembre</w:t>
      </w:r>
      <w:r w:rsidR="00811941" w:rsidRPr="00FF1532">
        <w:rPr>
          <w:rFonts w:ascii="Palatino Linotype" w:hAnsi="Palatino Linotype" w:cs="Tahoma"/>
          <w:bCs/>
          <w:sz w:val="22"/>
          <w:szCs w:val="24"/>
        </w:rPr>
        <w:t xml:space="preserve"> </w:t>
      </w:r>
      <w:r w:rsidR="005C3AF3" w:rsidRPr="00FF1532">
        <w:rPr>
          <w:rFonts w:ascii="Palatino Linotype" w:hAnsi="Palatino Linotype" w:cs="Tahoma"/>
          <w:bCs/>
          <w:sz w:val="22"/>
          <w:szCs w:val="24"/>
        </w:rPr>
        <w:t>de dos mil diecinueve</w:t>
      </w:r>
      <w:r w:rsidRPr="00FF1532">
        <w:rPr>
          <w:rFonts w:ascii="Palatino Linotype" w:hAnsi="Palatino Linotype" w:cs="Tahoma"/>
          <w:bCs/>
          <w:sz w:val="22"/>
          <w:szCs w:val="24"/>
        </w:rPr>
        <w:t>.</w:t>
      </w:r>
    </w:p>
    <w:p w14:paraId="5598DD3D" w14:textId="77777777" w:rsidR="00B31222" w:rsidRPr="00FF1532" w:rsidRDefault="00B31222" w:rsidP="00AF110A">
      <w:pPr>
        <w:spacing w:line="360" w:lineRule="auto"/>
        <w:rPr>
          <w:rFonts w:ascii="Palatino Linotype" w:hAnsi="Palatino Linotype" w:cs="Tahoma"/>
          <w:bCs/>
          <w:sz w:val="22"/>
          <w:szCs w:val="22"/>
        </w:rPr>
      </w:pPr>
    </w:p>
    <w:p w14:paraId="18BDC2C4" w14:textId="5BEE3FD8" w:rsidR="00524FE0" w:rsidRPr="008E5F1A" w:rsidRDefault="00524FE0" w:rsidP="00AF110A">
      <w:pPr>
        <w:spacing w:line="360" w:lineRule="auto"/>
        <w:jc w:val="both"/>
        <w:rPr>
          <w:rFonts w:ascii="Palatino Linotype" w:hAnsi="Palatino Linotype" w:cs="Tahoma"/>
          <w:bCs/>
          <w:color w:val="0D0D0D" w:themeColor="text1" w:themeTint="F2"/>
          <w:sz w:val="22"/>
          <w:szCs w:val="22"/>
        </w:rPr>
      </w:pPr>
      <w:r w:rsidRPr="00FF1532">
        <w:rPr>
          <w:rFonts w:ascii="Palatino Linotype" w:hAnsi="Palatino Linotype" w:cs="Tahoma"/>
          <w:b/>
          <w:bCs/>
          <w:color w:val="0D0D0D" w:themeColor="text1" w:themeTint="F2"/>
          <w:sz w:val="22"/>
          <w:szCs w:val="22"/>
        </w:rPr>
        <w:t>VISTO</w:t>
      </w:r>
      <w:r w:rsidRPr="00FF1532">
        <w:rPr>
          <w:rFonts w:ascii="Palatino Linotype" w:hAnsi="Palatino Linotype" w:cs="Tahoma"/>
          <w:bCs/>
          <w:color w:val="0D0D0D" w:themeColor="text1" w:themeTint="F2"/>
          <w:sz w:val="22"/>
          <w:szCs w:val="22"/>
        </w:rPr>
        <w:t xml:space="preserve"> el expediente conformado con motivo del Recurso de </w:t>
      </w:r>
      <w:r w:rsidR="00B42424" w:rsidRPr="00FF1532">
        <w:rPr>
          <w:rFonts w:ascii="Palatino Linotype" w:hAnsi="Palatino Linotype" w:cs="Tahoma"/>
          <w:bCs/>
          <w:color w:val="0D0D0D" w:themeColor="text1" w:themeTint="F2"/>
          <w:sz w:val="22"/>
          <w:szCs w:val="22"/>
        </w:rPr>
        <w:t xml:space="preserve">Revisión </w:t>
      </w:r>
      <w:r w:rsidR="00CC3FD2" w:rsidRPr="00CC3FD2">
        <w:rPr>
          <w:rFonts w:ascii="Palatino Linotype" w:hAnsi="Palatino Linotype" w:cs="Tahoma"/>
          <w:b/>
          <w:bCs/>
          <w:color w:val="0D0D0D" w:themeColor="text1" w:themeTint="F2"/>
          <w:sz w:val="22"/>
          <w:szCs w:val="22"/>
        </w:rPr>
        <w:t>05721/INFOEM/IP/RR/2019</w:t>
      </w:r>
      <w:r w:rsidRPr="00FF1532">
        <w:rPr>
          <w:rFonts w:ascii="Palatino Linotype" w:hAnsi="Palatino Linotype" w:cs="Tahoma"/>
          <w:bCs/>
          <w:color w:val="0D0D0D" w:themeColor="text1" w:themeTint="F2"/>
          <w:sz w:val="22"/>
          <w:szCs w:val="22"/>
        </w:rPr>
        <w:t xml:space="preserve">, interpuestos por </w:t>
      </w:r>
      <w:r w:rsidR="007B3667" w:rsidRPr="007B3667">
        <w:rPr>
          <w:rFonts w:ascii="Palatino Linotype" w:eastAsia="Calibri" w:hAnsi="Palatino Linotype" w:cs="Tahoma"/>
          <w:b/>
          <w:sz w:val="22"/>
          <w:szCs w:val="22"/>
          <w:highlight w:val="black"/>
          <w:lang w:eastAsia="en-US"/>
        </w:rPr>
        <w:t>XXXXXXXXXXXX</w:t>
      </w:r>
      <w:r w:rsidRPr="00FF1532">
        <w:rPr>
          <w:rFonts w:ascii="Palatino Linotype" w:eastAsia="Calibri" w:hAnsi="Palatino Linotype" w:cs="Tahoma"/>
          <w:b/>
          <w:bCs/>
          <w:color w:val="0D0D0D" w:themeColor="text1" w:themeTint="F2"/>
          <w:sz w:val="22"/>
          <w:szCs w:val="22"/>
        </w:rPr>
        <w:t>,</w:t>
      </w:r>
      <w:r w:rsidRPr="00FF1532">
        <w:rPr>
          <w:rFonts w:ascii="Palatino Linotype" w:eastAsia="Calibri" w:hAnsi="Palatino Linotype" w:cs="Tahoma"/>
          <w:sz w:val="22"/>
          <w:szCs w:val="22"/>
          <w:lang w:eastAsia="en-US"/>
        </w:rPr>
        <w:t xml:space="preserve"> en lo sucesivo Recurrente o Particular, </w:t>
      </w:r>
      <w:r w:rsidRPr="00FF1532">
        <w:rPr>
          <w:rFonts w:ascii="Palatino Linotype" w:hAnsi="Palatino Linotype" w:cs="Tahoma"/>
          <w:bCs/>
          <w:color w:val="0D0D0D" w:themeColor="text1" w:themeTint="F2"/>
          <w:sz w:val="22"/>
          <w:szCs w:val="22"/>
        </w:rPr>
        <w:t xml:space="preserve">en contra de la respuesta del </w:t>
      </w:r>
      <w:r w:rsidRPr="00FF1532">
        <w:rPr>
          <w:rFonts w:ascii="Palatino Linotype" w:hAnsi="Palatino Linotype" w:cs="Tahoma"/>
          <w:b/>
          <w:bCs/>
          <w:color w:val="0D0D0D" w:themeColor="text1" w:themeTint="F2"/>
          <w:sz w:val="22"/>
          <w:szCs w:val="22"/>
        </w:rPr>
        <w:t>Sujeto Obligado</w:t>
      </w:r>
      <w:r w:rsidR="00FF504F" w:rsidRPr="00FF1532">
        <w:rPr>
          <w:rFonts w:ascii="Palatino Linotype" w:hAnsi="Palatino Linotype" w:cs="Tahoma"/>
          <w:b/>
          <w:bCs/>
          <w:color w:val="0D0D0D" w:themeColor="text1" w:themeTint="F2"/>
          <w:sz w:val="22"/>
          <w:szCs w:val="22"/>
        </w:rPr>
        <w:t xml:space="preserve"> </w:t>
      </w:r>
      <w:r w:rsidR="00CC3FD2" w:rsidRPr="00CC3FD2">
        <w:rPr>
          <w:rFonts w:ascii="Palatino Linotype" w:hAnsi="Palatino Linotype" w:cs="Tahoma"/>
          <w:b/>
          <w:bCs/>
          <w:color w:val="0D0D0D" w:themeColor="text1" w:themeTint="F2"/>
          <w:sz w:val="22"/>
          <w:szCs w:val="22"/>
        </w:rPr>
        <w:t>Ayuntamiento de Acolman</w:t>
      </w:r>
      <w:r w:rsidRPr="00FF1532">
        <w:rPr>
          <w:rFonts w:ascii="Palatino Linotype" w:hAnsi="Palatino Linotype" w:cs="Tahoma"/>
          <w:bCs/>
          <w:color w:val="0D0D0D" w:themeColor="text1" w:themeTint="F2"/>
          <w:sz w:val="22"/>
          <w:szCs w:val="22"/>
        </w:rPr>
        <w:t>, se emite la presente Resolución, con base en los Antecedentes y C</w:t>
      </w:r>
      <w:r w:rsidRPr="00FF1532">
        <w:rPr>
          <w:rFonts w:ascii="Palatino Linotype" w:hAnsi="Palatino Linotype" w:cs="Tahoma"/>
          <w:bCs/>
          <w:sz w:val="22"/>
          <w:szCs w:val="22"/>
        </w:rPr>
        <w:t>onsiderandos que a continuación se exponen:</w:t>
      </w:r>
    </w:p>
    <w:p w14:paraId="27DB88F6" w14:textId="30A95174" w:rsidR="00735915" w:rsidRPr="00FF1532" w:rsidRDefault="000B4273" w:rsidP="00AF110A">
      <w:pPr>
        <w:tabs>
          <w:tab w:val="left" w:pos="7560"/>
        </w:tabs>
        <w:spacing w:line="360" w:lineRule="auto"/>
        <w:rPr>
          <w:rFonts w:ascii="Palatino Linotype" w:hAnsi="Palatino Linotype" w:cs="Tahoma"/>
          <w:sz w:val="22"/>
          <w:szCs w:val="22"/>
        </w:rPr>
      </w:pPr>
      <w:r w:rsidRPr="00FF1532">
        <w:rPr>
          <w:rFonts w:ascii="Palatino Linotype" w:hAnsi="Palatino Linotype" w:cs="Tahoma"/>
          <w:sz w:val="22"/>
          <w:szCs w:val="22"/>
        </w:rPr>
        <w:tab/>
      </w:r>
    </w:p>
    <w:p w14:paraId="2C220043" w14:textId="493C7FC3" w:rsidR="00B31222" w:rsidRPr="00FF1532" w:rsidRDefault="007B3667" w:rsidP="007B3667">
      <w:pPr>
        <w:tabs>
          <w:tab w:val="center" w:pos="4522"/>
          <w:tab w:val="left" w:pos="6795"/>
          <w:tab w:val="left" w:pos="7245"/>
        </w:tabs>
        <w:spacing w:line="360" w:lineRule="auto"/>
        <w:rPr>
          <w:rFonts w:ascii="Palatino Linotype" w:hAnsi="Palatino Linotype" w:cs="Tahoma"/>
          <w:b/>
          <w:sz w:val="22"/>
          <w:szCs w:val="22"/>
        </w:rPr>
      </w:pPr>
      <w:r>
        <w:rPr>
          <w:rFonts w:ascii="Palatino Linotype" w:hAnsi="Palatino Linotype" w:cs="Tahoma"/>
          <w:b/>
          <w:sz w:val="22"/>
          <w:szCs w:val="22"/>
        </w:rPr>
        <w:tab/>
      </w:r>
      <w:r w:rsidR="00B31222" w:rsidRPr="00FF1532">
        <w:rPr>
          <w:rFonts w:ascii="Palatino Linotype" w:hAnsi="Palatino Linotype" w:cs="Tahoma"/>
          <w:b/>
          <w:sz w:val="22"/>
          <w:szCs w:val="22"/>
        </w:rPr>
        <w:t>ANTECEDENTES:</w:t>
      </w:r>
      <w:r>
        <w:rPr>
          <w:rFonts w:ascii="Palatino Linotype" w:hAnsi="Palatino Linotype" w:cs="Tahoma"/>
          <w:b/>
          <w:sz w:val="22"/>
          <w:szCs w:val="22"/>
        </w:rPr>
        <w:tab/>
      </w:r>
      <w:bookmarkStart w:id="0" w:name="_GoBack"/>
      <w:bookmarkEnd w:id="0"/>
    </w:p>
    <w:p w14:paraId="2F70DB57" w14:textId="77777777" w:rsidR="00B31222" w:rsidRPr="00FF1532" w:rsidRDefault="00B31222" w:rsidP="00AF110A">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FF1532" w:rsidRDefault="00B31222" w:rsidP="00AF110A">
      <w:pPr>
        <w:pStyle w:val="Prrafodelista"/>
        <w:tabs>
          <w:tab w:val="left" w:pos="567"/>
        </w:tabs>
        <w:spacing w:line="360" w:lineRule="auto"/>
        <w:ind w:left="0"/>
        <w:contextualSpacing w:val="0"/>
        <w:jc w:val="both"/>
        <w:rPr>
          <w:rFonts w:ascii="Palatino Linotype" w:hAnsi="Palatino Linotype" w:cs="Tahoma"/>
          <w:b/>
          <w:szCs w:val="22"/>
        </w:rPr>
      </w:pPr>
      <w:r w:rsidRPr="00FF1532">
        <w:rPr>
          <w:rFonts w:ascii="Palatino Linotype" w:hAnsi="Palatino Linotype" w:cs="Tahoma"/>
          <w:b/>
          <w:szCs w:val="22"/>
        </w:rPr>
        <w:t xml:space="preserve">I. Presentación de </w:t>
      </w:r>
      <w:r w:rsidR="00C27C34" w:rsidRPr="00FF1532">
        <w:rPr>
          <w:rFonts w:ascii="Palatino Linotype" w:hAnsi="Palatino Linotype" w:cs="Tahoma"/>
          <w:b/>
          <w:szCs w:val="22"/>
        </w:rPr>
        <w:t>la solicitud</w:t>
      </w:r>
      <w:r w:rsidRPr="00FF1532">
        <w:rPr>
          <w:rFonts w:ascii="Palatino Linotype" w:hAnsi="Palatino Linotype" w:cs="Tahoma"/>
          <w:b/>
          <w:szCs w:val="22"/>
        </w:rPr>
        <w:t xml:space="preserve"> de información. </w:t>
      </w:r>
    </w:p>
    <w:p w14:paraId="3DCADBE5" w14:textId="77777777" w:rsidR="00DC1594" w:rsidRPr="00FF1532" w:rsidRDefault="00DC1594" w:rsidP="00AF110A">
      <w:pPr>
        <w:pStyle w:val="Prrafodelista"/>
        <w:tabs>
          <w:tab w:val="left" w:pos="567"/>
        </w:tabs>
        <w:spacing w:line="360" w:lineRule="auto"/>
        <w:ind w:left="0"/>
        <w:contextualSpacing w:val="0"/>
        <w:jc w:val="both"/>
        <w:rPr>
          <w:rFonts w:ascii="Palatino Linotype" w:hAnsi="Palatino Linotype" w:cs="Tahoma"/>
          <w:szCs w:val="22"/>
        </w:rPr>
      </w:pPr>
    </w:p>
    <w:p w14:paraId="77381FE5" w14:textId="7EC4AA29" w:rsidR="00460683" w:rsidRPr="00FF1532" w:rsidRDefault="00E70904" w:rsidP="00AF110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 fecha veintidós de mayo</w:t>
      </w:r>
      <w:r w:rsidR="00460683" w:rsidRPr="00FF1532">
        <w:rPr>
          <w:rFonts w:ascii="Palatino Linotype" w:eastAsia="Calibri" w:hAnsi="Palatino Linotype" w:cs="Tahoma"/>
          <w:bCs/>
          <w:sz w:val="22"/>
          <w:szCs w:val="22"/>
          <w:lang w:eastAsia="en-US"/>
        </w:rPr>
        <w:t xml:space="preserve"> de dos mil diecinueve, mediante el</w:t>
      </w:r>
      <w:r w:rsidR="00460683" w:rsidRPr="00FF1532">
        <w:rPr>
          <w:rFonts w:ascii="Palatino Linotype" w:eastAsia="Calibri" w:hAnsi="Palatino Linotype" w:cs="Tahoma"/>
          <w:bCs/>
          <w:sz w:val="22"/>
          <w:szCs w:val="22"/>
          <w:lang w:val="es-ES" w:eastAsia="en-US"/>
        </w:rPr>
        <w:t xml:space="preserve"> Sistema de Acceso a la Información Mexiquense (SAIMEX), </w:t>
      </w:r>
      <w:r w:rsidR="00460683" w:rsidRPr="00FF1532">
        <w:rPr>
          <w:rFonts w:ascii="Palatino Linotype" w:eastAsia="Calibri" w:hAnsi="Palatino Linotype" w:cs="Tahoma"/>
          <w:bCs/>
          <w:sz w:val="22"/>
          <w:szCs w:val="22"/>
          <w:lang w:eastAsia="en-US"/>
        </w:rPr>
        <w:t xml:space="preserve">el Particular presentó solicitud de acceso a la información pública ante la Unidad de Transparencia del </w:t>
      </w:r>
      <w:r w:rsidRPr="00E70904">
        <w:rPr>
          <w:rFonts w:ascii="Palatino Linotype" w:eastAsia="Calibri" w:hAnsi="Palatino Linotype" w:cs="Tahoma"/>
          <w:b/>
          <w:bCs/>
          <w:sz w:val="22"/>
          <w:szCs w:val="22"/>
          <w:lang w:eastAsia="en-US"/>
        </w:rPr>
        <w:t xml:space="preserve">Ayuntamiento de Acolman, </w:t>
      </w:r>
      <w:r w:rsidR="00460683" w:rsidRPr="00FF1532">
        <w:rPr>
          <w:rFonts w:ascii="Palatino Linotype" w:eastAsia="Calibri" w:hAnsi="Palatino Linotype" w:cs="Tahoma"/>
          <w:bCs/>
          <w:sz w:val="22"/>
          <w:szCs w:val="22"/>
          <w:lang w:eastAsia="en-US"/>
        </w:rPr>
        <w:t>mediante la cual requirió lo siguiente:</w:t>
      </w:r>
    </w:p>
    <w:p w14:paraId="3F2C852F" w14:textId="77777777" w:rsidR="00460683" w:rsidRPr="00FF1532" w:rsidRDefault="00460683" w:rsidP="00AF110A">
      <w:pPr>
        <w:spacing w:line="360" w:lineRule="auto"/>
        <w:jc w:val="both"/>
        <w:rPr>
          <w:rFonts w:ascii="Palatino Linotype" w:eastAsia="Calibri" w:hAnsi="Palatino Linotype" w:cs="Tahoma"/>
          <w:bCs/>
          <w:sz w:val="22"/>
          <w:szCs w:val="22"/>
          <w:lang w:eastAsia="en-US"/>
        </w:rPr>
      </w:pPr>
    </w:p>
    <w:p w14:paraId="29FE329E" w14:textId="1E8E9497" w:rsidR="00460683" w:rsidRPr="00E96902" w:rsidRDefault="00E96902" w:rsidP="00AF110A">
      <w:pPr>
        <w:spacing w:line="360" w:lineRule="auto"/>
        <w:ind w:left="567" w:right="567"/>
        <w:jc w:val="both"/>
        <w:rPr>
          <w:rFonts w:ascii="Palatino Linotype" w:eastAsia="Calibri" w:hAnsi="Palatino Linotype" w:cs="Tahoma"/>
          <w:b/>
          <w:bCs/>
          <w:i/>
          <w:lang w:val="es-ES" w:eastAsia="en-US"/>
        </w:rPr>
      </w:pPr>
      <w:r>
        <w:rPr>
          <w:rFonts w:ascii="Palatino Linotype" w:eastAsia="Calibri" w:hAnsi="Palatino Linotype" w:cs="Tahoma"/>
          <w:b/>
          <w:bCs/>
          <w:i/>
          <w:lang w:val="es-ES" w:eastAsia="en-US"/>
        </w:rPr>
        <w:t>“</w:t>
      </w:r>
      <w:r w:rsidR="00460683" w:rsidRPr="00E96902">
        <w:rPr>
          <w:rFonts w:ascii="Palatino Linotype" w:eastAsia="Calibri" w:hAnsi="Palatino Linotype" w:cs="Tahoma"/>
          <w:b/>
          <w:bCs/>
          <w:i/>
          <w:lang w:val="es-ES" w:eastAsia="en-US"/>
        </w:rPr>
        <w:t>DESCRIPCIÓN CLARA Y PRECISA DE LA INFORMACIÓN SOLICITADA</w:t>
      </w:r>
    </w:p>
    <w:p w14:paraId="17E8A95F" w14:textId="628F351B" w:rsidR="00460683" w:rsidRPr="00E96902" w:rsidRDefault="00E70904" w:rsidP="00AF110A">
      <w:pPr>
        <w:spacing w:line="360" w:lineRule="auto"/>
        <w:ind w:left="567" w:right="567"/>
        <w:jc w:val="both"/>
        <w:rPr>
          <w:rFonts w:ascii="Palatino Linotype" w:eastAsia="Calibri" w:hAnsi="Palatino Linotype" w:cs="Tahoma"/>
          <w:bCs/>
          <w:i/>
          <w:lang w:val="es-ES" w:eastAsia="en-US"/>
        </w:rPr>
      </w:pPr>
      <w:r w:rsidRPr="00E70904">
        <w:rPr>
          <w:rFonts w:ascii="Palatino Linotype" w:eastAsia="Calibri" w:hAnsi="Palatino Linotype" w:cs="Tahoma"/>
          <w:bCs/>
          <w:i/>
          <w:lang w:val="es-ES" w:eastAsia="en-US"/>
        </w:rPr>
        <w:t xml:space="preserve">Solicito los recibos de nómina de todo el personal que labora para el municipio, confianza, sindicalizados y demás. De todas las Direcciones, institutos unidades y dependencias. Todo esto del mes de diciembre del 2018 y los primeros 3 meses del 2019. </w:t>
      </w:r>
      <w:r w:rsidR="00460683" w:rsidRPr="00E96902">
        <w:rPr>
          <w:rFonts w:ascii="Palatino Linotype" w:eastAsia="Calibri" w:hAnsi="Palatino Linotype" w:cs="Tahoma"/>
          <w:bCs/>
          <w:i/>
          <w:lang w:val="es-ES" w:eastAsia="en-US"/>
        </w:rPr>
        <w:t>(Sic)</w:t>
      </w:r>
    </w:p>
    <w:p w14:paraId="53B67069" w14:textId="77777777" w:rsidR="00460683" w:rsidRPr="00E96902" w:rsidRDefault="00460683" w:rsidP="00AF110A">
      <w:pPr>
        <w:spacing w:line="360" w:lineRule="auto"/>
        <w:ind w:right="567"/>
        <w:jc w:val="both"/>
        <w:rPr>
          <w:rFonts w:ascii="Palatino Linotype" w:eastAsia="Calibri" w:hAnsi="Palatino Linotype" w:cs="Tahoma"/>
          <w:bCs/>
          <w:i/>
          <w:lang w:val="es-ES" w:eastAsia="en-US"/>
        </w:rPr>
      </w:pPr>
    </w:p>
    <w:p w14:paraId="19035040" w14:textId="77777777" w:rsidR="00460683" w:rsidRPr="00E96902" w:rsidRDefault="00460683" w:rsidP="00AF110A">
      <w:pPr>
        <w:spacing w:line="360" w:lineRule="auto"/>
        <w:ind w:left="567" w:right="567"/>
        <w:jc w:val="both"/>
        <w:rPr>
          <w:rFonts w:ascii="Palatino Linotype" w:eastAsia="Calibri" w:hAnsi="Palatino Linotype" w:cs="Tahoma"/>
          <w:bCs/>
          <w:i/>
          <w:lang w:val="es-ES" w:eastAsia="en-US"/>
        </w:rPr>
      </w:pPr>
      <w:r w:rsidRPr="00E96902">
        <w:rPr>
          <w:rFonts w:ascii="Palatino Linotype" w:eastAsia="Calibri" w:hAnsi="Palatino Linotype" w:cs="Tahoma"/>
          <w:b/>
          <w:bCs/>
          <w:i/>
          <w:lang w:val="es-ES" w:eastAsia="en-US"/>
        </w:rPr>
        <w:t>MODALIDAD DE ENTREGA</w:t>
      </w:r>
    </w:p>
    <w:p w14:paraId="2475654E" w14:textId="05FEDFB5" w:rsidR="00460683" w:rsidRPr="00E96902" w:rsidRDefault="00460683" w:rsidP="00AF110A">
      <w:pPr>
        <w:spacing w:line="360" w:lineRule="auto"/>
        <w:ind w:left="567" w:right="567"/>
        <w:jc w:val="both"/>
        <w:rPr>
          <w:rFonts w:ascii="Palatino Linotype" w:eastAsia="Calibri" w:hAnsi="Palatino Linotype" w:cs="Tahoma"/>
          <w:bCs/>
          <w:i/>
          <w:lang w:val="es-ES" w:eastAsia="en-US"/>
        </w:rPr>
      </w:pPr>
      <w:r w:rsidRPr="00E96902">
        <w:rPr>
          <w:rFonts w:ascii="Palatino Linotype" w:eastAsia="Calibri" w:hAnsi="Palatino Linotype" w:cs="Tahoma"/>
          <w:bCs/>
          <w:i/>
          <w:lang w:val="es-ES" w:eastAsia="en-US"/>
        </w:rPr>
        <w:t>A través del SAIMEX.</w:t>
      </w:r>
      <w:r w:rsidR="00E96902">
        <w:rPr>
          <w:rFonts w:ascii="Palatino Linotype" w:eastAsia="Calibri" w:hAnsi="Palatino Linotype" w:cs="Tahoma"/>
          <w:bCs/>
          <w:i/>
          <w:lang w:val="es-ES" w:eastAsia="en-US"/>
        </w:rPr>
        <w:t>”</w:t>
      </w:r>
    </w:p>
    <w:p w14:paraId="19F9B033" w14:textId="77777777" w:rsidR="006D7E12" w:rsidRDefault="006D7E12" w:rsidP="00AF110A">
      <w:pPr>
        <w:pStyle w:val="Prrafodelista"/>
        <w:tabs>
          <w:tab w:val="left" w:pos="567"/>
        </w:tabs>
        <w:spacing w:line="360" w:lineRule="auto"/>
        <w:ind w:left="0"/>
        <w:contextualSpacing w:val="0"/>
        <w:jc w:val="both"/>
        <w:rPr>
          <w:rFonts w:ascii="Palatino Linotype" w:hAnsi="Palatino Linotype" w:cs="Tahoma"/>
          <w:b/>
          <w:szCs w:val="22"/>
        </w:rPr>
      </w:pPr>
    </w:p>
    <w:p w14:paraId="63C8C40D" w14:textId="77777777" w:rsidR="00AE34F4" w:rsidRDefault="00C12FBA" w:rsidP="00AF110A">
      <w:pPr>
        <w:pStyle w:val="Prrafodelista"/>
        <w:tabs>
          <w:tab w:val="left" w:pos="567"/>
        </w:tabs>
        <w:spacing w:line="360" w:lineRule="auto"/>
        <w:ind w:left="0"/>
        <w:contextualSpacing w:val="0"/>
        <w:jc w:val="both"/>
        <w:rPr>
          <w:rFonts w:ascii="Palatino Linotype" w:hAnsi="Palatino Linotype" w:cs="Tahoma"/>
          <w:b/>
        </w:rPr>
      </w:pPr>
      <w:r w:rsidRPr="00AE34F4">
        <w:rPr>
          <w:rFonts w:ascii="Palatino Linotype" w:hAnsi="Palatino Linotype" w:cs="Tahoma"/>
          <w:b/>
          <w:szCs w:val="22"/>
        </w:rPr>
        <w:lastRenderedPageBreak/>
        <w:t xml:space="preserve">II. </w:t>
      </w:r>
      <w:r w:rsidR="00AE34F4">
        <w:rPr>
          <w:rFonts w:ascii="Palatino Linotype" w:hAnsi="Palatino Linotype" w:cs="Tahoma"/>
          <w:b/>
        </w:rPr>
        <w:t>Prórroga</w:t>
      </w:r>
      <w:r w:rsidR="00AE34F4" w:rsidRPr="004059FB">
        <w:rPr>
          <w:rFonts w:ascii="Palatino Linotype" w:hAnsi="Palatino Linotype" w:cs="Tahoma"/>
          <w:b/>
        </w:rPr>
        <w:t xml:space="preserve"> del Sujeto Obligado.</w:t>
      </w:r>
    </w:p>
    <w:p w14:paraId="28160775" w14:textId="77777777" w:rsidR="00AE34F4" w:rsidRPr="004059FB" w:rsidRDefault="00AE34F4" w:rsidP="00AF110A">
      <w:pPr>
        <w:pStyle w:val="Prrafodelista"/>
        <w:tabs>
          <w:tab w:val="left" w:pos="567"/>
        </w:tabs>
        <w:spacing w:line="360" w:lineRule="auto"/>
        <w:ind w:left="0"/>
        <w:contextualSpacing w:val="0"/>
        <w:jc w:val="both"/>
        <w:rPr>
          <w:rFonts w:ascii="Palatino Linotype" w:hAnsi="Palatino Linotype" w:cs="Tahoma"/>
          <w:b/>
        </w:rPr>
      </w:pPr>
    </w:p>
    <w:p w14:paraId="7028DA15" w14:textId="5E3EAD3D" w:rsidR="00AE34F4" w:rsidRDefault="00AE34F4" w:rsidP="00AF110A">
      <w:pPr>
        <w:autoSpaceDE w:val="0"/>
        <w:autoSpaceDN w:val="0"/>
        <w:adjustRightInd w:val="0"/>
        <w:spacing w:line="360" w:lineRule="auto"/>
        <w:jc w:val="both"/>
        <w:rPr>
          <w:rFonts w:ascii="Palatino Linotype" w:hAnsi="Palatino Linotype" w:cs="Tahoma"/>
          <w:sz w:val="22"/>
          <w:szCs w:val="24"/>
        </w:rPr>
      </w:pPr>
      <w:r w:rsidRPr="004059FB">
        <w:rPr>
          <w:rFonts w:ascii="Palatino Linotype" w:hAnsi="Palatino Linotype" w:cs="Tahoma"/>
          <w:sz w:val="22"/>
          <w:szCs w:val="24"/>
        </w:rPr>
        <w:t xml:space="preserve">Con fecha </w:t>
      </w:r>
      <w:r>
        <w:rPr>
          <w:rFonts w:ascii="Palatino Linotype" w:hAnsi="Palatino Linotype" w:cs="Tahoma"/>
          <w:sz w:val="22"/>
          <w:szCs w:val="24"/>
        </w:rPr>
        <w:t>once de junio</w:t>
      </w:r>
      <w:r w:rsidRPr="004059FB">
        <w:rPr>
          <w:rFonts w:ascii="Palatino Linotype" w:hAnsi="Palatino Linotype" w:cs="Tahoma"/>
          <w:sz w:val="22"/>
          <w:szCs w:val="24"/>
        </w:rPr>
        <w:t xml:space="preserve"> de </w:t>
      </w:r>
      <w:r>
        <w:rPr>
          <w:rFonts w:ascii="Palatino Linotype" w:hAnsi="Palatino Linotype" w:cs="Tahoma"/>
          <w:sz w:val="22"/>
          <w:szCs w:val="24"/>
        </w:rPr>
        <w:t>dos mil diecinueve</w:t>
      </w:r>
      <w:r w:rsidRPr="004059FB">
        <w:rPr>
          <w:rFonts w:ascii="Palatino Linotype" w:hAnsi="Palatino Linotype" w:cs="Tahoma"/>
          <w:sz w:val="22"/>
          <w:szCs w:val="24"/>
        </w:rPr>
        <w:t xml:space="preserve">, </w:t>
      </w:r>
      <w:r>
        <w:rPr>
          <w:rFonts w:ascii="Palatino Linotype" w:hAnsi="Palatino Linotype" w:cs="Tahoma"/>
          <w:sz w:val="22"/>
          <w:szCs w:val="24"/>
        </w:rPr>
        <w:t>el</w:t>
      </w:r>
      <w:r w:rsidRPr="004059FB">
        <w:rPr>
          <w:rFonts w:ascii="Palatino Linotype" w:hAnsi="Palatino Linotype" w:cs="Tahoma"/>
          <w:sz w:val="22"/>
          <w:szCs w:val="24"/>
        </w:rPr>
        <w:t xml:space="preserve"> </w:t>
      </w:r>
      <w:proofErr w:type="gramStart"/>
      <w:r>
        <w:rPr>
          <w:rFonts w:ascii="Palatino Linotype" w:hAnsi="Palatino Linotype" w:cs="Tahoma"/>
          <w:sz w:val="22"/>
          <w:szCs w:val="24"/>
        </w:rPr>
        <w:t>Responsable</w:t>
      </w:r>
      <w:proofErr w:type="gramEnd"/>
      <w:r>
        <w:rPr>
          <w:rFonts w:ascii="Palatino Linotype" w:hAnsi="Palatino Linotype" w:cs="Tahoma"/>
          <w:sz w:val="22"/>
          <w:szCs w:val="24"/>
        </w:rPr>
        <w:t xml:space="preserve"> </w:t>
      </w:r>
      <w:r w:rsidRPr="004059FB">
        <w:rPr>
          <w:rFonts w:ascii="Palatino Linotype" w:hAnsi="Palatino Linotype" w:cs="Tahoma"/>
          <w:sz w:val="22"/>
          <w:szCs w:val="24"/>
        </w:rPr>
        <w:t xml:space="preserve">de </w:t>
      </w:r>
      <w:r>
        <w:rPr>
          <w:rFonts w:ascii="Palatino Linotype" w:hAnsi="Palatino Linotype" w:cs="Tahoma"/>
          <w:sz w:val="22"/>
          <w:szCs w:val="24"/>
        </w:rPr>
        <w:t xml:space="preserve">la Unidad de Información </w:t>
      </w:r>
      <w:r w:rsidRPr="004059FB">
        <w:rPr>
          <w:rFonts w:ascii="Palatino Linotype" w:hAnsi="Palatino Linotype" w:cs="Tahoma"/>
          <w:sz w:val="22"/>
          <w:szCs w:val="24"/>
        </w:rPr>
        <w:t xml:space="preserve">del </w:t>
      </w:r>
      <w:r>
        <w:rPr>
          <w:rFonts w:ascii="Palatino Linotype" w:hAnsi="Palatino Linotype" w:cs="Tahoma"/>
          <w:sz w:val="22"/>
          <w:szCs w:val="24"/>
        </w:rPr>
        <w:t>Ayuntamiento,</w:t>
      </w:r>
      <w:r w:rsidRPr="004059FB">
        <w:rPr>
          <w:rFonts w:ascii="Palatino Linotype" w:hAnsi="Palatino Linotype" w:cs="Tahoma"/>
          <w:sz w:val="22"/>
          <w:szCs w:val="24"/>
        </w:rPr>
        <w:t xml:space="preserve"> notificó </w:t>
      </w:r>
      <w:r>
        <w:rPr>
          <w:rFonts w:ascii="Palatino Linotype" w:hAnsi="Palatino Linotype" w:cs="Tahoma"/>
          <w:sz w:val="22"/>
          <w:szCs w:val="24"/>
        </w:rPr>
        <w:t>al Particular</w:t>
      </w:r>
      <w:r w:rsidRPr="004059FB">
        <w:rPr>
          <w:rFonts w:ascii="Palatino Linotype" w:hAnsi="Palatino Linotype" w:cs="Tahoma"/>
          <w:sz w:val="22"/>
          <w:szCs w:val="24"/>
        </w:rPr>
        <w:t>, mediante el Sistema de Acceso a la Información Me</w:t>
      </w:r>
      <w:r>
        <w:rPr>
          <w:rFonts w:ascii="Palatino Linotype" w:hAnsi="Palatino Linotype" w:cs="Tahoma"/>
          <w:sz w:val="22"/>
          <w:szCs w:val="24"/>
        </w:rPr>
        <w:t>xiquense (SAIMEX), la prórroga a la solicitud de información, cuyo contenido es el siguiente:</w:t>
      </w:r>
    </w:p>
    <w:p w14:paraId="6A435BE0" w14:textId="77777777" w:rsidR="00AE34F4" w:rsidRDefault="00AE34F4" w:rsidP="00AF110A">
      <w:pPr>
        <w:autoSpaceDE w:val="0"/>
        <w:autoSpaceDN w:val="0"/>
        <w:adjustRightInd w:val="0"/>
        <w:spacing w:line="360" w:lineRule="auto"/>
        <w:jc w:val="both"/>
        <w:rPr>
          <w:rFonts w:ascii="Palatino Linotype" w:hAnsi="Palatino Linotype" w:cs="Tahoma"/>
          <w:sz w:val="22"/>
          <w:szCs w:val="24"/>
        </w:rPr>
      </w:pPr>
    </w:p>
    <w:p w14:paraId="35289125" w14:textId="77777777" w:rsidR="00AE34F4" w:rsidRDefault="00AE34F4" w:rsidP="00AF110A">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w:t>
      </w:r>
    </w:p>
    <w:p w14:paraId="070AAF9B" w14:textId="23C3BB9C" w:rsidR="00AE34F4" w:rsidRPr="00AE34F4" w:rsidRDefault="00AE34F4" w:rsidP="00AF110A">
      <w:pPr>
        <w:autoSpaceDE w:val="0"/>
        <w:autoSpaceDN w:val="0"/>
        <w:adjustRightInd w:val="0"/>
        <w:spacing w:line="360" w:lineRule="auto"/>
        <w:ind w:left="567" w:right="567"/>
        <w:jc w:val="both"/>
        <w:rPr>
          <w:rFonts w:ascii="Palatino Linotype" w:hAnsi="Palatino Linotype" w:cs="Tahoma"/>
          <w:i/>
        </w:rPr>
      </w:pPr>
      <w:r w:rsidRPr="00AE34F4">
        <w:rPr>
          <w:rFonts w:ascii="Palatino Linotype" w:hAnsi="Palatino Linotype" w:cs="Tahoma"/>
          <w:i/>
        </w:rPr>
        <w:t>Hago de su conocimiento que el Comité de Transparencia del Ayuntamiento de Acolman, reunido en su Primera Sesión Extraordinaria del 2019, aprobó por unanimidad la ampliación del plazo de respuesta a la solicitud con folio 00063/ACOLMAN/IP/2019, en términos de lo establecido por el artículo 163, párrafo segundo de la Ley de Transparencia y Acceso a la Información Pública del Estado de México y Municipios.</w:t>
      </w:r>
    </w:p>
    <w:p w14:paraId="3FFF74CC" w14:textId="77777777" w:rsidR="00AE34F4" w:rsidRPr="004059FB" w:rsidRDefault="00AE34F4" w:rsidP="00AF110A">
      <w:pPr>
        <w:autoSpaceDE w:val="0"/>
        <w:autoSpaceDN w:val="0"/>
        <w:adjustRightInd w:val="0"/>
        <w:spacing w:line="360" w:lineRule="auto"/>
        <w:ind w:left="567" w:right="567"/>
        <w:jc w:val="both"/>
        <w:rPr>
          <w:rFonts w:ascii="Palatino Linotype" w:hAnsi="Palatino Linotype" w:cs="Tahoma"/>
        </w:rPr>
      </w:pPr>
      <w:r>
        <w:rPr>
          <w:rFonts w:ascii="Palatino Linotype" w:hAnsi="Palatino Linotype" w:cs="Tahoma"/>
        </w:rPr>
        <w:t>…</w:t>
      </w:r>
      <w:r w:rsidRPr="004059FB">
        <w:rPr>
          <w:rFonts w:ascii="Palatino Linotype" w:hAnsi="Palatino Linotype" w:cs="Tahoma"/>
        </w:rPr>
        <w:t>”</w:t>
      </w:r>
      <w:r>
        <w:rPr>
          <w:rFonts w:ascii="Palatino Linotype" w:hAnsi="Palatino Linotype" w:cs="Tahoma"/>
        </w:rPr>
        <w:t xml:space="preserve"> </w:t>
      </w:r>
    </w:p>
    <w:p w14:paraId="30D9F860" w14:textId="77777777" w:rsidR="00B552B9" w:rsidRDefault="00B552B9" w:rsidP="00AF110A">
      <w:pPr>
        <w:pStyle w:val="Prrafodelista"/>
        <w:tabs>
          <w:tab w:val="left" w:pos="567"/>
        </w:tabs>
        <w:spacing w:line="360" w:lineRule="auto"/>
        <w:ind w:left="0"/>
        <w:contextualSpacing w:val="0"/>
        <w:jc w:val="both"/>
        <w:rPr>
          <w:rFonts w:ascii="Palatino Linotype" w:hAnsi="Palatino Linotype" w:cs="Tahoma"/>
        </w:rPr>
      </w:pPr>
    </w:p>
    <w:p w14:paraId="0D4B4F22" w14:textId="22E47144" w:rsidR="00B552B9" w:rsidRPr="003A3855" w:rsidRDefault="00B552B9" w:rsidP="00AF110A">
      <w:pPr>
        <w:pStyle w:val="Prrafodelista"/>
        <w:tabs>
          <w:tab w:val="left" w:pos="567"/>
        </w:tabs>
        <w:spacing w:line="360" w:lineRule="auto"/>
        <w:ind w:left="0"/>
        <w:contextualSpacing w:val="0"/>
        <w:jc w:val="both"/>
        <w:rPr>
          <w:rFonts w:ascii="Palatino Linotype" w:hAnsi="Palatino Linotype" w:cs="Tahoma"/>
        </w:rPr>
      </w:pPr>
      <w:r w:rsidRPr="003A3855">
        <w:rPr>
          <w:rFonts w:ascii="Palatino Linotype" w:hAnsi="Palatino Linotype" w:cs="Tahoma"/>
        </w:rPr>
        <w:t xml:space="preserve">Es de señalar que el Sujeto Obligado no adjuntó el respectivo </w:t>
      </w:r>
      <w:r w:rsidRPr="00B552B9">
        <w:rPr>
          <w:rFonts w:ascii="Palatino Linotype" w:hAnsi="Palatino Linotype" w:cs="Tahoma"/>
          <w:b/>
        </w:rPr>
        <w:t>acuerdo del Comité de Transparencia</w:t>
      </w:r>
      <w:r>
        <w:rPr>
          <w:rFonts w:ascii="Palatino Linotype" w:hAnsi="Palatino Linotype" w:cs="Tahoma"/>
        </w:rPr>
        <w:t>, en el que se aprobó</w:t>
      </w:r>
      <w:r w:rsidRPr="003A3855">
        <w:rPr>
          <w:rFonts w:ascii="Palatino Linotype" w:hAnsi="Palatino Linotype" w:cs="Tahoma"/>
        </w:rPr>
        <w:t xml:space="preserve"> la prórroga notificada.</w:t>
      </w:r>
    </w:p>
    <w:p w14:paraId="6C040C30" w14:textId="073B82CC" w:rsidR="00B552B9" w:rsidRDefault="00B552B9" w:rsidP="00AF110A">
      <w:pPr>
        <w:pStyle w:val="Prrafodelista"/>
        <w:tabs>
          <w:tab w:val="left" w:pos="567"/>
        </w:tabs>
        <w:spacing w:line="360" w:lineRule="auto"/>
        <w:ind w:left="0"/>
        <w:contextualSpacing w:val="0"/>
        <w:jc w:val="both"/>
        <w:rPr>
          <w:rFonts w:ascii="Palatino Linotype" w:hAnsi="Palatino Linotype" w:cs="Tahoma"/>
          <w:b/>
          <w:szCs w:val="22"/>
        </w:rPr>
      </w:pPr>
    </w:p>
    <w:p w14:paraId="503266DB" w14:textId="1DB1A741" w:rsidR="00C12FBA" w:rsidRPr="00FF1532" w:rsidRDefault="001B2CEB" w:rsidP="00AF110A">
      <w:pPr>
        <w:pStyle w:val="Prrafodelista"/>
        <w:tabs>
          <w:tab w:val="left" w:pos="567"/>
        </w:tabs>
        <w:spacing w:line="360" w:lineRule="auto"/>
        <w:ind w:left="0"/>
        <w:contextualSpacing w:val="0"/>
        <w:jc w:val="both"/>
        <w:rPr>
          <w:rFonts w:ascii="Palatino Linotype" w:hAnsi="Palatino Linotype" w:cs="Tahoma"/>
          <w:b/>
          <w:sz w:val="24"/>
        </w:rPr>
      </w:pPr>
      <w:r>
        <w:rPr>
          <w:rFonts w:ascii="Palatino Linotype" w:hAnsi="Palatino Linotype" w:cs="Tahoma"/>
          <w:b/>
          <w:szCs w:val="22"/>
        </w:rPr>
        <w:t xml:space="preserve">III. </w:t>
      </w:r>
      <w:r w:rsidR="00C12FBA" w:rsidRPr="00AE34F4">
        <w:rPr>
          <w:rFonts w:ascii="Palatino Linotype" w:hAnsi="Palatino Linotype" w:cs="Tahoma"/>
          <w:b/>
          <w:szCs w:val="22"/>
        </w:rPr>
        <w:t>Respuesta del Sujeto Obligado.</w:t>
      </w:r>
    </w:p>
    <w:p w14:paraId="38A0CEC1" w14:textId="77777777" w:rsidR="00C12FBA" w:rsidRPr="00FF1532" w:rsidRDefault="00C12FBA" w:rsidP="00AF110A">
      <w:pPr>
        <w:autoSpaceDE w:val="0"/>
        <w:autoSpaceDN w:val="0"/>
        <w:adjustRightInd w:val="0"/>
        <w:spacing w:line="360" w:lineRule="auto"/>
        <w:jc w:val="both"/>
        <w:rPr>
          <w:rFonts w:ascii="Palatino Linotype" w:hAnsi="Palatino Linotype" w:cs="Tahoma"/>
          <w:b/>
          <w:sz w:val="22"/>
          <w:szCs w:val="22"/>
        </w:rPr>
      </w:pPr>
    </w:p>
    <w:p w14:paraId="1BAED36B" w14:textId="77E02EE3" w:rsidR="001B2CEB" w:rsidRPr="001B2CEB" w:rsidRDefault="001B2CEB" w:rsidP="00AF110A">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Con fecha veintiuno de junio</w:t>
      </w:r>
      <w:r w:rsidR="00460683" w:rsidRPr="00FF1532">
        <w:rPr>
          <w:rFonts w:ascii="Palatino Linotype" w:eastAsia="Calibri" w:hAnsi="Palatino Linotype" w:cs="Tahoma"/>
          <w:bCs/>
          <w:sz w:val="22"/>
          <w:szCs w:val="22"/>
          <w:lang w:val="es-ES" w:eastAsia="en-US"/>
        </w:rPr>
        <w:t xml:space="preserve"> de dos mil diecinueve, mediante el Sistema de Acceso a la Información Mexiquense (SAIMEX), </w:t>
      </w:r>
      <w:r>
        <w:rPr>
          <w:rFonts w:ascii="Palatino Linotype" w:eastAsia="Calibri" w:hAnsi="Palatino Linotype" w:cs="Tahoma"/>
          <w:bCs/>
          <w:sz w:val="22"/>
          <w:szCs w:val="22"/>
          <w:lang w:val="es-ES" w:eastAsia="en-US"/>
        </w:rPr>
        <w:t xml:space="preserve">el Coordinador de Transparencia y Rendición de Cuentas </w:t>
      </w:r>
      <w:r w:rsidR="00460683" w:rsidRPr="00FF1532">
        <w:rPr>
          <w:rFonts w:ascii="Palatino Linotype" w:eastAsia="Calibri" w:hAnsi="Palatino Linotype" w:cs="Tahoma"/>
          <w:bCs/>
          <w:sz w:val="22"/>
          <w:szCs w:val="22"/>
          <w:lang w:val="es-ES" w:eastAsia="en-US"/>
        </w:rPr>
        <w:t xml:space="preserve">del </w:t>
      </w:r>
      <w:r w:rsidRPr="001B2CEB">
        <w:rPr>
          <w:rFonts w:ascii="Palatino Linotype" w:eastAsia="Calibri" w:hAnsi="Palatino Linotype" w:cs="Tahoma"/>
          <w:b/>
          <w:bCs/>
          <w:sz w:val="22"/>
          <w:szCs w:val="22"/>
          <w:lang w:eastAsia="en-US"/>
        </w:rPr>
        <w:t>Ayuntamiento de Acolman</w:t>
      </w:r>
      <w:r>
        <w:rPr>
          <w:rFonts w:ascii="Palatino Linotype" w:eastAsia="Calibri" w:hAnsi="Palatino Linotype" w:cs="Tahoma"/>
          <w:b/>
          <w:bCs/>
          <w:sz w:val="22"/>
          <w:szCs w:val="22"/>
          <w:lang w:eastAsia="en-US"/>
        </w:rPr>
        <w:t xml:space="preserve">, </w:t>
      </w:r>
      <w:r>
        <w:rPr>
          <w:rFonts w:ascii="Palatino Linotype" w:eastAsia="Calibri" w:hAnsi="Palatino Linotype" w:cs="Tahoma"/>
          <w:bCs/>
          <w:sz w:val="22"/>
          <w:szCs w:val="22"/>
          <w:lang w:eastAsia="en-US"/>
        </w:rPr>
        <w:t xml:space="preserve">adjuntó un archivo en formato PDF, que contiene </w:t>
      </w:r>
      <w:r w:rsidR="001F252C">
        <w:rPr>
          <w:rFonts w:ascii="Palatino Linotype" w:eastAsia="Calibri" w:hAnsi="Palatino Linotype" w:cs="Tahoma"/>
          <w:bCs/>
          <w:sz w:val="22"/>
          <w:szCs w:val="22"/>
          <w:lang w:eastAsia="en-US"/>
        </w:rPr>
        <w:t>el oficio que a continuación se indica</w:t>
      </w:r>
      <w:r>
        <w:rPr>
          <w:rFonts w:ascii="Palatino Linotype" w:eastAsia="Calibri" w:hAnsi="Palatino Linotype" w:cs="Tahoma"/>
          <w:bCs/>
          <w:sz w:val="22"/>
          <w:szCs w:val="22"/>
          <w:lang w:eastAsia="en-US"/>
        </w:rPr>
        <w:t xml:space="preserve">: </w:t>
      </w:r>
    </w:p>
    <w:p w14:paraId="114040A7" w14:textId="38431934" w:rsidR="0046280E" w:rsidRDefault="0046280E" w:rsidP="00AF110A">
      <w:pPr>
        <w:autoSpaceDE w:val="0"/>
        <w:autoSpaceDN w:val="0"/>
        <w:adjustRightInd w:val="0"/>
        <w:spacing w:line="360" w:lineRule="auto"/>
        <w:jc w:val="both"/>
        <w:rPr>
          <w:rFonts w:ascii="Palatino Linotype" w:eastAsia="Calibri" w:hAnsi="Palatino Linotype" w:cs="Tahoma"/>
          <w:bCs/>
          <w:sz w:val="22"/>
          <w:szCs w:val="22"/>
          <w:lang w:val="es-ES" w:eastAsia="en-US"/>
        </w:rPr>
      </w:pPr>
    </w:p>
    <w:p w14:paraId="53A0ED57" w14:textId="77777777" w:rsidR="00005377" w:rsidRDefault="00005377">
      <w:pPr>
        <w:autoSpaceDE w:val="0"/>
        <w:autoSpaceDN w:val="0"/>
        <w:adjustRightInd w:val="0"/>
        <w:spacing w:line="360" w:lineRule="auto"/>
        <w:jc w:val="both"/>
        <w:rPr>
          <w:rFonts w:ascii="Palatino Linotype" w:eastAsia="Calibri" w:hAnsi="Palatino Linotype" w:cs="Tahoma"/>
          <w:bCs/>
          <w:sz w:val="22"/>
          <w:szCs w:val="22"/>
          <w:lang w:val="es-ES" w:eastAsia="en-US"/>
        </w:rPr>
      </w:pPr>
    </w:p>
    <w:p w14:paraId="5FBDF64C" w14:textId="77777777" w:rsidR="00005377" w:rsidRDefault="00005377">
      <w:pPr>
        <w:autoSpaceDE w:val="0"/>
        <w:autoSpaceDN w:val="0"/>
        <w:adjustRightInd w:val="0"/>
        <w:spacing w:line="360" w:lineRule="auto"/>
        <w:jc w:val="both"/>
        <w:rPr>
          <w:rFonts w:ascii="Palatino Linotype" w:eastAsia="Calibri" w:hAnsi="Palatino Linotype" w:cs="Tahoma"/>
          <w:bCs/>
          <w:sz w:val="22"/>
          <w:szCs w:val="22"/>
          <w:lang w:val="es-ES" w:eastAsia="en-US"/>
        </w:rPr>
      </w:pPr>
    </w:p>
    <w:p w14:paraId="012AAA86" w14:textId="03E3F5D9" w:rsidR="001F252C" w:rsidRPr="001F252C" w:rsidRDefault="001F252C">
      <w:pPr>
        <w:pStyle w:val="Prrafodelista"/>
        <w:numPr>
          <w:ilvl w:val="0"/>
          <w:numId w:val="48"/>
        </w:numPr>
        <w:autoSpaceDE w:val="0"/>
        <w:autoSpaceDN w:val="0"/>
        <w:adjustRightInd w:val="0"/>
        <w:spacing w:line="360" w:lineRule="auto"/>
        <w:jc w:val="both"/>
        <w:rPr>
          <w:rFonts w:ascii="Palatino Linotype" w:eastAsia="Calibri" w:hAnsi="Palatino Linotype" w:cs="Tahoma"/>
          <w:bCs/>
          <w:szCs w:val="22"/>
          <w:lang w:val="es-ES" w:eastAsia="en-US"/>
        </w:rPr>
      </w:pPr>
      <w:r w:rsidRPr="00D727C5">
        <w:rPr>
          <w:rFonts w:ascii="Palatino Linotype" w:eastAsia="Calibri" w:hAnsi="Palatino Linotype" w:cs="Tahoma"/>
          <w:b/>
          <w:bCs/>
          <w:szCs w:val="22"/>
          <w:lang w:val="es-ES" w:eastAsia="en-US"/>
        </w:rPr>
        <w:lastRenderedPageBreak/>
        <w:t>Oficio ACM/UT52/2019</w:t>
      </w:r>
      <w:r>
        <w:rPr>
          <w:rFonts w:ascii="Palatino Linotype" w:eastAsia="Calibri" w:hAnsi="Palatino Linotype" w:cs="Tahoma"/>
          <w:bCs/>
          <w:szCs w:val="22"/>
          <w:lang w:val="es-ES" w:eastAsia="en-US"/>
        </w:rPr>
        <w:t xml:space="preserve"> de fecha veintiuno de junio del presente año, mediante el cual informa </w:t>
      </w:r>
      <w:r w:rsidRPr="001F252C">
        <w:rPr>
          <w:rFonts w:ascii="Palatino Linotype" w:eastAsia="Calibri" w:hAnsi="Palatino Linotype" w:cs="Tahoma"/>
          <w:bCs/>
          <w:i/>
          <w:szCs w:val="22"/>
          <w:lang w:eastAsia="en-US"/>
        </w:rPr>
        <w:t>grosso modo</w:t>
      </w:r>
      <w:r>
        <w:rPr>
          <w:rFonts w:ascii="Palatino Linotype" w:eastAsia="Calibri" w:hAnsi="Palatino Linotype" w:cs="Tahoma"/>
          <w:bCs/>
          <w:i/>
          <w:szCs w:val="22"/>
          <w:lang w:eastAsia="en-US"/>
        </w:rPr>
        <w:t xml:space="preserve"> </w:t>
      </w:r>
      <w:r w:rsidRPr="001F252C">
        <w:rPr>
          <w:rFonts w:ascii="Palatino Linotype" w:eastAsia="Calibri" w:hAnsi="Palatino Linotype" w:cs="Tahoma"/>
          <w:bCs/>
          <w:szCs w:val="22"/>
          <w:lang w:eastAsia="en-US"/>
        </w:rPr>
        <w:t>lo siguiente</w:t>
      </w:r>
      <w:r>
        <w:rPr>
          <w:rFonts w:ascii="Palatino Linotype" w:eastAsia="Calibri" w:hAnsi="Palatino Linotype" w:cs="Tahoma"/>
          <w:bCs/>
          <w:szCs w:val="22"/>
          <w:lang w:eastAsia="en-US"/>
        </w:rPr>
        <w:t>:</w:t>
      </w:r>
    </w:p>
    <w:p w14:paraId="41A5B2D8" w14:textId="69829B15" w:rsidR="001F252C" w:rsidRDefault="00005377">
      <w:pPr>
        <w:pStyle w:val="Prrafodelista"/>
        <w:numPr>
          <w:ilvl w:val="1"/>
          <w:numId w:val="48"/>
        </w:numPr>
        <w:autoSpaceDE w:val="0"/>
        <w:autoSpaceDN w:val="0"/>
        <w:adjustRightInd w:val="0"/>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El Servidor Público Habilitado de l</w:t>
      </w:r>
      <w:r w:rsidR="0023020C">
        <w:rPr>
          <w:rFonts w:ascii="Palatino Linotype" w:eastAsia="Calibri" w:hAnsi="Palatino Linotype" w:cs="Tahoma"/>
          <w:bCs/>
          <w:szCs w:val="22"/>
          <w:lang w:val="es-ES" w:eastAsia="en-US"/>
        </w:rPr>
        <w:t xml:space="preserve">a Tesorería del Ayuntamiento, informó que </w:t>
      </w:r>
      <w:r w:rsidR="00821A0C">
        <w:rPr>
          <w:rFonts w:ascii="Palatino Linotype" w:eastAsia="Calibri" w:hAnsi="Palatino Linotype" w:cs="Tahoma"/>
          <w:bCs/>
          <w:szCs w:val="22"/>
          <w:lang w:val="es-ES" w:eastAsia="en-US"/>
        </w:rPr>
        <w:t>la totalidad de los documentos que pretenden dar contestación a la so</w:t>
      </w:r>
      <w:r w:rsidR="007B6EFC">
        <w:rPr>
          <w:rFonts w:ascii="Palatino Linotype" w:eastAsia="Calibri" w:hAnsi="Palatino Linotype" w:cs="Tahoma"/>
          <w:bCs/>
          <w:szCs w:val="22"/>
          <w:lang w:val="es-ES" w:eastAsia="en-US"/>
        </w:rPr>
        <w:t>licitud de información asciende</w:t>
      </w:r>
      <w:r w:rsidR="00821A0C">
        <w:rPr>
          <w:rFonts w:ascii="Palatino Linotype" w:eastAsia="Calibri" w:hAnsi="Palatino Linotype" w:cs="Tahoma"/>
          <w:bCs/>
          <w:szCs w:val="22"/>
          <w:lang w:val="es-ES" w:eastAsia="en-US"/>
        </w:rPr>
        <w:t xml:space="preserve"> a </w:t>
      </w:r>
      <w:r w:rsidR="00821A0C" w:rsidRPr="00821A0C">
        <w:rPr>
          <w:rFonts w:ascii="Palatino Linotype" w:eastAsia="Calibri" w:hAnsi="Palatino Linotype" w:cs="Tahoma"/>
          <w:b/>
          <w:bCs/>
          <w:szCs w:val="22"/>
          <w:u w:val="single"/>
          <w:lang w:val="es-ES" w:eastAsia="en-US"/>
        </w:rPr>
        <w:t>1.2 gigabytes</w:t>
      </w:r>
      <w:r w:rsidR="00821A0C">
        <w:rPr>
          <w:rFonts w:ascii="Palatino Linotype" w:eastAsia="Calibri" w:hAnsi="Palatino Linotype" w:cs="Tahoma"/>
          <w:bCs/>
          <w:szCs w:val="22"/>
          <w:lang w:val="es-ES" w:eastAsia="en-US"/>
        </w:rPr>
        <w:t xml:space="preserve"> aproximadamente.</w:t>
      </w:r>
    </w:p>
    <w:p w14:paraId="20F83D0C" w14:textId="134F23F6" w:rsidR="00516DCA" w:rsidRDefault="00821A0C">
      <w:pPr>
        <w:pStyle w:val="Prrafodelista"/>
        <w:numPr>
          <w:ilvl w:val="1"/>
          <w:numId w:val="48"/>
        </w:numPr>
        <w:autoSpaceDE w:val="0"/>
        <w:autoSpaceDN w:val="0"/>
        <w:adjustRightInd w:val="0"/>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Del mismo </w:t>
      </w:r>
      <w:r w:rsidR="00005377">
        <w:rPr>
          <w:rFonts w:ascii="Palatino Linotype" w:eastAsia="Calibri" w:hAnsi="Palatino Linotype" w:cs="Tahoma"/>
          <w:bCs/>
          <w:szCs w:val="22"/>
          <w:lang w:val="es-ES" w:eastAsia="en-US"/>
        </w:rPr>
        <w:t xml:space="preserve">modo, </w:t>
      </w:r>
      <w:r>
        <w:rPr>
          <w:rFonts w:ascii="Palatino Linotype" w:eastAsia="Calibri" w:hAnsi="Palatino Linotype" w:cs="Tahoma"/>
          <w:bCs/>
          <w:szCs w:val="22"/>
          <w:lang w:val="es-ES" w:eastAsia="en-US"/>
        </w:rPr>
        <w:t xml:space="preserve">el Tesorero del Ayuntamiento indicó que </w:t>
      </w:r>
      <w:r w:rsidR="00516DCA">
        <w:rPr>
          <w:rFonts w:ascii="Palatino Linotype" w:eastAsia="Calibri" w:hAnsi="Palatino Linotype" w:cs="Tahoma"/>
          <w:bCs/>
          <w:szCs w:val="22"/>
          <w:lang w:val="es-ES" w:eastAsia="en-US"/>
        </w:rPr>
        <w:t>es necesario reali</w:t>
      </w:r>
      <w:r w:rsidR="00005377">
        <w:rPr>
          <w:rFonts w:ascii="Palatino Linotype" w:eastAsia="Calibri" w:hAnsi="Palatino Linotype" w:cs="Tahoma"/>
          <w:bCs/>
          <w:szCs w:val="22"/>
          <w:lang w:val="es-ES" w:eastAsia="en-US"/>
        </w:rPr>
        <w:t>zar</w:t>
      </w:r>
      <w:r w:rsidR="00516DCA">
        <w:rPr>
          <w:rFonts w:ascii="Palatino Linotype" w:eastAsia="Calibri" w:hAnsi="Palatino Linotype" w:cs="Tahoma"/>
          <w:bCs/>
          <w:szCs w:val="22"/>
          <w:lang w:val="es-ES" w:eastAsia="en-US"/>
        </w:rPr>
        <w:t xml:space="preserve"> una serie de procedimientos tales como </w:t>
      </w:r>
      <w:r w:rsidR="00516DCA" w:rsidRPr="00516DCA">
        <w:rPr>
          <w:rFonts w:ascii="Palatino Linotype" w:eastAsia="Calibri" w:hAnsi="Palatino Linotype" w:cs="Tahoma"/>
          <w:b/>
          <w:bCs/>
          <w:szCs w:val="22"/>
          <w:lang w:val="es-ES" w:eastAsia="en-US"/>
        </w:rPr>
        <w:t>análisis, estudio y procesamiento de la información</w:t>
      </w:r>
      <w:r w:rsidR="00516DCA">
        <w:rPr>
          <w:rFonts w:ascii="Palatino Linotype" w:eastAsia="Calibri" w:hAnsi="Palatino Linotype" w:cs="Tahoma"/>
          <w:bCs/>
          <w:szCs w:val="22"/>
          <w:lang w:val="es-ES" w:eastAsia="en-US"/>
        </w:rPr>
        <w:t xml:space="preserve">, así como la verificación de la misma </w:t>
      </w:r>
      <w:r w:rsidR="00516DCA" w:rsidRPr="00516DCA">
        <w:rPr>
          <w:rFonts w:ascii="Palatino Linotype" w:eastAsia="Calibri" w:hAnsi="Palatino Linotype" w:cs="Tahoma"/>
          <w:b/>
          <w:bCs/>
          <w:szCs w:val="22"/>
          <w:lang w:val="es-ES" w:eastAsia="en-US"/>
        </w:rPr>
        <w:t xml:space="preserve">para que </w:t>
      </w:r>
      <w:r w:rsidR="00005377">
        <w:rPr>
          <w:rFonts w:ascii="Palatino Linotype" w:eastAsia="Calibri" w:hAnsi="Palatino Linotype" w:cs="Tahoma"/>
          <w:b/>
          <w:bCs/>
          <w:szCs w:val="22"/>
          <w:lang w:val="es-ES" w:eastAsia="en-US"/>
        </w:rPr>
        <w:t>e</w:t>
      </w:r>
      <w:r w:rsidR="00516DCA" w:rsidRPr="00516DCA">
        <w:rPr>
          <w:rFonts w:ascii="Palatino Linotype" w:eastAsia="Calibri" w:hAnsi="Palatino Linotype" w:cs="Tahoma"/>
          <w:b/>
          <w:bCs/>
          <w:szCs w:val="22"/>
          <w:lang w:val="es-ES" w:eastAsia="en-US"/>
        </w:rPr>
        <w:t>sta no se encuentre en los supuestos de clasificación de reservada o confidencial</w:t>
      </w:r>
      <w:r w:rsidR="00516DCA">
        <w:rPr>
          <w:rFonts w:ascii="Palatino Linotype" w:eastAsia="Calibri" w:hAnsi="Palatino Linotype" w:cs="Tahoma"/>
          <w:bCs/>
          <w:szCs w:val="22"/>
          <w:lang w:val="es-ES" w:eastAsia="en-US"/>
        </w:rPr>
        <w:t>, situación que excede las capacidades humanas de la citada administración.</w:t>
      </w:r>
    </w:p>
    <w:p w14:paraId="7820967E" w14:textId="15D678CC" w:rsidR="00821A0C" w:rsidRPr="001F252C" w:rsidRDefault="00516DCA">
      <w:pPr>
        <w:pStyle w:val="Prrafodelista"/>
        <w:numPr>
          <w:ilvl w:val="1"/>
          <w:numId w:val="48"/>
        </w:numPr>
        <w:autoSpaceDE w:val="0"/>
        <w:autoSpaceDN w:val="0"/>
        <w:adjustRightInd w:val="0"/>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t xml:space="preserve"> </w:t>
      </w:r>
      <w:r w:rsidR="00E700FC">
        <w:rPr>
          <w:rFonts w:ascii="Palatino Linotype" w:eastAsia="Calibri" w:hAnsi="Palatino Linotype" w:cs="Tahoma"/>
          <w:bCs/>
          <w:szCs w:val="22"/>
          <w:lang w:val="es-ES" w:eastAsia="en-US"/>
        </w:rPr>
        <w:t xml:space="preserve">Derivado de lo anterior, es que </w:t>
      </w:r>
      <w:r w:rsidR="00E700FC" w:rsidRPr="00E700FC">
        <w:rPr>
          <w:rFonts w:ascii="Palatino Linotype" w:eastAsia="Calibri" w:hAnsi="Palatino Linotype" w:cs="Tahoma"/>
          <w:b/>
          <w:bCs/>
          <w:szCs w:val="22"/>
          <w:lang w:val="es-ES" w:eastAsia="en-US"/>
        </w:rPr>
        <w:t>resulta procedente poner a disposición del Solicitante, en “consulta directa” la información requerida</w:t>
      </w:r>
      <w:r w:rsidR="00E700FC">
        <w:rPr>
          <w:rFonts w:ascii="Palatino Linotype" w:eastAsia="Calibri" w:hAnsi="Palatino Linotype" w:cs="Tahoma"/>
          <w:bCs/>
          <w:szCs w:val="22"/>
          <w:lang w:val="es-ES" w:eastAsia="en-US"/>
        </w:rPr>
        <w:t>, salvo aquella que se clasifica como confidencial o reservada.</w:t>
      </w:r>
    </w:p>
    <w:p w14:paraId="027C2034" w14:textId="1758D4E3" w:rsidR="001F252C" w:rsidRPr="00FF1532" w:rsidRDefault="001F252C">
      <w:pPr>
        <w:autoSpaceDE w:val="0"/>
        <w:autoSpaceDN w:val="0"/>
        <w:adjustRightInd w:val="0"/>
        <w:spacing w:line="360" w:lineRule="auto"/>
        <w:jc w:val="both"/>
        <w:rPr>
          <w:rFonts w:ascii="Palatino Linotype" w:hAnsi="Palatino Linotype" w:cs="Tahoma"/>
          <w:b/>
          <w:sz w:val="22"/>
          <w:szCs w:val="22"/>
        </w:rPr>
      </w:pPr>
    </w:p>
    <w:p w14:paraId="452FD461" w14:textId="77777777" w:rsidR="00C12FBA" w:rsidRPr="00FF1532" w:rsidRDefault="001A3EAE">
      <w:pPr>
        <w:autoSpaceDE w:val="0"/>
        <w:autoSpaceDN w:val="0"/>
        <w:adjustRightInd w:val="0"/>
        <w:spacing w:line="360" w:lineRule="auto"/>
        <w:jc w:val="both"/>
        <w:rPr>
          <w:rFonts w:ascii="Palatino Linotype" w:hAnsi="Palatino Linotype" w:cs="Tahoma"/>
          <w:b/>
          <w:sz w:val="22"/>
          <w:szCs w:val="22"/>
        </w:rPr>
      </w:pPr>
      <w:r w:rsidRPr="00FF1532">
        <w:rPr>
          <w:rFonts w:ascii="Palatino Linotype" w:hAnsi="Palatino Linotype" w:cs="Tahoma"/>
          <w:b/>
          <w:sz w:val="22"/>
          <w:szCs w:val="22"/>
        </w:rPr>
        <w:t>II</w:t>
      </w:r>
      <w:r w:rsidR="00C12FBA" w:rsidRPr="00FF1532">
        <w:rPr>
          <w:rFonts w:ascii="Palatino Linotype" w:hAnsi="Palatino Linotype" w:cs="Tahoma"/>
          <w:b/>
          <w:sz w:val="22"/>
          <w:szCs w:val="22"/>
        </w:rPr>
        <w:t xml:space="preserve">I. Interposición del Recurso de Revisión. </w:t>
      </w:r>
    </w:p>
    <w:p w14:paraId="56F37922" w14:textId="77777777" w:rsidR="00587F23" w:rsidRPr="00FF1532" w:rsidRDefault="00587F23">
      <w:pPr>
        <w:autoSpaceDE w:val="0"/>
        <w:autoSpaceDN w:val="0"/>
        <w:adjustRightInd w:val="0"/>
        <w:spacing w:line="360" w:lineRule="auto"/>
        <w:jc w:val="both"/>
        <w:rPr>
          <w:rFonts w:ascii="Palatino Linotype" w:hAnsi="Palatino Linotype" w:cs="Tahoma"/>
          <w:b/>
          <w:sz w:val="22"/>
          <w:szCs w:val="22"/>
        </w:rPr>
      </w:pPr>
    </w:p>
    <w:p w14:paraId="1047E9D2" w14:textId="46BF9584" w:rsidR="007E5971" w:rsidRDefault="00F61EB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 xml:space="preserve">Con </w:t>
      </w:r>
      <w:r w:rsidR="00F912E8">
        <w:rPr>
          <w:rFonts w:ascii="Palatino Linotype" w:eastAsia="Calibri" w:hAnsi="Palatino Linotype" w:cs="Tahoma"/>
          <w:bCs/>
          <w:sz w:val="22"/>
          <w:szCs w:val="22"/>
          <w:lang w:val="es-ES" w:eastAsia="en-US"/>
        </w:rPr>
        <w:t>fecha veinticuatro de junio</w:t>
      </w:r>
      <w:r w:rsidR="007E5971" w:rsidRPr="00FF1532">
        <w:rPr>
          <w:rFonts w:ascii="Palatino Linotype" w:eastAsia="Calibri" w:hAnsi="Palatino Linotype" w:cs="Tahoma"/>
          <w:bCs/>
          <w:sz w:val="22"/>
          <w:szCs w:val="22"/>
          <w:lang w:val="es-ES" w:eastAsia="en-US"/>
        </w:rPr>
        <w:t xml:space="preserve"> de dos mil diecinueve, </w:t>
      </w:r>
      <w:r w:rsidR="007E5971" w:rsidRPr="00FF1532">
        <w:rPr>
          <w:rFonts w:ascii="Palatino Linotype" w:eastAsia="Calibri" w:hAnsi="Palatino Linotype" w:cs="Tahoma"/>
          <w:bCs/>
          <w:sz w:val="22"/>
          <w:szCs w:val="22"/>
          <w:lang w:eastAsia="en-US"/>
        </w:rPr>
        <w:t xml:space="preserve">mediante el </w:t>
      </w:r>
      <w:r w:rsidR="007E5971" w:rsidRPr="00FF1532">
        <w:rPr>
          <w:rFonts w:ascii="Palatino Linotype" w:eastAsia="Calibri" w:hAnsi="Palatino Linotype" w:cs="Tahoma"/>
          <w:bCs/>
          <w:sz w:val="22"/>
          <w:szCs w:val="22"/>
          <w:lang w:val="es-ES" w:eastAsia="en-US"/>
        </w:rPr>
        <w:t xml:space="preserve">Sistema de Acceso a la Información Mexiquense (SAIMEX), se recibió en este </w:t>
      </w:r>
      <w:r w:rsidR="007E5971" w:rsidRPr="00FF1532">
        <w:rPr>
          <w:rFonts w:ascii="Palatino Linotype" w:eastAsia="Calibri" w:hAnsi="Palatino Linotype" w:cs="Tahoma"/>
          <w:bCs/>
          <w:sz w:val="22"/>
          <w:szCs w:val="22"/>
          <w:lang w:eastAsia="en-US"/>
        </w:rPr>
        <w:t xml:space="preserve">Instituto </w:t>
      </w:r>
      <w:r w:rsidR="007E5971" w:rsidRPr="00FF1532">
        <w:rPr>
          <w:rFonts w:ascii="Palatino Linotype" w:eastAsia="Calibri" w:hAnsi="Palatino Linotype" w:cs="Tahoma"/>
          <w:bCs/>
          <w:sz w:val="22"/>
          <w:szCs w:val="22"/>
          <w:lang w:val="es-ES" w:eastAsia="en-US"/>
        </w:rPr>
        <w:t xml:space="preserve">el Recurso de Revisión interpuesto por el Particular, en contra de la respuesta otorgada por el </w:t>
      </w:r>
      <w:r w:rsidR="00F912E8" w:rsidRPr="00F912E8">
        <w:rPr>
          <w:rFonts w:ascii="Palatino Linotype" w:eastAsia="Calibri" w:hAnsi="Palatino Linotype" w:cs="Tahoma"/>
          <w:b/>
          <w:bCs/>
          <w:sz w:val="22"/>
          <w:szCs w:val="22"/>
          <w:lang w:eastAsia="en-US"/>
        </w:rPr>
        <w:t>Ayuntamiento de Acolman</w:t>
      </w:r>
      <w:r w:rsidR="007E5971" w:rsidRPr="00FF1532">
        <w:rPr>
          <w:rFonts w:ascii="Palatino Linotype" w:eastAsia="Calibri" w:hAnsi="Palatino Linotype" w:cs="Tahoma"/>
          <w:bCs/>
          <w:sz w:val="22"/>
          <w:szCs w:val="22"/>
          <w:lang w:val="es-ES" w:eastAsia="en-US"/>
        </w:rPr>
        <w:t xml:space="preserve">, </w:t>
      </w:r>
      <w:r w:rsidR="007E5971" w:rsidRPr="00FF1532">
        <w:rPr>
          <w:rFonts w:ascii="Palatino Linotype" w:eastAsia="Calibri" w:hAnsi="Palatino Linotype" w:cs="Tahoma"/>
          <w:bCs/>
          <w:sz w:val="22"/>
          <w:szCs w:val="22"/>
          <w:lang w:eastAsia="en-US"/>
        </w:rPr>
        <w:t>en los términos siguientes:</w:t>
      </w:r>
    </w:p>
    <w:p w14:paraId="43A9E752" w14:textId="77777777" w:rsidR="00042992" w:rsidRPr="00FF1532" w:rsidRDefault="00042992">
      <w:pPr>
        <w:spacing w:line="360" w:lineRule="auto"/>
        <w:jc w:val="both"/>
        <w:rPr>
          <w:rFonts w:ascii="Palatino Linotype" w:eastAsia="Calibri" w:hAnsi="Palatino Linotype" w:cs="Tahoma"/>
          <w:bCs/>
          <w:sz w:val="22"/>
          <w:szCs w:val="22"/>
          <w:lang w:eastAsia="en-US"/>
        </w:rPr>
      </w:pPr>
    </w:p>
    <w:p w14:paraId="42D2D5AE" w14:textId="5B611597" w:rsidR="007E5971" w:rsidRPr="00042992" w:rsidRDefault="00042992">
      <w:pPr>
        <w:spacing w:line="360" w:lineRule="auto"/>
        <w:ind w:left="567" w:right="567"/>
        <w:jc w:val="both"/>
        <w:rPr>
          <w:rFonts w:ascii="Palatino Linotype" w:eastAsia="Calibri" w:hAnsi="Palatino Linotype" w:cs="Tahoma"/>
          <w:bCs/>
          <w:i/>
          <w:lang w:eastAsia="en-US"/>
        </w:rPr>
      </w:pPr>
      <w:r>
        <w:rPr>
          <w:rFonts w:ascii="Palatino Linotype" w:eastAsia="Calibri" w:hAnsi="Palatino Linotype" w:cs="Tahoma"/>
          <w:b/>
          <w:bCs/>
          <w:i/>
          <w:lang w:eastAsia="en-US"/>
        </w:rPr>
        <w:t>“</w:t>
      </w:r>
      <w:r w:rsidR="007E5971" w:rsidRPr="00042992">
        <w:rPr>
          <w:rFonts w:ascii="Palatino Linotype" w:eastAsia="Calibri" w:hAnsi="Palatino Linotype" w:cs="Tahoma"/>
          <w:b/>
          <w:bCs/>
          <w:i/>
          <w:lang w:eastAsia="en-US"/>
        </w:rPr>
        <w:t>ACTO IMPUGNADO</w:t>
      </w:r>
    </w:p>
    <w:p w14:paraId="2D5C523F" w14:textId="22887518" w:rsidR="007E5971" w:rsidRDefault="00E66F2F">
      <w:pPr>
        <w:spacing w:line="276" w:lineRule="auto"/>
        <w:ind w:left="567" w:right="567"/>
        <w:jc w:val="both"/>
        <w:rPr>
          <w:rFonts w:ascii="Palatino Linotype" w:eastAsia="Calibri" w:hAnsi="Palatino Linotype" w:cs="Tahoma"/>
          <w:bCs/>
          <w:i/>
          <w:lang w:eastAsia="en-US"/>
        </w:rPr>
      </w:pPr>
      <w:r w:rsidRPr="00E66F2F">
        <w:rPr>
          <w:rFonts w:ascii="Palatino Linotype" w:eastAsia="Calibri" w:hAnsi="Palatino Linotype" w:cs="Tahoma"/>
          <w:bCs/>
          <w:i/>
          <w:lang w:eastAsia="en-US"/>
        </w:rPr>
        <w:t>no entregar la información solicitada</w:t>
      </w:r>
      <w:r w:rsidR="007E5971" w:rsidRPr="00042992">
        <w:rPr>
          <w:rFonts w:ascii="Palatino Linotype" w:eastAsia="Calibri" w:hAnsi="Palatino Linotype" w:cs="Tahoma"/>
          <w:bCs/>
          <w:i/>
          <w:lang w:eastAsia="en-US"/>
        </w:rPr>
        <w:t>" (Sic)</w:t>
      </w:r>
    </w:p>
    <w:p w14:paraId="49CC1327" w14:textId="107B26EA" w:rsidR="007E5971" w:rsidRDefault="007E5971">
      <w:pPr>
        <w:spacing w:line="360" w:lineRule="auto"/>
        <w:ind w:right="567"/>
        <w:jc w:val="both"/>
        <w:rPr>
          <w:rFonts w:ascii="Palatino Linotype" w:eastAsia="Calibri" w:hAnsi="Palatino Linotype" w:cs="Tahoma"/>
          <w:bCs/>
          <w:i/>
          <w:lang w:val="es-ES" w:eastAsia="en-US"/>
        </w:rPr>
      </w:pPr>
    </w:p>
    <w:p w14:paraId="4B15AF20" w14:textId="77777777" w:rsidR="00005377" w:rsidRDefault="00005377">
      <w:pPr>
        <w:spacing w:line="360" w:lineRule="auto"/>
        <w:ind w:right="567"/>
        <w:jc w:val="both"/>
        <w:rPr>
          <w:rFonts w:ascii="Palatino Linotype" w:eastAsia="Calibri" w:hAnsi="Palatino Linotype" w:cs="Tahoma"/>
          <w:bCs/>
          <w:i/>
          <w:lang w:val="es-ES" w:eastAsia="en-US"/>
        </w:rPr>
      </w:pPr>
    </w:p>
    <w:p w14:paraId="19EC2C1A" w14:textId="77777777" w:rsidR="00005377" w:rsidRDefault="00005377">
      <w:pPr>
        <w:spacing w:line="360" w:lineRule="auto"/>
        <w:ind w:right="567"/>
        <w:jc w:val="both"/>
        <w:rPr>
          <w:rFonts w:ascii="Palatino Linotype" w:eastAsia="Calibri" w:hAnsi="Palatino Linotype" w:cs="Tahoma"/>
          <w:bCs/>
          <w:i/>
          <w:lang w:val="es-ES" w:eastAsia="en-US"/>
        </w:rPr>
      </w:pPr>
    </w:p>
    <w:p w14:paraId="350797F6" w14:textId="3903ECA6" w:rsidR="007E5971" w:rsidRPr="00042992" w:rsidRDefault="00042992">
      <w:pPr>
        <w:spacing w:line="360" w:lineRule="auto"/>
        <w:ind w:left="567" w:right="567"/>
        <w:jc w:val="both"/>
        <w:rPr>
          <w:rFonts w:ascii="Palatino Linotype" w:eastAsia="Calibri" w:hAnsi="Palatino Linotype" w:cs="Tahoma"/>
          <w:b/>
          <w:bCs/>
          <w:i/>
          <w:lang w:val="es-ES" w:eastAsia="en-US"/>
        </w:rPr>
      </w:pPr>
      <w:r>
        <w:rPr>
          <w:rFonts w:ascii="Palatino Linotype" w:eastAsia="Calibri" w:hAnsi="Palatino Linotype" w:cs="Tahoma"/>
          <w:b/>
          <w:bCs/>
          <w:i/>
          <w:lang w:val="es-ES" w:eastAsia="en-US"/>
        </w:rPr>
        <w:lastRenderedPageBreak/>
        <w:t>“</w:t>
      </w:r>
      <w:r w:rsidR="007E5971" w:rsidRPr="00042992">
        <w:rPr>
          <w:rFonts w:ascii="Palatino Linotype" w:eastAsia="Calibri" w:hAnsi="Palatino Linotype" w:cs="Tahoma"/>
          <w:b/>
          <w:bCs/>
          <w:i/>
          <w:lang w:val="es-ES" w:eastAsia="en-US"/>
        </w:rPr>
        <w:t>RAZONES O MOTIVOS DE LA INCONFORMIDAD</w:t>
      </w:r>
    </w:p>
    <w:p w14:paraId="7F5D7535" w14:textId="49A9A30F" w:rsidR="007E5971" w:rsidRPr="00042992" w:rsidRDefault="00E66F2F">
      <w:pPr>
        <w:spacing w:line="276" w:lineRule="auto"/>
        <w:ind w:left="567" w:right="567"/>
        <w:jc w:val="both"/>
        <w:rPr>
          <w:rFonts w:ascii="Palatino Linotype" w:eastAsia="Calibri" w:hAnsi="Palatino Linotype" w:cs="Tahoma"/>
          <w:bCs/>
          <w:i/>
          <w:lang w:eastAsia="en-US"/>
        </w:rPr>
      </w:pPr>
      <w:r w:rsidRPr="00E66F2F">
        <w:rPr>
          <w:rFonts w:ascii="Palatino Linotype" w:eastAsia="Calibri" w:hAnsi="Palatino Linotype" w:cs="Tahoma"/>
          <w:bCs/>
          <w:i/>
          <w:lang w:eastAsia="en-US"/>
        </w:rPr>
        <w:t xml:space="preserve">se comenta que la formación sobrepasa la </w:t>
      </w:r>
      <w:proofErr w:type="spellStart"/>
      <w:r w:rsidRPr="00E66F2F">
        <w:rPr>
          <w:rFonts w:ascii="Palatino Linotype" w:eastAsia="Calibri" w:hAnsi="Palatino Linotype" w:cs="Tahoma"/>
          <w:bCs/>
          <w:i/>
          <w:lang w:eastAsia="en-US"/>
        </w:rPr>
        <w:t>capasidad</w:t>
      </w:r>
      <w:proofErr w:type="spellEnd"/>
      <w:r w:rsidRPr="00E66F2F">
        <w:rPr>
          <w:rFonts w:ascii="Palatino Linotype" w:eastAsia="Calibri" w:hAnsi="Palatino Linotype" w:cs="Tahoma"/>
          <w:bCs/>
          <w:i/>
          <w:lang w:eastAsia="en-US"/>
        </w:rPr>
        <w:t xml:space="preserve"> de 1 </w:t>
      </w:r>
      <w:proofErr w:type="gramStart"/>
      <w:r w:rsidRPr="00E66F2F">
        <w:rPr>
          <w:rFonts w:ascii="Palatino Linotype" w:eastAsia="Calibri" w:hAnsi="Palatino Linotype" w:cs="Tahoma"/>
          <w:bCs/>
          <w:i/>
          <w:lang w:eastAsia="en-US"/>
        </w:rPr>
        <w:t>GB</w:t>
      </w:r>
      <w:proofErr w:type="gramEnd"/>
      <w:r w:rsidRPr="00E66F2F">
        <w:rPr>
          <w:rFonts w:ascii="Palatino Linotype" w:eastAsia="Calibri" w:hAnsi="Palatino Linotype" w:cs="Tahoma"/>
          <w:bCs/>
          <w:i/>
          <w:lang w:eastAsia="en-US"/>
        </w:rPr>
        <w:t xml:space="preserve"> pero otros municipios me han proporcionado información de hasta 5 GB </w:t>
      </w:r>
      <w:r w:rsidR="007E5971" w:rsidRPr="00042992">
        <w:rPr>
          <w:rFonts w:ascii="Palatino Linotype" w:eastAsia="Calibri" w:hAnsi="Palatino Linotype" w:cs="Tahoma"/>
          <w:bCs/>
          <w:i/>
          <w:lang w:eastAsia="en-US"/>
        </w:rPr>
        <w:t>“(Sic)</w:t>
      </w:r>
    </w:p>
    <w:p w14:paraId="05AFB424" w14:textId="77777777" w:rsidR="00E66F2F" w:rsidRDefault="00E66F2F">
      <w:pPr>
        <w:autoSpaceDE w:val="0"/>
        <w:autoSpaceDN w:val="0"/>
        <w:adjustRightInd w:val="0"/>
        <w:spacing w:line="360" w:lineRule="auto"/>
        <w:ind w:left="567" w:right="567"/>
        <w:jc w:val="both"/>
        <w:rPr>
          <w:rFonts w:ascii="Palatino Linotype" w:hAnsi="Palatino Linotype" w:cs="Tahoma"/>
        </w:rPr>
      </w:pPr>
    </w:p>
    <w:p w14:paraId="2D7FCD48" w14:textId="49A53476" w:rsidR="00B31222" w:rsidRPr="00FF1532" w:rsidRDefault="005C3AF3">
      <w:pPr>
        <w:spacing w:line="360" w:lineRule="auto"/>
        <w:jc w:val="both"/>
        <w:rPr>
          <w:rFonts w:ascii="Palatino Linotype" w:eastAsia="Batang" w:hAnsi="Palatino Linotype" w:cs="Tahoma"/>
          <w:b/>
          <w:bCs/>
          <w:sz w:val="22"/>
          <w:szCs w:val="22"/>
        </w:rPr>
      </w:pPr>
      <w:r w:rsidRPr="00FF1532">
        <w:rPr>
          <w:rFonts w:ascii="Palatino Linotype" w:hAnsi="Palatino Linotype" w:cs="Tahoma"/>
          <w:b/>
          <w:sz w:val="22"/>
          <w:szCs w:val="22"/>
        </w:rPr>
        <w:t>IV.</w:t>
      </w:r>
      <w:r w:rsidR="00B31222" w:rsidRPr="00FF1532">
        <w:rPr>
          <w:rFonts w:ascii="Palatino Linotype" w:hAnsi="Palatino Linotype" w:cs="Tahoma"/>
          <w:b/>
          <w:sz w:val="22"/>
          <w:szCs w:val="22"/>
        </w:rPr>
        <w:t xml:space="preserve"> </w:t>
      </w:r>
      <w:r w:rsidR="00B31222" w:rsidRPr="00FF1532">
        <w:rPr>
          <w:rFonts w:ascii="Palatino Linotype" w:eastAsia="Batang" w:hAnsi="Palatino Linotype" w:cs="Tahoma"/>
          <w:b/>
          <w:bCs/>
          <w:sz w:val="22"/>
          <w:szCs w:val="22"/>
        </w:rPr>
        <w:t xml:space="preserve">Trámite del </w:t>
      </w:r>
      <w:r w:rsidR="00C459A9" w:rsidRPr="00FF1532">
        <w:rPr>
          <w:rFonts w:ascii="Palatino Linotype" w:hAnsi="Palatino Linotype" w:cs="Tahoma"/>
          <w:b/>
          <w:sz w:val="22"/>
          <w:szCs w:val="22"/>
        </w:rPr>
        <w:t xml:space="preserve">Recurso de </w:t>
      </w:r>
      <w:r w:rsidR="00327FDE" w:rsidRPr="00FF1532">
        <w:rPr>
          <w:rFonts w:ascii="Palatino Linotype" w:hAnsi="Palatino Linotype" w:cs="Tahoma"/>
          <w:b/>
          <w:sz w:val="22"/>
          <w:szCs w:val="22"/>
        </w:rPr>
        <w:t>Revisión</w:t>
      </w:r>
      <w:r w:rsidR="00327FDE" w:rsidRPr="00FF1532">
        <w:rPr>
          <w:rFonts w:ascii="Palatino Linotype" w:eastAsia="Batang" w:hAnsi="Palatino Linotype" w:cs="Tahoma"/>
          <w:b/>
          <w:bCs/>
          <w:sz w:val="22"/>
          <w:szCs w:val="22"/>
        </w:rPr>
        <w:t xml:space="preserve"> ante</w:t>
      </w:r>
      <w:r w:rsidR="00B31222" w:rsidRPr="00FF1532">
        <w:rPr>
          <w:rFonts w:ascii="Palatino Linotype" w:eastAsia="Batang" w:hAnsi="Palatino Linotype" w:cs="Tahoma"/>
          <w:b/>
          <w:bCs/>
          <w:sz w:val="22"/>
          <w:szCs w:val="22"/>
        </w:rPr>
        <w:t xml:space="preserve"> el Instituto</w:t>
      </w:r>
      <w:r w:rsidR="00E445DA" w:rsidRPr="00FF1532">
        <w:rPr>
          <w:rFonts w:ascii="Palatino Linotype" w:eastAsia="Batang" w:hAnsi="Palatino Linotype" w:cs="Tahoma"/>
          <w:b/>
          <w:bCs/>
          <w:sz w:val="22"/>
          <w:szCs w:val="22"/>
        </w:rPr>
        <w:t>.</w:t>
      </w:r>
    </w:p>
    <w:p w14:paraId="1AF30805" w14:textId="77777777" w:rsidR="00E445DA" w:rsidRPr="00FF1532" w:rsidRDefault="00E445DA">
      <w:pPr>
        <w:spacing w:line="360" w:lineRule="auto"/>
        <w:jc w:val="both"/>
        <w:rPr>
          <w:rFonts w:ascii="Palatino Linotype" w:eastAsia="Batang" w:hAnsi="Palatino Linotype" w:cs="Tahoma"/>
          <w:b/>
          <w:bCs/>
          <w:sz w:val="22"/>
          <w:szCs w:val="22"/>
        </w:rPr>
      </w:pPr>
    </w:p>
    <w:p w14:paraId="5EF43D28" w14:textId="7B779E33" w:rsidR="007E5971" w:rsidRPr="00FF1532" w:rsidRDefault="007E5971">
      <w:pPr>
        <w:spacing w:line="360" w:lineRule="auto"/>
        <w:jc w:val="both"/>
        <w:rPr>
          <w:rFonts w:ascii="Palatino Linotype" w:eastAsia="Calibri" w:hAnsi="Palatino Linotype" w:cs="Tahoma"/>
          <w:bCs/>
          <w:sz w:val="22"/>
          <w:szCs w:val="22"/>
          <w:lang w:eastAsia="en-US"/>
        </w:rPr>
      </w:pPr>
      <w:r w:rsidRPr="00FF1532">
        <w:rPr>
          <w:rFonts w:ascii="Palatino Linotype" w:eastAsia="Calibri" w:hAnsi="Palatino Linotype" w:cs="Tahoma"/>
          <w:b/>
          <w:bCs/>
          <w:sz w:val="22"/>
          <w:szCs w:val="22"/>
          <w:lang w:val="es-ES" w:eastAsia="en-US"/>
        </w:rPr>
        <w:t xml:space="preserve">a) Turno del Recurso de Revisión. </w:t>
      </w:r>
      <w:r w:rsidR="00970A80">
        <w:rPr>
          <w:rFonts w:ascii="Palatino Linotype" w:eastAsia="Calibri" w:hAnsi="Palatino Linotype" w:cs="Tahoma"/>
          <w:bCs/>
          <w:sz w:val="22"/>
          <w:szCs w:val="22"/>
          <w:lang w:eastAsia="en-US"/>
        </w:rPr>
        <w:t xml:space="preserve">Con fecha </w:t>
      </w:r>
      <w:r w:rsidR="0075283E" w:rsidRPr="0075283E">
        <w:rPr>
          <w:rFonts w:ascii="Palatino Linotype" w:eastAsia="Calibri" w:hAnsi="Palatino Linotype" w:cs="Tahoma"/>
          <w:bCs/>
          <w:sz w:val="22"/>
          <w:szCs w:val="22"/>
          <w:lang w:eastAsia="en-US"/>
        </w:rPr>
        <w:t xml:space="preserve">veinticuatro de junio </w:t>
      </w:r>
      <w:r w:rsidRPr="00FF1532">
        <w:rPr>
          <w:rFonts w:ascii="Palatino Linotype" w:eastAsia="Calibri" w:hAnsi="Palatino Linotype" w:cs="Tahoma"/>
          <w:bCs/>
          <w:sz w:val="22"/>
          <w:szCs w:val="22"/>
          <w:lang w:eastAsia="en-US"/>
        </w:rPr>
        <w:t xml:space="preserve">de dos mil diecinueve, el Sistema de Acceso a la Información Mexiquense (SAIMEX), asignó el número de expediente </w:t>
      </w:r>
      <w:r w:rsidR="0075283E" w:rsidRPr="0075283E">
        <w:rPr>
          <w:rFonts w:ascii="Palatino Linotype" w:eastAsia="Calibri" w:hAnsi="Palatino Linotype" w:cs="Tahoma"/>
          <w:b/>
          <w:bCs/>
          <w:sz w:val="22"/>
          <w:szCs w:val="22"/>
          <w:lang w:eastAsia="en-US"/>
        </w:rPr>
        <w:t xml:space="preserve">05721/INFOEM/IP/RR/2019 </w:t>
      </w:r>
      <w:r w:rsidRPr="00970A80">
        <w:rPr>
          <w:rFonts w:ascii="Palatino Linotype" w:eastAsia="Calibri" w:hAnsi="Palatino Linotype" w:cs="Tahoma"/>
          <w:bCs/>
          <w:sz w:val="22"/>
          <w:szCs w:val="22"/>
          <w:lang w:eastAsia="en-US"/>
        </w:rPr>
        <w:t>al Recurso</w:t>
      </w:r>
      <w:r w:rsidRPr="00FF1532">
        <w:rPr>
          <w:rFonts w:ascii="Palatino Linotype" w:eastAsia="Calibri" w:hAnsi="Palatino Linotype" w:cs="Tahoma"/>
          <w:bCs/>
          <w:sz w:val="22"/>
          <w:szCs w:val="22"/>
          <w:lang w:eastAsia="en-US"/>
        </w:rPr>
        <w:t xml:space="preserve"> de Revisión y lo turnó al Comisionado Ponente </w:t>
      </w:r>
      <w:r w:rsidRPr="00FF1532">
        <w:rPr>
          <w:rFonts w:ascii="Palatino Linotype" w:eastAsia="Calibri" w:hAnsi="Palatino Linotype" w:cs="Tahoma"/>
          <w:b/>
          <w:bCs/>
          <w:sz w:val="22"/>
          <w:szCs w:val="22"/>
          <w:lang w:eastAsia="en-US"/>
        </w:rPr>
        <w:t>Luis Gustavo Parra Noriega</w:t>
      </w:r>
      <w:r w:rsidRPr="00FF1532">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5ADB0172" w14:textId="77777777" w:rsidR="007E5971" w:rsidRPr="00FF1532" w:rsidRDefault="007E5971">
      <w:pPr>
        <w:spacing w:line="360" w:lineRule="auto"/>
        <w:jc w:val="both"/>
        <w:rPr>
          <w:rFonts w:ascii="Palatino Linotype" w:eastAsia="Calibri" w:hAnsi="Palatino Linotype" w:cs="Tahoma"/>
          <w:b/>
          <w:bCs/>
          <w:sz w:val="22"/>
          <w:szCs w:val="22"/>
          <w:lang w:val="es-ES" w:eastAsia="en-US"/>
        </w:rPr>
      </w:pPr>
    </w:p>
    <w:p w14:paraId="1ED34B0E" w14:textId="0128F2A6" w:rsidR="007E5971" w:rsidRDefault="007E5971">
      <w:pPr>
        <w:spacing w:line="360" w:lineRule="auto"/>
        <w:jc w:val="both"/>
        <w:rPr>
          <w:rFonts w:ascii="Palatino Linotype" w:eastAsia="Calibri" w:hAnsi="Palatino Linotype" w:cs="Tahoma"/>
          <w:bCs/>
          <w:sz w:val="22"/>
          <w:szCs w:val="22"/>
          <w:lang w:eastAsia="en-US"/>
        </w:rPr>
      </w:pPr>
      <w:r w:rsidRPr="00FF1532">
        <w:rPr>
          <w:rFonts w:ascii="Palatino Linotype" w:eastAsia="Calibri" w:hAnsi="Palatino Linotype" w:cs="Tahoma"/>
          <w:b/>
          <w:bCs/>
          <w:sz w:val="22"/>
          <w:szCs w:val="22"/>
          <w:lang w:val="es-ES" w:eastAsia="en-US"/>
        </w:rPr>
        <w:t>b) Admisión del Recurso de Revisión</w:t>
      </w:r>
      <w:r w:rsidRPr="00FF1532">
        <w:rPr>
          <w:rFonts w:ascii="Palatino Linotype" w:eastAsia="Calibri" w:hAnsi="Palatino Linotype" w:cs="Tahoma"/>
          <w:b/>
          <w:bCs/>
          <w:sz w:val="22"/>
          <w:szCs w:val="22"/>
          <w:lang w:val="es-ES_tradnl" w:eastAsia="en-US"/>
        </w:rPr>
        <w:t xml:space="preserve">. </w:t>
      </w:r>
      <w:r w:rsidR="0075283E">
        <w:rPr>
          <w:rFonts w:ascii="Palatino Linotype" w:eastAsia="Calibri" w:hAnsi="Palatino Linotype" w:cs="Tahoma"/>
          <w:bCs/>
          <w:sz w:val="22"/>
          <w:szCs w:val="22"/>
          <w:lang w:val="es-ES_tradnl" w:eastAsia="en-US"/>
        </w:rPr>
        <w:t>Con veintiocho de junio</w:t>
      </w:r>
      <w:r w:rsidRPr="00FF1532">
        <w:rPr>
          <w:rFonts w:ascii="Palatino Linotype" w:eastAsia="Calibri" w:hAnsi="Palatino Linotype" w:cs="Tahoma"/>
          <w:bCs/>
          <w:sz w:val="22"/>
          <w:szCs w:val="22"/>
          <w:lang w:val="es-ES_tradnl" w:eastAsia="en-US"/>
        </w:rPr>
        <w:t xml:space="preserve"> de dos mil diecinueve, el Comisionado Ponente </w:t>
      </w:r>
      <w:r w:rsidRPr="00FF1532">
        <w:rPr>
          <w:rFonts w:ascii="Palatino Linotype" w:eastAsia="Calibri" w:hAnsi="Palatino Linotype" w:cs="Tahoma"/>
          <w:b/>
          <w:bCs/>
          <w:sz w:val="22"/>
          <w:szCs w:val="22"/>
          <w:lang w:eastAsia="en-US"/>
        </w:rPr>
        <w:t>acordó la admisión</w:t>
      </w:r>
      <w:r w:rsidRPr="00FF1532">
        <w:rPr>
          <w:rFonts w:ascii="Palatino Linotype" w:eastAsia="Calibri" w:hAnsi="Palatino Linotype" w:cs="Tahoma"/>
          <w:bCs/>
          <w:sz w:val="22"/>
          <w:szCs w:val="22"/>
          <w:lang w:eastAsia="en-US"/>
        </w:rPr>
        <w:t xml:space="preserve"> </w:t>
      </w:r>
      <w:r w:rsidRPr="00FF1532">
        <w:rPr>
          <w:rFonts w:ascii="Palatino Linotype" w:eastAsia="Calibri" w:hAnsi="Palatino Linotype" w:cs="Tahoma"/>
          <w:b/>
          <w:bCs/>
          <w:sz w:val="22"/>
          <w:szCs w:val="22"/>
          <w:lang w:eastAsia="en-US"/>
        </w:rPr>
        <w:t>de</w:t>
      </w:r>
      <w:r w:rsidRPr="00FF1532">
        <w:rPr>
          <w:rFonts w:ascii="Palatino Linotype" w:eastAsia="Calibri" w:hAnsi="Palatino Linotype" w:cs="Tahoma"/>
          <w:b/>
          <w:bCs/>
          <w:sz w:val="22"/>
          <w:szCs w:val="22"/>
          <w:lang w:val="es-ES" w:eastAsia="en-US"/>
        </w:rPr>
        <w:t>l Recurso de Revisión</w:t>
      </w:r>
      <w:r w:rsidRPr="00FF1532">
        <w:rPr>
          <w:rFonts w:ascii="Palatino Linotype" w:eastAsia="Calibri" w:hAnsi="Palatino Linotype" w:cs="Tahoma"/>
          <w:bCs/>
          <w:sz w:val="22"/>
          <w:szCs w:val="22"/>
          <w:lang w:val="es-ES" w:eastAsia="en-US"/>
        </w:rPr>
        <w:t xml:space="preserve"> interpuesto por el Recurrente</w:t>
      </w:r>
      <w:r w:rsidRPr="00FF1532">
        <w:rPr>
          <w:rFonts w:ascii="Palatino Linotype" w:eastAsia="Calibri" w:hAnsi="Palatino Linotype" w:cs="Tahoma"/>
          <w:b/>
          <w:bCs/>
          <w:sz w:val="22"/>
          <w:szCs w:val="22"/>
          <w:lang w:val="es-ES" w:eastAsia="en-US"/>
        </w:rPr>
        <w:t>;</w:t>
      </w:r>
      <w:r w:rsidRPr="00FF1532">
        <w:rPr>
          <w:rFonts w:ascii="Palatino Linotype" w:eastAsia="Calibri" w:hAnsi="Palatino Linotype" w:cs="Tahoma"/>
          <w:bCs/>
          <w:sz w:val="22"/>
          <w:szCs w:val="22"/>
          <w:lang w:val="es-ES" w:eastAsia="en-US"/>
        </w:rPr>
        <w:t xml:space="preserve"> la </w:t>
      </w:r>
      <w:r w:rsidRPr="00FF1532">
        <w:rPr>
          <w:rFonts w:ascii="Palatino Linotype" w:eastAsia="Calibri" w:hAnsi="Palatino Linotype" w:cs="Tahoma"/>
          <w:b/>
          <w:bCs/>
          <w:sz w:val="22"/>
          <w:szCs w:val="22"/>
          <w:lang w:val="es-ES" w:eastAsia="en-US"/>
        </w:rPr>
        <w:t xml:space="preserve">integración del expediente </w:t>
      </w:r>
      <w:r w:rsidRPr="00FF1532">
        <w:rPr>
          <w:rFonts w:ascii="Palatino Linotype" w:eastAsia="Calibri" w:hAnsi="Palatino Linotype" w:cs="Tahoma"/>
          <w:bCs/>
          <w:sz w:val="22"/>
          <w:szCs w:val="22"/>
          <w:lang w:val="es-ES" w:eastAsia="en-US"/>
        </w:rPr>
        <w:t xml:space="preserve">y </w:t>
      </w:r>
      <w:r w:rsidRPr="00FF1532">
        <w:rPr>
          <w:rFonts w:ascii="Palatino Linotype" w:eastAsia="Calibri" w:hAnsi="Palatino Linotype" w:cs="Tahoma"/>
          <w:b/>
          <w:bCs/>
          <w:sz w:val="22"/>
          <w:szCs w:val="22"/>
          <w:lang w:val="es-ES" w:eastAsia="en-US"/>
        </w:rPr>
        <w:t xml:space="preserve">la puesta a disposición </w:t>
      </w:r>
      <w:r w:rsidRPr="00FF1532">
        <w:rPr>
          <w:rFonts w:ascii="Palatino Linotype" w:eastAsia="Calibri" w:hAnsi="Palatino Linotype" w:cs="Tahoma"/>
          <w:bCs/>
          <w:sz w:val="22"/>
          <w:szCs w:val="22"/>
          <w:lang w:val="es-ES" w:eastAsia="en-US"/>
        </w:rPr>
        <w:t xml:space="preserve">de las partes, en términos del artículo 185, fracciones I y II, de la </w:t>
      </w:r>
      <w:r w:rsidRPr="00FF1532">
        <w:rPr>
          <w:rFonts w:ascii="Palatino Linotype" w:eastAsia="Calibri" w:hAnsi="Palatino Linotype" w:cs="Tahoma"/>
          <w:bCs/>
          <w:sz w:val="22"/>
          <w:szCs w:val="22"/>
          <w:lang w:eastAsia="en-US"/>
        </w:rPr>
        <w:t xml:space="preserve">Ley de Transparencia y Acceso a la Información Pública del Estado de México y Municipios; </w:t>
      </w:r>
      <w:r w:rsidRPr="00FF1532">
        <w:rPr>
          <w:rFonts w:ascii="Palatino Linotype" w:eastAsia="Calibri" w:hAnsi="Palatino Linotype" w:cs="Tahoma"/>
          <w:b/>
          <w:bCs/>
          <w:sz w:val="22"/>
          <w:szCs w:val="22"/>
          <w:lang w:eastAsia="en-US"/>
        </w:rPr>
        <w:t>acto que fue notificado a los interesados el mismo día</w:t>
      </w:r>
      <w:r w:rsidRPr="00FF1532">
        <w:rPr>
          <w:rFonts w:ascii="Palatino Linotype" w:eastAsia="Calibri" w:hAnsi="Palatino Linotype" w:cs="Tahoma"/>
          <w:bCs/>
          <w:sz w:val="22"/>
          <w:szCs w:val="22"/>
          <w:lang w:eastAsia="en-US"/>
        </w:rPr>
        <w:t xml:space="preserve">, a través del Sistema de Acceso a la Información Mexiquense, otorgándoles un plazo de siete días hábiles posteriores a dicha notificaciones para que manifestaran lo que a su derecho conviniera y formularan alegatos, </w:t>
      </w:r>
      <w:r w:rsidRPr="00FF1532">
        <w:rPr>
          <w:rFonts w:ascii="Palatino Linotype" w:eastAsia="Calibri" w:hAnsi="Palatino Linotype" w:cs="Tahoma"/>
          <w:bCs/>
          <w:sz w:val="22"/>
          <w:szCs w:val="22"/>
          <w:lang w:val="es-ES" w:eastAsia="en-US"/>
        </w:rPr>
        <w:t xml:space="preserve">en términos del artículo 185, fracción IV, de la </w:t>
      </w:r>
      <w:r w:rsidRPr="00FF1532">
        <w:rPr>
          <w:rFonts w:ascii="Palatino Linotype" w:eastAsia="Calibri" w:hAnsi="Palatino Linotype" w:cs="Tahoma"/>
          <w:bCs/>
          <w:sz w:val="22"/>
          <w:szCs w:val="22"/>
          <w:lang w:eastAsia="en-US"/>
        </w:rPr>
        <w:t>Ley de Transparencia y Acceso a la Información Pública del Estado de México y Municipios.</w:t>
      </w:r>
    </w:p>
    <w:p w14:paraId="1AF17E15" w14:textId="51BD450D" w:rsidR="0075283E" w:rsidRDefault="0075283E">
      <w:pPr>
        <w:spacing w:line="360" w:lineRule="auto"/>
        <w:jc w:val="both"/>
        <w:rPr>
          <w:rFonts w:ascii="Palatino Linotype" w:eastAsia="Calibri" w:hAnsi="Palatino Linotype" w:cs="Tahoma"/>
          <w:bCs/>
          <w:sz w:val="22"/>
          <w:szCs w:val="22"/>
          <w:lang w:eastAsia="en-US"/>
        </w:rPr>
      </w:pPr>
    </w:p>
    <w:p w14:paraId="2E19F64A" w14:textId="77777777" w:rsidR="001D298B" w:rsidRPr="00252F91" w:rsidRDefault="001D298B">
      <w:pPr>
        <w:spacing w:line="360" w:lineRule="auto"/>
        <w:jc w:val="both"/>
        <w:rPr>
          <w:rFonts w:ascii="Palatino Linotype" w:hAnsi="Palatino Linotype" w:cs="Tahoma"/>
          <w:b/>
          <w:bCs/>
          <w:sz w:val="22"/>
          <w:szCs w:val="22"/>
        </w:rPr>
      </w:pPr>
      <w:r>
        <w:rPr>
          <w:rFonts w:ascii="Palatino Linotype" w:hAnsi="Palatino Linotype" w:cs="Tahoma"/>
          <w:b/>
          <w:bCs/>
          <w:sz w:val="22"/>
          <w:szCs w:val="22"/>
        </w:rPr>
        <w:t>Es de precisar que ni el</w:t>
      </w:r>
      <w:r w:rsidRPr="00252F91">
        <w:rPr>
          <w:rFonts w:ascii="Palatino Linotype" w:hAnsi="Palatino Linotype" w:cs="Tahoma"/>
          <w:b/>
          <w:bCs/>
          <w:sz w:val="22"/>
          <w:szCs w:val="22"/>
        </w:rPr>
        <w:t xml:space="preserve"> Recurrente ni el Sujeto Obligado presentaron ningún tipo de manifestaciones o alegatos.</w:t>
      </w:r>
    </w:p>
    <w:p w14:paraId="2AF32D5B" w14:textId="2C81271C" w:rsidR="007E5971" w:rsidRPr="00FF1532" w:rsidRDefault="007E5971">
      <w:pPr>
        <w:spacing w:line="360" w:lineRule="auto"/>
        <w:jc w:val="both"/>
        <w:rPr>
          <w:rFonts w:ascii="Palatino Linotype" w:eastAsia="Calibri" w:hAnsi="Palatino Linotype" w:cs="Tahoma"/>
          <w:bCs/>
          <w:sz w:val="22"/>
          <w:szCs w:val="22"/>
          <w:lang w:val="es-ES" w:eastAsia="en-US"/>
        </w:rPr>
      </w:pPr>
    </w:p>
    <w:p w14:paraId="23F9BAA7" w14:textId="77777777" w:rsidR="000472C9" w:rsidRPr="00FF1532" w:rsidRDefault="007E5971">
      <w:pPr>
        <w:spacing w:line="360" w:lineRule="auto"/>
        <w:jc w:val="both"/>
        <w:rPr>
          <w:rFonts w:ascii="Palatino Linotype" w:hAnsi="Palatino Linotype" w:cs="Tahoma"/>
          <w:sz w:val="22"/>
          <w:szCs w:val="22"/>
        </w:rPr>
      </w:pPr>
      <w:r w:rsidRPr="00FF1532">
        <w:rPr>
          <w:rFonts w:ascii="Palatino Linotype" w:eastAsia="Calibri" w:hAnsi="Palatino Linotype" w:cs="Tahoma"/>
          <w:b/>
          <w:bCs/>
          <w:sz w:val="22"/>
          <w:szCs w:val="22"/>
          <w:lang w:val="es-ES" w:eastAsia="en-US"/>
        </w:rPr>
        <w:t>c)</w:t>
      </w:r>
      <w:r w:rsidR="009175BC">
        <w:rPr>
          <w:rFonts w:ascii="Palatino Linotype" w:eastAsia="Calibri" w:hAnsi="Palatino Linotype" w:cs="Tahoma"/>
          <w:b/>
          <w:bCs/>
          <w:sz w:val="22"/>
          <w:szCs w:val="22"/>
          <w:lang w:val="es-ES" w:eastAsia="en-US"/>
        </w:rPr>
        <w:t xml:space="preserve"> </w:t>
      </w:r>
      <w:r w:rsidR="000472C9" w:rsidRPr="00FF1532">
        <w:rPr>
          <w:rFonts w:ascii="Palatino Linotype" w:hAnsi="Palatino Linotype" w:cs="Tahoma"/>
          <w:b/>
          <w:sz w:val="22"/>
          <w:szCs w:val="22"/>
        </w:rPr>
        <w:t>Ampliación del plazo para resolver.</w:t>
      </w:r>
      <w:r w:rsidR="000472C9" w:rsidRPr="00FF1532">
        <w:rPr>
          <w:rFonts w:ascii="Palatino Linotype" w:hAnsi="Palatino Linotype" w:cs="Tahoma"/>
          <w:sz w:val="22"/>
          <w:szCs w:val="22"/>
        </w:rPr>
        <w:t xml:space="preserve"> </w:t>
      </w:r>
      <w:r w:rsidR="000472C9">
        <w:rPr>
          <w:rFonts w:ascii="Palatino Linotype" w:hAnsi="Palatino Linotype" w:cs="Tahoma"/>
          <w:sz w:val="22"/>
          <w:szCs w:val="22"/>
        </w:rPr>
        <w:t>Con fecha veintitrés de agosto</w:t>
      </w:r>
      <w:r w:rsidR="000472C9" w:rsidRPr="00FF1532">
        <w:rPr>
          <w:rFonts w:ascii="Palatino Linotype" w:hAnsi="Palatino Linotype" w:cs="Tahoma"/>
          <w:sz w:val="22"/>
          <w:szCs w:val="22"/>
        </w:rPr>
        <w:t xml:space="preserve"> de dos mil diecinueve, el Comisionado Ponente, con fundamento en lo dispuesto por el artículo 181, párrafo tercero, </w:t>
      </w:r>
      <w:r w:rsidR="000472C9" w:rsidRPr="00FF1532">
        <w:rPr>
          <w:rFonts w:ascii="Palatino Linotype" w:hAnsi="Palatino Linotype" w:cs="Tahoma"/>
          <w:sz w:val="22"/>
          <w:szCs w:val="22"/>
        </w:rPr>
        <w:lastRenderedPageBreak/>
        <w:t>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veinticinco del mismo mes y año.</w:t>
      </w:r>
    </w:p>
    <w:p w14:paraId="0C184C7D" w14:textId="3845776C" w:rsidR="006A481D" w:rsidRDefault="006A481D">
      <w:pPr>
        <w:spacing w:line="360" w:lineRule="auto"/>
        <w:jc w:val="both"/>
        <w:rPr>
          <w:rFonts w:ascii="Palatino Linotype" w:eastAsia="Calibri" w:hAnsi="Palatino Linotype" w:cs="Tahoma"/>
          <w:b/>
          <w:bCs/>
          <w:sz w:val="22"/>
          <w:szCs w:val="22"/>
          <w:lang w:val="es-ES" w:eastAsia="en-US"/>
        </w:rPr>
      </w:pPr>
    </w:p>
    <w:p w14:paraId="1D1DAC31" w14:textId="77777777" w:rsidR="000472C9" w:rsidRPr="00970A80" w:rsidRDefault="006A481D">
      <w:pPr>
        <w:spacing w:line="360" w:lineRule="auto"/>
        <w:jc w:val="both"/>
        <w:rPr>
          <w:rFonts w:ascii="Palatino Linotype" w:hAnsi="Palatino Linotype" w:cs="Tahoma"/>
          <w:sz w:val="22"/>
          <w:szCs w:val="22"/>
        </w:rPr>
      </w:pPr>
      <w:r>
        <w:rPr>
          <w:rFonts w:ascii="Palatino Linotype" w:eastAsia="Calibri" w:hAnsi="Palatino Linotype" w:cs="Tahoma"/>
          <w:b/>
          <w:bCs/>
          <w:sz w:val="22"/>
          <w:szCs w:val="22"/>
          <w:lang w:val="es-ES" w:eastAsia="en-US"/>
        </w:rPr>
        <w:t xml:space="preserve">d) </w:t>
      </w:r>
      <w:r w:rsidR="000472C9" w:rsidRPr="00FF1532">
        <w:rPr>
          <w:rFonts w:ascii="Palatino Linotype" w:hAnsi="Palatino Linotype" w:cs="Tahoma"/>
          <w:b/>
          <w:sz w:val="22"/>
          <w:szCs w:val="22"/>
        </w:rPr>
        <w:t xml:space="preserve">Cierre de instrucción: </w:t>
      </w:r>
      <w:r w:rsidR="000472C9">
        <w:rPr>
          <w:rFonts w:ascii="Palatino Linotype" w:hAnsi="Palatino Linotype" w:cs="Tahoma"/>
          <w:sz w:val="22"/>
          <w:szCs w:val="22"/>
        </w:rPr>
        <w:t>El veintiséis de agosto</w:t>
      </w:r>
      <w:r w:rsidR="000472C9" w:rsidRPr="00FF1532">
        <w:rPr>
          <w:rFonts w:ascii="Palatino Linotype" w:hAnsi="Palatino Linotype" w:cs="Tahoma"/>
          <w:sz w:val="22"/>
          <w:szCs w:val="22"/>
        </w:rPr>
        <w:t xml:space="preserve"> de dos mil diecinueve, al no existir diligencias pendientes por desahogar, se emitió el acuerdo por medio del cual se declaró cerrada la instrucción y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2F6FF668" w14:textId="50C8E221" w:rsidR="006C13C0" w:rsidRPr="00FF1532" w:rsidRDefault="006C13C0">
      <w:pPr>
        <w:spacing w:line="360" w:lineRule="auto"/>
        <w:jc w:val="both"/>
        <w:rPr>
          <w:rFonts w:ascii="Palatino Linotype" w:hAnsi="Palatino Linotype" w:cs="Tahoma"/>
          <w:sz w:val="22"/>
          <w:szCs w:val="22"/>
        </w:rPr>
      </w:pPr>
    </w:p>
    <w:p w14:paraId="4857EFF6" w14:textId="25647D5A" w:rsidR="00446A5C" w:rsidRPr="00FF1532" w:rsidRDefault="00E21464">
      <w:pPr>
        <w:spacing w:line="360" w:lineRule="auto"/>
        <w:jc w:val="both"/>
        <w:rPr>
          <w:rFonts w:ascii="Palatino Linotype" w:hAnsi="Palatino Linotype" w:cs="Tahoma"/>
          <w:color w:val="000000"/>
          <w:sz w:val="22"/>
          <w:szCs w:val="22"/>
        </w:rPr>
      </w:pPr>
      <w:r w:rsidRPr="00FF1532">
        <w:rPr>
          <w:rFonts w:ascii="Palatino Linotype" w:hAnsi="Palatino Linotype" w:cs="Tahoma"/>
          <w:sz w:val="22"/>
          <w:szCs w:val="22"/>
        </w:rPr>
        <w:t>En razón de que fue debidamente sustanciado el expediente electrónico y no existe diligencia pendiente de desahogo, se emite la resolución que conforme a Derecho proceda, de acuerdo con los siguientes:</w:t>
      </w:r>
    </w:p>
    <w:p w14:paraId="5FCB1DDD" w14:textId="69F1DDA9" w:rsidR="00474B3B" w:rsidRDefault="00474B3B">
      <w:pPr>
        <w:spacing w:line="360" w:lineRule="auto"/>
        <w:jc w:val="center"/>
        <w:rPr>
          <w:rFonts w:ascii="Palatino Linotype" w:hAnsi="Palatino Linotype" w:cs="Tahoma"/>
          <w:b/>
          <w:sz w:val="22"/>
          <w:szCs w:val="22"/>
          <w:lang w:val="es-ES"/>
        </w:rPr>
      </w:pPr>
    </w:p>
    <w:p w14:paraId="709D7A3E" w14:textId="77777777" w:rsidR="004F2D88" w:rsidRPr="00FF1532" w:rsidRDefault="009A620E">
      <w:pPr>
        <w:spacing w:line="360" w:lineRule="auto"/>
        <w:jc w:val="center"/>
        <w:rPr>
          <w:rFonts w:ascii="Palatino Linotype" w:hAnsi="Palatino Linotype" w:cs="Tahoma"/>
          <w:b/>
          <w:sz w:val="22"/>
          <w:szCs w:val="22"/>
          <w:lang w:val="es-ES"/>
        </w:rPr>
      </w:pPr>
      <w:r w:rsidRPr="00FF1532">
        <w:rPr>
          <w:rFonts w:ascii="Palatino Linotype" w:hAnsi="Palatino Linotype" w:cs="Tahoma"/>
          <w:b/>
          <w:sz w:val="22"/>
          <w:szCs w:val="22"/>
          <w:lang w:val="es-ES"/>
        </w:rPr>
        <w:t>CONSIDERANDOS</w:t>
      </w:r>
      <w:r w:rsidR="004F2D88" w:rsidRPr="00FF1532">
        <w:rPr>
          <w:rFonts w:ascii="Palatino Linotype" w:hAnsi="Palatino Linotype" w:cs="Tahoma"/>
          <w:b/>
          <w:sz w:val="22"/>
          <w:szCs w:val="22"/>
          <w:lang w:val="es-ES"/>
        </w:rPr>
        <w:t>:</w:t>
      </w:r>
    </w:p>
    <w:p w14:paraId="2C37507F" w14:textId="77777777" w:rsidR="002E40C6" w:rsidRPr="00FF1532" w:rsidRDefault="002E40C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68416D9" w14:textId="6117EFBA" w:rsidR="00B64641" w:rsidRPr="00FF1532" w:rsidRDefault="00B64641">
      <w:pPr>
        <w:autoSpaceDE w:val="0"/>
        <w:autoSpaceDN w:val="0"/>
        <w:adjustRightInd w:val="0"/>
        <w:spacing w:line="360" w:lineRule="auto"/>
        <w:jc w:val="both"/>
        <w:rPr>
          <w:rFonts w:ascii="Palatino Linotype" w:hAnsi="Palatino Linotype" w:cs="Tahoma"/>
          <w:b/>
          <w:sz w:val="22"/>
          <w:szCs w:val="22"/>
          <w:lang w:val="es-ES"/>
        </w:rPr>
      </w:pPr>
      <w:r w:rsidRPr="00FF1532">
        <w:rPr>
          <w:rFonts w:ascii="Palatino Linotype" w:eastAsia="Calibri" w:hAnsi="Palatino Linotype" w:cs="Tahoma"/>
          <w:b/>
          <w:color w:val="000000"/>
          <w:sz w:val="22"/>
          <w:szCs w:val="22"/>
          <w:lang w:val="es-ES" w:eastAsia="es-MX"/>
        </w:rPr>
        <w:t>PRIMER</w:t>
      </w:r>
      <w:r w:rsidR="002241A6" w:rsidRPr="00FF1532">
        <w:rPr>
          <w:rFonts w:ascii="Palatino Linotype" w:eastAsia="Calibri" w:hAnsi="Palatino Linotype" w:cs="Tahoma"/>
          <w:b/>
          <w:color w:val="000000"/>
          <w:sz w:val="22"/>
          <w:szCs w:val="22"/>
          <w:lang w:val="es-ES" w:eastAsia="es-MX"/>
        </w:rPr>
        <w:t>O</w:t>
      </w:r>
      <w:r w:rsidRPr="00FF1532">
        <w:rPr>
          <w:rFonts w:ascii="Palatino Linotype" w:eastAsia="Calibri" w:hAnsi="Palatino Linotype" w:cs="Tahoma"/>
          <w:color w:val="000000"/>
          <w:sz w:val="22"/>
          <w:szCs w:val="22"/>
          <w:lang w:val="es-ES" w:eastAsia="es-MX"/>
        </w:rPr>
        <w:t xml:space="preserve">. </w:t>
      </w:r>
      <w:r w:rsidRPr="00FF1532">
        <w:rPr>
          <w:rFonts w:ascii="Palatino Linotype" w:hAnsi="Palatino Linotype" w:cs="Tahoma"/>
          <w:b/>
          <w:sz w:val="22"/>
          <w:szCs w:val="22"/>
          <w:lang w:val="es-ES"/>
        </w:rPr>
        <w:t>Competencia.</w:t>
      </w:r>
    </w:p>
    <w:p w14:paraId="6E54995F" w14:textId="77777777" w:rsidR="002E40C6" w:rsidRPr="00FF1532" w:rsidRDefault="002E40C6">
      <w:pPr>
        <w:autoSpaceDE w:val="0"/>
        <w:autoSpaceDN w:val="0"/>
        <w:adjustRightInd w:val="0"/>
        <w:spacing w:line="360" w:lineRule="auto"/>
        <w:jc w:val="both"/>
        <w:rPr>
          <w:rFonts w:ascii="Palatino Linotype" w:hAnsi="Palatino Linotype" w:cs="Tahoma"/>
          <w:b/>
          <w:sz w:val="22"/>
          <w:szCs w:val="22"/>
          <w:lang w:val="es-ES"/>
        </w:rPr>
      </w:pPr>
    </w:p>
    <w:p w14:paraId="3720AF43" w14:textId="29B92DDC" w:rsidR="00436FD3" w:rsidRPr="00FF1532" w:rsidRDefault="00436FD3">
      <w:pPr>
        <w:spacing w:line="360" w:lineRule="auto"/>
        <w:jc w:val="both"/>
        <w:rPr>
          <w:rFonts w:ascii="Palatino Linotype" w:hAnsi="Palatino Linotype" w:cs="Tahoma"/>
          <w:sz w:val="22"/>
          <w:szCs w:val="22"/>
          <w:shd w:val="clear" w:color="auto" w:fill="FFFFFF"/>
        </w:rPr>
      </w:pPr>
      <w:r w:rsidRPr="00FF153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w:t>
      </w:r>
      <w:r w:rsidR="00CE2566" w:rsidRPr="00FF1532">
        <w:rPr>
          <w:rFonts w:ascii="Palatino Linotype" w:hAnsi="Palatino Linotype" w:cs="Tahoma"/>
          <w:sz w:val="22"/>
          <w:szCs w:val="22"/>
          <w:shd w:val="clear" w:color="auto" w:fill="FFFFFF"/>
        </w:rPr>
        <w:t>isión interpuesto por la parte R</w:t>
      </w:r>
      <w:r w:rsidRPr="00FF1532">
        <w:rPr>
          <w:rFonts w:ascii="Palatino Linotype" w:hAnsi="Palatino Linotype" w:cs="Tahoma"/>
          <w:sz w:val="22"/>
          <w:szCs w:val="22"/>
          <w:shd w:val="clear" w:color="auto" w:fill="FFFFFF"/>
        </w:rPr>
        <w:t>ecurrente, conforme a lo dispuesto en los artículos 6</w:t>
      </w:r>
      <w:r w:rsidR="008A282C" w:rsidRPr="00FF1532">
        <w:rPr>
          <w:rFonts w:ascii="Palatino Linotype" w:hAnsi="Palatino Linotype" w:cs="Tahoma"/>
          <w:sz w:val="22"/>
          <w:szCs w:val="22"/>
          <w:shd w:val="clear" w:color="auto" w:fill="FFFFFF"/>
        </w:rPr>
        <w:t>°</w:t>
      </w:r>
      <w:r w:rsidRPr="00FF1532">
        <w:rPr>
          <w:rFonts w:ascii="Palatino Linotype" w:hAnsi="Palatino Linotype" w:cs="Tahoma"/>
          <w:sz w:val="22"/>
          <w:szCs w:val="22"/>
          <w:shd w:val="clear" w:color="auto" w:fill="FFFFFF"/>
        </w:rPr>
        <w:t>, apartado A de la Constitución Política de los Estados Unidos Mexicanos</w:t>
      </w:r>
      <w:r w:rsidRPr="009425EE">
        <w:rPr>
          <w:rFonts w:ascii="Palatino Linotype" w:hAnsi="Palatino Linotype" w:cs="Tahoma"/>
          <w:sz w:val="22"/>
          <w:szCs w:val="22"/>
          <w:shd w:val="clear" w:color="auto" w:fill="FFFFFF"/>
        </w:rPr>
        <w:t>; 5</w:t>
      </w:r>
      <w:r w:rsidR="008A282C" w:rsidRPr="009425EE">
        <w:rPr>
          <w:rFonts w:ascii="Palatino Linotype" w:hAnsi="Palatino Linotype" w:cs="Tahoma"/>
          <w:sz w:val="22"/>
          <w:szCs w:val="22"/>
          <w:shd w:val="clear" w:color="auto" w:fill="FFFFFF"/>
        </w:rPr>
        <w:t>°</w:t>
      </w:r>
      <w:r w:rsidRPr="009425EE">
        <w:rPr>
          <w:rFonts w:ascii="Palatino Linotype" w:hAnsi="Palatino Linotype" w:cs="Tahoma"/>
          <w:sz w:val="22"/>
          <w:szCs w:val="22"/>
          <w:shd w:val="clear" w:color="auto" w:fill="FFFFFF"/>
        </w:rPr>
        <w:t xml:space="preserve">, párrafos vigésimo segundo, </w:t>
      </w:r>
      <w:r w:rsidR="00B043B6" w:rsidRPr="009425EE">
        <w:rPr>
          <w:rFonts w:ascii="Palatino Linotype" w:hAnsi="Palatino Linotype" w:cs="Tahoma"/>
          <w:sz w:val="22"/>
          <w:szCs w:val="22"/>
          <w:shd w:val="clear" w:color="auto" w:fill="FFFFFF"/>
        </w:rPr>
        <w:t xml:space="preserve">vigésimo tercero y vigésimo cuarto, </w:t>
      </w:r>
      <w:r w:rsidRPr="009425EE">
        <w:rPr>
          <w:rFonts w:ascii="Palatino Linotype" w:hAnsi="Palatino Linotype" w:cs="Tahoma"/>
          <w:sz w:val="22"/>
          <w:szCs w:val="22"/>
          <w:shd w:val="clear" w:color="auto" w:fill="FFFFFF"/>
        </w:rPr>
        <w:t>fracciones I, II, III, IV y V de la</w:t>
      </w:r>
      <w:r w:rsidRPr="00FF1532">
        <w:rPr>
          <w:rFonts w:ascii="Palatino Linotype" w:hAnsi="Palatino Linotype" w:cs="Tahoma"/>
          <w:sz w:val="22"/>
          <w:szCs w:val="22"/>
          <w:shd w:val="clear" w:color="auto" w:fill="FFFFFF"/>
        </w:rPr>
        <w:t xml:space="preserve"> Constitución Política del Estado Libre y Soberano de México; 1°, 8°, 9°, 10, 37 y 42, fracciones </w:t>
      </w:r>
      <w:r w:rsidRPr="00FF1532">
        <w:rPr>
          <w:rFonts w:ascii="Palatino Linotype" w:hAnsi="Palatino Linotype" w:cs="Tahoma"/>
          <w:sz w:val="22"/>
          <w:szCs w:val="22"/>
          <w:shd w:val="clear" w:color="auto" w:fill="FFFFFF"/>
        </w:rPr>
        <w:lastRenderedPageBreak/>
        <w:t>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F1532">
        <w:rPr>
          <w:rStyle w:val="apple-converted-space"/>
          <w:rFonts w:ascii="Palatino Linotype" w:hAnsi="Palatino Linotype" w:cs="Tahoma"/>
          <w:sz w:val="22"/>
          <w:szCs w:val="22"/>
          <w:shd w:val="clear" w:color="auto" w:fill="FFFFFF"/>
        </w:rPr>
        <w:t xml:space="preserve"> 7°, </w:t>
      </w:r>
      <w:r w:rsidRPr="00FF1532">
        <w:rPr>
          <w:rFonts w:ascii="Palatino Linotype" w:hAnsi="Palatino Linotype" w:cs="Tahoma"/>
          <w:sz w:val="22"/>
          <w:szCs w:val="22"/>
        </w:rPr>
        <w:t>9</w:t>
      </w:r>
      <w:r w:rsidR="00F024EE" w:rsidRPr="00FF1532">
        <w:rPr>
          <w:rFonts w:ascii="Palatino Linotype" w:hAnsi="Palatino Linotype" w:cs="Tahoma"/>
          <w:sz w:val="22"/>
          <w:szCs w:val="22"/>
        </w:rPr>
        <w:t>°</w:t>
      </w:r>
      <w:r w:rsidRPr="00FF1532">
        <w:rPr>
          <w:rFonts w:ascii="Palatino Linotype" w:hAnsi="Palatino Linotype" w:cs="Tahoma"/>
          <w:sz w:val="22"/>
          <w:szCs w:val="22"/>
        </w:rPr>
        <w:t xml:space="preserve">, fracciones I y XXIV y 11 </w:t>
      </w:r>
      <w:r w:rsidRPr="00FF153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74DF7F9" w14:textId="3DA76D2F" w:rsidR="003A3523" w:rsidRPr="00FF1532" w:rsidRDefault="003A3523">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FF1532" w:rsidRDefault="004F2D88">
      <w:pPr>
        <w:autoSpaceDE w:val="0"/>
        <w:autoSpaceDN w:val="0"/>
        <w:adjustRightInd w:val="0"/>
        <w:spacing w:line="360" w:lineRule="auto"/>
        <w:jc w:val="both"/>
        <w:rPr>
          <w:rFonts w:ascii="Palatino Linotype" w:hAnsi="Palatino Linotype" w:cs="Tahoma"/>
          <w:sz w:val="22"/>
          <w:szCs w:val="22"/>
          <w:lang w:val="es-ES"/>
        </w:rPr>
      </w:pPr>
      <w:r w:rsidRPr="00FF1532">
        <w:rPr>
          <w:rFonts w:ascii="Palatino Linotype" w:eastAsia="Calibri" w:hAnsi="Palatino Linotype" w:cs="Tahoma"/>
          <w:b/>
          <w:color w:val="000000"/>
          <w:sz w:val="22"/>
          <w:szCs w:val="22"/>
          <w:lang w:val="es-ES" w:eastAsia="es-MX"/>
        </w:rPr>
        <w:t>SEGUND</w:t>
      </w:r>
      <w:r w:rsidR="002241A6" w:rsidRPr="00FF1532">
        <w:rPr>
          <w:rFonts w:ascii="Palatino Linotype" w:eastAsia="Calibri" w:hAnsi="Palatino Linotype" w:cs="Tahoma"/>
          <w:b/>
          <w:color w:val="000000"/>
          <w:sz w:val="22"/>
          <w:szCs w:val="22"/>
          <w:lang w:val="es-ES" w:eastAsia="es-MX"/>
        </w:rPr>
        <w:t>O</w:t>
      </w:r>
      <w:r w:rsidRPr="00FF1532">
        <w:rPr>
          <w:rFonts w:ascii="Palatino Linotype" w:eastAsia="Calibri" w:hAnsi="Palatino Linotype" w:cs="Tahoma"/>
          <w:color w:val="000000"/>
          <w:sz w:val="22"/>
          <w:szCs w:val="22"/>
          <w:lang w:val="es-ES" w:eastAsia="es-MX"/>
        </w:rPr>
        <w:t xml:space="preserve">. </w:t>
      </w:r>
      <w:r w:rsidRPr="00FF1532">
        <w:rPr>
          <w:rFonts w:ascii="Palatino Linotype" w:hAnsi="Palatino Linotype" w:cs="Tahoma"/>
          <w:b/>
          <w:sz w:val="22"/>
          <w:szCs w:val="22"/>
          <w:lang w:val="es-ES"/>
        </w:rPr>
        <w:t>Metodología de estudio.</w:t>
      </w:r>
    </w:p>
    <w:p w14:paraId="205E411E" w14:textId="77777777" w:rsidR="00303CAD" w:rsidRPr="00FF1532" w:rsidRDefault="00303CAD">
      <w:pPr>
        <w:autoSpaceDE w:val="0"/>
        <w:autoSpaceDN w:val="0"/>
        <w:adjustRightInd w:val="0"/>
        <w:spacing w:line="360" w:lineRule="auto"/>
        <w:jc w:val="both"/>
        <w:rPr>
          <w:rFonts w:ascii="Palatino Linotype" w:hAnsi="Palatino Linotype" w:cs="Tahoma"/>
          <w:sz w:val="22"/>
          <w:szCs w:val="22"/>
          <w:lang w:val="es-ES"/>
        </w:rPr>
      </w:pPr>
    </w:p>
    <w:p w14:paraId="5AF4D4D8" w14:textId="79B59F9B" w:rsidR="004F2D88" w:rsidRPr="00FF1532" w:rsidRDefault="004F2D88">
      <w:pPr>
        <w:autoSpaceDE w:val="0"/>
        <w:autoSpaceDN w:val="0"/>
        <w:adjustRightInd w:val="0"/>
        <w:spacing w:line="360" w:lineRule="auto"/>
        <w:jc w:val="both"/>
        <w:rPr>
          <w:rFonts w:ascii="Palatino Linotype" w:hAnsi="Palatino Linotype" w:cs="Tahoma"/>
          <w:sz w:val="22"/>
          <w:szCs w:val="22"/>
          <w:lang w:val="es-ES"/>
        </w:rPr>
      </w:pPr>
      <w:r w:rsidRPr="00FF1532">
        <w:rPr>
          <w:rFonts w:ascii="Palatino Linotype" w:hAnsi="Palatino Linotype" w:cs="Tahoma"/>
          <w:sz w:val="22"/>
          <w:szCs w:val="22"/>
          <w:lang w:val="es-ES"/>
        </w:rPr>
        <w:t>De las constancias que forma parte de</w:t>
      </w:r>
      <w:r w:rsidR="008E1829" w:rsidRPr="00FF1532">
        <w:rPr>
          <w:rFonts w:ascii="Palatino Linotype" w:hAnsi="Palatino Linotype" w:cs="Tahoma"/>
          <w:sz w:val="22"/>
          <w:szCs w:val="22"/>
          <w:lang w:val="es-ES"/>
        </w:rPr>
        <w:t>l R</w:t>
      </w:r>
      <w:r w:rsidRPr="00FF1532">
        <w:rPr>
          <w:rFonts w:ascii="Palatino Linotype" w:hAnsi="Palatino Linotype" w:cs="Tahoma"/>
          <w:sz w:val="22"/>
          <w:szCs w:val="22"/>
          <w:lang w:val="es-ES"/>
        </w:rPr>
        <w:t>ecurso</w:t>
      </w:r>
      <w:r w:rsidR="008E1829" w:rsidRPr="00FF1532">
        <w:rPr>
          <w:rFonts w:ascii="Palatino Linotype" w:hAnsi="Palatino Linotype" w:cs="Tahoma"/>
          <w:sz w:val="22"/>
          <w:szCs w:val="22"/>
          <w:lang w:val="es-ES"/>
        </w:rPr>
        <w:t xml:space="preserve"> de Revisión que se analiza,</w:t>
      </w:r>
      <w:r w:rsidRPr="00FF1532">
        <w:rPr>
          <w:rFonts w:ascii="Palatino Linotype" w:hAnsi="Palatino Linotype" w:cs="Tahoma"/>
          <w:sz w:val="22"/>
          <w:szCs w:val="22"/>
          <w:lang w:val="es-ES"/>
        </w:rPr>
        <w:t xml:space="preserve"> se advierte que previo al estudio del fondo de la </w:t>
      </w:r>
      <w:r w:rsidRPr="00FF1532">
        <w:rPr>
          <w:rFonts w:ascii="Palatino Linotype" w:hAnsi="Palatino Linotype" w:cs="Tahoma"/>
          <w:i/>
          <w:sz w:val="22"/>
          <w:szCs w:val="22"/>
          <w:lang w:val="es-ES"/>
        </w:rPr>
        <w:t>litis</w:t>
      </w:r>
      <w:r w:rsidRPr="00FF1532">
        <w:rPr>
          <w:rFonts w:ascii="Palatino Linotype" w:hAnsi="Palatino Linotype" w:cs="Tahoma"/>
          <w:sz w:val="22"/>
          <w:szCs w:val="22"/>
          <w:lang w:val="es-ES"/>
        </w:rPr>
        <w:t>, es necesario estudiar las causales de improcedencia, para determinar lo que en Derecho proceda.</w:t>
      </w:r>
    </w:p>
    <w:p w14:paraId="7660A075" w14:textId="77777777" w:rsidR="002E40C6" w:rsidRPr="00FF1532" w:rsidRDefault="002E40C6">
      <w:pPr>
        <w:autoSpaceDE w:val="0"/>
        <w:autoSpaceDN w:val="0"/>
        <w:adjustRightInd w:val="0"/>
        <w:spacing w:line="360" w:lineRule="auto"/>
        <w:jc w:val="both"/>
        <w:rPr>
          <w:rFonts w:ascii="Palatino Linotype" w:hAnsi="Palatino Linotype" w:cs="Tahoma"/>
          <w:sz w:val="22"/>
          <w:szCs w:val="22"/>
        </w:rPr>
      </w:pPr>
    </w:p>
    <w:p w14:paraId="07D97145" w14:textId="77777777" w:rsidR="00D90C9D" w:rsidRPr="00FF1532" w:rsidRDefault="004F2D8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F1532">
        <w:rPr>
          <w:rFonts w:ascii="Palatino Linotype" w:eastAsia="Calibri" w:hAnsi="Palatino Linotype" w:cs="Tahoma"/>
          <w:b/>
          <w:color w:val="000000"/>
          <w:sz w:val="22"/>
          <w:szCs w:val="22"/>
          <w:lang w:val="es-ES" w:eastAsia="es-MX"/>
        </w:rPr>
        <w:t>Causales de improcedencia.</w:t>
      </w:r>
    </w:p>
    <w:p w14:paraId="3BDB276D" w14:textId="77777777" w:rsidR="00D90C9D" w:rsidRPr="00FF1532" w:rsidRDefault="00D90C9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Pr="00FF1532" w:rsidRDefault="00F024EE">
      <w:pPr>
        <w:spacing w:line="360" w:lineRule="auto"/>
        <w:jc w:val="both"/>
        <w:rPr>
          <w:rFonts w:ascii="Palatino Linotype" w:hAnsi="Palatino Linotype" w:cs="Tahoma"/>
          <w:sz w:val="22"/>
          <w:szCs w:val="22"/>
        </w:rPr>
      </w:pPr>
      <w:r w:rsidRPr="00FF153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E459CB3" w14:textId="77777777" w:rsidR="00474B3B" w:rsidRPr="00FF1532" w:rsidRDefault="00474B3B">
      <w:pPr>
        <w:spacing w:line="360" w:lineRule="auto"/>
        <w:jc w:val="both"/>
        <w:rPr>
          <w:rFonts w:ascii="Palatino Linotype" w:hAnsi="Palatino Linotype" w:cs="Tahoma"/>
          <w:sz w:val="22"/>
          <w:szCs w:val="22"/>
        </w:rPr>
      </w:pPr>
    </w:p>
    <w:p w14:paraId="28CD13C4" w14:textId="677E1270" w:rsidR="00E42193" w:rsidRPr="00FF1532" w:rsidRDefault="00E42193">
      <w:pPr>
        <w:spacing w:line="360" w:lineRule="auto"/>
        <w:jc w:val="both"/>
        <w:rPr>
          <w:rFonts w:ascii="Palatino Linotype" w:hAnsi="Palatino Linotype" w:cs="Tahoma"/>
          <w:sz w:val="22"/>
          <w:szCs w:val="24"/>
        </w:rPr>
      </w:pPr>
      <w:r w:rsidRPr="00FF1532">
        <w:rPr>
          <w:rFonts w:ascii="Palatino Linotype" w:hAnsi="Palatino Linotype" w:cs="Tahoma"/>
          <w:sz w:val="22"/>
          <w:szCs w:val="24"/>
        </w:rPr>
        <w:t>En el presente caso, </w:t>
      </w:r>
      <w:r w:rsidRPr="00FF1532">
        <w:rPr>
          <w:rFonts w:ascii="Palatino Linotype" w:hAnsi="Palatino Linotype" w:cs="Tahoma"/>
          <w:b/>
          <w:bCs/>
          <w:sz w:val="22"/>
          <w:szCs w:val="24"/>
        </w:rPr>
        <w:t>no se actualiza ninguna de las causales de improcedencia</w:t>
      </w:r>
      <w:r w:rsidRPr="00FF1532">
        <w:rPr>
          <w:rFonts w:ascii="Palatino Linotype" w:hAnsi="Palatino Linotype" w:cs="Tahoma"/>
          <w:sz w:val="22"/>
          <w:szCs w:val="24"/>
        </w:rPr>
        <w:t xml:space="preserve"> establecidas en el ordenamiento jurídico previamente señalado, toda vez que: el recurso fue presentado </w:t>
      </w:r>
      <w:r w:rsidRPr="00FF1532">
        <w:rPr>
          <w:rFonts w:ascii="Palatino Linotype" w:hAnsi="Palatino Linotype" w:cs="Tahoma"/>
          <w:sz w:val="22"/>
          <w:szCs w:val="24"/>
        </w:rPr>
        <w:lastRenderedPageBreak/>
        <w:t>dentro del plazo establecido en el artículo 178 de la Ley la materia; además, que este Instituto no tiene conocimiento de que se encuentre en trámite algún medi</w:t>
      </w:r>
      <w:r w:rsidR="00CE2566" w:rsidRPr="00FF1532">
        <w:rPr>
          <w:rFonts w:ascii="Palatino Linotype" w:hAnsi="Palatino Linotype" w:cs="Tahoma"/>
          <w:sz w:val="22"/>
          <w:szCs w:val="24"/>
        </w:rPr>
        <w:t>o de defensa presentado por el R</w:t>
      </w:r>
      <w:r w:rsidRPr="00FF1532">
        <w:rPr>
          <w:rFonts w:ascii="Palatino Linotype" w:hAnsi="Palatino Linotype" w:cs="Tahoma"/>
          <w:sz w:val="22"/>
          <w:szCs w:val="24"/>
        </w:rPr>
        <w:t>ecurrente ante otra instancia; no existió prevención alguna; la veracidad de la respuesta no formó parte del agravio; ni se realizó una consulta o ampliación a los alcances del requerimiento informativo.</w:t>
      </w:r>
    </w:p>
    <w:p w14:paraId="7511616B" w14:textId="2CC1ACB0" w:rsidR="0050058A" w:rsidRPr="00FF1532" w:rsidRDefault="0050058A">
      <w:pPr>
        <w:spacing w:line="360" w:lineRule="auto"/>
        <w:jc w:val="both"/>
        <w:rPr>
          <w:rFonts w:ascii="Palatino Linotype" w:hAnsi="Palatino Linotype" w:cs="Tahoma"/>
          <w:sz w:val="22"/>
          <w:szCs w:val="24"/>
        </w:rPr>
      </w:pPr>
    </w:p>
    <w:p w14:paraId="1FF607EE" w14:textId="07B6F342" w:rsidR="00F024EE" w:rsidRPr="00FF1532" w:rsidRDefault="00376B26">
      <w:pPr>
        <w:spacing w:line="360" w:lineRule="auto"/>
        <w:jc w:val="both"/>
        <w:rPr>
          <w:rFonts w:ascii="Palatino Linotype" w:hAnsi="Palatino Linotype" w:cs="Tahoma"/>
          <w:sz w:val="22"/>
          <w:szCs w:val="22"/>
          <w:lang w:val="es-ES"/>
        </w:rPr>
      </w:pPr>
      <w:r w:rsidRPr="00FF1532">
        <w:rPr>
          <w:rFonts w:ascii="Palatino Linotype" w:hAnsi="Palatino Linotype" w:cs="Tahoma"/>
          <w:sz w:val="22"/>
          <w:szCs w:val="24"/>
        </w:rPr>
        <w:t xml:space="preserve">Finalmente, se actualiza la causal de procedencia señalada en el </w:t>
      </w:r>
      <w:r w:rsidR="008B71B6">
        <w:rPr>
          <w:rFonts w:ascii="Palatino Linotype" w:hAnsi="Palatino Linotype" w:cs="Tahoma"/>
          <w:b/>
          <w:sz w:val="22"/>
          <w:szCs w:val="24"/>
        </w:rPr>
        <w:t>artículo 179, fracción I</w:t>
      </w:r>
      <w:r w:rsidRPr="00FF1532">
        <w:rPr>
          <w:rFonts w:ascii="Palatino Linotype" w:hAnsi="Palatino Linotype" w:cs="Tahoma"/>
          <w:sz w:val="22"/>
          <w:szCs w:val="24"/>
        </w:rPr>
        <w:t xml:space="preserve">, de la Ley en cita, pues del análisis a los argumentos vertidos por la Recurrente en su Recurso de Revisión se advierte que se inconformó con - </w:t>
      </w:r>
      <w:r w:rsidRPr="00FF1532">
        <w:rPr>
          <w:rFonts w:ascii="Palatino Linotype" w:hAnsi="Palatino Linotype" w:cs="Tahoma"/>
          <w:b/>
          <w:sz w:val="22"/>
          <w:szCs w:val="24"/>
        </w:rPr>
        <w:t xml:space="preserve">la </w:t>
      </w:r>
      <w:r w:rsidR="008B71B6">
        <w:rPr>
          <w:rFonts w:ascii="Palatino Linotype" w:hAnsi="Palatino Linotype" w:cs="Tahoma"/>
          <w:b/>
          <w:sz w:val="22"/>
          <w:szCs w:val="24"/>
        </w:rPr>
        <w:t>negativa</w:t>
      </w:r>
      <w:r w:rsidRPr="00FF1532">
        <w:rPr>
          <w:rFonts w:ascii="Palatino Linotype" w:hAnsi="Palatino Linotype" w:cs="Tahoma"/>
          <w:b/>
          <w:sz w:val="22"/>
          <w:szCs w:val="24"/>
        </w:rPr>
        <w:t xml:space="preserve"> de información </w:t>
      </w:r>
      <w:r w:rsidR="008B71B6">
        <w:rPr>
          <w:rFonts w:ascii="Palatino Linotype" w:hAnsi="Palatino Linotype" w:cs="Tahoma"/>
          <w:b/>
          <w:sz w:val="22"/>
          <w:szCs w:val="24"/>
        </w:rPr>
        <w:t>solicitada</w:t>
      </w:r>
      <w:r w:rsidRPr="00FF1532">
        <w:rPr>
          <w:rFonts w:ascii="Palatino Linotype" w:hAnsi="Palatino Linotype" w:cs="Tahoma"/>
          <w:b/>
          <w:sz w:val="22"/>
          <w:szCs w:val="24"/>
        </w:rPr>
        <w:t>-</w:t>
      </w:r>
      <w:r w:rsidRPr="00FF1532">
        <w:rPr>
          <w:rFonts w:ascii="Palatino Linotype" w:hAnsi="Palatino Linotype" w:cs="Tahoma"/>
          <w:sz w:val="22"/>
          <w:szCs w:val="24"/>
        </w:rPr>
        <w:t>.</w:t>
      </w:r>
      <w:r w:rsidR="00F024EE" w:rsidRPr="00FF1532">
        <w:rPr>
          <w:rFonts w:ascii="Palatino Linotype" w:hAnsi="Palatino Linotype" w:cs="Tahoma"/>
          <w:sz w:val="22"/>
          <w:szCs w:val="22"/>
          <w:lang w:val="es-ES"/>
        </w:rPr>
        <w:t> </w:t>
      </w:r>
    </w:p>
    <w:p w14:paraId="1AC07CAB" w14:textId="77777777" w:rsidR="00376B26" w:rsidRPr="00FF1532" w:rsidRDefault="00376B26">
      <w:pPr>
        <w:spacing w:line="360" w:lineRule="auto"/>
        <w:jc w:val="both"/>
        <w:rPr>
          <w:rFonts w:ascii="Palatino Linotype" w:hAnsi="Palatino Linotype" w:cs="Tahoma"/>
          <w:sz w:val="22"/>
          <w:szCs w:val="22"/>
          <w:lang w:val="es-ES"/>
        </w:rPr>
      </w:pPr>
    </w:p>
    <w:p w14:paraId="3C9AFA19" w14:textId="575212F8" w:rsidR="00F024EE" w:rsidRPr="00FF1532" w:rsidRDefault="00F024EE">
      <w:pPr>
        <w:spacing w:line="360" w:lineRule="auto"/>
        <w:jc w:val="both"/>
        <w:rPr>
          <w:rFonts w:ascii="Palatino Linotype" w:hAnsi="Palatino Linotype" w:cs="Tahoma"/>
          <w:b/>
          <w:bCs/>
          <w:sz w:val="22"/>
          <w:szCs w:val="22"/>
        </w:rPr>
      </w:pPr>
      <w:r w:rsidRPr="00FF1532">
        <w:rPr>
          <w:rFonts w:ascii="Palatino Linotype" w:hAnsi="Palatino Linotype" w:cs="Tahoma"/>
          <w:b/>
          <w:bCs/>
          <w:sz w:val="22"/>
          <w:szCs w:val="22"/>
        </w:rPr>
        <w:t>Causales de sobreseimiento.</w:t>
      </w:r>
    </w:p>
    <w:p w14:paraId="3B991B8C" w14:textId="77777777" w:rsidR="0046280E" w:rsidRDefault="0046280E">
      <w:pPr>
        <w:spacing w:line="360" w:lineRule="auto"/>
        <w:jc w:val="both"/>
        <w:rPr>
          <w:rFonts w:ascii="Palatino Linotype" w:hAnsi="Palatino Linotype" w:cs="Tahoma"/>
          <w:sz w:val="22"/>
          <w:szCs w:val="22"/>
        </w:rPr>
      </w:pPr>
    </w:p>
    <w:p w14:paraId="50211A0E" w14:textId="77777777" w:rsidR="007B600C" w:rsidRPr="00985849" w:rsidRDefault="007B600C">
      <w:pPr>
        <w:spacing w:line="360" w:lineRule="auto"/>
        <w:jc w:val="both"/>
        <w:rPr>
          <w:rFonts w:ascii="Palatino Linotype" w:hAnsi="Palatino Linotype" w:cs="Tahoma"/>
          <w:sz w:val="22"/>
          <w:szCs w:val="22"/>
          <w:lang w:val="es-ES"/>
        </w:rPr>
      </w:pPr>
      <w:r w:rsidRPr="00985849">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985849">
        <w:rPr>
          <w:rFonts w:ascii="Palatino Linotype" w:eastAsia="Calibri" w:hAnsi="Palatino Linotype" w:cs="Tahoma"/>
          <w:b/>
          <w:sz w:val="22"/>
          <w:szCs w:val="22"/>
          <w:lang w:val="es-ES" w:eastAsia="es-ES_tradnl"/>
        </w:rPr>
        <w:t xml:space="preserve"> no se actualiza ninguna</w:t>
      </w:r>
      <w:r>
        <w:rPr>
          <w:rFonts w:ascii="Palatino Linotype" w:eastAsia="Calibri" w:hAnsi="Palatino Linotype" w:cs="Tahoma"/>
          <w:b/>
          <w:sz w:val="22"/>
          <w:szCs w:val="22"/>
          <w:lang w:val="es-ES" w:eastAsia="es-ES_tradnl"/>
        </w:rPr>
        <w:t xml:space="preserve"> </w:t>
      </w:r>
      <w:r w:rsidRPr="00985849">
        <w:rPr>
          <w:rFonts w:ascii="Palatino Linotype" w:eastAsia="Calibri" w:hAnsi="Palatino Linotype" w:cs="Tahoma"/>
          <w:b/>
          <w:sz w:val="22"/>
          <w:szCs w:val="22"/>
          <w:lang w:val="es-ES" w:eastAsia="es-ES_tradnl"/>
        </w:rPr>
        <w:t xml:space="preserve">de las previstas por el artículo 192 de la Ley de Transparencia y Acceso a la Información Pública del Estado de México y Municipios; </w:t>
      </w:r>
      <w:r w:rsidRPr="00985849">
        <w:rPr>
          <w:rFonts w:ascii="Palatino Linotype" w:hAnsi="Palatino Linotype" w:cs="Tahoma"/>
          <w:sz w:val="22"/>
          <w:szCs w:val="22"/>
          <w:lang w:val="es-ES"/>
        </w:rPr>
        <w:t>lo anterior, en virtud de que no existe constancia en el expedie</w:t>
      </w:r>
      <w:r>
        <w:rPr>
          <w:rFonts w:ascii="Palatino Linotype" w:hAnsi="Palatino Linotype" w:cs="Tahoma"/>
          <w:sz w:val="22"/>
          <w:szCs w:val="22"/>
          <w:lang w:val="es-ES"/>
        </w:rPr>
        <w:t>nte en que se actúa, de que la R</w:t>
      </w:r>
      <w:r w:rsidRPr="00985849">
        <w:rPr>
          <w:rFonts w:ascii="Palatino Linotype" w:hAnsi="Palatino Linotype" w:cs="Tahoma"/>
          <w:sz w:val="22"/>
          <w:szCs w:val="22"/>
          <w:lang w:val="es-ES"/>
        </w:rPr>
        <w:t xml:space="preserve">ecurrente se hubiera desistido del recurso, hubiera fallecido, que sobreviniera alguna causal de improcedencia, que el </w:t>
      </w:r>
      <w:r>
        <w:rPr>
          <w:rFonts w:ascii="Palatino Linotype" w:hAnsi="Palatino Linotype" w:cs="Tahoma"/>
          <w:sz w:val="22"/>
          <w:szCs w:val="22"/>
          <w:lang w:val="es-ES"/>
        </w:rPr>
        <w:t>Sujeto Obligado</w:t>
      </w:r>
      <w:r w:rsidRPr="00985849">
        <w:rPr>
          <w:rFonts w:ascii="Palatino Linotype" w:hAnsi="Palatino Linotype" w:cs="Tahoma"/>
          <w:sz w:val="22"/>
          <w:szCs w:val="22"/>
          <w:lang w:val="es-ES"/>
        </w:rPr>
        <w:t xml:space="preserve"> hubiese modificado o revocado el acto impugnado, o bien que el recurso de revisión hubiera</w:t>
      </w:r>
      <w:r>
        <w:rPr>
          <w:rFonts w:ascii="Palatino Linotype" w:hAnsi="Palatino Linotype" w:cs="Tahoma"/>
          <w:sz w:val="22"/>
          <w:szCs w:val="22"/>
          <w:lang w:val="es-ES"/>
        </w:rPr>
        <w:t xml:space="preserve"> </w:t>
      </w:r>
      <w:r w:rsidRPr="00985849">
        <w:rPr>
          <w:rFonts w:ascii="Palatino Linotype" w:hAnsi="Palatino Linotype" w:cs="Tahoma"/>
          <w:sz w:val="22"/>
          <w:szCs w:val="22"/>
          <w:lang w:val="es-ES"/>
        </w:rPr>
        <w:t>quedado sin materia.</w:t>
      </w:r>
    </w:p>
    <w:p w14:paraId="20F175DC" w14:textId="77777777" w:rsidR="007B600C" w:rsidRPr="00985849" w:rsidRDefault="007B600C">
      <w:pPr>
        <w:spacing w:line="360" w:lineRule="auto"/>
        <w:jc w:val="both"/>
        <w:rPr>
          <w:rFonts w:ascii="Palatino Linotype" w:hAnsi="Palatino Linotype" w:cs="Tahoma"/>
          <w:sz w:val="22"/>
          <w:szCs w:val="22"/>
          <w:lang w:val="es-ES"/>
        </w:rPr>
      </w:pPr>
    </w:p>
    <w:p w14:paraId="6A434C8A" w14:textId="77777777" w:rsidR="007B600C" w:rsidRDefault="007B600C">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Cs/>
          <w:sz w:val="22"/>
          <w:szCs w:val="22"/>
          <w:lang w:val="es-ES" w:eastAsia="es-ES_tradnl"/>
        </w:rPr>
        <w:t xml:space="preserve">Por tales motivos, </w:t>
      </w:r>
      <w:r w:rsidRPr="00985849">
        <w:rPr>
          <w:rFonts w:ascii="Palatino Linotype" w:eastAsia="Calibri" w:hAnsi="Palatino Linotype" w:cs="Tahoma"/>
          <w:sz w:val="22"/>
          <w:szCs w:val="22"/>
          <w:lang w:val="es-ES" w:eastAsia="es-ES_tradnl"/>
        </w:rPr>
        <w:t xml:space="preserve">se considera procedente entrar al fondo del presente asunto. </w:t>
      </w:r>
    </w:p>
    <w:p w14:paraId="1801E8BC" w14:textId="14604A7B" w:rsidR="00C12ECA" w:rsidRDefault="00C12ECA">
      <w:pPr>
        <w:spacing w:line="360" w:lineRule="auto"/>
        <w:jc w:val="both"/>
        <w:rPr>
          <w:rFonts w:ascii="Palatino Linotype" w:eastAsia="Calibri" w:hAnsi="Palatino Linotype" w:cs="Tahoma"/>
          <w:b/>
          <w:sz w:val="22"/>
          <w:szCs w:val="22"/>
          <w:lang w:val="es-ES" w:eastAsia="es-ES_tradnl"/>
        </w:rPr>
      </w:pPr>
    </w:p>
    <w:p w14:paraId="520C0E36" w14:textId="119EE69E" w:rsidR="007B600C" w:rsidRDefault="007B600C">
      <w:pPr>
        <w:spacing w:line="360" w:lineRule="auto"/>
        <w:jc w:val="both"/>
        <w:rPr>
          <w:rFonts w:ascii="Palatino Linotype" w:eastAsia="Calibri" w:hAnsi="Palatino Linotype" w:cs="Tahoma"/>
          <w:b/>
          <w:sz w:val="22"/>
          <w:szCs w:val="22"/>
          <w:lang w:val="es-ES" w:eastAsia="es-ES_tradnl"/>
        </w:rPr>
      </w:pPr>
      <w:r w:rsidRPr="0046280E">
        <w:rPr>
          <w:rFonts w:ascii="Palatino Linotype" w:eastAsia="Calibri" w:hAnsi="Palatino Linotype" w:cs="Tahoma"/>
          <w:b/>
          <w:sz w:val="22"/>
          <w:szCs w:val="22"/>
          <w:lang w:val="es-ES" w:eastAsia="es-ES_tradnl"/>
        </w:rPr>
        <w:t xml:space="preserve">TERCERO. Determinación de la Controversia. </w:t>
      </w:r>
    </w:p>
    <w:p w14:paraId="4ED323B1" w14:textId="77777777" w:rsidR="00C12ECA" w:rsidRPr="00C12ECA" w:rsidRDefault="00C12ECA">
      <w:pPr>
        <w:spacing w:line="360" w:lineRule="auto"/>
        <w:jc w:val="both"/>
        <w:rPr>
          <w:rFonts w:ascii="Palatino Linotype" w:eastAsia="Calibri" w:hAnsi="Palatino Linotype" w:cs="Tahoma"/>
          <w:b/>
          <w:sz w:val="22"/>
          <w:szCs w:val="22"/>
          <w:lang w:val="es-ES" w:eastAsia="es-ES_tradnl"/>
        </w:rPr>
      </w:pPr>
    </w:p>
    <w:p w14:paraId="338A1AB7" w14:textId="7F25C6CB" w:rsidR="007B600C" w:rsidRPr="0046280E" w:rsidRDefault="007B600C">
      <w:pPr>
        <w:spacing w:line="360" w:lineRule="auto"/>
        <w:jc w:val="both"/>
        <w:rPr>
          <w:rFonts w:ascii="Palatino Linotype" w:eastAsia="Calibri" w:hAnsi="Palatino Linotype" w:cs="Tahoma"/>
          <w:sz w:val="22"/>
          <w:szCs w:val="22"/>
          <w:lang w:val="es-ES" w:eastAsia="es-ES_tradnl"/>
        </w:rPr>
      </w:pPr>
      <w:r w:rsidRPr="0046280E">
        <w:rPr>
          <w:rFonts w:ascii="Palatino Linotype" w:eastAsia="Calibri" w:hAnsi="Palatino Linotype" w:cs="Tahoma"/>
          <w:sz w:val="22"/>
          <w:szCs w:val="22"/>
          <w:lang w:val="es-ES" w:eastAsia="es-ES_tradnl"/>
        </w:rPr>
        <w:t>Una vez realizado el estudio de las constancias que integran el expediente en que se actúa, se desprende</w:t>
      </w:r>
      <w:r w:rsidR="00C12ECA">
        <w:rPr>
          <w:rFonts w:ascii="Palatino Linotype" w:eastAsia="Calibri" w:hAnsi="Palatino Linotype" w:cs="Tahoma"/>
          <w:sz w:val="22"/>
          <w:szCs w:val="22"/>
          <w:lang w:val="es-ES" w:eastAsia="es-ES_tradnl"/>
        </w:rPr>
        <w:t xml:space="preserve"> que el Particular solicitó al Sujeto Obligado, </w:t>
      </w:r>
      <w:r w:rsidR="00C12ECA" w:rsidRPr="0046280E">
        <w:rPr>
          <w:rFonts w:ascii="Palatino Linotype" w:eastAsia="Calibri" w:hAnsi="Palatino Linotype" w:cs="Tahoma"/>
          <w:sz w:val="22"/>
          <w:szCs w:val="22"/>
          <w:lang w:val="es-ES" w:eastAsia="es-ES_tradnl"/>
        </w:rPr>
        <w:t>lo</w:t>
      </w:r>
      <w:r w:rsidRPr="0046280E">
        <w:rPr>
          <w:rFonts w:ascii="Palatino Linotype" w:eastAsia="Calibri" w:hAnsi="Palatino Linotype" w:cs="Tahoma"/>
          <w:sz w:val="22"/>
          <w:szCs w:val="22"/>
          <w:lang w:val="es-ES" w:eastAsia="es-ES_tradnl"/>
        </w:rPr>
        <w:t xml:space="preserve"> siguiente:</w:t>
      </w:r>
    </w:p>
    <w:p w14:paraId="3C1560C2" w14:textId="7FA15995" w:rsidR="00342E41" w:rsidRPr="00C12ECA" w:rsidRDefault="00C12ECA">
      <w:pPr>
        <w:pStyle w:val="Prrafodelista"/>
        <w:numPr>
          <w:ilvl w:val="0"/>
          <w:numId w:val="46"/>
        </w:numPr>
        <w:spacing w:line="360" w:lineRule="auto"/>
        <w:jc w:val="both"/>
        <w:rPr>
          <w:rFonts w:ascii="Palatino Linotype" w:eastAsia="Calibri" w:hAnsi="Palatino Linotype" w:cs="Tahoma"/>
          <w:szCs w:val="22"/>
          <w:lang w:val="es-ES" w:eastAsia="es-ES_tradnl"/>
        </w:rPr>
      </w:pPr>
      <w:r w:rsidRPr="00C12ECA">
        <w:rPr>
          <w:rFonts w:ascii="Palatino Linotype" w:eastAsia="Calibri" w:hAnsi="Palatino Linotype" w:cs="Tahoma"/>
          <w:szCs w:val="22"/>
          <w:lang w:val="es-ES" w:eastAsia="es-ES_tradnl"/>
        </w:rPr>
        <w:lastRenderedPageBreak/>
        <w:t xml:space="preserve">Los recibos de nómina de los trabajadores del </w:t>
      </w:r>
      <w:r w:rsidR="00594328" w:rsidRPr="006D7E12">
        <w:rPr>
          <w:rFonts w:ascii="Palatino Linotype" w:eastAsia="Calibri" w:hAnsi="Palatino Linotype" w:cs="Tahoma"/>
          <w:bCs/>
          <w:szCs w:val="22"/>
          <w:lang w:eastAsia="en-US"/>
        </w:rPr>
        <w:t>Ayuntamiento de Acolman</w:t>
      </w:r>
      <w:r w:rsidR="00594328">
        <w:rPr>
          <w:rFonts w:ascii="Palatino Linotype" w:eastAsia="Calibri" w:hAnsi="Palatino Linotype" w:cs="Tahoma"/>
          <w:bCs/>
          <w:szCs w:val="22"/>
          <w:lang w:eastAsia="en-US"/>
        </w:rPr>
        <w:t>, tanto de confianza, sindicalizados y demás; así como de todas las direcciones, institutos, unidades y dependencias, correspondientes al periodo del primero de diciembre de dos mil dieciocho al treinta y uno de marzo de dos mil diecinueve</w:t>
      </w:r>
      <w:r w:rsidRPr="00C12ECA">
        <w:rPr>
          <w:rFonts w:ascii="Palatino Linotype" w:eastAsia="Calibri" w:hAnsi="Palatino Linotype" w:cs="Tahoma"/>
          <w:szCs w:val="22"/>
          <w:lang w:val="es-ES" w:eastAsia="es-ES_tradnl"/>
        </w:rPr>
        <w:t>.</w:t>
      </w:r>
    </w:p>
    <w:p w14:paraId="41F0AFC1" w14:textId="77777777" w:rsidR="00C12ECA" w:rsidRPr="00FF1532" w:rsidRDefault="00C12ECA">
      <w:pPr>
        <w:pStyle w:val="Prrafodelista"/>
        <w:spacing w:line="360" w:lineRule="auto"/>
        <w:ind w:left="1440"/>
        <w:jc w:val="both"/>
        <w:rPr>
          <w:rFonts w:ascii="Palatino Linotype" w:eastAsia="Calibri" w:hAnsi="Palatino Linotype" w:cs="Tahoma"/>
          <w:szCs w:val="22"/>
          <w:lang w:eastAsia="es-ES_tradnl"/>
        </w:rPr>
      </w:pPr>
    </w:p>
    <w:p w14:paraId="269C63CF" w14:textId="5E23576D" w:rsidR="00594328" w:rsidRPr="007B6EFC" w:rsidRDefault="002647E8">
      <w:pPr>
        <w:spacing w:line="360" w:lineRule="auto"/>
        <w:ind w:right="-93"/>
        <w:jc w:val="both"/>
        <w:rPr>
          <w:rFonts w:ascii="Palatino Linotype" w:eastAsia="Calibri" w:hAnsi="Palatino Linotype" w:cs="Tahoma"/>
          <w:bCs/>
          <w:sz w:val="22"/>
          <w:szCs w:val="22"/>
          <w:lang w:eastAsia="en-US"/>
        </w:rPr>
      </w:pPr>
      <w:r w:rsidRPr="00FF1532">
        <w:rPr>
          <w:rFonts w:ascii="Palatino Linotype" w:eastAsia="Calibri" w:hAnsi="Palatino Linotype" w:cs="Tahoma"/>
          <w:bCs/>
          <w:sz w:val="22"/>
          <w:szCs w:val="22"/>
          <w:lang w:eastAsia="en-US"/>
        </w:rPr>
        <w:t>En respuesta, se advirtió que el Sujeto Obligado</w:t>
      </w:r>
      <w:r w:rsidR="00594328">
        <w:rPr>
          <w:rFonts w:ascii="Palatino Linotype" w:eastAsia="Calibri" w:hAnsi="Palatino Linotype" w:cs="Tahoma"/>
          <w:bCs/>
          <w:sz w:val="22"/>
          <w:szCs w:val="22"/>
          <w:lang w:eastAsia="en-US"/>
        </w:rPr>
        <w:t xml:space="preserve"> anexó un oficio por medio de</w:t>
      </w:r>
      <w:r w:rsidR="007B6EFC">
        <w:rPr>
          <w:rFonts w:ascii="Palatino Linotype" w:eastAsia="Calibri" w:hAnsi="Palatino Linotype" w:cs="Tahoma"/>
          <w:bCs/>
          <w:sz w:val="22"/>
          <w:szCs w:val="22"/>
          <w:lang w:eastAsia="en-US"/>
        </w:rPr>
        <w:t>l cual le informó</w:t>
      </w:r>
      <w:r w:rsidR="00594328">
        <w:rPr>
          <w:rFonts w:ascii="Palatino Linotype" w:eastAsia="Calibri" w:hAnsi="Palatino Linotype" w:cs="Tahoma"/>
          <w:bCs/>
          <w:sz w:val="22"/>
          <w:szCs w:val="22"/>
          <w:lang w:eastAsia="en-US"/>
        </w:rPr>
        <w:t xml:space="preserve"> al particular </w:t>
      </w:r>
      <w:r w:rsidR="007B6EFC">
        <w:rPr>
          <w:rFonts w:ascii="Palatino Linotype" w:eastAsia="Calibri" w:hAnsi="Palatino Linotype" w:cs="Tahoma"/>
          <w:bCs/>
          <w:sz w:val="22"/>
          <w:szCs w:val="22"/>
          <w:lang w:eastAsia="en-US"/>
        </w:rPr>
        <w:t xml:space="preserve">que </w:t>
      </w:r>
      <w:r w:rsidR="007B6EFC" w:rsidRPr="007B6EFC">
        <w:rPr>
          <w:rFonts w:ascii="Palatino Linotype" w:eastAsia="Calibri" w:hAnsi="Palatino Linotype" w:cs="Tahoma"/>
          <w:b/>
          <w:bCs/>
          <w:sz w:val="22"/>
          <w:szCs w:val="22"/>
          <w:u w:val="single"/>
          <w:lang w:eastAsia="en-US"/>
        </w:rPr>
        <w:t>la información asciende a 1.2 gigabytes</w:t>
      </w:r>
      <w:r w:rsidR="007B6EFC">
        <w:rPr>
          <w:rFonts w:ascii="Palatino Linotype" w:eastAsia="Calibri" w:hAnsi="Palatino Linotype" w:cs="Tahoma"/>
          <w:bCs/>
          <w:sz w:val="22"/>
          <w:szCs w:val="22"/>
          <w:lang w:eastAsia="en-US"/>
        </w:rPr>
        <w:t xml:space="preserve">, así como que, el </w:t>
      </w:r>
      <w:r w:rsidR="007B6EFC" w:rsidRPr="007B6EFC">
        <w:rPr>
          <w:rFonts w:ascii="Palatino Linotype" w:eastAsia="Calibri" w:hAnsi="Palatino Linotype" w:cs="Tahoma"/>
          <w:bCs/>
          <w:sz w:val="22"/>
          <w:szCs w:val="22"/>
          <w:lang w:eastAsia="en-US"/>
        </w:rPr>
        <w:t xml:space="preserve">análisis, estudio y </w:t>
      </w:r>
      <w:r w:rsidR="007B6EFC">
        <w:rPr>
          <w:rFonts w:ascii="Palatino Linotype" w:eastAsia="Calibri" w:hAnsi="Palatino Linotype" w:cs="Tahoma"/>
          <w:bCs/>
          <w:sz w:val="22"/>
          <w:szCs w:val="22"/>
          <w:lang w:eastAsia="en-US"/>
        </w:rPr>
        <w:t xml:space="preserve">procesamiento de la información </w:t>
      </w:r>
      <w:r w:rsidR="007B6EFC" w:rsidRPr="007B6EFC">
        <w:rPr>
          <w:rFonts w:ascii="Palatino Linotype" w:eastAsia="Calibri" w:hAnsi="Palatino Linotype" w:cs="Tahoma"/>
          <w:bCs/>
          <w:sz w:val="22"/>
          <w:szCs w:val="22"/>
          <w:lang w:eastAsia="en-US"/>
        </w:rPr>
        <w:t xml:space="preserve">para que </w:t>
      </w:r>
      <w:r w:rsidR="00CA0830">
        <w:rPr>
          <w:rFonts w:ascii="Palatino Linotype" w:eastAsia="Calibri" w:hAnsi="Palatino Linotype" w:cs="Tahoma"/>
          <w:bCs/>
          <w:sz w:val="22"/>
          <w:szCs w:val="22"/>
          <w:lang w:eastAsia="en-US"/>
        </w:rPr>
        <w:t>e</w:t>
      </w:r>
      <w:r w:rsidR="007B6EFC" w:rsidRPr="007B6EFC">
        <w:rPr>
          <w:rFonts w:ascii="Palatino Linotype" w:eastAsia="Calibri" w:hAnsi="Palatino Linotype" w:cs="Tahoma"/>
          <w:bCs/>
          <w:sz w:val="22"/>
          <w:szCs w:val="22"/>
          <w:lang w:eastAsia="en-US"/>
        </w:rPr>
        <w:t xml:space="preserve">sta no se encuentre en los supuestos de clasificación de reservada o confidencial, </w:t>
      </w:r>
      <w:r w:rsidR="007B6EFC" w:rsidRPr="007B6EFC">
        <w:rPr>
          <w:rFonts w:ascii="Palatino Linotype" w:eastAsia="Calibri" w:hAnsi="Palatino Linotype" w:cs="Tahoma"/>
          <w:b/>
          <w:bCs/>
          <w:sz w:val="22"/>
          <w:szCs w:val="22"/>
          <w:u w:val="single"/>
          <w:lang w:eastAsia="en-US"/>
        </w:rPr>
        <w:t>excede las capacidades humanas de la citada administración</w:t>
      </w:r>
      <w:r w:rsidR="007B6EFC">
        <w:rPr>
          <w:rFonts w:ascii="Palatino Linotype" w:eastAsia="Calibri" w:hAnsi="Palatino Linotype" w:cs="Tahoma"/>
          <w:bCs/>
          <w:sz w:val="22"/>
          <w:szCs w:val="22"/>
          <w:lang w:eastAsia="en-US"/>
        </w:rPr>
        <w:t xml:space="preserve"> y finalmente indicó que </w:t>
      </w:r>
      <w:r w:rsidR="007B6EFC" w:rsidRPr="007B6EFC">
        <w:rPr>
          <w:rFonts w:ascii="Palatino Linotype" w:eastAsia="Calibri" w:hAnsi="Palatino Linotype" w:cs="Tahoma"/>
          <w:bCs/>
          <w:sz w:val="22"/>
          <w:szCs w:val="22"/>
          <w:lang w:eastAsia="en-US"/>
        </w:rPr>
        <w:t xml:space="preserve">resulta procedente </w:t>
      </w:r>
      <w:r w:rsidR="007B6EFC" w:rsidRPr="007B6EFC">
        <w:rPr>
          <w:rFonts w:ascii="Palatino Linotype" w:eastAsia="Calibri" w:hAnsi="Palatino Linotype" w:cs="Tahoma"/>
          <w:b/>
          <w:bCs/>
          <w:sz w:val="22"/>
          <w:szCs w:val="22"/>
          <w:u w:val="single"/>
          <w:lang w:eastAsia="en-US"/>
        </w:rPr>
        <w:t>poner a disposición del Solicitante, en “consulta directa”</w:t>
      </w:r>
      <w:r w:rsidR="007B6EFC" w:rsidRPr="007B6EFC">
        <w:rPr>
          <w:rFonts w:ascii="Palatino Linotype" w:eastAsia="Calibri" w:hAnsi="Palatino Linotype" w:cs="Tahoma"/>
          <w:bCs/>
          <w:sz w:val="22"/>
          <w:szCs w:val="22"/>
          <w:lang w:eastAsia="en-US"/>
        </w:rPr>
        <w:t xml:space="preserve"> la información requerida</w:t>
      </w:r>
      <w:r w:rsidR="007B6EFC">
        <w:rPr>
          <w:rFonts w:ascii="Palatino Linotype" w:eastAsia="Calibri" w:hAnsi="Palatino Linotype" w:cs="Tahoma"/>
          <w:bCs/>
          <w:sz w:val="22"/>
          <w:szCs w:val="22"/>
          <w:lang w:eastAsia="en-US"/>
        </w:rPr>
        <w:t>.</w:t>
      </w:r>
    </w:p>
    <w:p w14:paraId="5897DAAB" w14:textId="77777777" w:rsidR="00594328" w:rsidRDefault="00594328">
      <w:pPr>
        <w:spacing w:line="360" w:lineRule="auto"/>
        <w:ind w:right="-93"/>
        <w:jc w:val="both"/>
        <w:rPr>
          <w:rFonts w:ascii="Palatino Linotype" w:eastAsia="Calibri" w:hAnsi="Palatino Linotype" w:cs="Tahoma"/>
          <w:bCs/>
          <w:sz w:val="22"/>
          <w:szCs w:val="22"/>
          <w:lang w:eastAsia="en-US"/>
        </w:rPr>
      </w:pPr>
    </w:p>
    <w:p w14:paraId="05614BEA" w14:textId="36F076BA" w:rsidR="000F2C45" w:rsidRPr="00F012DF" w:rsidRDefault="000F2C45">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Inconforme con la respuesta, el Recurrente presentó el Recurso de Revisión </w:t>
      </w:r>
      <w:r w:rsidR="00CA0830">
        <w:rPr>
          <w:rFonts w:ascii="Palatino Linotype" w:eastAsia="Calibri" w:hAnsi="Palatino Linotype" w:cs="Tahoma"/>
          <w:bCs/>
          <w:sz w:val="22"/>
          <w:szCs w:val="22"/>
          <w:lang w:eastAsia="en-US"/>
        </w:rPr>
        <w:t xml:space="preserve">en el que indicó </w:t>
      </w:r>
      <w:r>
        <w:rPr>
          <w:rFonts w:ascii="Palatino Linotype" w:eastAsia="Calibri" w:hAnsi="Palatino Linotype" w:cs="Tahoma"/>
          <w:bCs/>
          <w:sz w:val="22"/>
          <w:szCs w:val="22"/>
          <w:lang w:eastAsia="en-US"/>
        </w:rPr>
        <w:t xml:space="preserve">que el Sujeto Obligado no entregó la información solicitada y añadió que otros Municipios han entregado información de hasta </w:t>
      </w:r>
      <w:r w:rsidRPr="006C0FF2">
        <w:rPr>
          <w:rFonts w:ascii="Palatino Linotype" w:eastAsia="Calibri" w:hAnsi="Palatino Linotype" w:cs="Tahoma"/>
          <w:bCs/>
          <w:i/>
          <w:sz w:val="22"/>
          <w:szCs w:val="22"/>
          <w:lang w:eastAsia="en-US"/>
        </w:rPr>
        <w:t>5 GB</w:t>
      </w:r>
      <w:r>
        <w:rPr>
          <w:rFonts w:ascii="Palatino Linotype" w:eastAsia="Calibri" w:hAnsi="Palatino Linotype" w:cs="Tahoma"/>
          <w:bCs/>
          <w:sz w:val="22"/>
          <w:szCs w:val="22"/>
          <w:lang w:eastAsia="en-US"/>
        </w:rPr>
        <w:t xml:space="preserve"> vía</w:t>
      </w:r>
      <w:r w:rsidR="00CA0830">
        <w:rPr>
          <w:rFonts w:ascii="Palatino Linotype" w:eastAsia="Calibri" w:hAnsi="Palatino Linotype" w:cs="Tahoma"/>
          <w:bCs/>
          <w:sz w:val="22"/>
          <w:szCs w:val="22"/>
          <w:lang w:eastAsia="en-US"/>
        </w:rPr>
        <w:t xml:space="preserve"> </w:t>
      </w:r>
      <w:proofErr w:type="gramStart"/>
      <w:r w:rsidR="00CA0830">
        <w:rPr>
          <w:rFonts w:ascii="Palatino Linotype" w:eastAsia="Calibri" w:hAnsi="Palatino Linotype" w:cs="Tahoma"/>
          <w:bCs/>
          <w:sz w:val="22"/>
          <w:szCs w:val="22"/>
          <w:lang w:eastAsia="en-US"/>
        </w:rPr>
        <w:t xml:space="preserve">el </w:t>
      </w:r>
      <w:r>
        <w:rPr>
          <w:rFonts w:ascii="Palatino Linotype" w:eastAsia="Calibri" w:hAnsi="Palatino Linotype" w:cs="Tahoma"/>
          <w:bCs/>
          <w:sz w:val="22"/>
          <w:szCs w:val="22"/>
          <w:lang w:eastAsia="en-US"/>
        </w:rPr>
        <w:t xml:space="preserve"> </w:t>
      </w:r>
      <w:r w:rsidR="00CA0830" w:rsidRPr="00FF1532">
        <w:rPr>
          <w:rFonts w:ascii="Palatino Linotype" w:eastAsia="Calibri" w:hAnsi="Palatino Linotype" w:cs="Tahoma"/>
          <w:bCs/>
          <w:sz w:val="22"/>
          <w:szCs w:val="22"/>
          <w:lang w:val="es-ES" w:eastAsia="en-US"/>
        </w:rPr>
        <w:t>Sistema</w:t>
      </w:r>
      <w:proofErr w:type="gramEnd"/>
      <w:r w:rsidR="00CA0830" w:rsidRPr="00FF1532">
        <w:rPr>
          <w:rFonts w:ascii="Palatino Linotype" w:eastAsia="Calibri" w:hAnsi="Palatino Linotype" w:cs="Tahoma"/>
          <w:bCs/>
          <w:sz w:val="22"/>
          <w:szCs w:val="22"/>
          <w:lang w:val="es-ES" w:eastAsia="en-US"/>
        </w:rPr>
        <w:t xml:space="preserve"> de Acceso a la Información Mexiquense (SAIMEX)</w:t>
      </w:r>
      <w:r>
        <w:rPr>
          <w:rFonts w:ascii="Palatino Linotype" w:eastAsia="Calibri" w:hAnsi="Palatino Linotype" w:cs="Tahoma"/>
          <w:bCs/>
          <w:sz w:val="22"/>
          <w:szCs w:val="22"/>
          <w:lang w:eastAsia="en-US"/>
        </w:rPr>
        <w:t>.</w:t>
      </w:r>
    </w:p>
    <w:p w14:paraId="20669E7A" w14:textId="3E1282E7" w:rsidR="007D1542" w:rsidRDefault="007D1542">
      <w:pPr>
        <w:spacing w:line="360" w:lineRule="auto"/>
        <w:ind w:right="-93"/>
        <w:jc w:val="both"/>
        <w:rPr>
          <w:rFonts w:ascii="Palatino Linotype" w:eastAsia="Calibri" w:hAnsi="Palatino Linotype" w:cs="Tahoma"/>
          <w:bCs/>
          <w:sz w:val="22"/>
          <w:szCs w:val="22"/>
          <w:lang w:eastAsia="en-US"/>
        </w:rPr>
      </w:pPr>
    </w:p>
    <w:p w14:paraId="33FD890C" w14:textId="1DACC9AD" w:rsidR="00552262" w:rsidRPr="00FF1532" w:rsidRDefault="00552262">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 xml:space="preserve">Lo anterior, se desprende de las documentales que obran en el expediente de referencia, materia de la presente Resolución, consistentes en: la solicitud de acceso a la información con número de folio </w:t>
      </w:r>
      <w:r w:rsidR="00DF70B5" w:rsidRPr="00DF70B5">
        <w:rPr>
          <w:rFonts w:ascii="Palatino Linotype" w:eastAsia="Calibri" w:hAnsi="Palatino Linotype" w:cs="Tahoma"/>
          <w:b/>
          <w:sz w:val="22"/>
          <w:szCs w:val="22"/>
          <w:lang w:eastAsia="es-ES_tradnl"/>
        </w:rPr>
        <w:t>00063/ACOLMAN/IP/2019</w:t>
      </w:r>
      <w:r w:rsidRPr="00DF70B5">
        <w:rPr>
          <w:rFonts w:ascii="Palatino Linotype" w:eastAsia="Calibri" w:hAnsi="Palatino Linotype" w:cs="Tahoma"/>
          <w:b/>
          <w:sz w:val="22"/>
          <w:szCs w:val="22"/>
          <w:lang w:eastAsia="es-ES_tradnl"/>
        </w:rPr>
        <w:t>;</w:t>
      </w:r>
      <w:r w:rsidRPr="00FF1532">
        <w:rPr>
          <w:rFonts w:ascii="Palatino Linotype" w:eastAsia="Calibri" w:hAnsi="Palatino Linotype" w:cs="Tahoma"/>
          <w:sz w:val="22"/>
          <w:szCs w:val="22"/>
          <w:lang w:eastAsia="es-ES_tradnl"/>
        </w:rPr>
        <w:t xml:space="preserve"> el escrito </w:t>
      </w:r>
      <w:proofErr w:type="spellStart"/>
      <w:r w:rsidRPr="00FF1532">
        <w:rPr>
          <w:rFonts w:ascii="Palatino Linotype" w:eastAsia="Calibri" w:hAnsi="Palatino Linotype" w:cs="Tahoma"/>
          <w:sz w:val="22"/>
          <w:szCs w:val="22"/>
          <w:lang w:eastAsia="es-ES_tradnl"/>
        </w:rPr>
        <w:t>recursal</w:t>
      </w:r>
      <w:proofErr w:type="spellEnd"/>
      <w:r w:rsidR="001D0DF0">
        <w:rPr>
          <w:rFonts w:ascii="Palatino Linotype" w:eastAsia="Calibri" w:hAnsi="Palatino Linotype" w:cs="Tahoma"/>
          <w:sz w:val="22"/>
          <w:szCs w:val="22"/>
          <w:lang w:eastAsia="es-ES_tradnl"/>
        </w:rPr>
        <w:t xml:space="preserve"> </w:t>
      </w:r>
      <w:r w:rsidRPr="00FF1532">
        <w:rPr>
          <w:rFonts w:ascii="Palatino Linotype" w:eastAsia="Calibri" w:hAnsi="Palatino Linotype" w:cs="Tahoma"/>
          <w:sz w:val="22"/>
          <w:szCs w:val="22"/>
          <w:lang w:eastAsia="es-ES_tradnl"/>
        </w:rPr>
        <w:t>y el Informe Justificado emitido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11BA528C" w14:textId="77777777" w:rsidR="00552262" w:rsidRDefault="00552262">
      <w:pPr>
        <w:spacing w:line="360" w:lineRule="auto"/>
        <w:ind w:right="-93"/>
        <w:jc w:val="both"/>
        <w:rPr>
          <w:rFonts w:ascii="Palatino Linotype" w:eastAsia="Calibri" w:hAnsi="Palatino Linotype" w:cs="Tahoma"/>
          <w:bCs/>
          <w:sz w:val="22"/>
          <w:szCs w:val="22"/>
          <w:lang w:eastAsia="en-US"/>
        </w:rPr>
      </w:pPr>
    </w:p>
    <w:p w14:paraId="25C35211" w14:textId="77777777" w:rsidR="007B600C" w:rsidRPr="00985849" w:rsidRDefault="007B600C">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14:paraId="3DDA7BB7" w14:textId="77777777" w:rsidR="007B600C" w:rsidRPr="00985849" w:rsidRDefault="007B600C">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1C8F792" w14:textId="77777777" w:rsidR="007B600C" w:rsidRDefault="007B600C">
      <w:pPr>
        <w:spacing w:line="360" w:lineRule="auto"/>
        <w:jc w:val="both"/>
        <w:rPr>
          <w:rFonts w:ascii="Palatino Linotype" w:hAnsi="Palatino Linotype" w:cs="Tahoma"/>
          <w:sz w:val="22"/>
          <w:szCs w:val="22"/>
        </w:rPr>
      </w:pPr>
    </w:p>
    <w:p w14:paraId="15CE5896" w14:textId="77777777" w:rsidR="007B600C" w:rsidRPr="00985849" w:rsidRDefault="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8291CFB" w14:textId="77777777" w:rsidR="007B600C" w:rsidRPr="00985849" w:rsidRDefault="007B600C">
      <w:pPr>
        <w:spacing w:line="360" w:lineRule="auto"/>
        <w:jc w:val="both"/>
        <w:rPr>
          <w:rFonts w:ascii="Palatino Linotype" w:hAnsi="Palatino Linotype" w:cs="Tahoma"/>
          <w:sz w:val="22"/>
          <w:szCs w:val="22"/>
        </w:rPr>
      </w:pPr>
    </w:p>
    <w:p w14:paraId="4C49934A" w14:textId="77777777" w:rsidR="007B600C" w:rsidRPr="00985849" w:rsidRDefault="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3DA44A03" w14:textId="77777777" w:rsidR="007B600C" w:rsidRPr="00985849" w:rsidRDefault="007B600C">
      <w:pPr>
        <w:spacing w:line="360" w:lineRule="auto"/>
        <w:jc w:val="both"/>
        <w:rPr>
          <w:rFonts w:ascii="Palatino Linotype" w:hAnsi="Palatino Linotype" w:cs="Tahoma"/>
          <w:sz w:val="22"/>
          <w:szCs w:val="22"/>
        </w:rPr>
      </w:pPr>
    </w:p>
    <w:p w14:paraId="62B81D8B" w14:textId="77777777" w:rsidR="007B600C" w:rsidRPr="00985849" w:rsidRDefault="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C525023" w14:textId="77777777" w:rsidR="007B600C" w:rsidRPr="00985849" w:rsidRDefault="007B600C">
      <w:pPr>
        <w:spacing w:line="360" w:lineRule="auto"/>
        <w:jc w:val="both"/>
        <w:rPr>
          <w:rFonts w:ascii="Palatino Linotype" w:hAnsi="Palatino Linotype" w:cs="Tahoma"/>
          <w:sz w:val="22"/>
          <w:szCs w:val="22"/>
        </w:rPr>
      </w:pPr>
    </w:p>
    <w:p w14:paraId="0CD9251C" w14:textId="77777777" w:rsidR="007B600C" w:rsidRPr="00985849" w:rsidRDefault="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01716736" w14:textId="77777777" w:rsidR="007B600C" w:rsidRPr="00985849" w:rsidRDefault="007B600C">
      <w:pPr>
        <w:spacing w:line="360" w:lineRule="auto"/>
        <w:jc w:val="both"/>
        <w:rPr>
          <w:rFonts w:ascii="Palatino Linotype" w:hAnsi="Palatino Linotype" w:cs="Tahoma"/>
          <w:sz w:val="22"/>
          <w:szCs w:val="22"/>
        </w:rPr>
      </w:pPr>
    </w:p>
    <w:p w14:paraId="76913364" w14:textId="77777777" w:rsidR="007B600C" w:rsidRPr="00985849" w:rsidRDefault="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lastRenderedPageBreak/>
        <w:t>El artículo 12, que, quienes generen, recopilen, administren, manejen, procesen, archiven o conserven información pública serán responsables de la misma.</w:t>
      </w:r>
    </w:p>
    <w:p w14:paraId="3B6D8D0C" w14:textId="77777777" w:rsidR="007B600C" w:rsidRDefault="007B600C">
      <w:pPr>
        <w:spacing w:line="360" w:lineRule="auto"/>
        <w:jc w:val="both"/>
        <w:rPr>
          <w:rFonts w:ascii="Palatino Linotype" w:hAnsi="Palatino Linotype" w:cs="Tahoma"/>
          <w:sz w:val="22"/>
          <w:szCs w:val="22"/>
        </w:rPr>
      </w:pPr>
    </w:p>
    <w:p w14:paraId="74C8E531" w14:textId="77777777" w:rsidR="007B600C" w:rsidRPr="00985849" w:rsidRDefault="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Sujetos </w:t>
      </w:r>
      <w:r>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5A0D6EDA" w14:textId="77777777" w:rsidR="007B600C" w:rsidRPr="00985849" w:rsidRDefault="007B600C">
      <w:pPr>
        <w:spacing w:line="360" w:lineRule="auto"/>
        <w:jc w:val="both"/>
        <w:rPr>
          <w:rFonts w:ascii="Palatino Linotype" w:hAnsi="Palatino Linotype" w:cs="Tahoma"/>
          <w:sz w:val="22"/>
          <w:szCs w:val="22"/>
        </w:rPr>
      </w:pPr>
    </w:p>
    <w:p w14:paraId="50628A52" w14:textId="2CC1DF59" w:rsidR="007B600C" w:rsidRPr="00985849" w:rsidRDefault="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Pr>
          <w:rFonts w:ascii="Palatino Linotype" w:hAnsi="Palatino Linotype" w:cs="Tahoma"/>
          <w:sz w:val="22"/>
          <w:szCs w:val="22"/>
        </w:rPr>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6F613F8E" w14:textId="77777777" w:rsidR="007B600C" w:rsidRDefault="007B600C">
      <w:pPr>
        <w:spacing w:line="360" w:lineRule="auto"/>
        <w:jc w:val="both"/>
        <w:rPr>
          <w:rFonts w:ascii="Palatino Linotype" w:eastAsia="Calibri" w:hAnsi="Palatino Linotype" w:cs="Tahoma"/>
          <w:sz w:val="22"/>
          <w:szCs w:val="22"/>
          <w:lang w:val="es-ES" w:eastAsia="es-ES_tradnl"/>
        </w:rPr>
      </w:pPr>
    </w:p>
    <w:p w14:paraId="2D8238E6" w14:textId="00497930" w:rsidR="007B600C" w:rsidRDefault="00D0789D">
      <w:pPr>
        <w:spacing w:line="360" w:lineRule="auto"/>
        <w:ind w:right="-93"/>
        <w:jc w:val="both"/>
        <w:rPr>
          <w:rFonts w:ascii="Palatino Linotype" w:eastAsia="Calibri" w:hAnsi="Palatino Linotype" w:cs="Tahoma"/>
          <w:sz w:val="22"/>
          <w:szCs w:val="22"/>
          <w:lang w:val="es-ES" w:eastAsia="es-ES_tradnl"/>
        </w:rPr>
      </w:pPr>
      <w:r w:rsidRPr="00D0789D">
        <w:rPr>
          <w:rFonts w:ascii="Palatino Linotype" w:eastAsia="Calibri" w:hAnsi="Palatino Linotype" w:cs="Tahoma"/>
          <w:sz w:val="22"/>
          <w:szCs w:val="22"/>
          <w:lang w:val="es-ES" w:eastAsia="es-ES_tradnl"/>
        </w:rPr>
        <w:t xml:space="preserve">El </w:t>
      </w:r>
      <w:r w:rsidRPr="00D0789D">
        <w:rPr>
          <w:rFonts w:ascii="Palatino Linotype" w:eastAsia="Calibri" w:hAnsi="Palatino Linotype" w:cs="Tahoma"/>
          <w:b/>
          <w:sz w:val="22"/>
          <w:szCs w:val="22"/>
          <w:lang w:val="es-ES" w:eastAsia="es-ES_tradnl"/>
        </w:rPr>
        <w:t>artículo 92, fracción VIII</w:t>
      </w:r>
      <w:r w:rsidRPr="00D0789D">
        <w:rPr>
          <w:rFonts w:ascii="Palatino Linotype" w:eastAsia="Calibri" w:hAnsi="Palatino Linotype" w:cs="Tahoma"/>
          <w:sz w:val="22"/>
          <w:szCs w:val="22"/>
          <w:lang w:val="es-ES" w:eastAsia="es-ES_tradnl"/>
        </w:rPr>
        <w:t xml:space="preserve">, que, la información sobre las </w:t>
      </w:r>
      <w:r w:rsidRPr="00D0789D">
        <w:rPr>
          <w:rFonts w:ascii="Palatino Linotype" w:eastAsia="Calibri" w:hAnsi="Palatino Linotype" w:cs="Tahoma"/>
          <w:b/>
          <w:sz w:val="22"/>
          <w:szCs w:val="22"/>
          <w:lang w:val="es-ES" w:eastAsia="es-ES_tradnl"/>
        </w:rPr>
        <w:t>remuneraciones bruta y neta de todos los servidores públicos de base o de confianza</w:t>
      </w:r>
      <w:r w:rsidRPr="00D0789D">
        <w:rPr>
          <w:rFonts w:ascii="Palatino Linotype" w:eastAsia="Calibri" w:hAnsi="Palatino Linotype" w:cs="Tahoma"/>
          <w:sz w:val="22"/>
          <w:szCs w:val="22"/>
          <w:lang w:val="es-ES" w:eastAsia="es-ES_tradnl"/>
        </w:rPr>
        <w:t>, de todas las percepciones, incluyendo sueldos, prestaciones, gratificaciones, primas, comisiones, dietas, bonos, estímulos, ingresos y sistemas de compensación, corresponde a una Obligación Común de Transparencia para los Sujetos Obligados.</w:t>
      </w:r>
    </w:p>
    <w:p w14:paraId="1DBAE35B" w14:textId="77777777" w:rsidR="00D0789D" w:rsidRDefault="00D0789D">
      <w:pPr>
        <w:spacing w:line="360" w:lineRule="auto"/>
        <w:ind w:right="-93"/>
        <w:jc w:val="both"/>
        <w:rPr>
          <w:rFonts w:ascii="Palatino Linotype" w:eastAsia="Calibri" w:hAnsi="Palatino Linotype" w:cs="Tahoma"/>
          <w:bCs/>
          <w:sz w:val="22"/>
          <w:szCs w:val="22"/>
          <w:lang w:eastAsia="en-US"/>
        </w:rPr>
      </w:pPr>
    </w:p>
    <w:p w14:paraId="6609DF31" w14:textId="23C43E9B" w:rsidR="007B600C" w:rsidRDefault="007B600C">
      <w:pPr>
        <w:spacing w:line="360" w:lineRule="auto"/>
        <w:ind w:right="-93"/>
        <w:jc w:val="both"/>
        <w:rPr>
          <w:rFonts w:ascii="Palatino Linotype" w:eastAsia="Calibri" w:hAnsi="Palatino Linotype" w:cs="Tahoma"/>
          <w:bCs/>
          <w:sz w:val="22"/>
          <w:szCs w:val="22"/>
          <w:lang w:eastAsia="en-US"/>
        </w:rPr>
      </w:pPr>
      <w:r w:rsidRPr="00985849">
        <w:rPr>
          <w:rFonts w:ascii="Palatino Linotype" w:hAnsi="Palatino Linotype" w:cs="Tahoma"/>
          <w:b/>
          <w:sz w:val="22"/>
          <w:szCs w:val="22"/>
          <w:lang w:val="es-ES"/>
        </w:rPr>
        <w:t>QUINTO. Estudio de Fondo.</w:t>
      </w:r>
    </w:p>
    <w:p w14:paraId="77CD9B14" w14:textId="77777777" w:rsidR="007B600C" w:rsidRPr="00FF1532" w:rsidRDefault="007B600C">
      <w:pPr>
        <w:spacing w:line="360" w:lineRule="auto"/>
        <w:ind w:right="-93"/>
        <w:jc w:val="both"/>
        <w:rPr>
          <w:rFonts w:ascii="Palatino Linotype" w:eastAsia="Calibri" w:hAnsi="Palatino Linotype" w:cs="Tahoma"/>
          <w:bCs/>
          <w:sz w:val="22"/>
          <w:szCs w:val="22"/>
          <w:lang w:eastAsia="en-US"/>
        </w:rPr>
      </w:pPr>
    </w:p>
    <w:p w14:paraId="727BBAC6" w14:textId="77777777" w:rsidR="001A0AE0" w:rsidRPr="00FF1532" w:rsidRDefault="001A0AE0">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0FB93020" w14:textId="77777777" w:rsidR="001A0AE0" w:rsidRPr="00FF1532" w:rsidRDefault="001A0AE0">
      <w:pPr>
        <w:spacing w:line="360" w:lineRule="auto"/>
        <w:jc w:val="both"/>
        <w:rPr>
          <w:rFonts w:ascii="Palatino Linotype" w:eastAsia="Calibri" w:hAnsi="Palatino Linotype" w:cs="Tahoma"/>
          <w:sz w:val="22"/>
          <w:szCs w:val="22"/>
          <w:lang w:eastAsia="es-ES_tradnl"/>
        </w:rPr>
      </w:pPr>
    </w:p>
    <w:p w14:paraId="4E77E835" w14:textId="77777777" w:rsidR="001A0AE0" w:rsidRPr="00FF1532" w:rsidRDefault="001A0AE0">
      <w:pPr>
        <w:pStyle w:val="Prrafodelista"/>
        <w:numPr>
          <w:ilvl w:val="0"/>
          <w:numId w:val="25"/>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lastRenderedPageBreak/>
        <w:t>Proveer lo necesario para garantizar a toda persona el derecho de acceso a la información pública, a través de procedimientos sencillos, expeditos, oportunos y gratuitos;</w:t>
      </w:r>
    </w:p>
    <w:p w14:paraId="69141603" w14:textId="77777777" w:rsidR="001A0AE0" w:rsidRPr="00FF1532" w:rsidRDefault="001A0AE0">
      <w:pPr>
        <w:pStyle w:val="Prrafodelista"/>
        <w:numPr>
          <w:ilvl w:val="0"/>
          <w:numId w:val="25"/>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Transparentar la gestión pública, mediante la difusión de la información generada por los Sujetos Obligados, y</w:t>
      </w:r>
    </w:p>
    <w:p w14:paraId="429D6C59" w14:textId="77777777" w:rsidR="001A0AE0" w:rsidRPr="00FF1532" w:rsidRDefault="001A0AE0">
      <w:pPr>
        <w:pStyle w:val="Prrafodelista"/>
        <w:numPr>
          <w:ilvl w:val="0"/>
          <w:numId w:val="25"/>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Promover, fomentar y difundir la cultura de la transparencia en el ejercicio de la función pública, el acceso a la información y la participación ciudadana, así como, la rendición de cuentas.</w:t>
      </w:r>
    </w:p>
    <w:p w14:paraId="2C526474" w14:textId="77777777" w:rsidR="001A0AE0" w:rsidRPr="00FF1532" w:rsidRDefault="001A0AE0">
      <w:pPr>
        <w:spacing w:line="360" w:lineRule="auto"/>
        <w:jc w:val="both"/>
        <w:rPr>
          <w:rFonts w:ascii="Palatino Linotype" w:eastAsia="Calibri" w:hAnsi="Palatino Linotype" w:cs="Tahoma"/>
          <w:sz w:val="22"/>
          <w:szCs w:val="22"/>
          <w:lang w:eastAsia="es-ES_tradnl"/>
        </w:rPr>
      </w:pPr>
    </w:p>
    <w:p w14:paraId="6FE492F9" w14:textId="77777777" w:rsidR="001A0AE0" w:rsidRPr="00FF1532" w:rsidRDefault="001A0AE0">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Conforme a lo anterior, se desprende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2EE75CAF" w14:textId="77777777" w:rsidR="001A0AE0" w:rsidRPr="00FF1532" w:rsidRDefault="001A0AE0">
      <w:pPr>
        <w:spacing w:line="360" w:lineRule="auto"/>
        <w:jc w:val="both"/>
        <w:rPr>
          <w:rFonts w:ascii="Palatino Linotype" w:eastAsia="Calibri" w:hAnsi="Palatino Linotype" w:cs="Tahoma"/>
          <w:sz w:val="22"/>
          <w:szCs w:val="22"/>
          <w:lang w:eastAsia="es-ES_tradnl"/>
        </w:rPr>
      </w:pPr>
    </w:p>
    <w:p w14:paraId="7CDB73B9" w14:textId="77777777" w:rsidR="001A0AE0" w:rsidRPr="00FF1532" w:rsidRDefault="001A0AE0">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 xml:space="preserve">En ese orden de ideas, para la atención de las solicitudes de acceso a la información, debe privilegiarse el </w:t>
      </w:r>
      <w:r w:rsidRPr="00FF1532">
        <w:rPr>
          <w:rFonts w:ascii="Palatino Linotype" w:eastAsia="Calibri" w:hAnsi="Palatino Linotype" w:cs="Tahoma"/>
          <w:b/>
          <w:sz w:val="22"/>
          <w:szCs w:val="22"/>
          <w:lang w:eastAsia="es-ES_tradnl"/>
        </w:rPr>
        <w:t>principio de máxima publicidad</w:t>
      </w:r>
      <w:r w:rsidRPr="00FF1532">
        <w:rPr>
          <w:rFonts w:ascii="Palatino Linotype" w:eastAsia="Calibri" w:hAnsi="Palatino Linotype" w:cs="Tahoma"/>
          <w:sz w:val="22"/>
          <w:szCs w:val="22"/>
          <w:lang w:eastAsia="es-ES_tradnl"/>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A6A524E" w14:textId="77777777" w:rsidR="001A0AE0" w:rsidRPr="00FF1532" w:rsidRDefault="001A0AE0">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BE468C8" w14:textId="77777777" w:rsidR="001A0AE0" w:rsidRPr="00FF1532" w:rsidRDefault="001A0AE0">
      <w:pPr>
        <w:spacing w:line="360" w:lineRule="auto"/>
        <w:jc w:val="both"/>
        <w:rPr>
          <w:rFonts w:ascii="Palatino Linotype" w:eastAsia="Calibri" w:hAnsi="Palatino Linotype" w:cs="Tahoma"/>
          <w:sz w:val="22"/>
          <w:szCs w:val="22"/>
          <w:lang w:eastAsia="es-ES_tradnl"/>
        </w:rPr>
      </w:pPr>
    </w:p>
    <w:p w14:paraId="44949074" w14:textId="77777777" w:rsidR="001A0AE0" w:rsidRPr="00FF1532" w:rsidRDefault="001A0AE0">
      <w:pPr>
        <w:pStyle w:val="Prrafodelista"/>
        <w:numPr>
          <w:ilvl w:val="0"/>
          <w:numId w:val="27"/>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lastRenderedPageBreak/>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12769D24" w14:textId="77777777" w:rsidR="001A0AE0" w:rsidRPr="00FF1532" w:rsidRDefault="001A0AE0">
      <w:pPr>
        <w:pStyle w:val="Prrafodelista"/>
        <w:numPr>
          <w:ilvl w:val="0"/>
          <w:numId w:val="27"/>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La respuesta a los requerimientos informativos, deberán notificarse al interesado en el menor tiempo posible, que</w:t>
      </w:r>
      <w:r w:rsidRPr="00FF1532">
        <w:rPr>
          <w:rFonts w:ascii="Palatino Linotype" w:eastAsia="Calibri" w:hAnsi="Palatino Linotype" w:cs="Tahoma"/>
          <w:b/>
          <w:szCs w:val="22"/>
          <w:lang w:eastAsia="es-ES_tradnl"/>
        </w:rPr>
        <w:t xml:space="preserve"> no podrá exceder de quince días hábiles</w:t>
      </w:r>
      <w:r w:rsidRPr="00FF1532">
        <w:rPr>
          <w:rFonts w:ascii="Palatino Linotype" w:eastAsia="Calibri" w:hAnsi="Palatino Linotype" w:cs="Tahoma"/>
          <w:szCs w:val="22"/>
          <w:lang w:eastAsia="es-ES_tradnl"/>
        </w:rPr>
        <w:t>, contados a partir del día siguiente a la presentación de esta. Excepcionalmente, el plazo referido podrá ampliarse por siete días hábiles más, cuando existan razones fundadas y motivadas, a través del Comité de Transparencia;</w:t>
      </w:r>
    </w:p>
    <w:p w14:paraId="6B77303D" w14:textId="77777777" w:rsidR="001A0AE0" w:rsidRPr="00FF1532" w:rsidRDefault="001A0AE0">
      <w:pPr>
        <w:pStyle w:val="Prrafodelista"/>
        <w:numPr>
          <w:ilvl w:val="0"/>
          <w:numId w:val="27"/>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56827CE9" w14:textId="77777777" w:rsidR="001A0AE0" w:rsidRPr="00FF1532" w:rsidRDefault="001A0AE0">
      <w:pPr>
        <w:pStyle w:val="Prrafodelista"/>
        <w:numPr>
          <w:ilvl w:val="0"/>
          <w:numId w:val="27"/>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6FECE15" w14:textId="77777777" w:rsidR="001A0AE0" w:rsidRPr="00FF1532" w:rsidRDefault="001A0AE0">
      <w:pPr>
        <w:pStyle w:val="Prrafodelista"/>
        <w:numPr>
          <w:ilvl w:val="0"/>
          <w:numId w:val="27"/>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2B2AF59" w14:textId="5E439ABC" w:rsidR="00D360BA" w:rsidRDefault="00D360BA">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sz w:val="22"/>
          <w:szCs w:val="22"/>
          <w:lang w:eastAsia="es-ES_tradnl"/>
        </w:rPr>
        <w:lastRenderedPageBreak/>
        <w:t>Previo al estudio de fondo es de señalar que el Sujeto Obligado no debe ampliar el plazo para atender las solicitudes de acceso a la información, sin que su comité de Transparencia lo haya probado previamente, por lo que se le insta, para que en sucesivas ocasiones se limite a ampliar los plazos de respuesta, previa aprobación del Comité, por lo que deberá adjuntar el acuerdo respectivo al notificar la ampliación.</w:t>
      </w:r>
    </w:p>
    <w:p w14:paraId="0761AAB4" w14:textId="77777777" w:rsidR="00D360BA" w:rsidRPr="00FF1532" w:rsidRDefault="00D360BA">
      <w:pPr>
        <w:spacing w:line="360" w:lineRule="auto"/>
        <w:jc w:val="both"/>
        <w:rPr>
          <w:rFonts w:ascii="Palatino Linotype" w:eastAsia="Calibri" w:hAnsi="Palatino Linotype" w:cs="Tahoma"/>
          <w:sz w:val="22"/>
          <w:szCs w:val="22"/>
          <w:lang w:eastAsia="es-ES_tradnl"/>
        </w:rPr>
      </w:pPr>
    </w:p>
    <w:p w14:paraId="1BD5932D" w14:textId="77777777" w:rsidR="006562A9" w:rsidRDefault="006562A9">
      <w:pPr>
        <w:spacing w:line="360" w:lineRule="auto"/>
        <w:ind w:right="-93"/>
        <w:jc w:val="both"/>
        <w:rPr>
          <w:rFonts w:ascii="Palatino Linotype" w:hAnsi="Palatino Linotype" w:cs="Tahoma"/>
          <w:sz w:val="22"/>
          <w:szCs w:val="22"/>
          <w:lang w:val="es-ES"/>
        </w:rPr>
      </w:pPr>
      <w:r w:rsidRPr="00473AF2">
        <w:rPr>
          <w:rFonts w:ascii="Palatino Linotype" w:hAnsi="Palatino Linotype" w:cs="Tahoma"/>
          <w:sz w:val="22"/>
          <w:szCs w:val="22"/>
          <w:lang w:val="es-ES"/>
        </w:rPr>
        <w:t>Una vez establecido lo anterior, es de prec</w:t>
      </w:r>
      <w:r>
        <w:rPr>
          <w:rFonts w:ascii="Palatino Linotype" w:hAnsi="Palatino Linotype" w:cs="Tahoma"/>
          <w:sz w:val="22"/>
          <w:szCs w:val="22"/>
          <w:lang w:val="es-ES"/>
        </w:rPr>
        <w:t>isar que el Recurrente solicitó que el</w:t>
      </w:r>
      <w:r w:rsidRPr="00A8712A">
        <w:rPr>
          <w:rFonts w:ascii="Palatino Linotype" w:hAnsi="Palatino Linotype" w:cs="Tahoma"/>
          <w:sz w:val="22"/>
          <w:szCs w:val="22"/>
          <w:lang w:val="es-ES"/>
        </w:rPr>
        <w:t xml:space="preserve"> </w:t>
      </w:r>
      <w:r>
        <w:rPr>
          <w:rFonts w:ascii="Palatino Linotype" w:hAnsi="Palatino Linotype" w:cs="Tahoma"/>
          <w:sz w:val="22"/>
          <w:szCs w:val="22"/>
          <w:lang w:val="es-ES"/>
        </w:rPr>
        <w:t xml:space="preserve">Sujeto Obligado le proporcionará </w:t>
      </w:r>
      <w:r w:rsidRPr="00A8712A">
        <w:rPr>
          <w:rFonts w:ascii="Palatino Linotype" w:hAnsi="Palatino Linotype" w:cs="Tahoma"/>
          <w:sz w:val="22"/>
          <w:szCs w:val="22"/>
          <w:lang w:val="es-ES"/>
        </w:rPr>
        <w:t>lo siguiente:</w:t>
      </w:r>
    </w:p>
    <w:p w14:paraId="6B7BE7F5" w14:textId="77777777" w:rsidR="006562A9" w:rsidRDefault="006562A9">
      <w:pPr>
        <w:spacing w:line="360" w:lineRule="auto"/>
        <w:ind w:right="-93"/>
        <w:jc w:val="both"/>
        <w:rPr>
          <w:rFonts w:ascii="Palatino Linotype" w:hAnsi="Palatino Linotype" w:cs="Tahoma"/>
          <w:sz w:val="22"/>
          <w:szCs w:val="22"/>
          <w:lang w:val="es-ES"/>
        </w:rPr>
      </w:pPr>
    </w:p>
    <w:p w14:paraId="4B642EC6" w14:textId="357B7B91" w:rsidR="0017639F" w:rsidRPr="00C12ECA" w:rsidRDefault="00D912EC">
      <w:pPr>
        <w:pStyle w:val="Prrafodelista"/>
        <w:numPr>
          <w:ilvl w:val="0"/>
          <w:numId w:val="46"/>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 xml:space="preserve">Los recibos de nómina de todo el personal que labora en el </w:t>
      </w:r>
      <w:r w:rsidRPr="00C2419A">
        <w:rPr>
          <w:rFonts w:ascii="Palatino Linotype" w:eastAsia="Calibri" w:hAnsi="Palatino Linotype" w:cs="Tahoma"/>
          <w:b/>
          <w:szCs w:val="22"/>
          <w:lang w:val="es-ES" w:eastAsia="es-ES_tradnl"/>
        </w:rPr>
        <w:t>Ayuntamiento de Acolman</w:t>
      </w:r>
      <w:r>
        <w:rPr>
          <w:rFonts w:ascii="Palatino Linotype" w:eastAsia="Calibri" w:hAnsi="Palatino Linotype" w:cs="Tahoma"/>
          <w:szCs w:val="22"/>
          <w:lang w:val="es-ES" w:eastAsia="es-ES_tradnl"/>
        </w:rPr>
        <w:t xml:space="preserve">, correspondientes a la primera y segunda quincena de diciembre de dos mil dieciocho; así como a la primera y segunda quincena de los meses de enero, febrero y marzo del año dos mil diecinueve. </w:t>
      </w:r>
    </w:p>
    <w:p w14:paraId="020BBDA0" w14:textId="77777777" w:rsidR="006562A9" w:rsidRPr="006562A9" w:rsidRDefault="006562A9">
      <w:pPr>
        <w:pStyle w:val="Prrafodelista"/>
        <w:spacing w:line="360" w:lineRule="auto"/>
        <w:ind w:left="1440"/>
        <w:jc w:val="both"/>
        <w:rPr>
          <w:rFonts w:ascii="Palatino Linotype" w:eastAsia="Calibri" w:hAnsi="Palatino Linotype" w:cs="Tahoma"/>
          <w:szCs w:val="22"/>
          <w:lang w:eastAsia="es-ES_tradnl"/>
        </w:rPr>
      </w:pPr>
    </w:p>
    <w:p w14:paraId="698A2717" w14:textId="43AE080B" w:rsidR="000743A4" w:rsidRDefault="001913F6" w:rsidP="006C0FF2">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Arial"/>
        </w:rPr>
      </w:pPr>
      <w:r w:rsidRPr="00B94EC4">
        <w:rPr>
          <w:rFonts w:ascii="Palatino Linotype" w:eastAsia="Calibri" w:hAnsi="Palatino Linotype" w:cs="Arial"/>
        </w:rPr>
        <w:t>Al respecto,</w:t>
      </w:r>
      <w:r w:rsidRPr="00B94EC4">
        <w:rPr>
          <w:rFonts w:ascii="Palatino Linotype" w:eastAsia="Calibri" w:hAnsi="Palatino Linotype" w:cs="Arial"/>
          <w:b/>
        </w:rPr>
        <w:t xml:space="preserve"> </w:t>
      </w:r>
      <w:r w:rsidRPr="001913F6">
        <w:rPr>
          <w:rFonts w:ascii="Palatino Linotype" w:eastAsia="Calibri" w:hAnsi="Palatino Linotype" w:cs="Arial"/>
        </w:rPr>
        <w:t xml:space="preserve">el </w:t>
      </w:r>
      <w:r w:rsidR="000743A4">
        <w:rPr>
          <w:rFonts w:ascii="Palatino Linotype" w:eastAsia="Calibri" w:hAnsi="Palatino Linotype" w:cs="Arial"/>
          <w:b/>
        </w:rPr>
        <w:t>Ayuntamiento de Acolman</w:t>
      </w:r>
      <w:r w:rsidRPr="001913F6">
        <w:rPr>
          <w:rFonts w:ascii="Palatino Linotype" w:eastAsia="Calibri" w:hAnsi="Palatino Linotype" w:cs="Arial"/>
          <w:b/>
        </w:rPr>
        <w:t xml:space="preserve"> </w:t>
      </w:r>
      <w:r w:rsidR="000743A4" w:rsidRPr="000743A4">
        <w:rPr>
          <w:rFonts w:ascii="Palatino Linotype" w:eastAsia="Calibri" w:hAnsi="Palatino Linotype" w:cs="Arial"/>
        </w:rPr>
        <w:t xml:space="preserve">anexó un oficio por medio del cual le informó al particular que la </w:t>
      </w:r>
      <w:r w:rsidR="000743A4" w:rsidRPr="000743A4">
        <w:rPr>
          <w:rFonts w:ascii="Palatino Linotype" w:eastAsia="Calibri" w:hAnsi="Palatino Linotype" w:cs="Arial"/>
          <w:b/>
          <w:u w:val="single"/>
        </w:rPr>
        <w:t>información asciende a 1.2 gigabytes</w:t>
      </w:r>
      <w:r w:rsidR="000743A4" w:rsidRPr="000743A4">
        <w:rPr>
          <w:rFonts w:ascii="Palatino Linotype" w:eastAsia="Calibri" w:hAnsi="Palatino Linotype" w:cs="Arial"/>
        </w:rPr>
        <w:t xml:space="preserve">, así como que, el análisis, estudio y procesamiento de la información para que ésta no se encuentre en los supuestos de clasificación de reservada o confidencial, </w:t>
      </w:r>
      <w:r w:rsidR="000743A4" w:rsidRPr="000743A4">
        <w:rPr>
          <w:rFonts w:ascii="Palatino Linotype" w:eastAsia="Calibri" w:hAnsi="Palatino Linotype" w:cs="Arial"/>
          <w:b/>
          <w:u w:val="single"/>
        </w:rPr>
        <w:t>excede las capacidades humanas de la citada administración</w:t>
      </w:r>
      <w:r w:rsidR="000743A4" w:rsidRPr="000743A4">
        <w:rPr>
          <w:rFonts w:ascii="Palatino Linotype" w:eastAsia="Calibri" w:hAnsi="Palatino Linotype" w:cs="Arial"/>
        </w:rPr>
        <w:t xml:space="preserve"> y finalmente indicó que resulta procedente </w:t>
      </w:r>
      <w:r w:rsidR="000743A4" w:rsidRPr="000743A4">
        <w:rPr>
          <w:rFonts w:ascii="Palatino Linotype" w:eastAsia="Calibri" w:hAnsi="Palatino Linotype" w:cs="Arial"/>
          <w:b/>
          <w:u w:val="single"/>
        </w:rPr>
        <w:t>poner a disposición del Solicitante, en “consulta directa”</w:t>
      </w:r>
      <w:r w:rsidR="000743A4" w:rsidRPr="000743A4">
        <w:rPr>
          <w:rFonts w:ascii="Palatino Linotype" w:eastAsia="Calibri" w:hAnsi="Palatino Linotype" w:cs="Arial"/>
        </w:rPr>
        <w:t xml:space="preserve"> la información requerida.</w:t>
      </w:r>
    </w:p>
    <w:p w14:paraId="2E5C8E34" w14:textId="77777777" w:rsidR="00A11EC0" w:rsidRPr="000743A4" w:rsidRDefault="00A11EC0" w:rsidP="006C0FF2">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Tahoma"/>
          <w:b/>
          <w:bCs/>
          <w:szCs w:val="22"/>
          <w:u w:val="single"/>
          <w:lang w:eastAsia="en-US"/>
        </w:rPr>
      </w:pPr>
    </w:p>
    <w:p w14:paraId="0E87B5BB" w14:textId="3381695D" w:rsidR="00B46F5C" w:rsidRDefault="000743A4">
      <w:pPr>
        <w:spacing w:line="360" w:lineRule="auto"/>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eastAsia="en-US"/>
        </w:rPr>
        <w:t xml:space="preserve">Inconforme con la respuesta, el Recurrente presentó el Recurso de Revisión </w:t>
      </w:r>
      <w:r>
        <w:rPr>
          <w:rFonts w:ascii="Palatino Linotype" w:eastAsia="Calibri" w:hAnsi="Palatino Linotype" w:cs="Tahoma"/>
          <w:bCs/>
          <w:sz w:val="22"/>
          <w:szCs w:val="22"/>
          <w:lang w:eastAsia="en-US"/>
        </w:rPr>
        <w:t xml:space="preserve">indicando que el Sujeto Obligado </w:t>
      </w:r>
      <w:r w:rsidRPr="000743A4">
        <w:rPr>
          <w:rFonts w:ascii="Palatino Linotype" w:eastAsia="Calibri" w:hAnsi="Palatino Linotype" w:cs="Tahoma"/>
          <w:b/>
          <w:bCs/>
          <w:sz w:val="22"/>
          <w:szCs w:val="22"/>
          <w:u w:val="single"/>
          <w:lang w:eastAsia="en-US"/>
        </w:rPr>
        <w:t>no entregó la información solicitada</w:t>
      </w:r>
      <w:r>
        <w:rPr>
          <w:rFonts w:ascii="Palatino Linotype" w:eastAsia="Calibri" w:hAnsi="Palatino Linotype" w:cs="Tahoma"/>
          <w:bCs/>
          <w:sz w:val="22"/>
          <w:szCs w:val="22"/>
          <w:lang w:eastAsia="en-US"/>
        </w:rPr>
        <w:t xml:space="preserve"> y añadió que otros Municipios han entregado información de hasta 5 GB vía SAIMEX.</w:t>
      </w:r>
      <w:r w:rsidR="00B46F5C">
        <w:rPr>
          <w:rFonts w:ascii="Palatino Linotype" w:eastAsia="Calibri" w:hAnsi="Palatino Linotype" w:cs="Tahoma"/>
          <w:bCs/>
          <w:sz w:val="22"/>
          <w:szCs w:val="22"/>
          <w:lang w:eastAsia="en-US"/>
        </w:rPr>
        <w:t xml:space="preserve"> </w:t>
      </w:r>
      <w:r w:rsidR="00B46F5C" w:rsidRPr="00B46F5C">
        <w:rPr>
          <w:rFonts w:ascii="Palatino Linotype" w:eastAsia="Calibri" w:hAnsi="Palatino Linotype" w:cs="Tahoma"/>
          <w:bCs/>
          <w:sz w:val="22"/>
          <w:szCs w:val="22"/>
          <w:lang w:eastAsia="en-US"/>
        </w:rPr>
        <w:t>Así las cosas, es importante referir que el Sujeto Obligado fue omiso en rendir su informe justificado y el Recurrente de realizar manifestaciones en torno a la litis planteada.</w:t>
      </w:r>
    </w:p>
    <w:p w14:paraId="35FEE327" w14:textId="77777777" w:rsidR="000229E5" w:rsidRPr="007D1542" w:rsidRDefault="000229E5">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Referente al </w:t>
      </w:r>
      <w:r w:rsidRPr="007D1542">
        <w:rPr>
          <w:rFonts w:ascii="Palatino Linotype" w:eastAsia="Calibri" w:hAnsi="Palatino Linotype" w:cs="Tahoma"/>
          <w:b/>
          <w:bCs/>
          <w:sz w:val="22"/>
          <w:szCs w:val="22"/>
          <w:u w:val="single"/>
          <w:lang w:eastAsia="en-US"/>
        </w:rPr>
        <w:t>cambio de modalidad indicada por el Sujeto Obligado</w:t>
      </w:r>
      <w:r>
        <w:rPr>
          <w:rFonts w:ascii="Palatino Linotype" w:eastAsia="Calibri" w:hAnsi="Palatino Linotype" w:cs="Tahoma"/>
          <w:bCs/>
          <w:sz w:val="22"/>
          <w:szCs w:val="22"/>
          <w:lang w:eastAsia="en-US"/>
        </w:rPr>
        <w:t xml:space="preserve">, </w:t>
      </w:r>
      <w:r w:rsidRPr="00014834">
        <w:rPr>
          <w:rFonts w:ascii="Palatino Linotype" w:eastAsia="Calibri" w:hAnsi="Palatino Linotype" w:cs="Tahoma"/>
          <w:bCs/>
          <w:sz w:val="22"/>
          <w:szCs w:val="22"/>
          <w:lang w:val="es-ES" w:eastAsia="en-US"/>
        </w:rPr>
        <w:t xml:space="preserve">el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014834">
        <w:rPr>
          <w:rFonts w:ascii="Palatino Linotype" w:eastAsia="Calibri" w:hAnsi="Palatino Linotype" w:cs="Tahoma"/>
          <w:b/>
          <w:bCs/>
          <w:sz w:val="22"/>
          <w:szCs w:val="22"/>
          <w:lang w:val="es-ES" w:eastAsia="en-US"/>
        </w:rPr>
        <w:t>en la medida de lo posible, en la forma solicitada por el interesado, salvo que exista un impedimento justificado para atenderla</w:t>
      </w:r>
      <w:r w:rsidRPr="00014834">
        <w:rPr>
          <w:rFonts w:ascii="Palatino Linotype" w:eastAsia="Calibri" w:hAnsi="Palatino Linotype" w:cs="Tahoma"/>
          <w:bCs/>
          <w:sz w:val="22"/>
          <w:szCs w:val="22"/>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014834">
        <w:rPr>
          <w:rFonts w:ascii="Palatino Linotype" w:eastAsia="Calibri" w:hAnsi="Palatino Linotype" w:cs="Tahoma"/>
          <w:b/>
          <w:bCs/>
          <w:sz w:val="22"/>
          <w:szCs w:val="22"/>
          <w:lang w:val="es-ES" w:eastAsia="en-US"/>
        </w:rPr>
        <w:t>sólo procede, en caso de que se acredite la imposibilidad de atenderla.</w:t>
      </w:r>
      <w:r w:rsidRPr="00014834">
        <w:rPr>
          <w:rFonts w:ascii="Palatino Linotype" w:eastAsia="Calibri" w:hAnsi="Palatino Linotype" w:cs="Tahoma"/>
          <w:bCs/>
          <w:sz w:val="22"/>
          <w:szCs w:val="22"/>
          <w:lang w:val="es-ES" w:eastAsia="en-US"/>
        </w:rPr>
        <w:t xml:space="preserve"> </w:t>
      </w:r>
    </w:p>
    <w:p w14:paraId="0E5D1AD9" w14:textId="77777777" w:rsidR="000229E5" w:rsidRPr="00014834" w:rsidRDefault="000229E5">
      <w:pPr>
        <w:spacing w:line="360" w:lineRule="auto"/>
        <w:jc w:val="both"/>
        <w:rPr>
          <w:rFonts w:ascii="Palatino Linotype" w:eastAsia="Calibri" w:hAnsi="Palatino Linotype" w:cs="Tahoma"/>
          <w:bCs/>
          <w:sz w:val="22"/>
          <w:szCs w:val="22"/>
          <w:lang w:val="es-ES" w:eastAsia="en-US"/>
        </w:rPr>
      </w:pPr>
    </w:p>
    <w:p w14:paraId="24DBBBD8" w14:textId="77777777" w:rsidR="000229E5" w:rsidRPr="00014834" w:rsidRDefault="000229E5">
      <w:pPr>
        <w:spacing w:line="360" w:lineRule="auto"/>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 xml:space="preserve">Así, cuando se justifique el impedimento, </w:t>
      </w:r>
      <w:r w:rsidRPr="00014834">
        <w:rPr>
          <w:rFonts w:ascii="Palatino Linotype" w:eastAsia="Calibri" w:hAnsi="Palatino Linotype" w:cs="Tahoma"/>
          <w:b/>
          <w:bCs/>
          <w:sz w:val="22"/>
          <w:szCs w:val="22"/>
          <w:lang w:val="es-ES" w:eastAsia="en-US"/>
        </w:rPr>
        <w:t>los Sujetos Obligados deberán ofrecer al particular otras modalidades de entrega que permita la información</w:t>
      </w:r>
      <w:r w:rsidRPr="00014834">
        <w:rPr>
          <w:rFonts w:ascii="Palatino Linotype" w:eastAsia="Calibri" w:hAnsi="Palatino Linotype" w:cs="Tahoma"/>
          <w:bCs/>
          <w:sz w:val="22"/>
          <w:szCs w:val="22"/>
          <w:lang w:val="es-ES" w:eastAsia="en-US"/>
        </w:rPr>
        <w:t xml:space="preserve">, como consulta directa en las oficinas de la Unidad de Transparencia; lo anterior, es robustecido con el </w:t>
      </w:r>
      <w:r w:rsidRPr="007D1542">
        <w:rPr>
          <w:rFonts w:ascii="Palatino Linotype" w:eastAsia="Calibri" w:hAnsi="Palatino Linotype" w:cs="Tahoma"/>
          <w:b/>
          <w:bCs/>
          <w:sz w:val="22"/>
          <w:szCs w:val="22"/>
          <w:lang w:val="es-ES" w:eastAsia="en-US"/>
        </w:rPr>
        <w:t>Criterio 08/17</w:t>
      </w:r>
      <w:r w:rsidRPr="00014834">
        <w:rPr>
          <w:rFonts w:ascii="Palatino Linotype" w:eastAsia="Calibri" w:hAnsi="Palatino Linotype" w:cs="Tahoma"/>
          <w:bCs/>
          <w:sz w:val="22"/>
          <w:szCs w:val="22"/>
          <w:lang w:val="es-ES" w:eastAsia="en-US"/>
        </w:rPr>
        <w:t>, emitido por el Pleno del Instituto Nacional de Transparencia, Acceso a la Información y Protección de Datos Personales, el cual establece lo siguiente:</w:t>
      </w:r>
    </w:p>
    <w:p w14:paraId="1CC20C1C" w14:textId="77777777" w:rsidR="000229E5" w:rsidRPr="00014834" w:rsidRDefault="000229E5">
      <w:pPr>
        <w:spacing w:line="360" w:lineRule="auto"/>
        <w:jc w:val="both"/>
        <w:rPr>
          <w:rFonts w:ascii="Palatino Linotype" w:eastAsia="Calibri" w:hAnsi="Palatino Linotype" w:cs="Tahoma"/>
          <w:bCs/>
          <w:lang w:val="es-ES" w:eastAsia="en-US"/>
        </w:rPr>
      </w:pPr>
    </w:p>
    <w:p w14:paraId="5B576251" w14:textId="77777777" w:rsidR="000229E5" w:rsidRPr="00014834" w:rsidRDefault="000229E5">
      <w:pPr>
        <w:spacing w:line="360" w:lineRule="auto"/>
        <w:ind w:left="567" w:right="567"/>
        <w:jc w:val="both"/>
        <w:rPr>
          <w:rFonts w:ascii="Palatino Linotype" w:eastAsia="Calibri" w:hAnsi="Palatino Linotype" w:cs="Tahoma"/>
          <w:bCs/>
          <w:i/>
          <w:lang w:val="es-ES" w:eastAsia="en-US"/>
        </w:rPr>
      </w:pPr>
      <w:r w:rsidRPr="00014834">
        <w:rPr>
          <w:rFonts w:ascii="Palatino Linotype" w:eastAsia="Calibri" w:hAnsi="Palatino Linotype" w:cs="Tahoma"/>
          <w:b/>
          <w:bCs/>
          <w:i/>
          <w:lang w:val="es-ES" w:eastAsia="en-US"/>
        </w:rPr>
        <w:t>“Modalidad de entrega. Procedencia de proporcionar la información solicitada en una diversa a la elegida por el solicitante.</w:t>
      </w:r>
      <w:r w:rsidRPr="00014834">
        <w:rPr>
          <w:rFonts w:ascii="Palatino Linotype" w:eastAsia="Calibri" w:hAnsi="Palatino Linotype" w:cs="Tahoma"/>
          <w:bCs/>
          <w:i/>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2639697" w14:textId="77777777" w:rsidR="000229E5" w:rsidRPr="00014834" w:rsidRDefault="000229E5">
      <w:pPr>
        <w:spacing w:line="360" w:lineRule="auto"/>
        <w:jc w:val="both"/>
        <w:rPr>
          <w:rFonts w:ascii="Palatino Linotype" w:eastAsia="Calibri" w:hAnsi="Palatino Linotype" w:cs="Tahoma"/>
          <w:bCs/>
          <w:sz w:val="22"/>
          <w:szCs w:val="22"/>
          <w:lang w:val="es-ES" w:eastAsia="en-US"/>
        </w:rPr>
      </w:pPr>
    </w:p>
    <w:p w14:paraId="0194FE8B" w14:textId="77777777" w:rsidR="000229E5" w:rsidRPr="00014834" w:rsidRDefault="000229E5">
      <w:pPr>
        <w:spacing w:line="360" w:lineRule="auto"/>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 xml:space="preserve">Del citado criterio, se desprende que cuando no sea posible atender la modalidad elegida por los solicitantes, la obligación de acceso a la información se tendrá por cumplida cuando el </w:t>
      </w:r>
      <w:r w:rsidRPr="00014834">
        <w:rPr>
          <w:rFonts w:ascii="Palatino Linotype" w:eastAsia="Calibri" w:hAnsi="Palatino Linotype" w:cs="Tahoma"/>
          <w:bCs/>
          <w:sz w:val="22"/>
          <w:szCs w:val="22"/>
          <w:lang w:val="es-ES" w:eastAsia="en-US"/>
        </w:rPr>
        <w:lastRenderedPageBreak/>
        <w:t>Sujeto Obligado justifique el impedimento para atender la misma y se notifique al Particular la puesta a disposición de la información en todas las modalidades que lo permitan, procurando reducir los costos de entrega.</w:t>
      </w:r>
    </w:p>
    <w:p w14:paraId="4BF5CC40" w14:textId="77777777" w:rsidR="000229E5" w:rsidRPr="00014834" w:rsidRDefault="000229E5">
      <w:pPr>
        <w:spacing w:line="360" w:lineRule="auto"/>
        <w:jc w:val="both"/>
        <w:rPr>
          <w:rFonts w:ascii="Palatino Linotype" w:eastAsia="Calibri" w:hAnsi="Palatino Linotype" w:cs="Tahoma"/>
          <w:bCs/>
          <w:sz w:val="22"/>
          <w:szCs w:val="22"/>
          <w:lang w:val="es-ES" w:eastAsia="en-US"/>
        </w:rPr>
      </w:pPr>
    </w:p>
    <w:p w14:paraId="2FA97E1B" w14:textId="77777777" w:rsidR="000229E5" w:rsidRPr="00014834" w:rsidRDefault="000229E5">
      <w:pPr>
        <w:spacing w:line="360" w:lineRule="auto"/>
        <w:ind w:right="-93"/>
        <w:jc w:val="both"/>
        <w:rPr>
          <w:rFonts w:ascii="Palatino Linotype" w:eastAsia="Calibri" w:hAnsi="Palatino Linotype" w:cs="Tahoma"/>
          <w:bCs/>
          <w:sz w:val="22"/>
          <w:szCs w:val="22"/>
          <w:lang w:val="es-ES" w:eastAsia="en-US"/>
        </w:rPr>
      </w:pPr>
      <w:r w:rsidRPr="00014834">
        <w:rPr>
          <w:rFonts w:ascii="Palatino Linotype" w:eastAsia="Calibri" w:hAnsi="Palatino Linotype" w:cs="Tahoma"/>
          <w:bCs/>
          <w:sz w:val="22"/>
          <w:szCs w:val="22"/>
          <w:lang w:val="es-ES" w:eastAsia="en-US"/>
        </w:rPr>
        <w:t xml:space="preserve">Ahora bien, tal como se </w:t>
      </w:r>
      <w:r>
        <w:rPr>
          <w:rFonts w:ascii="Palatino Linotype" w:eastAsia="Calibri" w:hAnsi="Palatino Linotype" w:cs="Tahoma"/>
          <w:bCs/>
          <w:sz w:val="22"/>
          <w:szCs w:val="22"/>
          <w:lang w:val="es-ES" w:eastAsia="en-US"/>
        </w:rPr>
        <w:t>desprende de las documentales</w:t>
      </w:r>
      <w:r w:rsidRPr="00014834">
        <w:rPr>
          <w:rFonts w:ascii="Palatino Linotype" w:eastAsia="Calibri" w:hAnsi="Palatino Linotype" w:cs="Tahoma"/>
          <w:bCs/>
          <w:sz w:val="22"/>
          <w:szCs w:val="22"/>
          <w:lang w:val="es-ES" w:eastAsia="en-US"/>
        </w:rPr>
        <w:t xml:space="preserve">, </w:t>
      </w:r>
      <w:r w:rsidRPr="007D1542">
        <w:rPr>
          <w:rFonts w:ascii="Palatino Linotype" w:eastAsia="Calibri" w:hAnsi="Palatino Linotype" w:cs="Tahoma"/>
          <w:b/>
          <w:bCs/>
          <w:sz w:val="22"/>
          <w:szCs w:val="22"/>
          <w:u w:val="single"/>
          <w:lang w:val="es-ES" w:eastAsia="en-US"/>
        </w:rPr>
        <w:t xml:space="preserve">el Sujeto Obligado, </w:t>
      </w:r>
      <w:r>
        <w:rPr>
          <w:rFonts w:ascii="Palatino Linotype" w:eastAsia="Calibri" w:hAnsi="Palatino Linotype" w:cs="Tahoma"/>
          <w:bCs/>
          <w:sz w:val="22"/>
          <w:szCs w:val="22"/>
          <w:lang w:val="es-ES" w:eastAsia="en-US"/>
        </w:rPr>
        <w:t xml:space="preserve">refirió de manera general que la información asciende a </w:t>
      </w:r>
      <w:r w:rsidRPr="00BB355C">
        <w:rPr>
          <w:rFonts w:ascii="Palatino Linotype" w:eastAsia="Calibri" w:hAnsi="Palatino Linotype" w:cs="Tahoma"/>
          <w:bCs/>
          <w:sz w:val="22"/>
          <w:szCs w:val="22"/>
          <w:lang w:val="es-ES" w:eastAsia="en-US"/>
        </w:rPr>
        <w:t xml:space="preserve">1.2 </w:t>
      </w:r>
      <w:r w:rsidRPr="00ED7B68">
        <w:rPr>
          <w:rFonts w:ascii="Palatino Linotype" w:eastAsia="Calibri" w:hAnsi="Palatino Linotype" w:cs="Tahoma"/>
          <w:bCs/>
          <w:i/>
          <w:sz w:val="22"/>
          <w:szCs w:val="22"/>
          <w:lang w:val="es-ES" w:eastAsia="en-US"/>
        </w:rPr>
        <w:t>gigabytes</w:t>
      </w:r>
      <w:r>
        <w:rPr>
          <w:rFonts w:ascii="Palatino Linotype" w:eastAsia="Calibri" w:hAnsi="Palatino Linotype" w:cs="Tahoma"/>
          <w:bCs/>
          <w:sz w:val="22"/>
          <w:szCs w:val="22"/>
          <w:lang w:val="es-ES" w:eastAsia="en-US"/>
        </w:rPr>
        <w:t xml:space="preserve"> y que entregarla requiere la elaboración de versiones pública, situación que </w:t>
      </w:r>
      <w:r w:rsidRPr="007D1542">
        <w:rPr>
          <w:rFonts w:ascii="Palatino Linotype" w:eastAsia="Calibri" w:hAnsi="Palatino Linotype" w:cs="Tahoma"/>
          <w:b/>
          <w:bCs/>
          <w:sz w:val="22"/>
          <w:szCs w:val="22"/>
          <w:lang w:eastAsia="en-US"/>
        </w:rPr>
        <w:t>excede las capacidades humanas de la citada administración</w:t>
      </w:r>
      <w:r>
        <w:rPr>
          <w:rFonts w:ascii="Palatino Linotype" w:eastAsia="Calibri" w:hAnsi="Palatino Linotype" w:cs="Tahoma"/>
          <w:bCs/>
          <w:sz w:val="22"/>
          <w:szCs w:val="22"/>
          <w:lang w:val="es-ES" w:eastAsia="en-US"/>
        </w:rPr>
        <w:t xml:space="preserve">, </w:t>
      </w:r>
      <w:r w:rsidRPr="00014834">
        <w:rPr>
          <w:rFonts w:ascii="Palatino Linotype" w:eastAsia="Calibri" w:hAnsi="Palatino Linotype" w:cs="Tahoma"/>
          <w:bCs/>
          <w:sz w:val="22"/>
          <w:szCs w:val="22"/>
          <w:lang w:val="es-ES" w:eastAsia="en-US"/>
        </w:rPr>
        <w:t xml:space="preserve">sin embargo, concedió entregar los documentos que correspondan para atender </w:t>
      </w:r>
      <w:r>
        <w:rPr>
          <w:rFonts w:ascii="Palatino Linotype" w:eastAsia="Calibri" w:hAnsi="Palatino Linotype" w:cs="Tahoma"/>
          <w:bCs/>
          <w:sz w:val="22"/>
          <w:szCs w:val="22"/>
          <w:lang w:val="es-ES" w:eastAsia="en-US"/>
        </w:rPr>
        <w:t xml:space="preserve">el recurso de revisión que nos </w:t>
      </w:r>
      <w:proofErr w:type="gramStart"/>
      <w:r>
        <w:rPr>
          <w:rFonts w:ascii="Palatino Linotype" w:eastAsia="Calibri" w:hAnsi="Palatino Linotype" w:cs="Tahoma"/>
          <w:bCs/>
          <w:sz w:val="22"/>
          <w:szCs w:val="22"/>
          <w:lang w:val="es-ES" w:eastAsia="en-US"/>
        </w:rPr>
        <w:t>ocupa</w:t>
      </w:r>
      <w:proofErr w:type="gramEnd"/>
      <w:r>
        <w:rPr>
          <w:rFonts w:ascii="Palatino Linotype" w:eastAsia="Calibri" w:hAnsi="Palatino Linotype" w:cs="Tahoma"/>
          <w:bCs/>
          <w:sz w:val="22"/>
          <w:szCs w:val="22"/>
          <w:lang w:val="es-ES" w:eastAsia="en-US"/>
        </w:rPr>
        <w:t xml:space="preserve"> pero en una </w:t>
      </w:r>
      <w:r w:rsidRPr="007D1542">
        <w:rPr>
          <w:rFonts w:ascii="Palatino Linotype" w:eastAsia="Calibri" w:hAnsi="Palatino Linotype" w:cs="Tahoma"/>
          <w:b/>
          <w:bCs/>
          <w:sz w:val="22"/>
          <w:szCs w:val="22"/>
          <w:lang w:val="es-ES" w:eastAsia="en-US"/>
        </w:rPr>
        <w:t>modalidad diversa a la solicitada por el ahora Recurrente</w:t>
      </w:r>
      <w:r w:rsidRPr="00014834">
        <w:rPr>
          <w:rFonts w:ascii="Palatino Linotype" w:eastAsia="Calibri" w:hAnsi="Palatino Linotype" w:cs="Tahoma"/>
          <w:bCs/>
          <w:sz w:val="22"/>
          <w:szCs w:val="22"/>
          <w:lang w:val="es-ES" w:eastAsia="en-US"/>
        </w:rPr>
        <w:t>.</w:t>
      </w:r>
    </w:p>
    <w:p w14:paraId="1457A25C" w14:textId="77777777" w:rsidR="000229E5" w:rsidRDefault="000229E5">
      <w:pPr>
        <w:spacing w:line="360" w:lineRule="auto"/>
        <w:jc w:val="both"/>
        <w:rPr>
          <w:rFonts w:ascii="Palatino Linotype" w:eastAsia="Calibri" w:hAnsi="Palatino Linotype" w:cs="Tahoma"/>
          <w:b/>
          <w:bCs/>
          <w:sz w:val="22"/>
          <w:szCs w:val="22"/>
          <w:u w:val="single"/>
          <w:lang w:val="es-ES" w:eastAsia="en-US"/>
        </w:rPr>
      </w:pPr>
      <w:r w:rsidRPr="00014834">
        <w:rPr>
          <w:rFonts w:ascii="Palatino Linotype" w:eastAsia="Calibri" w:hAnsi="Palatino Linotype" w:cs="Tahoma"/>
          <w:bCs/>
          <w:sz w:val="22"/>
          <w:szCs w:val="22"/>
          <w:lang w:eastAsia="en-US"/>
        </w:rPr>
        <w:t xml:space="preserve">De tales circunstancias, se advierte que el </w:t>
      </w:r>
      <w:r w:rsidRPr="007D1542">
        <w:rPr>
          <w:rFonts w:ascii="Palatino Linotype" w:eastAsia="Calibri" w:hAnsi="Palatino Linotype" w:cs="Tahoma"/>
          <w:b/>
          <w:bCs/>
          <w:sz w:val="22"/>
          <w:szCs w:val="22"/>
          <w:lang w:eastAsia="en-US"/>
        </w:rPr>
        <w:t>Ayuntamiento de Acolman</w:t>
      </w:r>
      <w:r w:rsidRPr="007D1542">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no </w:t>
      </w:r>
      <w:r w:rsidRPr="00014834">
        <w:rPr>
          <w:rFonts w:ascii="Palatino Linotype" w:eastAsia="Calibri" w:hAnsi="Palatino Linotype" w:cs="Tahoma"/>
          <w:bCs/>
          <w:sz w:val="22"/>
          <w:szCs w:val="22"/>
          <w:lang w:eastAsia="en-US"/>
        </w:rPr>
        <w:t xml:space="preserve">acreditó el impedimento para proporcionar la información solicitada, a través </w:t>
      </w:r>
      <w:r w:rsidRPr="00014834">
        <w:rPr>
          <w:rFonts w:ascii="Palatino Linotype" w:eastAsia="Calibri" w:hAnsi="Palatino Linotype" w:cs="Tahoma"/>
          <w:bCs/>
          <w:sz w:val="22"/>
          <w:szCs w:val="22"/>
          <w:lang w:val="es-ES" w:eastAsia="en-US"/>
        </w:rPr>
        <w:t xml:space="preserve">del Sistema de Acceso a la </w:t>
      </w:r>
      <w:r>
        <w:rPr>
          <w:rFonts w:ascii="Palatino Linotype" w:eastAsia="Calibri" w:hAnsi="Palatino Linotype" w:cs="Tahoma"/>
          <w:bCs/>
          <w:sz w:val="22"/>
          <w:szCs w:val="22"/>
          <w:lang w:val="es-ES" w:eastAsia="en-US"/>
        </w:rPr>
        <w:t xml:space="preserve">Información Mexiquense (SAIMEX); </w:t>
      </w:r>
      <w:r w:rsidRPr="00014834">
        <w:rPr>
          <w:rFonts w:ascii="Palatino Linotype" w:eastAsia="Calibri" w:hAnsi="Palatino Linotype" w:cs="Tahoma"/>
          <w:bCs/>
          <w:sz w:val="22"/>
          <w:szCs w:val="22"/>
          <w:lang w:val="es-ES" w:eastAsia="en-US"/>
        </w:rPr>
        <w:t xml:space="preserve">por lo cual, </w:t>
      </w:r>
      <w:r w:rsidRPr="007D1542">
        <w:rPr>
          <w:rFonts w:ascii="Palatino Linotype" w:eastAsia="Calibri" w:hAnsi="Palatino Linotype" w:cs="Tahoma"/>
          <w:b/>
          <w:bCs/>
          <w:sz w:val="22"/>
          <w:szCs w:val="22"/>
          <w:u w:val="single"/>
          <w:lang w:val="es-ES" w:eastAsia="en-US"/>
        </w:rPr>
        <w:t xml:space="preserve">no </w:t>
      </w:r>
      <w:r w:rsidRPr="00014834">
        <w:rPr>
          <w:rFonts w:ascii="Palatino Linotype" w:eastAsia="Calibri" w:hAnsi="Palatino Linotype" w:cs="Tahoma"/>
          <w:b/>
          <w:bCs/>
          <w:sz w:val="22"/>
          <w:szCs w:val="22"/>
          <w:u w:val="single"/>
          <w:lang w:val="es-ES" w:eastAsia="en-US"/>
        </w:rPr>
        <w:t>resulta procedente el cambio de modalidad a consulta directa.</w:t>
      </w:r>
    </w:p>
    <w:p w14:paraId="00FC6104" w14:textId="77777777" w:rsidR="000229E5" w:rsidRDefault="000229E5">
      <w:pPr>
        <w:spacing w:line="360" w:lineRule="auto"/>
        <w:jc w:val="both"/>
        <w:rPr>
          <w:rFonts w:ascii="Palatino Linotype" w:eastAsia="Calibri" w:hAnsi="Palatino Linotype" w:cs="Tahoma"/>
          <w:b/>
          <w:bCs/>
          <w:sz w:val="22"/>
          <w:szCs w:val="22"/>
          <w:u w:val="single"/>
          <w:lang w:val="es-ES" w:eastAsia="en-US"/>
        </w:rPr>
      </w:pPr>
    </w:p>
    <w:p w14:paraId="72441BC4" w14:textId="21955338" w:rsidR="000229E5" w:rsidRPr="000743A4" w:rsidRDefault="000229E5">
      <w:pPr>
        <w:spacing w:line="360" w:lineRule="auto"/>
        <w:jc w:val="both"/>
        <w:rPr>
          <w:rFonts w:ascii="Palatino Linotype" w:eastAsia="Calibri" w:hAnsi="Palatino Linotype" w:cs="Tahoma"/>
          <w:bCs/>
          <w:sz w:val="24"/>
          <w:szCs w:val="22"/>
          <w:lang w:eastAsia="en-US"/>
        </w:rPr>
      </w:pPr>
      <w:r w:rsidRPr="000743A4">
        <w:rPr>
          <w:rFonts w:ascii="Palatino Linotype" w:hAnsi="Palatino Linotype" w:cs="Arial"/>
          <w:sz w:val="22"/>
        </w:rPr>
        <w:t>Bajo ese contexto, este Instituto, como ente garante del derecho de acceso a la información, analizó la totalidad de constancias que integran el expediente electrónico del Sistema de Acceso a la Información Mexiquense (SAIMEX) y advirtió que las razones o motivos de inconformidad hechos valer por el Recurrente</w:t>
      </w:r>
      <w:r w:rsidRPr="000743A4">
        <w:rPr>
          <w:rFonts w:ascii="Palatino Linotype" w:hAnsi="Palatino Linotype" w:cs="Arial"/>
          <w:b/>
          <w:sz w:val="22"/>
        </w:rPr>
        <w:t xml:space="preserve"> </w:t>
      </w:r>
      <w:r w:rsidRPr="000743A4">
        <w:rPr>
          <w:rFonts w:ascii="Palatino Linotype" w:hAnsi="Palatino Linotype" w:cs="Arial"/>
          <w:sz w:val="22"/>
        </w:rPr>
        <w:t xml:space="preserve">devienen </w:t>
      </w:r>
      <w:r w:rsidRPr="000743A4">
        <w:rPr>
          <w:rFonts w:ascii="Palatino Linotype" w:hAnsi="Palatino Linotype" w:cs="Arial"/>
          <w:b/>
          <w:sz w:val="22"/>
        </w:rPr>
        <w:t>FUNDADOS</w:t>
      </w:r>
      <w:r w:rsidRPr="000743A4">
        <w:rPr>
          <w:rFonts w:ascii="Palatino Linotype" w:hAnsi="Palatino Linotype" w:cs="Arial"/>
          <w:sz w:val="22"/>
        </w:rPr>
        <w:t xml:space="preserve">. Lo anterior, </w:t>
      </w:r>
      <w:r>
        <w:rPr>
          <w:rFonts w:ascii="Palatino Linotype" w:hAnsi="Palatino Linotype" w:cs="Arial"/>
          <w:sz w:val="22"/>
        </w:rPr>
        <w:t xml:space="preserve">en virtud de que el Sujeto Obligado no acreditó que los documentos que dan respuesta a la solicitud correspondan al peso indicado, el cual se puede relacionar cuando el Sujeto Obligado además indica el número de hojas de los documentos que dan respuesta. Incluso, es posible anexar la imagen que se obtiene del Sistema cuando los documentos no pueden ser cargados al sistema por el exceso en el peso. Asimismo, a manera de orientación, se le indica que puede solicitar apoyo a la Dirección Informática de este Instituto para que, de ser necesario se le oriente en la forma de escanear la información a una resolución menor y de no ser posible, se registre una incidencia que sirva para acreditar que existe imposibilidad técnica para cargar la información </w:t>
      </w:r>
      <w:r>
        <w:rPr>
          <w:rFonts w:ascii="Palatino Linotype" w:hAnsi="Palatino Linotype" w:cs="Arial"/>
          <w:sz w:val="22"/>
        </w:rPr>
        <w:lastRenderedPageBreak/>
        <w:t>al Sistema.</w:t>
      </w:r>
      <w:r w:rsidR="00BB189A">
        <w:rPr>
          <w:rFonts w:ascii="Palatino Linotype" w:hAnsi="Palatino Linotype" w:cs="Arial"/>
          <w:sz w:val="22"/>
        </w:rPr>
        <w:t xml:space="preserve"> Con base en lo expuesto, al no contar con elementos que permitan a este Instituto validar que el peso de las documentales excede la capacidad del sistema, no es posible conceder el cambio de modalidad.</w:t>
      </w:r>
    </w:p>
    <w:p w14:paraId="61E1FC81" w14:textId="77777777" w:rsidR="000229E5" w:rsidRDefault="000229E5">
      <w:pPr>
        <w:spacing w:line="360" w:lineRule="auto"/>
        <w:jc w:val="both"/>
        <w:rPr>
          <w:rFonts w:ascii="Palatino Linotype" w:eastAsia="Calibri" w:hAnsi="Palatino Linotype" w:cs="Tahoma"/>
          <w:bCs/>
          <w:sz w:val="22"/>
          <w:szCs w:val="22"/>
          <w:lang w:val="es-ES" w:eastAsia="en-US"/>
        </w:rPr>
      </w:pPr>
    </w:p>
    <w:p w14:paraId="23CEF502" w14:textId="77777777" w:rsidR="000229E5" w:rsidRDefault="000229E5">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 xml:space="preserve">Asimismo, </w:t>
      </w:r>
      <w:r>
        <w:rPr>
          <w:rFonts w:ascii="Palatino Linotype" w:eastAsia="Calibri" w:hAnsi="Palatino Linotype" w:cs="Tahoma"/>
          <w:bCs/>
          <w:sz w:val="22"/>
          <w:szCs w:val="22"/>
          <w:lang w:eastAsia="en-US"/>
        </w:rPr>
        <w:t xml:space="preserve">es importante mencionar que los </w:t>
      </w:r>
      <w:r w:rsidRPr="00071BE4">
        <w:rPr>
          <w:rFonts w:ascii="Palatino Linotype" w:eastAsia="Calibri" w:hAnsi="Palatino Linotype" w:cs="Tahoma"/>
          <w:bCs/>
          <w:sz w:val="22"/>
          <w:szCs w:val="22"/>
          <w:lang w:eastAsia="en-US"/>
        </w:rPr>
        <w:t>organismos descentralizados</w:t>
      </w:r>
      <w:r>
        <w:rPr>
          <w:rFonts w:ascii="Palatino Linotype" w:eastAsia="Calibri" w:hAnsi="Palatino Linotype" w:cs="Tahoma"/>
          <w:bCs/>
          <w:sz w:val="22"/>
          <w:szCs w:val="22"/>
          <w:lang w:eastAsia="en-US"/>
        </w:rPr>
        <w:t xml:space="preserve"> </w:t>
      </w:r>
      <w:r w:rsidRPr="00ED7B68">
        <w:rPr>
          <w:rFonts w:ascii="Palatino Linotype" w:eastAsia="Calibri" w:hAnsi="Palatino Linotype" w:cs="Tahoma"/>
          <w:bCs/>
          <w:sz w:val="22"/>
          <w:szCs w:val="22"/>
          <w:lang w:eastAsia="en-US"/>
        </w:rPr>
        <w:t xml:space="preserve">Organismo Público Descentralizado Municipal para la Prestación de los Servicios de Agua Potable, Drenaje y Tratamiento de Aguas Residuales del Municipio de Acolman y </w:t>
      </w:r>
      <w:r>
        <w:rPr>
          <w:rFonts w:ascii="Palatino Linotype" w:eastAsia="Calibri" w:hAnsi="Palatino Linotype" w:cs="Tahoma"/>
          <w:bCs/>
          <w:sz w:val="22"/>
          <w:szCs w:val="22"/>
          <w:lang w:eastAsia="en-US"/>
        </w:rPr>
        <w:t>e</w:t>
      </w:r>
      <w:r w:rsidRPr="00ED7B68">
        <w:rPr>
          <w:rFonts w:ascii="Palatino Linotype" w:eastAsia="Calibri" w:hAnsi="Palatino Linotype" w:cs="Tahoma"/>
          <w:bCs/>
          <w:sz w:val="22"/>
          <w:szCs w:val="22"/>
          <w:lang w:eastAsia="en-US"/>
        </w:rPr>
        <w:t xml:space="preserve">l Sistema Municipal para el Desarrollo Integral de la Familia de Acolman, </w:t>
      </w:r>
      <w:r>
        <w:rPr>
          <w:rFonts w:ascii="Palatino Linotype" w:eastAsia="Calibri" w:hAnsi="Palatino Linotype" w:cs="Tahoma"/>
          <w:bCs/>
          <w:sz w:val="22"/>
          <w:szCs w:val="22"/>
          <w:lang w:eastAsia="en-US"/>
        </w:rPr>
        <w:t xml:space="preserve">corresponden a </w:t>
      </w:r>
      <w:r w:rsidRPr="00071BE4">
        <w:rPr>
          <w:rFonts w:ascii="Palatino Linotype" w:eastAsia="Calibri" w:hAnsi="Palatino Linotype" w:cs="Tahoma"/>
          <w:bCs/>
          <w:sz w:val="22"/>
          <w:szCs w:val="22"/>
          <w:lang w:eastAsia="en-US"/>
        </w:rPr>
        <w:t>Sujeto</w:t>
      </w:r>
      <w:r>
        <w:rPr>
          <w:rFonts w:ascii="Palatino Linotype" w:eastAsia="Calibri" w:hAnsi="Palatino Linotype" w:cs="Tahoma"/>
          <w:bCs/>
          <w:sz w:val="22"/>
          <w:szCs w:val="22"/>
          <w:lang w:eastAsia="en-US"/>
        </w:rPr>
        <w:t>s</w:t>
      </w:r>
      <w:r w:rsidRPr="00071BE4">
        <w:rPr>
          <w:rFonts w:ascii="Palatino Linotype" w:eastAsia="Calibri" w:hAnsi="Palatino Linotype" w:cs="Tahoma"/>
          <w:bCs/>
          <w:sz w:val="22"/>
          <w:szCs w:val="22"/>
          <w:lang w:eastAsia="en-US"/>
        </w:rPr>
        <w:t xml:space="preserve"> Obligado</w:t>
      </w:r>
      <w:r>
        <w:rPr>
          <w:rFonts w:ascii="Palatino Linotype" w:eastAsia="Calibri" w:hAnsi="Palatino Linotype" w:cs="Tahoma"/>
          <w:bCs/>
          <w:sz w:val="22"/>
          <w:szCs w:val="22"/>
          <w:lang w:eastAsia="en-US"/>
        </w:rPr>
        <w:t>s</w:t>
      </w:r>
      <w:r w:rsidRPr="00071BE4">
        <w:rPr>
          <w:rFonts w:ascii="Palatino Linotype" w:eastAsia="Calibri" w:hAnsi="Palatino Linotype" w:cs="Tahoma"/>
          <w:bCs/>
          <w:sz w:val="22"/>
          <w:szCs w:val="22"/>
          <w:lang w:eastAsia="en-US"/>
        </w:rPr>
        <w:t xml:space="preserve"> diverso al </w:t>
      </w:r>
      <w:r>
        <w:rPr>
          <w:rFonts w:ascii="Palatino Linotype" w:eastAsia="Calibri" w:hAnsi="Palatino Linotype" w:cs="Tahoma"/>
          <w:bCs/>
          <w:sz w:val="22"/>
          <w:szCs w:val="22"/>
          <w:lang w:eastAsia="en-US"/>
        </w:rPr>
        <w:t>Ayuntamiento.</w:t>
      </w:r>
    </w:p>
    <w:p w14:paraId="559A095E" w14:textId="77777777" w:rsidR="000229E5" w:rsidRDefault="000229E5">
      <w:pPr>
        <w:spacing w:line="360" w:lineRule="auto"/>
        <w:jc w:val="both"/>
        <w:rPr>
          <w:rFonts w:ascii="Palatino Linotype" w:eastAsia="Calibri" w:hAnsi="Palatino Linotype" w:cs="Tahoma"/>
          <w:bCs/>
          <w:sz w:val="22"/>
          <w:szCs w:val="22"/>
          <w:lang w:eastAsia="en-US"/>
        </w:rPr>
      </w:pPr>
    </w:p>
    <w:p w14:paraId="11664B78" w14:textId="77777777" w:rsidR="000229E5" w:rsidRPr="00071BE4" w:rsidRDefault="000229E5">
      <w:pPr>
        <w:spacing w:line="360" w:lineRule="auto"/>
        <w:ind w:right="-93"/>
        <w:jc w:val="both"/>
        <w:rPr>
          <w:rFonts w:ascii="Palatino Linotype" w:hAnsi="Palatino Linotype" w:cs="Tahoma"/>
          <w:sz w:val="22"/>
          <w:szCs w:val="22"/>
          <w:lang w:val="es-ES"/>
        </w:rPr>
      </w:pPr>
      <w:r w:rsidRPr="00C86D30">
        <w:rPr>
          <w:rFonts w:ascii="Palatino Linotype" w:eastAsia="Calibri" w:hAnsi="Palatino Linotype" w:cs="Tahoma"/>
          <w:bCs/>
          <w:sz w:val="22"/>
          <w:szCs w:val="22"/>
          <w:lang w:eastAsia="en-US"/>
        </w:rPr>
        <w:t xml:space="preserve">Al respecto, es conveniente traer a colación el Acuerdo mediante el que el Pleno del Instituto de Transparencia, Acceso a la Información Pública y Protección de Datos Personales del Estado de México y Municipios, modificó el Padrón de Sujetos Obligados en Materia de Transparencia y Acceso a la Información Pública del Estado de México y Municipios publicado en fecha veintisiete de noviembre de dos mil diecisiete en el Periódico Oficial “Gaceta del Gobierno”, entrando en vigor al día siguiente de su publicación; esto es, el veintiocho de noviembre de dos mil diecisiete, en el que se advierte que el </w:t>
      </w:r>
      <w:r w:rsidRPr="00C86D30">
        <w:rPr>
          <w:rFonts w:ascii="Palatino Linotype" w:eastAsia="Calibri" w:hAnsi="Palatino Linotype" w:cs="Tahoma"/>
          <w:b/>
          <w:bCs/>
          <w:sz w:val="22"/>
          <w:szCs w:val="22"/>
          <w:lang w:eastAsia="en-US"/>
        </w:rPr>
        <w:t>Ayuntamiento de Acolman</w:t>
      </w:r>
      <w:r w:rsidRPr="00C86D30">
        <w:rPr>
          <w:rFonts w:ascii="Palatino Linotype" w:eastAsia="Calibri" w:hAnsi="Palatino Linotype" w:cs="Tahoma"/>
          <w:bCs/>
          <w:sz w:val="22"/>
          <w:szCs w:val="22"/>
          <w:lang w:eastAsia="en-US"/>
        </w:rPr>
        <w:t xml:space="preserve"> es un Sujeto Obligado diverso, por lo que es, el responsable de entregar la información referente solo al Ayuntamiento sin incluir </w:t>
      </w:r>
      <w:r>
        <w:rPr>
          <w:rFonts w:ascii="Palatino Linotype" w:eastAsia="Calibri" w:hAnsi="Palatino Linotype" w:cs="Tahoma"/>
          <w:bCs/>
          <w:sz w:val="22"/>
          <w:szCs w:val="22"/>
          <w:lang w:eastAsia="en-US"/>
        </w:rPr>
        <w:t xml:space="preserve">a </w:t>
      </w:r>
      <w:r w:rsidRPr="00C86D30">
        <w:rPr>
          <w:rFonts w:ascii="Palatino Linotype" w:eastAsia="Calibri" w:hAnsi="Palatino Linotype" w:cs="Tahoma"/>
          <w:bCs/>
          <w:sz w:val="22"/>
          <w:szCs w:val="22"/>
          <w:lang w:eastAsia="en-US"/>
        </w:rPr>
        <w:t>los Organismos</w:t>
      </w:r>
      <w:r>
        <w:rPr>
          <w:rFonts w:ascii="Palatino Linotype" w:eastAsia="Calibri" w:hAnsi="Palatino Linotype" w:cs="Tahoma"/>
          <w:bCs/>
          <w:sz w:val="22"/>
          <w:szCs w:val="22"/>
          <w:lang w:eastAsia="en-US"/>
        </w:rPr>
        <w:t xml:space="preserve"> Descentralizados</w:t>
      </w:r>
      <w:r w:rsidRPr="00C86D30">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antes mencionados, </w:t>
      </w:r>
      <w:proofErr w:type="spellStart"/>
      <w:r w:rsidRPr="00071BE4">
        <w:rPr>
          <w:rFonts w:ascii="Palatino Linotype" w:hAnsi="Palatino Linotype" w:cs="Tahoma"/>
          <w:sz w:val="22"/>
          <w:szCs w:val="22"/>
          <w:lang w:val="es-ES"/>
        </w:rPr>
        <w:t>como</w:t>
      </w:r>
      <w:proofErr w:type="spellEnd"/>
      <w:r>
        <w:rPr>
          <w:rFonts w:ascii="Palatino Linotype" w:hAnsi="Palatino Linotype" w:cs="Tahoma"/>
          <w:sz w:val="22"/>
          <w:szCs w:val="22"/>
          <w:lang w:val="es-ES"/>
        </w:rPr>
        <w:t xml:space="preserve"> se </w:t>
      </w:r>
      <w:r w:rsidRPr="00071BE4">
        <w:rPr>
          <w:rFonts w:ascii="Palatino Linotype" w:hAnsi="Palatino Linotype" w:cs="Tahoma"/>
          <w:sz w:val="22"/>
          <w:szCs w:val="22"/>
          <w:lang w:val="es-ES"/>
        </w:rPr>
        <w:t xml:space="preserve">observa en el Directorio de Sujetos Obligados del INFOEM: </w:t>
      </w:r>
    </w:p>
    <w:p w14:paraId="1C69F8C9" w14:textId="77777777" w:rsidR="000229E5" w:rsidRDefault="000229E5">
      <w:pPr>
        <w:spacing w:line="360" w:lineRule="auto"/>
        <w:ind w:right="-93"/>
        <w:jc w:val="both"/>
        <w:rPr>
          <w:rFonts w:ascii="Palatino Linotype" w:eastAsia="Calibri" w:hAnsi="Palatino Linotype" w:cs="Tahoma"/>
          <w:bCs/>
          <w:sz w:val="22"/>
          <w:szCs w:val="22"/>
          <w:lang w:eastAsia="en-US"/>
        </w:rPr>
      </w:pPr>
    </w:p>
    <w:p w14:paraId="287A07B8" w14:textId="77777777" w:rsidR="000229E5" w:rsidRDefault="000229E5">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drawing>
          <wp:inline distT="0" distB="0" distL="0" distR="0" wp14:anchorId="20B1373D" wp14:editId="49A0D329">
            <wp:extent cx="5120640" cy="1097280"/>
            <wp:effectExtent l="0" t="0" r="381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0640" cy="1097280"/>
                    </a:xfrm>
                    <a:prstGeom prst="rect">
                      <a:avLst/>
                    </a:prstGeom>
                    <a:noFill/>
                    <a:ln>
                      <a:noFill/>
                    </a:ln>
                  </pic:spPr>
                </pic:pic>
              </a:graphicData>
            </a:graphic>
          </wp:inline>
        </w:drawing>
      </w:r>
    </w:p>
    <w:p w14:paraId="6C86E95E" w14:textId="77777777" w:rsidR="000229E5" w:rsidRDefault="000229E5">
      <w:pPr>
        <w:spacing w:line="360" w:lineRule="auto"/>
        <w:ind w:right="-93"/>
        <w:jc w:val="both"/>
        <w:rPr>
          <w:rFonts w:ascii="Palatino Linotype" w:eastAsia="Calibri" w:hAnsi="Palatino Linotype" w:cs="Tahoma"/>
          <w:bCs/>
          <w:sz w:val="22"/>
          <w:szCs w:val="22"/>
          <w:lang w:eastAsia="en-US"/>
        </w:rPr>
      </w:pPr>
    </w:p>
    <w:p w14:paraId="0EB3BEF3" w14:textId="101E0D86" w:rsidR="000229E5" w:rsidRPr="00ED7B68" w:rsidRDefault="000229E5">
      <w:pPr>
        <w:spacing w:line="360" w:lineRule="auto"/>
        <w:jc w:val="both"/>
        <w:rPr>
          <w:rFonts w:ascii="Palatino Linotype" w:eastAsia="Calibri" w:hAnsi="Palatino Linotype" w:cs="Tahoma"/>
          <w:bCs/>
          <w:sz w:val="22"/>
          <w:szCs w:val="22"/>
          <w:lang w:eastAsia="en-US"/>
        </w:rPr>
      </w:pPr>
      <w:r w:rsidRPr="00905FE2">
        <w:rPr>
          <w:rFonts w:ascii="Palatino Linotype" w:eastAsia="Calibri" w:hAnsi="Palatino Linotype" w:cs="Tahoma"/>
          <w:bCs/>
          <w:sz w:val="22"/>
          <w:szCs w:val="22"/>
          <w:lang w:eastAsia="en-US"/>
        </w:rPr>
        <w:lastRenderedPageBreak/>
        <w:t>Por lo tanto,</w:t>
      </w:r>
      <w:r>
        <w:rPr>
          <w:rFonts w:ascii="Palatino Linotype" w:eastAsia="Calibri" w:hAnsi="Palatino Linotype" w:cs="Tahoma"/>
          <w:bCs/>
          <w:sz w:val="22"/>
          <w:szCs w:val="22"/>
          <w:lang w:eastAsia="en-US"/>
        </w:rPr>
        <w:t xml:space="preserve"> dicha información debe ser requerida directamente ante las respectivas unidades de transparencia, en este sentido, se </w:t>
      </w:r>
      <w:r w:rsidRPr="00ED7B68">
        <w:rPr>
          <w:rFonts w:ascii="Palatino Linotype" w:eastAsia="Calibri" w:hAnsi="Palatino Linotype" w:cs="Tahoma"/>
          <w:bCs/>
          <w:sz w:val="22"/>
          <w:szCs w:val="22"/>
          <w:lang w:eastAsia="en-US"/>
        </w:rPr>
        <w:t>dejan a salvo los derechos del Recurrente para interponer los requerimientos de información.</w:t>
      </w:r>
    </w:p>
    <w:p w14:paraId="6C358FFC" w14:textId="101E0D86" w:rsidR="000229E5" w:rsidRDefault="000229E5">
      <w:pPr>
        <w:spacing w:line="360" w:lineRule="auto"/>
        <w:jc w:val="both"/>
        <w:rPr>
          <w:rFonts w:ascii="Palatino Linotype" w:eastAsia="Calibri" w:hAnsi="Palatino Linotype" w:cs="Tahoma"/>
          <w:bCs/>
          <w:sz w:val="22"/>
          <w:szCs w:val="22"/>
          <w:lang w:eastAsia="en-US"/>
        </w:rPr>
      </w:pPr>
    </w:p>
    <w:p w14:paraId="6B3D1B7D" w14:textId="27F0151E" w:rsidR="005516D4" w:rsidRDefault="00AF110A" w:rsidP="006C0FF2">
      <w:pPr>
        <w:spacing w:line="360" w:lineRule="auto"/>
        <w:jc w:val="both"/>
        <w:rPr>
          <w:rFonts w:ascii="Palatino Linotype" w:hAnsi="Palatino Linotype"/>
          <w:sz w:val="22"/>
        </w:rPr>
      </w:pPr>
      <w:r>
        <w:rPr>
          <w:rFonts w:ascii="Palatino Linotype" w:hAnsi="Palatino Linotype" w:cs="Arial"/>
          <w:sz w:val="22"/>
        </w:rPr>
        <w:t>Ahora bien</w:t>
      </w:r>
      <w:r w:rsidR="005516D4" w:rsidRPr="005516D4">
        <w:rPr>
          <w:rFonts w:ascii="Palatino Linotype" w:eastAsia="Calibri" w:hAnsi="Palatino Linotype" w:cs="Arial"/>
          <w:sz w:val="22"/>
        </w:rPr>
        <w:t xml:space="preserve">, por cuanto hace a </w:t>
      </w:r>
      <w:r w:rsidR="005516D4" w:rsidRPr="005516D4">
        <w:rPr>
          <w:rFonts w:ascii="Palatino Linotype" w:eastAsia="Calibri" w:hAnsi="Palatino Linotype" w:cs="Arial"/>
          <w:b/>
          <w:sz w:val="22"/>
        </w:rPr>
        <w:t xml:space="preserve">los recibos de nómina de los trabajadores del </w:t>
      </w:r>
      <w:r w:rsidR="000743A4" w:rsidRPr="000743A4">
        <w:rPr>
          <w:rFonts w:ascii="Palatino Linotype" w:eastAsia="Calibri" w:hAnsi="Palatino Linotype" w:cs="Arial"/>
          <w:b/>
          <w:sz w:val="22"/>
        </w:rPr>
        <w:t>Ayuntamiento de Acolman</w:t>
      </w:r>
      <w:r w:rsidR="005516D4" w:rsidRPr="005516D4">
        <w:rPr>
          <w:rFonts w:ascii="Palatino Linotype" w:eastAsia="Calibri" w:hAnsi="Palatino Linotype" w:cs="Arial"/>
          <w:sz w:val="22"/>
        </w:rPr>
        <w:t xml:space="preserve">, este Instituto </w:t>
      </w:r>
      <w:r w:rsidR="005516D4" w:rsidRPr="005516D4">
        <w:rPr>
          <w:rFonts w:ascii="Palatino Linotype" w:hAnsi="Palatino Linotype"/>
          <w:sz w:val="22"/>
        </w:rPr>
        <w:t>precisa que el Sujeto Obligado</w:t>
      </w:r>
      <w:r>
        <w:rPr>
          <w:rFonts w:ascii="Palatino Linotype" w:hAnsi="Palatino Linotype"/>
          <w:sz w:val="22"/>
        </w:rPr>
        <w:t xml:space="preserve"> tiene competencia</w:t>
      </w:r>
      <w:r w:rsidR="005516D4" w:rsidRPr="005516D4">
        <w:rPr>
          <w:rFonts w:ascii="Palatino Linotype" w:hAnsi="Palatino Linotype"/>
          <w:sz w:val="22"/>
        </w:rPr>
        <w:t xml:space="preserve"> para generar, administrar o poseer la información solicitada, en razón de que </w:t>
      </w:r>
      <w:r w:rsidR="005516D4" w:rsidRPr="005516D4">
        <w:rPr>
          <w:rFonts w:ascii="Palatino Linotype" w:hAnsi="Palatino Linotype"/>
          <w:b/>
          <w:sz w:val="22"/>
          <w:u w:val="single"/>
        </w:rPr>
        <w:t>en su respuesta admitió contar con ella</w:t>
      </w:r>
      <w:r w:rsidR="005516D4" w:rsidRPr="005516D4">
        <w:rPr>
          <w:rFonts w:ascii="Palatino Linotype" w:hAnsi="Palatino Linotype"/>
          <w:sz w:val="22"/>
        </w:rPr>
        <w:t>.</w:t>
      </w:r>
    </w:p>
    <w:p w14:paraId="29D42909" w14:textId="77777777" w:rsidR="00AF110A" w:rsidRPr="005516D4" w:rsidRDefault="00AF110A" w:rsidP="006C0FF2">
      <w:pPr>
        <w:spacing w:line="360" w:lineRule="auto"/>
        <w:jc w:val="both"/>
        <w:rPr>
          <w:rFonts w:ascii="Palatino Linotype" w:hAnsi="Palatino Linotype" w:cs="Arial"/>
          <w:sz w:val="22"/>
          <w:lang w:val="es-ES_tradnl"/>
        </w:rPr>
      </w:pPr>
    </w:p>
    <w:p w14:paraId="039E766F" w14:textId="4626A0F9" w:rsidR="00E1114C" w:rsidRDefault="00AF110A" w:rsidP="006C0FF2">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Tahoma"/>
          <w:szCs w:val="22"/>
          <w:lang w:val="es-ES" w:eastAsia="es-ES_tradnl"/>
        </w:rPr>
      </w:pPr>
      <w:r>
        <w:rPr>
          <w:rFonts w:ascii="Palatino Linotype" w:eastAsia="Calibri" w:hAnsi="Palatino Linotype" w:cs="Arial"/>
        </w:rPr>
        <w:t>Así para determinar la procedencia de su entrega, es necesario</w:t>
      </w:r>
      <w:r w:rsidR="00E1114C">
        <w:rPr>
          <w:rFonts w:ascii="Palatino Linotype" w:eastAsia="Calibri" w:hAnsi="Palatino Linotype" w:cs="Tahoma"/>
          <w:szCs w:val="22"/>
          <w:lang w:val="es-ES" w:eastAsia="es-ES_tradnl"/>
        </w:rPr>
        <w:t xml:space="preserve"> contextualizar </w:t>
      </w:r>
      <w:r w:rsidR="00E1114C" w:rsidRPr="00E1114C">
        <w:rPr>
          <w:rFonts w:ascii="Palatino Linotype" w:eastAsia="Calibri" w:hAnsi="Palatino Linotype" w:cs="Tahoma"/>
          <w:szCs w:val="22"/>
          <w:lang w:val="es-ES" w:eastAsia="es-ES_tradnl"/>
        </w:rPr>
        <w:t xml:space="preserve">la solicitud de información, para lo cual, </w:t>
      </w:r>
      <w:r>
        <w:rPr>
          <w:rFonts w:ascii="Palatino Linotype" w:eastAsia="Calibri" w:hAnsi="Palatino Linotype" w:cs="Tahoma"/>
          <w:szCs w:val="22"/>
          <w:lang w:val="es-ES" w:eastAsia="es-ES_tradnl"/>
        </w:rPr>
        <w:t>se</w:t>
      </w:r>
      <w:r w:rsidR="00E1114C" w:rsidRPr="00E1114C">
        <w:rPr>
          <w:rFonts w:ascii="Palatino Linotype" w:eastAsia="Calibri" w:hAnsi="Palatino Linotype" w:cs="Tahoma"/>
          <w:szCs w:val="22"/>
          <w:lang w:val="es-ES" w:eastAsia="es-ES_tradnl"/>
        </w:rPr>
        <w:t xml:space="preserve"> precisa lo que puede entenderse por </w:t>
      </w:r>
      <w:r w:rsidR="00E1114C" w:rsidRPr="00E1114C">
        <w:rPr>
          <w:rFonts w:ascii="Palatino Linotype" w:eastAsia="Calibri" w:hAnsi="Palatino Linotype" w:cs="Tahoma"/>
          <w:b/>
          <w:szCs w:val="22"/>
          <w:u w:val="single"/>
          <w:lang w:val="es-ES" w:eastAsia="es-ES_tradnl"/>
        </w:rPr>
        <w:t>recibos de nómina</w:t>
      </w:r>
      <w:r w:rsidR="00E1114C" w:rsidRPr="00E1114C">
        <w:rPr>
          <w:rFonts w:ascii="Palatino Linotype" w:eastAsia="Calibri" w:hAnsi="Palatino Linotype" w:cs="Tahoma"/>
          <w:szCs w:val="22"/>
          <w:lang w:val="es-ES" w:eastAsia="es-ES_tradnl"/>
        </w:rPr>
        <w:t>:</w:t>
      </w:r>
    </w:p>
    <w:p w14:paraId="4124C9A7" w14:textId="77777777" w:rsidR="00AF110A" w:rsidRDefault="00AF110A" w:rsidP="006C0FF2">
      <w:pPr>
        <w:pStyle w:val="Prrafodelista"/>
        <w:widowControl w:val="0"/>
        <w:tabs>
          <w:tab w:val="left" w:pos="1276"/>
        </w:tabs>
        <w:autoSpaceDE w:val="0"/>
        <w:autoSpaceDN w:val="0"/>
        <w:adjustRightInd w:val="0"/>
        <w:spacing w:line="360" w:lineRule="auto"/>
        <w:ind w:left="0"/>
        <w:jc w:val="both"/>
        <w:rPr>
          <w:rFonts w:ascii="Palatino Linotype" w:eastAsia="Calibri" w:hAnsi="Palatino Linotype" w:cs="Tahoma"/>
          <w:szCs w:val="22"/>
          <w:lang w:val="es-ES" w:eastAsia="es-ES_tradnl"/>
        </w:rPr>
      </w:pPr>
    </w:p>
    <w:p w14:paraId="758EAA20" w14:textId="03947143" w:rsidR="00E1114C" w:rsidRPr="0081054F" w:rsidRDefault="00E1114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w:t>
      </w:r>
      <w:r w:rsidRPr="0081054F">
        <w:rPr>
          <w:rFonts w:ascii="Palatino Linotype" w:eastAsia="Calibri" w:hAnsi="Palatino Linotype" w:cs="Tahoma"/>
          <w:bCs/>
          <w:sz w:val="22"/>
          <w:szCs w:val="22"/>
          <w:lang w:eastAsia="en-US"/>
        </w:rPr>
        <w:t>el Glosario localizado en la página de Transparencia Presupuestaria de la Secretaría de Hacienda y Crédito Público (</w:t>
      </w:r>
      <w:hyperlink r:id="rId9" w:history="1">
        <w:r w:rsidRPr="00DB11C3">
          <w:rPr>
            <w:rStyle w:val="Hipervnculo"/>
            <w:rFonts w:ascii="Palatino Linotype" w:eastAsia="Calibri" w:hAnsi="Palatino Linotype" w:cs="Tahoma"/>
            <w:bCs/>
            <w:sz w:val="22"/>
            <w:szCs w:val="22"/>
            <w:lang w:eastAsia="en-US"/>
          </w:rPr>
          <w:t>http://www.transparenciapresupuestaria.gob.mx/es/PTP/Glosario</w:t>
        </w:r>
      </w:hyperlink>
      <w:r w:rsidRPr="0081054F">
        <w:rPr>
          <w:rFonts w:ascii="Palatino Linotype" w:eastAsia="Calibri" w:hAnsi="Palatino Linotype" w:cs="Tahoma"/>
          <w:bCs/>
          <w:sz w:val="22"/>
          <w:szCs w:val="22"/>
          <w:lang w:eastAsia="en-US"/>
        </w:rPr>
        <w:t xml:space="preserve">, </w:t>
      </w:r>
      <w:r w:rsidR="008D4D67">
        <w:rPr>
          <w:rFonts w:ascii="Palatino Linotype" w:eastAsia="Calibri" w:hAnsi="Palatino Linotype" w:cs="Tahoma"/>
          <w:bCs/>
          <w:sz w:val="22"/>
          <w:szCs w:val="22"/>
          <w:lang w:eastAsia="en-US"/>
        </w:rPr>
        <w:t>(</w:t>
      </w:r>
      <w:r w:rsidRPr="0081054F">
        <w:rPr>
          <w:rFonts w:ascii="Palatino Linotype" w:eastAsia="Calibri" w:hAnsi="Palatino Linotype" w:cs="Tahoma"/>
          <w:bCs/>
          <w:sz w:val="22"/>
          <w:szCs w:val="22"/>
          <w:lang w:eastAsia="en-US"/>
        </w:rPr>
        <w:t xml:space="preserve">consultada el </w:t>
      </w:r>
      <w:r w:rsidR="008D4D67">
        <w:rPr>
          <w:rFonts w:ascii="Palatino Linotype" w:eastAsia="Calibri" w:hAnsi="Palatino Linotype" w:cs="Tahoma"/>
          <w:bCs/>
          <w:sz w:val="22"/>
          <w:szCs w:val="22"/>
          <w:lang w:eastAsia="en-US"/>
        </w:rPr>
        <w:t>dos</w:t>
      </w:r>
      <w:r>
        <w:rPr>
          <w:rFonts w:ascii="Palatino Linotype" w:eastAsia="Calibri" w:hAnsi="Palatino Linotype" w:cs="Tahoma"/>
          <w:bCs/>
          <w:sz w:val="22"/>
          <w:szCs w:val="22"/>
          <w:lang w:eastAsia="en-US"/>
        </w:rPr>
        <w:t xml:space="preserve"> </w:t>
      </w:r>
      <w:r w:rsidRPr="0081054F">
        <w:rPr>
          <w:rFonts w:ascii="Palatino Linotype" w:eastAsia="Calibri" w:hAnsi="Palatino Linotype" w:cs="Tahoma"/>
          <w:bCs/>
          <w:sz w:val="22"/>
          <w:szCs w:val="22"/>
          <w:lang w:eastAsia="en-US"/>
        </w:rPr>
        <w:t xml:space="preserve">de </w:t>
      </w:r>
      <w:r w:rsidR="008D4D67">
        <w:rPr>
          <w:rFonts w:ascii="Palatino Linotype" w:eastAsia="Calibri" w:hAnsi="Palatino Linotype" w:cs="Tahoma"/>
          <w:bCs/>
          <w:sz w:val="22"/>
          <w:szCs w:val="22"/>
          <w:lang w:eastAsia="en-US"/>
        </w:rPr>
        <w:t>septiembre</w:t>
      </w:r>
      <w:r>
        <w:rPr>
          <w:rFonts w:ascii="Palatino Linotype" w:eastAsia="Calibri" w:hAnsi="Palatino Linotype" w:cs="Tahoma"/>
          <w:bCs/>
          <w:sz w:val="22"/>
          <w:szCs w:val="22"/>
          <w:lang w:eastAsia="en-US"/>
        </w:rPr>
        <w:t xml:space="preserve"> </w:t>
      </w:r>
      <w:r w:rsidRPr="0081054F">
        <w:rPr>
          <w:rFonts w:ascii="Palatino Linotype" w:eastAsia="Calibri" w:hAnsi="Palatino Linotype" w:cs="Tahoma"/>
          <w:bCs/>
          <w:sz w:val="22"/>
          <w:szCs w:val="22"/>
          <w:lang w:eastAsia="en-US"/>
        </w:rPr>
        <w:t>de dos mil dieci</w:t>
      </w:r>
      <w:r>
        <w:rPr>
          <w:rFonts w:ascii="Palatino Linotype" w:eastAsia="Calibri" w:hAnsi="Palatino Linotype" w:cs="Tahoma"/>
          <w:bCs/>
          <w:sz w:val="22"/>
          <w:szCs w:val="22"/>
          <w:lang w:eastAsia="en-US"/>
        </w:rPr>
        <w:t>nueve</w:t>
      </w:r>
      <w:r w:rsidRPr="0081054F">
        <w:rPr>
          <w:rFonts w:ascii="Palatino Linotype" w:eastAsia="Calibri" w:hAnsi="Palatino Linotype" w:cs="Tahoma"/>
          <w:bCs/>
          <w:sz w:val="22"/>
          <w:szCs w:val="22"/>
          <w:lang w:eastAsia="en-US"/>
        </w:rPr>
        <w:t xml:space="preserve">, a las </w:t>
      </w:r>
      <w:r>
        <w:rPr>
          <w:rFonts w:ascii="Palatino Linotype" w:eastAsia="Calibri" w:hAnsi="Palatino Linotype" w:cs="Tahoma"/>
          <w:bCs/>
          <w:sz w:val="22"/>
          <w:szCs w:val="22"/>
          <w:lang w:eastAsia="en-US"/>
        </w:rPr>
        <w:t xml:space="preserve">doce </w:t>
      </w:r>
      <w:r w:rsidRPr="0081054F">
        <w:rPr>
          <w:rFonts w:ascii="Palatino Linotype" w:eastAsia="Calibri" w:hAnsi="Palatino Linotype" w:cs="Tahoma"/>
          <w:bCs/>
          <w:sz w:val="22"/>
          <w:szCs w:val="22"/>
          <w:lang w:eastAsia="en-US"/>
        </w:rPr>
        <w:t>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7D217A1E" w14:textId="77777777" w:rsidR="00E1114C" w:rsidRPr="0081054F" w:rsidRDefault="00E1114C">
      <w:pPr>
        <w:spacing w:line="360" w:lineRule="auto"/>
        <w:ind w:right="-93"/>
        <w:jc w:val="both"/>
        <w:rPr>
          <w:rFonts w:ascii="Palatino Linotype" w:eastAsia="Calibri" w:hAnsi="Palatino Linotype" w:cs="Tahoma"/>
          <w:bCs/>
          <w:sz w:val="22"/>
          <w:szCs w:val="22"/>
          <w:lang w:eastAsia="en-US"/>
        </w:rPr>
      </w:pPr>
    </w:p>
    <w:p w14:paraId="0856D1B4" w14:textId="4D37A04B" w:rsidR="00E1114C" w:rsidRPr="0081054F" w:rsidRDefault="00E1114C">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10" w:history="1">
        <w:r w:rsidRPr="00DB11C3">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81054F">
        <w:rPr>
          <w:rFonts w:ascii="Palatino Linotype" w:eastAsia="Calibri" w:hAnsi="Palatino Linotype" w:cs="Tahoma"/>
          <w:bCs/>
          <w:sz w:val="22"/>
          <w:szCs w:val="22"/>
          <w:lang w:eastAsia="en-US"/>
        </w:rPr>
        <w:t xml:space="preserve">, </w:t>
      </w:r>
      <w:r w:rsidR="008D4D67" w:rsidRPr="008D4D67">
        <w:rPr>
          <w:rFonts w:ascii="Palatino Linotype" w:eastAsia="Calibri" w:hAnsi="Palatino Linotype" w:cs="Tahoma"/>
          <w:bCs/>
          <w:sz w:val="22"/>
          <w:szCs w:val="22"/>
          <w:lang w:eastAsia="en-US"/>
        </w:rPr>
        <w:t>(consultada el dos de septiembre de dos mil diecinueve</w:t>
      </w:r>
      <w:r w:rsidRPr="00E1114C">
        <w:rPr>
          <w:rFonts w:ascii="Palatino Linotype" w:eastAsia="Calibri" w:hAnsi="Palatino Linotype" w:cs="Tahoma"/>
          <w:bCs/>
          <w:sz w:val="22"/>
          <w:szCs w:val="22"/>
          <w:lang w:eastAsia="en-US"/>
        </w:rPr>
        <w:t>, a las doce horas</w:t>
      </w:r>
      <w:r>
        <w:rPr>
          <w:rFonts w:ascii="Palatino Linotype" w:eastAsia="Calibri" w:hAnsi="Palatino Linotype" w:cs="Tahoma"/>
          <w:bCs/>
          <w:sz w:val="22"/>
          <w:szCs w:val="22"/>
          <w:lang w:eastAsia="en-US"/>
        </w:rPr>
        <w:t xml:space="preserve"> con diez minutos</w:t>
      </w:r>
      <w:r w:rsidRPr="0081054F">
        <w:rPr>
          <w:rFonts w:ascii="Palatino Linotype" w:eastAsia="Calibri" w:hAnsi="Palatino Linotype" w:cs="Tahoma"/>
          <w:bCs/>
          <w:sz w:val="22"/>
          <w:szCs w:val="22"/>
          <w:lang w:eastAsia="en-US"/>
        </w:rPr>
        <w:t xml:space="preserve">), establece que la Nómina es un listado general de los trabajadores de </w:t>
      </w:r>
      <w:r w:rsidRPr="0081054F">
        <w:rPr>
          <w:rFonts w:ascii="Palatino Linotype" w:eastAsia="Calibri" w:hAnsi="Palatino Linotype" w:cs="Tahoma"/>
          <w:bCs/>
          <w:sz w:val="22"/>
          <w:szCs w:val="22"/>
          <w:lang w:eastAsia="en-US"/>
        </w:rPr>
        <w:lastRenderedPageBreak/>
        <w:t>una institución, en el cual se asientan las percepciones brutas, deducciones y alcance neto de las mismas.</w:t>
      </w:r>
    </w:p>
    <w:p w14:paraId="05B7A329" w14:textId="77777777" w:rsidR="00E1114C" w:rsidRPr="0081054F" w:rsidRDefault="00E1114C">
      <w:pPr>
        <w:spacing w:line="360" w:lineRule="auto"/>
        <w:ind w:right="-93"/>
        <w:jc w:val="both"/>
        <w:rPr>
          <w:rFonts w:ascii="Palatino Linotype" w:eastAsia="Calibri" w:hAnsi="Palatino Linotype" w:cs="Tahoma"/>
          <w:bCs/>
          <w:sz w:val="22"/>
          <w:szCs w:val="22"/>
          <w:lang w:eastAsia="en-US"/>
        </w:rPr>
      </w:pPr>
    </w:p>
    <w:p w14:paraId="70FB1B48" w14:textId="77777777" w:rsidR="00E1114C" w:rsidRPr="0081054F" w:rsidRDefault="00E1114C">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Conforme a lo anterior, se puede advertir que la nómina se puede referir a lo siguiente:</w:t>
      </w:r>
    </w:p>
    <w:p w14:paraId="6C528C9E" w14:textId="77777777" w:rsidR="00E1114C" w:rsidRPr="0081054F" w:rsidRDefault="00E1114C">
      <w:pPr>
        <w:spacing w:line="360" w:lineRule="auto"/>
        <w:ind w:right="-93"/>
        <w:jc w:val="both"/>
        <w:rPr>
          <w:rFonts w:ascii="Palatino Linotype" w:eastAsia="Calibri" w:hAnsi="Palatino Linotype" w:cs="Tahoma"/>
          <w:bCs/>
          <w:sz w:val="22"/>
          <w:szCs w:val="22"/>
          <w:lang w:eastAsia="en-US"/>
        </w:rPr>
      </w:pPr>
    </w:p>
    <w:p w14:paraId="35E98628" w14:textId="77777777" w:rsidR="00E1114C" w:rsidRDefault="00E1114C">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w:t>
      </w:r>
      <w:r w:rsidRPr="0081054F">
        <w:rPr>
          <w:rFonts w:ascii="Palatino Linotype" w:eastAsia="Calibri" w:hAnsi="Palatino Linotype" w:cs="Tahoma"/>
          <w:bCs/>
          <w:sz w:val="22"/>
          <w:szCs w:val="22"/>
          <w:lang w:eastAsia="en-US"/>
        </w:rPr>
        <w:tab/>
        <w:t>Relación de trabajadores con las percepciones monetarias de cada uno.</w:t>
      </w:r>
    </w:p>
    <w:p w14:paraId="5ACC70A4" w14:textId="77777777" w:rsidR="00E1114C" w:rsidRDefault="00E1114C">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w:t>
      </w:r>
      <w:r w:rsidRPr="0081054F">
        <w:rPr>
          <w:rFonts w:ascii="Palatino Linotype" w:eastAsia="Calibri" w:hAnsi="Palatino Linotype" w:cs="Tahoma"/>
          <w:bCs/>
          <w:sz w:val="22"/>
          <w:szCs w:val="22"/>
          <w:lang w:eastAsia="en-US"/>
        </w:rPr>
        <w:tab/>
        <w:t>Recibo individual que contiene las prestaciones y deducciones de un trabajador.</w:t>
      </w:r>
    </w:p>
    <w:p w14:paraId="700A21AF" w14:textId="77777777" w:rsidR="00E1114C" w:rsidRPr="0081054F" w:rsidRDefault="00E1114C">
      <w:pPr>
        <w:spacing w:line="360" w:lineRule="auto"/>
        <w:ind w:left="705" w:right="-93" w:hanging="70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III.</w:t>
      </w:r>
      <w:r w:rsidRPr="0081054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4FBB3C2C" w14:textId="77777777" w:rsidR="00E1114C" w:rsidRPr="0081054F" w:rsidRDefault="00E1114C">
      <w:pPr>
        <w:spacing w:line="360" w:lineRule="auto"/>
        <w:ind w:right="-93"/>
        <w:jc w:val="both"/>
        <w:rPr>
          <w:rFonts w:ascii="Palatino Linotype" w:eastAsia="Calibri" w:hAnsi="Palatino Linotype" w:cs="Tahoma"/>
          <w:bCs/>
          <w:sz w:val="22"/>
          <w:szCs w:val="22"/>
          <w:lang w:eastAsia="en-US"/>
        </w:rPr>
      </w:pPr>
    </w:p>
    <w:p w14:paraId="5D0038BA" w14:textId="452C42B3" w:rsidR="00E1114C" w:rsidRDefault="00E1114C">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 xml:space="preserve">En ese contexto, cabe recordar que el particular solicitó </w:t>
      </w:r>
      <w:r>
        <w:rPr>
          <w:rFonts w:ascii="Palatino Linotype" w:eastAsia="Calibri" w:hAnsi="Palatino Linotype" w:cs="Tahoma"/>
          <w:bCs/>
          <w:sz w:val="22"/>
          <w:szCs w:val="22"/>
          <w:lang w:eastAsia="en-US"/>
        </w:rPr>
        <w:t>los</w:t>
      </w:r>
      <w:r w:rsidRPr="00402C98">
        <w:t xml:space="preserve"> </w:t>
      </w:r>
      <w:r w:rsidRPr="00402C98">
        <w:rPr>
          <w:rFonts w:ascii="Palatino Linotype" w:eastAsia="Calibri" w:hAnsi="Palatino Linotype" w:cs="Tahoma"/>
          <w:bCs/>
          <w:sz w:val="22"/>
          <w:szCs w:val="22"/>
          <w:lang w:eastAsia="en-US"/>
        </w:rPr>
        <w:t xml:space="preserve">recibos de pago </w:t>
      </w:r>
      <w:r>
        <w:rPr>
          <w:rFonts w:ascii="Palatino Linotype" w:eastAsia="Calibri" w:hAnsi="Palatino Linotype" w:cs="Tahoma"/>
          <w:bCs/>
          <w:sz w:val="22"/>
          <w:szCs w:val="22"/>
          <w:lang w:eastAsia="en-US"/>
        </w:rPr>
        <w:t>de</w:t>
      </w:r>
      <w:r w:rsidRPr="00402C98">
        <w:rPr>
          <w:rFonts w:ascii="Palatino Linotype" w:eastAsia="Calibri" w:hAnsi="Palatino Linotype" w:cs="Tahoma"/>
          <w:bCs/>
          <w:sz w:val="22"/>
          <w:szCs w:val="22"/>
          <w:lang w:eastAsia="en-US"/>
        </w:rPr>
        <w:t xml:space="preserve"> todos los servidores públicos del </w:t>
      </w:r>
      <w:r w:rsidR="00FA0395" w:rsidRPr="00FA0395">
        <w:rPr>
          <w:rFonts w:ascii="Palatino Linotype" w:eastAsia="Calibri" w:hAnsi="Palatino Linotype" w:cs="Tahoma"/>
          <w:b/>
          <w:bCs/>
          <w:sz w:val="22"/>
          <w:szCs w:val="22"/>
          <w:lang w:eastAsia="en-US"/>
        </w:rPr>
        <w:t>Ayuntamiento de Acolman</w:t>
      </w:r>
      <w:r w:rsidR="00FA0395" w:rsidRPr="00FA0395">
        <w:rPr>
          <w:rFonts w:ascii="Palatino Linotype" w:eastAsia="Calibri" w:hAnsi="Palatino Linotype" w:cs="Tahoma"/>
          <w:bCs/>
          <w:sz w:val="22"/>
          <w:szCs w:val="22"/>
          <w:lang w:eastAsia="en-US"/>
        </w:rPr>
        <w:t xml:space="preserve"> </w:t>
      </w:r>
      <w:r w:rsidRPr="009A2CC1">
        <w:rPr>
          <w:rFonts w:ascii="Palatino Linotype" w:eastAsia="Calibri" w:hAnsi="Palatino Linotype" w:cs="Tahoma"/>
          <w:bCs/>
          <w:sz w:val="22"/>
          <w:szCs w:val="22"/>
          <w:lang w:eastAsia="en-US"/>
        </w:rPr>
        <w:t xml:space="preserve">de </w:t>
      </w:r>
      <w:r w:rsidR="00FA0395" w:rsidRPr="00FA0395">
        <w:rPr>
          <w:rFonts w:ascii="Palatino Linotype" w:eastAsia="Calibri" w:hAnsi="Palatino Linotype" w:cs="Tahoma"/>
          <w:bCs/>
          <w:sz w:val="22"/>
          <w:szCs w:val="22"/>
          <w:lang w:eastAsia="en-US"/>
        </w:rPr>
        <w:t>la primera y segunda quincena de diciembre de dos mil dieciocho; así como a la primera y segunda quincena de los meses de enero, febrero y marzo del año dos mil diecinueve.</w:t>
      </w:r>
      <w:r w:rsidRPr="00FA0395">
        <w:rPr>
          <w:rFonts w:ascii="Palatino Linotype" w:eastAsia="Calibri" w:hAnsi="Palatino Linotype" w:cs="Tahoma"/>
          <w:bCs/>
          <w:sz w:val="22"/>
          <w:szCs w:val="22"/>
          <w:lang w:eastAsia="en-US"/>
        </w:rPr>
        <w:t>;</w:t>
      </w:r>
      <w:r w:rsidRPr="0081054F">
        <w:rPr>
          <w:rFonts w:ascii="Palatino Linotype" w:eastAsia="Calibri" w:hAnsi="Palatino Linotype" w:cs="Tahoma"/>
          <w:bCs/>
          <w:sz w:val="22"/>
          <w:szCs w:val="22"/>
          <w:lang w:eastAsia="en-US"/>
        </w:rPr>
        <w:t xml:space="preserve"> por lo que, se adv</w:t>
      </w:r>
      <w:r>
        <w:rPr>
          <w:rFonts w:ascii="Palatino Linotype" w:eastAsia="Calibri" w:hAnsi="Palatino Linotype" w:cs="Tahoma"/>
          <w:bCs/>
          <w:sz w:val="22"/>
          <w:szCs w:val="22"/>
          <w:lang w:eastAsia="en-US"/>
        </w:rPr>
        <w:t>ierte</w:t>
      </w:r>
      <w:r w:rsidRPr="0081054F">
        <w:rPr>
          <w:rFonts w:ascii="Palatino Linotype" w:eastAsia="Calibri" w:hAnsi="Palatino Linotype" w:cs="Tahoma"/>
          <w:bCs/>
          <w:sz w:val="22"/>
          <w:szCs w:val="22"/>
          <w:lang w:eastAsia="en-US"/>
        </w:rPr>
        <w:t xml:space="preserve"> que su pretensión es obtener el documento, que contenga las percepciones que reciben los servidores públicos que laboran en el </w:t>
      </w:r>
      <w:r w:rsidR="00FA0395" w:rsidRPr="00FA0395">
        <w:rPr>
          <w:rFonts w:ascii="Palatino Linotype" w:eastAsia="Calibri" w:hAnsi="Palatino Linotype" w:cs="Tahoma"/>
          <w:b/>
          <w:bCs/>
          <w:sz w:val="22"/>
          <w:szCs w:val="22"/>
          <w:lang w:eastAsia="en-US"/>
        </w:rPr>
        <w:t>Ayuntamiento de Acolman</w:t>
      </w:r>
      <w:r w:rsidRPr="009A2CC1">
        <w:rPr>
          <w:rFonts w:ascii="Palatino Linotype" w:eastAsia="Calibri" w:hAnsi="Palatino Linotype" w:cs="Tahoma"/>
          <w:bCs/>
          <w:sz w:val="22"/>
          <w:szCs w:val="22"/>
          <w:lang w:eastAsia="en-US"/>
        </w:rPr>
        <w:t>;</w:t>
      </w:r>
      <w:r w:rsidRPr="0081054F">
        <w:rPr>
          <w:rFonts w:ascii="Palatino Linotype" w:eastAsia="Calibri" w:hAnsi="Palatino Linotype" w:cs="Tahoma"/>
          <w:bCs/>
          <w:sz w:val="22"/>
          <w:szCs w:val="22"/>
          <w:lang w:eastAsia="en-US"/>
        </w:rPr>
        <w:t xml:space="preserve"> esto es, de los trabajadores de base, confianza, sindicalizados, polic</w:t>
      </w:r>
      <w:r>
        <w:rPr>
          <w:rFonts w:ascii="Palatino Linotype" w:eastAsia="Calibri" w:hAnsi="Palatino Linotype" w:cs="Tahoma"/>
          <w:bCs/>
          <w:sz w:val="22"/>
          <w:szCs w:val="22"/>
          <w:lang w:eastAsia="en-US"/>
        </w:rPr>
        <w:t xml:space="preserve">ías, temporales </w:t>
      </w:r>
      <w:r w:rsidRPr="0081054F">
        <w:rPr>
          <w:rFonts w:ascii="Palatino Linotype" w:eastAsia="Calibri" w:hAnsi="Palatino Linotype" w:cs="Tahoma"/>
          <w:bCs/>
          <w:sz w:val="22"/>
          <w:szCs w:val="22"/>
          <w:lang w:eastAsia="en-US"/>
        </w:rPr>
        <w:t>y similares.</w:t>
      </w:r>
    </w:p>
    <w:p w14:paraId="4E0796FB" w14:textId="5815C762" w:rsidR="00135ED3" w:rsidRDefault="00135ED3">
      <w:pPr>
        <w:spacing w:line="360" w:lineRule="auto"/>
        <w:ind w:right="-93"/>
        <w:jc w:val="both"/>
        <w:rPr>
          <w:rFonts w:ascii="Palatino Linotype" w:eastAsia="Calibri" w:hAnsi="Palatino Linotype" w:cs="Tahoma"/>
          <w:bCs/>
          <w:sz w:val="22"/>
          <w:szCs w:val="22"/>
          <w:lang w:eastAsia="en-US"/>
        </w:rPr>
      </w:pPr>
    </w:p>
    <w:p w14:paraId="7D62BDF9" w14:textId="77777777" w:rsidR="00E1114C" w:rsidRPr="00985849" w:rsidRDefault="00E1114C">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al tema, resulta necesario traer a colación </w:t>
      </w:r>
      <w:r>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Pr>
          <w:rFonts w:ascii="Palatino Linotype" w:eastAsia="Calibri" w:hAnsi="Palatino Linotype" w:cs="Tahoma"/>
          <w:bCs/>
          <w:sz w:val="22"/>
          <w:szCs w:val="22"/>
          <w:lang w:eastAsia="en-US"/>
        </w:rPr>
        <w:t xml:space="preserve"> y </w:t>
      </w:r>
      <w:r w:rsidRPr="00985849">
        <w:rPr>
          <w:rFonts w:ascii="Palatino Linotype" w:eastAsia="Calibri" w:hAnsi="Palatino Linotype" w:cs="Tahoma"/>
          <w:bCs/>
          <w:sz w:val="22"/>
          <w:szCs w:val="22"/>
          <w:lang w:eastAsia="en-US"/>
        </w:rPr>
        <w:t xml:space="preserve">los miembros de los Ayuntamientos, recibirán una remuneración adecuada e irrenunciable por el desempeño de su empleo, cargo o comisión, que será determinada en el presupuesto de egresos que corresponda. </w:t>
      </w:r>
    </w:p>
    <w:p w14:paraId="501EFB02" w14:textId="77777777" w:rsidR="00E1114C" w:rsidRPr="00985849" w:rsidRDefault="00E1114C">
      <w:pPr>
        <w:spacing w:line="360" w:lineRule="auto"/>
        <w:ind w:right="-93"/>
        <w:jc w:val="both"/>
        <w:rPr>
          <w:rFonts w:ascii="Palatino Linotype" w:eastAsia="Calibri" w:hAnsi="Palatino Linotype" w:cs="Tahoma"/>
          <w:bCs/>
          <w:sz w:val="22"/>
          <w:szCs w:val="22"/>
          <w:lang w:eastAsia="en-US"/>
        </w:rPr>
      </w:pPr>
    </w:p>
    <w:p w14:paraId="4F9057D0" w14:textId="77777777" w:rsidR="00E1114C" w:rsidRPr="00985849" w:rsidRDefault="00E1114C">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En orden de ideas, el artículo 3°, fracción XXXII, del Código Financiero del Estado de México y Municipios establece que la remuneración consiste en los pagos hechos por concepto de sueldo, </w:t>
      </w:r>
      <w:r w:rsidRPr="00985849">
        <w:rPr>
          <w:rFonts w:ascii="Palatino Linotype" w:eastAsia="Calibri" w:hAnsi="Palatino Linotype" w:cs="Tahoma"/>
          <w:bCs/>
          <w:sz w:val="22"/>
          <w:szCs w:val="22"/>
          <w:lang w:eastAsia="en-US"/>
        </w:rPr>
        <w:lastRenderedPageBreak/>
        <w:t>compensaciones, gratificaciones, habitación, primas, comisiones, prestaciones, en especie y cualquier otra percepción o prestación que se entregue al servidor por su trabajo.</w:t>
      </w:r>
    </w:p>
    <w:p w14:paraId="6F85A977" w14:textId="77777777" w:rsidR="00E1114C" w:rsidRDefault="00E1114C">
      <w:pPr>
        <w:spacing w:line="360" w:lineRule="auto"/>
        <w:ind w:right="-93"/>
        <w:jc w:val="both"/>
        <w:rPr>
          <w:rFonts w:ascii="Palatino Linotype" w:eastAsia="Calibri" w:hAnsi="Palatino Linotype" w:cs="Tahoma"/>
          <w:bCs/>
          <w:sz w:val="22"/>
          <w:szCs w:val="22"/>
          <w:lang w:eastAsia="en-US"/>
        </w:rPr>
      </w:pPr>
    </w:p>
    <w:p w14:paraId="75C33170" w14:textId="77777777" w:rsidR="00E1114C" w:rsidRDefault="00E1114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 la</w:t>
      </w:r>
      <w:r w:rsidRPr="002C5695">
        <w:rPr>
          <w:rFonts w:ascii="Palatino Linotype" w:eastAsia="Calibri" w:hAnsi="Palatino Linotype" w:cs="Tahoma"/>
          <w:bCs/>
          <w:sz w:val="22"/>
          <w:szCs w:val="22"/>
          <w:lang w:eastAsia="en-US"/>
        </w:rPr>
        <w:t xml:space="preserve"> Ley del Trabajo de los Servidores Públicos del Estado y Municipios, en su artículo 220</w:t>
      </w:r>
      <w:r>
        <w:rPr>
          <w:rFonts w:ascii="Palatino Linotype" w:eastAsia="Calibri" w:hAnsi="Palatino Linotype" w:cs="Tahoma"/>
          <w:bCs/>
          <w:sz w:val="22"/>
          <w:szCs w:val="22"/>
          <w:lang w:eastAsia="en-US"/>
        </w:rPr>
        <w:t xml:space="preserve"> K, establece los documentos que tiene la obligación de conservar el Sujeto Obligado, entre los que se encuentran los recibos de pagos: </w:t>
      </w:r>
    </w:p>
    <w:p w14:paraId="5C4C9597" w14:textId="77777777" w:rsidR="00E1114C" w:rsidRDefault="00E1114C">
      <w:pPr>
        <w:tabs>
          <w:tab w:val="left" w:pos="4962"/>
        </w:tabs>
        <w:spacing w:line="360" w:lineRule="auto"/>
        <w:ind w:left="567" w:right="539"/>
        <w:jc w:val="both"/>
        <w:rPr>
          <w:rFonts w:ascii="Palatino Linotype" w:hAnsi="Palatino Linotype" w:cs="Tahoma"/>
        </w:rPr>
      </w:pPr>
    </w:p>
    <w:p w14:paraId="01139E19" w14:textId="77777777" w:rsidR="00E1114C" w:rsidRPr="002C5695" w:rsidRDefault="00E1114C">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ARTÍCULO 220 K.- La institución o dependencia pública t</w:t>
      </w:r>
      <w:r>
        <w:rPr>
          <w:rFonts w:ascii="Palatino Linotype" w:hAnsi="Palatino Linotype" w:cs="Tahoma"/>
        </w:rPr>
        <w:t xml:space="preserve">iene la obligación de conservar </w:t>
      </w:r>
      <w:r w:rsidRPr="002C5695">
        <w:rPr>
          <w:rFonts w:ascii="Palatino Linotype" w:hAnsi="Palatino Linotype" w:cs="Tahoma"/>
        </w:rPr>
        <w:t>y exhibir en el proceso los documentos que a continuación se precisan:</w:t>
      </w:r>
    </w:p>
    <w:p w14:paraId="68A4C932" w14:textId="77777777" w:rsidR="00E1114C" w:rsidRPr="002C5695" w:rsidRDefault="00E1114C">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I. Contratos, Nombramientos o Formato Único de Mov</w:t>
      </w:r>
      <w:r>
        <w:rPr>
          <w:rFonts w:ascii="Palatino Linotype" w:hAnsi="Palatino Linotype" w:cs="Tahoma"/>
        </w:rPr>
        <w:t xml:space="preserve">imientos de Personal, cuando no </w:t>
      </w:r>
      <w:r w:rsidRPr="002C5695">
        <w:rPr>
          <w:rFonts w:ascii="Palatino Linotype" w:hAnsi="Palatino Linotype" w:cs="Tahoma"/>
        </w:rPr>
        <w:t>exista Convenio de condiciones generales de trabajo aplicable;</w:t>
      </w:r>
    </w:p>
    <w:p w14:paraId="14C77223" w14:textId="77777777" w:rsidR="00E1114C" w:rsidRPr="002C5695" w:rsidRDefault="00E1114C">
      <w:pPr>
        <w:tabs>
          <w:tab w:val="left" w:pos="4962"/>
        </w:tabs>
        <w:spacing w:line="360" w:lineRule="auto"/>
        <w:ind w:left="567" w:right="567"/>
        <w:jc w:val="both"/>
        <w:rPr>
          <w:rFonts w:ascii="Palatino Linotype" w:hAnsi="Palatino Linotype" w:cs="Tahoma"/>
          <w:b/>
          <w:u w:val="single"/>
        </w:rPr>
      </w:pPr>
      <w:r w:rsidRPr="002C5695">
        <w:rPr>
          <w:rFonts w:ascii="Palatino Linotype" w:hAnsi="Palatino Linotype" w:cs="Tahoma"/>
          <w:b/>
          <w:u w:val="single"/>
        </w:rPr>
        <w:t>II. Recibos de pagos de salarios o las constancias documentales del pago de salario cuando sea por depósito o mediante información electrónica;</w:t>
      </w:r>
    </w:p>
    <w:p w14:paraId="42726808" w14:textId="77777777" w:rsidR="00E1114C" w:rsidRPr="002C5695" w:rsidRDefault="00E1114C">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III. Controles de asistencia o la información magnética o e</w:t>
      </w:r>
      <w:r>
        <w:rPr>
          <w:rFonts w:ascii="Palatino Linotype" w:hAnsi="Palatino Linotype" w:cs="Tahoma"/>
        </w:rPr>
        <w:t xml:space="preserve">lectrónica de asistencia de los </w:t>
      </w:r>
      <w:r w:rsidRPr="002C5695">
        <w:rPr>
          <w:rFonts w:ascii="Palatino Linotype" w:hAnsi="Palatino Linotype" w:cs="Tahoma"/>
        </w:rPr>
        <w:t>servidores públicos;</w:t>
      </w:r>
    </w:p>
    <w:p w14:paraId="3A0DC10A" w14:textId="77777777" w:rsidR="00E1114C" w:rsidRPr="002C5695" w:rsidRDefault="00E1114C">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b/>
          <w:u w:val="single"/>
        </w:rPr>
        <w:t>IV. Recibos o las constancias de depósito o del medio de información magnética o electrónica que sean utilizadas para el pago de salarios, prima vacacional, aguinaldo y demás prestaciones establecidas en la presente ley;</w:t>
      </w:r>
      <w:r w:rsidRPr="002C5695">
        <w:rPr>
          <w:rFonts w:ascii="Palatino Linotype" w:hAnsi="Palatino Linotype" w:cs="Tahoma"/>
        </w:rPr>
        <w:t xml:space="preserve"> y</w:t>
      </w:r>
    </w:p>
    <w:p w14:paraId="3CB37712" w14:textId="77777777" w:rsidR="00E1114C" w:rsidRDefault="00E1114C">
      <w:pPr>
        <w:tabs>
          <w:tab w:val="left" w:pos="4962"/>
        </w:tabs>
        <w:spacing w:line="360" w:lineRule="auto"/>
        <w:ind w:left="567" w:right="567"/>
        <w:jc w:val="both"/>
        <w:rPr>
          <w:rFonts w:ascii="Palatino Linotype" w:hAnsi="Palatino Linotype" w:cs="Tahoma"/>
        </w:rPr>
      </w:pPr>
      <w:r w:rsidRPr="002C5695">
        <w:rPr>
          <w:rFonts w:ascii="Palatino Linotype" w:hAnsi="Palatino Linotype" w:cs="Tahoma"/>
        </w:rPr>
        <w:t>V. Los demás que señalen las leyes.</w:t>
      </w:r>
    </w:p>
    <w:p w14:paraId="4BEBD098" w14:textId="77777777" w:rsidR="00E1114C" w:rsidRDefault="00E1114C">
      <w:pPr>
        <w:tabs>
          <w:tab w:val="left" w:pos="4962"/>
        </w:tabs>
        <w:spacing w:line="360" w:lineRule="auto"/>
        <w:ind w:left="567" w:right="567"/>
        <w:jc w:val="both"/>
        <w:rPr>
          <w:rFonts w:ascii="Palatino Linotype" w:hAnsi="Palatino Linotype" w:cs="Tahoma"/>
        </w:rPr>
      </w:pPr>
    </w:p>
    <w:p w14:paraId="30AE3601" w14:textId="77777777" w:rsidR="00E1114C" w:rsidRDefault="00E1114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a lo anterior, </w:t>
      </w:r>
      <w:r w:rsidRPr="006A3E93">
        <w:rPr>
          <w:rFonts w:ascii="Palatino Linotype" w:eastAsia="Calibri" w:hAnsi="Palatino Linotype" w:cs="Tahoma"/>
          <w:bCs/>
          <w:sz w:val="22"/>
          <w:szCs w:val="22"/>
          <w:lang w:eastAsia="en-US"/>
        </w:rPr>
        <w:t xml:space="preserve">es necesario señalar </w:t>
      </w:r>
      <w:r>
        <w:rPr>
          <w:rFonts w:ascii="Palatino Linotype" w:eastAsia="Calibri" w:hAnsi="Palatino Linotype" w:cs="Tahoma"/>
          <w:bCs/>
          <w:sz w:val="22"/>
          <w:szCs w:val="22"/>
          <w:lang w:eastAsia="en-US"/>
        </w:rPr>
        <w:t>que, e</w:t>
      </w:r>
      <w:r w:rsidRPr="006A3E93">
        <w:rPr>
          <w:rFonts w:ascii="Palatino Linotype" w:eastAsia="Calibri" w:hAnsi="Palatino Linotype" w:cs="Tahoma"/>
          <w:bCs/>
          <w:sz w:val="22"/>
          <w:szCs w:val="22"/>
          <w:lang w:eastAsia="en-US"/>
        </w:rPr>
        <w:t>l Órgano Superior de Fiscalización</w:t>
      </w:r>
      <w:r>
        <w:rPr>
          <w:rFonts w:ascii="Palatino Linotype" w:eastAsia="Calibri" w:hAnsi="Palatino Linotype" w:cs="Tahoma"/>
          <w:bCs/>
          <w:sz w:val="22"/>
          <w:szCs w:val="22"/>
          <w:lang w:eastAsia="en-US"/>
        </w:rPr>
        <w:t xml:space="preserve"> del Estado de México (OSFEM)</w:t>
      </w:r>
      <w:r w:rsidRPr="006A3E93">
        <w:rPr>
          <w:rFonts w:ascii="Palatino Linotype" w:eastAsia="Calibri" w:hAnsi="Palatino Linotype" w:cs="Tahoma"/>
          <w:bCs/>
          <w:sz w:val="22"/>
          <w:szCs w:val="22"/>
          <w:lang w:eastAsia="en-US"/>
        </w:rPr>
        <w:t xml:space="preserve"> emite anualmente los Lineamientos para </w:t>
      </w:r>
      <w:r>
        <w:rPr>
          <w:rFonts w:ascii="Palatino Linotype" w:eastAsia="Calibri" w:hAnsi="Palatino Linotype" w:cs="Tahoma"/>
          <w:bCs/>
          <w:sz w:val="22"/>
          <w:szCs w:val="22"/>
          <w:lang w:eastAsia="en-US"/>
        </w:rPr>
        <w:t>la elaboración y presentación del Informe Mensual Municipal, los cuales tienen como objetivo establecer las especificaciones necesarias que las entidades fiscalizables deben cumplir para la elaboración y presentación de los informes mensuales.</w:t>
      </w:r>
    </w:p>
    <w:p w14:paraId="265A9596" w14:textId="77777777" w:rsidR="00E1114C" w:rsidRPr="006A3E93" w:rsidRDefault="00E1114C">
      <w:pPr>
        <w:spacing w:line="360" w:lineRule="auto"/>
        <w:ind w:right="-93"/>
        <w:jc w:val="both"/>
        <w:rPr>
          <w:rFonts w:ascii="Palatino Linotype" w:eastAsia="Calibri" w:hAnsi="Palatino Linotype" w:cs="Tahoma"/>
          <w:bCs/>
          <w:i/>
          <w:sz w:val="22"/>
          <w:szCs w:val="22"/>
          <w:lang w:eastAsia="en-US"/>
        </w:rPr>
      </w:pPr>
    </w:p>
    <w:p w14:paraId="7C29716E" w14:textId="77777777" w:rsidR="00E1114C" w:rsidRDefault="00E1114C">
      <w:pPr>
        <w:spacing w:line="360" w:lineRule="auto"/>
        <w:ind w:right="-93"/>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lastRenderedPageBreak/>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w:t>
      </w:r>
      <w:r w:rsidRPr="00663A0B">
        <w:rPr>
          <w:rFonts w:ascii="Palatino Linotype" w:eastAsia="Calibri" w:hAnsi="Palatino Linotype" w:cs="Tahoma"/>
          <w:bCs/>
          <w:sz w:val="22"/>
          <w:szCs w:val="22"/>
          <w:lang w:eastAsia="en-US"/>
        </w:rPr>
        <w:t>de Fiscalización  dentro de los veinte días posteriores al término del mes correspondiente tal y como lo señala el artículo 32 de la Ley de Fiscalización Superior del Estado de México.</w:t>
      </w:r>
    </w:p>
    <w:p w14:paraId="5CF19646" w14:textId="77777777" w:rsidR="00E1114C" w:rsidRDefault="00E1114C">
      <w:pPr>
        <w:spacing w:line="360" w:lineRule="auto"/>
        <w:ind w:right="-93"/>
        <w:jc w:val="both"/>
        <w:rPr>
          <w:rFonts w:ascii="Palatino Linotype" w:eastAsia="Calibri" w:hAnsi="Palatino Linotype" w:cs="Tahoma"/>
          <w:bCs/>
          <w:sz w:val="22"/>
          <w:szCs w:val="22"/>
          <w:lang w:eastAsia="en-US"/>
        </w:rPr>
      </w:pPr>
    </w:p>
    <w:p w14:paraId="3B1EEB73" w14:textId="77777777" w:rsidR="00E1114C" w:rsidRPr="00A50EAF" w:rsidRDefault="00E1114C">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t xml:space="preserve">Ahora bien, en los Lineamientos </w:t>
      </w:r>
      <w:r>
        <w:rPr>
          <w:rFonts w:ascii="Palatino Linotype" w:eastAsia="Calibri" w:hAnsi="Palatino Linotype" w:cs="Tahoma"/>
          <w:bCs/>
          <w:sz w:val="22"/>
          <w:szCs w:val="22"/>
          <w:lang w:eastAsia="en-US"/>
        </w:rPr>
        <w:t>en cita</w:t>
      </w:r>
      <w:r w:rsidRPr="00A50EAF">
        <w:rPr>
          <w:rFonts w:ascii="Palatino Linotype" w:eastAsia="Calibri" w:hAnsi="Palatino Linotype" w:cs="Tahoma"/>
          <w:bCs/>
          <w:sz w:val="22"/>
          <w:szCs w:val="22"/>
          <w:lang w:eastAsia="en-US"/>
        </w:rPr>
        <w:t xml:space="preserve">, se advierte el análisis que nos ocupa, específicamente el Disco 4, relativo a la información de nómina, </w:t>
      </w:r>
      <w:r>
        <w:rPr>
          <w:rFonts w:ascii="Palatino Linotype" w:eastAsia="Calibri" w:hAnsi="Palatino Linotype" w:cs="Tahoma"/>
          <w:bCs/>
          <w:sz w:val="22"/>
          <w:szCs w:val="22"/>
          <w:lang w:eastAsia="en-US"/>
        </w:rPr>
        <w:t>el cual describe cómo debe llevarse a cabo</w:t>
      </w:r>
      <w:r w:rsidRPr="00A50EAF">
        <w:rPr>
          <w:rFonts w:ascii="Palatino Linotype" w:eastAsia="Calibri" w:hAnsi="Palatino Linotype" w:cs="Tahoma"/>
          <w:bCs/>
          <w:sz w:val="22"/>
          <w:szCs w:val="22"/>
          <w:lang w:val="es-ES" w:eastAsia="en-US"/>
        </w:rPr>
        <w:t xml:space="preserve"> la presentación de la Información a la Nómina</w:t>
      </w:r>
      <w:r>
        <w:rPr>
          <w:rFonts w:ascii="Palatino Linotype" w:eastAsia="Calibri" w:hAnsi="Palatino Linotype" w:cs="Tahoma"/>
          <w:bCs/>
          <w:sz w:val="22"/>
          <w:szCs w:val="22"/>
          <w:lang w:val="es-ES" w:eastAsia="en-US"/>
        </w:rPr>
        <w:t xml:space="preserve"> por parte de los Ayuntamientos</w:t>
      </w:r>
      <w:r w:rsidRPr="00A50EAF">
        <w:rPr>
          <w:rFonts w:ascii="Palatino Linotype" w:eastAsia="Calibri" w:hAnsi="Palatino Linotype" w:cs="Tahoma"/>
          <w:bCs/>
          <w:sz w:val="22"/>
          <w:szCs w:val="22"/>
          <w:lang w:val="es-ES" w:eastAsia="en-US"/>
        </w:rPr>
        <w:t xml:space="preserve"> tal y como se muestra en las siguientes imágenes: </w:t>
      </w:r>
    </w:p>
    <w:p w14:paraId="40C4B1E6" w14:textId="01763DFA" w:rsidR="00E1114C" w:rsidRDefault="00E1114C">
      <w:pPr>
        <w:spacing w:line="360" w:lineRule="auto"/>
        <w:jc w:val="both"/>
        <w:rPr>
          <w:rFonts w:ascii="Palatino Linotype" w:eastAsia="Calibri" w:hAnsi="Palatino Linotype" w:cs="Tahoma"/>
          <w:sz w:val="22"/>
          <w:szCs w:val="22"/>
          <w:lang w:val="es-ES" w:eastAsia="es-ES_tradnl"/>
        </w:rPr>
      </w:pPr>
    </w:p>
    <w:p w14:paraId="303445BC" w14:textId="34E6AAF2" w:rsidR="00E1114C" w:rsidRDefault="00E1114C">
      <w:pPr>
        <w:spacing w:line="360" w:lineRule="auto"/>
        <w:jc w:val="both"/>
        <w:rPr>
          <w:rFonts w:ascii="Palatino Linotype" w:eastAsia="Calibri" w:hAnsi="Palatino Linotype" w:cs="Tahoma"/>
          <w:sz w:val="22"/>
          <w:szCs w:val="22"/>
          <w:lang w:val="es-ES" w:eastAsia="es-ES_tradnl"/>
        </w:rPr>
      </w:pPr>
      <w:r w:rsidRPr="00BC1085">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22933283" wp14:editId="5069DF0E">
                <wp:simplePos x="0" y="0"/>
                <wp:positionH relativeFrom="margin">
                  <wp:posOffset>563245</wp:posOffset>
                </wp:positionH>
                <wp:positionV relativeFrom="paragraph">
                  <wp:posOffset>2684145</wp:posOffset>
                </wp:positionV>
                <wp:extent cx="1892300" cy="765810"/>
                <wp:effectExtent l="76200" t="38100" r="69850" b="91440"/>
                <wp:wrapNone/>
                <wp:docPr id="8" name="Rectángulo redondeado 18"/>
                <wp:cNvGraphicFramePr/>
                <a:graphic xmlns:a="http://schemas.openxmlformats.org/drawingml/2006/main">
                  <a:graphicData uri="http://schemas.microsoft.com/office/word/2010/wordprocessingShape">
                    <wps:wsp>
                      <wps:cNvSpPr/>
                      <wps:spPr>
                        <a:xfrm>
                          <a:off x="0" y="0"/>
                          <a:ext cx="1892300" cy="765810"/>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671EC" id="Rectángulo redondeado 18" o:spid="_x0000_s1026" style="position:absolute;margin-left:44.35pt;margin-top:211.35pt;width:149pt;height:60.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24uQIAAGIFAAAOAAAAZHJzL2Uyb0RvYy54bWysVEtu2zAQ3RfoHQjuG9mOnThG5MBw4KJA&#10;kAZxiqxpirIEUByWpGKnt+lZerE+UnLiNF0V3UgznOF83pvh5dW+0exJOV+TyfnwZMCZMpKK2mxz&#10;/u1h9WnKmQ/CFEKTUTl/Vp5fzT9+uNzZmRpRRbpQjiGI8bOdzXkVgp1lmZeVaoQ/IasMjCW5RgSo&#10;bpsVTuwQvdHZaDA4y3bkCutIKu9xet0Z+TzFL0slw9ey9CownXPUFtLXpe8mfrP5pZhtnbBVLfsy&#10;xD9U0YjaIOlLqGsRBGtd/S5UU0tHnspwIqnJqCxrqVIP6GY4+KObdSWsSr0AHG9fYPL/L6y8fbpz&#10;rC5yDqKMaEDRPUD79dNsW03MqYJMoURBbDiNYO2sn+HO2t65XvMQY+f70jXxj57YPgH8/AKw2gcm&#10;cTicXoxOB+BBwnZ+NpkOEwPZ623rfPisqGFRyLmj1hSxoASueLrxAWnhf/CLGQ2taq0Tk9qwXc5H&#10;08n5BEkEBqrUIkBsLFr0ZsuZ0FtMqgwuhfSk6yJej4G8226W2rEngWlZrZYDlNqle+MWc18LX3V+&#10;ydS7aRPDqDR3KDXB0Qbl1lWxYxvdunuBMsaICwyKOnYY8UgKhnKSLNAchcc6VIn/COK74mIEXIvn&#10;QttKdKWcTuJhX3HXSwKLDjUk7ai8LNLZERilDRXPmAZkT/x5K1c1er0RPtwJh71Aadj18BWfUhOQ&#10;pl7irCL342/n0R/jCitnO+wZWPjeCqc4018MBvliOB4jbEjKeHI+iu0fWzbHFtM2SwI5Q7wqViYx&#10;+gd9EEtHzSOehEXMCpMwErk7vntlGbr9x6Mi1WKR3LCMVoQbs7YyBo+4RpYf9o/C2X4WA6b4lg47&#10;CeDfTmPnG28aWrSByjqN6iuuAD8qWOREQ//oxJfiWE9er0/j/DcAAAD//wMAUEsDBBQABgAIAAAA&#10;IQDUWvLv4QAAAAoBAAAPAAAAZHJzL2Rvd25yZXYueG1sTI9RS8MwEMffBb9DOMEXcema2ZXadAxB&#10;EATB6tgesyZri82lJOlWv73nk779j/vxv9+Vm9kO7Gx86B1KWC4SYAYbp3tsJXx+PN/nwEJUqNXg&#10;0Ej4NgE21fVVqQrtLvhuznVsGZVgKJSELsax4Dw0nbEqLNxokHYn562KNPqWa68uVG4HniZJxq3q&#10;kS50ajRPnWm+6slKOLy8vYr94bRbZlNa323XaIVHKW9v5u0jsGjm+AfDrz6pQ0VORzehDmyQkOdr&#10;IiWs0pQCASLPKBwlPKyEAF6V/P8L1Q8AAAD//wMAUEsBAi0AFAAGAAgAAAAhALaDOJL+AAAA4QEA&#10;ABMAAAAAAAAAAAAAAAAAAAAAAFtDb250ZW50X1R5cGVzXS54bWxQSwECLQAUAAYACAAAACEAOP0h&#10;/9YAAACUAQAACwAAAAAAAAAAAAAAAAAvAQAAX3JlbHMvLnJlbHNQSwECLQAUAAYACAAAACEAoJCd&#10;uLkCAABiBQAADgAAAAAAAAAAAAAAAAAuAgAAZHJzL2Uyb0RvYy54bWxQSwECLQAUAAYACAAAACEA&#10;1Fry7+EAAAAKAQAADwAAAAAAAAAAAAAAAAATBQAAZHJzL2Rvd25yZXYueG1sUEsFBgAAAAAEAAQA&#10;8wAAACEGAAAAAA==&#10;" filled="f" strokecolor="#ffc000" strokeweight="2.25pt">
                <v:shadow on="t" color="black" opacity="22937f" origin=",.5" offset="0,.63889mm"/>
                <w10:wrap anchorx="margin"/>
              </v:roundrect>
            </w:pict>
          </mc:Fallback>
        </mc:AlternateContent>
      </w:r>
      <w:r w:rsidRPr="00E1114C">
        <w:rPr>
          <w:rFonts w:ascii="Palatino Linotype" w:eastAsia="Calibri" w:hAnsi="Palatino Linotype" w:cs="Tahoma"/>
          <w:bCs/>
          <w:noProof/>
          <w:color w:val="A8D08D" w:themeColor="accent6" w:themeTint="99"/>
          <w:sz w:val="22"/>
          <w:szCs w:val="22"/>
          <w:lang w:eastAsia="es-MX"/>
        </w:rPr>
        <mc:AlternateContent>
          <mc:Choice Requires="wps">
            <w:drawing>
              <wp:anchor distT="0" distB="0" distL="114300" distR="114300" simplePos="0" relativeHeight="251659264" behindDoc="0" locked="0" layoutInCell="1" allowOverlap="1" wp14:anchorId="7D63D588" wp14:editId="4CC60264">
                <wp:simplePos x="0" y="0"/>
                <wp:positionH relativeFrom="margin">
                  <wp:posOffset>2419350</wp:posOffset>
                </wp:positionH>
                <wp:positionV relativeFrom="paragraph">
                  <wp:posOffset>904875</wp:posOffset>
                </wp:positionV>
                <wp:extent cx="540440" cy="142848"/>
                <wp:effectExtent l="76200" t="38100" r="50165" b="86360"/>
                <wp:wrapNone/>
                <wp:docPr id="5" name="Rectángulo redondeado 31"/>
                <wp:cNvGraphicFramePr/>
                <a:graphic xmlns:a="http://schemas.openxmlformats.org/drawingml/2006/main">
                  <a:graphicData uri="http://schemas.microsoft.com/office/word/2010/wordprocessingShape">
                    <wps:wsp>
                      <wps:cNvSpPr/>
                      <wps:spPr>
                        <a:xfrm>
                          <a:off x="0" y="0"/>
                          <a:ext cx="540440" cy="142848"/>
                        </a:xfrm>
                        <a:prstGeom prst="roundRect">
                          <a:avLst/>
                        </a:prstGeom>
                        <a:noFill/>
                        <a:ln w="28575" cap="flat" cmpd="sng" algn="ctr">
                          <a:solidFill>
                            <a:srgbClr val="FFC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55B38" id="Rectángulo redondeado 31" o:spid="_x0000_s1026" style="position:absolute;margin-left:190.5pt;margin-top:71.25pt;width:42.55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PotQIAAGEFAAAOAAAAZHJzL2Uyb0RvYy54bWysVM1u2zAMvg/YOwi6r3bSZM2MOkWQIsOA&#10;oiuaDj0zsvwDyKImyXG6t9mz7MVGyW6atTsNu9ikSPHn40ddXh1axfbSugZ1zidnKWdSCywaXeX8&#10;28Pmw4Iz50EXoFDLnD9Jx6+W799d9iaTU6xRFdIyCqJd1puc196bLEmcqGUL7gyN1GQs0bbgSbVV&#10;UljoKXqrkmmafkx6tIWxKKRzdHo9GPkyxi9LKfzXsnTSM5Vzqs3Hr43fXfgmy0vIKgumbsRYBvxD&#10;FS00mpIeQ12DB9bZ5k2othEWHZb+TGCbYFk2QsYeqJtJ+qqbbQ1Gxl4IHGeOMLn/F1bc7u8sa4qc&#10;zznT0NKI7gm0Xz911SlkVhaoCwkFsvNJAKs3LqM7W3NnR82RGDo/lLYNf+qJHSLAT0eA5cEzQYfz&#10;WTqb0RgEmSaz6WK2CDGTl8vGOv9ZYsuCkHOLnS5CPRFb2N84P/g/+4WEGjeNUnQOmdKsz/l0Mb+g&#10;bgQQn0oFnsTWUIdOV5yBqoiowtsY0qFqinA93Ha22q2VZXsgsmw26zSN/KDy/nALua/B1YNfNI1d&#10;KB3CyEg7KjUo2Hlpt3XRs53q7D1QGTOKSxgUTehwej4qxElCZzBZ9I+Nr+P4A4Zviot+wzkoU8NQ&#10;yvk8xBoAGnuJ4B5riNpJeUmY5jC/IO2weCIyUPY4PmfEpqFeb8D5O7C0FlQ1rbr/Sp9SISGNo8RZ&#10;jfbH386DP7GVrJz1tGY0he8dWMmZ+qKJx58mkRA+KrP5xZRy2FPL7tSiu3aNNJwJPSpGRDH4e/Us&#10;lhbbR3oRViErmUALyj3Me1TWflh/elOEXK2iG+2iAX+jt0aE4AHvMOWHwyNYM3LRE4lv8XklIXvF&#10;xsE33NS46jyWTaTqC64EflBoj+MYxjcnPBSnevR6eRmXvwEAAP//AwBQSwMEFAAGAAgAAAAhAOAb&#10;SI/iAAAACwEAAA8AAABkcnMvZG93bnJldi54bWxMj19LwzAUxd8Fv0O4gi+ypX+2OGrTMQRBEASr&#10;wz1mTdYWm5uSpFv99l6f9PGeczj3d8rtbAd2Nj70DiWkywSYwcbpHlsJH+9Piw2wEBVqNTg0Er5N&#10;gG11fVWqQrsLvplzHVtGJRgKJaGLcSw4D01nrApLNxok7+S8VZFO33Lt1YXK7cCzJBHcqh7pQ6dG&#10;89iZ5querITD8+tL/nk47VMxZfXd7h5t7lHK25t59wAsmjn+heEXn9ChIqajm1AHNkjINyltiWSs&#10;sjUwSqyESIEdSRHrBHhV8v8bqh8AAAD//wMAUEsBAi0AFAAGAAgAAAAhALaDOJL+AAAA4QEAABMA&#10;AAAAAAAAAAAAAAAAAAAAAFtDb250ZW50X1R5cGVzXS54bWxQSwECLQAUAAYACAAAACEAOP0h/9YA&#10;AACUAQAACwAAAAAAAAAAAAAAAAAvAQAAX3JlbHMvLnJlbHNQSwECLQAUAAYACAAAACEA+e2z6LUC&#10;AABhBQAADgAAAAAAAAAAAAAAAAAuAgAAZHJzL2Uyb0RvYy54bWxQSwECLQAUAAYACAAAACEA4BtI&#10;j+IAAAALAQAADwAAAAAAAAAAAAAAAAAPBQAAZHJzL2Rvd25yZXYueG1sUEsFBgAAAAAEAAQA8wAA&#10;AB4GAAAAAA==&#10;" filled="f" strokecolor="#ffc000" strokeweight="2.25pt">
                <v:shadow on="t" color="black" opacity="22937f" origin=",.5" offset="0,.63889mm"/>
                <w10:wrap anchorx="margin"/>
              </v:roundrect>
            </w:pict>
          </mc:Fallback>
        </mc:AlternateContent>
      </w:r>
      <w:r w:rsidRPr="00BC1085">
        <w:rPr>
          <w:rFonts w:ascii="Palatino Linotype" w:eastAsia="Calibri" w:hAnsi="Palatino Linotype" w:cs="Tahoma"/>
          <w:bCs/>
          <w:noProof/>
          <w:sz w:val="22"/>
          <w:szCs w:val="22"/>
          <w:lang w:eastAsia="es-MX"/>
        </w:rPr>
        <w:drawing>
          <wp:inline distT="0" distB="0" distL="0" distR="0" wp14:anchorId="2843F240" wp14:editId="4CE31AFC">
            <wp:extent cx="5731510" cy="4010025"/>
            <wp:effectExtent l="0" t="0" r="254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200" t="19269" r="15372" b="16211"/>
                    <a:stretch/>
                  </pic:blipFill>
                  <pic:spPr bwMode="auto">
                    <a:xfrm>
                      <a:off x="0" y="0"/>
                      <a:ext cx="5784600" cy="4047169"/>
                    </a:xfrm>
                    <a:prstGeom prst="rect">
                      <a:avLst/>
                    </a:prstGeom>
                    <a:ln>
                      <a:noFill/>
                    </a:ln>
                    <a:extLst>
                      <a:ext uri="{53640926-AAD7-44D8-BBD7-CCE9431645EC}">
                        <a14:shadowObscured xmlns:a14="http://schemas.microsoft.com/office/drawing/2010/main"/>
                      </a:ext>
                    </a:extLst>
                  </pic:spPr>
                </pic:pic>
              </a:graphicData>
            </a:graphic>
          </wp:inline>
        </w:drawing>
      </w:r>
    </w:p>
    <w:p w14:paraId="1038DC76" w14:textId="4A4853AC" w:rsidR="00793CE9" w:rsidRDefault="00793CE9">
      <w:pPr>
        <w:spacing w:line="360" w:lineRule="auto"/>
        <w:jc w:val="both"/>
        <w:rPr>
          <w:rFonts w:ascii="Palatino Linotype" w:eastAsia="Calibri" w:hAnsi="Palatino Linotype" w:cs="Tahoma"/>
          <w:sz w:val="22"/>
          <w:szCs w:val="22"/>
          <w:lang w:val="es-ES" w:eastAsia="es-ES_tradnl"/>
        </w:rPr>
      </w:pPr>
    </w:p>
    <w:p w14:paraId="53BED1F6" w14:textId="28819716" w:rsidR="00793CE9" w:rsidRDefault="00793CE9">
      <w:pPr>
        <w:spacing w:line="360" w:lineRule="auto"/>
        <w:jc w:val="both"/>
        <w:rPr>
          <w:rFonts w:ascii="Palatino Linotype" w:eastAsia="Calibri" w:hAnsi="Palatino Linotype" w:cs="Tahoma"/>
          <w:sz w:val="22"/>
          <w:szCs w:val="22"/>
          <w:lang w:val="es-ES" w:eastAsia="es-ES_tradnl"/>
        </w:rPr>
      </w:pPr>
      <w:r w:rsidRPr="00BC1085">
        <w:rPr>
          <w:rFonts w:ascii="Palatino Linotype" w:eastAsia="Calibri" w:hAnsi="Palatino Linotype" w:cs="Tahoma"/>
          <w:bCs/>
          <w:noProof/>
          <w:sz w:val="22"/>
          <w:szCs w:val="22"/>
          <w:lang w:eastAsia="es-MX"/>
        </w:rPr>
        <w:drawing>
          <wp:inline distT="0" distB="0" distL="0" distR="0" wp14:anchorId="417046FA" wp14:editId="2B6FE2B6">
            <wp:extent cx="5742413" cy="5858540"/>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10" t="19115" r="20245" b="14959"/>
                    <a:stretch/>
                  </pic:blipFill>
                  <pic:spPr bwMode="auto">
                    <a:xfrm>
                      <a:off x="0" y="0"/>
                      <a:ext cx="5745892" cy="5862089"/>
                    </a:xfrm>
                    <a:prstGeom prst="rect">
                      <a:avLst/>
                    </a:prstGeom>
                    <a:ln>
                      <a:noFill/>
                    </a:ln>
                    <a:extLst>
                      <a:ext uri="{53640926-AAD7-44D8-BBD7-CCE9431645EC}">
                        <a14:shadowObscured xmlns:a14="http://schemas.microsoft.com/office/drawing/2010/main"/>
                      </a:ext>
                    </a:extLst>
                  </pic:spPr>
                </pic:pic>
              </a:graphicData>
            </a:graphic>
          </wp:inline>
        </w:drawing>
      </w:r>
    </w:p>
    <w:p w14:paraId="0E8DDFCB" w14:textId="2CDD3EFF" w:rsidR="00793CE9" w:rsidRDefault="00793CE9">
      <w:pPr>
        <w:spacing w:line="360" w:lineRule="auto"/>
        <w:jc w:val="both"/>
        <w:rPr>
          <w:rFonts w:ascii="Palatino Linotype" w:eastAsia="Calibri" w:hAnsi="Palatino Linotype" w:cs="Tahoma"/>
          <w:sz w:val="22"/>
          <w:szCs w:val="22"/>
          <w:lang w:val="es-ES" w:eastAsia="es-ES_tradnl"/>
        </w:rPr>
      </w:pPr>
    </w:p>
    <w:p w14:paraId="3EC68BD6" w14:textId="467C991E" w:rsidR="00793CE9" w:rsidRDefault="00793CE9" w:rsidP="000A0EEC">
      <w:pPr>
        <w:spacing w:line="360" w:lineRule="auto"/>
        <w:jc w:val="center"/>
        <w:rPr>
          <w:rFonts w:ascii="Palatino Linotype" w:eastAsia="Calibri" w:hAnsi="Palatino Linotype" w:cs="Tahoma"/>
          <w:sz w:val="22"/>
          <w:szCs w:val="22"/>
          <w:lang w:val="es-ES" w:eastAsia="es-ES_tradnl"/>
        </w:rPr>
      </w:pPr>
      <w:r w:rsidRPr="00BC1085">
        <w:rPr>
          <w:rFonts w:ascii="Palatino Linotype" w:eastAsia="Calibri" w:hAnsi="Palatino Linotype" w:cs="Tahoma"/>
          <w:bCs/>
          <w:noProof/>
          <w:sz w:val="22"/>
          <w:szCs w:val="22"/>
          <w:lang w:eastAsia="es-MX"/>
        </w:rPr>
        <w:lastRenderedPageBreak/>
        <w:drawing>
          <wp:inline distT="0" distB="0" distL="0" distR="0" wp14:anchorId="1131820E" wp14:editId="3357067D">
            <wp:extent cx="5253990" cy="6970143"/>
            <wp:effectExtent l="0" t="0" r="381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06" t="7330" r="32130" b="6155"/>
                    <a:stretch/>
                  </pic:blipFill>
                  <pic:spPr bwMode="auto">
                    <a:xfrm>
                      <a:off x="0" y="0"/>
                      <a:ext cx="5253990" cy="6970143"/>
                    </a:xfrm>
                    <a:prstGeom prst="rect">
                      <a:avLst/>
                    </a:prstGeom>
                    <a:ln>
                      <a:noFill/>
                    </a:ln>
                    <a:extLst>
                      <a:ext uri="{53640926-AAD7-44D8-BBD7-CCE9431645EC}">
                        <a14:shadowObscured xmlns:a14="http://schemas.microsoft.com/office/drawing/2010/main"/>
                      </a:ext>
                    </a:extLst>
                  </pic:spPr>
                </pic:pic>
              </a:graphicData>
            </a:graphic>
          </wp:inline>
        </w:drawing>
      </w:r>
    </w:p>
    <w:p w14:paraId="350AE280" w14:textId="2168689A" w:rsidR="00793CE9" w:rsidRDefault="00793CE9">
      <w:pPr>
        <w:spacing w:line="360" w:lineRule="auto"/>
        <w:jc w:val="both"/>
        <w:rPr>
          <w:rFonts w:ascii="Palatino Linotype" w:eastAsia="Calibri" w:hAnsi="Palatino Linotype" w:cs="Tahoma"/>
          <w:sz w:val="22"/>
          <w:szCs w:val="22"/>
          <w:lang w:val="es-ES" w:eastAsia="es-ES_tradnl"/>
        </w:rPr>
      </w:pPr>
    </w:p>
    <w:p w14:paraId="3D819B7C" w14:textId="5ECAF893" w:rsidR="00793CE9" w:rsidRDefault="00793CE9">
      <w:pPr>
        <w:spacing w:line="360" w:lineRule="auto"/>
        <w:jc w:val="center"/>
        <w:rPr>
          <w:rFonts w:ascii="Palatino Linotype" w:eastAsia="Calibri" w:hAnsi="Palatino Linotype" w:cs="Tahoma"/>
          <w:sz w:val="22"/>
          <w:szCs w:val="22"/>
          <w:lang w:val="es-ES" w:eastAsia="es-ES_tradnl"/>
        </w:rPr>
      </w:pPr>
      <w:r w:rsidRPr="00BC1085">
        <w:rPr>
          <w:rFonts w:ascii="Palatino Linotype" w:eastAsia="Calibri" w:hAnsi="Palatino Linotype" w:cs="Tahoma"/>
          <w:bCs/>
          <w:noProof/>
          <w:sz w:val="22"/>
          <w:szCs w:val="22"/>
          <w:lang w:eastAsia="es-MX"/>
        </w:rPr>
        <w:lastRenderedPageBreak/>
        <w:drawing>
          <wp:inline distT="0" distB="0" distL="0" distR="0" wp14:anchorId="2BAF1245" wp14:editId="765CA5FF">
            <wp:extent cx="4539717" cy="3004861"/>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430" t="16584" r="21982" b="7421"/>
                    <a:stretch/>
                  </pic:blipFill>
                  <pic:spPr bwMode="auto">
                    <a:xfrm>
                      <a:off x="0" y="0"/>
                      <a:ext cx="4561363" cy="3019189"/>
                    </a:xfrm>
                    <a:prstGeom prst="rect">
                      <a:avLst/>
                    </a:prstGeom>
                    <a:ln>
                      <a:noFill/>
                    </a:ln>
                    <a:extLst>
                      <a:ext uri="{53640926-AAD7-44D8-BBD7-CCE9431645EC}">
                        <a14:shadowObscured xmlns:a14="http://schemas.microsoft.com/office/drawing/2010/main"/>
                      </a:ext>
                    </a:extLst>
                  </pic:spPr>
                </pic:pic>
              </a:graphicData>
            </a:graphic>
          </wp:inline>
        </w:drawing>
      </w:r>
    </w:p>
    <w:p w14:paraId="2BD2218D" w14:textId="352392A9" w:rsidR="002E5FD1" w:rsidRDefault="002E5FD1">
      <w:pPr>
        <w:spacing w:line="360" w:lineRule="auto"/>
        <w:jc w:val="both"/>
        <w:rPr>
          <w:rFonts w:ascii="Palatino Linotype" w:eastAsia="Calibri" w:hAnsi="Palatino Linotype" w:cs="Tahoma"/>
          <w:sz w:val="22"/>
          <w:szCs w:val="22"/>
          <w:lang w:val="es-ES" w:eastAsia="es-ES_tradnl"/>
        </w:rPr>
      </w:pPr>
    </w:p>
    <w:p w14:paraId="156BF44D" w14:textId="3B418A3C" w:rsidR="0001700B" w:rsidRDefault="0001700B">
      <w:pPr>
        <w:spacing w:line="360" w:lineRule="auto"/>
        <w:ind w:right="-91"/>
        <w:jc w:val="both"/>
        <w:rPr>
          <w:rFonts w:ascii="Palatino Linotype" w:eastAsia="Calibri" w:hAnsi="Palatino Linotype" w:cs="Tahoma"/>
          <w:bCs/>
          <w:sz w:val="22"/>
          <w:szCs w:val="22"/>
          <w:lang w:val="es-ES" w:eastAsia="en-US"/>
        </w:rPr>
      </w:pPr>
      <w:r w:rsidRPr="00D4447D">
        <w:rPr>
          <w:rFonts w:ascii="Palatino Linotype" w:eastAsia="Calibri" w:hAnsi="Palatino Linotype" w:cs="Tahoma"/>
          <w:bCs/>
          <w:sz w:val="22"/>
          <w:szCs w:val="22"/>
          <w:lang w:val="es-ES" w:eastAsia="en-US"/>
        </w:rPr>
        <w:t xml:space="preserve">Atento a lo anterior, resulta claro que existe fuente obligacional que constriñe al Sujeto Obligado, para entregar los informes mensuales al OSFEM de conformidad con el artículo 32 de la Ley de Fiscalización Superior del Estado de México, en los cuales se incluye lo referente a la nómina general, que comprende la información </w:t>
      </w:r>
      <w:r>
        <w:rPr>
          <w:rFonts w:ascii="Palatino Linotype" w:eastAsia="Calibri" w:hAnsi="Palatino Linotype" w:cs="Tahoma"/>
          <w:bCs/>
          <w:sz w:val="22"/>
          <w:szCs w:val="22"/>
          <w:lang w:eastAsia="en-US"/>
        </w:rPr>
        <w:t>solicitada por el ahora Recurrente, tales como categoría, nombre, así como todas las percepciones y deducciones</w:t>
      </w:r>
      <w:r w:rsidR="00793CE9">
        <w:rPr>
          <w:rFonts w:ascii="Palatino Linotype" w:eastAsia="Calibri" w:hAnsi="Palatino Linotype" w:cs="Tahoma"/>
          <w:bCs/>
          <w:sz w:val="22"/>
          <w:szCs w:val="22"/>
          <w:lang w:val="es-ES" w:eastAsia="en-US"/>
        </w:rPr>
        <w:t>.</w:t>
      </w:r>
    </w:p>
    <w:p w14:paraId="5C610566" w14:textId="19A92084" w:rsidR="00793CE9" w:rsidRDefault="00793CE9">
      <w:pPr>
        <w:spacing w:line="360" w:lineRule="auto"/>
        <w:ind w:right="-91"/>
        <w:jc w:val="both"/>
        <w:rPr>
          <w:rFonts w:ascii="Palatino Linotype" w:eastAsia="Calibri" w:hAnsi="Palatino Linotype" w:cs="Tahoma"/>
          <w:bCs/>
          <w:sz w:val="22"/>
          <w:szCs w:val="22"/>
          <w:lang w:val="es-ES" w:eastAsia="en-US"/>
        </w:rPr>
      </w:pPr>
    </w:p>
    <w:p w14:paraId="2839E376" w14:textId="77777777" w:rsidR="00793CE9" w:rsidRPr="00544E9C" w:rsidRDefault="00793CE9">
      <w:pPr>
        <w:spacing w:line="360" w:lineRule="auto"/>
        <w:ind w:right="-91"/>
        <w:jc w:val="both"/>
        <w:rPr>
          <w:rFonts w:ascii="Palatino Linotype" w:eastAsia="Calibri" w:hAnsi="Palatino Linotype" w:cs="Tahoma"/>
          <w:bCs/>
          <w:sz w:val="22"/>
          <w:szCs w:val="22"/>
          <w:lang w:eastAsia="en-US"/>
        </w:rPr>
      </w:pPr>
      <w:r w:rsidRPr="00544E9C">
        <w:rPr>
          <w:rFonts w:ascii="Palatino Linotype" w:eastAsia="Calibri" w:hAnsi="Palatino Linotype" w:cs="Tahoma"/>
          <w:bCs/>
          <w:sz w:val="22"/>
          <w:szCs w:val="22"/>
          <w:lang w:eastAsia="en-US"/>
        </w:rPr>
        <w:t xml:space="preserve">En este sentido, de acuerdo a la naturaleza de la información solicitada se concluye que </w:t>
      </w:r>
      <w:r>
        <w:rPr>
          <w:rFonts w:ascii="Palatino Linotype" w:eastAsia="Calibri" w:hAnsi="Palatino Linotype" w:cs="Tahoma"/>
          <w:bCs/>
          <w:sz w:val="22"/>
          <w:szCs w:val="22"/>
          <w:lang w:eastAsia="en-US"/>
        </w:rPr>
        <w:t>e</w:t>
      </w:r>
      <w:r w:rsidRPr="00544E9C">
        <w:rPr>
          <w:rFonts w:ascii="Palatino Linotype" w:eastAsia="Calibri" w:hAnsi="Palatino Linotype" w:cs="Tahoma"/>
          <w:bCs/>
          <w:sz w:val="22"/>
          <w:szCs w:val="22"/>
          <w:lang w:eastAsia="en-US"/>
        </w:rPr>
        <w:t>sta</w:t>
      </w:r>
      <w:r w:rsidRPr="00E815C4">
        <w:rPr>
          <w:rFonts w:ascii="Palatino Linotype" w:hAnsi="Palatino Linotype" w:cs="Arial"/>
          <w:sz w:val="22"/>
          <w:szCs w:val="22"/>
          <w:lang w:val="es-ES"/>
        </w:rPr>
        <w:t xml:space="preserve"> es de</w:t>
      </w:r>
      <w:r w:rsidRPr="00E815C4">
        <w:rPr>
          <w:rFonts w:ascii="Palatino Linotype" w:hAnsi="Palatino Linotype" w:cs="Arial"/>
          <w:bCs/>
          <w:sz w:val="22"/>
          <w:szCs w:val="22"/>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E815C4">
        <w:rPr>
          <w:rFonts w:ascii="Palatino Linotype" w:hAnsi="Palatino Linotype" w:cs="Arial"/>
          <w:sz w:val="22"/>
          <w:szCs w:val="22"/>
          <w:lang w:val="es-ES"/>
        </w:rPr>
        <w:t xml:space="preserve"> </w:t>
      </w:r>
      <w:r w:rsidRPr="00E815C4">
        <w:rPr>
          <w:rFonts w:ascii="Palatino Linotype" w:hAnsi="Palatino Linotype" w:cs="Arial"/>
          <w:bCs/>
          <w:sz w:val="22"/>
          <w:szCs w:val="22"/>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w:t>
      </w:r>
      <w:r w:rsidRPr="00544E9C">
        <w:rPr>
          <w:rFonts w:ascii="Palatino Linotype" w:eastAsia="Calibri" w:hAnsi="Palatino Linotype" w:cs="Tahoma"/>
          <w:bCs/>
          <w:sz w:val="22"/>
          <w:szCs w:val="22"/>
          <w:lang w:eastAsia="en-US"/>
        </w:rPr>
        <w:lastRenderedPageBreak/>
        <w:t>nombres de las personas a quienes se entreguen recursos públicos y con ello transparentar la forma, términos, causas y finalidad en la disposición de esos recursos.</w:t>
      </w:r>
    </w:p>
    <w:p w14:paraId="4315A309" w14:textId="318FE26B" w:rsidR="0001700B" w:rsidRDefault="0001700B">
      <w:pPr>
        <w:spacing w:line="360" w:lineRule="auto"/>
        <w:ind w:right="-93"/>
        <w:jc w:val="both"/>
        <w:rPr>
          <w:rFonts w:ascii="Palatino Linotype" w:eastAsia="Calibri" w:hAnsi="Palatino Linotype" w:cs="Tahoma"/>
          <w:bCs/>
          <w:sz w:val="22"/>
          <w:szCs w:val="22"/>
          <w:lang w:eastAsia="en-US"/>
        </w:rPr>
      </w:pPr>
    </w:p>
    <w:p w14:paraId="65E87217" w14:textId="0C5A2C77" w:rsidR="00DA6CAC" w:rsidRPr="004D227F" w:rsidRDefault="00E1114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De tal manera, que la información solicitada por el Recurrente, corresponde a la información de </w:t>
      </w:r>
      <w:r w:rsidRPr="00C2419A">
        <w:rPr>
          <w:rFonts w:ascii="Palatino Linotype" w:eastAsia="Calibri" w:hAnsi="Palatino Linotype" w:cs="Tahoma"/>
          <w:b/>
          <w:bCs/>
          <w:sz w:val="22"/>
          <w:szCs w:val="22"/>
          <w:u w:val="single"/>
          <w:lang w:eastAsia="en-US"/>
        </w:rPr>
        <w:t>los recibos o constancias documentales del pago de salarios y prestaciones</w:t>
      </w:r>
      <w:r w:rsidRPr="004D227F">
        <w:rPr>
          <w:rFonts w:ascii="Palatino Linotype" w:eastAsia="Calibri" w:hAnsi="Palatino Linotype" w:cs="Tahoma"/>
          <w:bCs/>
          <w:sz w:val="22"/>
          <w:szCs w:val="22"/>
          <w:lang w:eastAsia="en-US"/>
        </w:rPr>
        <w:t xml:space="preserve"> conforme a lo expuesto, en este sentido, </w:t>
      </w:r>
      <w:r w:rsidRPr="00094FCC">
        <w:rPr>
          <w:rFonts w:ascii="Palatino Linotype" w:eastAsia="Calibri" w:hAnsi="Palatino Linotype" w:cs="Tahoma"/>
          <w:bCs/>
          <w:sz w:val="22"/>
          <w:szCs w:val="22"/>
          <w:lang w:eastAsia="en-US"/>
        </w:rPr>
        <w:t xml:space="preserve">los recibos de nómina de los servidores públicos del </w:t>
      </w:r>
      <w:r w:rsidR="00C2419A" w:rsidRPr="00C2419A">
        <w:rPr>
          <w:rFonts w:ascii="Palatino Linotype" w:eastAsia="Calibri" w:hAnsi="Palatino Linotype" w:cs="Tahoma"/>
          <w:b/>
          <w:bCs/>
          <w:sz w:val="22"/>
          <w:szCs w:val="22"/>
          <w:lang w:eastAsia="en-US"/>
        </w:rPr>
        <w:t>Ayuntamiento de Acolman</w:t>
      </w:r>
      <w:r w:rsidRPr="004D227F">
        <w:rPr>
          <w:rFonts w:ascii="Palatino Linotype" w:eastAsia="Calibri" w:hAnsi="Palatino Linotype" w:cs="Tahoma"/>
          <w:bCs/>
          <w:sz w:val="22"/>
          <w:szCs w:val="22"/>
          <w:lang w:eastAsia="en-US"/>
        </w:rPr>
        <w:t>,</w:t>
      </w:r>
      <w:r w:rsidR="00C2419A">
        <w:rPr>
          <w:rFonts w:ascii="Palatino Linotype" w:eastAsia="Calibri" w:hAnsi="Palatino Linotype" w:cs="Tahoma"/>
          <w:bCs/>
          <w:sz w:val="22"/>
          <w:szCs w:val="22"/>
          <w:lang w:eastAsia="en-US"/>
        </w:rPr>
        <w:t xml:space="preserve"> </w:t>
      </w:r>
      <w:r w:rsidR="00C2419A" w:rsidRPr="00C2419A">
        <w:rPr>
          <w:rFonts w:ascii="Palatino Linotype" w:eastAsia="Calibri" w:hAnsi="Palatino Linotype" w:cs="Tahoma"/>
          <w:b/>
          <w:bCs/>
          <w:sz w:val="22"/>
          <w:szCs w:val="22"/>
          <w:lang w:eastAsia="en-US"/>
        </w:rPr>
        <w:t>correspondientes a la primera y segunda quincena de diciembre de dos mil dieciocho; así como a la primera y segunda quincena de los meses de enero, febrero y marzo del año dos mil diecinueve</w:t>
      </w:r>
      <w:r w:rsidR="00C2419A">
        <w:rPr>
          <w:rFonts w:ascii="Palatino Linotype" w:eastAsia="Calibri" w:hAnsi="Palatino Linotype" w:cs="Tahoma"/>
          <w:bCs/>
          <w:sz w:val="22"/>
          <w:szCs w:val="22"/>
          <w:lang w:eastAsia="en-US"/>
        </w:rPr>
        <w:t xml:space="preserve">, </w:t>
      </w:r>
      <w:r w:rsidRPr="004D227F">
        <w:rPr>
          <w:rFonts w:ascii="Palatino Linotype" w:eastAsia="Calibri" w:hAnsi="Palatino Linotype" w:cs="Tahoma"/>
          <w:bCs/>
          <w:sz w:val="22"/>
          <w:szCs w:val="22"/>
          <w:lang w:eastAsia="en-US"/>
        </w:rPr>
        <w:t>satis</w:t>
      </w:r>
      <w:r w:rsidR="00F50DBA" w:rsidRPr="004D227F">
        <w:rPr>
          <w:rFonts w:ascii="Palatino Linotype" w:eastAsia="Calibri" w:hAnsi="Palatino Linotype" w:cs="Tahoma"/>
          <w:bCs/>
          <w:sz w:val="22"/>
          <w:szCs w:val="22"/>
          <w:lang w:eastAsia="en-US"/>
        </w:rPr>
        <w:t>facen el derecho del P</w:t>
      </w:r>
      <w:r w:rsidR="00DA6CAC" w:rsidRPr="004D227F">
        <w:rPr>
          <w:rFonts w:ascii="Palatino Linotype" w:eastAsia="Calibri" w:hAnsi="Palatino Linotype" w:cs="Tahoma"/>
          <w:bCs/>
          <w:sz w:val="22"/>
          <w:szCs w:val="22"/>
          <w:lang w:eastAsia="en-US"/>
        </w:rPr>
        <w:t xml:space="preserve">articular. </w:t>
      </w:r>
    </w:p>
    <w:p w14:paraId="25710256" w14:textId="72C1C906" w:rsidR="00793CE9" w:rsidRDefault="00793CE9">
      <w:pPr>
        <w:spacing w:line="360" w:lineRule="auto"/>
        <w:ind w:right="-93"/>
        <w:jc w:val="both"/>
        <w:rPr>
          <w:rFonts w:ascii="Palatino Linotype" w:eastAsia="Calibri" w:hAnsi="Palatino Linotype" w:cs="Tahoma"/>
          <w:bCs/>
          <w:sz w:val="22"/>
          <w:szCs w:val="22"/>
          <w:lang w:eastAsia="en-US"/>
        </w:rPr>
      </w:pPr>
    </w:p>
    <w:p w14:paraId="68D04CF5" w14:textId="36A28BC9" w:rsidR="00542C25" w:rsidRDefault="00793CE9">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Finalmente, es importante mencionar que este Órgano Garante realizó una búsqueda en la página del Órgano Superior de Fiscalización del Estado de México (OSFEM), en el apartado denominado “Cumplimiento de Obligaciones Periódicas de Entidades Fiscalizables”, y lo encontrado en la misma, es que el Sujeto Obligado entregó en tiempo y forma los informes de los meses de enero, febr</w:t>
      </w:r>
      <w:r w:rsidR="00D1657F">
        <w:rPr>
          <w:rFonts w:ascii="Palatino Linotype" w:eastAsia="Calibri" w:hAnsi="Palatino Linotype" w:cs="Tahoma"/>
          <w:bCs/>
          <w:sz w:val="22"/>
          <w:szCs w:val="22"/>
          <w:lang w:val="es-ES_tradnl" w:eastAsia="en-US"/>
        </w:rPr>
        <w:t xml:space="preserve">ero, marzo, </w:t>
      </w:r>
      <w:r>
        <w:rPr>
          <w:rFonts w:ascii="Palatino Linotype" w:eastAsia="Calibri" w:hAnsi="Palatino Linotype" w:cs="Tahoma"/>
          <w:bCs/>
          <w:sz w:val="22"/>
          <w:szCs w:val="22"/>
          <w:lang w:val="es-ES_tradnl" w:eastAsia="en-US"/>
        </w:rPr>
        <w:t>abril</w:t>
      </w:r>
      <w:r w:rsidR="002C0D09">
        <w:rPr>
          <w:rFonts w:ascii="Palatino Linotype" w:eastAsia="Calibri" w:hAnsi="Palatino Linotype" w:cs="Tahoma"/>
          <w:bCs/>
          <w:sz w:val="22"/>
          <w:szCs w:val="22"/>
          <w:lang w:val="es-ES_tradnl" w:eastAsia="en-US"/>
        </w:rPr>
        <w:t xml:space="preserve">, </w:t>
      </w:r>
      <w:r w:rsidR="00D1657F">
        <w:rPr>
          <w:rFonts w:ascii="Palatino Linotype" w:eastAsia="Calibri" w:hAnsi="Palatino Linotype" w:cs="Tahoma"/>
          <w:bCs/>
          <w:sz w:val="22"/>
          <w:szCs w:val="22"/>
          <w:lang w:val="es-ES_tradnl" w:eastAsia="en-US"/>
        </w:rPr>
        <w:t>mayo</w:t>
      </w:r>
      <w:r w:rsidR="002C0D09">
        <w:rPr>
          <w:rFonts w:ascii="Palatino Linotype" w:eastAsia="Calibri" w:hAnsi="Palatino Linotype" w:cs="Tahoma"/>
          <w:bCs/>
          <w:sz w:val="22"/>
          <w:szCs w:val="22"/>
          <w:lang w:val="es-ES_tradnl" w:eastAsia="en-US"/>
        </w:rPr>
        <w:t xml:space="preserve"> y junio del año dos mil diecinueve</w:t>
      </w:r>
      <w:r>
        <w:rPr>
          <w:rFonts w:ascii="Palatino Linotype" w:eastAsia="Calibri" w:hAnsi="Palatino Linotype" w:cs="Tahoma"/>
          <w:bCs/>
          <w:sz w:val="22"/>
          <w:szCs w:val="22"/>
          <w:lang w:val="es-ES_tradnl" w:eastAsia="en-US"/>
        </w:rPr>
        <w:t xml:space="preserve"> del </w:t>
      </w:r>
      <w:r w:rsidR="002C0D09">
        <w:rPr>
          <w:rFonts w:ascii="Palatino Linotype" w:eastAsia="Calibri" w:hAnsi="Palatino Linotype" w:cs="Tahoma"/>
          <w:b/>
          <w:bCs/>
          <w:sz w:val="22"/>
          <w:szCs w:val="22"/>
          <w:lang w:val="es-ES_tradnl" w:eastAsia="en-US"/>
        </w:rPr>
        <w:t>Ayuntamiento de Acolman</w:t>
      </w:r>
      <w:r>
        <w:rPr>
          <w:rFonts w:ascii="Palatino Linotype" w:eastAsia="Calibri" w:hAnsi="Palatino Linotype" w:cs="Tahoma"/>
          <w:bCs/>
          <w:sz w:val="22"/>
          <w:szCs w:val="22"/>
          <w:lang w:val="es-ES_tradnl" w:eastAsia="en-US"/>
        </w:rPr>
        <w:t>, como se visualiza a continuación:</w:t>
      </w:r>
    </w:p>
    <w:p w14:paraId="14D97491" w14:textId="77777777" w:rsidR="00542C25" w:rsidRPr="00542C25" w:rsidRDefault="00542C25">
      <w:pPr>
        <w:spacing w:line="360" w:lineRule="auto"/>
        <w:ind w:right="-93"/>
        <w:jc w:val="both"/>
        <w:rPr>
          <w:rFonts w:ascii="Palatino Linotype" w:eastAsia="Calibri" w:hAnsi="Palatino Linotype" w:cs="Tahoma"/>
          <w:bCs/>
          <w:sz w:val="22"/>
          <w:szCs w:val="22"/>
          <w:lang w:val="es-ES_tradnl" w:eastAsia="en-US"/>
        </w:rPr>
      </w:pPr>
    </w:p>
    <w:p w14:paraId="2FCE4F80" w14:textId="080926C0" w:rsidR="00793CE9" w:rsidRDefault="002C0D09">
      <w:pPr>
        <w:spacing w:line="360" w:lineRule="auto"/>
        <w:ind w:right="-93"/>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drawing>
          <wp:inline distT="0" distB="0" distL="0" distR="0" wp14:anchorId="36196DB2" wp14:editId="20F2CBD5">
            <wp:extent cx="5639530" cy="2581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5262" cy="2588476"/>
                    </a:xfrm>
                    <a:prstGeom prst="rect">
                      <a:avLst/>
                    </a:prstGeom>
                    <a:noFill/>
                    <a:ln>
                      <a:noFill/>
                    </a:ln>
                  </pic:spPr>
                </pic:pic>
              </a:graphicData>
            </a:graphic>
          </wp:inline>
        </w:drawing>
      </w:r>
    </w:p>
    <w:p w14:paraId="71DC5599" w14:textId="53195DA2" w:rsidR="00793CE9" w:rsidRDefault="00793CE9">
      <w:pPr>
        <w:spacing w:line="360" w:lineRule="auto"/>
        <w:ind w:left="567" w:right="567"/>
        <w:jc w:val="center"/>
        <w:rPr>
          <w:rFonts w:ascii="Palatino Linotype" w:eastAsia="Calibri" w:hAnsi="Palatino Linotype" w:cs="Tahoma"/>
          <w:sz w:val="18"/>
          <w:szCs w:val="22"/>
          <w:lang w:eastAsia="es-ES_tradnl"/>
        </w:rPr>
      </w:pPr>
      <w:r w:rsidRPr="00CB079C">
        <w:rPr>
          <w:rFonts w:ascii="Palatino Linotype" w:eastAsia="Calibri" w:hAnsi="Palatino Linotype" w:cs="Tahoma"/>
          <w:sz w:val="18"/>
          <w:szCs w:val="22"/>
          <w:lang w:eastAsia="es-ES_tradnl"/>
        </w:rPr>
        <w:lastRenderedPageBreak/>
        <w:t xml:space="preserve">(Consultado en </w:t>
      </w:r>
      <w:hyperlink r:id="rId16" w:history="1">
        <w:r w:rsidR="002C0D09" w:rsidRPr="002C0D09">
          <w:t xml:space="preserve"> </w:t>
        </w:r>
        <w:r w:rsidR="002C0D09" w:rsidRPr="002C0D09">
          <w:rPr>
            <w:rStyle w:val="Hipervnculo"/>
            <w:rFonts w:ascii="Palatino Linotype" w:hAnsi="Palatino Linotype"/>
            <w:sz w:val="18"/>
          </w:rPr>
          <w:t>https://www.osfem.gob.mx/09_Iconografia/Cumplimiento/Aytto/Aytto_19.html</w:t>
        </w:r>
        <w:r w:rsidRPr="00CB079C">
          <w:rPr>
            <w:rStyle w:val="Hipervnculo"/>
            <w:rFonts w:ascii="Palatino Linotype" w:hAnsi="Palatino Linotype"/>
            <w:sz w:val="18"/>
          </w:rPr>
          <w:t>l</w:t>
        </w:r>
      </w:hyperlink>
      <w:r w:rsidR="002C0D09">
        <w:rPr>
          <w:rFonts w:ascii="Palatino Linotype" w:eastAsia="Calibri" w:hAnsi="Palatino Linotype" w:cs="Tahoma"/>
          <w:sz w:val="18"/>
          <w:szCs w:val="22"/>
          <w:lang w:eastAsia="es-ES_tradnl"/>
        </w:rPr>
        <w:t xml:space="preserve"> el dos de septiembre</w:t>
      </w:r>
      <w:r w:rsidRPr="00CB079C">
        <w:rPr>
          <w:rFonts w:ascii="Palatino Linotype" w:eastAsia="Calibri" w:hAnsi="Palatino Linotype" w:cs="Tahoma"/>
          <w:sz w:val="18"/>
          <w:szCs w:val="22"/>
          <w:lang w:eastAsia="es-ES_tradnl"/>
        </w:rPr>
        <w:t xml:space="preserve"> </w:t>
      </w:r>
      <w:r>
        <w:rPr>
          <w:rFonts w:ascii="Palatino Linotype" w:eastAsia="Calibri" w:hAnsi="Palatino Linotype" w:cs="Tahoma"/>
          <w:sz w:val="18"/>
          <w:szCs w:val="22"/>
          <w:lang w:eastAsia="es-ES_tradnl"/>
        </w:rPr>
        <w:t xml:space="preserve">del presente año a las catorce </w:t>
      </w:r>
      <w:r w:rsidRPr="00CB079C">
        <w:rPr>
          <w:rFonts w:ascii="Palatino Linotype" w:eastAsia="Calibri" w:hAnsi="Palatino Linotype" w:cs="Tahoma"/>
          <w:sz w:val="18"/>
          <w:szCs w:val="22"/>
          <w:lang w:eastAsia="es-ES_tradnl"/>
        </w:rPr>
        <w:t>horas con veinte minutos).</w:t>
      </w:r>
    </w:p>
    <w:p w14:paraId="71E6D47A" w14:textId="3B229A0D" w:rsidR="00542C25" w:rsidRPr="00542C25" w:rsidRDefault="00542C25">
      <w:pPr>
        <w:spacing w:line="360" w:lineRule="auto"/>
        <w:ind w:right="567"/>
        <w:jc w:val="both"/>
        <w:rPr>
          <w:rFonts w:ascii="Palatino Linotype" w:eastAsia="Calibri" w:hAnsi="Palatino Linotype" w:cs="Tahoma"/>
          <w:sz w:val="22"/>
          <w:szCs w:val="22"/>
          <w:lang w:eastAsia="es-ES_tradnl"/>
        </w:rPr>
      </w:pPr>
    </w:p>
    <w:p w14:paraId="66F44787" w14:textId="4D224792" w:rsidR="00542C25" w:rsidRDefault="00542C25">
      <w:pPr>
        <w:spacing w:line="360" w:lineRule="auto"/>
        <w:ind w:right="567"/>
        <w:jc w:val="both"/>
        <w:rPr>
          <w:rFonts w:ascii="Palatino Linotype" w:eastAsia="Calibri" w:hAnsi="Palatino Linotype" w:cs="Tahoma"/>
          <w:sz w:val="22"/>
          <w:szCs w:val="22"/>
          <w:lang w:eastAsia="es-ES_tradnl"/>
        </w:rPr>
      </w:pPr>
      <w:r w:rsidRPr="00542C25">
        <w:rPr>
          <w:rFonts w:ascii="Palatino Linotype" w:eastAsia="Calibri" w:hAnsi="Palatino Linotype" w:cs="Tahoma"/>
          <w:sz w:val="22"/>
          <w:szCs w:val="22"/>
          <w:lang w:eastAsia="es-ES_tradnl"/>
        </w:rPr>
        <w:t xml:space="preserve">Del mismo modo, </w:t>
      </w:r>
      <w:r>
        <w:rPr>
          <w:rFonts w:ascii="Palatino Linotype" w:eastAsia="Calibri" w:hAnsi="Palatino Linotype" w:cs="Tahoma"/>
          <w:sz w:val="22"/>
          <w:szCs w:val="22"/>
          <w:lang w:eastAsia="es-ES_tradnl"/>
        </w:rPr>
        <w:t xml:space="preserve">se consultó el Informe Mensual del Ayuntamiento del año 2018, y el Sujeto Obligado entregó el informe del mes de diciembre del mismo año, </w:t>
      </w:r>
      <w:proofErr w:type="spellStart"/>
      <w:r>
        <w:rPr>
          <w:rFonts w:ascii="Palatino Linotype" w:eastAsia="Calibri" w:hAnsi="Palatino Linotype" w:cs="Tahoma"/>
          <w:bCs/>
          <w:sz w:val="22"/>
          <w:szCs w:val="22"/>
          <w:lang w:val="es-ES_tradnl" w:eastAsia="en-US"/>
        </w:rPr>
        <w:t>como</w:t>
      </w:r>
      <w:proofErr w:type="spellEnd"/>
      <w:r>
        <w:rPr>
          <w:rFonts w:ascii="Palatino Linotype" w:eastAsia="Calibri" w:hAnsi="Palatino Linotype" w:cs="Tahoma"/>
          <w:bCs/>
          <w:sz w:val="22"/>
          <w:szCs w:val="22"/>
          <w:lang w:val="es-ES_tradnl" w:eastAsia="en-US"/>
        </w:rPr>
        <w:t xml:space="preserve"> se visualiza a continuación:</w:t>
      </w:r>
    </w:p>
    <w:p w14:paraId="372087E7" w14:textId="77777777" w:rsidR="00542C25" w:rsidRDefault="00542C25">
      <w:pPr>
        <w:spacing w:line="360" w:lineRule="auto"/>
        <w:ind w:right="567"/>
        <w:jc w:val="both"/>
        <w:rPr>
          <w:rFonts w:ascii="Palatino Linotype" w:eastAsia="Calibri" w:hAnsi="Palatino Linotype" w:cs="Tahoma"/>
          <w:sz w:val="22"/>
          <w:szCs w:val="22"/>
          <w:lang w:eastAsia="es-ES_tradnl"/>
        </w:rPr>
      </w:pPr>
    </w:p>
    <w:p w14:paraId="3BA44058" w14:textId="7C1AE643" w:rsidR="00542C25" w:rsidRDefault="00542C25">
      <w:pPr>
        <w:spacing w:line="360" w:lineRule="auto"/>
        <w:ind w:right="567"/>
        <w:jc w:val="center"/>
        <w:rPr>
          <w:rFonts w:ascii="Palatino Linotype" w:eastAsia="Calibri" w:hAnsi="Palatino Linotype" w:cs="Tahoma"/>
          <w:sz w:val="22"/>
          <w:szCs w:val="22"/>
          <w:lang w:eastAsia="es-ES_tradnl"/>
        </w:rPr>
      </w:pPr>
      <w:r>
        <w:rPr>
          <w:rFonts w:ascii="Palatino Linotype" w:eastAsia="Calibri" w:hAnsi="Palatino Linotype" w:cs="Tahoma"/>
          <w:noProof/>
          <w:sz w:val="22"/>
          <w:szCs w:val="22"/>
          <w:lang w:eastAsia="es-MX"/>
        </w:rPr>
        <w:drawing>
          <wp:inline distT="0" distB="0" distL="0" distR="0" wp14:anchorId="30564CCB" wp14:editId="60DC3376">
            <wp:extent cx="5968412" cy="2781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7625" cy="2785593"/>
                    </a:xfrm>
                    <a:prstGeom prst="rect">
                      <a:avLst/>
                    </a:prstGeom>
                    <a:noFill/>
                    <a:ln>
                      <a:noFill/>
                    </a:ln>
                  </pic:spPr>
                </pic:pic>
              </a:graphicData>
            </a:graphic>
          </wp:inline>
        </w:drawing>
      </w:r>
    </w:p>
    <w:p w14:paraId="094A77F8" w14:textId="63A31625" w:rsidR="00542C25" w:rsidRDefault="00542C25">
      <w:pPr>
        <w:spacing w:line="360" w:lineRule="auto"/>
        <w:ind w:left="567" w:right="567"/>
        <w:jc w:val="center"/>
        <w:rPr>
          <w:rFonts w:ascii="Palatino Linotype" w:eastAsia="Calibri" w:hAnsi="Palatino Linotype" w:cs="Tahoma"/>
          <w:sz w:val="18"/>
          <w:szCs w:val="22"/>
          <w:lang w:eastAsia="es-ES_tradnl"/>
        </w:rPr>
      </w:pPr>
      <w:r w:rsidRPr="00CB079C">
        <w:rPr>
          <w:rFonts w:ascii="Palatino Linotype" w:eastAsia="Calibri" w:hAnsi="Palatino Linotype" w:cs="Tahoma"/>
          <w:sz w:val="18"/>
          <w:szCs w:val="22"/>
          <w:lang w:eastAsia="es-ES_tradnl"/>
        </w:rPr>
        <w:t xml:space="preserve">(Consultado en </w:t>
      </w:r>
      <w:hyperlink r:id="rId18" w:history="1">
        <w:r w:rsidRPr="002C0D09">
          <w:t xml:space="preserve"> </w:t>
        </w:r>
        <w:r w:rsidRPr="002C0D09">
          <w:rPr>
            <w:rStyle w:val="Hipervnculo"/>
            <w:rFonts w:ascii="Palatino Linotype" w:hAnsi="Palatino Linotype"/>
            <w:sz w:val="18"/>
          </w:rPr>
          <w:t>https://www.osfem.gob.mx/09_Iconografia/Cumplimiento/Aytto/Aytto_19.html</w:t>
        </w:r>
        <w:r w:rsidRPr="00CB079C">
          <w:rPr>
            <w:rStyle w:val="Hipervnculo"/>
            <w:rFonts w:ascii="Palatino Linotype" w:hAnsi="Palatino Linotype"/>
            <w:sz w:val="18"/>
          </w:rPr>
          <w:t>l</w:t>
        </w:r>
      </w:hyperlink>
      <w:r>
        <w:rPr>
          <w:rFonts w:ascii="Palatino Linotype" w:eastAsia="Calibri" w:hAnsi="Palatino Linotype" w:cs="Tahoma"/>
          <w:sz w:val="18"/>
          <w:szCs w:val="22"/>
          <w:lang w:eastAsia="es-ES_tradnl"/>
        </w:rPr>
        <w:t xml:space="preserve"> el dos de septiembre</w:t>
      </w:r>
      <w:r w:rsidRPr="00CB079C">
        <w:rPr>
          <w:rFonts w:ascii="Palatino Linotype" w:eastAsia="Calibri" w:hAnsi="Palatino Linotype" w:cs="Tahoma"/>
          <w:sz w:val="18"/>
          <w:szCs w:val="22"/>
          <w:lang w:eastAsia="es-ES_tradnl"/>
        </w:rPr>
        <w:t xml:space="preserve"> </w:t>
      </w:r>
      <w:r>
        <w:rPr>
          <w:rFonts w:ascii="Palatino Linotype" w:eastAsia="Calibri" w:hAnsi="Palatino Linotype" w:cs="Tahoma"/>
          <w:sz w:val="18"/>
          <w:szCs w:val="22"/>
          <w:lang w:eastAsia="es-ES_tradnl"/>
        </w:rPr>
        <w:t>del presente año a las catorce horas con veinticinco</w:t>
      </w:r>
      <w:r w:rsidRPr="00CB079C">
        <w:rPr>
          <w:rFonts w:ascii="Palatino Linotype" w:eastAsia="Calibri" w:hAnsi="Palatino Linotype" w:cs="Tahoma"/>
          <w:sz w:val="18"/>
          <w:szCs w:val="22"/>
          <w:lang w:eastAsia="es-ES_tradnl"/>
        </w:rPr>
        <w:t xml:space="preserve"> minutos).</w:t>
      </w:r>
    </w:p>
    <w:p w14:paraId="50C879F4" w14:textId="53DD431F" w:rsidR="00793CE9" w:rsidRDefault="00793CE9">
      <w:pPr>
        <w:spacing w:line="360" w:lineRule="auto"/>
        <w:ind w:right="-93"/>
        <w:rPr>
          <w:rFonts w:ascii="Palatino Linotype" w:eastAsia="Calibri" w:hAnsi="Palatino Linotype" w:cs="Tahoma"/>
          <w:bCs/>
          <w:sz w:val="22"/>
          <w:szCs w:val="22"/>
          <w:lang w:eastAsia="en-US"/>
        </w:rPr>
      </w:pPr>
    </w:p>
    <w:p w14:paraId="28E9BE39" w14:textId="4E9E0796" w:rsidR="00DA6CAC" w:rsidRPr="00B34583" w:rsidRDefault="00DA6CAC">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Por lo anterior, </w:t>
      </w:r>
      <w:r w:rsidRPr="00A50EAF">
        <w:rPr>
          <w:rFonts w:ascii="Palatino Linotype" w:eastAsia="Calibri" w:hAnsi="Palatino Linotype" w:cs="Tahoma"/>
          <w:bCs/>
          <w:sz w:val="22"/>
          <w:szCs w:val="22"/>
          <w:lang w:val="es-ES_tradnl" w:eastAsia="en-US"/>
        </w:rPr>
        <w:t xml:space="preserve">es dable </w:t>
      </w:r>
      <w:r w:rsidRPr="00A50EAF">
        <w:rPr>
          <w:rFonts w:ascii="Palatino Linotype" w:eastAsia="Calibri" w:hAnsi="Palatino Linotype" w:cs="Tahoma"/>
          <w:b/>
          <w:bCs/>
          <w:sz w:val="22"/>
          <w:szCs w:val="22"/>
          <w:lang w:val="es-ES_tradnl" w:eastAsia="en-US"/>
        </w:rPr>
        <w:t>ORDENAR</w:t>
      </w:r>
      <w:r w:rsidRPr="00A50EAF">
        <w:rPr>
          <w:rFonts w:ascii="Palatino Linotype" w:eastAsia="Calibri" w:hAnsi="Palatino Linotype" w:cs="Tahoma"/>
          <w:bCs/>
          <w:sz w:val="22"/>
          <w:szCs w:val="22"/>
          <w:lang w:val="es-ES_tradnl" w:eastAsia="en-US"/>
        </w:rPr>
        <w:t xml:space="preserve"> una búsqueda exhaustiva</w:t>
      </w:r>
      <w:r>
        <w:rPr>
          <w:rFonts w:ascii="Palatino Linotype" w:eastAsia="Calibri" w:hAnsi="Palatino Linotype" w:cs="Tahoma"/>
          <w:bCs/>
          <w:sz w:val="22"/>
          <w:szCs w:val="22"/>
          <w:lang w:val="es-ES_tradnl" w:eastAsia="en-US"/>
        </w:rPr>
        <w:t xml:space="preserve"> y razonable de la información </w:t>
      </w:r>
      <w:r w:rsidRPr="00A50EAF">
        <w:rPr>
          <w:rFonts w:ascii="Palatino Linotype" w:eastAsia="Calibri" w:hAnsi="Palatino Linotype" w:cs="Tahoma"/>
          <w:bCs/>
          <w:sz w:val="22"/>
          <w:szCs w:val="22"/>
          <w:lang w:val="es-ES_tradnl" w:eastAsia="en-US"/>
        </w:rPr>
        <w:t>en las áreas competent</w:t>
      </w:r>
      <w:r w:rsidR="00542C25">
        <w:rPr>
          <w:rFonts w:ascii="Palatino Linotype" w:eastAsia="Calibri" w:hAnsi="Palatino Linotype" w:cs="Tahoma"/>
          <w:bCs/>
          <w:sz w:val="22"/>
          <w:szCs w:val="22"/>
          <w:lang w:val="es-ES_tradnl" w:eastAsia="en-US"/>
        </w:rPr>
        <w:t xml:space="preserve">es de </w:t>
      </w:r>
      <w:r w:rsidR="00542C25" w:rsidRPr="006C0FF2">
        <w:rPr>
          <w:rFonts w:ascii="Palatino Linotype" w:eastAsia="Calibri" w:hAnsi="Palatino Linotype" w:cs="Tahoma"/>
          <w:bCs/>
          <w:sz w:val="22"/>
          <w:szCs w:val="22"/>
          <w:lang w:val="es-ES_tradnl" w:eastAsia="en-US"/>
        </w:rPr>
        <w:t xml:space="preserve">los recibos de nómina de todo el personal que labora en el Ayuntamiento de Acolman, correspondientes a la primera y segunda quincena de diciembre de dos mil dieciocho; así como a la primera y segunda quincena de los meses de enero, febrero y marzo del año dos mil diecinueve. </w:t>
      </w:r>
      <w:r w:rsidRPr="00AF110A">
        <w:rPr>
          <w:rFonts w:ascii="Palatino Linotype" w:eastAsia="Calibri" w:hAnsi="Palatino Linotype" w:cs="Tahoma"/>
          <w:bCs/>
          <w:sz w:val="22"/>
          <w:szCs w:val="22"/>
          <w:lang w:val="es-ES_tradnl" w:eastAsia="en-US"/>
        </w:rPr>
        <w:t xml:space="preserve"> o en su defecto, el documento que refleje </w:t>
      </w:r>
      <w:r w:rsidRPr="006C0FF2">
        <w:rPr>
          <w:rFonts w:ascii="Palatino Linotype" w:eastAsia="Calibri" w:hAnsi="Palatino Linotype" w:cs="Tahoma"/>
          <w:bCs/>
          <w:sz w:val="22"/>
          <w:szCs w:val="22"/>
          <w:lang w:val="es-ES_tradnl" w:eastAsia="en-US"/>
        </w:rPr>
        <w:t xml:space="preserve">el </w:t>
      </w:r>
      <w:r w:rsidRPr="006C0FF2">
        <w:rPr>
          <w:rFonts w:ascii="Palatino Linotype" w:eastAsia="Calibri" w:hAnsi="Palatino Linotype" w:cs="Tahoma"/>
          <w:bCs/>
          <w:sz w:val="22"/>
          <w:szCs w:val="22"/>
          <w:lang w:eastAsia="en-US"/>
        </w:rPr>
        <w:t xml:space="preserve">salario neto mensual con percepciones ordinarias y extraordinarias de los servidores públicos del </w:t>
      </w:r>
      <w:r w:rsidR="00542C25" w:rsidRPr="006C0FF2">
        <w:rPr>
          <w:rFonts w:ascii="Palatino Linotype" w:eastAsia="Calibri" w:hAnsi="Palatino Linotype" w:cs="Tahoma"/>
          <w:bCs/>
          <w:sz w:val="22"/>
          <w:szCs w:val="22"/>
          <w:lang w:eastAsia="en-US"/>
        </w:rPr>
        <w:t xml:space="preserve">Ayuntamiento de Acolman </w:t>
      </w:r>
      <w:r w:rsidRPr="00AF110A">
        <w:rPr>
          <w:rFonts w:ascii="Palatino Linotype" w:eastAsia="Calibri" w:hAnsi="Palatino Linotype" w:cs="Tahoma"/>
          <w:bCs/>
          <w:sz w:val="22"/>
          <w:szCs w:val="22"/>
          <w:lang w:val="es-ES_tradnl" w:eastAsia="en-US"/>
        </w:rPr>
        <w:t>y hacer</w:t>
      </w:r>
      <w:r w:rsidRPr="00A50EAF">
        <w:rPr>
          <w:rFonts w:ascii="Palatino Linotype" w:eastAsia="Calibri" w:hAnsi="Palatino Linotype" w:cs="Tahoma"/>
          <w:bCs/>
          <w:sz w:val="22"/>
          <w:szCs w:val="22"/>
          <w:lang w:val="es-ES_tradnl" w:eastAsia="en-US"/>
        </w:rPr>
        <w:t xml:space="preserve"> entrega de la misma vía </w:t>
      </w:r>
      <w:r>
        <w:rPr>
          <w:rFonts w:ascii="Palatino Linotype" w:eastAsia="Calibri" w:hAnsi="Palatino Linotype" w:cs="Tahoma"/>
          <w:bCs/>
          <w:sz w:val="22"/>
          <w:szCs w:val="22"/>
          <w:lang w:val="es-ES_tradnl" w:eastAsia="en-US"/>
        </w:rPr>
        <w:t xml:space="preserve">el Sistema de Acceso a la </w:t>
      </w:r>
      <w:r>
        <w:rPr>
          <w:rFonts w:ascii="Palatino Linotype" w:eastAsia="Calibri" w:hAnsi="Palatino Linotype" w:cs="Tahoma"/>
          <w:bCs/>
          <w:sz w:val="22"/>
          <w:szCs w:val="22"/>
          <w:lang w:val="es-ES_tradnl" w:eastAsia="en-US"/>
        </w:rPr>
        <w:lastRenderedPageBreak/>
        <w:t>Información Mexiquense (</w:t>
      </w:r>
      <w:r w:rsidRPr="00A50EAF">
        <w:rPr>
          <w:rFonts w:ascii="Palatino Linotype" w:eastAsia="Calibri" w:hAnsi="Palatino Linotype" w:cs="Tahoma"/>
          <w:bCs/>
          <w:sz w:val="22"/>
          <w:szCs w:val="22"/>
          <w:lang w:val="es-ES_tradnl" w:eastAsia="en-US"/>
        </w:rPr>
        <w:t>SAIMEX</w:t>
      </w:r>
      <w:r>
        <w:rPr>
          <w:rFonts w:ascii="Palatino Linotype" w:eastAsia="Calibri" w:hAnsi="Palatino Linotype" w:cs="Tahoma"/>
          <w:bCs/>
          <w:sz w:val="22"/>
          <w:szCs w:val="22"/>
          <w:lang w:val="es-ES_tradnl" w:eastAsia="en-US"/>
        </w:rPr>
        <w:t xml:space="preserve">) </w:t>
      </w:r>
      <w:r w:rsidRPr="00A50EAF">
        <w:rPr>
          <w:rFonts w:ascii="Palatino Linotype" w:eastAsia="Calibri" w:hAnsi="Palatino Linotype" w:cs="Tahoma"/>
          <w:bCs/>
          <w:sz w:val="22"/>
          <w:szCs w:val="22"/>
          <w:lang w:val="es-ES_tradnl" w:eastAsia="en-US"/>
        </w:rPr>
        <w:t xml:space="preserve">en versión pública en los términos </w:t>
      </w:r>
      <w:r>
        <w:rPr>
          <w:rFonts w:ascii="Palatino Linotype" w:eastAsia="Calibri" w:hAnsi="Palatino Linotype" w:cs="Tahoma"/>
          <w:bCs/>
          <w:sz w:val="22"/>
          <w:szCs w:val="22"/>
          <w:lang w:val="es-ES_tradnl" w:eastAsia="en-US"/>
        </w:rPr>
        <w:t>que se describen a continuación.</w:t>
      </w:r>
    </w:p>
    <w:p w14:paraId="04565389" w14:textId="77777777" w:rsidR="00DA6CAC" w:rsidRDefault="00DA6CAC">
      <w:pPr>
        <w:spacing w:line="360" w:lineRule="auto"/>
        <w:ind w:right="-93"/>
        <w:jc w:val="both"/>
        <w:rPr>
          <w:rFonts w:ascii="Palatino Linotype" w:eastAsia="Calibri" w:hAnsi="Palatino Linotype" w:cs="Tahoma"/>
          <w:bCs/>
          <w:sz w:val="22"/>
          <w:szCs w:val="22"/>
          <w:lang w:eastAsia="en-US"/>
        </w:rPr>
      </w:pPr>
    </w:p>
    <w:p w14:paraId="36B98B09" w14:textId="1F4CC36F" w:rsidR="00135ED3" w:rsidRDefault="00F50DBA">
      <w:pPr>
        <w:tabs>
          <w:tab w:val="left" w:pos="6255"/>
        </w:tabs>
        <w:spacing w:line="360" w:lineRule="auto"/>
        <w:jc w:val="both"/>
        <w:rPr>
          <w:rFonts w:ascii="Palatino Linotype" w:hAnsi="Palatino Linotype" w:cs="Tahoma"/>
          <w:b/>
          <w:caps/>
          <w:sz w:val="22"/>
          <w:szCs w:val="22"/>
        </w:rPr>
      </w:pPr>
      <w:r w:rsidRPr="00A50EAF">
        <w:rPr>
          <w:rFonts w:ascii="Palatino Linotype" w:hAnsi="Palatino Linotype" w:cs="Tahoma"/>
          <w:b/>
          <w:caps/>
          <w:sz w:val="22"/>
          <w:szCs w:val="22"/>
        </w:rPr>
        <w:t xml:space="preserve">SextO. </w:t>
      </w:r>
      <w:r w:rsidR="00135ED3">
        <w:rPr>
          <w:rFonts w:ascii="Palatino Linotype" w:hAnsi="Palatino Linotype" w:cs="Tahoma"/>
          <w:b/>
          <w:caps/>
          <w:sz w:val="22"/>
          <w:szCs w:val="22"/>
        </w:rPr>
        <w:t xml:space="preserve"> De la versión pública E </w:t>
      </w:r>
      <w:r w:rsidR="00135ED3" w:rsidRPr="00135ED3">
        <w:rPr>
          <w:rFonts w:ascii="Palatino Linotype" w:hAnsi="Palatino Linotype" w:cs="Tahoma"/>
          <w:b/>
          <w:caps/>
          <w:sz w:val="22"/>
          <w:szCs w:val="22"/>
        </w:rPr>
        <w:t>Información sobre el personal de seguridad pública.</w:t>
      </w:r>
    </w:p>
    <w:p w14:paraId="726FF795" w14:textId="47B390B9" w:rsidR="00135ED3" w:rsidRDefault="00135ED3">
      <w:pPr>
        <w:tabs>
          <w:tab w:val="left" w:pos="6255"/>
        </w:tabs>
        <w:spacing w:line="360" w:lineRule="auto"/>
        <w:jc w:val="both"/>
        <w:rPr>
          <w:rFonts w:ascii="Palatino Linotype" w:hAnsi="Palatino Linotype" w:cs="Tahoma"/>
          <w:b/>
          <w:caps/>
          <w:sz w:val="22"/>
          <w:szCs w:val="22"/>
        </w:rPr>
      </w:pPr>
    </w:p>
    <w:p w14:paraId="6D1643C3" w14:textId="77777777" w:rsidR="00135ED3" w:rsidRPr="00135ED3" w:rsidRDefault="00135ED3">
      <w:pPr>
        <w:spacing w:line="360" w:lineRule="auto"/>
        <w:ind w:right="-93"/>
        <w:jc w:val="both"/>
        <w:rPr>
          <w:rFonts w:ascii="Palatino Linotype" w:eastAsia="Calibri" w:hAnsi="Palatino Linotype" w:cs="Tahoma"/>
          <w:b/>
          <w:bCs/>
          <w:sz w:val="22"/>
          <w:szCs w:val="22"/>
          <w:lang w:val="es-ES_tradnl" w:eastAsia="en-US"/>
        </w:rPr>
      </w:pPr>
      <w:r w:rsidRPr="00135ED3">
        <w:rPr>
          <w:rFonts w:ascii="Palatino Linotype" w:eastAsia="Calibri" w:hAnsi="Palatino Linotype" w:cs="Tahoma"/>
          <w:b/>
          <w:bCs/>
          <w:sz w:val="22"/>
          <w:szCs w:val="22"/>
          <w:lang w:val="es-ES_tradnl" w:eastAsia="en-US"/>
        </w:rPr>
        <w:t>Información sobre el personal de seguridad pública.</w:t>
      </w:r>
    </w:p>
    <w:p w14:paraId="0A328CAD" w14:textId="77777777" w:rsidR="00135ED3" w:rsidRPr="00BC1085" w:rsidRDefault="00135ED3">
      <w:pPr>
        <w:spacing w:line="360" w:lineRule="auto"/>
        <w:ind w:right="-93"/>
        <w:jc w:val="both"/>
        <w:rPr>
          <w:rFonts w:ascii="Palatino Linotype" w:eastAsia="Calibri" w:hAnsi="Palatino Linotype" w:cs="Tahoma"/>
          <w:b/>
          <w:bCs/>
          <w:sz w:val="22"/>
          <w:szCs w:val="22"/>
          <w:lang w:val="es-ES_tradnl" w:eastAsia="en-US"/>
        </w:rPr>
      </w:pPr>
    </w:p>
    <w:p w14:paraId="504B6DA3" w14:textId="5C27E4C7" w:rsidR="00135ED3" w:rsidRPr="00A50EAF" w:rsidRDefault="00135ED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Pr="00A50EAF">
        <w:rPr>
          <w:rFonts w:ascii="Palatino Linotype" w:eastAsia="Calibri" w:hAnsi="Palatino Linotype" w:cs="Tahoma"/>
          <w:bCs/>
          <w:sz w:val="22"/>
          <w:szCs w:val="22"/>
          <w:lang w:eastAsia="en-US"/>
        </w:rPr>
        <w:t>l particular solicit</w:t>
      </w:r>
      <w:r>
        <w:rPr>
          <w:rFonts w:ascii="Palatino Linotype" w:eastAsia="Calibri" w:hAnsi="Palatino Linotype" w:cs="Tahoma"/>
          <w:bCs/>
          <w:sz w:val="22"/>
          <w:szCs w:val="22"/>
          <w:lang w:eastAsia="en-US"/>
        </w:rPr>
        <w:t>ó los recibos de nómina</w:t>
      </w:r>
      <w:r w:rsidRPr="00A50EAF">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de todos los servidores públicos dentro de los que se encuentran los </w:t>
      </w:r>
      <w:r w:rsidRPr="00A50EAF">
        <w:rPr>
          <w:rFonts w:ascii="Palatino Linotype" w:eastAsia="Calibri" w:hAnsi="Palatino Linotype" w:cs="Tahoma"/>
          <w:bCs/>
          <w:sz w:val="22"/>
          <w:szCs w:val="22"/>
          <w:lang w:eastAsia="en-US"/>
        </w:rPr>
        <w:t>policías, de tal suerte que para atender la solicitud de acceso a la información que nos ocupa, es necesario ordenar la entrega de la información del personal de seguridad pública</w:t>
      </w:r>
      <w:r>
        <w:rPr>
          <w:rFonts w:ascii="Palatino Linotype" w:eastAsia="Calibri" w:hAnsi="Palatino Linotype" w:cs="Tahoma"/>
          <w:bCs/>
          <w:sz w:val="22"/>
          <w:szCs w:val="22"/>
          <w:lang w:eastAsia="en-US"/>
        </w:rPr>
        <w:t xml:space="preserve"> de acuerdo a las consideraciones que a continuación se exponen:</w:t>
      </w:r>
    </w:p>
    <w:p w14:paraId="78B9E72B" w14:textId="77777777" w:rsidR="00135ED3" w:rsidRPr="00A50EAF" w:rsidRDefault="00135ED3">
      <w:pPr>
        <w:spacing w:line="360" w:lineRule="auto"/>
        <w:ind w:right="-93"/>
        <w:jc w:val="both"/>
        <w:rPr>
          <w:rFonts w:ascii="Palatino Linotype" w:eastAsia="Calibri" w:hAnsi="Palatino Linotype" w:cs="Tahoma"/>
          <w:bCs/>
          <w:sz w:val="22"/>
          <w:szCs w:val="22"/>
          <w:lang w:eastAsia="en-US"/>
        </w:rPr>
      </w:pPr>
    </w:p>
    <w:p w14:paraId="0EE65E7A" w14:textId="4DE34178" w:rsidR="00135ED3" w:rsidRDefault="00135ED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Se llevó a cabo la búsqueda en </w:t>
      </w:r>
      <w:r w:rsidRPr="00A50EAF">
        <w:rPr>
          <w:rFonts w:ascii="Palatino Linotype" w:eastAsia="Calibri" w:hAnsi="Palatino Linotype" w:cs="Tahoma"/>
          <w:bCs/>
          <w:sz w:val="22"/>
          <w:szCs w:val="22"/>
          <w:lang w:eastAsia="en-US"/>
        </w:rPr>
        <w:t xml:space="preserve">el </w:t>
      </w:r>
      <w:r w:rsidRPr="00135ED3">
        <w:rPr>
          <w:rFonts w:ascii="Palatino Linotype" w:eastAsia="Calibri" w:hAnsi="Palatino Linotype" w:cs="Tahoma"/>
          <w:b/>
          <w:bCs/>
          <w:sz w:val="22"/>
          <w:szCs w:val="22"/>
          <w:lang w:eastAsia="en-US"/>
        </w:rPr>
        <w:t>Bando Municipal de Acolman 2019</w:t>
      </w:r>
      <w:r>
        <w:rPr>
          <w:rFonts w:ascii="Palatino Linotype" w:eastAsia="Calibri" w:hAnsi="Palatino Linotype" w:cs="Tahoma"/>
          <w:bCs/>
          <w:sz w:val="22"/>
          <w:szCs w:val="22"/>
          <w:lang w:eastAsia="en-US"/>
        </w:rPr>
        <w:t xml:space="preserve">, en cuyo artículo 44 referente a la estructura municipal en el apartado de la Administración Pública Centralizada, fracción I, inciso d) señala a la </w:t>
      </w:r>
      <w:r w:rsidRPr="00135ED3">
        <w:rPr>
          <w:rFonts w:ascii="Palatino Linotype" w:eastAsia="Calibri" w:hAnsi="Palatino Linotype" w:cs="Tahoma"/>
          <w:b/>
          <w:bCs/>
          <w:sz w:val="22"/>
          <w:szCs w:val="22"/>
          <w:lang w:eastAsia="en-US"/>
        </w:rPr>
        <w:t>Comisaría de Seguridad Ciudadana</w:t>
      </w:r>
      <w:r>
        <w:rPr>
          <w:rFonts w:ascii="Palatino Linotype" w:eastAsia="Calibri" w:hAnsi="Palatino Linotype" w:cs="Tahoma"/>
          <w:bCs/>
          <w:sz w:val="22"/>
          <w:szCs w:val="22"/>
          <w:lang w:eastAsia="en-US"/>
        </w:rPr>
        <w:t xml:space="preserve"> como parte integrante del Ayuntamiento.</w:t>
      </w:r>
    </w:p>
    <w:p w14:paraId="36C3198E" w14:textId="77777777" w:rsidR="00135ED3" w:rsidRDefault="00135ED3">
      <w:pPr>
        <w:spacing w:line="360" w:lineRule="auto"/>
        <w:ind w:right="-93"/>
        <w:jc w:val="both"/>
        <w:rPr>
          <w:rFonts w:ascii="Palatino Linotype" w:eastAsia="Calibri" w:hAnsi="Palatino Linotype" w:cs="Tahoma"/>
          <w:bCs/>
          <w:sz w:val="22"/>
          <w:szCs w:val="22"/>
          <w:lang w:eastAsia="en-US"/>
        </w:rPr>
      </w:pPr>
    </w:p>
    <w:p w14:paraId="75B82F01" w14:textId="20E83DEC" w:rsidR="00135ED3" w:rsidRDefault="00135ED3">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su parte, el artículo </w:t>
      </w:r>
      <w:r w:rsidR="00546862">
        <w:rPr>
          <w:rFonts w:ascii="Palatino Linotype" w:eastAsia="Calibri" w:hAnsi="Palatino Linotype" w:cs="Tahoma"/>
          <w:bCs/>
          <w:sz w:val="22"/>
          <w:szCs w:val="22"/>
          <w:lang w:eastAsia="en-US"/>
        </w:rPr>
        <w:t>53</w:t>
      </w:r>
      <w:r>
        <w:rPr>
          <w:rFonts w:ascii="Palatino Linotype" w:eastAsia="Calibri" w:hAnsi="Palatino Linotype" w:cs="Tahoma"/>
          <w:bCs/>
          <w:sz w:val="22"/>
          <w:szCs w:val="22"/>
          <w:lang w:eastAsia="en-US"/>
        </w:rPr>
        <w:t xml:space="preserve"> del mismo Bando,</w:t>
      </w:r>
      <w:r w:rsidR="00546862">
        <w:rPr>
          <w:rFonts w:ascii="Palatino Linotype" w:eastAsia="Calibri" w:hAnsi="Palatino Linotype" w:cs="Tahoma"/>
          <w:bCs/>
          <w:sz w:val="22"/>
          <w:szCs w:val="22"/>
          <w:lang w:eastAsia="en-US"/>
        </w:rPr>
        <w:t xml:space="preserve"> señala que la </w:t>
      </w:r>
      <w:r w:rsidR="00546862" w:rsidRPr="00546862">
        <w:rPr>
          <w:rFonts w:ascii="Palatino Linotype" w:eastAsia="Calibri" w:hAnsi="Palatino Linotype" w:cs="Tahoma"/>
          <w:b/>
          <w:bCs/>
          <w:sz w:val="22"/>
          <w:szCs w:val="22"/>
          <w:lang w:eastAsia="en-US"/>
        </w:rPr>
        <w:t>Comisaría de Seguridad Ciudadana</w:t>
      </w:r>
      <w:r w:rsidRPr="00546862">
        <w:rPr>
          <w:rFonts w:ascii="Palatino Linotype" w:eastAsia="Calibri" w:hAnsi="Palatino Linotype" w:cs="Tahoma"/>
          <w:bCs/>
          <w:sz w:val="22"/>
          <w:szCs w:val="22"/>
          <w:lang w:eastAsia="en-US"/>
        </w:rPr>
        <w:t>,</w:t>
      </w:r>
      <w:r w:rsidRPr="00AA7AAE">
        <w:rPr>
          <w:rFonts w:ascii="Palatino Linotype" w:eastAsia="Calibri" w:hAnsi="Palatino Linotype" w:cs="Tahoma"/>
          <w:bCs/>
          <w:sz w:val="22"/>
          <w:szCs w:val="22"/>
          <w:lang w:eastAsia="en-US"/>
        </w:rPr>
        <w:t xml:space="preserve"> </w:t>
      </w:r>
      <w:r w:rsidR="00546862" w:rsidRPr="00546862">
        <w:rPr>
          <w:rFonts w:ascii="Palatino Linotype" w:eastAsia="Calibri" w:hAnsi="Palatino Linotype" w:cs="Tahoma"/>
          <w:bCs/>
          <w:sz w:val="22"/>
          <w:szCs w:val="22"/>
          <w:lang w:eastAsia="en-US"/>
        </w:rPr>
        <w:t>tiene por obje</w:t>
      </w:r>
      <w:r w:rsidR="00546862">
        <w:rPr>
          <w:rFonts w:ascii="Palatino Linotype" w:eastAsia="Calibri" w:hAnsi="Palatino Linotype" w:cs="Tahoma"/>
          <w:bCs/>
          <w:sz w:val="22"/>
          <w:szCs w:val="22"/>
          <w:lang w:eastAsia="en-US"/>
        </w:rPr>
        <w:t xml:space="preserve">tivo salvaguardar los derechos, </w:t>
      </w:r>
      <w:r w:rsidR="00546862" w:rsidRPr="00546862">
        <w:rPr>
          <w:rFonts w:ascii="Palatino Linotype" w:eastAsia="Calibri" w:hAnsi="Palatino Linotype" w:cs="Tahoma"/>
          <w:bCs/>
          <w:sz w:val="22"/>
          <w:szCs w:val="22"/>
          <w:lang w:eastAsia="en-US"/>
        </w:rPr>
        <w:t>la integridad física y patrimonial de la sociedad, la paz, tranquilidad</w:t>
      </w:r>
      <w:r w:rsidR="00546862">
        <w:rPr>
          <w:rFonts w:ascii="Palatino Linotype" w:eastAsia="Calibri" w:hAnsi="Palatino Linotype" w:cs="Tahoma"/>
          <w:bCs/>
          <w:sz w:val="22"/>
          <w:szCs w:val="22"/>
          <w:lang w:eastAsia="en-US"/>
        </w:rPr>
        <w:t xml:space="preserve">, y el orden público; así como, </w:t>
      </w:r>
      <w:r w:rsidR="00546862" w:rsidRPr="00546862">
        <w:rPr>
          <w:rFonts w:ascii="Palatino Linotype" w:eastAsia="Calibri" w:hAnsi="Palatino Linotype" w:cs="Tahoma"/>
          <w:bCs/>
          <w:sz w:val="22"/>
          <w:szCs w:val="22"/>
          <w:lang w:eastAsia="en-US"/>
        </w:rPr>
        <w:t>prevenir el delito, las infracciones al presente Bando y demás disposici</w:t>
      </w:r>
      <w:r w:rsidR="00546862">
        <w:rPr>
          <w:rFonts w:ascii="Palatino Linotype" w:eastAsia="Calibri" w:hAnsi="Palatino Linotype" w:cs="Tahoma"/>
          <w:bCs/>
          <w:sz w:val="22"/>
          <w:szCs w:val="22"/>
          <w:lang w:eastAsia="en-US"/>
        </w:rPr>
        <w:t xml:space="preserve">ones legales en el ámbito de su </w:t>
      </w:r>
      <w:r w:rsidR="00546862" w:rsidRPr="00546862">
        <w:rPr>
          <w:rFonts w:ascii="Palatino Linotype" w:eastAsia="Calibri" w:hAnsi="Palatino Linotype" w:cs="Tahoma"/>
          <w:bCs/>
          <w:sz w:val="22"/>
          <w:szCs w:val="22"/>
          <w:lang w:eastAsia="en-US"/>
        </w:rPr>
        <w:t>competencia. Siguiendo los principios de legalidad, objetividad, eficien</w:t>
      </w:r>
      <w:r w:rsidR="00546862">
        <w:rPr>
          <w:rFonts w:ascii="Palatino Linotype" w:eastAsia="Calibri" w:hAnsi="Palatino Linotype" w:cs="Tahoma"/>
          <w:bCs/>
          <w:sz w:val="22"/>
          <w:szCs w:val="22"/>
          <w:lang w:eastAsia="en-US"/>
        </w:rPr>
        <w:t xml:space="preserve">cia, eficacia, profesionalismo, </w:t>
      </w:r>
      <w:r w:rsidR="00546862" w:rsidRPr="00546862">
        <w:rPr>
          <w:rFonts w:ascii="Palatino Linotype" w:eastAsia="Calibri" w:hAnsi="Palatino Linotype" w:cs="Tahoma"/>
          <w:bCs/>
          <w:sz w:val="22"/>
          <w:szCs w:val="22"/>
          <w:lang w:eastAsia="en-US"/>
        </w:rPr>
        <w:t>honradez, y respeto a los derechos humanos.</w:t>
      </w:r>
    </w:p>
    <w:p w14:paraId="35F03213" w14:textId="77777777" w:rsidR="00135ED3" w:rsidRDefault="00135ED3">
      <w:pPr>
        <w:spacing w:line="360" w:lineRule="auto"/>
        <w:ind w:right="-93"/>
        <w:jc w:val="both"/>
        <w:rPr>
          <w:rFonts w:ascii="Palatino Linotype" w:eastAsia="Calibri" w:hAnsi="Palatino Linotype" w:cs="Tahoma"/>
          <w:bCs/>
          <w:sz w:val="22"/>
          <w:szCs w:val="22"/>
          <w:lang w:eastAsia="en-US"/>
        </w:rPr>
      </w:pPr>
    </w:p>
    <w:p w14:paraId="63E039C1" w14:textId="77777777" w:rsidR="00135ED3" w:rsidRPr="00A50EAF" w:rsidRDefault="00135ED3">
      <w:pPr>
        <w:spacing w:line="360" w:lineRule="auto"/>
        <w:ind w:right="-93"/>
        <w:jc w:val="both"/>
        <w:rPr>
          <w:rFonts w:ascii="Palatino Linotype" w:eastAsia="Calibri" w:hAnsi="Palatino Linotype" w:cs="Tahoma"/>
          <w:bCs/>
          <w:sz w:val="22"/>
          <w:szCs w:val="22"/>
          <w:lang w:eastAsia="en-US"/>
        </w:rPr>
      </w:pPr>
    </w:p>
    <w:p w14:paraId="72168E06"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r w:rsidRPr="004C1729">
        <w:rPr>
          <w:rFonts w:ascii="Palatino Linotype" w:eastAsia="Calibri" w:hAnsi="Palatino Linotype" w:cs="Tahoma"/>
          <w:bCs/>
          <w:sz w:val="22"/>
          <w:szCs w:val="22"/>
          <w:highlight w:val="yellow"/>
          <w:lang w:eastAsia="en-US"/>
        </w:rPr>
        <w:lastRenderedPageBreak/>
        <w:t>En ese contexto, 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14:paraId="665369A6"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p>
    <w:p w14:paraId="2908EDAE"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r w:rsidRPr="004C1729">
        <w:rPr>
          <w:rFonts w:ascii="Palatino Linotype" w:eastAsia="Calibri" w:hAnsi="Palatino Linotype" w:cs="Tahoma"/>
          <w:bCs/>
          <w:sz w:val="22"/>
          <w:szCs w:val="22"/>
          <w:highlight w:val="yellow"/>
          <w:lang w:eastAsia="en-US"/>
        </w:rPr>
        <w:t xml:space="preserve">En ese contexto, según Solange, María (2018), en la “Ley General de Protección de Datos Personales en Posesión de Sujetos Obligados Comentada” (p. 44), que la eficacia de la disociación depende de los resultados obtenidos, que deben ser similares o equivalentes a la eliminación o borrado de los datos, sin perder de vista los posibles riesgos residuales de la </w:t>
      </w:r>
      <w:proofErr w:type="spellStart"/>
      <w:r w:rsidRPr="004C1729">
        <w:rPr>
          <w:rFonts w:ascii="Palatino Linotype" w:eastAsia="Calibri" w:hAnsi="Palatino Linotype" w:cs="Tahoma"/>
          <w:bCs/>
          <w:sz w:val="22"/>
          <w:szCs w:val="22"/>
          <w:highlight w:val="yellow"/>
          <w:lang w:eastAsia="en-US"/>
        </w:rPr>
        <w:t>reidentificación</w:t>
      </w:r>
      <w:proofErr w:type="spellEnd"/>
      <w:r w:rsidRPr="004C1729">
        <w:rPr>
          <w:rFonts w:ascii="Palatino Linotype" w:eastAsia="Calibri" w:hAnsi="Palatino Linotype" w:cs="Tahoma"/>
          <w:bCs/>
          <w:sz w:val="22"/>
          <w:szCs w:val="22"/>
          <w:highlight w:val="yellow"/>
          <w:lang w:eastAsia="en-US"/>
        </w:rPr>
        <w:t xml:space="preserve"> ante las tecnologías disponibles. </w:t>
      </w:r>
    </w:p>
    <w:p w14:paraId="56930706"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p>
    <w:p w14:paraId="618150B6" w14:textId="34A73066"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r w:rsidRPr="004C1729">
        <w:rPr>
          <w:rFonts w:ascii="Palatino Linotype" w:eastAsia="Calibri" w:hAnsi="Palatino Linotype" w:cs="Tahoma"/>
          <w:bCs/>
          <w:sz w:val="22"/>
          <w:szCs w:val="22"/>
          <w:highlight w:val="yellow"/>
          <w:lang w:eastAsia="en-US"/>
        </w:rPr>
        <w:t>En ese orden de ideas, en el Informe Jurídico 283/2009, de la Agencia Española de Protección de Datos, traído a manera de referencia, se establece que para llevar a cabo de manera correcta un procedimiento de disociación, es necesario verificar que no se permita por ningún medio identificar el dato.</w:t>
      </w:r>
    </w:p>
    <w:p w14:paraId="390246A9"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p>
    <w:p w14:paraId="275D947E"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r w:rsidRPr="004C1729">
        <w:rPr>
          <w:rFonts w:ascii="Palatino Linotype" w:eastAsia="Calibri" w:hAnsi="Palatino Linotype" w:cs="Tahoma"/>
          <w:bCs/>
          <w:sz w:val="22"/>
          <w:szCs w:val="22"/>
          <w:highlight w:val="yellow"/>
          <w:lang w:eastAsia="en-US"/>
        </w:rPr>
        <w:t xml:space="preserve">En ese orden de ideas, según Solange, María (2019), en el “Diccionario de Transparencia y Acceso a la Información Pública” (p.65), establece que la </w:t>
      </w:r>
      <w:proofErr w:type="spellStart"/>
      <w:r w:rsidRPr="004C1729">
        <w:rPr>
          <w:rFonts w:ascii="Palatino Linotype" w:eastAsia="Calibri" w:hAnsi="Palatino Linotype" w:cs="Tahoma"/>
          <w:bCs/>
          <w:sz w:val="22"/>
          <w:szCs w:val="22"/>
          <w:highlight w:val="yellow"/>
          <w:lang w:eastAsia="en-US"/>
        </w:rPr>
        <w:t>anonimización</w:t>
      </w:r>
      <w:proofErr w:type="spellEnd"/>
      <w:r w:rsidRPr="004C1729">
        <w:rPr>
          <w:rFonts w:ascii="Palatino Linotype" w:eastAsia="Calibri" w:hAnsi="Palatino Linotype" w:cs="Tahoma"/>
          <w:bCs/>
          <w:sz w:val="22"/>
          <w:szCs w:val="22"/>
          <w:highlight w:val="yellow"/>
          <w:lang w:eastAsia="en-US"/>
        </w:rPr>
        <w:t>, es una técnica que suponen el tratamiento de datos personales con el objeto de disociar de manera irreversible o definitiva la información personal de su titular con el fin de que no pueda asociarse con él, ni permitir su identificación por su estructura, contenido o grado de desagregación; además, que la eficacia dependen de los resultados obtenidos, que deben ser similares o equivalentes a la eliminación o borrado de dichos datos, sin que se puedan re identificar con las tecnologías disponibles.</w:t>
      </w:r>
    </w:p>
    <w:p w14:paraId="4C166A1C"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p>
    <w:p w14:paraId="12F180D4" w14:textId="0AADC23F"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r w:rsidRPr="004C1729">
        <w:rPr>
          <w:rFonts w:ascii="Palatino Linotype" w:eastAsia="Calibri" w:hAnsi="Palatino Linotype" w:cs="Tahoma"/>
          <w:bCs/>
          <w:sz w:val="22"/>
          <w:szCs w:val="22"/>
          <w:highlight w:val="yellow"/>
          <w:lang w:eastAsia="en-US"/>
        </w:rPr>
        <w:t>En ese orden de ideas, a manera de referencia, se traen a colación los Criterios de Disociación de Datos Personales, emitidos por la Unidad Reguladora y de Control de Datos Personales del Gobierno de Uruguay, establece como técnica para anonimizar la información, entre otras las siguientes:</w:t>
      </w:r>
    </w:p>
    <w:p w14:paraId="55E7F186"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p>
    <w:p w14:paraId="3E297779"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r w:rsidRPr="004C1729">
        <w:rPr>
          <w:rFonts w:ascii="Palatino Linotype" w:eastAsia="Calibri" w:hAnsi="Palatino Linotype" w:cs="Tahoma"/>
          <w:bCs/>
          <w:sz w:val="22"/>
          <w:szCs w:val="22"/>
          <w:highlight w:val="yellow"/>
          <w:lang w:eastAsia="en-US"/>
        </w:rPr>
        <w:t>Aleatorización: Técnica que modifica la veracidad de los datos, con el fin de eliminar el vínculo existente entre ellos y su titular; por lo cual, si se vuelven lo suficiente ambiguos los datos, no se podrá identificar a una persona en concreto.</w:t>
      </w:r>
    </w:p>
    <w:p w14:paraId="57D935F9"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p>
    <w:p w14:paraId="42F86334"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r w:rsidRPr="004C1729">
        <w:rPr>
          <w:rFonts w:ascii="Palatino Linotype" w:eastAsia="Calibri" w:hAnsi="Palatino Linotype" w:cs="Tahoma"/>
          <w:bCs/>
          <w:sz w:val="22"/>
          <w:szCs w:val="22"/>
          <w:highlight w:val="yellow"/>
          <w:lang w:eastAsia="en-US"/>
        </w:rPr>
        <w:t>Agregación y Anonimato: Que tiene como objetivo el impedir que una persona sea singularizada cuando se le agrupa con un grupo de individuos; esta técnica, incluye el método de supresión, en la cual todos o algunos valores son remplazados por “*”.</w:t>
      </w:r>
    </w:p>
    <w:p w14:paraId="4E02A23F"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p>
    <w:p w14:paraId="56173B5A"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r w:rsidRPr="004C1729">
        <w:rPr>
          <w:rFonts w:ascii="Palatino Linotype" w:eastAsia="Calibri" w:hAnsi="Palatino Linotype" w:cs="Tahoma"/>
          <w:bCs/>
          <w:sz w:val="22"/>
          <w:szCs w:val="22"/>
          <w:highlight w:val="yellow"/>
          <w:lang w:eastAsia="en-US"/>
        </w:rPr>
        <w:t xml:space="preserve">Conforme a lo analizado, se puede advertir que la disociación no es un proceso que tenga que pasar ante el Comité de Transparencia, pues no implica la actualización de una inexistencia, una incompetencia o clasificación, sino únicamente un procedimiento para que un dato personal no pueda asociarse a otro, que pueda hacerlo identificable. Para tal situación, el procedimiento de disociación, cuenta con una técnica denominada </w:t>
      </w:r>
      <w:proofErr w:type="spellStart"/>
      <w:r w:rsidRPr="004C1729">
        <w:rPr>
          <w:rFonts w:ascii="Palatino Linotype" w:eastAsia="Calibri" w:hAnsi="Palatino Linotype" w:cs="Tahoma"/>
          <w:bCs/>
          <w:sz w:val="22"/>
          <w:szCs w:val="22"/>
          <w:highlight w:val="yellow"/>
          <w:lang w:eastAsia="en-US"/>
        </w:rPr>
        <w:t>anonimización</w:t>
      </w:r>
      <w:proofErr w:type="spellEnd"/>
      <w:r w:rsidRPr="004C1729">
        <w:rPr>
          <w:rFonts w:ascii="Palatino Linotype" w:eastAsia="Calibri" w:hAnsi="Palatino Linotype" w:cs="Tahoma"/>
          <w:bCs/>
          <w:sz w:val="22"/>
          <w:szCs w:val="22"/>
          <w:highlight w:val="yellow"/>
          <w:lang w:eastAsia="en-US"/>
        </w:rPr>
        <w:t xml:space="preserve">, que tiene como fin eliminar el vínculo de manera irreversible y definitiva de los datos personales, con otros, que permitan si identificación. </w:t>
      </w:r>
    </w:p>
    <w:p w14:paraId="544CDE2F"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p>
    <w:p w14:paraId="7AA6E077" w14:textId="5E44A562"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r w:rsidRPr="004C1729">
        <w:rPr>
          <w:rFonts w:ascii="Palatino Linotype" w:eastAsia="Calibri" w:hAnsi="Palatino Linotype" w:cs="Tahoma"/>
          <w:bCs/>
          <w:sz w:val="22"/>
          <w:szCs w:val="22"/>
          <w:highlight w:val="yellow"/>
          <w:lang w:eastAsia="en-US"/>
        </w:rPr>
        <w:t>Conforme a lo anterior, para realizar una correcta disociación de la información, el Sujeto Obligado, en el presente caso, deberá evitar la existencia de un vínculo entre el servidor público y el hecho de que se trate de un elemento operativo en materia de seguridad pública, de manera de ejemplo se establece lo siguiente:</w:t>
      </w:r>
    </w:p>
    <w:p w14:paraId="6EFE31FC"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r w:rsidRPr="004C1729">
        <w:rPr>
          <w:rFonts w:ascii="Palatino Linotype" w:eastAsia="Calibri" w:hAnsi="Palatino Linotype" w:cs="Tahoma"/>
          <w:bCs/>
          <w:sz w:val="22"/>
          <w:szCs w:val="22"/>
          <w:highlight w:val="yellow"/>
          <w:lang w:eastAsia="en-US"/>
        </w:rPr>
        <w:lastRenderedPageBreak/>
        <w:t>Aleatorización: Separar de los documentos, el nombre de los servidores públicos, a efecto de proporcionarlos en un listado aparte, organizados alfabéticamente, con el fin de evitar que dicho dato se pueda vincular con el cargo o adscripción.</w:t>
      </w:r>
    </w:p>
    <w:p w14:paraId="28D07B06"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p>
    <w:p w14:paraId="610C4D00"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r w:rsidRPr="004C1729">
        <w:rPr>
          <w:rFonts w:ascii="Palatino Linotype" w:eastAsia="Calibri" w:hAnsi="Palatino Linotype" w:cs="Tahoma"/>
          <w:bCs/>
          <w:sz w:val="22"/>
          <w:szCs w:val="22"/>
          <w:highlight w:val="yellow"/>
          <w:lang w:eastAsia="en-US"/>
        </w:rPr>
        <w:t>Supresión: De los documentos que den cuenta de la información, eliminar el dato de cargo, adscripción, puesto, departamento u análogo y proporcionar un documento aparte, que contenga dicho dato, tal como el tabulador de sueldos.</w:t>
      </w:r>
    </w:p>
    <w:p w14:paraId="2FF2DF34"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p>
    <w:p w14:paraId="13699E71" w14:textId="77777777" w:rsidR="004C1729" w:rsidRPr="004C1729" w:rsidRDefault="004C1729">
      <w:pPr>
        <w:tabs>
          <w:tab w:val="left" w:pos="4962"/>
        </w:tabs>
        <w:spacing w:line="360" w:lineRule="auto"/>
        <w:jc w:val="both"/>
        <w:rPr>
          <w:rFonts w:ascii="Palatino Linotype" w:eastAsia="Calibri" w:hAnsi="Palatino Linotype" w:cs="Tahoma"/>
          <w:bCs/>
          <w:sz w:val="22"/>
          <w:szCs w:val="22"/>
          <w:highlight w:val="yellow"/>
          <w:lang w:eastAsia="en-US"/>
        </w:rPr>
      </w:pPr>
      <w:r w:rsidRPr="004C1729">
        <w:rPr>
          <w:rFonts w:ascii="Palatino Linotype" w:eastAsia="Calibri" w:hAnsi="Palatino Linotype" w:cs="Tahoma"/>
          <w:bCs/>
          <w:sz w:val="22"/>
          <w:szCs w:val="22"/>
          <w:highlight w:val="yellow"/>
          <w:lang w:eastAsia="en-US"/>
        </w:rPr>
        <w:t>Conforme a lo anterior, se considera que para atender el requerimiento informativo, el Sujeto Obligado deberá entregar la nómina general y, en su caso, la lista de raya, disociada, con el fin de eliminar cualquier el vínculo que permita identificar que determinados servidores públicos, realicen funciones operativas en materia de seguridad pública y así no poner en riesgo su vida, seguridad o salud, o bien, de sus familias o entorno social; además, de evitar que se menoscaben las actividades de prevención y persecución de delitos, que realiza la Dirección de Seguridad Pública y Tránsito.</w:t>
      </w:r>
    </w:p>
    <w:p w14:paraId="57EBAB6E" w14:textId="77777777" w:rsidR="00135ED3" w:rsidRPr="004C1729" w:rsidRDefault="00135ED3">
      <w:pPr>
        <w:tabs>
          <w:tab w:val="left" w:pos="4962"/>
        </w:tabs>
        <w:spacing w:line="360" w:lineRule="auto"/>
        <w:jc w:val="both"/>
        <w:rPr>
          <w:rFonts w:ascii="Palatino Linotype" w:hAnsi="Palatino Linotype" w:cs="Tahoma"/>
          <w:sz w:val="22"/>
          <w:szCs w:val="22"/>
          <w:highlight w:val="yellow"/>
          <w:lang w:val="es-ES"/>
        </w:rPr>
      </w:pPr>
    </w:p>
    <w:p w14:paraId="23021C06" w14:textId="3E13AE86" w:rsidR="004C1729" w:rsidRPr="00965361" w:rsidRDefault="00135ED3">
      <w:pPr>
        <w:spacing w:line="360" w:lineRule="auto"/>
        <w:jc w:val="both"/>
        <w:rPr>
          <w:rFonts w:ascii="Palatino Linotype" w:hAnsi="Palatino Linotype"/>
          <w:sz w:val="22"/>
          <w:szCs w:val="22"/>
          <w:lang w:val="es-ES"/>
        </w:rPr>
      </w:pPr>
      <w:r w:rsidRPr="004C1729">
        <w:rPr>
          <w:rFonts w:ascii="Palatino Linotype" w:hAnsi="Palatino Linotype" w:cs="Tahoma"/>
          <w:sz w:val="22"/>
          <w:szCs w:val="22"/>
          <w:highlight w:val="yellow"/>
          <w:lang w:val="es-ES"/>
        </w:rPr>
        <w:t xml:space="preserve">En ese sentido, </w:t>
      </w:r>
      <w:r w:rsidRPr="004C1729">
        <w:rPr>
          <w:rFonts w:ascii="Palatino Linotype" w:hAnsi="Palatino Linotype" w:cs="Tahoma"/>
          <w:b/>
          <w:sz w:val="22"/>
          <w:szCs w:val="22"/>
          <w:highlight w:val="yellow"/>
          <w:lang w:val="es-ES"/>
        </w:rPr>
        <w:t>el Sujeto Obligado debe proporcionar la nómina del personal de segur</w:t>
      </w:r>
      <w:r w:rsidR="004C1729" w:rsidRPr="004C1729">
        <w:rPr>
          <w:rFonts w:ascii="Palatino Linotype" w:hAnsi="Palatino Linotype" w:cs="Tahoma"/>
          <w:b/>
          <w:sz w:val="22"/>
          <w:szCs w:val="22"/>
          <w:highlight w:val="yellow"/>
          <w:lang w:val="es-ES"/>
        </w:rPr>
        <w:t xml:space="preserve">idad pública, </w:t>
      </w:r>
      <w:r w:rsidR="004C1729">
        <w:rPr>
          <w:rFonts w:ascii="Palatino Linotype" w:hAnsi="Palatino Linotype" w:cs="Tahoma"/>
          <w:b/>
          <w:sz w:val="22"/>
          <w:szCs w:val="22"/>
          <w:highlight w:val="yellow"/>
          <w:lang w:val="es-ES"/>
        </w:rPr>
        <w:t xml:space="preserve">de manera </w:t>
      </w:r>
      <w:r w:rsidR="004C1729" w:rsidRPr="004C1729">
        <w:rPr>
          <w:rFonts w:ascii="Palatino Linotype" w:hAnsi="Palatino Linotype"/>
          <w:b/>
          <w:sz w:val="22"/>
          <w:szCs w:val="22"/>
          <w:highlight w:val="yellow"/>
          <w:lang w:val="es-ES"/>
        </w:rPr>
        <w:t>disociada,</w:t>
      </w:r>
      <w:r w:rsidR="004C1729" w:rsidRPr="004C1729">
        <w:rPr>
          <w:rFonts w:ascii="Palatino Linotype" w:hAnsi="Palatino Linotype"/>
          <w:sz w:val="22"/>
          <w:szCs w:val="22"/>
          <w:highlight w:val="yellow"/>
          <w:lang w:val="es-ES"/>
        </w:rPr>
        <w:t xml:space="preserve"> con el fin de eliminar cualquier el vínculo que permita identificar que determinados servidores públicos, realicen funciones operativas en materia de seguridad pública y así no poner en riesgo su</w:t>
      </w:r>
      <w:r w:rsidR="004C1729" w:rsidRPr="004C1729">
        <w:rPr>
          <w:rFonts w:ascii="Palatino Linotype" w:hAnsi="Palatino Linotype"/>
          <w:b/>
          <w:bCs/>
          <w:sz w:val="22"/>
          <w:szCs w:val="22"/>
          <w:highlight w:val="yellow"/>
        </w:rPr>
        <w:t xml:space="preserve"> vida, seguridad o salud, o bien, de sus familias o entorno social; </w:t>
      </w:r>
      <w:r w:rsidR="004C1729" w:rsidRPr="004C1729">
        <w:rPr>
          <w:rFonts w:ascii="Palatino Linotype" w:hAnsi="Palatino Linotype"/>
          <w:bCs/>
          <w:sz w:val="22"/>
          <w:szCs w:val="22"/>
          <w:highlight w:val="yellow"/>
        </w:rPr>
        <w:t>además, de evitar que se menoscaben las actividades de prevención y persecución de delitos, que realiza la Dirección de Seguridad Pública y Tránsito.</w:t>
      </w:r>
    </w:p>
    <w:p w14:paraId="5B0CFD9F" w14:textId="4D9D032A" w:rsidR="004C1729" w:rsidRDefault="004C1729">
      <w:pPr>
        <w:tabs>
          <w:tab w:val="left" w:pos="4962"/>
        </w:tabs>
        <w:spacing w:line="360" w:lineRule="auto"/>
        <w:jc w:val="both"/>
        <w:rPr>
          <w:rFonts w:ascii="Palatino Linotype" w:hAnsi="Palatino Linotype" w:cs="Tahoma"/>
          <w:b/>
          <w:sz w:val="22"/>
          <w:szCs w:val="22"/>
        </w:rPr>
      </w:pPr>
    </w:p>
    <w:p w14:paraId="56800014" w14:textId="1E0C5B08" w:rsidR="00F50DBA" w:rsidRDefault="00F50DBA">
      <w:pPr>
        <w:tabs>
          <w:tab w:val="left" w:pos="4962"/>
        </w:tabs>
        <w:spacing w:line="360" w:lineRule="auto"/>
        <w:jc w:val="both"/>
        <w:rPr>
          <w:rFonts w:ascii="Palatino Linotype" w:hAnsi="Palatino Linotype" w:cs="Tahoma"/>
          <w:b/>
          <w:caps/>
          <w:sz w:val="22"/>
          <w:szCs w:val="22"/>
        </w:rPr>
      </w:pPr>
      <w:r>
        <w:rPr>
          <w:rFonts w:ascii="Palatino Linotype" w:hAnsi="Palatino Linotype" w:cs="Tahoma"/>
          <w:b/>
          <w:sz w:val="22"/>
          <w:szCs w:val="22"/>
        </w:rPr>
        <w:t>D</w:t>
      </w:r>
      <w:r w:rsidRPr="0068213E">
        <w:rPr>
          <w:rFonts w:ascii="Palatino Linotype" w:hAnsi="Palatino Linotype" w:cs="Tahoma"/>
          <w:b/>
          <w:sz w:val="22"/>
          <w:szCs w:val="22"/>
        </w:rPr>
        <w:t>e la versión pública.</w:t>
      </w:r>
      <w:r>
        <w:rPr>
          <w:rFonts w:ascii="Palatino Linotype" w:hAnsi="Palatino Linotype" w:cs="Tahoma"/>
          <w:b/>
          <w:sz w:val="22"/>
          <w:szCs w:val="22"/>
        </w:rPr>
        <w:tab/>
      </w:r>
    </w:p>
    <w:p w14:paraId="52E21477" w14:textId="77777777" w:rsidR="00135ED3" w:rsidRDefault="00135ED3">
      <w:pPr>
        <w:tabs>
          <w:tab w:val="left" w:pos="6255"/>
        </w:tabs>
        <w:spacing w:line="360" w:lineRule="auto"/>
        <w:jc w:val="both"/>
        <w:rPr>
          <w:rFonts w:ascii="Palatino Linotype" w:hAnsi="Palatino Linotype" w:cs="Tahoma"/>
          <w:b/>
          <w:caps/>
          <w:sz w:val="22"/>
          <w:szCs w:val="22"/>
        </w:rPr>
      </w:pPr>
    </w:p>
    <w:p w14:paraId="078FF0A3" w14:textId="77777777" w:rsidR="00F50DBA" w:rsidRPr="00B34583" w:rsidRDefault="00F50DBA">
      <w:pPr>
        <w:tabs>
          <w:tab w:val="left" w:pos="4962"/>
        </w:tabs>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lastRenderedPageBreak/>
        <w:t>Como se expresó, del análisis que se realizó de la nómina, se advierte que en la misma se consignan diversos datos personales relacionados con la vida privada de los servidores públicos, por lo que conviene analizar la naturaleza de estos.</w:t>
      </w:r>
    </w:p>
    <w:p w14:paraId="380F49DF" w14:textId="77777777" w:rsidR="00F50DBA" w:rsidRPr="00A50EAF" w:rsidRDefault="00F50DBA">
      <w:pPr>
        <w:spacing w:line="360" w:lineRule="auto"/>
        <w:ind w:right="-93"/>
        <w:jc w:val="both"/>
        <w:rPr>
          <w:rFonts w:ascii="Palatino Linotype" w:hAnsi="Palatino Linotype" w:cs="Tahoma"/>
          <w:bCs/>
          <w:iCs/>
          <w:sz w:val="22"/>
          <w:szCs w:val="22"/>
        </w:rPr>
      </w:pPr>
    </w:p>
    <w:p w14:paraId="3D91D3BE" w14:textId="77777777" w:rsidR="00F50DBA" w:rsidRPr="00A50EAF" w:rsidRDefault="00F50DBA">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1E74F0CC" w14:textId="77777777" w:rsidR="00F50DBA" w:rsidRPr="00A50EAF" w:rsidRDefault="00F50DBA">
      <w:pPr>
        <w:spacing w:line="360" w:lineRule="auto"/>
        <w:ind w:right="-93"/>
        <w:jc w:val="both"/>
        <w:rPr>
          <w:rFonts w:ascii="Palatino Linotype" w:hAnsi="Palatino Linotype" w:cs="Tahoma"/>
          <w:sz w:val="22"/>
          <w:szCs w:val="22"/>
        </w:rPr>
      </w:pPr>
    </w:p>
    <w:p w14:paraId="0746949C"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9BFD7A0" w14:textId="77777777" w:rsidR="00F50DBA" w:rsidRPr="00A50EAF" w:rsidRDefault="00F50DBA">
      <w:pPr>
        <w:spacing w:line="360" w:lineRule="auto"/>
        <w:ind w:right="-93"/>
        <w:jc w:val="both"/>
        <w:rPr>
          <w:rFonts w:ascii="Palatino Linotype" w:hAnsi="Palatino Linotype" w:cs="Tahoma"/>
          <w:bCs/>
          <w:iCs/>
          <w:sz w:val="22"/>
          <w:szCs w:val="22"/>
        </w:rPr>
      </w:pPr>
    </w:p>
    <w:p w14:paraId="0FBFDC63"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4E766B79" w14:textId="77777777" w:rsidR="00F50DBA" w:rsidRPr="00A50EAF" w:rsidRDefault="00F50DBA">
      <w:pPr>
        <w:spacing w:line="360" w:lineRule="auto"/>
        <w:ind w:right="-93"/>
        <w:jc w:val="both"/>
        <w:rPr>
          <w:rFonts w:ascii="Palatino Linotype" w:hAnsi="Palatino Linotype" w:cs="Tahoma"/>
          <w:bCs/>
          <w:iCs/>
          <w:sz w:val="22"/>
          <w:szCs w:val="22"/>
        </w:rPr>
      </w:pPr>
    </w:p>
    <w:p w14:paraId="3005F2ED"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la misma manera, el artículo 5°, fracciones I y II de la Constitución Política del Estado Libre y Soberano de México, prevé que toda la información en posesión de los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será </w:t>
      </w:r>
      <w:r w:rsidRPr="00A50EAF">
        <w:rPr>
          <w:rFonts w:ascii="Palatino Linotype" w:hAnsi="Palatino Linotype" w:cs="Tahoma"/>
          <w:bCs/>
          <w:iCs/>
          <w:sz w:val="22"/>
          <w:szCs w:val="22"/>
        </w:rPr>
        <w:lastRenderedPageBreak/>
        <w:t>pública; no obstante, aquella referente a la intimidad de la vida privada y la imagen de las personas, será protegida a través de un marco jurídico rígido, de tratamiento y manejo de datos personales.</w:t>
      </w:r>
    </w:p>
    <w:p w14:paraId="6F452C23" w14:textId="77777777" w:rsidR="00F50DBA" w:rsidRPr="00A50EAF" w:rsidRDefault="00F50DBA">
      <w:pPr>
        <w:spacing w:line="360" w:lineRule="auto"/>
        <w:ind w:right="-93"/>
        <w:jc w:val="both"/>
        <w:rPr>
          <w:rFonts w:ascii="Palatino Linotype" w:hAnsi="Palatino Linotype" w:cs="Tahoma"/>
          <w:bCs/>
          <w:iCs/>
          <w:sz w:val="22"/>
          <w:szCs w:val="22"/>
        </w:rPr>
      </w:pPr>
    </w:p>
    <w:p w14:paraId="4BBB23D7"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Por su parte, el artículo 24, fracción VI, de la Ley de Transparencia y Acceso a la Información Pública del Estado de México y Municipios, precisa que los </w:t>
      </w:r>
      <w:r>
        <w:rPr>
          <w:rFonts w:ascii="Palatino Linotype" w:hAnsi="Palatino Linotype" w:cs="Tahoma"/>
          <w:bCs/>
          <w:iCs/>
          <w:sz w:val="22"/>
          <w:szCs w:val="22"/>
        </w:rPr>
        <w:t>Sujeto</w:t>
      </w:r>
      <w:r w:rsidRPr="00A50EAF">
        <w:rPr>
          <w:rFonts w:ascii="Palatino Linotype" w:hAnsi="Palatino Linotype" w:cs="Tahoma"/>
          <w:bCs/>
          <w:iCs/>
          <w:sz w:val="22"/>
          <w:szCs w:val="22"/>
        </w:rPr>
        <w:t>s Obligados serán los responsables de proteger y resguardar la información clasificada como reservada o confidencial.</w:t>
      </w:r>
    </w:p>
    <w:p w14:paraId="655AC2F3" w14:textId="77777777" w:rsidR="00F50DBA" w:rsidRPr="00A50EAF" w:rsidRDefault="00F50DBA">
      <w:pPr>
        <w:spacing w:line="360" w:lineRule="auto"/>
        <w:ind w:right="-93"/>
        <w:jc w:val="both"/>
        <w:rPr>
          <w:rFonts w:ascii="Palatino Linotype" w:hAnsi="Palatino Linotype" w:cs="Tahoma"/>
          <w:bCs/>
          <w:iCs/>
          <w:sz w:val="22"/>
          <w:szCs w:val="22"/>
        </w:rPr>
      </w:pPr>
    </w:p>
    <w:p w14:paraId="65F5C7EE"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2103E5A1" w14:textId="77777777" w:rsidR="00F50DBA" w:rsidRPr="00A50EAF" w:rsidRDefault="00F50DBA">
      <w:pPr>
        <w:spacing w:line="360" w:lineRule="auto"/>
        <w:ind w:right="-93"/>
        <w:jc w:val="both"/>
        <w:rPr>
          <w:rFonts w:ascii="Palatino Linotype" w:hAnsi="Palatino Linotype" w:cs="Tahoma"/>
          <w:bCs/>
          <w:iCs/>
          <w:sz w:val="22"/>
          <w:szCs w:val="22"/>
        </w:rPr>
      </w:pPr>
    </w:p>
    <w:p w14:paraId="2D8D281B" w14:textId="77777777" w:rsidR="00F50DBA" w:rsidRPr="00A50EAF" w:rsidRDefault="00F50DBA">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w:t>
      </w:r>
      <w:r w:rsidRPr="00A50EAF">
        <w:rPr>
          <w:rFonts w:ascii="Palatino Linotype" w:hAnsi="Palatino Linotype" w:cs="Tahoma"/>
          <w:bCs/>
          <w:iCs/>
          <w:sz w:val="22"/>
          <w:szCs w:val="22"/>
          <w:lang w:val="es-ES"/>
        </w:rPr>
        <w:t xml:space="preserve">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A50EAF">
        <w:rPr>
          <w:rFonts w:ascii="Palatino Linotype" w:hAnsi="Palatino Linotype" w:cs="Tahoma"/>
          <w:bCs/>
          <w:iCs/>
          <w:sz w:val="22"/>
          <w:szCs w:val="22"/>
          <w:lang w:val="es-ES"/>
        </w:rPr>
        <w:t>ii</w:t>
      </w:r>
      <w:proofErr w:type="spellEnd"/>
      <w:r w:rsidRPr="00A50EAF">
        <w:rPr>
          <w:rFonts w:ascii="Palatino Linotype" w:hAnsi="Palatino Linotype" w:cs="Tahoma"/>
          <w:bCs/>
          <w:iCs/>
          <w:sz w:val="22"/>
          <w:szCs w:val="22"/>
          <w:lang w:val="es-ES"/>
        </w:rPr>
        <w:t xml:space="preserve">) por ley tenga el carácter de pública, </w:t>
      </w:r>
      <w:proofErr w:type="spellStart"/>
      <w:r w:rsidRPr="00A50EAF">
        <w:rPr>
          <w:rFonts w:ascii="Palatino Linotype" w:hAnsi="Palatino Linotype" w:cs="Tahoma"/>
          <w:bCs/>
          <w:iCs/>
          <w:sz w:val="22"/>
          <w:szCs w:val="22"/>
          <w:lang w:val="es-ES"/>
        </w:rPr>
        <w:t>iii</w:t>
      </w:r>
      <w:proofErr w:type="spellEnd"/>
      <w:r w:rsidRPr="00A50EAF">
        <w:rPr>
          <w:rFonts w:ascii="Palatino Linotype" w:hAnsi="Palatino Linotype" w:cs="Tahoma"/>
          <w:bCs/>
          <w:iCs/>
          <w:sz w:val="22"/>
          <w:szCs w:val="22"/>
          <w:lang w:val="es-ES"/>
        </w:rPr>
        <w:t xml:space="preserve">) exista una orden judicial, </w:t>
      </w:r>
      <w:proofErr w:type="spellStart"/>
      <w:r w:rsidRPr="00A50EAF">
        <w:rPr>
          <w:rFonts w:ascii="Palatino Linotype" w:hAnsi="Palatino Linotype" w:cs="Tahoma"/>
          <w:bCs/>
          <w:iCs/>
          <w:sz w:val="22"/>
          <w:szCs w:val="22"/>
          <w:lang w:val="es-ES"/>
        </w:rPr>
        <w:t>iv</w:t>
      </w:r>
      <w:proofErr w:type="spellEnd"/>
      <w:r w:rsidRPr="00A50EAF">
        <w:rPr>
          <w:rFonts w:ascii="Palatino Linotype" w:hAnsi="Palatino Linotype" w:cs="Tahoma"/>
          <w:bCs/>
          <w:iCs/>
          <w:sz w:val="22"/>
          <w:szCs w:val="22"/>
          <w:lang w:val="es-ES"/>
        </w:rPr>
        <w:t xml:space="preserve">) por razones de seguridad nacional y salubridad general o v) para proteger los derechos de terceros o cuando se transmita entre </w:t>
      </w:r>
      <w:r>
        <w:rPr>
          <w:rFonts w:ascii="Palatino Linotype" w:hAnsi="Palatino Linotype" w:cs="Tahoma"/>
          <w:bCs/>
          <w:iCs/>
          <w:sz w:val="22"/>
          <w:szCs w:val="22"/>
          <w:lang w:val="es-ES"/>
        </w:rPr>
        <w:t>Sujeto</w:t>
      </w:r>
      <w:r w:rsidRPr="00A50EAF">
        <w:rPr>
          <w:rFonts w:ascii="Palatino Linotype" w:hAnsi="Palatino Linotype" w:cs="Tahoma"/>
          <w:bCs/>
          <w:iCs/>
          <w:sz w:val="22"/>
          <w:szCs w:val="22"/>
          <w:lang w:val="es-ES"/>
        </w:rPr>
        <w:t>s obligados en términos de los tratados y los acuerdos interinstitucionales.</w:t>
      </w:r>
    </w:p>
    <w:p w14:paraId="1B486CC0" w14:textId="77777777" w:rsidR="00F50DBA" w:rsidRPr="00A50EAF" w:rsidRDefault="00F50DBA">
      <w:pPr>
        <w:spacing w:line="360" w:lineRule="auto"/>
        <w:ind w:right="-93"/>
        <w:jc w:val="both"/>
        <w:rPr>
          <w:rFonts w:ascii="Palatino Linotype" w:hAnsi="Palatino Linotype" w:cs="Tahoma"/>
          <w:bCs/>
          <w:iCs/>
          <w:sz w:val="22"/>
          <w:szCs w:val="22"/>
        </w:rPr>
      </w:pPr>
    </w:p>
    <w:p w14:paraId="4480CC87" w14:textId="77777777" w:rsidR="00F50DBA" w:rsidRPr="00A50EAF" w:rsidRDefault="00F50DBA">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1C333B86" w14:textId="77777777" w:rsidR="00F50DBA" w:rsidRPr="00A50EAF" w:rsidRDefault="00F50DBA">
      <w:pPr>
        <w:spacing w:line="360" w:lineRule="auto"/>
        <w:ind w:right="-93"/>
        <w:jc w:val="both"/>
        <w:rPr>
          <w:rFonts w:ascii="Palatino Linotype" w:hAnsi="Palatino Linotype" w:cs="Tahoma"/>
          <w:bCs/>
          <w:iCs/>
          <w:sz w:val="22"/>
          <w:szCs w:val="22"/>
          <w:lang w:val="es-ES"/>
        </w:rPr>
      </w:pPr>
    </w:p>
    <w:p w14:paraId="747F4D68" w14:textId="77777777" w:rsidR="00F50DBA" w:rsidRPr="00A50EAF" w:rsidRDefault="00F50DBA">
      <w:pPr>
        <w:numPr>
          <w:ilvl w:val="0"/>
          <w:numId w:val="22"/>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lastRenderedPageBreak/>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52C984CB" w14:textId="77777777" w:rsidR="00F50DBA" w:rsidRPr="00A50EAF" w:rsidRDefault="00F50DBA">
      <w:pPr>
        <w:spacing w:line="360" w:lineRule="auto"/>
        <w:ind w:right="-93"/>
        <w:jc w:val="both"/>
        <w:rPr>
          <w:rFonts w:ascii="Palatino Linotype" w:hAnsi="Palatino Linotype" w:cs="Tahoma"/>
          <w:bCs/>
          <w:iCs/>
          <w:sz w:val="22"/>
          <w:szCs w:val="22"/>
          <w:lang w:val="es-ES"/>
        </w:rPr>
      </w:pPr>
    </w:p>
    <w:p w14:paraId="17F83CE2" w14:textId="77777777" w:rsidR="00F50DBA" w:rsidRPr="00A50EAF" w:rsidRDefault="00F50DBA">
      <w:pPr>
        <w:numPr>
          <w:ilvl w:val="0"/>
          <w:numId w:val="22"/>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29447B7A" w14:textId="77777777" w:rsidR="00F50DBA" w:rsidRPr="00A50EAF" w:rsidRDefault="00F50DBA">
      <w:pPr>
        <w:spacing w:line="360" w:lineRule="auto"/>
        <w:ind w:right="-93"/>
        <w:jc w:val="both"/>
        <w:rPr>
          <w:rFonts w:ascii="Palatino Linotype" w:hAnsi="Palatino Linotype" w:cs="Tahoma"/>
          <w:bCs/>
          <w:iCs/>
          <w:sz w:val="22"/>
          <w:szCs w:val="22"/>
        </w:rPr>
      </w:pPr>
    </w:p>
    <w:p w14:paraId="4341B4D6"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w:t>
      </w:r>
      <w:r>
        <w:rPr>
          <w:rFonts w:ascii="Palatino Linotype" w:hAnsi="Palatino Linotype" w:cs="Tahoma"/>
          <w:bCs/>
          <w:iCs/>
          <w:sz w:val="22"/>
          <w:szCs w:val="22"/>
        </w:rPr>
        <w:t>Sujeto</w:t>
      </w:r>
      <w:r w:rsidRPr="00A50EAF">
        <w:rPr>
          <w:rFonts w:ascii="Palatino Linotype" w:hAnsi="Palatino Linotype" w:cs="Tahoma"/>
          <w:bCs/>
          <w:iCs/>
          <w:sz w:val="22"/>
          <w:szCs w:val="22"/>
        </w:rPr>
        <w:t xml:space="preserve">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AC35474" w14:textId="77777777" w:rsidR="00F50DBA" w:rsidRPr="00A50EAF" w:rsidRDefault="00F50DBA">
      <w:pPr>
        <w:spacing w:line="360" w:lineRule="auto"/>
        <w:ind w:right="-93"/>
        <w:jc w:val="both"/>
        <w:rPr>
          <w:rFonts w:ascii="Palatino Linotype" w:hAnsi="Palatino Linotype" w:cs="Tahoma"/>
          <w:bCs/>
          <w:iCs/>
          <w:sz w:val="22"/>
          <w:szCs w:val="22"/>
        </w:rPr>
      </w:pPr>
    </w:p>
    <w:p w14:paraId="428BB065"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03FAECC2" w14:textId="77777777" w:rsidR="00F50DBA" w:rsidRPr="00A50EAF" w:rsidRDefault="00F50DBA">
      <w:pPr>
        <w:spacing w:line="360" w:lineRule="auto"/>
        <w:ind w:right="-93"/>
        <w:jc w:val="both"/>
        <w:rPr>
          <w:rFonts w:ascii="Palatino Linotype" w:hAnsi="Palatino Linotype" w:cs="Tahoma"/>
          <w:bCs/>
          <w:iCs/>
          <w:sz w:val="22"/>
          <w:szCs w:val="22"/>
        </w:rPr>
      </w:pPr>
    </w:p>
    <w:p w14:paraId="4C598EB1"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los artículos 6°, 7°, 8° y 14 de la Ley de Protección de Datos Personales en Posesión de </w:t>
      </w:r>
      <w:r>
        <w:rPr>
          <w:rFonts w:ascii="Palatino Linotype" w:hAnsi="Palatino Linotype" w:cs="Tahoma"/>
          <w:bCs/>
          <w:iCs/>
          <w:sz w:val="22"/>
          <w:szCs w:val="22"/>
        </w:rPr>
        <w:t>Sujeto</w:t>
      </w:r>
      <w:r w:rsidRPr="00A50EAF">
        <w:rPr>
          <w:rFonts w:ascii="Palatino Linotype" w:hAnsi="Palatino Linotype" w:cs="Tahoma"/>
          <w:bCs/>
          <w:iCs/>
          <w:sz w:val="22"/>
          <w:szCs w:val="22"/>
        </w:rPr>
        <w:t>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2C3E954" w14:textId="77777777" w:rsidR="00F50DBA" w:rsidRPr="00A50EAF" w:rsidRDefault="00F50DBA">
      <w:pPr>
        <w:spacing w:line="360" w:lineRule="auto"/>
        <w:ind w:right="-93"/>
        <w:jc w:val="both"/>
        <w:rPr>
          <w:rFonts w:ascii="Palatino Linotype" w:hAnsi="Palatino Linotype" w:cs="Tahoma"/>
          <w:bCs/>
          <w:iCs/>
          <w:sz w:val="22"/>
          <w:szCs w:val="22"/>
        </w:rPr>
      </w:pPr>
    </w:p>
    <w:p w14:paraId="50DB0ADD"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Por tales situaciones, un dato personal es cualquier información que pueda hacer a una persona física identificada e identificable, como su nombre o imagen. Asimismo, la doctrina </w:t>
      </w:r>
      <w:r w:rsidRPr="00A50EAF">
        <w:rPr>
          <w:rFonts w:ascii="Palatino Linotype" w:hAnsi="Palatino Linotype" w:cs="Tahoma"/>
          <w:bCs/>
          <w:iCs/>
          <w:sz w:val="22"/>
          <w:szCs w:val="22"/>
        </w:rPr>
        <w:lastRenderedPageBreak/>
        <w:t>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E3CA7D5" w14:textId="77777777" w:rsidR="00F50DBA" w:rsidRPr="00A50EAF" w:rsidRDefault="00F50DBA">
      <w:pPr>
        <w:spacing w:line="360" w:lineRule="auto"/>
        <w:ind w:right="-93"/>
        <w:jc w:val="both"/>
        <w:rPr>
          <w:rFonts w:ascii="Palatino Linotype" w:hAnsi="Palatino Linotype" w:cs="Tahoma"/>
          <w:bCs/>
          <w:iCs/>
          <w:sz w:val="22"/>
          <w:szCs w:val="22"/>
        </w:rPr>
      </w:pPr>
    </w:p>
    <w:p w14:paraId="77FF97A1"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368E211" w14:textId="77777777" w:rsidR="00F50DBA" w:rsidRPr="00A50EAF" w:rsidRDefault="00F50DBA">
      <w:pPr>
        <w:spacing w:line="360" w:lineRule="auto"/>
        <w:ind w:right="-93"/>
        <w:jc w:val="both"/>
        <w:rPr>
          <w:rFonts w:ascii="Palatino Linotype" w:hAnsi="Palatino Linotype" w:cs="Tahoma"/>
          <w:bCs/>
          <w:iCs/>
          <w:sz w:val="22"/>
          <w:szCs w:val="22"/>
        </w:rPr>
      </w:pPr>
    </w:p>
    <w:p w14:paraId="09B57348"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1114411D" w14:textId="77777777" w:rsidR="00F50DBA" w:rsidRPr="00A50EAF" w:rsidRDefault="00F50DBA">
      <w:pPr>
        <w:spacing w:line="360" w:lineRule="auto"/>
        <w:ind w:right="-93"/>
        <w:jc w:val="both"/>
        <w:rPr>
          <w:rFonts w:ascii="Palatino Linotype" w:hAnsi="Palatino Linotype" w:cs="Tahoma"/>
          <w:bCs/>
          <w:iCs/>
          <w:sz w:val="22"/>
          <w:szCs w:val="22"/>
        </w:rPr>
      </w:pPr>
    </w:p>
    <w:p w14:paraId="5112B29A"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0FB4693D"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w:t>
      </w:r>
      <w:r w:rsidRPr="00A50EAF">
        <w:rPr>
          <w:rFonts w:ascii="Palatino Linotype" w:hAnsi="Palatino Linotype" w:cs="Tahoma"/>
          <w:bCs/>
          <w:iCs/>
          <w:sz w:val="22"/>
          <w:szCs w:val="22"/>
        </w:rPr>
        <w:lastRenderedPageBreak/>
        <w:t>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735FA9E" w14:textId="77777777" w:rsidR="00F50DBA" w:rsidRPr="00A50EAF" w:rsidRDefault="00F50DBA">
      <w:pPr>
        <w:spacing w:line="360" w:lineRule="auto"/>
        <w:ind w:right="-93"/>
        <w:jc w:val="both"/>
        <w:rPr>
          <w:rFonts w:ascii="Palatino Linotype" w:hAnsi="Palatino Linotype" w:cs="Tahoma"/>
          <w:bCs/>
          <w:iCs/>
          <w:sz w:val="22"/>
          <w:szCs w:val="22"/>
        </w:rPr>
      </w:pPr>
    </w:p>
    <w:p w14:paraId="0CDC2E62"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5EC14CE" w14:textId="77777777" w:rsidR="00F50DBA" w:rsidRPr="00A50EAF" w:rsidRDefault="00F50DBA">
      <w:pPr>
        <w:spacing w:line="360" w:lineRule="auto"/>
        <w:ind w:right="-93"/>
        <w:jc w:val="both"/>
        <w:rPr>
          <w:rFonts w:ascii="Palatino Linotype" w:hAnsi="Palatino Linotype" w:cs="Tahoma"/>
          <w:bCs/>
          <w:iCs/>
          <w:sz w:val="22"/>
          <w:szCs w:val="22"/>
        </w:rPr>
      </w:pPr>
    </w:p>
    <w:p w14:paraId="7CE70D4E"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de los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46F66DE2" w14:textId="77777777" w:rsidR="00F50DBA" w:rsidRPr="00A50EAF" w:rsidRDefault="00F50DBA">
      <w:pPr>
        <w:spacing w:line="360" w:lineRule="auto"/>
        <w:ind w:right="-93"/>
        <w:jc w:val="both"/>
        <w:rPr>
          <w:rFonts w:ascii="Palatino Linotype" w:hAnsi="Palatino Linotype" w:cs="Tahoma"/>
          <w:bCs/>
          <w:iCs/>
          <w:sz w:val="22"/>
          <w:szCs w:val="22"/>
        </w:rPr>
      </w:pPr>
    </w:p>
    <w:p w14:paraId="76E25D60" w14:textId="77777777" w:rsidR="00F50DBA" w:rsidRPr="00A50EAF" w:rsidRDefault="00F50DBA">
      <w:pPr>
        <w:pStyle w:val="Prrafodelista"/>
        <w:numPr>
          <w:ilvl w:val="0"/>
          <w:numId w:val="32"/>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t>Registro Federal de Contribuyentes</w:t>
      </w:r>
      <w:r w:rsidRPr="00A50EAF">
        <w:rPr>
          <w:rFonts w:ascii="Palatino Linotype" w:hAnsi="Palatino Linotype" w:cs="Tahoma"/>
          <w:bCs/>
          <w:iCs/>
          <w:szCs w:val="22"/>
        </w:rPr>
        <w:t xml:space="preserve"> (RFC)</w:t>
      </w:r>
    </w:p>
    <w:p w14:paraId="652529C1" w14:textId="77777777" w:rsidR="00F50DBA" w:rsidRPr="00A50EAF" w:rsidRDefault="00F50DBA">
      <w:pPr>
        <w:spacing w:line="360" w:lineRule="auto"/>
        <w:ind w:left="360" w:right="-93"/>
        <w:jc w:val="both"/>
        <w:rPr>
          <w:rFonts w:ascii="Palatino Linotype" w:hAnsi="Palatino Linotype" w:cs="Tahoma"/>
          <w:bCs/>
          <w:iCs/>
          <w:szCs w:val="22"/>
        </w:rPr>
      </w:pPr>
    </w:p>
    <w:p w14:paraId="5DBFB0F2" w14:textId="77777777" w:rsidR="00F50DBA" w:rsidRDefault="00F50DBA">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lastRenderedPageBreak/>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1DF419F8" w14:textId="77777777" w:rsidR="00F50DBA" w:rsidRPr="00A50EAF" w:rsidRDefault="00F50DBA">
      <w:pPr>
        <w:spacing w:line="360" w:lineRule="auto"/>
        <w:ind w:right="-93"/>
        <w:jc w:val="both"/>
        <w:rPr>
          <w:rFonts w:ascii="Palatino Linotype" w:hAnsi="Palatino Linotype" w:cs="Tahoma"/>
          <w:bCs/>
          <w:iCs/>
          <w:sz w:val="22"/>
          <w:szCs w:val="22"/>
        </w:rPr>
      </w:pPr>
    </w:p>
    <w:p w14:paraId="389501B5"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acuerdo con lo establecido en el artículo en comento, esta clave se compone de trece caracteres alfanuméricos, con datos obtenidos de los apellidos, nombre (s), fecha de nacimiento del titular, más una </w:t>
      </w:r>
      <w:proofErr w:type="spellStart"/>
      <w:r w:rsidRPr="00A50EAF">
        <w:rPr>
          <w:rFonts w:ascii="Palatino Linotype" w:hAnsi="Palatino Linotype" w:cs="Tahoma"/>
          <w:bCs/>
          <w:iCs/>
          <w:sz w:val="22"/>
          <w:szCs w:val="22"/>
        </w:rPr>
        <w:t>homoclave</w:t>
      </w:r>
      <w:proofErr w:type="spellEnd"/>
      <w:r w:rsidRPr="00A50EAF">
        <w:rPr>
          <w:rFonts w:ascii="Palatino Linotype" w:hAnsi="Palatino Linotype" w:cs="Tahoma"/>
          <w:bCs/>
          <w:iCs/>
          <w:sz w:val="22"/>
          <w:szCs w:val="22"/>
        </w:rPr>
        <w:t xml:space="preserve"> que establece el sistema automático del Servicio de Administración Tributaria.</w:t>
      </w:r>
    </w:p>
    <w:p w14:paraId="476F4296" w14:textId="77777777" w:rsidR="00F50DBA" w:rsidRPr="00A50EAF" w:rsidRDefault="00F50DBA">
      <w:pPr>
        <w:spacing w:line="360" w:lineRule="auto"/>
        <w:ind w:right="-93"/>
        <w:jc w:val="both"/>
        <w:rPr>
          <w:rFonts w:ascii="Palatino Linotype" w:hAnsi="Palatino Linotype" w:cs="Tahoma"/>
          <w:bCs/>
          <w:iCs/>
          <w:sz w:val="22"/>
          <w:szCs w:val="22"/>
        </w:rPr>
      </w:pPr>
    </w:p>
    <w:p w14:paraId="125A596C"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F255169" w14:textId="77777777" w:rsidR="00F50DBA" w:rsidRPr="00A50EAF" w:rsidRDefault="00F50DBA">
      <w:pPr>
        <w:spacing w:line="360" w:lineRule="auto"/>
        <w:ind w:right="-93"/>
        <w:jc w:val="both"/>
        <w:rPr>
          <w:rFonts w:ascii="Palatino Linotype" w:hAnsi="Palatino Linotype" w:cs="Tahoma"/>
          <w:bCs/>
          <w:iCs/>
          <w:sz w:val="22"/>
          <w:szCs w:val="22"/>
        </w:rPr>
      </w:pPr>
    </w:p>
    <w:p w14:paraId="45B1066E"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3508945" w14:textId="77777777" w:rsidR="00F50DBA" w:rsidRPr="00A50EAF" w:rsidRDefault="00F50DBA">
      <w:pPr>
        <w:spacing w:line="360" w:lineRule="auto"/>
        <w:ind w:right="-93"/>
        <w:jc w:val="both"/>
        <w:rPr>
          <w:rFonts w:ascii="Palatino Linotype" w:hAnsi="Palatino Linotype" w:cs="Tahoma"/>
          <w:bCs/>
          <w:iCs/>
          <w:sz w:val="22"/>
          <w:szCs w:val="22"/>
        </w:rPr>
      </w:pPr>
    </w:p>
    <w:p w14:paraId="33AEF7B4" w14:textId="77777777" w:rsidR="00F50DBA" w:rsidRPr="00A50EAF"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Lo anterior, resulta congruente con el Criterio 19/17 emitido por el Instituto Nacional de Transparencia, Acceso a la Información y Protección de Datos Personales, en el cual se señala lo siguiente:</w:t>
      </w:r>
    </w:p>
    <w:p w14:paraId="5A6193D9" w14:textId="77777777" w:rsidR="00F50DBA" w:rsidRPr="00A50EAF" w:rsidRDefault="00F50DBA">
      <w:pPr>
        <w:spacing w:line="360" w:lineRule="auto"/>
        <w:ind w:right="-93"/>
        <w:jc w:val="both"/>
        <w:rPr>
          <w:rFonts w:ascii="Palatino Linotype" w:hAnsi="Palatino Linotype" w:cs="Tahoma"/>
          <w:bCs/>
          <w:iCs/>
          <w:sz w:val="22"/>
          <w:szCs w:val="22"/>
        </w:rPr>
      </w:pPr>
    </w:p>
    <w:p w14:paraId="6C71D567" w14:textId="77777777" w:rsidR="00F50DBA" w:rsidRPr="00A50EAF" w:rsidRDefault="00F50DBA">
      <w:pPr>
        <w:spacing w:line="360" w:lineRule="auto"/>
        <w:ind w:left="567" w:right="539"/>
        <w:jc w:val="both"/>
        <w:rPr>
          <w:rFonts w:ascii="Palatino Linotype" w:hAnsi="Palatino Linotype" w:cs="Tahoma"/>
          <w:bCs/>
          <w:iCs/>
          <w:szCs w:val="22"/>
        </w:rPr>
      </w:pPr>
      <w:r w:rsidRPr="00A50EAF">
        <w:rPr>
          <w:rFonts w:ascii="Palatino Linotype" w:hAnsi="Palatino Linotype" w:cs="Tahoma"/>
          <w:bCs/>
          <w:iCs/>
          <w:szCs w:val="22"/>
        </w:rPr>
        <w:t>“</w:t>
      </w:r>
      <w:r w:rsidRPr="00A50EAF">
        <w:rPr>
          <w:rFonts w:ascii="Palatino Linotype" w:hAnsi="Palatino Linotype" w:cs="Tahoma"/>
          <w:b/>
          <w:bCs/>
          <w:iCs/>
          <w:szCs w:val="22"/>
        </w:rPr>
        <w:t>Registro Federal de Contribuyentes (RFC) de personas físicas</w:t>
      </w:r>
      <w:r w:rsidRPr="00A50EAF">
        <w:rPr>
          <w:rFonts w:ascii="Palatino Linotype" w:hAnsi="Palatino Linotype" w:cs="Tahoma"/>
          <w:bCs/>
          <w:iCs/>
          <w:szCs w:val="22"/>
        </w:rPr>
        <w:t>. El RFC es una clave de carácter fiscal, única e irrepetible, que permite identificar al titular, su edad y fecha de nacimiento, por lo que es un dato personal de carácter confidencial.”</w:t>
      </w:r>
    </w:p>
    <w:p w14:paraId="6614CDFF" w14:textId="77777777" w:rsidR="00F50DBA" w:rsidRPr="00A50EAF" w:rsidRDefault="00F50DBA">
      <w:pPr>
        <w:spacing w:line="360" w:lineRule="auto"/>
        <w:ind w:right="-93"/>
        <w:jc w:val="both"/>
        <w:rPr>
          <w:rFonts w:ascii="Palatino Linotype" w:hAnsi="Palatino Linotype" w:cs="Tahoma"/>
          <w:bCs/>
          <w:iCs/>
          <w:sz w:val="22"/>
          <w:szCs w:val="22"/>
        </w:rPr>
      </w:pPr>
    </w:p>
    <w:p w14:paraId="472F99F6" w14:textId="77777777" w:rsidR="00F50DBA" w:rsidRDefault="00F50DBA">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794F0EF0" w14:textId="77777777" w:rsidR="00AF110A" w:rsidRDefault="00AF110A">
      <w:pPr>
        <w:spacing w:line="360" w:lineRule="auto"/>
        <w:ind w:right="-93"/>
        <w:jc w:val="both"/>
        <w:rPr>
          <w:rFonts w:ascii="Palatino Linotype" w:hAnsi="Palatino Linotype" w:cs="Tahoma"/>
          <w:bCs/>
          <w:iCs/>
          <w:sz w:val="22"/>
          <w:szCs w:val="22"/>
        </w:rPr>
      </w:pPr>
    </w:p>
    <w:p w14:paraId="0832428B" w14:textId="77777777" w:rsidR="00F50DBA" w:rsidRDefault="00F50DBA" w:rsidP="006C0FF2">
      <w:pPr>
        <w:pStyle w:val="Prrafodelista"/>
        <w:numPr>
          <w:ilvl w:val="0"/>
          <w:numId w:val="34"/>
        </w:numPr>
        <w:spacing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68FCF556" w14:textId="77777777" w:rsidR="00AF110A" w:rsidRPr="00A50EAF" w:rsidRDefault="00AF110A" w:rsidP="006C0FF2">
      <w:pPr>
        <w:pStyle w:val="Prrafodelista"/>
        <w:spacing w:line="360" w:lineRule="auto"/>
        <w:jc w:val="both"/>
        <w:rPr>
          <w:rFonts w:ascii="Palatino Linotype" w:hAnsi="Palatino Linotype" w:cs="Tahoma"/>
          <w:b/>
          <w:szCs w:val="22"/>
        </w:rPr>
      </w:pPr>
    </w:p>
    <w:p w14:paraId="0B2F8F9D" w14:textId="77777777" w:rsidR="00F50DBA" w:rsidRPr="00A50EAF" w:rsidRDefault="00F50DB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3AA52798" w14:textId="77777777" w:rsidR="00F50DBA" w:rsidRPr="00A50EAF" w:rsidRDefault="00F50DBA">
      <w:pPr>
        <w:spacing w:line="360" w:lineRule="auto"/>
        <w:contextualSpacing/>
        <w:jc w:val="both"/>
        <w:rPr>
          <w:rFonts w:ascii="Palatino Linotype" w:hAnsi="Palatino Linotype" w:cs="Tahoma"/>
          <w:sz w:val="22"/>
          <w:szCs w:val="22"/>
          <w:lang w:eastAsia="es-MX"/>
        </w:rPr>
      </w:pPr>
    </w:p>
    <w:p w14:paraId="6CECB67A" w14:textId="77777777" w:rsidR="00F50DBA" w:rsidRPr="00A50EAF" w:rsidRDefault="00F50DB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5021525E" w14:textId="77777777" w:rsidR="00F50DBA" w:rsidRPr="00A50EAF" w:rsidRDefault="00F50DBA">
      <w:pPr>
        <w:spacing w:line="360" w:lineRule="auto"/>
        <w:contextualSpacing/>
        <w:jc w:val="both"/>
        <w:rPr>
          <w:rFonts w:ascii="Palatino Linotype" w:hAnsi="Palatino Linotype" w:cs="Tahoma"/>
          <w:sz w:val="22"/>
          <w:szCs w:val="22"/>
          <w:lang w:eastAsia="es-MX"/>
        </w:rPr>
      </w:pPr>
    </w:p>
    <w:p w14:paraId="2961B74B" w14:textId="77777777" w:rsidR="00F50DBA" w:rsidRPr="00A50EAF" w:rsidRDefault="00F50DB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w:t>
      </w:r>
      <w:r w:rsidRPr="00A50EAF">
        <w:rPr>
          <w:rFonts w:ascii="Palatino Linotype" w:hAnsi="Palatino Linotype" w:cs="Tahoma"/>
          <w:sz w:val="22"/>
          <w:szCs w:val="22"/>
          <w:lang w:eastAsia="es-MX"/>
        </w:rPr>
        <w:lastRenderedPageBreak/>
        <w:t>Población a todas las personas residentes en el país, así como a los mexicanos que residan en el extranjero.</w:t>
      </w:r>
    </w:p>
    <w:p w14:paraId="24C1753D" w14:textId="77777777" w:rsidR="00F50DBA" w:rsidRPr="00A50EAF" w:rsidRDefault="00F50DBA">
      <w:pPr>
        <w:spacing w:line="360" w:lineRule="auto"/>
        <w:contextualSpacing/>
        <w:jc w:val="both"/>
        <w:rPr>
          <w:rFonts w:ascii="Palatino Linotype" w:hAnsi="Palatino Linotype" w:cs="Tahoma"/>
          <w:b/>
          <w:sz w:val="22"/>
          <w:szCs w:val="22"/>
          <w:lang w:eastAsia="es-MX"/>
        </w:rPr>
      </w:pPr>
    </w:p>
    <w:p w14:paraId="2CBB7975" w14:textId="77777777" w:rsidR="00F50DBA" w:rsidRPr="00A50EAF" w:rsidRDefault="00F50DB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9"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2F2F3E3E" w14:textId="77777777" w:rsidR="00F50DBA" w:rsidRPr="00A50EAF" w:rsidRDefault="00F50DBA">
      <w:pPr>
        <w:spacing w:line="360" w:lineRule="auto"/>
        <w:contextualSpacing/>
        <w:jc w:val="both"/>
        <w:rPr>
          <w:rFonts w:ascii="Palatino Linotype" w:hAnsi="Palatino Linotype" w:cs="Tahoma"/>
          <w:sz w:val="22"/>
          <w:szCs w:val="22"/>
          <w:lang w:eastAsia="es-MX"/>
        </w:rPr>
      </w:pPr>
    </w:p>
    <w:p w14:paraId="4273A7F7" w14:textId="77777777" w:rsidR="00F50DBA" w:rsidRPr="00A50EAF" w:rsidRDefault="00F50DB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69FF8798" w14:textId="77777777" w:rsidR="00F50DBA" w:rsidRPr="00A50EAF" w:rsidRDefault="00F50DB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0B01BC65" w14:textId="77777777" w:rsidR="00F50DBA" w:rsidRPr="00A50EAF" w:rsidRDefault="00F50DB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5CA530ED" w14:textId="77777777" w:rsidR="00F50DBA" w:rsidRPr="00A50EAF" w:rsidRDefault="00F50DB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4852E3D1" w14:textId="77777777" w:rsidR="00F50DBA" w:rsidRPr="00A50EAF" w:rsidRDefault="00F50DBA">
      <w:pPr>
        <w:spacing w:line="360" w:lineRule="auto"/>
        <w:contextualSpacing/>
        <w:jc w:val="both"/>
        <w:rPr>
          <w:rFonts w:ascii="Palatino Linotype" w:hAnsi="Palatino Linotype" w:cs="Tahoma"/>
          <w:sz w:val="22"/>
          <w:szCs w:val="22"/>
          <w:lang w:eastAsia="es-MX"/>
        </w:rPr>
      </w:pPr>
    </w:p>
    <w:p w14:paraId="2EFA9C19" w14:textId="77777777" w:rsidR="00F50DBA" w:rsidRPr="00A50EAF" w:rsidRDefault="00F50DB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5F433662" w14:textId="77777777" w:rsidR="00F50DBA" w:rsidRPr="00A50EAF" w:rsidRDefault="00F50DBA">
      <w:pPr>
        <w:spacing w:line="360" w:lineRule="auto"/>
        <w:contextualSpacing/>
        <w:jc w:val="both"/>
        <w:rPr>
          <w:rFonts w:ascii="Palatino Linotype" w:hAnsi="Palatino Linotype" w:cs="Tahoma"/>
          <w:sz w:val="22"/>
          <w:szCs w:val="22"/>
          <w:lang w:eastAsia="es-MX"/>
        </w:rPr>
      </w:pPr>
    </w:p>
    <w:p w14:paraId="308A3C7F" w14:textId="77777777" w:rsidR="00F50DBA" w:rsidRPr="00A50EAF" w:rsidRDefault="00F50DBA">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423FA762" w14:textId="77777777" w:rsidR="00F50DBA" w:rsidRPr="00A50EAF" w:rsidRDefault="00F50DBA">
      <w:pPr>
        <w:spacing w:line="360" w:lineRule="auto"/>
        <w:contextualSpacing/>
        <w:jc w:val="both"/>
        <w:rPr>
          <w:rFonts w:ascii="Palatino Linotype" w:hAnsi="Palatino Linotype" w:cs="Tahoma"/>
          <w:sz w:val="22"/>
          <w:szCs w:val="22"/>
        </w:rPr>
      </w:pPr>
    </w:p>
    <w:p w14:paraId="1F052CE0" w14:textId="77777777" w:rsidR="00F50DBA" w:rsidRPr="00A50EAF" w:rsidRDefault="00F50DB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Resulta aplicable en la especie, como argumento orientador, el Criterio 3/10, emitido por el INAI.</w:t>
      </w:r>
    </w:p>
    <w:p w14:paraId="249751C9" w14:textId="77777777" w:rsidR="00F50DBA" w:rsidRPr="00A50EAF" w:rsidRDefault="00F50DBA">
      <w:pPr>
        <w:spacing w:line="360" w:lineRule="auto"/>
        <w:contextualSpacing/>
        <w:jc w:val="both"/>
        <w:rPr>
          <w:rFonts w:ascii="Palatino Linotype" w:hAnsi="Palatino Linotype" w:cs="Tahoma"/>
          <w:sz w:val="22"/>
          <w:szCs w:val="22"/>
        </w:rPr>
      </w:pPr>
    </w:p>
    <w:p w14:paraId="5C295FA3" w14:textId="77777777" w:rsidR="00F50DBA" w:rsidRDefault="00F50DBA">
      <w:pPr>
        <w:autoSpaceDE w:val="0"/>
        <w:autoSpaceDN w:val="0"/>
        <w:adjustRightInd w:val="0"/>
        <w:spacing w:line="360" w:lineRule="auto"/>
        <w:ind w:left="567" w:right="567"/>
        <w:jc w:val="both"/>
        <w:rPr>
          <w:rFonts w:ascii="Palatino Linotype" w:eastAsia="Calibri" w:hAnsi="Palatino Linotype" w:cs="Tahoma"/>
          <w:color w:val="000000"/>
        </w:rPr>
      </w:pPr>
      <w:r w:rsidRPr="00DA07D5">
        <w:rPr>
          <w:rFonts w:ascii="Palatino Linotype" w:eastAsia="Calibri" w:hAnsi="Palatino Linotype" w:cs="Tahoma"/>
          <w:b/>
          <w:bCs/>
          <w:color w:val="000000"/>
        </w:rPr>
        <w:t xml:space="preserve">Clave Única de Registro de Población (CURP) es un dato personal confidencial. </w:t>
      </w:r>
      <w:r w:rsidRPr="00DA07D5">
        <w:rPr>
          <w:rFonts w:ascii="Palatino Linotype" w:eastAsia="Calibri" w:hAnsi="Palatino Linotype" w:cs="Tahoma"/>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DA07D5">
        <w:rPr>
          <w:rFonts w:ascii="Palatino Linotype" w:eastAsia="Calibri" w:hAnsi="Palatino Linotype" w:cs="Tahoma"/>
          <w:color w:val="000000"/>
        </w:rPr>
        <w:t>el artículos anteriormente señalados</w:t>
      </w:r>
      <w:proofErr w:type="gramEnd"/>
      <w:r w:rsidRPr="00DA07D5">
        <w:rPr>
          <w:rFonts w:ascii="Palatino Linotype" w:eastAsia="Calibri" w:hAnsi="Palatino Linotype" w:cs="Tahoma"/>
          <w:color w:val="000000"/>
        </w:rPr>
        <w:t xml:space="preserve">. </w:t>
      </w:r>
    </w:p>
    <w:p w14:paraId="4B5CD0AA" w14:textId="77777777" w:rsidR="00AF110A" w:rsidRPr="00DA07D5" w:rsidRDefault="00AF110A">
      <w:pPr>
        <w:autoSpaceDE w:val="0"/>
        <w:autoSpaceDN w:val="0"/>
        <w:adjustRightInd w:val="0"/>
        <w:spacing w:line="360" w:lineRule="auto"/>
        <w:ind w:left="567" w:right="567"/>
        <w:jc w:val="both"/>
        <w:rPr>
          <w:rFonts w:ascii="Palatino Linotype" w:eastAsia="Calibri" w:hAnsi="Palatino Linotype" w:cs="Tahoma"/>
          <w:color w:val="000000"/>
        </w:rPr>
      </w:pPr>
    </w:p>
    <w:p w14:paraId="3A46E554" w14:textId="77777777" w:rsidR="00F50DBA" w:rsidRDefault="00F50DBA" w:rsidP="006C0FF2">
      <w:pPr>
        <w:spacing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42BDDD3A" w14:textId="77777777" w:rsidR="00AF110A" w:rsidRDefault="00AF110A" w:rsidP="006C0FF2">
      <w:pPr>
        <w:spacing w:line="360" w:lineRule="auto"/>
        <w:jc w:val="both"/>
        <w:rPr>
          <w:rFonts w:ascii="Palatino Linotype" w:hAnsi="Palatino Linotype" w:cs="Tahoma"/>
          <w:sz w:val="22"/>
          <w:szCs w:val="22"/>
        </w:rPr>
      </w:pPr>
    </w:p>
    <w:p w14:paraId="4CD89DAF" w14:textId="77777777" w:rsidR="00F50DBA" w:rsidRPr="00A50EAF" w:rsidRDefault="00F50DBA">
      <w:pPr>
        <w:pStyle w:val="Prrafodelista"/>
        <w:numPr>
          <w:ilvl w:val="0"/>
          <w:numId w:val="33"/>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2D261812" w14:textId="77777777" w:rsidR="00F50DBA" w:rsidRPr="00A50EAF" w:rsidRDefault="00F50DBA">
      <w:pPr>
        <w:pStyle w:val="Prrafodelista"/>
        <w:spacing w:line="360" w:lineRule="auto"/>
        <w:jc w:val="both"/>
        <w:rPr>
          <w:rFonts w:ascii="Palatino Linotype" w:hAnsi="Palatino Linotype" w:cs="Tahoma"/>
          <w:szCs w:val="22"/>
          <w:lang w:eastAsia="es-MX"/>
        </w:rPr>
      </w:pPr>
    </w:p>
    <w:p w14:paraId="297627AF" w14:textId="77777777" w:rsidR="00F50DBA" w:rsidRPr="00A50EAF" w:rsidRDefault="00F50DBA">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34DD2071" w14:textId="77777777" w:rsidR="00F50DBA" w:rsidRPr="00A50EAF" w:rsidRDefault="00F50DBA">
      <w:pPr>
        <w:spacing w:line="360" w:lineRule="auto"/>
        <w:jc w:val="both"/>
        <w:rPr>
          <w:rFonts w:ascii="Palatino Linotype" w:hAnsi="Palatino Linotype" w:cs="Tahoma"/>
          <w:sz w:val="22"/>
          <w:szCs w:val="22"/>
          <w:lang w:eastAsia="es-MX"/>
        </w:rPr>
      </w:pPr>
    </w:p>
    <w:p w14:paraId="22326DEA" w14:textId="77777777" w:rsidR="00F50DBA" w:rsidRPr="00A50EAF" w:rsidRDefault="00F50DBA">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03AF5BD7" w14:textId="77777777" w:rsidR="00F50DBA" w:rsidRPr="00A50EAF" w:rsidRDefault="00F50DBA">
      <w:pPr>
        <w:pStyle w:val="Prrafodelista"/>
        <w:spacing w:line="360" w:lineRule="auto"/>
        <w:jc w:val="both"/>
        <w:rPr>
          <w:rFonts w:ascii="Palatino Linotype" w:hAnsi="Palatino Linotype" w:cs="Tahoma"/>
          <w:szCs w:val="22"/>
          <w:lang w:eastAsia="es-MX"/>
        </w:rPr>
      </w:pPr>
    </w:p>
    <w:p w14:paraId="7962F290" w14:textId="77777777" w:rsidR="00F50DBA" w:rsidRPr="00A50EAF" w:rsidRDefault="00F50DB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640065A3" w14:textId="77777777" w:rsidR="00F50DBA" w:rsidRPr="00A50EAF" w:rsidRDefault="00F50DBA">
      <w:pPr>
        <w:pStyle w:val="Prrafodelista"/>
        <w:spacing w:line="360" w:lineRule="auto"/>
        <w:jc w:val="both"/>
        <w:rPr>
          <w:rFonts w:ascii="Palatino Linotype" w:hAnsi="Palatino Linotype" w:cs="Tahoma"/>
          <w:szCs w:val="22"/>
          <w:lang w:eastAsia="es-MX"/>
        </w:rPr>
      </w:pPr>
    </w:p>
    <w:p w14:paraId="7E480AA2" w14:textId="77777777" w:rsidR="00F50DBA" w:rsidRDefault="00F50DBA">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2CCCE2B0" w14:textId="77777777" w:rsidR="00F50DBA" w:rsidRDefault="00F50DBA">
      <w:pPr>
        <w:spacing w:line="360" w:lineRule="auto"/>
        <w:contextualSpacing/>
        <w:jc w:val="both"/>
        <w:rPr>
          <w:rFonts w:ascii="Palatino Linotype" w:hAnsi="Palatino Linotype" w:cs="Tahoma"/>
          <w:b/>
          <w:sz w:val="22"/>
          <w:szCs w:val="22"/>
        </w:rPr>
      </w:pPr>
    </w:p>
    <w:p w14:paraId="4B213AE6" w14:textId="77777777" w:rsidR="00F50DBA" w:rsidRPr="00B34583" w:rsidRDefault="00F50DBA">
      <w:pPr>
        <w:pStyle w:val="Prrafodelista"/>
        <w:numPr>
          <w:ilvl w:val="0"/>
          <w:numId w:val="32"/>
        </w:numPr>
        <w:spacing w:line="360" w:lineRule="auto"/>
        <w:ind w:right="-93"/>
        <w:jc w:val="both"/>
        <w:rPr>
          <w:rFonts w:ascii="Palatino Linotype" w:hAnsi="Palatino Linotype" w:cs="Tahoma"/>
          <w:b/>
          <w:szCs w:val="22"/>
        </w:rPr>
      </w:pPr>
      <w:r w:rsidRPr="00B34583">
        <w:rPr>
          <w:rFonts w:ascii="Palatino Linotype" w:hAnsi="Palatino Linotype" w:cs="Tahoma"/>
          <w:b/>
          <w:bCs/>
          <w:iCs/>
          <w:szCs w:val="22"/>
        </w:rPr>
        <w:t>Préstamos o descuentos que se le hagan al servidor público.</w:t>
      </w:r>
    </w:p>
    <w:p w14:paraId="54DD75E6" w14:textId="77777777" w:rsidR="00F50DBA" w:rsidRDefault="00F50DBA">
      <w:pPr>
        <w:spacing w:line="360" w:lineRule="auto"/>
        <w:ind w:right="-93"/>
        <w:jc w:val="both"/>
        <w:rPr>
          <w:rFonts w:ascii="Palatino Linotype" w:hAnsi="Palatino Linotype" w:cs="Tahoma"/>
          <w:b/>
          <w:bCs/>
          <w:iCs/>
          <w:szCs w:val="22"/>
        </w:rPr>
      </w:pPr>
    </w:p>
    <w:p w14:paraId="4F00EB6B" w14:textId="77777777" w:rsidR="00F50DBA" w:rsidRPr="00784DBB" w:rsidRDefault="00F50DBA">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lastRenderedPageBreak/>
        <w:t>Existen deducciones que se generan con motivo de una decisión libre y voluntaria de los servidores públicos, como son: contratar seguros de vida, de gastos médicos mayores (potenciación) o de automóvil.</w:t>
      </w:r>
    </w:p>
    <w:p w14:paraId="7154532A" w14:textId="77777777" w:rsidR="00F50DBA" w:rsidRPr="00784DBB" w:rsidRDefault="00F50DBA">
      <w:pPr>
        <w:spacing w:line="360" w:lineRule="auto"/>
        <w:ind w:right="-93"/>
        <w:jc w:val="both"/>
        <w:rPr>
          <w:rFonts w:ascii="Palatino Linotype" w:hAnsi="Palatino Linotype" w:cs="Tahoma"/>
          <w:sz w:val="22"/>
          <w:szCs w:val="22"/>
        </w:rPr>
      </w:pPr>
    </w:p>
    <w:p w14:paraId="4B0776A8" w14:textId="77777777" w:rsidR="00F50DBA" w:rsidRPr="00784DBB" w:rsidRDefault="00F50DBA">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785FE35E" w14:textId="77777777" w:rsidR="00F50DBA" w:rsidRPr="00784DBB" w:rsidRDefault="00F50DBA">
      <w:pPr>
        <w:spacing w:line="360" w:lineRule="auto"/>
        <w:ind w:right="-93"/>
        <w:jc w:val="both"/>
        <w:rPr>
          <w:rFonts w:ascii="Palatino Linotype" w:hAnsi="Palatino Linotype" w:cs="Tahoma"/>
          <w:sz w:val="22"/>
          <w:szCs w:val="22"/>
        </w:rPr>
      </w:pPr>
    </w:p>
    <w:p w14:paraId="11A29346" w14:textId="77777777" w:rsidR="00F50DBA" w:rsidRDefault="00F50DBA">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68262B3E" w14:textId="77777777" w:rsidR="00AF110A" w:rsidRPr="00784DBB" w:rsidRDefault="00AF110A">
      <w:pPr>
        <w:spacing w:line="360" w:lineRule="auto"/>
        <w:ind w:right="-93"/>
        <w:jc w:val="both"/>
        <w:rPr>
          <w:rFonts w:ascii="Palatino Linotype" w:hAnsi="Palatino Linotype" w:cs="Tahoma"/>
          <w:sz w:val="22"/>
          <w:szCs w:val="22"/>
        </w:rPr>
      </w:pPr>
    </w:p>
    <w:p w14:paraId="24F89D4D" w14:textId="77777777" w:rsidR="00F50DBA" w:rsidRPr="00784DBB" w:rsidRDefault="00F50DBA">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70B767A4" w14:textId="77777777" w:rsidR="00F50DBA" w:rsidRPr="00BC1085" w:rsidRDefault="00F50DBA">
      <w:pPr>
        <w:pStyle w:val="Prrafodelista"/>
        <w:spacing w:line="360" w:lineRule="auto"/>
        <w:ind w:right="-93"/>
        <w:rPr>
          <w:rFonts w:ascii="Palatino Linotype" w:hAnsi="Palatino Linotype" w:cs="Tahoma"/>
          <w:b/>
          <w:szCs w:val="22"/>
        </w:rPr>
      </w:pPr>
    </w:p>
    <w:p w14:paraId="470FE228" w14:textId="77777777" w:rsidR="00F50DBA" w:rsidRPr="00A50EAF" w:rsidRDefault="00F50DBA">
      <w:pPr>
        <w:pStyle w:val="Prrafodelista"/>
        <w:numPr>
          <w:ilvl w:val="0"/>
          <w:numId w:val="32"/>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476401CE" w14:textId="77777777" w:rsidR="00F50DBA" w:rsidRPr="00A50EAF" w:rsidRDefault="00F50DBA">
      <w:pPr>
        <w:spacing w:line="360" w:lineRule="auto"/>
        <w:ind w:right="-93"/>
        <w:jc w:val="both"/>
        <w:rPr>
          <w:rFonts w:ascii="Palatino Linotype" w:hAnsi="Palatino Linotype" w:cs="Tahoma"/>
          <w:sz w:val="22"/>
          <w:szCs w:val="22"/>
        </w:rPr>
      </w:pPr>
    </w:p>
    <w:p w14:paraId="62A61D8A" w14:textId="77777777" w:rsidR="00F50DBA" w:rsidRDefault="00F50DBA">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19C831F1" w14:textId="77777777" w:rsidR="00F50DBA" w:rsidRDefault="00F50DBA">
      <w:pPr>
        <w:spacing w:line="360" w:lineRule="auto"/>
        <w:contextualSpacing/>
        <w:jc w:val="both"/>
        <w:rPr>
          <w:rFonts w:ascii="Palatino Linotype" w:hAnsi="Palatino Linotype" w:cs="Tahoma"/>
          <w:sz w:val="22"/>
          <w:szCs w:val="22"/>
          <w:lang w:eastAsia="es-MX"/>
        </w:rPr>
      </w:pPr>
    </w:p>
    <w:p w14:paraId="3030B93A" w14:textId="77777777" w:rsidR="00F50DBA" w:rsidRDefault="00F50DBA">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se establece lo siguiente:</w:t>
      </w:r>
    </w:p>
    <w:p w14:paraId="583EB545" w14:textId="77777777" w:rsidR="00F50DBA" w:rsidRPr="005141C6" w:rsidRDefault="00F50DBA">
      <w:pPr>
        <w:shd w:val="clear" w:color="auto" w:fill="FFFFFF" w:themeFill="background1"/>
        <w:spacing w:line="360" w:lineRule="auto"/>
        <w:ind w:left="567" w:right="567"/>
        <w:jc w:val="both"/>
        <w:rPr>
          <w:rFonts w:ascii="Palatino Linotype" w:hAnsi="Palatino Linotype" w:cs="Tahoma"/>
          <w:sz w:val="22"/>
        </w:rPr>
      </w:pPr>
    </w:p>
    <w:p w14:paraId="78BCF1AD" w14:textId="77777777" w:rsidR="00F50DBA" w:rsidRPr="00531CF0" w:rsidRDefault="00F50DBA">
      <w:pPr>
        <w:shd w:val="clear" w:color="auto" w:fill="FFFFFF" w:themeFill="background1"/>
        <w:spacing w:line="360" w:lineRule="auto"/>
        <w:ind w:left="567" w:right="567"/>
        <w:jc w:val="both"/>
        <w:rPr>
          <w:rFonts w:ascii="Palatino Linotype" w:hAnsi="Palatino Linotype" w:cs="Tahoma"/>
          <w:i/>
          <w:iCs/>
        </w:rPr>
      </w:pPr>
      <w:r w:rsidRPr="00531CF0">
        <w:rPr>
          <w:rFonts w:ascii="Palatino Linotype" w:hAnsi="Palatino Linotype" w:cs="Tahoma"/>
          <w:i/>
          <w:iCs/>
        </w:rPr>
        <w:t>“</w:t>
      </w:r>
      <w:r w:rsidRPr="00531CF0">
        <w:rPr>
          <w:rFonts w:ascii="Palatino Linotype" w:hAnsi="Palatino Linotype" w:cs="Tahoma"/>
          <w:b/>
          <w:i/>
          <w:iCs/>
        </w:rPr>
        <w:t>Cuentas bancarias y/o CLABE interbancaria de personas físicas y morales privadas.</w:t>
      </w:r>
      <w:r w:rsidRPr="00531CF0">
        <w:rPr>
          <w:rFonts w:ascii="Palatino Linotype" w:hAnsi="Palatino Linotype" w:cs="Tahoma"/>
          <w:i/>
          <w:iC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3908358" w14:textId="77777777" w:rsidR="00F50DBA" w:rsidRDefault="00F50DBA">
      <w:pPr>
        <w:spacing w:line="360" w:lineRule="auto"/>
        <w:contextualSpacing/>
        <w:jc w:val="both"/>
        <w:rPr>
          <w:rFonts w:ascii="Palatino Linotype" w:hAnsi="Palatino Linotype" w:cs="Tahoma"/>
          <w:sz w:val="22"/>
          <w:szCs w:val="22"/>
          <w:lang w:eastAsia="es-MX"/>
        </w:rPr>
      </w:pPr>
    </w:p>
    <w:p w14:paraId="5A0B866F" w14:textId="77777777" w:rsidR="00F50DBA" w:rsidRPr="00784DBB" w:rsidRDefault="00F50DBA">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07312466" w14:textId="77777777" w:rsidR="00F50DBA" w:rsidRDefault="00F50DBA">
      <w:pPr>
        <w:spacing w:line="360" w:lineRule="auto"/>
        <w:contextualSpacing/>
        <w:jc w:val="both"/>
        <w:rPr>
          <w:rFonts w:ascii="Palatino Linotype" w:hAnsi="Palatino Linotype" w:cs="Tahoma"/>
          <w:sz w:val="22"/>
          <w:szCs w:val="22"/>
          <w:lang w:eastAsia="es-MX"/>
        </w:rPr>
      </w:pPr>
    </w:p>
    <w:p w14:paraId="034E08E4" w14:textId="77777777" w:rsidR="00F50DBA" w:rsidRPr="00160AAF" w:rsidRDefault="00F50DBA">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63B7D044" w14:textId="07E283EB" w:rsidR="00F50DBA" w:rsidRDefault="00F50DBA">
      <w:pPr>
        <w:spacing w:line="360" w:lineRule="auto"/>
        <w:ind w:right="-93"/>
        <w:jc w:val="both"/>
        <w:rPr>
          <w:rFonts w:ascii="Palatino Linotype" w:hAnsi="Palatino Linotype" w:cs="Tahoma"/>
          <w:sz w:val="22"/>
          <w:szCs w:val="22"/>
        </w:rPr>
      </w:pPr>
    </w:p>
    <w:p w14:paraId="1B55CE9B" w14:textId="77777777" w:rsidR="00AF110A" w:rsidRDefault="00AF110A">
      <w:pPr>
        <w:spacing w:line="360" w:lineRule="auto"/>
        <w:ind w:right="-93"/>
        <w:jc w:val="both"/>
        <w:rPr>
          <w:rFonts w:ascii="Palatino Linotype" w:hAnsi="Palatino Linotype" w:cs="Tahoma"/>
          <w:sz w:val="22"/>
          <w:szCs w:val="22"/>
        </w:rPr>
      </w:pPr>
    </w:p>
    <w:p w14:paraId="52DC2F1F" w14:textId="6C96B0AE" w:rsidR="0001700B" w:rsidRPr="00FF1532" w:rsidRDefault="0001700B">
      <w:pPr>
        <w:spacing w:line="360" w:lineRule="auto"/>
        <w:ind w:right="-93"/>
        <w:rPr>
          <w:rFonts w:ascii="Palatino Linotype" w:hAnsi="Palatino Linotype" w:cs="Tahoma"/>
          <w:b/>
          <w:sz w:val="22"/>
          <w:szCs w:val="22"/>
        </w:rPr>
      </w:pPr>
      <w:r>
        <w:rPr>
          <w:rFonts w:ascii="Palatino Linotype" w:hAnsi="Palatino Linotype" w:cs="Tahoma"/>
          <w:b/>
          <w:sz w:val="22"/>
          <w:szCs w:val="22"/>
        </w:rPr>
        <w:lastRenderedPageBreak/>
        <w:t>SÉPTIMO</w:t>
      </w:r>
      <w:r w:rsidRPr="00FF1532">
        <w:rPr>
          <w:rFonts w:ascii="Palatino Linotype" w:hAnsi="Palatino Linotype" w:cs="Tahoma"/>
          <w:b/>
          <w:sz w:val="22"/>
          <w:szCs w:val="22"/>
        </w:rPr>
        <w:t xml:space="preserve">. Decisión. </w:t>
      </w:r>
    </w:p>
    <w:p w14:paraId="64089086" w14:textId="77777777" w:rsidR="0001700B" w:rsidRPr="00FF1532" w:rsidRDefault="0001700B">
      <w:pPr>
        <w:spacing w:line="360" w:lineRule="auto"/>
        <w:ind w:right="-93"/>
        <w:jc w:val="both"/>
        <w:rPr>
          <w:rFonts w:ascii="Palatino Linotype" w:hAnsi="Palatino Linotype" w:cs="Tahoma"/>
          <w:sz w:val="22"/>
          <w:szCs w:val="22"/>
        </w:rPr>
      </w:pPr>
    </w:p>
    <w:p w14:paraId="0062E7F8" w14:textId="52FA4799" w:rsidR="0001700B" w:rsidRDefault="0001700B">
      <w:pPr>
        <w:spacing w:line="360" w:lineRule="auto"/>
        <w:ind w:right="-93"/>
        <w:jc w:val="both"/>
        <w:rPr>
          <w:rFonts w:ascii="Palatino Linotype" w:hAnsi="Palatino Linotype" w:cs="Tahoma"/>
          <w:sz w:val="22"/>
          <w:szCs w:val="22"/>
        </w:rPr>
      </w:pPr>
      <w:r w:rsidRPr="007556F7">
        <w:rPr>
          <w:rFonts w:ascii="Palatino Linotype" w:hAnsi="Palatino Linotype" w:cs="Arial"/>
          <w:sz w:val="22"/>
          <w:szCs w:val="22"/>
        </w:rPr>
        <w:t xml:space="preserve">Con fundamento en el artículo 186, fracción III, de la Ley de Transparencia y Acceso a la Información Pública del Estado de México y Municipios, este Instituto considera procedente </w:t>
      </w:r>
      <w:r w:rsidR="004D227F">
        <w:rPr>
          <w:rFonts w:ascii="Palatino Linotype" w:hAnsi="Palatino Linotype" w:cs="Arial"/>
          <w:b/>
          <w:sz w:val="22"/>
          <w:szCs w:val="22"/>
        </w:rPr>
        <w:t>REVOCAR</w:t>
      </w:r>
      <w:r w:rsidR="004D227F" w:rsidRPr="007556F7">
        <w:rPr>
          <w:rFonts w:ascii="Palatino Linotype" w:hAnsi="Palatino Linotype" w:cs="Arial"/>
          <w:sz w:val="22"/>
          <w:szCs w:val="22"/>
        </w:rPr>
        <w:t xml:space="preserve"> </w:t>
      </w:r>
      <w:r w:rsidRPr="007556F7">
        <w:rPr>
          <w:rFonts w:ascii="Palatino Linotype" w:hAnsi="Palatino Linotype" w:cs="Arial"/>
          <w:sz w:val="22"/>
          <w:szCs w:val="22"/>
        </w:rPr>
        <w:t xml:space="preserve">la respuesta a la solicitud de información pública </w:t>
      </w:r>
      <w:r w:rsidR="004B6B96" w:rsidRPr="004B6B96">
        <w:rPr>
          <w:rFonts w:ascii="Palatino Linotype" w:hAnsi="Palatino Linotype" w:cs="Arial"/>
          <w:b/>
          <w:sz w:val="22"/>
          <w:szCs w:val="22"/>
        </w:rPr>
        <w:t>00063/ACOLMAN/IP/2019</w:t>
      </w:r>
      <w:r>
        <w:rPr>
          <w:rFonts w:ascii="Palatino Linotype" w:hAnsi="Palatino Linotype" w:cs="Arial"/>
          <w:sz w:val="22"/>
          <w:szCs w:val="22"/>
        </w:rPr>
        <w:t xml:space="preserve">, y </w:t>
      </w:r>
      <w:r w:rsidRPr="00EB0C59">
        <w:rPr>
          <w:rFonts w:ascii="Palatino Linotype" w:hAnsi="Palatino Linotype" w:cs="Tahoma"/>
          <w:sz w:val="22"/>
          <w:szCs w:val="22"/>
        </w:rPr>
        <w:t xml:space="preserve">considera procedente </w:t>
      </w:r>
      <w:r w:rsidRPr="00EB0C59">
        <w:rPr>
          <w:rFonts w:ascii="Palatino Linotype" w:hAnsi="Palatino Linotype" w:cs="Tahoma"/>
          <w:b/>
          <w:sz w:val="22"/>
          <w:szCs w:val="22"/>
        </w:rPr>
        <w:t>ORDENAR</w:t>
      </w:r>
      <w:r w:rsidRPr="00EB0C59">
        <w:rPr>
          <w:rFonts w:ascii="Palatino Linotype" w:hAnsi="Palatino Linotype" w:cs="Tahoma"/>
          <w:sz w:val="22"/>
          <w:szCs w:val="22"/>
        </w:rPr>
        <w:t xml:space="preserve"> al </w:t>
      </w:r>
      <w:r w:rsidR="004B6B96" w:rsidRPr="004B6B96">
        <w:rPr>
          <w:rFonts w:ascii="Palatino Linotype" w:hAnsi="Palatino Linotype" w:cs="Tahoma"/>
          <w:b/>
          <w:sz w:val="22"/>
          <w:szCs w:val="22"/>
        </w:rPr>
        <w:t>Ayuntamiento de Acolman</w:t>
      </w:r>
      <w:r w:rsidRPr="00EB0C59">
        <w:rPr>
          <w:rFonts w:ascii="Palatino Linotype" w:hAnsi="Palatino Linotype" w:cs="Tahoma"/>
          <w:sz w:val="22"/>
          <w:szCs w:val="22"/>
        </w:rPr>
        <w:t>, otorgue acceso vía el Sistema de Acceso a la Información Mexiq</w:t>
      </w:r>
      <w:r w:rsidR="004B6B96">
        <w:rPr>
          <w:rFonts w:ascii="Palatino Linotype" w:hAnsi="Palatino Linotype" w:cs="Tahoma"/>
          <w:sz w:val="22"/>
          <w:szCs w:val="22"/>
        </w:rPr>
        <w:t>uense (SAIMEX), versión pública</w:t>
      </w:r>
      <w:r w:rsidRPr="00740885">
        <w:rPr>
          <w:rFonts w:ascii="Palatino Linotype" w:hAnsi="Palatino Linotype" w:cs="Tahoma"/>
          <w:bCs/>
          <w:sz w:val="22"/>
          <w:szCs w:val="22"/>
        </w:rPr>
        <w:t xml:space="preserve">, </w:t>
      </w:r>
      <w:r w:rsidRPr="00EB0C59">
        <w:rPr>
          <w:rFonts w:ascii="Palatino Linotype" w:hAnsi="Palatino Linotype" w:cs="Tahoma"/>
          <w:sz w:val="22"/>
          <w:szCs w:val="22"/>
        </w:rPr>
        <w:t>de lo siguiente:</w:t>
      </w:r>
    </w:p>
    <w:p w14:paraId="2C0BC596" w14:textId="77777777" w:rsidR="0001700B" w:rsidRDefault="0001700B">
      <w:pPr>
        <w:spacing w:line="360" w:lineRule="auto"/>
        <w:ind w:right="-93"/>
        <w:jc w:val="both"/>
        <w:rPr>
          <w:rFonts w:ascii="Palatino Linotype" w:hAnsi="Palatino Linotype" w:cs="Arial"/>
          <w:sz w:val="22"/>
          <w:szCs w:val="22"/>
        </w:rPr>
      </w:pPr>
    </w:p>
    <w:p w14:paraId="1D1EE4E0" w14:textId="5EE67BA7" w:rsidR="004B6B96" w:rsidRPr="004B6B96" w:rsidRDefault="004B6B96">
      <w:pPr>
        <w:pStyle w:val="Prrafodelista"/>
        <w:numPr>
          <w:ilvl w:val="0"/>
          <w:numId w:val="43"/>
        </w:numPr>
        <w:spacing w:line="360" w:lineRule="auto"/>
        <w:jc w:val="both"/>
        <w:rPr>
          <w:rFonts w:ascii="Palatino Linotype" w:eastAsia="Calibri" w:hAnsi="Palatino Linotype" w:cs="Tahoma"/>
          <w:szCs w:val="22"/>
          <w:lang w:eastAsia="es-ES_tradnl"/>
        </w:rPr>
      </w:pPr>
      <w:r w:rsidRPr="004B6B96">
        <w:rPr>
          <w:rFonts w:ascii="Palatino Linotype" w:eastAsia="Calibri" w:hAnsi="Palatino Linotype" w:cs="Tahoma"/>
          <w:szCs w:val="22"/>
          <w:lang w:val="es-ES" w:eastAsia="es-ES_tradnl"/>
        </w:rPr>
        <w:t xml:space="preserve">Los recibos de nómina de todo el personal que labora en el </w:t>
      </w:r>
      <w:r w:rsidRPr="004B6B96">
        <w:rPr>
          <w:rFonts w:ascii="Palatino Linotype" w:eastAsia="Calibri" w:hAnsi="Palatino Linotype" w:cs="Tahoma"/>
          <w:b/>
          <w:szCs w:val="22"/>
          <w:lang w:val="es-ES" w:eastAsia="es-ES_tradnl"/>
        </w:rPr>
        <w:t>Ayuntamiento de Acolman</w:t>
      </w:r>
      <w:r w:rsidRPr="004B6B96">
        <w:rPr>
          <w:rFonts w:ascii="Palatino Linotype" w:eastAsia="Calibri" w:hAnsi="Palatino Linotype" w:cs="Tahoma"/>
          <w:szCs w:val="22"/>
          <w:lang w:val="es-ES" w:eastAsia="es-ES_tradnl"/>
        </w:rPr>
        <w:t xml:space="preserve">, correspondientes a la primera y segunda quincena de diciembre de dos mil dieciocho; así como a la primera y segunda quincena de los meses de enero, febrero y marzo del año dos mil diecinueve. </w:t>
      </w:r>
    </w:p>
    <w:p w14:paraId="5E4B919B" w14:textId="719C5B5C" w:rsidR="004B6B96" w:rsidRDefault="004B6B96">
      <w:pPr>
        <w:shd w:val="clear" w:color="auto" w:fill="FFFFFF" w:themeFill="background1"/>
        <w:spacing w:line="360" w:lineRule="auto"/>
        <w:jc w:val="both"/>
        <w:rPr>
          <w:rFonts w:ascii="Palatino Linotype" w:hAnsi="Palatino Linotype" w:cs="Tahoma"/>
          <w:sz w:val="22"/>
          <w:szCs w:val="22"/>
          <w:lang w:val="es-ES"/>
        </w:rPr>
      </w:pPr>
    </w:p>
    <w:p w14:paraId="614F09AC" w14:textId="5A67E1BA" w:rsidR="00F50DBA" w:rsidRPr="00985849" w:rsidRDefault="00F50DBA">
      <w:pPr>
        <w:shd w:val="clear" w:color="auto" w:fill="FFFFFF" w:themeFill="background1"/>
        <w:spacing w:line="360" w:lineRule="auto"/>
        <w:jc w:val="both"/>
        <w:rPr>
          <w:rFonts w:ascii="Palatino Linotype" w:hAnsi="Palatino Linotype" w:cs="Arial"/>
          <w:sz w:val="22"/>
          <w:szCs w:val="22"/>
        </w:rPr>
      </w:pPr>
      <w:r>
        <w:rPr>
          <w:rFonts w:ascii="Palatino Linotype" w:hAnsi="Palatino Linotype" w:cs="Tahoma"/>
          <w:sz w:val="22"/>
          <w:szCs w:val="22"/>
          <w:lang w:val="es-ES"/>
        </w:rPr>
        <w:t xml:space="preserve">Junto con la documentación se deberá entregar </w:t>
      </w:r>
      <w:r w:rsidRPr="00A50EAF">
        <w:rPr>
          <w:rFonts w:ascii="Palatino Linotype" w:hAnsi="Palatino Linotype" w:cs="Tahoma"/>
          <w:sz w:val="22"/>
          <w:szCs w:val="22"/>
          <w:lang w:val="es-ES"/>
        </w:rPr>
        <w:t xml:space="preserve">el </w:t>
      </w:r>
      <w:r w:rsidRPr="004B55D1">
        <w:rPr>
          <w:rFonts w:ascii="Palatino Linotype" w:hAnsi="Palatino Linotype" w:cs="Tahoma"/>
          <w:b/>
          <w:sz w:val="22"/>
          <w:szCs w:val="22"/>
          <w:lang w:val="es-ES"/>
        </w:rPr>
        <w:t>Acuerdo del Comité de Transparencia</w:t>
      </w:r>
      <w:r w:rsidRPr="00A50EAF">
        <w:rPr>
          <w:rFonts w:ascii="Palatino Linotype" w:hAnsi="Palatino Linotype" w:cs="Tahoma"/>
          <w:sz w:val="22"/>
          <w:szCs w:val="22"/>
          <w:lang w:val="es-ES"/>
        </w:rPr>
        <w:t xml:space="preserve"> mediante el cual se funde y motive la eliminación de la información</w:t>
      </w:r>
      <w:r>
        <w:rPr>
          <w:rFonts w:ascii="Palatino Linotype" w:hAnsi="Palatino Linotype" w:cs="Tahoma"/>
          <w:sz w:val="22"/>
          <w:szCs w:val="22"/>
          <w:lang w:val="es-ES"/>
        </w:rPr>
        <w:t xml:space="preserve"> confidencial, en términos de los artículos 49, fracciones II y VII, </w:t>
      </w:r>
      <w:r w:rsidRPr="00A50EAF">
        <w:rPr>
          <w:rFonts w:ascii="Palatino Linotype" w:hAnsi="Palatino Linotype" w:cs="Tahoma"/>
          <w:sz w:val="22"/>
          <w:szCs w:val="22"/>
          <w:lang w:val="es-ES"/>
        </w:rPr>
        <w:t>143, fracción I</w:t>
      </w:r>
      <w:r>
        <w:rPr>
          <w:rFonts w:ascii="Palatino Linotype" w:hAnsi="Palatino Linotype" w:cs="Tahoma"/>
          <w:sz w:val="22"/>
          <w:szCs w:val="22"/>
          <w:lang w:val="es-ES"/>
        </w:rPr>
        <w:t xml:space="preserve"> y 149,</w:t>
      </w:r>
      <w:r w:rsidRPr="00A50EAF">
        <w:rPr>
          <w:rFonts w:ascii="Palatino Linotype" w:hAnsi="Palatino Linotype" w:cs="Tahoma"/>
          <w:sz w:val="22"/>
          <w:szCs w:val="22"/>
          <w:lang w:val="es-ES"/>
        </w:rPr>
        <w:t xml:space="preserve"> de la Ley de Transparencia y Acceso a la Información Pública del Estado de México y Municipios.</w:t>
      </w:r>
    </w:p>
    <w:p w14:paraId="30BE38E2" w14:textId="1EC83562" w:rsidR="00E1114C" w:rsidRDefault="00E1114C">
      <w:pPr>
        <w:spacing w:line="360" w:lineRule="auto"/>
        <w:jc w:val="both"/>
        <w:rPr>
          <w:rFonts w:ascii="Palatino Linotype" w:hAnsi="Palatino Linotype" w:cs="Tahoma"/>
          <w:sz w:val="22"/>
          <w:szCs w:val="22"/>
          <w:lang w:val="es-ES"/>
        </w:rPr>
      </w:pPr>
    </w:p>
    <w:p w14:paraId="34804ED1" w14:textId="77777777" w:rsidR="0001700B" w:rsidRPr="00FF1532" w:rsidRDefault="0001700B">
      <w:pPr>
        <w:spacing w:line="360" w:lineRule="auto"/>
        <w:jc w:val="both"/>
        <w:rPr>
          <w:rFonts w:ascii="Palatino Linotype" w:hAnsi="Palatino Linotype" w:cs="Arial"/>
          <w:bCs/>
          <w:color w:val="000000" w:themeColor="text1"/>
          <w:sz w:val="22"/>
          <w:szCs w:val="22"/>
        </w:rPr>
      </w:pPr>
      <w:r w:rsidRPr="00FF1532">
        <w:rPr>
          <w:rFonts w:ascii="Palatino Linotype" w:hAnsi="Palatino Linotype" w:cs="Arial"/>
          <w:bCs/>
          <w:color w:val="000000" w:themeColor="text1"/>
          <w:sz w:val="22"/>
          <w:szCs w:val="22"/>
        </w:rPr>
        <w:t>Por lo expuesto y fundado, el Pleno de este Instituto:</w:t>
      </w:r>
    </w:p>
    <w:p w14:paraId="375DFBCF" w14:textId="7A5CE4E5" w:rsidR="002E5FD1" w:rsidRDefault="002E5FD1">
      <w:pPr>
        <w:spacing w:line="360" w:lineRule="auto"/>
        <w:ind w:right="-93"/>
        <w:jc w:val="both"/>
        <w:rPr>
          <w:rFonts w:ascii="Palatino Linotype" w:eastAsia="Calibri" w:hAnsi="Palatino Linotype" w:cs="Tahoma"/>
          <w:bCs/>
          <w:sz w:val="22"/>
          <w:szCs w:val="22"/>
          <w:lang w:eastAsia="en-US"/>
        </w:rPr>
      </w:pPr>
    </w:p>
    <w:p w14:paraId="60E87AA3" w14:textId="77777777" w:rsidR="007C0587" w:rsidRPr="00FF1532" w:rsidRDefault="007C0587">
      <w:pPr>
        <w:spacing w:line="360" w:lineRule="auto"/>
        <w:jc w:val="center"/>
        <w:rPr>
          <w:rFonts w:ascii="Palatino Linotype" w:hAnsi="Palatino Linotype" w:cs="Arial"/>
          <w:bCs/>
          <w:color w:val="000000" w:themeColor="text1"/>
          <w:sz w:val="22"/>
          <w:szCs w:val="22"/>
        </w:rPr>
      </w:pPr>
      <w:r w:rsidRPr="00FF1532">
        <w:rPr>
          <w:rFonts w:ascii="Palatino Linotype" w:hAnsi="Palatino Linotype" w:cs="Arial"/>
          <w:b/>
          <w:bCs/>
          <w:color w:val="000000" w:themeColor="text1"/>
          <w:sz w:val="22"/>
          <w:szCs w:val="22"/>
        </w:rPr>
        <w:t>RESUELVE</w:t>
      </w:r>
    </w:p>
    <w:p w14:paraId="2B2006DC" w14:textId="77777777" w:rsidR="007B600C" w:rsidRPr="00F143B3" w:rsidRDefault="007B600C">
      <w:pPr>
        <w:spacing w:line="360" w:lineRule="auto"/>
        <w:jc w:val="both"/>
        <w:rPr>
          <w:rFonts w:ascii="Palatino Linotype" w:hAnsi="Palatino Linotype" w:cs="Arial"/>
          <w:bCs/>
          <w:color w:val="000000" w:themeColor="text1"/>
          <w:sz w:val="22"/>
          <w:szCs w:val="22"/>
        </w:rPr>
      </w:pPr>
    </w:p>
    <w:p w14:paraId="3E2EDE23" w14:textId="07B9993F" w:rsidR="007B600C" w:rsidRDefault="007B600C">
      <w:pPr>
        <w:spacing w:line="360" w:lineRule="auto"/>
        <w:jc w:val="both"/>
        <w:rPr>
          <w:rFonts w:ascii="Palatino Linotype" w:hAnsi="Palatino Linotype" w:cs="Arial"/>
          <w:bCs/>
          <w:color w:val="000000" w:themeColor="text1"/>
          <w:sz w:val="22"/>
          <w:szCs w:val="22"/>
          <w:lang w:val="es-ES"/>
        </w:rPr>
      </w:pPr>
      <w:r w:rsidRPr="005911B4">
        <w:rPr>
          <w:rFonts w:ascii="Palatino Linotype" w:hAnsi="Palatino Linotype" w:cs="Arial"/>
          <w:b/>
          <w:bCs/>
          <w:color w:val="000000" w:themeColor="text1"/>
          <w:sz w:val="22"/>
          <w:szCs w:val="22"/>
          <w:lang w:val="es-ES"/>
        </w:rPr>
        <w:t xml:space="preserve">PRIMERO. </w:t>
      </w:r>
      <w:r w:rsidR="00E57A17" w:rsidRPr="00E57A17">
        <w:rPr>
          <w:rFonts w:ascii="Palatino Linotype" w:hAnsi="Palatino Linotype" w:cs="Arial"/>
          <w:bCs/>
          <w:color w:val="000000" w:themeColor="text1"/>
          <w:sz w:val="22"/>
          <w:szCs w:val="22"/>
          <w:lang w:val="es-ES"/>
        </w:rPr>
        <w:t xml:space="preserve">Se </w:t>
      </w:r>
      <w:r w:rsidR="004D227F">
        <w:rPr>
          <w:rFonts w:ascii="Palatino Linotype" w:hAnsi="Palatino Linotype" w:cs="Arial"/>
          <w:b/>
          <w:bCs/>
          <w:color w:val="000000" w:themeColor="text1"/>
          <w:sz w:val="22"/>
          <w:szCs w:val="22"/>
          <w:lang w:val="es-ES"/>
        </w:rPr>
        <w:t>REVOCA</w:t>
      </w:r>
      <w:r w:rsidR="004D227F" w:rsidRPr="00E57A17">
        <w:rPr>
          <w:rFonts w:ascii="Palatino Linotype" w:hAnsi="Palatino Linotype" w:cs="Arial"/>
          <w:bCs/>
          <w:color w:val="000000" w:themeColor="text1"/>
          <w:sz w:val="22"/>
          <w:szCs w:val="22"/>
          <w:lang w:val="es-ES"/>
        </w:rPr>
        <w:t xml:space="preserve"> </w:t>
      </w:r>
      <w:r w:rsidR="00E57A17" w:rsidRPr="00E57A17">
        <w:rPr>
          <w:rFonts w:ascii="Palatino Linotype" w:hAnsi="Palatino Linotype" w:cs="Arial"/>
          <w:bCs/>
          <w:color w:val="000000" w:themeColor="text1"/>
          <w:sz w:val="22"/>
          <w:szCs w:val="22"/>
          <w:lang w:val="es-ES"/>
        </w:rPr>
        <w:t xml:space="preserve">la respuesta del Sujeto Obligado a la solicitud de información </w:t>
      </w:r>
      <w:r w:rsidR="00F346E9" w:rsidRPr="00F346E9">
        <w:rPr>
          <w:rFonts w:ascii="Palatino Linotype" w:hAnsi="Palatino Linotype" w:cs="Arial"/>
          <w:b/>
          <w:bCs/>
          <w:color w:val="000000" w:themeColor="text1"/>
          <w:sz w:val="22"/>
          <w:szCs w:val="22"/>
          <w:lang w:val="es-ES"/>
        </w:rPr>
        <w:t>00063/ACOLMAN/IP/2019</w:t>
      </w:r>
      <w:r w:rsidR="00E57A17" w:rsidRPr="004D227F">
        <w:rPr>
          <w:rFonts w:ascii="Palatino Linotype" w:hAnsi="Palatino Linotype" w:cs="Arial"/>
          <w:bCs/>
          <w:color w:val="000000" w:themeColor="text1"/>
          <w:sz w:val="22"/>
          <w:szCs w:val="22"/>
          <w:lang w:val="es-ES"/>
        </w:rPr>
        <w:t>, por</w:t>
      </w:r>
      <w:r w:rsidR="00E57A17" w:rsidRPr="00E57A17">
        <w:rPr>
          <w:rFonts w:ascii="Palatino Linotype" w:hAnsi="Palatino Linotype" w:cs="Arial"/>
          <w:bCs/>
          <w:color w:val="000000" w:themeColor="text1"/>
          <w:sz w:val="22"/>
          <w:szCs w:val="22"/>
          <w:lang w:val="es-ES"/>
        </w:rPr>
        <w:t xml:space="preserve"> resultar </w:t>
      </w:r>
      <w:r w:rsidR="0001700B" w:rsidRPr="0001700B">
        <w:rPr>
          <w:rFonts w:ascii="Palatino Linotype" w:hAnsi="Palatino Linotype" w:cs="Arial"/>
          <w:b/>
          <w:bCs/>
          <w:color w:val="000000" w:themeColor="text1"/>
          <w:sz w:val="22"/>
          <w:szCs w:val="22"/>
          <w:lang w:val="es-ES"/>
        </w:rPr>
        <w:t xml:space="preserve">FUNDADAS </w:t>
      </w:r>
      <w:r w:rsidR="00E57A17" w:rsidRPr="00E57A17">
        <w:rPr>
          <w:rFonts w:ascii="Palatino Linotype" w:hAnsi="Palatino Linotype" w:cs="Arial"/>
          <w:bCs/>
          <w:color w:val="000000" w:themeColor="text1"/>
          <w:sz w:val="22"/>
          <w:szCs w:val="22"/>
          <w:lang w:val="es-ES"/>
        </w:rPr>
        <w:t>las razones o motivos de inconformidad hechos valer por el Recurrente, en términos de lo</w:t>
      </w:r>
      <w:r w:rsidR="00E57A17">
        <w:rPr>
          <w:rFonts w:ascii="Palatino Linotype" w:hAnsi="Palatino Linotype" w:cs="Arial"/>
          <w:bCs/>
          <w:color w:val="000000" w:themeColor="text1"/>
          <w:sz w:val="22"/>
          <w:szCs w:val="22"/>
          <w:lang w:val="es-ES"/>
        </w:rPr>
        <w:t xml:space="preserve">s Considerandos </w:t>
      </w:r>
      <w:r w:rsidR="0001700B">
        <w:rPr>
          <w:rFonts w:ascii="Palatino Linotype" w:hAnsi="Palatino Linotype" w:cs="Arial"/>
          <w:b/>
          <w:bCs/>
          <w:color w:val="000000" w:themeColor="text1"/>
          <w:sz w:val="22"/>
          <w:szCs w:val="22"/>
          <w:lang w:val="es-ES"/>
        </w:rPr>
        <w:t>QUINTO y SÉPTIMO</w:t>
      </w:r>
      <w:r w:rsidR="00E57A17" w:rsidRPr="00E57A17">
        <w:rPr>
          <w:rFonts w:ascii="Palatino Linotype" w:hAnsi="Palatino Linotype" w:cs="Arial"/>
          <w:bCs/>
          <w:color w:val="000000" w:themeColor="text1"/>
          <w:sz w:val="22"/>
          <w:szCs w:val="22"/>
          <w:lang w:val="es-ES"/>
        </w:rPr>
        <w:t xml:space="preserve"> de esta Resolución.</w:t>
      </w:r>
    </w:p>
    <w:p w14:paraId="1A81C6E7" w14:textId="77777777" w:rsidR="00E57A17" w:rsidRDefault="00E57A17">
      <w:pPr>
        <w:spacing w:line="360" w:lineRule="auto"/>
        <w:jc w:val="both"/>
        <w:rPr>
          <w:rFonts w:ascii="Palatino Linotype" w:hAnsi="Palatino Linotype" w:cs="Arial"/>
          <w:bCs/>
          <w:color w:val="000000" w:themeColor="text1"/>
          <w:sz w:val="22"/>
          <w:szCs w:val="22"/>
          <w:lang w:val="es-ES"/>
        </w:rPr>
      </w:pPr>
    </w:p>
    <w:p w14:paraId="51082E28" w14:textId="2D88F4E8" w:rsidR="000C46E4" w:rsidRPr="000C46E4" w:rsidRDefault="007B600C">
      <w:pPr>
        <w:spacing w:line="360" w:lineRule="auto"/>
        <w:jc w:val="both"/>
        <w:rPr>
          <w:rFonts w:ascii="Palatino Linotype" w:hAnsi="Palatino Linotype" w:cs="Arial"/>
          <w:bCs/>
          <w:color w:val="000000" w:themeColor="text1"/>
          <w:sz w:val="22"/>
          <w:szCs w:val="22"/>
          <w:lang w:val="es-ES"/>
        </w:rPr>
      </w:pPr>
      <w:r w:rsidRPr="00F143B3">
        <w:rPr>
          <w:rFonts w:ascii="Palatino Linotype" w:hAnsi="Palatino Linotype" w:cs="Arial"/>
          <w:b/>
          <w:bCs/>
          <w:color w:val="000000" w:themeColor="text1"/>
          <w:sz w:val="22"/>
          <w:szCs w:val="22"/>
          <w:lang w:val="es-ES"/>
        </w:rPr>
        <w:t>SEGUNDO.</w:t>
      </w:r>
      <w:r w:rsidRPr="00F143B3">
        <w:rPr>
          <w:rFonts w:ascii="Palatino Linotype" w:hAnsi="Palatino Linotype" w:cs="Arial"/>
          <w:bCs/>
          <w:color w:val="000000" w:themeColor="text1"/>
          <w:sz w:val="22"/>
          <w:szCs w:val="22"/>
          <w:lang w:val="es-ES"/>
        </w:rPr>
        <w:t xml:space="preserve"> </w:t>
      </w:r>
      <w:r>
        <w:rPr>
          <w:rFonts w:ascii="Palatino Linotype" w:hAnsi="Palatino Linotype" w:cs="Arial"/>
          <w:bCs/>
          <w:color w:val="000000" w:themeColor="text1"/>
          <w:sz w:val="22"/>
          <w:szCs w:val="22"/>
          <w:lang w:val="es-ES"/>
        </w:rPr>
        <w:t xml:space="preserve">Se </w:t>
      </w:r>
      <w:r w:rsidRPr="007E247A">
        <w:rPr>
          <w:rFonts w:ascii="Palatino Linotype" w:hAnsi="Palatino Linotype" w:cs="Arial"/>
          <w:b/>
          <w:bCs/>
          <w:color w:val="000000" w:themeColor="text1"/>
          <w:sz w:val="22"/>
          <w:szCs w:val="22"/>
          <w:lang w:val="es-ES"/>
        </w:rPr>
        <w:t>ORDENA</w:t>
      </w:r>
      <w:r w:rsidR="0001700B">
        <w:rPr>
          <w:rFonts w:ascii="Palatino Linotype" w:hAnsi="Palatino Linotype" w:cs="Arial"/>
          <w:bCs/>
          <w:color w:val="000000" w:themeColor="text1"/>
          <w:sz w:val="22"/>
          <w:szCs w:val="22"/>
          <w:lang w:val="es-ES"/>
        </w:rPr>
        <w:t xml:space="preserve"> </w:t>
      </w:r>
      <w:r w:rsidR="0001700B" w:rsidRPr="0001700B">
        <w:rPr>
          <w:rFonts w:ascii="Palatino Linotype" w:hAnsi="Palatino Linotype" w:cs="Arial"/>
          <w:bCs/>
          <w:color w:val="000000" w:themeColor="text1"/>
          <w:sz w:val="22"/>
          <w:szCs w:val="22"/>
          <w:lang w:val="es-ES"/>
        </w:rPr>
        <w:t xml:space="preserve">al </w:t>
      </w:r>
      <w:r w:rsidR="00F346E9" w:rsidRPr="00F346E9">
        <w:rPr>
          <w:rFonts w:ascii="Palatino Linotype" w:hAnsi="Palatino Linotype" w:cs="Arial"/>
          <w:b/>
          <w:bCs/>
          <w:color w:val="000000" w:themeColor="text1"/>
          <w:sz w:val="22"/>
          <w:szCs w:val="22"/>
          <w:lang w:val="es-ES"/>
        </w:rPr>
        <w:t>Ayuntamiento de Acolman</w:t>
      </w:r>
      <w:r w:rsidR="0001700B" w:rsidRPr="0001700B">
        <w:rPr>
          <w:rFonts w:ascii="Palatino Linotype" w:hAnsi="Palatino Linotype" w:cs="Arial"/>
          <w:bCs/>
          <w:color w:val="000000" w:themeColor="text1"/>
          <w:sz w:val="22"/>
          <w:szCs w:val="22"/>
          <w:lang w:val="es-ES"/>
        </w:rPr>
        <w:t xml:space="preserve">, otorgue acceso vía el Sistema de Acceso a la Información Mexiquense (SAIMEX), </w:t>
      </w:r>
      <w:r w:rsidR="004D227F">
        <w:rPr>
          <w:rFonts w:ascii="Palatino Linotype" w:hAnsi="Palatino Linotype" w:cs="Arial"/>
          <w:bCs/>
          <w:color w:val="000000" w:themeColor="text1"/>
          <w:sz w:val="22"/>
          <w:szCs w:val="22"/>
          <w:lang w:val="es-ES"/>
        </w:rPr>
        <w:t xml:space="preserve">en </w:t>
      </w:r>
      <w:r w:rsidR="0001700B" w:rsidRPr="0001700B">
        <w:rPr>
          <w:rFonts w:ascii="Palatino Linotype" w:hAnsi="Palatino Linotype" w:cs="Arial"/>
          <w:bCs/>
          <w:color w:val="000000" w:themeColor="text1"/>
          <w:sz w:val="22"/>
          <w:szCs w:val="22"/>
          <w:lang w:val="es-ES"/>
        </w:rPr>
        <w:t>versión pública</w:t>
      </w:r>
      <w:r w:rsidR="000C46E4" w:rsidRPr="000C46E4">
        <w:rPr>
          <w:rFonts w:ascii="Palatino Linotype" w:hAnsi="Palatino Linotype" w:cs="Arial"/>
          <w:bCs/>
          <w:color w:val="000000" w:themeColor="text1"/>
          <w:sz w:val="22"/>
          <w:szCs w:val="22"/>
          <w:lang w:val="es-ES"/>
        </w:rPr>
        <w:t>, de lo siguiente:</w:t>
      </w:r>
    </w:p>
    <w:p w14:paraId="41DF93B1" w14:textId="77777777" w:rsidR="000C46E4" w:rsidRPr="000C46E4" w:rsidRDefault="000C46E4">
      <w:pPr>
        <w:spacing w:line="360" w:lineRule="auto"/>
        <w:jc w:val="both"/>
        <w:rPr>
          <w:rFonts w:ascii="Palatino Linotype" w:hAnsi="Palatino Linotype" w:cs="Arial"/>
          <w:bCs/>
          <w:color w:val="000000" w:themeColor="text1"/>
          <w:sz w:val="22"/>
          <w:szCs w:val="22"/>
          <w:lang w:val="es-ES"/>
        </w:rPr>
      </w:pPr>
    </w:p>
    <w:p w14:paraId="3931BB01" w14:textId="795B5211" w:rsidR="000C46E4" w:rsidRPr="000C46E4" w:rsidRDefault="000C46E4">
      <w:pPr>
        <w:pStyle w:val="Prrafodelista"/>
        <w:numPr>
          <w:ilvl w:val="0"/>
          <w:numId w:val="32"/>
        </w:numPr>
        <w:spacing w:line="360" w:lineRule="auto"/>
        <w:jc w:val="both"/>
        <w:rPr>
          <w:rFonts w:ascii="Palatino Linotype" w:hAnsi="Palatino Linotype" w:cs="Arial"/>
          <w:bCs/>
          <w:color w:val="000000" w:themeColor="text1"/>
          <w:szCs w:val="22"/>
          <w:lang w:val="es-ES"/>
        </w:rPr>
      </w:pPr>
      <w:r w:rsidRPr="000C46E4">
        <w:rPr>
          <w:rFonts w:ascii="Palatino Linotype" w:hAnsi="Palatino Linotype" w:cs="Arial"/>
          <w:bCs/>
          <w:color w:val="000000" w:themeColor="text1"/>
          <w:szCs w:val="22"/>
          <w:lang w:val="es-ES"/>
        </w:rPr>
        <w:t xml:space="preserve">Los recibos de nómina de todo el personal que labora en el Ayuntamiento de Acolman, </w:t>
      </w:r>
      <w:r w:rsidR="00AF110A">
        <w:rPr>
          <w:rFonts w:ascii="Palatino Linotype" w:hAnsi="Palatino Linotype" w:cs="Arial"/>
          <w:bCs/>
          <w:color w:val="000000" w:themeColor="text1"/>
          <w:szCs w:val="22"/>
          <w:lang w:val="es-ES"/>
        </w:rPr>
        <w:t xml:space="preserve">incluido el personal de confianza y sindicalizado, </w:t>
      </w:r>
      <w:r w:rsidRPr="000C46E4">
        <w:rPr>
          <w:rFonts w:ascii="Palatino Linotype" w:hAnsi="Palatino Linotype" w:cs="Arial"/>
          <w:bCs/>
          <w:color w:val="000000" w:themeColor="text1"/>
          <w:szCs w:val="22"/>
          <w:lang w:val="es-ES"/>
        </w:rPr>
        <w:t xml:space="preserve">correspondientes a la primera y segunda quincena de diciembre de dos mil dieciocho; así como a la primera y segunda quincena de los meses de enero, febrero y marzo del año dos mil diecinueve. </w:t>
      </w:r>
    </w:p>
    <w:p w14:paraId="79ED5B4B" w14:textId="5962C38E" w:rsidR="0001700B" w:rsidRPr="0001700B" w:rsidRDefault="0001700B">
      <w:pPr>
        <w:spacing w:line="360" w:lineRule="auto"/>
        <w:jc w:val="both"/>
        <w:rPr>
          <w:rFonts w:ascii="Palatino Linotype" w:hAnsi="Palatino Linotype" w:cs="Arial"/>
          <w:bCs/>
          <w:color w:val="000000" w:themeColor="text1"/>
          <w:sz w:val="22"/>
          <w:szCs w:val="22"/>
          <w:lang w:val="es-ES"/>
        </w:rPr>
      </w:pPr>
    </w:p>
    <w:p w14:paraId="21D44149" w14:textId="7DEC3E56" w:rsidR="0001700B" w:rsidRDefault="0001700B">
      <w:pPr>
        <w:spacing w:line="360" w:lineRule="auto"/>
        <w:jc w:val="both"/>
        <w:rPr>
          <w:rFonts w:ascii="Palatino Linotype" w:hAnsi="Palatino Linotype" w:cs="Arial"/>
          <w:bCs/>
          <w:color w:val="000000" w:themeColor="text1"/>
          <w:sz w:val="22"/>
          <w:szCs w:val="22"/>
          <w:lang w:val="es-ES"/>
        </w:rPr>
      </w:pPr>
      <w:r w:rsidRPr="0001700B">
        <w:rPr>
          <w:rFonts w:ascii="Palatino Linotype" w:hAnsi="Palatino Linotype" w:cs="Arial"/>
          <w:bCs/>
          <w:color w:val="000000" w:themeColor="text1"/>
          <w:sz w:val="22"/>
          <w:szCs w:val="22"/>
          <w:lang w:val="es-ES"/>
        </w:rPr>
        <w:t>Junto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31DCA567" w14:textId="005000E0" w:rsidR="0001700B" w:rsidRPr="0001700B" w:rsidRDefault="0001700B">
      <w:pPr>
        <w:spacing w:line="360" w:lineRule="auto"/>
        <w:jc w:val="both"/>
        <w:rPr>
          <w:rFonts w:ascii="Palatino Linotype" w:hAnsi="Palatino Linotype" w:cs="Arial"/>
          <w:bCs/>
          <w:color w:val="000000" w:themeColor="text1"/>
          <w:sz w:val="22"/>
          <w:szCs w:val="22"/>
          <w:lang w:val="es-ES"/>
        </w:rPr>
      </w:pPr>
    </w:p>
    <w:p w14:paraId="34C19A4F" w14:textId="00A58255" w:rsidR="00BC3A48" w:rsidRPr="004E591C" w:rsidRDefault="00BC3A48">
      <w:pPr>
        <w:spacing w:line="360" w:lineRule="auto"/>
        <w:jc w:val="both"/>
        <w:rPr>
          <w:rFonts w:ascii="Palatino Linotype" w:hAnsi="Palatino Linotype" w:cs="Tahoma"/>
          <w:sz w:val="22"/>
        </w:rPr>
      </w:pPr>
      <w:r w:rsidRPr="00FD5901">
        <w:rPr>
          <w:rFonts w:ascii="Palatino Linotype" w:hAnsi="Palatino Linotype" w:cs="Arial"/>
          <w:b/>
          <w:bCs/>
          <w:color w:val="000000" w:themeColor="text1"/>
          <w:sz w:val="22"/>
          <w:szCs w:val="22"/>
          <w:lang w:val="es-ES"/>
        </w:rPr>
        <w:t>TERCERO.</w:t>
      </w:r>
      <w:r w:rsidRPr="00FD5901">
        <w:rPr>
          <w:rFonts w:ascii="Palatino Linotype" w:hAnsi="Palatino Linotype" w:cs="Arial"/>
          <w:bCs/>
          <w:color w:val="000000" w:themeColor="text1"/>
          <w:sz w:val="22"/>
          <w:szCs w:val="22"/>
          <w:lang w:val="es-ES"/>
        </w:rPr>
        <w:t xml:space="preserve"> </w:t>
      </w:r>
      <w:r w:rsidRPr="00FD5901">
        <w:rPr>
          <w:rFonts w:ascii="Palatino Linotype" w:hAnsi="Palatino Linotype" w:cs="Tahoma"/>
          <w:b/>
          <w:sz w:val="22"/>
        </w:rPr>
        <w:t xml:space="preserve">NOTIFÍQUESE </w:t>
      </w:r>
      <w:r w:rsidRPr="00FD5901">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2498732" w14:textId="77777777" w:rsidR="00BC3A48" w:rsidRPr="00F143B3" w:rsidRDefault="00BC3A48">
      <w:pPr>
        <w:spacing w:line="360" w:lineRule="auto"/>
        <w:jc w:val="both"/>
        <w:rPr>
          <w:rFonts w:ascii="Palatino Linotype" w:hAnsi="Palatino Linotype" w:cs="Arial"/>
          <w:bCs/>
          <w:color w:val="000000" w:themeColor="text1"/>
          <w:sz w:val="22"/>
          <w:szCs w:val="22"/>
          <w:lang w:val="es-ES"/>
        </w:rPr>
      </w:pPr>
    </w:p>
    <w:p w14:paraId="59D42902" w14:textId="77777777" w:rsidR="00BC3A48" w:rsidRDefault="00BC3A48">
      <w:pPr>
        <w:spacing w:line="360" w:lineRule="auto"/>
        <w:jc w:val="both"/>
        <w:rPr>
          <w:rFonts w:ascii="Palatino Linotype" w:hAnsi="Palatino Linotype" w:cs="Tahoma"/>
          <w:sz w:val="22"/>
          <w:szCs w:val="22"/>
        </w:rPr>
      </w:pPr>
      <w:r>
        <w:rPr>
          <w:rFonts w:ascii="Palatino Linotype" w:hAnsi="Palatino Linotype" w:cs="Arial"/>
          <w:b/>
          <w:bCs/>
          <w:color w:val="000000" w:themeColor="text1"/>
          <w:sz w:val="22"/>
          <w:szCs w:val="22"/>
          <w:lang w:val="es-ES"/>
        </w:rPr>
        <w:t>CUARTO</w:t>
      </w:r>
      <w:r w:rsidRPr="00F143B3">
        <w:rPr>
          <w:rFonts w:ascii="Palatino Linotype" w:hAnsi="Palatino Linotype" w:cs="Arial"/>
          <w:b/>
          <w:bCs/>
          <w:color w:val="000000" w:themeColor="text1"/>
          <w:sz w:val="22"/>
          <w:szCs w:val="22"/>
          <w:lang w:val="es-ES"/>
        </w:rPr>
        <w:t>.</w:t>
      </w:r>
      <w:r w:rsidRPr="00F143B3">
        <w:rPr>
          <w:rFonts w:ascii="Palatino Linotype" w:hAnsi="Palatino Linotype" w:cs="Arial"/>
          <w:bCs/>
          <w:color w:val="000000" w:themeColor="text1"/>
          <w:sz w:val="22"/>
          <w:szCs w:val="22"/>
          <w:lang w:val="es-ES"/>
        </w:rPr>
        <w:t xml:space="preserve"> </w:t>
      </w:r>
      <w:r w:rsidRPr="001E458F">
        <w:rPr>
          <w:rFonts w:ascii="Palatino Linotype" w:hAnsi="Palatino Linotype" w:cs="Tahoma"/>
          <w:b/>
          <w:sz w:val="22"/>
          <w:szCs w:val="22"/>
        </w:rPr>
        <w:t xml:space="preserve">NOTIFÍQUESE </w:t>
      </w:r>
      <w:r w:rsidRPr="001E458F">
        <w:rPr>
          <w:rFonts w:ascii="Palatino Linotype" w:hAnsi="Palatino Linotype" w:cs="Tahoma"/>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940AD77" w14:textId="77777777" w:rsidR="007C0587" w:rsidRPr="00FF1532" w:rsidRDefault="007C0587">
      <w:pPr>
        <w:spacing w:line="360" w:lineRule="auto"/>
        <w:jc w:val="both"/>
        <w:rPr>
          <w:rFonts w:ascii="Palatino Linotype" w:hAnsi="Palatino Linotype" w:cs="Tahoma"/>
          <w:sz w:val="22"/>
          <w:szCs w:val="22"/>
        </w:rPr>
      </w:pPr>
    </w:p>
    <w:p w14:paraId="3E79B7FB" w14:textId="77777777" w:rsidR="000A0EEC" w:rsidRPr="00F012DF" w:rsidRDefault="000A0EEC" w:rsidP="000A0EEC">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lastRenderedPageBreak/>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w:t>
      </w:r>
      <w:r>
        <w:rPr>
          <w:rFonts w:ascii="Palatino Linotype" w:eastAsia="Calibri" w:hAnsi="Palatino Linotype" w:cs="Tahoma"/>
          <w:bCs/>
          <w:sz w:val="22"/>
          <w:szCs w:val="22"/>
          <w:lang w:val="es-ES_tradnl" w:eastAsia="en-US"/>
        </w:rPr>
        <w:t xml:space="preserve"> (AUSENCIA JUSTIFICADA)</w:t>
      </w:r>
      <w:r w:rsidRPr="00F012DF">
        <w:rPr>
          <w:rFonts w:ascii="Palatino Linotype" w:eastAsia="Calibri" w:hAnsi="Palatino Linotype" w:cs="Tahoma"/>
          <w:bCs/>
          <w:sz w:val="22"/>
          <w:szCs w:val="22"/>
          <w:lang w:val="es-ES_tradnl" w:eastAsia="en-US"/>
        </w:rPr>
        <w:t xml:space="preserve">;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TERCERA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ONCE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5E9400B5" w14:textId="77777777" w:rsidR="000A0EEC" w:rsidRDefault="000A0EEC" w:rsidP="000A0EEC">
      <w:pPr>
        <w:spacing w:line="360" w:lineRule="auto"/>
        <w:ind w:right="-93"/>
        <w:jc w:val="both"/>
        <w:rPr>
          <w:rFonts w:ascii="Palatino Linotype" w:eastAsia="Calibri" w:hAnsi="Palatino Linotype" w:cs="Tahoma"/>
          <w:bCs/>
          <w:sz w:val="22"/>
          <w:szCs w:val="22"/>
          <w:lang w:eastAsia="en-US"/>
        </w:rPr>
      </w:pPr>
    </w:p>
    <w:p w14:paraId="32399CC8" w14:textId="77777777" w:rsidR="000A0EEC" w:rsidRDefault="000A0EEC" w:rsidP="000A0EEC">
      <w:pPr>
        <w:spacing w:line="360" w:lineRule="auto"/>
        <w:ind w:right="-93"/>
        <w:jc w:val="both"/>
        <w:rPr>
          <w:rFonts w:ascii="Palatino Linotype" w:eastAsia="Calibri" w:hAnsi="Palatino Linotype" w:cs="Tahoma"/>
          <w:bCs/>
          <w:sz w:val="22"/>
          <w:szCs w:val="22"/>
          <w:lang w:eastAsia="en-US"/>
        </w:rPr>
      </w:pPr>
    </w:p>
    <w:p w14:paraId="67406445" w14:textId="77777777" w:rsidR="000A0EEC" w:rsidRPr="00F012DF" w:rsidRDefault="000A0EEC" w:rsidP="000A0EEC">
      <w:pPr>
        <w:spacing w:line="360" w:lineRule="auto"/>
        <w:ind w:right="-93"/>
        <w:jc w:val="both"/>
        <w:rPr>
          <w:rFonts w:ascii="Palatino Linotype" w:eastAsia="Calibri" w:hAnsi="Palatino Linotype" w:cs="Tahoma"/>
          <w:bCs/>
          <w:sz w:val="22"/>
          <w:szCs w:val="22"/>
          <w:lang w:eastAsia="en-US"/>
        </w:rPr>
      </w:pPr>
    </w:p>
    <w:p w14:paraId="0D850D8A" w14:textId="3829A398" w:rsidR="000A0EEC" w:rsidRDefault="000A0EEC" w:rsidP="000A0EEC">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36FE4D36" wp14:editId="54E4D2B4">
                <wp:simplePos x="0" y="0"/>
                <wp:positionH relativeFrom="margin">
                  <wp:align>center</wp:align>
                </wp:positionH>
                <wp:positionV relativeFrom="paragraph">
                  <wp:posOffset>129540</wp:posOffset>
                </wp:positionV>
                <wp:extent cx="2551430" cy="809625"/>
                <wp:effectExtent l="0" t="0" r="20320" b="285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82E09A5"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934ECDC"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E6F9FAC" w14:textId="77777777" w:rsidR="000A0EEC" w:rsidRPr="00DA1AD1" w:rsidRDefault="000A0EEC" w:rsidP="000A0EEC">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6B4D449A" w14:textId="77777777" w:rsidR="000A0EEC" w:rsidRPr="00016AF3" w:rsidRDefault="000A0EEC" w:rsidP="000A0EEC">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FE4D36" id="_x0000_t202" coordsize="21600,21600" o:spt="202" path="m,l,21600r21600,l21600,xe">
                <v:stroke joinstyle="miter"/>
                <v:path gradientshapeok="t" o:connecttype="rect"/>
              </v:shapetype>
              <v:shape id="Cuadro de texto 1" o:spid="_x0000_s1026" type="#_x0000_t202" style="position:absolute;left:0;text-align:left;margin-left:0;margin-top:10.2pt;width:200.9pt;height:63.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EnwIAANIFAAAOAAAAZHJzL2Uyb0RvYy54bWysVEtvGyEQvlfqf0Dcm7UdO02srCPXUapK&#10;VhLVqXLGLNirAEMBe9f99R1g/WiaS6peWNj55vXN4/qm1YpshfM1mJL2z3qUCMOhqs2qpD+e7j5d&#10;UuIDMxVTYERJd8LTm8nHD9eNHYsBrEFVwhE0Yvy4sSVdh2DHReH5Wmjmz8AKg0IJTrOAT7cqKsca&#10;tK5VMej1LooGXGUdcOE9/r3NQjpJ9qUUPDxI6UUgqqQYW0inS+cynsXkmo1Xjtl1zbsw2D9EoVlt&#10;0OnB1C0LjGxc/ZcpXXMHHmQ446ALkLLmIuWA2fR7r7JZrJkVKRckx9sDTf7/meX320dH6gprR4lh&#10;Gks027DKAakECaINQPqRpMb6MWIXFtGh/QJtVIgJezsH/uIRUpxgsoJHdMS00un4xXQJKmIddgfu&#10;0QXh+HMwGvWH5yjiKLvsXV0MRtFvcdS2zoevAjSJl5I6rG2KgG3nPmToHpICA1VXd7VS6RH7ScyU&#10;I1uGnaBCSgqN+1OUMqQp6cX5qJdTO5WljjxaWK7esID2lInuROq8LqxIS2Yi3cJOiYhR5ruQyHwi&#10;5I0YGefCHOJM6IiSmNF7FDv8Mar3KOc8UCN5BhMOyro24DJLf1JbveyJkRnfNYbPeUcKQrtsu5Za&#10;QrXDjnKQB9NbfldjdefMh0fmcBKxIXC7hAc8pAKsDnQ3Stbgfr31P+JxQFBKSYOTXVL/c8OcoER9&#10;Mzg6V/3hMK6C9BiOPg/w4U4ly1OJ2egZYMvgeGB06RrxQe2v0oF+xiU0jV5RxAxH3yUN++ss5H2D&#10;S4yL6TSBcPgtC3OzsHw/SLF3n9pn5mzX4HH67mG/A9j4VZ9nbCyMgekmgKzTEESCM6sd8bg40hh1&#10;Sy5uptN3Qh1X8eQ3AA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jMyZRJ8CAADSBQAADgAAAAAAAAAAAAAAAAAuAgAAZHJzL2Uy&#10;b0RvYy54bWxQSwECLQAUAAYACAAAACEAhLwY/doAAAAHAQAADwAAAAAAAAAAAAAAAAD5BAAAZHJz&#10;L2Rvd25yZXYueG1sUEsFBgAAAAAEAAQA8wAAAAAGAAAAAA==&#10;" fillcolor="white [3201]" strokecolor="white [3212]" strokeweight=".5pt">
                <v:path arrowok="t"/>
                <v:textbox>
                  <w:txbxContent>
                    <w:p w14:paraId="682E09A5"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4934ECDC"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0E6F9FAC" w14:textId="77777777" w:rsidR="000A0EEC" w:rsidRPr="00DA1AD1" w:rsidRDefault="000A0EEC" w:rsidP="000A0EEC">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6B4D449A" w14:textId="77777777" w:rsidR="000A0EEC" w:rsidRPr="00016AF3" w:rsidRDefault="000A0EEC" w:rsidP="000A0EEC">
                      <w:pPr>
                        <w:jc w:val="center"/>
                        <w:rPr>
                          <w:rFonts w:ascii="Palatino Linotype" w:hAnsi="Palatino Linotype"/>
                          <w:b/>
                          <w:sz w:val="24"/>
                          <w:szCs w:val="24"/>
                        </w:rPr>
                      </w:pPr>
                    </w:p>
                  </w:txbxContent>
                </v:textbox>
                <w10:wrap anchorx="margin"/>
              </v:shape>
            </w:pict>
          </mc:Fallback>
        </mc:AlternateContent>
      </w:r>
    </w:p>
    <w:p w14:paraId="74B7EFFB" w14:textId="77777777" w:rsidR="000A0EEC" w:rsidRDefault="000A0EEC" w:rsidP="000A0EEC">
      <w:pPr>
        <w:spacing w:line="360" w:lineRule="auto"/>
        <w:ind w:right="-93"/>
        <w:jc w:val="both"/>
        <w:rPr>
          <w:rFonts w:ascii="Palatino Linotype" w:eastAsia="Calibri" w:hAnsi="Palatino Linotype" w:cs="Tahoma"/>
          <w:b/>
          <w:bCs/>
          <w:sz w:val="22"/>
          <w:szCs w:val="22"/>
          <w:lang w:eastAsia="en-US"/>
        </w:rPr>
      </w:pPr>
    </w:p>
    <w:p w14:paraId="4F7E6333" w14:textId="77777777" w:rsidR="000A0EEC" w:rsidRDefault="000A0EEC" w:rsidP="000A0EEC">
      <w:pPr>
        <w:spacing w:line="360" w:lineRule="auto"/>
        <w:ind w:right="-93"/>
        <w:jc w:val="both"/>
        <w:rPr>
          <w:rFonts w:ascii="Palatino Linotype" w:eastAsia="Calibri" w:hAnsi="Palatino Linotype" w:cs="Tahoma"/>
          <w:b/>
          <w:bCs/>
          <w:sz w:val="22"/>
          <w:szCs w:val="22"/>
          <w:lang w:eastAsia="en-US"/>
        </w:rPr>
      </w:pPr>
    </w:p>
    <w:p w14:paraId="2C538D13" w14:textId="77777777" w:rsidR="000A0EEC" w:rsidRDefault="000A0EEC" w:rsidP="000A0EEC">
      <w:pPr>
        <w:spacing w:line="360" w:lineRule="auto"/>
        <w:ind w:right="-93"/>
        <w:jc w:val="both"/>
        <w:rPr>
          <w:rFonts w:ascii="Palatino Linotype" w:eastAsia="Calibri" w:hAnsi="Palatino Linotype" w:cs="Tahoma"/>
          <w:b/>
          <w:bCs/>
          <w:sz w:val="22"/>
          <w:szCs w:val="22"/>
          <w:lang w:eastAsia="en-US"/>
        </w:rPr>
      </w:pPr>
    </w:p>
    <w:p w14:paraId="0E78DB67" w14:textId="77777777" w:rsidR="000A0EEC" w:rsidRDefault="000A0EEC" w:rsidP="000A0EEC">
      <w:pPr>
        <w:spacing w:line="360" w:lineRule="auto"/>
        <w:ind w:right="-93"/>
        <w:jc w:val="both"/>
        <w:rPr>
          <w:rFonts w:ascii="Palatino Linotype" w:eastAsia="Calibri" w:hAnsi="Palatino Linotype" w:cs="Tahoma"/>
          <w:b/>
          <w:bCs/>
          <w:sz w:val="22"/>
          <w:szCs w:val="22"/>
          <w:lang w:eastAsia="en-US"/>
        </w:rPr>
      </w:pPr>
    </w:p>
    <w:p w14:paraId="1C57DBDC" w14:textId="77777777" w:rsidR="000A0EEC" w:rsidRDefault="000A0EEC" w:rsidP="000A0EEC">
      <w:pPr>
        <w:spacing w:line="360" w:lineRule="auto"/>
        <w:ind w:right="-93"/>
        <w:jc w:val="both"/>
        <w:rPr>
          <w:rFonts w:ascii="Palatino Linotype" w:eastAsia="Calibri" w:hAnsi="Palatino Linotype" w:cs="Tahoma"/>
          <w:b/>
          <w:bCs/>
          <w:sz w:val="22"/>
          <w:szCs w:val="22"/>
          <w:lang w:eastAsia="en-US"/>
        </w:rPr>
      </w:pPr>
    </w:p>
    <w:p w14:paraId="3EB06E79" w14:textId="77777777" w:rsidR="000A0EEC" w:rsidRPr="00F012DF" w:rsidRDefault="000A0EEC" w:rsidP="000A0EEC">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5408" behindDoc="0" locked="0" layoutInCell="1" allowOverlap="1" wp14:anchorId="6974252B" wp14:editId="27C2E466">
                <wp:simplePos x="0" y="0"/>
                <wp:positionH relativeFrom="margin">
                  <wp:posOffset>3011805</wp:posOffset>
                </wp:positionH>
                <wp:positionV relativeFrom="paragraph">
                  <wp:posOffset>9525</wp:posOffset>
                </wp:positionV>
                <wp:extent cx="2800350" cy="776378"/>
                <wp:effectExtent l="0" t="0" r="19050" b="2413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1338DE"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5D799116"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BBFDD2D" w14:textId="77777777" w:rsidR="000A0EEC" w:rsidRPr="00DA1AD1" w:rsidRDefault="000A0EEC" w:rsidP="000A0EEC">
                            <w:pPr>
                              <w:jc w:val="center"/>
                              <w:rPr>
                                <w:rFonts w:ascii="Palatino Linotype" w:hAnsi="Palatino Linotype"/>
                                <w:b/>
                                <w:sz w:val="22"/>
                                <w:szCs w:val="24"/>
                              </w:rPr>
                            </w:pPr>
                            <w:r w:rsidRPr="00DA1AD1">
                              <w:rPr>
                                <w:rFonts w:ascii="Palatino Linotype" w:hAnsi="Palatino Linotype"/>
                                <w:b/>
                                <w:sz w:val="22"/>
                                <w:szCs w:val="24"/>
                              </w:rPr>
                              <w:t>(Rúbrica)</w:t>
                            </w:r>
                          </w:p>
                          <w:p w14:paraId="2A94B535" w14:textId="77777777" w:rsidR="000A0EEC" w:rsidRPr="00DA1AD1" w:rsidRDefault="000A0EEC" w:rsidP="000A0EEC">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4252B" id="Cuadro de texto 6" o:spid="_x0000_s1027" type="#_x0000_t202" style="position:absolute;left:0;text-align:left;margin-left:237.15pt;margin-top:.75pt;width:220.5pt;height:61.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cGmwIAANkFAAAOAAAAZHJzL2Uyb0RvYy54bWysVNtOGzEQfa/Uf7D8XjYJkNCIDUqDqCpF&#10;gAoVz47XTixsj2s72U2/vmPv5gJFqqj6smt7ztzOXC6vGqPJRvigwJa0f9KjRFgOlbLLkv54vPl0&#10;QUmIzFZMgxUl3YpAryYfP1zWbiwGsAJdCU/QiA3j2pV0FaMbF0XgK2FYOAEnLAoleMMiXv2yqDyr&#10;0brRxaDXGxY1+Mp54CIEfL1uhXSS7UspeLyTMohIdEkxtpi/Pn8X6VtMLtl46ZlbKd6Fwf4hCsOU&#10;Rad7U9csMrL26g9TRnEPAWQ84WAKkFJxkXPAbPq9V9k8rJgTORckJ7g9TeH/meW3m3tPVFXSISWW&#10;GSzRbM0qD6QSJIomAhkmkmoXxoh9cIiOzRdosNg54eDmwJ8DQoojTKsQEJ1IaaQ36Y/pElTEOmz3&#10;3KMLwvFxcNHrnZ6jiKNsNBqeji6S3+Kg7XyIXwUYkg4l9VjbHAHbzENsoTtIchZAq+pGaZ0vqZ/E&#10;THuyYdgJOvY74y9Q2pIaiUhh/M3CYvmGBQxW26Qpcud1YSVaWibyKW61SBhtvwuJzGdC3oiRcS7s&#10;Ps6MTiiJGb1HscMfonqPcpsHamTPYONe2SgLvmXpJbXV844Y2eK7xght3omC2Cya3HIZmV4WUG2x&#10;sTy08xkcv1FY5DkL8Z55HEjsC1wy8Q4/UgMWCboTJSvwv956T3icE5RSUuOAlzT8XDMvKNHfLE7Q&#10;5/7ZWdoI+XJ2PhrgxR9LFscSuzYzwM7p4zpzPB8TPurdUXowT7iLpskripjl6LukcXecxXbt4C7j&#10;YjrNINwBjsW5fXB8N0+phR+bJ+Zd1+dpCG9htwrY+FW7t9hUHwvTdQSp8iwcWO34x/2Rp6nbdWlB&#10;Hd8z6rCRJ78BAAD//wMAUEsDBBQABgAIAAAAIQDaWgx73AAAAAkBAAAPAAAAZHJzL2Rvd25yZXYu&#10;eG1sTI/LTsMwEEX3SP0Ha5DYUTtJX4Q4VYUELBFtkVi68ZBEjcdR7Kbh7xlWsDy6V3fOFNvJdWLE&#10;IbSeNCRzBQKp8ralWsPx8Hy/ARGiIWs6T6jhGwNsy9lNYXLrr/SO4z7Wgkco5EZDE2OfSxmqBp0J&#10;c98jcfblB2ci41BLO5grj7tOpkqtpDMt8YXG9PjUYHXeX5wGr44fNnkbXyVm7afqV+k5Ji9a391O&#10;u0cQEaf4V4ZffVaHkp1O/kI2iE7DYr3IuMrBEgTnD8mS+cScZhuQZSH/f1D+AAAA//8DAFBLAQIt&#10;ABQABgAIAAAAIQC2gziS/gAAAOEBAAATAAAAAAAAAAAAAAAAAAAAAABbQ29udGVudF9UeXBlc10u&#10;eG1sUEsBAi0AFAAGAAgAAAAhADj9If/WAAAAlAEAAAsAAAAAAAAAAAAAAAAALwEAAF9yZWxzLy5y&#10;ZWxzUEsBAi0AFAAGAAgAAAAhABD7pwabAgAA2QUAAA4AAAAAAAAAAAAAAAAALgIAAGRycy9lMm9E&#10;b2MueG1sUEsBAi0AFAAGAAgAAAAhANpaDHvcAAAACQEAAA8AAAAAAAAAAAAAAAAA9QQAAGRycy9k&#10;b3ducmV2LnhtbFBLBQYAAAAABAAEAPMAAAD+BQAAAAA=&#10;" fillcolor="white [3201]" strokecolor="white [3212]" strokeweight=".5pt">
                <v:path arrowok="t"/>
                <v:textbox>
                  <w:txbxContent>
                    <w:p w14:paraId="551338DE"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5D799116"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1BBFDD2D" w14:textId="77777777" w:rsidR="000A0EEC" w:rsidRPr="00DA1AD1" w:rsidRDefault="000A0EEC" w:rsidP="000A0EEC">
                      <w:pPr>
                        <w:jc w:val="center"/>
                        <w:rPr>
                          <w:rFonts w:ascii="Palatino Linotype" w:hAnsi="Palatino Linotype"/>
                          <w:b/>
                          <w:sz w:val="22"/>
                          <w:szCs w:val="24"/>
                        </w:rPr>
                      </w:pPr>
                      <w:r w:rsidRPr="00DA1AD1">
                        <w:rPr>
                          <w:rFonts w:ascii="Palatino Linotype" w:hAnsi="Palatino Linotype"/>
                          <w:b/>
                          <w:sz w:val="22"/>
                          <w:szCs w:val="24"/>
                        </w:rPr>
                        <w:t>(Rúbrica)</w:t>
                      </w:r>
                    </w:p>
                    <w:p w14:paraId="2A94B535" w14:textId="77777777" w:rsidR="000A0EEC" w:rsidRPr="00DA1AD1" w:rsidRDefault="000A0EEC" w:rsidP="000A0EEC">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7AC0E79B" wp14:editId="55821B3F">
                <wp:simplePos x="0" y="0"/>
                <wp:positionH relativeFrom="margin">
                  <wp:align>left</wp:align>
                </wp:positionH>
                <wp:positionV relativeFrom="paragraph">
                  <wp:posOffset>12328</wp:posOffset>
                </wp:positionV>
                <wp:extent cx="1943100" cy="752475"/>
                <wp:effectExtent l="0" t="0" r="19050" b="2857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54FDBE" w14:textId="77777777" w:rsidR="000A0EEC" w:rsidRPr="00DA1AD1" w:rsidRDefault="000A0EEC" w:rsidP="000A0EEC">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5973A84"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5ACA149" w14:textId="77777777" w:rsidR="000A0EEC" w:rsidRPr="00DA1AD1" w:rsidRDefault="000A0EEC" w:rsidP="000A0EEC">
                            <w:pPr>
                              <w:jc w:val="center"/>
                              <w:rPr>
                                <w:rFonts w:ascii="Palatino Linotype" w:hAnsi="Palatino Linotype"/>
                                <w:b/>
                                <w:sz w:val="22"/>
                                <w:szCs w:val="24"/>
                              </w:rPr>
                            </w:pPr>
                            <w:r w:rsidRPr="00DA1AD1">
                              <w:rPr>
                                <w:rFonts w:ascii="Palatino Linotype" w:hAnsi="Palatino Linotype"/>
                                <w:b/>
                                <w:sz w:val="22"/>
                                <w:szCs w:val="24"/>
                              </w:rPr>
                              <w:t>(Rúbrica)</w:t>
                            </w:r>
                          </w:p>
                          <w:p w14:paraId="5AB4445C" w14:textId="77777777" w:rsidR="000A0EEC" w:rsidRPr="00DA1AD1" w:rsidRDefault="000A0EEC" w:rsidP="000A0EEC">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0E79B" id="Cuadro de texto 7" o:spid="_x0000_s1028" type="#_x0000_t202" style="position:absolute;left:0;text-align:left;margin-left:0;margin-top:.95pt;width:153pt;height:59.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2CGnwIAANkFAAAOAAAAZHJzL2Uyb0RvYy54bWysVFtv2jAUfp+0/2D5fQQolBU1VIyq0yTU&#10;VmunPhvHhqiOj2cbEvbrd2wnlHZoUqe9OHbOd27fuVxeNZUiO2FdCTqng16fEqE5FKVe5/TH482n&#10;z5Q4z3TBFGiR071w9Gr28cNlbaZiCBtQhbAEjWg3rU1ON96baZY5vhEVcz0wQqNQgq2Yx6ddZ4Vl&#10;NVqvVDbs98+zGmxhLHDhHP69TkI6i/alFNzfSemEJyqnGJuPp43nKpzZ7JJN15aZTcnbMNg/RFGx&#10;UqPTg6lr5hnZ2vIPU1XJLTiQvsehykDKkouYA2Yz6L/J5mHDjIi5IDnOHGhy/88sv93dW1IWOZ1Q&#10;olmFJVpsWWGBFIJ40Xggk0BSbdwUsQ8G0b75Ag0WOybszBL4s0NIdoRJCg7RgZRG2ip8MV2CiliH&#10;/YF7dEF4sHYxOhv0UcRRNhkPR5Nx8Ju9aBvr/FcBFQmXnFqsbYyA7ZbOJ2gHCc4cqLK4KZWKj9BP&#10;YqEs2THsBOUHrfFXKKVJndPzs3E/pfYXC6v1CQsYrNLBnYid14YVaElMxJvfKxEwSn8XEpmPhJyI&#10;kXEu9CHOiA4oiRm9R7HFv0T1HuWUB2pEz6D9QbkqNdjE0mtqi+eOGJnwbWO4lHegwDerJrbcsOus&#10;FRR7bCwLaT6d4TclFnnJnL9nFgcS+wKXjL/DQyrAIkF7o2QD9tep/wGPc4JSSmoc8Jy6n1tmBSXq&#10;m8YJuhiMRmEjxMdoPBniwx5LVscSva0WgJ0zwHVmeLwGvFfdVVqonnAXzYNXFDHN0XdOfXdd+LR2&#10;cJdxMZ9HEO4Aw/xSPxjezVNo4cfmiVnT9nkYwlvoVgGbvmn3hA310TDfepBlnIXAc2K15R/3R5ym&#10;dteFBXX8jqiXjTz7D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JRvYIafAgAA2QUAAA4AAAAAAAAAAAAAAAAALgIAAGRycy9lMm9E&#10;b2MueG1sUEsBAi0AFAAGAAgAAAAhABJTHqPYAAAABgEAAA8AAAAAAAAAAAAAAAAA+QQAAGRycy9k&#10;b3ducmV2LnhtbFBLBQYAAAAABAAEAPMAAAD+BQAAAAA=&#10;" fillcolor="white [3201]" strokecolor="white [3212]" strokeweight=".5pt">
                <v:path arrowok="t"/>
                <v:textbox>
                  <w:txbxContent>
                    <w:p w14:paraId="4654FDBE" w14:textId="77777777" w:rsidR="000A0EEC" w:rsidRPr="00DA1AD1" w:rsidRDefault="000A0EEC" w:rsidP="000A0EEC">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5973A84"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5ACA149" w14:textId="77777777" w:rsidR="000A0EEC" w:rsidRPr="00DA1AD1" w:rsidRDefault="000A0EEC" w:rsidP="000A0EEC">
                      <w:pPr>
                        <w:jc w:val="center"/>
                        <w:rPr>
                          <w:rFonts w:ascii="Palatino Linotype" w:hAnsi="Palatino Linotype"/>
                          <w:b/>
                          <w:sz w:val="22"/>
                          <w:szCs w:val="24"/>
                        </w:rPr>
                      </w:pPr>
                      <w:r w:rsidRPr="00DA1AD1">
                        <w:rPr>
                          <w:rFonts w:ascii="Palatino Linotype" w:hAnsi="Palatino Linotype"/>
                          <w:b/>
                          <w:sz w:val="22"/>
                          <w:szCs w:val="24"/>
                        </w:rPr>
                        <w:t>(Rúbrica)</w:t>
                      </w:r>
                    </w:p>
                    <w:p w14:paraId="5AB4445C" w14:textId="77777777" w:rsidR="000A0EEC" w:rsidRPr="00DA1AD1" w:rsidRDefault="000A0EEC" w:rsidP="000A0EEC">
                      <w:pPr>
                        <w:jc w:val="center"/>
                        <w:rPr>
                          <w:sz w:val="18"/>
                        </w:rPr>
                      </w:pPr>
                    </w:p>
                  </w:txbxContent>
                </v:textbox>
                <w10:wrap anchorx="margin"/>
              </v:shape>
            </w:pict>
          </mc:Fallback>
        </mc:AlternateContent>
      </w:r>
    </w:p>
    <w:p w14:paraId="118AF4B9" w14:textId="77777777" w:rsidR="000A0EEC" w:rsidRPr="00F012DF" w:rsidRDefault="000A0EEC" w:rsidP="000A0EEC">
      <w:pPr>
        <w:spacing w:line="360" w:lineRule="auto"/>
        <w:ind w:right="-93"/>
        <w:jc w:val="both"/>
        <w:rPr>
          <w:rFonts w:ascii="Palatino Linotype" w:eastAsia="Calibri" w:hAnsi="Palatino Linotype" w:cs="Tahoma"/>
          <w:b/>
          <w:bCs/>
          <w:sz w:val="22"/>
          <w:szCs w:val="22"/>
          <w:lang w:eastAsia="en-US"/>
        </w:rPr>
      </w:pPr>
    </w:p>
    <w:p w14:paraId="1ADB0BBD" w14:textId="77777777" w:rsidR="000A0EEC" w:rsidRPr="00F012DF" w:rsidRDefault="000A0EEC" w:rsidP="000A0EEC">
      <w:pPr>
        <w:spacing w:line="360" w:lineRule="auto"/>
        <w:ind w:right="-93"/>
        <w:jc w:val="both"/>
        <w:rPr>
          <w:rFonts w:ascii="Palatino Linotype" w:eastAsia="Calibri" w:hAnsi="Palatino Linotype" w:cs="Tahoma"/>
          <w:b/>
          <w:bCs/>
          <w:sz w:val="22"/>
          <w:szCs w:val="22"/>
          <w:lang w:eastAsia="en-US"/>
        </w:rPr>
      </w:pPr>
    </w:p>
    <w:p w14:paraId="1C0D99A3" w14:textId="77777777" w:rsidR="000A0EEC" w:rsidRDefault="000A0EEC" w:rsidP="000A0EEC">
      <w:pPr>
        <w:spacing w:line="360" w:lineRule="auto"/>
        <w:ind w:right="-93"/>
        <w:jc w:val="both"/>
        <w:rPr>
          <w:rFonts w:ascii="Palatino Linotype" w:eastAsia="Calibri" w:hAnsi="Palatino Linotype" w:cs="Tahoma"/>
          <w:b/>
          <w:bCs/>
          <w:sz w:val="22"/>
          <w:szCs w:val="22"/>
          <w:lang w:eastAsia="en-US"/>
        </w:rPr>
      </w:pPr>
    </w:p>
    <w:p w14:paraId="719A451C" w14:textId="77777777" w:rsidR="000A0EEC" w:rsidRDefault="000A0EEC" w:rsidP="000A0EEC">
      <w:pPr>
        <w:spacing w:line="360" w:lineRule="auto"/>
        <w:ind w:right="-93"/>
        <w:jc w:val="both"/>
        <w:rPr>
          <w:rFonts w:ascii="Palatino Linotype" w:eastAsia="Calibri" w:hAnsi="Palatino Linotype" w:cs="Tahoma"/>
          <w:b/>
          <w:bCs/>
          <w:sz w:val="22"/>
          <w:szCs w:val="22"/>
          <w:lang w:eastAsia="en-US"/>
        </w:rPr>
      </w:pPr>
    </w:p>
    <w:p w14:paraId="465A3A3C" w14:textId="77777777" w:rsidR="000A0EEC" w:rsidRDefault="000A0EEC" w:rsidP="000A0EEC">
      <w:pPr>
        <w:spacing w:line="360" w:lineRule="auto"/>
        <w:ind w:right="-93"/>
        <w:jc w:val="both"/>
        <w:rPr>
          <w:rFonts w:ascii="Palatino Linotype" w:eastAsia="Calibri" w:hAnsi="Palatino Linotype" w:cs="Tahoma"/>
          <w:b/>
          <w:bCs/>
          <w:sz w:val="22"/>
          <w:szCs w:val="22"/>
          <w:lang w:eastAsia="en-US"/>
        </w:rPr>
      </w:pPr>
    </w:p>
    <w:p w14:paraId="50CBD037" w14:textId="77777777" w:rsidR="000A0EEC" w:rsidRPr="00F012DF" w:rsidRDefault="000A0EEC" w:rsidP="000A0EEC">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8480" behindDoc="0" locked="0" layoutInCell="1" allowOverlap="1" wp14:anchorId="7B5C1620" wp14:editId="16C9CC74">
                <wp:simplePos x="0" y="0"/>
                <wp:positionH relativeFrom="margin">
                  <wp:align>right</wp:align>
                </wp:positionH>
                <wp:positionV relativeFrom="paragraph">
                  <wp:posOffset>5080</wp:posOffset>
                </wp:positionV>
                <wp:extent cx="2276475" cy="724618"/>
                <wp:effectExtent l="0" t="0" r="28575" b="1841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B2F47B" w14:textId="77777777" w:rsidR="000A0EEC" w:rsidRPr="00DA1AD1" w:rsidRDefault="000A0EEC" w:rsidP="000A0EEC">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059F84A"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696EE0C" w14:textId="77777777" w:rsidR="000A0EEC" w:rsidRPr="00DA1AD1" w:rsidRDefault="000A0EEC" w:rsidP="000A0EEC">
                            <w:pPr>
                              <w:jc w:val="center"/>
                              <w:rPr>
                                <w:rFonts w:ascii="Palatino Linotype" w:hAnsi="Palatino Linotype"/>
                                <w:b/>
                                <w:sz w:val="18"/>
                              </w:rPr>
                            </w:pPr>
                            <w:r w:rsidRPr="00DA1AD1">
                              <w:rPr>
                                <w:rFonts w:ascii="Palatino Linotype" w:hAnsi="Palatino Linotype"/>
                                <w:b/>
                                <w:sz w:val="22"/>
                                <w:szCs w:val="24"/>
                              </w:rPr>
                              <w:t>(Rúbrica)</w:t>
                            </w:r>
                          </w:p>
                          <w:p w14:paraId="473720EB" w14:textId="77777777" w:rsidR="000A0EEC" w:rsidRDefault="000A0EEC" w:rsidP="000A0E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C1620" id="Cuadro de texto 9" o:spid="_x0000_s1029" type="#_x0000_t202" style="position:absolute;left:0;text-align:left;margin-left:128.05pt;margin-top:.4pt;width:179.25pt;height:57.0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J4oQIAANkFAAAOAAAAZHJzL2Uyb0RvYy54bWysVFtP2zAUfp+0/2D5faQtpaUVKeqKmCZV&#10;gAYTz65jtxGOj2e7Tbpfz7GdlMLQJKa9OHbOd27fuVxcNpUiO2FdCTqn/ZMeJUJzKEq9zunPh+sv&#10;55Q4z3TBFGiR071w9HL2+dNFbaZiABtQhbAEjWg3rU1ON96baZY5vhEVcydghEahBFsxj0+7zgrL&#10;arReqWzQ642yGmxhLHDhHP69SkI6i/alFNzfSumEJyqnGJuPp43nKpzZ7IJN15aZTcnbMNg/RFGx&#10;UqPTg6kr5hnZ2vIPU1XJLTiQ/oRDlYGUJRcxB8ym33uTzf2GGRFzQXKcOdDk/p9ZfrO7s6Qscjqh&#10;RLMKS7TYssICKQTxovFAJoGk2rgpYu8Non3zFRosdkzYmSXwJ4eQ7AiTFByiAymNtFX4YroEFbEO&#10;+wP36IJw/DkYjEfD8RklHGXjwXDUPw9+sxdtY53/JqAi4ZJTi7WNEbDd0vkE7SDBmQNVFtelUvER&#10;+kkslCU7hp2gfL81/gqlNKlzOjo966XU/mJhtX7HAgardHAnYue1YQVaEhPx5vdKBIzSP4RE5iMh&#10;78TIOBf6EGdEB5TEjD6i2OJfovqIcsoDNaJn0P6gXJUabGLpNbXFU0eMTPi2MVzKO1Dgm1UTW+60&#10;66wVFHtsLAtpPp3h1yUWecmcv2MWBxJbBpeMv8VDKsAiQXujZAP293v/Ax7nBKWU1DjgOXW/tswK&#10;StR3jRM06Q+HYSPEx/BsPMCHPZasjiV6Wy0AO6eP68zweA14r7qrtFA94i6aB68oYpqj75z67rrw&#10;ae3gLuNiPo8g3AGG+aW+N7ybp9DCD80js6bt8zCEN9CtAjZ90+4JG+qjYb71IMs4C4HnxGrLP+6P&#10;OE3trgsL6vgdUS8befYM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DFz7J4oQIAANkFAAAOAAAAAAAAAAAAAAAAAC4CAABkcnMv&#10;ZTJvRG9jLnhtbFBLAQItABQABgAIAAAAIQBKKZtS2gAAAAUBAAAPAAAAAAAAAAAAAAAAAPsEAABk&#10;cnMvZG93bnJldi54bWxQSwUGAAAAAAQABADzAAAAAgYAAAAA&#10;" fillcolor="white [3201]" strokecolor="white [3212]" strokeweight=".5pt">
                <v:path arrowok="t"/>
                <v:textbox>
                  <w:txbxContent>
                    <w:p w14:paraId="74B2F47B" w14:textId="77777777" w:rsidR="000A0EEC" w:rsidRPr="00DA1AD1" w:rsidRDefault="000A0EEC" w:rsidP="000A0EEC">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1059F84A"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696EE0C" w14:textId="77777777" w:rsidR="000A0EEC" w:rsidRPr="00DA1AD1" w:rsidRDefault="000A0EEC" w:rsidP="000A0EEC">
                      <w:pPr>
                        <w:jc w:val="center"/>
                        <w:rPr>
                          <w:rFonts w:ascii="Palatino Linotype" w:hAnsi="Palatino Linotype"/>
                          <w:b/>
                          <w:sz w:val="18"/>
                        </w:rPr>
                      </w:pPr>
                      <w:r w:rsidRPr="00DA1AD1">
                        <w:rPr>
                          <w:rFonts w:ascii="Palatino Linotype" w:hAnsi="Palatino Linotype"/>
                          <w:b/>
                          <w:sz w:val="22"/>
                          <w:szCs w:val="24"/>
                        </w:rPr>
                        <w:t>(Rúbrica)</w:t>
                      </w:r>
                    </w:p>
                    <w:p w14:paraId="473720EB" w14:textId="77777777" w:rsidR="000A0EEC" w:rsidRDefault="000A0EEC" w:rsidP="000A0EEC"/>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7456" behindDoc="0" locked="0" layoutInCell="1" allowOverlap="1" wp14:anchorId="56B5374F" wp14:editId="0117C23F">
                <wp:simplePos x="0" y="0"/>
                <wp:positionH relativeFrom="margin">
                  <wp:align>left</wp:align>
                </wp:positionH>
                <wp:positionV relativeFrom="paragraph">
                  <wp:posOffset>8890</wp:posOffset>
                </wp:positionV>
                <wp:extent cx="2133600" cy="681486"/>
                <wp:effectExtent l="0" t="0" r="19050" b="23495"/>
                <wp:wrapNone/>
                <wp:docPr id="10"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4C6708"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A195D5F"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A1FD994" w14:textId="77777777" w:rsidR="000A0EEC" w:rsidRPr="00DA1AD1" w:rsidRDefault="000A0EEC" w:rsidP="000A0EEC">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374F" id="Cuadro de texto 8" o:spid="_x0000_s1030" type="#_x0000_t202" style="position:absolute;left:0;text-align:left;margin-left:0;margin-top:.7pt;width:168pt;height:53.6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gmnwIAANoFAAAOAAAAZHJzL2Uyb0RvYy54bWysVFtP2zAUfp+0/2D5faQppesqUtQVMU2q&#10;AA0mnl3HbiMcH892m3S/nmM7KYWhSUx7ceyc79y+czm/aGtFdsK6CnRB85MBJUJzKCu9LujP+6tP&#10;E0qcZ7pkCrQo6F44ejH7+OG8MVMxhA2oUliCRrSbNqagG+/NNMsc34iauRMwQqNQgq2Zx6ddZ6Vl&#10;DVqvVTYcDMZZA7Y0FrhwDv9eJiGdRftSCu5vpHTCE1VQjM3H08ZzFc5sds6ma8vMpuJdGOwfoqhZ&#10;pdHpwdQl84xsbfWHqbriFhxIf8KhzkDKiouYA2aTD15lc7dhRsRckBxnDjS5/2eWX+9uLalKrB3S&#10;o1mNNVpsWWmBlIJ40Xogk8BSY9wUwXcG4b79Ci1qxIydWQJ/dAjJjjBJwSE6sNJKW4cv5ktQET3t&#10;D+SjC8Lx5zA/PR0PUMRRNp7ko8k4+M2etY11/puAmoRLQS0WN0bAdkvnE7SHBGcOVFVeVUrFR2go&#10;sVCW7Bi2gvJ5Z/wFSmnSoPPTs0FK7S8WVus3LGCwSgd3IrZeF1agJTERb36vRMAo/UNIpD4S8kaM&#10;jHOhD3FGdEBJzOg9ih3+Oar3KKc8UCN6Bu0PynWlwSaWXlJbPvbEyITvGsOlvAMFvl21sedGfWet&#10;oNxjY1lIA+oMv6qwyEvm/C2zOJHYF7hl/A0eUgEWCbobJRuwv9/6H/A4KCilpMEJL6j7tWVWUKK+&#10;axyhL/lohGZ9fIzOPg/xYY8lq2OJ3tYLwM7JcZ8ZHq8B71V/lRbqB1xG8+AVRUxz9F1Q318XPu0d&#10;XGZczOcRhEvAML/Ud4b38xRa+L59YNZ0fR6G8Br6XcCmr9o9YUN9NMy3HmQVZyHwnFjt+McFEqep&#10;W3ZhQx2/I+p5Jc+eAA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A49KCafAgAA2gUAAA4AAAAAAAAAAAAAAAAALgIAAGRycy9lMm9E&#10;b2MueG1sUEsBAi0AFAAGAAgAAAAhALLL8w/YAAAABgEAAA8AAAAAAAAAAAAAAAAA+QQAAGRycy9k&#10;b3ducmV2LnhtbFBLBQYAAAAABAAEAPMAAAD+BQAAAAA=&#10;" fillcolor="white [3201]" strokecolor="white [3212]" strokeweight=".5pt">
                <v:path arrowok="t"/>
                <v:textbox>
                  <w:txbxContent>
                    <w:p w14:paraId="1C4C6708"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A195D5F"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A1FD994" w14:textId="77777777" w:rsidR="000A0EEC" w:rsidRPr="00DA1AD1" w:rsidRDefault="000A0EEC" w:rsidP="000A0EEC">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35FFAB31" w14:textId="77777777" w:rsidR="000A0EEC" w:rsidRPr="00F012DF" w:rsidRDefault="000A0EEC" w:rsidP="000A0EEC">
      <w:pPr>
        <w:spacing w:line="360" w:lineRule="auto"/>
        <w:ind w:right="-93"/>
        <w:jc w:val="both"/>
        <w:rPr>
          <w:rFonts w:ascii="Palatino Linotype" w:eastAsia="Calibri" w:hAnsi="Palatino Linotype" w:cs="Tahoma"/>
          <w:bCs/>
          <w:sz w:val="22"/>
          <w:szCs w:val="22"/>
          <w:lang w:eastAsia="en-US"/>
        </w:rPr>
      </w:pPr>
    </w:p>
    <w:p w14:paraId="2C574F25" w14:textId="77777777" w:rsidR="000A0EEC" w:rsidRPr="00F012DF" w:rsidRDefault="000A0EEC" w:rsidP="000A0EEC">
      <w:pPr>
        <w:spacing w:line="360" w:lineRule="auto"/>
        <w:ind w:right="-93"/>
        <w:jc w:val="both"/>
        <w:rPr>
          <w:rFonts w:ascii="Palatino Linotype" w:eastAsia="Calibri" w:hAnsi="Palatino Linotype" w:cs="Tahoma"/>
          <w:bCs/>
          <w:sz w:val="22"/>
          <w:szCs w:val="22"/>
          <w:lang w:eastAsia="en-US"/>
        </w:rPr>
      </w:pPr>
    </w:p>
    <w:p w14:paraId="2C83F7D7" w14:textId="77777777" w:rsidR="000A0EEC" w:rsidRDefault="000A0EEC" w:rsidP="000A0EEC">
      <w:pPr>
        <w:spacing w:line="360" w:lineRule="auto"/>
        <w:ind w:right="-93"/>
        <w:jc w:val="both"/>
        <w:rPr>
          <w:rFonts w:ascii="Palatino Linotype" w:eastAsia="Calibri" w:hAnsi="Palatino Linotype" w:cs="Tahoma"/>
          <w:bCs/>
          <w:sz w:val="22"/>
          <w:szCs w:val="22"/>
          <w:lang w:eastAsia="en-US"/>
        </w:rPr>
      </w:pPr>
    </w:p>
    <w:p w14:paraId="4D85BC75" w14:textId="77777777" w:rsidR="000A0EEC" w:rsidRPr="00F012DF" w:rsidRDefault="000A0EEC" w:rsidP="000A0EEC">
      <w:pPr>
        <w:spacing w:line="360" w:lineRule="auto"/>
        <w:ind w:right="-93"/>
        <w:jc w:val="both"/>
        <w:rPr>
          <w:rFonts w:ascii="Palatino Linotype" w:eastAsia="Calibri" w:hAnsi="Palatino Linotype" w:cs="Tahoma"/>
          <w:bCs/>
          <w:sz w:val="22"/>
          <w:szCs w:val="22"/>
          <w:lang w:eastAsia="en-US"/>
        </w:rPr>
      </w:pPr>
    </w:p>
    <w:p w14:paraId="5017AABF" w14:textId="77777777" w:rsidR="000A0EEC" w:rsidRPr="009A6CD7" w:rsidRDefault="000A0EEC" w:rsidP="000A0EEC">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6432" behindDoc="0" locked="0" layoutInCell="1" allowOverlap="1" wp14:anchorId="0783979F" wp14:editId="5E5C7319">
                <wp:simplePos x="0" y="0"/>
                <wp:positionH relativeFrom="page">
                  <wp:posOffset>2294626</wp:posOffset>
                </wp:positionH>
                <wp:positionV relativeFrom="paragraph">
                  <wp:posOffset>10172</wp:posOffset>
                </wp:positionV>
                <wp:extent cx="3152775" cy="706671"/>
                <wp:effectExtent l="0" t="0" r="28575" b="1778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B88307" w14:textId="77777777" w:rsidR="000A0EEC" w:rsidRPr="00DA1AD1" w:rsidRDefault="000A0EEC" w:rsidP="000A0EEC">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087A89D"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F5C7FA8" w14:textId="77777777" w:rsidR="000A0EEC" w:rsidRDefault="000A0EEC" w:rsidP="000A0EEC">
                            <w:pPr>
                              <w:jc w:val="center"/>
                              <w:rPr>
                                <w:rFonts w:ascii="Palatino Linotype" w:hAnsi="Palatino Linotype"/>
                                <w:b/>
                                <w:sz w:val="22"/>
                                <w:szCs w:val="24"/>
                              </w:rPr>
                            </w:pPr>
                            <w:r w:rsidRPr="00DA1AD1">
                              <w:rPr>
                                <w:rFonts w:ascii="Palatino Linotype" w:hAnsi="Palatino Linotype"/>
                                <w:b/>
                                <w:sz w:val="22"/>
                                <w:szCs w:val="24"/>
                              </w:rPr>
                              <w:t>(Rúbrica)</w:t>
                            </w:r>
                          </w:p>
                          <w:p w14:paraId="3A9A03CF" w14:textId="77777777" w:rsidR="000A0EEC" w:rsidRPr="00DA1AD1" w:rsidRDefault="000A0EEC" w:rsidP="000A0EEC">
                            <w:pPr>
                              <w:jc w:val="center"/>
                              <w:rPr>
                                <w:rFonts w:ascii="Palatino Linotype" w:hAnsi="Palatino Linotype"/>
                                <w:b/>
                                <w:sz w:val="22"/>
                                <w:szCs w:val="24"/>
                              </w:rPr>
                            </w:pPr>
                          </w:p>
                          <w:p w14:paraId="4190E362" w14:textId="77777777" w:rsidR="000A0EEC" w:rsidRPr="00DA1AD1" w:rsidRDefault="000A0EEC" w:rsidP="000A0EEC">
                            <w:pPr>
                              <w:jc w:val="center"/>
                              <w:rPr>
                                <w:rFonts w:ascii="Palatino Linotype" w:hAnsi="Palatino Linotype"/>
                                <w:sz w:val="22"/>
                                <w:szCs w:val="24"/>
                              </w:rPr>
                            </w:pPr>
                          </w:p>
                          <w:p w14:paraId="6E6FEF81" w14:textId="77777777" w:rsidR="000A0EEC" w:rsidRPr="00EF2FC0" w:rsidRDefault="000A0EEC" w:rsidP="000A0EEC">
                            <w:pPr>
                              <w:jc w:val="center"/>
                              <w:rPr>
                                <w:rFonts w:ascii="Palatino Linotype" w:hAnsi="Palatino Linotype"/>
                                <w:sz w:val="24"/>
                                <w:szCs w:val="24"/>
                              </w:rPr>
                            </w:pPr>
                          </w:p>
                          <w:p w14:paraId="57441DF3" w14:textId="77777777" w:rsidR="000A0EEC" w:rsidRDefault="000A0EEC" w:rsidP="000A0E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3979F" id="Cuadro de texto 11" o:spid="_x0000_s1031" type="#_x0000_t202" style="position:absolute;left:0;text-align:left;margin-left:180.7pt;margin-top:.8pt;width:248.25pt;height:55.6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s7oQIAANsFAAAOAAAAZHJzL2Uyb0RvYy54bWysVFtP2zAUfp+0/2D5faQttN0iUtQVMU2q&#10;AA0mnl3HbiNsH892m3S/nmMnKYWhSUx7ceyc79y+czm/aLQiO+F8Baagw5MBJcJwKCuzLujP+6tP&#10;nynxgZmSKTCioHvh6cXs44fz2uZiBBtQpXAEjRif17agmxBsnmWeb4Rm/gSsMCiU4DQL+HTrrHSs&#10;RutaZaPBYJLV4ErrgAvv8e9lK6SzZF9KwcONlF4EogqKsYV0unSu4pnNzlm+dsxuKt6Fwf4hCs0q&#10;g04Ppi5ZYGTrqj9M6Yo78CDDCQedgZQVFykHzGY4eJXN3YZZkXJBcrw90OT/n1l+vbt1pCqxdkNK&#10;DNNYo8WWlQ5IKUgQTQCCEqSptj5H9J1FfGi+QoMqKWVvl8AfPUKyI0yr4BEdaWmk0/GLCRNUxErs&#10;D+yjD8Lx5+lwPJpOx5RwlE0Hk8k0+c2eta3z4ZsATeKloA6rmyJgu6UP0T/Le0h05kFV5VWlVHrE&#10;jhIL5ciOYS+o0Bt/gVKG1AWdnI4HbWp/sbBav2EBI1AmuhOp97qwIi0tE+kW9kpEjDI/hETuEyFv&#10;xMg4F+YQZ0JHlMSM3qPY4Z+jeo9ymwdqJM9gwkFZVwZcy9JLasvHnhjZ4rvG8G3ekYLQrJrUdOO+&#10;s1ZQ7rGxHLQT6i2/qrDIS+bDLXM4ktgyuGbCDR5SARYJuhslG3C/3/of8TgpKKWkxhEvqP+1ZU5Q&#10;or4bnKEvw7OzuBPS42w8HeHDHUtWxxKz1QvAzsExwejSNeKD6q/SgX7AbTSPXlHEDEffBQ39dRHa&#10;xYPbjIv5PIFwC1gWlubO8n6eYgvfNw/M2a7P4xReQ78MWP6q3VtsrI+B+TaArNIsRJ5bVjv+cYOk&#10;Eem2XVxRx++Eet7JsycAAAD//wMAUEsDBBQABgAIAAAAIQBUHwvz3AAAAAkBAAAPAAAAZHJzL2Rv&#10;d25yZXYueG1sTI/BTsMwEETvSPyDtUjcqO0UQhviVAgJOCJKkTi68ZJEjddR7Kbh71lO9Dh6o9m3&#10;5Wb2vZhwjF0gA3qhQCDVwXXUGNh9PN+sQMRkydk+EBr4wQib6vKitIULJ3rHaZsawSMUC2ugTWko&#10;pIx1i97GRRiQmH2H0dvEcWykG+2Jx30vM6Vy6W1HfKG1Az61WB+2R28gqN2n02/Tq8Rl96WGPDsk&#10;/WLM9dX8+AAi4Zz+y/Cnz+pQsdM+HMlF0RtY5vqWqwxyEMxXd/drEHvOOluDrEp5/kH1CwAA//8D&#10;AFBLAQItABQABgAIAAAAIQC2gziS/gAAAOEBAAATAAAAAAAAAAAAAAAAAAAAAABbQ29udGVudF9U&#10;eXBlc10ueG1sUEsBAi0AFAAGAAgAAAAhADj9If/WAAAAlAEAAAsAAAAAAAAAAAAAAAAALwEAAF9y&#10;ZWxzLy5yZWxzUEsBAi0AFAAGAAgAAAAhAJO0+zuhAgAA2wUAAA4AAAAAAAAAAAAAAAAALgIAAGRy&#10;cy9lMm9Eb2MueG1sUEsBAi0AFAAGAAgAAAAhAFQfC/PcAAAACQEAAA8AAAAAAAAAAAAAAAAA+wQA&#10;AGRycy9kb3ducmV2LnhtbFBLBQYAAAAABAAEAPMAAAAEBgAAAAA=&#10;" fillcolor="white [3201]" strokecolor="white [3212]" strokeweight=".5pt">
                <v:path arrowok="t"/>
                <v:textbox>
                  <w:txbxContent>
                    <w:p w14:paraId="7BB88307" w14:textId="77777777" w:rsidR="000A0EEC" w:rsidRPr="00DA1AD1" w:rsidRDefault="000A0EEC" w:rsidP="000A0EEC">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087A89D" w14:textId="77777777" w:rsidR="000A0EEC" w:rsidRPr="00DA1AD1" w:rsidRDefault="000A0EEC" w:rsidP="000A0EEC">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1F5C7FA8" w14:textId="77777777" w:rsidR="000A0EEC" w:rsidRDefault="000A0EEC" w:rsidP="000A0EEC">
                      <w:pPr>
                        <w:jc w:val="center"/>
                        <w:rPr>
                          <w:rFonts w:ascii="Palatino Linotype" w:hAnsi="Palatino Linotype"/>
                          <w:b/>
                          <w:sz w:val="22"/>
                          <w:szCs w:val="24"/>
                        </w:rPr>
                      </w:pPr>
                      <w:r w:rsidRPr="00DA1AD1">
                        <w:rPr>
                          <w:rFonts w:ascii="Palatino Linotype" w:hAnsi="Palatino Linotype"/>
                          <w:b/>
                          <w:sz w:val="22"/>
                          <w:szCs w:val="24"/>
                        </w:rPr>
                        <w:t>(Rúbrica)</w:t>
                      </w:r>
                    </w:p>
                    <w:p w14:paraId="3A9A03CF" w14:textId="77777777" w:rsidR="000A0EEC" w:rsidRPr="00DA1AD1" w:rsidRDefault="000A0EEC" w:rsidP="000A0EEC">
                      <w:pPr>
                        <w:jc w:val="center"/>
                        <w:rPr>
                          <w:rFonts w:ascii="Palatino Linotype" w:hAnsi="Palatino Linotype"/>
                          <w:b/>
                          <w:sz w:val="22"/>
                          <w:szCs w:val="24"/>
                        </w:rPr>
                      </w:pPr>
                    </w:p>
                    <w:p w14:paraId="4190E362" w14:textId="77777777" w:rsidR="000A0EEC" w:rsidRPr="00DA1AD1" w:rsidRDefault="000A0EEC" w:rsidP="000A0EEC">
                      <w:pPr>
                        <w:jc w:val="center"/>
                        <w:rPr>
                          <w:rFonts w:ascii="Palatino Linotype" w:hAnsi="Palatino Linotype"/>
                          <w:sz w:val="22"/>
                          <w:szCs w:val="24"/>
                        </w:rPr>
                      </w:pPr>
                    </w:p>
                    <w:p w14:paraId="6E6FEF81" w14:textId="77777777" w:rsidR="000A0EEC" w:rsidRPr="00EF2FC0" w:rsidRDefault="000A0EEC" w:rsidP="000A0EEC">
                      <w:pPr>
                        <w:jc w:val="center"/>
                        <w:rPr>
                          <w:rFonts w:ascii="Palatino Linotype" w:hAnsi="Palatino Linotype"/>
                          <w:sz w:val="24"/>
                          <w:szCs w:val="24"/>
                        </w:rPr>
                      </w:pPr>
                    </w:p>
                    <w:p w14:paraId="57441DF3" w14:textId="77777777" w:rsidR="000A0EEC" w:rsidRDefault="000A0EEC" w:rsidP="000A0EEC"/>
                  </w:txbxContent>
                </v:textbox>
                <w10:wrap anchorx="page"/>
              </v:shape>
            </w:pict>
          </mc:Fallback>
        </mc:AlternateContent>
      </w:r>
    </w:p>
    <w:p w14:paraId="7FC7388D" w14:textId="77777777" w:rsidR="002F53BF" w:rsidRDefault="002F53BF">
      <w:pPr>
        <w:tabs>
          <w:tab w:val="left" w:pos="8931"/>
        </w:tabs>
        <w:spacing w:line="360" w:lineRule="auto"/>
        <w:ind w:right="-93"/>
        <w:jc w:val="both"/>
        <w:rPr>
          <w:rFonts w:ascii="Palatino Linotype" w:eastAsia="Calibri" w:hAnsi="Palatino Linotype" w:cs="Tahoma"/>
          <w:sz w:val="22"/>
          <w:lang w:eastAsia="en-US"/>
        </w:rPr>
      </w:pPr>
    </w:p>
    <w:p w14:paraId="0B04055B" w14:textId="77777777" w:rsidR="000A0EEC" w:rsidRDefault="000A0EEC">
      <w:pPr>
        <w:tabs>
          <w:tab w:val="left" w:pos="8931"/>
        </w:tabs>
        <w:spacing w:line="360" w:lineRule="auto"/>
        <w:ind w:right="-93"/>
        <w:jc w:val="both"/>
        <w:rPr>
          <w:rFonts w:ascii="Palatino Linotype" w:eastAsia="Calibri" w:hAnsi="Palatino Linotype" w:cs="Tahoma"/>
          <w:sz w:val="22"/>
          <w:lang w:eastAsia="en-US"/>
        </w:rPr>
      </w:pPr>
    </w:p>
    <w:p w14:paraId="1ADDD27A" w14:textId="7FB2B9E2" w:rsidR="002F53BF" w:rsidRDefault="00354E1B">
      <w:pPr>
        <w:tabs>
          <w:tab w:val="left" w:pos="8931"/>
        </w:tabs>
        <w:spacing w:line="360" w:lineRule="auto"/>
        <w:ind w:right="-93"/>
        <w:jc w:val="both"/>
        <w:rPr>
          <w:rFonts w:ascii="Palatino Linotype" w:eastAsia="Calibri" w:hAnsi="Palatino Linotype" w:cs="Tahoma"/>
          <w:bCs/>
          <w:sz w:val="22"/>
          <w:lang w:eastAsia="en-US"/>
        </w:rPr>
      </w:pPr>
      <w:r w:rsidRPr="00FF1532">
        <w:rPr>
          <w:rFonts w:ascii="Palatino Linotype" w:eastAsia="Calibri" w:hAnsi="Palatino Linotype" w:cs="Tahoma"/>
          <w:sz w:val="22"/>
          <w:lang w:eastAsia="en-US"/>
        </w:rPr>
        <w:t>Esta foja corresponde a la resolución de fecha</w:t>
      </w:r>
      <w:r w:rsidR="00B14985">
        <w:rPr>
          <w:rFonts w:ascii="Palatino Linotype" w:eastAsia="Calibri" w:hAnsi="Palatino Linotype" w:cs="Tahoma"/>
          <w:sz w:val="22"/>
          <w:lang w:eastAsia="en-US"/>
        </w:rPr>
        <w:t xml:space="preserve"> once de septiembre</w:t>
      </w:r>
      <w:r w:rsidRPr="00FF1532">
        <w:rPr>
          <w:rFonts w:ascii="Palatino Linotype" w:eastAsia="Calibri" w:hAnsi="Palatino Linotype" w:cs="Tahoma"/>
          <w:sz w:val="22"/>
          <w:lang w:eastAsia="en-US"/>
        </w:rPr>
        <w:t xml:space="preserve"> de dos mil diecinueve, emitida en el recurso de revisión número </w:t>
      </w:r>
      <w:r w:rsidR="00B14985" w:rsidRPr="00B14985">
        <w:rPr>
          <w:rFonts w:ascii="Palatino Linotype" w:eastAsia="Calibri" w:hAnsi="Palatino Linotype" w:cs="Tahoma"/>
          <w:b/>
          <w:bCs/>
          <w:sz w:val="22"/>
          <w:lang w:eastAsia="en-US"/>
        </w:rPr>
        <w:t>05721/INFOEM/IP/RR/2019</w:t>
      </w:r>
      <w:r w:rsidRPr="00FF1532">
        <w:rPr>
          <w:rFonts w:ascii="Palatino Linotype" w:eastAsia="Calibri" w:hAnsi="Palatino Linotype" w:cs="Tahoma"/>
          <w:bCs/>
          <w:sz w:val="22"/>
          <w:lang w:eastAsia="en-US"/>
        </w:rPr>
        <w:t>.</w:t>
      </w:r>
    </w:p>
    <w:p w14:paraId="725E2317" w14:textId="77777777" w:rsidR="00EA6C2B" w:rsidRPr="002F53BF" w:rsidRDefault="00EA6C2B">
      <w:pPr>
        <w:jc w:val="right"/>
        <w:rPr>
          <w:rFonts w:ascii="Palatino Linotype" w:eastAsia="Calibri" w:hAnsi="Palatino Linotype" w:cs="Tahoma"/>
          <w:sz w:val="22"/>
          <w:lang w:eastAsia="en-US"/>
        </w:rPr>
      </w:pPr>
    </w:p>
    <w:sectPr w:rsidR="00EA6C2B" w:rsidRPr="002F53BF" w:rsidSect="00DB7E5F">
      <w:headerReference w:type="default" r:id="rId20"/>
      <w:footerReference w:type="default" r:id="rId21"/>
      <w:headerReference w:type="first" r:id="rId22"/>
      <w:footerReference w:type="first" r:id="rId23"/>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CE1F8D" w14:textId="77777777" w:rsidR="00EC258B" w:rsidRDefault="00EC258B" w:rsidP="00B31222">
      <w:r>
        <w:separator/>
      </w:r>
    </w:p>
  </w:endnote>
  <w:endnote w:type="continuationSeparator" w:id="0">
    <w:p w14:paraId="66EF9725" w14:textId="77777777" w:rsidR="00EC258B" w:rsidRDefault="00EC258B"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63FA129C" w:rsidR="00F50DBA" w:rsidRPr="00147666" w:rsidRDefault="00F50DBA">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0A0EEC">
              <w:rPr>
                <w:rFonts w:ascii="Palatino Linotype" w:hAnsi="Palatino Linotype"/>
                <w:b/>
                <w:bCs/>
                <w:noProof/>
              </w:rPr>
              <w:t>45</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0A0EEC">
              <w:rPr>
                <w:rFonts w:ascii="Palatino Linotype" w:hAnsi="Palatino Linotype"/>
                <w:b/>
                <w:bCs/>
                <w:noProof/>
              </w:rPr>
              <w:t>45</w:t>
            </w:r>
            <w:r w:rsidRPr="00147666">
              <w:rPr>
                <w:rFonts w:ascii="Palatino Linotype" w:hAnsi="Palatino Linotype"/>
                <w:b/>
                <w:bCs/>
                <w:sz w:val="24"/>
                <w:szCs w:val="24"/>
              </w:rPr>
              <w:fldChar w:fldCharType="end"/>
            </w:r>
          </w:p>
        </w:sdtContent>
      </w:sdt>
    </w:sdtContent>
  </w:sdt>
  <w:p w14:paraId="20CE2247" w14:textId="77777777" w:rsidR="00F50DBA" w:rsidRDefault="00F50DB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0D6DA382" w:rsidR="00F50DBA" w:rsidRDefault="00F50DB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A0EE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A0EEC">
              <w:rPr>
                <w:b/>
                <w:bCs/>
                <w:noProof/>
              </w:rPr>
              <w:t>45</w:t>
            </w:r>
            <w:r>
              <w:rPr>
                <w:b/>
                <w:bCs/>
                <w:sz w:val="24"/>
                <w:szCs w:val="24"/>
              </w:rPr>
              <w:fldChar w:fldCharType="end"/>
            </w:r>
          </w:p>
        </w:sdtContent>
      </w:sdt>
    </w:sdtContent>
  </w:sdt>
  <w:p w14:paraId="6C00EE52" w14:textId="77777777" w:rsidR="00F50DBA" w:rsidRDefault="00F50D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695F7" w14:textId="77777777" w:rsidR="00EC258B" w:rsidRDefault="00EC258B" w:rsidP="00B31222">
      <w:r>
        <w:separator/>
      </w:r>
    </w:p>
  </w:footnote>
  <w:footnote w:type="continuationSeparator" w:id="0">
    <w:p w14:paraId="181489FE" w14:textId="77777777" w:rsidR="00EC258B" w:rsidRDefault="00EC258B"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F50DBA" w:rsidRPr="002A2CB9" w14:paraId="4BDBBB9B" w14:textId="77777777" w:rsidTr="00202DB8">
      <w:trPr>
        <w:trHeight w:val="1435"/>
      </w:trPr>
      <w:tc>
        <w:tcPr>
          <w:tcW w:w="2835" w:type="dxa"/>
          <w:shd w:val="clear" w:color="auto" w:fill="auto"/>
        </w:tcPr>
        <w:p w14:paraId="7F0435E5" w14:textId="77777777" w:rsidR="00F50DBA" w:rsidRPr="005C106F" w:rsidRDefault="00F50DBA"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F50DBA" w:rsidRPr="002A2CB9" w:rsidRDefault="00F50DBA" w:rsidP="000F7BE3">
          <w:pPr>
            <w:spacing w:line="276" w:lineRule="auto"/>
            <w:rPr>
              <w:sz w:val="22"/>
              <w:szCs w:val="22"/>
            </w:rPr>
          </w:pPr>
        </w:p>
        <w:tbl>
          <w:tblPr>
            <w:tblStyle w:val="Tablaconcuadrcula"/>
            <w:tblW w:w="595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26"/>
          </w:tblGrid>
          <w:tr w:rsidR="00F50DBA" w:rsidRPr="002A2CB9" w14:paraId="0CD4B7CE" w14:textId="77777777" w:rsidTr="002B0531">
            <w:trPr>
              <w:trHeight w:val="144"/>
            </w:trPr>
            <w:tc>
              <w:tcPr>
                <w:tcW w:w="2727" w:type="dxa"/>
              </w:tcPr>
              <w:p w14:paraId="5F68398A" w14:textId="77777777" w:rsidR="00F50DBA" w:rsidRPr="002A2CB9" w:rsidRDefault="00F50DBA" w:rsidP="000F7BE3">
                <w:pPr>
                  <w:tabs>
                    <w:tab w:val="right" w:pos="8838"/>
                  </w:tabs>
                  <w:spacing w:line="276" w:lineRule="auto"/>
                  <w:ind w:left="210" w:right="-105"/>
                  <w:rPr>
                    <w:rFonts w:ascii="Palatino Linotype" w:eastAsia="Calibri" w:hAnsi="Palatino Linotype" w:cs="Tahoma"/>
                    <w:b/>
                    <w:sz w:val="22"/>
                    <w:szCs w:val="22"/>
                    <w:lang w:val="es-MX" w:eastAsia="en-US"/>
                  </w:rPr>
                </w:pPr>
              </w:p>
              <w:p w14:paraId="3C745BC5" w14:textId="77777777" w:rsidR="00F50DBA" w:rsidRPr="002A2CB9" w:rsidRDefault="00F50DBA"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226" w:type="dxa"/>
              </w:tcPr>
              <w:p w14:paraId="56F158FA" w14:textId="77777777" w:rsidR="00F50DBA" w:rsidRPr="002A2CB9" w:rsidRDefault="00F50DBA" w:rsidP="000F7BE3">
                <w:pPr>
                  <w:tabs>
                    <w:tab w:val="right" w:pos="8838"/>
                  </w:tabs>
                  <w:spacing w:line="276" w:lineRule="auto"/>
                  <w:ind w:left="210" w:right="-108"/>
                  <w:jc w:val="both"/>
                  <w:rPr>
                    <w:rFonts w:ascii="Palatino Linotype" w:eastAsia="Calibri" w:hAnsi="Palatino Linotype" w:cs="Tahoma"/>
                    <w:bCs/>
                    <w:sz w:val="22"/>
                    <w:szCs w:val="22"/>
                    <w:lang w:eastAsia="en-US"/>
                  </w:rPr>
                </w:pPr>
              </w:p>
              <w:p w14:paraId="03EF4272" w14:textId="315EDAEA" w:rsidR="00F50DBA" w:rsidRPr="002A2CB9" w:rsidRDefault="006D7E12" w:rsidP="00DF3B88">
                <w:pPr>
                  <w:tabs>
                    <w:tab w:val="right" w:pos="8838"/>
                  </w:tabs>
                  <w:spacing w:line="276" w:lineRule="auto"/>
                  <w:ind w:right="-108"/>
                  <w:jc w:val="both"/>
                  <w:rPr>
                    <w:rFonts w:ascii="Palatino Linotype" w:eastAsia="Calibri" w:hAnsi="Palatino Linotype" w:cs="Tahoma"/>
                    <w:bCs/>
                    <w:sz w:val="22"/>
                    <w:szCs w:val="22"/>
                    <w:lang w:eastAsia="en-US"/>
                  </w:rPr>
                </w:pPr>
                <w:r w:rsidRPr="006D7E12">
                  <w:rPr>
                    <w:rFonts w:ascii="Palatino Linotype" w:eastAsia="Calibri" w:hAnsi="Palatino Linotype" w:cs="Tahoma"/>
                    <w:bCs/>
                    <w:sz w:val="22"/>
                    <w:szCs w:val="22"/>
                    <w:lang w:eastAsia="en-US"/>
                  </w:rPr>
                  <w:t>05721/INFOEM/IP/RR/2019</w:t>
                </w:r>
              </w:p>
            </w:tc>
          </w:tr>
          <w:tr w:rsidR="00F50DBA" w:rsidRPr="002A2CB9" w14:paraId="3864CC0B" w14:textId="77777777" w:rsidTr="002B0531">
            <w:trPr>
              <w:trHeight w:val="283"/>
            </w:trPr>
            <w:tc>
              <w:tcPr>
                <w:tcW w:w="2727" w:type="dxa"/>
              </w:tcPr>
              <w:p w14:paraId="579C09A4" w14:textId="77777777" w:rsidR="00F50DBA" w:rsidRPr="002A2CB9" w:rsidRDefault="00F50DBA"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226" w:type="dxa"/>
              </w:tcPr>
              <w:p w14:paraId="182AAE13" w14:textId="66CE6D12" w:rsidR="00F50DBA" w:rsidRPr="002A2CB9" w:rsidRDefault="006D7E12" w:rsidP="00EC07FB">
                <w:pPr>
                  <w:tabs>
                    <w:tab w:val="left" w:pos="2834"/>
                    <w:tab w:val="right" w:pos="8838"/>
                  </w:tabs>
                  <w:spacing w:line="276" w:lineRule="auto"/>
                  <w:ind w:right="-108"/>
                  <w:jc w:val="both"/>
                  <w:rPr>
                    <w:rFonts w:ascii="Palatino Linotype" w:eastAsia="Calibri" w:hAnsi="Palatino Linotype" w:cs="Tahoma"/>
                    <w:b/>
                    <w:sz w:val="22"/>
                    <w:szCs w:val="22"/>
                    <w:lang w:val="es-MX" w:eastAsia="en-US"/>
                  </w:rPr>
                </w:pPr>
                <w:r w:rsidRPr="006D7E12">
                  <w:rPr>
                    <w:rFonts w:ascii="Palatino Linotype" w:eastAsia="Calibri" w:hAnsi="Palatino Linotype" w:cs="Tahoma"/>
                    <w:bCs/>
                    <w:sz w:val="22"/>
                    <w:szCs w:val="22"/>
                    <w:lang w:val="es-MX" w:eastAsia="en-US"/>
                  </w:rPr>
                  <w:t>Ayuntamiento de Acolman</w:t>
                </w:r>
              </w:p>
            </w:tc>
          </w:tr>
          <w:tr w:rsidR="00F50DBA" w:rsidRPr="002A2CB9" w14:paraId="136839A8" w14:textId="77777777" w:rsidTr="002B0531">
            <w:trPr>
              <w:trHeight w:val="283"/>
            </w:trPr>
            <w:tc>
              <w:tcPr>
                <w:tcW w:w="2727" w:type="dxa"/>
              </w:tcPr>
              <w:p w14:paraId="0DF4A43B" w14:textId="77777777" w:rsidR="00F50DBA" w:rsidRPr="002A2CB9" w:rsidRDefault="00F50DBA"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226" w:type="dxa"/>
              </w:tcPr>
              <w:p w14:paraId="7D4D23ED" w14:textId="77777777" w:rsidR="00F50DBA" w:rsidRPr="002A2CB9" w:rsidRDefault="00F50DBA" w:rsidP="00DF3B88">
                <w:pPr>
                  <w:tabs>
                    <w:tab w:val="right" w:pos="8838"/>
                  </w:tabs>
                  <w:spacing w:line="276" w:lineRule="auto"/>
                  <w:ind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F50DBA" w:rsidRPr="002A2CB9" w:rsidRDefault="00F50DBA" w:rsidP="000F7BE3">
          <w:pPr>
            <w:tabs>
              <w:tab w:val="right" w:pos="8838"/>
            </w:tabs>
            <w:spacing w:line="276" w:lineRule="auto"/>
            <w:ind w:left="-28"/>
            <w:jc w:val="both"/>
            <w:rPr>
              <w:rFonts w:ascii="Arial" w:eastAsia="Calibri" w:hAnsi="Arial" w:cs="Arial"/>
              <w:b/>
              <w:sz w:val="22"/>
              <w:szCs w:val="22"/>
              <w:lang w:eastAsia="en-US"/>
            </w:rPr>
          </w:pPr>
        </w:p>
      </w:tc>
    </w:tr>
  </w:tbl>
  <w:p w14:paraId="47B91189" w14:textId="77777777" w:rsidR="00F50DBA" w:rsidRPr="00354E1B" w:rsidRDefault="00F50DBA" w:rsidP="00EF4A64">
    <w:pPr>
      <w:pStyle w:val="Encabezado"/>
      <w:rPr>
        <w:sz w:val="12"/>
      </w:rPr>
    </w:pPr>
  </w:p>
  <w:p w14:paraId="0C71F337" w14:textId="77777777" w:rsidR="00F50DBA" w:rsidRPr="00354E1B" w:rsidRDefault="00F50DBA" w:rsidP="00EF4A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Ind w:w="-512" w:type="dxa"/>
      <w:tblLayout w:type="fixed"/>
      <w:tblLook w:val="04A0" w:firstRow="1" w:lastRow="0" w:firstColumn="1" w:lastColumn="0" w:noHBand="0" w:noVBand="1"/>
    </w:tblPr>
    <w:tblGrid>
      <w:gridCol w:w="2835"/>
      <w:gridCol w:w="6733"/>
    </w:tblGrid>
    <w:tr w:rsidR="00F50DBA" w:rsidRPr="000F7BE3" w14:paraId="5C33977B" w14:textId="77777777" w:rsidTr="000F7BE3">
      <w:trPr>
        <w:trHeight w:val="1435"/>
      </w:trPr>
      <w:tc>
        <w:tcPr>
          <w:tcW w:w="2835" w:type="dxa"/>
          <w:shd w:val="clear" w:color="auto" w:fill="auto"/>
        </w:tcPr>
        <w:p w14:paraId="3879F539" w14:textId="77777777" w:rsidR="00F50DBA" w:rsidRPr="000F7BE3" w:rsidRDefault="00F50DBA" w:rsidP="00946AFE">
          <w:pPr>
            <w:tabs>
              <w:tab w:val="right" w:pos="4273"/>
            </w:tabs>
            <w:jc w:val="both"/>
            <w:rPr>
              <w:rFonts w:ascii="Garamond" w:eastAsia="Calibri" w:hAnsi="Garamond"/>
              <w:b/>
              <w:sz w:val="16"/>
              <w:szCs w:val="16"/>
              <w:lang w:eastAsia="en-US"/>
            </w:rPr>
          </w:pPr>
        </w:p>
      </w:tc>
      <w:tc>
        <w:tcPr>
          <w:tcW w:w="6733" w:type="dxa"/>
          <w:shd w:val="clear" w:color="auto" w:fill="auto"/>
        </w:tcPr>
        <w:tbl>
          <w:tblPr>
            <w:tblStyle w:val="Tablaconcuadrcula"/>
            <w:tblW w:w="5977" w:type="dxa"/>
            <w:tblInd w:w="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17"/>
            <w:gridCol w:w="3260"/>
          </w:tblGrid>
          <w:tr w:rsidR="00F50DBA" w:rsidRPr="000F7BE3" w14:paraId="1BF02882" w14:textId="77777777" w:rsidTr="000F7BE3">
            <w:trPr>
              <w:trHeight w:val="149"/>
            </w:trPr>
            <w:tc>
              <w:tcPr>
                <w:tcW w:w="2717" w:type="dxa"/>
              </w:tcPr>
              <w:p w14:paraId="39C1549D" w14:textId="77777777" w:rsidR="00F50DBA" w:rsidRPr="000F7BE3" w:rsidRDefault="00F50DBA"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Recurso de Revisión:</w:t>
                </w:r>
              </w:p>
            </w:tc>
            <w:tc>
              <w:tcPr>
                <w:tcW w:w="3260" w:type="dxa"/>
              </w:tcPr>
              <w:p w14:paraId="48D7DAC2" w14:textId="3FC6AD34" w:rsidR="00F50DBA" w:rsidRPr="000F7BE3" w:rsidRDefault="006D7E12" w:rsidP="000F7BE3">
                <w:pPr>
                  <w:spacing w:line="276" w:lineRule="auto"/>
                  <w:rPr>
                    <w:rFonts w:ascii="Palatino Linotype" w:eastAsia="Calibri" w:hAnsi="Palatino Linotype" w:cs="Tahoma"/>
                    <w:sz w:val="22"/>
                    <w:szCs w:val="22"/>
                    <w:lang w:val="es-MX" w:eastAsia="en-US"/>
                  </w:rPr>
                </w:pPr>
                <w:r w:rsidRPr="006D7E12">
                  <w:rPr>
                    <w:rFonts w:ascii="Palatino Linotype" w:eastAsia="Calibri" w:hAnsi="Palatino Linotype" w:cs="Tahoma"/>
                    <w:sz w:val="22"/>
                    <w:szCs w:val="22"/>
                    <w:lang w:val="es-MX" w:eastAsia="en-US"/>
                  </w:rPr>
                  <w:t>05721/INFOEM/IP/RR/2019</w:t>
                </w:r>
              </w:p>
            </w:tc>
          </w:tr>
          <w:tr w:rsidR="00F50DBA" w:rsidRPr="000F7BE3" w14:paraId="02DAB6C3" w14:textId="77777777" w:rsidTr="000F7BE3">
            <w:trPr>
              <w:trHeight w:val="149"/>
            </w:trPr>
            <w:tc>
              <w:tcPr>
                <w:tcW w:w="2717" w:type="dxa"/>
              </w:tcPr>
              <w:p w14:paraId="674EC982" w14:textId="77777777" w:rsidR="00F50DBA" w:rsidRPr="000F7BE3" w:rsidRDefault="00F50DBA"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Recurrente:</w:t>
                </w:r>
              </w:p>
            </w:tc>
            <w:tc>
              <w:tcPr>
                <w:tcW w:w="3260" w:type="dxa"/>
              </w:tcPr>
              <w:p w14:paraId="5495689A" w14:textId="085FD62C" w:rsidR="00F50DBA" w:rsidRPr="000F7BE3" w:rsidRDefault="007B3667" w:rsidP="000F7BE3">
                <w:pPr>
                  <w:spacing w:line="276" w:lineRule="auto"/>
                  <w:rPr>
                    <w:rFonts w:ascii="Palatino Linotype" w:eastAsia="Calibri" w:hAnsi="Palatino Linotype" w:cs="Tahoma"/>
                    <w:sz w:val="22"/>
                    <w:szCs w:val="22"/>
                    <w:lang w:val="es-MX" w:eastAsia="en-US"/>
                  </w:rPr>
                </w:pPr>
                <w:r w:rsidRPr="007B3667">
                  <w:rPr>
                    <w:rFonts w:ascii="Palatino Linotype" w:eastAsia="Calibri" w:hAnsi="Palatino Linotype" w:cs="Tahoma"/>
                    <w:sz w:val="22"/>
                    <w:szCs w:val="22"/>
                    <w:highlight w:val="black"/>
                    <w:lang w:val="es-MX" w:eastAsia="en-US"/>
                  </w:rPr>
                  <w:t>XXXXXXXXXXXX</w:t>
                </w:r>
              </w:p>
            </w:tc>
          </w:tr>
          <w:tr w:rsidR="00F50DBA" w:rsidRPr="000F7BE3" w14:paraId="2E02FA2B" w14:textId="77777777" w:rsidTr="000F7BE3">
            <w:trPr>
              <w:trHeight w:val="293"/>
            </w:trPr>
            <w:tc>
              <w:tcPr>
                <w:tcW w:w="2717" w:type="dxa"/>
              </w:tcPr>
              <w:p w14:paraId="1BA21003" w14:textId="77777777" w:rsidR="00F50DBA" w:rsidRPr="000F7BE3" w:rsidRDefault="00F50DBA"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Sujeto Obligado:</w:t>
                </w:r>
              </w:p>
            </w:tc>
            <w:tc>
              <w:tcPr>
                <w:tcW w:w="3260" w:type="dxa"/>
              </w:tcPr>
              <w:p w14:paraId="334D0D46" w14:textId="1350F100" w:rsidR="00F50DBA" w:rsidRPr="000F7BE3" w:rsidRDefault="006D7E12" w:rsidP="00EC07FB">
                <w:pPr>
                  <w:spacing w:line="276" w:lineRule="auto"/>
                  <w:jc w:val="both"/>
                  <w:rPr>
                    <w:rFonts w:ascii="Palatino Linotype" w:eastAsia="Calibri" w:hAnsi="Palatino Linotype" w:cs="Tahoma"/>
                    <w:sz w:val="22"/>
                    <w:szCs w:val="22"/>
                    <w:lang w:val="es-MX" w:eastAsia="en-US"/>
                  </w:rPr>
                </w:pPr>
                <w:r w:rsidRPr="006D7E12">
                  <w:rPr>
                    <w:rFonts w:ascii="Palatino Linotype" w:eastAsia="Calibri" w:hAnsi="Palatino Linotype" w:cs="Tahoma"/>
                    <w:sz w:val="22"/>
                    <w:szCs w:val="22"/>
                    <w:lang w:val="es-MX" w:eastAsia="en-US"/>
                  </w:rPr>
                  <w:t>Ayuntamiento de Acolman</w:t>
                </w:r>
              </w:p>
            </w:tc>
          </w:tr>
          <w:tr w:rsidR="00F50DBA" w:rsidRPr="000F7BE3" w14:paraId="07CFB52C" w14:textId="77777777" w:rsidTr="000F7BE3">
            <w:trPr>
              <w:trHeight w:val="80"/>
            </w:trPr>
            <w:tc>
              <w:tcPr>
                <w:tcW w:w="2717" w:type="dxa"/>
              </w:tcPr>
              <w:p w14:paraId="0914FDC1" w14:textId="1BD8B2B9" w:rsidR="00F50DBA" w:rsidRPr="000F7BE3" w:rsidRDefault="00F50DBA"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Comisionado Ponente:</w:t>
                </w:r>
              </w:p>
            </w:tc>
            <w:tc>
              <w:tcPr>
                <w:tcW w:w="3260" w:type="dxa"/>
              </w:tcPr>
              <w:p w14:paraId="05577928" w14:textId="4121233D" w:rsidR="00F50DBA" w:rsidRPr="000F7BE3" w:rsidRDefault="00F50DBA" w:rsidP="000F7BE3">
                <w:pPr>
                  <w:tabs>
                    <w:tab w:val="left" w:pos="2834"/>
                    <w:tab w:val="right" w:pos="8838"/>
                  </w:tabs>
                  <w:spacing w:line="276" w:lineRule="auto"/>
                  <w:ind w:right="-105"/>
                  <w:jc w:val="both"/>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Luis Gustavo Parra Noriega</w:t>
                </w:r>
              </w:p>
            </w:tc>
          </w:tr>
          <w:tr w:rsidR="00F50DBA" w:rsidRPr="000F7BE3" w14:paraId="78E10921" w14:textId="77777777" w:rsidTr="000F7BE3">
            <w:trPr>
              <w:trHeight w:val="293"/>
            </w:trPr>
            <w:tc>
              <w:tcPr>
                <w:tcW w:w="2717" w:type="dxa"/>
              </w:tcPr>
              <w:p w14:paraId="4343FEE4" w14:textId="54A554C7" w:rsidR="00F50DBA" w:rsidRPr="000F7BE3" w:rsidRDefault="00F50DBA" w:rsidP="000F7BE3">
                <w:pPr>
                  <w:tabs>
                    <w:tab w:val="right" w:pos="8838"/>
                  </w:tabs>
                  <w:spacing w:line="276" w:lineRule="auto"/>
                  <w:ind w:left="210" w:right="-105"/>
                  <w:rPr>
                    <w:rFonts w:ascii="Palatino Linotype" w:eastAsia="Calibri" w:hAnsi="Palatino Linotype" w:cs="Tahoma"/>
                    <w:b/>
                    <w:sz w:val="22"/>
                    <w:szCs w:val="22"/>
                    <w:lang w:val="es-MX" w:eastAsia="en-US"/>
                  </w:rPr>
                </w:pPr>
              </w:p>
            </w:tc>
            <w:tc>
              <w:tcPr>
                <w:tcW w:w="3260" w:type="dxa"/>
              </w:tcPr>
              <w:p w14:paraId="22963E4E" w14:textId="5A469CC4" w:rsidR="00F50DBA" w:rsidRPr="000F7BE3" w:rsidRDefault="00F50DBA" w:rsidP="000F7BE3">
                <w:pPr>
                  <w:tabs>
                    <w:tab w:val="right" w:pos="8838"/>
                  </w:tabs>
                  <w:spacing w:line="276" w:lineRule="auto"/>
                  <w:ind w:right="-105"/>
                  <w:jc w:val="both"/>
                  <w:rPr>
                    <w:rFonts w:ascii="Palatino Linotype" w:eastAsia="Calibri" w:hAnsi="Palatino Linotype" w:cs="Tahoma"/>
                    <w:b/>
                    <w:sz w:val="22"/>
                    <w:szCs w:val="22"/>
                    <w:lang w:val="es-MX" w:eastAsia="en-US"/>
                  </w:rPr>
                </w:pPr>
              </w:p>
            </w:tc>
          </w:tr>
        </w:tbl>
        <w:p w14:paraId="6C282C2C" w14:textId="77777777" w:rsidR="00F50DBA" w:rsidRPr="000F7BE3" w:rsidRDefault="00F50DBA" w:rsidP="00516F51">
          <w:pPr>
            <w:tabs>
              <w:tab w:val="right" w:pos="8838"/>
            </w:tabs>
            <w:spacing w:line="276" w:lineRule="auto"/>
            <w:ind w:left="-28"/>
            <w:jc w:val="both"/>
            <w:rPr>
              <w:rFonts w:ascii="Arial" w:eastAsia="Calibri" w:hAnsi="Arial" w:cs="Arial"/>
              <w:b/>
              <w:sz w:val="22"/>
              <w:szCs w:val="22"/>
              <w:lang w:eastAsia="en-US"/>
            </w:rPr>
          </w:pPr>
        </w:p>
      </w:tc>
    </w:tr>
  </w:tbl>
  <w:p w14:paraId="4247417E" w14:textId="77777777" w:rsidR="00F50DBA" w:rsidRDefault="00F50DBA" w:rsidP="00B727C5">
    <w:pPr>
      <w:pStyle w:val="Encabezado"/>
    </w:pPr>
  </w:p>
  <w:p w14:paraId="5DC13FE7" w14:textId="77777777" w:rsidR="00F50DBA" w:rsidRPr="00354E1B" w:rsidRDefault="00F50DBA" w:rsidP="00B727C5">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26A4E1D"/>
    <w:multiLevelType w:val="hybridMultilevel"/>
    <w:tmpl w:val="0DA82C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EA29CE"/>
    <w:multiLevelType w:val="hybridMultilevel"/>
    <w:tmpl w:val="FBD60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5B3D1B"/>
    <w:multiLevelType w:val="hybridMultilevel"/>
    <w:tmpl w:val="4B1CF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0C62D80"/>
    <w:multiLevelType w:val="hybridMultilevel"/>
    <w:tmpl w:val="6A582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2DA5BBE"/>
    <w:multiLevelType w:val="hybridMultilevel"/>
    <w:tmpl w:val="F2E83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3A84321"/>
    <w:multiLevelType w:val="hybridMultilevel"/>
    <w:tmpl w:val="1620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8E010B6"/>
    <w:multiLevelType w:val="hybridMultilevel"/>
    <w:tmpl w:val="E8FC9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14C1CC5"/>
    <w:multiLevelType w:val="hybridMultilevel"/>
    <w:tmpl w:val="BB5C6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91335A"/>
    <w:multiLevelType w:val="hybridMultilevel"/>
    <w:tmpl w:val="8B20C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8883482"/>
    <w:multiLevelType w:val="hybridMultilevel"/>
    <w:tmpl w:val="C8AA9F4A"/>
    <w:lvl w:ilvl="0" w:tplc="E368A3F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28CE12B5"/>
    <w:multiLevelType w:val="hybridMultilevel"/>
    <w:tmpl w:val="9CA869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2478FF"/>
    <w:multiLevelType w:val="hybridMultilevel"/>
    <w:tmpl w:val="7F1AA78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2550018"/>
    <w:multiLevelType w:val="hybridMultilevel"/>
    <w:tmpl w:val="5DF01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E70774A"/>
    <w:multiLevelType w:val="hybridMultilevel"/>
    <w:tmpl w:val="422638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8" w15:restartNumberingAfterBreak="0">
    <w:nsid w:val="558924D7"/>
    <w:multiLevelType w:val="hybridMultilevel"/>
    <w:tmpl w:val="0F020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C908F6"/>
    <w:multiLevelType w:val="hybridMultilevel"/>
    <w:tmpl w:val="E4623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0D1D37"/>
    <w:multiLevelType w:val="hybridMultilevel"/>
    <w:tmpl w:val="0046F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5E3A5A"/>
    <w:multiLevelType w:val="hybridMultilevel"/>
    <w:tmpl w:val="A3E88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420444"/>
    <w:multiLevelType w:val="hybridMultilevel"/>
    <w:tmpl w:val="F9746294"/>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54F4388"/>
    <w:multiLevelType w:val="hybridMultilevel"/>
    <w:tmpl w:val="4D565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6C5D7372"/>
    <w:multiLevelType w:val="hybridMultilevel"/>
    <w:tmpl w:val="4726008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8"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0" w15:restartNumberingAfterBreak="0">
    <w:nsid w:val="713C6232"/>
    <w:multiLevelType w:val="hybridMultilevel"/>
    <w:tmpl w:val="F1945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A86589"/>
    <w:multiLevelType w:val="hybridMultilevel"/>
    <w:tmpl w:val="92CC2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2C00B39"/>
    <w:multiLevelType w:val="hybridMultilevel"/>
    <w:tmpl w:val="B96C1362"/>
    <w:lvl w:ilvl="0" w:tplc="0F8CB97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741108A8"/>
    <w:multiLevelType w:val="hybridMultilevel"/>
    <w:tmpl w:val="6C185E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7CE640C"/>
    <w:multiLevelType w:val="hybridMultilevel"/>
    <w:tmpl w:val="F47E3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6622B3"/>
    <w:multiLevelType w:val="hybridMultilevel"/>
    <w:tmpl w:val="59C437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5"/>
  </w:num>
  <w:num w:numId="3">
    <w:abstractNumId w:val="44"/>
  </w:num>
  <w:num w:numId="4">
    <w:abstractNumId w:val="47"/>
  </w:num>
  <w:num w:numId="5">
    <w:abstractNumId w:val="24"/>
  </w:num>
  <w:num w:numId="6">
    <w:abstractNumId w:val="6"/>
  </w:num>
  <w:num w:numId="7">
    <w:abstractNumId w:val="35"/>
  </w:num>
  <w:num w:numId="8">
    <w:abstractNumId w:val="32"/>
  </w:num>
  <w:num w:numId="9">
    <w:abstractNumId w:val="17"/>
  </w:num>
  <w:num w:numId="10">
    <w:abstractNumId w:val="45"/>
  </w:num>
  <w:num w:numId="11">
    <w:abstractNumId w:val="46"/>
  </w:num>
  <w:num w:numId="12">
    <w:abstractNumId w:val="1"/>
  </w:num>
  <w:num w:numId="13">
    <w:abstractNumId w:val="2"/>
  </w:num>
  <w:num w:numId="14">
    <w:abstractNumId w:val="38"/>
  </w:num>
  <w:num w:numId="15">
    <w:abstractNumId w:val="36"/>
  </w:num>
  <w:num w:numId="16">
    <w:abstractNumId w:val="18"/>
  </w:num>
  <w:num w:numId="17">
    <w:abstractNumId w:val="26"/>
  </w:num>
  <w:num w:numId="18">
    <w:abstractNumId w:val="20"/>
  </w:num>
  <w:num w:numId="19">
    <w:abstractNumId w:val="29"/>
  </w:num>
  <w:num w:numId="20">
    <w:abstractNumId w:val="13"/>
  </w:num>
  <w:num w:numId="21">
    <w:abstractNumId w:val="28"/>
  </w:num>
  <w:num w:numId="22">
    <w:abstractNumId w:val="21"/>
  </w:num>
  <w:num w:numId="23">
    <w:abstractNumId w:val="10"/>
  </w:num>
  <w:num w:numId="24">
    <w:abstractNumId w:val="48"/>
  </w:num>
  <w:num w:numId="25">
    <w:abstractNumId w:val="41"/>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8"/>
  </w:num>
  <w:num w:numId="29">
    <w:abstractNumId w:val="11"/>
  </w:num>
  <w:num w:numId="30">
    <w:abstractNumId w:val="9"/>
  </w:num>
  <w:num w:numId="31">
    <w:abstractNumId w:val="22"/>
  </w:num>
  <w:num w:numId="32">
    <w:abstractNumId w:val="31"/>
  </w:num>
  <w:num w:numId="33">
    <w:abstractNumId w:val="5"/>
  </w:num>
  <w:num w:numId="34">
    <w:abstractNumId w:val="14"/>
  </w:num>
  <w:num w:numId="35">
    <w:abstractNumId w:val="27"/>
  </w:num>
  <w:num w:numId="36">
    <w:abstractNumId w:val="25"/>
  </w:num>
  <w:num w:numId="37">
    <w:abstractNumId w:val="16"/>
  </w:num>
  <w:num w:numId="38">
    <w:abstractNumId w:val="12"/>
  </w:num>
  <w:num w:numId="39">
    <w:abstractNumId w:val="19"/>
  </w:num>
  <w:num w:numId="40">
    <w:abstractNumId w:val="42"/>
  </w:num>
  <w:num w:numId="41">
    <w:abstractNumId w:val="43"/>
  </w:num>
  <w:num w:numId="42">
    <w:abstractNumId w:val="34"/>
  </w:num>
  <w:num w:numId="43">
    <w:abstractNumId w:val="4"/>
  </w:num>
  <w:num w:numId="44">
    <w:abstractNumId w:val="23"/>
  </w:num>
  <w:num w:numId="45">
    <w:abstractNumId w:val="37"/>
  </w:num>
  <w:num w:numId="46">
    <w:abstractNumId w:val="30"/>
  </w:num>
  <w:num w:numId="47">
    <w:abstractNumId w:val="40"/>
  </w:num>
  <w:num w:numId="48">
    <w:abstractNumId w:val="33"/>
  </w:num>
  <w:num w:numId="4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781"/>
    <w:rsid w:val="000027EB"/>
    <w:rsid w:val="0000485A"/>
    <w:rsid w:val="00005377"/>
    <w:rsid w:val="00005E56"/>
    <w:rsid w:val="00006543"/>
    <w:rsid w:val="000075DC"/>
    <w:rsid w:val="00010070"/>
    <w:rsid w:val="00013252"/>
    <w:rsid w:val="00013A19"/>
    <w:rsid w:val="00014465"/>
    <w:rsid w:val="0001700B"/>
    <w:rsid w:val="0001725E"/>
    <w:rsid w:val="00017D26"/>
    <w:rsid w:val="00020818"/>
    <w:rsid w:val="000212E5"/>
    <w:rsid w:val="00021C64"/>
    <w:rsid w:val="0002296F"/>
    <w:rsid w:val="000229E5"/>
    <w:rsid w:val="000241C5"/>
    <w:rsid w:val="000256F1"/>
    <w:rsid w:val="00025F5D"/>
    <w:rsid w:val="000313A7"/>
    <w:rsid w:val="00032F5B"/>
    <w:rsid w:val="00033335"/>
    <w:rsid w:val="00034A4E"/>
    <w:rsid w:val="00034E9D"/>
    <w:rsid w:val="000373BC"/>
    <w:rsid w:val="00037B34"/>
    <w:rsid w:val="00037F4B"/>
    <w:rsid w:val="00041F55"/>
    <w:rsid w:val="00042992"/>
    <w:rsid w:val="00043C4B"/>
    <w:rsid w:val="00045C0F"/>
    <w:rsid w:val="0004646B"/>
    <w:rsid w:val="000472C9"/>
    <w:rsid w:val="000528E6"/>
    <w:rsid w:val="000529DC"/>
    <w:rsid w:val="0005351C"/>
    <w:rsid w:val="00054863"/>
    <w:rsid w:val="000550E3"/>
    <w:rsid w:val="00055D51"/>
    <w:rsid w:val="0006017B"/>
    <w:rsid w:val="00060880"/>
    <w:rsid w:val="00064855"/>
    <w:rsid w:val="000661AF"/>
    <w:rsid w:val="00066ACE"/>
    <w:rsid w:val="00071A4A"/>
    <w:rsid w:val="00071BE4"/>
    <w:rsid w:val="000743A4"/>
    <w:rsid w:val="00076996"/>
    <w:rsid w:val="000813B0"/>
    <w:rsid w:val="0008148B"/>
    <w:rsid w:val="0008177A"/>
    <w:rsid w:val="00083AE5"/>
    <w:rsid w:val="00086467"/>
    <w:rsid w:val="000876D0"/>
    <w:rsid w:val="000925EE"/>
    <w:rsid w:val="00093B6A"/>
    <w:rsid w:val="00093CF1"/>
    <w:rsid w:val="0009459A"/>
    <w:rsid w:val="00094FCC"/>
    <w:rsid w:val="00097211"/>
    <w:rsid w:val="000A0518"/>
    <w:rsid w:val="000A0EEC"/>
    <w:rsid w:val="000A20A4"/>
    <w:rsid w:val="000A3E56"/>
    <w:rsid w:val="000A5058"/>
    <w:rsid w:val="000A6ACA"/>
    <w:rsid w:val="000A7211"/>
    <w:rsid w:val="000B0D11"/>
    <w:rsid w:val="000B1A78"/>
    <w:rsid w:val="000B1D37"/>
    <w:rsid w:val="000B2C93"/>
    <w:rsid w:val="000B36DD"/>
    <w:rsid w:val="000B4273"/>
    <w:rsid w:val="000B5711"/>
    <w:rsid w:val="000B6020"/>
    <w:rsid w:val="000B69AB"/>
    <w:rsid w:val="000B7BD0"/>
    <w:rsid w:val="000C0FFD"/>
    <w:rsid w:val="000C2283"/>
    <w:rsid w:val="000C27CA"/>
    <w:rsid w:val="000C46E4"/>
    <w:rsid w:val="000C59CB"/>
    <w:rsid w:val="000C7546"/>
    <w:rsid w:val="000D0B08"/>
    <w:rsid w:val="000D231A"/>
    <w:rsid w:val="000D2A27"/>
    <w:rsid w:val="000D5482"/>
    <w:rsid w:val="000E0BEA"/>
    <w:rsid w:val="000E2952"/>
    <w:rsid w:val="000E2B71"/>
    <w:rsid w:val="000E375D"/>
    <w:rsid w:val="000E392E"/>
    <w:rsid w:val="000E3B88"/>
    <w:rsid w:val="000E43BA"/>
    <w:rsid w:val="000E69BF"/>
    <w:rsid w:val="000F0201"/>
    <w:rsid w:val="000F05F8"/>
    <w:rsid w:val="000F126C"/>
    <w:rsid w:val="000F24C8"/>
    <w:rsid w:val="000F2C45"/>
    <w:rsid w:val="000F2EBF"/>
    <w:rsid w:val="000F3DA0"/>
    <w:rsid w:val="000F3DAE"/>
    <w:rsid w:val="000F4183"/>
    <w:rsid w:val="000F4876"/>
    <w:rsid w:val="000F555D"/>
    <w:rsid w:val="000F7A45"/>
    <w:rsid w:val="000F7BE3"/>
    <w:rsid w:val="000F7FD8"/>
    <w:rsid w:val="00100BAC"/>
    <w:rsid w:val="00100D89"/>
    <w:rsid w:val="001017B7"/>
    <w:rsid w:val="00101FB7"/>
    <w:rsid w:val="00102277"/>
    <w:rsid w:val="001034C6"/>
    <w:rsid w:val="00103B75"/>
    <w:rsid w:val="001049B0"/>
    <w:rsid w:val="00104ADB"/>
    <w:rsid w:val="001057BC"/>
    <w:rsid w:val="001065A9"/>
    <w:rsid w:val="00107D2F"/>
    <w:rsid w:val="00112085"/>
    <w:rsid w:val="001133D5"/>
    <w:rsid w:val="00113548"/>
    <w:rsid w:val="00114068"/>
    <w:rsid w:val="001150E9"/>
    <w:rsid w:val="00116644"/>
    <w:rsid w:val="001166C8"/>
    <w:rsid w:val="00121678"/>
    <w:rsid w:val="001216AC"/>
    <w:rsid w:val="001222FD"/>
    <w:rsid w:val="001247C5"/>
    <w:rsid w:val="00126626"/>
    <w:rsid w:val="00126F8E"/>
    <w:rsid w:val="001271D1"/>
    <w:rsid w:val="00127757"/>
    <w:rsid w:val="0013082F"/>
    <w:rsid w:val="00132A80"/>
    <w:rsid w:val="00132F95"/>
    <w:rsid w:val="00133118"/>
    <w:rsid w:val="00133BC6"/>
    <w:rsid w:val="00135217"/>
    <w:rsid w:val="00135ED3"/>
    <w:rsid w:val="0013791C"/>
    <w:rsid w:val="00142E7D"/>
    <w:rsid w:val="0014307A"/>
    <w:rsid w:val="00144D0B"/>
    <w:rsid w:val="00147566"/>
    <w:rsid w:val="00147666"/>
    <w:rsid w:val="001507BF"/>
    <w:rsid w:val="00151053"/>
    <w:rsid w:val="00151FBB"/>
    <w:rsid w:val="001529BE"/>
    <w:rsid w:val="00155F96"/>
    <w:rsid w:val="00156408"/>
    <w:rsid w:val="00156A6B"/>
    <w:rsid w:val="001574DE"/>
    <w:rsid w:val="00157CA1"/>
    <w:rsid w:val="00161846"/>
    <w:rsid w:val="00161DF9"/>
    <w:rsid w:val="00162383"/>
    <w:rsid w:val="00162503"/>
    <w:rsid w:val="00162CCE"/>
    <w:rsid w:val="001640EB"/>
    <w:rsid w:val="001643DC"/>
    <w:rsid w:val="00165891"/>
    <w:rsid w:val="00166654"/>
    <w:rsid w:val="00170545"/>
    <w:rsid w:val="00171ADD"/>
    <w:rsid w:val="0017459B"/>
    <w:rsid w:val="001746CD"/>
    <w:rsid w:val="001758B5"/>
    <w:rsid w:val="00175CEB"/>
    <w:rsid w:val="00176367"/>
    <w:rsid w:val="0017639F"/>
    <w:rsid w:val="00182D6C"/>
    <w:rsid w:val="00182DCE"/>
    <w:rsid w:val="00182F0F"/>
    <w:rsid w:val="0018301E"/>
    <w:rsid w:val="00183D24"/>
    <w:rsid w:val="001851A6"/>
    <w:rsid w:val="001875A7"/>
    <w:rsid w:val="001879E1"/>
    <w:rsid w:val="001906A1"/>
    <w:rsid w:val="001913F6"/>
    <w:rsid w:val="00191C72"/>
    <w:rsid w:val="00192080"/>
    <w:rsid w:val="00192414"/>
    <w:rsid w:val="0019389B"/>
    <w:rsid w:val="0019765C"/>
    <w:rsid w:val="001A0AE0"/>
    <w:rsid w:val="001A1159"/>
    <w:rsid w:val="001A15F6"/>
    <w:rsid w:val="001A1B94"/>
    <w:rsid w:val="001A22F5"/>
    <w:rsid w:val="001A3046"/>
    <w:rsid w:val="001A3EAE"/>
    <w:rsid w:val="001A6A20"/>
    <w:rsid w:val="001A7FD2"/>
    <w:rsid w:val="001B107D"/>
    <w:rsid w:val="001B2CD9"/>
    <w:rsid w:val="001B2CEB"/>
    <w:rsid w:val="001B3A46"/>
    <w:rsid w:val="001B4953"/>
    <w:rsid w:val="001B62A0"/>
    <w:rsid w:val="001C0D9F"/>
    <w:rsid w:val="001C282F"/>
    <w:rsid w:val="001C6497"/>
    <w:rsid w:val="001D0086"/>
    <w:rsid w:val="001D0094"/>
    <w:rsid w:val="001D0DF0"/>
    <w:rsid w:val="001D1108"/>
    <w:rsid w:val="001D298B"/>
    <w:rsid w:val="001D6645"/>
    <w:rsid w:val="001D6E06"/>
    <w:rsid w:val="001D7012"/>
    <w:rsid w:val="001D7BD2"/>
    <w:rsid w:val="001E1729"/>
    <w:rsid w:val="001E2484"/>
    <w:rsid w:val="001E2A4D"/>
    <w:rsid w:val="001E52EC"/>
    <w:rsid w:val="001E53C2"/>
    <w:rsid w:val="001E6C2A"/>
    <w:rsid w:val="001F0E9C"/>
    <w:rsid w:val="001F0EB8"/>
    <w:rsid w:val="001F1540"/>
    <w:rsid w:val="001F1772"/>
    <w:rsid w:val="001F252C"/>
    <w:rsid w:val="001F497A"/>
    <w:rsid w:val="001F558D"/>
    <w:rsid w:val="001F652C"/>
    <w:rsid w:val="001F6FCB"/>
    <w:rsid w:val="001F78D9"/>
    <w:rsid w:val="00202DB8"/>
    <w:rsid w:val="0020623A"/>
    <w:rsid w:val="00207736"/>
    <w:rsid w:val="002103E6"/>
    <w:rsid w:val="00210CD8"/>
    <w:rsid w:val="00210F29"/>
    <w:rsid w:val="00212460"/>
    <w:rsid w:val="002135C4"/>
    <w:rsid w:val="00213F12"/>
    <w:rsid w:val="00215D0D"/>
    <w:rsid w:val="00217AEF"/>
    <w:rsid w:val="00220F59"/>
    <w:rsid w:val="00221EC9"/>
    <w:rsid w:val="00222731"/>
    <w:rsid w:val="00223C6D"/>
    <w:rsid w:val="00223ECD"/>
    <w:rsid w:val="002241A6"/>
    <w:rsid w:val="002241E8"/>
    <w:rsid w:val="00224774"/>
    <w:rsid w:val="002247B0"/>
    <w:rsid w:val="00224BA8"/>
    <w:rsid w:val="00224F7A"/>
    <w:rsid w:val="00225152"/>
    <w:rsid w:val="002251FE"/>
    <w:rsid w:val="00227E17"/>
    <w:rsid w:val="0023020C"/>
    <w:rsid w:val="00230E81"/>
    <w:rsid w:val="00232673"/>
    <w:rsid w:val="00236863"/>
    <w:rsid w:val="00237C1F"/>
    <w:rsid w:val="00237D0D"/>
    <w:rsid w:val="00242508"/>
    <w:rsid w:val="002433A4"/>
    <w:rsid w:val="002435DC"/>
    <w:rsid w:val="00247B17"/>
    <w:rsid w:val="00250389"/>
    <w:rsid w:val="00252669"/>
    <w:rsid w:val="00254209"/>
    <w:rsid w:val="00254288"/>
    <w:rsid w:val="002542F5"/>
    <w:rsid w:val="0025469C"/>
    <w:rsid w:val="00254705"/>
    <w:rsid w:val="002562E2"/>
    <w:rsid w:val="002579CE"/>
    <w:rsid w:val="00260FEC"/>
    <w:rsid w:val="002613D8"/>
    <w:rsid w:val="00261DD6"/>
    <w:rsid w:val="002647E8"/>
    <w:rsid w:val="00264982"/>
    <w:rsid w:val="002657E2"/>
    <w:rsid w:val="00265918"/>
    <w:rsid w:val="00270394"/>
    <w:rsid w:val="002706D6"/>
    <w:rsid w:val="0027110E"/>
    <w:rsid w:val="002727CC"/>
    <w:rsid w:val="0027312A"/>
    <w:rsid w:val="00273679"/>
    <w:rsid w:val="00276107"/>
    <w:rsid w:val="00281A35"/>
    <w:rsid w:val="00281AD9"/>
    <w:rsid w:val="00281AFC"/>
    <w:rsid w:val="002834B4"/>
    <w:rsid w:val="0028420E"/>
    <w:rsid w:val="00284486"/>
    <w:rsid w:val="00285644"/>
    <w:rsid w:val="0028581E"/>
    <w:rsid w:val="00285B24"/>
    <w:rsid w:val="00290C33"/>
    <w:rsid w:val="00293491"/>
    <w:rsid w:val="00293E97"/>
    <w:rsid w:val="002946C5"/>
    <w:rsid w:val="002959B5"/>
    <w:rsid w:val="002A0FB8"/>
    <w:rsid w:val="002A1B97"/>
    <w:rsid w:val="002A2CB9"/>
    <w:rsid w:val="002A30E1"/>
    <w:rsid w:val="002A3C1C"/>
    <w:rsid w:val="002A57D2"/>
    <w:rsid w:val="002A5989"/>
    <w:rsid w:val="002A6193"/>
    <w:rsid w:val="002A7BD4"/>
    <w:rsid w:val="002A7C81"/>
    <w:rsid w:val="002A7F32"/>
    <w:rsid w:val="002B03CD"/>
    <w:rsid w:val="002B0531"/>
    <w:rsid w:val="002B06C1"/>
    <w:rsid w:val="002B20A1"/>
    <w:rsid w:val="002B226E"/>
    <w:rsid w:val="002B2782"/>
    <w:rsid w:val="002B46D4"/>
    <w:rsid w:val="002B54CF"/>
    <w:rsid w:val="002B71E6"/>
    <w:rsid w:val="002C0595"/>
    <w:rsid w:val="002C0D09"/>
    <w:rsid w:val="002C1876"/>
    <w:rsid w:val="002C4AEA"/>
    <w:rsid w:val="002C7419"/>
    <w:rsid w:val="002D1BE4"/>
    <w:rsid w:val="002D25E6"/>
    <w:rsid w:val="002E07B9"/>
    <w:rsid w:val="002E190D"/>
    <w:rsid w:val="002E40C6"/>
    <w:rsid w:val="002E5015"/>
    <w:rsid w:val="002E5FD1"/>
    <w:rsid w:val="002E7ACF"/>
    <w:rsid w:val="002F0C1A"/>
    <w:rsid w:val="002F0C93"/>
    <w:rsid w:val="002F0CE9"/>
    <w:rsid w:val="002F3BD0"/>
    <w:rsid w:val="002F53BF"/>
    <w:rsid w:val="002F58D8"/>
    <w:rsid w:val="00300A0B"/>
    <w:rsid w:val="00301F46"/>
    <w:rsid w:val="00302036"/>
    <w:rsid w:val="00303CAD"/>
    <w:rsid w:val="00303E71"/>
    <w:rsid w:val="00304206"/>
    <w:rsid w:val="00306418"/>
    <w:rsid w:val="0030674C"/>
    <w:rsid w:val="003100F3"/>
    <w:rsid w:val="00310C11"/>
    <w:rsid w:val="00310FFE"/>
    <w:rsid w:val="003123B6"/>
    <w:rsid w:val="00316600"/>
    <w:rsid w:val="003172EC"/>
    <w:rsid w:val="0032170B"/>
    <w:rsid w:val="00323325"/>
    <w:rsid w:val="003234D9"/>
    <w:rsid w:val="003243B0"/>
    <w:rsid w:val="00325EC0"/>
    <w:rsid w:val="00327866"/>
    <w:rsid w:val="00327FDE"/>
    <w:rsid w:val="0033043F"/>
    <w:rsid w:val="003340EC"/>
    <w:rsid w:val="003350FF"/>
    <w:rsid w:val="003372E2"/>
    <w:rsid w:val="00340452"/>
    <w:rsid w:val="0034057C"/>
    <w:rsid w:val="00342E41"/>
    <w:rsid w:val="0034303D"/>
    <w:rsid w:val="00344F9F"/>
    <w:rsid w:val="00350142"/>
    <w:rsid w:val="003516AE"/>
    <w:rsid w:val="00353B44"/>
    <w:rsid w:val="00353B6D"/>
    <w:rsid w:val="00353C3B"/>
    <w:rsid w:val="00354920"/>
    <w:rsid w:val="00354E1B"/>
    <w:rsid w:val="00354E92"/>
    <w:rsid w:val="00355DC6"/>
    <w:rsid w:val="00357EEF"/>
    <w:rsid w:val="003604D7"/>
    <w:rsid w:val="00361176"/>
    <w:rsid w:val="003615DF"/>
    <w:rsid w:val="003623BC"/>
    <w:rsid w:val="003626EF"/>
    <w:rsid w:val="0036351E"/>
    <w:rsid w:val="00364521"/>
    <w:rsid w:val="00365026"/>
    <w:rsid w:val="00365368"/>
    <w:rsid w:val="00367F82"/>
    <w:rsid w:val="00370D6C"/>
    <w:rsid w:val="00370DDA"/>
    <w:rsid w:val="003725BF"/>
    <w:rsid w:val="00372803"/>
    <w:rsid w:val="00373757"/>
    <w:rsid w:val="00373C3B"/>
    <w:rsid w:val="003749EC"/>
    <w:rsid w:val="003756AF"/>
    <w:rsid w:val="00375815"/>
    <w:rsid w:val="00376B26"/>
    <w:rsid w:val="00380441"/>
    <w:rsid w:val="00382696"/>
    <w:rsid w:val="0038438A"/>
    <w:rsid w:val="003864D2"/>
    <w:rsid w:val="00387F68"/>
    <w:rsid w:val="00390249"/>
    <w:rsid w:val="00390BF8"/>
    <w:rsid w:val="00391420"/>
    <w:rsid w:val="00392877"/>
    <w:rsid w:val="00392E12"/>
    <w:rsid w:val="003948D9"/>
    <w:rsid w:val="00394D7E"/>
    <w:rsid w:val="003956E9"/>
    <w:rsid w:val="003965EC"/>
    <w:rsid w:val="00396BA0"/>
    <w:rsid w:val="00397099"/>
    <w:rsid w:val="003A00D3"/>
    <w:rsid w:val="003A00F7"/>
    <w:rsid w:val="003A059C"/>
    <w:rsid w:val="003A0E17"/>
    <w:rsid w:val="003A2825"/>
    <w:rsid w:val="003A3523"/>
    <w:rsid w:val="003A357E"/>
    <w:rsid w:val="003A35D1"/>
    <w:rsid w:val="003A6E62"/>
    <w:rsid w:val="003A78B5"/>
    <w:rsid w:val="003A7BE8"/>
    <w:rsid w:val="003A7C85"/>
    <w:rsid w:val="003A7FBE"/>
    <w:rsid w:val="003B0D09"/>
    <w:rsid w:val="003B165A"/>
    <w:rsid w:val="003B1A7B"/>
    <w:rsid w:val="003B1BC8"/>
    <w:rsid w:val="003B2140"/>
    <w:rsid w:val="003B5412"/>
    <w:rsid w:val="003B5ECD"/>
    <w:rsid w:val="003C07A0"/>
    <w:rsid w:val="003C28B8"/>
    <w:rsid w:val="003C4846"/>
    <w:rsid w:val="003C5F9B"/>
    <w:rsid w:val="003C6934"/>
    <w:rsid w:val="003C6F30"/>
    <w:rsid w:val="003C7EED"/>
    <w:rsid w:val="003C7FD0"/>
    <w:rsid w:val="003D0268"/>
    <w:rsid w:val="003D1A43"/>
    <w:rsid w:val="003D1A64"/>
    <w:rsid w:val="003D3D0A"/>
    <w:rsid w:val="003D4EA2"/>
    <w:rsid w:val="003D624F"/>
    <w:rsid w:val="003D7B6C"/>
    <w:rsid w:val="003E045A"/>
    <w:rsid w:val="003E0A61"/>
    <w:rsid w:val="003E244D"/>
    <w:rsid w:val="003E31E5"/>
    <w:rsid w:val="003E32ED"/>
    <w:rsid w:val="003E35D5"/>
    <w:rsid w:val="003E3A39"/>
    <w:rsid w:val="003E58C9"/>
    <w:rsid w:val="003E62A7"/>
    <w:rsid w:val="003E6A70"/>
    <w:rsid w:val="003F01D6"/>
    <w:rsid w:val="003F0DFC"/>
    <w:rsid w:val="003F485B"/>
    <w:rsid w:val="003F632A"/>
    <w:rsid w:val="003F650B"/>
    <w:rsid w:val="004004E9"/>
    <w:rsid w:val="004052C5"/>
    <w:rsid w:val="00406B19"/>
    <w:rsid w:val="004100AA"/>
    <w:rsid w:val="00410CD2"/>
    <w:rsid w:val="00412203"/>
    <w:rsid w:val="004142DD"/>
    <w:rsid w:val="00415478"/>
    <w:rsid w:val="0041683F"/>
    <w:rsid w:val="00416E73"/>
    <w:rsid w:val="00417DE3"/>
    <w:rsid w:val="00420B07"/>
    <w:rsid w:val="004221AD"/>
    <w:rsid w:val="00422869"/>
    <w:rsid w:val="0042532D"/>
    <w:rsid w:val="00426032"/>
    <w:rsid w:val="00426448"/>
    <w:rsid w:val="00427457"/>
    <w:rsid w:val="004324E7"/>
    <w:rsid w:val="0043257A"/>
    <w:rsid w:val="00434885"/>
    <w:rsid w:val="00434D9A"/>
    <w:rsid w:val="004353F5"/>
    <w:rsid w:val="00436FD3"/>
    <w:rsid w:val="0043767E"/>
    <w:rsid w:val="00440558"/>
    <w:rsid w:val="004406CF"/>
    <w:rsid w:val="00441804"/>
    <w:rsid w:val="00442BC5"/>
    <w:rsid w:val="004435B4"/>
    <w:rsid w:val="00445110"/>
    <w:rsid w:val="00446470"/>
    <w:rsid w:val="00446A5C"/>
    <w:rsid w:val="004510CF"/>
    <w:rsid w:val="0045285C"/>
    <w:rsid w:val="00457382"/>
    <w:rsid w:val="00457F4E"/>
    <w:rsid w:val="0046048A"/>
    <w:rsid w:val="00460683"/>
    <w:rsid w:val="0046146B"/>
    <w:rsid w:val="0046280E"/>
    <w:rsid w:val="00463BD6"/>
    <w:rsid w:val="004648C0"/>
    <w:rsid w:val="00466346"/>
    <w:rsid w:val="004702B0"/>
    <w:rsid w:val="0047075B"/>
    <w:rsid w:val="00471A4A"/>
    <w:rsid w:val="00473AF2"/>
    <w:rsid w:val="00473B77"/>
    <w:rsid w:val="00474B3B"/>
    <w:rsid w:val="004751D6"/>
    <w:rsid w:val="00475E6B"/>
    <w:rsid w:val="00477DBA"/>
    <w:rsid w:val="00477E20"/>
    <w:rsid w:val="0048053B"/>
    <w:rsid w:val="00480A43"/>
    <w:rsid w:val="00480BB8"/>
    <w:rsid w:val="00480D4A"/>
    <w:rsid w:val="00480FD4"/>
    <w:rsid w:val="00481D51"/>
    <w:rsid w:val="0048519E"/>
    <w:rsid w:val="00485EC7"/>
    <w:rsid w:val="004860BD"/>
    <w:rsid w:val="00487430"/>
    <w:rsid w:val="0049074D"/>
    <w:rsid w:val="0049120B"/>
    <w:rsid w:val="004918F1"/>
    <w:rsid w:val="0049270A"/>
    <w:rsid w:val="00492C1A"/>
    <w:rsid w:val="00494D42"/>
    <w:rsid w:val="00495B1B"/>
    <w:rsid w:val="00496654"/>
    <w:rsid w:val="00497921"/>
    <w:rsid w:val="004A0A7B"/>
    <w:rsid w:val="004A0BB0"/>
    <w:rsid w:val="004A26CD"/>
    <w:rsid w:val="004A3584"/>
    <w:rsid w:val="004A5121"/>
    <w:rsid w:val="004A577A"/>
    <w:rsid w:val="004A6ECB"/>
    <w:rsid w:val="004A7990"/>
    <w:rsid w:val="004B1796"/>
    <w:rsid w:val="004B4A27"/>
    <w:rsid w:val="004B553F"/>
    <w:rsid w:val="004B591D"/>
    <w:rsid w:val="004B643D"/>
    <w:rsid w:val="004B69D4"/>
    <w:rsid w:val="004B6B96"/>
    <w:rsid w:val="004B7542"/>
    <w:rsid w:val="004C1729"/>
    <w:rsid w:val="004C3D66"/>
    <w:rsid w:val="004C4ACC"/>
    <w:rsid w:val="004C4E8F"/>
    <w:rsid w:val="004C6763"/>
    <w:rsid w:val="004C7E83"/>
    <w:rsid w:val="004D227F"/>
    <w:rsid w:val="004D31A3"/>
    <w:rsid w:val="004D587A"/>
    <w:rsid w:val="004D5DB3"/>
    <w:rsid w:val="004D69FF"/>
    <w:rsid w:val="004D7CE4"/>
    <w:rsid w:val="004E1173"/>
    <w:rsid w:val="004E345F"/>
    <w:rsid w:val="004E3914"/>
    <w:rsid w:val="004E3BBA"/>
    <w:rsid w:val="004E401B"/>
    <w:rsid w:val="004E41C7"/>
    <w:rsid w:val="004E63B4"/>
    <w:rsid w:val="004E71CE"/>
    <w:rsid w:val="004E7B5C"/>
    <w:rsid w:val="004E7DB7"/>
    <w:rsid w:val="004F1030"/>
    <w:rsid w:val="004F132F"/>
    <w:rsid w:val="004F2D88"/>
    <w:rsid w:val="004F3D21"/>
    <w:rsid w:val="004F572B"/>
    <w:rsid w:val="004F772E"/>
    <w:rsid w:val="0050058A"/>
    <w:rsid w:val="00500A34"/>
    <w:rsid w:val="00500CCC"/>
    <w:rsid w:val="00500DEA"/>
    <w:rsid w:val="00500DFC"/>
    <w:rsid w:val="00502252"/>
    <w:rsid w:val="005070C3"/>
    <w:rsid w:val="0051276F"/>
    <w:rsid w:val="00512962"/>
    <w:rsid w:val="00512B91"/>
    <w:rsid w:val="005141C6"/>
    <w:rsid w:val="005157AB"/>
    <w:rsid w:val="00515949"/>
    <w:rsid w:val="00515FF4"/>
    <w:rsid w:val="00516DCA"/>
    <w:rsid w:val="00516F51"/>
    <w:rsid w:val="00517C3D"/>
    <w:rsid w:val="005220BE"/>
    <w:rsid w:val="00524FE0"/>
    <w:rsid w:val="00532353"/>
    <w:rsid w:val="0054194F"/>
    <w:rsid w:val="00542C25"/>
    <w:rsid w:val="00542D5F"/>
    <w:rsid w:val="005435DE"/>
    <w:rsid w:val="00544C28"/>
    <w:rsid w:val="00546862"/>
    <w:rsid w:val="00546BAE"/>
    <w:rsid w:val="005516D4"/>
    <w:rsid w:val="005519E2"/>
    <w:rsid w:val="00552262"/>
    <w:rsid w:val="00552EBD"/>
    <w:rsid w:val="00553067"/>
    <w:rsid w:val="00553827"/>
    <w:rsid w:val="00555F71"/>
    <w:rsid w:val="00556737"/>
    <w:rsid w:val="00557B6B"/>
    <w:rsid w:val="00563193"/>
    <w:rsid w:val="00563BEB"/>
    <w:rsid w:val="00566849"/>
    <w:rsid w:val="00567D08"/>
    <w:rsid w:val="0057298D"/>
    <w:rsid w:val="005740F6"/>
    <w:rsid w:val="005743D2"/>
    <w:rsid w:val="00575905"/>
    <w:rsid w:val="005764E6"/>
    <w:rsid w:val="00576F31"/>
    <w:rsid w:val="005802BD"/>
    <w:rsid w:val="00584899"/>
    <w:rsid w:val="00586FA8"/>
    <w:rsid w:val="00587F23"/>
    <w:rsid w:val="00590508"/>
    <w:rsid w:val="005911B4"/>
    <w:rsid w:val="00591E3A"/>
    <w:rsid w:val="00592D40"/>
    <w:rsid w:val="00593CB4"/>
    <w:rsid w:val="00593E68"/>
    <w:rsid w:val="00594328"/>
    <w:rsid w:val="00594E4D"/>
    <w:rsid w:val="0059777D"/>
    <w:rsid w:val="005A1EA8"/>
    <w:rsid w:val="005A22F0"/>
    <w:rsid w:val="005A3580"/>
    <w:rsid w:val="005A4D4B"/>
    <w:rsid w:val="005B0D7C"/>
    <w:rsid w:val="005B0E86"/>
    <w:rsid w:val="005B1CF3"/>
    <w:rsid w:val="005B55A2"/>
    <w:rsid w:val="005B6854"/>
    <w:rsid w:val="005B7C36"/>
    <w:rsid w:val="005C1943"/>
    <w:rsid w:val="005C2F71"/>
    <w:rsid w:val="005C37A0"/>
    <w:rsid w:val="005C3AF3"/>
    <w:rsid w:val="005C4034"/>
    <w:rsid w:val="005C651C"/>
    <w:rsid w:val="005C656A"/>
    <w:rsid w:val="005C6739"/>
    <w:rsid w:val="005C7E10"/>
    <w:rsid w:val="005D0033"/>
    <w:rsid w:val="005D1427"/>
    <w:rsid w:val="005D49C8"/>
    <w:rsid w:val="005D521A"/>
    <w:rsid w:val="005D5607"/>
    <w:rsid w:val="005E025E"/>
    <w:rsid w:val="005E0DB1"/>
    <w:rsid w:val="005E243B"/>
    <w:rsid w:val="005E37E9"/>
    <w:rsid w:val="005E5FA2"/>
    <w:rsid w:val="005F03DB"/>
    <w:rsid w:val="005F36B5"/>
    <w:rsid w:val="005F4977"/>
    <w:rsid w:val="005F50F9"/>
    <w:rsid w:val="005F6214"/>
    <w:rsid w:val="005F7B32"/>
    <w:rsid w:val="00600E7B"/>
    <w:rsid w:val="00600ED0"/>
    <w:rsid w:val="006015FE"/>
    <w:rsid w:val="00602978"/>
    <w:rsid w:val="00603A1E"/>
    <w:rsid w:val="00603A46"/>
    <w:rsid w:val="0060411D"/>
    <w:rsid w:val="00606194"/>
    <w:rsid w:val="00610E97"/>
    <w:rsid w:val="0061115C"/>
    <w:rsid w:val="00611A49"/>
    <w:rsid w:val="00612352"/>
    <w:rsid w:val="00613017"/>
    <w:rsid w:val="00613A54"/>
    <w:rsid w:val="0061457F"/>
    <w:rsid w:val="00615A64"/>
    <w:rsid w:val="00616189"/>
    <w:rsid w:val="0061762E"/>
    <w:rsid w:val="0062078C"/>
    <w:rsid w:val="00620E8F"/>
    <w:rsid w:val="00621760"/>
    <w:rsid w:val="006217BB"/>
    <w:rsid w:val="00625BD5"/>
    <w:rsid w:val="00625DFB"/>
    <w:rsid w:val="006274E1"/>
    <w:rsid w:val="006277B7"/>
    <w:rsid w:val="00627C4B"/>
    <w:rsid w:val="00630F1A"/>
    <w:rsid w:val="00634D1A"/>
    <w:rsid w:val="006359E8"/>
    <w:rsid w:val="00635A86"/>
    <w:rsid w:val="00637179"/>
    <w:rsid w:val="0064000B"/>
    <w:rsid w:val="00644692"/>
    <w:rsid w:val="00645F7D"/>
    <w:rsid w:val="00646100"/>
    <w:rsid w:val="006476CA"/>
    <w:rsid w:val="006552AE"/>
    <w:rsid w:val="00655773"/>
    <w:rsid w:val="006562A9"/>
    <w:rsid w:val="006563CA"/>
    <w:rsid w:val="006578FC"/>
    <w:rsid w:val="006608AB"/>
    <w:rsid w:val="006620DA"/>
    <w:rsid w:val="0066381A"/>
    <w:rsid w:val="00664587"/>
    <w:rsid w:val="00665771"/>
    <w:rsid w:val="00665D72"/>
    <w:rsid w:val="00666F25"/>
    <w:rsid w:val="00667C1C"/>
    <w:rsid w:val="00673DD4"/>
    <w:rsid w:val="00674AEB"/>
    <w:rsid w:val="006752DD"/>
    <w:rsid w:val="0067553F"/>
    <w:rsid w:val="006816E3"/>
    <w:rsid w:val="0068238F"/>
    <w:rsid w:val="006828D8"/>
    <w:rsid w:val="0068455C"/>
    <w:rsid w:val="006846E0"/>
    <w:rsid w:val="00684887"/>
    <w:rsid w:val="00690147"/>
    <w:rsid w:val="0069060A"/>
    <w:rsid w:val="0069298B"/>
    <w:rsid w:val="006932A9"/>
    <w:rsid w:val="006934F7"/>
    <w:rsid w:val="00693C8E"/>
    <w:rsid w:val="00694139"/>
    <w:rsid w:val="006954D6"/>
    <w:rsid w:val="006969BA"/>
    <w:rsid w:val="00697FF1"/>
    <w:rsid w:val="006A026A"/>
    <w:rsid w:val="006A0425"/>
    <w:rsid w:val="006A129B"/>
    <w:rsid w:val="006A1A57"/>
    <w:rsid w:val="006A1D62"/>
    <w:rsid w:val="006A396E"/>
    <w:rsid w:val="006A3F0F"/>
    <w:rsid w:val="006A4142"/>
    <w:rsid w:val="006A481D"/>
    <w:rsid w:val="006A4EAE"/>
    <w:rsid w:val="006A56C3"/>
    <w:rsid w:val="006A628A"/>
    <w:rsid w:val="006A6D7F"/>
    <w:rsid w:val="006B0298"/>
    <w:rsid w:val="006B0E83"/>
    <w:rsid w:val="006B31C3"/>
    <w:rsid w:val="006B5493"/>
    <w:rsid w:val="006C0FF2"/>
    <w:rsid w:val="006C10C0"/>
    <w:rsid w:val="006C13C0"/>
    <w:rsid w:val="006C1B1D"/>
    <w:rsid w:val="006C32BB"/>
    <w:rsid w:val="006C3747"/>
    <w:rsid w:val="006C6D9A"/>
    <w:rsid w:val="006C7760"/>
    <w:rsid w:val="006C7EEA"/>
    <w:rsid w:val="006D005D"/>
    <w:rsid w:val="006D522C"/>
    <w:rsid w:val="006D5588"/>
    <w:rsid w:val="006D56AA"/>
    <w:rsid w:val="006D6A81"/>
    <w:rsid w:val="006D7795"/>
    <w:rsid w:val="006D7ACB"/>
    <w:rsid w:val="006D7E12"/>
    <w:rsid w:val="006E00EF"/>
    <w:rsid w:val="006E06BB"/>
    <w:rsid w:val="006E1A7A"/>
    <w:rsid w:val="006E716F"/>
    <w:rsid w:val="006F01E7"/>
    <w:rsid w:val="006F1F3A"/>
    <w:rsid w:val="006F4DD2"/>
    <w:rsid w:val="006F7EB8"/>
    <w:rsid w:val="00701F2D"/>
    <w:rsid w:val="00702CA1"/>
    <w:rsid w:val="00702DD7"/>
    <w:rsid w:val="007034A7"/>
    <w:rsid w:val="00703D83"/>
    <w:rsid w:val="00704741"/>
    <w:rsid w:val="007047D3"/>
    <w:rsid w:val="00705C40"/>
    <w:rsid w:val="00706AF1"/>
    <w:rsid w:val="0071087E"/>
    <w:rsid w:val="00716313"/>
    <w:rsid w:val="00721648"/>
    <w:rsid w:val="007229A1"/>
    <w:rsid w:val="007235AA"/>
    <w:rsid w:val="007273D7"/>
    <w:rsid w:val="0072794C"/>
    <w:rsid w:val="007312E2"/>
    <w:rsid w:val="00731819"/>
    <w:rsid w:val="00732289"/>
    <w:rsid w:val="007332AD"/>
    <w:rsid w:val="00735915"/>
    <w:rsid w:val="00735BA3"/>
    <w:rsid w:val="00735C21"/>
    <w:rsid w:val="0073614A"/>
    <w:rsid w:val="00736C21"/>
    <w:rsid w:val="00736FF2"/>
    <w:rsid w:val="00740C8C"/>
    <w:rsid w:val="00741AC4"/>
    <w:rsid w:val="00741D28"/>
    <w:rsid w:val="00742CA5"/>
    <w:rsid w:val="00745F14"/>
    <w:rsid w:val="00750F53"/>
    <w:rsid w:val="007515BC"/>
    <w:rsid w:val="0075263B"/>
    <w:rsid w:val="0075283E"/>
    <w:rsid w:val="007556F7"/>
    <w:rsid w:val="007573B2"/>
    <w:rsid w:val="007574BB"/>
    <w:rsid w:val="0075764C"/>
    <w:rsid w:val="00757A6D"/>
    <w:rsid w:val="00760EE3"/>
    <w:rsid w:val="007612A8"/>
    <w:rsid w:val="0076168E"/>
    <w:rsid w:val="00762198"/>
    <w:rsid w:val="0076306F"/>
    <w:rsid w:val="00763CE8"/>
    <w:rsid w:val="00767E64"/>
    <w:rsid w:val="00770792"/>
    <w:rsid w:val="00772166"/>
    <w:rsid w:val="00774FFE"/>
    <w:rsid w:val="00775638"/>
    <w:rsid w:val="00775677"/>
    <w:rsid w:val="0077599A"/>
    <w:rsid w:val="0077724D"/>
    <w:rsid w:val="00777353"/>
    <w:rsid w:val="00780CD6"/>
    <w:rsid w:val="0078168D"/>
    <w:rsid w:val="0078271E"/>
    <w:rsid w:val="00782760"/>
    <w:rsid w:val="007827FA"/>
    <w:rsid w:val="00782EA4"/>
    <w:rsid w:val="00785461"/>
    <w:rsid w:val="00786FF3"/>
    <w:rsid w:val="007876CF"/>
    <w:rsid w:val="00793090"/>
    <w:rsid w:val="00793566"/>
    <w:rsid w:val="00793CE9"/>
    <w:rsid w:val="00796F2A"/>
    <w:rsid w:val="00797E4C"/>
    <w:rsid w:val="007A0176"/>
    <w:rsid w:val="007A092B"/>
    <w:rsid w:val="007A2F67"/>
    <w:rsid w:val="007A3918"/>
    <w:rsid w:val="007A4D09"/>
    <w:rsid w:val="007A5BE4"/>
    <w:rsid w:val="007A6088"/>
    <w:rsid w:val="007B0E58"/>
    <w:rsid w:val="007B0E89"/>
    <w:rsid w:val="007B2C38"/>
    <w:rsid w:val="007B2E54"/>
    <w:rsid w:val="007B3667"/>
    <w:rsid w:val="007B3CFF"/>
    <w:rsid w:val="007B543E"/>
    <w:rsid w:val="007B575B"/>
    <w:rsid w:val="007B600C"/>
    <w:rsid w:val="007B6B7D"/>
    <w:rsid w:val="007B6EFC"/>
    <w:rsid w:val="007B7498"/>
    <w:rsid w:val="007B7AEE"/>
    <w:rsid w:val="007C0294"/>
    <w:rsid w:val="007C0587"/>
    <w:rsid w:val="007C08DC"/>
    <w:rsid w:val="007C28E6"/>
    <w:rsid w:val="007C4D95"/>
    <w:rsid w:val="007C6A2B"/>
    <w:rsid w:val="007C7410"/>
    <w:rsid w:val="007C793B"/>
    <w:rsid w:val="007C7E84"/>
    <w:rsid w:val="007C7EB6"/>
    <w:rsid w:val="007D00FF"/>
    <w:rsid w:val="007D1542"/>
    <w:rsid w:val="007D17C5"/>
    <w:rsid w:val="007D2F75"/>
    <w:rsid w:val="007D3BC2"/>
    <w:rsid w:val="007D73A9"/>
    <w:rsid w:val="007D7E3A"/>
    <w:rsid w:val="007E1323"/>
    <w:rsid w:val="007E22E7"/>
    <w:rsid w:val="007E247A"/>
    <w:rsid w:val="007E4232"/>
    <w:rsid w:val="007E493E"/>
    <w:rsid w:val="007E5971"/>
    <w:rsid w:val="007E6704"/>
    <w:rsid w:val="007E69BB"/>
    <w:rsid w:val="007E6AB8"/>
    <w:rsid w:val="007E6ACB"/>
    <w:rsid w:val="007E6C4B"/>
    <w:rsid w:val="007E740F"/>
    <w:rsid w:val="007E7E96"/>
    <w:rsid w:val="007F2026"/>
    <w:rsid w:val="007F2109"/>
    <w:rsid w:val="007F21C5"/>
    <w:rsid w:val="007F3050"/>
    <w:rsid w:val="007F3EF1"/>
    <w:rsid w:val="007F437A"/>
    <w:rsid w:val="007F4EEB"/>
    <w:rsid w:val="007F7192"/>
    <w:rsid w:val="007F769D"/>
    <w:rsid w:val="0080056E"/>
    <w:rsid w:val="008008CD"/>
    <w:rsid w:val="00801BCE"/>
    <w:rsid w:val="00802515"/>
    <w:rsid w:val="008032E7"/>
    <w:rsid w:val="008037C4"/>
    <w:rsid w:val="00811941"/>
    <w:rsid w:val="0081283F"/>
    <w:rsid w:val="00812BD5"/>
    <w:rsid w:val="00812C0C"/>
    <w:rsid w:val="0081480A"/>
    <w:rsid w:val="008202EB"/>
    <w:rsid w:val="00820472"/>
    <w:rsid w:val="00820F86"/>
    <w:rsid w:val="00821A0C"/>
    <w:rsid w:val="00822BDD"/>
    <w:rsid w:val="00827F88"/>
    <w:rsid w:val="00830455"/>
    <w:rsid w:val="00830671"/>
    <w:rsid w:val="00832085"/>
    <w:rsid w:val="0083229F"/>
    <w:rsid w:val="00833388"/>
    <w:rsid w:val="008336A5"/>
    <w:rsid w:val="00834F7F"/>
    <w:rsid w:val="00835474"/>
    <w:rsid w:val="00835523"/>
    <w:rsid w:val="008373C0"/>
    <w:rsid w:val="008401AB"/>
    <w:rsid w:val="0084145F"/>
    <w:rsid w:val="00841DA2"/>
    <w:rsid w:val="00843DF0"/>
    <w:rsid w:val="00844CB5"/>
    <w:rsid w:val="008458F6"/>
    <w:rsid w:val="00845AED"/>
    <w:rsid w:val="00846DF7"/>
    <w:rsid w:val="0084708E"/>
    <w:rsid w:val="00847703"/>
    <w:rsid w:val="0085041B"/>
    <w:rsid w:val="00851AE4"/>
    <w:rsid w:val="008554B6"/>
    <w:rsid w:val="0085598D"/>
    <w:rsid w:val="00856AAA"/>
    <w:rsid w:val="00860A2D"/>
    <w:rsid w:val="00860D10"/>
    <w:rsid w:val="00862771"/>
    <w:rsid w:val="008638A0"/>
    <w:rsid w:val="00863EEC"/>
    <w:rsid w:val="0086682F"/>
    <w:rsid w:val="00871098"/>
    <w:rsid w:val="00873133"/>
    <w:rsid w:val="00874894"/>
    <w:rsid w:val="00875E31"/>
    <w:rsid w:val="00876975"/>
    <w:rsid w:val="00876D30"/>
    <w:rsid w:val="00876F54"/>
    <w:rsid w:val="00877292"/>
    <w:rsid w:val="0087754A"/>
    <w:rsid w:val="0087766C"/>
    <w:rsid w:val="00880552"/>
    <w:rsid w:val="00882C60"/>
    <w:rsid w:val="008839DA"/>
    <w:rsid w:val="00884782"/>
    <w:rsid w:val="00884EE8"/>
    <w:rsid w:val="00885168"/>
    <w:rsid w:val="00886943"/>
    <w:rsid w:val="00886DF7"/>
    <w:rsid w:val="0089173B"/>
    <w:rsid w:val="00891A6F"/>
    <w:rsid w:val="00891DD0"/>
    <w:rsid w:val="00891E76"/>
    <w:rsid w:val="0089220F"/>
    <w:rsid w:val="008935AA"/>
    <w:rsid w:val="008963F0"/>
    <w:rsid w:val="00897444"/>
    <w:rsid w:val="008A03A5"/>
    <w:rsid w:val="008A0677"/>
    <w:rsid w:val="008A0DF3"/>
    <w:rsid w:val="008A282C"/>
    <w:rsid w:val="008A4138"/>
    <w:rsid w:val="008A5196"/>
    <w:rsid w:val="008A5D96"/>
    <w:rsid w:val="008A5F85"/>
    <w:rsid w:val="008A622C"/>
    <w:rsid w:val="008B3580"/>
    <w:rsid w:val="008B653F"/>
    <w:rsid w:val="008B6848"/>
    <w:rsid w:val="008B71B6"/>
    <w:rsid w:val="008C0314"/>
    <w:rsid w:val="008C22EC"/>
    <w:rsid w:val="008C2FA1"/>
    <w:rsid w:val="008C4004"/>
    <w:rsid w:val="008C68BD"/>
    <w:rsid w:val="008D2C4C"/>
    <w:rsid w:val="008D35D5"/>
    <w:rsid w:val="008D4D67"/>
    <w:rsid w:val="008D789F"/>
    <w:rsid w:val="008D7A9D"/>
    <w:rsid w:val="008D7E0D"/>
    <w:rsid w:val="008D7EDB"/>
    <w:rsid w:val="008E1829"/>
    <w:rsid w:val="008E2327"/>
    <w:rsid w:val="008E5077"/>
    <w:rsid w:val="008E5F1A"/>
    <w:rsid w:val="008E64F0"/>
    <w:rsid w:val="008E6FF3"/>
    <w:rsid w:val="008E72D6"/>
    <w:rsid w:val="008E7B05"/>
    <w:rsid w:val="008F18ED"/>
    <w:rsid w:val="008F46C2"/>
    <w:rsid w:val="008F4EB7"/>
    <w:rsid w:val="008F7068"/>
    <w:rsid w:val="008F7EC7"/>
    <w:rsid w:val="00903D37"/>
    <w:rsid w:val="009043B8"/>
    <w:rsid w:val="00905FE2"/>
    <w:rsid w:val="00906E0E"/>
    <w:rsid w:val="00907D44"/>
    <w:rsid w:val="0091055D"/>
    <w:rsid w:val="0091324D"/>
    <w:rsid w:val="00914C61"/>
    <w:rsid w:val="00915DD1"/>
    <w:rsid w:val="0091675F"/>
    <w:rsid w:val="009175BC"/>
    <w:rsid w:val="00917D6F"/>
    <w:rsid w:val="009216AC"/>
    <w:rsid w:val="00921B1A"/>
    <w:rsid w:val="00921B7F"/>
    <w:rsid w:val="00921DDA"/>
    <w:rsid w:val="00922DE1"/>
    <w:rsid w:val="00924ABD"/>
    <w:rsid w:val="009257D3"/>
    <w:rsid w:val="00925DA1"/>
    <w:rsid w:val="0092600D"/>
    <w:rsid w:val="0093039D"/>
    <w:rsid w:val="00931E4F"/>
    <w:rsid w:val="0093364D"/>
    <w:rsid w:val="00936574"/>
    <w:rsid w:val="00937EE1"/>
    <w:rsid w:val="00941824"/>
    <w:rsid w:val="0094212C"/>
    <w:rsid w:val="009425EE"/>
    <w:rsid w:val="00943BCE"/>
    <w:rsid w:val="00945C38"/>
    <w:rsid w:val="00946AFE"/>
    <w:rsid w:val="00946EB4"/>
    <w:rsid w:val="00950262"/>
    <w:rsid w:val="0095041B"/>
    <w:rsid w:val="00951D4D"/>
    <w:rsid w:val="0095200C"/>
    <w:rsid w:val="00955330"/>
    <w:rsid w:val="00955AEE"/>
    <w:rsid w:val="00960346"/>
    <w:rsid w:val="009617D3"/>
    <w:rsid w:val="00964203"/>
    <w:rsid w:val="00964578"/>
    <w:rsid w:val="0096463B"/>
    <w:rsid w:val="00966A95"/>
    <w:rsid w:val="009677E4"/>
    <w:rsid w:val="00967869"/>
    <w:rsid w:val="0096796E"/>
    <w:rsid w:val="00970A80"/>
    <w:rsid w:val="00971F54"/>
    <w:rsid w:val="009725C5"/>
    <w:rsid w:val="00973F40"/>
    <w:rsid w:val="009744AD"/>
    <w:rsid w:val="0097503F"/>
    <w:rsid w:val="00980900"/>
    <w:rsid w:val="00983EED"/>
    <w:rsid w:val="00984387"/>
    <w:rsid w:val="009849EF"/>
    <w:rsid w:val="00986A7D"/>
    <w:rsid w:val="00986DB7"/>
    <w:rsid w:val="009934CF"/>
    <w:rsid w:val="009959E5"/>
    <w:rsid w:val="009A0D75"/>
    <w:rsid w:val="009A1D65"/>
    <w:rsid w:val="009A347A"/>
    <w:rsid w:val="009A54CE"/>
    <w:rsid w:val="009A5F0F"/>
    <w:rsid w:val="009A620E"/>
    <w:rsid w:val="009A6619"/>
    <w:rsid w:val="009B06B1"/>
    <w:rsid w:val="009B5869"/>
    <w:rsid w:val="009B6A6F"/>
    <w:rsid w:val="009C1AFE"/>
    <w:rsid w:val="009C2650"/>
    <w:rsid w:val="009C2D7F"/>
    <w:rsid w:val="009C3DA6"/>
    <w:rsid w:val="009C3E33"/>
    <w:rsid w:val="009C4885"/>
    <w:rsid w:val="009C5F24"/>
    <w:rsid w:val="009C6046"/>
    <w:rsid w:val="009C648C"/>
    <w:rsid w:val="009C7314"/>
    <w:rsid w:val="009D048B"/>
    <w:rsid w:val="009D1F16"/>
    <w:rsid w:val="009D48B4"/>
    <w:rsid w:val="009D5AF9"/>
    <w:rsid w:val="009D5B6F"/>
    <w:rsid w:val="009D69C6"/>
    <w:rsid w:val="009E0271"/>
    <w:rsid w:val="009E368C"/>
    <w:rsid w:val="009E5419"/>
    <w:rsid w:val="009E5A6E"/>
    <w:rsid w:val="009E70E7"/>
    <w:rsid w:val="009F09DE"/>
    <w:rsid w:val="009F25A8"/>
    <w:rsid w:val="009F3146"/>
    <w:rsid w:val="009F4048"/>
    <w:rsid w:val="009F46DC"/>
    <w:rsid w:val="009F5E67"/>
    <w:rsid w:val="00A005D5"/>
    <w:rsid w:val="00A0066E"/>
    <w:rsid w:val="00A0181D"/>
    <w:rsid w:val="00A01C00"/>
    <w:rsid w:val="00A021F4"/>
    <w:rsid w:val="00A03A50"/>
    <w:rsid w:val="00A04A21"/>
    <w:rsid w:val="00A06851"/>
    <w:rsid w:val="00A0787D"/>
    <w:rsid w:val="00A113C5"/>
    <w:rsid w:val="00A11CAD"/>
    <w:rsid w:val="00A11EC0"/>
    <w:rsid w:val="00A1515B"/>
    <w:rsid w:val="00A1620D"/>
    <w:rsid w:val="00A16AC0"/>
    <w:rsid w:val="00A16DC1"/>
    <w:rsid w:val="00A2372D"/>
    <w:rsid w:val="00A23D31"/>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A51"/>
    <w:rsid w:val="00A4299C"/>
    <w:rsid w:val="00A47916"/>
    <w:rsid w:val="00A47C99"/>
    <w:rsid w:val="00A50896"/>
    <w:rsid w:val="00A524FC"/>
    <w:rsid w:val="00A52BF1"/>
    <w:rsid w:val="00A536DA"/>
    <w:rsid w:val="00A53C82"/>
    <w:rsid w:val="00A5504D"/>
    <w:rsid w:val="00A571CD"/>
    <w:rsid w:val="00A57C3D"/>
    <w:rsid w:val="00A6247A"/>
    <w:rsid w:val="00A6632F"/>
    <w:rsid w:val="00A6697B"/>
    <w:rsid w:val="00A67649"/>
    <w:rsid w:val="00A6767F"/>
    <w:rsid w:val="00A719AA"/>
    <w:rsid w:val="00A73DE3"/>
    <w:rsid w:val="00A74C2D"/>
    <w:rsid w:val="00A76B34"/>
    <w:rsid w:val="00A805F6"/>
    <w:rsid w:val="00A83487"/>
    <w:rsid w:val="00A854FF"/>
    <w:rsid w:val="00A87035"/>
    <w:rsid w:val="00A8712A"/>
    <w:rsid w:val="00A8745D"/>
    <w:rsid w:val="00A908DA"/>
    <w:rsid w:val="00A90F9B"/>
    <w:rsid w:val="00A91EAD"/>
    <w:rsid w:val="00A92694"/>
    <w:rsid w:val="00A92AB0"/>
    <w:rsid w:val="00A93072"/>
    <w:rsid w:val="00A930EE"/>
    <w:rsid w:val="00A9629C"/>
    <w:rsid w:val="00AA01A2"/>
    <w:rsid w:val="00AA35D5"/>
    <w:rsid w:val="00AA417B"/>
    <w:rsid w:val="00AA4FD1"/>
    <w:rsid w:val="00AA533F"/>
    <w:rsid w:val="00AA5A86"/>
    <w:rsid w:val="00AB010D"/>
    <w:rsid w:val="00AB0554"/>
    <w:rsid w:val="00AB0749"/>
    <w:rsid w:val="00AB5F18"/>
    <w:rsid w:val="00AB750F"/>
    <w:rsid w:val="00AB76D8"/>
    <w:rsid w:val="00AB7E6A"/>
    <w:rsid w:val="00AC0DB1"/>
    <w:rsid w:val="00AC1272"/>
    <w:rsid w:val="00AC12C5"/>
    <w:rsid w:val="00AC1B61"/>
    <w:rsid w:val="00AC2C6E"/>
    <w:rsid w:val="00AC32D4"/>
    <w:rsid w:val="00AC5EE6"/>
    <w:rsid w:val="00AD0D24"/>
    <w:rsid w:val="00AD1923"/>
    <w:rsid w:val="00AD2055"/>
    <w:rsid w:val="00AD2611"/>
    <w:rsid w:val="00AD3AC5"/>
    <w:rsid w:val="00AD3D57"/>
    <w:rsid w:val="00AE34F4"/>
    <w:rsid w:val="00AE434A"/>
    <w:rsid w:val="00AE4537"/>
    <w:rsid w:val="00AE47BF"/>
    <w:rsid w:val="00AE6F0E"/>
    <w:rsid w:val="00AE781C"/>
    <w:rsid w:val="00AF110A"/>
    <w:rsid w:val="00AF1F42"/>
    <w:rsid w:val="00AF3CC5"/>
    <w:rsid w:val="00AF4657"/>
    <w:rsid w:val="00AF49A6"/>
    <w:rsid w:val="00AF6432"/>
    <w:rsid w:val="00AF6DED"/>
    <w:rsid w:val="00AF79BD"/>
    <w:rsid w:val="00B02B02"/>
    <w:rsid w:val="00B03088"/>
    <w:rsid w:val="00B043B6"/>
    <w:rsid w:val="00B06D74"/>
    <w:rsid w:val="00B07F12"/>
    <w:rsid w:val="00B10BAE"/>
    <w:rsid w:val="00B10CA3"/>
    <w:rsid w:val="00B132DA"/>
    <w:rsid w:val="00B14154"/>
    <w:rsid w:val="00B1415B"/>
    <w:rsid w:val="00B14985"/>
    <w:rsid w:val="00B15278"/>
    <w:rsid w:val="00B21273"/>
    <w:rsid w:val="00B222A2"/>
    <w:rsid w:val="00B223FD"/>
    <w:rsid w:val="00B234EC"/>
    <w:rsid w:val="00B24B14"/>
    <w:rsid w:val="00B26A72"/>
    <w:rsid w:val="00B274AE"/>
    <w:rsid w:val="00B274BF"/>
    <w:rsid w:val="00B27A1E"/>
    <w:rsid w:val="00B31222"/>
    <w:rsid w:val="00B318EB"/>
    <w:rsid w:val="00B35228"/>
    <w:rsid w:val="00B3643F"/>
    <w:rsid w:val="00B36753"/>
    <w:rsid w:val="00B41EC3"/>
    <w:rsid w:val="00B42424"/>
    <w:rsid w:val="00B4245A"/>
    <w:rsid w:val="00B42C7F"/>
    <w:rsid w:val="00B42E81"/>
    <w:rsid w:val="00B4329D"/>
    <w:rsid w:val="00B44365"/>
    <w:rsid w:val="00B445E5"/>
    <w:rsid w:val="00B44978"/>
    <w:rsid w:val="00B45DCD"/>
    <w:rsid w:val="00B46F5C"/>
    <w:rsid w:val="00B5035F"/>
    <w:rsid w:val="00B51D52"/>
    <w:rsid w:val="00B520F9"/>
    <w:rsid w:val="00B52812"/>
    <w:rsid w:val="00B53C69"/>
    <w:rsid w:val="00B5495A"/>
    <w:rsid w:val="00B54B5C"/>
    <w:rsid w:val="00B552B9"/>
    <w:rsid w:val="00B56F89"/>
    <w:rsid w:val="00B577A3"/>
    <w:rsid w:val="00B579FA"/>
    <w:rsid w:val="00B60142"/>
    <w:rsid w:val="00B6144B"/>
    <w:rsid w:val="00B622A0"/>
    <w:rsid w:val="00B64641"/>
    <w:rsid w:val="00B66D58"/>
    <w:rsid w:val="00B7262F"/>
    <w:rsid w:val="00B727C5"/>
    <w:rsid w:val="00B73FD4"/>
    <w:rsid w:val="00B74FC5"/>
    <w:rsid w:val="00B75A6C"/>
    <w:rsid w:val="00B8044C"/>
    <w:rsid w:val="00B80532"/>
    <w:rsid w:val="00B810E2"/>
    <w:rsid w:val="00B82F2D"/>
    <w:rsid w:val="00B83E2A"/>
    <w:rsid w:val="00B83E38"/>
    <w:rsid w:val="00B85DF3"/>
    <w:rsid w:val="00B86C19"/>
    <w:rsid w:val="00B87279"/>
    <w:rsid w:val="00B92EDF"/>
    <w:rsid w:val="00B93510"/>
    <w:rsid w:val="00B93E33"/>
    <w:rsid w:val="00B954F3"/>
    <w:rsid w:val="00B95BCD"/>
    <w:rsid w:val="00B95C42"/>
    <w:rsid w:val="00B95CDC"/>
    <w:rsid w:val="00B95CE5"/>
    <w:rsid w:val="00BA0D0B"/>
    <w:rsid w:val="00BA4F32"/>
    <w:rsid w:val="00BA58E9"/>
    <w:rsid w:val="00BB189A"/>
    <w:rsid w:val="00BB355C"/>
    <w:rsid w:val="00BB375D"/>
    <w:rsid w:val="00BB49A0"/>
    <w:rsid w:val="00BB515F"/>
    <w:rsid w:val="00BB532B"/>
    <w:rsid w:val="00BB7198"/>
    <w:rsid w:val="00BC1FA5"/>
    <w:rsid w:val="00BC2C0C"/>
    <w:rsid w:val="00BC3A48"/>
    <w:rsid w:val="00BC3B41"/>
    <w:rsid w:val="00BC732A"/>
    <w:rsid w:val="00BC758B"/>
    <w:rsid w:val="00BD20A9"/>
    <w:rsid w:val="00BD2EAC"/>
    <w:rsid w:val="00BD36F8"/>
    <w:rsid w:val="00BD4755"/>
    <w:rsid w:val="00BD4BB3"/>
    <w:rsid w:val="00BD54FB"/>
    <w:rsid w:val="00BD6524"/>
    <w:rsid w:val="00BD65FF"/>
    <w:rsid w:val="00BE17C6"/>
    <w:rsid w:val="00BE2BD3"/>
    <w:rsid w:val="00BE4728"/>
    <w:rsid w:val="00BE4865"/>
    <w:rsid w:val="00BE5595"/>
    <w:rsid w:val="00BE5B39"/>
    <w:rsid w:val="00BE69BF"/>
    <w:rsid w:val="00BE725A"/>
    <w:rsid w:val="00BE7430"/>
    <w:rsid w:val="00BE7B48"/>
    <w:rsid w:val="00BF0BBB"/>
    <w:rsid w:val="00BF0F8A"/>
    <w:rsid w:val="00BF3381"/>
    <w:rsid w:val="00BF3AC7"/>
    <w:rsid w:val="00BF5E60"/>
    <w:rsid w:val="00BF71F8"/>
    <w:rsid w:val="00C013B3"/>
    <w:rsid w:val="00C04F0E"/>
    <w:rsid w:val="00C074A2"/>
    <w:rsid w:val="00C10FCF"/>
    <w:rsid w:val="00C1200C"/>
    <w:rsid w:val="00C12ECA"/>
    <w:rsid w:val="00C12FBA"/>
    <w:rsid w:val="00C14C3F"/>
    <w:rsid w:val="00C14D65"/>
    <w:rsid w:val="00C16B4B"/>
    <w:rsid w:val="00C17427"/>
    <w:rsid w:val="00C20C00"/>
    <w:rsid w:val="00C210FD"/>
    <w:rsid w:val="00C22901"/>
    <w:rsid w:val="00C23052"/>
    <w:rsid w:val="00C235BA"/>
    <w:rsid w:val="00C2419A"/>
    <w:rsid w:val="00C24467"/>
    <w:rsid w:val="00C25238"/>
    <w:rsid w:val="00C27C34"/>
    <w:rsid w:val="00C305F2"/>
    <w:rsid w:val="00C321E7"/>
    <w:rsid w:val="00C3345C"/>
    <w:rsid w:val="00C340A7"/>
    <w:rsid w:val="00C36461"/>
    <w:rsid w:val="00C3746C"/>
    <w:rsid w:val="00C407E5"/>
    <w:rsid w:val="00C40DDC"/>
    <w:rsid w:val="00C40EB1"/>
    <w:rsid w:val="00C41FF3"/>
    <w:rsid w:val="00C42DAC"/>
    <w:rsid w:val="00C4342B"/>
    <w:rsid w:val="00C44EA8"/>
    <w:rsid w:val="00C459A9"/>
    <w:rsid w:val="00C46E20"/>
    <w:rsid w:val="00C502A5"/>
    <w:rsid w:val="00C516B8"/>
    <w:rsid w:val="00C521F7"/>
    <w:rsid w:val="00C52800"/>
    <w:rsid w:val="00C53008"/>
    <w:rsid w:val="00C55151"/>
    <w:rsid w:val="00C5575D"/>
    <w:rsid w:val="00C558FF"/>
    <w:rsid w:val="00C55A39"/>
    <w:rsid w:val="00C55E4B"/>
    <w:rsid w:val="00C560FA"/>
    <w:rsid w:val="00C565BF"/>
    <w:rsid w:val="00C57FF9"/>
    <w:rsid w:val="00C617E8"/>
    <w:rsid w:val="00C62D09"/>
    <w:rsid w:val="00C64434"/>
    <w:rsid w:val="00C64B27"/>
    <w:rsid w:val="00C7044F"/>
    <w:rsid w:val="00C7063C"/>
    <w:rsid w:val="00C729F8"/>
    <w:rsid w:val="00C72A2F"/>
    <w:rsid w:val="00C73C57"/>
    <w:rsid w:val="00C73FC5"/>
    <w:rsid w:val="00C746D9"/>
    <w:rsid w:val="00C74D43"/>
    <w:rsid w:val="00C75CA7"/>
    <w:rsid w:val="00C76F36"/>
    <w:rsid w:val="00C825A9"/>
    <w:rsid w:val="00C85DD4"/>
    <w:rsid w:val="00C862BB"/>
    <w:rsid w:val="00C86D30"/>
    <w:rsid w:val="00C86FC6"/>
    <w:rsid w:val="00C901BB"/>
    <w:rsid w:val="00C90CD3"/>
    <w:rsid w:val="00C921F4"/>
    <w:rsid w:val="00C92552"/>
    <w:rsid w:val="00C92611"/>
    <w:rsid w:val="00C931D3"/>
    <w:rsid w:val="00C93F1B"/>
    <w:rsid w:val="00C94997"/>
    <w:rsid w:val="00C976D1"/>
    <w:rsid w:val="00CA0830"/>
    <w:rsid w:val="00CA308F"/>
    <w:rsid w:val="00CA63A7"/>
    <w:rsid w:val="00CA71D4"/>
    <w:rsid w:val="00CB5B57"/>
    <w:rsid w:val="00CB5D29"/>
    <w:rsid w:val="00CB675A"/>
    <w:rsid w:val="00CB782B"/>
    <w:rsid w:val="00CC0E77"/>
    <w:rsid w:val="00CC2092"/>
    <w:rsid w:val="00CC285C"/>
    <w:rsid w:val="00CC2E67"/>
    <w:rsid w:val="00CC3722"/>
    <w:rsid w:val="00CC3FD2"/>
    <w:rsid w:val="00CC46CD"/>
    <w:rsid w:val="00CC5E76"/>
    <w:rsid w:val="00CC6980"/>
    <w:rsid w:val="00CD3A5D"/>
    <w:rsid w:val="00CD40D6"/>
    <w:rsid w:val="00CD56C0"/>
    <w:rsid w:val="00CD5F41"/>
    <w:rsid w:val="00CD5FD4"/>
    <w:rsid w:val="00CD666B"/>
    <w:rsid w:val="00CE069A"/>
    <w:rsid w:val="00CE0DCE"/>
    <w:rsid w:val="00CE0E4C"/>
    <w:rsid w:val="00CE1BC9"/>
    <w:rsid w:val="00CE2566"/>
    <w:rsid w:val="00CE285C"/>
    <w:rsid w:val="00CE33C1"/>
    <w:rsid w:val="00CE33F7"/>
    <w:rsid w:val="00CE4250"/>
    <w:rsid w:val="00CE4344"/>
    <w:rsid w:val="00CE4DD6"/>
    <w:rsid w:val="00CE76FF"/>
    <w:rsid w:val="00CF27EE"/>
    <w:rsid w:val="00CF4012"/>
    <w:rsid w:val="00CF63F9"/>
    <w:rsid w:val="00D006B3"/>
    <w:rsid w:val="00D00A76"/>
    <w:rsid w:val="00D01609"/>
    <w:rsid w:val="00D01F75"/>
    <w:rsid w:val="00D01F77"/>
    <w:rsid w:val="00D020BB"/>
    <w:rsid w:val="00D02BC6"/>
    <w:rsid w:val="00D0309E"/>
    <w:rsid w:val="00D0310D"/>
    <w:rsid w:val="00D05803"/>
    <w:rsid w:val="00D05C7C"/>
    <w:rsid w:val="00D06906"/>
    <w:rsid w:val="00D07742"/>
    <w:rsid w:val="00D0789D"/>
    <w:rsid w:val="00D1010C"/>
    <w:rsid w:val="00D1276A"/>
    <w:rsid w:val="00D14DB7"/>
    <w:rsid w:val="00D15EC3"/>
    <w:rsid w:val="00D15ED5"/>
    <w:rsid w:val="00D1657F"/>
    <w:rsid w:val="00D200AB"/>
    <w:rsid w:val="00D21B99"/>
    <w:rsid w:val="00D26251"/>
    <w:rsid w:val="00D305A3"/>
    <w:rsid w:val="00D31CD5"/>
    <w:rsid w:val="00D348F7"/>
    <w:rsid w:val="00D34A17"/>
    <w:rsid w:val="00D360BA"/>
    <w:rsid w:val="00D36EF4"/>
    <w:rsid w:val="00D371D0"/>
    <w:rsid w:val="00D4004F"/>
    <w:rsid w:val="00D4062A"/>
    <w:rsid w:val="00D40BC3"/>
    <w:rsid w:val="00D40D9A"/>
    <w:rsid w:val="00D434EC"/>
    <w:rsid w:val="00D44E9D"/>
    <w:rsid w:val="00D472A7"/>
    <w:rsid w:val="00D509A6"/>
    <w:rsid w:val="00D51515"/>
    <w:rsid w:val="00D530EA"/>
    <w:rsid w:val="00D550C7"/>
    <w:rsid w:val="00D61A0E"/>
    <w:rsid w:val="00D61A7B"/>
    <w:rsid w:val="00D64EFD"/>
    <w:rsid w:val="00D70DAA"/>
    <w:rsid w:val="00D70E78"/>
    <w:rsid w:val="00D71CF9"/>
    <w:rsid w:val="00D727C5"/>
    <w:rsid w:val="00D73437"/>
    <w:rsid w:val="00D7580B"/>
    <w:rsid w:val="00D768B1"/>
    <w:rsid w:val="00D8011B"/>
    <w:rsid w:val="00D8020F"/>
    <w:rsid w:val="00D805C2"/>
    <w:rsid w:val="00D80F9D"/>
    <w:rsid w:val="00D81BAE"/>
    <w:rsid w:val="00D833A0"/>
    <w:rsid w:val="00D84B17"/>
    <w:rsid w:val="00D8507D"/>
    <w:rsid w:val="00D86304"/>
    <w:rsid w:val="00D86735"/>
    <w:rsid w:val="00D8718E"/>
    <w:rsid w:val="00D871FB"/>
    <w:rsid w:val="00D90291"/>
    <w:rsid w:val="00D90C9D"/>
    <w:rsid w:val="00D90E57"/>
    <w:rsid w:val="00D912EC"/>
    <w:rsid w:val="00D91910"/>
    <w:rsid w:val="00D91AA8"/>
    <w:rsid w:val="00D944A6"/>
    <w:rsid w:val="00D96FC3"/>
    <w:rsid w:val="00D976BA"/>
    <w:rsid w:val="00DA0164"/>
    <w:rsid w:val="00DA0839"/>
    <w:rsid w:val="00DA098B"/>
    <w:rsid w:val="00DA12C3"/>
    <w:rsid w:val="00DA22B5"/>
    <w:rsid w:val="00DA3564"/>
    <w:rsid w:val="00DA3A18"/>
    <w:rsid w:val="00DA495D"/>
    <w:rsid w:val="00DA649D"/>
    <w:rsid w:val="00DA6CAC"/>
    <w:rsid w:val="00DA7BA0"/>
    <w:rsid w:val="00DB0C4F"/>
    <w:rsid w:val="00DB469A"/>
    <w:rsid w:val="00DB494A"/>
    <w:rsid w:val="00DB52C3"/>
    <w:rsid w:val="00DB5DA3"/>
    <w:rsid w:val="00DB78A4"/>
    <w:rsid w:val="00DB7E5F"/>
    <w:rsid w:val="00DC10B0"/>
    <w:rsid w:val="00DC1594"/>
    <w:rsid w:val="00DC2005"/>
    <w:rsid w:val="00DC4BCD"/>
    <w:rsid w:val="00DC74B9"/>
    <w:rsid w:val="00DC7ABC"/>
    <w:rsid w:val="00DD1107"/>
    <w:rsid w:val="00DD178F"/>
    <w:rsid w:val="00DD1FE4"/>
    <w:rsid w:val="00DD2405"/>
    <w:rsid w:val="00DD6CEF"/>
    <w:rsid w:val="00DE2966"/>
    <w:rsid w:val="00DE2CCA"/>
    <w:rsid w:val="00DE33AE"/>
    <w:rsid w:val="00DE3EED"/>
    <w:rsid w:val="00DE4107"/>
    <w:rsid w:val="00DE6F1C"/>
    <w:rsid w:val="00DF04ED"/>
    <w:rsid w:val="00DF0B5E"/>
    <w:rsid w:val="00DF0ED5"/>
    <w:rsid w:val="00DF2CE5"/>
    <w:rsid w:val="00DF3B88"/>
    <w:rsid w:val="00DF5502"/>
    <w:rsid w:val="00DF70B5"/>
    <w:rsid w:val="00DF72D9"/>
    <w:rsid w:val="00DF75DC"/>
    <w:rsid w:val="00DF7EC8"/>
    <w:rsid w:val="00E02126"/>
    <w:rsid w:val="00E0240D"/>
    <w:rsid w:val="00E028ED"/>
    <w:rsid w:val="00E07D78"/>
    <w:rsid w:val="00E104F6"/>
    <w:rsid w:val="00E10748"/>
    <w:rsid w:val="00E1114C"/>
    <w:rsid w:val="00E12296"/>
    <w:rsid w:val="00E12F57"/>
    <w:rsid w:val="00E13CB8"/>
    <w:rsid w:val="00E14282"/>
    <w:rsid w:val="00E156F2"/>
    <w:rsid w:val="00E21464"/>
    <w:rsid w:val="00E2250E"/>
    <w:rsid w:val="00E24BF5"/>
    <w:rsid w:val="00E25982"/>
    <w:rsid w:val="00E26342"/>
    <w:rsid w:val="00E274D8"/>
    <w:rsid w:val="00E27DDF"/>
    <w:rsid w:val="00E27E01"/>
    <w:rsid w:val="00E30A90"/>
    <w:rsid w:val="00E32DBA"/>
    <w:rsid w:val="00E34579"/>
    <w:rsid w:val="00E4110D"/>
    <w:rsid w:val="00E42193"/>
    <w:rsid w:val="00E43469"/>
    <w:rsid w:val="00E43535"/>
    <w:rsid w:val="00E43A0F"/>
    <w:rsid w:val="00E445DA"/>
    <w:rsid w:val="00E44F43"/>
    <w:rsid w:val="00E45379"/>
    <w:rsid w:val="00E45B0E"/>
    <w:rsid w:val="00E50B22"/>
    <w:rsid w:val="00E51E18"/>
    <w:rsid w:val="00E533BD"/>
    <w:rsid w:val="00E53706"/>
    <w:rsid w:val="00E53FFA"/>
    <w:rsid w:val="00E57A17"/>
    <w:rsid w:val="00E57CE2"/>
    <w:rsid w:val="00E600C3"/>
    <w:rsid w:val="00E617BD"/>
    <w:rsid w:val="00E61E05"/>
    <w:rsid w:val="00E64012"/>
    <w:rsid w:val="00E64BD9"/>
    <w:rsid w:val="00E65D1B"/>
    <w:rsid w:val="00E66F2F"/>
    <w:rsid w:val="00E670C7"/>
    <w:rsid w:val="00E67E50"/>
    <w:rsid w:val="00E700BB"/>
    <w:rsid w:val="00E700FC"/>
    <w:rsid w:val="00E70305"/>
    <w:rsid w:val="00E705B4"/>
    <w:rsid w:val="00E70904"/>
    <w:rsid w:val="00E72263"/>
    <w:rsid w:val="00E72967"/>
    <w:rsid w:val="00E8155D"/>
    <w:rsid w:val="00E8554D"/>
    <w:rsid w:val="00E85CC0"/>
    <w:rsid w:val="00E87179"/>
    <w:rsid w:val="00E9143C"/>
    <w:rsid w:val="00E9150D"/>
    <w:rsid w:val="00E91616"/>
    <w:rsid w:val="00E93233"/>
    <w:rsid w:val="00E9385C"/>
    <w:rsid w:val="00E96902"/>
    <w:rsid w:val="00E975D3"/>
    <w:rsid w:val="00EA041B"/>
    <w:rsid w:val="00EA0E04"/>
    <w:rsid w:val="00EA0E12"/>
    <w:rsid w:val="00EA220D"/>
    <w:rsid w:val="00EA3156"/>
    <w:rsid w:val="00EA354C"/>
    <w:rsid w:val="00EA40A2"/>
    <w:rsid w:val="00EA479C"/>
    <w:rsid w:val="00EA4CD5"/>
    <w:rsid w:val="00EA5979"/>
    <w:rsid w:val="00EA5D2C"/>
    <w:rsid w:val="00EA5D8E"/>
    <w:rsid w:val="00EA6C2B"/>
    <w:rsid w:val="00EA6E8E"/>
    <w:rsid w:val="00EA7463"/>
    <w:rsid w:val="00EB01D4"/>
    <w:rsid w:val="00EB07CF"/>
    <w:rsid w:val="00EB2B42"/>
    <w:rsid w:val="00EB3B88"/>
    <w:rsid w:val="00EB4634"/>
    <w:rsid w:val="00EB5730"/>
    <w:rsid w:val="00EB7A33"/>
    <w:rsid w:val="00EC000C"/>
    <w:rsid w:val="00EC07FB"/>
    <w:rsid w:val="00EC0C14"/>
    <w:rsid w:val="00EC258B"/>
    <w:rsid w:val="00EC3B8F"/>
    <w:rsid w:val="00EC4A46"/>
    <w:rsid w:val="00EC5CA0"/>
    <w:rsid w:val="00EC7372"/>
    <w:rsid w:val="00ED040E"/>
    <w:rsid w:val="00ED19D1"/>
    <w:rsid w:val="00ED1CBF"/>
    <w:rsid w:val="00ED2961"/>
    <w:rsid w:val="00ED2ACC"/>
    <w:rsid w:val="00ED30E8"/>
    <w:rsid w:val="00ED3599"/>
    <w:rsid w:val="00ED3B69"/>
    <w:rsid w:val="00ED4C2D"/>
    <w:rsid w:val="00ED6CD1"/>
    <w:rsid w:val="00ED7D3E"/>
    <w:rsid w:val="00EE008C"/>
    <w:rsid w:val="00EE3772"/>
    <w:rsid w:val="00EE4118"/>
    <w:rsid w:val="00EE5F2E"/>
    <w:rsid w:val="00EF1BA3"/>
    <w:rsid w:val="00EF3FE9"/>
    <w:rsid w:val="00EF4659"/>
    <w:rsid w:val="00EF4A64"/>
    <w:rsid w:val="00EF5D4F"/>
    <w:rsid w:val="00EF79E1"/>
    <w:rsid w:val="00F004ED"/>
    <w:rsid w:val="00F02171"/>
    <w:rsid w:val="00F024EE"/>
    <w:rsid w:val="00F033EF"/>
    <w:rsid w:val="00F061A6"/>
    <w:rsid w:val="00F0710C"/>
    <w:rsid w:val="00F11AB3"/>
    <w:rsid w:val="00F14017"/>
    <w:rsid w:val="00F1684C"/>
    <w:rsid w:val="00F16868"/>
    <w:rsid w:val="00F20633"/>
    <w:rsid w:val="00F20844"/>
    <w:rsid w:val="00F25165"/>
    <w:rsid w:val="00F256F5"/>
    <w:rsid w:val="00F25CFE"/>
    <w:rsid w:val="00F2600A"/>
    <w:rsid w:val="00F27A6E"/>
    <w:rsid w:val="00F322F8"/>
    <w:rsid w:val="00F346E9"/>
    <w:rsid w:val="00F35243"/>
    <w:rsid w:val="00F36148"/>
    <w:rsid w:val="00F3684D"/>
    <w:rsid w:val="00F368A1"/>
    <w:rsid w:val="00F41A4E"/>
    <w:rsid w:val="00F436DA"/>
    <w:rsid w:val="00F43E6E"/>
    <w:rsid w:val="00F43EBF"/>
    <w:rsid w:val="00F44423"/>
    <w:rsid w:val="00F449E8"/>
    <w:rsid w:val="00F45D4E"/>
    <w:rsid w:val="00F479E2"/>
    <w:rsid w:val="00F50B52"/>
    <w:rsid w:val="00F50DBA"/>
    <w:rsid w:val="00F51236"/>
    <w:rsid w:val="00F51242"/>
    <w:rsid w:val="00F53355"/>
    <w:rsid w:val="00F5374C"/>
    <w:rsid w:val="00F541B8"/>
    <w:rsid w:val="00F56CC2"/>
    <w:rsid w:val="00F57438"/>
    <w:rsid w:val="00F60142"/>
    <w:rsid w:val="00F60BC0"/>
    <w:rsid w:val="00F61B7F"/>
    <w:rsid w:val="00F61EB4"/>
    <w:rsid w:val="00F62370"/>
    <w:rsid w:val="00F628D3"/>
    <w:rsid w:val="00F6497E"/>
    <w:rsid w:val="00F64B12"/>
    <w:rsid w:val="00F66738"/>
    <w:rsid w:val="00F677E2"/>
    <w:rsid w:val="00F67BDF"/>
    <w:rsid w:val="00F72A5B"/>
    <w:rsid w:val="00F73751"/>
    <w:rsid w:val="00F74156"/>
    <w:rsid w:val="00F7443C"/>
    <w:rsid w:val="00F75EAD"/>
    <w:rsid w:val="00F75F9F"/>
    <w:rsid w:val="00F770D3"/>
    <w:rsid w:val="00F77154"/>
    <w:rsid w:val="00F80F33"/>
    <w:rsid w:val="00F846CD"/>
    <w:rsid w:val="00F846D6"/>
    <w:rsid w:val="00F912E8"/>
    <w:rsid w:val="00F9173A"/>
    <w:rsid w:val="00F91800"/>
    <w:rsid w:val="00F94E99"/>
    <w:rsid w:val="00F95BDB"/>
    <w:rsid w:val="00F9650A"/>
    <w:rsid w:val="00F967C7"/>
    <w:rsid w:val="00F96CA3"/>
    <w:rsid w:val="00F96F06"/>
    <w:rsid w:val="00FA0395"/>
    <w:rsid w:val="00FA0437"/>
    <w:rsid w:val="00FA233F"/>
    <w:rsid w:val="00FA2E05"/>
    <w:rsid w:val="00FA330C"/>
    <w:rsid w:val="00FA5684"/>
    <w:rsid w:val="00FA58EC"/>
    <w:rsid w:val="00FA7D57"/>
    <w:rsid w:val="00FB0008"/>
    <w:rsid w:val="00FB067D"/>
    <w:rsid w:val="00FB071C"/>
    <w:rsid w:val="00FB0915"/>
    <w:rsid w:val="00FB1D7B"/>
    <w:rsid w:val="00FB3EA0"/>
    <w:rsid w:val="00FB55F4"/>
    <w:rsid w:val="00FB6164"/>
    <w:rsid w:val="00FB7140"/>
    <w:rsid w:val="00FC0B63"/>
    <w:rsid w:val="00FC1AD6"/>
    <w:rsid w:val="00FC2209"/>
    <w:rsid w:val="00FC40EC"/>
    <w:rsid w:val="00FC7531"/>
    <w:rsid w:val="00FC7977"/>
    <w:rsid w:val="00FC7EAA"/>
    <w:rsid w:val="00FD2B88"/>
    <w:rsid w:val="00FD4FA5"/>
    <w:rsid w:val="00FD5166"/>
    <w:rsid w:val="00FD5901"/>
    <w:rsid w:val="00FD6F40"/>
    <w:rsid w:val="00FD7055"/>
    <w:rsid w:val="00FD7691"/>
    <w:rsid w:val="00FE2D9E"/>
    <w:rsid w:val="00FE52BC"/>
    <w:rsid w:val="00FE5CF1"/>
    <w:rsid w:val="00FF1532"/>
    <w:rsid w:val="00FF456A"/>
    <w:rsid w:val="00FF46FD"/>
    <w:rsid w:val="00FF504F"/>
    <w:rsid w:val="00FF6204"/>
    <w:rsid w:val="00FF634D"/>
    <w:rsid w:val="00FF70BE"/>
    <w:rsid w:val="00FF744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D6CD60"/>
  <w15:docId w15:val="{B9DE7987-6C8E-4C26-92B8-8F51C5F41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638A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1C64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4Car">
    <w:name w:val="Título 4 Car"/>
    <w:basedOn w:val="Fuentedeprrafopredeter"/>
    <w:link w:val="Ttulo4"/>
    <w:uiPriority w:val="9"/>
    <w:semiHidden/>
    <w:rsid w:val="001C6497"/>
    <w:rPr>
      <w:rFonts w:asciiTheme="majorHAnsi" w:eastAsiaTheme="majorEastAsia" w:hAnsiTheme="majorHAnsi" w:cstheme="majorBidi"/>
      <w:i/>
      <w:iCs/>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703293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170044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0888845">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596719266">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043881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1613503">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96943074">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1980303">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osfem.gob.mx/09_Iconografia/Cumplimiento/Aytto/Aytto_19.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osfem.gob.mx/09_Iconografia/Cumplimiento/Aytto/Aytto_19.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www.apartados.hacienda.gob.mx/contabilidad/documentos/informe_cuenta/1998/cuenta_publica/Glosario/n.htm" TargetMode="External"/><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hyperlink" Target="http://www.transparenciapresupuestaria.gob.mx/es/PTP/Glosario"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8277D-1D61-4CD3-9BFE-61860F1FE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10384</Words>
  <Characters>57112</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2</cp:revision>
  <cp:lastPrinted>2019-09-12T17:01:00Z</cp:lastPrinted>
  <dcterms:created xsi:type="dcterms:W3CDTF">2019-10-08T18:47:00Z</dcterms:created>
  <dcterms:modified xsi:type="dcterms:W3CDTF">2019-10-08T18:47:00Z</dcterms:modified>
</cp:coreProperties>
</file>