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4DE" w:rsidRPr="00D078A0" w:rsidRDefault="00EC74DE" w:rsidP="0023793B">
      <w:pPr>
        <w:spacing w:before="100" w:beforeAutospacing="1" w:after="100" w:afterAutospacing="1" w:line="360" w:lineRule="auto"/>
        <w:contextualSpacing/>
        <w:jc w:val="both"/>
        <w:rPr>
          <w:rFonts w:ascii="Palatino Linotype" w:hAnsi="Palatino Linotype"/>
        </w:rPr>
      </w:pPr>
      <w:r w:rsidRPr="00D078A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D4570" w:rsidRPr="00D078A0">
        <w:rPr>
          <w:rFonts w:ascii="Palatino Linotype" w:hAnsi="Palatino Linotype"/>
        </w:rPr>
        <w:t xml:space="preserve">quince de enero </w:t>
      </w:r>
      <w:r w:rsidRPr="00D078A0">
        <w:rPr>
          <w:rFonts w:ascii="Palatino Linotype" w:hAnsi="Palatino Linotype"/>
        </w:rPr>
        <w:t xml:space="preserve">de dos mil </w:t>
      </w:r>
      <w:r w:rsidR="006D3C7E" w:rsidRPr="00D078A0">
        <w:rPr>
          <w:rFonts w:ascii="Palatino Linotype" w:hAnsi="Palatino Linotype"/>
        </w:rPr>
        <w:t>veinte</w:t>
      </w:r>
      <w:r w:rsidRPr="00D078A0">
        <w:rPr>
          <w:rFonts w:ascii="Palatino Linotype" w:hAnsi="Palatino Linotype"/>
        </w:rPr>
        <w:t>.</w:t>
      </w:r>
    </w:p>
    <w:p w:rsidR="00284131" w:rsidRPr="00D078A0" w:rsidRDefault="00284131" w:rsidP="0023793B">
      <w:pPr>
        <w:spacing w:before="100" w:beforeAutospacing="1" w:after="100" w:afterAutospacing="1" w:line="360" w:lineRule="auto"/>
        <w:contextualSpacing/>
        <w:jc w:val="both"/>
        <w:rPr>
          <w:rFonts w:ascii="Palatino Linotype" w:hAnsi="Palatino Linotype"/>
          <w:b/>
        </w:rPr>
      </w:pPr>
    </w:p>
    <w:p w:rsidR="00EC74DE" w:rsidRPr="00D078A0" w:rsidRDefault="00EC74DE" w:rsidP="0023793B">
      <w:pPr>
        <w:spacing w:before="100" w:beforeAutospacing="1" w:after="100" w:afterAutospacing="1" w:line="360" w:lineRule="auto"/>
        <w:contextualSpacing/>
        <w:jc w:val="both"/>
        <w:rPr>
          <w:rFonts w:ascii="Palatino Linotype" w:hAnsi="Palatino Linotype"/>
        </w:rPr>
      </w:pPr>
      <w:r w:rsidRPr="00D078A0">
        <w:rPr>
          <w:rFonts w:ascii="Palatino Linotype" w:hAnsi="Palatino Linotype"/>
          <w:b/>
        </w:rPr>
        <w:t>VISTO</w:t>
      </w:r>
      <w:r w:rsidRPr="00D078A0">
        <w:rPr>
          <w:rFonts w:ascii="Palatino Linotype" w:hAnsi="Palatino Linotype"/>
        </w:rPr>
        <w:t xml:space="preserve"> el expediente formado con motivo del recurso de revisión </w:t>
      </w:r>
      <w:r w:rsidR="006D3C7E" w:rsidRPr="00D078A0">
        <w:rPr>
          <w:rFonts w:ascii="Palatino Linotype" w:hAnsi="Palatino Linotype"/>
          <w:b/>
          <w:lang w:val="es-ES_tradnl"/>
        </w:rPr>
        <w:t>0849</w:t>
      </w:r>
      <w:r w:rsidR="00370FB6" w:rsidRPr="00D078A0">
        <w:rPr>
          <w:rFonts w:ascii="Palatino Linotype" w:hAnsi="Palatino Linotype"/>
          <w:b/>
          <w:lang w:val="es-ES_tradnl"/>
        </w:rPr>
        <w:t>7</w:t>
      </w:r>
      <w:r w:rsidRPr="00D078A0">
        <w:rPr>
          <w:rFonts w:ascii="Palatino Linotype" w:hAnsi="Palatino Linotype"/>
          <w:b/>
          <w:lang w:val="es-ES_tradnl"/>
        </w:rPr>
        <w:t>/INFOEM/IP/RR/2019</w:t>
      </w:r>
      <w:r w:rsidRPr="00D078A0">
        <w:rPr>
          <w:rFonts w:ascii="Palatino Linotype" w:hAnsi="Palatino Linotype"/>
        </w:rPr>
        <w:t>, promovido por</w:t>
      </w:r>
      <w:r w:rsidRPr="00D078A0">
        <w:rPr>
          <w:rFonts w:ascii="Palatino Linotype" w:hAnsi="Palatino Linotype" w:cs="Arial"/>
        </w:rPr>
        <w:t xml:space="preserve"> </w:t>
      </w:r>
      <w:r w:rsidR="006D3C7E" w:rsidRPr="00D078A0">
        <w:rPr>
          <w:rFonts w:ascii="Palatino Linotype" w:hAnsi="Palatino Linotype" w:cs="Arial"/>
        </w:rPr>
        <w:t>el</w:t>
      </w:r>
      <w:r w:rsidRPr="00D078A0">
        <w:rPr>
          <w:rFonts w:ascii="Palatino Linotype" w:hAnsi="Palatino Linotype" w:cs="Arial"/>
        </w:rPr>
        <w:t xml:space="preserve"> C.</w:t>
      </w:r>
      <w:r w:rsidR="0094472A" w:rsidRPr="00D078A0">
        <w:rPr>
          <w:rFonts w:ascii="Palatino Linotype" w:hAnsi="Palatino Linotype"/>
          <w:b/>
          <w:lang w:val="es-ES_tradnl"/>
        </w:rPr>
        <w:t xml:space="preserve"> </w:t>
      </w:r>
      <w:r w:rsidR="00406F6F">
        <w:rPr>
          <w:rFonts w:ascii="Palatino Linotype" w:hAnsi="Palatino Linotype"/>
          <w:b/>
          <w:lang w:val="es-ES_tradnl"/>
        </w:rPr>
        <w:t>Xxxx</w:t>
      </w:r>
      <w:r w:rsidR="006D3C7E" w:rsidRPr="00D078A0">
        <w:rPr>
          <w:rFonts w:ascii="Palatino Linotype" w:hAnsi="Palatino Linotype"/>
          <w:b/>
          <w:lang w:val="es-ES_tradnl"/>
        </w:rPr>
        <w:t xml:space="preserve"> </w:t>
      </w:r>
      <w:r w:rsidR="00406F6F">
        <w:rPr>
          <w:rFonts w:ascii="Palatino Linotype" w:hAnsi="Palatino Linotype"/>
          <w:b/>
          <w:lang w:val="es-ES_tradnl"/>
        </w:rPr>
        <w:t>Xxxxxxxx</w:t>
      </w:r>
      <w:r w:rsidR="006D3C7E" w:rsidRPr="00D078A0">
        <w:rPr>
          <w:rFonts w:ascii="Palatino Linotype" w:hAnsi="Palatino Linotype"/>
          <w:b/>
          <w:lang w:val="es-ES_tradnl"/>
        </w:rPr>
        <w:t xml:space="preserve"> </w:t>
      </w:r>
      <w:r w:rsidR="00406F6F">
        <w:rPr>
          <w:rFonts w:ascii="Palatino Linotype" w:hAnsi="Palatino Linotype"/>
          <w:b/>
          <w:lang w:val="es-ES_tradnl"/>
        </w:rPr>
        <w:t>Xxxxxxx</w:t>
      </w:r>
      <w:r w:rsidR="006D3C7E" w:rsidRPr="00D078A0">
        <w:rPr>
          <w:rFonts w:ascii="Palatino Linotype" w:hAnsi="Palatino Linotype"/>
          <w:b/>
          <w:lang w:val="es-ES_tradnl"/>
        </w:rPr>
        <w:t xml:space="preserve"> </w:t>
      </w:r>
      <w:r w:rsidR="00406F6F">
        <w:rPr>
          <w:rFonts w:ascii="Palatino Linotype" w:hAnsi="Palatino Linotype"/>
          <w:b/>
          <w:lang w:val="es-ES_tradnl"/>
        </w:rPr>
        <w:t>Xxxxxxxx</w:t>
      </w:r>
      <w:r w:rsidR="00284131" w:rsidRPr="00D078A0">
        <w:rPr>
          <w:rFonts w:ascii="Palatino Linotype" w:hAnsi="Palatino Linotype"/>
          <w:b/>
          <w:lang w:val="es-ES_tradnl"/>
        </w:rPr>
        <w:t xml:space="preserve"> y/o </w:t>
      </w:r>
      <w:r w:rsidR="00406F6F">
        <w:rPr>
          <w:rFonts w:ascii="Palatino Linotype" w:hAnsi="Palatino Linotype"/>
          <w:b/>
          <w:lang w:val="es-ES_tradnl"/>
        </w:rPr>
        <w:t>Xxxx</w:t>
      </w:r>
      <w:r w:rsidR="00406F6F" w:rsidRPr="00D078A0">
        <w:rPr>
          <w:rFonts w:ascii="Palatino Linotype" w:hAnsi="Palatino Linotype"/>
          <w:b/>
          <w:lang w:val="es-ES_tradnl"/>
        </w:rPr>
        <w:t xml:space="preserve"> </w:t>
      </w:r>
      <w:r w:rsidR="00406F6F">
        <w:rPr>
          <w:rFonts w:ascii="Palatino Linotype" w:hAnsi="Palatino Linotype"/>
          <w:b/>
          <w:lang w:val="es-ES_tradnl"/>
        </w:rPr>
        <w:t>Xxxxxxxx</w:t>
      </w:r>
      <w:r w:rsidR="00406F6F" w:rsidRPr="00D078A0">
        <w:rPr>
          <w:rFonts w:ascii="Palatino Linotype" w:hAnsi="Palatino Linotype"/>
          <w:b/>
          <w:lang w:val="es-ES_tradnl"/>
        </w:rPr>
        <w:t xml:space="preserve"> </w:t>
      </w:r>
      <w:r w:rsidR="00406F6F">
        <w:rPr>
          <w:rFonts w:ascii="Palatino Linotype" w:hAnsi="Palatino Linotype"/>
          <w:b/>
          <w:lang w:val="es-ES_tradnl"/>
        </w:rPr>
        <w:t>Xxxxxxx</w:t>
      </w:r>
      <w:r w:rsidR="00406F6F" w:rsidRPr="00D078A0">
        <w:rPr>
          <w:rFonts w:ascii="Palatino Linotype" w:hAnsi="Palatino Linotype"/>
          <w:b/>
          <w:lang w:val="es-ES_tradnl"/>
        </w:rPr>
        <w:t xml:space="preserve"> </w:t>
      </w:r>
      <w:r w:rsidR="00406F6F">
        <w:rPr>
          <w:rFonts w:ascii="Palatino Linotype" w:hAnsi="Palatino Linotype"/>
          <w:b/>
          <w:lang w:val="es-ES_tradnl"/>
        </w:rPr>
        <w:t>Xxxxxxxx</w:t>
      </w:r>
      <w:r w:rsidRPr="00D078A0">
        <w:rPr>
          <w:rFonts w:ascii="Palatino Linotype" w:hAnsi="Palatino Linotype" w:cs="Arial"/>
        </w:rPr>
        <w:t>, en lo sucesivo</w:t>
      </w:r>
      <w:r w:rsidR="006D3C7E" w:rsidRPr="00D078A0">
        <w:rPr>
          <w:rFonts w:ascii="Palatino Linotype" w:hAnsi="Palatino Linotype" w:cs="Arial"/>
          <w:b/>
        </w:rPr>
        <w:t xml:space="preserve"> EL</w:t>
      </w:r>
      <w:r w:rsidRPr="00D078A0">
        <w:rPr>
          <w:rFonts w:ascii="Palatino Linotype" w:hAnsi="Palatino Linotype" w:cs="Arial"/>
          <w:b/>
        </w:rPr>
        <w:t xml:space="preserve"> RECURRENTE</w:t>
      </w:r>
      <w:r w:rsidRPr="00D078A0">
        <w:rPr>
          <w:rFonts w:ascii="Palatino Linotype" w:hAnsi="Palatino Linotype"/>
        </w:rPr>
        <w:t>, en contra de la</w:t>
      </w:r>
      <w:r w:rsidR="003D192B" w:rsidRPr="00D078A0">
        <w:rPr>
          <w:rFonts w:ascii="Palatino Linotype" w:hAnsi="Palatino Linotype"/>
        </w:rPr>
        <w:t xml:space="preserve"> falta</w:t>
      </w:r>
      <w:r w:rsidRPr="00D078A0">
        <w:rPr>
          <w:rFonts w:ascii="Palatino Linotype" w:hAnsi="Palatino Linotype"/>
        </w:rPr>
        <w:t xml:space="preserve"> </w:t>
      </w:r>
      <w:r w:rsidR="003D192B" w:rsidRPr="00D078A0">
        <w:rPr>
          <w:rFonts w:ascii="Palatino Linotype" w:hAnsi="Palatino Linotype"/>
        </w:rPr>
        <w:t xml:space="preserve">de </w:t>
      </w:r>
      <w:r w:rsidRPr="00D078A0">
        <w:rPr>
          <w:rFonts w:ascii="Palatino Linotype" w:hAnsi="Palatino Linotype"/>
        </w:rPr>
        <w:t>respuesta del</w:t>
      </w:r>
      <w:r w:rsidR="00370FB6" w:rsidRPr="00D078A0">
        <w:rPr>
          <w:rFonts w:ascii="Palatino Linotype" w:hAnsi="Palatino Linotype"/>
          <w:b/>
        </w:rPr>
        <w:t xml:space="preserve"> Ayuntamiento de </w:t>
      </w:r>
      <w:r w:rsidR="00284131" w:rsidRPr="00D078A0">
        <w:rPr>
          <w:rFonts w:ascii="Palatino Linotype" w:hAnsi="Palatino Linotype"/>
          <w:b/>
        </w:rPr>
        <w:t>Tultepec</w:t>
      </w:r>
      <w:r w:rsidRPr="00D078A0">
        <w:rPr>
          <w:rFonts w:ascii="Palatino Linotype" w:hAnsi="Palatino Linotype"/>
        </w:rPr>
        <w:t xml:space="preserve">, en lo sucesivo </w:t>
      </w:r>
      <w:r w:rsidRPr="00D078A0">
        <w:rPr>
          <w:rFonts w:ascii="Palatino Linotype" w:hAnsi="Palatino Linotype"/>
          <w:b/>
        </w:rPr>
        <w:t>EL SUJETO OBLIGADO</w:t>
      </w:r>
      <w:r w:rsidRPr="00D078A0">
        <w:rPr>
          <w:rFonts w:ascii="Palatino Linotype" w:hAnsi="Palatino Linotype"/>
        </w:rPr>
        <w:t xml:space="preserve">, se procede a dictar la presente resolución con base en los siguientes: </w:t>
      </w:r>
    </w:p>
    <w:p w:rsidR="00342881" w:rsidRPr="00D078A0" w:rsidRDefault="00342881" w:rsidP="0023793B">
      <w:pPr>
        <w:spacing w:before="100" w:beforeAutospacing="1" w:after="100" w:afterAutospacing="1" w:line="360" w:lineRule="auto"/>
        <w:contextualSpacing/>
        <w:jc w:val="center"/>
        <w:rPr>
          <w:rFonts w:ascii="Palatino Linotype" w:hAnsi="Palatino Linotype"/>
          <w:b/>
          <w:bCs/>
          <w:spacing w:val="60"/>
        </w:rPr>
      </w:pPr>
    </w:p>
    <w:p w:rsidR="00EC74DE" w:rsidRPr="00D078A0" w:rsidRDefault="00EC74DE" w:rsidP="0023793B">
      <w:pPr>
        <w:spacing w:before="100" w:beforeAutospacing="1" w:after="100" w:afterAutospacing="1" w:line="360" w:lineRule="auto"/>
        <w:contextualSpacing/>
        <w:jc w:val="center"/>
        <w:rPr>
          <w:rFonts w:ascii="Palatino Linotype" w:hAnsi="Palatino Linotype"/>
          <w:b/>
          <w:bCs/>
          <w:spacing w:val="60"/>
          <w:sz w:val="28"/>
          <w:szCs w:val="28"/>
        </w:rPr>
      </w:pPr>
      <w:r w:rsidRPr="00D078A0">
        <w:rPr>
          <w:rFonts w:ascii="Palatino Linotype" w:hAnsi="Palatino Linotype"/>
          <w:b/>
          <w:bCs/>
          <w:spacing w:val="60"/>
          <w:sz w:val="28"/>
          <w:szCs w:val="28"/>
        </w:rPr>
        <w:t>RESULTANDOS</w:t>
      </w:r>
    </w:p>
    <w:p w:rsidR="00342881" w:rsidRPr="00D078A0" w:rsidRDefault="00342881" w:rsidP="0081297D">
      <w:pPr>
        <w:tabs>
          <w:tab w:val="left" w:pos="360"/>
        </w:tabs>
        <w:spacing w:before="100" w:beforeAutospacing="1" w:after="100" w:afterAutospacing="1"/>
        <w:contextualSpacing/>
        <w:jc w:val="both"/>
        <w:rPr>
          <w:rFonts w:ascii="Palatino Linotype" w:hAnsi="Palatino Linotype"/>
          <w:b/>
        </w:rPr>
      </w:pPr>
    </w:p>
    <w:p w:rsidR="00EC74DE" w:rsidRPr="00D078A0" w:rsidRDefault="006D3C7E" w:rsidP="0023793B">
      <w:pPr>
        <w:tabs>
          <w:tab w:val="left" w:pos="360"/>
        </w:tabs>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b/>
          <w:sz w:val="28"/>
          <w:szCs w:val="28"/>
        </w:rPr>
        <w:t>I.</w:t>
      </w:r>
      <w:r w:rsidRPr="00D078A0">
        <w:rPr>
          <w:rFonts w:ascii="Palatino Linotype" w:hAnsi="Palatino Linotype"/>
        </w:rPr>
        <w:t xml:space="preserve"> </w:t>
      </w:r>
      <w:r w:rsidR="00EC74DE" w:rsidRPr="00D078A0">
        <w:rPr>
          <w:rFonts w:ascii="Palatino Linotype" w:hAnsi="Palatino Linotype"/>
        </w:rPr>
        <w:t xml:space="preserve">En </w:t>
      </w:r>
      <w:r w:rsidR="00EC74DE" w:rsidRPr="00D078A0">
        <w:rPr>
          <w:rFonts w:ascii="Palatino Linotype" w:hAnsi="Palatino Linotype" w:cs="Arial"/>
        </w:rPr>
        <w:t>fecha</w:t>
      </w:r>
      <w:r w:rsidR="00EC74DE" w:rsidRPr="00D078A0">
        <w:rPr>
          <w:rFonts w:ascii="Palatino Linotype" w:hAnsi="Palatino Linotype"/>
        </w:rPr>
        <w:t xml:space="preserve"> </w:t>
      </w:r>
      <w:r w:rsidR="00284131" w:rsidRPr="00D078A0">
        <w:rPr>
          <w:rFonts w:ascii="Palatino Linotype" w:hAnsi="Palatino Linotype"/>
        </w:rPr>
        <w:t>veinti</w:t>
      </w:r>
      <w:r w:rsidR="00370FB6" w:rsidRPr="00D078A0">
        <w:rPr>
          <w:rFonts w:ascii="Palatino Linotype" w:hAnsi="Palatino Linotype"/>
        </w:rPr>
        <w:t xml:space="preserve">siete de septiembre </w:t>
      </w:r>
      <w:r w:rsidR="00EC74DE" w:rsidRPr="00D078A0">
        <w:rPr>
          <w:rFonts w:ascii="Palatino Linotype" w:hAnsi="Palatino Linotype"/>
        </w:rPr>
        <w:t xml:space="preserve">de dos mil diecinueve, </w:t>
      </w:r>
      <w:r w:rsidRPr="00D078A0">
        <w:rPr>
          <w:rFonts w:ascii="Palatino Linotype" w:hAnsi="Palatino Linotype" w:cs="Arial"/>
          <w:b/>
        </w:rPr>
        <w:t>EL</w:t>
      </w:r>
      <w:r w:rsidR="00EC74DE" w:rsidRPr="00D078A0">
        <w:rPr>
          <w:rFonts w:ascii="Palatino Linotype" w:hAnsi="Palatino Linotype" w:cs="Arial"/>
          <w:b/>
        </w:rPr>
        <w:t xml:space="preserve"> RECURRENTE</w:t>
      </w:r>
      <w:r w:rsidR="00EC74DE" w:rsidRPr="00D078A0">
        <w:rPr>
          <w:rFonts w:ascii="Palatino Linotype" w:hAnsi="Palatino Linotype"/>
        </w:rPr>
        <w:t xml:space="preserve"> presentó, a través de</w:t>
      </w:r>
      <w:r w:rsidR="00433735" w:rsidRPr="00D078A0">
        <w:rPr>
          <w:rFonts w:ascii="Palatino Linotype" w:hAnsi="Palatino Linotype"/>
        </w:rPr>
        <w:t xml:space="preserve"> </w:t>
      </w:r>
      <w:r w:rsidR="00EC74DE" w:rsidRPr="00D078A0">
        <w:rPr>
          <w:rFonts w:ascii="Palatino Linotype" w:hAnsi="Palatino Linotype"/>
        </w:rPr>
        <w:t>l</w:t>
      </w:r>
      <w:r w:rsidR="00433735" w:rsidRPr="00D078A0">
        <w:rPr>
          <w:rFonts w:ascii="Palatino Linotype" w:hAnsi="Palatino Linotype"/>
        </w:rPr>
        <w:t xml:space="preserve">a Plataforma Nacional de Transparencia </w:t>
      </w:r>
      <w:r w:rsidR="006C1D6A" w:rsidRPr="00D078A0">
        <w:rPr>
          <w:rFonts w:ascii="Palatino Linotype" w:hAnsi="Palatino Linotype"/>
        </w:rPr>
        <w:t>vinculada al</w:t>
      </w:r>
      <w:r w:rsidR="00EC74DE" w:rsidRPr="00D078A0">
        <w:rPr>
          <w:rFonts w:ascii="Palatino Linotype" w:hAnsi="Palatino Linotype"/>
        </w:rPr>
        <w:t xml:space="preserve"> </w:t>
      </w:r>
      <w:r w:rsidR="00EC74DE" w:rsidRPr="00D078A0">
        <w:rPr>
          <w:rFonts w:ascii="Palatino Linotype" w:hAnsi="Palatino Linotype" w:cs="Arial"/>
        </w:rPr>
        <w:t>Sistema</w:t>
      </w:r>
      <w:r w:rsidR="00EC74DE" w:rsidRPr="00D078A0">
        <w:rPr>
          <w:rFonts w:ascii="Palatino Linotype" w:hAnsi="Palatino Linotype"/>
        </w:rPr>
        <w:t xml:space="preserve"> de Acceso a la Información Mexiquense, en lo subsecuente </w:t>
      </w:r>
      <w:r w:rsidR="00EC74DE" w:rsidRPr="00D078A0">
        <w:rPr>
          <w:rFonts w:ascii="Palatino Linotype" w:hAnsi="Palatino Linotype"/>
          <w:b/>
        </w:rPr>
        <w:t>EL SAIMEX</w:t>
      </w:r>
      <w:r w:rsidR="00EC74DE" w:rsidRPr="00D078A0">
        <w:rPr>
          <w:rFonts w:ascii="Palatino Linotype" w:hAnsi="Palatino Linotype"/>
        </w:rPr>
        <w:t xml:space="preserve"> ante </w:t>
      </w:r>
      <w:r w:rsidR="00EC74DE" w:rsidRPr="00D078A0">
        <w:rPr>
          <w:rFonts w:ascii="Palatino Linotype" w:hAnsi="Palatino Linotype"/>
          <w:b/>
        </w:rPr>
        <w:t>EL SUJETO OBLIGADO</w:t>
      </w:r>
      <w:r w:rsidR="00EC74DE" w:rsidRPr="00D078A0">
        <w:rPr>
          <w:rFonts w:ascii="Palatino Linotype" w:hAnsi="Palatino Linotype"/>
        </w:rPr>
        <w:t>, la solicitud de acceso a la información pública, a la que se le asignó el número</w:t>
      </w:r>
      <w:r w:rsidR="00284131" w:rsidRPr="00D078A0">
        <w:rPr>
          <w:rFonts w:ascii="Palatino Linotype" w:hAnsi="Palatino Linotype"/>
        </w:rPr>
        <w:t xml:space="preserve"> </w:t>
      </w:r>
      <w:r w:rsidR="00651A43" w:rsidRPr="00D078A0">
        <w:rPr>
          <w:rFonts w:ascii="Palatino Linotype" w:hAnsi="Palatino Linotype"/>
          <w:b/>
          <w:bCs/>
        </w:rPr>
        <w:t>00097</w:t>
      </w:r>
      <w:r w:rsidR="00370FB6" w:rsidRPr="00D078A0">
        <w:rPr>
          <w:rFonts w:ascii="Palatino Linotype" w:hAnsi="Palatino Linotype"/>
          <w:b/>
          <w:bCs/>
        </w:rPr>
        <w:t>/</w:t>
      </w:r>
      <w:r w:rsidR="00651A43" w:rsidRPr="00D078A0">
        <w:rPr>
          <w:rFonts w:ascii="Palatino Linotype" w:hAnsi="Palatino Linotype"/>
          <w:b/>
          <w:bCs/>
        </w:rPr>
        <w:t>TULTEPEC</w:t>
      </w:r>
      <w:r w:rsidR="00370FB6" w:rsidRPr="00D078A0">
        <w:rPr>
          <w:rFonts w:ascii="Palatino Linotype" w:hAnsi="Palatino Linotype"/>
          <w:b/>
          <w:bCs/>
        </w:rPr>
        <w:t>/IP/2019</w:t>
      </w:r>
      <w:r w:rsidR="00EC74DE" w:rsidRPr="00D078A0">
        <w:rPr>
          <w:rFonts w:ascii="Palatino Linotype" w:hAnsi="Palatino Linotype"/>
        </w:rPr>
        <w:t>, mediante la cual requirió le entregara</w:t>
      </w:r>
      <w:r w:rsidR="006C1D6A" w:rsidRPr="00D078A0">
        <w:rPr>
          <w:rFonts w:ascii="Palatino Linotype" w:hAnsi="Palatino Linotype"/>
        </w:rPr>
        <w:t xml:space="preserve"> vía SAIMEX y correo electrónico</w:t>
      </w:r>
      <w:r w:rsidR="00EC74DE" w:rsidRPr="00D078A0">
        <w:rPr>
          <w:rFonts w:ascii="Palatino Linotype" w:hAnsi="Palatino Linotype"/>
        </w:rPr>
        <w:t>, lo siguiente:</w:t>
      </w:r>
    </w:p>
    <w:p w:rsidR="00370FB6" w:rsidRPr="00D078A0" w:rsidRDefault="00370FB6" w:rsidP="0023793B">
      <w:pPr>
        <w:tabs>
          <w:tab w:val="left" w:pos="360"/>
        </w:tabs>
        <w:spacing w:before="100" w:beforeAutospacing="1" w:after="100" w:afterAutospacing="1" w:line="360" w:lineRule="auto"/>
        <w:contextualSpacing/>
        <w:jc w:val="both"/>
        <w:rPr>
          <w:rFonts w:ascii="Palatino Linotype" w:hAnsi="Palatino Linotype" w:cs="Arial"/>
        </w:rPr>
      </w:pPr>
    </w:p>
    <w:p w:rsidR="00EC74DE" w:rsidRPr="00D078A0" w:rsidRDefault="00EC74DE" w:rsidP="0023793B">
      <w:pPr>
        <w:spacing w:before="100" w:beforeAutospacing="1" w:after="100" w:afterAutospacing="1"/>
        <w:ind w:left="851" w:right="902"/>
        <w:contextualSpacing/>
        <w:jc w:val="both"/>
        <w:rPr>
          <w:rFonts w:ascii="Palatino Linotype" w:hAnsi="Palatino Linotype"/>
          <w:i/>
          <w:sz w:val="22"/>
        </w:rPr>
      </w:pPr>
      <w:r w:rsidRPr="00D078A0">
        <w:rPr>
          <w:rFonts w:ascii="Palatino Linotype" w:hAnsi="Palatino Linotype" w:cs="Arial"/>
          <w:i/>
          <w:sz w:val="22"/>
        </w:rPr>
        <w:t>“</w:t>
      </w:r>
      <w:r w:rsidR="006C1D6A" w:rsidRPr="00D078A0">
        <w:rPr>
          <w:rFonts w:ascii="Palatino Linotype" w:hAnsi="Palatino Linotype" w:cs="Arial"/>
          <w:i/>
          <w:sz w:val="22"/>
        </w:rPr>
        <w:t xml:space="preserve">Solicito el desglose de los montos gastados por el Ayuntamiento de Tultepec en el espectáculo pirotécnico de la noche del 15 de septiembre de 2019 con motivo de la celebración del Día de la Independencia, el nombre de la empresa contratada para dicho evento y el número de personas empleadas. Solicito el número de elementos de la Policía Municipal desplegados para la vigilancia del festejo, el número de bomberos </w:t>
      </w:r>
      <w:r w:rsidR="006C1D6A" w:rsidRPr="00D078A0">
        <w:rPr>
          <w:rFonts w:ascii="Palatino Linotype" w:hAnsi="Palatino Linotype" w:cs="Arial"/>
          <w:i/>
          <w:sz w:val="22"/>
        </w:rPr>
        <w:lastRenderedPageBreak/>
        <w:t>y el número de elementos de la Guardia Nacional presentes en la realización del Grito de Independencia.</w:t>
      </w:r>
      <w:r w:rsidRPr="00D078A0">
        <w:rPr>
          <w:rFonts w:ascii="Palatino Linotype" w:hAnsi="Palatino Linotype" w:cs="Arial"/>
          <w:i/>
          <w:sz w:val="22"/>
        </w:rPr>
        <w:t>“</w:t>
      </w:r>
      <w:r w:rsidRPr="00D078A0">
        <w:rPr>
          <w:rFonts w:ascii="Palatino Linotype" w:hAnsi="Palatino Linotype"/>
          <w:i/>
          <w:sz w:val="22"/>
        </w:rPr>
        <w:t>(Sic.)</w:t>
      </w:r>
    </w:p>
    <w:p w:rsidR="00406F6F" w:rsidRDefault="00406F6F" w:rsidP="0023793B">
      <w:pPr>
        <w:spacing w:before="100" w:beforeAutospacing="1" w:after="100" w:afterAutospacing="1" w:line="360" w:lineRule="auto"/>
        <w:contextualSpacing/>
        <w:jc w:val="both"/>
        <w:rPr>
          <w:rFonts w:ascii="Palatino Linotype" w:hAnsi="Palatino Linotype"/>
          <w:b/>
          <w:sz w:val="28"/>
          <w:szCs w:val="28"/>
        </w:rPr>
      </w:pPr>
      <w:bookmarkStart w:id="0" w:name="_Ref516764469"/>
      <w:bookmarkStart w:id="1" w:name="_Ref531692384"/>
    </w:p>
    <w:p w:rsidR="004032D0" w:rsidRPr="00D078A0" w:rsidRDefault="000F078F" w:rsidP="0023793B">
      <w:pPr>
        <w:spacing w:before="100" w:beforeAutospacing="1" w:after="100" w:afterAutospacing="1" w:line="360" w:lineRule="auto"/>
        <w:contextualSpacing/>
        <w:jc w:val="both"/>
        <w:rPr>
          <w:rFonts w:ascii="Palatino Linotype" w:hAnsi="Palatino Linotype" w:cs="Arial"/>
          <w:lang w:val="es-ES_tradnl"/>
        </w:rPr>
      </w:pPr>
      <w:bookmarkStart w:id="2" w:name="_GoBack"/>
      <w:bookmarkEnd w:id="2"/>
      <w:r w:rsidRPr="00D078A0">
        <w:rPr>
          <w:rFonts w:ascii="Palatino Linotype" w:hAnsi="Palatino Linotype"/>
          <w:b/>
          <w:sz w:val="28"/>
          <w:szCs w:val="28"/>
        </w:rPr>
        <w:t>II.</w:t>
      </w:r>
      <w:r w:rsidRPr="00D078A0">
        <w:rPr>
          <w:rFonts w:ascii="Palatino Linotype" w:hAnsi="Palatino Linotype" w:cs="Arial"/>
        </w:rPr>
        <w:t xml:space="preserve"> </w:t>
      </w:r>
      <w:r w:rsidR="00EC74DE" w:rsidRPr="00D078A0">
        <w:rPr>
          <w:rFonts w:ascii="Palatino Linotype" w:hAnsi="Palatino Linotype" w:cs="Arial"/>
        </w:rPr>
        <w:t xml:space="preserve">De las constancias que obran en el </w:t>
      </w:r>
      <w:r w:rsidR="00EC74DE" w:rsidRPr="00D078A0">
        <w:rPr>
          <w:rFonts w:ascii="Palatino Linotype" w:hAnsi="Palatino Linotype" w:cs="Arial"/>
          <w:lang w:val="es-ES_tradnl"/>
        </w:rPr>
        <w:t xml:space="preserve">expediente del </w:t>
      </w:r>
      <w:r w:rsidR="00EC74DE" w:rsidRPr="00D078A0">
        <w:rPr>
          <w:rFonts w:ascii="Palatino Linotype" w:hAnsi="Palatino Linotype" w:cs="Arial"/>
          <w:b/>
          <w:lang w:val="es-ES_tradnl"/>
        </w:rPr>
        <w:t>SAIMEX,</w:t>
      </w:r>
      <w:r w:rsidR="00EC74DE" w:rsidRPr="00D078A0">
        <w:rPr>
          <w:rFonts w:ascii="Palatino Linotype" w:hAnsi="Palatino Linotype" w:cs="Arial"/>
          <w:lang w:val="es-ES_tradnl"/>
        </w:rPr>
        <w:t xml:space="preserve"> se advierte que </w:t>
      </w:r>
      <w:r w:rsidR="00EC74DE" w:rsidRPr="00D078A0">
        <w:rPr>
          <w:rFonts w:ascii="Palatino Linotype" w:hAnsi="Palatino Linotype" w:cs="Arial"/>
          <w:b/>
          <w:lang w:val="es-ES_tradnl"/>
        </w:rPr>
        <w:t>EL SUJETO OBLIGADO</w:t>
      </w:r>
      <w:r w:rsidR="00EC74DE" w:rsidRPr="00D078A0">
        <w:rPr>
          <w:rFonts w:ascii="Palatino Linotype" w:hAnsi="Palatino Linotype" w:cs="Arial"/>
          <w:lang w:val="es-ES_tradnl"/>
        </w:rPr>
        <w:t xml:space="preserve"> no dio respuesta a la solicitud de acceso a la información pública.</w:t>
      </w:r>
    </w:p>
    <w:p w:rsidR="004032D0" w:rsidRPr="00D078A0" w:rsidRDefault="004032D0" w:rsidP="0023793B">
      <w:pPr>
        <w:spacing w:before="100" w:beforeAutospacing="1" w:after="100" w:afterAutospacing="1" w:line="360" w:lineRule="auto"/>
        <w:contextualSpacing/>
        <w:jc w:val="both"/>
        <w:rPr>
          <w:rFonts w:ascii="Palatino Linotype" w:hAnsi="Palatino Linotype" w:cs="Arial"/>
          <w:lang w:val="es-ES_tradnl"/>
        </w:rPr>
      </w:pPr>
    </w:p>
    <w:p w:rsidR="00EC74DE" w:rsidRPr="00D078A0" w:rsidRDefault="000F078F" w:rsidP="0023793B">
      <w:pPr>
        <w:spacing w:before="100" w:beforeAutospacing="1" w:after="100" w:afterAutospacing="1" w:line="360" w:lineRule="auto"/>
        <w:contextualSpacing/>
        <w:jc w:val="both"/>
        <w:rPr>
          <w:rFonts w:ascii="Palatino Linotype" w:hAnsi="Palatino Linotype" w:cs="Arial"/>
          <w:lang w:val="es-ES_tradnl"/>
        </w:rPr>
      </w:pPr>
      <w:r w:rsidRPr="00D078A0">
        <w:rPr>
          <w:rFonts w:ascii="Palatino Linotype" w:hAnsi="Palatino Linotype"/>
          <w:b/>
          <w:sz w:val="28"/>
          <w:szCs w:val="28"/>
        </w:rPr>
        <w:t>III.</w:t>
      </w:r>
      <w:r w:rsidRPr="00D078A0">
        <w:rPr>
          <w:rFonts w:ascii="Palatino Linotype" w:hAnsi="Palatino Linotype" w:cs="Arial"/>
        </w:rPr>
        <w:t xml:space="preserve"> </w:t>
      </w:r>
      <w:r w:rsidR="00EC74DE" w:rsidRPr="00D078A0">
        <w:rPr>
          <w:rFonts w:ascii="Palatino Linotype" w:hAnsi="Palatino Linotype" w:cs="Arial"/>
        </w:rPr>
        <w:t xml:space="preserve">Inconforme con la falta de respuesta, el </w:t>
      </w:r>
      <w:r w:rsidRPr="00D078A0">
        <w:rPr>
          <w:rFonts w:ascii="Palatino Linotype" w:hAnsi="Palatino Linotype" w:cs="Arial"/>
        </w:rPr>
        <w:t xml:space="preserve">seis </w:t>
      </w:r>
      <w:r w:rsidR="00974884" w:rsidRPr="00D078A0">
        <w:rPr>
          <w:rFonts w:ascii="Palatino Linotype" w:hAnsi="Palatino Linotype" w:cs="Arial"/>
        </w:rPr>
        <w:t xml:space="preserve">de </w:t>
      </w:r>
      <w:r w:rsidR="004032D0" w:rsidRPr="00D078A0">
        <w:rPr>
          <w:rFonts w:ascii="Palatino Linotype" w:hAnsi="Palatino Linotype" w:cs="Arial"/>
        </w:rPr>
        <w:t>noviembre</w:t>
      </w:r>
      <w:r w:rsidR="00974884" w:rsidRPr="00D078A0">
        <w:rPr>
          <w:rFonts w:ascii="Palatino Linotype" w:hAnsi="Palatino Linotype" w:cs="Arial"/>
        </w:rPr>
        <w:t xml:space="preserve"> </w:t>
      </w:r>
      <w:r w:rsidR="00EC74DE" w:rsidRPr="00D078A0">
        <w:rPr>
          <w:rFonts w:ascii="Palatino Linotype" w:hAnsi="Palatino Linotype" w:cs="Arial"/>
        </w:rPr>
        <w:t xml:space="preserve">de dos mil diecinueve, </w:t>
      </w:r>
      <w:r w:rsidR="006D3C7E" w:rsidRPr="00D078A0">
        <w:rPr>
          <w:rFonts w:ascii="Palatino Linotype" w:hAnsi="Palatino Linotype" w:cs="Arial"/>
          <w:b/>
        </w:rPr>
        <w:t>EL</w:t>
      </w:r>
      <w:r w:rsidR="00EC74DE" w:rsidRPr="00D078A0">
        <w:rPr>
          <w:rFonts w:ascii="Palatino Linotype" w:hAnsi="Palatino Linotype" w:cs="Arial"/>
          <w:b/>
        </w:rPr>
        <w:t xml:space="preserve"> RECURRENTE</w:t>
      </w:r>
      <w:r w:rsidR="00EC74DE" w:rsidRPr="00D078A0">
        <w:rPr>
          <w:rFonts w:ascii="Palatino Linotype" w:hAnsi="Palatino Linotype" w:cs="Arial"/>
        </w:rPr>
        <w:t xml:space="preserve"> interpuso el recurso de revisión sujeto del presente estudio, el cual fue registrado en </w:t>
      </w:r>
      <w:r w:rsidR="00EC74DE" w:rsidRPr="00D078A0">
        <w:rPr>
          <w:rFonts w:ascii="Palatino Linotype" w:hAnsi="Palatino Linotype" w:cs="Arial"/>
          <w:b/>
        </w:rPr>
        <w:t>EL SAIMEX</w:t>
      </w:r>
      <w:r w:rsidR="00EC74DE" w:rsidRPr="00D078A0">
        <w:rPr>
          <w:rFonts w:ascii="Palatino Linotype" w:hAnsi="Palatino Linotype" w:cs="Arial"/>
        </w:rPr>
        <w:t xml:space="preserve"> y se le asignó el número de expediente </w:t>
      </w:r>
      <w:r w:rsidR="004032D0" w:rsidRPr="00D078A0">
        <w:rPr>
          <w:rFonts w:ascii="Palatino Linotype" w:hAnsi="Palatino Linotype" w:cs="Arial"/>
          <w:b/>
        </w:rPr>
        <w:t>08497</w:t>
      </w:r>
      <w:r w:rsidR="00EC74DE" w:rsidRPr="00D078A0">
        <w:rPr>
          <w:rFonts w:ascii="Palatino Linotype" w:hAnsi="Palatino Linotype" w:cs="Arial"/>
          <w:b/>
        </w:rPr>
        <w:t>/INFOEM/IP/RR/2019</w:t>
      </w:r>
      <w:r w:rsidR="00EC74DE" w:rsidRPr="00D078A0">
        <w:rPr>
          <w:rFonts w:ascii="Palatino Linotype" w:hAnsi="Palatino Linotype" w:cs="Arial"/>
        </w:rPr>
        <w:t>,</w:t>
      </w:r>
      <w:r w:rsidR="00EC74DE" w:rsidRPr="00D078A0">
        <w:rPr>
          <w:rFonts w:ascii="Palatino Linotype" w:hAnsi="Palatino Linotype"/>
        </w:rPr>
        <w:t xml:space="preserve"> </w:t>
      </w:r>
      <w:r w:rsidR="00EC74DE" w:rsidRPr="00D078A0">
        <w:rPr>
          <w:rFonts w:ascii="Palatino Linotype" w:hAnsi="Palatino Linotype" w:cs="Arial"/>
        </w:rPr>
        <w:t xml:space="preserve">en el que señaló </w:t>
      </w:r>
      <w:r w:rsidR="00EC74DE" w:rsidRPr="00D078A0">
        <w:rPr>
          <w:rFonts w:ascii="Palatino Linotype" w:eastAsiaTheme="minorEastAsia" w:hAnsi="Palatino Linotype" w:cs="Arial"/>
          <w:lang w:val="es-ES_tradnl"/>
        </w:rPr>
        <w:t xml:space="preserve">como acto impugnado lo siguiente: </w:t>
      </w:r>
    </w:p>
    <w:p w:rsidR="00EC74DE" w:rsidRPr="00D078A0" w:rsidRDefault="00EC74DE" w:rsidP="0023793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p>
    <w:p w:rsidR="00EC74DE" w:rsidRPr="00D078A0" w:rsidRDefault="00EC74DE" w:rsidP="0023793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78A0">
        <w:rPr>
          <w:rFonts w:ascii="Palatino Linotype" w:eastAsiaTheme="minorEastAsia" w:hAnsi="Palatino Linotype" w:cs="Arial"/>
          <w:i/>
          <w:sz w:val="22"/>
          <w:szCs w:val="22"/>
          <w:lang w:val="es-ES_tradnl"/>
        </w:rPr>
        <w:t>“</w:t>
      </w:r>
      <w:r w:rsidR="004032D0" w:rsidRPr="00D078A0">
        <w:rPr>
          <w:rFonts w:ascii="Palatino Linotype" w:eastAsiaTheme="minorEastAsia" w:hAnsi="Palatino Linotype" w:cs="Arial"/>
          <w:i/>
          <w:sz w:val="22"/>
          <w:szCs w:val="22"/>
          <w:lang w:val="es-ES_tradnl"/>
        </w:rPr>
        <w:t>La información solicitada, con base en la Ley Nacional de Transparencia, es de interés público y debió ser entregada a más tardar el día 21 de octubre de 2019</w:t>
      </w:r>
      <w:r w:rsidR="00EF5020" w:rsidRPr="00D078A0">
        <w:rPr>
          <w:rFonts w:ascii="Palatino Linotype" w:eastAsiaTheme="minorEastAsia" w:hAnsi="Palatino Linotype" w:cs="Arial"/>
          <w:i/>
          <w:sz w:val="22"/>
          <w:szCs w:val="22"/>
          <w:lang w:val="es-ES_tradnl"/>
        </w:rPr>
        <w:t>.”</w:t>
      </w:r>
      <w:r w:rsidRPr="00D078A0">
        <w:rPr>
          <w:rFonts w:ascii="Palatino Linotype" w:eastAsiaTheme="minorEastAsia" w:hAnsi="Palatino Linotype" w:cs="Arial"/>
          <w:i/>
          <w:sz w:val="22"/>
          <w:szCs w:val="22"/>
          <w:lang w:val="es-ES_tradnl"/>
        </w:rPr>
        <w:t xml:space="preserve"> (</w:t>
      </w:r>
      <w:r w:rsidR="00EF5020" w:rsidRPr="00D078A0">
        <w:rPr>
          <w:rFonts w:ascii="Palatino Linotype" w:eastAsiaTheme="minorEastAsia" w:hAnsi="Palatino Linotype" w:cs="Arial"/>
          <w:i/>
          <w:sz w:val="22"/>
          <w:szCs w:val="22"/>
          <w:lang w:val="es-ES_tradnl"/>
        </w:rPr>
        <w:t>Sic</w:t>
      </w:r>
      <w:r w:rsidRPr="00D078A0">
        <w:rPr>
          <w:rFonts w:ascii="Palatino Linotype" w:eastAsiaTheme="minorEastAsia" w:hAnsi="Palatino Linotype" w:cs="Arial"/>
          <w:i/>
          <w:sz w:val="22"/>
          <w:szCs w:val="22"/>
          <w:lang w:val="es-ES_tradnl"/>
        </w:rPr>
        <w:t>)</w:t>
      </w:r>
    </w:p>
    <w:p w:rsidR="00EC74DE" w:rsidRPr="00D078A0" w:rsidRDefault="00EC74DE" w:rsidP="0023793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p>
    <w:p w:rsidR="00EC74DE" w:rsidRPr="00D078A0" w:rsidRDefault="00EC74DE" w:rsidP="0023793B">
      <w:pPr>
        <w:spacing w:before="100" w:beforeAutospacing="1" w:after="100" w:afterAutospacing="1" w:line="360" w:lineRule="auto"/>
        <w:contextualSpacing/>
        <w:jc w:val="both"/>
        <w:rPr>
          <w:rFonts w:ascii="Palatino Linotype" w:eastAsiaTheme="minorEastAsia" w:hAnsi="Palatino Linotype" w:cs="Arial"/>
          <w:szCs w:val="20"/>
          <w:lang w:val="es-ES_tradnl"/>
        </w:rPr>
      </w:pPr>
      <w:r w:rsidRPr="00D078A0">
        <w:rPr>
          <w:rFonts w:ascii="Palatino Linotype" w:eastAsiaTheme="minorEastAsia" w:hAnsi="Palatino Linotype" w:cs="Arial"/>
          <w:szCs w:val="20"/>
          <w:lang w:val="es-ES_tradnl"/>
        </w:rPr>
        <w:t xml:space="preserve">Asimismo, como razones o motivos de inconformidad: </w:t>
      </w:r>
    </w:p>
    <w:p w:rsidR="00EC74DE" w:rsidRPr="00D078A0" w:rsidRDefault="00EC74DE" w:rsidP="0023793B">
      <w:pPr>
        <w:tabs>
          <w:tab w:val="left" w:pos="851"/>
        </w:tabs>
        <w:spacing w:before="100" w:beforeAutospacing="1" w:after="100" w:afterAutospacing="1"/>
        <w:ind w:right="901"/>
        <w:contextualSpacing/>
        <w:jc w:val="both"/>
        <w:rPr>
          <w:rFonts w:ascii="Palatino Linotype" w:eastAsiaTheme="minorEastAsia" w:hAnsi="Palatino Linotype" w:cs="Arial"/>
          <w:i/>
          <w:sz w:val="20"/>
          <w:szCs w:val="22"/>
          <w:lang w:val="es-ES_tradnl"/>
        </w:rPr>
      </w:pPr>
    </w:p>
    <w:p w:rsidR="00EC74DE" w:rsidRPr="00D078A0" w:rsidRDefault="00EC74DE" w:rsidP="0023793B">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D078A0">
        <w:rPr>
          <w:rFonts w:ascii="Palatino Linotype" w:eastAsiaTheme="minorEastAsia" w:hAnsi="Palatino Linotype" w:cs="Arial"/>
          <w:i/>
          <w:sz w:val="22"/>
          <w:szCs w:val="22"/>
          <w:lang w:val="es-ES_tradnl"/>
        </w:rPr>
        <w:t>“</w:t>
      </w:r>
      <w:r w:rsidR="004032D0" w:rsidRPr="00D078A0">
        <w:rPr>
          <w:rFonts w:ascii="Palatino Linotype" w:eastAsiaTheme="minorEastAsia" w:hAnsi="Palatino Linotype" w:cs="Arial"/>
          <w:i/>
          <w:sz w:val="22"/>
          <w:szCs w:val="22"/>
          <w:lang w:val="es-ES_tradnl"/>
        </w:rPr>
        <w:t>La información solicitada, con base en la Ley Nacional de Transparencia, es de interés público y debió ser entregada a más tardar el día 21 de octubre de 2019</w:t>
      </w:r>
      <w:r w:rsidRPr="00D078A0">
        <w:rPr>
          <w:rFonts w:ascii="Palatino Linotype" w:eastAsiaTheme="minorEastAsia" w:hAnsi="Palatino Linotype" w:cs="Arial"/>
          <w:i/>
          <w:sz w:val="22"/>
          <w:szCs w:val="22"/>
          <w:lang w:val="es-ES_tradnl"/>
        </w:rPr>
        <w:t>.” (</w:t>
      </w:r>
      <w:r w:rsidR="0070386B" w:rsidRPr="00D078A0">
        <w:rPr>
          <w:rFonts w:ascii="Palatino Linotype" w:eastAsiaTheme="minorEastAsia" w:hAnsi="Palatino Linotype" w:cs="Arial"/>
          <w:i/>
          <w:sz w:val="22"/>
          <w:szCs w:val="22"/>
          <w:lang w:val="es-ES_tradnl"/>
        </w:rPr>
        <w:t>Sic</w:t>
      </w:r>
      <w:r w:rsidRPr="00D078A0">
        <w:rPr>
          <w:rFonts w:ascii="Palatino Linotype" w:eastAsiaTheme="minorEastAsia" w:hAnsi="Palatino Linotype" w:cs="Arial"/>
          <w:i/>
          <w:sz w:val="22"/>
          <w:szCs w:val="22"/>
          <w:lang w:val="es-ES_tradnl"/>
        </w:rPr>
        <w:t>)</w:t>
      </w:r>
    </w:p>
    <w:p w:rsidR="0070386B" w:rsidRPr="00D078A0" w:rsidRDefault="0070386B" w:rsidP="0023793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p>
    <w:bookmarkEnd w:id="0"/>
    <w:bookmarkEnd w:id="1"/>
    <w:p w:rsidR="004032D0" w:rsidRPr="00D078A0" w:rsidRDefault="004032D0" w:rsidP="0023793B">
      <w:pPr>
        <w:tabs>
          <w:tab w:val="left" w:pos="567"/>
        </w:tabs>
        <w:spacing w:before="100" w:beforeAutospacing="1" w:after="100" w:afterAutospacing="1" w:line="360" w:lineRule="auto"/>
        <w:contextualSpacing/>
        <w:jc w:val="both"/>
        <w:rPr>
          <w:rFonts w:ascii="Palatino Linotype" w:hAnsi="Palatino Linotype" w:cs="Arial"/>
          <w:lang w:val="es-ES_tradnl"/>
        </w:rPr>
      </w:pPr>
      <w:r w:rsidRPr="00D078A0">
        <w:rPr>
          <w:rFonts w:ascii="Palatino Linotype" w:hAnsi="Palatino Linotype"/>
          <w:b/>
          <w:sz w:val="28"/>
          <w:szCs w:val="28"/>
        </w:rPr>
        <w:t>IV.</w:t>
      </w:r>
      <w:r w:rsidRPr="00D078A0">
        <w:rPr>
          <w:rFonts w:ascii="Palatino Linotype" w:hAnsi="Palatino Linotype" w:cs="Arial"/>
        </w:rPr>
        <w:t xml:space="preserve"> </w:t>
      </w:r>
      <w:r w:rsidR="0070386B" w:rsidRPr="00D078A0">
        <w:rPr>
          <w:rFonts w:ascii="Palatino Linotype" w:hAnsi="Palatino Linotype" w:cs="Arial"/>
        </w:rPr>
        <w:t xml:space="preserve">En fecha </w:t>
      </w:r>
      <w:r w:rsidR="00974884" w:rsidRPr="00D078A0">
        <w:rPr>
          <w:rFonts w:ascii="Palatino Linotype" w:hAnsi="Palatino Linotype" w:cs="Arial"/>
        </w:rPr>
        <w:t xml:space="preserve">diez de octubre </w:t>
      </w:r>
      <w:r w:rsidR="0070386B" w:rsidRPr="00D078A0">
        <w:rPr>
          <w:rFonts w:ascii="Palatino Linotype" w:hAnsi="Palatino Linotype"/>
        </w:rPr>
        <w:t>de dos mil diecinueve, el</w:t>
      </w:r>
      <w:r w:rsidR="0070386B" w:rsidRPr="00D078A0">
        <w:rPr>
          <w:rFonts w:ascii="Palatino Linotype" w:hAnsi="Palatino Linotype" w:cs="Arial"/>
        </w:rPr>
        <w:t xml:space="preserve"> </w:t>
      </w:r>
      <w:r w:rsidR="0070386B" w:rsidRPr="00D078A0">
        <w:rPr>
          <w:rFonts w:ascii="Palatino Linotype" w:hAnsi="Palatino Linotype" w:cs="Arial"/>
          <w:lang w:val="es-ES_tradnl"/>
        </w:rPr>
        <w:t>recurso de que</w:t>
      </w:r>
      <w:r w:rsidR="0070386B" w:rsidRPr="00D078A0">
        <w:rPr>
          <w:rFonts w:ascii="Palatino Linotype" w:hAnsi="Palatino Linotype" w:cs="Arial"/>
        </w:rPr>
        <w:t xml:space="preserve"> se trata</w:t>
      </w:r>
      <w:r w:rsidR="0070386B" w:rsidRPr="00D078A0">
        <w:rPr>
          <w:rFonts w:ascii="Palatino Linotype" w:hAnsi="Palatino Linotype" w:cs="Arial"/>
          <w:lang w:val="es-ES_tradnl"/>
        </w:rPr>
        <w:t xml:space="preserve"> se envió </w:t>
      </w:r>
      <w:r w:rsidR="0070386B" w:rsidRPr="00D078A0">
        <w:rPr>
          <w:rFonts w:ascii="Palatino Linotype" w:hAnsi="Palatino Linotype"/>
        </w:rPr>
        <w:t>electrónicamente</w:t>
      </w:r>
      <w:r w:rsidR="0070386B" w:rsidRPr="00D078A0">
        <w:rPr>
          <w:rFonts w:ascii="Palatino Linotype" w:hAnsi="Palatino Linotype" w:cs="Arial"/>
          <w:lang w:val="es-ES_tradnl"/>
        </w:rPr>
        <w:t xml:space="preserve"> </w:t>
      </w:r>
      <w:r w:rsidR="0070386B" w:rsidRPr="00D078A0">
        <w:rPr>
          <w:rFonts w:ascii="Palatino Linotype" w:hAnsi="Palatino Linotype" w:cs="Arial"/>
        </w:rPr>
        <w:t>al</w:t>
      </w:r>
      <w:r w:rsidR="0070386B" w:rsidRPr="00D078A0">
        <w:rPr>
          <w:rFonts w:ascii="Palatino Linotype" w:hAnsi="Palatino Linotype" w:cs="Arial"/>
          <w:lang w:val="es-ES_tradnl"/>
        </w:rPr>
        <w:t xml:space="preserve"> </w:t>
      </w:r>
      <w:r w:rsidR="0070386B" w:rsidRPr="00D078A0">
        <w:rPr>
          <w:rFonts w:ascii="Palatino Linotype" w:hAnsi="Palatino Linotype" w:cs="Arial"/>
        </w:rPr>
        <w:t>Instituto</w:t>
      </w:r>
      <w:r w:rsidR="0070386B" w:rsidRPr="00D078A0">
        <w:rPr>
          <w:rFonts w:ascii="Palatino Linotype" w:hAnsi="Palatino Linotype" w:cs="Arial"/>
          <w:lang w:val="es-ES_tradnl"/>
        </w:rPr>
        <w:t xml:space="preserve"> de </w:t>
      </w:r>
      <w:r w:rsidR="0070386B" w:rsidRPr="00D078A0">
        <w:rPr>
          <w:rFonts w:ascii="Palatino Linotype" w:eastAsia="Arial Unicode MS" w:hAnsi="Palatino Linotype" w:cs="Arial"/>
        </w:rPr>
        <w:t>Transparencia</w:t>
      </w:r>
      <w:r w:rsidR="0070386B" w:rsidRPr="00D078A0">
        <w:rPr>
          <w:rFonts w:ascii="Palatino Linotype" w:hAnsi="Palatino Linotype" w:cs="Arial"/>
          <w:lang w:val="es-ES_tradnl"/>
        </w:rPr>
        <w:t xml:space="preserve">, Acceso a la Información Pública y Protección </w:t>
      </w:r>
      <w:r w:rsidR="0070386B" w:rsidRPr="00D078A0">
        <w:rPr>
          <w:rFonts w:ascii="Palatino Linotype" w:hAnsi="Palatino Linotype" w:cs="Arial"/>
        </w:rPr>
        <w:t>de</w:t>
      </w:r>
      <w:r w:rsidR="0070386B" w:rsidRPr="00D078A0">
        <w:rPr>
          <w:rFonts w:ascii="Palatino Linotype" w:hAnsi="Palatino Linotype" w:cs="Arial"/>
          <w:lang w:val="es-ES_tradnl"/>
        </w:rPr>
        <w:t xml:space="preserve"> </w:t>
      </w:r>
      <w:r w:rsidR="0070386B" w:rsidRPr="00D078A0">
        <w:rPr>
          <w:rFonts w:ascii="Palatino Linotype" w:hAnsi="Palatino Linotype"/>
        </w:rPr>
        <w:t>Datos</w:t>
      </w:r>
      <w:r w:rsidR="0070386B" w:rsidRPr="00D078A0">
        <w:rPr>
          <w:rFonts w:ascii="Palatino Linotype" w:hAnsi="Palatino Linotype" w:cs="Arial"/>
          <w:lang w:val="es-ES_tradnl"/>
        </w:rPr>
        <w:t xml:space="preserve"> </w:t>
      </w:r>
      <w:r w:rsidR="0070386B" w:rsidRPr="00D078A0">
        <w:rPr>
          <w:rFonts w:ascii="Palatino Linotype" w:hAnsi="Palatino Linotype" w:cs="Arial"/>
        </w:rPr>
        <w:t>Personales</w:t>
      </w:r>
      <w:r w:rsidR="0070386B" w:rsidRPr="00D078A0">
        <w:rPr>
          <w:rFonts w:ascii="Palatino Linotype" w:hAnsi="Palatino Linotype" w:cs="Arial"/>
          <w:lang w:val="es-ES_tradnl"/>
        </w:rPr>
        <w:t xml:space="preserve"> del Estado de México y Municipios y con fundamento en el </w:t>
      </w:r>
      <w:r w:rsidR="0070386B" w:rsidRPr="00D078A0">
        <w:rPr>
          <w:rFonts w:ascii="Palatino Linotype" w:hAnsi="Palatino Linotype" w:cs="Arial"/>
        </w:rPr>
        <w:t>artículo</w:t>
      </w:r>
      <w:r w:rsidR="0070386B" w:rsidRPr="00D078A0">
        <w:rPr>
          <w:rFonts w:ascii="Palatino Linotype" w:hAnsi="Palatino Linotype" w:cs="Arial"/>
          <w:lang w:val="es-ES_tradnl"/>
        </w:rPr>
        <w:t xml:space="preserve"> 185 </w:t>
      </w:r>
      <w:r w:rsidR="0070386B" w:rsidRPr="00D078A0">
        <w:rPr>
          <w:rFonts w:ascii="Palatino Linotype" w:hAnsi="Palatino Linotype"/>
        </w:rPr>
        <w:t>fracción</w:t>
      </w:r>
      <w:r w:rsidR="0070386B" w:rsidRPr="00D078A0">
        <w:rPr>
          <w:rFonts w:ascii="Palatino Linotype" w:hAnsi="Palatino Linotype" w:cs="Arial"/>
          <w:lang w:val="es-ES_tradnl"/>
        </w:rPr>
        <w:t xml:space="preserve"> I de la </w:t>
      </w:r>
      <w:r w:rsidR="0070386B" w:rsidRPr="00D078A0">
        <w:rPr>
          <w:rFonts w:ascii="Palatino Linotype" w:hAnsi="Palatino Linotype"/>
        </w:rPr>
        <w:t>Ley de Transparencia y Acceso a la Información Pública del Estado de México y Municipios</w:t>
      </w:r>
      <w:r w:rsidR="0070386B" w:rsidRPr="00D078A0">
        <w:rPr>
          <w:rFonts w:ascii="Palatino Linotype" w:hAnsi="Palatino Linotype" w:cs="Arial"/>
          <w:lang w:val="es-ES_tradnl"/>
        </w:rPr>
        <w:t>, se turnó, a través del</w:t>
      </w:r>
      <w:r w:rsidR="0070386B" w:rsidRPr="00D078A0">
        <w:rPr>
          <w:rFonts w:ascii="Palatino Linotype" w:eastAsia="Arial Unicode MS" w:hAnsi="Palatino Linotype" w:cs="Arial"/>
          <w:lang w:val="es-ES_tradnl"/>
        </w:rPr>
        <w:t xml:space="preserve"> </w:t>
      </w:r>
      <w:r w:rsidR="0070386B" w:rsidRPr="00D078A0">
        <w:rPr>
          <w:rFonts w:ascii="Palatino Linotype" w:eastAsia="Arial Unicode MS" w:hAnsi="Palatino Linotype" w:cs="Arial"/>
          <w:b/>
          <w:lang w:val="es-ES_tradnl"/>
        </w:rPr>
        <w:t>SAIMEX</w:t>
      </w:r>
      <w:r w:rsidR="0070386B" w:rsidRPr="00D078A0">
        <w:rPr>
          <w:rFonts w:ascii="Palatino Linotype" w:hAnsi="Palatino Linotype"/>
        </w:rPr>
        <w:t xml:space="preserve">, a la </w:t>
      </w:r>
      <w:r w:rsidR="0070386B" w:rsidRPr="00D078A0">
        <w:rPr>
          <w:rFonts w:ascii="Palatino Linotype" w:hAnsi="Palatino Linotype" w:cs="Arial"/>
          <w:lang w:val="es-ES_tradnl"/>
        </w:rPr>
        <w:t xml:space="preserve">Comisionada </w:t>
      </w:r>
      <w:r w:rsidR="0070386B" w:rsidRPr="00D078A0">
        <w:rPr>
          <w:rFonts w:ascii="Palatino Linotype" w:hAnsi="Palatino Linotype" w:cs="Arial"/>
          <w:b/>
          <w:lang w:val="es-ES_tradnl"/>
        </w:rPr>
        <w:t>EVA ABAID YAPUR</w:t>
      </w:r>
      <w:r w:rsidR="0070386B" w:rsidRPr="00D078A0">
        <w:rPr>
          <w:rFonts w:ascii="Palatino Linotype" w:hAnsi="Palatino Linotype" w:cs="Arial"/>
          <w:lang w:val="es-ES_tradnl"/>
        </w:rPr>
        <w:t>, a efecto de que decretara su admisión o desechamiento.</w:t>
      </w:r>
    </w:p>
    <w:p w:rsidR="004032D0" w:rsidRPr="00D078A0" w:rsidRDefault="004032D0" w:rsidP="0023793B">
      <w:pPr>
        <w:tabs>
          <w:tab w:val="left" w:pos="567"/>
        </w:tabs>
        <w:spacing w:before="100" w:beforeAutospacing="1" w:after="100" w:afterAutospacing="1" w:line="360" w:lineRule="auto"/>
        <w:contextualSpacing/>
        <w:jc w:val="both"/>
        <w:rPr>
          <w:rFonts w:ascii="Palatino Linotype" w:hAnsi="Palatino Linotype" w:cs="Arial"/>
          <w:lang w:val="es-ES_tradnl"/>
        </w:rPr>
      </w:pPr>
    </w:p>
    <w:p w:rsidR="004032D0" w:rsidRPr="00D078A0" w:rsidRDefault="004032D0" w:rsidP="0023793B">
      <w:pPr>
        <w:tabs>
          <w:tab w:val="left" w:pos="567"/>
        </w:tabs>
        <w:spacing w:before="100" w:beforeAutospacing="1" w:after="100" w:afterAutospacing="1" w:line="360" w:lineRule="auto"/>
        <w:contextualSpacing/>
        <w:jc w:val="both"/>
        <w:rPr>
          <w:rFonts w:ascii="Palatino Linotype" w:hAnsi="Palatino Linotype" w:cs="Arial"/>
          <w:lang w:val="es-ES_tradnl"/>
        </w:rPr>
      </w:pPr>
      <w:r w:rsidRPr="00D078A0">
        <w:rPr>
          <w:rFonts w:ascii="Palatino Linotype" w:hAnsi="Palatino Linotype"/>
          <w:b/>
          <w:sz w:val="28"/>
          <w:szCs w:val="28"/>
        </w:rPr>
        <w:lastRenderedPageBreak/>
        <w:t xml:space="preserve">V. </w:t>
      </w:r>
      <w:r w:rsidR="0070386B" w:rsidRPr="00D078A0">
        <w:rPr>
          <w:rFonts w:ascii="Palatino Linotype" w:hAnsi="Palatino Linotype" w:cs="Arial"/>
        </w:rPr>
        <w:t>De las constancias del expediente electrónico del</w:t>
      </w:r>
      <w:r w:rsidR="0070386B" w:rsidRPr="00D078A0">
        <w:rPr>
          <w:rFonts w:ascii="Palatino Linotype" w:hAnsi="Palatino Linotype" w:cs="Arial"/>
          <w:b/>
        </w:rPr>
        <w:t xml:space="preserve"> SAIMEX</w:t>
      </w:r>
      <w:r w:rsidR="0070386B" w:rsidRPr="00D078A0">
        <w:rPr>
          <w:rFonts w:ascii="Palatino Linotype" w:hAnsi="Palatino Linotype" w:cs="Arial"/>
        </w:rPr>
        <w:t xml:space="preserve">, se advierte que en fecha </w:t>
      </w:r>
      <w:r w:rsidR="00974884" w:rsidRPr="00D078A0">
        <w:rPr>
          <w:rFonts w:ascii="Palatino Linotype" w:hAnsi="Palatino Linotype" w:cs="Arial"/>
        </w:rPr>
        <w:t xml:space="preserve">dieciséis de octubre </w:t>
      </w:r>
      <w:r w:rsidR="0070386B" w:rsidRPr="00D078A0">
        <w:rPr>
          <w:rFonts w:ascii="Palatino Linotype" w:hAnsi="Palatino Linotype" w:cs="Arial"/>
        </w:rPr>
        <w:t xml:space="preserve">de dos mil diecinueve, atento a lo dispuesto en el artículo 185 fracciones I, II y IV de la </w:t>
      </w:r>
      <w:r w:rsidR="0070386B" w:rsidRPr="00D078A0">
        <w:rPr>
          <w:rFonts w:ascii="Palatino Linotype" w:hAnsi="Palatino Linotype"/>
        </w:rPr>
        <w:t xml:space="preserve">Ley de Transparencia y Acceso a la Información Pública del Estado </w:t>
      </w:r>
      <w:r w:rsidR="0070386B" w:rsidRPr="00D078A0">
        <w:rPr>
          <w:rFonts w:ascii="Palatino Linotype" w:hAnsi="Palatino Linotype" w:cs="Arial"/>
          <w:lang w:val="es-ES_tradnl"/>
        </w:rPr>
        <w:t>de</w:t>
      </w:r>
      <w:r w:rsidR="0070386B" w:rsidRPr="00D078A0">
        <w:rPr>
          <w:rFonts w:ascii="Palatino Linotype" w:hAnsi="Palatino Linotype"/>
        </w:rPr>
        <w:t xml:space="preserve"> México y </w:t>
      </w:r>
      <w:r w:rsidR="0070386B" w:rsidRPr="00D078A0">
        <w:rPr>
          <w:rFonts w:ascii="Palatino Linotype" w:hAnsi="Palatino Linotype" w:cs="Arial"/>
          <w:lang w:val="es-ES_tradnl"/>
        </w:rPr>
        <w:t>Municipios</w:t>
      </w:r>
      <w:r w:rsidR="0070386B" w:rsidRPr="00D078A0">
        <w:rPr>
          <w:rFonts w:ascii="Palatino Linotype" w:hAnsi="Palatino Linotype"/>
        </w:rPr>
        <w:t>, se a</w:t>
      </w:r>
      <w:r w:rsidR="0070386B" w:rsidRPr="00D078A0">
        <w:rPr>
          <w:rFonts w:ascii="Palatino Linotype" w:hAnsi="Palatino Linotype" w:cs="Arial"/>
        </w:rPr>
        <w:t xml:space="preserve">cordó la admisión a trámite del referido recurso de </w:t>
      </w:r>
      <w:r w:rsidR="0070386B" w:rsidRPr="00D078A0">
        <w:rPr>
          <w:rFonts w:ascii="Palatino Linotype" w:hAnsi="Palatino Linotype" w:cs="Arial"/>
          <w:lang w:val="es-ES_tradnl"/>
        </w:rPr>
        <w:t>revisión</w:t>
      </w:r>
      <w:r w:rsidR="0070386B" w:rsidRPr="00D078A0">
        <w:rPr>
          <w:rFonts w:ascii="Palatino Linotype" w:hAnsi="Palatino Linotype" w:cs="Arial"/>
        </w:rPr>
        <w:t xml:space="preserve">, así como la integración del expediente respectivo, mismo que se puso a disposición de las partes, para </w:t>
      </w:r>
      <w:r w:rsidR="0070386B" w:rsidRPr="00D078A0">
        <w:rPr>
          <w:rFonts w:ascii="Palatino Linotype" w:hAnsi="Palatino Linotype"/>
        </w:rPr>
        <w:t>que</w:t>
      </w:r>
      <w:r w:rsidR="0070386B" w:rsidRPr="00D078A0">
        <w:rPr>
          <w:rFonts w:ascii="Palatino Linotype" w:hAnsi="Palatino Linotype" w:cs="Arial"/>
        </w:rPr>
        <w:t xml:space="preserve"> en el plazo máximo de siete días hábiles, </w:t>
      </w:r>
      <w:r w:rsidR="006D3C7E" w:rsidRPr="00D078A0">
        <w:rPr>
          <w:rFonts w:ascii="Palatino Linotype" w:hAnsi="Palatino Linotype"/>
          <w:b/>
        </w:rPr>
        <w:t>EL</w:t>
      </w:r>
      <w:r w:rsidR="0070386B" w:rsidRPr="00D078A0">
        <w:rPr>
          <w:rFonts w:ascii="Palatino Linotype" w:hAnsi="Palatino Linotype"/>
          <w:b/>
        </w:rPr>
        <w:t xml:space="preserve"> RECURRENTE</w:t>
      </w:r>
      <w:r w:rsidR="0070386B" w:rsidRPr="00D078A0">
        <w:rPr>
          <w:rFonts w:ascii="Palatino Linotype" w:hAnsi="Palatino Linotype" w:cs="Arial"/>
        </w:rPr>
        <w:t xml:space="preserve"> realizara manifestaciones, alegatos y ofreciera las pruebas que a su derecho </w:t>
      </w:r>
      <w:r w:rsidR="0070386B" w:rsidRPr="00D078A0">
        <w:rPr>
          <w:rFonts w:ascii="Palatino Linotype" w:hAnsi="Palatino Linotype" w:cs="Arial"/>
          <w:lang w:val="es-ES_tradnl"/>
        </w:rPr>
        <w:t>conviniera</w:t>
      </w:r>
      <w:r w:rsidR="0070386B" w:rsidRPr="00D078A0">
        <w:rPr>
          <w:rFonts w:ascii="Palatino Linotype" w:hAnsi="Palatino Linotype" w:cs="Arial"/>
        </w:rPr>
        <w:t xml:space="preserve"> y, en el caso del</w:t>
      </w:r>
      <w:r w:rsidR="0070386B" w:rsidRPr="00D078A0">
        <w:rPr>
          <w:rFonts w:ascii="Palatino Linotype" w:hAnsi="Palatino Linotype" w:cs="Arial"/>
          <w:b/>
        </w:rPr>
        <w:t xml:space="preserve"> SUJETO OBLIGADO</w:t>
      </w:r>
      <w:r w:rsidR="0070386B" w:rsidRPr="00D078A0">
        <w:rPr>
          <w:rFonts w:ascii="Palatino Linotype" w:hAnsi="Palatino Linotype" w:cs="Arial"/>
        </w:rPr>
        <w:t>, para que exhibiera el Informe Justificado correspondiente.</w:t>
      </w:r>
    </w:p>
    <w:p w:rsidR="004032D0" w:rsidRPr="00D078A0" w:rsidRDefault="004032D0" w:rsidP="0023793B">
      <w:pPr>
        <w:tabs>
          <w:tab w:val="left" w:pos="567"/>
        </w:tabs>
        <w:spacing w:before="100" w:beforeAutospacing="1" w:after="100" w:afterAutospacing="1" w:line="360" w:lineRule="auto"/>
        <w:contextualSpacing/>
        <w:jc w:val="both"/>
        <w:rPr>
          <w:rFonts w:ascii="Palatino Linotype" w:hAnsi="Palatino Linotype" w:cs="Arial"/>
          <w:lang w:val="es-ES_tradnl"/>
        </w:rPr>
      </w:pPr>
    </w:p>
    <w:p w:rsidR="0070386B" w:rsidRPr="00D078A0" w:rsidRDefault="004032D0" w:rsidP="0023793B">
      <w:pPr>
        <w:tabs>
          <w:tab w:val="left" w:pos="567"/>
        </w:tabs>
        <w:spacing w:before="100" w:beforeAutospacing="1" w:after="100" w:afterAutospacing="1" w:line="360" w:lineRule="auto"/>
        <w:contextualSpacing/>
        <w:jc w:val="both"/>
        <w:rPr>
          <w:rFonts w:ascii="Palatino Linotype" w:hAnsi="Palatino Linotype" w:cs="Arial"/>
          <w:lang w:val="es-ES_tradnl"/>
        </w:rPr>
      </w:pPr>
      <w:r w:rsidRPr="00D078A0">
        <w:rPr>
          <w:rFonts w:ascii="Palatino Linotype" w:hAnsi="Palatino Linotype"/>
          <w:b/>
          <w:sz w:val="28"/>
          <w:szCs w:val="28"/>
        </w:rPr>
        <w:t xml:space="preserve">VI. </w:t>
      </w:r>
      <w:r w:rsidR="0070386B" w:rsidRPr="00D078A0">
        <w:rPr>
          <w:rFonts w:ascii="Palatino Linotype" w:hAnsi="Palatino Linotype" w:cs="Arial"/>
          <w:lang w:val="es-ES_tradnl"/>
        </w:rPr>
        <w:t xml:space="preserve">Conforme a las constancias del </w:t>
      </w:r>
      <w:r w:rsidR="0070386B" w:rsidRPr="00D078A0">
        <w:rPr>
          <w:rFonts w:ascii="Palatino Linotype" w:hAnsi="Palatino Linotype" w:cs="Arial"/>
          <w:b/>
          <w:lang w:val="es-ES_tradnl"/>
        </w:rPr>
        <w:t>SAIMEX</w:t>
      </w:r>
      <w:r w:rsidR="0070386B" w:rsidRPr="00D078A0">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006D3C7E" w:rsidRPr="00D078A0">
        <w:rPr>
          <w:rFonts w:ascii="Palatino Linotype" w:hAnsi="Palatino Linotype" w:cs="Arial"/>
          <w:b/>
          <w:lang w:val="es-ES_tradnl"/>
        </w:rPr>
        <w:t>EL</w:t>
      </w:r>
      <w:r w:rsidR="00A633C7" w:rsidRPr="00D078A0">
        <w:rPr>
          <w:rFonts w:ascii="Palatino Linotype" w:hAnsi="Palatino Linotype" w:cs="Arial"/>
          <w:b/>
          <w:lang w:val="es-ES_tradnl"/>
        </w:rPr>
        <w:t xml:space="preserve"> </w:t>
      </w:r>
      <w:r w:rsidR="0070386B" w:rsidRPr="00D078A0">
        <w:rPr>
          <w:rFonts w:ascii="Palatino Linotype" w:hAnsi="Palatino Linotype" w:cs="Arial"/>
          <w:b/>
          <w:lang w:val="es-ES_tradnl"/>
        </w:rPr>
        <w:t>RECURRENTE</w:t>
      </w:r>
      <w:r w:rsidR="0070386B" w:rsidRPr="00D078A0">
        <w:rPr>
          <w:rFonts w:ascii="Palatino Linotype" w:hAnsi="Palatino Linotype" w:cs="Arial"/>
          <w:lang w:val="es-ES_tradnl"/>
        </w:rPr>
        <w:t xml:space="preserve"> no realizó manifestación alguna, ni presentó pruebas o alegatos; así como, tampoco </w:t>
      </w:r>
      <w:r w:rsidR="0070386B" w:rsidRPr="00D078A0">
        <w:rPr>
          <w:rFonts w:ascii="Palatino Linotype" w:hAnsi="Palatino Linotype" w:cs="Arial"/>
          <w:b/>
        </w:rPr>
        <w:t>EL SUJETO OBLIGADO</w:t>
      </w:r>
      <w:r w:rsidR="0070386B" w:rsidRPr="00D078A0">
        <w:rPr>
          <w:rFonts w:ascii="Palatino Linotype" w:hAnsi="Palatino Linotype" w:cs="Arial"/>
          <w:lang w:val="es-ES_tradnl"/>
        </w:rPr>
        <w:t xml:space="preserve"> rindió su Informe Justificado, tal como se muestra en la siguiente imagen:</w:t>
      </w:r>
    </w:p>
    <w:p w:rsidR="00974884" w:rsidRPr="00D078A0" w:rsidRDefault="00974884" w:rsidP="0023793B">
      <w:pPr>
        <w:spacing w:before="100" w:beforeAutospacing="1" w:after="100" w:afterAutospacing="1" w:line="360" w:lineRule="auto"/>
        <w:contextualSpacing/>
        <w:jc w:val="both"/>
        <w:rPr>
          <w:rFonts w:ascii="Palatino Linotype" w:hAnsi="Palatino Linotype" w:cs="Arial"/>
          <w:lang w:val="es-ES_tradnl"/>
        </w:rPr>
      </w:pPr>
    </w:p>
    <w:p w:rsidR="0070386B" w:rsidRPr="00D078A0" w:rsidRDefault="004032D0" w:rsidP="0023793B">
      <w:pPr>
        <w:pStyle w:val="Prrafodelista"/>
        <w:widowControl w:val="0"/>
        <w:tabs>
          <w:tab w:val="left" w:pos="36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078A0">
        <w:rPr>
          <w:noProof/>
          <w:lang w:eastAsia="es-MX"/>
        </w:rPr>
        <w:drawing>
          <wp:inline distT="0" distB="0" distL="0" distR="0" wp14:anchorId="7B3B2A00" wp14:editId="49014F7E">
            <wp:extent cx="5734050"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23" t="39466" r="9385" b="26329"/>
                    <a:stretch/>
                  </pic:blipFill>
                  <pic:spPr bwMode="auto">
                    <a:xfrm>
                      <a:off x="0" y="0"/>
                      <a:ext cx="5734050" cy="1828800"/>
                    </a:xfrm>
                    <a:prstGeom prst="rect">
                      <a:avLst/>
                    </a:prstGeom>
                    <a:ln>
                      <a:noFill/>
                    </a:ln>
                    <a:extLst>
                      <a:ext uri="{53640926-AAD7-44D8-BBD7-CCE9431645EC}">
                        <a14:shadowObscured xmlns:a14="http://schemas.microsoft.com/office/drawing/2010/main"/>
                      </a:ext>
                    </a:extLst>
                  </pic:spPr>
                </pic:pic>
              </a:graphicData>
            </a:graphic>
          </wp:inline>
        </w:drawing>
      </w:r>
    </w:p>
    <w:p w:rsidR="0041417D" w:rsidRPr="00D078A0" w:rsidRDefault="0041417D" w:rsidP="0023793B">
      <w:pPr>
        <w:pStyle w:val="Prrafodelista"/>
        <w:widowControl w:val="0"/>
        <w:tabs>
          <w:tab w:val="left" w:pos="36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70386B" w:rsidRPr="00D078A0" w:rsidRDefault="00651A43"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b/>
          <w:sz w:val="28"/>
          <w:szCs w:val="28"/>
        </w:rPr>
        <w:lastRenderedPageBreak/>
        <w:t>VII</w:t>
      </w:r>
      <w:r w:rsidR="0070386B" w:rsidRPr="00D078A0">
        <w:rPr>
          <w:rFonts w:ascii="Palatino Linotype" w:hAnsi="Palatino Linotype"/>
          <w:b/>
          <w:sz w:val="28"/>
          <w:szCs w:val="28"/>
        </w:rPr>
        <w:t xml:space="preserve">. </w:t>
      </w:r>
      <w:r w:rsidR="0070386B" w:rsidRPr="00D078A0">
        <w:rPr>
          <w:rFonts w:ascii="Palatino Linotype" w:hAnsi="Palatino Linotype" w:cs="Arial"/>
        </w:rPr>
        <w:t xml:space="preserve">Una vez analizado el estado procesal que guardaba el expediente, en fecha </w:t>
      </w:r>
      <w:r w:rsidR="00974884" w:rsidRPr="00D078A0">
        <w:rPr>
          <w:rFonts w:ascii="Palatino Linotype" w:hAnsi="Palatino Linotype" w:cs="Arial"/>
        </w:rPr>
        <w:t>cuatro de noviembre</w:t>
      </w:r>
      <w:r w:rsidR="0070386B" w:rsidRPr="00D078A0">
        <w:rPr>
          <w:rFonts w:ascii="Palatino Linotype" w:hAnsi="Palatino Linotype" w:cs="Arial"/>
        </w:rPr>
        <w:t xml:space="preserve"> de dos mil diecinueve, la Comisionada Ponente acordó el Cierre de Instrucción; así </w:t>
      </w:r>
      <w:r w:rsidR="0070386B" w:rsidRPr="00D078A0">
        <w:rPr>
          <w:rFonts w:ascii="Palatino Linotype" w:hAnsi="Palatino Linotype" w:cs="Arial"/>
          <w:lang w:val="es-ES_tradnl"/>
        </w:rPr>
        <w:t>como,</w:t>
      </w:r>
      <w:r w:rsidR="0070386B" w:rsidRPr="00D078A0">
        <w:rPr>
          <w:rFonts w:ascii="Palatino Linotype" w:hAnsi="Palatino Linotype" w:cs="Arial"/>
        </w:rPr>
        <w:t xml:space="preserve"> la remisión del mismo a efecto </w:t>
      </w:r>
      <w:r w:rsidR="0070386B" w:rsidRPr="00D078A0">
        <w:rPr>
          <w:rFonts w:ascii="Palatino Linotype" w:hAnsi="Palatino Linotype" w:cs="Arial"/>
          <w:lang w:val="es-ES_tradnl"/>
        </w:rPr>
        <w:t>de</w:t>
      </w:r>
      <w:r w:rsidR="0070386B" w:rsidRPr="00D078A0">
        <w:rPr>
          <w:rFonts w:ascii="Palatino Linotype" w:hAnsi="Palatino Linotype" w:cs="Arial"/>
        </w:rPr>
        <w:t xml:space="preserve"> ser resuelto, de conformidad con lo establecido en el artículo 185, fracciones VI y VIII de la Ley de Transparencia y Acceso a la Información Pública del</w:t>
      </w:r>
      <w:r w:rsidRPr="00D078A0">
        <w:rPr>
          <w:rFonts w:ascii="Palatino Linotype" w:hAnsi="Palatino Linotype" w:cs="Arial"/>
        </w:rPr>
        <w:t xml:space="preserve"> Es</w:t>
      </w:r>
      <w:r w:rsidR="00284131" w:rsidRPr="00D078A0">
        <w:rPr>
          <w:rFonts w:ascii="Palatino Linotype" w:hAnsi="Palatino Linotype" w:cs="Arial"/>
        </w:rPr>
        <w:t>tado de México y Municipios.</w:t>
      </w:r>
    </w:p>
    <w:p w:rsidR="00284131" w:rsidRPr="00D078A0" w:rsidRDefault="00284131" w:rsidP="0023793B">
      <w:pPr>
        <w:spacing w:before="100" w:beforeAutospacing="1" w:after="100" w:afterAutospacing="1" w:line="360" w:lineRule="auto"/>
        <w:contextualSpacing/>
        <w:jc w:val="both"/>
        <w:rPr>
          <w:rFonts w:ascii="Palatino Linotype" w:hAnsi="Palatino Linotype" w:cs="Arial"/>
        </w:rPr>
      </w:pPr>
    </w:p>
    <w:p w:rsidR="00284131" w:rsidRPr="00D078A0" w:rsidRDefault="00284131" w:rsidP="0023793B">
      <w:pPr>
        <w:tabs>
          <w:tab w:val="left" w:pos="567"/>
        </w:tabs>
        <w:spacing w:before="100" w:beforeAutospacing="1" w:after="100" w:afterAutospacing="1" w:line="360" w:lineRule="auto"/>
        <w:contextualSpacing/>
        <w:jc w:val="both"/>
        <w:rPr>
          <w:rFonts w:ascii="Palatino Linotype" w:hAnsi="Palatino Linotype"/>
          <w:b/>
          <w:sz w:val="28"/>
          <w:szCs w:val="28"/>
        </w:rPr>
      </w:pPr>
      <w:r w:rsidRPr="00D078A0">
        <w:rPr>
          <w:rFonts w:ascii="Palatino Linotype" w:hAnsi="Palatino Linotype" w:cs="Arial"/>
          <w:b/>
          <w:sz w:val="28"/>
          <w:szCs w:val="28"/>
        </w:rPr>
        <w:t xml:space="preserve">IX. </w:t>
      </w:r>
      <w:r w:rsidRPr="00D078A0">
        <w:rPr>
          <w:rFonts w:ascii="Palatino Linotype" w:hAnsi="Palatino Linotype" w:cs="Arial"/>
        </w:rPr>
        <w:t>En fecha diez de 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84131" w:rsidRPr="00D078A0" w:rsidRDefault="00284131" w:rsidP="0023793B">
      <w:pPr>
        <w:spacing w:before="100" w:beforeAutospacing="1" w:after="100" w:afterAutospacing="1" w:line="360" w:lineRule="auto"/>
        <w:contextualSpacing/>
        <w:jc w:val="both"/>
        <w:rPr>
          <w:rFonts w:ascii="Palatino Linotype" w:hAnsi="Palatino Linotype" w:cs="Arial"/>
        </w:rPr>
      </w:pPr>
    </w:p>
    <w:p w:rsidR="00EC74DE" w:rsidRPr="00D078A0" w:rsidRDefault="00EC74DE" w:rsidP="0023793B">
      <w:pPr>
        <w:tabs>
          <w:tab w:val="left" w:pos="709"/>
        </w:tabs>
        <w:spacing w:before="100" w:beforeAutospacing="1" w:after="100" w:afterAutospacing="1" w:line="360" w:lineRule="auto"/>
        <w:contextualSpacing/>
        <w:jc w:val="center"/>
        <w:rPr>
          <w:rFonts w:ascii="Palatino Linotype" w:hAnsi="Palatino Linotype"/>
          <w:b/>
          <w:bCs/>
          <w:spacing w:val="60"/>
          <w:sz w:val="28"/>
          <w:szCs w:val="28"/>
        </w:rPr>
      </w:pPr>
      <w:r w:rsidRPr="00D078A0">
        <w:rPr>
          <w:rFonts w:ascii="Palatino Linotype" w:hAnsi="Palatino Linotype"/>
          <w:b/>
          <w:bCs/>
          <w:spacing w:val="60"/>
          <w:sz w:val="28"/>
          <w:szCs w:val="28"/>
        </w:rPr>
        <w:t>CONSIDERANDO</w:t>
      </w:r>
    </w:p>
    <w:p w:rsidR="0041417D" w:rsidRPr="00D078A0" w:rsidRDefault="0041417D" w:rsidP="0023793B">
      <w:pPr>
        <w:tabs>
          <w:tab w:val="left" w:pos="709"/>
        </w:tabs>
        <w:spacing w:before="100" w:beforeAutospacing="1" w:after="100" w:afterAutospacing="1" w:line="360" w:lineRule="auto"/>
        <w:contextualSpacing/>
        <w:jc w:val="center"/>
        <w:rPr>
          <w:rFonts w:ascii="Palatino Linotype" w:hAnsi="Palatino Linotype"/>
          <w:b/>
          <w:bCs/>
          <w:spacing w:val="60"/>
          <w:sz w:val="28"/>
          <w:szCs w:val="28"/>
        </w:rPr>
      </w:pPr>
    </w:p>
    <w:p w:rsidR="00EC74DE" w:rsidRPr="00D078A0" w:rsidRDefault="00EC74DE" w:rsidP="0023793B">
      <w:pPr>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D078A0">
        <w:rPr>
          <w:rFonts w:ascii="Palatino Linotype" w:hAnsi="Palatino Linotype"/>
          <w:b/>
        </w:rPr>
        <w:t>Competencia</w:t>
      </w:r>
      <w:r w:rsidRPr="00D078A0">
        <w:rPr>
          <w:rFonts w:ascii="Palatino Linotype" w:hAnsi="Palatino Linotype"/>
        </w:rPr>
        <w:t>.</w:t>
      </w:r>
      <w:r w:rsidRPr="00D078A0">
        <w:rPr>
          <w:rFonts w:ascii="Palatino Linotype" w:hAnsi="Palatino Linotype"/>
          <w:b/>
        </w:rPr>
        <w:t xml:space="preserve"> </w:t>
      </w:r>
      <w:r w:rsidRPr="00D078A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078A0">
        <w:rPr>
          <w:rFonts w:ascii="Palatino Linotype" w:hAnsi="Palatino Linotype" w:cs="Arial"/>
        </w:rPr>
        <w:t>.</w:t>
      </w:r>
    </w:p>
    <w:p w:rsidR="0041417D" w:rsidRPr="00D078A0" w:rsidRDefault="0041417D" w:rsidP="0023793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EC74DE" w:rsidRPr="00D078A0" w:rsidRDefault="00EC74DE" w:rsidP="0023793B">
      <w:pPr>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D078A0">
        <w:rPr>
          <w:rFonts w:ascii="Palatino Linotype" w:hAnsi="Palatino Linotype" w:cs="Arial"/>
          <w:b/>
        </w:rPr>
        <w:t xml:space="preserve"> Interés.</w:t>
      </w:r>
      <w:r w:rsidRPr="00D078A0">
        <w:rPr>
          <w:rFonts w:ascii="Palatino Linotype" w:hAnsi="Palatino Linotype" w:cs="Arial"/>
        </w:rPr>
        <w:t xml:space="preserve"> El </w:t>
      </w:r>
      <w:r w:rsidRPr="00D078A0">
        <w:rPr>
          <w:rFonts w:ascii="Palatino Linotype" w:hAnsi="Palatino Linotype"/>
        </w:rPr>
        <w:t>recurso</w:t>
      </w:r>
      <w:r w:rsidRPr="00D078A0">
        <w:rPr>
          <w:rFonts w:ascii="Palatino Linotype" w:hAnsi="Palatino Linotype" w:cs="Arial"/>
        </w:rPr>
        <w:t xml:space="preserve"> de revisión fue </w:t>
      </w:r>
      <w:r w:rsidRPr="00D078A0">
        <w:rPr>
          <w:rFonts w:ascii="Palatino Linotype" w:hAnsi="Palatino Linotype"/>
        </w:rPr>
        <w:t>interpuesto</w:t>
      </w:r>
      <w:r w:rsidRPr="00D078A0">
        <w:rPr>
          <w:rFonts w:ascii="Palatino Linotype" w:hAnsi="Palatino Linotype" w:cs="Arial"/>
        </w:rPr>
        <w:t xml:space="preserve"> por parte legítima en atención a que fue </w:t>
      </w:r>
      <w:r w:rsidRPr="00D078A0">
        <w:rPr>
          <w:rFonts w:ascii="Palatino Linotype" w:hAnsi="Palatino Linotype"/>
        </w:rPr>
        <w:t>presentado</w:t>
      </w:r>
      <w:r w:rsidRPr="00D078A0">
        <w:rPr>
          <w:rFonts w:ascii="Palatino Linotype" w:hAnsi="Palatino Linotype" w:cs="Arial"/>
        </w:rPr>
        <w:t xml:space="preserve"> por </w:t>
      </w:r>
      <w:r w:rsidR="00651A43" w:rsidRPr="00D078A0">
        <w:rPr>
          <w:rFonts w:ascii="Palatino Linotype" w:hAnsi="Palatino Linotype" w:cs="Arial"/>
          <w:b/>
        </w:rPr>
        <w:t>EL</w:t>
      </w:r>
      <w:r w:rsidRPr="00D078A0">
        <w:rPr>
          <w:rFonts w:ascii="Palatino Linotype" w:hAnsi="Palatino Linotype" w:cs="Arial"/>
          <w:b/>
        </w:rPr>
        <w:t xml:space="preserve"> RECURRENTE</w:t>
      </w:r>
      <w:r w:rsidRPr="00D078A0">
        <w:rPr>
          <w:rFonts w:ascii="Palatino Linotype" w:hAnsi="Palatino Linotype" w:cs="Arial"/>
          <w:snapToGrid w:val="0"/>
        </w:rPr>
        <w:t xml:space="preserve">, </w:t>
      </w:r>
      <w:r w:rsidRPr="00D078A0">
        <w:rPr>
          <w:rFonts w:ascii="Palatino Linotype" w:hAnsi="Palatino Linotype" w:cs="Arial"/>
        </w:rPr>
        <w:t>quien</w:t>
      </w:r>
      <w:r w:rsidRPr="00D078A0">
        <w:rPr>
          <w:rFonts w:ascii="Palatino Linotype" w:hAnsi="Palatino Linotype" w:cs="Arial"/>
          <w:snapToGrid w:val="0"/>
        </w:rPr>
        <w:t xml:space="preserve"> </w:t>
      </w:r>
      <w:r w:rsidRPr="00D078A0">
        <w:rPr>
          <w:rFonts w:ascii="Palatino Linotype" w:hAnsi="Palatino Linotype"/>
        </w:rPr>
        <w:t>formuló</w:t>
      </w:r>
      <w:r w:rsidRPr="00D078A0">
        <w:rPr>
          <w:rFonts w:ascii="Palatino Linotype" w:hAnsi="Palatino Linotype" w:cs="Arial"/>
          <w:snapToGrid w:val="0"/>
        </w:rPr>
        <w:t xml:space="preserve"> la </w:t>
      </w:r>
      <w:r w:rsidRPr="00D078A0">
        <w:rPr>
          <w:rFonts w:ascii="Palatino Linotype" w:hAnsi="Palatino Linotype" w:cs="Arial"/>
        </w:rPr>
        <w:t>solicitud</w:t>
      </w:r>
      <w:r w:rsidRPr="00D078A0">
        <w:rPr>
          <w:rFonts w:ascii="Palatino Linotype" w:hAnsi="Palatino Linotype" w:cs="Arial"/>
          <w:snapToGrid w:val="0"/>
        </w:rPr>
        <w:t xml:space="preserve"> de información pública </w:t>
      </w:r>
      <w:r w:rsidRPr="00D078A0">
        <w:rPr>
          <w:rFonts w:ascii="Palatino Linotype" w:hAnsi="Palatino Linotype"/>
        </w:rPr>
        <w:t>número</w:t>
      </w:r>
      <w:r w:rsidR="00974884" w:rsidRPr="00D078A0">
        <w:rPr>
          <w:rFonts w:ascii="Verdana" w:hAnsi="Verdana"/>
          <w:b/>
          <w:bCs/>
          <w:color w:val="FF0000"/>
        </w:rPr>
        <w:t xml:space="preserve"> </w:t>
      </w:r>
      <w:r w:rsidR="00651A43" w:rsidRPr="00D078A0">
        <w:rPr>
          <w:rFonts w:ascii="Palatino Linotype" w:hAnsi="Palatino Linotype"/>
          <w:b/>
          <w:bCs/>
        </w:rPr>
        <w:t>00097</w:t>
      </w:r>
      <w:r w:rsidR="00974884" w:rsidRPr="00D078A0">
        <w:rPr>
          <w:rFonts w:ascii="Palatino Linotype" w:hAnsi="Palatino Linotype"/>
          <w:b/>
          <w:bCs/>
        </w:rPr>
        <w:t>/</w:t>
      </w:r>
      <w:r w:rsidR="00651A43" w:rsidRPr="00D078A0">
        <w:rPr>
          <w:rFonts w:ascii="Palatino Linotype" w:hAnsi="Palatino Linotype"/>
          <w:b/>
          <w:bCs/>
        </w:rPr>
        <w:t>TULTEPEC</w:t>
      </w:r>
      <w:r w:rsidR="00974884" w:rsidRPr="00D078A0">
        <w:rPr>
          <w:rFonts w:ascii="Palatino Linotype" w:hAnsi="Palatino Linotype"/>
          <w:b/>
          <w:bCs/>
        </w:rPr>
        <w:t>/IP/2019.</w:t>
      </w:r>
    </w:p>
    <w:p w:rsidR="0041417D" w:rsidRPr="00D078A0" w:rsidRDefault="0041417D" w:rsidP="0023793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p>
    <w:p w:rsidR="0070386B" w:rsidRPr="00D078A0" w:rsidRDefault="0070386B" w:rsidP="0081297D">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rPr>
      </w:pPr>
      <w:r w:rsidRPr="00D078A0">
        <w:rPr>
          <w:rFonts w:ascii="Palatino Linotype" w:hAnsi="Palatino Linotype" w:cs="Arial"/>
          <w:b/>
          <w:lang w:val="es-ES"/>
        </w:rPr>
        <w:t xml:space="preserve">Oportunidad. </w:t>
      </w:r>
      <w:r w:rsidRPr="00D078A0">
        <w:rPr>
          <w:rFonts w:ascii="Palatino Linotype" w:hAnsi="Palatino Linotype" w:cs="Arial"/>
          <w:color w:val="000000"/>
          <w:lang w:val="es-ES"/>
        </w:rPr>
        <w:t>Es de precisar que la Ley de Transparencia y Acceso a la Información Pública del Estado de México y Municipios, describe el mecanismo de procedencia del recurso de revisión, como se puede apreciar en el siguiente artículo:</w:t>
      </w:r>
    </w:p>
    <w:p w:rsidR="0070386B" w:rsidRPr="00D078A0" w:rsidRDefault="0070386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color w:val="000000"/>
          <w:sz w:val="22"/>
          <w:szCs w:val="22"/>
          <w:lang w:val="es-ES"/>
        </w:rPr>
      </w:pPr>
      <w:r w:rsidRPr="00D078A0">
        <w:rPr>
          <w:rFonts w:ascii="Palatino Linotype" w:hAnsi="Palatino Linotype" w:cs="Arial"/>
          <w:b/>
          <w:i/>
          <w:color w:val="000000"/>
          <w:sz w:val="22"/>
          <w:szCs w:val="22"/>
          <w:lang w:val="es-ES"/>
        </w:rPr>
        <w:t>“Artículo 163.</w:t>
      </w:r>
      <w:r w:rsidRPr="00D078A0">
        <w:rPr>
          <w:rFonts w:ascii="Palatino Linotype" w:hAnsi="Palatino Linotype" w:cs="Arial"/>
          <w:i/>
          <w:color w:val="000000"/>
          <w:sz w:val="22"/>
          <w:szCs w:val="22"/>
          <w:lang w:val="es-ES"/>
        </w:rPr>
        <w:t xml:space="preserve"> La Unidad </w:t>
      </w:r>
      <w:r w:rsidRPr="00D078A0">
        <w:rPr>
          <w:rFonts w:ascii="Palatino Linotype" w:hAnsi="Palatino Linotype" w:cs="Arial"/>
          <w:i/>
          <w:sz w:val="22"/>
          <w:szCs w:val="22"/>
          <w:lang w:val="es-ES"/>
        </w:rPr>
        <w:t>de</w:t>
      </w:r>
      <w:r w:rsidRPr="00D078A0">
        <w:rPr>
          <w:rFonts w:ascii="Palatino Linotype" w:hAnsi="Palatino Linotype" w:cs="Arial"/>
          <w:i/>
          <w:color w:val="000000"/>
          <w:sz w:val="22"/>
          <w:szCs w:val="22"/>
          <w:lang w:val="es-ES"/>
        </w:rPr>
        <w:t xml:space="preserve"> Transparencia deberá notificar la respuesta a la solicitud al interesado en el </w:t>
      </w:r>
      <w:r w:rsidRPr="00D078A0">
        <w:rPr>
          <w:rFonts w:ascii="Palatino Linotype" w:hAnsi="Palatino Linotype" w:cs="Arial"/>
          <w:i/>
          <w:sz w:val="22"/>
          <w:szCs w:val="22"/>
          <w:lang w:val="es-ES"/>
        </w:rPr>
        <w:t>menor</w:t>
      </w:r>
      <w:r w:rsidRPr="00D078A0">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70386B" w:rsidRPr="00D078A0" w:rsidRDefault="0070386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color w:val="000000"/>
          <w:sz w:val="22"/>
          <w:szCs w:val="22"/>
          <w:lang w:val="es-ES"/>
        </w:rPr>
      </w:pPr>
      <w:r w:rsidRPr="00D078A0">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D078A0">
        <w:rPr>
          <w:rFonts w:ascii="Palatino Linotype" w:hAnsi="Palatino Linotype" w:cs="Arial"/>
          <w:i/>
          <w:sz w:val="22"/>
          <w:szCs w:val="22"/>
          <w:lang w:val="es-ES"/>
        </w:rPr>
        <w:t>cuando</w:t>
      </w:r>
      <w:r w:rsidRPr="00D078A0">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70386B" w:rsidRPr="00D078A0" w:rsidRDefault="0070386B" w:rsidP="0023793B">
      <w:pPr>
        <w:spacing w:before="100" w:beforeAutospacing="1" w:after="100" w:afterAutospacing="1"/>
        <w:ind w:left="851" w:right="901"/>
        <w:contextualSpacing/>
        <w:jc w:val="both"/>
        <w:rPr>
          <w:rFonts w:ascii="Palatino Linotype" w:hAnsi="Palatino Linotype" w:cs="Arial"/>
          <w:i/>
          <w:color w:val="000000"/>
          <w:szCs w:val="22"/>
          <w:lang w:val="es-ES"/>
        </w:rPr>
      </w:pPr>
    </w:p>
    <w:p w:rsidR="0070386B" w:rsidRPr="00D078A0" w:rsidRDefault="0070386B" w:rsidP="0023793B">
      <w:pPr>
        <w:spacing w:before="100" w:beforeAutospacing="1" w:after="100" w:afterAutospacing="1" w:line="360" w:lineRule="auto"/>
        <w:contextualSpacing/>
        <w:jc w:val="both"/>
        <w:rPr>
          <w:rFonts w:ascii="Palatino Linotype" w:hAnsi="Palatino Linotype" w:cs="Arial"/>
          <w:color w:val="000000"/>
          <w:lang w:val="es-ES"/>
        </w:rPr>
      </w:pPr>
      <w:r w:rsidRPr="00D078A0">
        <w:rPr>
          <w:rFonts w:ascii="Palatino Linotype" w:hAnsi="Palatino Linotype" w:cs="Arial"/>
          <w:color w:val="000000"/>
          <w:lang w:val="es-ES"/>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w:t>
      </w:r>
      <w:r w:rsidR="00A633C7" w:rsidRPr="00D078A0">
        <w:rPr>
          <w:rFonts w:ascii="Palatino Linotype" w:hAnsi="Palatino Linotype" w:cs="Arial"/>
          <w:color w:val="000000"/>
          <w:lang w:val="es-ES"/>
        </w:rPr>
        <w:t xml:space="preserve">onsidera negada; por lo que a la </w:t>
      </w:r>
      <w:r w:rsidRPr="00D078A0">
        <w:rPr>
          <w:rFonts w:ascii="Palatino Linotype" w:hAnsi="Palatino Linotype" w:cs="Arial"/>
          <w:color w:val="000000"/>
          <w:lang w:val="es-ES"/>
        </w:rPr>
        <w:t xml:space="preserve">solicitante le asiste el derecho para poder presentar el recurso de revisión correspondiente.  </w:t>
      </w:r>
    </w:p>
    <w:p w:rsidR="0070386B" w:rsidRPr="00D078A0" w:rsidRDefault="0070386B" w:rsidP="0023793B">
      <w:pPr>
        <w:spacing w:before="100" w:beforeAutospacing="1" w:after="100" w:afterAutospacing="1" w:line="360" w:lineRule="auto"/>
        <w:contextualSpacing/>
        <w:jc w:val="both"/>
        <w:rPr>
          <w:rFonts w:ascii="Palatino Linotype" w:hAnsi="Palatino Linotype" w:cs="Arial"/>
          <w:color w:val="000000"/>
          <w:lang w:val="es-ES"/>
        </w:rPr>
      </w:pPr>
    </w:p>
    <w:p w:rsidR="0070386B" w:rsidRPr="00D078A0" w:rsidRDefault="0070386B" w:rsidP="0023793B">
      <w:pPr>
        <w:spacing w:before="100" w:beforeAutospacing="1" w:after="100" w:afterAutospacing="1" w:line="360" w:lineRule="auto"/>
        <w:contextualSpacing/>
        <w:jc w:val="both"/>
        <w:rPr>
          <w:rFonts w:ascii="Palatino Linotype" w:hAnsi="Palatino Linotype" w:cs="Arial"/>
          <w:color w:val="000000"/>
          <w:lang w:val="es-ES"/>
        </w:rPr>
      </w:pPr>
      <w:r w:rsidRPr="00D078A0">
        <w:rPr>
          <w:rFonts w:ascii="Palatino Linotype" w:hAnsi="Palatino Linotype" w:cs="Arial"/>
          <w:color w:val="000000"/>
          <w:lang w:val="es-ES"/>
        </w:rPr>
        <w:lastRenderedPageBreak/>
        <w:t xml:space="preserve">Derivado de lo anterior, se constituye la figura jurídica de la </w:t>
      </w:r>
      <w:r w:rsidRPr="00D078A0">
        <w:rPr>
          <w:rFonts w:ascii="Palatino Linotype" w:hAnsi="Palatino Linotype" w:cs="Arial"/>
          <w:b/>
          <w:color w:val="000000"/>
          <w:lang w:val="es-ES"/>
        </w:rPr>
        <w:t>NEGATIVA FICTA</w:t>
      </w:r>
      <w:r w:rsidRPr="00D078A0">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70386B" w:rsidRPr="00D078A0" w:rsidRDefault="0070386B" w:rsidP="0023793B">
      <w:pPr>
        <w:spacing w:before="100" w:beforeAutospacing="1" w:after="100" w:afterAutospacing="1" w:line="360" w:lineRule="auto"/>
        <w:contextualSpacing/>
        <w:jc w:val="both"/>
        <w:rPr>
          <w:rFonts w:ascii="Palatino Linotype" w:hAnsi="Palatino Linotype" w:cs="Arial"/>
          <w:color w:val="000000"/>
          <w:lang w:val="es-ES"/>
        </w:rPr>
      </w:pPr>
    </w:p>
    <w:p w:rsidR="0070386B" w:rsidRPr="00D078A0" w:rsidRDefault="0070386B" w:rsidP="0023793B">
      <w:pPr>
        <w:spacing w:before="100" w:beforeAutospacing="1" w:after="100" w:afterAutospacing="1" w:line="360" w:lineRule="auto"/>
        <w:contextualSpacing/>
        <w:jc w:val="both"/>
        <w:rPr>
          <w:rFonts w:ascii="Palatino Linotype" w:hAnsi="Palatino Linotype" w:cs="Arial"/>
          <w:color w:val="000000"/>
          <w:lang w:val="es-ES"/>
        </w:rPr>
      </w:pPr>
      <w:r w:rsidRPr="00D078A0">
        <w:rPr>
          <w:rFonts w:ascii="Palatino Linotype" w:hAnsi="Palatino Linotype" w:cs="Arial"/>
          <w:color w:val="000000"/>
          <w:lang w:val="es-ES"/>
        </w:rPr>
        <w:t>Por su parte el artículo 178 de la Ley de Transparencia y Acceso a la Información Pública del Estado de México y Municipios, establece:</w:t>
      </w:r>
    </w:p>
    <w:p w:rsidR="0070386B" w:rsidRPr="00D078A0" w:rsidRDefault="0070386B" w:rsidP="0023793B">
      <w:pPr>
        <w:spacing w:before="100" w:beforeAutospacing="1" w:after="100" w:afterAutospacing="1"/>
        <w:contextualSpacing/>
        <w:jc w:val="both"/>
        <w:rPr>
          <w:rFonts w:ascii="Palatino Linotype" w:hAnsi="Palatino Linotype" w:cs="Arial"/>
          <w:color w:val="000000"/>
          <w:lang w:val="es-ES"/>
        </w:rPr>
      </w:pPr>
    </w:p>
    <w:p w:rsidR="0070386B" w:rsidRPr="00D078A0" w:rsidRDefault="0070386B" w:rsidP="0023793B">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D078A0">
        <w:rPr>
          <w:rFonts w:ascii="Palatino Linotype" w:hAnsi="Palatino Linotype" w:cs="Arial"/>
          <w:b/>
          <w:i/>
          <w:color w:val="000000"/>
          <w:sz w:val="22"/>
          <w:szCs w:val="22"/>
          <w:lang w:val="es-ES"/>
        </w:rPr>
        <w:t xml:space="preserve">“Artículo 178. </w:t>
      </w:r>
      <w:r w:rsidRPr="00D078A0">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386B" w:rsidRPr="00D078A0" w:rsidRDefault="0070386B" w:rsidP="0023793B">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D078A0">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D078A0">
        <w:rPr>
          <w:rFonts w:ascii="Palatino Linotype" w:hAnsi="Palatino Linotype" w:cs="Arial"/>
          <w:i/>
          <w:color w:val="000000"/>
          <w:sz w:val="22"/>
          <w:szCs w:val="22"/>
          <w:lang w:val="es-ES"/>
        </w:rPr>
        <w:t>, acompañado con el documento que pruebe la fecha en que presentó la solicitud.</w:t>
      </w:r>
    </w:p>
    <w:p w:rsidR="0070386B" w:rsidRPr="00D078A0" w:rsidRDefault="0070386B" w:rsidP="0023793B">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D078A0">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70386B" w:rsidRPr="00D078A0" w:rsidRDefault="0070386B" w:rsidP="0023793B">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D078A0">
        <w:rPr>
          <w:rFonts w:ascii="Palatino Linotype" w:hAnsi="Palatino Linotype" w:cs="Arial"/>
          <w:i/>
          <w:color w:val="000000"/>
          <w:sz w:val="22"/>
          <w:szCs w:val="22"/>
          <w:lang w:val="es-ES"/>
        </w:rPr>
        <w:t xml:space="preserve">(Énfasis añadido) </w:t>
      </w:r>
    </w:p>
    <w:p w:rsidR="0070386B" w:rsidRPr="00D078A0" w:rsidRDefault="0070386B" w:rsidP="0023793B">
      <w:pPr>
        <w:spacing w:before="100" w:beforeAutospacing="1" w:after="100" w:afterAutospacing="1"/>
        <w:contextualSpacing/>
        <w:jc w:val="both"/>
        <w:rPr>
          <w:rFonts w:ascii="Palatino Linotype" w:hAnsi="Palatino Linotype" w:cs="Arial"/>
          <w:color w:val="000000"/>
          <w:lang w:val="es-ES"/>
        </w:rPr>
      </w:pPr>
    </w:p>
    <w:p w:rsidR="0041417D" w:rsidRPr="00D078A0" w:rsidRDefault="0070386B" w:rsidP="0023793B">
      <w:pPr>
        <w:spacing w:before="100" w:beforeAutospacing="1" w:after="100" w:afterAutospacing="1" w:line="360" w:lineRule="auto"/>
        <w:contextualSpacing/>
        <w:jc w:val="both"/>
        <w:rPr>
          <w:rFonts w:ascii="Palatino Linotype" w:hAnsi="Palatino Linotype" w:cs="Arial"/>
          <w:color w:val="000000"/>
          <w:lang w:val="es-ES"/>
        </w:rPr>
      </w:pPr>
      <w:r w:rsidRPr="00D078A0">
        <w:rPr>
          <w:rFonts w:ascii="Palatino Linotype" w:hAnsi="Palatino Linotype" w:cs="Arial"/>
          <w:color w:val="000000"/>
          <w:lang w:val="es-ES"/>
        </w:rPr>
        <w:t>Es así que, el recurso de revisión se ha de interponer dentro del plazo de quince días hábiles contados a parti</w:t>
      </w:r>
      <w:r w:rsidR="00A633C7" w:rsidRPr="00D078A0">
        <w:rPr>
          <w:rFonts w:ascii="Palatino Linotype" w:hAnsi="Palatino Linotype" w:cs="Arial"/>
          <w:color w:val="000000"/>
          <w:lang w:val="es-ES"/>
        </w:rPr>
        <w:t>r del día siguiente al en que la</w:t>
      </w:r>
      <w:r w:rsidRPr="00D078A0">
        <w:rPr>
          <w:rFonts w:ascii="Palatino Linotype" w:hAnsi="Palatino Linotype" w:cs="Arial"/>
          <w:color w:val="000000"/>
          <w:lang w:val="es-ES"/>
        </w:rPr>
        <w:t xml:space="preserve"> particular tiene conocimiento de la resolución respectiva, de ahí que, para que empiece a computarse necesariamente tiene que existir una respuesta expresa por parte del </w:t>
      </w:r>
      <w:r w:rsidRPr="00D078A0">
        <w:rPr>
          <w:rFonts w:ascii="Palatino Linotype" w:hAnsi="Palatino Linotype" w:cs="Arial"/>
          <w:b/>
          <w:color w:val="000000"/>
          <w:lang w:val="es-ES"/>
        </w:rPr>
        <w:t>SUJETO OBLIGADO</w:t>
      </w:r>
      <w:r w:rsidRPr="00D078A0">
        <w:rPr>
          <w:rFonts w:ascii="Palatino Linotype" w:hAnsi="Palatino Linotype" w:cs="Arial"/>
          <w:color w:val="000000"/>
          <w:lang w:val="es-ES"/>
        </w:rPr>
        <w:t>; sin embargo, tratándose de negativa ficta no existe respuesta que</w:t>
      </w:r>
      <w:r w:rsidR="00A633C7" w:rsidRPr="00D078A0">
        <w:rPr>
          <w:rFonts w:ascii="Palatino Linotype" w:hAnsi="Palatino Linotype" w:cs="Arial"/>
          <w:color w:val="000000"/>
          <w:lang w:val="es-ES"/>
        </w:rPr>
        <w:t xml:space="preserve"> se haga del conocimiento de la </w:t>
      </w:r>
      <w:r w:rsidRPr="00D078A0">
        <w:rPr>
          <w:rFonts w:ascii="Palatino Linotype" w:hAnsi="Palatino Linotype" w:cs="Arial"/>
          <w:color w:val="000000"/>
          <w:lang w:val="es-ES"/>
        </w:rPr>
        <w:t xml:space="preserve">particular a partir de la cual pueda computarse dicho término, por tal motivo es pertinente establecer que no existe plazo para la interposición del recurso de revisión y por tanto </w:t>
      </w:r>
      <w:r w:rsidR="00651A43" w:rsidRPr="00D078A0">
        <w:rPr>
          <w:rFonts w:ascii="Palatino Linotype" w:hAnsi="Palatino Linotype" w:cs="Arial"/>
          <w:b/>
          <w:color w:val="000000"/>
          <w:lang w:val="es-ES"/>
        </w:rPr>
        <w:t>EL</w:t>
      </w:r>
      <w:r w:rsidR="00974884" w:rsidRPr="00D078A0">
        <w:rPr>
          <w:rFonts w:ascii="Palatino Linotype" w:hAnsi="Palatino Linotype" w:cs="Arial"/>
          <w:b/>
          <w:color w:val="000000"/>
          <w:lang w:val="es-ES"/>
        </w:rPr>
        <w:t xml:space="preserve"> </w:t>
      </w:r>
      <w:r w:rsidRPr="00D078A0">
        <w:rPr>
          <w:rFonts w:ascii="Palatino Linotype" w:hAnsi="Palatino Linotype" w:cs="Arial"/>
          <w:b/>
          <w:color w:val="000000"/>
          <w:lang w:val="es-ES"/>
        </w:rPr>
        <w:t xml:space="preserve">RECURRENTE </w:t>
      </w:r>
      <w:r w:rsidRPr="00D078A0">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EC74DE" w:rsidRPr="00D078A0" w:rsidRDefault="001678FA" w:rsidP="0023793B">
      <w:pPr>
        <w:widowControl w:val="0"/>
        <w:numPr>
          <w:ilvl w:val="0"/>
          <w:numId w:val="1"/>
        </w:numPr>
        <w:tabs>
          <w:tab w:val="left" w:pos="1418"/>
        </w:tabs>
        <w:autoSpaceDE w:val="0"/>
        <w:autoSpaceDN w:val="0"/>
        <w:adjustRightInd w:val="0"/>
        <w:spacing w:before="100" w:beforeAutospacing="1" w:after="100" w:afterAutospacing="1" w:line="360" w:lineRule="auto"/>
        <w:ind w:left="0" w:firstLine="0"/>
        <w:contextualSpacing/>
        <w:jc w:val="both"/>
        <w:rPr>
          <w:rFonts w:ascii="Palatino Linotype" w:hAnsi="Palatino Linotype"/>
          <w:color w:val="212121"/>
          <w:bdr w:val="none" w:sz="0" w:space="0" w:color="auto" w:frame="1"/>
          <w:lang w:eastAsia="es-MX"/>
        </w:rPr>
      </w:pPr>
      <w:r w:rsidRPr="00D078A0">
        <w:rPr>
          <w:rFonts w:ascii="Palatino Linotype" w:hAnsi="Palatino Linotype" w:cs="Arial"/>
          <w:b/>
        </w:rPr>
        <w:lastRenderedPageBreak/>
        <w:t xml:space="preserve">Procedibilidad. </w:t>
      </w:r>
      <w:r w:rsidRPr="00D078A0">
        <w:rPr>
          <w:rFonts w:ascii="Palatino Linotype" w:hAnsi="Palatino Linotype" w:cs="Arial"/>
        </w:rPr>
        <w:t xml:space="preserve">Del análisis efectuado, se advierte la procedibilidad del presente recurso de revisión, en razón de acreditación </w:t>
      </w:r>
      <w:r w:rsidRPr="00D078A0">
        <w:rPr>
          <w:rFonts w:ascii="Palatino Linotype" w:hAnsi="Palatino Linotype" w:cs="Arial"/>
          <w:snapToGrid w:val="0"/>
        </w:rPr>
        <w:t>plena</w:t>
      </w:r>
      <w:r w:rsidRPr="00D078A0">
        <w:rPr>
          <w:rFonts w:ascii="Palatino Linotype" w:hAnsi="Palatino Linotype" w:cs="Arial"/>
        </w:rPr>
        <w:t xml:space="preserve"> de todos y cada uno de los elementos formales exigidos por el artículo 180 de la Ley de Transparencia y Acceso a la Información Pública</w:t>
      </w:r>
      <w:r w:rsidRPr="00D078A0">
        <w:rPr>
          <w:rFonts w:ascii="Palatino Linotype" w:hAnsi="Palatino Linotype"/>
        </w:rPr>
        <w:t xml:space="preserve"> </w:t>
      </w:r>
      <w:r w:rsidRPr="00D078A0">
        <w:rPr>
          <w:rFonts w:ascii="Palatino Linotype" w:hAnsi="Palatino Linotype" w:cs="Arial"/>
        </w:rPr>
        <w:t>del</w:t>
      </w:r>
      <w:r w:rsidRPr="00D078A0">
        <w:rPr>
          <w:rFonts w:ascii="Palatino Linotype" w:hAnsi="Palatino Linotype"/>
        </w:rPr>
        <w:t xml:space="preserve"> </w:t>
      </w:r>
      <w:r w:rsidRPr="00D078A0">
        <w:rPr>
          <w:rFonts w:ascii="Palatino Linotype" w:hAnsi="Palatino Linotype" w:cs="Arial"/>
        </w:rPr>
        <w:t>Estado</w:t>
      </w:r>
      <w:r w:rsidRPr="00D078A0">
        <w:rPr>
          <w:rFonts w:ascii="Palatino Linotype" w:hAnsi="Palatino Linotype"/>
        </w:rPr>
        <w:t xml:space="preserve"> de México y Municipios, en atención a que fue presentado mediante el formato visible en </w:t>
      </w:r>
      <w:r w:rsidRPr="00D078A0">
        <w:rPr>
          <w:rFonts w:ascii="Palatino Linotype" w:hAnsi="Palatino Linotype"/>
          <w:b/>
        </w:rPr>
        <w:t>EL SAIMEX</w:t>
      </w:r>
      <w:r w:rsidRPr="00D078A0">
        <w:rPr>
          <w:rFonts w:ascii="Palatino Linotype" w:hAnsi="Palatino Linotype"/>
        </w:rPr>
        <w:t>.</w:t>
      </w:r>
    </w:p>
    <w:p w:rsidR="0041417D" w:rsidRPr="00D078A0" w:rsidRDefault="0041417D" w:rsidP="0023793B">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olor w:val="212121"/>
          <w:bdr w:val="none" w:sz="0" w:space="0" w:color="auto" w:frame="1"/>
          <w:lang w:eastAsia="es-MX"/>
        </w:rPr>
      </w:pPr>
    </w:p>
    <w:p w:rsidR="00EC74DE" w:rsidRPr="00D078A0" w:rsidRDefault="00EC74DE" w:rsidP="0023793B">
      <w:pPr>
        <w:widowControl w:val="0"/>
        <w:numPr>
          <w:ilvl w:val="0"/>
          <w:numId w:val="1"/>
        </w:numPr>
        <w:tabs>
          <w:tab w:val="left" w:pos="1276"/>
        </w:tabs>
        <w:autoSpaceDE w:val="0"/>
        <w:autoSpaceDN w:val="0"/>
        <w:adjustRightInd w:val="0"/>
        <w:spacing w:before="100" w:beforeAutospacing="1" w:after="100" w:afterAutospacing="1" w:line="360" w:lineRule="auto"/>
        <w:ind w:left="0" w:firstLine="0"/>
        <w:contextualSpacing/>
        <w:jc w:val="both"/>
        <w:rPr>
          <w:rFonts w:ascii="Palatino Linotype" w:eastAsia="Calibri" w:hAnsi="Palatino Linotype" w:cs="Arial"/>
        </w:rPr>
      </w:pPr>
      <w:r w:rsidRPr="00D078A0">
        <w:rPr>
          <w:rFonts w:ascii="Palatino Linotype" w:hAnsi="Palatino Linotype" w:cs="Arial"/>
          <w:b/>
        </w:rPr>
        <w:t>Estudio y resolución del recurso</w:t>
      </w:r>
      <w:r w:rsidRPr="00D078A0">
        <w:rPr>
          <w:rFonts w:ascii="Palatino Linotype" w:hAnsi="Palatino Linotype" w:cs="Arial"/>
          <w:b/>
          <w:color w:val="000000" w:themeColor="text1"/>
        </w:rPr>
        <w:t xml:space="preserve">. </w:t>
      </w:r>
      <w:r w:rsidRPr="00D078A0">
        <w:rPr>
          <w:rFonts w:ascii="Palatino Linotype" w:hAnsi="Palatino Linotype" w:cs="Arial"/>
        </w:rPr>
        <w:t xml:space="preserve">Del análisis </w:t>
      </w:r>
      <w:r w:rsidRPr="00D078A0">
        <w:rPr>
          <w:rFonts w:ascii="Palatino Linotype" w:hAnsi="Palatino Linotype"/>
        </w:rPr>
        <w:t>efectuado</w:t>
      </w:r>
      <w:r w:rsidRPr="00D078A0">
        <w:rPr>
          <w:rFonts w:ascii="Palatino Linotype" w:hAnsi="Palatino Linotype" w:cs="Arial"/>
        </w:rPr>
        <w:t xml:space="preserve"> se advierte la procedencia del </w:t>
      </w:r>
      <w:r w:rsidRPr="00D078A0">
        <w:rPr>
          <w:rFonts w:ascii="Palatino Linotype" w:hAnsi="Palatino Linotype" w:cs="Arial"/>
          <w:snapToGrid w:val="0"/>
        </w:rPr>
        <w:t>recurso</w:t>
      </w:r>
      <w:r w:rsidRPr="00D078A0">
        <w:rPr>
          <w:rFonts w:ascii="Palatino Linotype" w:hAnsi="Palatino Linotype" w:cs="Arial"/>
        </w:rPr>
        <w:t xml:space="preserve"> de revi</w:t>
      </w:r>
      <w:r w:rsidR="001678FA" w:rsidRPr="00D078A0">
        <w:rPr>
          <w:rFonts w:ascii="Palatino Linotype" w:hAnsi="Palatino Linotype" w:cs="Arial"/>
        </w:rPr>
        <w:t>sión, toda vez que se actualiza la</w:t>
      </w:r>
      <w:r w:rsidRPr="00D078A0">
        <w:rPr>
          <w:rFonts w:ascii="Palatino Linotype" w:hAnsi="Palatino Linotype" w:cs="Arial"/>
        </w:rPr>
        <w:t xml:space="preserve"> hipótesis </w:t>
      </w:r>
      <w:r w:rsidR="001678FA" w:rsidRPr="00D078A0">
        <w:rPr>
          <w:rFonts w:ascii="Palatino Linotype" w:hAnsi="Palatino Linotype" w:cs="Arial"/>
        </w:rPr>
        <w:t>prevista</w:t>
      </w:r>
      <w:r w:rsidRPr="00D078A0">
        <w:rPr>
          <w:rFonts w:ascii="Palatino Linotype" w:hAnsi="Palatino Linotype" w:cs="Arial"/>
        </w:rPr>
        <w:t xml:space="preserve"> en la </w:t>
      </w:r>
      <w:r w:rsidR="001678FA" w:rsidRPr="00D078A0">
        <w:rPr>
          <w:rFonts w:ascii="Palatino Linotype" w:hAnsi="Palatino Linotype" w:cs="Arial"/>
        </w:rPr>
        <w:t xml:space="preserve">fracción </w:t>
      </w:r>
      <w:r w:rsidRPr="00D078A0">
        <w:rPr>
          <w:rFonts w:ascii="Palatino Linotype" w:hAnsi="Palatino Linotype" w:cs="Arial"/>
        </w:rPr>
        <w:t>VII del artículo 179 de la Ley de Transparencia y Acceso a la Información Pública del Estado de México y M</w:t>
      </w:r>
      <w:r w:rsidR="00D051D5" w:rsidRPr="00D078A0">
        <w:rPr>
          <w:rFonts w:ascii="Palatino Linotype" w:hAnsi="Palatino Linotype" w:cs="Arial"/>
        </w:rPr>
        <w:t>unicipios, que a la letra versa</w:t>
      </w:r>
      <w:r w:rsidRPr="00D078A0">
        <w:rPr>
          <w:rFonts w:ascii="Palatino Linotype" w:hAnsi="Palatino Linotype" w:cs="Arial"/>
        </w:rPr>
        <w:t>:</w:t>
      </w:r>
    </w:p>
    <w:p w:rsidR="0041417D" w:rsidRPr="00D078A0" w:rsidRDefault="0041417D" w:rsidP="0023793B">
      <w:pPr>
        <w:spacing w:before="100" w:beforeAutospacing="1" w:after="100" w:afterAutospacing="1"/>
        <w:ind w:left="709" w:right="709"/>
        <w:contextualSpacing/>
        <w:jc w:val="both"/>
        <w:rPr>
          <w:rFonts w:ascii="Palatino Linotype" w:hAnsi="Palatino Linotype" w:cs="Arial"/>
          <w:bCs/>
          <w:i/>
          <w:sz w:val="22"/>
          <w:szCs w:val="22"/>
        </w:rPr>
      </w:pPr>
    </w:p>
    <w:p w:rsidR="00EC74DE" w:rsidRPr="00D078A0" w:rsidRDefault="00EC74DE" w:rsidP="0023793B">
      <w:pPr>
        <w:spacing w:before="100" w:beforeAutospacing="1" w:after="100" w:afterAutospacing="1"/>
        <w:ind w:left="709" w:right="709"/>
        <w:contextualSpacing/>
        <w:jc w:val="both"/>
        <w:rPr>
          <w:rFonts w:ascii="Palatino Linotype" w:hAnsi="Palatino Linotype" w:cs="Arial"/>
          <w:i/>
          <w:sz w:val="22"/>
          <w:szCs w:val="22"/>
        </w:rPr>
      </w:pPr>
      <w:r w:rsidRPr="00D078A0">
        <w:rPr>
          <w:rFonts w:ascii="Palatino Linotype" w:hAnsi="Palatino Linotype" w:cs="Arial"/>
          <w:bCs/>
          <w:i/>
          <w:sz w:val="22"/>
          <w:szCs w:val="22"/>
        </w:rPr>
        <w:t>“</w:t>
      </w:r>
      <w:r w:rsidRPr="00D078A0">
        <w:rPr>
          <w:rFonts w:ascii="Palatino Linotype" w:hAnsi="Palatino Linotype" w:cs="Arial"/>
          <w:b/>
          <w:bCs/>
          <w:i/>
          <w:sz w:val="22"/>
          <w:szCs w:val="22"/>
        </w:rPr>
        <w:t>Artículo 179.</w:t>
      </w:r>
      <w:r w:rsidRPr="00D078A0">
        <w:rPr>
          <w:rFonts w:ascii="Palatino Linotype" w:hAnsi="Palatino Linotype" w:cs="Arial"/>
          <w:bCs/>
          <w:i/>
          <w:sz w:val="22"/>
          <w:szCs w:val="22"/>
        </w:rPr>
        <w:t xml:space="preserve"> </w:t>
      </w:r>
      <w:r w:rsidRPr="00D078A0">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C74DE" w:rsidRPr="00D078A0" w:rsidRDefault="00EC74DE" w:rsidP="0023793B">
      <w:pPr>
        <w:spacing w:before="100" w:beforeAutospacing="1" w:after="100" w:afterAutospacing="1"/>
        <w:ind w:left="709" w:right="709"/>
        <w:contextualSpacing/>
        <w:jc w:val="both"/>
        <w:rPr>
          <w:rFonts w:ascii="Palatino Linotype" w:hAnsi="Palatino Linotype"/>
          <w:i/>
          <w:sz w:val="22"/>
          <w:szCs w:val="22"/>
        </w:rPr>
      </w:pPr>
      <w:r w:rsidRPr="00D078A0">
        <w:rPr>
          <w:rFonts w:ascii="Palatino Linotype" w:hAnsi="Palatino Linotype"/>
          <w:i/>
          <w:sz w:val="22"/>
          <w:szCs w:val="22"/>
        </w:rPr>
        <w:t>…</w:t>
      </w:r>
    </w:p>
    <w:p w:rsidR="00C316CC" w:rsidRPr="00D078A0" w:rsidRDefault="00EC74DE" w:rsidP="0023793B">
      <w:pPr>
        <w:spacing w:before="100" w:beforeAutospacing="1" w:after="100" w:afterAutospacing="1"/>
        <w:ind w:left="709" w:right="709"/>
        <w:contextualSpacing/>
        <w:jc w:val="both"/>
        <w:rPr>
          <w:rFonts w:ascii="Palatino Linotype" w:hAnsi="Palatino Linotype"/>
          <w:b/>
          <w:i/>
          <w:sz w:val="22"/>
          <w:szCs w:val="22"/>
        </w:rPr>
      </w:pPr>
      <w:r w:rsidRPr="00D078A0">
        <w:rPr>
          <w:rFonts w:ascii="Palatino Linotype" w:hAnsi="Palatino Linotype"/>
          <w:b/>
          <w:i/>
          <w:sz w:val="22"/>
          <w:szCs w:val="22"/>
        </w:rPr>
        <w:t>VII. La falta de respuesta a una solicitud de acceso a la información;</w:t>
      </w:r>
    </w:p>
    <w:p w:rsidR="00C316CC" w:rsidRPr="00D078A0" w:rsidRDefault="00C316CC" w:rsidP="0023793B">
      <w:pPr>
        <w:spacing w:before="100" w:beforeAutospacing="1" w:after="100" w:afterAutospacing="1"/>
        <w:ind w:left="709" w:right="709"/>
        <w:contextualSpacing/>
        <w:jc w:val="both"/>
        <w:rPr>
          <w:rFonts w:ascii="Palatino Linotype" w:hAnsi="Palatino Linotype" w:cs="Arial"/>
          <w:b/>
          <w:i/>
          <w:sz w:val="22"/>
          <w:szCs w:val="22"/>
        </w:rPr>
      </w:pPr>
      <w:r w:rsidRPr="00D078A0">
        <w:rPr>
          <w:rFonts w:ascii="Palatino Linotype" w:hAnsi="Palatino Linotype" w:cs="Arial"/>
          <w:b/>
          <w:i/>
          <w:sz w:val="22"/>
          <w:szCs w:val="22"/>
        </w:rPr>
        <w:t>..</w:t>
      </w:r>
    </w:p>
    <w:p w:rsidR="00C316CC" w:rsidRPr="00D078A0" w:rsidRDefault="00C316CC" w:rsidP="0023793B">
      <w:pPr>
        <w:spacing w:before="100" w:beforeAutospacing="1" w:after="100" w:afterAutospacing="1"/>
        <w:ind w:left="709" w:right="709"/>
        <w:contextualSpacing/>
        <w:jc w:val="both"/>
        <w:rPr>
          <w:rFonts w:ascii="Palatino Linotype" w:hAnsi="Palatino Linotype" w:cs="Arial"/>
          <w:b/>
          <w:bCs/>
          <w:i/>
          <w:sz w:val="22"/>
          <w:szCs w:val="22"/>
        </w:rPr>
      </w:pPr>
      <w:r w:rsidRPr="00D078A0">
        <w:rPr>
          <w:rFonts w:ascii="Palatino Linotype" w:hAnsi="Palatino Linotype" w:cs="Arial"/>
          <w:b/>
          <w:i/>
          <w:sz w:val="22"/>
          <w:szCs w:val="22"/>
        </w:rPr>
        <w:t xml:space="preserve">XI. </w:t>
      </w:r>
      <w:r w:rsidRPr="00D078A0">
        <w:rPr>
          <w:rFonts w:ascii="Palatino Linotype" w:hAnsi="Palatino Linotype" w:cs="Arial"/>
          <w:b/>
          <w:i/>
          <w:sz w:val="22"/>
          <w:szCs w:val="22"/>
          <w:u w:val="single"/>
        </w:rPr>
        <w:t>La falta de trámite a una solicitud</w:t>
      </w:r>
      <w:r w:rsidRPr="00D078A0">
        <w:rPr>
          <w:rFonts w:ascii="Palatino Linotype" w:hAnsi="Palatino Linotype" w:cs="Arial"/>
          <w:i/>
          <w:sz w:val="22"/>
          <w:szCs w:val="22"/>
        </w:rPr>
        <w:t>;”</w:t>
      </w:r>
    </w:p>
    <w:p w:rsidR="00C316CC" w:rsidRPr="00D078A0" w:rsidRDefault="00C316CC" w:rsidP="0023793B">
      <w:pPr>
        <w:spacing w:before="100" w:beforeAutospacing="1" w:after="100" w:afterAutospacing="1"/>
        <w:ind w:left="709" w:right="709"/>
        <w:contextualSpacing/>
        <w:jc w:val="both"/>
        <w:rPr>
          <w:rFonts w:ascii="Palatino Linotype" w:hAnsi="Palatino Linotype" w:cs="Arial"/>
          <w:sz w:val="22"/>
          <w:szCs w:val="22"/>
          <w:lang w:eastAsia="es-MX"/>
        </w:rPr>
      </w:pPr>
      <w:r w:rsidRPr="00D078A0">
        <w:rPr>
          <w:rFonts w:ascii="Palatino Linotype" w:hAnsi="Palatino Linotype" w:cs="Arial"/>
          <w:sz w:val="22"/>
          <w:szCs w:val="22"/>
          <w:lang w:eastAsia="es-MX"/>
        </w:rPr>
        <w:t>(Énfasis añadido)</w:t>
      </w:r>
    </w:p>
    <w:p w:rsidR="00C316CC" w:rsidRPr="00D078A0" w:rsidRDefault="00C316CC"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651A43" w:rsidRPr="00D078A0" w:rsidRDefault="00EC74DE"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D078A0">
        <w:rPr>
          <w:rFonts w:ascii="Palatino Linotype" w:hAnsi="Palatino Linotype" w:cs="Arial"/>
        </w:rPr>
        <w:t>Para ilustrar la actualización de dicha hipótesis nor</w:t>
      </w:r>
      <w:r w:rsidR="00DF2FE0" w:rsidRPr="00D078A0">
        <w:rPr>
          <w:rFonts w:ascii="Palatino Linotype" w:hAnsi="Palatino Linotype" w:cs="Arial"/>
        </w:rPr>
        <w:t xml:space="preserve">mativa, debemos recordar que la </w:t>
      </w:r>
      <w:r w:rsidRPr="00D078A0">
        <w:rPr>
          <w:rFonts w:ascii="Palatino Linotype" w:hAnsi="Palatino Linotype" w:cs="Arial"/>
        </w:rPr>
        <w:t>hoy</w:t>
      </w:r>
      <w:r w:rsidRPr="00D078A0">
        <w:rPr>
          <w:rFonts w:ascii="Palatino Linotype" w:hAnsi="Palatino Linotype" w:cs="Arial"/>
          <w:b/>
        </w:rPr>
        <w:t xml:space="preserve"> RECURRENTE </w:t>
      </w:r>
      <w:r w:rsidRPr="00D078A0">
        <w:rPr>
          <w:rFonts w:ascii="Palatino Linotype" w:hAnsi="Palatino Linotype"/>
        </w:rPr>
        <w:t>en su solicitud de acceso a la información pública, requirió del</w:t>
      </w:r>
      <w:r w:rsidRPr="00D078A0">
        <w:rPr>
          <w:rFonts w:ascii="Palatino Linotype" w:hAnsi="Palatino Linotype" w:cs="Arial"/>
        </w:rPr>
        <w:t xml:space="preserve"> </w:t>
      </w:r>
      <w:r w:rsidRPr="00D078A0">
        <w:rPr>
          <w:rFonts w:ascii="Palatino Linotype" w:hAnsi="Palatino Linotype" w:cs="Arial"/>
          <w:b/>
        </w:rPr>
        <w:t>SUJETO OBLIGADO</w:t>
      </w:r>
      <w:r w:rsidRPr="00D078A0">
        <w:rPr>
          <w:rFonts w:ascii="Palatino Linotype" w:hAnsi="Palatino Linotype" w:cs="Arial"/>
        </w:rPr>
        <w:t xml:space="preserve">, </w:t>
      </w:r>
      <w:r w:rsidRPr="00D078A0">
        <w:rPr>
          <w:rFonts w:ascii="Palatino Linotype" w:hAnsi="Palatino Linotype"/>
        </w:rPr>
        <w:t xml:space="preserve">vía </w:t>
      </w:r>
      <w:r w:rsidRPr="00D078A0">
        <w:rPr>
          <w:rFonts w:ascii="Palatino Linotype" w:hAnsi="Palatino Linotype"/>
          <w:b/>
        </w:rPr>
        <w:t>SAIMEX</w:t>
      </w:r>
      <w:r w:rsidR="00651A43" w:rsidRPr="00D078A0">
        <w:rPr>
          <w:rFonts w:ascii="Palatino Linotype" w:hAnsi="Palatino Linotype"/>
          <w:b/>
        </w:rPr>
        <w:t xml:space="preserve"> </w:t>
      </w:r>
      <w:r w:rsidR="00651A43" w:rsidRPr="00D078A0">
        <w:rPr>
          <w:rFonts w:ascii="Palatino Linotype" w:hAnsi="Palatino Linotype"/>
        </w:rPr>
        <w:t>y correo electrónico la siguiente información que a continuación se desagrega</w:t>
      </w:r>
      <w:r w:rsidR="00284131" w:rsidRPr="00D078A0">
        <w:rPr>
          <w:rFonts w:ascii="Palatino Linotype" w:hAnsi="Palatino Linotype"/>
        </w:rPr>
        <w:t xml:space="preserve"> respecto de la celebración del día de la Independencia (15 de septiembre de 2019)</w:t>
      </w:r>
      <w:r w:rsidR="00651A43" w:rsidRPr="00D078A0">
        <w:rPr>
          <w:rFonts w:ascii="Palatino Linotype" w:hAnsi="Palatino Linotype"/>
        </w:rPr>
        <w:t>:</w:t>
      </w:r>
    </w:p>
    <w:p w:rsidR="00651A43" w:rsidRPr="00D078A0" w:rsidRDefault="00651A43"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rsidR="00651A43" w:rsidRPr="00D078A0" w:rsidRDefault="00D051D5" w:rsidP="0023793B">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078A0">
        <w:rPr>
          <w:rFonts w:ascii="Palatino Linotype" w:hAnsi="Palatino Linotype"/>
          <w:i/>
          <w:sz w:val="22"/>
          <w:szCs w:val="22"/>
        </w:rPr>
        <w:t>“</w:t>
      </w:r>
      <w:r w:rsidR="00651A43" w:rsidRPr="00D078A0">
        <w:rPr>
          <w:rFonts w:ascii="Palatino Linotype" w:hAnsi="Palatino Linotype"/>
          <w:i/>
          <w:sz w:val="22"/>
          <w:szCs w:val="22"/>
        </w:rPr>
        <w:t xml:space="preserve">1) </w:t>
      </w:r>
      <w:r w:rsidR="0041417D" w:rsidRPr="00D078A0">
        <w:rPr>
          <w:rFonts w:ascii="Palatino Linotype" w:hAnsi="Palatino Linotype"/>
          <w:i/>
          <w:sz w:val="22"/>
          <w:szCs w:val="22"/>
        </w:rPr>
        <w:t xml:space="preserve">Desglose </w:t>
      </w:r>
      <w:r w:rsidR="00651A43" w:rsidRPr="00D078A0">
        <w:rPr>
          <w:rFonts w:ascii="Palatino Linotype" w:hAnsi="Palatino Linotype"/>
          <w:i/>
          <w:sz w:val="22"/>
          <w:szCs w:val="22"/>
        </w:rPr>
        <w:t>de los montos gastado</w:t>
      </w:r>
      <w:r w:rsidR="00284131" w:rsidRPr="00D078A0">
        <w:rPr>
          <w:rFonts w:ascii="Palatino Linotype" w:hAnsi="Palatino Linotype"/>
          <w:i/>
          <w:sz w:val="22"/>
          <w:szCs w:val="22"/>
        </w:rPr>
        <w:t>s en el espectáculo pirotécnico;</w:t>
      </w:r>
    </w:p>
    <w:p w:rsidR="0041417D" w:rsidRPr="00D078A0" w:rsidRDefault="0041417D" w:rsidP="0023793B">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078A0">
        <w:rPr>
          <w:rFonts w:ascii="Palatino Linotype" w:hAnsi="Palatino Linotype"/>
          <w:i/>
          <w:sz w:val="22"/>
          <w:szCs w:val="22"/>
        </w:rPr>
        <w:t>2) Nombre de la empresa que realiz</w:t>
      </w:r>
      <w:r w:rsidR="00284131" w:rsidRPr="00D078A0">
        <w:rPr>
          <w:rFonts w:ascii="Palatino Linotype" w:hAnsi="Palatino Linotype"/>
          <w:i/>
          <w:sz w:val="22"/>
          <w:szCs w:val="22"/>
        </w:rPr>
        <w:t>ó</w:t>
      </w:r>
      <w:r w:rsidRPr="00D078A0">
        <w:rPr>
          <w:rFonts w:ascii="Palatino Linotype" w:hAnsi="Palatino Linotype"/>
          <w:i/>
          <w:sz w:val="22"/>
          <w:szCs w:val="22"/>
        </w:rPr>
        <w:t xml:space="preserve"> las actividades y número de personas empleadas; y, </w:t>
      </w:r>
    </w:p>
    <w:p w:rsidR="00EC74DE" w:rsidRPr="00D078A0" w:rsidRDefault="0041417D" w:rsidP="0023793B">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D078A0">
        <w:rPr>
          <w:rFonts w:ascii="Palatino Linotype" w:hAnsi="Palatino Linotype"/>
          <w:i/>
          <w:sz w:val="22"/>
          <w:szCs w:val="22"/>
        </w:rPr>
        <w:lastRenderedPageBreak/>
        <w:t>3) Número de Policías Municipales, Bomberos y Elementos de la Gendarmería Nacional desplegados para la vigilancia</w:t>
      </w:r>
      <w:r w:rsidR="00284131" w:rsidRPr="00D078A0">
        <w:rPr>
          <w:rFonts w:ascii="Palatino Linotype" w:hAnsi="Palatino Linotype"/>
          <w:i/>
          <w:sz w:val="22"/>
          <w:szCs w:val="22"/>
        </w:rPr>
        <w:t>.</w:t>
      </w:r>
      <w:r w:rsidRPr="00D078A0">
        <w:rPr>
          <w:rFonts w:ascii="Palatino Linotype" w:hAnsi="Palatino Linotype"/>
          <w:i/>
          <w:sz w:val="22"/>
          <w:szCs w:val="22"/>
        </w:rPr>
        <w:t>”</w:t>
      </w:r>
    </w:p>
    <w:p w:rsidR="0041417D" w:rsidRPr="00D078A0" w:rsidRDefault="0041417D" w:rsidP="0023793B">
      <w:pPr>
        <w:spacing w:before="100" w:beforeAutospacing="1" w:after="100" w:afterAutospacing="1" w:line="360" w:lineRule="auto"/>
        <w:ind w:right="49"/>
        <w:contextualSpacing/>
        <w:jc w:val="both"/>
        <w:rPr>
          <w:rFonts w:ascii="Palatino Linotype" w:hAnsi="Palatino Linotype"/>
        </w:rPr>
      </w:pPr>
    </w:p>
    <w:p w:rsidR="0041417D" w:rsidRPr="00D078A0" w:rsidRDefault="00EC74DE" w:rsidP="0023793B">
      <w:pPr>
        <w:spacing w:before="100" w:beforeAutospacing="1" w:after="100" w:afterAutospacing="1" w:line="360" w:lineRule="auto"/>
        <w:ind w:right="49"/>
        <w:contextualSpacing/>
        <w:jc w:val="both"/>
        <w:rPr>
          <w:rFonts w:ascii="Palatino Linotype" w:hAnsi="Palatino Linotype"/>
        </w:rPr>
      </w:pPr>
      <w:r w:rsidRPr="00D078A0">
        <w:rPr>
          <w:rFonts w:ascii="Palatino Linotype" w:hAnsi="Palatino Linotype"/>
        </w:rPr>
        <w:t>Inconforme</w:t>
      </w:r>
      <w:r w:rsidRPr="00D078A0">
        <w:rPr>
          <w:rFonts w:ascii="Palatino Linotype" w:hAnsi="Palatino Linotype" w:cs="Arial"/>
          <w:lang w:val="es-ES_tradnl"/>
        </w:rPr>
        <w:t xml:space="preserve">, </w:t>
      </w:r>
      <w:r w:rsidR="0041417D" w:rsidRPr="00D078A0">
        <w:rPr>
          <w:rFonts w:ascii="Palatino Linotype" w:hAnsi="Palatino Linotype"/>
          <w:b/>
        </w:rPr>
        <w:t xml:space="preserve">EL </w:t>
      </w:r>
      <w:r w:rsidRPr="00D078A0">
        <w:rPr>
          <w:rFonts w:ascii="Palatino Linotype" w:hAnsi="Palatino Linotype"/>
          <w:b/>
        </w:rPr>
        <w:t>RECURRENTE</w:t>
      </w:r>
      <w:r w:rsidRPr="00D078A0">
        <w:rPr>
          <w:rFonts w:ascii="Palatino Linotype" w:hAnsi="Palatino Linotype" w:cs="Arial"/>
          <w:lang w:val="es-ES_tradnl"/>
        </w:rPr>
        <w:t xml:space="preserve"> interpuso el presente medio de impugnación; en el cual</w:t>
      </w:r>
      <w:r w:rsidR="00D051D5" w:rsidRPr="00D078A0">
        <w:rPr>
          <w:rFonts w:ascii="Palatino Linotype" w:hAnsi="Palatino Linotype" w:cs="Arial"/>
          <w:lang w:val="es-ES_tradnl"/>
        </w:rPr>
        <w:t>, en lo medular,</w:t>
      </w:r>
      <w:r w:rsidRPr="00D078A0">
        <w:rPr>
          <w:rFonts w:ascii="Palatino Linotype" w:hAnsi="Palatino Linotype" w:cs="Arial"/>
          <w:lang w:val="es-ES_tradnl"/>
        </w:rPr>
        <w:t xml:space="preserve"> se dolió </w:t>
      </w:r>
      <w:r w:rsidRPr="00D078A0">
        <w:rPr>
          <w:rFonts w:ascii="Palatino Linotype" w:hAnsi="Palatino Linotype"/>
        </w:rPr>
        <w:t>respecto a la</w:t>
      </w:r>
      <w:r w:rsidR="00D051D5" w:rsidRPr="00D078A0">
        <w:rPr>
          <w:rFonts w:ascii="Palatino Linotype" w:hAnsi="Palatino Linotype"/>
        </w:rPr>
        <w:t xml:space="preserve"> omisión materializada por </w:t>
      </w:r>
      <w:r w:rsidRPr="00D078A0">
        <w:rPr>
          <w:rFonts w:ascii="Palatino Linotype" w:hAnsi="Palatino Linotype"/>
          <w:b/>
        </w:rPr>
        <w:t>SUJETO OBLIGADO</w:t>
      </w:r>
      <w:r w:rsidR="00D051D5" w:rsidRPr="00D078A0">
        <w:rPr>
          <w:rFonts w:ascii="Palatino Linotype" w:hAnsi="Palatino Linotype"/>
        </w:rPr>
        <w:t>, al no dar respuesta a su solicitud.</w:t>
      </w:r>
    </w:p>
    <w:p w:rsidR="0041417D" w:rsidRPr="00D078A0" w:rsidRDefault="0041417D" w:rsidP="0023793B">
      <w:pPr>
        <w:spacing w:before="100" w:beforeAutospacing="1" w:after="100" w:afterAutospacing="1" w:line="360" w:lineRule="auto"/>
        <w:ind w:right="49"/>
        <w:contextualSpacing/>
        <w:jc w:val="both"/>
        <w:rPr>
          <w:rFonts w:ascii="Palatino Linotype" w:hAnsi="Palatino Linotype"/>
        </w:rPr>
      </w:pPr>
    </w:p>
    <w:p w:rsidR="00EC74DE" w:rsidRPr="00D078A0" w:rsidRDefault="00EC74DE" w:rsidP="0023793B">
      <w:pPr>
        <w:spacing w:before="100" w:beforeAutospacing="1" w:after="100" w:afterAutospacing="1" w:line="360" w:lineRule="auto"/>
        <w:ind w:right="49"/>
        <w:contextualSpacing/>
        <w:jc w:val="both"/>
        <w:rPr>
          <w:rFonts w:ascii="Palatino Linotype" w:hAnsi="Palatino Linotype"/>
        </w:rPr>
      </w:pPr>
      <w:r w:rsidRPr="00D078A0">
        <w:rPr>
          <w:rFonts w:ascii="Palatino Linotype" w:hAnsi="Palatino Linotype" w:cs="Arial"/>
        </w:rPr>
        <w:t xml:space="preserve">Por otra parte, de las constancias que obran en el </w:t>
      </w:r>
      <w:r w:rsidRPr="00D078A0">
        <w:rPr>
          <w:rFonts w:ascii="Palatino Linotype" w:hAnsi="Palatino Linotype" w:cs="Arial"/>
          <w:b/>
        </w:rPr>
        <w:t>SAIMEX,</w:t>
      </w:r>
      <w:r w:rsidRPr="00D078A0">
        <w:rPr>
          <w:rFonts w:ascii="Palatino Linotype" w:hAnsi="Palatino Linotype" w:cs="Arial"/>
        </w:rPr>
        <w:t xml:space="preserve"> se advierte que </w:t>
      </w:r>
      <w:r w:rsidR="0041417D" w:rsidRPr="00D078A0">
        <w:rPr>
          <w:rFonts w:ascii="Palatino Linotype" w:hAnsi="Palatino Linotype" w:cs="Arial"/>
          <w:b/>
          <w:lang w:val="es-ES_tradnl"/>
        </w:rPr>
        <w:t>EL</w:t>
      </w:r>
      <w:r w:rsidRPr="00D078A0">
        <w:rPr>
          <w:rFonts w:ascii="Palatino Linotype" w:hAnsi="Palatino Linotype" w:cs="Arial"/>
          <w:b/>
          <w:lang w:val="es-ES_tradnl"/>
        </w:rPr>
        <w:t xml:space="preserve"> RECURRENTE</w:t>
      </w:r>
      <w:r w:rsidRPr="00D078A0">
        <w:rPr>
          <w:rFonts w:ascii="Palatino Linotype" w:hAnsi="Palatino Linotype" w:cs="Arial"/>
          <w:lang w:val="es-ES_tradnl"/>
        </w:rPr>
        <w:t xml:space="preserve"> no realizó manifestación alguna, ni presentó pruebas o alegatos; así como, tampoco </w:t>
      </w:r>
      <w:r w:rsidRPr="00D078A0">
        <w:rPr>
          <w:rFonts w:ascii="Palatino Linotype" w:hAnsi="Palatino Linotype" w:cs="Arial"/>
          <w:b/>
        </w:rPr>
        <w:t>EL SUJETO OBLIGADO</w:t>
      </w:r>
      <w:r w:rsidRPr="00D078A0">
        <w:rPr>
          <w:rFonts w:ascii="Palatino Linotype" w:hAnsi="Palatino Linotype" w:cs="Arial"/>
          <w:lang w:val="es-ES_tradnl"/>
        </w:rPr>
        <w:t xml:space="preserve"> rindió su Informe Justificado.</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rPr>
      </w:pPr>
    </w:p>
    <w:p w:rsidR="00EC74DE" w:rsidRPr="00D078A0" w:rsidRDefault="00EC74DE"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 xml:space="preserve">Una vez, establecido lo anterior, esta Ponencia Resolutora considera pertinente analizar si </w:t>
      </w:r>
      <w:r w:rsidRPr="00D078A0">
        <w:rPr>
          <w:rFonts w:ascii="Palatino Linotype" w:hAnsi="Palatino Linotype" w:cs="Arial"/>
          <w:b/>
        </w:rPr>
        <w:t>EL SUJETO OBLIGADO</w:t>
      </w:r>
      <w:r w:rsidRPr="00D078A0">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w:t>
      </w:r>
      <w:r w:rsidR="00A633C7" w:rsidRPr="00D078A0">
        <w:rPr>
          <w:rFonts w:ascii="Palatino Linotype" w:hAnsi="Palatino Linotype" w:cs="Arial"/>
        </w:rPr>
        <w:t xml:space="preserve">ble debe ser entregada a la </w:t>
      </w:r>
      <w:r w:rsidRPr="00D078A0">
        <w:rPr>
          <w:rFonts w:ascii="Palatino Linotype" w:hAnsi="Palatino Linotype" w:cs="Arial"/>
        </w:rPr>
        <w:t>particular.</w:t>
      </w:r>
    </w:p>
    <w:p w:rsidR="00EC74DE" w:rsidRPr="00D078A0" w:rsidRDefault="00EC74DE"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41417D" w:rsidRPr="00D078A0" w:rsidRDefault="0041417D" w:rsidP="0023793B">
      <w:pPr>
        <w:tabs>
          <w:tab w:val="left" w:pos="8222"/>
        </w:tabs>
        <w:spacing w:before="100" w:beforeAutospacing="1" w:after="100" w:afterAutospacing="1"/>
        <w:ind w:left="851" w:right="902"/>
        <w:contextualSpacing/>
        <w:jc w:val="both"/>
        <w:rPr>
          <w:rFonts w:ascii="Palatino Linotype" w:hAnsi="Palatino Linotype" w:cs="Arial"/>
          <w:b/>
          <w:i/>
          <w:sz w:val="22"/>
          <w:szCs w:val="22"/>
        </w:rPr>
      </w:pP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“Artículo 6o.</w:t>
      </w:r>
      <w:r w:rsidRPr="00D078A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078A0">
        <w:rPr>
          <w:rFonts w:ascii="Palatino Linotype" w:hAnsi="Palatino Linotype" w:cs="Arial"/>
          <w:b/>
          <w:i/>
          <w:sz w:val="22"/>
          <w:szCs w:val="22"/>
        </w:rPr>
        <w:t>El derecho a la información será garantizado por el Estado.</w:t>
      </w:r>
      <w:r w:rsidRPr="00D078A0">
        <w:rPr>
          <w:rFonts w:ascii="Palatino Linotype" w:hAnsi="Palatino Linotype" w:cs="Arial"/>
          <w:i/>
          <w:sz w:val="22"/>
          <w:szCs w:val="22"/>
        </w:rPr>
        <w:t xml:space="preserve"> </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Para efectos de lo dispuesto en el presente artículo se observará lo siguiente:</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I. Toda la información en posesión de</w:t>
      </w:r>
      <w:r w:rsidRPr="00D078A0">
        <w:rPr>
          <w:rFonts w:ascii="Palatino Linotype" w:hAnsi="Palatino Linotype" w:cs="Arial"/>
          <w:i/>
          <w:sz w:val="22"/>
          <w:szCs w:val="22"/>
        </w:rPr>
        <w:t xml:space="preserve"> </w:t>
      </w:r>
      <w:r w:rsidRPr="00D078A0">
        <w:rPr>
          <w:rFonts w:ascii="Palatino Linotype" w:hAnsi="Palatino Linotype" w:cs="Arial"/>
          <w:b/>
          <w:i/>
          <w:sz w:val="22"/>
          <w:szCs w:val="22"/>
        </w:rPr>
        <w:t>cualquier autoridad</w:t>
      </w:r>
      <w:r w:rsidRPr="00D078A0">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078A0">
        <w:rPr>
          <w:rFonts w:ascii="Palatino Linotype" w:hAnsi="Palatino Linotype" w:cs="Arial"/>
          <w:b/>
          <w:i/>
          <w:sz w:val="22"/>
          <w:szCs w:val="22"/>
        </w:rPr>
        <w:t>en el ámbito federal, estatal y municipal, es pública</w:t>
      </w:r>
      <w:r w:rsidRPr="00D078A0">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078A0">
        <w:rPr>
          <w:rFonts w:ascii="Palatino Linotype" w:hAnsi="Palatino Linotype" w:cs="Arial"/>
          <w:b/>
          <w:i/>
          <w:sz w:val="22"/>
          <w:szCs w:val="22"/>
        </w:rPr>
        <w:t>Los sujetos obligados deberán documentar todo acto que derive del ejercicio de sus facultades, competencias o funciones</w:t>
      </w:r>
      <w:r w:rsidRPr="00D078A0">
        <w:rPr>
          <w:rFonts w:ascii="Palatino Linotype" w:hAnsi="Palatino Linotype" w:cs="Arial"/>
          <w:i/>
          <w:sz w:val="22"/>
          <w:szCs w:val="22"/>
        </w:rPr>
        <w:t>, la ley determinará los supuestos específicos bajo los cuales procederá la declaración de inexistencia de la información.</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II. La información que se refiere a la vida privada y los datos personales será protegida en los términos y con las excepciones que fijen las leyes.</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D078A0">
        <w:rPr>
          <w:rFonts w:ascii="Palatino Linotype" w:hAnsi="Palatino Linotype" w:cs="Arial"/>
          <w:i/>
          <w:sz w:val="22"/>
          <w:szCs w:val="22"/>
        </w:rPr>
        <w:t xml:space="preserve">, </w:t>
      </w:r>
      <w:r w:rsidRPr="00D078A0">
        <w:rPr>
          <w:rFonts w:ascii="Palatino Linotype" w:hAnsi="Palatino Linotype" w:cs="Arial"/>
          <w:b/>
          <w:i/>
          <w:sz w:val="22"/>
          <w:szCs w:val="22"/>
        </w:rPr>
        <w:t xml:space="preserve">la información completa y actualizada sobre el ejercicio de los recursos públicos </w:t>
      </w:r>
      <w:r w:rsidRPr="00D078A0">
        <w:rPr>
          <w:rFonts w:ascii="Palatino Linotype" w:hAnsi="Palatino Linotype" w:cs="Arial"/>
          <w:i/>
          <w:sz w:val="22"/>
          <w:szCs w:val="22"/>
        </w:rPr>
        <w:t>y los indicadores que permitan rendir cuenta del cumplimiento de sus objetivos y de los resultados obtenidos.</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VII. La inobservancia a las disposiciones en materia de acceso a la información pública será sancionada en los términos que dispongan las leyes.</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lastRenderedPageBreak/>
        <w:t>La ley establecerá aquella información que se considere reservada o confidencial.” (Sic)</w:t>
      </w:r>
    </w:p>
    <w:p w:rsidR="00EC74DE" w:rsidRPr="00D078A0" w:rsidRDefault="00EC74DE" w:rsidP="0023793B">
      <w:pPr>
        <w:tabs>
          <w:tab w:val="left" w:pos="8222"/>
        </w:tabs>
        <w:spacing w:before="100" w:beforeAutospacing="1" w:after="100" w:afterAutospacing="1"/>
        <w:ind w:left="851" w:right="902"/>
        <w:contextualSpacing/>
        <w:jc w:val="both"/>
        <w:rPr>
          <w:rFonts w:ascii="Palatino Linotype" w:hAnsi="Palatino Linotype"/>
          <w:i/>
          <w:sz w:val="22"/>
          <w:szCs w:val="22"/>
        </w:rPr>
      </w:pPr>
      <w:r w:rsidRPr="00D078A0">
        <w:rPr>
          <w:rFonts w:ascii="Palatino Linotype" w:hAnsi="Palatino Linotype"/>
          <w:i/>
          <w:sz w:val="22"/>
          <w:szCs w:val="22"/>
        </w:rPr>
        <w:t>(Énfasis añadido)</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rPr>
      </w:pPr>
    </w:p>
    <w:p w:rsidR="00EC74DE" w:rsidRPr="00D078A0" w:rsidRDefault="00EC74DE"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Por su parte, la Constitución Política del Estado Libre y Soberano de México, en su artículo 5°, dispone en su parte conducente, lo siguiente:</w:t>
      </w:r>
    </w:p>
    <w:p w:rsidR="0041417D" w:rsidRPr="00D078A0" w:rsidRDefault="0041417D" w:rsidP="0023793B">
      <w:pPr>
        <w:spacing w:before="100" w:beforeAutospacing="1" w:after="100" w:afterAutospacing="1"/>
        <w:ind w:left="851" w:right="902"/>
        <w:contextualSpacing/>
        <w:jc w:val="both"/>
        <w:rPr>
          <w:rFonts w:ascii="Palatino Linotype" w:hAnsi="Palatino Linotype" w:cs="Arial"/>
          <w:i/>
          <w:sz w:val="22"/>
          <w:szCs w:val="22"/>
        </w:rPr>
      </w:pP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w:t>
      </w:r>
      <w:r w:rsidRPr="00D078A0">
        <w:rPr>
          <w:rFonts w:ascii="Palatino Linotype" w:hAnsi="Palatino Linotype" w:cs="Arial"/>
          <w:b/>
          <w:i/>
          <w:sz w:val="22"/>
          <w:szCs w:val="22"/>
        </w:rPr>
        <w:t>Artículo 5</w:t>
      </w:r>
      <w:r w:rsidRPr="00D078A0">
        <w:rPr>
          <w:rFonts w:ascii="Palatino Linotype" w:hAnsi="Palatino Linotype" w:cs="Arial"/>
          <w:i/>
          <w:sz w:val="22"/>
          <w:szCs w:val="22"/>
        </w:rPr>
        <w:t xml:space="preserve">. … </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Este derecho se regirá por los principios y bases siguientes: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(Énfasis añadido)</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rPr>
      </w:pPr>
    </w:p>
    <w:p w:rsidR="00EC74DE" w:rsidRPr="00D078A0" w:rsidRDefault="00EC74DE"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En ese orden de ideas, la Ley de Transparencia y Acceso a la Información Pública del Estado de México y Municipios, prevé en su artículo 23, lo siguiente:</w:t>
      </w:r>
    </w:p>
    <w:p w:rsidR="0041417D" w:rsidRPr="00D078A0" w:rsidRDefault="0041417D" w:rsidP="0023793B">
      <w:pPr>
        <w:spacing w:before="100" w:beforeAutospacing="1" w:after="100" w:afterAutospacing="1"/>
        <w:ind w:left="851" w:right="902"/>
        <w:contextualSpacing/>
        <w:jc w:val="both"/>
        <w:rPr>
          <w:rFonts w:ascii="Palatino Linotype" w:hAnsi="Palatino Linotype" w:cs="Arial"/>
          <w:i/>
          <w:sz w:val="22"/>
          <w:szCs w:val="22"/>
        </w:rPr>
      </w:pP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w:t>
      </w:r>
      <w:r w:rsidRPr="00D078A0">
        <w:rPr>
          <w:rFonts w:ascii="Palatino Linotype" w:hAnsi="Palatino Linotype" w:cs="Arial"/>
          <w:b/>
          <w:i/>
          <w:sz w:val="22"/>
          <w:szCs w:val="22"/>
        </w:rPr>
        <w:t>Artículo 23.</w:t>
      </w:r>
      <w:r w:rsidRPr="00D078A0">
        <w:rPr>
          <w:rFonts w:ascii="Palatino Linotype" w:hAnsi="Palatino Linotype" w:cs="Arial"/>
          <w:i/>
          <w:sz w:val="22"/>
          <w:szCs w:val="22"/>
        </w:rPr>
        <w:t xml:space="preserve"> Son sujetos obligados a transparentar y permitir el acceso a su información y proteger los datos personales que obren en su poder:</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II. El Poder Legislativo del Estado, los organismos, órganos y entidades de la Legislatura y sus dependencias;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III. El Poder Judicial, sus organismos, órganos y entidades, así como el Consejo de la Judicatura del Estado;</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b/>
          <w:i/>
          <w:sz w:val="22"/>
          <w:szCs w:val="22"/>
        </w:rPr>
      </w:pPr>
      <w:r w:rsidRPr="00D078A0">
        <w:rPr>
          <w:rFonts w:ascii="Palatino Linotype" w:hAnsi="Palatino Linotype" w:cs="Arial"/>
          <w:b/>
          <w:i/>
          <w:sz w:val="22"/>
          <w:szCs w:val="22"/>
        </w:rPr>
        <w:t>IV. Los ayuntamientos y las dependencias, organismos, órganos y entidades de la administración municipal;</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 Los órganos autónomos;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VI. Los tribunales administrativos y autoridades jurisdiccionales en materia laboral;</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VII. Los partidos políticos y agrupaciones políticas, en los términos de las disposiciones aplicables;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VIII. Los fideicomisos y fondos públicos que cuenten con financiamiento público, parcial o total, o con participación de entidades de gobierno;</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IX. Los sindicatos que reciban y/o ejerzan recursos públicos en el ámbito estatal y municipal;</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lastRenderedPageBreak/>
        <w:t>X. Cualquier persona física o jurídico colectiva que reciba y ejerza recursos públicos en el ámbito estatal o municipal; y</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XI. Cualquier otra autoridad, entidad, órgano u organismo de los poderes estatal o municipal, que reciba recursos públicos.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b/>
          <w:i/>
          <w:sz w:val="22"/>
          <w:szCs w:val="22"/>
        </w:rPr>
      </w:pPr>
      <w:r w:rsidRPr="00D078A0">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Los servidores públicos deberán transparentar sus acciones así como garantizar y respetar el derecho de acceso a la información pública</w:t>
      </w:r>
      <w:r w:rsidRPr="00D078A0">
        <w:rPr>
          <w:rFonts w:ascii="Palatino Linotype" w:hAnsi="Palatino Linotype" w:cs="Arial"/>
          <w:i/>
          <w:sz w:val="22"/>
          <w:szCs w:val="22"/>
        </w:rPr>
        <w:t>.” (Sic)</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(Énfasis añadido)</w:t>
      </w:r>
    </w:p>
    <w:p w:rsidR="0041417D" w:rsidRPr="00D078A0" w:rsidRDefault="0041417D" w:rsidP="0023793B">
      <w:pPr>
        <w:autoSpaceDE w:val="0"/>
        <w:autoSpaceDN w:val="0"/>
        <w:adjustRightInd w:val="0"/>
        <w:spacing w:before="100" w:beforeAutospacing="1" w:after="100" w:afterAutospacing="1" w:line="360" w:lineRule="auto"/>
        <w:ind w:right="51"/>
        <w:contextualSpacing/>
        <w:jc w:val="both"/>
        <w:rPr>
          <w:rFonts w:ascii="Palatino Linotype" w:hAnsi="Palatino Linotype" w:cs="Arial"/>
          <w:lang w:val="es-ES"/>
        </w:rPr>
      </w:pPr>
    </w:p>
    <w:p w:rsidR="00253662" w:rsidRPr="00D078A0" w:rsidRDefault="00253662" w:rsidP="0023793B">
      <w:pPr>
        <w:autoSpaceDE w:val="0"/>
        <w:autoSpaceDN w:val="0"/>
        <w:adjustRightInd w:val="0"/>
        <w:spacing w:before="100" w:beforeAutospacing="1" w:after="100" w:afterAutospacing="1" w:line="360" w:lineRule="auto"/>
        <w:ind w:right="51"/>
        <w:contextualSpacing/>
        <w:jc w:val="both"/>
        <w:rPr>
          <w:rFonts w:ascii="Palatino Linotype" w:hAnsi="Palatino Linotype" w:cs="Arial"/>
          <w:lang w:val="es-ES"/>
        </w:rPr>
      </w:pPr>
      <w:r w:rsidRPr="00D078A0">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253662" w:rsidRPr="00D078A0" w:rsidRDefault="00253662" w:rsidP="0023793B">
      <w:pPr>
        <w:autoSpaceDE w:val="0"/>
        <w:autoSpaceDN w:val="0"/>
        <w:adjustRightInd w:val="0"/>
        <w:spacing w:before="100" w:beforeAutospacing="1" w:after="100" w:afterAutospacing="1" w:line="360" w:lineRule="auto"/>
        <w:ind w:right="51"/>
        <w:contextualSpacing/>
        <w:jc w:val="both"/>
        <w:rPr>
          <w:rFonts w:ascii="Palatino Linotype" w:hAnsi="Palatino Linotype" w:cs="Arial"/>
          <w:lang w:val="es-ES"/>
        </w:rPr>
      </w:pPr>
    </w:p>
    <w:p w:rsidR="00253662" w:rsidRPr="00D078A0" w:rsidRDefault="00253662" w:rsidP="0023793B">
      <w:pPr>
        <w:autoSpaceDE w:val="0"/>
        <w:autoSpaceDN w:val="0"/>
        <w:adjustRightInd w:val="0"/>
        <w:spacing w:before="100" w:beforeAutospacing="1" w:after="100" w:afterAutospacing="1" w:line="360" w:lineRule="auto"/>
        <w:ind w:right="51"/>
        <w:contextualSpacing/>
        <w:jc w:val="both"/>
        <w:rPr>
          <w:rFonts w:ascii="Palatino Linotype" w:eastAsiaTheme="minorEastAsia" w:hAnsi="Palatino Linotype" w:cs="Arial"/>
          <w:lang w:val="es-ES_tradnl"/>
        </w:rPr>
      </w:pPr>
      <w:r w:rsidRPr="00D078A0">
        <w:rPr>
          <w:rFonts w:ascii="Palatino Linotype" w:hAnsi="Palatino Linotype" w:cs="Arial"/>
          <w:lang w:val="es-ES"/>
        </w:rPr>
        <w:t xml:space="preserve">En este orden de ideas, es importante </w:t>
      </w:r>
      <w:r w:rsidRPr="00D078A0">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41417D" w:rsidRPr="00D078A0" w:rsidRDefault="0041417D" w:rsidP="0023793B">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078A0">
        <w:rPr>
          <w:rFonts w:ascii="Palatino Linotype" w:eastAsiaTheme="minorEastAsia" w:hAnsi="Palatino Linotype" w:cs="Arial"/>
          <w:i/>
          <w:sz w:val="22"/>
          <w:szCs w:val="22"/>
          <w:lang w:val="es-ES_tradnl"/>
        </w:rPr>
        <w:t>“</w:t>
      </w:r>
      <w:r w:rsidRPr="00D078A0">
        <w:rPr>
          <w:rFonts w:ascii="Palatino Linotype" w:eastAsiaTheme="minorEastAsia" w:hAnsi="Palatino Linotype" w:cs="Arial"/>
          <w:b/>
          <w:i/>
          <w:color w:val="000000"/>
          <w:sz w:val="22"/>
          <w:szCs w:val="22"/>
          <w:lang w:val="es-ES_tradnl"/>
        </w:rPr>
        <w:t xml:space="preserve">Artículo 4. </w:t>
      </w:r>
      <w:r w:rsidRPr="00D078A0">
        <w:rPr>
          <w:rFonts w:ascii="Palatino Linotype" w:eastAsiaTheme="minorEastAsia" w:hAnsi="Palatino Linotype" w:cs="Arial"/>
          <w:i/>
          <w:color w:val="000000"/>
          <w:sz w:val="22"/>
          <w:szCs w:val="22"/>
          <w:lang w:val="es-ES_tradnl"/>
        </w:rPr>
        <w:t xml:space="preserve">… </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078A0">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078A0">
        <w:rPr>
          <w:rFonts w:ascii="Palatino Linotype" w:eastAsiaTheme="minorEastAsia" w:hAnsi="Palatino Linotype" w:cs="Arial"/>
          <w:i/>
          <w:color w:val="000000"/>
          <w:sz w:val="22"/>
          <w:szCs w:val="22"/>
          <w:lang w:val="es-ES_tradnl"/>
        </w:rPr>
        <w:t xml:space="preserve"> </w:t>
      </w:r>
      <w:r w:rsidRPr="00D078A0">
        <w:rPr>
          <w:rFonts w:ascii="Palatino Linotype" w:eastAsiaTheme="minorEastAsia" w:hAnsi="Palatino Linotype" w:cs="Arial"/>
          <w:i/>
          <w:sz w:val="22"/>
          <w:szCs w:val="22"/>
          <w:lang w:val="es-ES_tradnl"/>
        </w:rPr>
        <w:t>...”</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szCs w:val="20"/>
          <w:lang w:val="es-ES_tradnl"/>
        </w:rPr>
      </w:pPr>
    </w:p>
    <w:p w:rsidR="00253662" w:rsidRPr="00D078A0" w:rsidRDefault="00253662" w:rsidP="0023793B">
      <w:pPr>
        <w:spacing w:before="100" w:beforeAutospacing="1" w:after="100" w:afterAutospacing="1" w:line="360" w:lineRule="auto"/>
        <w:contextualSpacing/>
        <w:jc w:val="both"/>
        <w:rPr>
          <w:rFonts w:ascii="Palatino Linotype" w:eastAsiaTheme="minorEastAsia" w:hAnsi="Palatino Linotype" w:cs="Arial"/>
          <w:i/>
          <w:lang w:val="es-ES_tradnl"/>
        </w:rPr>
      </w:pPr>
      <w:r w:rsidRPr="00D078A0">
        <w:rPr>
          <w:rFonts w:ascii="Palatino Linotype" w:eastAsiaTheme="minorEastAsia"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DF2FE0" w:rsidRPr="00D078A0" w:rsidRDefault="00DF2FE0" w:rsidP="0023793B">
      <w:pPr>
        <w:spacing w:before="100" w:beforeAutospacing="1" w:after="100" w:afterAutospacing="1" w:line="360" w:lineRule="auto"/>
        <w:contextualSpacing/>
        <w:jc w:val="both"/>
        <w:rPr>
          <w:rFonts w:ascii="Palatino Linotype" w:eastAsiaTheme="minorEastAsia" w:hAnsi="Palatino Linotype" w:cs="Arial"/>
          <w:szCs w:val="20"/>
          <w:lang w:val="es-ES_tradnl"/>
        </w:rPr>
      </w:pPr>
    </w:p>
    <w:p w:rsidR="00253662" w:rsidRPr="00D078A0" w:rsidRDefault="00253662" w:rsidP="0023793B">
      <w:pPr>
        <w:spacing w:before="100" w:beforeAutospacing="1" w:after="100" w:afterAutospacing="1" w:line="360" w:lineRule="auto"/>
        <w:contextualSpacing/>
        <w:jc w:val="both"/>
        <w:rPr>
          <w:rFonts w:ascii="Palatino Linotype" w:eastAsiaTheme="minorEastAsia" w:hAnsi="Palatino Linotype" w:cs="Arial"/>
          <w:szCs w:val="20"/>
          <w:lang w:val="es-ES_tradnl"/>
        </w:rPr>
      </w:pPr>
      <w:r w:rsidRPr="00D078A0">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sz w:val="22"/>
          <w:szCs w:val="20"/>
          <w:lang w:val="es-ES_tradnl"/>
        </w:rPr>
      </w:pP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78A0">
        <w:rPr>
          <w:rFonts w:ascii="Palatino Linotype" w:eastAsiaTheme="minorEastAsia" w:hAnsi="Palatino Linotype" w:cs="Arial"/>
          <w:i/>
          <w:sz w:val="22"/>
          <w:szCs w:val="22"/>
          <w:lang w:val="es-ES_tradnl"/>
        </w:rPr>
        <w:t>“</w:t>
      </w:r>
      <w:r w:rsidRPr="00D078A0">
        <w:rPr>
          <w:rFonts w:ascii="Palatino Linotype" w:eastAsiaTheme="minorEastAsia" w:hAnsi="Palatino Linotype" w:cs="Arial"/>
          <w:b/>
          <w:i/>
          <w:color w:val="000000"/>
          <w:sz w:val="22"/>
          <w:szCs w:val="22"/>
          <w:lang w:val="es-ES_tradnl"/>
        </w:rPr>
        <w:t>Artículo 12.</w:t>
      </w:r>
      <w:r w:rsidRPr="00D078A0">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078A0">
        <w:rPr>
          <w:rFonts w:ascii="Palatino Linotype" w:eastAsiaTheme="minorEastAsia" w:hAnsi="Palatino Linotype" w:cs="Arial"/>
          <w:i/>
          <w:color w:val="000000"/>
          <w:sz w:val="22"/>
          <w:szCs w:val="22"/>
          <w:lang w:val="es-ES_tradnl"/>
        </w:rPr>
        <w:t xml:space="preserve"> </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78A0">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078A0">
        <w:rPr>
          <w:rFonts w:ascii="Palatino Linotype" w:eastAsiaTheme="minorEastAsia" w:hAnsi="Palatino Linotype" w:cs="Arial"/>
          <w:i/>
          <w:sz w:val="22"/>
          <w:szCs w:val="22"/>
          <w:lang w:val="es-ES_tradnl"/>
        </w:rPr>
        <w:t>”</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szCs w:val="22"/>
          <w:lang w:val="es-ES_tradnl"/>
        </w:rPr>
      </w:pPr>
    </w:p>
    <w:p w:rsidR="00253662" w:rsidRPr="00D078A0" w:rsidRDefault="00253662" w:rsidP="0023793B">
      <w:pPr>
        <w:spacing w:before="100" w:beforeAutospacing="1" w:after="100" w:afterAutospacing="1" w:line="360" w:lineRule="auto"/>
        <w:contextualSpacing/>
        <w:jc w:val="both"/>
        <w:rPr>
          <w:rFonts w:ascii="Palatino Linotype" w:eastAsiaTheme="minorEastAsia" w:hAnsi="Palatino Linotype" w:cs="Arial"/>
          <w:color w:val="000000"/>
          <w:lang w:val="es-ES_tradnl"/>
        </w:rPr>
      </w:pPr>
      <w:r w:rsidRPr="00D078A0">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D078A0">
        <w:rPr>
          <w:rFonts w:ascii="Palatino Linotype" w:eastAsiaTheme="minorEastAsia" w:hAnsi="Palatino Linotype" w:cs="Arial"/>
          <w:b/>
          <w:color w:val="000000"/>
          <w:lang w:val="es-ES_tradnl"/>
        </w:rPr>
        <w:t xml:space="preserve"> </w:t>
      </w:r>
      <w:r w:rsidRPr="00D078A0">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D078A0">
        <w:rPr>
          <w:rFonts w:ascii="Palatino Linotype" w:eastAsiaTheme="minorEastAsia" w:hAnsi="Palatino Linotype" w:cs="Arial"/>
          <w:i/>
          <w:color w:val="000000"/>
          <w:lang w:val="es-ES_tradnl"/>
        </w:rPr>
        <w:t>ad hoc</w:t>
      </w:r>
      <w:r w:rsidRPr="00D078A0">
        <w:rPr>
          <w:rFonts w:ascii="Palatino Linotype" w:eastAsiaTheme="minorEastAsia" w:hAnsi="Palatino Linotype" w:cs="Arial"/>
          <w:color w:val="000000"/>
          <w:lang w:val="es-ES_tradnl"/>
        </w:rPr>
        <w:t>, para satisfacer el Derecho de Acceso a la Información Pública.</w:t>
      </w:r>
    </w:p>
    <w:p w:rsidR="0096428E" w:rsidRPr="00D078A0" w:rsidRDefault="0096428E" w:rsidP="0023793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p>
    <w:p w:rsidR="00253662" w:rsidRPr="00D078A0" w:rsidRDefault="00253662" w:rsidP="0023793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D078A0">
        <w:rPr>
          <w:rFonts w:ascii="Palatino Linotype" w:eastAsiaTheme="minorEastAsia" w:hAnsi="Palatino Linotype" w:cs="Arial"/>
          <w:color w:val="000000" w:themeColor="text1"/>
          <w:lang w:val="es-ES_tradnl"/>
        </w:rPr>
        <w:lastRenderedPageBreak/>
        <w:t xml:space="preserve">Asimismo, el artículo 24 de la Ley de la materia dispone que los Sujetos Obligados sólo proporcionarán la información pública que </w:t>
      </w:r>
      <w:r w:rsidRPr="00D078A0">
        <w:rPr>
          <w:rFonts w:ascii="Palatino Linotype" w:eastAsiaTheme="minorEastAsia" w:hAnsi="Palatino Linotype" w:cs="Arial"/>
          <w:lang w:val="es-ES_tradnl"/>
        </w:rPr>
        <w:t>generen</w:t>
      </w:r>
      <w:r w:rsidRPr="00D078A0">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53662" w:rsidRPr="00D078A0" w:rsidRDefault="00253662" w:rsidP="0023793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p>
    <w:p w:rsidR="00253662" w:rsidRPr="00D078A0" w:rsidRDefault="00253662" w:rsidP="0023793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D078A0">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D078A0">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078A0">
        <w:rPr>
          <w:rFonts w:ascii="Palatino Linotype" w:eastAsiaTheme="minorEastAsia" w:hAnsi="Palatino Linotype" w:cs="Arial"/>
          <w:color w:val="000000" w:themeColor="text1"/>
          <w:lang w:val="es-ES_tradnl"/>
        </w:rPr>
        <w:t xml:space="preserve">; los que, </w:t>
      </w:r>
      <w:r w:rsidRPr="00D078A0">
        <w:rPr>
          <w:rFonts w:ascii="Palatino Linotype" w:eastAsiaTheme="minorEastAsia" w:hAnsi="Palatino Linotype" w:cs="Arial"/>
          <w:lang w:val="es-ES_tradnl"/>
        </w:rPr>
        <w:t>podrán estar en cualquier medio, sea escrito, impreso, sonoro, visual, electrónico, informático u holográfico</w:t>
      </w:r>
      <w:r w:rsidRPr="00D078A0">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253662" w:rsidRPr="00D078A0" w:rsidRDefault="00253662" w:rsidP="0023793B">
      <w:pPr>
        <w:spacing w:before="100" w:beforeAutospacing="1" w:after="100" w:afterAutospacing="1"/>
        <w:ind w:left="851" w:right="850"/>
        <w:contextualSpacing/>
        <w:jc w:val="both"/>
        <w:rPr>
          <w:rFonts w:ascii="Palatino Linotype" w:eastAsiaTheme="minorEastAsia" w:hAnsi="Palatino Linotype" w:cs="Arial"/>
          <w:i/>
          <w:color w:val="000000"/>
          <w:sz w:val="22"/>
          <w:szCs w:val="22"/>
          <w:lang w:val="es-ES_tradnl"/>
        </w:rPr>
      </w:pP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078A0">
        <w:rPr>
          <w:rFonts w:ascii="Palatino Linotype" w:eastAsiaTheme="minorEastAsia" w:hAnsi="Palatino Linotype" w:cs="Arial"/>
          <w:i/>
          <w:color w:val="000000"/>
          <w:sz w:val="22"/>
          <w:szCs w:val="22"/>
          <w:lang w:val="es-ES_tradnl"/>
        </w:rPr>
        <w:t>“</w:t>
      </w:r>
      <w:r w:rsidRPr="00D078A0">
        <w:rPr>
          <w:rFonts w:ascii="Palatino Linotype" w:eastAsiaTheme="minorEastAsia" w:hAnsi="Palatino Linotype" w:cs="Arial"/>
          <w:b/>
          <w:i/>
          <w:color w:val="000000"/>
          <w:sz w:val="22"/>
          <w:szCs w:val="22"/>
          <w:lang w:val="es-ES_tradnl"/>
        </w:rPr>
        <w:t xml:space="preserve">Artículo 3. </w:t>
      </w:r>
      <w:r w:rsidRPr="00D078A0">
        <w:rPr>
          <w:rFonts w:ascii="Palatino Linotype" w:eastAsiaTheme="minorEastAsia" w:hAnsi="Palatino Linotype" w:cs="Arial"/>
          <w:i/>
          <w:color w:val="000000"/>
          <w:sz w:val="22"/>
          <w:szCs w:val="22"/>
          <w:lang w:val="es-ES_tradnl"/>
        </w:rPr>
        <w:t>Para los efectos de la presente Ley se entenderá por:</w:t>
      </w:r>
    </w:p>
    <w:p w:rsidR="00253662" w:rsidRPr="00D078A0" w:rsidRDefault="00253662" w:rsidP="0023793B">
      <w:pPr>
        <w:spacing w:before="100" w:beforeAutospacing="1" w:after="100" w:afterAutospacing="1"/>
        <w:ind w:left="851" w:right="850"/>
        <w:contextualSpacing/>
        <w:jc w:val="both"/>
        <w:rPr>
          <w:rFonts w:ascii="Palatino Linotype" w:eastAsiaTheme="minorEastAsia" w:hAnsi="Palatino Linotype" w:cs="Arial"/>
          <w:i/>
          <w:color w:val="000000"/>
          <w:sz w:val="22"/>
          <w:szCs w:val="22"/>
          <w:lang w:val="es-ES_tradnl"/>
        </w:rPr>
      </w:pPr>
      <w:r w:rsidRPr="00D078A0">
        <w:rPr>
          <w:rFonts w:ascii="Palatino Linotype" w:eastAsiaTheme="minorEastAsia" w:hAnsi="Palatino Linotype" w:cs="Arial"/>
          <w:i/>
          <w:color w:val="000000"/>
          <w:sz w:val="22"/>
          <w:szCs w:val="22"/>
          <w:lang w:val="es-ES_tradnl"/>
        </w:rPr>
        <w:t>…</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078A0">
        <w:rPr>
          <w:rFonts w:ascii="Palatino Linotype" w:eastAsiaTheme="minorEastAsia" w:hAnsi="Palatino Linotype" w:cs="Arial"/>
          <w:b/>
          <w:i/>
          <w:color w:val="000000"/>
          <w:sz w:val="22"/>
          <w:szCs w:val="22"/>
          <w:lang w:val="es-ES_tradnl"/>
        </w:rPr>
        <w:t>XI. Documento:</w:t>
      </w:r>
      <w:r w:rsidRPr="00D078A0">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color w:val="000000"/>
          <w:sz w:val="22"/>
          <w:szCs w:val="22"/>
          <w:lang w:val="es-ES_tradnl"/>
        </w:rPr>
      </w:pPr>
      <w:r w:rsidRPr="00D078A0">
        <w:rPr>
          <w:rFonts w:ascii="Palatino Linotype" w:eastAsiaTheme="minorEastAsia" w:hAnsi="Palatino Linotype" w:cs="Arial"/>
          <w:b/>
          <w:i/>
          <w:color w:val="000000"/>
          <w:sz w:val="22"/>
          <w:szCs w:val="22"/>
          <w:lang w:val="es-ES_tradnl"/>
        </w:rPr>
        <w:t>…</w:t>
      </w:r>
      <w:r w:rsidRPr="00D078A0">
        <w:rPr>
          <w:rFonts w:ascii="Palatino Linotype" w:eastAsiaTheme="minorEastAsia" w:hAnsi="Palatino Linotype" w:cs="Arial"/>
          <w:i/>
          <w:color w:val="000000"/>
          <w:sz w:val="22"/>
          <w:szCs w:val="22"/>
          <w:lang w:val="es-ES_tradnl"/>
        </w:rPr>
        <w:t>”</w:t>
      </w:r>
    </w:p>
    <w:p w:rsidR="00253662" w:rsidRPr="00D078A0" w:rsidRDefault="00253662" w:rsidP="0023793B">
      <w:pPr>
        <w:spacing w:before="100" w:beforeAutospacing="1" w:after="100" w:afterAutospacing="1"/>
        <w:ind w:left="851" w:right="850"/>
        <w:contextualSpacing/>
        <w:jc w:val="both"/>
        <w:rPr>
          <w:rFonts w:ascii="Palatino Linotype" w:eastAsiaTheme="minorEastAsia" w:hAnsi="Palatino Linotype" w:cs="Arial"/>
          <w:sz w:val="22"/>
          <w:szCs w:val="22"/>
          <w:lang w:val="es-ES_tradnl"/>
        </w:rPr>
      </w:pPr>
    </w:p>
    <w:p w:rsidR="00253662" w:rsidRPr="00D078A0" w:rsidRDefault="00253662" w:rsidP="0023793B">
      <w:pPr>
        <w:autoSpaceDE w:val="0"/>
        <w:autoSpaceDN w:val="0"/>
        <w:adjustRightInd w:val="0"/>
        <w:spacing w:before="100" w:beforeAutospacing="1" w:after="100" w:afterAutospacing="1" w:line="360" w:lineRule="auto"/>
        <w:contextualSpacing/>
        <w:jc w:val="both"/>
        <w:rPr>
          <w:rFonts w:ascii="Palatino Linotype" w:eastAsiaTheme="minorEastAsia" w:hAnsi="Palatino Linotype" w:cs="Arial"/>
          <w:lang w:val="es-ES_tradnl"/>
        </w:rPr>
      </w:pPr>
      <w:r w:rsidRPr="00D078A0">
        <w:rPr>
          <w:rFonts w:ascii="Palatino Linotype" w:eastAsiaTheme="minorEastAsia" w:hAnsi="Palatino Linotype" w:cs="Arial"/>
          <w:lang w:val="es-ES_tradnl"/>
        </w:rPr>
        <w:t xml:space="preserve">Siendo aplicable el Criterio </w:t>
      </w:r>
      <w:r w:rsidRPr="00D078A0">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w:t>
      </w:r>
      <w:r w:rsidRPr="00D078A0">
        <w:rPr>
          <w:rFonts w:ascii="Palatino Linotype" w:eastAsiaTheme="minorEastAsia" w:hAnsi="Palatino Linotype" w:cs="Arial"/>
          <w:bCs/>
          <w:lang w:val="es-ES_tradnl"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D078A0">
        <w:rPr>
          <w:rFonts w:ascii="Palatino Linotype" w:eastAsiaTheme="minorEastAsia" w:hAnsi="Palatino Linotype" w:cs="Arial"/>
          <w:lang w:val="es-ES_tradnl"/>
        </w:rPr>
        <w:t>cuyo rubro y texto dispone:</w:t>
      </w:r>
    </w:p>
    <w:p w:rsidR="00253662" w:rsidRPr="00D078A0" w:rsidRDefault="00253662" w:rsidP="0023793B">
      <w:pPr>
        <w:spacing w:before="100" w:beforeAutospacing="1" w:after="100" w:afterAutospacing="1"/>
        <w:ind w:left="851" w:right="850"/>
        <w:contextualSpacing/>
        <w:jc w:val="both"/>
        <w:rPr>
          <w:rFonts w:ascii="Palatino Linotype" w:eastAsiaTheme="minorEastAsia" w:hAnsi="Palatino Linotype" w:cs="Arial"/>
          <w:sz w:val="20"/>
          <w:szCs w:val="20"/>
          <w:lang w:val="es-ES_tradnl"/>
        </w:rPr>
      </w:pPr>
    </w:p>
    <w:p w:rsidR="00253662" w:rsidRPr="00D078A0" w:rsidRDefault="00253662" w:rsidP="0023793B">
      <w:pPr>
        <w:spacing w:before="100" w:beforeAutospacing="1" w:after="100" w:afterAutospacing="1"/>
        <w:ind w:left="851" w:right="902"/>
        <w:contextualSpacing/>
        <w:jc w:val="both"/>
        <w:rPr>
          <w:rFonts w:ascii="Palatino Linotype" w:eastAsiaTheme="minorEastAsia" w:hAnsi="Palatino Linotype" w:cs="Arial"/>
          <w:b/>
          <w:i/>
          <w:sz w:val="22"/>
          <w:szCs w:val="22"/>
          <w:lang w:val="es-ES_tradnl" w:eastAsia="es-MX"/>
        </w:rPr>
      </w:pPr>
      <w:r w:rsidRPr="00D078A0">
        <w:rPr>
          <w:rFonts w:ascii="Palatino Linotype" w:eastAsiaTheme="minorEastAsia" w:hAnsi="Palatino Linotype" w:cs="Arial"/>
          <w:b/>
          <w:sz w:val="22"/>
          <w:szCs w:val="22"/>
          <w:lang w:val="es-ES_tradnl" w:eastAsia="es-MX"/>
        </w:rPr>
        <w:t>“</w:t>
      </w:r>
      <w:r w:rsidRPr="00D078A0">
        <w:rPr>
          <w:rFonts w:ascii="Palatino Linotype" w:eastAsiaTheme="minorEastAsia" w:hAnsi="Palatino Linotype" w:cs="Arial"/>
          <w:b/>
          <w:i/>
          <w:sz w:val="22"/>
          <w:szCs w:val="22"/>
          <w:lang w:val="es-ES_tradnl" w:eastAsia="es-MX"/>
        </w:rPr>
        <w:t>CRITERIO 0002-11</w:t>
      </w:r>
    </w:p>
    <w:p w:rsidR="00253662" w:rsidRPr="00D078A0" w:rsidRDefault="00253662" w:rsidP="0023793B">
      <w:pPr>
        <w:spacing w:before="100" w:beforeAutospacing="1" w:after="100" w:afterAutospacing="1"/>
        <w:ind w:left="851" w:right="902"/>
        <w:contextualSpacing/>
        <w:jc w:val="both"/>
        <w:rPr>
          <w:rFonts w:ascii="Palatino Linotype" w:eastAsiaTheme="minorEastAsia" w:hAnsi="Palatino Linotype" w:cs="Arial"/>
          <w:i/>
          <w:sz w:val="22"/>
          <w:szCs w:val="22"/>
          <w:lang w:val="es-ES_tradnl" w:eastAsia="es-MX"/>
        </w:rPr>
      </w:pPr>
      <w:r w:rsidRPr="00D078A0">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D078A0">
        <w:rPr>
          <w:rFonts w:ascii="Palatino Linotype" w:eastAsiaTheme="minorEastAsia" w:hAnsi="Palatino Linotype" w:cs="Arial"/>
          <w:b/>
          <w:bCs/>
          <w:i/>
          <w:sz w:val="22"/>
          <w:szCs w:val="22"/>
          <w:u w:val="single"/>
          <w:lang w:val="es-ES_tradnl" w:eastAsia="es-MX"/>
        </w:rPr>
        <w:t xml:space="preserve">V, XV, Y XVI, </w:t>
      </w:r>
      <w:r w:rsidRPr="00D078A0">
        <w:rPr>
          <w:rFonts w:ascii="Palatino Linotype" w:eastAsiaTheme="minorEastAsia" w:hAnsi="Palatino Linotype" w:cs="Arial"/>
          <w:b/>
          <w:i/>
          <w:sz w:val="22"/>
          <w:szCs w:val="22"/>
          <w:u w:val="single"/>
          <w:lang w:val="es-ES_tradnl" w:eastAsia="es-MX"/>
        </w:rPr>
        <w:t>3°, 4°, 11 Y 41.</w:t>
      </w:r>
      <w:r w:rsidRPr="00D078A0">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53662" w:rsidRPr="00D078A0" w:rsidRDefault="00253662" w:rsidP="0023793B">
      <w:pPr>
        <w:spacing w:before="100" w:beforeAutospacing="1" w:after="100" w:afterAutospacing="1"/>
        <w:ind w:left="851" w:right="902"/>
        <w:contextualSpacing/>
        <w:jc w:val="both"/>
        <w:rPr>
          <w:rFonts w:ascii="Palatino Linotype" w:eastAsiaTheme="minorEastAsia" w:hAnsi="Palatino Linotype" w:cs="Arial"/>
          <w:i/>
          <w:sz w:val="22"/>
          <w:szCs w:val="22"/>
          <w:lang w:val="es-ES_tradnl" w:eastAsia="es-MX"/>
        </w:rPr>
      </w:pPr>
      <w:r w:rsidRPr="00D078A0">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253662" w:rsidRPr="00D078A0" w:rsidRDefault="00253662" w:rsidP="0023793B">
      <w:pPr>
        <w:spacing w:before="100" w:beforeAutospacing="1" w:after="100" w:afterAutospacing="1"/>
        <w:ind w:left="851" w:right="902"/>
        <w:contextualSpacing/>
        <w:jc w:val="both"/>
        <w:rPr>
          <w:rFonts w:ascii="Palatino Linotype" w:eastAsiaTheme="minorEastAsia" w:hAnsi="Palatino Linotype" w:cs="Arial"/>
          <w:b/>
          <w:i/>
          <w:sz w:val="22"/>
          <w:szCs w:val="22"/>
          <w:u w:val="single"/>
          <w:lang w:val="es-ES_tradnl" w:eastAsia="es-MX"/>
        </w:rPr>
      </w:pPr>
      <w:r w:rsidRPr="00D078A0">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253662" w:rsidRPr="00D078A0" w:rsidRDefault="00253662" w:rsidP="0023793B">
      <w:pPr>
        <w:spacing w:before="100" w:beforeAutospacing="1" w:after="100" w:afterAutospacing="1"/>
        <w:ind w:left="851" w:right="902"/>
        <w:contextualSpacing/>
        <w:jc w:val="both"/>
        <w:rPr>
          <w:rFonts w:ascii="Palatino Linotype" w:eastAsiaTheme="minorEastAsia" w:hAnsi="Palatino Linotype" w:cs="Arial"/>
          <w:i/>
          <w:vanish/>
          <w:sz w:val="22"/>
          <w:szCs w:val="22"/>
          <w:lang w:val="es-ES_tradnl" w:eastAsia="es-MX"/>
        </w:rPr>
      </w:pPr>
      <w:r w:rsidRPr="00D078A0">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253662" w:rsidRPr="00D078A0" w:rsidRDefault="00253662" w:rsidP="0023793B">
      <w:pPr>
        <w:spacing w:before="100" w:beforeAutospacing="1" w:after="100" w:afterAutospacing="1"/>
        <w:ind w:left="851" w:right="902"/>
        <w:contextualSpacing/>
        <w:jc w:val="both"/>
        <w:rPr>
          <w:rFonts w:ascii="Palatino Linotype" w:eastAsiaTheme="minorEastAsia" w:hAnsi="Palatino Linotype" w:cs="Arial"/>
          <w:i/>
          <w:sz w:val="22"/>
          <w:szCs w:val="22"/>
          <w:lang w:val="es-ES_tradnl" w:eastAsia="es-MX"/>
        </w:rPr>
      </w:pPr>
      <w:r w:rsidRPr="00D078A0">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sz w:val="20"/>
          <w:szCs w:val="22"/>
          <w:lang w:val="es-ES_tradnl"/>
        </w:rPr>
      </w:pPr>
    </w:p>
    <w:p w:rsidR="00253662" w:rsidRPr="00D078A0" w:rsidRDefault="00253662" w:rsidP="0023793B">
      <w:pPr>
        <w:autoSpaceDE w:val="0"/>
        <w:autoSpaceDN w:val="0"/>
        <w:adjustRightInd w:val="0"/>
        <w:spacing w:before="100" w:beforeAutospacing="1" w:after="100" w:afterAutospacing="1" w:line="360" w:lineRule="auto"/>
        <w:contextualSpacing/>
        <w:jc w:val="both"/>
        <w:rPr>
          <w:rFonts w:ascii="Palatino Linotype" w:eastAsia="MS Mincho" w:hAnsi="Palatino Linotype" w:cstheme="minorBidi"/>
          <w:lang w:val="es-ES_tradnl"/>
        </w:rPr>
      </w:pPr>
      <w:r w:rsidRPr="00D078A0">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41417D" w:rsidRPr="00D078A0" w:rsidRDefault="0041417D" w:rsidP="0023793B">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bCs/>
          <w:i/>
          <w:sz w:val="22"/>
          <w:szCs w:val="22"/>
        </w:rPr>
      </w:pPr>
    </w:p>
    <w:p w:rsidR="00253662" w:rsidRPr="00D078A0" w:rsidRDefault="00253662" w:rsidP="0023793B">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i/>
          <w:sz w:val="22"/>
          <w:szCs w:val="22"/>
        </w:rPr>
      </w:pPr>
      <w:r w:rsidRPr="00D078A0">
        <w:rPr>
          <w:rFonts w:ascii="Palatino Linotype" w:eastAsiaTheme="minorEastAsia" w:hAnsi="Palatino Linotype" w:cs="Arial"/>
          <w:b/>
          <w:bCs/>
          <w:i/>
          <w:sz w:val="22"/>
          <w:szCs w:val="22"/>
        </w:rPr>
        <w:t xml:space="preserve">“Artículo 18. </w:t>
      </w:r>
      <w:r w:rsidRPr="00D078A0">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253662" w:rsidRPr="00D078A0" w:rsidRDefault="00253662" w:rsidP="0023793B">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253662" w:rsidRPr="00D078A0" w:rsidRDefault="00253662" w:rsidP="0023793B">
      <w:pPr>
        <w:autoSpaceDE w:val="0"/>
        <w:autoSpaceDN w:val="0"/>
        <w:adjustRightInd w:val="0"/>
        <w:spacing w:before="100" w:beforeAutospacing="1" w:after="100" w:afterAutospacing="1" w:line="360" w:lineRule="auto"/>
        <w:contextualSpacing/>
        <w:jc w:val="both"/>
        <w:rPr>
          <w:rFonts w:ascii="Palatino Linotype" w:eastAsia="MS Mincho" w:hAnsi="Palatino Linotype" w:cs="Tahoma"/>
          <w:lang w:val="es-ES_tradnl"/>
        </w:rPr>
      </w:pPr>
      <w:r w:rsidRPr="00D078A0">
        <w:rPr>
          <w:rFonts w:ascii="Palatino Linotype" w:eastAsiaTheme="minorEastAsia" w:hAnsi="Palatino Linotype" w:cs="Arial"/>
          <w:lang w:val="es-ES_tradnl" w:eastAsia="es-MX"/>
        </w:rPr>
        <w:lastRenderedPageBreak/>
        <w:t xml:space="preserve">De la misma </w:t>
      </w:r>
      <w:r w:rsidRPr="00D078A0">
        <w:rPr>
          <w:rFonts w:ascii="Palatino Linotype" w:eastAsia="MS Mincho" w:hAnsi="Palatino Linotype" w:cstheme="minorBidi"/>
          <w:lang w:val="es-ES_tradnl"/>
        </w:rPr>
        <w:t>forma</w:t>
      </w:r>
      <w:r w:rsidRPr="00D078A0">
        <w:rPr>
          <w:rFonts w:ascii="Palatino Linotype" w:eastAsiaTheme="minorEastAsia" w:hAnsi="Palatino Linotype" w:cs="Arial"/>
          <w:lang w:val="es-ES_tradnl" w:eastAsia="es-MX"/>
        </w:rPr>
        <w:t xml:space="preserve">, </w:t>
      </w:r>
      <w:r w:rsidRPr="00D078A0">
        <w:rPr>
          <w:rFonts w:ascii="Palatino Linotype" w:eastAsia="MS Mincho" w:hAnsi="Palatino Linotype" w:cstheme="minorBidi"/>
          <w:lang w:val="es-ES_tradnl"/>
        </w:rPr>
        <w:t>se cita el contenido del artículo 160</w:t>
      </w:r>
      <w:r w:rsidRPr="00D078A0">
        <w:rPr>
          <w:rFonts w:ascii="Palatino Linotype" w:eastAsiaTheme="minorEastAsia" w:hAnsi="Palatino Linotype" w:cs="Arial"/>
          <w:lang w:val="es-ES_tradnl"/>
        </w:rPr>
        <w:t xml:space="preserve"> de la Ley </w:t>
      </w:r>
      <w:r w:rsidRPr="00D078A0">
        <w:rPr>
          <w:rFonts w:ascii="Palatino Linotype" w:eastAsia="MS Mincho" w:hAnsi="Palatino Linotype" w:cs="Tahoma"/>
          <w:lang w:val="es-ES_tradnl"/>
        </w:rPr>
        <w:t>General de Transparencia y Acceso a la Información Pública que a la letra dispone:</w:t>
      </w:r>
    </w:p>
    <w:p w:rsidR="00253662" w:rsidRPr="00D078A0" w:rsidRDefault="00253662" w:rsidP="0023793B">
      <w:pPr>
        <w:autoSpaceDE w:val="0"/>
        <w:autoSpaceDN w:val="0"/>
        <w:adjustRightInd w:val="0"/>
        <w:spacing w:before="100" w:beforeAutospacing="1" w:after="100" w:afterAutospacing="1"/>
        <w:contextualSpacing/>
        <w:jc w:val="both"/>
        <w:rPr>
          <w:rFonts w:ascii="Palatino Linotype" w:eastAsiaTheme="minorEastAsia" w:hAnsi="Palatino Linotype" w:cs="Arial"/>
          <w:lang w:val="es-ES_tradnl" w:eastAsia="es-MX"/>
        </w:rPr>
      </w:pPr>
    </w:p>
    <w:p w:rsidR="00253662" w:rsidRPr="00D078A0" w:rsidRDefault="00253662" w:rsidP="0023793B">
      <w:pPr>
        <w:spacing w:before="100" w:beforeAutospacing="1" w:after="100" w:afterAutospacing="1"/>
        <w:ind w:left="851" w:right="901"/>
        <w:contextualSpacing/>
        <w:jc w:val="both"/>
        <w:rPr>
          <w:rFonts w:ascii="Palatino Linotype" w:eastAsiaTheme="minorEastAsia" w:hAnsi="Palatino Linotype" w:cs="Arial"/>
          <w:i/>
          <w:sz w:val="22"/>
          <w:szCs w:val="22"/>
          <w:lang w:val="es-ES_tradnl" w:eastAsia="gl-ES"/>
        </w:rPr>
      </w:pPr>
      <w:r w:rsidRPr="00D078A0">
        <w:rPr>
          <w:rFonts w:ascii="Palatino Linotype" w:eastAsiaTheme="minorEastAsia" w:hAnsi="Palatino Linotype" w:cs="Arial"/>
          <w:b/>
          <w:i/>
          <w:sz w:val="22"/>
          <w:szCs w:val="22"/>
          <w:lang w:val="es-ES_tradnl" w:eastAsia="gl-ES"/>
        </w:rPr>
        <w:t>“Artículo 160</w:t>
      </w:r>
      <w:r w:rsidRPr="00D078A0">
        <w:rPr>
          <w:rFonts w:ascii="Palatino Linotype" w:eastAsiaTheme="minorEastAsia" w:hAnsi="Palatino Linotype" w:cs="Arial"/>
          <w:i/>
          <w:sz w:val="22"/>
          <w:szCs w:val="22"/>
          <w:lang w:val="es-ES_tradnl" w:eastAsia="gl-ES"/>
        </w:rPr>
        <w:t xml:space="preserve">. Los </w:t>
      </w:r>
      <w:r w:rsidRPr="00D078A0">
        <w:rPr>
          <w:rFonts w:ascii="Palatino Linotype" w:eastAsiaTheme="minorEastAsia" w:hAnsi="Palatino Linotype" w:cs="Arial"/>
          <w:i/>
          <w:sz w:val="22"/>
          <w:szCs w:val="22"/>
          <w:lang w:val="es-ES_tradnl" w:eastAsia="es-MX"/>
        </w:rPr>
        <w:t>sujetos</w:t>
      </w:r>
      <w:r w:rsidRPr="00D078A0">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D078A0">
        <w:rPr>
          <w:rFonts w:ascii="Palatino Linotype" w:eastAsiaTheme="minorEastAsia" w:hAnsi="Palatino Linotype" w:cs="Arial"/>
          <w:i/>
          <w:sz w:val="22"/>
          <w:szCs w:val="22"/>
        </w:rPr>
        <w:t xml:space="preserve"> (Sic)</w:t>
      </w:r>
    </w:p>
    <w:p w:rsidR="00253662" w:rsidRPr="00D078A0" w:rsidRDefault="00253662" w:rsidP="0023793B">
      <w:pPr>
        <w:spacing w:before="100" w:beforeAutospacing="1" w:after="100" w:afterAutospacing="1" w:line="360" w:lineRule="auto"/>
        <w:contextualSpacing/>
        <w:jc w:val="both"/>
        <w:rPr>
          <w:rFonts w:ascii="Palatino Linotype" w:eastAsiaTheme="minorEastAsia" w:hAnsi="Palatino Linotype" w:cs="Arial"/>
          <w:lang w:val="es-ES_tradnl"/>
        </w:rPr>
      </w:pPr>
    </w:p>
    <w:p w:rsidR="00253662" w:rsidRPr="00D078A0" w:rsidRDefault="00253662" w:rsidP="0023793B">
      <w:pPr>
        <w:spacing w:before="100" w:beforeAutospacing="1" w:after="100" w:afterAutospacing="1" w:line="360" w:lineRule="auto"/>
        <w:contextualSpacing/>
        <w:jc w:val="both"/>
        <w:rPr>
          <w:rFonts w:ascii="Palatino Linotype" w:hAnsi="Palatino Linotype"/>
        </w:rPr>
      </w:pPr>
      <w:r w:rsidRPr="00D078A0">
        <w:rPr>
          <w:rFonts w:ascii="Palatino Linotype" w:eastAsiaTheme="minorEastAsia" w:hAnsi="Palatino Linotype" w:cs="Arial"/>
          <w:lang w:val="es-ES_tradnl"/>
        </w:rPr>
        <w:t>Una vez precisado lo anterior</w:t>
      </w:r>
      <w:r w:rsidR="00284131" w:rsidRPr="00D078A0">
        <w:rPr>
          <w:rFonts w:ascii="Palatino Linotype" w:eastAsiaTheme="minorEastAsia" w:hAnsi="Palatino Linotype" w:cs="Arial"/>
          <w:lang w:val="es-ES_tradnl"/>
        </w:rPr>
        <w:t>, es conveniente recordar que el</w:t>
      </w:r>
      <w:r w:rsidR="00A633C7" w:rsidRPr="00D078A0">
        <w:rPr>
          <w:rFonts w:ascii="Palatino Linotype" w:eastAsiaTheme="minorEastAsia" w:hAnsi="Palatino Linotype" w:cs="Arial"/>
          <w:lang w:val="es-ES_tradnl"/>
        </w:rPr>
        <w:t xml:space="preserve"> </w:t>
      </w:r>
      <w:r w:rsidRPr="00D078A0">
        <w:rPr>
          <w:rFonts w:ascii="Palatino Linotype" w:eastAsiaTheme="minorEastAsia" w:hAnsi="Palatino Linotype" w:cs="Arial"/>
          <w:lang w:val="es-ES_tradnl"/>
        </w:rPr>
        <w:t>particular solicitó</w:t>
      </w:r>
      <w:r w:rsidR="00E81CBA" w:rsidRPr="00D078A0">
        <w:rPr>
          <w:rFonts w:ascii="Palatino Linotype" w:eastAsiaTheme="minorEastAsia" w:hAnsi="Palatino Linotype" w:cs="Arial"/>
          <w:lang w:val="es-ES_tradnl"/>
        </w:rPr>
        <w:t xml:space="preserve"> en los numerales 1 y 2</w:t>
      </w:r>
      <w:r w:rsidR="00E81CBA" w:rsidRPr="00D078A0">
        <w:rPr>
          <w:rFonts w:ascii="Palatino Linotype" w:hAnsi="Palatino Linotype" w:cs="Arial"/>
          <w:b/>
          <w:color w:val="000000" w:themeColor="text1"/>
        </w:rPr>
        <w:t xml:space="preserve"> </w:t>
      </w:r>
      <w:r w:rsidR="00E81CBA" w:rsidRPr="00D078A0">
        <w:rPr>
          <w:rFonts w:ascii="Palatino Linotype" w:hAnsi="Palatino Linotype"/>
        </w:rPr>
        <w:t xml:space="preserve">el </w:t>
      </w:r>
      <w:r w:rsidR="0096428E" w:rsidRPr="00D078A0">
        <w:rPr>
          <w:rFonts w:ascii="Palatino Linotype" w:hAnsi="Palatino Linotype"/>
        </w:rPr>
        <w:t>informe de los gastos realizados</w:t>
      </w:r>
      <w:r w:rsidR="00B74A49" w:rsidRPr="00D078A0">
        <w:rPr>
          <w:rFonts w:ascii="Palatino Linotype" w:hAnsi="Palatino Linotype"/>
        </w:rPr>
        <w:t xml:space="preserve"> y la empresa contratada</w:t>
      </w:r>
      <w:r w:rsidR="0096428E" w:rsidRPr="00D078A0">
        <w:rPr>
          <w:rFonts w:ascii="Palatino Linotype" w:hAnsi="Palatino Linotype"/>
        </w:rPr>
        <w:t xml:space="preserve"> en</w:t>
      </w:r>
      <w:r w:rsidR="00E81CBA" w:rsidRPr="00D078A0">
        <w:rPr>
          <w:rFonts w:ascii="Palatino Linotype" w:hAnsi="Palatino Linotype"/>
        </w:rPr>
        <w:t xml:space="preserve"> el espectáculo pirotécnico de</w:t>
      </w:r>
      <w:r w:rsidR="0096428E" w:rsidRPr="00D078A0">
        <w:rPr>
          <w:rFonts w:ascii="Palatino Linotype" w:hAnsi="Palatino Linotype"/>
        </w:rPr>
        <w:t xml:space="preserve"> la </w:t>
      </w:r>
      <w:r w:rsidR="00E81CBA" w:rsidRPr="00D078A0">
        <w:rPr>
          <w:rFonts w:ascii="Palatino Linotype" w:hAnsi="Palatino Linotype"/>
        </w:rPr>
        <w:t>ceremonia del 15 de septiembre del año en curso.</w:t>
      </w:r>
    </w:p>
    <w:p w:rsidR="00D850F7" w:rsidRPr="00D078A0" w:rsidRDefault="00D850F7" w:rsidP="0023793B">
      <w:pPr>
        <w:spacing w:before="100" w:beforeAutospacing="1" w:after="100" w:afterAutospacing="1" w:line="360" w:lineRule="auto"/>
        <w:contextualSpacing/>
        <w:jc w:val="both"/>
        <w:rPr>
          <w:rFonts w:ascii="Palatino Linotype" w:hAnsi="Palatino Linotype"/>
        </w:rPr>
      </w:pPr>
    </w:p>
    <w:p w:rsidR="00D850F7" w:rsidRPr="00D078A0" w:rsidRDefault="00AF0972" w:rsidP="0023793B">
      <w:pPr>
        <w:spacing w:before="100" w:beforeAutospacing="1" w:after="100" w:afterAutospacing="1" w:line="360" w:lineRule="auto"/>
        <w:contextualSpacing/>
        <w:jc w:val="both"/>
        <w:rPr>
          <w:rFonts w:ascii="Palatino Linotype" w:hAnsi="Palatino Linotype"/>
          <w:spacing w:val="-20"/>
        </w:rPr>
      </w:pPr>
      <w:r>
        <w:rPr>
          <w:rFonts w:ascii="Palatino Linotype" w:hAnsi="Palatino Linotype"/>
          <w:noProof/>
          <w:lang w:eastAsia="es-MX"/>
        </w:rPr>
        <mc:AlternateContent>
          <mc:Choice Requires="wps">
            <w:drawing>
              <wp:anchor distT="0" distB="0" distL="114300" distR="114300" simplePos="0" relativeHeight="251685888" behindDoc="0" locked="0" layoutInCell="1" allowOverlap="1">
                <wp:simplePos x="0" y="0"/>
                <wp:positionH relativeFrom="column">
                  <wp:posOffset>34289</wp:posOffset>
                </wp:positionH>
                <wp:positionV relativeFrom="paragraph">
                  <wp:posOffset>1512570</wp:posOffset>
                </wp:positionV>
                <wp:extent cx="5915025" cy="2895600"/>
                <wp:effectExtent l="38100" t="19050" r="66675" b="95250"/>
                <wp:wrapNone/>
                <wp:docPr id="6" name="Conector recto 6"/>
                <wp:cNvGraphicFramePr/>
                <a:graphic xmlns:a="http://schemas.openxmlformats.org/drawingml/2006/main">
                  <a:graphicData uri="http://schemas.microsoft.com/office/word/2010/wordprocessingShape">
                    <wps:wsp>
                      <wps:cNvCnPr/>
                      <wps:spPr>
                        <a:xfrm>
                          <a:off x="0" y="0"/>
                          <a:ext cx="5915025" cy="2895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D6B637" id="Conector recto 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pt,119.1pt" to="468.45pt,3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" strokecolor="#4f81bd [3204]" strokeweight="2pt">
                <v:shadow on="t" color="black" opacity="24903f" origin=",.5" offset="0,.55556mm"/>
              </v:line>
            </w:pict>
          </mc:Fallback>
        </mc:AlternateContent>
      </w:r>
      <w:r w:rsidR="00D850F7" w:rsidRPr="00D078A0">
        <w:rPr>
          <w:rFonts w:ascii="Palatino Linotype" w:hAnsi="Palatino Linotype"/>
        </w:rPr>
        <w:t xml:space="preserve">En ese sentido, esta Ponencia Resolutora advierte la publicación </w:t>
      </w:r>
      <w:r w:rsidR="00E614B0" w:rsidRPr="00D078A0">
        <w:rPr>
          <w:rFonts w:ascii="Palatino Linotype" w:hAnsi="Palatino Linotype"/>
        </w:rPr>
        <w:t xml:space="preserve">de una nota </w:t>
      </w:r>
      <w:r w:rsidR="00D850F7" w:rsidRPr="00D078A0">
        <w:rPr>
          <w:rFonts w:ascii="Palatino Linotype" w:hAnsi="Palatino Linotype"/>
        </w:rPr>
        <w:t xml:space="preserve">en la </w:t>
      </w:r>
      <w:r w:rsidR="00317A51" w:rsidRPr="00D078A0">
        <w:rPr>
          <w:rFonts w:ascii="Palatino Linotype" w:hAnsi="Palatino Linotype"/>
        </w:rPr>
        <w:t>página</w:t>
      </w:r>
      <w:r w:rsidR="00D850F7" w:rsidRPr="00D078A0">
        <w:rPr>
          <w:rFonts w:ascii="Palatino Linotype" w:hAnsi="Palatino Linotype"/>
        </w:rPr>
        <w:t xml:space="preserve"> de internet </w:t>
      </w:r>
      <w:r w:rsidR="00317A51" w:rsidRPr="00D078A0">
        <w:rPr>
          <w:rFonts w:ascii="Palatino Linotype" w:hAnsi="Palatino Linotype"/>
        </w:rPr>
        <w:t xml:space="preserve">oficial </w:t>
      </w:r>
      <w:r w:rsidR="00D850F7" w:rsidRPr="00D078A0">
        <w:rPr>
          <w:rFonts w:ascii="Palatino Linotype" w:hAnsi="Palatino Linotype"/>
        </w:rPr>
        <w:t xml:space="preserve">del </w:t>
      </w:r>
      <w:r w:rsidR="00284131" w:rsidRPr="00D078A0">
        <w:rPr>
          <w:rFonts w:ascii="Palatino Linotype" w:hAnsi="Palatino Linotype"/>
          <w:b/>
        </w:rPr>
        <w:t>SUJETO OBLIGADO</w:t>
      </w:r>
      <w:r w:rsidR="00284131" w:rsidRPr="00D078A0">
        <w:rPr>
          <w:rFonts w:ascii="Palatino Linotype" w:hAnsi="Palatino Linotype"/>
        </w:rPr>
        <w:t xml:space="preserve"> </w:t>
      </w:r>
      <w:r w:rsidR="00D850F7" w:rsidRPr="00D078A0">
        <w:rPr>
          <w:rFonts w:ascii="Palatino Linotype" w:hAnsi="Palatino Linotype"/>
        </w:rPr>
        <w:t xml:space="preserve">alusiva al evento de la solicitud en mérito como se desprende la liga electrónica </w:t>
      </w:r>
      <w:hyperlink r:id="rId9" w:history="1">
        <w:r w:rsidR="00D850F7" w:rsidRPr="00D078A0">
          <w:rPr>
            <w:rStyle w:val="Hipervnculo"/>
            <w:rFonts w:ascii="Palatino Linotype" w:hAnsi="Palatino Linotype"/>
            <w:color w:val="auto"/>
            <w:spacing w:val="-20"/>
          </w:rPr>
          <w:t>http://tultepec.gob.mx/2019/09/16/la-mayor-expresion-de-soberania-e-independencia-del-pueblo-es-la-ley-armando-portuguez/</w:t>
        </w:r>
      </w:hyperlink>
      <w:r w:rsidR="00D850F7" w:rsidRPr="00D078A0">
        <w:rPr>
          <w:rFonts w:ascii="Palatino Linotype" w:hAnsi="Palatino Linotype"/>
          <w:spacing w:val="-20"/>
        </w:rPr>
        <w:t xml:space="preserve"> </w:t>
      </w:r>
      <w:r w:rsidR="00D850F7" w:rsidRPr="00D078A0">
        <w:rPr>
          <w:rFonts w:ascii="Palatino Linotype" w:hAnsi="Palatino Linotype"/>
        </w:rPr>
        <w:t xml:space="preserve">como se </w:t>
      </w:r>
      <w:r w:rsidR="00317A51" w:rsidRPr="00D078A0">
        <w:rPr>
          <w:rFonts w:ascii="Palatino Linotype" w:hAnsi="Palatino Linotype"/>
        </w:rPr>
        <w:t>observa</w:t>
      </w:r>
      <w:r w:rsidR="00D850F7" w:rsidRPr="00D078A0">
        <w:rPr>
          <w:rFonts w:ascii="Palatino Linotype" w:hAnsi="Palatino Linotype"/>
        </w:rPr>
        <w:t xml:space="preserve"> </w:t>
      </w:r>
      <w:r w:rsidR="00317A51" w:rsidRPr="00D078A0">
        <w:rPr>
          <w:rFonts w:ascii="Palatino Linotype" w:hAnsi="Palatino Linotype"/>
        </w:rPr>
        <w:t>en</w:t>
      </w:r>
      <w:r w:rsidR="00D850F7" w:rsidRPr="00D078A0">
        <w:rPr>
          <w:rFonts w:ascii="Palatino Linotype" w:hAnsi="Palatino Linotype"/>
        </w:rPr>
        <w:t xml:space="preserve"> las siguientes imágenes:</w:t>
      </w:r>
    </w:p>
    <w:p w:rsidR="00D850F7" w:rsidRPr="00D078A0" w:rsidRDefault="00D850F7" w:rsidP="0023793B">
      <w:pPr>
        <w:spacing w:before="100" w:beforeAutospacing="1" w:after="100" w:afterAutospacing="1" w:line="360" w:lineRule="auto"/>
        <w:contextualSpacing/>
        <w:jc w:val="both"/>
        <w:rPr>
          <w:rFonts w:ascii="Palatino Linotype" w:hAnsi="Palatino Linotype" w:cs="Arial"/>
          <w:b/>
          <w:color w:val="000000" w:themeColor="text1"/>
        </w:rPr>
      </w:pPr>
    </w:p>
    <w:p w:rsidR="00D850F7" w:rsidRPr="00D078A0" w:rsidRDefault="00B05A42" w:rsidP="0023793B">
      <w:pPr>
        <w:spacing w:before="100" w:beforeAutospacing="1" w:after="100" w:afterAutospacing="1" w:line="360" w:lineRule="auto"/>
        <w:contextualSpacing/>
        <w:jc w:val="both"/>
        <w:rPr>
          <w:rFonts w:ascii="Palatino Linotype" w:hAnsi="Palatino Linotype" w:cs="Arial"/>
          <w:b/>
          <w:color w:val="000000" w:themeColor="text1"/>
        </w:rPr>
      </w:pPr>
      <w:r w:rsidRPr="00D078A0">
        <w:rPr>
          <w:rFonts w:ascii="Palatino Linotype" w:hAnsi="Palatino Linotype"/>
          <w:noProof/>
          <w:lang w:eastAsia="es-MX"/>
        </w:rPr>
        <w:lastRenderedPageBreak/>
        <mc:AlternateContent>
          <mc:Choice Requires="wps">
            <w:drawing>
              <wp:anchor distT="0" distB="0" distL="114300" distR="114300" simplePos="0" relativeHeight="251684864" behindDoc="0" locked="0" layoutInCell="1" allowOverlap="1" wp14:anchorId="5FD7507B" wp14:editId="62377AEA">
                <wp:simplePos x="0" y="0"/>
                <wp:positionH relativeFrom="margin">
                  <wp:posOffset>1110615</wp:posOffset>
                </wp:positionH>
                <wp:positionV relativeFrom="paragraph">
                  <wp:posOffset>2131059</wp:posOffset>
                </wp:positionV>
                <wp:extent cx="3009900" cy="219075"/>
                <wp:effectExtent l="57150" t="19050" r="57150" b="104775"/>
                <wp:wrapNone/>
                <wp:docPr id="5" name="Rectángulo redondeado 5"/>
                <wp:cNvGraphicFramePr/>
                <a:graphic xmlns:a="http://schemas.openxmlformats.org/drawingml/2006/main">
                  <a:graphicData uri="http://schemas.microsoft.com/office/word/2010/wordprocessingShape">
                    <wps:wsp>
                      <wps:cNvSpPr/>
                      <wps:spPr>
                        <a:xfrm>
                          <a:off x="0" y="0"/>
                          <a:ext cx="3009900" cy="2190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333C9" id="Rectángulo redondeado 5" o:spid="_x0000_s1026" style="position:absolute;margin-left:87.45pt;margin-top:167.8pt;width:237pt;height:1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" filled="f" strokecolor="red" strokeweight="1.5pt">
                <v:shadow on="t" color="black" opacity="22937f" origin=",.5" offset="0,.63889mm"/>
                <w10:wrap anchorx="margin"/>
              </v:roundrect>
            </w:pict>
          </mc:Fallback>
        </mc:AlternateContent>
      </w:r>
      <w:r w:rsidR="00D850F7" w:rsidRPr="00D078A0">
        <w:rPr>
          <w:noProof/>
          <w:lang w:eastAsia="es-MX"/>
        </w:rPr>
        <w:drawing>
          <wp:inline distT="0" distB="0" distL="0" distR="0" wp14:anchorId="57A27C3D" wp14:editId="041433A2">
            <wp:extent cx="5772150" cy="3200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7114" b="4697"/>
                    <a:stretch/>
                  </pic:blipFill>
                  <pic:spPr bwMode="auto">
                    <a:xfrm>
                      <a:off x="0" y="0"/>
                      <a:ext cx="5772150" cy="3200400"/>
                    </a:xfrm>
                    <a:prstGeom prst="rect">
                      <a:avLst/>
                    </a:prstGeom>
                    <a:ln>
                      <a:noFill/>
                    </a:ln>
                    <a:extLst>
                      <a:ext uri="{53640926-AAD7-44D8-BBD7-CCE9431645EC}">
                        <a14:shadowObscured xmlns:a14="http://schemas.microsoft.com/office/drawing/2010/main"/>
                      </a:ext>
                    </a:extLst>
                  </pic:spPr>
                </pic:pic>
              </a:graphicData>
            </a:graphic>
          </wp:inline>
        </w:drawing>
      </w:r>
    </w:p>
    <w:p w:rsidR="00E81CBA" w:rsidRPr="00D078A0" w:rsidRDefault="00317A51" w:rsidP="0023793B">
      <w:pPr>
        <w:spacing w:before="100" w:beforeAutospacing="1" w:after="100" w:afterAutospacing="1" w:line="360" w:lineRule="auto"/>
        <w:contextualSpacing/>
        <w:jc w:val="both"/>
        <w:rPr>
          <w:rFonts w:ascii="Palatino Linotype" w:eastAsia="Calibri" w:hAnsi="Palatino Linotype" w:cs="Arial"/>
          <w:lang w:eastAsia="es-MX"/>
        </w:rPr>
      </w:pPr>
      <w:r w:rsidRPr="00D078A0">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5FD7507B" wp14:editId="62377AEA">
                <wp:simplePos x="0" y="0"/>
                <wp:positionH relativeFrom="margin">
                  <wp:posOffset>1129665</wp:posOffset>
                </wp:positionH>
                <wp:positionV relativeFrom="paragraph">
                  <wp:posOffset>1893570</wp:posOffset>
                </wp:positionV>
                <wp:extent cx="3086100" cy="323850"/>
                <wp:effectExtent l="57150" t="19050" r="76200" b="95250"/>
                <wp:wrapNone/>
                <wp:docPr id="14" name="Rectángulo redondeado 14"/>
                <wp:cNvGraphicFramePr/>
                <a:graphic xmlns:a="http://schemas.openxmlformats.org/drawingml/2006/main">
                  <a:graphicData uri="http://schemas.microsoft.com/office/word/2010/wordprocessingShape">
                    <wps:wsp>
                      <wps:cNvSpPr/>
                      <wps:spPr>
                        <a:xfrm>
                          <a:off x="0" y="0"/>
                          <a:ext cx="3086100" cy="32385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D2613" id="Rectángulo redondeado 14" o:spid="_x0000_s1026" style="position:absolute;margin-left:88.95pt;margin-top:149.1pt;width:243pt;height:2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" filled="f" strokecolor="red" strokeweight="1.5pt">
                <v:shadow on="t" color="black" opacity="22937f" origin=",.5" offset="0,.63889mm"/>
                <w10:wrap anchorx="margin"/>
              </v:roundrect>
            </w:pict>
          </mc:Fallback>
        </mc:AlternateContent>
      </w:r>
      <w:r w:rsidR="00D850F7" w:rsidRPr="00D078A0">
        <w:rPr>
          <w:noProof/>
          <w:lang w:eastAsia="es-MX"/>
        </w:rPr>
        <w:drawing>
          <wp:inline distT="0" distB="0" distL="0" distR="0" wp14:anchorId="1B816DA3" wp14:editId="2CC25E49">
            <wp:extent cx="5791200" cy="3848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7279" b="7036"/>
                    <a:stretch/>
                  </pic:blipFill>
                  <pic:spPr bwMode="auto">
                    <a:xfrm>
                      <a:off x="0" y="0"/>
                      <a:ext cx="5791200" cy="3848100"/>
                    </a:xfrm>
                    <a:prstGeom prst="rect">
                      <a:avLst/>
                    </a:prstGeom>
                    <a:ln>
                      <a:noFill/>
                    </a:ln>
                    <a:extLst>
                      <a:ext uri="{53640926-AAD7-44D8-BBD7-CCE9431645EC}">
                        <a14:shadowObscured xmlns:a14="http://schemas.microsoft.com/office/drawing/2010/main"/>
                      </a:ext>
                    </a:extLst>
                  </pic:spPr>
                </pic:pic>
              </a:graphicData>
            </a:graphic>
          </wp:inline>
        </w:drawing>
      </w:r>
    </w:p>
    <w:p w:rsidR="00317A51" w:rsidRPr="00D078A0" w:rsidRDefault="00317A51" w:rsidP="0023793B">
      <w:pPr>
        <w:spacing w:before="100" w:beforeAutospacing="1" w:after="100" w:afterAutospacing="1" w:line="360" w:lineRule="auto"/>
        <w:contextualSpacing/>
        <w:jc w:val="both"/>
        <w:rPr>
          <w:rFonts w:ascii="Palatino Linotype" w:eastAsia="Calibri" w:hAnsi="Palatino Linotype" w:cs="Arial"/>
          <w:lang w:eastAsia="es-MX"/>
        </w:rPr>
      </w:pPr>
    </w:p>
    <w:p w:rsidR="00342881" w:rsidRPr="00D078A0" w:rsidRDefault="00E614B0" w:rsidP="0023793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078A0">
        <w:rPr>
          <w:rFonts w:ascii="Palatino Linotype" w:hAnsi="Palatino Linotype" w:cs="Arial"/>
        </w:rPr>
        <w:lastRenderedPageBreak/>
        <w:t xml:space="preserve">Al respecto de esta determinación, esta Ponencia Resolutora considera precisar que, si bien la </w:t>
      </w:r>
      <w:r w:rsidR="0062056B" w:rsidRPr="00D078A0">
        <w:rPr>
          <w:rFonts w:ascii="Palatino Linotype" w:hAnsi="Palatino Linotype"/>
          <w:b/>
        </w:rPr>
        <w:t xml:space="preserve">publicación </w:t>
      </w:r>
      <w:r w:rsidRPr="00D078A0">
        <w:rPr>
          <w:rFonts w:ascii="Palatino Linotype" w:hAnsi="Palatino Linotype"/>
        </w:rPr>
        <w:t xml:space="preserve"> a que se hace referencia, así como las </w:t>
      </w:r>
      <w:r w:rsidRPr="00D078A0">
        <w:rPr>
          <w:rFonts w:ascii="Palatino Linotype" w:hAnsi="Palatino Linotype"/>
          <w:b/>
        </w:rPr>
        <w:t>fotografías</w:t>
      </w:r>
      <w:r w:rsidRPr="00D078A0">
        <w:rPr>
          <w:rFonts w:ascii="Palatino Linotype" w:hAnsi="Palatino Linotype"/>
        </w:rPr>
        <w:t xml:space="preserve"> que se encuentran disponibles en los buscadores de Internet, </w:t>
      </w:r>
      <w:r w:rsidRPr="00D078A0">
        <w:rPr>
          <w:rFonts w:ascii="Palatino Linotype" w:hAnsi="Palatino Linotype" w:cs="Arial"/>
          <w:bCs/>
          <w:szCs w:val="22"/>
        </w:rPr>
        <w:t xml:space="preserve">carecen de valor probatorio pleno, al no reunir las características de los documentos públicos; sin embargo, si pueden ser considerados como </w:t>
      </w:r>
      <w:r w:rsidRPr="00D078A0">
        <w:rPr>
          <w:rFonts w:ascii="Palatino Linotype" w:hAnsi="Palatino Linotype" w:cs="Arial"/>
        </w:rPr>
        <w:t>indicios relevantes, que permiten concluir que pudo ser celebrado el e</w:t>
      </w:r>
      <w:r w:rsidR="00342881" w:rsidRPr="00D078A0">
        <w:rPr>
          <w:rFonts w:ascii="Palatino Linotype" w:hAnsi="Palatino Linotype" w:cs="Arial"/>
        </w:rPr>
        <w:t>vento referido en la solicitud.</w:t>
      </w:r>
    </w:p>
    <w:p w:rsidR="00342881" w:rsidRPr="00D078A0" w:rsidRDefault="00342881" w:rsidP="0023793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E614B0" w:rsidRPr="00D078A0" w:rsidRDefault="0062056B" w:rsidP="0023793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r w:rsidRPr="00D078A0">
        <w:rPr>
          <w:rFonts w:ascii="Palatino Linotype" w:hAnsi="Palatino Linotype" w:cs="Arial"/>
          <w:bCs/>
          <w:szCs w:val="22"/>
        </w:rPr>
        <w:t xml:space="preserve">Por lo que hace a los datos publicados en la página electrónica oficial del </w:t>
      </w:r>
      <w:r w:rsidRPr="00D078A0">
        <w:rPr>
          <w:rFonts w:ascii="Palatino Linotype" w:hAnsi="Palatino Linotype" w:cs="Arial"/>
          <w:b/>
          <w:bCs/>
          <w:szCs w:val="22"/>
        </w:rPr>
        <w:t>SUJETO OBLIGADO</w:t>
      </w:r>
      <w:r w:rsidR="00E614B0" w:rsidRPr="00D078A0">
        <w:rPr>
          <w:rFonts w:ascii="Palatino Linotype" w:hAnsi="Palatino Linotype" w:cs="Arial"/>
          <w:bCs/>
          <w:szCs w:val="22"/>
        </w:rPr>
        <w:t>, sirv</w:t>
      </w:r>
      <w:r w:rsidRPr="00D078A0">
        <w:rPr>
          <w:rFonts w:ascii="Palatino Linotype" w:hAnsi="Palatino Linotype" w:cs="Arial"/>
          <w:bCs/>
          <w:szCs w:val="22"/>
        </w:rPr>
        <w:t>e de sustento a lo anterior, la Tesis Aislada aplicable</w:t>
      </w:r>
      <w:r w:rsidR="00E614B0" w:rsidRPr="00D078A0">
        <w:rPr>
          <w:rFonts w:ascii="Palatino Linotype" w:hAnsi="Palatino Linotype" w:cs="Arial"/>
          <w:bCs/>
          <w:szCs w:val="22"/>
        </w:rPr>
        <w:t xml:space="preserve"> por analogía</w:t>
      </w:r>
      <w:r w:rsidRPr="00D078A0">
        <w:rPr>
          <w:rFonts w:ascii="Palatino Linotype" w:hAnsi="Palatino Linotype" w:cs="Arial"/>
          <w:bCs/>
          <w:szCs w:val="22"/>
        </w:rPr>
        <w:t xml:space="preserve"> en nuestra materia, con número de registro 168124</w:t>
      </w:r>
      <w:r w:rsidR="00E614B0" w:rsidRPr="00D078A0">
        <w:rPr>
          <w:rFonts w:ascii="Palatino Linotype" w:hAnsi="Palatino Linotype" w:cs="Arial"/>
          <w:bCs/>
          <w:szCs w:val="22"/>
        </w:rPr>
        <w:t xml:space="preserve"> de la Novena Época del </w:t>
      </w:r>
      <w:r w:rsidRPr="00D078A0">
        <w:rPr>
          <w:rFonts w:ascii="Palatino Linotype" w:hAnsi="Palatino Linotype" w:cs="Arial"/>
          <w:bCs/>
          <w:szCs w:val="22"/>
        </w:rPr>
        <w:t xml:space="preserve">Segundo </w:t>
      </w:r>
      <w:r w:rsidR="00E614B0" w:rsidRPr="00D078A0">
        <w:rPr>
          <w:rFonts w:ascii="Palatino Linotype" w:hAnsi="Palatino Linotype" w:cs="Arial"/>
          <w:bCs/>
          <w:szCs w:val="22"/>
        </w:rPr>
        <w:t xml:space="preserve">Tribunal Colegiado del </w:t>
      </w:r>
      <w:r w:rsidRPr="00D078A0">
        <w:rPr>
          <w:rFonts w:ascii="Palatino Linotype" w:hAnsi="Palatino Linotype" w:cs="Arial"/>
          <w:bCs/>
          <w:szCs w:val="22"/>
        </w:rPr>
        <w:t xml:space="preserve">Vigésimo </w:t>
      </w:r>
      <w:r w:rsidR="00E614B0" w:rsidRPr="00D078A0">
        <w:rPr>
          <w:rFonts w:ascii="Palatino Linotype" w:hAnsi="Palatino Linotype" w:cs="Arial"/>
          <w:bCs/>
          <w:szCs w:val="22"/>
        </w:rPr>
        <w:t xml:space="preserve">Circuito, publicadas en la página </w:t>
      </w:r>
      <w:r w:rsidRPr="00D078A0">
        <w:rPr>
          <w:rFonts w:ascii="Palatino Linotype" w:hAnsi="Palatino Linotype" w:cs="Arial"/>
          <w:bCs/>
          <w:szCs w:val="22"/>
        </w:rPr>
        <w:t>2470 del Tomo XXIX</w:t>
      </w:r>
      <w:r w:rsidR="00E614B0" w:rsidRPr="00D078A0">
        <w:rPr>
          <w:rFonts w:ascii="Palatino Linotype" w:hAnsi="Palatino Linotype" w:cs="Arial"/>
          <w:bCs/>
          <w:szCs w:val="22"/>
        </w:rPr>
        <w:t xml:space="preserve"> de </w:t>
      </w:r>
      <w:r w:rsidRPr="00D078A0">
        <w:rPr>
          <w:rFonts w:ascii="Palatino Linotype" w:hAnsi="Palatino Linotype" w:cs="Arial"/>
          <w:bCs/>
          <w:szCs w:val="22"/>
        </w:rPr>
        <w:t>enero de 2009</w:t>
      </w:r>
      <w:r w:rsidR="00E614B0" w:rsidRPr="00D078A0">
        <w:rPr>
          <w:rFonts w:ascii="Palatino Linotype" w:hAnsi="Palatino Linotype" w:cs="Arial"/>
          <w:bCs/>
          <w:szCs w:val="22"/>
        </w:rPr>
        <w:t xml:space="preserve"> del Semanario Judicial de la Federación y su Gaceta, que es del tenor literal siguiente: </w:t>
      </w:r>
    </w:p>
    <w:p w:rsidR="0062056B" w:rsidRPr="00D078A0" w:rsidRDefault="0062056B" w:rsidP="0023793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p>
    <w:p w:rsidR="0062056B" w:rsidRPr="00D078A0" w:rsidRDefault="002E68E8"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w:t>
      </w:r>
      <w:r w:rsidR="0062056B" w:rsidRPr="00D078A0">
        <w:rPr>
          <w:rFonts w:ascii="Palatino Linotype" w:hAnsi="Palatino Linotype" w:cs="Arial"/>
          <w:b/>
          <w:i/>
          <w:sz w:val="22"/>
          <w:szCs w:val="22"/>
        </w:rPr>
        <w:t>Los datos que aparecen en las páginas electrónicas oficiales que los órganos de gobierno utilizan para poner a disposición del público</w:t>
      </w:r>
      <w:r w:rsidR="0062056B" w:rsidRPr="00D078A0">
        <w:rPr>
          <w:rFonts w:ascii="Palatino Linotype" w:hAnsi="Palatino Linotype" w:cs="Arial"/>
          <w:i/>
          <w:sz w:val="22"/>
          <w:szCs w:val="22"/>
        </w:rPr>
        <w:t xml:space="preserve">, entre otros servicios, la descripción de sus plazas, el directorio de sus empleados o </w:t>
      </w:r>
      <w:r w:rsidR="0062056B" w:rsidRPr="00D078A0">
        <w:rPr>
          <w:rFonts w:ascii="Palatino Linotype" w:hAnsi="Palatino Linotype" w:cs="Arial"/>
          <w:b/>
          <w:i/>
          <w:sz w:val="22"/>
          <w:szCs w:val="22"/>
        </w:rPr>
        <w:t>el estado que guardan sus expedientes</w:t>
      </w:r>
      <w:r w:rsidR="0062056B" w:rsidRPr="00D078A0">
        <w:rPr>
          <w:rFonts w:ascii="Palatino Linotype" w:hAnsi="Palatino Linotype" w:cs="Arial"/>
          <w:i/>
          <w:sz w:val="22"/>
          <w:szCs w:val="22"/>
        </w:rPr>
        <w:t xml:space="preserve">, </w:t>
      </w:r>
      <w:r w:rsidR="0062056B" w:rsidRPr="00D078A0">
        <w:rPr>
          <w:rFonts w:ascii="Palatino Linotype" w:hAnsi="Palatino Linotype" w:cs="Arial"/>
          <w:b/>
          <w:i/>
          <w:sz w:val="22"/>
          <w:szCs w:val="22"/>
        </w:rPr>
        <w:t>constituyen un hecho notorio que puede invocarse por los tribunales, en términos del artículo 88 del Código Federal de Procedimientos Civiles, de aplicación supletoria a la Ley de Amparo</w:t>
      </w:r>
      <w:r w:rsidR="0062056B" w:rsidRPr="00D078A0">
        <w:rPr>
          <w:rFonts w:ascii="Palatino Linotype" w:hAnsi="Palatino Linotype" w:cs="Arial"/>
          <w:i/>
          <w:sz w:val="22"/>
          <w:szCs w:val="22"/>
        </w:rPr>
        <w:t xml:space="preserve">; </w:t>
      </w:r>
      <w:r w:rsidR="0062056B" w:rsidRPr="00D078A0">
        <w:rPr>
          <w:rFonts w:ascii="Palatino Linotype" w:hAnsi="Palatino Linotype" w:cs="Arial"/>
          <w:b/>
          <w:i/>
          <w:sz w:val="22"/>
          <w:szCs w:val="22"/>
          <w:u w:val="single"/>
        </w:rPr>
        <w:t>porque la información generada o comunicada por esa vía forma parte del sistema mundial de diseminación y obtención de datos denominada "internet</w:t>
      </w:r>
      <w:r w:rsidR="0062056B" w:rsidRPr="00D078A0">
        <w:rPr>
          <w:rFonts w:ascii="Palatino Linotype" w:hAnsi="Palatino Linotype" w:cs="Arial"/>
          <w:i/>
          <w:sz w:val="22"/>
          <w:szCs w:val="22"/>
        </w:rPr>
        <w: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SEGUNDO TRIBUNAL COLEGIADO DEL VIGÉSIMO CIRCUITO.</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816/2006. 13 de junio de 2007. Unanimidad de votos. Ponente: Carlos Arteaga Álvarez. Secretario: Jorge Alberto Camacho Pérez.</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77/2008. 10 de octubre de 2008. Unanimidad de votos. Ponente: Carlos Arteaga Álvarez. Secretario: José Martín Lázaro Vázquez.</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74/2008. 10 de octubre de 2008. Unanimidad de votos. Ponente: Carlos Arteaga Álvarez. Secretario: Jorge Alberto Camacho Pérez.</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Amparo directo 968/2007. 23 de octubre de 2008. Unanimidad de votos. Ponente: Marta Olivia Tello Acuña. Secretaria: Elvia Aguilar Moreno.</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Nota:</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Esta tesis fue objeto de la denuncia relativa a la contradicción de tesis 91/2014, desechada por notoriamente improcedente, mediante acuerdo de 23 de marzo de 2014.</w:t>
      </w: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62056B" w:rsidRPr="00D078A0" w:rsidRDefault="0062056B"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r w:rsidR="002E68E8" w:rsidRPr="00D078A0">
        <w:rPr>
          <w:rFonts w:ascii="Palatino Linotype" w:hAnsi="Palatino Linotype" w:cs="Arial"/>
          <w:i/>
          <w:sz w:val="22"/>
          <w:szCs w:val="22"/>
        </w:rPr>
        <w:t>”</w:t>
      </w:r>
    </w:p>
    <w:p w:rsidR="002E68E8" w:rsidRPr="00D078A0" w:rsidRDefault="002E68E8" w:rsidP="0023793B">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(Énfasis añadido)</w:t>
      </w:r>
    </w:p>
    <w:p w:rsidR="0062056B" w:rsidRPr="00D078A0" w:rsidRDefault="0062056B" w:rsidP="0023793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E614B0" w:rsidRPr="00D078A0" w:rsidRDefault="00E614B0" w:rsidP="0023793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078A0">
        <w:rPr>
          <w:rFonts w:ascii="Palatino Linotype" w:hAnsi="Palatino Linotype" w:cs="Arial"/>
        </w:rPr>
        <w:t xml:space="preserve">En cuanto a </w:t>
      </w:r>
      <w:r w:rsidRPr="00D078A0">
        <w:rPr>
          <w:rFonts w:ascii="Palatino Linotype" w:hAnsi="Palatino Linotype"/>
          <w:color w:val="000000"/>
        </w:rPr>
        <w:t xml:space="preserve">las </w:t>
      </w:r>
      <w:r w:rsidRPr="00D078A0">
        <w:rPr>
          <w:rFonts w:ascii="Palatino Linotype" w:hAnsi="Palatino Linotype"/>
          <w:b/>
          <w:color w:val="000000"/>
        </w:rPr>
        <w:t>fotografías</w:t>
      </w:r>
      <w:r w:rsidRPr="00D078A0">
        <w:rPr>
          <w:rFonts w:ascii="Palatino Linotype" w:hAnsi="Palatino Linotype"/>
          <w:color w:val="000000"/>
        </w:rPr>
        <w:t xml:space="preserve">, son medios probatorios que en nuestra legislación son considerados como herramientas de apoyo para el Derecho como descubrimientos de la ciencia; que si bien, también carecen, por sí mismas, de efectos jurídicos de convicción plena, cuando carezcan de certificación, por tanto, su naturaleza jurídica es </w:t>
      </w:r>
      <w:r w:rsidRPr="00D078A0">
        <w:rPr>
          <w:rFonts w:ascii="Palatino Linotype" w:hAnsi="Palatino Linotype"/>
          <w:b/>
          <w:color w:val="000000"/>
          <w:u w:val="single"/>
        </w:rPr>
        <w:t>indiciaria</w:t>
      </w:r>
      <w:r w:rsidRPr="00D078A0">
        <w:rPr>
          <w:rFonts w:ascii="Palatino Linotype" w:hAnsi="Palatino Linotype"/>
          <w:color w:val="000000"/>
        </w:rPr>
        <w:t xml:space="preserve">, las cuales necesitan ser corroboradas, o bien, reforzada o adminiculada </w:t>
      </w:r>
      <w:r w:rsidRPr="00D078A0">
        <w:rPr>
          <w:rFonts w:ascii="Palatino Linotype" w:hAnsi="Palatino Linotype"/>
          <w:b/>
          <w:color w:val="000000"/>
        </w:rPr>
        <w:t>con otras formas de convicción o probanzas</w:t>
      </w:r>
      <w:r w:rsidRPr="00D078A0">
        <w:rPr>
          <w:rFonts w:ascii="Palatino Linotype" w:hAnsi="Palatino Linotype"/>
          <w:color w:val="000000"/>
        </w:rPr>
        <w:t xml:space="preserve">, para producir efectos de prueba plena; empero, producen una presunción de que se llevó a cabo el evento referido en las solicitudes de mérito, aunado al silencio administrativo o falta de pronunciamiento por </w:t>
      </w:r>
      <w:r w:rsidRPr="00D078A0">
        <w:rPr>
          <w:rFonts w:ascii="Palatino Linotype" w:hAnsi="Palatino Linotype"/>
          <w:color w:val="000000"/>
        </w:rPr>
        <w:lastRenderedPageBreak/>
        <w:t xml:space="preserve">parte del </w:t>
      </w:r>
      <w:r w:rsidRPr="00D078A0">
        <w:rPr>
          <w:rFonts w:ascii="Palatino Linotype" w:hAnsi="Palatino Linotype"/>
          <w:b/>
          <w:color w:val="000000"/>
        </w:rPr>
        <w:t>SUJETO OBLIGADO</w:t>
      </w:r>
      <w:r w:rsidRPr="00D078A0">
        <w:rPr>
          <w:rFonts w:ascii="Palatino Linotype" w:hAnsi="Palatino Linotype"/>
          <w:color w:val="000000"/>
        </w:rPr>
        <w:t>.</w:t>
      </w:r>
    </w:p>
    <w:p w:rsidR="00342881" w:rsidRPr="00D078A0" w:rsidRDefault="00342881" w:rsidP="0023793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E614B0" w:rsidRPr="00D078A0" w:rsidRDefault="00E614B0" w:rsidP="0023793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D078A0">
        <w:rPr>
          <w:rFonts w:ascii="Palatino Linotype" w:hAnsi="Palatino Linotype" w:cs="Arial"/>
        </w:rPr>
        <w:t>Sirve como sustento a lo anterior, siendo aplicable por analogía, la Tesis Aisladas con números de registro 216975 de la</w:t>
      </w:r>
      <w:r w:rsidRPr="00D078A0">
        <w:rPr>
          <w:rFonts w:ascii="Palatino Linotype" w:hAnsi="Palatino Linotype"/>
        </w:rPr>
        <w:t xml:space="preserve"> Octava Época del Tercer Tribunal Colegiado </w:t>
      </w:r>
      <w:r w:rsidRPr="00D078A0">
        <w:rPr>
          <w:rFonts w:ascii="Palatino Linotype" w:hAnsi="Palatino Linotype" w:cs="Arial"/>
          <w:iCs/>
          <w:lang w:val="es-ES"/>
        </w:rPr>
        <w:t>del Segundo Circuito, publicada</w:t>
      </w:r>
      <w:r w:rsidRPr="00D078A0">
        <w:rPr>
          <w:rFonts w:ascii="Palatino Linotype" w:hAnsi="Palatino Linotype"/>
        </w:rPr>
        <w:t xml:space="preserve"> en la página 284 del Tomo XI de marzo de 1993, en el Semanario Judicial de la Federación, misma que son del tenor literal siguiente:</w:t>
      </w:r>
    </w:p>
    <w:p w:rsidR="00E614B0" w:rsidRPr="00D078A0" w:rsidRDefault="00E614B0" w:rsidP="0023793B">
      <w:pPr>
        <w:spacing w:before="100" w:beforeAutospacing="1" w:after="100" w:afterAutospacing="1"/>
        <w:ind w:left="709" w:right="709"/>
        <w:contextualSpacing/>
        <w:jc w:val="both"/>
        <w:rPr>
          <w:rFonts w:ascii="Palatino Linotype" w:hAnsi="Palatino Linotype" w:cs="Arial"/>
          <w:i/>
          <w:iCs/>
          <w:sz w:val="22"/>
          <w:szCs w:val="22"/>
          <w:lang w:val="es-ES"/>
        </w:rPr>
      </w:pPr>
      <w:r w:rsidRPr="00D078A0">
        <w:rPr>
          <w:rFonts w:ascii="Palatino Linotype" w:hAnsi="Palatino Linotype" w:cs="Arial"/>
          <w:i/>
          <w:iCs/>
          <w:sz w:val="22"/>
          <w:szCs w:val="22"/>
          <w:lang w:val="es-ES"/>
        </w:rPr>
        <w:t>“</w:t>
      </w:r>
      <w:r w:rsidRPr="00D078A0">
        <w:rPr>
          <w:rFonts w:ascii="Palatino Linotype" w:hAnsi="Palatino Linotype" w:cs="Arial"/>
          <w:b/>
          <w:i/>
          <w:iCs/>
          <w:sz w:val="22"/>
          <w:szCs w:val="22"/>
          <w:u w:val="single"/>
          <w:lang w:val="es-ES"/>
        </w:rPr>
        <w:t>FOTOGRAFIAS. SU VALOR PROBATORIO</w:t>
      </w:r>
      <w:r w:rsidRPr="00D078A0">
        <w:rPr>
          <w:rFonts w:ascii="Palatino Linotype" w:hAnsi="Palatino Linotype" w:cs="Arial"/>
          <w:i/>
          <w:iCs/>
          <w:sz w:val="22"/>
          <w:szCs w:val="22"/>
          <w:lang w:val="es-ES"/>
        </w:rPr>
        <w:t xml:space="preserve">. Conforme a lo dispuesto por el artículo 217 del Código Federal de Procedimientos Civiles de aplicación supletoria, </w:t>
      </w:r>
      <w:r w:rsidRPr="00D078A0">
        <w:rPr>
          <w:rFonts w:ascii="Palatino Linotype" w:hAnsi="Palatino Linotype" w:cs="Arial"/>
          <w:b/>
          <w:i/>
          <w:iCs/>
          <w:sz w:val="22"/>
          <w:szCs w:val="22"/>
          <w:u w:val="single"/>
          <w:lang w:val="es-ES"/>
        </w:rPr>
        <w:t>el valor probatorio de las fotografías</w:t>
      </w:r>
      <w:r w:rsidRPr="00D078A0">
        <w:rPr>
          <w:rFonts w:ascii="Palatino Linotype" w:hAnsi="Palatino Linotype" w:cs="Arial"/>
          <w:i/>
          <w:iCs/>
          <w:sz w:val="22"/>
          <w:szCs w:val="22"/>
          <w:lang w:val="es-ES"/>
        </w:rPr>
        <w:t xml:space="preserve"> de documentos o de cualesquiera otras aportadas por los descubrimientos de la ciencia</w:t>
      </w:r>
      <w:r w:rsidRPr="00D078A0">
        <w:rPr>
          <w:rFonts w:ascii="Palatino Linotype" w:hAnsi="Palatino Linotype" w:cs="Arial"/>
          <w:b/>
          <w:i/>
          <w:iCs/>
          <w:sz w:val="22"/>
          <w:szCs w:val="22"/>
          <w:u w:val="single"/>
          <w:lang w:val="es-ES"/>
        </w:rPr>
        <w:t>, cuando carecen de certificación, queda al prudente arbitrio judicial como indicios</w:t>
      </w:r>
      <w:r w:rsidRPr="00D078A0">
        <w:rPr>
          <w:rFonts w:ascii="Palatino Linotype" w:hAnsi="Palatino Linotype" w:cs="Arial"/>
          <w:i/>
          <w:iCs/>
          <w:sz w:val="22"/>
          <w:szCs w:val="22"/>
          <w:lang w:val="es-ES"/>
        </w:rPr>
        <w:t>, y debe estimarse acertado el criterio del juzgador si considera insuficientes las fotografías para acreditar el hecho de la posesión aducido en la demanda de amparo.</w:t>
      </w:r>
    </w:p>
    <w:p w:rsidR="00E614B0" w:rsidRPr="00D078A0" w:rsidRDefault="00E614B0" w:rsidP="0023793B">
      <w:pPr>
        <w:spacing w:before="100" w:beforeAutospacing="1" w:after="100" w:afterAutospacing="1"/>
        <w:ind w:left="709" w:right="709"/>
        <w:contextualSpacing/>
        <w:jc w:val="both"/>
        <w:rPr>
          <w:rFonts w:ascii="Palatino Linotype" w:hAnsi="Palatino Linotype" w:cs="Arial"/>
          <w:i/>
          <w:iCs/>
          <w:sz w:val="22"/>
          <w:szCs w:val="22"/>
          <w:lang w:val="es-ES"/>
        </w:rPr>
      </w:pPr>
      <w:r w:rsidRPr="00D078A0">
        <w:rPr>
          <w:rFonts w:ascii="Palatino Linotype" w:hAnsi="Palatino Linotype" w:cs="Arial"/>
          <w:i/>
          <w:iCs/>
          <w:sz w:val="22"/>
          <w:szCs w:val="22"/>
          <w:lang w:val="es-ES"/>
        </w:rPr>
        <w:t>TERCER TRIBUNAL COLEGIADO DEL SEGUNDO CIRCUITO.</w:t>
      </w:r>
    </w:p>
    <w:p w:rsidR="00E614B0" w:rsidRPr="00D078A0" w:rsidRDefault="00E614B0" w:rsidP="0023793B">
      <w:pPr>
        <w:spacing w:before="100" w:beforeAutospacing="1" w:after="100" w:afterAutospacing="1"/>
        <w:ind w:left="709" w:right="709"/>
        <w:contextualSpacing/>
        <w:jc w:val="both"/>
        <w:rPr>
          <w:rFonts w:ascii="Palatino Linotype" w:hAnsi="Palatino Linotype" w:cs="Arial"/>
          <w:i/>
          <w:iCs/>
          <w:sz w:val="22"/>
          <w:szCs w:val="22"/>
          <w:lang w:val="es-ES"/>
        </w:rPr>
      </w:pPr>
      <w:r w:rsidRPr="00D078A0">
        <w:rPr>
          <w:rFonts w:ascii="Palatino Linotype" w:hAnsi="Palatino Linotype" w:cs="Arial"/>
          <w:i/>
          <w:iCs/>
          <w:sz w:val="22"/>
          <w:szCs w:val="22"/>
          <w:lang w:val="es-ES"/>
        </w:rPr>
        <w:t>Amparo en revisión 163/92. Sucesión intestamentaria a bienes de Vicente Díaz. 6 de octubre de 1992. Unanimidad de votos. Ponente: Fernando Narváez Barker. Secretario: Alejandro García Gómez.”</w:t>
      </w:r>
    </w:p>
    <w:p w:rsidR="00E614B0" w:rsidRPr="00D078A0" w:rsidRDefault="00E614B0" w:rsidP="0023793B">
      <w:pPr>
        <w:spacing w:before="100" w:beforeAutospacing="1" w:after="100" w:afterAutospacing="1"/>
        <w:ind w:left="709" w:right="709"/>
        <w:contextualSpacing/>
        <w:jc w:val="both"/>
        <w:rPr>
          <w:rFonts w:ascii="Palatino Linotype" w:hAnsi="Palatino Linotype" w:cs="Arial"/>
          <w:sz w:val="22"/>
          <w:szCs w:val="22"/>
        </w:rPr>
      </w:pPr>
      <w:r w:rsidRPr="00D078A0">
        <w:rPr>
          <w:rFonts w:ascii="Palatino Linotype" w:hAnsi="Palatino Linotype" w:cs="Arial"/>
          <w:sz w:val="22"/>
          <w:szCs w:val="22"/>
        </w:rPr>
        <w:t>(Énfasis añadido)</w:t>
      </w:r>
    </w:p>
    <w:p w:rsidR="00E614B0" w:rsidRPr="00D078A0" w:rsidRDefault="00E614B0" w:rsidP="0023793B">
      <w:pPr>
        <w:spacing w:before="100" w:beforeAutospacing="1" w:after="100" w:afterAutospacing="1" w:line="360" w:lineRule="auto"/>
        <w:contextualSpacing/>
        <w:jc w:val="both"/>
        <w:rPr>
          <w:rFonts w:ascii="Palatino Linotype" w:eastAsia="Calibri" w:hAnsi="Palatino Linotype" w:cs="Arial"/>
          <w:lang w:eastAsia="es-MX"/>
        </w:rPr>
      </w:pPr>
    </w:p>
    <w:p w:rsidR="00EC74DE" w:rsidRPr="00D078A0" w:rsidRDefault="00EC74DE" w:rsidP="0023793B">
      <w:pPr>
        <w:spacing w:before="100" w:beforeAutospacing="1" w:after="100" w:afterAutospacing="1" w:line="360" w:lineRule="auto"/>
        <w:contextualSpacing/>
        <w:jc w:val="both"/>
        <w:rPr>
          <w:rFonts w:ascii="Palatino Linotype" w:eastAsia="Calibri" w:hAnsi="Palatino Linotype" w:cs="Arial"/>
          <w:lang w:eastAsia="es-MX"/>
        </w:rPr>
      </w:pPr>
      <w:r w:rsidRPr="00D078A0">
        <w:rPr>
          <w:rFonts w:ascii="Palatino Linotype" w:eastAsia="Calibri" w:hAnsi="Palatino Linotype" w:cs="Arial"/>
          <w:lang w:eastAsia="es-MX"/>
        </w:rPr>
        <w:t xml:space="preserve">Así, conviene citar lo establecido por </w:t>
      </w:r>
      <w:r w:rsidR="0096428E" w:rsidRPr="00D078A0">
        <w:rPr>
          <w:rFonts w:ascii="Palatino Linotype" w:eastAsia="Calibri" w:hAnsi="Palatino Linotype" w:cs="Arial"/>
          <w:lang w:eastAsia="es-MX"/>
        </w:rPr>
        <w:t xml:space="preserve">el artículo 31, fracción XVIII y </w:t>
      </w:r>
      <w:r w:rsidR="0096428E" w:rsidRPr="00D078A0">
        <w:rPr>
          <w:rFonts w:ascii="Palatino Linotype" w:hAnsi="Palatino Linotype"/>
          <w:color w:val="000000"/>
        </w:rPr>
        <w:t>95</w:t>
      </w:r>
      <w:r w:rsidR="00097CC3" w:rsidRPr="00D078A0">
        <w:rPr>
          <w:rFonts w:ascii="Palatino Linotype" w:hAnsi="Palatino Linotype"/>
          <w:color w:val="000000"/>
        </w:rPr>
        <w:t xml:space="preserve">, </w:t>
      </w:r>
      <w:r w:rsidR="0096428E" w:rsidRPr="00D078A0">
        <w:rPr>
          <w:rFonts w:ascii="Palatino Linotype" w:hAnsi="Palatino Linotype"/>
          <w:color w:val="000000"/>
        </w:rPr>
        <w:t>fracción I</w:t>
      </w:r>
      <w:r w:rsidR="0096428E" w:rsidRPr="00D078A0">
        <w:rPr>
          <w:rFonts w:ascii="Palatino Linotype" w:eastAsia="Calibri" w:hAnsi="Palatino Linotype" w:cs="Arial"/>
          <w:lang w:eastAsia="es-MX"/>
        </w:rPr>
        <w:t xml:space="preserve"> </w:t>
      </w:r>
      <w:r w:rsidRPr="00D078A0">
        <w:rPr>
          <w:rFonts w:ascii="Palatino Linotype" w:eastAsia="Calibri" w:hAnsi="Palatino Linotype" w:cs="Arial"/>
          <w:lang w:eastAsia="es-MX"/>
        </w:rPr>
        <w:t>de la Ley Orgánica Municipal del Estado de México, que a la letra señala:</w:t>
      </w:r>
    </w:p>
    <w:p w:rsidR="0041417D" w:rsidRPr="00D078A0" w:rsidRDefault="0041417D" w:rsidP="0023793B">
      <w:pPr>
        <w:spacing w:before="100" w:beforeAutospacing="1" w:after="100" w:afterAutospacing="1"/>
        <w:ind w:left="851" w:right="902"/>
        <w:contextualSpacing/>
        <w:jc w:val="both"/>
        <w:rPr>
          <w:rFonts w:ascii="Palatino Linotype" w:hAnsi="Palatino Linotype" w:cs="Arial"/>
          <w:i/>
          <w:sz w:val="22"/>
          <w:szCs w:val="22"/>
        </w:rPr>
      </w:pP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w:t>
      </w:r>
      <w:r w:rsidRPr="00D078A0">
        <w:rPr>
          <w:rFonts w:ascii="Palatino Linotype" w:hAnsi="Palatino Linotype" w:cs="Arial"/>
          <w:b/>
          <w:i/>
          <w:sz w:val="22"/>
          <w:szCs w:val="22"/>
        </w:rPr>
        <w:t>Artículo 31</w:t>
      </w:r>
      <w:r w:rsidRPr="00D078A0">
        <w:rPr>
          <w:rFonts w:ascii="Palatino Linotype" w:hAnsi="Palatino Linotype" w:cs="Arial"/>
          <w:i/>
          <w:sz w:val="22"/>
          <w:szCs w:val="22"/>
        </w:rPr>
        <w:t>.- Son atribuciones de los ayuntamientos:</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w:t>
      </w:r>
    </w:p>
    <w:p w:rsidR="00EC74DE" w:rsidRPr="00D078A0" w:rsidRDefault="00EC74DE"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XVIII.</w:t>
      </w:r>
      <w:r w:rsidRPr="00D078A0">
        <w:rPr>
          <w:rFonts w:ascii="Palatino Linotype" w:hAnsi="Palatino Linotype" w:cs="Arial"/>
          <w:i/>
          <w:sz w:val="22"/>
          <w:szCs w:val="22"/>
        </w:rPr>
        <w:t xml:space="preserve"> </w:t>
      </w:r>
      <w:r w:rsidRPr="00D078A0">
        <w:rPr>
          <w:rFonts w:ascii="Palatino Linotype" w:hAnsi="Palatino Linotype" w:cs="Arial"/>
          <w:b/>
          <w:i/>
          <w:sz w:val="22"/>
          <w:szCs w:val="22"/>
        </w:rPr>
        <w:t>Administrar su hacienda en términos de ley</w:t>
      </w:r>
      <w:r w:rsidRPr="00D078A0">
        <w:rPr>
          <w:rFonts w:ascii="Palatino Linotype" w:hAnsi="Palatino Linotype" w:cs="Arial"/>
          <w:i/>
          <w:sz w:val="22"/>
          <w:szCs w:val="22"/>
        </w:rPr>
        <w:t xml:space="preserve">, y </w:t>
      </w:r>
      <w:r w:rsidRPr="00D078A0">
        <w:rPr>
          <w:rFonts w:ascii="Palatino Linotype" w:hAnsi="Palatino Linotype" w:cs="Arial"/>
          <w:b/>
          <w:i/>
          <w:sz w:val="22"/>
          <w:szCs w:val="22"/>
        </w:rPr>
        <w:t>controlar a través del presidente y síndico la aplicación del presupuesto de egresos del municipio</w:t>
      </w:r>
      <w:r w:rsidRPr="00D078A0">
        <w:rPr>
          <w:rFonts w:ascii="Palatino Linotype" w:hAnsi="Palatino Linotype" w:cs="Arial"/>
          <w:i/>
          <w:sz w:val="22"/>
          <w:szCs w:val="22"/>
        </w:rPr>
        <w:t>;</w:t>
      </w:r>
    </w:p>
    <w:p w:rsidR="00097CC3" w:rsidRPr="00D078A0" w:rsidRDefault="00097CC3"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Artículo 95</w:t>
      </w:r>
      <w:r w:rsidRPr="00D078A0">
        <w:rPr>
          <w:rFonts w:ascii="Palatino Linotype" w:hAnsi="Palatino Linotype" w:cs="Arial"/>
          <w:i/>
          <w:sz w:val="22"/>
          <w:szCs w:val="22"/>
        </w:rPr>
        <w:t>.- Son atribuciones del tesorero municipal:</w:t>
      </w:r>
    </w:p>
    <w:p w:rsidR="00EC74DE" w:rsidRPr="00D078A0" w:rsidRDefault="00097CC3" w:rsidP="0023793B">
      <w:pPr>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b/>
          <w:i/>
          <w:sz w:val="22"/>
          <w:szCs w:val="22"/>
        </w:rPr>
        <w:t>I.</w:t>
      </w:r>
      <w:r w:rsidRPr="00D078A0">
        <w:rPr>
          <w:rFonts w:ascii="Palatino Linotype" w:hAnsi="Palatino Linotype" w:cs="Arial"/>
          <w:i/>
          <w:sz w:val="22"/>
          <w:szCs w:val="22"/>
        </w:rPr>
        <w:t xml:space="preserve"> Administrar la hacienda pública municipal, de conformidad con las disposiciones legales aplicables;</w:t>
      </w:r>
      <w:r w:rsidR="00EC74DE" w:rsidRPr="00D078A0">
        <w:rPr>
          <w:rFonts w:ascii="Palatino Linotype" w:hAnsi="Palatino Linotype" w:cs="Arial"/>
          <w:i/>
          <w:sz w:val="22"/>
          <w:szCs w:val="22"/>
        </w:rPr>
        <w:t>…” (Sic)</w:t>
      </w:r>
    </w:p>
    <w:p w:rsidR="0041417D" w:rsidRPr="00D078A0" w:rsidRDefault="0041417D" w:rsidP="0023793B">
      <w:pPr>
        <w:spacing w:before="100" w:beforeAutospacing="1" w:after="100" w:afterAutospacing="1" w:line="360" w:lineRule="auto"/>
        <w:contextualSpacing/>
        <w:jc w:val="both"/>
        <w:rPr>
          <w:rFonts w:ascii="Palatino Linotype" w:hAnsi="Palatino Linotype"/>
          <w:color w:val="000000"/>
        </w:rPr>
      </w:pPr>
    </w:p>
    <w:p w:rsidR="00DE2EAB" w:rsidRPr="00D078A0" w:rsidRDefault="00097CC3" w:rsidP="0023793B">
      <w:pPr>
        <w:spacing w:before="100" w:beforeAutospacing="1" w:after="100" w:afterAutospacing="1" w:line="360" w:lineRule="auto"/>
        <w:contextualSpacing/>
        <w:jc w:val="both"/>
        <w:rPr>
          <w:rFonts w:ascii="Palatino Linotype" w:hAnsi="Palatino Linotype"/>
          <w:color w:val="000000"/>
        </w:rPr>
      </w:pPr>
      <w:r w:rsidRPr="00D078A0">
        <w:rPr>
          <w:rFonts w:ascii="Palatino Linotype" w:hAnsi="Palatino Linotype"/>
          <w:color w:val="000000"/>
        </w:rPr>
        <w:t xml:space="preserve">Los preceptos legales plasmados, </w:t>
      </w:r>
      <w:r w:rsidR="00DE2EAB" w:rsidRPr="00D078A0">
        <w:rPr>
          <w:rFonts w:ascii="Palatino Linotype" w:hAnsi="Palatino Linotype"/>
          <w:color w:val="000000"/>
        </w:rPr>
        <w:t>establecen que corresponde al Ayuntamiento la administración de su hacienda pública y que c</w:t>
      </w:r>
      <w:r w:rsidR="00DE2EAB" w:rsidRPr="00D078A0">
        <w:rPr>
          <w:rFonts w:ascii="Palatino Linotype" w:hAnsi="Palatino Linotype" w:cs="Arial"/>
        </w:rPr>
        <w:t xml:space="preserve">ualquier ingreso o en este caso, egreso, </w:t>
      </w:r>
      <w:r w:rsidR="00DE2EAB" w:rsidRPr="00D078A0">
        <w:rPr>
          <w:rFonts w:ascii="Palatino Linotype" w:hAnsi="Palatino Linotype" w:cs="Arial"/>
        </w:rPr>
        <w:lastRenderedPageBreak/>
        <w:t>debe estar debidamente asentado y registrado a través del servidor público designado para ello, en el marco normativo aplicable, dicha atribución corresponde al Tesorero Municipal.</w:t>
      </w:r>
    </w:p>
    <w:p w:rsidR="0041417D" w:rsidRPr="00D078A0" w:rsidRDefault="0041417D"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DE2EAB" w:rsidRPr="00D078A0" w:rsidRDefault="00DE2EAB"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 xml:space="preserve">En el mismo sentido, el Código Financiero del Estado de México, señala de manera muy clara en su artículo 344, lo siguiente: </w:t>
      </w:r>
    </w:p>
    <w:p w:rsidR="0041417D" w:rsidRPr="00D078A0" w:rsidRDefault="0041417D"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i/>
          <w:sz w:val="22"/>
        </w:rPr>
        <w:t>“</w:t>
      </w:r>
      <w:r w:rsidRPr="00D078A0">
        <w:rPr>
          <w:rFonts w:ascii="Palatino Linotype" w:hAnsi="Palatino Linotype" w:cs="Arial"/>
          <w:b/>
          <w:i/>
          <w:sz w:val="22"/>
        </w:rPr>
        <w:t>Artículo 344.- Las Dependencias, Entidades Públicas y unidades administrativas registrarán contablemente el efecto patrimonial y presupuestal de las operaciones financieras que realicen, en el momento en que ocurran</w:t>
      </w:r>
      <w:r w:rsidRPr="00D078A0">
        <w:rPr>
          <w:rFonts w:ascii="Palatino Linotype" w:hAnsi="Palatino Linotype" w:cs="Arial"/>
          <w:i/>
          <w:sz w:val="22"/>
        </w:rPr>
        <w:t xml:space="preserve">, con base en el sistema y políticas de registro establecidas, </w:t>
      </w:r>
      <w:r w:rsidRPr="00D078A0">
        <w:rPr>
          <w:rFonts w:ascii="Palatino Linotype" w:hAnsi="Palatino Linotype" w:cs="Arial"/>
          <w:b/>
          <w:i/>
          <w:sz w:val="22"/>
          <w:u w:val="single"/>
        </w:rPr>
        <w:t>en el caso de los Municipios se hará por la Tesorería</w:t>
      </w:r>
      <w:r w:rsidRPr="00D078A0">
        <w:rPr>
          <w:rFonts w:ascii="Palatino Linotype" w:hAnsi="Palatino Linotype" w:cs="Arial"/>
          <w:i/>
          <w:sz w:val="22"/>
        </w:rPr>
        <w:t xml:space="preserve">. </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i/>
          <w:sz w:val="22"/>
        </w:rPr>
        <w:t>…</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b/>
          <w:i/>
          <w:sz w:val="22"/>
        </w:rPr>
        <w:t>Todo registro contable y presupuestal deberá estar soportado con los documentos comprobatorios originales</w:t>
      </w:r>
      <w:r w:rsidRPr="00D078A0">
        <w:rPr>
          <w:rFonts w:ascii="Palatino Linotype" w:hAnsi="Palatino Linotype" w:cs="Arial"/>
          <w:i/>
          <w:sz w:val="22"/>
        </w:rPr>
        <w:t>,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i/>
          <w:sz w:val="22"/>
        </w:rPr>
        <w:t>(Énfasis añadido)</w:t>
      </w:r>
    </w:p>
    <w:p w:rsidR="0041417D" w:rsidRPr="00D078A0" w:rsidRDefault="0041417D"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DE2EAB" w:rsidRPr="00D078A0" w:rsidRDefault="00DE2EAB"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Por lo tanto, hasta este punto es importante precisar que todo registro contable, sea este un ingreso o un egreso, deberá estar debidamente soportado con la documentación original, en este entendido, todo gasto realizado por las diferentes unidades administrativas municipales deben contar con dicho soporte.</w:t>
      </w:r>
    </w:p>
    <w:p w:rsidR="0041417D" w:rsidRPr="00D078A0" w:rsidRDefault="0041417D"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DE2EAB" w:rsidRPr="00D078A0" w:rsidRDefault="00DE2EAB"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Ahora bien, la Ley de Fiscalización Superior del Estado de México, en sus diversos artículos señala la obligatoriedad de los Municipios de presentar y remitir oportunamente los informes mensuales sobre las cuentas públicas a dicho ente revisor, tal y como se establece a continuación:</w:t>
      </w:r>
    </w:p>
    <w:p w:rsidR="0041417D" w:rsidRPr="00D078A0" w:rsidRDefault="0041417D"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i/>
          <w:sz w:val="22"/>
        </w:rPr>
        <w:t>“</w:t>
      </w:r>
      <w:r w:rsidRPr="00D078A0">
        <w:rPr>
          <w:rFonts w:ascii="Palatino Linotype" w:hAnsi="Palatino Linotype" w:cs="Arial"/>
          <w:b/>
          <w:i/>
          <w:sz w:val="22"/>
        </w:rPr>
        <w:t>Artículo 1.-</w:t>
      </w:r>
      <w:r w:rsidRPr="00D078A0">
        <w:rPr>
          <w:rFonts w:ascii="Palatino Linotype" w:hAnsi="Palatino Linotype" w:cs="Arial"/>
          <w:i/>
          <w:sz w:val="22"/>
        </w:rPr>
        <w:t xml:space="preserve"> </w:t>
      </w:r>
      <w:r w:rsidRPr="00D078A0">
        <w:rPr>
          <w:rFonts w:ascii="Palatino Linotype" w:hAnsi="Palatino Linotype" w:cs="Arial"/>
          <w:b/>
          <w:i/>
          <w:sz w:val="22"/>
        </w:rPr>
        <w:t>La presente Ley es de orden público e interés general y tiene por objeto establecer disposiciones para fiscalizar, auditar, revisar, substanciar, resolver y sancionar las cuentas y actos relativos a la aplicación de los fondos públicos del Estado y de los Municipios</w:t>
      </w:r>
      <w:r w:rsidRPr="00D078A0">
        <w:rPr>
          <w:rFonts w:ascii="Palatino Linotype" w:hAnsi="Palatino Linotype" w:cs="Arial"/>
          <w:i/>
          <w:sz w:val="22"/>
        </w:rPr>
        <w:t xml:space="preserve">; así como los fondos públicos federales en los términos convenidos con dicho ámbito; asimismo, regular la organización, funcionamiento y atribuciones del órgano encargado de la aplicación de esta Ley. </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i/>
          <w:sz w:val="22"/>
        </w:rPr>
        <w:t>Artículo 2.- Para los efectos de la presente Ley, se entenderá por:</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i/>
          <w:sz w:val="22"/>
        </w:rPr>
        <w:t>…</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b/>
          <w:i/>
          <w:sz w:val="22"/>
        </w:rPr>
      </w:pPr>
      <w:r w:rsidRPr="00D078A0">
        <w:rPr>
          <w:rFonts w:ascii="Palatino Linotype" w:hAnsi="Palatino Linotype" w:cs="Arial"/>
          <w:b/>
          <w:i/>
          <w:sz w:val="22"/>
        </w:rPr>
        <w:t>XI. Informe Mensual: Al documento que mensualmente envían para su análisis al Órgano Superior de Fiscalización de la Legislatura, las Tesorerías Municipales y la Secretaría de Finanzas;</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b/>
          <w:i/>
          <w:sz w:val="22"/>
        </w:rPr>
        <w:t>Artículo 3.-</w:t>
      </w:r>
      <w:r w:rsidRPr="00D078A0">
        <w:rPr>
          <w:rFonts w:ascii="Palatino Linotype" w:hAnsi="Palatino Linotype" w:cs="Arial"/>
          <w:i/>
          <w:sz w:val="22"/>
        </w:rPr>
        <w:t xml:space="preserve"> La revisión y fiscalización de las cuentas públicas, es facultad de la Legislatura. Para efectos de la fiscalización, se auxiliará del Órgano Superior, dotado de autonomía técnica y de gestión. </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i/>
          <w:sz w:val="22"/>
        </w:rPr>
        <w:t>…</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b/>
          <w:i/>
          <w:sz w:val="22"/>
        </w:rPr>
      </w:pPr>
      <w:r w:rsidRPr="00D078A0">
        <w:rPr>
          <w:rFonts w:ascii="Palatino Linotype" w:hAnsi="Palatino Linotype" w:cs="Arial"/>
          <w:b/>
          <w:i/>
          <w:sz w:val="22"/>
        </w:rPr>
        <w:t xml:space="preserve">Artículo 4.- Son sujetos de fiscalización: </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b/>
          <w:i/>
          <w:sz w:val="22"/>
        </w:rPr>
      </w:pPr>
      <w:r w:rsidRPr="00D078A0">
        <w:rPr>
          <w:rFonts w:ascii="Palatino Linotype" w:hAnsi="Palatino Linotype" w:cs="Arial"/>
          <w:b/>
          <w:i/>
          <w:sz w:val="22"/>
        </w:rPr>
        <w:t>II. Los municipios del Estado de México;</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b/>
          <w:i/>
          <w:sz w:val="22"/>
        </w:rPr>
        <w:t>Artículo 32.-</w:t>
      </w:r>
      <w:r w:rsidRPr="00D078A0">
        <w:rPr>
          <w:rFonts w:ascii="Palatino Linotype" w:hAnsi="Palatino Linotype" w:cs="Arial"/>
          <w:i/>
          <w:sz w:val="22"/>
        </w:rPr>
        <w:t xml:space="preserve"> El Gobernador del Estado, por conducto del titular de la dependencia competente, presentará a la Legislatura la cuenta pública del Gobierno del Estado del ejercicio fiscal inmediato anterior, a más tardar el quince de mayo de cada año. </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b/>
          <w:i/>
          <w:sz w:val="22"/>
        </w:rPr>
      </w:pPr>
      <w:r w:rsidRPr="00D078A0">
        <w:rPr>
          <w:rFonts w:ascii="Palatino Linotype" w:hAnsi="Palatino Linotype" w:cs="Arial"/>
          <w:b/>
          <w:i/>
          <w:sz w:val="22"/>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b/>
          <w:i/>
          <w:sz w:val="22"/>
        </w:rPr>
      </w:pPr>
      <w:r w:rsidRPr="00D078A0">
        <w:rPr>
          <w:rFonts w:ascii="Palatino Linotype" w:hAnsi="Palatino Linotype" w:cs="Arial"/>
          <w:b/>
          <w:i/>
          <w:sz w:val="22"/>
        </w:rPr>
        <w:t>Artículo 48.-</w:t>
      </w:r>
      <w:r w:rsidRPr="00D078A0">
        <w:rPr>
          <w:rFonts w:ascii="Palatino Linotype" w:hAnsi="Palatino Linotype" w:cs="Arial"/>
          <w:i/>
          <w:sz w:val="22"/>
        </w:rPr>
        <w:t xml:space="preserve"> La cuenta pública de los municipios, deberá firmarse por el Presidente Municipal, él o los Síndicos según corresponda; el Tesorero y el Secretario del Ayuntamiento. </w:t>
      </w:r>
      <w:r w:rsidRPr="00D078A0">
        <w:rPr>
          <w:rFonts w:ascii="Palatino Linotype" w:hAnsi="Palatino Linotype" w:cs="Arial"/>
          <w:b/>
          <w:i/>
          <w:sz w:val="22"/>
        </w:rPr>
        <w:t>Los informes mensuales deberán firmarse por el Presidente Municipal, el Tesorero y el Secretario del Ayuntamiento.</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b/>
          <w:i/>
          <w:sz w:val="22"/>
        </w:rPr>
        <w:t>Artículo 49.- Los informes mensuales o la cuenta pública municipal, según corresponda, así como la documentación comprobatoria y justificativa que los ampare, quedarán a disposición de los sujetos obligados a firmarlos</w:t>
      </w:r>
      <w:r w:rsidRPr="00D078A0">
        <w:rPr>
          <w:rFonts w:ascii="Palatino Linotype" w:hAnsi="Palatino Linotype" w:cs="Arial"/>
          <w:i/>
          <w:sz w:val="22"/>
        </w:rPr>
        <w:t>, para que puedan revisarlos y en su caso, anotar sus observaciones; así mismo, y en relación a los informes mensuales que no firman él o los Síndicos del Ayuntamiento, también recibirán dicha documentación.”</w:t>
      </w:r>
    </w:p>
    <w:p w:rsidR="00DE2EAB" w:rsidRPr="00D078A0" w:rsidRDefault="00DE2EAB"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D078A0">
        <w:rPr>
          <w:rFonts w:ascii="Palatino Linotype" w:hAnsi="Palatino Linotype" w:cs="Arial"/>
          <w:i/>
          <w:sz w:val="22"/>
        </w:rPr>
        <w:t>(Énfasis añadido)</w:t>
      </w:r>
    </w:p>
    <w:p w:rsidR="0041417D" w:rsidRPr="00D078A0" w:rsidRDefault="0041417D"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DE2EAB" w:rsidRPr="00D078A0" w:rsidRDefault="00DE2EAB"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lastRenderedPageBreak/>
        <w:t xml:space="preserve">Por lo tanto, y en concordancia con lo señalado en el precepto normativo citado, los Lineamientos para la Integración del Informe Mensual 2019, señalan que la información remitida por los municipios al Órgano Superior de Fiscalización del Estado de México (OSFEM), relativa al Disco 5, las pólizas de egresos con su respectivo soporte documental, documento que de forma enunciativa más no limitativa, podría colmar la solicitud de acceso a la información pública presentada por </w:t>
      </w:r>
      <w:r w:rsidRPr="00D078A0">
        <w:rPr>
          <w:rFonts w:ascii="Palatino Linotype" w:hAnsi="Palatino Linotype" w:cs="Arial"/>
          <w:b/>
        </w:rPr>
        <w:t>LA RECURRENTE</w:t>
      </w:r>
      <w:r w:rsidRPr="00D078A0">
        <w:rPr>
          <w:rFonts w:ascii="Palatino Linotype" w:hAnsi="Palatino Linotype" w:cs="Arial"/>
        </w:rPr>
        <w:t>; toda vez que de dicho formato podría obtenerse el gasto realizado por la toma de protesta del a administración 2019-2021.</w:t>
      </w:r>
    </w:p>
    <w:p w:rsidR="0041417D" w:rsidRPr="00D078A0" w:rsidRDefault="0041417D"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41417D" w:rsidRPr="00D078A0" w:rsidRDefault="00DE2EAB"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A fin de robustecer lo anterior, el Manual Único de Contabilidad Gubernamental para las Dependencias y Entidades Públicas del Gobierno y Municipios del Estado de México</w:t>
      </w:r>
      <w:r w:rsidR="0094469A" w:rsidRPr="00D078A0">
        <w:rPr>
          <w:rStyle w:val="Refdenotaalpie"/>
          <w:rFonts w:ascii="Palatino Linotype" w:hAnsi="Palatino Linotype" w:cs="Arial"/>
        </w:rPr>
        <w:footnoteReference w:id="1"/>
      </w:r>
      <w:r w:rsidRPr="00D078A0">
        <w:rPr>
          <w:rFonts w:ascii="Palatino Linotype" w:hAnsi="Palatino Linotype" w:cs="Arial"/>
        </w:rPr>
        <w:t xml:space="preserve">, en su apartado de </w:t>
      </w:r>
      <w:r w:rsidRPr="00D078A0">
        <w:rPr>
          <w:rFonts w:ascii="Palatino Linotype" w:hAnsi="Palatino Linotype" w:cs="Arial"/>
          <w:b/>
          <w:i/>
        </w:rPr>
        <w:t>Clasificador por Objeto de Gasto</w:t>
      </w:r>
      <w:r w:rsidRPr="00D078A0">
        <w:rPr>
          <w:rFonts w:ascii="Palatino Linotype" w:hAnsi="Palatino Linotype" w:cs="Arial"/>
        </w:rPr>
        <w:t>, a través de la</w:t>
      </w:r>
      <w:r w:rsidR="00800A54" w:rsidRPr="00D078A0">
        <w:rPr>
          <w:rFonts w:ascii="Palatino Linotype" w:hAnsi="Palatino Linotype" w:cs="Arial"/>
        </w:rPr>
        <w:t>s</w:t>
      </w:r>
      <w:r w:rsidRPr="00D078A0">
        <w:rPr>
          <w:rFonts w:ascii="Palatino Linotype" w:hAnsi="Palatino Linotype" w:cs="Arial"/>
        </w:rPr>
        <w:t xml:space="preserve"> partida</w:t>
      </w:r>
      <w:r w:rsidR="00800A54" w:rsidRPr="00D078A0">
        <w:rPr>
          <w:rFonts w:ascii="Palatino Linotype" w:hAnsi="Palatino Linotype" w:cs="Arial"/>
        </w:rPr>
        <w:t>s</w:t>
      </w:r>
      <w:r w:rsidRPr="00D078A0">
        <w:rPr>
          <w:rFonts w:ascii="Palatino Linotype" w:hAnsi="Palatino Linotype" w:cs="Arial"/>
        </w:rPr>
        <w:t xml:space="preserve"> 3</w:t>
      </w:r>
      <w:r w:rsidR="00800A54" w:rsidRPr="00D078A0">
        <w:rPr>
          <w:rFonts w:ascii="Palatino Linotype" w:hAnsi="Palatino Linotype" w:cs="Arial"/>
        </w:rPr>
        <w:t>0</w:t>
      </w:r>
      <w:r w:rsidRPr="00D078A0">
        <w:rPr>
          <w:rFonts w:ascii="Palatino Linotype" w:hAnsi="Palatino Linotype" w:cs="Arial"/>
        </w:rPr>
        <w:t xml:space="preserve">00 </w:t>
      </w:r>
      <w:r w:rsidR="00800A54" w:rsidRPr="00D078A0">
        <w:rPr>
          <w:rFonts w:ascii="Palatino Linotype" w:hAnsi="Palatino Linotype" w:cs="Arial"/>
        </w:rPr>
        <w:t>H</w:t>
      </w:r>
      <w:r w:rsidR="004A7BCD" w:rsidRPr="00D078A0">
        <w:rPr>
          <w:rFonts w:ascii="Palatino Linotype" w:hAnsi="Palatino Linotype" w:cs="Arial"/>
        </w:rPr>
        <w:t>ACIENDA PUBLICA/ PATRIMONIO;</w:t>
      </w:r>
      <w:r w:rsidR="00800A54" w:rsidRPr="00D078A0">
        <w:rPr>
          <w:rFonts w:ascii="Palatino Linotype" w:hAnsi="Palatino Linotype" w:cs="Arial"/>
        </w:rPr>
        <w:t xml:space="preserve"> 3820 Gastos</w:t>
      </w:r>
      <w:r w:rsidR="004A7BCD" w:rsidRPr="00D078A0">
        <w:rPr>
          <w:rFonts w:ascii="Palatino Linotype" w:hAnsi="Palatino Linotype" w:cs="Arial"/>
        </w:rPr>
        <w:t xml:space="preserve"> de orden social y cultural;</w:t>
      </w:r>
      <w:r w:rsidR="00800A54" w:rsidRPr="00D078A0">
        <w:rPr>
          <w:rFonts w:ascii="Palatino Linotype" w:hAnsi="Palatino Linotype" w:cs="Arial"/>
        </w:rPr>
        <w:t xml:space="preserve"> 3821 Gastos de ceremonias oficiales y de orden social</w:t>
      </w:r>
      <w:r w:rsidR="004A7BCD" w:rsidRPr="00D078A0">
        <w:rPr>
          <w:rFonts w:ascii="Palatino Linotype" w:hAnsi="Palatino Linotype" w:cs="Arial"/>
        </w:rPr>
        <w:t>; y, 3822</w:t>
      </w:r>
      <w:r w:rsidRPr="00D078A0">
        <w:rPr>
          <w:rFonts w:ascii="Palatino Linotype" w:hAnsi="Palatino Linotype" w:cs="Arial"/>
        </w:rPr>
        <w:t xml:space="preserve"> </w:t>
      </w:r>
      <w:r w:rsidR="004A7BCD" w:rsidRPr="00D078A0">
        <w:rPr>
          <w:rFonts w:ascii="Palatino Linotype" w:hAnsi="Palatino Linotype" w:cs="Arial"/>
        </w:rPr>
        <w:t xml:space="preserve">Espectáculos cívicos y culturales </w:t>
      </w:r>
      <w:r w:rsidRPr="00D078A0">
        <w:rPr>
          <w:rFonts w:ascii="Palatino Linotype" w:hAnsi="Palatino Linotype" w:cs="Arial"/>
        </w:rPr>
        <w:t xml:space="preserve">se registran </w:t>
      </w:r>
      <w:r w:rsidR="004A7BCD" w:rsidRPr="00D078A0">
        <w:rPr>
          <w:rFonts w:ascii="Palatino Linotype" w:hAnsi="Palatino Linotype" w:cs="Arial"/>
        </w:rPr>
        <w:t xml:space="preserve">respectivamente </w:t>
      </w:r>
      <w:r w:rsidRPr="00D078A0">
        <w:rPr>
          <w:rFonts w:ascii="Palatino Linotype" w:hAnsi="Palatino Linotype" w:cs="Arial"/>
        </w:rPr>
        <w:t xml:space="preserve">las </w:t>
      </w:r>
      <w:r w:rsidR="004A7BCD" w:rsidRPr="00D078A0">
        <w:rPr>
          <w:rFonts w:ascii="Palatino Linotype" w:hAnsi="Palatino Linotype" w:cs="Arial"/>
        </w:rPr>
        <w:t xml:space="preserve">Asignaciones destinadas a cubrir los servicios integrales que se contraten con motivo de la celebración de actos conmemorativos, de orden social y cultural; siempre y cuando que por tratarse de servicios integrales no puedan desagregarse en otras partidas de los capítulos 2000 Materiales y Suministros y 3000 Servicios Generales; incluye la realización de ceremonias patrióticas y oficiales, desfiles, la adquisición de ofrendas florales y luctuosas, conciertos, entre otros; las asignaciones destinadas a cubrir los gastos que se originen con motivo de la celebración de actos conmemorativos y de orden social, tales como la realización de ceremonias patrióticas y oficiales, desfiles, adquisición de </w:t>
      </w:r>
      <w:r w:rsidR="004A7BCD" w:rsidRPr="00D078A0">
        <w:rPr>
          <w:rFonts w:ascii="Palatino Linotype" w:hAnsi="Palatino Linotype" w:cs="Arial"/>
        </w:rPr>
        <w:lastRenderedPageBreak/>
        <w:t>ofrendas florales y luctuosas, renta de sillas, lonas y sonido, entre otros, en los que participan el Titular del Ejecutivo Estatal o Municipal, funcionarios y servidores públicos; y, la asignación para cubrir el desarrollo de espectáculos cívicos y culturales para fomentar la identidad entre la ciudadanía.</w:t>
      </w:r>
    </w:p>
    <w:p w:rsidR="004A7BCD" w:rsidRPr="00D078A0" w:rsidRDefault="004A7BCD"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D78C7" w:rsidRPr="00D078A0" w:rsidRDefault="00DE2EAB"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 xml:space="preserve">Situación que permite determinar que los documentos que respalden los gastos efectuados de todos y cada uno de los eventos sociales, políticos y oficiales pueden obrar en los archivos del </w:t>
      </w:r>
      <w:r w:rsidRPr="00D078A0">
        <w:rPr>
          <w:rFonts w:ascii="Palatino Linotype" w:hAnsi="Palatino Linotype" w:cs="Arial"/>
          <w:b/>
        </w:rPr>
        <w:t>SUJETO OBLIGADO</w:t>
      </w:r>
      <w:r w:rsidRPr="00D078A0">
        <w:rPr>
          <w:rFonts w:ascii="Palatino Linotype" w:hAnsi="Palatino Linotype" w:cs="Arial"/>
        </w:rPr>
        <w:t xml:space="preserve">; </w:t>
      </w:r>
      <w:r w:rsidR="00AD78C7" w:rsidRPr="00D078A0">
        <w:rPr>
          <w:rFonts w:ascii="Palatino Linotype" w:hAnsi="Palatino Linotype"/>
        </w:rPr>
        <w:t>pudiendo ser de manera enunciativa más no limitativa, las pólizas de egresos con su soporte documental, tales como facturas o tickets o documento análogo</w:t>
      </w:r>
      <w:r w:rsidR="00AD78C7" w:rsidRPr="00D078A0">
        <w:rPr>
          <w:rFonts w:ascii="Palatino Linotype" w:hAnsi="Palatino Linotype" w:cs="Arial"/>
        </w:rPr>
        <w:t>.</w:t>
      </w:r>
    </w:p>
    <w:p w:rsidR="00E81CBA" w:rsidRPr="00D078A0" w:rsidRDefault="00E81CBA"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94469A" w:rsidRPr="00D078A0" w:rsidRDefault="0094469A"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 xml:space="preserve">Por lo anterior, es importante conocer a que nos referimos por </w:t>
      </w:r>
      <w:r w:rsidRPr="00D078A0">
        <w:rPr>
          <w:rFonts w:ascii="Palatino Linotype" w:hAnsi="Palatino Linotype" w:cs="Arial"/>
          <w:b/>
        </w:rPr>
        <w:t xml:space="preserve">“factura”, </w:t>
      </w:r>
      <w:r w:rsidRPr="00D078A0">
        <w:rPr>
          <w:rFonts w:ascii="Palatino Linotype" w:hAnsi="Palatino Linotype" w:cs="Arial"/>
        </w:rPr>
        <w:t>al respecto, e</w:t>
      </w:r>
      <w:r w:rsidRPr="00D078A0">
        <w:rPr>
          <w:rFonts w:ascii="Palatino Linotype" w:hAnsi="Palatino Linotype"/>
        </w:rPr>
        <w:t>l Glosario de Términos Hacendarios que emite el Instituto Hacendario del Estado de México, expresa lo siguiente:</w:t>
      </w:r>
    </w:p>
    <w:p w:rsidR="0041417D" w:rsidRPr="00D078A0" w:rsidRDefault="0041417D"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94469A" w:rsidRPr="00D078A0" w:rsidRDefault="0094469A" w:rsidP="0023793B">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r w:rsidRPr="00D078A0">
        <w:rPr>
          <w:rFonts w:ascii="Palatino Linotype" w:hAnsi="Palatino Linotype" w:cs="Arial"/>
          <w:i/>
          <w:sz w:val="22"/>
          <w:szCs w:val="22"/>
        </w:rPr>
        <w:t>“</w:t>
      </w:r>
      <w:r w:rsidRPr="00D078A0">
        <w:rPr>
          <w:rFonts w:ascii="Palatino Linotype" w:hAnsi="Palatino Linotype" w:cs="Arial"/>
          <w:b/>
          <w:i/>
          <w:sz w:val="22"/>
          <w:szCs w:val="22"/>
        </w:rPr>
        <w:t>FACTURA</w:t>
      </w:r>
    </w:p>
    <w:p w:rsidR="0094469A" w:rsidRPr="00D078A0" w:rsidRDefault="0094469A" w:rsidP="0023793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D078A0">
        <w:rPr>
          <w:rFonts w:ascii="Palatino Linotype" w:hAnsi="Palatino Linotype" w:cs="Arial"/>
          <w:i/>
          <w:sz w:val="22"/>
          <w:szCs w:val="22"/>
        </w:rPr>
        <w:t>Es el documento fiscal que emite la persona física o moral para comprobar la venta o adquisición de un bien y/o servicio.” (Sic)</w:t>
      </w:r>
    </w:p>
    <w:p w:rsidR="00B74A49" w:rsidRPr="00D078A0" w:rsidRDefault="00B74A49" w:rsidP="0023793B">
      <w:pPr>
        <w:spacing w:before="100" w:beforeAutospacing="1" w:after="100" w:afterAutospacing="1" w:line="360" w:lineRule="auto"/>
        <w:contextualSpacing/>
        <w:jc w:val="both"/>
        <w:rPr>
          <w:rFonts w:ascii="Palatino Linotype" w:hAnsi="Palatino Linotype" w:cs="Arial"/>
        </w:rPr>
      </w:pPr>
    </w:p>
    <w:p w:rsidR="0094469A" w:rsidRPr="00D078A0" w:rsidRDefault="0094469A"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Una vez precisado lo anterior, 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D078A0">
        <w:rPr>
          <w:rFonts w:ascii="Palatino Linotype" w:hAnsi="Palatino Linotype" w:cs="Arial"/>
          <w:color w:val="000000"/>
        </w:rPr>
        <w:t xml:space="preserve">os recursos económicos del Estado, de los Municipios, así como de los Organismos Autónomos, se administrarán con </w:t>
      </w:r>
      <w:r w:rsidRPr="00D078A0">
        <w:rPr>
          <w:rFonts w:ascii="Palatino Linotype" w:hAnsi="Palatino Linotype" w:cs="Arial"/>
          <w:color w:val="000000"/>
        </w:rPr>
        <w:lastRenderedPageBreak/>
        <w:t xml:space="preserve">eficiencia, eficacia y honradez, para cumplir con los objetivos y programas a los que estén destinados. </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rPr>
      </w:pPr>
    </w:p>
    <w:p w:rsidR="00BD7356" w:rsidRPr="00D078A0" w:rsidRDefault="00BD7356" w:rsidP="0023793B">
      <w:pPr>
        <w:spacing w:before="100" w:beforeAutospacing="1" w:after="100" w:afterAutospacing="1" w:line="360" w:lineRule="auto"/>
        <w:contextualSpacing/>
        <w:jc w:val="both"/>
        <w:rPr>
          <w:rFonts w:ascii="Palatino Linotype" w:hAnsi="Palatino Linotype" w:cs="Arial"/>
          <w:lang w:eastAsia="es-MX"/>
        </w:rPr>
      </w:pPr>
      <w:r w:rsidRPr="00D078A0">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D078A0">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41417D" w:rsidRPr="00D078A0" w:rsidRDefault="0041417D" w:rsidP="0023793B">
      <w:pPr>
        <w:spacing w:before="100" w:beforeAutospacing="1" w:after="100" w:afterAutospacing="1"/>
        <w:ind w:firstLine="708"/>
        <w:contextualSpacing/>
        <w:jc w:val="both"/>
        <w:rPr>
          <w:rFonts w:ascii="Palatino Linotype" w:hAnsi="Palatino Linotype" w:cs="Arial"/>
          <w:b/>
          <w:i/>
          <w:lang w:eastAsia="es-MX"/>
        </w:rPr>
      </w:pPr>
    </w:p>
    <w:p w:rsidR="00BD7356" w:rsidRPr="00D078A0" w:rsidRDefault="00BD7356" w:rsidP="0023793B">
      <w:pPr>
        <w:spacing w:before="100" w:beforeAutospacing="1" w:after="100" w:afterAutospacing="1"/>
        <w:ind w:firstLine="708"/>
        <w:contextualSpacing/>
        <w:jc w:val="both"/>
        <w:rPr>
          <w:rFonts w:ascii="Palatino Linotype" w:hAnsi="Palatino Linotype" w:cs="Arial"/>
          <w:b/>
          <w:i/>
          <w:sz w:val="22"/>
          <w:szCs w:val="22"/>
          <w:lang w:eastAsia="es-MX"/>
        </w:rPr>
      </w:pPr>
      <w:r w:rsidRPr="00D078A0">
        <w:rPr>
          <w:rFonts w:ascii="Palatino Linotype" w:hAnsi="Palatino Linotype" w:cs="Arial"/>
          <w:b/>
          <w:i/>
          <w:lang w:eastAsia="es-MX"/>
        </w:rPr>
        <w:t>“</w:t>
      </w:r>
      <w:r w:rsidRPr="00D078A0">
        <w:rPr>
          <w:rFonts w:ascii="Palatino Linotype" w:hAnsi="Palatino Linotype" w:cs="Arial"/>
          <w:b/>
          <w:i/>
          <w:sz w:val="22"/>
          <w:szCs w:val="22"/>
          <w:lang w:eastAsia="es-MX"/>
        </w:rPr>
        <w:t xml:space="preserve">REGISTRO CONTABLE </w:t>
      </w:r>
    </w:p>
    <w:p w:rsidR="00BD7356" w:rsidRPr="00D078A0" w:rsidRDefault="00BD7356" w:rsidP="0023793B">
      <w:pPr>
        <w:spacing w:before="100" w:beforeAutospacing="1" w:after="100" w:afterAutospacing="1"/>
        <w:ind w:left="851" w:right="899"/>
        <w:contextualSpacing/>
        <w:jc w:val="both"/>
        <w:rPr>
          <w:rFonts w:ascii="Palatino Linotype" w:hAnsi="Palatino Linotype" w:cs="Arial"/>
          <w:i/>
          <w:sz w:val="22"/>
          <w:szCs w:val="22"/>
        </w:rPr>
      </w:pPr>
      <w:r w:rsidRPr="00D078A0">
        <w:rPr>
          <w:rFonts w:ascii="Palatino Linotype" w:hAnsi="Palatino Linotype" w:cs="Arial"/>
          <w:i/>
          <w:sz w:val="22"/>
          <w:szCs w:val="22"/>
          <w:lang w:eastAsia="es-MX"/>
        </w:rPr>
        <w:t xml:space="preserve">Asiento que se realiza en los libros de contabilidad de las actividades relacionadas con el ingreso y </w:t>
      </w:r>
      <w:r w:rsidRPr="00D078A0">
        <w:rPr>
          <w:rFonts w:ascii="Palatino Linotype" w:hAnsi="Palatino Linotype" w:cs="Arial"/>
          <w:b/>
          <w:i/>
          <w:sz w:val="22"/>
          <w:szCs w:val="22"/>
          <w:lang w:eastAsia="es-MX"/>
        </w:rPr>
        <w:t xml:space="preserve">egresos </w:t>
      </w:r>
      <w:r w:rsidRPr="00D078A0">
        <w:rPr>
          <w:rFonts w:ascii="Palatino Linotype" w:hAnsi="Palatino Linotype" w:cs="Arial"/>
          <w:i/>
          <w:sz w:val="22"/>
          <w:szCs w:val="22"/>
          <w:lang w:eastAsia="es-MX"/>
        </w:rPr>
        <w:t xml:space="preserve">de un ente económico.” </w:t>
      </w:r>
      <w:r w:rsidRPr="00D078A0">
        <w:rPr>
          <w:rFonts w:ascii="Palatino Linotype" w:hAnsi="Palatino Linotype" w:cs="Arial"/>
          <w:i/>
          <w:sz w:val="22"/>
          <w:szCs w:val="22"/>
        </w:rPr>
        <w:t>(Sic)</w:t>
      </w:r>
    </w:p>
    <w:p w:rsidR="00BD7356" w:rsidRPr="00D078A0" w:rsidRDefault="00BD7356" w:rsidP="0023793B">
      <w:pPr>
        <w:spacing w:before="100" w:beforeAutospacing="1" w:after="100" w:afterAutospacing="1"/>
        <w:ind w:right="899" w:firstLine="708"/>
        <w:contextualSpacing/>
        <w:jc w:val="both"/>
        <w:rPr>
          <w:rFonts w:ascii="Palatino Linotype" w:hAnsi="Palatino Linotype" w:cs="Arial"/>
          <w:b/>
          <w:i/>
          <w:sz w:val="22"/>
          <w:szCs w:val="22"/>
          <w:lang w:eastAsia="es-MX"/>
        </w:rPr>
      </w:pPr>
    </w:p>
    <w:p w:rsidR="00BD7356" w:rsidRPr="00D078A0" w:rsidRDefault="00BD7356" w:rsidP="0023793B">
      <w:pPr>
        <w:spacing w:before="100" w:beforeAutospacing="1" w:after="100" w:afterAutospacing="1"/>
        <w:ind w:right="899" w:firstLine="708"/>
        <w:contextualSpacing/>
        <w:jc w:val="both"/>
        <w:rPr>
          <w:rFonts w:ascii="Palatino Linotype" w:hAnsi="Palatino Linotype" w:cs="Arial"/>
          <w:b/>
          <w:i/>
          <w:sz w:val="22"/>
          <w:szCs w:val="22"/>
          <w:lang w:eastAsia="es-MX"/>
        </w:rPr>
      </w:pPr>
      <w:r w:rsidRPr="00D078A0">
        <w:rPr>
          <w:rFonts w:ascii="Palatino Linotype" w:hAnsi="Palatino Linotype" w:cs="Arial"/>
          <w:b/>
          <w:i/>
          <w:sz w:val="22"/>
          <w:szCs w:val="22"/>
          <w:lang w:eastAsia="es-MX"/>
        </w:rPr>
        <w:t>“REGISTRO PRESUPUESTARIO</w:t>
      </w:r>
    </w:p>
    <w:p w:rsidR="00BD7356" w:rsidRPr="00D078A0" w:rsidRDefault="00BD7356" w:rsidP="0023793B">
      <w:pPr>
        <w:spacing w:before="100" w:beforeAutospacing="1" w:after="100" w:afterAutospacing="1"/>
        <w:ind w:left="708" w:right="89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 xml:space="preserve">Asiento contable de las </w:t>
      </w:r>
      <w:r w:rsidRPr="00D078A0">
        <w:rPr>
          <w:rFonts w:ascii="Palatino Linotype" w:hAnsi="Palatino Linotype" w:cs="Arial"/>
          <w:b/>
          <w:i/>
          <w:sz w:val="22"/>
          <w:szCs w:val="22"/>
          <w:lang w:eastAsia="es-MX"/>
        </w:rPr>
        <w:t>erogaciones realizadas por las dependencias y entidades</w:t>
      </w:r>
      <w:r w:rsidRPr="00D078A0">
        <w:rPr>
          <w:rFonts w:ascii="Palatino Linotype" w:hAnsi="Palatino Linotype" w:cs="Arial"/>
          <w:i/>
          <w:sz w:val="22"/>
          <w:szCs w:val="22"/>
          <w:lang w:eastAsia="es-MX"/>
        </w:rPr>
        <w:t xml:space="preserve"> con relación a la asignación, modificación y </w:t>
      </w:r>
      <w:r w:rsidRPr="00D078A0">
        <w:rPr>
          <w:rFonts w:ascii="Palatino Linotype" w:hAnsi="Palatino Linotype" w:cs="Arial"/>
          <w:b/>
          <w:i/>
          <w:sz w:val="22"/>
          <w:szCs w:val="22"/>
          <w:lang w:eastAsia="es-MX"/>
        </w:rPr>
        <w:t>ejercicio de los recursos presupuestarios</w:t>
      </w:r>
      <w:r w:rsidRPr="00D078A0">
        <w:rPr>
          <w:rFonts w:ascii="Palatino Linotype" w:hAnsi="Palatino Linotype" w:cs="Arial"/>
          <w:i/>
          <w:sz w:val="22"/>
          <w:szCs w:val="22"/>
          <w:lang w:eastAsia="es-MX"/>
        </w:rPr>
        <w:t xml:space="preserve"> que se les hayan autorizado.” </w:t>
      </w:r>
      <w:r w:rsidRPr="00D078A0">
        <w:rPr>
          <w:rFonts w:ascii="Palatino Linotype" w:hAnsi="Palatino Linotype" w:cs="Arial"/>
          <w:i/>
          <w:sz w:val="22"/>
          <w:szCs w:val="22"/>
        </w:rPr>
        <w:t>(Sic)</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bCs/>
          <w:color w:val="000000"/>
        </w:rPr>
      </w:pPr>
    </w:p>
    <w:p w:rsidR="00BD7356" w:rsidRPr="00D078A0" w:rsidRDefault="00BD7356" w:rsidP="0023793B">
      <w:pPr>
        <w:spacing w:before="100" w:beforeAutospacing="1" w:after="100" w:afterAutospacing="1" w:line="360" w:lineRule="auto"/>
        <w:contextualSpacing/>
        <w:jc w:val="both"/>
        <w:rPr>
          <w:rFonts w:ascii="Palatino Linotype" w:hAnsi="Palatino Linotype" w:cs="Arial"/>
          <w:bCs/>
          <w:color w:val="000000"/>
        </w:rPr>
      </w:pPr>
      <w:r w:rsidRPr="00D078A0">
        <w:rPr>
          <w:rFonts w:ascii="Palatino Linotype" w:hAnsi="Palatino Linotype" w:cs="Arial"/>
          <w:bCs/>
          <w:color w:val="000000"/>
        </w:rPr>
        <w:t>Por otra parte, se establece que el sistema de contabilidad sobre base acumulativa total se sustentará en los principios de contabilidad gubernamental.</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bCs/>
          <w:color w:val="000000"/>
        </w:rPr>
      </w:pPr>
    </w:p>
    <w:p w:rsidR="00BD7356" w:rsidRPr="00D078A0" w:rsidRDefault="00BD7356" w:rsidP="0023793B">
      <w:pPr>
        <w:spacing w:before="100" w:beforeAutospacing="1" w:after="100" w:afterAutospacing="1" w:line="360" w:lineRule="auto"/>
        <w:contextualSpacing/>
        <w:jc w:val="both"/>
        <w:rPr>
          <w:rFonts w:ascii="Palatino Linotype" w:hAnsi="Palatino Linotype" w:cs="Arial"/>
          <w:bCs/>
          <w:color w:val="000000"/>
        </w:rPr>
      </w:pPr>
      <w:r w:rsidRPr="00D078A0">
        <w:rPr>
          <w:rFonts w:ascii="Palatino Linotype" w:hAnsi="Palatino Linotype" w:cs="Arial"/>
          <w:bCs/>
          <w:color w:val="000000"/>
        </w:rPr>
        <w:lastRenderedPageBreak/>
        <w:t xml:space="preserve">Igualmente, los preceptos legales citados señalan que los Sujetos Obligados deben contar con una unidad administrativa que registra contablemente el efecto patrimonial y presupuestal de las operaciones financieras que realizan, </w:t>
      </w:r>
      <w:r w:rsidRPr="00D078A0">
        <w:rPr>
          <w:rFonts w:ascii="Palatino Linotype" w:hAnsi="Palatino Linotype" w:cs="Arial"/>
          <w:b/>
          <w:bCs/>
          <w:color w:val="000000"/>
        </w:rPr>
        <w:t>en el momento en que ocurran</w:t>
      </w:r>
      <w:r w:rsidRPr="00D078A0">
        <w:rPr>
          <w:rFonts w:ascii="Palatino Linotype" w:hAnsi="Palatino Linotype" w:cs="Arial"/>
          <w:bCs/>
          <w:color w:val="000000"/>
        </w:rPr>
        <w:t>, con base en el sistema y políticas de registro establecidas.</w:t>
      </w:r>
    </w:p>
    <w:p w:rsidR="0041417D" w:rsidRPr="00D078A0" w:rsidRDefault="0041417D" w:rsidP="0023793B">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BD7356" w:rsidRPr="00D078A0" w:rsidRDefault="00BD7356" w:rsidP="0023793B">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D078A0">
        <w:rPr>
          <w:rFonts w:ascii="Palatino Linotype" w:hAnsi="Palatino Linotype" w:cs="Arial"/>
          <w:lang w:eastAsia="es-MX"/>
        </w:rPr>
        <w:t xml:space="preserve">Correlativo a lo anterior, es preciso referir que de manera enunciativa más no limitativa que el documento donde se registre el comprobante del gasto público, pudiera ser la </w:t>
      </w:r>
      <w:r w:rsidRPr="00D078A0">
        <w:rPr>
          <w:rFonts w:ascii="Palatino Linotype" w:hAnsi="Palatino Linotype" w:cs="Arial"/>
          <w:i/>
          <w:lang w:eastAsia="es-MX"/>
        </w:rPr>
        <w:t>póliza contable</w:t>
      </w:r>
      <w:r w:rsidRPr="00D078A0">
        <w:rPr>
          <w:rFonts w:ascii="Palatino Linotype" w:hAnsi="Palatino Linotype" w:cs="Arial"/>
          <w:lang w:eastAsia="es-MX"/>
        </w:rPr>
        <w:t xml:space="preserve">, la cual, los ya mencionados Glosarios la definen como: </w:t>
      </w:r>
    </w:p>
    <w:p w:rsidR="0041417D" w:rsidRPr="00D078A0" w:rsidRDefault="0041417D" w:rsidP="0023793B">
      <w:pPr>
        <w:spacing w:before="100" w:beforeAutospacing="1" w:after="100" w:afterAutospacing="1"/>
        <w:ind w:left="851" w:right="899"/>
        <w:contextualSpacing/>
        <w:jc w:val="both"/>
        <w:rPr>
          <w:rFonts w:ascii="Palatino Linotype" w:hAnsi="Palatino Linotype" w:cs="Arial"/>
          <w:i/>
          <w:sz w:val="22"/>
          <w:szCs w:val="22"/>
          <w:lang w:eastAsia="es-MX"/>
        </w:rPr>
      </w:pPr>
    </w:p>
    <w:p w:rsidR="00BD7356" w:rsidRPr="00D078A0" w:rsidRDefault="00BD7356" w:rsidP="0023793B">
      <w:pPr>
        <w:spacing w:before="100" w:beforeAutospacing="1" w:after="100" w:afterAutospacing="1"/>
        <w:ind w:left="851" w:right="899"/>
        <w:contextualSpacing/>
        <w:jc w:val="both"/>
        <w:rPr>
          <w:rFonts w:ascii="Palatino Linotype" w:hAnsi="Palatino Linotype" w:cs="Arial"/>
          <w:b/>
          <w:i/>
          <w:sz w:val="22"/>
          <w:szCs w:val="22"/>
          <w:lang w:eastAsia="es-MX"/>
        </w:rPr>
      </w:pPr>
      <w:r w:rsidRPr="00D078A0">
        <w:rPr>
          <w:rFonts w:ascii="Palatino Linotype" w:hAnsi="Palatino Linotype" w:cs="Arial"/>
          <w:i/>
          <w:sz w:val="22"/>
          <w:szCs w:val="22"/>
          <w:lang w:eastAsia="es-MX"/>
        </w:rPr>
        <w:t>“</w:t>
      </w:r>
      <w:r w:rsidRPr="00D078A0">
        <w:rPr>
          <w:rFonts w:ascii="Palatino Linotype" w:hAnsi="Palatino Linotype" w:cs="Arial"/>
          <w:b/>
          <w:i/>
          <w:sz w:val="22"/>
          <w:szCs w:val="22"/>
          <w:lang w:eastAsia="es-MX"/>
        </w:rPr>
        <w:t>PÓLIZA CONTABLE</w:t>
      </w:r>
    </w:p>
    <w:p w:rsidR="00BD7356" w:rsidRPr="00D078A0" w:rsidRDefault="00BD7356" w:rsidP="0023793B">
      <w:pPr>
        <w:spacing w:before="100" w:beforeAutospacing="1" w:after="100" w:afterAutospacing="1"/>
        <w:ind w:left="851" w:right="89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lang w:eastAsia="es-MX"/>
        </w:rPr>
      </w:pPr>
    </w:p>
    <w:p w:rsidR="00BD7356" w:rsidRPr="00D078A0" w:rsidRDefault="00BD7356" w:rsidP="0023793B">
      <w:pPr>
        <w:spacing w:before="100" w:beforeAutospacing="1" w:after="100" w:afterAutospacing="1" w:line="360" w:lineRule="auto"/>
        <w:contextualSpacing/>
        <w:jc w:val="both"/>
        <w:rPr>
          <w:rFonts w:ascii="Palatino Linotype" w:hAnsi="Palatino Linotype" w:cs="Arial"/>
          <w:lang w:eastAsia="es-MX"/>
        </w:rPr>
      </w:pPr>
      <w:r w:rsidRPr="00D078A0">
        <w:rPr>
          <w:rFonts w:ascii="Palatino Linotype" w:hAnsi="Palatino Linotype" w:cs="Arial"/>
          <w:lang w:eastAsia="es-MX"/>
        </w:rPr>
        <w:t xml:space="preserve">Así, se advierte que la </w:t>
      </w:r>
      <w:r w:rsidRPr="00D078A0">
        <w:rPr>
          <w:rFonts w:ascii="Palatino Linotype" w:hAnsi="Palatino Linotype" w:cs="Arial"/>
          <w:i/>
          <w:lang w:eastAsia="es-MX"/>
        </w:rPr>
        <w:t>póliza contable</w:t>
      </w:r>
      <w:r w:rsidRPr="00D078A0">
        <w:rPr>
          <w:rFonts w:ascii="Palatino Linotype" w:hAnsi="Palatino Linotype" w:cs="Arial"/>
          <w:lang w:eastAsia="es-MX"/>
        </w:rPr>
        <w:t xml:space="preserve"> constituye un registro contable y presupuestal con el que cuentan las Dependencias para el registro de sus operaciones relacionadas con sus ingresos y egresos y </w:t>
      </w:r>
      <w:r w:rsidRPr="00D078A0">
        <w:rPr>
          <w:rFonts w:ascii="Palatino Linotype" w:hAnsi="Palatino Linotype" w:cs="Arial"/>
          <w:b/>
          <w:lang w:eastAsia="es-MX"/>
        </w:rPr>
        <w:t>se anexan los documentos o comprobantes que justifiquen las anotaciones y cantidades en ellas registradas</w:t>
      </w:r>
      <w:r w:rsidRPr="00D078A0">
        <w:rPr>
          <w:rFonts w:ascii="Palatino Linotype" w:hAnsi="Palatino Linotype" w:cs="Arial"/>
          <w:lang w:eastAsia="es-MX"/>
        </w:rPr>
        <w:t>, lo que permite la identificación plena de dichas operaciones.</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lang w:eastAsia="es-MX"/>
        </w:rPr>
      </w:pPr>
    </w:p>
    <w:p w:rsidR="00BD7356" w:rsidRPr="00D078A0" w:rsidRDefault="00BD7356" w:rsidP="0023793B">
      <w:pPr>
        <w:spacing w:before="100" w:beforeAutospacing="1" w:after="100" w:afterAutospacing="1" w:line="360" w:lineRule="auto"/>
        <w:contextualSpacing/>
        <w:jc w:val="both"/>
        <w:rPr>
          <w:rFonts w:ascii="Palatino Linotype" w:hAnsi="Palatino Linotype" w:cs="Arial"/>
          <w:b/>
          <w:lang w:eastAsia="es-MX"/>
        </w:rPr>
      </w:pPr>
      <w:r w:rsidRPr="00D078A0">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D078A0">
        <w:rPr>
          <w:rFonts w:ascii="Palatino Linotype" w:hAnsi="Palatino Linotype" w:cs="Arial"/>
          <w:i/>
          <w:lang w:eastAsia="es-MX"/>
        </w:rPr>
        <w:t>pólizas de egresos</w:t>
      </w:r>
      <w:r w:rsidRPr="00D078A0">
        <w:rPr>
          <w:rFonts w:ascii="Palatino Linotype" w:hAnsi="Palatino Linotype" w:cs="Arial"/>
          <w:lang w:eastAsia="es-MX"/>
        </w:rPr>
        <w:t xml:space="preserve">, son aquellas en las cuales se anotan diariamente las operaciones que representan gastos, es decir, salidas de dinero para </w:t>
      </w:r>
      <w:r w:rsidRPr="00D078A0">
        <w:rPr>
          <w:rFonts w:ascii="Palatino Linotype" w:hAnsi="Palatino Linotype" w:cs="Arial"/>
          <w:b/>
          <w:lang w:eastAsia="es-MX"/>
        </w:rPr>
        <w:t>EL SUJETO OBLIGADO</w:t>
      </w:r>
      <w:r w:rsidRPr="00D078A0">
        <w:rPr>
          <w:rFonts w:ascii="Palatino Linotype" w:hAnsi="Palatino Linotype" w:cs="Arial"/>
          <w:lang w:eastAsia="es-MX"/>
        </w:rPr>
        <w:t xml:space="preserve">, las que además, deben encontrarse acompañadas </w:t>
      </w:r>
      <w:r w:rsidRPr="00D078A0">
        <w:rPr>
          <w:rFonts w:ascii="Palatino Linotype" w:hAnsi="Palatino Linotype" w:cs="Arial"/>
          <w:b/>
          <w:lang w:eastAsia="es-MX"/>
        </w:rPr>
        <w:t xml:space="preserve">de las documentales que sirven de soporte de dicho movimiento. </w:t>
      </w:r>
    </w:p>
    <w:p w:rsidR="0041417D" w:rsidRPr="00D078A0" w:rsidRDefault="0041417D" w:rsidP="0023793B">
      <w:pPr>
        <w:spacing w:before="100" w:beforeAutospacing="1" w:after="100" w:afterAutospacing="1" w:line="360" w:lineRule="auto"/>
        <w:contextualSpacing/>
        <w:jc w:val="both"/>
        <w:rPr>
          <w:rFonts w:ascii="Palatino Linotype" w:hAnsi="Palatino Linotype" w:cs="Arial"/>
          <w:bCs/>
          <w:color w:val="000000"/>
        </w:rPr>
      </w:pPr>
    </w:p>
    <w:p w:rsidR="00BD7356" w:rsidRPr="00D078A0" w:rsidRDefault="00BD7356" w:rsidP="0023793B">
      <w:pPr>
        <w:spacing w:before="100" w:beforeAutospacing="1" w:after="100" w:afterAutospacing="1" w:line="360" w:lineRule="auto"/>
        <w:contextualSpacing/>
        <w:jc w:val="both"/>
        <w:rPr>
          <w:rFonts w:ascii="Palatino Linotype" w:hAnsi="Palatino Linotype" w:cs="Arial"/>
          <w:bCs/>
        </w:rPr>
      </w:pPr>
      <w:r w:rsidRPr="00D078A0">
        <w:rPr>
          <w:rFonts w:ascii="Palatino Linotype" w:hAnsi="Palatino Linotype" w:cs="Arial"/>
          <w:bCs/>
          <w:color w:val="000000"/>
        </w:rPr>
        <w:lastRenderedPageBreak/>
        <w:t xml:space="preserve">En este sentido, como ya se mencionó con anterioridad los Lineamientos para la Integración del Informe Mensual 2019, </w:t>
      </w:r>
      <w:r w:rsidRPr="00D078A0">
        <w:rPr>
          <w:rFonts w:ascii="Palatino Linotype" w:hAnsi="Palatino Linotype" w:cs="Arial"/>
        </w:rPr>
        <w:t xml:space="preserve">emitidos por el Órgano Superior de Fiscalización del Estado de México (OSFEM), contienen los formatos e información que debe ser proporcionada para la integración de los informes mensuales en el Disco 5, que se entregan a éste, siendo uno de ellos la información relativa a las </w:t>
      </w:r>
      <w:r w:rsidRPr="00D078A0">
        <w:rPr>
          <w:rFonts w:ascii="Palatino Linotype" w:hAnsi="Palatino Linotype" w:cs="Arial"/>
          <w:i/>
        </w:rPr>
        <w:t xml:space="preserve">pólizas de ingresos, póliza de diario, póliza de egresos, póliza cheque y póliza de cuentas por pagar, </w:t>
      </w:r>
      <w:r w:rsidRPr="00D078A0">
        <w:rPr>
          <w:rFonts w:ascii="Palatino Linotype" w:hAnsi="Palatino Linotype" w:cs="Arial"/>
        </w:rPr>
        <w:t>las cuales se encuentran contenidas dentro del Disco 5 “Imágenes Digitalizadas”, el cual guarda relación con el Disco 1 “Información Patrimonial (Contable y Administrativa) y para el Sistema Electrónico Auditor (Archivos txt)”, d</w:t>
      </w:r>
      <w:r w:rsidRPr="00D078A0">
        <w:rPr>
          <w:rFonts w:ascii="Palatino Linotype" w:hAnsi="Palatino Linotype" w:cs="Arial"/>
          <w:bCs/>
        </w:rPr>
        <w:t xml:space="preserve">e tal manera que, dichos formatos constituyen un soporte documental de que la información solicitada por la hoy </w:t>
      </w:r>
      <w:r w:rsidRPr="00D078A0">
        <w:rPr>
          <w:rFonts w:ascii="Palatino Linotype" w:hAnsi="Palatino Linotype" w:cs="Arial"/>
          <w:b/>
          <w:bCs/>
        </w:rPr>
        <w:t>RECURRENTE</w:t>
      </w:r>
      <w:r w:rsidRPr="00D078A0">
        <w:rPr>
          <w:rFonts w:ascii="Palatino Linotype" w:hAnsi="Palatino Linotype" w:cs="Arial"/>
          <w:bCs/>
        </w:rPr>
        <w:t xml:space="preserve"> obra en los archivos del </w:t>
      </w:r>
      <w:r w:rsidRPr="00D078A0">
        <w:rPr>
          <w:rFonts w:ascii="Palatino Linotype" w:hAnsi="Palatino Linotype" w:cs="Arial"/>
          <w:b/>
          <w:bCs/>
        </w:rPr>
        <w:t>SUJETO OBLIGADO</w:t>
      </w:r>
      <w:r w:rsidRPr="00D078A0">
        <w:rPr>
          <w:rFonts w:ascii="Palatino Linotype" w:hAnsi="Palatino Linotype" w:cs="Arial"/>
          <w:bCs/>
        </w:rPr>
        <w:t xml:space="preserve">, insertando a manera de referencia, el formato correspondiente de 2019: </w:t>
      </w:r>
    </w:p>
    <w:p w:rsidR="00BD7356" w:rsidRPr="00D078A0" w:rsidRDefault="00BD7356" w:rsidP="0023793B">
      <w:pPr>
        <w:spacing w:before="100" w:beforeAutospacing="1" w:after="100" w:afterAutospacing="1" w:line="360" w:lineRule="auto"/>
        <w:contextualSpacing/>
        <w:jc w:val="both"/>
        <w:rPr>
          <w:rFonts w:ascii="Palatino Linotype" w:hAnsi="Palatino Linotype" w:cs="Arial"/>
          <w:bCs/>
        </w:rPr>
      </w:pPr>
      <w:r w:rsidRPr="00D078A0">
        <w:rPr>
          <w:rFonts w:ascii="Palatino Linotype" w:hAnsi="Palatino Linotype" w:cs="Arial"/>
          <w:bCs/>
          <w:noProof/>
          <w:color w:val="000000"/>
          <w:lang w:eastAsia="es-MX"/>
        </w:rPr>
        <mc:AlternateContent>
          <mc:Choice Requires="wps">
            <w:drawing>
              <wp:anchor distT="0" distB="0" distL="114300" distR="114300" simplePos="0" relativeHeight="251680768" behindDoc="0" locked="0" layoutInCell="1" allowOverlap="1" wp14:anchorId="2E8951DD" wp14:editId="65164D38">
                <wp:simplePos x="0" y="0"/>
                <wp:positionH relativeFrom="column">
                  <wp:posOffset>24765</wp:posOffset>
                </wp:positionH>
                <wp:positionV relativeFrom="paragraph">
                  <wp:posOffset>894080</wp:posOffset>
                </wp:positionV>
                <wp:extent cx="2777514" cy="866775"/>
                <wp:effectExtent l="19050" t="19050" r="22860" b="28575"/>
                <wp:wrapNone/>
                <wp:docPr id="2" name="Rectángulo 2"/>
                <wp:cNvGraphicFramePr/>
                <a:graphic xmlns:a="http://schemas.openxmlformats.org/drawingml/2006/main">
                  <a:graphicData uri="http://schemas.microsoft.com/office/word/2010/wordprocessingShape">
                    <wps:wsp>
                      <wps:cNvSpPr/>
                      <wps:spPr>
                        <a:xfrm>
                          <a:off x="0" y="0"/>
                          <a:ext cx="2777514" cy="8667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3A09" id="Rectángulo 2" o:spid="_x0000_s1026" style="position:absolute;margin-left:1.95pt;margin-top:70.4pt;width:218.7pt;height:6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" filled="f" strokecolor="red" strokeweight="2.25pt"/>
            </w:pict>
          </mc:Fallback>
        </mc:AlternateContent>
      </w:r>
      <w:r w:rsidRPr="00D078A0">
        <w:rPr>
          <w:rFonts w:ascii="Palatino Linotype" w:hAnsi="Palatino Linotype" w:cs="Arial"/>
          <w:bCs/>
          <w:noProof/>
          <w:lang w:eastAsia="es-MX"/>
        </w:rPr>
        <w:drawing>
          <wp:inline distT="0" distB="0" distL="0" distR="0" wp14:anchorId="7A06BE70">
            <wp:extent cx="5724525" cy="1971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971675"/>
                    </a:xfrm>
                    <a:prstGeom prst="rect">
                      <a:avLst/>
                    </a:prstGeom>
                    <a:noFill/>
                  </pic:spPr>
                </pic:pic>
              </a:graphicData>
            </a:graphic>
          </wp:inline>
        </w:drawing>
      </w:r>
    </w:p>
    <w:p w:rsidR="00BD7356" w:rsidRPr="00D078A0" w:rsidRDefault="00BD7356" w:rsidP="0023793B">
      <w:pPr>
        <w:spacing w:before="100" w:beforeAutospacing="1" w:after="100" w:afterAutospacing="1" w:line="360" w:lineRule="auto"/>
        <w:contextualSpacing/>
        <w:jc w:val="both"/>
        <w:rPr>
          <w:rFonts w:ascii="Palatino Linotype" w:hAnsi="Palatino Linotype" w:cs="Arial"/>
          <w:bCs/>
          <w:color w:val="000000"/>
        </w:rPr>
      </w:pPr>
      <w:r w:rsidRPr="00D078A0">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BD7356" w:rsidRPr="00D078A0" w:rsidRDefault="00BD7356" w:rsidP="0023793B">
      <w:pPr>
        <w:spacing w:before="100" w:beforeAutospacing="1" w:after="100" w:afterAutospacing="1" w:line="360" w:lineRule="auto"/>
        <w:contextualSpacing/>
        <w:jc w:val="both"/>
        <w:rPr>
          <w:rFonts w:ascii="Palatino Linotype" w:hAnsi="Palatino Linotype" w:cs="Arial"/>
          <w:bCs/>
          <w:color w:val="000000"/>
        </w:rPr>
      </w:pPr>
      <w:r w:rsidRPr="00D078A0">
        <w:rPr>
          <w:rFonts w:ascii="Palatino Linotype" w:hAnsi="Palatino Linotype" w:cs="Arial"/>
          <w:bCs/>
          <w:color w:val="000000"/>
        </w:rPr>
        <w:lastRenderedPageBreak/>
        <w:t xml:space="preserve">Sin ser óbice de lo mencionado, es de señalar que la información que es entregada al </w:t>
      </w:r>
      <w:r w:rsidRPr="00D078A0">
        <w:rPr>
          <w:rFonts w:ascii="Palatino Linotype" w:hAnsi="Palatino Linotype" w:cs="Arial"/>
        </w:rPr>
        <w:t>Órgano Superior de Fiscalización del Estado de México,</w:t>
      </w:r>
      <w:r w:rsidRPr="00D078A0">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(factura, tickets o documento análogo) debe ser generada y entregada al momento de realizar los movimientos respectivos, por lo que, deben de obrar en sus archivos, en consecuencia debe hacer entrega de los mismos a </w:t>
      </w:r>
      <w:r w:rsidR="008119F9" w:rsidRPr="00D078A0">
        <w:rPr>
          <w:rFonts w:ascii="Palatino Linotype" w:hAnsi="Palatino Linotype" w:cs="Arial"/>
          <w:b/>
          <w:bCs/>
          <w:color w:val="000000"/>
        </w:rPr>
        <w:t>LA</w:t>
      </w:r>
      <w:r w:rsidRPr="00D078A0">
        <w:rPr>
          <w:rFonts w:ascii="Palatino Linotype" w:hAnsi="Palatino Linotype" w:cs="Arial"/>
          <w:bCs/>
          <w:color w:val="000000"/>
        </w:rPr>
        <w:t xml:space="preserve"> </w:t>
      </w:r>
      <w:r w:rsidRPr="00D078A0">
        <w:rPr>
          <w:rFonts w:ascii="Palatino Linotype" w:hAnsi="Palatino Linotype" w:cs="Arial"/>
          <w:b/>
          <w:bCs/>
          <w:color w:val="000000"/>
        </w:rPr>
        <w:t>RECURRENTE.</w:t>
      </w:r>
    </w:p>
    <w:p w:rsidR="00415E3D" w:rsidRPr="00D078A0" w:rsidRDefault="00415E3D" w:rsidP="0023793B">
      <w:pPr>
        <w:spacing w:before="100" w:beforeAutospacing="1" w:after="100" w:afterAutospacing="1" w:line="360" w:lineRule="auto"/>
        <w:contextualSpacing/>
        <w:jc w:val="both"/>
        <w:rPr>
          <w:rFonts w:ascii="Palatino Linotype" w:hAnsi="Palatino Linotype" w:cs="Arial"/>
          <w:bCs/>
          <w:color w:val="000000"/>
        </w:rPr>
      </w:pPr>
    </w:p>
    <w:p w:rsidR="005C527F" w:rsidRPr="00D078A0" w:rsidRDefault="00BD7356" w:rsidP="0023793B">
      <w:pPr>
        <w:spacing w:before="100" w:beforeAutospacing="1" w:after="100" w:afterAutospacing="1" w:line="360" w:lineRule="auto"/>
        <w:contextualSpacing/>
        <w:jc w:val="both"/>
        <w:rPr>
          <w:rFonts w:ascii="Palatino Linotype" w:hAnsi="Palatino Linotype"/>
        </w:rPr>
      </w:pPr>
      <w:r w:rsidRPr="00D078A0">
        <w:rPr>
          <w:rFonts w:ascii="Palatino Linotype" w:hAnsi="Palatino Linotype" w:cs="Arial"/>
          <w:bCs/>
          <w:color w:val="000000"/>
        </w:rPr>
        <w:t xml:space="preserve">Cabe destacar, que todo registro contable y presupuestal </w:t>
      </w:r>
      <w:r w:rsidRPr="00D078A0">
        <w:rPr>
          <w:rFonts w:ascii="Palatino Linotype" w:hAnsi="Palatino Linotype" w:cs="Arial"/>
          <w:b/>
          <w:bCs/>
          <w:color w:val="000000"/>
        </w:rPr>
        <w:t>deberá estar soportado con los documentos comprobatorios originales</w:t>
      </w:r>
      <w:r w:rsidRPr="00D078A0">
        <w:rPr>
          <w:rFonts w:ascii="Palatino Linotype" w:hAnsi="Palatino Linotype" w:cs="Arial"/>
          <w:bCs/>
          <w:color w:val="000000"/>
        </w:rPr>
        <w:t>, como lo son las facturas, los que deberán permanecer en custodia y conservación de la Unidad administrativa correspondiente y a disposición del OSFEM; por un término de cinco años contados a partir del ejercicio presupuesta</w:t>
      </w:r>
      <w:r w:rsidR="005C527F" w:rsidRPr="00D078A0">
        <w:rPr>
          <w:rFonts w:ascii="Palatino Linotype" w:hAnsi="Palatino Linotype" w:cs="Arial"/>
          <w:bCs/>
          <w:color w:val="000000"/>
        </w:rPr>
        <w:t xml:space="preserve">l siguiente al que corresponda; </w:t>
      </w:r>
      <w:r w:rsidR="005C527F" w:rsidRPr="00D078A0">
        <w:rPr>
          <w:rFonts w:ascii="Palatino Linotype" w:hAnsi="Palatino Linotype"/>
        </w:rPr>
        <w:t>por tanto, será dable ordenar la entrega del documento donde consten los gastos efectuados</w:t>
      </w:r>
      <w:r w:rsidR="00B74A49" w:rsidRPr="00D078A0">
        <w:rPr>
          <w:rFonts w:ascii="Palatino Linotype" w:hAnsi="Palatino Linotype"/>
        </w:rPr>
        <w:t xml:space="preserve"> en el espectáculo del 15 de septiembre del 2019</w:t>
      </w:r>
      <w:r w:rsidR="005C527F" w:rsidRPr="00D078A0">
        <w:rPr>
          <w:rFonts w:ascii="Palatino Linotype" w:hAnsi="Palatino Linotype"/>
        </w:rPr>
        <w:t>, pudiendo ser de manera enunciativa más no limitativa, las pólizas de egresos con su soporte documental, tales como facturas o tickets o documento análogo, lo que conlleva a determinar que le reviste el carácter de información pública y forma parte de las Obligaciones de Transparencia Comunes, conforme a lo dispuesto en los artículos 3, fracción XI, 4, 12, 24 último párrafo, y 92, fracción IX, de la Ley de Transparencia y Acceso a la Información Pública del Estado de México y Municipios, por lo que éste se encuentra en posibilidades de entregar la documentación soporte a los gastos referidos, en versión pública de ser procedente.</w:t>
      </w:r>
    </w:p>
    <w:p w:rsidR="00B74A49" w:rsidRDefault="00B74A49" w:rsidP="0023793B">
      <w:pPr>
        <w:spacing w:before="100" w:beforeAutospacing="1" w:after="100" w:afterAutospacing="1" w:line="360" w:lineRule="auto"/>
        <w:contextualSpacing/>
        <w:jc w:val="both"/>
        <w:rPr>
          <w:rFonts w:ascii="Palatino Linotype" w:hAnsi="Palatino Linotype"/>
        </w:rPr>
      </w:pPr>
    </w:p>
    <w:p w:rsidR="00AF0972" w:rsidRPr="00D078A0" w:rsidRDefault="00AF0972" w:rsidP="0023793B">
      <w:pPr>
        <w:spacing w:before="100" w:beforeAutospacing="1" w:after="100" w:afterAutospacing="1" w:line="360" w:lineRule="auto"/>
        <w:contextualSpacing/>
        <w:jc w:val="both"/>
        <w:rPr>
          <w:rFonts w:ascii="Palatino Linotype" w:hAnsi="Palatino Linotype"/>
        </w:rPr>
      </w:pPr>
    </w:p>
    <w:p w:rsidR="0023793B" w:rsidRPr="00D078A0" w:rsidRDefault="00342881" w:rsidP="0023793B">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078A0">
        <w:rPr>
          <w:rFonts w:ascii="Palatino Linotype" w:hAnsi="Palatino Linotype" w:cs="Arial"/>
          <w:bCs/>
          <w:color w:val="000000"/>
        </w:rPr>
        <w:lastRenderedPageBreak/>
        <w:t xml:space="preserve">Por otra parte, </w:t>
      </w:r>
      <w:r w:rsidR="0052720E" w:rsidRPr="00D078A0">
        <w:rPr>
          <w:rFonts w:ascii="Palatino Linotype" w:hAnsi="Palatino Linotype" w:cs="Arial"/>
          <w:bCs/>
          <w:color w:val="000000"/>
        </w:rPr>
        <w:t xml:space="preserve">respecto al numeral </w:t>
      </w:r>
      <w:r w:rsidRPr="00D078A0">
        <w:rPr>
          <w:rFonts w:ascii="Palatino Linotype" w:hAnsi="Palatino Linotype" w:cs="Arial"/>
          <w:bCs/>
          <w:color w:val="000000"/>
        </w:rPr>
        <w:t xml:space="preserve">3 </w:t>
      </w:r>
      <w:r w:rsidR="0052720E" w:rsidRPr="00D078A0">
        <w:rPr>
          <w:rFonts w:ascii="Palatino Linotype" w:hAnsi="Palatino Linotype" w:cs="Arial"/>
          <w:bCs/>
          <w:color w:val="000000"/>
        </w:rPr>
        <w:t xml:space="preserve">referente al número de elementos de </w:t>
      </w:r>
      <w:r w:rsidR="00303355" w:rsidRPr="00D078A0">
        <w:rPr>
          <w:rFonts w:ascii="Palatino Linotype" w:hAnsi="Palatino Linotype" w:cs="Arial"/>
          <w:bCs/>
          <w:color w:val="000000"/>
        </w:rPr>
        <w:t xml:space="preserve">Policía </w:t>
      </w:r>
      <w:r w:rsidRPr="00D078A0">
        <w:rPr>
          <w:rFonts w:ascii="Palatino Linotype" w:hAnsi="Palatino Linotype" w:cs="Arial"/>
          <w:bCs/>
          <w:color w:val="000000"/>
        </w:rPr>
        <w:t xml:space="preserve">Municipal, Bomberos y elementos de la </w:t>
      </w:r>
      <w:r w:rsidR="007F083B" w:rsidRPr="00D078A0">
        <w:rPr>
          <w:rFonts w:ascii="Palatino Linotype" w:hAnsi="Palatino Linotype" w:cs="Arial"/>
          <w:bCs/>
          <w:color w:val="000000"/>
        </w:rPr>
        <w:t xml:space="preserve">Guardia </w:t>
      </w:r>
      <w:r w:rsidRPr="00D078A0">
        <w:rPr>
          <w:rFonts w:ascii="Palatino Linotype" w:hAnsi="Palatino Linotype" w:cs="Arial"/>
          <w:bCs/>
          <w:color w:val="000000"/>
        </w:rPr>
        <w:t>N</w:t>
      </w:r>
      <w:r w:rsidR="00BE5121" w:rsidRPr="00D078A0">
        <w:rPr>
          <w:rFonts w:ascii="Palatino Linotype" w:hAnsi="Palatino Linotype" w:cs="Arial"/>
          <w:bCs/>
          <w:color w:val="000000"/>
        </w:rPr>
        <w:t xml:space="preserve">acional, este instituto analizó el marco normativo </w:t>
      </w:r>
      <w:r w:rsidR="00BE5121" w:rsidRPr="00D078A0">
        <w:rPr>
          <w:rFonts w:ascii="Palatino Linotype" w:hAnsi="Palatino Linotype" w:cs="Arial"/>
        </w:rPr>
        <w:t xml:space="preserve">que rige el actuar del </w:t>
      </w:r>
      <w:r w:rsidR="00BE5121" w:rsidRPr="00D078A0">
        <w:rPr>
          <w:rFonts w:ascii="Palatino Linotype" w:hAnsi="Palatino Linotype" w:cs="Arial"/>
          <w:b/>
        </w:rPr>
        <w:t>SUJETO OBLIGADO</w:t>
      </w:r>
      <w:r w:rsidR="00BE5121" w:rsidRPr="00D078A0">
        <w:rPr>
          <w:rFonts w:ascii="Palatino Linotype" w:hAnsi="Palatino Linotype" w:cs="Arial"/>
        </w:rPr>
        <w:t xml:space="preserve"> y observó que la Ley de Eventos Públicos del Estado de México, en lo que interesa, regula e inspecciona el correcto desarrollo de los espectáculos públicos</w:t>
      </w:r>
      <w:r w:rsidR="0023793B" w:rsidRPr="00D078A0">
        <w:rPr>
          <w:rFonts w:ascii="Palatino Linotype" w:hAnsi="Palatino Linotype" w:cs="Arial"/>
        </w:rPr>
        <w:t>.</w:t>
      </w:r>
    </w:p>
    <w:p w:rsidR="0023793B" w:rsidRPr="00D078A0" w:rsidRDefault="0023793B" w:rsidP="0023793B">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23793B" w:rsidRPr="00D078A0" w:rsidRDefault="00BE5121" w:rsidP="0023793B">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bCs/>
          <w:color w:val="000000"/>
        </w:rPr>
      </w:pPr>
      <w:r w:rsidRPr="00D078A0">
        <w:rPr>
          <w:rFonts w:ascii="Palatino Linotype" w:hAnsi="Palatino Linotype" w:cs="Arial"/>
          <w:bCs/>
          <w:color w:val="000000"/>
        </w:rPr>
        <w:t>Por ello, el artículo 9</w:t>
      </w:r>
      <w:r w:rsidR="0057578D" w:rsidRPr="00D078A0">
        <w:rPr>
          <w:rFonts w:ascii="Palatino Linotype" w:hAnsi="Palatino Linotype" w:cs="Arial"/>
          <w:bCs/>
          <w:color w:val="000000"/>
        </w:rPr>
        <w:t>, fracción V de dicha reglamentación establece que los ayuntamientos deberán proporcionar los elementos de seguridad pública necesarios para resguardar el orden al interior y exterior de dichos eventos.</w:t>
      </w:r>
    </w:p>
    <w:p w:rsidR="0023793B" w:rsidRPr="00D078A0" w:rsidRDefault="0023793B" w:rsidP="0023793B">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bCs/>
          <w:color w:val="000000"/>
        </w:rPr>
      </w:pPr>
    </w:p>
    <w:p w:rsidR="006A0434" w:rsidRPr="00D078A0" w:rsidRDefault="0057578D" w:rsidP="0023793B">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078A0">
        <w:rPr>
          <w:rFonts w:ascii="Palatino Linotype" w:hAnsi="Palatino Linotype" w:cs="Arial"/>
          <w:bCs/>
          <w:color w:val="000000"/>
        </w:rPr>
        <w:t xml:space="preserve">Asimismo, el </w:t>
      </w:r>
      <w:r w:rsidR="005B6F2A" w:rsidRPr="00D078A0">
        <w:rPr>
          <w:rFonts w:ascii="Palatino Linotype" w:hAnsi="Palatino Linotype" w:cs="Arial"/>
          <w:bCs/>
          <w:color w:val="000000"/>
        </w:rPr>
        <w:t>artículo</w:t>
      </w:r>
      <w:r w:rsidRPr="00D078A0">
        <w:rPr>
          <w:rFonts w:ascii="Palatino Linotype" w:hAnsi="Palatino Linotype" w:cs="Arial"/>
          <w:bCs/>
          <w:color w:val="000000"/>
        </w:rPr>
        <w:t xml:space="preserve"> 10, fracción V</w:t>
      </w:r>
      <w:r w:rsidR="004A7BCD" w:rsidRPr="00D078A0">
        <w:rPr>
          <w:rFonts w:ascii="Palatino Linotype" w:hAnsi="Palatino Linotype" w:cs="Arial"/>
          <w:bCs/>
          <w:color w:val="000000"/>
        </w:rPr>
        <w:t xml:space="preserve"> del mismo reglamento</w:t>
      </w:r>
      <w:r w:rsidRPr="00D078A0">
        <w:rPr>
          <w:rFonts w:ascii="Palatino Linotype" w:hAnsi="Palatino Linotype" w:cs="Arial"/>
          <w:bCs/>
          <w:color w:val="000000"/>
        </w:rPr>
        <w:t xml:space="preserve"> igualmente  establece dentro de las obligaciones de los titulares </w:t>
      </w:r>
      <w:r w:rsidR="005B6F2A" w:rsidRPr="00D078A0">
        <w:rPr>
          <w:rFonts w:ascii="Palatino Linotype" w:hAnsi="Palatino Linotype" w:cs="Arial"/>
          <w:bCs/>
          <w:color w:val="000000"/>
        </w:rPr>
        <w:t>lo siguiente:</w:t>
      </w:r>
    </w:p>
    <w:p w:rsidR="005B6F2A" w:rsidRPr="00D078A0" w:rsidRDefault="005B6F2A" w:rsidP="0023793B">
      <w:pPr>
        <w:spacing w:before="100" w:beforeAutospacing="1" w:after="100" w:afterAutospacing="1" w:line="360" w:lineRule="auto"/>
        <w:contextualSpacing/>
        <w:jc w:val="both"/>
        <w:rPr>
          <w:rFonts w:ascii="Palatino Linotype" w:hAnsi="Palatino Linotype" w:cs="Arial"/>
          <w:bCs/>
          <w:color w:val="000000"/>
        </w:rPr>
      </w:pPr>
    </w:p>
    <w:p w:rsidR="005B6F2A" w:rsidRPr="00D078A0" w:rsidRDefault="005B6F2A" w:rsidP="0023793B">
      <w:pPr>
        <w:spacing w:before="100" w:beforeAutospacing="1" w:after="100" w:afterAutospacing="1"/>
        <w:ind w:left="851" w:right="902"/>
        <w:contextualSpacing/>
        <w:jc w:val="both"/>
        <w:rPr>
          <w:rFonts w:ascii="Palatino Linotype" w:hAnsi="Palatino Linotype" w:cs="Arial"/>
          <w:bCs/>
          <w:i/>
          <w:color w:val="000000"/>
          <w:sz w:val="22"/>
          <w:szCs w:val="22"/>
        </w:rPr>
      </w:pPr>
      <w:r w:rsidRPr="00D078A0">
        <w:rPr>
          <w:rFonts w:ascii="Palatino Linotype" w:hAnsi="Palatino Linotype" w:cs="Arial"/>
          <w:bCs/>
          <w:i/>
          <w:color w:val="000000"/>
          <w:sz w:val="22"/>
          <w:szCs w:val="22"/>
        </w:rPr>
        <w:t xml:space="preserve">V. </w:t>
      </w:r>
      <w:r w:rsidRPr="00D078A0">
        <w:rPr>
          <w:rFonts w:ascii="Palatino Linotype" w:hAnsi="Palatino Linotype" w:cs="Arial"/>
          <w:b/>
          <w:bCs/>
          <w:i/>
          <w:color w:val="000000"/>
          <w:sz w:val="22"/>
          <w:szCs w:val="22"/>
        </w:rPr>
        <w:t>Contar con los elementos de seguridad pública</w:t>
      </w:r>
      <w:r w:rsidRPr="00D078A0">
        <w:rPr>
          <w:rFonts w:ascii="Palatino Linotype" w:hAnsi="Palatino Linotype" w:cs="Arial"/>
          <w:bCs/>
          <w:i/>
          <w:color w:val="000000"/>
          <w:sz w:val="22"/>
          <w:szCs w:val="22"/>
        </w:rPr>
        <w:t xml:space="preserve"> o privada necesarios para garantizar el orden tanto al interior del inmueble como en las zonas vecinas al mismo. </w:t>
      </w:r>
      <w:r w:rsidRPr="00D078A0">
        <w:rPr>
          <w:rFonts w:ascii="Palatino Linotype" w:hAnsi="Palatino Linotype" w:cs="Arial"/>
          <w:b/>
          <w:bCs/>
          <w:i/>
          <w:color w:val="000000"/>
          <w:sz w:val="22"/>
          <w:szCs w:val="22"/>
        </w:rPr>
        <w:t>En caso de que el evento público requiera de elementos de seguridad pública, los titulares realizarán la solicitud por escrito las autoridades estatales o municipales de seguridad pública con tres días naturales de anticipación a la celebración de dicho evento</w:t>
      </w:r>
      <w:r w:rsidRPr="00D078A0">
        <w:rPr>
          <w:rFonts w:ascii="Palatino Linotype" w:hAnsi="Palatino Linotype" w:cs="Arial"/>
          <w:bCs/>
          <w:i/>
          <w:color w:val="000000"/>
          <w:sz w:val="22"/>
          <w:szCs w:val="22"/>
        </w:rPr>
        <w:t xml:space="preserve"> y cubriendo el pago de derechos correspondiente.</w:t>
      </w:r>
    </w:p>
    <w:p w:rsidR="007F083B" w:rsidRPr="00D078A0" w:rsidRDefault="007F083B" w:rsidP="0023793B">
      <w:pPr>
        <w:autoSpaceDE w:val="0"/>
        <w:autoSpaceDN w:val="0"/>
        <w:adjustRightInd w:val="0"/>
        <w:spacing w:before="100" w:beforeAutospacing="1" w:after="100" w:afterAutospacing="1" w:line="360" w:lineRule="auto"/>
        <w:ind w:right="50"/>
        <w:contextualSpacing/>
        <w:jc w:val="both"/>
        <w:rPr>
          <w:rFonts w:ascii="Palatino Linotype" w:hAnsi="Palatino Linotype"/>
        </w:rPr>
      </w:pPr>
    </w:p>
    <w:p w:rsidR="005B6F2A" w:rsidRPr="00D078A0" w:rsidRDefault="005B6F2A" w:rsidP="0023793B">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rPr>
        <w:t>Con base a</w:t>
      </w:r>
      <w:r w:rsidR="007F083B" w:rsidRPr="00D078A0">
        <w:rPr>
          <w:rFonts w:ascii="Palatino Linotype" w:hAnsi="Palatino Linotype"/>
        </w:rPr>
        <w:t xml:space="preserve"> </w:t>
      </w:r>
      <w:r w:rsidRPr="00D078A0">
        <w:rPr>
          <w:rFonts w:ascii="Palatino Linotype" w:hAnsi="Palatino Linotype"/>
        </w:rPr>
        <w:t xml:space="preserve">lo anterior, </w:t>
      </w:r>
      <w:r w:rsidRPr="00D078A0">
        <w:rPr>
          <w:rFonts w:ascii="Palatino Linotype" w:hAnsi="Palatino Linotype" w:cs="Arial"/>
        </w:rPr>
        <w:t xml:space="preserve">es claro para este Instituto que </w:t>
      </w:r>
      <w:r w:rsidRPr="00D078A0">
        <w:rPr>
          <w:rFonts w:ascii="Palatino Linotype" w:hAnsi="Palatino Linotype" w:cs="Arial"/>
          <w:b/>
        </w:rPr>
        <w:t>EL SUJETO OBLIGADO</w:t>
      </w:r>
      <w:r w:rsidRPr="00D078A0">
        <w:rPr>
          <w:rFonts w:ascii="Palatino Linotype" w:hAnsi="Palatino Linotype" w:cs="Arial"/>
        </w:rPr>
        <w:t xml:space="preserve"> cuenta con documentos mediante los cuales puede satisfacer el derecho de acceso a la información requerido por el particular; documentación que deber ser entregada en </w:t>
      </w:r>
      <w:r w:rsidRPr="00D078A0">
        <w:rPr>
          <w:rFonts w:ascii="Palatino Linotype" w:hAnsi="Palatino Linotype" w:cs="Arial"/>
          <w:b/>
        </w:rPr>
        <w:t>versión pública</w:t>
      </w:r>
      <w:r w:rsidRPr="00D078A0">
        <w:rPr>
          <w:rFonts w:ascii="Palatino Linotype" w:hAnsi="Palatino Linotype" w:cs="Arial"/>
        </w:rPr>
        <w:t xml:space="preserve"> de ser procedente.</w:t>
      </w:r>
    </w:p>
    <w:p w:rsidR="005B6F2A" w:rsidRPr="00D078A0" w:rsidRDefault="005B6F2A" w:rsidP="0023793B">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5B6F2A" w:rsidRPr="00D078A0" w:rsidRDefault="005B6F2A" w:rsidP="0023793B">
      <w:pPr>
        <w:spacing w:before="100" w:beforeAutospacing="1" w:after="100" w:afterAutospacing="1" w:line="360" w:lineRule="auto"/>
        <w:ind w:right="51"/>
        <w:contextualSpacing/>
        <w:jc w:val="both"/>
        <w:rPr>
          <w:rFonts w:ascii="Palatino Linotype" w:hAnsi="Palatino Linotype" w:cs="Arial"/>
        </w:rPr>
      </w:pPr>
      <w:r w:rsidRPr="00D078A0">
        <w:rPr>
          <w:rFonts w:ascii="Palatino Linotype" w:hAnsi="Palatino Linotype" w:cs="Arial"/>
        </w:rPr>
        <w:lastRenderedPageBreak/>
        <w:t xml:space="preserve">Consecuentemente, es toral señalar que, si </w:t>
      </w:r>
      <w:r w:rsidRPr="00D078A0">
        <w:rPr>
          <w:rFonts w:ascii="Palatino Linotype" w:hAnsi="Palatino Linotype" w:cs="Arial"/>
          <w:b/>
        </w:rPr>
        <w:t>EL SUJETO OBLIGADO</w:t>
      </w:r>
      <w:r w:rsidRPr="00D078A0">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23793B" w:rsidRPr="00D078A0" w:rsidRDefault="0023793B" w:rsidP="0023793B">
      <w:pPr>
        <w:autoSpaceDE w:val="0"/>
        <w:autoSpaceDN w:val="0"/>
        <w:adjustRightInd w:val="0"/>
        <w:spacing w:before="100" w:beforeAutospacing="1" w:after="100" w:afterAutospacing="1" w:line="360" w:lineRule="auto"/>
        <w:ind w:right="51"/>
        <w:contextualSpacing/>
        <w:jc w:val="both"/>
        <w:rPr>
          <w:rFonts w:ascii="Palatino Linotype" w:hAnsi="Palatino Linotype" w:cs="Arial"/>
          <w:color w:val="000000"/>
        </w:rPr>
      </w:pPr>
    </w:p>
    <w:p w:rsidR="005B6F2A" w:rsidRPr="00D078A0" w:rsidRDefault="005B6F2A" w:rsidP="0023793B">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D078A0">
        <w:rPr>
          <w:rFonts w:ascii="Palatino Linotype" w:hAnsi="Palatino Linotype" w:cs="Arial"/>
          <w:color w:val="000000"/>
        </w:rPr>
        <w:t xml:space="preserve">En ese sentido, es de precisar que </w:t>
      </w:r>
      <w:r w:rsidRPr="00D078A0">
        <w:rPr>
          <w:rFonts w:ascii="Palatino Linotype" w:eastAsia="Calibri" w:hAnsi="Palatino Linotype" w:cs="Bookman Old Style,Bold"/>
          <w:bCs/>
          <w:color w:val="0D0D0D"/>
          <w:lang w:eastAsia="en-US"/>
        </w:rPr>
        <w:t xml:space="preserve">la clasificación de la información no se da por el simple mandato de la Ley, sino que </w:t>
      </w:r>
      <w:r w:rsidRPr="00D078A0">
        <w:rPr>
          <w:rFonts w:ascii="Palatino Linotype" w:hAnsi="Palatino Linotype"/>
        </w:rPr>
        <w:t xml:space="preserve">es necesario que </w:t>
      </w:r>
      <w:r w:rsidRPr="00D078A0">
        <w:rPr>
          <w:rFonts w:ascii="Palatino Linotype" w:hAnsi="Palatino Linotype"/>
          <w:b/>
        </w:rPr>
        <w:t xml:space="preserve">EL SUJETO OBLIGADO </w:t>
      </w:r>
      <w:r w:rsidRPr="00D078A0">
        <w:rPr>
          <w:rFonts w:ascii="Palatino Linotype" w:hAnsi="Palatino Linotype"/>
        </w:rPr>
        <w:t xml:space="preserve">cuando clasifique algún documento o información, ya sea todo o en parte, debe atender lo dispuesto por </w:t>
      </w:r>
      <w:r w:rsidRPr="00D078A0">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D078A0">
        <w:rPr>
          <w:rFonts w:ascii="Palatino Linotype" w:hAnsi="Palatino Linotype" w:cs="Arial"/>
          <w:b/>
        </w:rPr>
        <w:t>SUJETO OBLIGADO</w:t>
      </w:r>
      <w:r w:rsidRPr="00D078A0">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23793B" w:rsidRPr="00D078A0" w:rsidRDefault="0023793B" w:rsidP="0023793B">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5B6F2A" w:rsidRPr="00D078A0" w:rsidRDefault="005B6F2A" w:rsidP="0023793B">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lang w:val="es-ES"/>
        </w:rPr>
        <w:t xml:space="preserve">Así las cosas, dentro de los datos personales que pudieran contenerse se destacan los datos personales sensibles, los cuales son aquellos </w:t>
      </w:r>
      <w:r w:rsidRPr="00D078A0">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23793B" w:rsidRPr="00D078A0" w:rsidRDefault="0023793B"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5B6F2A" w:rsidRPr="00D078A0" w:rsidRDefault="005B6F2A"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D078A0">
        <w:rPr>
          <w:rFonts w:ascii="Palatino Linotype" w:hAnsi="Palatino Linotype" w:cs="Arial"/>
        </w:rPr>
        <w:lastRenderedPageBreak/>
        <w:t xml:space="preserve">En el caso específico, la </w:t>
      </w:r>
      <w:r w:rsidRPr="00D078A0">
        <w:rPr>
          <w:rFonts w:ascii="Palatino Linotype" w:hAnsi="Palatino Linotype"/>
        </w:rPr>
        <w:t>información</w:t>
      </w:r>
      <w:r w:rsidRPr="00D078A0">
        <w:rPr>
          <w:rFonts w:ascii="Palatino Linotype" w:hAnsi="Palatino Linotype" w:cs="Arial"/>
        </w:rPr>
        <w:t xml:space="preserve"> solicitada pudiera contener datos personales, como lo son los nombres y los domicilios de particulares, que de hacerse públicos afectarían la intimidad y vida privada de determinadas personas; es por ello que deben testarse al momento de la elaboración de versiones públicas; así como, </w:t>
      </w:r>
      <w:r w:rsidRPr="00D078A0">
        <w:rPr>
          <w:rFonts w:ascii="Palatino Linotype" w:eastAsia="Arial Unicode MS" w:hAnsi="Palatino Linotype" w:cs="Arial"/>
          <w:b/>
        </w:rPr>
        <w:t>cualquier otro dato que ponga en riesgo la vida, seguridad y salud de cualquier persona</w:t>
      </w:r>
      <w:r w:rsidRPr="00D078A0">
        <w:rPr>
          <w:rFonts w:ascii="Palatino Linotype" w:hAnsi="Palatino Linotype" w:cs="Arial"/>
          <w:b/>
        </w:rPr>
        <w:t>.</w:t>
      </w:r>
    </w:p>
    <w:p w:rsidR="0023793B" w:rsidRPr="00D078A0" w:rsidRDefault="0023793B" w:rsidP="0023793B">
      <w:pPr>
        <w:spacing w:before="100" w:beforeAutospacing="1" w:after="100" w:afterAutospacing="1" w:line="360" w:lineRule="auto"/>
        <w:contextualSpacing/>
        <w:jc w:val="both"/>
        <w:rPr>
          <w:rFonts w:ascii="Palatino Linotype" w:hAnsi="Palatino Linotype"/>
          <w:color w:val="000000"/>
        </w:rPr>
      </w:pPr>
    </w:p>
    <w:p w:rsidR="005B6F2A" w:rsidRPr="00D078A0" w:rsidRDefault="005B6F2A" w:rsidP="0023793B">
      <w:pPr>
        <w:spacing w:before="100" w:beforeAutospacing="1" w:after="100" w:afterAutospacing="1" w:line="360" w:lineRule="auto"/>
        <w:contextualSpacing/>
        <w:jc w:val="both"/>
        <w:rPr>
          <w:rFonts w:ascii="Palatino Linotype" w:hAnsi="Palatino Linotype" w:cs="Arial"/>
          <w:lang w:val="es-ES_tradnl"/>
        </w:rPr>
      </w:pPr>
      <w:r w:rsidRPr="00D078A0">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D078A0">
        <w:rPr>
          <w:rFonts w:ascii="Palatino Linotype" w:hAnsi="Palatino Linotype" w:cs="Arial"/>
          <w:lang w:val="es-ES_tradnl"/>
        </w:rPr>
        <w:t>mediante las formalidades de Ley, es decir,</w:t>
      </w:r>
      <w:r w:rsidRPr="00D078A0">
        <w:rPr>
          <w:rFonts w:ascii="Palatino Linotype" w:hAnsi="Palatino Linotype" w:cs="Arial"/>
        </w:rPr>
        <w:t xml:space="preserve"> que el Comité de Transparencia del </w:t>
      </w:r>
      <w:r w:rsidRPr="00D078A0">
        <w:rPr>
          <w:rFonts w:ascii="Palatino Linotype" w:hAnsi="Palatino Linotype" w:cs="Arial"/>
          <w:b/>
        </w:rPr>
        <w:t>SUJETO OBLIGADO</w:t>
      </w:r>
      <w:r w:rsidRPr="00D078A0">
        <w:rPr>
          <w:rFonts w:ascii="Palatino Linotype" w:hAnsi="Palatino Linotype" w:cs="Arial"/>
        </w:rPr>
        <w:t xml:space="preserve"> emita el Acuerdo de Clasificación correspondiente</w:t>
      </w:r>
      <w:r w:rsidRPr="00D078A0">
        <w:rPr>
          <w:rFonts w:ascii="Palatino Linotype" w:hAnsi="Palatino Linotype" w:cs="Arial"/>
          <w:lang w:val="es-ES_tradnl"/>
        </w:rPr>
        <w:t xml:space="preserve"> debidamente fundado y motivado, en </w:t>
      </w:r>
      <w:r w:rsidRPr="00D078A0">
        <w:rPr>
          <w:rFonts w:ascii="Palatino Linotype" w:hAnsi="Palatino Linotype" w:cs="Arial"/>
          <w:noProof/>
          <w:lang w:eastAsia="es-MX"/>
        </w:rPr>
        <w:t>términos</w:t>
      </w:r>
      <w:r w:rsidRPr="00D078A0">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23793B" w:rsidRPr="00D078A0" w:rsidRDefault="0023793B" w:rsidP="0023793B">
      <w:pPr>
        <w:spacing w:before="100" w:beforeAutospacing="1" w:after="100" w:afterAutospacing="1"/>
        <w:ind w:left="709" w:right="709"/>
        <w:contextualSpacing/>
        <w:jc w:val="center"/>
        <w:rPr>
          <w:rFonts w:ascii="Palatino Linotype" w:hAnsi="Palatino Linotype" w:cs="Arial"/>
          <w:b/>
          <w:i/>
          <w:sz w:val="22"/>
          <w:szCs w:val="22"/>
        </w:rPr>
      </w:pPr>
    </w:p>
    <w:p w:rsidR="005B6F2A" w:rsidRPr="00D078A0" w:rsidRDefault="005B6F2A" w:rsidP="0023793B">
      <w:pPr>
        <w:spacing w:before="100" w:beforeAutospacing="1" w:after="100" w:afterAutospacing="1"/>
        <w:ind w:left="709" w:right="709"/>
        <w:contextualSpacing/>
        <w:jc w:val="center"/>
        <w:rPr>
          <w:rFonts w:ascii="Palatino Linotype" w:hAnsi="Palatino Linotype" w:cs="Arial"/>
          <w:b/>
          <w:i/>
          <w:sz w:val="22"/>
          <w:szCs w:val="22"/>
        </w:rPr>
      </w:pPr>
      <w:r w:rsidRPr="00D078A0">
        <w:rPr>
          <w:rFonts w:ascii="Palatino Linotype" w:hAnsi="Palatino Linotype" w:cs="Arial"/>
          <w:b/>
          <w:i/>
          <w:sz w:val="22"/>
          <w:szCs w:val="22"/>
        </w:rPr>
        <w:t>Ley de Transparencia y Acceso a la Información Pública del Estado de México y Municipios</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w:t>
      </w:r>
      <w:r w:rsidRPr="00D078A0">
        <w:rPr>
          <w:rFonts w:ascii="Palatino Linotype" w:hAnsi="Palatino Linotype" w:cs="Arial"/>
          <w:b/>
          <w:i/>
          <w:sz w:val="22"/>
          <w:szCs w:val="22"/>
          <w:lang w:eastAsia="es-MX"/>
        </w:rPr>
        <w:t xml:space="preserve">Artículo 49. </w:t>
      </w:r>
      <w:r w:rsidRPr="00D078A0">
        <w:rPr>
          <w:rFonts w:ascii="Palatino Linotype" w:hAnsi="Palatino Linotype" w:cs="Arial"/>
          <w:i/>
          <w:sz w:val="22"/>
          <w:szCs w:val="22"/>
          <w:lang w:eastAsia="es-MX"/>
        </w:rPr>
        <w:t xml:space="preserve">Los </w:t>
      </w:r>
      <w:r w:rsidRPr="00D078A0">
        <w:rPr>
          <w:rFonts w:ascii="Palatino Linotype" w:hAnsi="Palatino Linotype" w:cs="Arial"/>
          <w:i/>
          <w:sz w:val="22"/>
          <w:szCs w:val="22"/>
        </w:rPr>
        <w:t>Comités</w:t>
      </w:r>
      <w:r w:rsidRPr="00D078A0">
        <w:rPr>
          <w:rFonts w:ascii="Palatino Linotype" w:hAnsi="Palatino Linotype" w:cs="Arial"/>
          <w:i/>
          <w:sz w:val="22"/>
          <w:szCs w:val="22"/>
          <w:lang w:eastAsia="es-MX"/>
        </w:rPr>
        <w:t xml:space="preserve"> de Transparencia </w:t>
      </w:r>
      <w:r w:rsidRPr="00D078A0">
        <w:rPr>
          <w:rFonts w:ascii="Palatino Linotype" w:hAnsi="Palatino Linotype"/>
          <w:i/>
          <w:sz w:val="22"/>
          <w:szCs w:val="22"/>
        </w:rPr>
        <w:t>tendrán</w:t>
      </w:r>
      <w:r w:rsidRPr="00D078A0">
        <w:rPr>
          <w:rFonts w:ascii="Palatino Linotype" w:hAnsi="Palatino Linotype" w:cs="Arial"/>
          <w:i/>
          <w:sz w:val="22"/>
          <w:szCs w:val="22"/>
          <w:lang w:eastAsia="es-MX"/>
        </w:rPr>
        <w:t xml:space="preserve"> las siguientes atribuciones:</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VIII.</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Aprobar</w:t>
      </w:r>
      <w:r w:rsidRPr="00D078A0">
        <w:rPr>
          <w:rFonts w:ascii="Palatino Linotype" w:hAnsi="Palatino Linotype" w:cs="Arial"/>
          <w:i/>
          <w:sz w:val="22"/>
          <w:szCs w:val="22"/>
          <w:lang w:eastAsia="es-MX"/>
        </w:rPr>
        <w:t xml:space="preserve">, </w:t>
      </w:r>
      <w:r w:rsidRPr="00D078A0">
        <w:rPr>
          <w:rFonts w:ascii="Palatino Linotype" w:hAnsi="Palatino Linotype" w:cs="Arial"/>
          <w:i/>
          <w:sz w:val="22"/>
          <w:szCs w:val="22"/>
        </w:rPr>
        <w:t>modificar</w:t>
      </w:r>
      <w:r w:rsidRPr="00D078A0">
        <w:rPr>
          <w:rFonts w:ascii="Palatino Linotype" w:hAnsi="Palatino Linotype" w:cs="Arial"/>
          <w:i/>
          <w:sz w:val="22"/>
          <w:szCs w:val="22"/>
          <w:lang w:eastAsia="es-MX"/>
        </w:rPr>
        <w:t xml:space="preserve"> o revocar </w:t>
      </w:r>
      <w:r w:rsidRPr="00D078A0">
        <w:rPr>
          <w:rFonts w:ascii="Palatino Linotype" w:hAnsi="Palatino Linotype" w:cs="Arial"/>
          <w:b/>
          <w:i/>
          <w:sz w:val="22"/>
          <w:szCs w:val="22"/>
          <w:u w:val="single"/>
          <w:lang w:eastAsia="es-MX"/>
        </w:rPr>
        <w:t>la clasificación de la información</w:t>
      </w:r>
      <w:r w:rsidRPr="00D078A0">
        <w:rPr>
          <w:rFonts w:ascii="Palatino Linotype" w:hAnsi="Palatino Linotype" w:cs="Arial"/>
          <w:i/>
          <w:sz w:val="22"/>
          <w:szCs w:val="22"/>
          <w:lang w:eastAsia="es-MX"/>
        </w:rPr>
        <w:t>;</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Artículo 132.</w:t>
      </w:r>
      <w:r w:rsidRPr="00D078A0">
        <w:rPr>
          <w:rFonts w:ascii="Palatino Linotype" w:hAnsi="Palatino Linotype" w:cs="Arial"/>
          <w:i/>
          <w:sz w:val="22"/>
          <w:szCs w:val="22"/>
          <w:lang w:eastAsia="es-MX"/>
        </w:rPr>
        <w:t xml:space="preserve"> La clasificación de la información se llevará a cabo en el momento en que:</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II.</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Se determine mediante resolución de autoridad competente</w:t>
      </w:r>
      <w:r w:rsidRPr="00D078A0">
        <w:rPr>
          <w:rFonts w:ascii="Palatino Linotype" w:hAnsi="Palatino Linotype" w:cs="Arial"/>
          <w:i/>
          <w:sz w:val="22"/>
          <w:szCs w:val="22"/>
          <w:lang w:eastAsia="es-MX"/>
        </w:rPr>
        <w:t>; o</w:t>
      </w:r>
    </w:p>
    <w:p w:rsidR="005B6F2A" w:rsidRPr="00D078A0" w:rsidRDefault="005B6F2A" w:rsidP="0023793B">
      <w:pPr>
        <w:spacing w:before="100" w:beforeAutospacing="1" w:after="100" w:afterAutospacing="1"/>
        <w:ind w:left="709" w:right="709"/>
        <w:contextualSpacing/>
        <w:jc w:val="center"/>
        <w:rPr>
          <w:rFonts w:ascii="Palatino Linotype" w:hAnsi="Palatino Linotype" w:cs="Arial"/>
          <w:b/>
          <w:i/>
          <w:sz w:val="22"/>
          <w:szCs w:val="22"/>
          <w:lang w:eastAsia="es-MX"/>
        </w:rPr>
      </w:pPr>
      <w:r w:rsidRPr="00D078A0">
        <w:rPr>
          <w:rFonts w:ascii="Palatino Linotype" w:hAnsi="Palatino Linotype" w:cs="Arial"/>
          <w:b/>
          <w:i/>
          <w:sz w:val="22"/>
          <w:szCs w:val="22"/>
          <w:lang w:eastAsia="es-MX"/>
        </w:rPr>
        <w:t xml:space="preserve">Lineamientos Generales en materia de Clasificación y Desclasificación de la </w:t>
      </w:r>
      <w:r w:rsidRPr="00D078A0">
        <w:rPr>
          <w:rFonts w:ascii="Palatino Linotype" w:hAnsi="Palatino Linotype" w:cs="Arial"/>
          <w:b/>
          <w:i/>
          <w:sz w:val="22"/>
          <w:szCs w:val="22"/>
        </w:rPr>
        <w:t>Información, así como para la elaboración de Versiones Públicas</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w:t>
      </w:r>
      <w:r w:rsidRPr="00D078A0">
        <w:rPr>
          <w:rFonts w:ascii="Palatino Linotype" w:hAnsi="Palatino Linotype" w:cs="Arial"/>
          <w:b/>
          <w:i/>
          <w:sz w:val="22"/>
          <w:szCs w:val="22"/>
          <w:lang w:eastAsia="es-MX"/>
        </w:rPr>
        <w:t>Cuarto.</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Para clasificar la información como</w:t>
      </w:r>
      <w:r w:rsidRPr="00D078A0">
        <w:rPr>
          <w:rFonts w:ascii="Palatino Linotype" w:hAnsi="Palatino Linotype" w:cs="Arial"/>
          <w:i/>
          <w:sz w:val="22"/>
          <w:szCs w:val="22"/>
          <w:lang w:eastAsia="es-MX"/>
        </w:rPr>
        <w:t xml:space="preserve"> reservada o </w:t>
      </w:r>
      <w:r w:rsidRPr="00D078A0">
        <w:rPr>
          <w:rFonts w:ascii="Palatino Linotype" w:hAnsi="Palatino Linotype" w:cs="Arial"/>
          <w:b/>
          <w:i/>
          <w:sz w:val="22"/>
          <w:szCs w:val="22"/>
          <w:u w:val="single"/>
          <w:lang w:eastAsia="es-MX"/>
        </w:rPr>
        <w:t>confidencial, de manera total</w:t>
      </w:r>
      <w:r w:rsidRPr="00D078A0">
        <w:rPr>
          <w:rFonts w:ascii="Palatino Linotype" w:hAnsi="Palatino Linotype" w:cs="Arial"/>
          <w:i/>
          <w:sz w:val="22"/>
          <w:szCs w:val="22"/>
          <w:lang w:eastAsia="es-MX"/>
        </w:rPr>
        <w:t xml:space="preserve"> o parcial, </w:t>
      </w:r>
      <w:r w:rsidRPr="00D078A0">
        <w:rPr>
          <w:rFonts w:ascii="Palatino Linotype" w:hAnsi="Palatino Linotype" w:cs="Arial"/>
          <w:b/>
          <w:i/>
          <w:sz w:val="22"/>
          <w:szCs w:val="22"/>
          <w:u w:val="single"/>
          <w:lang w:eastAsia="es-MX"/>
        </w:rPr>
        <w:t xml:space="preserve">el titular del </w:t>
      </w:r>
      <w:r w:rsidRPr="00D078A0">
        <w:rPr>
          <w:rFonts w:ascii="Palatino Linotype" w:hAnsi="Palatino Linotype" w:cs="Arial"/>
          <w:b/>
          <w:bCs/>
          <w:i/>
          <w:noProof/>
          <w:sz w:val="22"/>
          <w:szCs w:val="22"/>
          <w:u w:val="single"/>
        </w:rPr>
        <w:t>área</w:t>
      </w:r>
      <w:r w:rsidRPr="00D078A0">
        <w:rPr>
          <w:rFonts w:ascii="Palatino Linotype" w:hAnsi="Palatino Linotype" w:cs="Arial"/>
          <w:b/>
          <w:i/>
          <w:sz w:val="22"/>
          <w:szCs w:val="22"/>
          <w:u w:val="single"/>
          <w:lang w:eastAsia="es-MX"/>
        </w:rPr>
        <w:t xml:space="preserve"> del sujeto </w:t>
      </w:r>
      <w:r w:rsidRPr="00D078A0">
        <w:rPr>
          <w:rFonts w:ascii="Palatino Linotype" w:hAnsi="Palatino Linotype" w:cs="Arial"/>
          <w:b/>
          <w:i/>
          <w:sz w:val="22"/>
          <w:szCs w:val="22"/>
          <w:u w:val="single"/>
        </w:rPr>
        <w:t>obligado</w:t>
      </w:r>
      <w:r w:rsidRPr="00D078A0">
        <w:rPr>
          <w:rFonts w:ascii="Palatino Linotype" w:hAnsi="Palatino Linotype" w:cs="Arial"/>
          <w:b/>
          <w:i/>
          <w:sz w:val="22"/>
          <w:szCs w:val="22"/>
          <w:u w:val="single"/>
          <w:lang w:eastAsia="es-MX"/>
        </w:rPr>
        <w:t xml:space="preserve"> deberá atender lo </w:t>
      </w:r>
      <w:r w:rsidRPr="00D078A0">
        <w:rPr>
          <w:rFonts w:ascii="Palatino Linotype" w:hAnsi="Palatino Linotype" w:cs="Arial"/>
          <w:b/>
          <w:i/>
          <w:sz w:val="22"/>
          <w:szCs w:val="22"/>
          <w:u w:val="single"/>
          <w:lang w:eastAsia="es-MX"/>
        </w:rPr>
        <w:lastRenderedPageBreak/>
        <w:t>dispuesto por el Título Sexto de la Ley General, en relación con las disposiciones contenidas en los presentes lineamientos</w:t>
      </w:r>
      <w:r w:rsidRPr="00D078A0">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 xml:space="preserve">Los sujetos obligados deberán aplicar, de manera estricta, las excepciones al derecho de acceso a la </w:t>
      </w:r>
      <w:r w:rsidRPr="00D078A0">
        <w:rPr>
          <w:rFonts w:ascii="Palatino Linotype" w:hAnsi="Palatino Linotype" w:cs="Arial"/>
          <w:bCs/>
          <w:i/>
          <w:noProof/>
          <w:sz w:val="22"/>
          <w:szCs w:val="22"/>
        </w:rPr>
        <w:t>información</w:t>
      </w:r>
      <w:r w:rsidRPr="00D078A0">
        <w:rPr>
          <w:rFonts w:ascii="Palatino Linotype" w:hAnsi="Palatino Linotype" w:cs="Arial"/>
          <w:i/>
          <w:sz w:val="22"/>
          <w:szCs w:val="22"/>
          <w:lang w:eastAsia="es-MX"/>
        </w:rPr>
        <w:t xml:space="preserve"> y sólo </w:t>
      </w:r>
      <w:r w:rsidRPr="00D078A0">
        <w:rPr>
          <w:rFonts w:ascii="Palatino Linotype" w:hAnsi="Palatino Linotype" w:cs="Arial"/>
          <w:i/>
          <w:sz w:val="22"/>
          <w:szCs w:val="22"/>
        </w:rPr>
        <w:t>podrán</w:t>
      </w:r>
      <w:r w:rsidRPr="00D078A0">
        <w:rPr>
          <w:rFonts w:ascii="Palatino Linotype" w:hAnsi="Palatino Linotype" w:cs="Arial"/>
          <w:i/>
          <w:sz w:val="22"/>
          <w:szCs w:val="22"/>
          <w:lang w:eastAsia="es-MX"/>
        </w:rPr>
        <w:t xml:space="preserve"> invocarlas cuando acrediten su procedencia.</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Quinto.</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D078A0">
        <w:rPr>
          <w:rFonts w:ascii="Palatino Linotype" w:hAnsi="Palatino Linotype" w:cs="Arial"/>
          <w:i/>
          <w:sz w:val="22"/>
          <w:szCs w:val="22"/>
          <w:lang w:eastAsia="es-MX"/>
        </w:rPr>
        <w:t xml:space="preserve"> la Ley General, la Ley Federal y </w:t>
      </w:r>
      <w:r w:rsidRPr="00D078A0">
        <w:rPr>
          <w:rFonts w:ascii="Palatino Linotype" w:hAnsi="Palatino Linotype" w:cs="Arial"/>
          <w:b/>
          <w:i/>
          <w:sz w:val="22"/>
          <w:szCs w:val="22"/>
          <w:u w:val="single"/>
          <w:lang w:eastAsia="es-MX"/>
        </w:rPr>
        <w:t xml:space="preserve">leyes estatales, </w:t>
      </w:r>
      <w:r w:rsidRPr="00D078A0">
        <w:rPr>
          <w:rFonts w:ascii="Palatino Linotype" w:hAnsi="Palatino Linotype" w:cs="Arial"/>
          <w:b/>
          <w:i/>
          <w:sz w:val="22"/>
          <w:szCs w:val="22"/>
          <w:u w:val="single"/>
        </w:rPr>
        <w:t>corresponderá</w:t>
      </w:r>
      <w:r w:rsidRPr="00D078A0">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D078A0">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Sexto.</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Los sujetos obligados no podrán emitir acuerdos de carácter general</w:t>
      </w:r>
      <w:r w:rsidRPr="00D078A0">
        <w:rPr>
          <w:rFonts w:ascii="Palatino Linotype" w:hAnsi="Palatino Linotype" w:cs="Arial"/>
          <w:i/>
          <w:sz w:val="22"/>
          <w:szCs w:val="22"/>
          <w:lang w:eastAsia="es-MX"/>
        </w:rPr>
        <w:t xml:space="preserve"> ni particular que clasifiquen </w:t>
      </w:r>
      <w:r w:rsidRPr="00D078A0">
        <w:rPr>
          <w:rFonts w:ascii="Palatino Linotype" w:hAnsi="Palatino Linotype" w:cs="Arial"/>
          <w:bCs/>
          <w:i/>
          <w:noProof/>
          <w:sz w:val="22"/>
          <w:szCs w:val="22"/>
        </w:rPr>
        <w:t>documentos</w:t>
      </w:r>
      <w:r w:rsidRPr="00D078A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B6F2A" w:rsidRPr="00D078A0" w:rsidRDefault="005B6F2A" w:rsidP="0023793B">
      <w:pPr>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u w:val="single"/>
          <w:lang w:eastAsia="es-MX"/>
        </w:rPr>
        <w:t xml:space="preserve">La clasificación de </w:t>
      </w:r>
      <w:r w:rsidRPr="00D078A0">
        <w:rPr>
          <w:rFonts w:ascii="Palatino Linotype" w:hAnsi="Palatino Linotype" w:cs="Arial"/>
          <w:b/>
          <w:i/>
          <w:sz w:val="22"/>
          <w:szCs w:val="22"/>
          <w:u w:val="single"/>
        </w:rPr>
        <w:t>información</w:t>
      </w:r>
      <w:r w:rsidRPr="00D078A0">
        <w:rPr>
          <w:rFonts w:ascii="Palatino Linotype" w:hAnsi="Palatino Linotype" w:cs="Arial"/>
          <w:b/>
          <w:i/>
          <w:sz w:val="22"/>
          <w:szCs w:val="22"/>
          <w:u w:val="single"/>
          <w:lang w:eastAsia="es-MX"/>
        </w:rPr>
        <w:t xml:space="preserve"> se realizará conforme a un análisis caso por caso</w:t>
      </w:r>
      <w:r w:rsidRPr="00D078A0">
        <w:rPr>
          <w:rFonts w:ascii="Palatino Linotype" w:hAnsi="Palatino Linotype" w:cs="Arial"/>
          <w:i/>
          <w:sz w:val="22"/>
          <w:szCs w:val="22"/>
          <w:lang w:eastAsia="es-MX"/>
        </w:rPr>
        <w:t xml:space="preserve">, mediante la aplicación </w:t>
      </w:r>
      <w:r w:rsidRPr="00D078A0">
        <w:rPr>
          <w:rFonts w:ascii="Palatino Linotype" w:hAnsi="Palatino Linotype" w:cs="Arial"/>
          <w:bCs/>
          <w:i/>
          <w:noProof/>
          <w:sz w:val="22"/>
          <w:szCs w:val="22"/>
        </w:rPr>
        <w:t>de</w:t>
      </w:r>
      <w:r w:rsidRPr="00D078A0">
        <w:rPr>
          <w:rFonts w:ascii="Palatino Linotype" w:hAnsi="Palatino Linotype" w:cs="Arial"/>
          <w:i/>
          <w:sz w:val="22"/>
          <w:szCs w:val="22"/>
          <w:lang w:eastAsia="es-MX"/>
        </w:rPr>
        <w:t xml:space="preserve"> la prueba de daño y de interés público.</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Séptimo.</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 xml:space="preserve">La clasificación </w:t>
      </w:r>
      <w:r w:rsidRPr="00D078A0">
        <w:rPr>
          <w:rFonts w:ascii="Palatino Linotype" w:hAnsi="Palatino Linotype" w:cs="Arial"/>
          <w:b/>
          <w:bCs/>
          <w:i/>
          <w:noProof/>
          <w:sz w:val="22"/>
          <w:szCs w:val="22"/>
          <w:u w:val="single"/>
        </w:rPr>
        <w:t>de</w:t>
      </w:r>
      <w:r w:rsidRPr="00D078A0">
        <w:rPr>
          <w:rFonts w:ascii="Palatino Linotype" w:hAnsi="Palatino Linotype" w:cs="Arial"/>
          <w:b/>
          <w:i/>
          <w:sz w:val="22"/>
          <w:szCs w:val="22"/>
          <w:u w:val="single"/>
          <w:lang w:eastAsia="es-MX"/>
        </w:rPr>
        <w:t xml:space="preserve"> la </w:t>
      </w:r>
      <w:r w:rsidRPr="00D078A0">
        <w:rPr>
          <w:rFonts w:ascii="Palatino Linotype" w:hAnsi="Palatino Linotype" w:cs="Arial"/>
          <w:b/>
          <w:i/>
          <w:sz w:val="22"/>
          <w:szCs w:val="22"/>
          <w:u w:val="single"/>
        </w:rPr>
        <w:t>información</w:t>
      </w:r>
      <w:r w:rsidRPr="00D078A0">
        <w:rPr>
          <w:rFonts w:ascii="Palatino Linotype" w:hAnsi="Palatino Linotype" w:cs="Arial"/>
          <w:b/>
          <w:i/>
          <w:sz w:val="22"/>
          <w:szCs w:val="22"/>
          <w:u w:val="single"/>
          <w:lang w:eastAsia="es-MX"/>
        </w:rPr>
        <w:t xml:space="preserve"> se llevará a cabo en el momento en que</w:t>
      </w:r>
      <w:r w:rsidRPr="00D078A0">
        <w:rPr>
          <w:rFonts w:ascii="Palatino Linotype" w:hAnsi="Palatino Linotype" w:cs="Arial"/>
          <w:i/>
          <w:sz w:val="22"/>
          <w:szCs w:val="22"/>
          <w:lang w:eastAsia="es-MX"/>
        </w:rPr>
        <w:t>:</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I.</w:t>
      </w:r>
      <w:r w:rsidRPr="00D078A0">
        <w:rPr>
          <w:rFonts w:ascii="Palatino Linotype" w:hAnsi="Palatino Linotype" w:cs="Arial"/>
          <w:i/>
          <w:sz w:val="22"/>
          <w:szCs w:val="22"/>
          <w:lang w:eastAsia="es-MX"/>
        </w:rPr>
        <w:t xml:space="preserve"> Se reciba una solicitud de acceso a la información;</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II.</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 xml:space="preserve">Se determine </w:t>
      </w:r>
      <w:r w:rsidRPr="00D078A0">
        <w:rPr>
          <w:rFonts w:ascii="Palatino Linotype" w:hAnsi="Palatino Linotype" w:cs="Arial"/>
          <w:b/>
          <w:bCs/>
          <w:i/>
          <w:noProof/>
          <w:sz w:val="22"/>
          <w:szCs w:val="22"/>
          <w:u w:val="single"/>
        </w:rPr>
        <w:t>mediante</w:t>
      </w:r>
      <w:r w:rsidRPr="00D078A0">
        <w:rPr>
          <w:rFonts w:ascii="Palatino Linotype" w:hAnsi="Palatino Linotype" w:cs="Arial"/>
          <w:b/>
          <w:i/>
          <w:sz w:val="22"/>
          <w:szCs w:val="22"/>
          <w:u w:val="single"/>
          <w:lang w:eastAsia="es-MX"/>
        </w:rPr>
        <w:t xml:space="preserve"> resolución de autoridad competente</w:t>
      </w:r>
      <w:r w:rsidRPr="00D078A0">
        <w:rPr>
          <w:rFonts w:ascii="Palatino Linotype" w:hAnsi="Palatino Linotype" w:cs="Arial"/>
          <w:i/>
          <w:sz w:val="22"/>
          <w:szCs w:val="22"/>
          <w:lang w:eastAsia="es-MX"/>
        </w:rPr>
        <w:t>, o</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III.</w:t>
      </w:r>
      <w:r w:rsidRPr="00D078A0">
        <w:rPr>
          <w:rFonts w:ascii="Palatino Linotype" w:hAnsi="Palatino Linotype" w:cs="Arial"/>
          <w:i/>
          <w:sz w:val="22"/>
          <w:szCs w:val="22"/>
          <w:lang w:eastAsia="es-MX"/>
        </w:rPr>
        <w:t xml:space="preserve"> Se generen </w:t>
      </w:r>
      <w:r w:rsidRPr="00D078A0">
        <w:rPr>
          <w:rFonts w:ascii="Palatino Linotype" w:hAnsi="Palatino Linotype" w:cs="Arial"/>
          <w:bCs/>
          <w:i/>
          <w:noProof/>
          <w:sz w:val="22"/>
          <w:szCs w:val="22"/>
        </w:rPr>
        <w:t>versiones</w:t>
      </w:r>
      <w:r w:rsidRPr="00D078A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 xml:space="preserve">Los titulares de las áreas deberán revisar la clasificación al momento de la recepción de una solicitud de </w:t>
      </w:r>
      <w:r w:rsidRPr="00D078A0">
        <w:rPr>
          <w:rFonts w:ascii="Palatino Linotype" w:hAnsi="Palatino Linotype" w:cs="Arial"/>
          <w:bCs/>
          <w:i/>
          <w:noProof/>
          <w:sz w:val="22"/>
          <w:szCs w:val="22"/>
        </w:rPr>
        <w:t>acceso</w:t>
      </w:r>
      <w:r w:rsidRPr="00D078A0">
        <w:rPr>
          <w:rFonts w:ascii="Palatino Linotype" w:hAnsi="Palatino Linotype" w:cs="Arial"/>
          <w:i/>
          <w:sz w:val="22"/>
          <w:szCs w:val="22"/>
          <w:lang w:eastAsia="es-MX"/>
        </w:rPr>
        <w:t xml:space="preserve"> a la información, para verificar si encuadra en una causal de reserva o de confidencialidad.</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Octavo.</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D078A0">
        <w:rPr>
          <w:rFonts w:ascii="Palatino Linotype" w:hAnsi="Palatino Linotype" w:cs="Arial"/>
          <w:b/>
          <w:bCs/>
          <w:i/>
          <w:noProof/>
          <w:sz w:val="22"/>
          <w:szCs w:val="22"/>
          <w:u w:val="single"/>
        </w:rPr>
        <w:t>expresamente</w:t>
      </w:r>
      <w:r w:rsidRPr="00D078A0">
        <w:rPr>
          <w:rFonts w:ascii="Palatino Linotype" w:hAnsi="Palatino Linotype" w:cs="Arial"/>
          <w:b/>
          <w:i/>
          <w:sz w:val="22"/>
          <w:szCs w:val="22"/>
          <w:u w:val="single"/>
          <w:lang w:eastAsia="es-MX"/>
        </w:rPr>
        <w:t xml:space="preserve"> le otorga el carácter de</w:t>
      </w:r>
      <w:r w:rsidRPr="00D078A0">
        <w:rPr>
          <w:rFonts w:ascii="Palatino Linotype" w:hAnsi="Palatino Linotype" w:cs="Arial"/>
          <w:i/>
          <w:sz w:val="22"/>
          <w:szCs w:val="22"/>
          <w:lang w:eastAsia="es-MX"/>
        </w:rPr>
        <w:t xml:space="preserve"> reservada o </w:t>
      </w:r>
      <w:r w:rsidRPr="00D078A0">
        <w:rPr>
          <w:rFonts w:ascii="Palatino Linotype" w:hAnsi="Palatino Linotype" w:cs="Arial"/>
          <w:b/>
          <w:i/>
          <w:sz w:val="22"/>
          <w:szCs w:val="22"/>
          <w:u w:val="single"/>
          <w:lang w:eastAsia="es-MX"/>
        </w:rPr>
        <w:t>confidencial</w:t>
      </w:r>
      <w:r w:rsidRPr="00D078A0">
        <w:rPr>
          <w:rFonts w:ascii="Palatino Linotype" w:hAnsi="Palatino Linotype" w:cs="Arial"/>
          <w:i/>
          <w:sz w:val="22"/>
          <w:szCs w:val="22"/>
          <w:lang w:eastAsia="es-MX"/>
        </w:rPr>
        <w:t>.</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D078A0">
        <w:rPr>
          <w:rFonts w:ascii="Palatino Linotype" w:hAnsi="Palatino Linotype" w:cs="Arial"/>
          <w:b/>
          <w:i/>
          <w:sz w:val="22"/>
          <w:szCs w:val="22"/>
          <w:u w:val="single"/>
          <w:lang w:eastAsia="es-MX"/>
        </w:rPr>
        <w:t xml:space="preserve">Para </w:t>
      </w:r>
      <w:r w:rsidRPr="00D078A0">
        <w:rPr>
          <w:rFonts w:ascii="Palatino Linotype" w:hAnsi="Palatino Linotype" w:cs="Arial"/>
          <w:b/>
          <w:bCs/>
          <w:i/>
          <w:noProof/>
          <w:sz w:val="22"/>
          <w:szCs w:val="22"/>
          <w:u w:val="single"/>
        </w:rPr>
        <w:t xml:space="preserve">motivar la clasificación se deberán señalar las razones o circunstancias especiales que lo </w:t>
      </w:r>
      <w:r w:rsidRPr="00D078A0">
        <w:rPr>
          <w:rFonts w:ascii="Palatino Linotype" w:hAnsi="Palatino Linotype" w:cs="Arial"/>
          <w:b/>
          <w:i/>
          <w:sz w:val="22"/>
          <w:szCs w:val="22"/>
          <w:u w:val="single"/>
          <w:lang w:eastAsia="es-MX"/>
        </w:rPr>
        <w:t>llevaron</w:t>
      </w:r>
      <w:r w:rsidRPr="00D078A0">
        <w:rPr>
          <w:rFonts w:ascii="Palatino Linotype" w:hAnsi="Palatino Linotype" w:cs="Arial"/>
          <w:b/>
          <w:bCs/>
          <w:i/>
          <w:noProof/>
          <w:sz w:val="22"/>
          <w:szCs w:val="22"/>
          <w:u w:val="single"/>
        </w:rPr>
        <w:t xml:space="preserve"> a concluir que el caso particular se ajusta al supuesto previsto por la norma legal invocada </w:t>
      </w:r>
      <w:r w:rsidRPr="00D078A0">
        <w:rPr>
          <w:rFonts w:ascii="Palatino Linotype" w:hAnsi="Palatino Linotype" w:cs="Arial"/>
          <w:bCs/>
          <w:i/>
          <w:noProof/>
          <w:sz w:val="22"/>
          <w:szCs w:val="22"/>
        </w:rPr>
        <w:t>como fundamento.</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D078A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078A0">
        <w:rPr>
          <w:rFonts w:ascii="Palatino Linotype" w:hAnsi="Palatino Linotype" w:cs="Arial"/>
          <w:i/>
          <w:sz w:val="22"/>
          <w:szCs w:val="22"/>
          <w:lang w:eastAsia="es-MX"/>
        </w:rPr>
        <w:t>de</w:t>
      </w:r>
      <w:r w:rsidRPr="00D078A0">
        <w:rPr>
          <w:rFonts w:ascii="Palatino Linotype" w:hAnsi="Palatino Linotype" w:cs="Arial"/>
          <w:bCs/>
          <w:i/>
          <w:noProof/>
          <w:sz w:val="22"/>
          <w:szCs w:val="22"/>
        </w:rPr>
        <w:t xml:space="preserve"> </w:t>
      </w:r>
      <w:r w:rsidRPr="00D078A0">
        <w:rPr>
          <w:rFonts w:ascii="Palatino Linotype" w:hAnsi="Palatino Linotype" w:cs="Arial"/>
          <w:i/>
          <w:sz w:val="22"/>
          <w:szCs w:val="22"/>
          <w:lang w:eastAsia="es-MX"/>
        </w:rPr>
        <w:t>reserva</w:t>
      </w:r>
      <w:r w:rsidRPr="00D078A0">
        <w:rPr>
          <w:rFonts w:ascii="Palatino Linotype" w:hAnsi="Palatino Linotype" w:cs="Arial"/>
          <w:bCs/>
          <w:i/>
          <w:noProof/>
          <w:sz w:val="22"/>
          <w:szCs w:val="22"/>
        </w:rPr>
        <w:t>.</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D078A0">
        <w:rPr>
          <w:rFonts w:ascii="Palatino Linotype" w:hAnsi="Palatino Linotype" w:cs="Arial"/>
          <w:i/>
          <w:sz w:val="22"/>
          <w:szCs w:val="22"/>
          <w:lang w:eastAsia="es-MX"/>
        </w:rPr>
        <w:lastRenderedPageBreak/>
        <w:t>Tratándose</w:t>
      </w:r>
      <w:r w:rsidRPr="00D078A0">
        <w:rPr>
          <w:rFonts w:ascii="Palatino Linotype" w:hAnsi="Palatino Linotype" w:cs="Arial"/>
          <w:bCs/>
          <w:i/>
          <w:noProof/>
          <w:sz w:val="22"/>
          <w:szCs w:val="22"/>
        </w:rPr>
        <w:t xml:space="preserve"> de información clasificada como confidencial respecto de la cual se haya </w:t>
      </w:r>
      <w:r w:rsidRPr="00D078A0">
        <w:rPr>
          <w:rFonts w:ascii="Palatino Linotype" w:hAnsi="Palatino Linotype" w:cs="Arial"/>
          <w:i/>
          <w:sz w:val="22"/>
          <w:szCs w:val="22"/>
          <w:lang w:eastAsia="es-MX"/>
        </w:rPr>
        <w:t>determinado</w:t>
      </w:r>
      <w:r w:rsidRPr="00D078A0">
        <w:rPr>
          <w:rFonts w:ascii="Palatino Linotype" w:hAnsi="Palatino Linotype" w:cs="Arial"/>
          <w:bCs/>
          <w:i/>
          <w:noProof/>
          <w:sz w:val="22"/>
          <w:szCs w:val="22"/>
        </w:rPr>
        <w:t xml:space="preserve"> </w:t>
      </w:r>
      <w:r w:rsidRPr="00D078A0">
        <w:rPr>
          <w:rFonts w:ascii="Palatino Linotype" w:hAnsi="Palatino Linotype" w:cs="Arial"/>
          <w:i/>
          <w:sz w:val="22"/>
          <w:szCs w:val="22"/>
          <w:lang w:eastAsia="es-MX"/>
        </w:rPr>
        <w:t>su</w:t>
      </w:r>
      <w:r w:rsidRPr="00D078A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Cs/>
          <w:i/>
          <w:noProof/>
          <w:sz w:val="22"/>
          <w:szCs w:val="22"/>
        </w:rPr>
        <w:t>Los documentos contenidos</w:t>
      </w:r>
      <w:r w:rsidRPr="00D078A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Décimo.</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D078A0">
        <w:rPr>
          <w:rFonts w:ascii="Palatino Linotype" w:hAnsi="Palatino Linotype" w:cs="Arial"/>
          <w:b/>
          <w:i/>
          <w:sz w:val="22"/>
          <w:szCs w:val="22"/>
          <w:u w:val="single"/>
        </w:rPr>
        <w:t>documentos</w:t>
      </w:r>
      <w:r w:rsidRPr="00D078A0">
        <w:rPr>
          <w:rFonts w:ascii="Palatino Linotype" w:hAnsi="Palatino Linotype" w:cs="Arial"/>
          <w:b/>
          <w:i/>
          <w:sz w:val="22"/>
          <w:szCs w:val="22"/>
          <w:u w:val="single"/>
          <w:lang w:eastAsia="es-MX"/>
        </w:rPr>
        <w:t xml:space="preserve"> clasificados</w:t>
      </w:r>
      <w:r w:rsidRPr="00D078A0">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078A0">
        <w:rPr>
          <w:rFonts w:ascii="Palatino Linotype" w:hAnsi="Palatino Linotype" w:cs="Arial"/>
          <w:i/>
          <w:sz w:val="22"/>
          <w:szCs w:val="22"/>
        </w:rPr>
        <w:t>que</w:t>
      </w:r>
      <w:r w:rsidRPr="00D078A0">
        <w:rPr>
          <w:rFonts w:ascii="Palatino Linotype" w:hAnsi="Palatino Linotype" w:cs="Arial"/>
          <w:i/>
          <w:sz w:val="22"/>
          <w:szCs w:val="22"/>
          <w:lang w:eastAsia="es-MX"/>
        </w:rPr>
        <w:t xml:space="preserve"> rija la actuación del sujeto obligado.</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Décimo primero.</w:t>
      </w:r>
      <w:r w:rsidRPr="00D078A0">
        <w:rPr>
          <w:rFonts w:ascii="Palatino Linotype" w:hAnsi="Palatino Linotype" w:cs="Arial"/>
          <w:i/>
          <w:sz w:val="22"/>
          <w:szCs w:val="22"/>
          <w:lang w:eastAsia="es-MX"/>
        </w:rPr>
        <w:t xml:space="preserve"> </w:t>
      </w:r>
      <w:r w:rsidRPr="00D078A0">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D078A0">
        <w:rPr>
          <w:rFonts w:ascii="Palatino Linotype" w:hAnsi="Palatino Linotype" w:cs="Arial"/>
          <w:i/>
          <w:sz w:val="22"/>
          <w:szCs w:val="22"/>
          <w:lang w:eastAsia="es-MX"/>
        </w:rPr>
        <w:t xml:space="preserve"> de conformidad con lo dispuesto en el Capítulo VIII de los presentes lineamientos.</w:t>
      </w:r>
    </w:p>
    <w:p w:rsidR="005B6F2A" w:rsidRPr="00D078A0" w:rsidRDefault="005B6F2A" w:rsidP="0023793B">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w:t>
      </w:r>
    </w:p>
    <w:p w:rsidR="005B6F2A" w:rsidRPr="00D078A0" w:rsidRDefault="005B6F2A" w:rsidP="0023793B">
      <w:pPr>
        <w:spacing w:before="100" w:beforeAutospacing="1" w:after="100" w:afterAutospacing="1"/>
        <w:ind w:left="709" w:right="709"/>
        <w:contextualSpacing/>
        <w:jc w:val="center"/>
        <w:rPr>
          <w:rFonts w:ascii="Palatino Linotype" w:hAnsi="Palatino Linotype" w:cs="Arial"/>
          <w:b/>
          <w:i/>
          <w:sz w:val="22"/>
          <w:szCs w:val="22"/>
          <w:lang w:eastAsia="es-MX"/>
        </w:rPr>
      </w:pPr>
      <w:r w:rsidRPr="00D078A0">
        <w:rPr>
          <w:rFonts w:ascii="Palatino Linotype" w:hAnsi="Palatino Linotype" w:cs="Arial"/>
          <w:b/>
          <w:i/>
          <w:sz w:val="22"/>
          <w:szCs w:val="22"/>
          <w:lang w:eastAsia="es-MX"/>
        </w:rPr>
        <w:t>CAPÍTULO VIII</w:t>
      </w:r>
    </w:p>
    <w:p w:rsidR="005B6F2A" w:rsidRPr="00D078A0" w:rsidRDefault="005B6F2A" w:rsidP="0023793B">
      <w:pPr>
        <w:spacing w:before="100" w:beforeAutospacing="1" w:after="100" w:afterAutospacing="1"/>
        <w:ind w:left="709" w:right="709"/>
        <w:contextualSpacing/>
        <w:jc w:val="center"/>
        <w:rPr>
          <w:rFonts w:ascii="Palatino Linotype" w:hAnsi="Palatino Linotype" w:cs="Arial"/>
          <w:b/>
          <w:i/>
          <w:sz w:val="22"/>
          <w:szCs w:val="22"/>
          <w:lang w:eastAsia="es-MX"/>
        </w:rPr>
      </w:pPr>
      <w:r w:rsidRPr="00D078A0">
        <w:rPr>
          <w:rFonts w:ascii="Palatino Linotype" w:hAnsi="Palatino Linotype" w:cs="Arial"/>
          <w:b/>
          <w:i/>
          <w:sz w:val="22"/>
          <w:szCs w:val="22"/>
          <w:lang w:eastAsia="es-MX"/>
        </w:rPr>
        <w:t>DE LA LEYENDA DE CLASIFICACIÓN</w:t>
      </w:r>
    </w:p>
    <w:p w:rsidR="005B6F2A" w:rsidRPr="00D078A0" w:rsidRDefault="005B6F2A" w:rsidP="0023793B">
      <w:pPr>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 xml:space="preserve">Quincuagésimo. </w:t>
      </w:r>
      <w:r w:rsidRPr="00D078A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078A0">
        <w:rPr>
          <w:rFonts w:ascii="Palatino Linotype" w:hAnsi="Palatino Linotype" w:cs="Arial"/>
          <w:i/>
          <w:sz w:val="22"/>
          <w:szCs w:val="22"/>
          <w:lang w:eastAsia="es-MX"/>
        </w:rPr>
        <w:t xml:space="preserve"> para señalar la clasificación de documentos o expedientes, sin perjuicio de que establezcan los propios.</w:t>
      </w:r>
    </w:p>
    <w:p w:rsidR="005B6F2A" w:rsidRPr="00D078A0" w:rsidRDefault="005B6F2A" w:rsidP="0023793B">
      <w:pPr>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i/>
          <w:sz w:val="22"/>
          <w:szCs w:val="22"/>
          <w:lang w:eastAsia="es-MX"/>
        </w:rPr>
        <w:t>[…]</w:t>
      </w:r>
    </w:p>
    <w:p w:rsidR="005B6F2A" w:rsidRPr="00D078A0" w:rsidRDefault="005B6F2A" w:rsidP="0023793B">
      <w:pPr>
        <w:spacing w:before="100" w:beforeAutospacing="1" w:after="100" w:afterAutospacing="1"/>
        <w:ind w:left="709" w:right="709"/>
        <w:contextualSpacing/>
        <w:jc w:val="both"/>
        <w:rPr>
          <w:rFonts w:ascii="Palatino Linotype" w:hAnsi="Palatino Linotype" w:cs="Arial"/>
          <w:i/>
          <w:sz w:val="22"/>
          <w:szCs w:val="22"/>
          <w:lang w:eastAsia="es-MX"/>
        </w:rPr>
      </w:pPr>
      <w:r w:rsidRPr="00D078A0">
        <w:rPr>
          <w:rFonts w:ascii="Palatino Linotype" w:hAnsi="Palatino Linotype" w:cs="Arial"/>
          <w:b/>
          <w:i/>
          <w:sz w:val="22"/>
          <w:szCs w:val="22"/>
          <w:lang w:eastAsia="es-MX"/>
        </w:rPr>
        <w:t xml:space="preserve">Quincuagésimo tercero. </w:t>
      </w:r>
      <w:r w:rsidRPr="00D078A0">
        <w:rPr>
          <w:rFonts w:ascii="Palatino Linotype" w:hAnsi="Palatino Linotype" w:cs="Arial"/>
          <w:b/>
          <w:i/>
          <w:sz w:val="22"/>
          <w:szCs w:val="22"/>
          <w:u w:val="single"/>
          <w:lang w:eastAsia="es-MX"/>
        </w:rPr>
        <w:t>El formato para señalar la clasificación parcial de un documento</w:t>
      </w:r>
      <w:r w:rsidRPr="00D078A0">
        <w:rPr>
          <w:rFonts w:ascii="Palatino Linotype" w:hAnsi="Palatino Linotype" w:cs="Arial"/>
          <w:i/>
          <w:sz w:val="22"/>
          <w:szCs w:val="22"/>
          <w:lang w:eastAsia="es-MX"/>
        </w:rPr>
        <w:t>, es el siguiente:</w:t>
      </w:r>
    </w:p>
    <w:tbl>
      <w:tblPr>
        <w:tblStyle w:val="Tablaconcuadrcula11151"/>
        <w:tblW w:w="0" w:type="auto"/>
        <w:jc w:val="center"/>
        <w:tblLook w:val="04A0" w:firstRow="1" w:lastRow="0" w:firstColumn="1" w:lastColumn="0" w:noHBand="0" w:noVBand="1"/>
      </w:tblPr>
      <w:tblGrid>
        <w:gridCol w:w="1129"/>
        <w:gridCol w:w="1990"/>
        <w:gridCol w:w="4531"/>
      </w:tblGrid>
      <w:tr w:rsidR="005B6F2A" w:rsidRPr="00D078A0" w:rsidTr="005B6F2A">
        <w:trPr>
          <w:jc w:val="center"/>
        </w:trPr>
        <w:tc>
          <w:tcPr>
            <w:tcW w:w="1129" w:type="dxa"/>
            <w:tcBorders>
              <w:top w:val="nil"/>
              <w:left w:val="nil"/>
              <w:bottom w:val="single" w:sz="4" w:space="0" w:color="auto"/>
              <w:right w:val="single" w:sz="4" w:space="0" w:color="auto"/>
            </w:tcBorders>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B6F2A" w:rsidRPr="00D078A0" w:rsidRDefault="005B6F2A" w:rsidP="0023793B">
            <w:pPr>
              <w:spacing w:before="100" w:beforeAutospacing="1" w:after="100" w:afterAutospacing="1"/>
              <w:contextualSpacing/>
              <w:jc w:val="center"/>
              <w:rPr>
                <w:rFonts w:ascii="Palatino Linotype" w:hAnsi="Palatino Linotype"/>
                <w:b/>
                <w:i/>
              </w:rPr>
            </w:pPr>
            <w:r w:rsidRPr="00D078A0">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B6F2A" w:rsidRPr="00D078A0" w:rsidRDefault="005B6F2A" w:rsidP="0023793B">
            <w:pPr>
              <w:spacing w:before="100" w:beforeAutospacing="1" w:after="100" w:afterAutospacing="1"/>
              <w:contextualSpacing/>
              <w:jc w:val="center"/>
              <w:rPr>
                <w:rFonts w:ascii="Palatino Linotype" w:hAnsi="Palatino Linotype"/>
                <w:b/>
                <w:i/>
              </w:rPr>
            </w:pPr>
            <w:r w:rsidRPr="00D078A0">
              <w:rPr>
                <w:rFonts w:ascii="Palatino Linotype" w:hAnsi="Palatino Linotype"/>
                <w:b/>
                <w:i/>
              </w:rPr>
              <w:t>Dónde:</w:t>
            </w:r>
          </w:p>
        </w:tc>
      </w:tr>
      <w:tr w:rsidR="005B6F2A" w:rsidRPr="00D078A0" w:rsidTr="005B6F2A">
        <w:trPr>
          <w:jc w:val="center"/>
        </w:trPr>
        <w:tc>
          <w:tcPr>
            <w:tcW w:w="1129" w:type="dxa"/>
            <w:vMerge w:val="restart"/>
            <w:tcBorders>
              <w:top w:val="single" w:sz="4" w:space="0" w:color="auto"/>
            </w:tcBorders>
            <w:vAlign w:val="center"/>
          </w:tcPr>
          <w:p w:rsidR="005B6F2A" w:rsidRPr="00D078A0" w:rsidRDefault="005B6F2A" w:rsidP="0023793B">
            <w:pPr>
              <w:spacing w:before="100" w:beforeAutospacing="1" w:after="100" w:afterAutospacing="1"/>
              <w:contextualSpacing/>
              <w:jc w:val="center"/>
              <w:rPr>
                <w:rFonts w:ascii="Palatino Linotype" w:hAnsi="Palatino Linotype" w:cs="Arial"/>
                <w:b/>
                <w:i/>
                <w:lang w:eastAsia="es-MX"/>
              </w:rPr>
            </w:pPr>
            <w:r w:rsidRPr="00D078A0">
              <w:rPr>
                <w:rFonts w:ascii="Palatino Linotype" w:hAnsi="Palatino Linotype" w:cs="Arial"/>
                <w:b/>
                <w:i/>
                <w:lang w:eastAsia="es-MX"/>
              </w:rPr>
              <w:t>Sello oficial o logotipo del sujeto obligado</w:t>
            </w:r>
          </w:p>
        </w:tc>
        <w:tc>
          <w:tcPr>
            <w:tcW w:w="1990" w:type="dxa"/>
            <w:tcBorders>
              <w:top w:val="single" w:sz="4" w:space="0" w:color="auto"/>
            </w:tcBorders>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Fecha de clasificación</w:t>
            </w:r>
          </w:p>
        </w:tc>
        <w:tc>
          <w:tcPr>
            <w:tcW w:w="4531" w:type="dxa"/>
            <w:tcBorders>
              <w:top w:val="single" w:sz="4" w:space="0" w:color="auto"/>
            </w:tcBorders>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Se anotará la fecha en la que el Comité de Transparencia confirmó la clasificación del documento, en su caso.</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Área</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Se señalará el nombre del área del cual es titular quien clasifica.</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Información reservada</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Periodo de reserva</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Se anotará el número de años o meses por los que se mantendrá el documento o las partes del mismo como reservado.</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Fundamento legal</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Se señalará el nombre del ordenamiento, el o los artículos, fracción(es), párrafo(s) con base en los cuales se sustente la reserva.</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Ampliación del periodo de reserva</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b/>
                <w:i/>
                <w:u w:val="single"/>
                <w:lang w:eastAsia="es-MX"/>
              </w:rPr>
            </w:pPr>
            <w:r w:rsidRPr="00D078A0">
              <w:rPr>
                <w:rFonts w:ascii="Palatino Linotype" w:hAnsi="Palatino Linotype" w:cs="Arial"/>
                <w:b/>
                <w:i/>
                <w:u w:val="single"/>
                <w:lang w:eastAsia="es-MX"/>
              </w:rPr>
              <w:t>Confidencial</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 xml:space="preserve">Se indicarán, en su caso, </w:t>
            </w:r>
            <w:r w:rsidRPr="00D078A0">
              <w:rPr>
                <w:rFonts w:ascii="Palatino Linotype" w:hAnsi="Palatino Linotype" w:cs="Arial"/>
                <w:b/>
                <w:i/>
                <w:u w:val="single"/>
                <w:lang w:eastAsia="es-MX"/>
              </w:rPr>
              <w:t>las partes o páginas del documento que se clasifica como confidencial</w:t>
            </w:r>
            <w:r w:rsidRPr="00D078A0">
              <w:rPr>
                <w:rFonts w:ascii="Palatino Linotype" w:hAnsi="Palatino Linotype" w:cs="Arial"/>
                <w:i/>
                <w:lang w:eastAsia="es-MX"/>
              </w:rPr>
              <w:t xml:space="preserve">. </w:t>
            </w:r>
            <w:r w:rsidRPr="00D078A0">
              <w:rPr>
                <w:rFonts w:ascii="Palatino Linotype" w:hAnsi="Palatino Linotype" w:cs="Arial"/>
                <w:b/>
                <w:i/>
                <w:u w:val="single"/>
                <w:lang w:eastAsia="es-MX"/>
              </w:rPr>
              <w:t>Si el documento fuera confidencial en su totalidad, se anotarán todas las páginas que lo conforman</w:t>
            </w:r>
            <w:r w:rsidRPr="00D078A0">
              <w:rPr>
                <w:rFonts w:ascii="Palatino Linotype" w:hAnsi="Palatino Linotype" w:cs="Arial"/>
                <w:i/>
                <w:lang w:eastAsia="es-MX"/>
              </w:rPr>
              <w:t>. Si el documento no contiene información confidencial, se tachará este apartado.</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Fundamento legal</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Se señalará el nombre del ordenamiento, el o los artículos, fracción(es), párrafo(s) con base en los cuales se sustente la confidencialidad.</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Rúbrica del titular del área</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Rúbrica autógrafa de quien clasifica.</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Fecha de desclasificación</w:t>
            </w:r>
          </w:p>
        </w:tc>
        <w:tc>
          <w:tcPr>
            <w:tcW w:w="4531" w:type="dxa"/>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r w:rsidRPr="00D078A0">
              <w:rPr>
                <w:rFonts w:ascii="Palatino Linotype" w:hAnsi="Palatino Linotype" w:cs="Arial"/>
                <w:i/>
                <w:lang w:eastAsia="es-MX"/>
              </w:rPr>
              <w:t>Se anotará la fecha en que se desclasifica el documento.</w:t>
            </w:r>
          </w:p>
        </w:tc>
      </w:tr>
      <w:tr w:rsidR="005B6F2A" w:rsidRPr="00D078A0" w:rsidTr="005B6F2A">
        <w:trPr>
          <w:jc w:val="center"/>
        </w:trPr>
        <w:tc>
          <w:tcPr>
            <w:tcW w:w="1129" w:type="dxa"/>
            <w:vMerge/>
          </w:tcPr>
          <w:p w:rsidR="005B6F2A" w:rsidRPr="00D078A0" w:rsidRDefault="005B6F2A" w:rsidP="0023793B">
            <w:pPr>
              <w:spacing w:before="100" w:beforeAutospacing="1" w:after="100" w:afterAutospacing="1"/>
              <w:contextualSpacing/>
              <w:jc w:val="both"/>
              <w:rPr>
                <w:rFonts w:ascii="Palatino Linotype" w:hAnsi="Palatino Linotype" w:cs="Arial"/>
                <w:i/>
                <w:lang w:eastAsia="es-MX"/>
              </w:rPr>
            </w:pPr>
          </w:p>
        </w:tc>
        <w:tc>
          <w:tcPr>
            <w:tcW w:w="1990" w:type="dxa"/>
          </w:tcPr>
          <w:p w:rsidR="005B6F2A" w:rsidRPr="00D078A0" w:rsidRDefault="005B6F2A" w:rsidP="0023793B">
            <w:pPr>
              <w:spacing w:before="100" w:beforeAutospacing="1" w:after="100" w:afterAutospacing="1"/>
              <w:contextualSpacing/>
              <w:jc w:val="center"/>
              <w:rPr>
                <w:rFonts w:ascii="Palatino Linotype" w:hAnsi="Palatino Linotype" w:cs="Arial"/>
                <w:i/>
                <w:lang w:eastAsia="es-MX"/>
              </w:rPr>
            </w:pPr>
            <w:r w:rsidRPr="00D078A0">
              <w:rPr>
                <w:rFonts w:ascii="Palatino Linotype" w:hAnsi="Palatino Linotype" w:cs="Arial"/>
                <w:i/>
                <w:lang w:eastAsia="es-MX"/>
              </w:rPr>
              <w:t>Rúbrica y cargo del servidor público</w:t>
            </w:r>
          </w:p>
        </w:tc>
        <w:tc>
          <w:tcPr>
            <w:tcW w:w="4531" w:type="dxa"/>
            <w:vAlign w:val="center"/>
          </w:tcPr>
          <w:p w:rsidR="005B6F2A" w:rsidRPr="00D078A0" w:rsidRDefault="005B6F2A" w:rsidP="0023793B">
            <w:pPr>
              <w:spacing w:before="100" w:beforeAutospacing="1" w:after="100" w:afterAutospacing="1"/>
              <w:contextualSpacing/>
              <w:rPr>
                <w:rFonts w:ascii="Palatino Linotype" w:hAnsi="Palatino Linotype" w:cs="Arial"/>
                <w:i/>
                <w:lang w:eastAsia="es-MX"/>
              </w:rPr>
            </w:pPr>
            <w:r w:rsidRPr="00D078A0">
              <w:rPr>
                <w:rFonts w:ascii="Palatino Linotype" w:hAnsi="Palatino Linotype" w:cs="Arial"/>
                <w:i/>
                <w:lang w:eastAsia="es-MX"/>
              </w:rPr>
              <w:t>Rúbrica autógrafa de quien desclasifica.</w:t>
            </w:r>
          </w:p>
        </w:tc>
      </w:tr>
    </w:tbl>
    <w:p w:rsidR="005B6F2A" w:rsidRPr="00D078A0" w:rsidRDefault="005B6F2A" w:rsidP="0023793B">
      <w:pPr>
        <w:spacing w:before="100" w:beforeAutospacing="1" w:after="100" w:afterAutospacing="1"/>
        <w:ind w:left="709" w:right="709"/>
        <w:contextualSpacing/>
        <w:jc w:val="both"/>
        <w:rPr>
          <w:rFonts w:ascii="Palatino Linotype" w:hAnsi="Palatino Linotype" w:cs="Arial"/>
          <w:sz w:val="22"/>
          <w:szCs w:val="22"/>
          <w:lang w:eastAsia="es-MX"/>
        </w:rPr>
      </w:pPr>
      <w:r w:rsidRPr="00D078A0">
        <w:rPr>
          <w:rFonts w:ascii="Palatino Linotype" w:hAnsi="Palatino Linotype" w:cs="Arial"/>
          <w:sz w:val="22"/>
          <w:szCs w:val="22"/>
          <w:lang w:eastAsia="es-MX"/>
        </w:rPr>
        <w:t>(Énfasis Añadido)</w:t>
      </w:r>
    </w:p>
    <w:p w:rsidR="0023793B" w:rsidRPr="00D078A0" w:rsidRDefault="0023793B" w:rsidP="0023793B">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p>
    <w:p w:rsidR="00D80D7B" w:rsidRPr="00D078A0" w:rsidRDefault="00D80D7B" w:rsidP="0023793B">
      <w:pPr>
        <w:autoSpaceDE w:val="0"/>
        <w:autoSpaceDN w:val="0"/>
        <w:adjustRightInd w:val="0"/>
        <w:spacing w:before="100" w:beforeAutospacing="1" w:after="100" w:afterAutospacing="1" w:line="360" w:lineRule="auto"/>
        <w:ind w:right="50"/>
        <w:contextualSpacing/>
        <w:jc w:val="both"/>
        <w:rPr>
          <w:rFonts w:ascii="Palatino Linotype" w:eastAsiaTheme="minorEastAsia" w:hAnsi="Palatino Linotype" w:cstheme="minorBidi"/>
          <w:lang w:val="es-ES_tradnl"/>
        </w:rPr>
      </w:pPr>
      <w:r w:rsidRPr="00D078A0">
        <w:rPr>
          <w:rFonts w:ascii="Palatino Linotype" w:eastAsiaTheme="minorEastAsia" w:hAnsi="Palatino Linotype" w:cstheme="minorBidi"/>
          <w:lang w:val="es-ES_tradnl"/>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D078A0">
        <w:rPr>
          <w:rFonts w:ascii="Palatino Linotype" w:hAnsi="Palatino Linotype"/>
        </w:rPr>
        <w:t xml:space="preserve">l número de cuenta bancaria debe ser clasificado como confidencial con fundamento en la fracciones I y II </w:t>
      </w:r>
      <w:r w:rsidRPr="00D078A0">
        <w:rPr>
          <w:rFonts w:ascii="Palatino Linotype" w:hAnsi="Palatino Linotype"/>
        </w:rPr>
        <w:lastRenderedPageBreak/>
        <w:t>del artículo 143 de la Ley de la Materia de la Entidad; en razón de que, con su difusión se estaría poniendo en riesgo la seguridad de su titular.</w:t>
      </w:r>
    </w:p>
    <w:p w:rsidR="00D80D7B" w:rsidRPr="00D078A0" w:rsidRDefault="00D80D7B" w:rsidP="0023793B">
      <w:pPr>
        <w:autoSpaceDE w:val="0"/>
        <w:autoSpaceDN w:val="0"/>
        <w:adjustRightInd w:val="0"/>
        <w:spacing w:before="100" w:beforeAutospacing="1" w:after="100" w:afterAutospacing="1" w:line="360" w:lineRule="auto"/>
        <w:ind w:right="50"/>
        <w:contextualSpacing/>
        <w:jc w:val="both"/>
        <w:rPr>
          <w:rFonts w:ascii="Palatino Linotype" w:hAnsi="Palatino Linotype"/>
        </w:rPr>
      </w:pPr>
    </w:p>
    <w:p w:rsidR="00D80D7B" w:rsidRPr="00D078A0" w:rsidRDefault="00D80D7B" w:rsidP="0023793B">
      <w:pPr>
        <w:autoSpaceDE w:val="0"/>
        <w:autoSpaceDN w:val="0"/>
        <w:adjustRightInd w:val="0"/>
        <w:spacing w:before="100" w:beforeAutospacing="1" w:after="100" w:afterAutospacing="1" w:line="360" w:lineRule="auto"/>
        <w:ind w:right="51"/>
        <w:contextualSpacing/>
        <w:jc w:val="both"/>
        <w:rPr>
          <w:rFonts w:ascii="Palatino Linotype" w:hAnsi="Palatino Linotype"/>
        </w:rPr>
      </w:pPr>
      <w:r w:rsidRPr="00D078A0">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D80D7B" w:rsidRPr="00D078A0" w:rsidRDefault="00D80D7B" w:rsidP="0023793B">
      <w:pPr>
        <w:autoSpaceDE w:val="0"/>
        <w:autoSpaceDN w:val="0"/>
        <w:adjustRightInd w:val="0"/>
        <w:spacing w:before="100" w:beforeAutospacing="1" w:after="100" w:afterAutospacing="1" w:line="360" w:lineRule="auto"/>
        <w:ind w:right="51"/>
        <w:contextualSpacing/>
        <w:jc w:val="both"/>
        <w:rPr>
          <w:rFonts w:ascii="Palatino Linotype" w:hAnsi="Palatino Linotype"/>
        </w:rPr>
      </w:pPr>
    </w:p>
    <w:p w:rsidR="00D80D7B" w:rsidRPr="00D078A0" w:rsidRDefault="00D80D7B" w:rsidP="0023793B">
      <w:pPr>
        <w:autoSpaceDE w:val="0"/>
        <w:autoSpaceDN w:val="0"/>
        <w:adjustRightInd w:val="0"/>
        <w:spacing w:before="100" w:beforeAutospacing="1" w:after="100" w:afterAutospacing="1" w:line="360" w:lineRule="auto"/>
        <w:ind w:right="50"/>
        <w:contextualSpacing/>
        <w:jc w:val="both"/>
        <w:rPr>
          <w:rFonts w:ascii="Palatino Linotype" w:hAnsi="Palatino Linotype"/>
        </w:rPr>
      </w:pPr>
      <w:r w:rsidRPr="00D078A0">
        <w:rPr>
          <w:rFonts w:ascii="Palatino Linotype" w:hAnsi="Palatino Linotype"/>
        </w:rPr>
        <w:t>Lo anterior encuentra sustento en el criterio 10/17 emitido por el Instituto Nacional de Transparencia y Acceso a la Información Pública del Estado de México y Municipios, que a la letra dicen:</w:t>
      </w:r>
    </w:p>
    <w:p w:rsidR="00D80D7B" w:rsidRPr="00D078A0" w:rsidRDefault="00D80D7B" w:rsidP="0023793B">
      <w:pPr>
        <w:autoSpaceDE w:val="0"/>
        <w:autoSpaceDN w:val="0"/>
        <w:adjustRightInd w:val="0"/>
        <w:spacing w:before="100" w:beforeAutospacing="1" w:after="100" w:afterAutospacing="1"/>
        <w:ind w:right="50"/>
        <w:contextualSpacing/>
        <w:jc w:val="both"/>
        <w:rPr>
          <w:rFonts w:ascii="Palatino Linotype" w:hAnsi="Palatino Linotype"/>
          <w:sz w:val="22"/>
          <w:szCs w:val="22"/>
        </w:rPr>
      </w:pPr>
    </w:p>
    <w:p w:rsidR="00D80D7B" w:rsidRPr="00D078A0" w:rsidRDefault="00D80D7B" w:rsidP="0023793B">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078A0">
        <w:rPr>
          <w:rFonts w:ascii="Palatino Linotype" w:hAnsi="Palatino Linotype"/>
          <w:b/>
          <w:i/>
          <w:sz w:val="22"/>
          <w:szCs w:val="22"/>
        </w:rPr>
        <w:t>“Cuentas bancarias y/o CLABE interbancaria de personas físicas y morales privadas.</w:t>
      </w:r>
      <w:r w:rsidRPr="00D078A0">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D80D7B" w:rsidRPr="00D078A0" w:rsidRDefault="00D80D7B" w:rsidP="0023793B">
      <w:pPr>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p>
    <w:p w:rsidR="00D80D7B" w:rsidRPr="00D078A0" w:rsidRDefault="00D80D7B" w:rsidP="0023793B">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078A0">
        <w:rPr>
          <w:rFonts w:ascii="Palatino Linotype" w:hAnsi="Palatino Linotype"/>
          <w:b/>
          <w:i/>
          <w:sz w:val="22"/>
          <w:szCs w:val="22"/>
        </w:rPr>
        <w:t xml:space="preserve">Resoluciones: </w:t>
      </w:r>
    </w:p>
    <w:p w:rsidR="00D80D7B" w:rsidRPr="00D078A0" w:rsidRDefault="00D80D7B" w:rsidP="0023793B">
      <w:pPr>
        <w:numPr>
          <w:ilvl w:val="0"/>
          <w:numId w:val="12"/>
        </w:numPr>
        <w:autoSpaceDE w:val="0"/>
        <w:autoSpaceDN w:val="0"/>
        <w:adjustRightInd w:val="0"/>
        <w:spacing w:before="100" w:beforeAutospacing="1" w:after="100" w:afterAutospacing="1"/>
        <w:ind w:left="1276" w:right="902" w:hanging="283"/>
        <w:contextualSpacing/>
        <w:jc w:val="both"/>
        <w:rPr>
          <w:rFonts w:ascii="Palatino Linotype" w:hAnsi="Palatino Linotype"/>
          <w:i/>
          <w:sz w:val="22"/>
          <w:szCs w:val="22"/>
        </w:rPr>
      </w:pPr>
      <w:r w:rsidRPr="00D078A0">
        <w:rPr>
          <w:rFonts w:ascii="Palatino Linotype" w:hAnsi="Palatino Linotype"/>
          <w:b/>
          <w:i/>
          <w:sz w:val="22"/>
          <w:szCs w:val="22"/>
        </w:rPr>
        <w:t>RRA 1276/16</w:t>
      </w:r>
      <w:r w:rsidRPr="00D078A0">
        <w:rPr>
          <w:rFonts w:ascii="Palatino Linotype" w:hAnsi="Palatino Linotype"/>
          <w:i/>
          <w:sz w:val="22"/>
          <w:szCs w:val="22"/>
        </w:rPr>
        <w:t xml:space="preserve"> Grupo Aeroportuario de la Ciudad de México. S.A. de C.V. 01 de noviembre de 2016. Por unanimidad. Comisionada Ponente Areli Cano Guadiana. </w:t>
      </w:r>
    </w:p>
    <w:p w:rsidR="00D80D7B" w:rsidRPr="00D078A0" w:rsidRDefault="00D80D7B" w:rsidP="0023793B">
      <w:pPr>
        <w:numPr>
          <w:ilvl w:val="0"/>
          <w:numId w:val="12"/>
        </w:numPr>
        <w:autoSpaceDE w:val="0"/>
        <w:autoSpaceDN w:val="0"/>
        <w:adjustRightInd w:val="0"/>
        <w:spacing w:before="100" w:beforeAutospacing="1" w:after="100" w:afterAutospacing="1"/>
        <w:ind w:left="1276" w:right="902" w:hanging="283"/>
        <w:contextualSpacing/>
        <w:jc w:val="both"/>
        <w:rPr>
          <w:rFonts w:ascii="Palatino Linotype" w:hAnsi="Palatino Linotype"/>
          <w:i/>
          <w:sz w:val="22"/>
          <w:szCs w:val="22"/>
        </w:rPr>
      </w:pPr>
      <w:r w:rsidRPr="00D078A0">
        <w:rPr>
          <w:rFonts w:ascii="Palatino Linotype" w:hAnsi="Palatino Linotype"/>
          <w:b/>
          <w:i/>
          <w:sz w:val="22"/>
          <w:szCs w:val="22"/>
        </w:rPr>
        <w:lastRenderedPageBreak/>
        <w:t>RRA 3527/16</w:t>
      </w:r>
      <w:r w:rsidRPr="00D078A0">
        <w:rPr>
          <w:rFonts w:ascii="Palatino Linotype" w:hAnsi="Palatino Linotype"/>
          <w:i/>
          <w:sz w:val="22"/>
          <w:szCs w:val="22"/>
        </w:rPr>
        <w:t xml:space="preserve"> Servicio de Administración Tributaria. 07 de diciembre de 2016. Por unanimidad. Comisionada Ponente Ximena Puente de la Mora. </w:t>
      </w:r>
    </w:p>
    <w:p w:rsidR="00D80D7B" w:rsidRPr="00D078A0" w:rsidRDefault="00D80D7B" w:rsidP="0023793B">
      <w:pPr>
        <w:numPr>
          <w:ilvl w:val="0"/>
          <w:numId w:val="12"/>
        </w:numPr>
        <w:autoSpaceDE w:val="0"/>
        <w:autoSpaceDN w:val="0"/>
        <w:adjustRightInd w:val="0"/>
        <w:spacing w:before="100" w:beforeAutospacing="1" w:after="100" w:afterAutospacing="1"/>
        <w:ind w:left="1276" w:right="902" w:hanging="283"/>
        <w:contextualSpacing/>
        <w:jc w:val="both"/>
        <w:rPr>
          <w:rFonts w:ascii="Palatino Linotype" w:hAnsi="Palatino Linotype"/>
          <w:i/>
          <w:sz w:val="22"/>
          <w:szCs w:val="22"/>
        </w:rPr>
      </w:pPr>
      <w:r w:rsidRPr="00D078A0">
        <w:rPr>
          <w:rFonts w:ascii="Palatino Linotype" w:hAnsi="Palatino Linotype"/>
          <w:b/>
          <w:i/>
          <w:sz w:val="22"/>
          <w:szCs w:val="22"/>
        </w:rPr>
        <w:t>RRA 4404/16</w:t>
      </w:r>
      <w:r w:rsidRPr="00D078A0">
        <w:rPr>
          <w:rFonts w:ascii="Palatino Linotype" w:hAnsi="Palatino Linotype"/>
          <w:i/>
          <w:sz w:val="22"/>
          <w:szCs w:val="22"/>
        </w:rPr>
        <w:t xml:space="preserve"> Partido del Trabajo. 01 de febrero de 2017. Por unanimidad. Comisionado Ponente Francisco Acuña Llamas.”</w:t>
      </w:r>
    </w:p>
    <w:p w:rsidR="00D80D7B" w:rsidRPr="00D078A0" w:rsidRDefault="00D80D7B" w:rsidP="0023793B">
      <w:pPr>
        <w:autoSpaceDE w:val="0"/>
        <w:autoSpaceDN w:val="0"/>
        <w:adjustRightInd w:val="0"/>
        <w:spacing w:before="100" w:beforeAutospacing="1" w:after="100" w:afterAutospacing="1"/>
        <w:ind w:left="851" w:right="899"/>
        <w:contextualSpacing/>
        <w:jc w:val="center"/>
        <w:rPr>
          <w:rFonts w:ascii="Palatino Linotype" w:hAnsi="Palatino Linotype"/>
          <w:b/>
          <w:i/>
          <w:sz w:val="22"/>
          <w:szCs w:val="22"/>
        </w:rPr>
      </w:pPr>
    </w:p>
    <w:p w:rsidR="00D80D7B" w:rsidRPr="00D078A0" w:rsidRDefault="00D80D7B" w:rsidP="0023793B">
      <w:pPr>
        <w:autoSpaceDE w:val="0"/>
        <w:autoSpaceDN w:val="0"/>
        <w:adjustRightInd w:val="0"/>
        <w:spacing w:before="100" w:beforeAutospacing="1" w:after="100" w:afterAutospacing="1" w:line="360" w:lineRule="auto"/>
        <w:ind w:right="50"/>
        <w:contextualSpacing/>
        <w:jc w:val="both"/>
        <w:rPr>
          <w:rFonts w:ascii="Palatino Linotype" w:hAnsi="Palatino Linotype"/>
        </w:rPr>
      </w:pPr>
      <w:r w:rsidRPr="00D078A0">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D80D7B" w:rsidRPr="00D078A0" w:rsidRDefault="00D80D7B" w:rsidP="0023793B">
      <w:pPr>
        <w:autoSpaceDE w:val="0"/>
        <w:autoSpaceDN w:val="0"/>
        <w:adjustRightInd w:val="0"/>
        <w:spacing w:before="100" w:beforeAutospacing="1" w:after="100" w:afterAutospacing="1"/>
        <w:ind w:right="50"/>
        <w:contextualSpacing/>
        <w:jc w:val="both"/>
        <w:rPr>
          <w:rFonts w:ascii="Palatino Linotype" w:hAnsi="Palatino Linotype"/>
          <w:sz w:val="14"/>
          <w:szCs w:val="14"/>
        </w:rPr>
      </w:pPr>
    </w:p>
    <w:p w:rsidR="00D80D7B" w:rsidRPr="00D078A0" w:rsidRDefault="00D80D7B" w:rsidP="0023793B">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078A0">
        <w:rPr>
          <w:rFonts w:ascii="Palatino Linotype" w:hAnsi="Palatino Linotype"/>
          <w:i/>
          <w:sz w:val="22"/>
          <w:szCs w:val="22"/>
        </w:rPr>
        <w:t>“</w:t>
      </w:r>
      <w:r w:rsidRPr="00D078A0">
        <w:rPr>
          <w:rFonts w:ascii="Palatino Linotype" w:hAnsi="Palatino Linotype"/>
          <w:b/>
          <w:i/>
          <w:sz w:val="22"/>
          <w:szCs w:val="22"/>
        </w:rPr>
        <w:t>Cuentas bancarias y/o CLABE interbancaria de sujetos obligados que reciben y/o transfieren recursos públicos, son información pública.</w:t>
      </w:r>
      <w:r w:rsidRPr="00D078A0">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D80D7B" w:rsidRPr="00D078A0" w:rsidRDefault="00D80D7B" w:rsidP="0023793B">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D078A0">
        <w:rPr>
          <w:rFonts w:ascii="Palatino Linotype" w:hAnsi="Palatino Linotype"/>
          <w:b/>
          <w:i/>
          <w:sz w:val="22"/>
          <w:szCs w:val="22"/>
        </w:rPr>
        <w:t xml:space="preserve">Resoluciones: </w:t>
      </w:r>
    </w:p>
    <w:p w:rsidR="00D80D7B" w:rsidRPr="00D078A0" w:rsidRDefault="00D80D7B" w:rsidP="0023793B">
      <w:pPr>
        <w:numPr>
          <w:ilvl w:val="0"/>
          <w:numId w:val="12"/>
        </w:numPr>
        <w:autoSpaceDE w:val="0"/>
        <w:autoSpaceDN w:val="0"/>
        <w:adjustRightInd w:val="0"/>
        <w:spacing w:before="100" w:beforeAutospacing="1" w:after="100" w:afterAutospacing="1" w:line="264" w:lineRule="auto"/>
        <w:ind w:left="1276" w:right="899" w:hanging="283"/>
        <w:contextualSpacing/>
        <w:jc w:val="both"/>
        <w:rPr>
          <w:rFonts w:ascii="Palatino Linotype" w:hAnsi="Palatino Linotype"/>
          <w:i/>
          <w:sz w:val="22"/>
          <w:szCs w:val="22"/>
        </w:rPr>
      </w:pPr>
      <w:r w:rsidRPr="00D078A0">
        <w:rPr>
          <w:rFonts w:ascii="Palatino Linotype" w:hAnsi="Palatino Linotype"/>
          <w:b/>
          <w:i/>
          <w:sz w:val="22"/>
          <w:szCs w:val="22"/>
        </w:rPr>
        <w:t>RRA 0448/16.</w:t>
      </w:r>
      <w:r w:rsidRPr="00D078A0">
        <w:rPr>
          <w:rFonts w:ascii="Palatino Linotype" w:hAnsi="Palatino Linotype"/>
          <w:i/>
          <w:sz w:val="22"/>
          <w:szCs w:val="22"/>
        </w:rPr>
        <w:t xml:space="preserve"> NOTIMEX, Agencia de Noticias del Estado Mexicano. 24 de agosto de 2016. Por unanimidad. Comisionado Ponente Joel Salas Suárez. </w:t>
      </w:r>
    </w:p>
    <w:p w:rsidR="00D80D7B" w:rsidRPr="00D078A0" w:rsidRDefault="00D80D7B" w:rsidP="0023793B">
      <w:pPr>
        <w:numPr>
          <w:ilvl w:val="0"/>
          <w:numId w:val="12"/>
        </w:numPr>
        <w:autoSpaceDE w:val="0"/>
        <w:autoSpaceDN w:val="0"/>
        <w:adjustRightInd w:val="0"/>
        <w:spacing w:before="100" w:beforeAutospacing="1" w:after="100" w:afterAutospacing="1" w:line="264" w:lineRule="auto"/>
        <w:ind w:left="1276" w:right="899" w:hanging="283"/>
        <w:contextualSpacing/>
        <w:jc w:val="both"/>
        <w:rPr>
          <w:rFonts w:ascii="Palatino Linotype" w:hAnsi="Palatino Linotype"/>
          <w:i/>
          <w:sz w:val="22"/>
          <w:szCs w:val="22"/>
        </w:rPr>
      </w:pPr>
      <w:r w:rsidRPr="00D078A0">
        <w:rPr>
          <w:rFonts w:ascii="Palatino Linotype" w:hAnsi="Palatino Linotype"/>
          <w:b/>
          <w:i/>
          <w:sz w:val="22"/>
          <w:szCs w:val="22"/>
        </w:rPr>
        <w:t>RRA 2787/16.</w:t>
      </w:r>
      <w:r w:rsidRPr="00D078A0">
        <w:rPr>
          <w:rFonts w:ascii="Palatino Linotype" w:hAnsi="Palatino Linotype"/>
          <w:i/>
          <w:sz w:val="22"/>
          <w:szCs w:val="22"/>
        </w:rPr>
        <w:t xml:space="preserve"> Colegio de Postgraduados. 01 de noviembre de 2016. Por unanimidad. Comisionado Ponente Francisco Javier Acuña Llamas. </w:t>
      </w:r>
    </w:p>
    <w:p w:rsidR="00D80D7B" w:rsidRPr="00D078A0" w:rsidRDefault="00D80D7B" w:rsidP="0023793B">
      <w:pPr>
        <w:numPr>
          <w:ilvl w:val="0"/>
          <w:numId w:val="12"/>
        </w:numPr>
        <w:autoSpaceDE w:val="0"/>
        <w:autoSpaceDN w:val="0"/>
        <w:adjustRightInd w:val="0"/>
        <w:spacing w:before="100" w:beforeAutospacing="1" w:after="100" w:afterAutospacing="1" w:line="264" w:lineRule="auto"/>
        <w:ind w:left="1276" w:right="899" w:hanging="283"/>
        <w:contextualSpacing/>
        <w:jc w:val="both"/>
        <w:rPr>
          <w:rFonts w:ascii="Palatino Linotype" w:hAnsi="Palatino Linotype"/>
          <w:i/>
          <w:sz w:val="22"/>
          <w:szCs w:val="22"/>
        </w:rPr>
      </w:pPr>
      <w:r w:rsidRPr="00D078A0">
        <w:rPr>
          <w:rFonts w:ascii="Palatino Linotype" w:hAnsi="Palatino Linotype"/>
          <w:b/>
          <w:i/>
          <w:sz w:val="22"/>
          <w:szCs w:val="22"/>
        </w:rPr>
        <w:t>RRA 4756/16.</w:t>
      </w:r>
      <w:r w:rsidRPr="00D078A0">
        <w:rPr>
          <w:rFonts w:ascii="Palatino Linotype" w:hAnsi="Palatino Linotype"/>
          <w:i/>
          <w:sz w:val="22"/>
          <w:szCs w:val="22"/>
        </w:rPr>
        <w:t xml:space="preserve"> Instituto Mexicano del Seguro Social. 08 de febrero de 2017. Por unanimidad. Comisionado Ponente Oscar Mauricio Guerra Ford. “</w:t>
      </w:r>
    </w:p>
    <w:p w:rsidR="0023793B" w:rsidRPr="00D078A0" w:rsidRDefault="0023793B" w:rsidP="0023793B">
      <w:pPr>
        <w:spacing w:before="100" w:beforeAutospacing="1" w:after="100" w:afterAutospacing="1" w:line="360" w:lineRule="auto"/>
        <w:contextualSpacing/>
        <w:jc w:val="both"/>
        <w:rPr>
          <w:rFonts w:ascii="Palatino Linotype" w:hAnsi="Palatino Linotype" w:cs="Arial"/>
          <w:lang w:val="es-ES_tradnl"/>
        </w:rPr>
      </w:pPr>
    </w:p>
    <w:p w:rsidR="00D80D7B" w:rsidRPr="00D078A0" w:rsidRDefault="00D80D7B"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lang w:val="es-ES_tradnl"/>
        </w:rPr>
        <w:t xml:space="preserve">Por ende, en el presente caso, </w:t>
      </w:r>
      <w:r w:rsidRPr="00D078A0">
        <w:rPr>
          <w:rFonts w:ascii="Palatino Linotype" w:hAnsi="Palatino Linotype" w:cs="Arial"/>
          <w:b/>
          <w:lang w:val="es-ES_tradnl"/>
        </w:rPr>
        <w:t>EL SUJETO OBLIGADO</w:t>
      </w:r>
      <w:r w:rsidRPr="00D078A0">
        <w:rPr>
          <w:rFonts w:ascii="Palatino Linotype" w:hAnsi="Palatino Linotype" w:cs="Arial"/>
          <w:lang w:val="es-ES_tradnl"/>
        </w:rPr>
        <w:t xml:space="preserve"> debe testar el número de cuenta bancaria de personas física y morales privadas que aparecen en los documentos com</w:t>
      </w:r>
      <w:r w:rsidR="0023793B" w:rsidRPr="00D078A0">
        <w:rPr>
          <w:rFonts w:ascii="Palatino Linotype" w:hAnsi="Palatino Linotype" w:cs="Arial"/>
          <w:lang w:val="es-ES_tradnl"/>
        </w:rPr>
        <w:t>probatorios de los pagos ralizados.</w:t>
      </w:r>
    </w:p>
    <w:p w:rsidR="00D80D7B" w:rsidRPr="00D078A0" w:rsidRDefault="00D80D7B" w:rsidP="0023793B">
      <w:pPr>
        <w:spacing w:before="100" w:beforeAutospacing="1" w:after="100" w:afterAutospacing="1" w:line="360" w:lineRule="auto"/>
        <w:contextualSpacing/>
        <w:jc w:val="both"/>
        <w:rPr>
          <w:rFonts w:ascii="Palatino Linotype" w:hAnsi="Palatino Linotype" w:cs="Arial"/>
        </w:rPr>
      </w:pPr>
    </w:p>
    <w:p w:rsidR="005B6F2A" w:rsidRPr="00D078A0" w:rsidRDefault="005B6F2A"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 xml:space="preserve">Finalmente, este Órgano Garante de la Protección de Datos Personales no omite mencionar que, si dentro de la información que se ordena su entrega, </w:t>
      </w:r>
      <w:r w:rsidRPr="00D078A0">
        <w:rPr>
          <w:rFonts w:ascii="Palatino Linotype" w:hAnsi="Palatino Linotype" w:cs="Arial"/>
          <w:b/>
        </w:rPr>
        <w:t xml:space="preserve">EL SUJETO </w:t>
      </w:r>
      <w:r w:rsidRPr="00D078A0">
        <w:rPr>
          <w:rFonts w:ascii="Palatino Linotype" w:hAnsi="Palatino Linotype" w:cs="Arial"/>
          <w:b/>
        </w:rPr>
        <w:lastRenderedPageBreak/>
        <w:t xml:space="preserve">OBLIGADO </w:t>
      </w:r>
      <w:r w:rsidRPr="00D078A0">
        <w:rPr>
          <w:rFonts w:ascii="Palatino Linotype" w:hAnsi="Palatino Linotype" w:cs="Arial"/>
        </w:rPr>
        <w:t>advierte documentos que por su propia y especial naturaleza son privados, de conformidad con el artículo 3, fracción XIII de la Ley de Transparencia y Acceso a la Información Pública del Estado de México y Municipios, deberá efectuar el Acuerdo de Clasificación como confidencial, en términos de la legislación aplicable.</w:t>
      </w:r>
    </w:p>
    <w:p w:rsidR="0023793B" w:rsidRPr="00D078A0" w:rsidRDefault="005B6F2A"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Por lo tanto,</w:t>
      </w:r>
      <w:r w:rsidRPr="00D078A0">
        <w:rPr>
          <w:rFonts w:ascii="Palatino Linotype" w:hAnsi="Palatino Linotype"/>
        </w:rPr>
        <w:t xml:space="preserve"> es importante referir que </w:t>
      </w:r>
      <w:r w:rsidRPr="00D078A0">
        <w:rPr>
          <w:rFonts w:ascii="Palatino Linotype" w:hAnsi="Palatino Linotype"/>
          <w:b/>
        </w:rPr>
        <w:t>EL SUJETO OBLIGADO</w:t>
      </w:r>
      <w:r w:rsidRPr="00D078A0">
        <w:rPr>
          <w:rFonts w:ascii="Palatino Linotype" w:hAnsi="Palatino Linotype"/>
        </w:rPr>
        <w:t xml:space="preserve"> deberá seguir el procedimiento legal establecido para su </w:t>
      </w:r>
      <w:r w:rsidRPr="00D078A0">
        <w:rPr>
          <w:rFonts w:ascii="Palatino Linotype" w:hAnsi="Palatino Linotype"/>
          <w:lang w:eastAsia="es-MX"/>
        </w:rPr>
        <w:t>clasificación</w:t>
      </w:r>
      <w:r w:rsidRPr="00D078A0">
        <w:rPr>
          <w:rFonts w:ascii="Palatino Linotype" w:hAnsi="Palatino Linotype"/>
        </w:rPr>
        <w:t>, esto es, que su Comité de</w:t>
      </w:r>
      <w:r w:rsidRPr="00D078A0">
        <w:rPr>
          <w:rFonts w:ascii="Palatino Linotype" w:hAnsi="Palatino Linotype" w:cs="Arial"/>
        </w:rPr>
        <w:t xml:space="preserve"> Transparencia emita </w:t>
      </w:r>
      <w:r w:rsidRPr="00D078A0">
        <w:rPr>
          <w:rFonts w:ascii="Palatino Linotype" w:hAnsi="Palatino Linotype" w:cs="Arial"/>
          <w:lang w:val="es-ES_tradnl"/>
        </w:rPr>
        <w:t>un</w:t>
      </w:r>
      <w:r w:rsidRPr="00D078A0">
        <w:rPr>
          <w:rFonts w:ascii="Palatino Linotype" w:hAnsi="Palatino Linotype" w:cs="Arial"/>
        </w:rPr>
        <w:t xml:space="preserve"> Acuerdo de Clasificación que cumpla con las formalidades antes citadas</w:t>
      </w:r>
      <w:r w:rsidRPr="00D078A0">
        <w:rPr>
          <w:rFonts w:ascii="Palatino Linotype" w:hAnsi="Palatino Linotype" w:cs="Arial"/>
          <w:b/>
        </w:rPr>
        <w:t xml:space="preserve"> </w:t>
      </w:r>
      <w:r w:rsidRPr="00D078A0">
        <w:rPr>
          <w:rFonts w:ascii="Palatino Linotype" w:hAnsi="Palatino Linotype" w:cs="Arial"/>
        </w:rPr>
        <w:t xml:space="preserve">que la sustente, en el </w:t>
      </w:r>
      <w:r w:rsidRPr="00D078A0">
        <w:rPr>
          <w:rFonts w:ascii="Palatino Linotype" w:hAnsi="Palatino Linotype" w:cs="Arial"/>
          <w:lang w:eastAsia="es-MX"/>
        </w:rPr>
        <w:t>que</w:t>
      </w:r>
      <w:r w:rsidRPr="00D078A0">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23793B" w:rsidRPr="00D078A0" w:rsidRDefault="0023793B" w:rsidP="0023793B">
      <w:pPr>
        <w:spacing w:before="100" w:beforeAutospacing="1" w:after="100" w:afterAutospacing="1" w:line="360" w:lineRule="auto"/>
        <w:contextualSpacing/>
        <w:jc w:val="both"/>
        <w:rPr>
          <w:rFonts w:ascii="Palatino Linotype" w:hAnsi="Palatino Linotype" w:cs="Arial"/>
        </w:rPr>
      </w:pPr>
    </w:p>
    <w:p w:rsidR="00F025BE" w:rsidRPr="00D078A0" w:rsidRDefault="00F025BE" w:rsidP="0023793B">
      <w:pPr>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lang w:eastAsia="es-MX"/>
        </w:rPr>
        <w:t xml:space="preserve">Atento a lo anterior, se </w:t>
      </w:r>
      <w:r w:rsidRPr="00D078A0">
        <w:rPr>
          <w:rFonts w:ascii="Palatino Linotype" w:hAnsi="Palatino Linotype" w:cs="Arial"/>
          <w:b/>
          <w:lang w:eastAsia="es-MX"/>
        </w:rPr>
        <w:t xml:space="preserve">ORDENA </w:t>
      </w:r>
      <w:r w:rsidRPr="00D078A0">
        <w:rPr>
          <w:rFonts w:ascii="Palatino Linotype" w:hAnsi="Palatino Linotype" w:cs="Arial"/>
        </w:rPr>
        <w:t xml:space="preserve">en términos del artículo 186, fracción IV, de la Ley de </w:t>
      </w:r>
      <w:r w:rsidRPr="00D078A0">
        <w:rPr>
          <w:rFonts w:ascii="Palatino Linotype" w:hAnsi="Palatino Linotype"/>
          <w:bCs/>
        </w:rPr>
        <w:t>Transparencia</w:t>
      </w:r>
      <w:r w:rsidRPr="00D078A0">
        <w:rPr>
          <w:rFonts w:ascii="Palatino Linotype" w:hAnsi="Palatino Linotype" w:cs="Arial"/>
        </w:rPr>
        <w:t xml:space="preserve"> y Acceso a la Información Pública del Estado de México y Municipios</w:t>
      </w:r>
      <w:r w:rsidRPr="00D078A0">
        <w:rPr>
          <w:rFonts w:ascii="Palatino Linotype" w:hAnsi="Palatino Linotype" w:cs="Arial"/>
          <w:lang w:eastAsia="es-MX"/>
        </w:rPr>
        <w:t xml:space="preserve"> al </w:t>
      </w:r>
      <w:r w:rsidRPr="00D078A0">
        <w:rPr>
          <w:rFonts w:ascii="Palatino Linotype" w:hAnsi="Palatino Linotype" w:cs="Arial"/>
          <w:b/>
          <w:lang w:eastAsia="es-MX"/>
        </w:rPr>
        <w:t>SUJETO OBLIGADO</w:t>
      </w:r>
      <w:r w:rsidRPr="00D078A0">
        <w:rPr>
          <w:rFonts w:ascii="Palatino Linotype" w:hAnsi="Palatino Linotype" w:cs="Arial"/>
          <w:lang w:eastAsia="es-MX"/>
        </w:rPr>
        <w:t xml:space="preserve"> la entrega al</w:t>
      </w:r>
      <w:r w:rsidRPr="00D078A0">
        <w:rPr>
          <w:rFonts w:ascii="Palatino Linotype" w:hAnsi="Palatino Linotype" w:cs="Arial"/>
          <w:b/>
          <w:lang w:eastAsia="es-MX"/>
        </w:rPr>
        <w:t xml:space="preserve"> RECURRENTE</w:t>
      </w:r>
      <w:r w:rsidRPr="00D078A0">
        <w:rPr>
          <w:rFonts w:ascii="Palatino Linotype" w:hAnsi="Palatino Linotype" w:cs="Arial"/>
          <w:lang w:eastAsia="es-MX"/>
        </w:rPr>
        <w:t>, de los documentos donde consten los gastos derivados del espectáculo de pirotecnia y el número de elementos de Seguridad Pública, Bomberos y Guardia Nacional</w:t>
      </w:r>
      <w:r w:rsidR="007F083B" w:rsidRPr="00D078A0">
        <w:rPr>
          <w:rFonts w:ascii="Palatino Linotype" w:hAnsi="Palatino Linotype" w:cs="Arial"/>
          <w:lang w:eastAsia="es-MX"/>
        </w:rPr>
        <w:t>.</w:t>
      </w:r>
    </w:p>
    <w:p w:rsidR="00F025BE" w:rsidRPr="00D078A0" w:rsidRDefault="00F025BE"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23793B" w:rsidRPr="00D078A0" w:rsidRDefault="00F025BE"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hAnsi="Palatino Linotype" w:cs="Arial"/>
        </w:rPr>
        <w:t xml:space="preserve">No pasa inadvertido para esta Ponencia Resolutora la omisión del </w:t>
      </w:r>
      <w:r w:rsidRPr="00D078A0">
        <w:rPr>
          <w:rFonts w:ascii="Palatino Linotype" w:hAnsi="Palatino Linotype" w:cs="Arial"/>
          <w:b/>
        </w:rPr>
        <w:t>SUJETO OBLIGADO</w:t>
      </w:r>
      <w:r w:rsidRPr="00D078A0">
        <w:rPr>
          <w:rFonts w:ascii="Palatino Linotype" w:hAnsi="Palatino Linotype" w:cs="Arial"/>
        </w:rPr>
        <w:t xml:space="preserve"> de dar respuesta a la solicitud de información del </w:t>
      </w:r>
      <w:r w:rsidRPr="00D078A0">
        <w:rPr>
          <w:rFonts w:ascii="Palatino Linotype" w:hAnsi="Palatino Linotype" w:cs="Arial"/>
          <w:b/>
        </w:rPr>
        <w:t>RECURRENTE</w:t>
      </w:r>
      <w:r w:rsidRPr="00D078A0">
        <w:rPr>
          <w:rFonts w:ascii="Palatino Linotype" w:hAnsi="Palatino Linotype" w:cs="Arial"/>
        </w:rPr>
        <w:t xml:space="preserve"> en el plazo previsto en el ordinal 163 de la ley de la materia, lo que, en estricto sentido, podría ser considerado como infracciones a la </w:t>
      </w:r>
      <w:r w:rsidRPr="00D078A0">
        <w:rPr>
          <w:rFonts w:ascii="Palatino Linotype" w:hAnsi="Palatino Linotype"/>
          <w:szCs w:val="17"/>
          <w:lang w:eastAsia="es-ES_tradnl"/>
        </w:rPr>
        <w:t xml:space="preserve">Ley de Transparencia y Acceso a la </w:t>
      </w:r>
      <w:r w:rsidRPr="00D078A0">
        <w:rPr>
          <w:rFonts w:ascii="Palatino Linotype" w:hAnsi="Palatino Linotype" w:cs="Arial"/>
        </w:rPr>
        <w:t>Información</w:t>
      </w:r>
      <w:r w:rsidRPr="00D078A0">
        <w:rPr>
          <w:rFonts w:ascii="Palatino Linotype" w:hAnsi="Palatino Linotype"/>
          <w:szCs w:val="17"/>
          <w:lang w:eastAsia="es-ES_tradnl"/>
        </w:rPr>
        <w:t xml:space="preserve"> Pública del Estado de México y Municipios; sin embargo, si bien, </w:t>
      </w:r>
      <w:r w:rsidRPr="00D078A0">
        <w:rPr>
          <w:rFonts w:ascii="Palatino Linotype" w:eastAsia="Arial Unicode MS" w:hAnsi="Palatino Linotype" w:cs="Arial"/>
        </w:rPr>
        <w:t xml:space="preserve">la imposición de </w:t>
      </w:r>
      <w:r w:rsidRPr="00D078A0">
        <w:rPr>
          <w:rFonts w:ascii="Palatino Linotype" w:eastAsia="Arial Unicode MS" w:hAnsi="Palatino Linotype" w:cs="Arial"/>
        </w:rPr>
        <w:lastRenderedPageBreak/>
        <w:t xml:space="preserve">medidas de apremio al </w:t>
      </w:r>
      <w:r w:rsidRPr="00D078A0">
        <w:rPr>
          <w:rFonts w:ascii="Palatino Linotype" w:eastAsia="Arial Unicode MS" w:hAnsi="Palatino Linotype" w:cs="Arial"/>
          <w:b/>
        </w:rPr>
        <w:t>SUJETO OBLIGADO</w:t>
      </w:r>
      <w:r w:rsidRPr="00D078A0">
        <w:rPr>
          <w:rFonts w:ascii="Palatino Linotype" w:eastAsia="Arial Unicode MS" w:hAnsi="Palatino Linotype" w:cs="Arial"/>
        </w:rPr>
        <w:t xml:space="preserve">, no es materia del presente medio de impugnación, también lo es que, de conformidad con lo establecido en el artículo 190 </w:t>
      </w:r>
      <w:r w:rsidRPr="00D078A0">
        <w:rPr>
          <w:rFonts w:ascii="Palatino Linotype" w:hAnsi="Palatino Linotype"/>
          <w:lang w:eastAsia="es-ES_tradnl"/>
        </w:rPr>
        <w:t>de la Ley de Transparencia y Acceso a la Información Pública del Estado de México y Municipios</w:t>
      </w:r>
      <w:r w:rsidRPr="00D078A0">
        <w:rPr>
          <w:rFonts w:ascii="Palatino Linotype" w:eastAsia="Arial Unicode MS" w:hAnsi="Palatino Linotype" w:cs="Arial"/>
        </w:rPr>
        <w:t xml:space="preserve">, este Órgano Garante cuenta con la atribución de hacer del conocimiento de los órganos internos de control de los Sujetos Obligados, de las infracciones a la referida Ley, por tanto, </w:t>
      </w:r>
      <w:r w:rsidRPr="00D078A0">
        <w:rPr>
          <w:rFonts w:ascii="Palatino Linotype" w:hAnsi="Palatino Linotype" w:cs="Arial"/>
          <w:b/>
        </w:rPr>
        <w:t xml:space="preserve">se ordena dar vista al </w:t>
      </w:r>
      <w:r w:rsidRPr="00D078A0">
        <w:rPr>
          <w:rFonts w:ascii="Palatino Linotype" w:hAnsi="Palatino Linotype"/>
          <w:b/>
          <w:lang w:eastAsia="es-ES_tradnl"/>
        </w:rPr>
        <w:t>Titular de la Contraloría Interna y Órgano de Control y Vigilancia de este Instituto</w:t>
      </w:r>
      <w:r w:rsidRPr="00D078A0">
        <w:rPr>
          <w:rFonts w:ascii="Palatino Linotype" w:hAnsi="Palatino Linotype"/>
          <w:lang w:eastAsia="es-ES_tradnl"/>
        </w:rPr>
        <w:t>, a efecto de que determine lo conducente</w:t>
      </w:r>
      <w:r w:rsidRPr="00D078A0">
        <w:rPr>
          <w:rFonts w:ascii="Palatino Linotype" w:hAnsi="Palatino Linotype" w:cs="Arial"/>
        </w:rPr>
        <w:t>.</w:t>
      </w:r>
    </w:p>
    <w:p w:rsidR="0023793B" w:rsidRPr="00D078A0" w:rsidRDefault="0023793B"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5B6F2A" w:rsidRPr="00D078A0" w:rsidRDefault="00F025BE"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8A0">
        <w:rPr>
          <w:rFonts w:ascii="Palatino Linotype" w:eastAsia="Calibri" w:hAnsi="Palatino Linotype" w:cs="Arial"/>
        </w:rPr>
        <w:t>A</w:t>
      </w:r>
      <w:r w:rsidR="005B6F2A" w:rsidRPr="00D078A0">
        <w:rPr>
          <w:rFonts w:ascii="Palatino Linotype" w:eastAsia="Calibri" w:hAnsi="Palatino Linotype" w:cs="Arial"/>
        </w:rPr>
        <w:t xml:space="preserve">sí, con </w:t>
      </w:r>
      <w:r w:rsidR="005B6F2A" w:rsidRPr="00D078A0">
        <w:rPr>
          <w:rFonts w:ascii="Palatino Linotype" w:hAnsi="Palatino Linotype" w:cs="Arial"/>
        </w:rPr>
        <w:t>fundamento</w:t>
      </w:r>
      <w:r w:rsidR="005B6F2A" w:rsidRPr="00D078A0">
        <w:rPr>
          <w:rFonts w:ascii="Palatino Linotype" w:eastAsia="Calibri" w:hAnsi="Palatino Linotype" w:cs="Arial"/>
        </w:rPr>
        <w:t xml:space="preserve"> en lo prescrito en los artículos 5, </w:t>
      </w:r>
      <w:r w:rsidR="005B6F2A" w:rsidRPr="00D078A0">
        <w:rPr>
          <w:rFonts w:ascii="Palatino Linotype" w:hAnsi="Palatino Linotype"/>
        </w:rPr>
        <w:t xml:space="preserve">párrafos vigésimo segundo, vigésimo tercero y vigésimo </w:t>
      </w:r>
      <w:r w:rsidR="005B6F2A" w:rsidRPr="00D078A0">
        <w:rPr>
          <w:rFonts w:ascii="Palatino Linotype" w:hAnsi="Palatino Linotype" w:cs="Arial"/>
        </w:rPr>
        <w:t>cuarto,</w:t>
      </w:r>
      <w:r w:rsidR="005B6F2A" w:rsidRPr="00D078A0">
        <w:rPr>
          <w:rFonts w:ascii="Palatino Linotype" w:hAnsi="Palatino Linotype"/>
        </w:rPr>
        <w:t xml:space="preserve"> </w:t>
      </w:r>
      <w:r w:rsidR="005B6F2A" w:rsidRPr="00D078A0">
        <w:rPr>
          <w:rFonts w:ascii="Palatino Linotype" w:hAnsi="Palatino Linotype" w:cs="Arial"/>
        </w:rPr>
        <w:t>fracciones</w:t>
      </w:r>
      <w:r w:rsidR="005B6F2A" w:rsidRPr="00D078A0">
        <w:rPr>
          <w:rFonts w:ascii="Palatino Linotype" w:hAnsi="Palatino Linotype"/>
        </w:rPr>
        <w:t xml:space="preserve"> IV y V,</w:t>
      </w:r>
      <w:r w:rsidR="005B6F2A" w:rsidRPr="00D078A0">
        <w:rPr>
          <w:rFonts w:ascii="Palatino Linotype" w:eastAsia="Calibri" w:hAnsi="Palatino Linotype" w:cs="Arial"/>
        </w:rPr>
        <w:t xml:space="preserve"> de la Constitución Política del Estado Libre y Soberano de México, y los artículos </w:t>
      </w:r>
      <w:r w:rsidR="005B6F2A" w:rsidRPr="00D078A0">
        <w:rPr>
          <w:rFonts w:ascii="Palatino Linotype" w:hAnsi="Palatino Linotype"/>
        </w:rPr>
        <w:t xml:space="preserve">2, </w:t>
      </w:r>
      <w:r w:rsidR="005B6F2A" w:rsidRPr="00D078A0">
        <w:rPr>
          <w:rFonts w:ascii="Palatino Linotype" w:hAnsi="Palatino Linotype" w:cs="Arial"/>
        </w:rPr>
        <w:t>fracción</w:t>
      </w:r>
      <w:r w:rsidR="005B6F2A" w:rsidRPr="00D078A0">
        <w:rPr>
          <w:rFonts w:ascii="Palatino Linotype" w:hAnsi="Palatino Linotype"/>
        </w:rPr>
        <w:t xml:space="preserve"> II, 9, </w:t>
      </w:r>
      <w:r w:rsidR="005B6F2A" w:rsidRPr="00D078A0">
        <w:rPr>
          <w:rFonts w:ascii="Palatino Linotype" w:hAnsi="Palatino Linotype" w:cs="Arial"/>
          <w:lang w:val="es-ES_tradnl"/>
        </w:rPr>
        <w:t>29</w:t>
      </w:r>
      <w:r w:rsidR="005B6F2A" w:rsidRPr="00D078A0">
        <w:rPr>
          <w:rFonts w:ascii="Palatino Linotype" w:hAnsi="Palatino Linotype"/>
        </w:rPr>
        <w:t>, 36, fracciones I y II, 176, 178, 179, 181, 185, fracción I, 186, 188 y 192, fracción III</w:t>
      </w:r>
      <w:r w:rsidR="005B6F2A" w:rsidRPr="00D078A0">
        <w:rPr>
          <w:rFonts w:ascii="Palatino Linotype" w:eastAsia="Calibri" w:hAnsi="Palatino Linotype" w:cs="Arial"/>
        </w:rPr>
        <w:t xml:space="preserve"> de la Ley de Transparencia y Acceso a la Información Pública del Estado de México y </w:t>
      </w:r>
      <w:r w:rsidR="005B6F2A" w:rsidRPr="00D078A0">
        <w:rPr>
          <w:rFonts w:ascii="Palatino Linotype" w:hAnsi="Palatino Linotype" w:cs="Arial"/>
        </w:rPr>
        <w:t>Municipios</w:t>
      </w:r>
      <w:r w:rsidR="005B6F2A" w:rsidRPr="00D078A0">
        <w:rPr>
          <w:rFonts w:ascii="Palatino Linotype" w:eastAsia="Calibri" w:hAnsi="Palatino Linotype" w:cs="Arial"/>
        </w:rPr>
        <w:t xml:space="preserve">, </w:t>
      </w:r>
      <w:r w:rsidR="005B6F2A" w:rsidRPr="00D078A0">
        <w:rPr>
          <w:rFonts w:ascii="Palatino Linotype" w:hAnsi="Palatino Linotype"/>
        </w:rPr>
        <w:t>este</w:t>
      </w:r>
      <w:r w:rsidR="005B6F2A" w:rsidRPr="00D078A0">
        <w:rPr>
          <w:rFonts w:ascii="Palatino Linotype" w:eastAsia="Calibri" w:hAnsi="Palatino Linotype" w:cs="Arial"/>
        </w:rPr>
        <w:t xml:space="preserve"> Pleno:</w:t>
      </w:r>
    </w:p>
    <w:p w:rsidR="00415E3D" w:rsidRPr="00D078A0" w:rsidRDefault="00415E3D" w:rsidP="0081297D">
      <w:pPr>
        <w:widowControl w:val="0"/>
        <w:autoSpaceDE w:val="0"/>
        <w:autoSpaceDN w:val="0"/>
        <w:adjustRightInd w:val="0"/>
        <w:spacing w:before="100" w:beforeAutospacing="1" w:after="100" w:afterAutospacing="1"/>
        <w:contextualSpacing/>
        <w:jc w:val="both"/>
        <w:rPr>
          <w:rFonts w:ascii="Palatino Linotype" w:eastAsia="Calibri" w:hAnsi="Palatino Linotype" w:cs="Arial"/>
        </w:rPr>
      </w:pPr>
    </w:p>
    <w:p w:rsidR="0023793B" w:rsidRPr="00AF0972" w:rsidRDefault="0023793B" w:rsidP="0023793B">
      <w:pPr>
        <w:spacing w:before="100" w:beforeAutospacing="1" w:after="100" w:afterAutospacing="1" w:line="360" w:lineRule="auto"/>
        <w:contextualSpacing/>
        <w:jc w:val="center"/>
        <w:rPr>
          <w:rFonts w:ascii="Palatino Linotype" w:hAnsi="Palatino Linotype"/>
          <w:b/>
          <w:sz w:val="28"/>
          <w:lang w:val="pt-BR"/>
        </w:rPr>
      </w:pPr>
      <w:r w:rsidRPr="00AF0972">
        <w:rPr>
          <w:rFonts w:ascii="Palatino Linotype" w:hAnsi="Palatino Linotype"/>
          <w:b/>
          <w:sz w:val="28"/>
          <w:lang w:val="pt-BR"/>
        </w:rPr>
        <w:t>R E S U E L V E</w:t>
      </w:r>
    </w:p>
    <w:p w:rsidR="0023793B" w:rsidRPr="00AF0972" w:rsidRDefault="0023793B" w:rsidP="0081297D">
      <w:pPr>
        <w:spacing w:before="100" w:beforeAutospacing="1" w:after="100" w:afterAutospacing="1"/>
        <w:contextualSpacing/>
        <w:rPr>
          <w:rFonts w:ascii="Palatino Linotype" w:hAnsi="Palatino Linotype"/>
          <w:b/>
          <w:lang w:val="pt-BR"/>
        </w:rPr>
      </w:pPr>
    </w:p>
    <w:p w:rsidR="00253662" w:rsidRPr="00D078A0" w:rsidRDefault="00253662" w:rsidP="0023793B">
      <w:pPr>
        <w:spacing w:before="100" w:beforeAutospacing="1" w:after="100" w:afterAutospacing="1" w:line="360" w:lineRule="auto"/>
        <w:contextualSpacing/>
        <w:rPr>
          <w:rFonts w:ascii="Palatino Linotype" w:hAnsi="Palatino Linotype"/>
          <w:b/>
          <w:sz w:val="28"/>
        </w:rPr>
      </w:pPr>
      <w:r w:rsidRPr="00AF0972">
        <w:rPr>
          <w:rFonts w:ascii="Palatino Linotype" w:hAnsi="Palatino Linotype" w:cs="Arial"/>
          <w:b/>
          <w:sz w:val="28"/>
          <w:szCs w:val="28"/>
          <w:lang w:val="pt-BR"/>
        </w:rPr>
        <w:t xml:space="preserve">PRIMERO. </w:t>
      </w:r>
      <w:r w:rsidRPr="00D078A0">
        <w:rPr>
          <w:rFonts w:ascii="Palatino Linotype" w:hAnsi="Palatino Linotype" w:cs="Arial"/>
        </w:rPr>
        <w:t>Resultan</w:t>
      </w:r>
      <w:r w:rsidRPr="00D078A0">
        <w:rPr>
          <w:rFonts w:ascii="Palatino Linotype" w:hAnsi="Palatino Linotype" w:cs="Arial"/>
          <w:b/>
        </w:rPr>
        <w:t xml:space="preserve"> fundadas</w:t>
      </w:r>
      <w:r w:rsidRPr="00D078A0">
        <w:rPr>
          <w:rFonts w:ascii="Palatino Linotype" w:hAnsi="Palatino Linotype" w:cs="Arial"/>
        </w:rPr>
        <w:t xml:space="preserve"> las razones o motivos de inconformidad planteadas por </w:t>
      </w:r>
      <w:r w:rsidR="00065F51" w:rsidRPr="00D078A0">
        <w:rPr>
          <w:rFonts w:ascii="Palatino Linotype" w:hAnsi="Palatino Linotype" w:cs="Arial"/>
          <w:b/>
        </w:rPr>
        <w:t xml:space="preserve">EL </w:t>
      </w:r>
      <w:r w:rsidRPr="00D078A0">
        <w:rPr>
          <w:rFonts w:ascii="Palatino Linotype" w:hAnsi="Palatino Linotype" w:cs="Arial"/>
          <w:b/>
        </w:rPr>
        <w:t>RECURRENTE</w:t>
      </w:r>
      <w:r w:rsidRPr="00D078A0">
        <w:rPr>
          <w:rFonts w:ascii="Palatino Linotype" w:hAnsi="Palatino Linotype" w:cs="Arial"/>
        </w:rPr>
        <w:t xml:space="preserve">, en </w:t>
      </w:r>
      <w:r w:rsidR="000A7048" w:rsidRPr="00D078A0">
        <w:rPr>
          <w:rFonts w:ascii="Palatino Linotype" w:hAnsi="Palatino Linotype" w:cs="Arial"/>
        </w:rPr>
        <w:t xml:space="preserve">el recurso de revisión </w:t>
      </w:r>
      <w:r w:rsidR="00415E3D" w:rsidRPr="00D078A0">
        <w:rPr>
          <w:rFonts w:ascii="Palatino Linotype" w:hAnsi="Palatino Linotype" w:cs="Arial"/>
          <w:b/>
          <w:bCs/>
        </w:rPr>
        <w:t>0849</w:t>
      </w:r>
      <w:r w:rsidR="00065F51" w:rsidRPr="00D078A0">
        <w:rPr>
          <w:rFonts w:ascii="Palatino Linotype" w:hAnsi="Palatino Linotype" w:cs="Arial"/>
          <w:b/>
          <w:bCs/>
        </w:rPr>
        <w:t>7</w:t>
      </w:r>
      <w:r w:rsidR="000A7048" w:rsidRPr="00D078A0">
        <w:rPr>
          <w:rFonts w:ascii="Palatino Linotype" w:hAnsi="Palatino Linotype" w:cs="Arial"/>
          <w:b/>
          <w:bCs/>
        </w:rPr>
        <w:t xml:space="preserve">/INFOEM/IP/RR/2019 </w:t>
      </w:r>
      <w:r w:rsidRPr="00D078A0">
        <w:rPr>
          <w:rFonts w:ascii="Palatino Linotype" w:hAnsi="Palatino Linotype" w:cs="Arial"/>
        </w:rPr>
        <w:t>en términos del Considerando</w:t>
      </w:r>
      <w:r w:rsidR="000A7048" w:rsidRPr="00D078A0">
        <w:rPr>
          <w:rFonts w:ascii="Palatino Linotype" w:hAnsi="Palatino Linotype" w:cs="Arial"/>
        </w:rPr>
        <w:t xml:space="preserve"> </w:t>
      </w:r>
      <w:r w:rsidR="000A7048" w:rsidRPr="00D078A0">
        <w:rPr>
          <w:rFonts w:ascii="Palatino Linotype" w:hAnsi="Palatino Linotype" w:cs="Arial"/>
          <w:b/>
        </w:rPr>
        <w:t>QUINTO</w:t>
      </w:r>
      <w:r w:rsidR="000A7048" w:rsidRPr="00D078A0">
        <w:rPr>
          <w:rFonts w:ascii="Palatino Linotype" w:hAnsi="Palatino Linotype" w:cs="Arial"/>
        </w:rPr>
        <w:t xml:space="preserve"> </w:t>
      </w:r>
      <w:r w:rsidRPr="00D078A0">
        <w:rPr>
          <w:rFonts w:ascii="Palatino Linotype" w:hAnsi="Palatino Linotype" w:cs="Arial"/>
        </w:rPr>
        <w:t>de la presente resolución.</w:t>
      </w:r>
    </w:p>
    <w:p w:rsidR="00415E3D" w:rsidRPr="00D078A0" w:rsidRDefault="00415E3D" w:rsidP="0023793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253662" w:rsidRPr="00D078A0" w:rsidRDefault="00253662" w:rsidP="0023793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r w:rsidRPr="00D078A0">
        <w:rPr>
          <w:rFonts w:ascii="Palatino Linotype" w:hAnsi="Palatino Linotype" w:cs="Arial"/>
          <w:b/>
          <w:sz w:val="28"/>
          <w:szCs w:val="28"/>
        </w:rPr>
        <w:t>SEGUNDO</w:t>
      </w:r>
      <w:r w:rsidRPr="00D078A0">
        <w:rPr>
          <w:rFonts w:ascii="Palatino Linotype" w:hAnsi="Palatino Linotype" w:cs="Arial"/>
          <w:sz w:val="28"/>
          <w:szCs w:val="28"/>
        </w:rPr>
        <w:t>.</w:t>
      </w:r>
      <w:r w:rsidRPr="00D078A0">
        <w:rPr>
          <w:rFonts w:ascii="Palatino Linotype" w:hAnsi="Palatino Linotype" w:cs="Arial"/>
        </w:rPr>
        <w:t xml:space="preserve"> Se </w:t>
      </w:r>
      <w:r w:rsidRPr="00D078A0">
        <w:rPr>
          <w:rFonts w:ascii="Palatino Linotype" w:hAnsi="Palatino Linotype" w:cs="Arial"/>
          <w:b/>
        </w:rPr>
        <w:t xml:space="preserve">ORDENA </w:t>
      </w:r>
      <w:r w:rsidRPr="00D078A0">
        <w:rPr>
          <w:rFonts w:ascii="Palatino Linotype" w:hAnsi="Palatino Linotype" w:cs="Arial"/>
        </w:rPr>
        <w:t>al</w:t>
      </w:r>
      <w:r w:rsidRPr="00D078A0">
        <w:rPr>
          <w:rFonts w:ascii="Palatino Linotype" w:hAnsi="Palatino Linotype" w:cs="Arial"/>
          <w:b/>
        </w:rPr>
        <w:t xml:space="preserve"> SUJETO OBLIGADO </w:t>
      </w:r>
      <w:r w:rsidR="000A7048" w:rsidRPr="00D078A0">
        <w:rPr>
          <w:rFonts w:ascii="Palatino Linotype" w:hAnsi="Palatino Linotype" w:cs="Arial"/>
        </w:rPr>
        <w:t>atienda la</w:t>
      </w:r>
      <w:r w:rsidRPr="00D078A0">
        <w:rPr>
          <w:rFonts w:ascii="Palatino Linotype" w:hAnsi="Palatino Linotype" w:cs="Arial"/>
          <w:b/>
        </w:rPr>
        <w:t xml:space="preserve"> </w:t>
      </w:r>
      <w:r w:rsidR="000A7048" w:rsidRPr="00D078A0">
        <w:rPr>
          <w:rFonts w:ascii="Palatino Linotype" w:hAnsi="Palatino Linotype" w:cs="Arial"/>
        </w:rPr>
        <w:t xml:space="preserve">solicitud </w:t>
      </w:r>
      <w:r w:rsidRPr="00D078A0">
        <w:rPr>
          <w:rFonts w:ascii="Palatino Linotype" w:hAnsi="Palatino Linotype" w:cs="Arial"/>
        </w:rPr>
        <w:t xml:space="preserve">de acceso </w:t>
      </w:r>
      <w:r w:rsidR="000A7048" w:rsidRPr="00D078A0">
        <w:rPr>
          <w:rFonts w:ascii="Palatino Linotype" w:hAnsi="Palatino Linotype" w:cs="Arial"/>
        </w:rPr>
        <w:t>a la información pública número</w:t>
      </w:r>
      <w:r w:rsidR="00846C6D" w:rsidRPr="00D078A0">
        <w:rPr>
          <w:rFonts w:ascii="Palatino Linotype" w:hAnsi="Palatino Linotype" w:cs="Arial"/>
        </w:rPr>
        <w:t xml:space="preserve"> </w:t>
      </w:r>
      <w:r w:rsidR="00651A43" w:rsidRPr="00D078A0">
        <w:rPr>
          <w:rFonts w:ascii="Palatino Linotype" w:hAnsi="Palatino Linotype" w:cs="Arial"/>
          <w:b/>
          <w:bCs/>
        </w:rPr>
        <w:t>00097</w:t>
      </w:r>
      <w:r w:rsidR="002B5FFF" w:rsidRPr="00D078A0">
        <w:rPr>
          <w:rFonts w:ascii="Palatino Linotype" w:hAnsi="Palatino Linotype" w:cs="Arial"/>
          <w:b/>
          <w:bCs/>
        </w:rPr>
        <w:t>/</w:t>
      </w:r>
      <w:r w:rsidR="00651A43" w:rsidRPr="00D078A0">
        <w:rPr>
          <w:rFonts w:ascii="Palatino Linotype" w:hAnsi="Palatino Linotype" w:cs="Arial"/>
          <w:b/>
          <w:bCs/>
        </w:rPr>
        <w:t>TULTEPEC</w:t>
      </w:r>
      <w:r w:rsidR="002B5FFF" w:rsidRPr="00D078A0">
        <w:rPr>
          <w:rFonts w:ascii="Palatino Linotype" w:hAnsi="Palatino Linotype" w:cs="Arial"/>
          <w:b/>
          <w:bCs/>
        </w:rPr>
        <w:t>/IP/2019</w:t>
      </w:r>
      <w:r w:rsidRPr="00D078A0">
        <w:rPr>
          <w:rFonts w:ascii="Palatino Linotype" w:hAnsi="Palatino Linotype" w:cs="Arial"/>
        </w:rPr>
        <w:t xml:space="preserve"> </w:t>
      </w:r>
      <w:r w:rsidR="000A7048" w:rsidRPr="00D078A0">
        <w:rPr>
          <w:rFonts w:ascii="Palatino Linotype" w:hAnsi="Palatino Linotype" w:cs="Arial"/>
        </w:rPr>
        <w:t>y haga entrega a</w:t>
      </w:r>
      <w:r w:rsidR="00D078A0" w:rsidRPr="00D078A0">
        <w:rPr>
          <w:rFonts w:ascii="Palatino Linotype" w:hAnsi="Palatino Linotype" w:cs="Arial"/>
        </w:rPr>
        <w:t>l</w:t>
      </w:r>
      <w:r w:rsidR="00A633C7" w:rsidRPr="00D078A0">
        <w:rPr>
          <w:rFonts w:ascii="Palatino Linotype" w:hAnsi="Palatino Linotype" w:cs="Arial"/>
          <w:b/>
        </w:rPr>
        <w:t xml:space="preserve"> </w:t>
      </w:r>
      <w:r w:rsidRPr="00D078A0">
        <w:rPr>
          <w:rFonts w:ascii="Palatino Linotype" w:hAnsi="Palatino Linotype" w:cs="Arial"/>
          <w:b/>
        </w:rPr>
        <w:t>RECURRENTE</w:t>
      </w:r>
      <w:r w:rsidRPr="00D078A0">
        <w:rPr>
          <w:rFonts w:ascii="Palatino Linotype" w:hAnsi="Palatino Linotype" w:cs="Arial"/>
        </w:rPr>
        <w:t xml:space="preserve">, vía </w:t>
      </w:r>
      <w:r w:rsidRPr="00D078A0">
        <w:rPr>
          <w:rFonts w:ascii="Palatino Linotype" w:hAnsi="Palatino Linotype" w:cs="Arial"/>
          <w:b/>
        </w:rPr>
        <w:t>EL</w:t>
      </w:r>
      <w:r w:rsidRPr="00D078A0">
        <w:rPr>
          <w:rFonts w:ascii="Palatino Linotype" w:hAnsi="Palatino Linotype" w:cs="Arial"/>
        </w:rPr>
        <w:t xml:space="preserve"> </w:t>
      </w:r>
      <w:r w:rsidRPr="00D078A0">
        <w:rPr>
          <w:rFonts w:ascii="Palatino Linotype" w:hAnsi="Palatino Linotype" w:cs="Arial"/>
          <w:b/>
        </w:rPr>
        <w:t>SAIMEX</w:t>
      </w:r>
      <w:r w:rsidR="0023793B" w:rsidRPr="00D078A0">
        <w:rPr>
          <w:rFonts w:ascii="Palatino Linotype" w:hAnsi="Palatino Linotype" w:cs="Arial"/>
          <w:b/>
        </w:rPr>
        <w:t xml:space="preserve"> y correo electrónico</w:t>
      </w:r>
      <w:r w:rsidRPr="00D078A0">
        <w:rPr>
          <w:rFonts w:ascii="Palatino Linotype" w:hAnsi="Palatino Linotype" w:cs="Arial"/>
        </w:rPr>
        <w:t xml:space="preserve">, en </w:t>
      </w:r>
      <w:r w:rsidRPr="00D078A0">
        <w:rPr>
          <w:rFonts w:ascii="Palatino Linotype" w:hAnsi="Palatino Linotype"/>
          <w:szCs w:val="17"/>
          <w:lang w:eastAsia="es-ES_tradnl"/>
        </w:rPr>
        <w:t>términos</w:t>
      </w:r>
      <w:r w:rsidRPr="00D078A0">
        <w:rPr>
          <w:rFonts w:ascii="Palatino Linotype" w:hAnsi="Palatino Linotype" w:cs="Arial"/>
        </w:rPr>
        <w:t xml:space="preserve"> del Considerando </w:t>
      </w:r>
      <w:r w:rsidR="000A7048" w:rsidRPr="00D078A0">
        <w:rPr>
          <w:rFonts w:ascii="Palatino Linotype" w:hAnsi="Palatino Linotype" w:cs="Arial"/>
          <w:b/>
        </w:rPr>
        <w:lastRenderedPageBreak/>
        <w:t>QUINTO</w:t>
      </w:r>
      <w:r w:rsidRPr="00D078A0">
        <w:rPr>
          <w:rFonts w:ascii="Palatino Linotype" w:hAnsi="Palatino Linotype" w:cs="Arial"/>
        </w:rPr>
        <w:t xml:space="preserve"> </w:t>
      </w:r>
      <w:r w:rsidRPr="00D078A0">
        <w:rPr>
          <w:rFonts w:ascii="Palatino Linotype" w:hAnsi="Palatino Linotype"/>
        </w:rPr>
        <w:t xml:space="preserve">de la presente resolución, en </w:t>
      </w:r>
      <w:r w:rsidRPr="00D078A0">
        <w:rPr>
          <w:rFonts w:ascii="Palatino Linotype" w:hAnsi="Palatino Linotype"/>
          <w:b/>
        </w:rPr>
        <w:t>versión pública</w:t>
      </w:r>
      <w:r w:rsidRPr="00D078A0">
        <w:rPr>
          <w:rFonts w:ascii="Palatino Linotype" w:hAnsi="Palatino Linotype"/>
        </w:rPr>
        <w:t xml:space="preserve">, </w:t>
      </w:r>
      <w:r w:rsidR="00611A4B">
        <w:rPr>
          <w:rFonts w:ascii="Palatino Linotype" w:hAnsi="Palatino Linotype"/>
        </w:rPr>
        <w:t>l</w:t>
      </w:r>
      <w:r w:rsidR="002B5FFF" w:rsidRPr="00D078A0">
        <w:rPr>
          <w:rFonts w:ascii="Palatino Linotype" w:hAnsi="Palatino Linotype"/>
        </w:rPr>
        <w:t>o</w:t>
      </w:r>
      <w:r w:rsidR="00611A4B">
        <w:rPr>
          <w:rFonts w:ascii="Palatino Linotype" w:hAnsi="Palatino Linotype"/>
        </w:rPr>
        <w:t>s</w:t>
      </w:r>
      <w:r w:rsidR="002B5FFF" w:rsidRPr="00D078A0">
        <w:rPr>
          <w:rFonts w:ascii="Palatino Linotype" w:hAnsi="Palatino Linotype"/>
        </w:rPr>
        <w:t xml:space="preserve"> documentos donde conste</w:t>
      </w:r>
      <w:r w:rsidR="0023793B" w:rsidRPr="00D078A0">
        <w:rPr>
          <w:rFonts w:ascii="Palatino Linotype" w:hAnsi="Palatino Linotype"/>
        </w:rPr>
        <w:t xml:space="preserve"> </w:t>
      </w:r>
      <w:r w:rsidR="00611A4B">
        <w:rPr>
          <w:rFonts w:ascii="Palatino Linotype" w:hAnsi="Palatino Linotype"/>
        </w:rPr>
        <w:t xml:space="preserve">respecto </w:t>
      </w:r>
      <w:r w:rsidR="00D078A0" w:rsidRPr="00D078A0">
        <w:rPr>
          <w:rFonts w:ascii="Palatino Linotype" w:hAnsi="Palatino Linotype"/>
        </w:rPr>
        <w:t>de la celebración del 20</w:t>
      </w:r>
      <w:r w:rsidR="0023793B" w:rsidRPr="00D078A0">
        <w:rPr>
          <w:rFonts w:ascii="Palatino Linotype" w:hAnsi="Palatino Linotype"/>
        </w:rPr>
        <w:t xml:space="preserve">9 </w:t>
      </w:r>
      <w:r w:rsidR="00611A4B">
        <w:rPr>
          <w:rFonts w:ascii="Palatino Linotype" w:hAnsi="Palatino Linotype"/>
        </w:rPr>
        <w:t>A</w:t>
      </w:r>
      <w:r w:rsidR="0023793B" w:rsidRPr="00D078A0">
        <w:rPr>
          <w:rFonts w:ascii="Palatino Linotype" w:hAnsi="Palatino Linotype"/>
        </w:rPr>
        <w:t>niversario del inicio de la G</w:t>
      </w:r>
      <w:r w:rsidR="00611A4B">
        <w:rPr>
          <w:rFonts w:ascii="Palatino Linotype" w:hAnsi="Palatino Linotype"/>
        </w:rPr>
        <w:t xml:space="preserve">uerra de Independencia de México, </w:t>
      </w:r>
      <w:r w:rsidR="00D078A0" w:rsidRPr="00D078A0">
        <w:rPr>
          <w:rFonts w:ascii="Palatino Linotype" w:hAnsi="Palatino Linotype"/>
        </w:rPr>
        <w:t>de fecha 15 de septiembre de 2019,</w:t>
      </w:r>
      <w:r w:rsidR="0023793B" w:rsidRPr="00D078A0">
        <w:rPr>
          <w:rFonts w:ascii="Palatino Linotype" w:hAnsi="Palatino Linotype"/>
        </w:rPr>
        <w:t xml:space="preserve"> lo siguiente</w:t>
      </w:r>
      <w:r w:rsidRPr="00D078A0">
        <w:rPr>
          <w:rFonts w:ascii="Palatino Linotype" w:hAnsi="Palatino Linotype"/>
        </w:rPr>
        <w:t xml:space="preserve">: </w:t>
      </w:r>
    </w:p>
    <w:p w:rsidR="00415E3D" w:rsidRPr="00D078A0" w:rsidRDefault="00415E3D" w:rsidP="004B52D6">
      <w:pPr>
        <w:spacing w:before="100" w:beforeAutospacing="1" w:after="100" w:afterAutospacing="1" w:line="276" w:lineRule="auto"/>
        <w:ind w:left="851" w:right="902" w:hanging="142"/>
        <w:contextualSpacing/>
        <w:jc w:val="both"/>
        <w:rPr>
          <w:rFonts w:ascii="Palatino Linotype" w:hAnsi="Palatino Linotype"/>
          <w:bCs/>
          <w:i/>
          <w:sz w:val="22"/>
          <w:szCs w:val="22"/>
        </w:rPr>
      </w:pPr>
    </w:p>
    <w:p w:rsidR="00253662" w:rsidRPr="00D078A0" w:rsidRDefault="000A7048" w:rsidP="004B52D6">
      <w:pPr>
        <w:spacing w:before="100" w:beforeAutospacing="1" w:after="100" w:afterAutospacing="1" w:line="276" w:lineRule="auto"/>
        <w:ind w:left="851" w:right="902" w:hanging="142"/>
        <w:contextualSpacing/>
        <w:jc w:val="both"/>
        <w:rPr>
          <w:rFonts w:ascii="Palatino Linotype" w:hAnsi="Palatino Linotype"/>
          <w:bCs/>
          <w:i/>
          <w:sz w:val="22"/>
          <w:szCs w:val="22"/>
        </w:rPr>
      </w:pPr>
      <w:r w:rsidRPr="00D078A0">
        <w:rPr>
          <w:rFonts w:ascii="Palatino Linotype" w:hAnsi="Palatino Linotype"/>
          <w:bCs/>
          <w:i/>
          <w:sz w:val="22"/>
          <w:szCs w:val="22"/>
        </w:rPr>
        <w:t>“</w:t>
      </w:r>
      <w:r w:rsidR="00D078A0" w:rsidRPr="00D078A0">
        <w:rPr>
          <w:rFonts w:ascii="Palatino Linotype" w:hAnsi="Palatino Linotype"/>
          <w:bCs/>
          <w:i/>
          <w:sz w:val="22"/>
          <w:szCs w:val="22"/>
        </w:rPr>
        <w:t>a) El monto erogado</w:t>
      </w:r>
      <w:r w:rsidR="00C84BD6" w:rsidRPr="00D078A0">
        <w:rPr>
          <w:rFonts w:ascii="Palatino Linotype" w:hAnsi="Palatino Linotype"/>
          <w:bCs/>
          <w:i/>
          <w:sz w:val="22"/>
          <w:szCs w:val="22"/>
        </w:rPr>
        <w:t xml:space="preserve"> </w:t>
      </w:r>
      <w:r w:rsidR="00D078A0" w:rsidRPr="00D078A0">
        <w:rPr>
          <w:rFonts w:ascii="Palatino Linotype" w:hAnsi="Palatino Linotype"/>
          <w:bCs/>
          <w:i/>
          <w:sz w:val="22"/>
          <w:szCs w:val="22"/>
        </w:rPr>
        <w:t xml:space="preserve">con motivo </w:t>
      </w:r>
      <w:r w:rsidR="00065F51" w:rsidRPr="00D078A0">
        <w:rPr>
          <w:rFonts w:ascii="Palatino Linotype" w:hAnsi="Palatino Linotype"/>
          <w:bCs/>
          <w:i/>
          <w:sz w:val="22"/>
          <w:szCs w:val="22"/>
        </w:rPr>
        <w:t>del espectáculo de pirotecnia</w:t>
      </w:r>
      <w:r w:rsidR="0023793B" w:rsidRPr="00D078A0">
        <w:rPr>
          <w:rFonts w:ascii="Palatino Linotype" w:hAnsi="Palatino Linotype"/>
          <w:bCs/>
          <w:i/>
          <w:sz w:val="22"/>
          <w:szCs w:val="22"/>
        </w:rPr>
        <w:t>;</w:t>
      </w:r>
      <w:r w:rsidR="00611A4B">
        <w:rPr>
          <w:rFonts w:ascii="Palatino Linotype" w:hAnsi="Palatino Linotype"/>
          <w:bCs/>
          <w:i/>
          <w:sz w:val="22"/>
          <w:szCs w:val="22"/>
        </w:rPr>
        <w:t xml:space="preserve"> </w:t>
      </w:r>
    </w:p>
    <w:p w:rsidR="0023793B" w:rsidRPr="00D078A0" w:rsidRDefault="00065F51" w:rsidP="004B52D6">
      <w:pPr>
        <w:spacing w:before="100" w:beforeAutospacing="1" w:after="100" w:afterAutospacing="1" w:line="276" w:lineRule="auto"/>
        <w:ind w:left="851" w:right="902"/>
        <w:contextualSpacing/>
        <w:jc w:val="both"/>
        <w:rPr>
          <w:rFonts w:ascii="Palatino Linotype" w:hAnsi="Palatino Linotype"/>
          <w:bCs/>
          <w:i/>
          <w:sz w:val="22"/>
          <w:szCs w:val="22"/>
        </w:rPr>
      </w:pPr>
      <w:r w:rsidRPr="00D078A0">
        <w:rPr>
          <w:rFonts w:ascii="Palatino Linotype" w:hAnsi="Palatino Linotype"/>
          <w:bCs/>
          <w:i/>
          <w:sz w:val="22"/>
          <w:szCs w:val="22"/>
        </w:rPr>
        <w:t xml:space="preserve">b) </w:t>
      </w:r>
      <w:r w:rsidR="00D078A0" w:rsidRPr="00D078A0">
        <w:rPr>
          <w:rFonts w:ascii="Palatino Linotype" w:hAnsi="Palatino Linotype"/>
          <w:bCs/>
          <w:i/>
          <w:sz w:val="22"/>
          <w:szCs w:val="22"/>
        </w:rPr>
        <w:t>E</w:t>
      </w:r>
      <w:r w:rsidR="0023793B" w:rsidRPr="00D078A0">
        <w:rPr>
          <w:rFonts w:ascii="Palatino Linotype" w:hAnsi="Palatino Linotype"/>
          <w:bCs/>
          <w:i/>
          <w:sz w:val="22"/>
          <w:szCs w:val="22"/>
        </w:rPr>
        <w:t xml:space="preserve">l nombre de persona contratada para la realización </w:t>
      </w:r>
      <w:r w:rsidR="00D078A0" w:rsidRPr="00D078A0">
        <w:rPr>
          <w:rFonts w:ascii="Palatino Linotype" w:hAnsi="Palatino Linotype"/>
          <w:bCs/>
          <w:i/>
          <w:sz w:val="22"/>
          <w:szCs w:val="22"/>
        </w:rPr>
        <w:t>del evento</w:t>
      </w:r>
      <w:r w:rsidR="0023793B" w:rsidRPr="00D078A0">
        <w:rPr>
          <w:rFonts w:ascii="Palatino Linotype" w:hAnsi="Palatino Linotype"/>
          <w:bCs/>
          <w:i/>
          <w:sz w:val="22"/>
          <w:szCs w:val="22"/>
        </w:rPr>
        <w:t>; y,</w:t>
      </w:r>
    </w:p>
    <w:p w:rsidR="00065F51" w:rsidRPr="00D078A0" w:rsidRDefault="0023793B" w:rsidP="004B52D6">
      <w:pPr>
        <w:spacing w:before="100" w:beforeAutospacing="1" w:after="100" w:afterAutospacing="1" w:line="276" w:lineRule="auto"/>
        <w:ind w:left="851" w:right="902"/>
        <w:contextualSpacing/>
        <w:jc w:val="both"/>
        <w:rPr>
          <w:rFonts w:ascii="Palatino Linotype" w:hAnsi="Palatino Linotype"/>
          <w:bCs/>
          <w:i/>
          <w:sz w:val="22"/>
          <w:szCs w:val="22"/>
        </w:rPr>
      </w:pPr>
      <w:r w:rsidRPr="00D078A0">
        <w:rPr>
          <w:rFonts w:ascii="Palatino Linotype" w:hAnsi="Palatino Linotype"/>
          <w:bCs/>
          <w:i/>
          <w:sz w:val="22"/>
          <w:szCs w:val="22"/>
        </w:rPr>
        <w:t xml:space="preserve">c) </w:t>
      </w:r>
      <w:r w:rsidR="00065F51" w:rsidRPr="00D078A0">
        <w:rPr>
          <w:rFonts w:ascii="Palatino Linotype" w:hAnsi="Palatino Linotype"/>
          <w:bCs/>
          <w:i/>
          <w:sz w:val="22"/>
          <w:szCs w:val="22"/>
        </w:rPr>
        <w:t xml:space="preserve">El número de </w:t>
      </w:r>
      <w:r w:rsidRPr="00D078A0">
        <w:rPr>
          <w:rFonts w:ascii="Palatino Linotype" w:hAnsi="Palatino Linotype"/>
          <w:bCs/>
          <w:i/>
          <w:sz w:val="22"/>
          <w:szCs w:val="22"/>
        </w:rPr>
        <w:t>elementos de Seguridad Pública y Tránsito</w:t>
      </w:r>
      <w:r w:rsidR="00065F51" w:rsidRPr="00D078A0">
        <w:rPr>
          <w:rFonts w:ascii="Palatino Linotype" w:hAnsi="Palatino Linotype"/>
          <w:bCs/>
          <w:i/>
          <w:sz w:val="22"/>
          <w:szCs w:val="22"/>
        </w:rPr>
        <w:t>, Bomberos y elementos de la Guardia Nacional desplegados para dicho evento</w:t>
      </w:r>
      <w:r w:rsidR="00D078A0" w:rsidRPr="00D078A0">
        <w:rPr>
          <w:rFonts w:ascii="Palatino Linotype" w:hAnsi="Palatino Linotype"/>
          <w:bCs/>
          <w:i/>
          <w:sz w:val="22"/>
          <w:szCs w:val="22"/>
        </w:rPr>
        <w:t>.</w:t>
      </w:r>
      <w:r w:rsidR="00611A4B">
        <w:rPr>
          <w:rFonts w:ascii="Palatino Linotype" w:hAnsi="Palatino Linotype"/>
          <w:bCs/>
          <w:i/>
          <w:sz w:val="22"/>
          <w:szCs w:val="22"/>
        </w:rPr>
        <w:t xml:space="preserve"> </w:t>
      </w:r>
    </w:p>
    <w:p w:rsidR="00253662" w:rsidRPr="00D078A0" w:rsidRDefault="00253662" w:rsidP="004B52D6">
      <w:pPr>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rsidR="00253662" w:rsidRPr="00D078A0" w:rsidRDefault="00253662" w:rsidP="004B52D6">
      <w:pPr>
        <w:spacing w:before="100" w:beforeAutospacing="1" w:after="100" w:afterAutospacing="1" w:line="276" w:lineRule="auto"/>
        <w:ind w:left="851" w:right="902"/>
        <w:contextualSpacing/>
        <w:jc w:val="both"/>
        <w:rPr>
          <w:rFonts w:ascii="Palatino Linotype" w:hAnsi="Palatino Linotype"/>
          <w:b/>
          <w:bCs/>
          <w:i/>
          <w:sz w:val="22"/>
          <w:szCs w:val="22"/>
        </w:rPr>
      </w:pPr>
      <w:r w:rsidRPr="00D078A0">
        <w:rPr>
          <w:rFonts w:ascii="Palatino Linotype" w:hAnsi="Palatino Linotype" w:cs="Arial"/>
          <w:i/>
          <w:sz w:val="22"/>
          <w:szCs w:val="22"/>
          <w:lang w:eastAsia="es-MX"/>
        </w:rPr>
        <w:t>Debiendo</w:t>
      </w:r>
      <w:r w:rsidR="002B5FFF" w:rsidRPr="00D078A0">
        <w:rPr>
          <w:rFonts w:ascii="Palatino Linotype" w:hAnsi="Palatino Linotype" w:cs="Arial"/>
          <w:i/>
          <w:sz w:val="22"/>
          <w:szCs w:val="22"/>
        </w:rPr>
        <w:t xml:space="preserve"> notificar a</w:t>
      </w:r>
      <w:r w:rsidR="00065F51" w:rsidRPr="00D078A0">
        <w:rPr>
          <w:rFonts w:ascii="Palatino Linotype" w:hAnsi="Palatino Linotype" w:cs="Arial"/>
          <w:i/>
          <w:sz w:val="22"/>
          <w:szCs w:val="22"/>
        </w:rPr>
        <w:t>l</w:t>
      </w:r>
      <w:r w:rsidR="002B5FFF" w:rsidRPr="00D078A0">
        <w:rPr>
          <w:rFonts w:ascii="Palatino Linotype" w:hAnsi="Palatino Linotype" w:cs="Arial"/>
          <w:i/>
          <w:sz w:val="22"/>
          <w:szCs w:val="22"/>
        </w:rPr>
        <w:t xml:space="preserve"> </w:t>
      </w:r>
      <w:r w:rsidRPr="00D078A0">
        <w:rPr>
          <w:rFonts w:ascii="Palatino Linotype" w:hAnsi="Palatino Linotype" w:cs="Arial"/>
          <w:b/>
          <w:i/>
          <w:sz w:val="22"/>
          <w:szCs w:val="22"/>
        </w:rPr>
        <w:t>RECURRENTE</w:t>
      </w:r>
      <w:r w:rsidRPr="00D078A0">
        <w:rPr>
          <w:rFonts w:ascii="Palatino Linotype" w:hAnsi="Palatino Linotype" w:cs="Arial"/>
          <w:i/>
          <w:sz w:val="22"/>
          <w:szCs w:val="22"/>
        </w:rPr>
        <w:t xml:space="preserve"> el Acuerdo de Clasificación de la información que emita en su caso el Comité de Transparencia con motivo de la versión pública.”</w:t>
      </w:r>
    </w:p>
    <w:p w:rsidR="00415E3D" w:rsidRPr="00D078A0" w:rsidRDefault="00415E3D"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rPr>
      </w:pPr>
    </w:p>
    <w:p w:rsidR="00253662" w:rsidRPr="00D078A0" w:rsidRDefault="00253662"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28"/>
          <w:szCs w:val="28"/>
        </w:rPr>
      </w:pPr>
      <w:r w:rsidRPr="00D078A0">
        <w:rPr>
          <w:rFonts w:ascii="Palatino Linotype" w:hAnsi="Palatino Linotype" w:cs="Arial"/>
          <w:b/>
          <w:sz w:val="28"/>
          <w:szCs w:val="28"/>
        </w:rPr>
        <w:t xml:space="preserve">TERCERO. </w:t>
      </w:r>
      <w:r w:rsidRPr="00D078A0">
        <w:rPr>
          <w:rFonts w:ascii="Palatino Linotype" w:hAnsi="Palatino Linotype" w:cs="Arial"/>
          <w:b/>
        </w:rPr>
        <w:t>Notifíquese</w:t>
      </w:r>
      <w:r w:rsidR="000A7048" w:rsidRPr="00D078A0">
        <w:rPr>
          <w:rFonts w:ascii="Palatino Linotype" w:hAnsi="Palatino Linotype" w:cs="Arial"/>
        </w:rPr>
        <w:t xml:space="preserve"> la presente resolución a la</w:t>
      </w:r>
      <w:r w:rsidRPr="00D078A0">
        <w:rPr>
          <w:rFonts w:ascii="Palatino Linotype" w:hAnsi="Palatino Linotype" w:cs="Arial"/>
        </w:rPr>
        <w:t xml:space="preserve"> Titular de la Unidad de Transparencia del </w:t>
      </w:r>
      <w:r w:rsidRPr="00D078A0">
        <w:rPr>
          <w:rFonts w:ascii="Palatino Linotype" w:hAnsi="Palatino Linotype" w:cs="Arial"/>
          <w:b/>
        </w:rPr>
        <w:t>SUJETO OBLIGADO</w:t>
      </w:r>
      <w:r w:rsidRPr="00D078A0">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15E3D" w:rsidRPr="00D078A0" w:rsidRDefault="00415E3D"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lang w:val="es-ES_tradnl"/>
        </w:rPr>
      </w:pPr>
    </w:p>
    <w:p w:rsidR="00253662" w:rsidRPr="00D078A0" w:rsidRDefault="00253662" w:rsidP="0023793B">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222222"/>
          <w:lang w:eastAsia="es-MX"/>
        </w:rPr>
      </w:pPr>
      <w:r w:rsidRPr="00D078A0">
        <w:rPr>
          <w:rFonts w:ascii="Palatino Linotype" w:hAnsi="Palatino Linotype" w:cs="Arial"/>
          <w:b/>
          <w:sz w:val="28"/>
          <w:lang w:val="es-ES_tradnl"/>
        </w:rPr>
        <w:t xml:space="preserve">CUARTO. </w:t>
      </w:r>
      <w:r w:rsidRPr="00D078A0">
        <w:rPr>
          <w:rFonts w:ascii="Palatino Linotype" w:hAnsi="Palatino Linotype"/>
          <w:b/>
          <w:bCs/>
          <w:color w:val="222222"/>
          <w:lang w:eastAsia="es-MX"/>
        </w:rPr>
        <w:t>Notifíquese</w:t>
      </w:r>
      <w:r w:rsidR="0081297D" w:rsidRPr="00D078A0">
        <w:rPr>
          <w:rFonts w:ascii="Palatino Linotype" w:hAnsi="Palatino Linotype"/>
          <w:color w:val="222222"/>
          <w:lang w:eastAsia="es-MX"/>
        </w:rPr>
        <w:t xml:space="preserve"> al</w:t>
      </w:r>
      <w:r w:rsidR="00A633C7" w:rsidRPr="00D078A0">
        <w:rPr>
          <w:rFonts w:ascii="Palatino Linotype" w:hAnsi="Palatino Linotype"/>
          <w:b/>
          <w:color w:val="222222"/>
          <w:lang w:eastAsia="es-MX"/>
        </w:rPr>
        <w:t xml:space="preserve"> </w:t>
      </w:r>
      <w:r w:rsidRPr="00D078A0">
        <w:rPr>
          <w:rFonts w:ascii="Palatino Linotype" w:hAnsi="Palatino Linotype"/>
          <w:b/>
          <w:bCs/>
          <w:color w:val="222222"/>
          <w:lang w:eastAsia="es-MX"/>
        </w:rPr>
        <w:t>RECURRENTE</w:t>
      </w:r>
      <w:r w:rsidR="000D4CEB" w:rsidRPr="00D078A0">
        <w:rPr>
          <w:rFonts w:ascii="Palatino Linotype" w:hAnsi="Palatino Linotype"/>
          <w:color w:val="222222"/>
          <w:lang w:eastAsia="es-MX"/>
        </w:rPr>
        <w:t xml:space="preserve"> la presente resolución</w:t>
      </w:r>
      <w:r w:rsidR="0081297D" w:rsidRPr="00D078A0">
        <w:rPr>
          <w:rFonts w:ascii="Palatino Linotype" w:hAnsi="Palatino Linotype"/>
          <w:color w:val="222222"/>
          <w:lang w:eastAsia="es-MX"/>
        </w:rPr>
        <w:t xml:space="preserve"> vía </w:t>
      </w:r>
      <w:r w:rsidR="0081297D" w:rsidRPr="00D078A0">
        <w:rPr>
          <w:rFonts w:ascii="Palatino Linotype" w:hAnsi="Palatino Linotype"/>
          <w:b/>
          <w:color w:val="222222"/>
          <w:lang w:eastAsia="es-MX"/>
        </w:rPr>
        <w:t xml:space="preserve">SAIMEX </w:t>
      </w:r>
      <w:r w:rsidR="0081297D" w:rsidRPr="00D078A0">
        <w:rPr>
          <w:rFonts w:ascii="Palatino Linotype" w:hAnsi="Palatino Linotype"/>
          <w:color w:val="222222"/>
          <w:lang w:eastAsia="es-MX"/>
        </w:rPr>
        <w:t xml:space="preserve">y </w:t>
      </w:r>
      <w:r w:rsidR="0081297D" w:rsidRPr="00D078A0">
        <w:rPr>
          <w:rFonts w:ascii="Palatino Linotype" w:hAnsi="Palatino Linotype"/>
          <w:b/>
          <w:color w:val="222222"/>
          <w:lang w:eastAsia="es-MX"/>
        </w:rPr>
        <w:t xml:space="preserve">correo electrónico </w:t>
      </w:r>
      <w:r w:rsidR="0081297D" w:rsidRPr="00D078A0">
        <w:rPr>
          <w:rFonts w:ascii="Palatino Linotype" w:hAnsi="Palatino Linotype"/>
          <w:color w:val="222222"/>
          <w:lang w:eastAsia="es-MX"/>
        </w:rPr>
        <w:t>la presente resolución</w:t>
      </w:r>
      <w:r w:rsidR="000D4CEB" w:rsidRPr="00D078A0">
        <w:rPr>
          <w:rFonts w:ascii="Palatino Linotype" w:hAnsi="Palatino Linotype"/>
          <w:color w:val="222222"/>
          <w:lang w:eastAsia="es-MX"/>
        </w:rPr>
        <w:t>.</w:t>
      </w:r>
    </w:p>
    <w:p w:rsidR="00415E3D" w:rsidRPr="00D078A0" w:rsidRDefault="00415E3D" w:rsidP="0023793B">
      <w:pPr>
        <w:spacing w:before="100" w:beforeAutospacing="1" w:after="100" w:afterAutospacing="1" w:line="360" w:lineRule="auto"/>
        <w:ind w:right="49"/>
        <w:contextualSpacing/>
        <w:jc w:val="both"/>
        <w:rPr>
          <w:rFonts w:ascii="Palatino Linotype" w:hAnsi="Palatino Linotype"/>
          <w:b/>
          <w:color w:val="222222"/>
          <w:lang w:eastAsia="es-ES_tradnl"/>
        </w:rPr>
      </w:pPr>
    </w:p>
    <w:p w:rsidR="00253662" w:rsidRPr="00D078A0" w:rsidRDefault="00253662" w:rsidP="0023793B">
      <w:pPr>
        <w:spacing w:before="100" w:beforeAutospacing="1" w:after="100" w:afterAutospacing="1" w:line="360" w:lineRule="auto"/>
        <w:ind w:right="49"/>
        <w:contextualSpacing/>
        <w:jc w:val="both"/>
        <w:rPr>
          <w:rFonts w:ascii="Palatino Linotype" w:hAnsi="Palatino Linotype"/>
          <w:color w:val="222222"/>
          <w:lang w:eastAsia="es-MX"/>
        </w:rPr>
      </w:pPr>
      <w:r w:rsidRPr="00D078A0">
        <w:rPr>
          <w:rFonts w:ascii="Palatino Linotype" w:hAnsi="Palatino Linotype"/>
          <w:b/>
          <w:color w:val="222222"/>
          <w:sz w:val="28"/>
          <w:szCs w:val="28"/>
          <w:lang w:eastAsia="es-ES_tradnl"/>
        </w:rPr>
        <w:t>QUINTO.</w:t>
      </w:r>
      <w:r w:rsidRPr="00D078A0">
        <w:rPr>
          <w:rFonts w:ascii="Palatino Linotype" w:hAnsi="Palatino Linotype"/>
          <w:b/>
          <w:color w:val="222222"/>
          <w:szCs w:val="17"/>
          <w:lang w:eastAsia="es-ES_tradnl"/>
        </w:rPr>
        <w:t xml:space="preserve"> </w:t>
      </w:r>
      <w:r w:rsidRPr="00D078A0">
        <w:rPr>
          <w:rFonts w:ascii="Palatino Linotype" w:hAnsi="Palatino Linotype"/>
          <w:b/>
          <w:bCs/>
          <w:color w:val="222222"/>
          <w:lang w:eastAsia="es-MX"/>
        </w:rPr>
        <w:t>Hágase del conocimiento</w:t>
      </w:r>
      <w:r w:rsidRPr="00D078A0">
        <w:rPr>
          <w:rFonts w:ascii="Palatino Linotype" w:hAnsi="Palatino Linotype"/>
          <w:color w:val="222222"/>
          <w:lang w:eastAsia="es-MX"/>
        </w:rPr>
        <w:t xml:space="preserve"> de</w:t>
      </w:r>
      <w:r w:rsidR="00D078A0" w:rsidRPr="00D078A0">
        <w:rPr>
          <w:rFonts w:ascii="Palatino Linotype" w:hAnsi="Palatino Linotype"/>
          <w:color w:val="222222"/>
          <w:lang w:eastAsia="es-MX"/>
        </w:rPr>
        <w:t>l</w:t>
      </w:r>
      <w:r w:rsidR="00A633C7" w:rsidRPr="00D078A0">
        <w:rPr>
          <w:rFonts w:ascii="Palatino Linotype" w:hAnsi="Palatino Linotype"/>
          <w:b/>
          <w:bCs/>
          <w:color w:val="222222"/>
          <w:lang w:eastAsia="es-MX"/>
        </w:rPr>
        <w:t xml:space="preserve"> </w:t>
      </w:r>
      <w:r w:rsidRPr="00D078A0">
        <w:rPr>
          <w:rFonts w:ascii="Palatino Linotype" w:hAnsi="Palatino Linotype"/>
          <w:b/>
          <w:bCs/>
          <w:color w:val="222222"/>
          <w:lang w:eastAsia="es-MX"/>
        </w:rPr>
        <w:t>RECURRENTE</w:t>
      </w:r>
      <w:r w:rsidRPr="00D078A0">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46C6D" w:rsidRPr="00D078A0" w:rsidRDefault="00846C6D" w:rsidP="0023793B">
      <w:pPr>
        <w:spacing w:before="100" w:beforeAutospacing="1" w:after="100" w:afterAutospacing="1" w:line="360" w:lineRule="auto"/>
        <w:ind w:right="49"/>
        <w:contextualSpacing/>
        <w:jc w:val="both"/>
        <w:rPr>
          <w:rFonts w:ascii="Palatino Linotype" w:hAnsi="Palatino Linotype"/>
          <w:b/>
          <w:color w:val="222222"/>
          <w:lang w:eastAsia="es-MX"/>
        </w:rPr>
      </w:pPr>
    </w:p>
    <w:p w:rsidR="00253662" w:rsidRPr="00253662" w:rsidRDefault="00253662" w:rsidP="0023793B">
      <w:pPr>
        <w:spacing w:before="100" w:beforeAutospacing="1" w:after="100" w:afterAutospacing="1" w:line="360" w:lineRule="auto"/>
        <w:ind w:right="49"/>
        <w:contextualSpacing/>
        <w:jc w:val="both"/>
        <w:rPr>
          <w:rFonts w:ascii="Palatino Linotype" w:hAnsi="Palatino Linotype"/>
          <w:color w:val="222222"/>
          <w:lang w:eastAsia="es-MX"/>
        </w:rPr>
      </w:pPr>
      <w:r w:rsidRPr="00D078A0">
        <w:rPr>
          <w:rFonts w:ascii="Palatino Linotype" w:hAnsi="Palatino Linotype"/>
          <w:b/>
          <w:color w:val="222222"/>
          <w:sz w:val="28"/>
          <w:lang w:eastAsia="es-MX"/>
        </w:rPr>
        <w:lastRenderedPageBreak/>
        <w:t>SEXTO.</w:t>
      </w:r>
      <w:r w:rsidRPr="00D078A0">
        <w:rPr>
          <w:rFonts w:ascii="Palatino Linotype" w:hAnsi="Palatino Linotype"/>
          <w:color w:val="222222"/>
          <w:sz w:val="28"/>
          <w:lang w:eastAsia="es-MX"/>
        </w:rPr>
        <w:t xml:space="preserve"> </w:t>
      </w:r>
      <w:r w:rsidRPr="00D078A0">
        <w:rPr>
          <w:rFonts w:ascii="Palatino Linotype" w:hAnsi="Palatino Linotype"/>
          <w:b/>
          <w:color w:val="222222"/>
          <w:szCs w:val="17"/>
          <w:lang w:eastAsia="es-ES_tradnl"/>
        </w:rPr>
        <w:t xml:space="preserve">Gírese oficio </w:t>
      </w:r>
      <w:r w:rsidRPr="00D078A0">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693F80" w:rsidRPr="00D078A0">
        <w:rPr>
          <w:rFonts w:ascii="Palatino Linotype" w:hAnsi="Palatino Linotype"/>
          <w:b/>
          <w:color w:val="222222"/>
          <w:szCs w:val="17"/>
          <w:lang w:eastAsia="es-ES_tradnl"/>
        </w:rPr>
        <w:t>QUINTO</w:t>
      </w:r>
      <w:r w:rsidRPr="00D078A0">
        <w:rPr>
          <w:rFonts w:ascii="Palatino Linotype" w:hAnsi="Palatino Linotype"/>
          <w:color w:val="222222"/>
          <w:szCs w:val="17"/>
          <w:lang w:eastAsia="es-ES_tradnl"/>
        </w:rPr>
        <w:t xml:space="preserve"> de la presente resolución.</w:t>
      </w:r>
    </w:p>
    <w:p w:rsidR="00415E3D" w:rsidRDefault="00415E3D" w:rsidP="0023793B">
      <w:pPr>
        <w:spacing w:before="100" w:beforeAutospacing="1" w:after="100" w:afterAutospacing="1" w:line="360" w:lineRule="auto"/>
        <w:contextualSpacing/>
        <w:jc w:val="both"/>
        <w:rPr>
          <w:rFonts w:ascii="Palatino Linotype" w:hAnsi="Palatino Linotype" w:cs="Arial"/>
          <w:lang w:val="es-ES"/>
        </w:rPr>
      </w:pPr>
    </w:p>
    <w:p w:rsidR="00AF0972" w:rsidRDefault="00AF0972" w:rsidP="00AF0972">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ASÍ LO RESUELVE, POR </w:t>
      </w:r>
      <w:r w:rsidRPr="008A08C0">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ACCESO A LA INFORMACIÓN PÚBLICA Y PROTECCIÓN DE DATOS PERSONALES DEL ESTADO DE MÉXICO Y MUNICIPIOS</w:t>
      </w:r>
      <w:r w:rsidRPr="005E7982">
        <w:rPr>
          <w:rFonts w:ascii="Palatino Linotype" w:hAnsi="Palatino Linotype" w:cs="Arial"/>
        </w:rPr>
        <w:t xml:space="preserve">, CONFORMADO POR LOS COMISIONADOS ZULEMA MARTÍNEZ SÁNCHEZ; EVA ABAID YAPUR; JOSÉ GUADALUPE LUNA HERNÁNDEZ, JAVIER MARTÍNEZ CRUZ Y LUIS GUSTAVO PARRA NORIEGA; </w:t>
      </w:r>
      <w:r w:rsidRPr="008A08C0">
        <w:rPr>
          <w:rFonts w:ascii="Palatino Linotype" w:hAnsi="Palatino Linotype" w:cs="Arial"/>
          <w:shd w:val="clear" w:color="auto" w:fill="FFFFFF" w:themeFill="background1"/>
        </w:rPr>
        <w:t xml:space="preserve">EN LA PRIMERA </w:t>
      </w:r>
      <w:r w:rsidRPr="008A08C0">
        <w:rPr>
          <w:rFonts w:ascii="Palatino Linotype" w:hAnsi="Palatino Linotype" w:cs="Arial"/>
        </w:rPr>
        <w:t>SESIÓN ORDINARIA CELEBRADA EL QUINCE DE ENERO DE DOS MIL VEINTE</w:t>
      </w:r>
      <w:r>
        <w:rPr>
          <w:rFonts w:ascii="Palatino Linotype" w:hAnsi="Palatino Linotype" w:cs="Arial"/>
        </w:rPr>
        <w:t xml:space="preserve">, </w:t>
      </w:r>
      <w:r w:rsidRPr="005E7982">
        <w:rPr>
          <w:rFonts w:ascii="Palatino Linotype" w:hAnsi="Palatino Linotype" w:cs="Arial"/>
        </w:rPr>
        <w:t xml:space="preserve">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EC74DE" w:rsidRPr="00EC74DE" w:rsidTr="003D192B">
        <w:trPr>
          <w:jc w:val="center"/>
        </w:trPr>
        <w:tc>
          <w:tcPr>
            <w:tcW w:w="9214" w:type="dxa"/>
            <w:gridSpan w:val="2"/>
            <w:shd w:val="clear" w:color="auto" w:fill="auto"/>
          </w:tcPr>
          <w:p w:rsidR="00EC74DE" w:rsidRDefault="00EC74DE" w:rsidP="0023793B">
            <w:pPr>
              <w:spacing w:before="100" w:beforeAutospacing="1" w:after="100" w:afterAutospacing="1"/>
              <w:contextualSpacing/>
              <w:jc w:val="center"/>
              <w:rPr>
                <w:rFonts w:ascii="Palatino Linotype" w:hAnsi="Palatino Linotype" w:cs="Arial"/>
                <w:b/>
                <w:lang w:val="es-ES_tradnl"/>
              </w:rPr>
            </w:pPr>
          </w:p>
          <w:p w:rsidR="00AF0972" w:rsidRPr="00EC74DE" w:rsidRDefault="00AF0972"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Zulema Martínez Sánchez</w:t>
            </w: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lang w:val="es-ES_tradnl"/>
              </w:rPr>
              <w:t>Comisionada Presidenta</w:t>
            </w: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4756" w:type="dxa"/>
            <w:shd w:val="clear" w:color="auto" w:fill="auto"/>
          </w:tcPr>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Eva Abaid Yapur</w:t>
            </w:r>
          </w:p>
          <w:p w:rsidR="00EC74DE" w:rsidRPr="00EC74DE" w:rsidRDefault="00EC74DE" w:rsidP="0023793B">
            <w:pPr>
              <w:spacing w:before="100" w:beforeAutospacing="1" w:after="100" w:afterAutospacing="1"/>
              <w:contextualSpacing/>
              <w:jc w:val="center"/>
              <w:rPr>
                <w:rFonts w:ascii="Palatino Linotype" w:hAnsi="Palatino Linotype" w:cs="Arial"/>
                <w:lang w:val="es-ES_tradnl"/>
              </w:rPr>
            </w:pPr>
            <w:r w:rsidRPr="00EC74DE">
              <w:rPr>
                <w:rFonts w:ascii="Palatino Linotype" w:hAnsi="Palatino Linotype" w:cs="Arial"/>
                <w:lang w:val="es-ES_tradnl"/>
              </w:rPr>
              <w:t>Comisionada</w:t>
            </w: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(RÚBRICA)</w:t>
            </w:r>
          </w:p>
        </w:tc>
        <w:tc>
          <w:tcPr>
            <w:tcW w:w="4458" w:type="dxa"/>
            <w:shd w:val="clear" w:color="auto" w:fill="auto"/>
          </w:tcPr>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A925CC" w:rsidRPr="00EC74DE" w:rsidRDefault="00A925CC" w:rsidP="0023793B">
            <w:pPr>
              <w:spacing w:before="100" w:beforeAutospacing="1" w:after="100" w:afterAutospacing="1"/>
              <w:contextualSpacing/>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José Guadalupe Luna Hernández</w:t>
            </w:r>
          </w:p>
          <w:p w:rsidR="00EC74DE" w:rsidRPr="00EC74DE" w:rsidRDefault="00EC74DE" w:rsidP="0023793B">
            <w:pPr>
              <w:spacing w:before="100" w:beforeAutospacing="1" w:after="100" w:afterAutospacing="1"/>
              <w:contextualSpacing/>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4756" w:type="dxa"/>
            <w:shd w:val="clear" w:color="auto" w:fill="auto"/>
          </w:tcPr>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Default="00EC74DE" w:rsidP="0023793B">
            <w:pPr>
              <w:spacing w:before="100" w:beforeAutospacing="1" w:after="100" w:afterAutospacing="1"/>
              <w:contextualSpacing/>
              <w:jc w:val="center"/>
              <w:rPr>
                <w:rFonts w:ascii="Palatino Linotype" w:hAnsi="Palatino Linotype" w:cs="Arial"/>
                <w:b/>
                <w:lang w:val="es-ES_tradnl"/>
              </w:rPr>
            </w:pPr>
          </w:p>
          <w:p w:rsidR="00A925CC" w:rsidRDefault="00A925CC" w:rsidP="0023793B">
            <w:pPr>
              <w:spacing w:before="100" w:beforeAutospacing="1" w:after="100" w:afterAutospacing="1"/>
              <w:contextualSpacing/>
              <w:jc w:val="center"/>
              <w:rPr>
                <w:rFonts w:ascii="Palatino Linotype" w:hAnsi="Palatino Linotype" w:cs="Arial"/>
                <w:b/>
                <w:lang w:val="es-ES_tradnl"/>
              </w:rPr>
            </w:pPr>
          </w:p>
          <w:p w:rsidR="00A925CC" w:rsidRPr="00EC74DE" w:rsidRDefault="00A925CC"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Javier Martínez Cruz</w:t>
            </w:r>
          </w:p>
          <w:p w:rsidR="00EC74DE" w:rsidRPr="00EC74DE" w:rsidRDefault="00EC74DE" w:rsidP="0023793B">
            <w:pPr>
              <w:spacing w:before="100" w:beforeAutospacing="1" w:after="100" w:afterAutospacing="1"/>
              <w:contextualSpacing/>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23793B">
            <w:pPr>
              <w:spacing w:before="100" w:beforeAutospacing="1" w:after="100" w:afterAutospacing="1"/>
              <w:contextualSpacing/>
              <w:jc w:val="center"/>
              <w:rPr>
                <w:rFonts w:ascii="Palatino Linotype" w:hAnsi="Palatino Linotype" w:cs="Arial"/>
                <w:lang w:val="es-ES_tradnl"/>
              </w:rPr>
            </w:pPr>
            <w:r w:rsidRPr="00EC74DE">
              <w:rPr>
                <w:rFonts w:ascii="Palatino Linotype" w:hAnsi="Palatino Linotype" w:cs="Arial"/>
                <w:b/>
                <w:lang w:val="es-ES_tradnl"/>
              </w:rPr>
              <w:t>(RÚBRICA)</w:t>
            </w:r>
          </w:p>
        </w:tc>
        <w:tc>
          <w:tcPr>
            <w:tcW w:w="4458" w:type="dxa"/>
            <w:shd w:val="clear" w:color="auto" w:fill="auto"/>
          </w:tcPr>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Default="00EC74DE" w:rsidP="0023793B">
            <w:pPr>
              <w:spacing w:before="100" w:beforeAutospacing="1" w:after="100" w:afterAutospacing="1"/>
              <w:contextualSpacing/>
              <w:jc w:val="center"/>
              <w:rPr>
                <w:rFonts w:ascii="Palatino Linotype" w:hAnsi="Palatino Linotype" w:cs="Arial"/>
                <w:b/>
                <w:lang w:val="es-ES_tradnl"/>
              </w:rPr>
            </w:pPr>
          </w:p>
          <w:p w:rsidR="00A925CC" w:rsidRPr="00EC74DE" w:rsidRDefault="00A925CC"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Luis Gustavo Parra Noriega</w:t>
            </w:r>
          </w:p>
          <w:p w:rsidR="00EC74DE" w:rsidRPr="00EC74DE" w:rsidRDefault="00EC74DE" w:rsidP="0023793B">
            <w:pPr>
              <w:spacing w:before="100" w:beforeAutospacing="1" w:after="100" w:afterAutospacing="1"/>
              <w:contextualSpacing/>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9214" w:type="dxa"/>
            <w:gridSpan w:val="2"/>
            <w:shd w:val="clear" w:color="auto" w:fill="auto"/>
          </w:tcPr>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p>
          <w:p w:rsidR="00EC74DE" w:rsidRDefault="00EC74DE" w:rsidP="0023793B">
            <w:pPr>
              <w:spacing w:before="100" w:beforeAutospacing="1" w:after="100" w:afterAutospacing="1"/>
              <w:contextualSpacing/>
              <w:jc w:val="center"/>
              <w:rPr>
                <w:rFonts w:ascii="Palatino Linotype" w:hAnsi="Palatino Linotype" w:cs="Arial"/>
                <w:b/>
                <w:lang w:val="es-ES_tradnl"/>
              </w:rPr>
            </w:pPr>
          </w:p>
          <w:p w:rsidR="00A925CC" w:rsidRDefault="00A925CC" w:rsidP="0023793B">
            <w:pPr>
              <w:spacing w:before="100" w:beforeAutospacing="1" w:after="100" w:afterAutospacing="1"/>
              <w:contextualSpacing/>
              <w:jc w:val="center"/>
              <w:rPr>
                <w:rFonts w:ascii="Palatino Linotype" w:hAnsi="Palatino Linotype" w:cs="Arial"/>
                <w:b/>
                <w:lang w:val="es-ES_tradnl"/>
              </w:rPr>
            </w:pPr>
          </w:p>
          <w:p w:rsidR="00A925CC" w:rsidRDefault="00A925CC" w:rsidP="0023793B">
            <w:pPr>
              <w:spacing w:before="100" w:beforeAutospacing="1" w:after="100" w:afterAutospacing="1"/>
              <w:contextualSpacing/>
              <w:jc w:val="center"/>
              <w:rPr>
                <w:rFonts w:ascii="Palatino Linotype" w:hAnsi="Palatino Linotype" w:cs="Arial"/>
                <w:b/>
                <w:lang w:val="es-ES_tradnl"/>
              </w:rPr>
            </w:pPr>
          </w:p>
          <w:p w:rsidR="00AF0972" w:rsidRPr="00EC74DE" w:rsidRDefault="00AF0972" w:rsidP="0023793B">
            <w:pPr>
              <w:spacing w:before="100" w:beforeAutospacing="1" w:after="100" w:afterAutospacing="1"/>
              <w:contextualSpacing/>
              <w:jc w:val="center"/>
              <w:rPr>
                <w:rFonts w:ascii="Palatino Linotype" w:hAnsi="Palatino Linotype" w:cs="Arial"/>
                <w:b/>
                <w:lang w:val="es-ES_tradnl"/>
              </w:rPr>
            </w:pPr>
          </w:p>
          <w:p w:rsidR="00EC74DE" w:rsidRPr="00EC74DE" w:rsidRDefault="00EC74DE" w:rsidP="0023793B">
            <w:pPr>
              <w:spacing w:before="100" w:beforeAutospacing="1" w:after="100" w:afterAutospacing="1"/>
              <w:contextualSpacing/>
              <w:jc w:val="center"/>
              <w:rPr>
                <w:rFonts w:ascii="Palatino Linotype" w:hAnsi="Palatino Linotype" w:cs="Arial"/>
                <w:b/>
                <w:lang w:val="es-ES_tradnl"/>
              </w:rPr>
            </w:pPr>
            <w:r w:rsidRPr="00EC74DE">
              <w:rPr>
                <w:rFonts w:ascii="Palatino Linotype" w:hAnsi="Palatino Linotype" w:cs="Arial"/>
                <w:b/>
                <w:lang w:val="es-ES_tradnl"/>
              </w:rPr>
              <w:t>Alexis Tapia Ramírez</w:t>
            </w:r>
          </w:p>
          <w:p w:rsidR="00EC74DE" w:rsidRPr="00EC74DE" w:rsidRDefault="00EC74DE" w:rsidP="0023793B">
            <w:pPr>
              <w:spacing w:before="100" w:beforeAutospacing="1" w:after="100" w:afterAutospacing="1"/>
              <w:contextualSpacing/>
              <w:jc w:val="center"/>
              <w:rPr>
                <w:rFonts w:ascii="Palatino Linotype" w:hAnsi="Palatino Linotype" w:cs="Arial"/>
                <w:lang w:val="es-ES_tradnl"/>
              </w:rPr>
            </w:pPr>
            <w:r w:rsidRPr="00EC74DE">
              <w:rPr>
                <w:rFonts w:ascii="Palatino Linotype" w:hAnsi="Palatino Linotype" w:cs="Arial"/>
                <w:lang w:val="es-ES_tradnl"/>
              </w:rPr>
              <w:t>Secretario Técnico del Pleno</w:t>
            </w:r>
          </w:p>
          <w:p w:rsidR="00EC74DE" w:rsidRPr="00EC74DE" w:rsidRDefault="00EC74DE" w:rsidP="0023793B">
            <w:pPr>
              <w:spacing w:before="100" w:beforeAutospacing="1" w:after="100" w:afterAutospacing="1"/>
              <w:contextualSpacing/>
              <w:jc w:val="center"/>
              <w:rPr>
                <w:rFonts w:ascii="Palatino Linotype" w:hAnsi="Palatino Linotype" w:cs="Arial"/>
                <w:lang w:val="es-ES_tradnl"/>
              </w:rPr>
            </w:pPr>
            <w:r w:rsidRPr="00EC74DE">
              <w:rPr>
                <w:rFonts w:ascii="Palatino Linotype" w:hAnsi="Palatino Linotype" w:cs="Arial"/>
                <w:b/>
                <w:lang w:val="es-ES_tradnl"/>
              </w:rPr>
              <w:t>(RÚBRICA)</w:t>
            </w:r>
            <w:r w:rsidRPr="00EC74DE">
              <w:rPr>
                <w:rFonts w:ascii="Palatino Linotype" w:hAnsi="Palatino Linotype" w:cs="Arial"/>
                <w:lang w:val="es-ES_tradnl"/>
              </w:rPr>
              <w:t xml:space="preserve"> </w:t>
            </w:r>
          </w:p>
          <w:p w:rsidR="00EC74DE" w:rsidRPr="00EC74DE" w:rsidRDefault="00EC74DE" w:rsidP="0023793B">
            <w:pPr>
              <w:spacing w:before="100" w:beforeAutospacing="1" w:after="100" w:afterAutospacing="1"/>
              <w:contextualSpacing/>
              <w:jc w:val="center"/>
              <w:rPr>
                <w:rFonts w:ascii="Palatino Linotype" w:hAnsi="Palatino Linotype" w:cs="Arial"/>
                <w:lang w:val="es-ES_tradnl"/>
              </w:rPr>
            </w:pPr>
          </w:p>
        </w:tc>
      </w:tr>
    </w:tbl>
    <w:p w:rsidR="00EC74DE" w:rsidRPr="00EC74DE" w:rsidRDefault="00EC74DE" w:rsidP="0023793B">
      <w:pPr>
        <w:spacing w:before="100" w:beforeAutospacing="1" w:after="100" w:afterAutospacing="1"/>
        <w:contextualSpacing/>
        <w:jc w:val="both"/>
        <w:rPr>
          <w:rFonts w:ascii="Palatino Linotype" w:hAnsi="Palatino Linotype" w:cs="Arial"/>
          <w:sz w:val="22"/>
          <w:szCs w:val="22"/>
          <w:lang w:val="es-ES"/>
        </w:rPr>
      </w:pPr>
    </w:p>
    <w:p w:rsidR="000A7048" w:rsidRDefault="000A7048" w:rsidP="0023793B">
      <w:pPr>
        <w:spacing w:before="100" w:beforeAutospacing="1" w:after="100" w:afterAutospacing="1"/>
        <w:contextualSpacing/>
        <w:jc w:val="both"/>
        <w:rPr>
          <w:rFonts w:ascii="Palatino Linotype" w:hAnsi="Palatino Linotype" w:cs="Arial"/>
          <w:sz w:val="22"/>
          <w:szCs w:val="22"/>
          <w:lang w:val="es-ES"/>
        </w:rPr>
      </w:pPr>
    </w:p>
    <w:p w:rsidR="00A633C7" w:rsidRDefault="00A633C7" w:rsidP="0023793B">
      <w:pPr>
        <w:spacing w:before="100" w:beforeAutospacing="1" w:after="100" w:afterAutospacing="1"/>
        <w:contextualSpacing/>
        <w:jc w:val="both"/>
        <w:rPr>
          <w:rFonts w:ascii="Palatino Linotype" w:hAnsi="Palatino Linotype" w:cs="Arial"/>
          <w:sz w:val="22"/>
          <w:szCs w:val="22"/>
          <w:lang w:val="es-ES"/>
        </w:rPr>
      </w:pPr>
    </w:p>
    <w:p w:rsidR="00A633C7" w:rsidRDefault="00A633C7"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9D7388" w:rsidRDefault="009D7388" w:rsidP="0023793B">
      <w:pPr>
        <w:spacing w:before="100" w:beforeAutospacing="1" w:after="100" w:afterAutospacing="1"/>
        <w:contextualSpacing/>
        <w:jc w:val="both"/>
        <w:rPr>
          <w:rFonts w:ascii="Palatino Linotype" w:hAnsi="Palatino Linotype" w:cs="Arial"/>
          <w:sz w:val="22"/>
          <w:szCs w:val="22"/>
          <w:lang w:val="es-ES"/>
        </w:rPr>
      </w:pPr>
    </w:p>
    <w:p w:rsidR="00EC74DE" w:rsidRPr="00EC74DE" w:rsidRDefault="00EC74DE" w:rsidP="0023793B">
      <w:pPr>
        <w:spacing w:before="100" w:beforeAutospacing="1" w:after="100" w:afterAutospacing="1"/>
        <w:contextualSpacing/>
        <w:jc w:val="both"/>
        <w:rPr>
          <w:rFonts w:ascii="Palatino Linotype" w:hAnsi="Palatino Linotype" w:cs="Arial"/>
          <w:sz w:val="22"/>
          <w:szCs w:val="22"/>
          <w:lang w:val="es-ES"/>
        </w:rPr>
      </w:pPr>
      <w:r w:rsidRPr="00EC74DE">
        <w:rPr>
          <w:rFonts w:ascii="Palatino Linotype" w:hAnsi="Palatino Linotype" w:cs="Arial"/>
          <w:sz w:val="22"/>
          <w:szCs w:val="22"/>
          <w:lang w:val="es-ES"/>
        </w:rPr>
        <w:t xml:space="preserve">Esta hoja corresponde a la resolución de fecha </w:t>
      </w:r>
      <w:r w:rsidR="00CD4570">
        <w:rPr>
          <w:rFonts w:ascii="Palatino Linotype" w:hAnsi="Palatino Linotype" w:cs="Arial"/>
          <w:sz w:val="22"/>
          <w:szCs w:val="22"/>
          <w:lang w:val="es-ES"/>
        </w:rPr>
        <w:t>quince de</w:t>
      </w:r>
      <w:r w:rsidR="00415E3D">
        <w:rPr>
          <w:rFonts w:ascii="Palatino Linotype" w:hAnsi="Palatino Linotype" w:cs="Arial"/>
          <w:sz w:val="22"/>
          <w:szCs w:val="22"/>
          <w:lang w:val="es-ES"/>
        </w:rPr>
        <w:t xml:space="preserve"> enero </w:t>
      </w:r>
      <w:r w:rsidRPr="00EC74DE">
        <w:rPr>
          <w:rFonts w:ascii="Palatino Linotype" w:hAnsi="Palatino Linotype" w:cs="Arial"/>
          <w:sz w:val="22"/>
          <w:szCs w:val="22"/>
          <w:lang w:val="es-ES"/>
        </w:rPr>
        <w:t xml:space="preserve">de dos mil </w:t>
      </w:r>
      <w:r w:rsidR="00D078A0">
        <w:rPr>
          <w:rFonts w:ascii="Palatino Linotype" w:hAnsi="Palatino Linotype" w:cs="Arial"/>
          <w:sz w:val="22"/>
          <w:szCs w:val="22"/>
          <w:lang w:val="es-ES"/>
        </w:rPr>
        <w:t>v</w:t>
      </w:r>
      <w:r w:rsidR="00415E3D">
        <w:rPr>
          <w:rFonts w:ascii="Palatino Linotype" w:hAnsi="Palatino Linotype" w:cs="Arial"/>
          <w:sz w:val="22"/>
          <w:szCs w:val="22"/>
          <w:lang w:val="es-ES"/>
        </w:rPr>
        <w:t>eint</w:t>
      </w:r>
      <w:r w:rsidR="00415E3D" w:rsidRPr="00EC74DE">
        <w:rPr>
          <w:rFonts w:ascii="Palatino Linotype" w:hAnsi="Palatino Linotype" w:cs="Arial"/>
          <w:sz w:val="22"/>
          <w:szCs w:val="22"/>
          <w:lang w:val="es-ES"/>
        </w:rPr>
        <w:t>e</w:t>
      </w:r>
      <w:r w:rsidRPr="00EC74DE">
        <w:rPr>
          <w:rFonts w:ascii="Palatino Linotype" w:hAnsi="Palatino Linotype" w:cs="Arial"/>
          <w:sz w:val="22"/>
          <w:szCs w:val="22"/>
          <w:lang w:val="es-ES"/>
        </w:rPr>
        <w:t xml:space="preserve">, emitida en el recurso de revisión número </w:t>
      </w:r>
      <w:r w:rsidR="00415E3D">
        <w:rPr>
          <w:rFonts w:ascii="Palatino Linotype" w:hAnsi="Palatino Linotype"/>
          <w:sz w:val="22"/>
          <w:szCs w:val="22"/>
          <w:lang w:val="es-ES_tradnl"/>
        </w:rPr>
        <w:t>08497</w:t>
      </w:r>
      <w:r w:rsidRPr="00EC74DE">
        <w:rPr>
          <w:rFonts w:ascii="Palatino Linotype" w:hAnsi="Palatino Linotype"/>
          <w:sz w:val="22"/>
          <w:szCs w:val="22"/>
          <w:lang w:val="es-ES_tradnl"/>
        </w:rPr>
        <w:t>/INFOEM/IP/RR/2019</w:t>
      </w:r>
      <w:r w:rsidRPr="00EC74DE">
        <w:rPr>
          <w:rFonts w:ascii="Palatino Linotype" w:hAnsi="Palatino Linotype" w:cs="Arial"/>
          <w:sz w:val="22"/>
          <w:szCs w:val="22"/>
          <w:lang w:val="es-ES"/>
        </w:rPr>
        <w:t xml:space="preserve">. </w:t>
      </w:r>
    </w:p>
    <w:p w:rsidR="00AF0972" w:rsidRDefault="00AF0972" w:rsidP="0023793B">
      <w:pPr>
        <w:spacing w:before="100" w:beforeAutospacing="1" w:after="100" w:afterAutospacing="1"/>
        <w:contextualSpacing/>
        <w:jc w:val="both"/>
        <w:rPr>
          <w:rFonts w:ascii="Palatino Linotype" w:hAnsi="Palatino Linotype" w:cs="Arial"/>
          <w:sz w:val="22"/>
          <w:szCs w:val="22"/>
          <w:lang w:val="es-ES"/>
        </w:rPr>
      </w:pPr>
    </w:p>
    <w:p w:rsidR="003854B5" w:rsidRPr="00E25337" w:rsidRDefault="00415E3D" w:rsidP="0023793B">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YSM/LGMJ</w:t>
      </w:r>
    </w:p>
    <w:sectPr w:rsidR="003854B5" w:rsidRPr="00E25337"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7C7" w:rsidRDefault="003457C7" w:rsidP="00C80F8C">
      <w:r>
        <w:separator/>
      </w:r>
    </w:p>
  </w:endnote>
  <w:endnote w:type="continuationSeparator" w:id="0">
    <w:p w:rsidR="003457C7" w:rsidRDefault="003457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56B" w:rsidRPr="00A2780F" w:rsidRDefault="0062056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06F6F">
      <w:rPr>
        <w:rFonts w:ascii="Arial" w:hAnsi="Arial" w:cs="Arial"/>
        <w:b/>
        <w:bCs/>
        <w:noProof/>
        <w:sz w:val="20"/>
        <w:szCs w:val="20"/>
      </w:rPr>
      <w:t>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06F6F">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56B" w:rsidRDefault="0062056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06F6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06F6F">
      <w:rPr>
        <w:rFonts w:ascii="Arial" w:hAnsi="Arial" w:cs="Arial"/>
        <w:b/>
        <w:bCs/>
        <w:noProof/>
        <w:sz w:val="20"/>
        <w:szCs w:val="20"/>
      </w:rPr>
      <w:t>41</w:t>
    </w:r>
    <w:r w:rsidRPr="00986599">
      <w:rPr>
        <w:rFonts w:ascii="Arial" w:hAnsi="Arial" w:cs="Arial"/>
        <w:b/>
        <w:bCs/>
        <w:sz w:val="20"/>
        <w:szCs w:val="20"/>
      </w:rPr>
      <w:fldChar w:fldCharType="end"/>
    </w:r>
  </w:p>
  <w:p w:rsidR="0062056B" w:rsidRPr="00070856" w:rsidRDefault="0062056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7C7" w:rsidRDefault="003457C7" w:rsidP="00C80F8C">
      <w:r>
        <w:separator/>
      </w:r>
    </w:p>
  </w:footnote>
  <w:footnote w:type="continuationSeparator" w:id="0">
    <w:p w:rsidR="003457C7" w:rsidRDefault="003457C7" w:rsidP="00C80F8C">
      <w:r>
        <w:continuationSeparator/>
      </w:r>
    </w:p>
  </w:footnote>
  <w:footnote w:id="1">
    <w:p w:rsidR="0062056B" w:rsidRPr="0094469A" w:rsidRDefault="0062056B">
      <w:pPr>
        <w:pStyle w:val="Textonotapie"/>
        <w:rPr>
          <w:rFonts w:ascii="Palatino Linotype" w:hAnsi="Palatino Linotype"/>
          <w:sz w:val="18"/>
          <w:szCs w:val="18"/>
          <w:lang w:val="es-ES"/>
        </w:rPr>
      </w:pPr>
      <w:r w:rsidRPr="0094469A">
        <w:rPr>
          <w:rStyle w:val="Refdenotaalpie"/>
          <w:rFonts w:ascii="Palatino Linotype" w:hAnsi="Palatino Linotype"/>
          <w:color w:val="000000" w:themeColor="text1"/>
          <w:sz w:val="18"/>
          <w:szCs w:val="18"/>
        </w:rPr>
        <w:footnoteRef/>
      </w:r>
      <w:r w:rsidRPr="0094469A">
        <w:rPr>
          <w:rFonts w:ascii="Palatino Linotype" w:hAnsi="Palatino Linotype"/>
          <w:color w:val="000000" w:themeColor="text1"/>
          <w:sz w:val="18"/>
          <w:szCs w:val="18"/>
        </w:rPr>
        <w:t xml:space="preserve"> Disponible en la página electrónica </w:t>
      </w:r>
      <w:hyperlink r:id="rId1" w:history="1">
        <w:r w:rsidRPr="0094469A">
          <w:rPr>
            <w:rStyle w:val="Hipervnculo"/>
            <w:rFonts w:ascii="Palatino Linotype" w:hAnsi="Palatino Linotype"/>
            <w:color w:val="000000" w:themeColor="text1"/>
            <w:sz w:val="18"/>
            <w:szCs w:val="18"/>
          </w:rPr>
          <w:t>https://legislacion.edomex.gob.mx/sites/legislacion.edomex.gob.mx/files/files/pdf/gct/2019/may311.pdf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56B" w:rsidRPr="00AF0972" w:rsidRDefault="0062056B" w:rsidP="00354355">
    <w:pPr>
      <w:pStyle w:val="Encabezado"/>
      <w:tabs>
        <w:tab w:val="clear" w:pos="4252"/>
        <w:tab w:val="clear" w:pos="8504"/>
        <w:tab w:val="left" w:pos="2326"/>
      </w:tabs>
      <w:rPr>
        <w:rFonts w:ascii="Palatino Linotype" w:hAnsi="Palatino Linotype"/>
        <w:sz w:val="28"/>
        <w:szCs w:val="28"/>
      </w:rPr>
    </w:pPr>
  </w:p>
  <w:tbl>
    <w:tblPr>
      <w:tblW w:w="9214" w:type="dxa"/>
      <w:tblInd w:w="-142" w:type="dxa"/>
      <w:tblLayout w:type="fixed"/>
      <w:tblLook w:val="04A0" w:firstRow="1" w:lastRow="0" w:firstColumn="1" w:lastColumn="0" w:noHBand="0" w:noVBand="1"/>
    </w:tblPr>
    <w:tblGrid>
      <w:gridCol w:w="3403"/>
      <w:gridCol w:w="2551"/>
      <w:gridCol w:w="3260"/>
    </w:tblGrid>
    <w:tr w:rsidR="0062056B" w:rsidRPr="003E1DC7" w:rsidTr="00054457">
      <w:tc>
        <w:tcPr>
          <w:tcW w:w="3403" w:type="dxa"/>
        </w:tcPr>
        <w:p w:rsidR="0062056B" w:rsidRPr="003E1DC7" w:rsidRDefault="0062056B" w:rsidP="00070856">
          <w:pPr>
            <w:rPr>
              <w:rFonts w:ascii="Palatino Linotype" w:hAnsi="Palatino Linotype"/>
              <w:b/>
              <w:sz w:val="22"/>
              <w:szCs w:val="22"/>
              <w:lang w:val="es-ES_tradnl"/>
            </w:rPr>
          </w:pPr>
        </w:p>
      </w:tc>
      <w:tc>
        <w:tcPr>
          <w:tcW w:w="2551" w:type="dxa"/>
          <w:shd w:val="clear" w:color="auto" w:fill="auto"/>
        </w:tcPr>
        <w:p w:rsidR="0062056B" w:rsidRPr="003E1DC7" w:rsidRDefault="0062056B" w:rsidP="00070856">
          <w:pPr>
            <w:rPr>
              <w:rFonts w:ascii="Palatino Linotype" w:hAnsi="Palatino Linotype"/>
              <w:b/>
              <w:sz w:val="22"/>
              <w:szCs w:val="22"/>
              <w:lang w:val="es-ES_tradnl"/>
            </w:rPr>
          </w:pPr>
          <w:r w:rsidRPr="003E1DC7">
            <w:rPr>
              <w:rFonts w:ascii="Palatino Linotype" w:hAnsi="Palatino Linotype"/>
              <w:b/>
              <w:sz w:val="22"/>
              <w:szCs w:val="22"/>
              <w:lang w:val="es-ES_tradnl"/>
            </w:rPr>
            <w:t>Recurso de Revisión:</w:t>
          </w:r>
        </w:p>
      </w:tc>
      <w:tc>
        <w:tcPr>
          <w:tcW w:w="3260" w:type="dxa"/>
          <w:shd w:val="clear" w:color="auto" w:fill="auto"/>
          <w:vAlign w:val="center"/>
        </w:tcPr>
        <w:p w:rsidR="0062056B" w:rsidRPr="003E1DC7" w:rsidRDefault="0062056B" w:rsidP="00ED4EE2">
          <w:pPr>
            <w:jc w:val="both"/>
            <w:rPr>
              <w:rFonts w:ascii="Palatino Linotype" w:hAnsi="Palatino Linotype"/>
              <w:b/>
              <w:sz w:val="22"/>
              <w:szCs w:val="22"/>
              <w:lang w:val="es-ES_tradnl"/>
            </w:rPr>
          </w:pPr>
          <w:r>
            <w:rPr>
              <w:rFonts w:ascii="Palatino Linotype" w:hAnsi="Palatino Linotype"/>
              <w:b/>
              <w:sz w:val="22"/>
              <w:szCs w:val="22"/>
            </w:rPr>
            <w:t>08497</w:t>
          </w:r>
          <w:r w:rsidRPr="003E1DC7">
            <w:rPr>
              <w:rFonts w:ascii="Palatino Linotype" w:hAnsi="Palatino Linotype"/>
              <w:b/>
              <w:sz w:val="22"/>
              <w:szCs w:val="22"/>
            </w:rPr>
            <w:t xml:space="preserve">/INFOEM/IP/RR/2019 </w:t>
          </w:r>
        </w:p>
      </w:tc>
    </w:tr>
    <w:tr w:rsidR="0062056B" w:rsidRPr="003E1DC7" w:rsidTr="00054457">
      <w:tc>
        <w:tcPr>
          <w:tcW w:w="3403" w:type="dxa"/>
        </w:tcPr>
        <w:p w:rsidR="0062056B" w:rsidRPr="003E1DC7" w:rsidRDefault="0062056B" w:rsidP="008F1EC6">
          <w:pPr>
            <w:rPr>
              <w:rFonts w:ascii="Palatino Linotype" w:hAnsi="Palatino Linotype"/>
              <w:b/>
              <w:sz w:val="22"/>
              <w:szCs w:val="22"/>
              <w:lang w:val="es-ES_tradnl"/>
            </w:rPr>
          </w:pPr>
        </w:p>
      </w:tc>
      <w:tc>
        <w:tcPr>
          <w:tcW w:w="2551" w:type="dxa"/>
          <w:shd w:val="clear" w:color="auto" w:fill="auto"/>
        </w:tcPr>
        <w:p w:rsidR="0062056B" w:rsidRPr="003E1DC7" w:rsidRDefault="0062056B" w:rsidP="008F1EC6">
          <w:pPr>
            <w:rPr>
              <w:rFonts w:ascii="Palatino Linotype" w:hAnsi="Palatino Linotype"/>
              <w:b/>
              <w:sz w:val="22"/>
              <w:szCs w:val="22"/>
              <w:lang w:val="es-ES_tradnl"/>
            </w:rPr>
          </w:pPr>
          <w:r w:rsidRPr="003E1DC7">
            <w:rPr>
              <w:rFonts w:ascii="Palatino Linotype" w:hAnsi="Palatino Linotype"/>
              <w:b/>
              <w:sz w:val="22"/>
              <w:szCs w:val="22"/>
              <w:lang w:val="es-ES_tradnl"/>
            </w:rPr>
            <w:t>Sujeto Obligado:</w:t>
          </w:r>
        </w:p>
      </w:tc>
      <w:tc>
        <w:tcPr>
          <w:tcW w:w="3260" w:type="dxa"/>
          <w:shd w:val="clear" w:color="auto" w:fill="auto"/>
          <w:vAlign w:val="center"/>
        </w:tcPr>
        <w:p w:rsidR="0062056B" w:rsidRPr="003E1DC7" w:rsidRDefault="0062056B" w:rsidP="00C42E57">
          <w:pPr>
            <w:jc w:val="both"/>
            <w:rPr>
              <w:rFonts w:ascii="Palatino Linotype" w:hAnsi="Palatino Linotype"/>
              <w:b/>
              <w:sz w:val="22"/>
              <w:szCs w:val="22"/>
            </w:rPr>
          </w:pPr>
          <w:r w:rsidRPr="005B3E6E">
            <w:rPr>
              <w:rFonts w:ascii="Palatino Linotype" w:hAnsi="Palatino Linotype"/>
              <w:b/>
              <w:sz w:val="22"/>
              <w:szCs w:val="22"/>
            </w:rPr>
            <w:t xml:space="preserve">Ayuntamiento de </w:t>
          </w:r>
          <w:r>
            <w:rPr>
              <w:rFonts w:ascii="Palatino Linotype" w:hAnsi="Palatino Linotype"/>
              <w:b/>
              <w:sz w:val="22"/>
              <w:szCs w:val="22"/>
            </w:rPr>
            <w:t>Tultepec</w:t>
          </w:r>
        </w:p>
      </w:tc>
    </w:tr>
    <w:tr w:rsidR="0062056B" w:rsidRPr="003E1DC7" w:rsidTr="00054457">
      <w:trPr>
        <w:trHeight w:val="228"/>
      </w:trPr>
      <w:tc>
        <w:tcPr>
          <w:tcW w:w="3403" w:type="dxa"/>
        </w:tcPr>
        <w:p w:rsidR="0062056B" w:rsidRPr="003E1DC7" w:rsidRDefault="0062056B" w:rsidP="00070856">
          <w:pPr>
            <w:rPr>
              <w:rFonts w:ascii="Palatino Linotype" w:hAnsi="Palatino Linotype"/>
              <w:b/>
              <w:sz w:val="22"/>
              <w:szCs w:val="22"/>
              <w:lang w:val="es-ES_tradnl"/>
            </w:rPr>
          </w:pPr>
        </w:p>
      </w:tc>
      <w:tc>
        <w:tcPr>
          <w:tcW w:w="2551" w:type="dxa"/>
          <w:shd w:val="clear" w:color="auto" w:fill="auto"/>
        </w:tcPr>
        <w:p w:rsidR="0062056B" w:rsidRPr="003E1DC7" w:rsidRDefault="0062056B" w:rsidP="00070856">
          <w:pPr>
            <w:rPr>
              <w:rFonts w:ascii="Palatino Linotype" w:hAnsi="Palatino Linotype"/>
              <w:b/>
              <w:sz w:val="22"/>
              <w:szCs w:val="22"/>
              <w:lang w:val="es-ES_tradnl"/>
            </w:rPr>
          </w:pPr>
          <w:r w:rsidRPr="003E1DC7">
            <w:rPr>
              <w:rFonts w:ascii="Palatino Linotype" w:hAnsi="Palatino Linotype"/>
              <w:b/>
              <w:sz w:val="22"/>
              <w:szCs w:val="22"/>
              <w:lang w:val="es-ES_tradnl"/>
            </w:rPr>
            <w:t>Comisionada Ponente:</w:t>
          </w:r>
        </w:p>
      </w:tc>
      <w:tc>
        <w:tcPr>
          <w:tcW w:w="3260" w:type="dxa"/>
          <w:shd w:val="clear" w:color="auto" w:fill="auto"/>
        </w:tcPr>
        <w:p w:rsidR="0062056B" w:rsidRPr="003E1DC7" w:rsidRDefault="0062056B" w:rsidP="00070856">
          <w:pPr>
            <w:jc w:val="both"/>
            <w:rPr>
              <w:rFonts w:ascii="Palatino Linotype" w:hAnsi="Palatino Linotype"/>
              <w:b/>
              <w:sz w:val="22"/>
              <w:szCs w:val="22"/>
              <w:lang w:val="es-ES_tradnl"/>
            </w:rPr>
          </w:pPr>
          <w:r w:rsidRPr="003E1DC7">
            <w:rPr>
              <w:rFonts w:ascii="Palatino Linotype" w:hAnsi="Palatino Linotype"/>
              <w:b/>
              <w:sz w:val="22"/>
              <w:szCs w:val="22"/>
              <w:lang w:val="es-ES_tradnl"/>
            </w:rPr>
            <w:t>Eva Abaid Yapur</w:t>
          </w:r>
        </w:p>
      </w:tc>
    </w:tr>
  </w:tbl>
  <w:p w:rsidR="0062056B" w:rsidRPr="00AF0972" w:rsidRDefault="0062056B"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56B" w:rsidRPr="00AF0972" w:rsidRDefault="0062056B">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835"/>
      <w:gridCol w:w="3118"/>
    </w:tblGrid>
    <w:tr w:rsidR="0062056B" w:rsidRPr="00370FB6" w:rsidTr="00F155EC">
      <w:tc>
        <w:tcPr>
          <w:tcW w:w="3403" w:type="dxa"/>
          <w:vMerge w:val="restart"/>
        </w:tcPr>
        <w:p w:rsidR="0062056B" w:rsidRPr="00370FB6" w:rsidRDefault="0062056B" w:rsidP="00A2780F">
          <w:pPr>
            <w:rPr>
              <w:rFonts w:ascii="Palatino Linotype" w:hAnsi="Palatino Linotype"/>
              <w:b/>
              <w:sz w:val="22"/>
              <w:szCs w:val="22"/>
              <w:lang w:val="es-ES_tradnl"/>
            </w:rPr>
          </w:pPr>
        </w:p>
      </w:tc>
      <w:tc>
        <w:tcPr>
          <w:tcW w:w="2835" w:type="dxa"/>
          <w:shd w:val="clear" w:color="auto" w:fill="auto"/>
        </w:tcPr>
        <w:p w:rsidR="0062056B" w:rsidRPr="00370FB6" w:rsidRDefault="0062056B" w:rsidP="003C718E">
          <w:pPr>
            <w:rPr>
              <w:rFonts w:ascii="Palatino Linotype" w:hAnsi="Palatino Linotype"/>
              <w:b/>
              <w:sz w:val="22"/>
              <w:szCs w:val="22"/>
              <w:lang w:val="es-ES_tradnl"/>
            </w:rPr>
          </w:pPr>
          <w:r w:rsidRPr="00370FB6">
            <w:rPr>
              <w:rFonts w:ascii="Palatino Linotype" w:hAnsi="Palatino Linotype"/>
              <w:b/>
              <w:sz w:val="22"/>
              <w:szCs w:val="22"/>
              <w:lang w:val="es-ES_tradnl"/>
            </w:rPr>
            <w:t>Recurso de Revisión:</w:t>
          </w:r>
        </w:p>
      </w:tc>
      <w:tc>
        <w:tcPr>
          <w:tcW w:w="3118" w:type="dxa"/>
          <w:shd w:val="clear" w:color="auto" w:fill="auto"/>
          <w:vAlign w:val="center"/>
        </w:tcPr>
        <w:p w:rsidR="0062056B" w:rsidRPr="00370FB6" w:rsidRDefault="0062056B" w:rsidP="00ED4EE2">
          <w:pPr>
            <w:jc w:val="both"/>
            <w:rPr>
              <w:rFonts w:ascii="Palatino Linotype" w:hAnsi="Palatino Linotype"/>
              <w:b/>
              <w:sz w:val="22"/>
              <w:szCs w:val="22"/>
              <w:lang w:val="es-ES_tradnl"/>
            </w:rPr>
          </w:pPr>
          <w:r>
            <w:rPr>
              <w:rFonts w:ascii="Palatino Linotype" w:hAnsi="Palatino Linotype"/>
              <w:b/>
              <w:sz w:val="22"/>
              <w:szCs w:val="22"/>
              <w:lang w:val="es-ES_tradnl"/>
            </w:rPr>
            <w:t>08497</w:t>
          </w:r>
          <w:r w:rsidRPr="00370FB6">
            <w:rPr>
              <w:rFonts w:ascii="Palatino Linotype" w:hAnsi="Palatino Linotype"/>
              <w:b/>
              <w:sz w:val="22"/>
              <w:szCs w:val="22"/>
              <w:lang w:val="es-ES_tradnl"/>
            </w:rPr>
            <w:t>/INFOEM/IP/RR/2019</w:t>
          </w:r>
        </w:p>
      </w:tc>
    </w:tr>
    <w:tr w:rsidR="0062056B" w:rsidRPr="00370FB6" w:rsidTr="00F155EC">
      <w:tc>
        <w:tcPr>
          <w:tcW w:w="3403" w:type="dxa"/>
          <w:vMerge/>
        </w:tcPr>
        <w:p w:rsidR="0062056B" w:rsidRPr="00370FB6" w:rsidRDefault="0062056B" w:rsidP="00A2780F">
          <w:pPr>
            <w:rPr>
              <w:rFonts w:ascii="Palatino Linotype" w:hAnsi="Palatino Linotype"/>
              <w:b/>
              <w:sz w:val="22"/>
              <w:szCs w:val="22"/>
              <w:lang w:val="es-ES_tradnl"/>
            </w:rPr>
          </w:pPr>
        </w:p>
      </w:tc>
      <w:tc>
        <w:tcPr>
          <w:tcW w:w="2835" w:type="dxa"/>
          <w:shd w:val="clear" w:color="auto" w:fill="auto"/>
        </w:tcPr>
        <w:p w:rsidR="0062056B" w:rsidRPr="00370FB6" w:rsidRDefault="0062056B" w:rsidP="003D606B">
          <w:pPr>
            <w:rPr>
              <w:rFonts w:ascii="Palatino Linotype" w:hAnsi="Palatino Linotype"/>
              <w:b/>
              <w:sz w:val="22"/>
              <w:szCs w:val="22"/>
              <w:lang w:val="es-ES_tradnl"/>
            </w:rPr>
          </w:pPr>
          <w:r w:rsidRPr="00370FB6">
            <w:rPr>
              <w:rFonts w:ascii="Palatino Linotype" w:hAnsi="Palatino Linotype"/>
              <w:b/>
              <w:sz w:val="22"/>
              <w:szCs w:val="22"/>
              <w:lang w:val="es-ES_tradnl"/>
            </w:rPr>
            <w:t>Recurrente:</w:t>
          </w:r>
        </w:p>
      </w:tc>
      <w:tc>
        <w:tcPr>
          <w:tcW w:w="3118" w:type="dxa"/>
          <w:shd w:val="clear" w:color="auto" w:fill="auto"/>
          <w:vAlign w:val="center"/>
        </w:tcPr>
        <w:p w:rsidR="0062056B" w:rsidRPr="00406F6F" w:rsidRDefault="00406F6F" w:rsidP="00ED4EE2">
          <w:pPr>
            <w:jc w:val="both"/>
            <w:rPr>
              <w:rFonts w:ascii="Palatino Linotype" w:hAnsi="Palatino Linotype"/>
              <w:b/>
              <w:sz w:val="22"/>
              <w:szCs w:val="22"/>
              <w:lang w:val="es-ES_tradnl"/>
            </w:rPr>
          </w:pPr>
          <w:r w:rsidRPr="00406F6F">
            <w:rPr>
              <w:rFonts w:ascii="Palatino Linotype" w:hAnsi="Palatino Linotype"/>
              <w:b/>
              <w:sz w:val="22"/>
              <w:szCs w:val="22"/>
              <w:lang w:val="es-ES_tradnl"/>
            </w:rPr>
            <w:t xml:space="preserve">Xxxx Xxxxxxxx Xxxxxxx Xxxxxxxx </w:t>
          </w:r>
          <w:r w:rsidR="00D078A0" w:rsidRPr="00406F6F">
            <w:rPr>
              <w:rFonts w:ascii="Palatino Linotype" w:hAnsi="Palatino Linotype"/>
              <w:b/>
              <w:sz w:val="22"/>
              <w:szCs w:val="22"/>
              <w:lang w:val="es-ES_tradnl"/>
            </w:rPr>
            <w:t xml:space="preserve">y/o </w:t>
          </w:r>
          <w:r w:rsidRPr="00406F6F">
            <w:rPr>
              <w:rFonts w:ascii="Palatino Linotype" w:hAnsi="Palatino Linotype"/>
              <w:b/>
              <w:sz w:val="22"/>
              <w:szCs w:val="22"/>
              <w:lang w:val="es-ES_tradnl"/>
            </w:rPr>
            <w:t>Xxxx Xxxxxxxx Xxxxxxx Xxxxxxxx</w:t>
          </w:r>
        </w:p>
      </w:tc>
    </w:tr>
    <w:tr w:rsidR="0062056B" w:rsidRPr="00370FB6" w:rsidTr="00F155EC">
      <w:trPr>
        <w:trHeight w:val="228"/>
      </w:trPr>
      <w:tc>
        <w:tcPr>
          <w:tcW w:w="3403" w:type="dxa"/>
          <w:vMerge/>
        </w:tcPr>
        <w:p w:rsidR="0062056B" w:rsidRPr="00370FB6" w:rsidRDefault="0062056B" w:rsidP="00E37C88">
          <w:pPr>
            <w:rPr>
              <w:rFonts w:ascii="Palatino Linotype" w:hAnsi="Palatino Linotype"/>
              <w:b/>
              <w:sz w:val="22"/>
              <w:szCs w:val="22"/>
              <w:lang w:val="es-ES_tradnl"/>
            </w:rPr>
          </w:pPr>
        </w:p>
      </w:tc>
      <w:tc>
        <w:tcPr>
          <w:tcW w:w="2835" w:type="dxa"/>
          <w:shd w:val="clear" w:color="auto" w:fill="auto"/>
        </w:tcPr>
        <w:p w:rsidR="0062056B" w:rsidRPr="00370FB6" w:rsidRDefault="0062056B" w:rsidP="003C718E">
          <w:pPr>
            <w:rPr>
              <w:rFonts w:ascii="Palatino Linotype" w:hAnsi="Palatino Linotype"/>
              <w:b/>
              <w:sz w:val="22"/>
              <w:szCs w:val="22"/>
              <w:lang w:val="es-ES_tradnl"/>
            </w:rPr>
          </w:pPr>
          <w:r w:rsidRPr="00370FB6">
            <w:rPr>
              <w:rFonts w:ascii="Palatino Linotype" w:hAnsi="Palatino Linotype"/>
              <w:b/>
              <w:sz w:val="22"/>
              <w:szCs w:val="22"/>
              <w:lang w:val="es-ES_tradnl"/>
            </w:rPr>
            <w:t>Sujeto Obligado:</w:t>
          </w:r>
        </w:p>
      </w:tc>
      <w:tc>
        <w:tcPr>
          <w:tcW w:w="3118" w:type="dxa"/>
          <w:shd w:val="clear" w:color="auto" w:fill="auto"/>
          <w:vAlign w:val="center"/>
        </w:tcPr>
        <w:p w:rsidR="0062056B" w:rsidRPr="00370FB6" w:rsidRDefault="0062056B" w:rsidP="00C42E57">
          <w:pPr>
            <w:jc w:val="both"/>
            <w:rPr>
              <w:rFonts w:ascii="Palatino Linotype" w:hAnsi="Palatino Linotype"/>
              <w:b/>
              <w:sz w:val="22"/>
              <w:szCs w:val="22"/>
            </w:rPr>
          </w:pPr>
          <w:r w:rsidRPr="00370FB6">
            <w:rPr>
              <w:rFonts w:ascii="Palatino Linotype" w:hAnsi="Palatino Linotype"/>
              <w:b/>
              <w:sz w:val="22"/>
              <w:szCs w:val="22"/>
            </w:rPr>
            <w:t xml:space="preserve">Ayuntamiento de </w:t>
          </w:r>
          <w:r>
            <w:rPr>
              <w:rFonts w:ascii="Palatino Linotype" w:hAnsi="Palatino Linotype"/>
              <w:b/>
              <w:sz w:val="22"/>
              <w:szCs w:val="22"/>
            </w:rPr>
            <w:t>Tultepec</w:t>
          </w:r>
        </w:p>
      </w:tc>
    </w:tr>
    <w:tr w:rsidR="0062056B" w:rsidRPr="00370FB6" w:rsidTr="00F155EC">
      <w:tc>
        <w:tcPr>
          <w:tcW w:w="3403" w:type="dxa"/>
          <w:vMerge/>
        </w:tcPr>
        <w:p w:rsidR="0062056B" w:rsidRPr="00370FB6" w:rsidRDefault="0062056B" w:rsidP="00A2780F">
          <w:pPr>
            <w:rPr>
              <w:rFonts w:ascii="Palatino Linotype" w:hAnsi="Palatino Linotype"/>
              <w:b/>
              <w:sz w:val="22"/>
              <w:szCs w:val="22"/>
              <w:lang w:val="es-ES_tradnl"/>
            </w:rPr>
          </w:pPr>
        </w:p>
      </w:tc>
      <w:tc>
        <w:tcPr>
          <w:tcW w:w="2835" w:type="dxa"/>
          <w:shd w:val="clear" w:color="auto" w:fill="auto"/>
        </w:tcPr>
        <w:p w:rsidR="0062056B" w:rsidRPr="00370FB6" w:rsidRDefault="0062056B" w:rsidP="00664658">
          <w:pPr>
            <w:rPr>
              <w:rFonts w:ascii="Palatino Linotype" w:hAnsi="Palatino Linotype"/>
              <w:b/>
              <w:sz w:val="22"/>
              <w:szCs w:val="22"/>
              <w:lang w:val="es-ES_tradnl"/>
            </w:rPr>
          </w:pPr>
          <w:r w:rsidRPr="00370FB6">
            <w:rPr>
              <w:rFonts w:ascii="Palatino Linotype" w:hAnsi="Palatino Linotype"/>
              <w:b/>
              <w:sz w:val="22"/>
              <w:szCs w:val="22"/>
              <w:lang w:val="es-ES_tradnl"/>
            </w:rPr>
            <w:t>Comisionada Ponente:</w:t>
          </w:r>
        </w:p>
      </w:tc>
      <w:tc>
        <w:tcPr>
          <w:tcW w:w="3118" w:type="dxa"/>
          <w:shd w:val="clear" w:color="auto" w:fill="auto"/>
        </w:tcPr>
        <w:p w:rsidR="0062056B" w:rsidRPr="00370FB6" w:rsidRDefault="0062056B" w:rsidP="00207F8B">
          <w:pPr>
            <w:jc w:val="both"/>
            <w:rPr>
              <w:rFonts w:ascii="Palatino Linotype" w:hAnsi="Palatino Linotype"/>
              <w:b/>
              <w:sz w:val="22"/>
              <w:szCs w:val="22"/>
              <w:lang w:val="es-ES_tradnl"/>
            </w:rPr>
          </w:pPr>
          <w:r w:rsidRPr="00370FB6">
            <w:rPr>
              <w:rFonts w:ascii="Palatino Linotype" w:hAnsi="Palatino Linotype"/>
              <w:b/>
              <w:sz w:val="22"/>
              <w:szCs w:val="22"/>
              <w:lang w:val="es-ES_tradnl"/>
            </w:rPr>
            <w:t>Eva Abaid Yapur</w:t>
          </w:r>
        </w:p>
      </w:tc>
    </w:tr>
  </w:tbl>
  <w:p w:rsidR="0062056B" w:rsidRPr="00AF0972" w:rsidRDefault="0062056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7F6C"/>
    <w:multiLevelType w:val="hybridMultilevel"/>
    <w:tmpl w:val="67C20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6787F"/>
    <w:multiLevelType w:val="hybridMultilevel"/>
    <w:tmpl w:val="F1CA6596"/>
    <w:styleLink w:val="Estiloimportado1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492CA2"/>
    <w:multiLevelType w:val="hybridMultilevel"/>
    <w:tmpl w:val="E828F46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4F7C66"/>
    <w:multiLevelType w:val="hybridMultilevel"/>
    <w:tmpl w:val="50A683A4"/>
    <w:styleLink w:val="Estiloimportado2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6561CC"/>
    <w:multiLevelType w:val="hybridMultilevel"/>
    <w:tmpl w:val="18640776"/>
    <w:styleLink w:val="Estiloimportado21"/>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624F3C8E"/>
    <w:multiLevelType w:val="hybridMultilevel"/>
    <w:tmpl w:val="8B92E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C1C67F7E"/>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A308DE"/>
    <w:multiLevelType w:val="hybridMultilevel"/>
    <w:tmpl w:val="28F213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8"/>
  </w:num>
  <w:num w:numId="5">
    <w:abstractNumId w:val="10"/>
  </w:num>
  <w:num w:numId="6">
    <w:abstractNumId w:val="10"/>
  </w:num>
  <w:num w:numId="7">
    <w:abstractNumId w:val="0"/>
  </w:num>
  <w:num w:numId="8">
    <w:abstractNumId w:val="3"/>
  </w:num>
  <w:num w:numId="9">
    <w:abstractNumId w:val="1"/>
  </w:num>
  <w:num w:numId="10">
    <w:abstractNumId w:val="2"/>
  </w:num>
  <w:num w:numId="11">
    <w:abstractNumId w:val="7"/>
  </w:num>
  <w:num w:numId="1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5F51"/>
    <w:rsid w:val="0006636D"/>
    <w:rsid w:val="00066D71"/>
    <w:rsid w:val="00067F55"/>
    <w:rsid w:val="00067FBD"/>
    <w:rsid w:val="00070856"/>
    <w:rsid w:val="00070CED"/>
    <w:rsid w:val="00071FC4"/>
    <w:rsid w:val="0007211D"/>
    <w:rsid w:val="00072294"/>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30FF"/>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97CC3"/>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35B"/>
    <w:rsid w:val="000A5939"/>
    <w:rsid w:val="000A5A68"/>
    <w:rsid w:val="000A66D7"/>
    <w:rsid w:val="000A7048"/>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4EB6"/>
    <w:rsid w:val="000C53AD"/>
    <w:rsid w:val="000C53F2"/>
    <w:rsid w:val="000C5D37"/>
    <w:rsid w:val="000C617F"/>
    <w:rsid w:val="000C6222"/>
    <w:rsid w:val="000C630F"/>
    <w:rsid w:val="000C69D0"/>
    <w:rsid w:val="000C6AF9"/>
    <w:rsid w:val="000C774E"/>
    <w:rsid w:val="000C7AF9"/>
    <w:rsid w:val="000C7D67"/>
    <w:rsid w:val="000D03CA"/>
    <w:rsid w:val="000D075B"/>
    <w:rsid w:val="000D143A"/>
    <w:rsid w:val="000D1B2D"/>
    <w:rsid w:val="000D21C4"/>
    <w:rsid w:val="000D2BC0"/>
    <w:rsid w:val="000D3455"/>
    <w:rsid w:val="000D3E87"/>
    <w:rsid w:val="000D447F"/>
    <w:rsid w:val="000D496A"/>
    <w:rsid w:val="000D4CEB"/>
    <w:rsid w:val="000D5436"/>
    <w:rsid w:val="000D58EC"/>
    <w:rsid w:val="000D5D68"/>
    <w:rsid w:val="000D6ADD"/>
    <w:rsid w:val="000D6BA3"/>
    <w:rsid w:val="000D72D0"/>
    <w:rsid w:val="000D75A0"/>
    <w:rsid w:val="000E009C"/>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78F"/>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5B8E"/>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88C"/>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8FA"/>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E72"/>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036"/>
    <w:rsid w:val="00213125"/>
    <w:rsid w:val="002141DB"/>
    <w:rsid w:val="002142B4"/>
    <w:rsid w:val="0021468B"/>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528"/>
    <w:rsid w:val="002228CE"/>
    <w:rsid w:val="00222DA0"/>
    <w:rsid w:val="00222E7B"/>
    <w:rsid w:val="0022342D"/>
    <w:rsid w:val="002235D2"/>
    <w:rsid w:val="00223E52"/>
    <w:rsid w:val="0022478C"/>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3793B"/>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662"/>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4131"/>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5FFF"/>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5AE"/>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8E8"/>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355"/>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A51"/>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881"/>
    <w:rsid w:val="00342F46"/>
    <w:rsid w:val="003434BE"/>
    <w:rsid w:val="003442CD"/>
    <w:rsid w:val="00345471"/>
    <w:rsid w:val="003455EA"/>
    <w:rsid w:val="003457C7"/>
    <w:rsid w:val="003464F8"/>
    <w:rsid w:val="003473CE"/>
    <w:rsid w:val="003474F9"/>
    <w:rsid w:val="003478EC"/>
    <w:rsid w:val="003504C6"/>
    <w:rsid w:val="00350FCE"/>
    <w:rsid w:val="003514D8"/>
    <w:rsid w:val="00351F0F"/>
    <w:rsid w:val="003524B2"/>
    <w:rsid w:val="003526CF"/>
    <w:rsid w:val="00352D8A"/>
    <w:rsid w:val="00353134"/>
    <w:rsid w:val="00353174"/>
    <w:rsid w:val="00353BB9"/>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34F"/>
    <w:rsid w:val="00365921"/>
    <w:rsid w:val="00365DB3"/>
    <w:rsid w:val="00366317"/>
    <w:rsid w:val="003663F5"/>
    <w:rsid w:val="00366DDB"/>
    <w:rsid w:val="0036781E"/>
    <w:rsid w:val="003678FF"/>
    <w:rsid w:val="00367DBB"/>
    <w:rsid w:val="00367DDA"/>
    <w:rsid w:val="00370582"/>
    <w:rsid w:val="00370A22"/>
    <w:rsid w:val="00370FB6"/>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35D"/>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D1122"/>
    <w:rsid w:val="003D1518"/>
    <w:rsid w:val="003D192B"/>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1DC7"/>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2D0"/>
    <w:rsid w:val="0040368C"/>
    <w:rsid w:val="0040454A"/>
    <w:rsid w:val="00404552"/>
    <w:rsid w:val="00404E42"/>
    <w:rsid w:val="0040561A"/>
    <w:rsid w:val="004057A1"/>
    <w:rsid w:val="0040599D"/>
    <w:rsid w:val="00406028"/>
    <w:rsid w:val="0040615F"/>
    <w:rsid w:val="004063BC"/>
    <w:rsid w:val="00406744"/>
    <w:rsid w:val="00406BF2"/>
    <w:rsid w:val="00406EEC"/>
    <w:rsid w:val="00406F6F"/>
    <w:rsid w:val="00407744"/>
    <w:rsid w:val="004079B2"/>
    <w:rsid w:val="00410E81"/>
    <w:rsid w:val="0041135E"/>
    <w:rsid w:val="00412944"/>
    <w:rsid w:val="004130E0"/>
    <w:rsid w:val="00413DA0"/>
    <w:rsid w:val="0041417D"/>
    <w:rsid w:val="004145A2"/>
    <w:rsid w:val="00414A19"/>
    <w:rsid w:val="0041542A"/>
    <w:rsid w:val="004156EC"/>
    <w:rsid w:val="00415E3D"/>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407"/>
    <w:rsid w:val="0043163B"/>
    <w:rsid w:val="00431B40"/>
    <w:rsid w:val="004325CE"/>
    <w:rsid w:val="00432DE2"/>
    <w:rsid w:val="0043310A"/>
    <w:rsid w:val="0043364B"/>
    <w:rsid w:val="00433735"/>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3B09"/>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1546"/>
    <w:rsid w:val="00492456"/>
    <w:rsid w:val="00492513"/>
    <w:rsid w:val="00492831"/>
    <w:rsid w:val="00492A12"/>
    <w:rsid w:val="00492C35"/>
    <w:rsid w:val="00492D24"/>
    <w:rsid w:val="004935D2"/>
    <w:rsid w:val="00493E3D"/>
    <w:rsid w:val="00493E71"/>
    <w:rsid w:val="00493F71"/>
    <w:rsid w:val="004941CE"/>
    <w:rsid w:val="00495278"/>
    <w:rsid w:val="00495796"/>
    <w:rsid w:val="00495A5B"/>
    <w:rsid w:val="00495E84"/>
    <w:rsid w:val="00497D47"/>
    <w:rsid w:val="00497FC5"/>
    <w:rsid w:val="004A04DD"/>
    <w:rsid w:val="004A087A"/>
    <w:rsid w:val="004A088B"/>
    <w:rsid w:val="004A0E23"/>
    <w:rsid w:val="004A1423"/>
    <w:rsid w:val="004A3B6E"/>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A7BCD"/>
    <w:rsid w:val="004B090C"/>
    <w:rsid w:val="004B09D8"/>
    <w:rsid w:val="004B1A91"/>
    <w:rsid w:val="004B2C2F"/>
    <w:rsid w:val="004B2E59"/>
    <w:rsid w:val="004B3947"/>
    <w:rsid w:val="004B3B51"/>
    <w:rsid w:val="004B3DAC"/>
    <w:rsid w:val="004B4B64"/>
    <w:rsid w:val="004B4CB8"/>
    <w:rsid w:val="004B52D6"/>
    <w:rsid w:val="004B5AC6"/>
    <w:rsid w:val="004B5C8D"/>
    <w:rsid w:val="004B5D0B"/>
    <w:rsid w:val="004B60B8"/>
    <w:rsid w:val="004B674C"/>
    <w:rsid w:val="004B6890"/>
    <w:rsid w:val="004B6BE3"/>
    <w:rsid w:val="004B6D75"/>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20E"/>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3A9"/>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490"/>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578D"/>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3B30"/>
    <w:rsid w:val="005A4B84"/>
    <w:rsid w:val="005A4D1B"/>
    <w:rsid w:val="005A523C"/>
    <w:rsid w:val="005A594A"/>
    <w:rsid w:val="005A5D7B"/>
    <w:rsid w:val="005A7195"/>
    <w:rsid w:val="005A76FF"/>
    <w:rsid w:val="005A7E33"/>
    <w:rsid w:val="005B0288"/>
    <w:rsid w:val="005B0786"/>
    <w:rsid w:val="005B0C77"/>
    <w:rsid w:val="005B12C5"/>
    <w:rsid w:val="005B1BAB"/>
    <w:rsid w:val="005B1D38"/>
    <w:rsid w:val="005B1DCF"/>
    <w:rsid w:val="005B2004"/>
    <w:rsid w:val="005B23C8"/>
    <w:rsid w:val="005B331F"/>
    <w:rsid w:val="005B367B"/>
    <w:rsid w:val="005B3E6E"/>
    <w:rsid w:val="005B4003"/>
    <w:rsid w:val="005B442E"/>
    <w:rsid w:val="005B54AB"/>
    <w:rsid w:val="005B6571"/>
    <w:rsid w:val="005B6AFF"/>
    <w:rsid w:val="005B6C71"/>
    <w:rsid w:val="005B6F2A"/>
    <w:rsid w:val="005B70A2"/>
    <w:rsid w:val="005B7AD1"/>
    <w:rsid w:val="005C00D9"/>
    <w:rsid w:val="005C1FEE"/>
    <w:rsid w:val="005C21E7"/>
    <w:rsid w:val="005C267D"/>
    <w:rsid w:val="005C295E"/>
    <w:rsid w:val="005C2995"/>
    <w:rsid w:val="005C2F07"/>
    <w:rsid w:val="005C3141"/>
    <w:rsid w:val="005C4809"/>
    <w:rsid w:val="005C5151"/>
    <w:rsid w:val="005C527F"/>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A19"/>
    <w:rsid w:val="005D0FD8"/>
    <w:rsid w:val="005D1149"/>
    <w:rsid w:val="005D1A4B"/>
    <w:rsid w:val="005D1B56"/>
    <w:rsid w:val="005D1CAE"/>
    <w:rsid w:val="005D1FBA"/>
    <w:rsid w:val="005D216C"/>
    <w:rsid w:val="005D272E"/>
    <w:rsid w:val="005D2966"/>
    <w:rsid w:val="005D3E32"/>
    <w:rsid w:val="005D46EE"/>
    <w:rsid w:val="005D4B10"/>
    <w:rsid w:val="005D4E65"/>
    <w:rsid w:val="005D4EDA"/>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5F2"/>
    <w:rsid w:val="005F28D3"/>
    <w:rsid w:val="005F2A5D"/>
    <w:rsid w:val="005F2A9B"/>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1A4B"/>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56B"/>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43"/>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3F80"/>
    <w:rsid w:val="0069473D"/>
    <w:rsid w:val="006957B1"/>
    <w:rsid w:val="00695D55"/>
    <w:rsid w:val="00696111"/>
    <w:rsid w:val="006961B7"/>
    <w:rsid w:val="00696F69"/>
    <w:rsid w:val="00697028"/>
    <w:rsid w:val="00697C3B"/>
    <w:rsid w:val="00697E10"/>
    <w:rsid w:val="006A02F2"/>
    <w:rsid w:val="006A0434"/>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1D6A"/>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3C7E"/>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86B"/>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3EF"/>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B3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BEC"/>
    <w:rsid w:val="007A2F02"/>
    <w:rsid w:val="007A30B1"/>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083B"/>
    <w:rsid w:val="007F1CB7"/>
    <w:rsid w:val="007F21F8"/>
    <w:rsid w:val="007F28C5"/>
    <w:rsid w:val="007F2E0E"/>
    <w:rsid w:val="007F414D"/>
    <w:rsid w:val="007F4D6F"/>
    <w:rsid w:val="007F4DA5"/>
    <w:rsid w:val="007F502F"/>
    <w:rsid w:val="007F5904"/>
    <w:rsid w:val="007F75A8"/>
    <w:rsid w:val="00800A54"/>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9F9"/>
    <w:rsid w:val="00811E51"/>
    <w:rsid w:val="008126AC"/>
    <w:rsid w:val="00812866"/>
    <w:rsid w:val="0081297D"/>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C67"/>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6C6D"/>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3BD"/>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E3"/>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320"/>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69A"/>
    <w:rsid w:val="0094472A"/>
    <w:rsid w:val="00944D4B"/>
    <w:rsid w:val="00944F4A"/>
    <w:rsid w:val="00944FCF"/>
    <w:rsid w:val="009455A8"/>
    <w:rsid w:val="00945F01"/>
    <w:rsid w:val="00945F8E"/>
    <w:rsid w:val="00946543"/>
    <w:rsid w:val="00946719"/>
    <w:rsid w:val="00947C72"/>
    <w:rsid w:val="00947CF2"/>
    <w:rsid w:val="00947EE6"/>
    <w:rsid w:val="009507C2"/>
    <w:rsid w:val="00950BCA"/>
    <w:rsid w:val="00950F35"/>
    <w:rsid w:val="009514D3"/>
    <w:rsid w:val="00951A47"/>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8E"/>
    <w:rsid w:val="009650C3"/>
    <w:rsid w:val="009655D7"/>
    <w:rsid w:val="00965D0D"/>
    <w:rsid w:val="00965D3F"/>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884"/>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4B9"/>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4C0"/>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88"/>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942"/>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3C7"/>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5CC"/>
    <w:rsid w:val="00A92E17"/>
    <w:rsid w:val="00A931CE"/>
    <w:rsid w:val="00A93754"/>
    <w:rsid w:val="00A9392A"/>
    <w:rsid w:val="00A9472B"/>
    <w:rsid w:val="00A94E17"/>
    <w:rsid w:val="00A9538C"/>
    <w:rsid w:val="00A95556"/>
    <w:rsid w:val="00A957B8"/>
    <w:rsid w:val="00A957C8"/>
    <w:rsid w:val="00A95AF4"/>
    <w:rsid w:val="00A95BBC"/>
    <w:rsid w:val="00A966B6"/>
    <w:rsid w:val="00AA034F"/>
    <w:rsid w:val="00AA0505"/>
    <w:rsid w:val="00AA0A8A"/>
    <w:rsid w:val="00AA0AE8"/>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501"/>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D78C7"/>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67F7"/>
    <w:rsid w:val="00AE6C84"/>
    <w:rsid w:val="00AE6EA9"/>
    <w:rsid w:val="00AE6F5F"/>
    <w:rsid w:val="00AE758E"/>
    <w:rsid w:val="00AE7D54"/>
    <w:rsid w:val="00AE7F1F"/>
    <w:rsid w:val="00AF0034"/>
    <w:rsid w:val="00AF0113"/>
    <w:rsid w:val="00AF0972"/>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598E"/>
    <w:rsid w:val="00B05A42"/>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6DE4"/>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9A7"/>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A49"/>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C8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C43"/>
    <w:rsid w:val="00BD0F19"/>
    <w:rsid w:val="00BD1E82"/>
    <w:rsid w:val="00BD250A"/>
    <w:rsid w:val="00BD2733"/>
    <w:rsid w:val="00BD2948"/>
    <w:rsid w:val="00BD2AE7"/>
    <w:rsid w:val="00BD3306"/>
    <w:rsid w:val="00BD3A1B"/>
    <w:rsid w:val="00BD3D97"/>
    <w:rsid w:val="00BD44FE"/>
    <w:rsid w:val="00BD48C2"/>
    <w:rsid w:val="00BD4B33"/>
    <w:rsid w:val="00BD4F5C"/>
    <w:rsid w:val="00BD5147"/>
    <w:rsid w:val="00BD53DC"/>
    <w:rsid w:val="00BD5937"/>
    <w:rsid w:val="00BD5D75"/>
    <w:rsid w:val="00BD6296"/>
    <w:rsid w:val="00BD66FC"/>
    <w:rsid w:val="00BD6EC9"/>
    <w:rsid w:val="00BD7356"/>
    <w:rsid w:val="00BD7483"/>
    <w:rsid w:val="00BD798B"/>
    <w:rsid w:val="00BD7AF8"/>
    <w:rsid w:val="00BD7CBB"/>
    <w:rsid w:val="00BE0399"/>
    <w:rsid w:val="00BE067D"/>
    <w:rsid w:val="00BE0740"/>
    <w:rsid w:val="00BE173C"/>
    <w:rsid w:val="00BE201E"/>
    <w:rsid w:val="00BE214A"/>
    <w:rsid w:val="00BE215C"/>
    <w:rsid w:val="00BE3446"/>
    <w:rsid w:val="00BE48D7"/>
    <w:rsid w:val="00BE5121"/>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3A6"/>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6CC"/>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2E57"/>
    <w:rsid w:val="00C43937"/>
    <w:rsid w:val="00C43D02"/>
    <w:rsid w:val="00C441CD"/>
    <w:rsid w:val="00C4581B"/>
    <w:rsid w:val="00C45C4C"/>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2501"/>
    <w:rsid w:val="00C835BF"/>
    <w:rsid w:val="00C83685"/>
    <w:rsid w:val="00C8430A"/>
    <w:rsid w:val="00C84BD6"/>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97911"/>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33D"/>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570"/>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4BE4"/>
    <w:rsid w:val="00D051D5"/>
    <w:rsid w:val="00D05CAF"/>
    <w:rsid w:val="00D060F4"/>
    <w:rsid w:val="00D06794"/>
    <w:rsid w:val="00D078A0"/>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69B"/>
    <w:rsid w:val="00D2486D"/>
    <w:rsid w:val="00D24B37"/>
    <w:rsid w:val="00D253F8"/>
    <w:rsid w:val="00D255A8"/>
    <w:rsid w:val="00D25733"/>
    <w:rsid w:val="00D25D8E"/>
    <w:rsid w:val="00D26144"/>
    <w:rsid w:val="00D2724B"/>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0D7B"/>
    <w:rsid w:val="00D812BF"/>
    <w:rsid w:val="00D8180F"/>
    <w:rsid w:val="00D8259E"/>
    <w:rsid w:val="00D83396"/>
    <w:rsid w:val="00D8363F"/>
    <w:rsid w:val="00D83902"/>
    <w:rsid w:val="00D83B69"/>
    <w:rsid w:val="00D83E40"/>
    <w:rsid w:val="00D84ABB"/>
    <w:rsid w:val="00D84F12"/>
    <w:rsid w:val="00D850F7"/>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2EAB"/>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2FE0"/>
    <w:rsid w:val="00DF306F"/>
    <w:rsid w:val="00DF3502"/>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33F"/>
    <w:rsid w:val="00E2473D"/>
    <w:rsid w:val="00E25337"/>
    <w:rsid w:val="00E25BCA"/>
    <w:rsid w:val="00E25CB6"/>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C4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0CD1"/>
    <w:rsid w:val="00E612B9"/>
    <w:rsid w:val="00E614B0"/>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154"/>
    <w:rsid w:val="00E80488"/>
    <w:rsid w:val="00E808C7"/>
    <w:rsid w:val="00E8125D"/>
    <w:rsid w:val="00E818CC"/>
    <w:rsid w:val="00E81912"/>
    <w:rsid w:val="00E81CBA"/>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9AD"/>
    <w:rsid w:val="00EB7F61"/>
    <w:rsid w:val="00EC04D8"/>
    <w:rsid w:val="00EC1111"/>
    <w:rsid w:val="00EC1280"/>
    <w:rsid w:val="00EC26AA"/>
    <w:rsid w:val="00EC298C"/>
    <w:rsid w:val="00EC2CA6"/>
    <w:rsid w:val="00EC3861"/>
    <w:rsid w:val="00EC3AFA"/>
    <w:rsid w:val="00EC4364"/>
    <w:rsid w:val="00EC509C"/>
    <w:rsid w:val="00EC5301"/>
    <w:rsid w:val="00EC5CA8"/>
    <w:rsid w:val="00EC64B5"/>
    <w:rsid w:val="00EC6ADF"/>
    <w:rsid w:val="00EC715C"/>
    <w:rsid w:val="00EC74DE"/>
    <w:rsid w:val="00EC761D"/>
    <w:rsid w:val="00ED2644"/>
    <w:rsid w:val="00ED2D9C"/>
    <w:rsid w:val="00ED360F"/>
    <w:rsid w:val="00ED3E9B"/>
    <w:rsid w:val="00ED3EC5"/>
    <w:rsid w:val="00ED3F8D"/>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020"/>
    <w:rsid w:val="00EF5FD3"/>
    <w:rsid w:val="00EF5FEF"/>
    <w:rsid w:val="00EF645D"/>
    <w:rsid w:val="00EF6910"/>
    <w:rsid w:val="00EF7031"/>
    <w:rsid w:val="00EF7198"/>
    <w:rsid w:val="00EF7586"/>
    <w:rsid w:val="00EF78B6"/>
    <w:rsid w:val="00EF7AE9"/>
    <w:rsid w:val="00F00DAC"/>
    <w:rsid w:val="00F01DBA"/>
    <w:rsid w:val="00F0219A"/>
    <w:rsid w:val="00F024E3"/>
    <w:rsid w:val="00F025BE"/>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2F54"/>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8C2"/>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003E"/>
    <w:rsid w:val="00F9103A"/>
    <w:rsid w:val="00F913D6"/>
    <w:rsid w:val="00F915EF"/>
    <w:rsid w:val="00F91A00"/>
    <w:rsid w:val="00F92094"/>
    <w:rsid w:val="00F92ABC"/>
    <w:rsid w:val="00F92C6B"/>
    <w:rsid w:val="00F932EF"/>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43D1"/>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C74DE"/>
    <w:pPr>
      <w:numPr>
        <w:numId w:val="2"/>
      </w:numPr>
    </w:pPr>
  </w:style>
  <w:style w:type="numbering" w:customStyle="1" w:styleId="Estiloimportado11">
    <w:name w:val="Estilo importado 11"/>
    <w:rsid w:val="00EC74DE"/>
    <w:pPr>
      <w:numPr>
        <w:numId w:val="3"/>
      </w:numPr>
    </w:pPr>
  </w:style>
  <w:style w:type="numbering" w:customStyle="1" w:styleId="Sinlista11">
    <w:name w:val="Sin lista11"/>
    <w:next w:val="Sinlista"/>
    <w:uiPriority w:val="99"/>
    <w:semiHidden/>
    <w:unhideWhenUsed/>
    <w:rsid w:val="00EC74DE"/>
  </w:style>
  <w:style w:type="numbering" w:customStyle="1" w:styleId="Estiloimportado211">
    <w:name w:val="Estilo importado 211"/>
    <w:rsid w:val="00EC74DE"/>
  </w:style>
  <w:style w:type="numbering" w:customStyle="1" w:styleId="Estiloimportado111">
    <w:name w:val="Estilo importado 111"/>
    <w:rsid w:val="00EC74DE"/>
  </w:style>
  <w:style w:type="table" w:customStyle="1" w:styleId="Tablaconcuadrcula11">
    <w:name w:val="Tabla con cuadrícula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C74DE"/>
  </w:style>
  <w:style w:type="numbering" w:customStyle="1" w:styleId="Sinlista1111">
    <w:name w:val="Sin lista1111"/>
    <w:next w:val="Sinlista"/>
    <w:uiPriority w:val="99"/>
    <w:semiHidden/>
    <w:unhideWhenUsed/>
    <w:rsid w:val="00EC74DE"/>
  </w:style>
  <w:style w:type="paragraph" w:customStyle="1" w:styleId="paragraph">
    <w:name w:val="paragraph"/>
    <w:basedOn w:val="Normal"/>
    <w:uiPriority w:val="99"/>
    <w:rsid w:val="00EC74DE"/>
    <w:pPr>
      <w:spacing w:before="100" w:beforeAutospacing="1" w:after="100" w:afterAutospacing="1"/>
    </w:pPr>
    <w:rPr>
      <w:lang w:eastAsia="es-MX"/>
    </w:rPr>
  </w:style>
  <w:style w:type="character" w:customStyle="1" w:styleId="eop">
    <w:name w:val="eop"/>
    <w:basedOn w:val="Fuentedeprrafopredeter"/>
    <w:rsid w:val="00EC74DE"/>
  </w:style>
  <w:style w:type="numbering" w:customStyle="1" w:styleId="Sinlista5">
    <w:name w:val="Sin lista5"/>
    <w:next w:val="Sinlista"/>
    <w:uiPriority w:val="99"/>
    <w:semiHidden/>
    <w:unhideWhenUsed/>
    <w:rsid w:val="00EC74DE"/>
  </w:style>
  <w:style w:type="table" w:customStyle="1" w:styleId="Tablaconcuadrcula5">
    <w:name w:val="Tabla con cuadrícula5"/>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EC74DE"/>
  </w:style>
  <w:style w:type="table" w:customStyle="1" w:styleId="Tablaconcuadrcula6">
    <w:name w:val="Tabla con cuadrícula6"/>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C74DE"/>
  </w:style>
  <w:style w:type="table" w:customStyle="1" w:styleId="Tablaconcuadrcula7">
    <w:name w:val="Tabla con cuadrícula7"/>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C74DE"/>
  </w:style>
  <w:style w:type="table" w:customStyle="1" w:styleId="Tablaconcuadrcula21">
    <w:name w:val="Tabla con cuadrícula2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C74DE"/>
  </w:style>
  <w:style w:type="numbering" w:customStyle="1" w:styleId="Estiloimportado12">
    <w:name w:val="Estilo importado 12"/>
    <w:rsid w:val="00EC74DE"/>
  </w:style>
  <w:style w:type="table" w:customStyle="1" w:styleId="Tablaconcuadrcula111">
    <w:name w:val="Tabla con cuadrícula1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C74DE"/>
  </w:style>
  <w:style w:type="numbering" w:customStyle="1" w:styleId="Sinlista1112">
    <w:name w:val="Sin lista1112"/>
    <w:next w:val="Sinlista"/>
    <w:uiPriority w:val="99"/>
    <w:semiHidden/>
    <w:unhideWhenUsed/>
    <w:rsid w:val="00EC74DE"/>
  </w:style>
  <w:style w:type="numbering" w:customStyle="1" w:styleId="Sinlista21">
    <w:name w:val="Sin lista21"/>
    <w:next w:val="Sinlista"/>
    <w:uiPriority w:val="99"/>
    <w:semiHidden/>
    <w:unhideWhenUsed/>
    <w:rsid w:val="00EC74DE"/>
  </w:style>
  <w:style w:type="numbering" w:customStyle="1" w:styleId="Sinlista31">
    <w:name w:val="Sin lista31"/>
    <w:next w:val="Sinlista"/>
    <w:uiPriority w:val="99"/>
    <w:semiHidden/>
    <w:unhideWhenUsed/>
    <w:rsid w:val="00EC74DE"/>
  </w:style>
  <w:style w:type="table" w:customStyle="1" w:styleId="Tablaconcuadrcula31">
    <w:name w:val="Tabla con cuadrícula3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C74DE"/>
  </w:style>
  <w:style w:type="table" w:customStyle="1" w:styleId="Tablaconcuadrcula41">
    <w:name w:val="Tabla con cuadrícula4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C74DE"/>
  </w:style>
  <w:style w:type="table" w:customStyle="1" w:styleId="Tablaconcuadrcula51">
    <w:name w:val="Tabla con cuadrícula5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C74DE"/>
  </w:style>
  <w:style w:type="table" w:customStyle="1" w:styleId="Tablaconcuadrcula61">
    <w:name w:val="Tabla con cuadrícula6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C74DE"/>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EC74DE"/>
    <w:rPr>
      <w:rFonts w:ascii="Palatino Linotype" w:eastAsia="Cambria" w:hAnsi="Palatino Linotype"/>
      <w:sz w:val="20"/>
      <w:szCs w:val="20"/>
      <w:lang w:eastAsia="en-US"/>
    </w:rPr>
  </w:style>
  <w:style w:type="numbering" w:customStyle="1" w:styleId="Sinlista8">
    <w:name w:val="Sin lista8"/>
    <w:next w:val="Sinlista"/>
    <w:uiPriority w:val="99"/>
    <w:semiHidden/>
    <w:unhideWhenUsed/>
    <w:rsid w:val="00EC74DE"/>
  </w:style>
  <w:style w:type="table" w:customStyle="1" w:styleId="Tablaconcuadrcula9">
    <w:name w:val="Tabla con cuadrícula9"/>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C74DE"/>
  </w:style>
  <w:style w:type="table" w:customStyle="1" w:styleId="Tablaconcuadrcula13">
    <w:name w:val="Tabla con cuadrícula13"/>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C74DE"/>
  </w:style>
  <w:style w:type="table" w:customStyle="1" w:styleId="Tablaconcuadrcula22">
    <w:name w:val="Tabla con cuadrícula2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C74DE"/>
  </w:style>
  <w:style w:type="table" w:customStyle="1" w:styleId="Tablaconcuadrcula32">
    <w:name w:val="Tabla con cuadrícula3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C74DE"/>
  </w:style>
  <w:style w:type="table" w:customStyle="1" w:styleId="Tablaconcuadrcula42">
    <w:name w:val="Tabla con cuadrícula4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53662"/>
  </w:style>
  <w:style w:type="table" w:customStyle="1" w:styleId="Tablaconcuadrcula10">
    <w:name w:val="Tabla con cuadrícula10"/>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53662"/>
  </w:style>
  <w:style w:type="table" w:customStyle="1" w:styleId="Tablaconcuadrcula14">
    <w:name w:val="Tabla con cuadrícula1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53662"/>
  </w:style>
  <w:style w:type="table" w:customStyle="1" w:styleId="Tablaconcuadrcula23">
    <w:name w:val="Tabla con cuadrícula2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53662"/>
  </w:style>
  <w:style w:type="table" w:customStyle="1" w:styleId="Tablaconcuadrcula33">
    <w:name w:val="Tabla con cuadrícula3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53662"/>
  </w:style>
  <w:style w:type="table" w:customStyle="1" w:styleId="Tablaconcuadrcula43">
    <w:name w:val="Tabla con cuadrícula4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53662"/>
  </w:style>
  <w:style w:type="table" w:customStyle="1" w:styleId="Tablaconcuadrcula52">
    <w:name w:val="Tabla con cuadrícula5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53662"/>
  </w:style>
  <w:style w:type="table" w:customStyle="1" w:styleId="Tablaconcuadrcula62">
    <w:name w:val="Tabla con cuadrícula6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253662"/>
    <w:pPr>
      <w:numPr>
        <w:numId w:val="8"/>
      </w:numPr>
    </w:pPr>
  </w:style>
  <w:style w:type="numbering" w:customStyle="1" w:styleId="Estiloimportado13">
    <w:name w:val="Estilo importado 13"/>
    <w:rsid w:val="00253662"/>
    <w:pPr>
      <w:numPr>
        <w:numId w:val="9"/>
      </w:numPr>
    </w:pPr>
  </w:style>
  <w:style w:type="table" w:customStyle="1" w:styleId="Tablaconcuadrcula121">
    <w:name w:val="Tabla con cuadrícula12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53662"/>
  </w:style>
  <w:style w:type="table" w:customStyle="1" w:styleId="Tablaconcuadrcula211">
    <w:name w:val="Tabla con cuadrícula2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53662"/>
  </w:style>
  <w:style w:type="table" w:customStyle="1" w:styleId="Tablaconcuadrcula1111">
    <w:name w:val="Tabla con cuadrícula11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253662"/>
  </w:style>
  <w:style w:type="numbering" w:customStyle="1" w:styleId="Sinlista311">
    <w:name w:val="Sin lista311"/>
    <w:next w:val="Sinlista"/>
    <w:uiPriority w:val="99"/>
    <w:semiHidden/>
    <w:unhideWhenUsed/>
    <w:rsid w:val="00253662"/>
  </w:style>
  <w:style w:type="table" w:customStyle="1" w:styleId="Tablaconcuadrcula311">
    <w:name w:val="Tabla con cuadrícula3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53662"/>
  </w:style>
  <w:style w:type="table" w:customStyle="1" w:styleId="Tablaconcuadrcula411">
    <w:name w:val="Tabla con cuadrícula4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53662"/>
  </w:style>
  <w:style w:type="table" w:customStyle="1" w:styleId="Tablaconcuadrcula511">
    <w:name w:val="Tabla con cuadrícula5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253662"/>
  </w:style>
  <w:style w:type="numbering" w:customStyle="1" w:styleId="Sinlista11111">
    <w:name w:val="Sin lista11111"/>
    <w:next w:val="Sinlista"/>
    <w:uiPriority w:val="99"/>
    <w:semiHidden/>
    <w:unhideWhenUsed/>
    <w:rsid w:val="00253662"/>
  </w:style>
  <w:style w:type="numbering" w:customStyle="1" w:styleId="Sinlista2111">
    <w:name w:val="Sin lista2111"/>
    <w:next w:val="Sinlista"/>
    <w:uiPriority w:val="99"/>
    <w:semiHidden/>
    <w:unhideWhenUsed/>
    <w:rsid w:val="00253662"/>
  </w:style>
  <w:style w:type="numbering" w:customStyle="1" w:styleId="Sinlista3111">
    <w:name w:val="Sin lista3111"/>
    <w:next w:val="Sinlista"/>
    <w:uiPriority w:val="99"/>
    <w:semiHidden/>
    <w:unhideWhenUsed/>
    <w:rsid w:val="00253662"/>
  </w:style>
  <w:style w:type="numbering" w:customStyle="1" w:styleId="Sinlista4111">
    <w:name w:val="Sin lista4111"/>
    <w:next w:val="Sinlista"/>
    <w:uiPriority w:val="99"/>
    <w:semiHidden/>
    <w:unhideWhenUsed/>
    <w:rsid w:val="00253662"/>
  </w:style>
  <w:style w:type="numbering" w:customStyle="1" w:styleId="Sinlista71">
    <w:name w:val="Sin lista71"/>
    <w:next w:val="Sinlista"/>
    <w:uiPriority w:val="99"/>
    <w:semiHidden/>
    <w:unhideWhenUsed/>
    <w:rsid w:val="00253662"/>
  </w:style>
  <w:style w:type="table" w:customStyle="1" w:styleId="Tablaconcuadrcula81">
    <w:name w:val="Tabla con cuadrícula8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2">
    <w:name w:val="Estilo importado 212"/>
    <w:rsid w:val="00253662"/>
  </w:style>
  <w:style w:type="numbering" w:customStyle="1" w:styleId="Estiloimportado112">
    <w:name w:val="Estilo importado 112"/>
    <w:rsid w:val="00253662"/>
  </w:style>
  <w:style w:type="table" w:customStyle="1" w:styleId="Tablaconcuadrcula131">
    <w:name w:val="Tabla con cuadrícula13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253662"/>
  </w:style>
  <w:style w:type="table" w:customStyle="1" w:styleId="Tablaconcuadrcula221">
    <w:name w:val="Tabla con cuadrícula2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253662"/>
  </w:style>
  <w:style w:type="numbering" w:customStyle="1" w:styleId="Sinlista221">
    <w:name w:val="Sin lista221"/>
    <w:next w:val="Sinlista"/>
    <w:uiPriority w:val="99"/>
    <w:semiHidden/>
    <w:unhideWhenUsed/>
    <w:rsid w:val="00253662"/>
  </w:style>
  <w:style w:type="numbering" w:customStyle="1" w:styleId="Sinlista321">
    <w:name w:val="Sin lista321"/>
    <w:next w:val="Sinlista"/>
    <w:uiPriority w:val="99"/>
    <w:semiHidden/>
    <w:unhideWhenUsed/>
    <w:rsid w:val="00253662"/>
  </w:style>
  <w:style w:type="table" w:customStyle="1" w:styleId="Tablaconcuadrcula321">
    <w:name w:val="Tabla con cuadrícula3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253662"/>
  </w:style>
  <w:style w:type="table" w:customStyle="1" w:styleId="Tablaconcuadrcula421">
    <w:name w:val="Tabla con cuadrícula4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253662"/>
  </w:style>
  <w:style w:type="numbering" w:customStyle="1" w:styleId="Estiloimportado121">
    <w:name w:val="Estilo importado 121"/>
    <w:rsid w:val="00253662"/>
  </w:style>
  <w:style w:type="numbering" w:customStyle="1" w:styleId="Sinlista81">
    <w:name w:val="Sin lista81"/>
    <w:next w:val="Sinlista"/>
    <w:uiPriority w:val="99"/>
    <w:semiHidden/>
    <w:unhideWhenUsed/>
    <w:rsid w:val="00253662"/>
  </w:style>
  <w:style w:type="table" w:customStyle="1" w:styleId="Tablaconcuadrcula91">
    <w:name w:val="Tabla con cuadrícula9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253662"/>
  </w:style>
  <w:style w:type="numbering" w:customStyle="1" w:styleId="Estiloimportado131">
    <w:name w:val="Estilo importado 131"/>
    <w:rsid w:val="00253662"/>
  </w:style>
  <w:style w:type="numbering" w:customStyle="1" w:styleId="Sinlista141">
    <w:name w:val="Sin lista141"/>
    <w:next w:val="Sinlista"/>
    <w:uiPriority w:val="99"/>
    <w:semiHidden/>
    <w:unhideWhenUsed/>
    <w:rsid w:val="00253662"/>
  </w:style>
  <w:style w:type="numbering" w:customStyle="1" w:styleId="Sinlista231">
    <w:name w:val="Sin lista231"/>
    <w:next w:val="Sinlista"/>
    <w:uiPriority w:val="99"/>
    <w:semiHidden/>
    <w:unhideWhenUsed/>
    <w:rsid w:val="00253662"/>
  </w:style>
  <w:style w:type="numbering" w:customStyle="1" w:styleId="Sinlista331">
    <w:name w:val="Sin lista331"/>
    <w:next w:val="Sinlista"/>
    <w:uiPriority w:val="99"/>
    <w:semiHidden/>
    <w:unhideWhenUsed/>
    <w:rsid w:val="00253662"/>
  </w:style>
  <w:style w:type="numbering" w:customStyle="1" w:styleId="Sinlista431">
    <w:name w:val="Sin lista431"/>
    <w:next w:val="Sinlista"/>
    <w:uiPriority w:val="99"/>
    <w:semiHidden/>
    <w:unhideWhenUsed/>
    <w:rsid w:val="00253662"/>
  </w:style>
  <w:style w:type="numbering" w:customStyle="1" w:styleId="Sinlista91">
    <w:name w:val="Sin lista91"/>
    <w:next w:val="Sinlista"/>
    <w:uiPriority w:val="99"/>
    <w:semiHidden/>
    <w:unhideWhenUsed/>
    <w:rsid w:val="00253662"/>
  </w:style>
  <w:style w:type="numbering" w:customStyle="1" w:styleId="Estiloimportado24">
    <w:name w:val="Estilo importado 24"/>
    <w:rsid w:val="00253662"/>
  </w:style>
  <w:style w:type="numbering" w:customStyle="1" w:styleId="Estiloimportado14">
    <w:name w:val="Estilo importado 14"/>
    <w:rsid w:val="00253662"/>
  </w:style>
  <w:style w:type="numbering" w:customStyle="1" w:styleId="Sinlista15">
    <w:name w:val="Sin lista15"/>
    <w:next w:val="Sinlista"/>
    <w:uiPriority w:val="99"/>
    <w:semiHidden/>
    <w:unhideWhenUsed/>
    <w:rsid w:val="00253662"/>
  </w:style>
  <w:style w:type="table" w:customStyle="1" w:styleId="Tablaconcuadrcula15">
    <w:name w:val="Tabla con cuadrícula15"/>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53662"/>
  </w:style>
  <w:style w:type="table" w:customStyle="1" w:styleId="Tablaconcuadrcula24">
    <w:name w:val="Tabla con cuadrícula2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253662"/>
  </w:style>
  <w:style w:type="table" w:customStyle="1" w:styleId="Tablaconcuadrcula34">
    <w:name w:val="Tabla con cuadrícula3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53662"/>
  </w:style>
  <w:style w:type="table" w:customStyle="1" w:styleId="Tablaconcuadrcula44">
    <w:name w:val="Tabla con cuadrícula4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5B6F2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2067378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717847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1345387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7711018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0631250">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92897717">
      <w:bodyDiv w:val="1"/>
      <w:marLeft w:val="0"/>
      <w:marRight w:val="0"/>
      <w:marTop w:val="0"/>
      <w:marBottom w:val="0"/>
      <w:divBdr>
        <w:top w:val="none" w:sz="0" w:space="0" w:color="auto"/>
        <w:left w:val="none" w:sz="0" w:space="0" w:color="auto"/>
        <w:bottom w:val="none" w:sz="0" w:space="0" w:color="auto"/>
        <w:right w:val="none" w:sz="0" w:space="0" w:color="auto"/>
      </w:divBdr>
      <w:divsChild>
        <w:div w:id="752632020">
          <w:marLeft w:val="0"/>
          <w:marRight w:val="0"/>
          <w:marTop w:val="0"/>
          <w:marBottom w:val="0"/>
          <w:divBdr>
            <w:top w:val="none" w:sz="0" w:space="0" w:color="auto"/>
            <w:left w:val="none" w:sz="0" w:space="0" w:color="auto"/>
            <w:bottom w:val="none" w:sz="0" w:space="0" w:color="auto"/>
            <w:right w:val="none" w:sz="0" w:space="0" w:color="auto"/>
          </w:divBdr>
        </w:div>
        <w:div w:id="635113222">
          <w:marLeft w:val="0"/>
          <w:marRight w:val="0"/>
          <w:marTop w:val="0"/>
          <w:marBottom w:val="0"/>
          <w:divBdr>
            <w:top w:val="none" w:sz="0" w:space="0" w:color="auto"/>
            <w:left w:val="none" w:sz="0" w:space="0" w:color="auto"/>
            <w:bottom w:val="none" w:sz="0" w:space="0" w:color="auto"/>
            <w:right w:val="none" w:sz="0" w:space="0" w:color="auto"/>
          </w:divBdr>
          <w:divsChild>
            <w:div w:id="3809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708719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016817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144633">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tultepec.gob.mx/2019/09/16/la-mayor-expresion-de-soberania-e-independencia-del-pueblo-es-la-ley-armando-portuguez/"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9/may31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061BD-BEC6-4031-93E7-548B70D4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10830</Words>
  <Characters>59566</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9</cp:revision>
  <cp:lastPrinted>2020-01-17T00:36:00Z</cp:lastPrinted>
  <dcterms:created xsi:type="dcterms:W3CDTF">2020-01-10T00:58:00Z</dcterms:created>
  <dcterms:modified xsi:type="dcterms:W3CDTF">2020-01-23T18:08:00Z</dcterms:modified>
</cp:coreProperties>
</file>