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567AC">
        <w:rPr>
          <w:rFonts w:ascii="Palatino Linotype" w:hAnsi="Palatino Linotype"/>
          <w:sz w:val="24"/>
          <w:szCs w:val="24"/>
          <w:lang w:eastAsia="es-MX"/>
        </w:rPr>
        <w:t>veintinueve de enero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893173">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893173">
        <w:rPr>
          <w:rFonts w:ascii="Palatino Linotype" w:hAnsi="Palatino Linotype"/>
          <w:b/>
          <w:bCs/>
          <w:sz w:val="24"/>
          <w:szCs w:val="24"/>
          <w:lang w:eastAsia="es-MX"/>
        </w:rPr>
        <w:t>1015</w:t>
      </w:r>
      <w:r w:rsidR="007C12A0">
        <w:rPr>
          <w:rFonts w:ascii="Palatino Linotype" w:hAnsi="Palatino Linotype"/>
          <w:b/>
          <w:bCs/>
          <w:sz w:val="24"/>
          <w:szCs w:val="24"/>
          <w:lang w:eastAsia="es-MX"/>
        </w:rPr>
        <w:t>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BD7B15">
        <w:rPr>
          <w:rFonts w:ascii="Palatino Linotype" w:hAnsi="Palatino Linotype" w:cs="Arial"/>
          <w:b/>
          <w:sz w:val="24"/>
          <w:szCs w:val="24"/>
        </w:rPr>
        <w:t xml:space="preserve">  </w:t>
      </w:r>
      <w:r w:rsidR="0005034D">
        <w:rPr>
          <w:rFonts w:ascii="Palatino Linotype" w:hAnsi="Palatino Linotype" w:cs="Arial"/>
          <w:b/>
          <w:sz w:val="24"/>
          <w:szCs w:val="24"/>
        </w:rPr>
        <w:t>xxxx</w:t>
      </w:r>
      <w:bookmarkStart w:id="0" w:name="_GoBack"/>
      <w:bookmarkEnd w:id="0"/>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893173">
        <w:rPr>
          <w:rFonts w:ascii="Palatino Linotype" w:hAnsi="Palatino Linotype"/>
          <w:b/>
          <w:sz w:val="24"/>
          <w:szCs w:val="24"/>
        </w:rPr>
        <w:t>Ayuntamiento de Ecatzingo</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93173">
        <w:rPr>
          <w:rFonts w:ascii="Palatino Linotype" w:hAnsi="Palatino Linotype"/>
          <w:sz w:val="24"/>
          <w:szCs w:val="24"/>
        </w:rPr>
        <w:t>veinticinco</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893173">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BD7B15">
        <w:rPr>
          <w:rFonts w:ascii="Palatino Linotype" w:hAnsi="Palatino Linotype"/>
          <w:sz w:val="24"/>
          <w:szCs w:val="24"/>
        </w:rPr>
        <w:t>los</w:t>
      </w:r>
      <w:r w:rsidRPr="00C35F18">
        <w:rPr>
          <w:rFonts w:ascii="Palatino Linotype" w:hAnsi="Palatino Linotype"/>
          <w:sz w:val="24"/>
          <w:szCs w:val="24"/>
        </w:rPr>
        <w:t xml:space="preserve"> número</w:t>
      </w:r>
      <w:r w:rsidR="00BD7B15">
        <w:rPr>
          <w:rFonts w:ascii="Palatino Linotype" w:hAnsi="Palatino Linotype"/>
          <w:sz w:val="24"/>
          <w:szCs w:val="24"/>
        </w:rPr>
        <w:t>s</w:t>
      </w:r>
      <w:r w:rsidRPr="00C35F18">
        <w:rPr>
          <w:rFonts w:ascii="Palatino Linotype" w:hAnsi="Palatino Linotype"/>
          <w:sz w:val="24"/>
          <w:szCs w:val="24"/>
        </w:rPr>
        <w:t xml:space="preserve"> de expediente</w:t>
      </w:r>
      <w:r w:rsidR="00BD7B15">
        <w:rPr>
          <w:rFonts w:ascii="Palatino Linotype" w:hAnsi="Palatino Linotype"/>
          <w:sz w:val="24"/>
          <w:szCs w:val="24"/>
        </w:rPr>
        <w:t xml:space="preserve"> </w:t>
      </w:r>
      <w:r w:rsidR="00893173">
        <w:rPr>
          <w:rFonts w:ascii="Palatino Linotype" w:hAnsi="Palatino Linotype" w:cs="Arial"/>
          <w:b/>
        </w:rPr>
        <w:t>003</w:t>
      </w:r>
      <w:r w:rsidR="00565F31">
        <w:rPr>
          <w:rFonts w:ascii="Palatino Linotype" w:hAnsi="Palatino Linotype" w:cs="Arial"/>
          <w:b/>
        </w:rPr>
        <w:t>36</w:t>
      </w:r>
      <w:r w:rsidR="00893173">
        <w:rPr>
          <w:rFonts w:ascii="Palatino Linotype" w:hAnsi="Palatino Linotype" w:cs="Arial"/>
          <w:b/>
        </w:rPr>
        <w:t>/ECATZIN/IP/2019</w:t>
      </w:r>
      <w:r w:rsidRPr="00BD7B15">
        <w:rPr>
          <w:rFonts w:ascii="Palatino Linotype" w:hAnsi="Palatino Linotype"/>
          <w:sz w:val="24"/>
          <w:szCs w:val="24"/>
        </w:rPr>
        <w:t xml:space="preserve">, </w:t>
      </w:r>
      <w:r w:rsidRPr="00C35F18">
        <w:rPr>
          <w:rFonts w:ascii="Palatino Linotype" w:hAnsi="Palatino Linotype"/>
          <w:sz w:val="24"/>
          <w:szCs w:val="24"/>
        </w:rPr>
        <w:t>mediante la</w:t>
      </w:r>
      <w:r w:rsidR="00063E6B">
        <w:rPr>
          <w:rFonts w:ascii="Palatino Linotype" w:hAnsi="Palatino Linotype"/>
          <w:sz w:val="24"/>
          <w:szCs w:val="24"/>
        </w:rPr>
        <w:t>s</w:t>
      </w:r>
      <w:r w:rsidRPr="00C35F18">
        <w:rPr>
          <w:rFonts w:ascii="Palatino Linotype" w:hAnsi="Palatino Linotype"/>
          <w:sz w:val="24"/>
          <w:szCs w:val="24"/>
        </w:rPr>
        <w:t xml:space="preserve"> cual</w:t>
      </w:r>
      <w:r w:rsidR="00063E6B">
        <w:rPr>
          <w:rFonts w:ascii="Palatino Linotype" w:hAnsi="Palatino Linotype"/>
          <w:sz w:val="24"/>
          <w:szCs w:val="24"/>
        </w:rPr>
        <w:t>es</w:t>
      </w:r>
      <w:r w:rsidRPr="00C35F18">
        <w:rPr>
          <w:rFonts w:ascii="Palatino Linotype" w:hAnsi="Palatino Linotype"/>
          <w:sz w:val="24"/>
          <w:szCs w:val="24"/>
        </w:rPr>
        <w:t xml:space="preserve">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6D38BF" w:rsidRDefault="006D38BF" w:rsidP="006D38BF">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7C12A0" w:rsidRPr="007C12A0">
        <w:rPr>
          <w:rFonts w:ascii="Palatino Linotype" w:hAnsi="Palatino Linotype"/>
          <w:i/>
          <w:sz w:val="24"/>
          <w:szCs w:val="24"/>
        </w:rPr>
        <w:t>Solicito las declaraciones patrimoniales del los regidores y el presidente municipal.</w:t>
      </w:r>
      <w:r>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6D38BF">
        <w:rPr>
          <w:rFonts w:ascii="Palatino Linotype" w:eastAsia="Times New Roman" w:hAnsi="Palatino Linotype" w:cs="Times New Roman"/>
          <w:sz w:val="24"/>
          <w:szCs w:val="24"/>
          <w:lang w:val="es-ES_tradnl" w:eastAsia="es-ES"/>
        </w:rPr>
        <w:t>, en ambos casos</w:t>
      </w:r>
      <w:r w:rsidRPr="00C35F18">
        <w:rPr>
          <w:rFonts w:ascii="Palatino Linotype" w:eastAsia="Times New Roman" w:hAnsi="Palatino Linotype" w:cs="Times New Roman"/>
          <w:sz w:val="24"/>
          <w:szCs w:val="24"/>
          <w:lang w:val="es-ES_tradnl" w:eastAsia="es-ES"/>
        </w:rPr>
        <w:t xml:space="preserve">: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EE5C96" w:rsidRDefault="00EE5C96" w:rsidP="004737E6">
      <w:pPr>
        <w:pStyle w:val="Sinespaciado"/>
        <w:spacing w:line="360" w:lineRule="auto"/>
        <w:jc w:val="both"/>
        <w:rPr>
          <w:rFonts w:ascii="Palatino Linotype" w:hAnsi="Palatino Linotype"/>
          <w:b/>
          <w:sz w:val="26"/>
          <w:szCs w:val="26"/>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De la</w:t>
      </w:r>
      <w:r w:rsidR="006D38BF">
        <w:rPr>
          <w:rFonts w:ascii="Palatino Linotype" w:hAnsi="Palatino Linotype"/>
          <w:b/>
          <w:sz w:val="26"/>
          <w:szCs w:val="26"/>
        </w:rPr>
        <w:t>s</w:t>
      </w:r>
      <w:r w:rsidR="004737E6" w:rsidRPr="00DD5971">
        <w:rPr>
          <w:rFonts w:ascii="Palatino Linotype" w:hAnsi="Palatino Linotype"/>
          <w:b/>
          <w:sz w:val="26"/>
          <w:szCs w:val="26"/>
        </w:rPr>
        <w:t xml:space="preserve"> </w:t>
      </w:r>
      <w:r w:rsidR="004737E6">
        <w:rPr>
          <w:rFonts w:ascii="Palatino Linotype" w:hAnsi="Palatino Linotype"/>
          <w:b/>
          <w:sz w:val="26"/>
          <w:szCs w:val="26"/>
        </w:rPr>
        <w:t>respuesta</w:t>
      </w:r>
      <w:r w:rsidR="006D38BF">
        <w:rPr>
          <w:rFonts w:ascii="Palatino Linotype" w:hAnsi="Palatino Linotype"/>
          <w:b/>
          <w:sz w:val="26"/>
          <w:szCs w:val="26"/>
        </w:rPr>
        <w:t>s</w:t>
      </w:r>
      <w:r w:rsidR="004737E6">
        <w:rPr>
          <w:rFonts w:ascii="Palatino Linotype" w:hAnsi="Palatino Linotype"/>
          <w:b/>
          <w:sz w:val="26"/>
          <w:szCs w:val="26"/>
        </w:rPr>
        <w:t xml:space="preserve"> del Sujeto Obligado.</w:t>
      </w:r>
    </w:p>
    <w:p w:rsidR="00AB5DA8" w:rsidRDefault="004737E6" w:rsidP="00D017F5">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w:t>
      </w:r>
      <w:r w:rsidR="006D38BF">
        <w:rPr>
          <w:rFonts w:ascii="Palatino Linotype" w:hAnsi="Palatino Linotype"/>
          <w:sz w:val="24"/>
        </w:rPr>
        <w:t>los</w:t>
      </w:r>
      <w:r>
        <w:rPr>
          <w:rFonts w:ascii="Palatino Linotype" w:hAnsi="Palatino Linotype"/>
          <w:sz w:val="24"/>
        </w:rPr>
        <w:t xml:space="preserve"> expediente</w:t>
      </w:r>
      <w:r w:rsidR="006D38BF">
        <w:rPr>
          <w:rFonts w:ascii="Palatino Linotype" w:hAnsi="Palatino Linotype"/>
          <w:sz w:val="24"/>
        </w:rPr>
        <w:t>s</w:t>
      </w:r>
      <w:r>
        <w:rPr>
          <w:rFonts w:ascii="Palatino Linotype" w:hAnsi="Palatino Linotype"/>
          <w:sz w:val="24"/>
        </w:rPr>
        <w:t xml:space="preserve"> electrónico</w:t>
      </w:r>
      <w:r w:rsidR="006D38BF">
        <w:rPr>
          <w:rFonts w:ascii="Palatino Linotype" w:hAnsi="Palatino Linotype"/>
          <w:sz w:val="24"/>
        </w:rPr>
        <w:t>s</w:t>
      </w:r>
      <w:r>
        <w:rPr>
          <w:rFonts w:ascii="Palatino Linotype" w:hAnsi="Palatino Linotype"/>
          <w:sz w:val="24"/>
        </w:rPr>
        <w:t xml:space="preserve">, se observa que el Sujeto Obligado </w:t>
      </w:r>
      <w:r w:rsidR="007E2E80" w:rsidRPr="00C35F18">
        <w:rPr>
          <w:rFonts w:ascii="Palatino Linotype" w:hAnsi="Palatino Linotype"/>
          <w:sz w:val="24"/>
        </w:rPr>
        <w:t xml:space="preserve">dio respuesta a la solicitud de información en fecha </w:t>
      </w:r>
      <w:r w:rsidR="00C738E4" w:rsidRPr="00AB5DA8">
        <w:rPr>
          <w:rFonts w:ascii="Palatino Linotype" w:hAnsi="Palatino Linotype"/>
          <w:b/>
          <w:sz w:val="24"/>
        </w:rPr>
        <w:t xml:space="preserve">dieciséis </w:t>
      </w:r>
      <w:r w:rsidR="001E40B4" w:rsidRPr="00AB5DA8">
        <w:rPr>
          <w:rFonts w:ascii="Palatino Linotype" w:hAnsi="Palatino Linotype"/>
          <w:b/>
          <w:sz w:val="24"/>
        </w:rPr>
        <w:t xml:space="preserve">de </w:t>
      </w:r>
      <w:r w:rsidR="00C738E4" w:rsidRPr="00AB5DA8">
        <w:rPr>
          <w:rFonts w:ascii="Palatino Linotype" w:hAnsi="Palatino Linotype"/>
          <w:b/>
          <w:sz w:val="24"/>
        </w:rPr>
        <w:t>diciembre</w:t>
      </w:r>
      <w:r w:rsidRPr="00AB5DA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B5DA8">
        <w:rPr>
          <w:rFonts w:ascii="Palatino Linotype" w:hAnsi="Palatino Linotype"/>
          <w:sz w:val="24"/>
        </w:rPr>
        <w:t>:</w:t>
      </w:r>
    </w:p>
    <w:p w:rsidR="00AB5DA8" w:rsidRDefault="00AB5DA8" w:rsidP="00D017F5">
      <w:pPr>
        <w:pStyle w:val="Sinespaciado"/>
        <w:spacing w:line="360" w:lineRule="auto"/>
        <w:jc w:val="both"/>
        <w:rPr>
          <w:rFonts w:ascii="Palatino Linotype" w:hAnsi="Palatino Linotype"/>
          <w:sz w:val="24"/>
        </w:rPr>
      </w:pPr>
    </w:p>
    <w:p w:rsidR="00AB5DA8" w:rsidRPr="00AB5DA8" w:rsidRDefault="00AB5DA8" w:rsidP="00565F31">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6A2C7E">
        <w:rPr>
          <w:rFonts w:ascii="Palatino Linotype" w:hAnsi="Palatino Linotype"/>
          <w:i/>
          <w:sz w:val="24"/>
          <w:szCs w:val="24"/>
        </w:rPr>
        <w:t>D</w:t>
      </w:r>
      <w:r w:rsidR="00565F31" w:rsidRPr="00565F31">
        <w:rPr>
          <w:rFonts w:ascii="Palatino Linotype" w:hAnsi="Palatino Linotype"/>
          <w:i/>
          <w:sz w:val="24"/>
          <w:szCs w:val="24"/>
        </w:rPr>
        <w:t>e conformidad con el artículo 92, fracción XIII de la Ley de Transparencia y Acceso a la Información Pública del Estado de México y Municipios, la información en versión pública de las declaraciones patrimoniales y de intereses que se debe poner a disposición del público, se encuentra condicionada a la autorización de los servidores públicos. La Declaración de Situación patrimonial es a través del Sistema DECLARANET administrado por la Secretaria de la Contraloría del Gobierno del Estado de México. En este sentido, la Contraloria Municipal, no cuenta con la autorización de proporcionar dicha información. se informa al solicitante que puede consultar el Portal de Ipomex, link https://www.ipomex.org.mx/ipo3/lgt/indice/ECATZINGO/art_92_xiii.web. Asi mismo se aclara que la Contraloria Municipal no tiene acceso a la información de las Declaraciones Patrimoniales, ya que únicamente administra el sistema DGRSP perteneciente a la Secretaria de la Contraloria del Estado de Mexico</w:t>
      </w:r>
      <w:r>
        <w:rPr>
          <w:rFonts w:ascii="Palatino Linotype" w:hAnsi="Palatino Linotype"/>
          <w:i/>
          <w:sz w:val="24"/>
          <w:szCs w:val="24"/>
        </w:rPr>
        <w:t>”</w:t>
      </w:r>
    </w:p>
    <w:p w:rsidR="00AB5DA8" w:rsidRDefault="00AB5DA8" w:rsidP="00D017F5">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CC2A3A">
        <w:rPr>
          <w:rFonts w:ascii="Palatino Linotype" w:hAnsi="Palatino Linotype"/>
          <w:sz w:val="24"/>
          <w:szCs w:val="24"/>
        </w:rPr>
        <w:t>s</w:t>
      </w:r>
      <w:r w:rsidR="00D04234">
        <w:rPr>
          <w:rFonts w:ascii="Palatino Linotype" w:hAnsi="Palatino Linotype"/>
          <w:sz w:val="24"/>
          <w:szCs w:val="24"/>
        </w:rPr>
        <w:t xml:space="preserve"> respuesta</w:t>
      </w:r>
      <w:r w:rsidR="00CC2A3A">
        <w:rPr>
          <w:rFonts w:ascii="Palatino Linotype" w:hAnsi="Palatino Linotype"/>
          <w:sz w:val="24"/>
          <w:szCs w:val="24"/>
        </w:rPr>
        <w:t>s</w:t>
      </w:r>
      <w:r w:rsidR="00D04234">
        <w:rPr>
          <w:rFonts w:ascii="Palatino Linotype" w:hAnsi="Palatino Linotype"/>
          <w:sz w:val="24"/>
          <w:szCs w:val="24"/>
        </w:rPr>
        <w:t xml:space="preserve"> emitida</w:t>
      </w:r>
      <w:r w:rsidR="00CC2A3A">
        <w:rPr>
          <w:rFonts w:ascii="Palatino Linotype" w:hAnsi="Palatino Linotype"/>
          <w:sz w:val="24"/>
          <w:szCs w:val="24"/>
        </w:rPr>
        <w:t>s</w:t>
      </w:r>
      <w:r w:rsidR="00D04234">
        <w:rPr>
          <w:rFonts w:ascii="Palatino Linotype" w:hAnsi="Palatino Linotype"/>
          <w:sz w:val="24"/>
          <w:szCs w:val="24"/>
        </w:rPr>
        <w:t xml:space="preserve">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w:t>
      </w:r>
      <w:r w:rsidR="00CC2A3A">
        <w:rPr>
          <w:rFonts w:ascii="Palatino Linotype" w:hAnsi="Palatino Linotype"/>
          <w:sz w:val="24"/>
          <w:szCs w:val="24"/>
        </w:rPr>
        <w:t>los</w:t>
      </w:r>
      <w:r w:rsidRPr="00D04234">
        <w:rPr>
          <w:rFonts w:ascii="Palatino Linotype" w:hAnsi="Palatino Linotype"/>
          <w:sz w:val="24"/>
          <w:szCs w:val="24"/>
        </w:rPr>
        <w:t xml:space="preserve"> </w:t>
      </w:r>
      <w:r w:rsidR="00D04234">
        <w:rPr>
          <w:rFonts w:ascii="Palatino Linotype" w:hAnsi="Palatino Linotype"/>
          <w:sz w:val="24"/>
          <w:szCs w:val="24"/>
        </w:rPr>
        <w:t>presente</w:t>
      </w:r>
      <w:r w:rsidR="00CC2A3A">
        <w:rPr>
          <w:rFonts w:ascii="Palatino Linotype" w:hAnsi="Palatino Linotype"/>
          <w:sz w:val="24"/>
          <w:szCs w:val="24"/>
        </w:rPr>
        <w:t>s</w:t>
      </w:r>
      <w:r w:rsidR="00D04234">
        <w:rPr>
          <w:rFonts w:ascii="Palatino Linotype" w:hAnsi="Palatino Linotype"/>
          <w:sz w:val="24"/>
          <w:szCs w:val="24"/>
        </w:rPr>
        <w:t xml:space="preserve"> </w:t>
      </w:r>
      <w:r w:rsidRPr="00D04234">
        <w:rPr>
          <w:rFonts w:ascii="Palatino Linotype" w:hAnsi="Palatino Linotype"/>
          <w:sz w:val="24"/>
          <w:szCs w:val="24"/>
        </w:rPr>
        <w:t>recurso</w:t>
      </w:r>
      <w:r w:rsidR="00CC2A3A">
        <w:rPr>
          <w:rFonts w:ascii="Palatino Linotype" w:hAnsi="Palatino Linotype"/>
          <w:sz w:val="24"/>
          <w:szCs w:val="24"/>
        </w:rPr>
        <w:t>s</w:t>
      </w:r>
      <w:r w:rsidRPr="00D04234">
        <w:rPr>
          <w:rFonts w:ascii="Palatino Linotype" w:hAnsi="Palatino Linotype"/>
          <w:sz w:val="24"/>
          <w:szCs w:val="24"/>
        </w:rPr>
        <w:t xml:space="preserve"> de revisión, en fecha </w:t>
      </w:r>
      <w:r w:rsidR="00AB5DA8">
        <w:rPr>
          <w:rFonts w:ascii="Palatino Linotype" w:hAnsi="Palatino Linotype"/>
          <w:b/>
          <w:sz w:val="24"/>
          <w:szCs w:val="24"/>
        </w:rPr>
        <w:t xml:space="preserve">dieciséis </w:t>
      </w:r>
      <w:r w:rsidR="00BA6922" w:rsidRPr="00CC2A3A">
        <w:rPr>
          <w:rFonts w:ascii="Palatino Linotype" w:hAnsi="Palatino Linotype"/>
          <w:b/>
          <w:sz w:val="24"/>
          <w:szCs w:val="24"/>
        </w:rPr>
        <w:t xml:space="preserve">de </w:t>
      </w:r>
      <w:r w:rsidR="00AB5DA8">
        <w:rPr>
          <w:rFonts w:ascii="Palatino Linotype" w:hAnsi="Palatino Linotype"/>
          <w:b/>
          <w:sz w:val="24"/>
          <w:szCs w:val="24"/>
        </w:rPr>
        <w:t xml:space="preserve">diciembre </w:t>
      </w:r>
      <w:r w:rsidR="0065519D" w:rsidRPr="00CC2A3A">
        <w:rPr>
          <w:rFonts w:ascii="Palatino Linotype" w:hAnsi="Palatino Linotype"/>
          <w:b/>
          <w:sz w:val="24"/>
          <w:szCs w:val="24"/>
        </w:rPr>
        <w:t xml:space="preserve">de dos mil </w:t>
      </w:r>
      <w:r w:rsidR="0065519D" w:rsidRPr="00CC2A3A">
        <w:rPr>
          <w:rFonts w:ascii="Palatino Linotype" w:hAnsi="Palatino Linotype"/>
          <w:b/>
          <w:sz w:val="24"/>
          <w:szCs w:val="24"/>
        </w:rPr>
        <w:lastRenderedPageBreak/>
        <w:t>diecinueve</w:t>
      </w:r>
      <w:r w:rsidRPr="00D04234">
        <w:rPr>
          <w:rFonts w:ascii="Palatino Linotype" w:hAnsi="Palatino Linotype"/>
          <w:sz w:val="24"/>
          <w:szCs w:val="24"/>
        </w:rPr>
        <w:t xml:space="preserve">, en el sistema electrónico con </w:t>
      </w:r>
      <w:r w:rsidR="00AB5DA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expediente número </w:t>
      </w:r>
      <w:r w:rsidR="00AB5DA8">
        <w:rPr>
          <w:rFonts w:ascii="Palatino Linotype" w:hAnsi="Palatino Linotype"/>
          <w:b/>
          <w:bCs/>
          <w:sz w:val="24"/>
          <w:szCs w:val="24"/>
          <w:lang w:eastAsia="es-MX"/>
        </w:rPr>
        <w:t>10145</w:t>
      </w:r>
      <w:r w:rsidR="0065519D">
        <w:rPr>
          <w:rFonts w:ascii="Palatino Linotype" w:hAnsi="Palatino Linotype"/>
          <w:b/>
          <w:bCs/>
          <w:sz w:val="24"/>
          <w:szCs w:val="24"/>
          <w:lang w:eastAsia="es-MX"/>
        </w:rPr>
        <w:t>/INFOEM/IP/RR/2019</w:t>
      </w:r>
      <w:r w:rsidR="0060031A">
        <w:rPr>
          <w:rFonts w:ascii="Palatino Linotype" w:hAnsi="Palatino Linotype"/>
          <w:sz w:val="24"/>
          <w:szCs w:val="24"/>
        </w:rPr>
        <w:t xml:space="preserve">, en </w:t>
      </w:r>
      <w:r w:rsidR="00AB5DA8">
        <w:rPr>
          <w:rFonts w:ascii="Palatino Linotype" w:hAnsi="Palatino Linotype"/>
          <w:sz w:val="24"/>
          <w:szCs w:val="24"/>
        </w:rPr>
        <w:t>e</w:t>
      </w:r>
      <w:r w:rsidR="00065879">
        <w:rPr>
          <w:rFonts w:ascii="Palatino Linotype" w:hAnsi="Palatino Linotype"/>
          <w:sz w:val="24"/>
          <w:szCs w:val="24"/>
        </w:rPr>
        <w:t xml:space="preserve">l cual realizó </w:t>
      </w:r>
      <w:r w:rsidR="00AB5DA8">
        <w:rPr>
          <w:rFonts w:ascii="Palatino Linotype" w:hAnsi="Palatino Linotype"/>
          <w:sz w:val="24"/>
          <w:szCs w:val="24"/>
        </w:rPr>
        <w:t>las siguientes manifestaciones</w:t>
      </w:r>
      <w:r w:rsidR="00EE5C96">
        <w:rPr>
          <w:rFonts w:ascii="Palatino Linotype" w:hAnsi="Palatino Linotype"/>
          <w:sz w:val="24"/>
          <w:szCs w:val="24"/>
        </w:rPr>
        <w:t>:</w:t>
      </w:r>
    </w:p>
    <w:p w:rsidR="00065879" w:rsidRDefault="00065879" w:rsidP="00227096">
      <w:pPr>
        <w:pStyle w:val="Sinespaciado"/>
        <w:spacing w:line="360" w:lineRule="auto"/>
        <w:jc w:val="both"/>
        <w:rPr>
          <w:rFonts w:ascii="Palatino Linotype" w:hAnsi="Palatino Linotype"/>
          <w:sz w:val="24"/>
          <w:szCs w:val="24"/>
        </w:rPr>
      </w:pPr>
    </w:p>
    <w:p w:rsidR="00065879" w:rsidRPr="00EE5C96" w:rsidRDefault="007E2E80" w:rsidP="005353A8">
      <w:pPr>
        <w:pStyle w:val="Sinespaciado"/>
        <w:numPr>
          <w:ilvl w:val="0"/>
          <w:numId w:val="27"/>
        </w:numPr>
        <w:spacing w:line="360" w:lineRule="auto"/>
        <w:jc w:val="both"/>
        <w:rPr>
          <w:rFonts w:ascii="Palatino Linotype" w:hAnsi="Palatino Linotype"/>
          <w:i/>
          <w:sz w:val="24"/>
          <w:szCs w:val="24"/>
        </w:rPr>
      </w:pPr>
      <w:r w:rsidRPr="002F47D7">
        <w:rPr>
          <w:rFonts w:ascii="Palatino Linotype" w:hAnsi="Palatino Linotype" w:cs="Arial"/>
          <w:b/>
          <w:sz w:val="24"/>
          <w:szCs w:val="24"/>
        </w:rPr>
        <w:t>Acto Impugnado:</w:t>
      </w:r>
      <w:r w:rsidR="00227096">
        <w:rPr>
          <w:rFonts w:ascii="Palatino Linotype" w:hAnsi="Palatino Linotype" w:cs="Arial"/>
          <w:b/>
          <w:sz w:val="24"/>
          <w:szCs w:val="24"/>
        </w:rPr>
        <w:t xml:space="preserve"> </w:t>
      </w:r>
      <w:r w:rsidR="00227096" w:rsidRPr="00065879">
        <w:rPr>
          <w:rFonts w:ascii="Palatino Linotype" w:hAnsi="Palatino Linotype"/>
          <w:i/>
          <w:sz w:val="24"/>
          <w:szCs w:val="24"/>
        </w:rPr>
        <w:t>“</w:t>
      </w:r>
      <w:r w:rsidR="00565F31" w:rsidRPr="00565F31">
        <w:rPr>
          <w:rFonts w:ascii="Palatino Linotype" w:hAnsi="Palatino Linotype"/>
          <w:i/>
          <w:sz w:val="24"/>
          <w:szCs w:val="24"/>
        </w:rPr>
        <w:t>El sujeto obligado adjunta un link el cual se encuentra desabilitado o roto</w:t>
      </w:r>
      <w:r w:rsidR="00227096" w:rsidRPr="00065879">
        <w:rPr>
          <w:rFonts w:ascii="Palatino Linotype" w:hAnsi="Palatino Linotype"/>
          <w:i/>
          <w:sz w:val="24"/>
          <w:szCs w:val="24"/>
        </w:rPr>
        <w:t>”</w:t>
      </w:r>
      <w:r w:rsidR="00065879" w:rsidRPr="00EE5C96">
        <w:rPr>
          <w:rFonts w:ascii="Palatino Linotype" w:hAnsi="Palatino Linotype"/>
          <w:i/>
          <w:sz w:val="24"/>
          <w:szCs w:val="24"/>
        </w:rPr>
        <w:t>.</w:t>
      </w:r>
    </w:p>
    <w:p w:rsidR="00065879" w:rsidRDefault="00065879" w:rsidP="005353A8">
      <w:pPr>
        <w:pStyle w:val="Sinespaciado"/>
        <w:spacing w:line="360" w:lineRule="auto"/>
        <w:ind w:left="851"/>
        <w:jc w:val="both"/>
        <w:rPr>
          <w:rFonts w:ascii="Palatino Linotype" w:hAnsi="Palatino Linotype"/>
          <w:sz w:val="24"/>
          <w:szCs w:val="24"/>
        </w:rPr>
      </w:pPr>
    </w:p>
    <w:p w:rsidR="007E2E80" w:rsidRPr="00EE5C96" w:rsidRDefault="007E2E80" w:rsidP="005353A8">
      <w:pPr>
        <w:pStyle w:val="Sinespaciado"/>
        <w:numPr>
          <w:ilvl w:val="0"/>
          <w:numId w:val="27"/>
        </w:numPr>
        <w:spacing w:line="360" w:lineRule="auto"/>
        <w:jc w:val="both"/>
        <w:rPr>
          <w:rFonts w:ascii="Palatino Linotype" w:hAnsi="Palatino Linotype"/>
          <w:i/>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r w:rsidR="00065879" w:rsidRPr="00065879">
        <w:rPr>
          <w:rFonts w:ascii="Palatino Linotype" w:hAnsi="Palatino Linotype"/>
          <w:i/>
          <w:sz w:val="24"/>
          <w:szCs w:val="24"/>
        </w:rPr>
        <w:t>“</w:t>
      </w:r>
      <w:r w:rsidR="00565F31" w:rsidRPr="00565F31">
        <w:rPr>
          <w:rFonts w:ascii="Palatino Linotype" w:hAnsi="Palatino Linotype"/>
          <w:i/>
          <w:sz w:val="24"/>
          <w:szCs w:val="24"/>
        </w:rPr>
        <w:t>El link adjuntado a la resolución se encuentra desabilitado o roto ya que no me permite entrar a la pagina correspondiente, ES POR CULPA DEL PRIAN QUE VIOLAN MI DERECHO AL ACCESO A LA INFORMACIÓN</w:t>
      </w:r>
      <w:r w:rsidR="00EE5C96" w:rsidRPr="00EE5C96">
        <w:rPr>
          <w:rFonts w:ascii="Palatino Linotype" w:hAnsi="Palatino Linotype"/>
          <w:i/>
          <w:sz w:val="24"/>
          <w:szCs w:val="24"/>
        </w:rPr>
        <w:t>.</w:t>
      </w:r>
      <w:r w:rsidR="00065879" w:rsidRPr="00065879">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EE5C96">
        <w:rPr>
          <w:rFonts w:ascii="Palatino Linotype" w:hAnsi="Palatino Linotype"/>
          <w:b/>
          <w:sz w:val="24"/>
          <w:szCs w:val="24"/>
        </w:rPr>
        <w:t>veinte</w:t>
      </w:r>
      <w:r w:rsidR="00CF505E" w:rsidRPr="006A729B">
        <w:rPr>
          <w:rFonts w:ascii="Palatino Linotype" w:hAnsi="Palatino Linotype"/>
          <w:b/>
          <w:sz w:val="24"/>
          <w:szCs w:val="24"/>
        </w:rPr>
        <w:t xml:space="preserve"> de </w:t>
      </w:r>
      <w:r w:rsidR="00EE5C96">
        <w:rPr>
          <w:rFonts w:ascii="Palatino Linotype" w:hAnsi="Palatino Linotype"/>
          <w:b/>
          <w:sz w:val="24"/>
          <w:szCs w:val="24"/>
        </w:rPr>
        <w:t>diciembre</w:t>
      </w:r>
      <w:r w:rsidR="0065519D" w:rsidRPr="006A729B">
        <w:rPr>
          <w:rFonts w:ascii="Palatino Linotype" w:hAnsi="Palatino Linotype"/>
          <w:b/>
          <w:sz w:val="24"/>
          <w:szCs w:val="24"/>
        </w:rPr>
        <w:t xml:space="preserve"> 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 xml:space="preserve">Por otro lado, es de referir que el </w:t>
      </w:r>
      <w:r w:rsidR="002F47D7" w:rsidRPr="002F47D7">
        <w:rPr>
          <w:rFonts w:ascii="Palatino Linotype" w:hAnsi="Palatino Linotype"/>
          <w:sz w:val="24"/>
          <w:szCs w:val="24"/>
        </w:rPr>
        <w:lastRenderedPageBreak/>
        <w:t>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EE5C96" w:rsidRPr="002F47D7" w:rsidRDefault="00EE5C96" w:rsidP="0014447C">
      <w:pPr>
        <w:pStyle w:val="Sinespaciado"/>
        <w:spacing w:line="360" w:lineRule="auto"/>
        <w:jc w:val="both"/>
        <w:rPr>
          <w:rFonts w:ascii="Palatino Linotype" w:hAnsi="Palatino Linotype"/>
          <w:sz w:val="24"/>
          <w:szCs w:val="24"/>
        </w:rPr>
      </w:pPr>
    </w:p>
    <w:p w:rsidR="00423C27" w:rsidRPr="00136A4D" w:rsidRDefault="00EE5C96" w:rsidP="0014447C">
      <w:pPr>
        <w:pStyle w:val="Sinespaciado"/>
        <w:spacing w:line="360" w:lineRule="auto"/>
        <w:jc w:val="both"/>
        <w:rPr>
          <w:rFonts w:ascii="Palatino Linotype" w:hAnsi="Palatino Linotype"/>
          <w:b/>
          <w:sz w:val="24"/>
          <w:szCs w:val="24"/>
        </w:rPr>
      </w:pPr>
      <w:r>
        <w:rPr>
          <w:rFonts w:ascii="Palatino Linotype" w:hAnsi="Palatino Linotype"/>
          <w:b/>
          <w:sz w:val="24"/>
          <w:szCs w:val="24"/>
        </w:rPr>
        <w:t>SEXTO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0D26E6" w:rsidRPr="000D26E6">
        <w:rPr>
          <w:rFonts w:ascii="Palatino Linotype" w:hAnsi="Palatino Linotype"/>
          <w:b/>
          <w:sz w:val="24"/>
          <w:szCs w:val="24"/>
        </w:rPr>
        <w:t>veinti</w:t>
      </w:r>
      <w:r w:rsidR="00EE5C96">
        <w:rPr>
          <w:rFonts w:ascii="Palatino Linotype" w:hAnsi="Palatino Linotype"/>
          <w:b/>
          <w:sz w:val="24"/>
          <w:szCs w:val="24"/>
        </w:rPr>
        <w:t>ocho</w:t>
      </w:r>
      <w:r w:rsidR="000D26E6" w:rsidRPr="000D26E6">
        <w:rPr>
          <w:rFonts w:ascii="Palatino Linotype" w:hAnsi="Palatino Linotype"/>
          <w:b/>
          <w:sz w:val="24"/>
          <w:szCs w:val="24"/>
        </w:rPr>
        <w:t xml:space="preserve"> </w:t>
      </w:r>
      <w:r w:rsidR="00B40D19" w:rsidRPr="000D26E6">
        <w:rPr>
          <w:rFonts w:ascii="Palatino Linotype" w:hAnsi="Palatino Linotype"/>
          <w:b/>
          <w:sz w:val="24"/>
          <w:szCs w:val="24"/>
        </w:rPr>
        <w:t xml:space="preserve">de </w:t>
      </w:r>
      <w:r w:rsidR="00EE5C96">
        <w:rPr>
          <w:rFonts w:ascii="Palatino Linotype" w:hAnsi="Palatino Linotype"/>
          <w:b/>
          <w:sz w:val="24"/>
          <w:szCs w:val="24"/>
        </w:rPr>
        <w:t>enero</w:t>
      </w:r>
      <w:r w:rsidR="0065519D" w:rsidRPr="000D26E6">
        <w:rPr>
          <w:rFonts w:ascii="Palatino Linotype" w:hAnsi="Palatino Linotype"/>
          <w:b/>
          <w:sz w:val="24"/>
          <w:szCs w:val="24"/>
        </w:rPr>
        <w:t xml:space="preserve"> de dos mil </w:t>
      </w:r>
      <w:r w:rsidR="00EE5C96">
        <w:rPr>
          <w:rFonts w:ascii="Palatino Linotype" w:hAnsi="Palatino Linotype"/>
          <w:b/>
          <w:sz w:val="24"/>
          <w:szCs w:val="24"/>
        </w:rPr>
        <w:t>veinte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344583" w:rsidRDefault="00344583" w:rsidP="00541B17">
      <w:pPr>
        <w:pStyle w:val="Sinespaciado"/>
        <w:spacing w:line="360" w:lineRule="auto"/>
        <w:rPr>
          <w:rFonts w:ascii="Palatino Linotype" w:hAnsi="Palatino Linotype"/>
          <w:b/>
          <w:sz w:val="24"/>
          <w:szCs w:val="24"/>
        </w:rPr>
      </w:pPr>
    </w:p>
    <w:p w:rsidR="0065519D" w:rsidRPr="00136A4D" w:rsidRDefault="00EE5C96"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EE5C96"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Que mediante acuerdo de </w:t>
      </w:r>
      <w:r w:rsidR="00541B17" w:rsidRPr="00136A4D">
        <w:rPr>
          <w:rFonts w:ascii="Palatino Linotype" w:hAnsi="Palatino Linotype"/>
          <w:sz w:val="24"/>
          <w:szCs w:val="24"/>
        </w:rPr>
        <w:t xml:space="preserve">fecha </w:t>
      </w:r>
      <w:r>
        <w:rPr>
          <w:rFonts w:ascii="Palatino Linotype" w:hAnsi="Palatino Linotype"/>
          <w:b/>
          <w:sz w:val="24"/>
          <w:szCs w:val="24"/>
        </w:rPr>
        <w:t>diecinueve</w:t>
      </w:r>
      <w:r w:rsidR="005D6173" w:rsidRPr="000D26E6">
        <w:rPr>
          <w:rFonts w:ascii="Palatino Linotype" w:hAnsi="Palatino Linotype"/>
          <w:b/>
          <w:sz w:val="24"/>
          <w:szCs w:val="24"/>
        </w:rPr>
        <w:t xml:space="preserve"> d</w:t>
      </w:r>
      <w:r w:rsidR="00B40D19" w:rsidRPr="000D26E6">
        <w:rPr>
          <w:rFonts w:ascii="Palatino Linotype" w:hAnsi="Palatino Linotype"/>
          <w:b/>
          <w:sz w:val="24"/>
          <w:szCs w:val="24"/>
        </w:rPr>
        <w:t xml:space="preserve">e </w:t>
      </w:r>
      <w:r>
        <w:rPr>
          <w:rFonts w:ascii="Palatino Linotype" w:hAnsi="Palatino Linotype"/>
          <w:b/>
          <w:sz w:val="24"/>
          <w:szCs w:val="24"/>
        </w:rPr>
        <w:t>febrero</w:t>
      </w:r>
      <w:r w:rsidR="00136A4D" w:rsidRPr="000D26E6">
        <w:rPr>
          <w:rFonts w:ascii="Palatino Linotype" w:hAnsi="Palatino Linotype"/>
          <w:b/>
          <w:sz w:val="24"/>
          <w:szCs w:val="24"/>
        </w:rPr>
        <w:t xml:space="preserve"> </w:t>
      </w:r>
      <w:r w:rsidR="0065519D" w:rsidRPr="000D26E6">
        <w:rPr>
          <w:rFonts w:ascii="Palatino Linotype" w:hAnsi="Palatino Linotype"/>
          <w:b/>
          <w:sz w:val="24"/>
          <w:szCs w:val="24"/>
        </w:rPr>
        <w:t xml:space="preserve">de dos mil </w:t>
      </w:r>
      <w:r>
        <w:rPr>
          <w:rFonts w:ascii="Palatino Linotype" w:hAnsi="Palatino Linotype"/>
          <w:b/>
          <w:sz w:val="24"/>
          <w:szCs w:val="24"/>
        </w:rPr>
        <w:t>veinte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w:t>
      </w:r>
      <w:r w:rsidRPr="0014447C">
        <w:rPr>
          <w:rFonts w:ascii="Palatino Linotype" w:hAnsi="Palatino Linotype"/>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w:t>
      </w:r>
      <w:r w:rsidRPr="00344583">
        <w:rPr>
          <w:rFonts w:ascii="Palatino Linotype" w:hAnsi="Palatino Linotype"/>
          <w:sz w:val="24"/>
          <w:szCs w:val="24"/>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lastRenderedPageBreak/>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Pr="007D1347" w:rsidRDefault="009D4DDB" w:rsidP="00622EBF">
      <w:pPr>
        <w:tabs>
          <w:tab w:val="left" w:pos="567"/>
          <w:tab w:val="left" w:pos="7938"/>
        </w:tabs>
        <w:spacing w:after="0" w:line="360" w:lineRule="auto"/>
        <w:jc w:val="both"/>
        <w:rPr>
          <w:rFonts w:ascii="Palatino Linotype" w:hAnsi="Palatino Linotype" w:cs="Arial"/>
          <w:i/>
          <w:sz w:val="24"/>
          <w:szCs w:val="24"/>
        </w:rPr>
      </w:pPr>
    </w:p>
    <w:p w:rsidR="00BC1DCE" w:rsidRPr="007D1347" w:rsidRDefault="000B50F3" w:rsidP="00BC1DCE">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“Solicito las declaraciones patrimoniales del los regidores y el presidente municipal.</w:t>
      </w:r>
      <w:r>
        <w:rPr>
          <w:i/>
        </w:rPr>
        <w:t>” (sic)</w:t>
      </w:r>
    </w:p>
    <w:p w:rsidR="00591149" w:rsidRDefault="00591149" w:rsidP="00622EBF">
      <w:pPr>
        <w:tabs>
          <w:tab w:val="left" w:pos="567"/>
          <w:tab w:val="left" w:pos="7938"/>
        </w:tabs>
        <w:spacing w:after="0" w:line="360" w:lineRule="auto"/>
        <w:jc w:val="both"/>
        <w:rPr>
          <w:rFonts w:ascii="Palatino Linotype" w:hAnsi="Palatino Linotype" w:cs="Arial"/>
          <w:sz w:val="24"/>
          <w:szCs w:val="24"/>
        </w:rPr>
      </w:pPr>
    </w:p>
    <w:p w:rsidR="000B50F3" w:rsidRPr="000B50F3" w:rsidRDefault="00591149"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lo </w:t>
      </w:r>
      <w:r w:rsidR="000B50F3">
        <w:rPr>
          <w:rFonts w:ascii="Palatino Linotype" w:hAnsi="Palatino Linotype" w:cs="Arial"/>
          <w:sz w:val="24"/>
          <w:szCs w:val="24"/>
        </w:rPr>
        <w:t xml:space="preserve">cual el sujeto obligado contestó: </w:t>
      </w:r>
      <w:r w:rsidR="000B50F3">
        <w:rPr>
          <w:rFonts w:ascii="Palatino Linotype" w:hAnsi="Palatino Linotype"/>
          <w:i/>
          <w:sz w:val="24"/>
          <w:szCs w:val="24"/>
        </w:rPr>
        <w:t>“e conformidad con el artículo 92, fracción XIII de la Ley de Transparencia y Acceso a la Información Pública del Estado de México y Municipios, la información en versión pública de las declaraciones patrimoniales y de intereses que se debe poner a disposición del público, se encuentra condicionada a la autorización de los servidores públicos. La Declaración de Situación patrimonial es a través del Sistema DECLARANET administrado por la Secretaria de la Contraloría del Gobierno del Estado de México. En este sentido, la Contraloria Municipal, no cuenta con la autorización de proporcionar dicha información. se informa al solicitante que puede consultar el Portal de Ipomex, link https://www.ipomex.org.mx/ipo3/lgt/indice/ECATZINGO/art_92_xiii.web. Asi mismo se aclara que la Contraloria Municipal no tiene acceso a la información de las Declaraciones Patrimoniales, ya que únicamente administra el sistema DGRSP perteneciente a la Secretaria de la Contraloria del Estado de Mexico</w:t>
      </w:r>
      <w:r w:rsidR="000B50F3">
        <w:rPr>
          <w:rFonts w:ascii="Times New Roman" w:hAnsi="Times New Roman" w:cs="Times New Roman"/>
          <w:i/>
          <w:sz w:val="24"/>
          <w:szCs w:val="24"/>
          <w:lang w:eastAsia="es-MX"/>
        </w:rPr>
        <w:t>” (sic)</w:t>
      </w:r>
      <w:r w:rsidR="000B50F3">
        <w:rPr>
          <w:rFonts w:ascii="Times New Roman" w:hAnsi="Times New Roman" w:cs="Times New Roman"/>
          <w:sz w:val="24"/>
          <w:szCs w:val="24"/>
          <w:lang w:eastAsia="es-MX"/>
        </w:rPr>
        <w:t xml:space="preserve">, </w:t>
      </w:r>
      <w:r w:rsidR="000B50F3" w:rsidRPr="000B50F3">
        <w:rPr>
          <w:rFonts w:ascii="Palatino Linotype" w:hAnsi="Palatino Linotype" w:cs="Arial"/>
          <w:sz w:val="24"/>
          <w:szCs w:val="24"/>
        </w:rPr>
        <w:t>es decir le informó</w:t>
      </w:r>
    </w:p>
    <w:p w:rsidR="000B50F3" w:rsidRDefault="000B50F3" w:rsidP="00622EBF">
      <w:pPr>
        <w:tabs>
          <w:tab w:val="left" w:pos="567"/>
          <w:tab w:val="left" w:pos="7938"/>
        </w:tabs>
        <w:spacing w:after="0" w:line="360" w:lineRule="auto"/>
        <w:jc w:val="both"/>
        <w:rPr>
          <w:rFonts w:ascii="Palatino Linotype" w:hAnsi="Palatino Linotype" w:cs="Arial"/>
          <w:sz w:val="24"/>
          <w:szCs w:val="24"/>
        </w:rPr>
      </w:pPr>
    </w:p>
    <w:p w:rsidR="00591149" w:rsidRDefault="008410A3" w:rsidP="00622EBF">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591149">
        <w:rPr>
          <w:rFonts w:ascii="Palatino Linotype" w:hAnsi="Palatino Linotype" w:cs="Arial"/>
          <w:sz w:val="24"/>
          <w:szCs w:val="24"/>
        </w:rPr>
        <w:t>n el presente caso es necesario hacer un análisis de la comunicación que existió entre la Unidad de Transparencia y el sujeto habilitado, ya que como se aprecia a continuación si existió.</w:t>
      </w:r>
    </w:p>
    <w:p w:rsidR="00591149" w:rsidRDefault="00591149" w:rsidP="00622EBF">
      <w:pPr>
        <w:tabs>
          <w:tab w:val="left" w:pos="567"/>
          <w:tab w:val="left" w:pos="7938"/>
        </w:tabs>
        <w:spacing w:after="0" w:line="360" w:lineRule="auto"/>
        <w:jc w:val="both"/>
        <w:rPr>
          <w:rFonts w:ascii="Palatino Linotype" w:hAnsi="Palatino Linotype" w:cs="Arial"/>
          <w:sz w:val="24"/>
          <w:szCs w:val="24"/>
        </w:rPr>
      </w:pPr>
    </w:p>
    <w:p w:rsidR="00591149" w:rsidRDefault="00591149" w:rsidP="008410A3">
      <w:pPr>
        <w:tabs>
          <w:tab w:val="left" w:pos="567"/>
          <w:tab w:val="left" w:pos="7938"/>
        </w:tabs>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746304" behindDoc="0" locked="0" layoutInCell="1" allowOverlap="1">
                <wp:simplePos x="0" y="0"/>
                <wp:positionH relativeFrom="column">
                  <wp:posOffset>4997628</wp:posOffset>
                </wp:positionH>
                <wp:positionV relativeFrom="paragraph">
                  <wp:posOffset>524535</wp:posOffset>
                </wp:positionV>
                <wp:extent cx="981075" cy="333375"/>
                <wp:effectExtent l="38100" t="38100" r="28575" b="85725"/>
                <wp:wrapNone/>
                <wp:docPr id="3" name="Conector recto de flecha 3"/>
                <wp:cNvGraphicFramePr/>
                <a:graphic xmlns:a="http://schemas.openxmlformats.org/drawingml/2006/main">
                  <a:graphicData uri="http://schemas.microsoft.com/office/word/2010/wordprocessingShape">
                    <wps:wsp>
                      <wps:cNvCnPr/>
                      <wps:spPr>
                        <a:xfrm flipH="1">
                          <a:off x="0" y="0"/>
                          <a:ext cx="981075" cy="333375"/>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17290F" id="_x0000_t32" coordsize="21600,21600" o:spt="32" o:oned="t" path="m,l21600,21600e" filled="f">
                <v:path arrowok="t" fillok="f" o:connecttype="none"/>
                <o:lock v:ext="edit" shapetype="t"/>
              </v:shapetype>
              <v:shape id="Conector recto de flecha 3" o:spid="_x0000_s1026" type="#_x0000_t32" style="position:absolute;margin-left:393.5pt;margin-top:41.3pt;width:77.25pt;height:26.2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9AAIAAEwEAAAOAAAAZHJzL2Uyb0RvYy54bWysVMGO0zAQvSPxD5bvNOlW7C5V0z10KRwQ&#10;VAt8gOuME0uObY1N0/49YzsNLIgDiBwcO5735s3zOJuH82DYCTBoZxu+XNScgZWu1bZr+Ncv+1f3&#10;nIUobCuMs9DwCwT+sH35YjP6Ndy43pkWkBGJDevRN7yP0a+rKsgeBhEWzoOlTeVwEJGW2FUtipHY&#10;B1Pd1PVtNTpsPToJIdDXx7LJt5lfKZDxk1IBIjMNJ20xj5jHYxqr7UasOxS+13KSIf5BxSC0paQz&#10;1aOIgn1D/RvVoCW64FRcSDdUTiktIddA1SzrX6r53AsPuRYyJ/jZpvD/aOXH0wGZbhu+4syKgY5o&#10;Rwclo0OG6cVaYMqA7AVbJbdGH9YE2tkDTqvgD5hKPyscKFT799QI2Qwqj52z15fZazhHJunjm/tl&#10;ffeaM0lbK3poTnxVoUl0HkN8B25gadLwEFHoro+krsgrKcTpQ4gFeAUksLFsbPjdLbVIVhKc0e1e&#10;G5M2A3bHnUF2EtQU+31Nz5T7WVgU2ry1LYsXT65E1MJ2BqZIY0ls8qJUn2fxYqAkfwJFnlKVRWTu&#10;ZphTCinBxuXMRNEJpkjeDJxkp2vwJ+AUn6CQO/1vwDMiZ3Y2zuBBW4fFtOfZ4/kqWZX4qwOl7mTB&#10;0bWX3BfZGmrZfKLT9Up34ud1hv/4CWy/AwAA//8DAFBLAwQUAAYACAAAACEAaXri8uAAAAAKAQAA&#10;DwAAAGRycy9kb3ducmV2LnhtbEyPy07DMBBF90j8gzVIbBB1EkibhjhVBcqWipYPcONpEupHFLut&#10;y9czrGA5mqN7z61W0Wh2xskPzgpIZwkwtK1Tg+0EfO6axwKYD9IqqZ1FAVf0sKpvbypZKnexH3je&#10;ho5RiPWlFNCHMJac+7ZHI/3MjWjpd3CTkYHOqeNqkhcKN5pnSTLnRg6WGno54muP7XF7MgJk7LKH&#10;5rhrNt/XuM7fv/BNJyjE/V1cvwALGMMfDL/6pA41Oe3dySrPtIBFsaAtQUCRzYERsHxOc2B7Ip/y&#10;FHhd8f8T6h8AAAD//wMAUEsBAi0AFAAGAAgAAAAhALaDOJL+AAAA4QEAABMAAAAAAAAAAAAAAAAA&#10;AAAAAFtDb250ZW50X1R5cGVzXS54bWxQSwECLQAUAAYACAAAACEAOP0h/9YAAACUAQAACwAAAAAA&#10;AAAAAAAAAAAvAQAAX3JlbHMvLnJlbHNQSwECLQAUAAYACAAAACEAxqO//QACAABMBAAADgAAAAAA&#10;AAAAAAAAAAAuAgAAZHJzL2Uyb0RvYy54bWxQSwECLQAUAAYACAAAACEAaXri8uAAAAAKAQAADwAA&#10;AAAAAAAAAAAAAABaBAAAZHJzL2Rvd25yZXYueG1sUEsFBgAAAAAEAAQA8wAAAGcFAAAAAA==&#10;" strokecolor="red" strokeweight="6pt">
                <v:stroke endarrow="block" joinstyle="miter"/>
              </v:shape>
            </w:pict>
          </mc:Fallback>
        </mc:AlternateContent>
      </w:r>
      <w:r w:rsidR="008410A3">
        <w:rPr>
          <w:noProof/>
          <w:lang w:eastAsia="es-MX"/>
        </w:rPr>
        <w:drawing>
          <wp:inline distT="0" distB="0" distL="0" distR="0" wp14:anchorId="6817A5ED" wp14:editId="5B5A1FFA">
            <wp:extent cx="5084064" cy="168211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28" t="27541" r="29490" b="51912"/>
                    <a:stretch/>
                  </pic:blipFill>
                  <pic:spPr bwMode="auto">
                    <a:xfrm>
                      <a:off x="0" y="0"/>
                      <a:ext cx="5149549" cy="1703781"/>
                    </a:xfrm>
                    <a:prstGeom prst="rect">
                      <a:avLst/>
                    </a:prstGeom>
                    <a:ln>
                      <a:noFill/>
                    </a:ln>
                    <a:extLst>
                      <a:ext uri="{53640926-AAD7-44D8-BBD7-CCE9431645EC}">
                        <a14:shadowObscured xmlns:a14="http://schemas.microsoft.com/office/drawing/2010/main"/>
                      </a:ext>
                    </a:extLst>
                  </pic:spPr>
                </pic:pic>
              </a:graphicData>
            </a:graphic>
          </wp:inline>
        </w:drawing>
      </w:r>
    </w:p>
    <w:p w:rsidR="00BC1DCE" w:rsidRDefault="00591149" w:rsidP="00622EBF">
      <w:pPr>
        <w:tabs>
          <w:tab w:val="left" w:pos="567"/>
          <w:tab w:val="left" w:pos="7938"/>
        </w:tabs>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748352" behindDoc="0" locked="0" layoutInCell="1" allowOverlap="1" wp14:anchorId="27EF39FC" wp14:editId="1F904AAC">
                <wp:simplePos x="0" y="0"/>
                <wp:positionH relativeFrom="column">
                  <wp:posOffset>1487499</wp:posOffset>
                </wp:positionH>
                <wp:positionV relativeFrom="paragraph">
                  <wp:posOffset>-226746</wp:posOffset>
                </wp:positionV>
                <wp:extent cx="2223821" cy="827837"/>
                <wp:effectExtent l="38100" t="38100" r="24130" b="67945"/>
                <wp:wrapNone/>
                <wp:docPr id="6" name="Conector recto de flecha 6"/>
                <wp:cNvGraphicFramePr/>
                <a:graphic xmlns:a="http://schemas.openxmlformats.org/drawingml/2006/main">
                  <a:graphicData uri="http://schemas.microsoft.com/office/word/2010/wordprocessingShape">
                    <wps:wsp>
                      <wps:cNvCnPr/>
                      <wps:spPr>
                        <a:xfrm flipH="1">
                          <a:off x="0" y="0"/>
                          <a:ext cx="2223821" cy="827837"/>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9004A" id="Conector recto de flecha 6" o:spid="_x0000_s1026" type="#_x0000_t32" style="position:absolute;margin-left:117.15pt;margin-top:-17.85pt;width:175.1pt;height:65.2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I7AgIAAE0EAAAOAAAAZHJzL2Uyb0RvYy54bWysVMGO0zAQvSPxD5bvNG1Waquq6R66FA4I&#10;Klg+wHXGiSXHtsamaf6esZMGFsQBRA6OHc978+Z5nP3jrTPsChi0sxVfLZacgZWu1rap+Nfn05st&#10;ZyEKWwvjLFR8gMAfD69f7Xu/g9K1ztSAjEhs2PW+4m2MflcUQbbQibBwHixtKoediLTEpqhR9MTe&#10;maJcLtdF77D26CSEQF+fxk1+yPxKgYyflAoQmak4aYt5xDxe0lgc9mLXoPCtlpMM8Q8qOqEtJZ2p&#10;nkQU7Bvq36g6LdEFp+JCuq5wSmkJuQaqZrX8pZovrfCQayFzgp9tCv+PVn68npHpuuJrzqzo6IiO&#10;dFAyOmSYXqwGpgzIVrB1cqv3YUegoz3jtAr+jKn0m8KOQrV/T42QzaDy2C17Pcxewy0ySR/LsnzY&#10;livOJO1ty832YZPoi5En8XkM8R24jqVJxUNEoZs2krxR35hDXD+EOALvgAQ2lvUV36ypR7KU4Iyu&#10;T9qYtBmwuRwNsqugrjidlvRMuV+ERaHNW1uzOHiyJaIWtjEwRRpLYpMZY/l5FgcDY/LPoMhUKnMU&#10;mdsZ5pRCSrBxNTNRdIIpkjcDJ9npHvwJOMUnKORW/xvwjMiZnY0zuNPW4Wjay+zxdpesxvi7A2Pd&#10;yYKLq4fcGNka6tl8otP9Spfi53WG//gLHL4DAAD//wMAUEsDBBQABgAIAAAAIQAsN1qu4AAAAAoB&#10;AAAPAAAAZHJzL2Rvd25yZXYueG1sTI/LTsMwEEX3SPyDNUhsUOuQBy1pJlUFyhZEywe48TQJ9SOK&#10;3dbl6zErWI7u0b1nqnXQip1pcoM1CI/zBBiZ1srBdAifu2a2BOa8MFIoawjhSg7W9e1NJUppL+aD&#10;zlvfsVhiXCkQeu/HknPX9qSFm9uRTMwOdtLCx3PquJzEJZZrxdMkeeJaDCYu9GKkl57a4/akEUTo&#10;0ofmuGvev69hU7x90atKCPH+LmxWwDwF/wfDr35Uhzo67e3JSMcUQprlWUQRZlmxABaJYpkXwPYI&#10;z/kCeF3x/y/UPwAAAP//AwBQSwECLQAUAAYACAAAACEAtoM4kv4AAADhAQAAEwAAAAAAAAAAAAAA&#10;AAAAAAAAW0NvbnRlbnRfVHlwZXNdLnhtbFBLAQItABQABgAIAAAAIQA4/SH/1gAAAJQBAAALAAAA&#10;AAAAAAAAAAAAAC8BAABfcmVscy8ucmVsc1BLAQItABQABgAIAAAAIQCTXGI7AgIAAE0EAAAOAAAA&#10;AAAAAAAAAAAAAC4CAABkcnMvZTJvRG9jLnhtbFBLAQItABQABgAIAAAAIQAsN1qu4AAAAAoBAAAP&#10;AAAAAAAAAAAAAAAAAFwEAABkcnMvZG93bnJldi54bWxQSwUGAAAAAAQABADzAAAAaQUAAAAA&#10;" strokecolor="red" strokeweight="6pt">
                <v:stroke endarrow="block" joinstyle="miter"/>
              </v:shape>
            </w:pict>
          </mc:Fallback>
        </mc:AlternateContent>
      </w:r>
      <w:r w:rsidR="008410A3">
        <w:rPr>
          <w:noProof/>
          <w:lang w:eastAsia="es-MX"/>
        </w:rPr>
        <w:drawing>
          <wp:inline distT="0" distB="0" distL="0" distR="0" wp14:anchorId="38FAB480" wp14:editId="34DECEDF">
            <wp:extent cx="5771515" cy="2355495"/>
            <wp:effectExtent l="0" t="0" r="63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74" t="18527" r="15163" b="53044"/>
                    <a:stretch/>
                  </pic:blipFill>
                  <pic:spPr bwMode="auto">
                    <a:xfrm>
                      <a:off x="0" y="0"/>
                      <a:ext cx="5831786" cy="2380093"/>
                    </a:xfrm>
                    <a:prstGeom prst="rect">
                      <a:avLst/>
                    </a:prstGeom>
                    <a:ln>
                      <a:noFill/>
                    </a:ln>
                    <a:extLst>
                      <a:ext uri="{53640926-AAD7-44D8-BBD7-CCE9431645EC}">
                        <a14:shadowObscured xmlns:a14="http://schemas.microsoft.com/office/drawing/2010/main"/>
                      </a:ext>
                    </a:extLst>
                  </pic:spPr>
                </pic:pic>
              </a:graphicData>
            </a:graphic>
          </wp:inline>
        </w:drawing>
      </w:r>
    </w:p>
    <w:p w:rsidR="008410A3" w:rsidRDefault="00591149" w:rsidP="008410A3">
      <w:pPr>
        <w:tabs>
          <w:tab w:val="left" w:pos="567"/>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puede observar el Titular de la Unidad de Transparencia turno la solicitud vía SAIMEX al Lic. </w:t>
      </w:r>
      <w:r w:rsidR="008410A3">
        <w:rPr>
          <w:rFonts w:ascii="Palatino Linotype" w:hAnsi="Palatino Linotype" w:cs="Arial"/>
          <w:sz w:val="24"/>
          <w:szCs w:val="24"/>
        </w:rPr>
        <w:t>Arturo Jonathan Acosta Marquez</w:t>
      </w:r>
      <w:r w:rsidR="00E30B72">
        <w:rPr>
          <w:rFonts w:ascii="Palatino Linotype" w:hAnsi="Palatino Linotype" w:cs="Arial"/>
          <w:sz w:val="24"/>
          <w:szCs w:val="24"/>
        </w:rPr>
        <w:t xml:space="preserve">, </w:t>
      </w:r>
      <w:r w:rsidR="008410A3">
        <w:rPr>
          <w:rFonts w:ascii="Palatino Linotype" w:hAnsi="Palatino Linotype" w:cs="Arial"/>
          <w:sz w:val="24"/>
          <w:szCs w:val="24"/>
        </w:rPr>
        <w:t>que en la captura de pantalla aparece su contestación al Titular de la Unidad de Transparencia,</w:t>
      </w:r>
      <w:r w:rsidR="00E30B72">
        <w:rPr>
          <w:rFonts w:ascii="Palatino Linotype" w:hAnsi="Palatino Linotype" w:cs="Arial"/>
          <w:sz w:val="24"/>
          <w:szCs w:val="24"/>
        </w:rPr>
        <w:t xml:space="preserve"> en el propio SAIMEX</w:t>
      </w:r>
      <w:r>
        <w:rPr>
          <w:rFonts w:ascii="Palatino Linotype" w:hAnsi="Palatino Linotype" w:cs="Arial"/>
          <w:sz w:val="24"/>
          <w:szCs w:val="24"/>
        </w:rPr>
        <w:t xml:space="preserve">, </w:t>
      </w:r>
      <w:r w:rsidR="005F724A">
        <w:rPr>
          <w:rFonts w:ascii="Palatino Linotype" w:hAnsi="Palatino Linotype" w:cs="Arial"/>
          <w:sz w:val="24"/>
          <w:szCs w:val="24"/>
        </w:rPr>
        <w:t>manifestaciones que a su vez se emplearon para dar contestación al hoy recurrente y que se considera son fundadas.</w:t>
      </w:r>
    </w:p>
    <w:p w:rsidR="008410A3" w:rsidRDefault="008410A3" w:rsidP="008410A3">
      <w:pPr>
        <w:tabs>
          <w:tab w:val="left" w:pos="567"/>
          <w:tab w:val="left" w:pos="7938"/>
        </w:tabs>
        <w:spacing w:after="0" w:line="360" w:lineRule="auto"/>
        <w:jc w:val="both"/>
        <w:rPr>
          <w:rFonts w:ascii="Palatino Linotype" w:hAnsi="Palatino Linotype" w:cs="Arial"/>
          <w:sz w:val="24"/>
          <w:szCs w:val="24"/>
        </w:rPr>
      </w:pPr>
    </w:p>
    <w:p w:rsidR="00287115" w:rsidRDefault="00287115" w:rsidP="005F724A">
      <w:pPr>
        <w:spacing w:after="0" w:line="360" w:lineRule="auto"/>
        <w:jc w:val="both"/>
        <w:rPr>
          <w:rFonts w:ascii="Palatino Linotype" w:hAnsi="Palatino Linotype"/>
          <w:sz w:val="24"/>
          <w:szCs w:val="24"/>
        </w:rPr>
      </w:pPr>
      <w:r>
        <w:rPr>
          <w:rFonts w:ascii="Palatino Linotype" w:hAnsi="Palatino Linotype"/>
          <w:sz w:val="24"/>
          <w:szCs w:val="24"/>
        </w:rPr>
        <w:t>Ya que</w:t>
      </w:r>
      <w:r w:rsidR="005F724A">
        <w:rPr>
          <w:rFonts w:ascii="Palatino Linotype" w:hAnsi="Palatino Linotype"/>
          <w:sz w:val="24"/>
          <w:szCs w:val="24"/>
        </w:rPr>
        <w:t xml:space="preserve"> el sujeto obligado</w:t>
      </w:r>
      <w:r>
        <w:rPr>
          <w:rFonts w:ascii="Palatino Linotype" w:hAnsi="Palatino Linotype"/>
          <w:sz w:val="24"/>
          <w:szCs w:val="24"/>
        </w:rPr>
        <w:t xml:space="preserve"> contestó diciendo que</w:t>
      </w:r>
      <w:r w:rsidRPr="00287115">
        <w:rPr>
          <w:rFonts w:ascii="Palatino Linotype" w:hAnsi="Palatino Linotype"/>
          <w:sz w:val="24"/>
          <w:szCs w:val="24"/>
        </w:rPr>
        <w:t xml:space="preserve"> de</w:t>
      </w:r>
      <w:r>
        <w:rPr>
          <w:rFonts w:ascii="Palatino Linotype" w:hAnsi="Palatino Linotype"/>
          <w:sz w:val="24"/>
          <w:szCs w:val="24"/>
        </w:rPr>
        <w:t xml:space="preserve"> </w:t>
      </w:r>
      <w:r w:rsidRPr="00287115">
        <w:rPr>
          <w:rFonts w:ascii="Palatino Linotype" w:hAnsi="Palatino Linotype"/>
          <w:sz w:val="24"/>
          <w:szCs w:val="24"/>
        </w:rPr>
        <w:t>con</w:t>
      </w:r>
      <w:r>
        <w:rPr>
          <w:rFonts w:ascii="Palatino Linotype" w:hAnsi="Palatino Linotype"/>
          <w:sz w:val="24"/>
          <w:szCs w:val="24"/>
        </w:rPr>
        <w:t>formidad en</w:t>
      </w:r>
      <w:r w:rsidRPr="00287115">
        <w:rPr>
          <w:rFonts w:ascii="Palatino Linotype" w:hAnsi="Palatino Linotype"/>
          <w:sz w:val="24"/>
          <w:szCs w:val="24"/>
        </w:rPr>
        <w:t xml:space="preserve"> el artículo 92, fracción XIII de la Ley de Transparencia y Acceso a la Información Pública del Estado de México y Municipios, la información en versión pública de las declaraciones patrimoniales y de intereses que se debe poner a disposición del público, se encuentra condicionada a la autorización de los servidores públicos. </w:t>
      </w:r>
    </w:p>
    <w:p w:rsidR="00287115" w:rsidRDefault="00287115" w:rsidP="005F724A">
      <w:pPr>
        <w:spacing w:after="0" w:line="360" w:lineRule="auto"/>
        <w:jc w:val="both"/>
        <w:rPr>
          <w:rFonts w:ascii="Palatino Linotype" w:hAnsi="Palatino Linotype"/>
          <w:sz w:val="24"/>
          <w:szCs w:val="24"/>
        </w:rPr>
      </w:pPr>
    </w:p>
    <w:p w:rsidR="00287115" w:rsidRDefault="00287115" w:rsidP="005F724A">
      <w:pPr>
        <w:spacing w:after="0" w:line="360" w:lineRule="auto"/>
        <w:jc w:val="both"/>
        <w:rPr>
          <w:rFonts w:ascii="Palatino Linotype" w:hAnsi="Palatino Linotype"/>
          <w:sz w:val="24"/>
          <w:szCs w:val="24"/>
        </w:rPr>
      </w:pPr>
      <w:r>
        <w:rPr>
          <w:rFonts w:ascii="Palatino Linotype" w:hAnsi="Palatino Linotype"/>
          <w:sz w:val="24"/>
          <w:szCs w:val="24"/>
        </w:rPr>
        <w:t>Asimismo refirió, que l</w:t>
      </w:r>
      <w:r w:rsidRPr="00287115">
        <w:rPr>
          <w:rFonts w:ascii="Palatino Linotype" w:hAnsi="Palatino Linotype"/>
          <w:sz w:val="24"/>
          <w:szCs w:val="24"/>
        </w:rPr>
        <w:t>a Declaración de Situación patrimonial es a través del Sistema DECLARANET administrado por la Secretaria de la Contraloría del Gobierno del Estado de México</w:t>
      </w:r>
      <w:r>
        <w:rPr>
          <w:rFonts w:ascii="Palatino Linotype" w:hAnsi="Palatino Linotype"/>
          <w:sz w:val="24"/>
          <w:szCs w:val="24"/>
        </w:rPr>
        <w:t>, lo cual</w:t>
      </w:r>
      <w:r w:rsidRPr="00287115">
        <w:rPr>
          <w:rFonts w:ascii="Palatino Linotype" w:hAnsi="Palatino Linotype"/>
          <w:sz w:val="24"/>
          <w:szCs w:val="24"/>
        </w:rPr>
        <w:t xml:space="preserve"> </w:t>
      </w:r>
      <w:r>
        <w:rPr>
          <w:rFonts w:ascii="Palatino Linotype" w:hAnsi="Palatino Linotype"/>
          <w:sz w:val="24"/>
          <w:szCs w:val="24"/>
        </w:rPr>
        <w:t>es fundado pues</w:t>
      </w:r>
      <w:r w:rsidRPr="00287115">
        <w:rPr>
          <w:rFonts w:ascii="Palatino Linotype" w:hAnsi="Palatino Linotype"/>
          <w:sz w:val="24"/>
          <w:szCs w:val="24"/>
        </w:rPr>
        <w:t xml:space="preserve">, la Contraloría Municipal, no cuenta con la autorización de proporcionar dicha información. </w:t>
      </w:r>
    </w:p>
    <w:p w:rsidR="00287115" w:rsidRDefault="00287115" w:rsidP="005F724A">
      <w:pPr>
        <w:spacing w:after="0" w:line="360" w:lineRule="auto"/>
        <w:jc w:val="both"/>
        <w:rPr>
          <w:rFonts w:ascii="Palatino Linotype" w:hAnsi="Palatino Linotype"/>
          <w:sz w:val="24"/>
          <w:szCs w:val="24"/>
        </w:rPr>
      </w:pPr>
    </w:p>
    <w:p w:rsidR="00287115" w:rsidRDefault="00287115" w:rsidP="005F724A">
      <w:pPr>
        <w:spacing w:after="0" w:line="360" w:lineRule="auto"/>
        <w:jc w:val="both"/>
        <w:rPr>
          <w:rFonts w:ascii="Palatino Linotype" w:hAnsi="Palatino Linotype"/>
          <w:sz w:val="24"/>
          <w:szCs w:val="24"/>
        </w:rPr>
      </w:pPr>
      <w:r>
        <w:rPr>
          <w:rFonts w:ascii="Palatino Linotype" w:hAnsi="Palatino Linotype"/>
          <w:sz w:val="24"/>
          <w:szCs w:val="24"/>
        </w:rPr>
        <w:t xml:space="preserve">Continuo manifestando que </w:t>
      </w:r>
      <w:r w:rsidRPr="00287115">
        <w:rPr>
          <w:rFonts w:ascii="Palatino Linotype" w:hAnsi="Palatino Linotype"/>
          <w:sz w:val="24"/>
          <w:szCs w:val="24"/>
        </w:rPr>
        <w:t>la Contraloría Municipal no tiene acceso a la información de las Declaraciones Patrimoniales, ya que únicamente administra el Sistema</w:t>
      </w:r>
      <w:r>
        <w:rPr>
          <w:rFonts w:ascii="Palatino Linotype" w:hAnsi="Palatino Linotype"/>
          <w:sz w:val="24"/>
          <w:szCs w:val="24"/>
        </w:rPr>
        <w:t xml:space="preserve"> la </w:t>
      </w:r>
      <w:r w:rsidRPr="00287115">
        <w:rPr>
          <w:rFonts w:ascii="Palatino Linotype" w:hAnsi="Palatino Linotype"/>
          <w:sz w:val="24"/>
          <w:szCs w:val="24"/>
        </w:rPr>
        <w:t>D</w:t>
      </w:r>
      <w:r>
        <w:rPr>
          <w:rFonts w:ascii="Palatino Linotype" w:hAnsi="Palatino Linotype"/>
          <w:sz w:val="24"/>
          <w:szCs w:val="24"/>
        </w:rPr>
        <w:t xml:space="preserve">irección </w:t>
      </w:r>
      <w:r w:rsidRPr="00287115">
        <w:rPr>
          <w:rFonts w:ascii="Palatino Linotype" w:hAnsi="Palatino Linotype"/>
          <w:sz w:val="24"/>
          <w:szCs w:val="24"/>
        </w:rPr>
        <w:t>G</w:t>
      </w:r>
      <w:r>
        <w:rPr>
          <w:rFonts w:ascii="Palatino Linotype" w:hAnsi="Palatino Linotype"/>
          <w:sz w:val="24"/>
          <w:szCs w:val="24"/>
        </w:rPr>
        <w:t xml:space="preserve">eneral de </w:t>
      </w:r>
      <w:r w:rsidRPr="00287115">
        <w:rPr>
          <w:rFonts w:ascii="Palatino Linotype" w:hAnsi="Palatino Linotype"/>
          <w:sz w:val="24"/>
          <w:szCs w:val="24"/>
        </w:rPr>
        <w:t>R</w:t>
      </w:r>
      <w:r>
        <w:rPr>
          <w:rFonts w:ascii="Palatino Linotype" w:hAnsi="Palatino Linotype"/>
          <w:sz w:val="24"/>
          <w:szCs w:val="24"/>
        </w:rPr>
        <w:t xml:space="preserve">esponsabilidades de los </w:t>
      </w:r>
      <w:r w:rsidRPr="00287115">
        <w:rPr>
          <w:rFonts w:ascii="Palatino Linotype" w:hAnsi="Palatino Linotype"/>
          <w:sz w:val="24"/>
          <w:szCs w:val="24"/>
        </w:rPr>
        <w:t>S</w:t>
      </w:r>
      <w:r>
        <w:rPr>
          <w:rFonts w:ascii="Palatino Linotype" w:hAnsi="Palatino Linotype"/>
          <w:sz w:val="24"/>
          <w:szCs w:val="24"/>
        </w:rPr>
        <w:t xml:space="preserve">ervidores </w:t>
      </w:r>
      <w:r w:rsidRPr="00287115">
        <w:rPr>
          <w:rFonts w:ascii="Palatino Linotype" w:hAnsi="Palatino Linotype"/>
          <w:sz w:val="24"/>
          <w:szCs w:val="24"/>
        </w:rPr>
        <w:t>P</w:t>
      </w:r>
      <w:r>
        <w:rPr>
          <w:rFonts w:ascii="Palatino Linotype" w:hAnsi="Palatino Linotype"/>
          <w:sz w:val="24"/>
          <w:szCs w:val="24"/>
        </w:rPr>
        <w:t>úblicos</w:t>
      </w:r>
      <w:r w:rsidRPr="00287115">
        <w:rPr>
          <w:rFonts w:ascii="Palatino Linotype" w:hAnsi="Palatino Linotype"/>
          <w:sz w:val="24"/>
          <w:szCs w:val="24"/>
        </w:rPr>
        <w:t xml:space="preserve"> perteneciente a la Secretaria de la Contraloría del </w:t>
      </w:r>
      <w:r>
        <w:rPr>
          <w:rFonts w:ascii="Palatino Linotype" w:hAnsi="Palatino Linotype"/>
          <w:sz w:val="24"/>
          <w:szCs w:val="24"/>
        </w:rPr>
        <w:t xml:space="preserve">gobierno del </w:t>
      </w:r>
      <w:r w:rsidRPr="00287115">
        <w:rPr>
          <w:rFonts w:ascii="Palatino Linotype" w:hAnsi="Palatino Linotype"/>
          <w:sz w:val="24"/>
          <w:szCs w:val="24"/>
        </w:rPr>
        <w:t>Estado de México</w:t>
      </w:r>
      <w:r>
        <w:rPr>
          <w:rFonts w:ascii="Palatino Linotype" w:hAnsi="Palatino Linotype"/>
          <w:sz w:val="24"/>
          <w:szCs w:val="24"/>
        </w:rPr>
        <w:t>.</w:t>
      </w:r>
    </w:p>
    <w:p w:rsidR="00287115" w:rsidRDefault="00287115" w:rsidP="005F724A">
      <w:pPr>
        <w:spacing w:after="0" w:line="360" w:lineRule="auto"/>
        <w:jc w:val="both"/>
        <w:rPr>
          <w:rFonts w:ascii="Palatino Linotype" w:hAnsi="Palatino Linotype"/>
          <w:sz w:val="24"/>
          <w:szCs w:val="24"/>
        </w:rPr>
      </w:pPr>
    </w:p>
    <w:p w:rsidR="005F724A" w:rsidRDefault="00287115" w:rsidP="005F724A">
      <w:pPr>
        <w:spacing w:after="0" w:line="360" w:lineRule="auto"/>
        <w:jc w:val="both"/>
        <w:rPr>
          <w:rFonts w:ascii="Palatino Linotype" w:hAnsi="Palatino Linotype"/>
          <w:sz w:val="24"/>
          <w:szCs w:val="24"/>
        </w:rPr>
      </w:pPr>
      <w:r>
        <w:rPr>
          <w:rFonts w:ascii="Palatino Linotype" w:hAnsi="Palatino Linotype"/>
          <w:sz w:val="24"/>
          <w:szCs w:val="24"/>
        </w:rPr>
        <w:t>Es decir</w:t>
      </w:r>
      <w:r w:rsidR="005F724A">
        <w:rPr>
          <w:rFonts w:ascii="Palatino Linotype" w:hAnsi="Palatino Linotype"/>
          <w:sz w:val="24"/>
          <w:szCs w:val="24"/>
        </w:rPr>
        <w:t xml:space="preserve">, la Contraloría Municipal y por ende el Municipio de </w:t>
      </w:r>
      <w:r>
        <w:rPr>
          <w:rFonts w:ascii="Palatino Linotype" w:hAnsi="Palatino Linotype"/>
          <w:sz w:val="24"/>
          <w:szCs w:val="24"/>
        </w:rPr>
        <w:t xml:space="preserve">Ecatzingo </w:t>
      </w:r>
      <w:r w:rsidR="005F724A">
        <w:rPr>
          <w:rFonts w:ascii="Palatino Linotype" w:hAnsi="Palatino Linotype"/>
          <w:sz w:val="24"/>
          <w:szCs w:val="24"/>
        </w:rPr>
        <w:t>como sujeto obligado, no cuenta con las atribuciones para conocer de dicha información, es por ello que la Ley de Responsabilidades de los Servidores Públicos, refiere entre otras cosas, lo siguiente:</w:t>
      </w:r>
    </w:p>
    <w:p w:rsidR="005F724A" w:rsidRDefault="005F724A" w:rsidP="005F724A">
      <w:pPr>
        <w:spacing w:after="0" w:line="360" w:lineRule="auto"/>
        <w:jc w:val="both"/>
        <w:rPr>
          <w:rFonts w:ascii="Palatino Linotype" w:hAnsi="Palatino Linotype"/>
          <w:sz w:val="24"/>
          <w:szCs w:val="24"/>
        </w:rPr>
      </w:pPr>
    </w:p>
    <w:p w:rsidR="005F724A" w:rsidRDefault="005F724A" w:rsidP="005F724A">
      <w:pPr>
        <w:spacing w:after="0" w:line="240" w:lineRule="auto"/>
        <w:ind w:left="567" w:right="539"/>
        <w:jc w:val="both"/>
        <w:rPr>
          <w:rFonts w:ascii="Palatino Linotype" w:hAnsi="Palatino Linotype"/>
          <w:i/>
          <w:szCs w:val="18"/>
          <w:lang w:eastAsia="es-MX"/>
        </w:rPr>
      </w:pPr>
      <w:r>
        <w:rPr>
          <w:rFonts w:ascii="Palatino Linotype" w:hAnsi="Palatino Linotype"/>
          <w:i/>
          <w:szCs w:val="18"/>
          <w:lang w:eastAsia="es-MX"/>
        </w:rPr>
        <w:t>“</w:t>
      </w:r>
      <w:r w:rsidRPr="000933A2">
        <w:rPr>
          <w:rFonts w:ascii="Palatino Linotype" w:hAnsi="Palatino Linotype"/>
          <w:i/>
          <w:szCs w:val="18"/>
          <w:lang w:eastAsia="es-MX"/>
        </w:rPr>
        <w:t xml:space="preserve">Artículo 33. Estarán obligados a presentar las declaraciones de situación patrimonial y de intereses, bajo protesta de decir verdad ante la Secretaría de la Contraloría o los órganos internos de control, todos los servidores públicos estatales y </w:t>
      </w:r>
      <w:r w:rsidRPr="000933A2">
        <w:rPr>
          <w:rFonts w:ascii="Palatino Linotype" w:hAnsi="Palatino Linotype"/>
          <w:b/>
          <w:i/>
          <w:szCs w:val="18"/>
          <w:u w:val="single"/>
          <w:lang w:eastAsia="es-MX"/>
        </w:rPr>
        <w:t>municipale</w:t>
      </w:r>
      <w:r w:rsidRPr="000933A2">
        <w:rPr>
          <w:rFonts w:ascii="Palatino Linotype" w:hAnsi="Palatino Linotype"/>
          <w:i/>
          <w:szCs w:val="18"/>
          <w:lang w:eastAsia="es-MX"/>
        </w:rPr>
        <w:t>s, en los término</w:t>
      </w:r>
      <w:r>
        <w:rPr>
          <w:rFonts w:ascii="Palatino Linotype" w:hAnsi="Palatino Linotype"/>
          <w:i/>
          <w:szCs w:val="18"/>
          <w:lang w:eastAsia="es-MX"/>
        </w:rPr>
        <w:t>s previstos en la presente Ley.</w:t>
      </w:r>
    </w:p>
    <w:p w:rsidR="005F724A" w:rsidRPr="000933A2" w:rsidRDefault="005F724A" w:rsidP="005F724A">
      <w:pPr>
        <w:spacing w:after="0" w:line="240" w:lineRule="auto"/>
        <w:ind w:left="567" w:right="539"/>
        <w:jc w:val="both"/>
        <w:rPr>
          <w:rFonts w:ascii="Palatino Linotype" w:hAnsi="Palatino Linotype"/>
          <w:i/>
          <w:szCs w:val="18"/>
          <w:lang w:eastAsia="es-MX"/>
        </w:rPr>
      </w:pPr>
    </w:p>
    <w:p w:rsidR="005F724A" w:rsidRPr="000933A2" w:rsidRDefault="005F724A" w:rsidP="005F724A">
      <w:pPr>
        <w:spacing w:after="0" w:line="240" w:lineRule="auto"/>
        <w:ind w:left="567" w:right="539"/>
        <w:jc w:val="both"/>
        <w:rPr>
          <w:rFonts w:ascii="Palatino Linotype" w:hAnsi="Palatino Linotype"/>
          <w:i/>
          <w:szCs w:val="18"/>
          <w:lang w:eastAsia="es-MX"/>
        </w:rPr>
      </w:pPr>
      <w:r w:rsidRPr="000933A2">
        <w:rPr>
          <w:rFonts w:ascii="Palatino Linotype" w:hAnsi="Palatino Linotype"/>
          <w:i/>
          <w:szCs w:val="18"/>
          <w:lang w:eastAsia="es-MX"/>
        </w:rPr>
        <w:t>Asimismo, deberán presentar su declaración fiscal anual, en los términos que disponga la legislación de la materia.</w:t>
      </w:r>
      <w:r>
        <w:rPr>
          <w:rFonts w:ascii="Palatino Linotype" w:hAnsi="Palatino Linotype"/>
          <w:i/>
          <w:szCs w:val="18"/>
          <w:lang w:eastAsia="es-MX"/>
        </w:rPr>
        <w:t>”</w:t>
      </w:r>
    </w:p>
    <w:p w:rsidR="005F724A" w:rsidRDefault="005F724A" w:rsidP="005F724A">
      <w:pPr>
        <w:spacing w:after="0" w:line="360" w:lineRule="auto"/>
        <w:jc w:val="both"/>
        <w:rPr>
          <w:rFonts w:ascii="Palatino Linotype" w:hAnsi="Palatino Linotype"/>
          <w:sz w:val="24"/>
          <w:szCs w:val="24"/>
        </w:rPr>
      </w:pPr>
    </w:p>
    <w:p w:rsidR="005F724A" w:rsidRDefault="005F724A" w:rsidP="005F724A">
      <w:pPr>
        <w:spacing w:after="0" w:line="360" w:lineRule="auto"/>
        <w:jc w:val="both"/>
        <w:rPr>
          <w:rFonts w:ascii="Palatino Linotype" w:hAnsi="Palatino Linotype"/>
          <w:sz w:val="24"/>
          <w:szCs w:val="24"/>
        </w:rPr>
      </w:pPr>
      <w:r>
        <w:rPr>
          <w:rFonts w:ascii="Palatino Linotype" w:hAnsi="Palatino Linotype"/>
          <w:sz w:val="24"/>
          <w:szCs w:val="24"/>
        </w:rPr>
        <w:t>Por su parte el Reglamento Interior de la Secretaría de la Contraloría del Gobierno de Estado de México, establece:</w:t>
      </w:r>
    </w:p>
    <w:p w:rsidR="005F724A" w:rsidRDefault="005F724A" w:rsidP="005F724A">
      <w:pPr>
        <w:spacing w:after="0" w:line="360" w:lineRule="auto"/>
        <w:jc w:val="both"/>
        <w:rPr>
          <w:rFonts w:ascii="Palatino Linotype" w:hAnsi="Palatino Linotype"/>
          <w:sz w:val="24"/>
          <w:szCs w:val="24"/>
        </w:rPr>
      </w:pPr>
    </w:p>
    <w:p w:rsidR="005F724A" w:rsidRDefault="005F724A" w:rsidP="005F724A">
      <w:pPr>
        <w:spacing w:after="0" w:line="240" w:lineRule="auto"/>
        <w:ind w:left="567" w:right="539"/>
        <w:jc w:val="both"/>
        <w:rPr>
          <w:rFonts w:ascii="Palatino Linotype" w:hAnsi="Palatino Linotype"/>
          <w:i/>
          <w:szCs w:val="18"/>
          <w:lang w:eastAsia="es-MX"/>
        </w:rPr>
      </w:pPr>
      <w:r>
        <w:rPr>
          <w:rFonts w:ascii="Palatino Linotype" w:hAnsi="Palatino Linotype"/>
          <w:i/>
          <w:szCs w:val="18"/>
          <w:lang w:eastAsia="es-MX"/>
        </w:rPr>
        <w:t>“</w:t>
      </w:r>
      <w:r w:rsidRPr="000933A2">
        <w:rPr>
          <w:rFonts w:ascii="Palatino Linotype" w:hAnsi="Palatino Linotype"/>
          <w:i/>
          <w:szCs w:val="18"/>
          <w:lang w:eastAsia="es-MX"/>
        </w:rPr>
        <w:t>Artículo 24. A la Dirección General de Responsabilidades Administrativas, corresponden las atribuciones siguientes:</w:t>
      </w:r>
    </w:p>
    <w:p w:rsidR="005F724A" w:rsidRDefault="005F724A" w:rsidP="005F724A">
      <w:pPr>
        <w:spacing w:after="0" w:line="240" w:lineRule="auto"/>
        <w:ind w:left="567" w:right="539"/>
        <w:jc w:val="both"/>
        <w:rPr>
          <w:rFonts w:ascii="Palatino Linotype" w:hAnsi="Palatino Linotype"/>
          <w:i/>
          <w:szCs w:val="18"/>
          <w:lang w:eastAsia="es-MX"/>
        </w:rPr>
      </w:pPr>
      <w:r>
        <w:rPr>
          <w:rFonts w:ascii="Palatino Linotype" w:hAnsi="Palatino Linotype"/>
          <w:i/>
          <w:szCs w:val="18"/>
          <w:lang w:eastAsia="es-MX"/>
        </w:rPr>
        <w:t>…</w:t>
      </w:r>
    </w:p>
    <w:p w:rsidR="005F724A" w:rsidRPr="000933A2" w:rsidRDefault="005F724A" w:rsidP="005F724A">
      <w:pPr>
        <w:spacing w:after="0" w:line="240" w:lineRule="auto"/>
        <w:ind w:left="567" w:right="539"/>
        <w:jc w:val="both"/>
        <w:rPr>
          <w:rFonts w:ascii="Palatino Linotype" w:hAnsi="Palatino Linotype"/>
          <w:i/>
          <w:szCs w:val="18"/>
          <w:lang w:eastAsia="es-MX"/>
        </w:rPr>
      </w:pPr>
      <w:r w:rsidRPr="000933A2">
        <w:rPr>
          <w:rFonts w:ascii="Palatino Linotype" w:hAnsi="Palatino Linotype"/>
          <w:i/>
          <w:szCs w:val="18"/>
          <w:lang w:eastAsia="es-MX"/>
        </w:rPr>
        <w:t xml:space="preserve">III. Coordinar la ejecución de campañas, programas preventivos y acciones que se determinen en relación con la presentación de la declaración de situación patrimonial y de intereses, de los servidores públicos de la Administración Pública Estatal y Municipal; </w:t>
      </w:r>
    </w:p>
    <w:p w:rsidR="005F724A" w:rsidRPr="000933A2" w:rsidRDefault="005F724A" w:rsidP="005F724A">
      <w:pPr>
        <w:spacing w:after="0" w:line="240" w:lineRule="auto"/>
        <w:ind w:left="567" w:right="539"/>
        <w:jc w:val="both"/>
        <w:rPr>
          <w:rFonts w:ascii="Palatino Linotype" w:hAnsi="Palatino Linotype"/>
          <w:i/>
          <w:szCs w:val="18"/>
          <w:lang w:eastAsia="es-MX"/>
        </w:rPr>
      </w:pPr>
    </w:p>
    <w:p w:rsidR="005F724A" w:rsidRDefault="005F724A" w:rsidP="005F724A">
      <w:pPr>
        <w:spacing w:after="0" w:line="240" w:lineRule="auto"/>
        <w:ind w:left="567" w:right="539"/>
        <w:jc w:val="both"/>
        <w:rPr>
          <w:rFonts w:ascii="Palatino Linotype" w:hAnsi="Palatino Linotype"/>
          <w:i/>
          <w:szCs w:val="18"/>
          <w:lang w:eastAsia="es-MX"/>
        </w:rPr>
      </w:pPr>
      <w:r w:rsidRPr="000933A2">
        <w:rPr>
          <w:rFonts w:ascii="Palatino Linotype" w:hAnsi="Palatino Linotype"/>
          <w:i/>
          <w:szCs w:val="18"/>
          <w:lang w:eastAsia="es-MX"/>
        </w:rPr>
        <w:lastRenderedPageBreak/>
        <w:t xml:space="preserve">IV. Coordinar las acciones que permitan la integración del padrón de servidores públicos de la Administración Pública Estatal y Municipal, obligados a presentar declaración de situación patrimonial, de intereses y el acuse de la presentación de la declaración fiscal; </w:t>
      </w:r>
    </w:p>
    <w:p w:rsidR="005F724A" w:rsidRPr="008E4208" w:rsidRDefault="005F724A" w:rsidP="005F724A">
      <w:pPr>
        <w:spacing w:after="0" w:line="240" w:lineRule="auto"/>
        <w:ind w:left="567" w:right="539"/>
        <w:jc w:val="both"/>
        <w:rPr>
          <w:rFonts w:ascii="Palatino Linotype" w:hAnsi="Palatino Linotype"/>
          <w:i/>
          <w:szCs w:val="18"/>
          <w:lang w:eastAsia="es-MX"/>
        </w:rPr>
      </w:pPr>
    </w:p>
    <w:p w:rsidR="005F724A" w:rsidRPr="008E4208" w:rsidRDefault="005F724A" w:rsidP="005F724A">
      <w:pPr>
        <w:spacing w:after="0" w:line="240" w:lineRule="auto"/>
        <w:ind w:left="567" w:right="539"/>
        <w:jc w:val="both"/>
        <w:rPr>
          <w:rFonts w:ascii="Palatino Linotype" w:hAnsi="Palatino Linotype"/>
          <w:i/>
          <w:szCs w:val="18"/>
          <w:lang w:eastAsia="es-MX"/>
        </w:rPr>
      </w:pPr>
      <w:r w:rsidRPr="008E4208">
        <w:rPr>
          <w:rFonts w:ascii="Palatino Linotype" w:hAnsi="Palatino Linotype"/>
          <w:i/>
          <w:szCs w:val="18"/>
          <w:lang w:eastAsia="es-MX"/>
        </w:rPr>
        <w:t xml:space="preserve">V. Coordinar las acciones para que la presentación de la declaración de situación patrimonial, de intereses y en su caso, el acuse de la presentación de la declaración fiscal de los servidores públicos de la Administración Pública Estatal y Municipal, se realice conforme a las normas y los formatos impresos, de medios magnéticos y electrónicos, así como los manuales e instructivos emitidos por el Comité Coordinador, a propuesta del Comité de Participación Ciudadana, observando lo dispuesto en la Ley de Responsabilidades; </w:t>
      </w:r>
    </w:p>
    <w:p w:rsidR="005F724A" w:rsidRPr="008E4208" w:rsidRDefault="005F724A" w:rsidP="005F724A">
      <w:pPr>
        <w:spacing w:after="0" w:line="240" w:lineRule="auto"/>
        <w:ind w:left="567" w:right="539"/>
        <w:jc w:val="both"/>
        <w:rPr>
          <w:rFonts w:ascii="Palatino Linotype" w:hAnsi="Palatino Linotype"/>
          <w:i/>
          <w:szCs w:val="18"/>
          <w:lang w:eastAsia="es-MX"/>
        </w:rPr>
      </w:pPr>
    </w:p>
    <w:p w:rsidR="005F724A" w:rsidRDefault="005F724A" w:rsidP="005F724A">
      <w:pPr>
        <w:spacing w:after="0" w:line="240" w:lineRule="auto"/>
        <w:ind w:left="567" w:right="539"/>
        <w:jc w:val="both"/>
        <w:rPr>
          <w:rFonts w:ascii="Palatino Linotype" w:hAnsi="Palatino Linotype"/>
          <w:i/>
          <w:szCs w:val="18"/>
          <w:lang w:eastAsia="es-MX"/>
        </w:rPr>
      </w:pPr>
      <w:r w:rsidRPr="008E4208">
        <w:rPr>
          <w:rFonts w:ascii="Palatino Linotype" w:hAnsi="Palatino Linotype"/>
          <w:b/>
          <w:i/>
          <w:szCs w:val="18"/>
          <w:u w:val="single"/>
          <w:lang w:eastAsia="es-MX"/>
        </w:rPr>
        <w:t>VI. Recibir las declaraciones de situación patrimonial, de intereses y el acuse de la presentación de la declaración fiscal de los servidores públicos de la Administración Pública Estatal y Municipal</w:t>
      </w:r>
      <w:r w:rsidRPr="008E4208">
        <w:rPr>
          <w:rFonts w:ascii="Palatino Linotype" w:hAnsi="Palatino Linotype"/>
          <w:i/>
          <w:szCs w:val="18"/>
          <w:lang w:eastAsia="es-MX"/>
        </w:rPr>
        <w:t>;</w:t>
      </w:r>
    </w:p>
    <w:p w:rsidR="005F724A" w:rsidRDefault="005F724A" w:rsidP="005F724A">
      <w:pPr>
        <w:spacing w:after="0" w:line="240" w:lineRule="auto"/>
        <w:ind w:left="567" w:right="539"/>
        <w:jc w:val="both"/>
        <w:rPr>
          <w:rFonts w:ascii="Palatino Linotype" w:hAnsi="Palatino Linotype"/>
          <w:i/>
          <w:szCs w:val="18"/>
          <w:lang w:eastAsia="es-MX"/>
        </w:rPr>
      </w:pPr>
      <w:r>
        <w:rPr>
          <w:rFonts w:ascii="Palatino Linotype" w:hAnsi="Palatino Linotype"/>
          <w:i/>
          <w:szCs w:val="18"/>
          <w:lang w:eastAsia="es-MX"/>
        </w:rPr>
        <w:t>…</w:t>
      </w:r>
    </w:p>
    <w:p w:rsidR="005F724A" w:rsidRPr="008E4208" w:rsidRDefault="005F724A" w:rsidP="005F724A">
      <w:pPr>
        <w:spacing w:after="0" w:line="240" w:lineRule="auto"/>
        <w:ind w:left="567" w:right="539"/>
        <w:jc w:val="both"/>
        <w:rPr>
          <w:rFonts w:ascii="Palatino Linotype" w:hAnsi="Palatino Linotype"/>
          <w:b/>
          <w:i/>
          <w:szCs w:val="18"/>
          <w:u w:val="single"/>
          <w:lang w:eastAsia="es-MX"/>
        </w:rPr>
      </w:pPr>
      <w:r w:rsidRPr="008E4208">
        <w:rPr>
          <w:rFonts w:ascii="Palatino Linotype" w:hAnsi="Palatino Linotype"/>
          <w:b/>
          <w:i/>
          <w:szCs w:val="18"/>
          <w:u w:val="single"/>
          <w:lang w:eastAsia="es-MX"/>
        </w:rPr>
        <w:t>XXXI. Administrar el sistema de registro patrimonial, declaración de intereses y constancia de presentación de declaración fiscal, conforme a las disposiciones jurídicas aplicables;”</w:t>
      </w:r>
    </w:p>
    <w:p w:rsidR="005F724A" w:rsidRDefault="005F724A" w:rsidP="005F724A">
      <w:pPr>
        <w:spacing w:after="0" w:line="360" w:lineRule="auto"/>
        <w:jc w:val="both"/>
        <w:rPr>
          <w:rFonts w:ascii="Palatino Linotype" w:hAnsi="Palatino Linotype"/>
          <w:sz w:val="24"/>
          <w:szCs w:val="24"/>
        </w:rPr>
      </w:pPr>
    </w:p>
    <w:p w:rsidR="005F724A" w:rsidRDefault="005F724A" w:rsidP="005F724A">
      <w:pPr>
        <w:spacing w:after="0" w:line="360" w:lineRule="auto"/>
        <w:jc w:val="both"/>
        <w:rPr>
          <w:rFonts w:ascii="Palatino Linotype" w:hAnsi="Palatino Linotype"/>
          <w:sz w:val="24"/>
          <w:szCs w:val="24"/>
        </w:rPr>
      </w:pPr>
      <w:r>
        <w:rPr>
          <w:rFonts w:ascii="Palatino Linotype" w:hAnsi="Palatino Linotype"/>
          <w:sz w:val="24"/>
          <w:szCs w:val="24"/>
        </w:rPr>
        <w:t>Como se puede apreciar es la Secretaría de la Contraloría la encargada de r</w:t>
      </w:r>
      <w:r w:rsidRPr="002061F0">
        <w:rPr>
          <w:rFonts w:ascii="Palatino Linotype" w:hAnsi="Palatino Linotype"/>
          <w:sz w:val="24"/>
          <w:szCs w:val="24"/>
        </w:rPr>
        <w:t>ecibir las declaraciones de situación patrimonial</w:t>
      </w:r>
      <w:r>
        <w:rPr>
          <w:rFonts w:ascii="Palatino Linotype" w:hAnsi="Palatino Linotype"/>
          <w:sz w:val="24"/>
          <w:szCs w:val="24"/>
        </w:rPr>
        <w:t xml:space="preserve"> y</w:t>
      </w:r>
      <w:r w:rsidRPr="002061F0">
        <w:rPr>
          <w:rFonts w:ascii="Palatino Linotype" w:hAnsi="Palatino Linotype"/>
          <w:sz w:val="24"/>
          <w:szCs w:val="24"/>
        </w:rPr>
        <w:t xml:space="preserve"> de intereses de los servidores públicos de la Administración Pública Municipal</w:t>
      </w:r>
      <w:r>
        <w:rPr>
          <w:rFonts w:ascii="Palatino Linotype" w:hAnsi="Palatino Linotype"/>
          <w:sz w:val="24"/>
          <w:szCs w:val="24"/>
        </w:rPr>
        <w:t>, así como a</w:t>
      </w:r>
      <w:r w:rsidRPr="002061F0">
        <w:rPr>
          <w:rFonts w:ascii="Palatino Linotype" w:hAnsi="Palatino Linotype"/>
          <w:sz w:val="24"/>
          <w:szCs w:val="24"/>
        </w:rPr>
        <w:t>dministrar el sistema de registro patrimonial</w:t>
      </w:r>
      <w:r>
        <w:rPr>
          <w:rFonts w:ascii="Palatino Linotype" w:hAnsi="Palatino Linotype"/>
          <w:sz w:val="24"/>
          <w:szCs w:val="24"/>
        </w:rPr>
        <w:t xml:space="preserve"> y el de declaración de intereses, por lo que el sujeto obligado que es competente para dar esa información o en su caso clasificarla es </w:t>
      </w:r>
      <w:r w:rsidR="00287115">
        <w:rPr>
          <w:rFonts w:ascii="Palatino Linotype" w:hAnsi="Palatino Linotype"/>
          <w:sz w:val="24"/>
          <w:szCs w:val="24"/>
        </w:rPr>
        <w:t>la Secretaría de la Contraloría, tal y como lo refirió el sujeto obligado.</w:t>
      </w:r>
    </w:p>
    <w:p w:rsidR="00C93EEE" w:rsidRDefault="00C93EEE" w:rsidP="00DF1643">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ind w:right="51"/>
        <w:jc w:val="both"/>
        <w:rPr>
          <w:rFonts w:ascii="Palatino Linotype" w:hAnsi="Palatino Linotype" w:cs="Arial"/>
          <w:sz w:val="24"/>
          <w:szCs w:val="24"/>
        </w:rPr>
      </w:pPr>
      <w:r w:rsidRPr="007D2A7D">
        <w:rPr>
          <w:rFonts w:ascii="Palatino Linotype" w:eastAsia="MS Mincho" w:hAnsi="Palatino Linotype" w:cs="Arial"/>
          <w:sz w:val="24"/>
          <w:szCs w:val="24"/>
        </w:rPr>
        <w:t>Así, en mérito</w:t>
      </w:r>
      <w:r w:rsidRPr="007D2A7D">
        <w:rPr>
          <w:rFonts w:ascii="Palatino Linotype" w:eastAsia="Calibri" w:hAnsi="Palatino Linotype" w:cs="Arial"/>
          <w:sz w:val="24"/>
          <w:szCs w:val="24"/>
        </w:rPr>
        <w:t xml:space="preserve"> de lo expuesto en líneas anteriores </w:t>
      </w:r>
      <w:r w:rsidRPr="007D2A7D">
        <w:rPr>
          <w:rFonts w:ascii="Palatino Linotype" w:eastAsia="Calibri" w:hAnsi="Palatino Linotype"/>
          <w:noProof/>
          <w:sz w:val="24"/>
          <w:szCs w:val="24"/>
          <w:lang w:eastAsia="es-MX"/>
        </w:rPr>
        <w:t xml:space="preserve">resultan </w:t>
      </w:r>
      <w:r w:rsidRPr="007D2A7D">
        <w:rPr>
          <w:rFonts w:ascii="Palatino Linotype" w:eastAsia="Calibri" w:hAnsi="Palatino Linotype"/>
          <w:b/>
          <w:i/>
          <w:noProof/>
          <w:sz w:val="24"/>
          <w:szCs w:val="24"/>
          <w:lang w:eastAsia="es-MX"/>
        </w:rPr>
        <w:t xml:space="preserve">infundadas e inoperantes </w:t>
      </w:r>
      <w:r w:rsidRPr="007D2A7D">
        <w:rPr>
          <w:rFonts w:ascii="Palatino Linotype" w:eastAsia="Calibri" w:hAnsi="Palatino Linotype"/>
          <w:noProof/>
          <w:sz w:val="24"/>
          <w:szCs w:val="24"/>
          <w:lang w:eastAsia="es-MX"/>
        </w:rPr>
        <w:t xml:space="preserve">las razones o motivos de inconformidad que arguye el </w:t>
      </w:r>
      <w:r w:rsidRPr="007D2A7D">
        <w:rPr>
          <w:rFonts w:ascii="Palatino Linotype" w:eastAsia="Calibri" w:hAnsi="Palatino Linotype"/>
          <w:b/>
          <w:noProof/>
          <w:sz w:val="24"/>
          <w:szCs w:val="24"/>
          <w:lang w:eastAsia="es-MX"/>
        </w:rPr>
        <w:t>Recurrente</w:t>
      </w:r>
      <w:r w:rsidRPr="007D2A7D">
        <w:rPr>
          <w:rFonts w:ascii="Palatino Linotype" w:eastAsia="Calibri" w:hAnsi="Palatino Linotype"/>
          <w:noProof/>
          <w:sz w:val="24"/>
          <w:szCs w:val="24"/>
          <w:lang w:eastAsia="es-MX"/>
        </w:rPr>
        <w:t>,</w:t>
      </w:r>
      <w:r w:rsidR="006B070F">
        <w:rPr>
          <w:rFonts w:ascii="Palatino Linotype" w:eastAsia="Calibri" w:hAnsi="Palatino Linotype"/>
          <w:noProof/>
          <w:sz w:val="24"/>
          <w:szCs w:val="24"/>
          <w:lang w:eastAsia="es-MX"/>
        </w:rPr>
        <w:t xml:space="preserve"> en términso del Considerando Cuarto de la presente resolución,</w:t>
      </w:r>
      <w:r w:rsidRPr="007D2A7D">
        <w:rPr>
          <w:rFonts w:ascii="Palatino Linotype" w:eastAsia="Calibri" w:hAnsi="Palatino Linotype"/>
          <w:noProof/>
          <w:sz w:val="24"/>
          <w:szCs w:val="24"/>
          <w:lang w:eastAsia="es-MX"/>
        </w:rPr>
        <w:t xml:space="preserve"> </w:t>
      </w:r>
      <w:r w:rsidRPr="007D2A7D">
        <w:rPr>
          <w:rFonts w:ascii="Palatino Linotype" w:eastAsia="Calibri" w:hAnsi="Palatino Linotype" w:cs="Arial"/>
          <w:sz w:val="24"/>
          <w:szCs w:val="24"/>
        </w:rPr>
        <w:t xml:space="preserve">por ello con fundamento en el artículo 186, fracción II, de la Ley de Transparencia y Acceso a la Información Pública del </w:t>
      </w:r>
      <w:r w:rsidRPr="007D2A7D">
        <w:rPr>
          <w:rFonts w:ascii="Palatino Linotype" w:eastAsia="Calibri" w:hAnsi="Palatino Linotype" w:cs="Arial"/>
          <w:sz w:val="24"/>
          <w:szCs w:val="24"/>
        </w:rPr>
        <w:lastRenderedPageBreak/>
        <w:t xml:space="preserve">Estado de México y Municipios, se </w:t>
      </w:r>
      <w:r w:rsidRPr="007D2A7D">
        <w:rPr>
          <w:rFonts w:ascii="Palatino Linotype" w:eastAsia="Calibri" w:hAnsi="Palatino Linotype" w:cs="Arial"/>
          <w:b/>
          <w:sz w:val="24"/>
          <w:szCs w:val="24"/>
        </w:rPr>
        <w:t>CONFIRMA</w:t>
      </w:r>
      <w:r w:rsidRPr="007D2A7D">
        <w:rPr>
          <w:rFonts w:ascii="Palatino Linotype" w:eastAsia="Calibri" w:hAnsi="Palatino Linotype" w:cs="Arial"/>
          <w:sz w:val="24"/>
          <w:szCs w:val="24"/>
        </w:rPr>
        <w:t xml:space="preserve"> la respuesta a la solicitud de información pública número: </w:t>
      </w:r>
      <w:r w:rsidR="00287115" w:rsidRPr="00287115">
        <w:rPr>
          <w:rFonts w:ascii="Palatino Linotype" w:eastAsia="Calibri" w:hAnsi="Palatino Linotype" w:cs="Arial"/>
          <w:b/>
          <w:sz w:val="24"/>
          <w:szCs w:val="24"/>
        </w:rPr>
        <w:t>00336/ECATZIN/IP/2019</w:t>
      </w:r>
      <w:r w:rsidRPr="007D2A7D">
        <w:rPr>
          <w:rFonts w:ascii="Palatino Linotype" w:eastAsia="Calibri" w:hAnsi="Palatino Linotype" w:cs="Arial"/>
          <w:sz w:val="24"/>
          <w:szCs w:val="24"/>
        </w:rPr>
        <w:t xml:space="preserve">; </w:t>
      </w:r>
      <w:r w:rsidRPr="007D2A7D">
        <w:rPr>
          <w:rFonts w:ascii="Palatino Linotype" w:eastAsia="Calibri" w:hAnsi="Palatino Linotype"/>
          <w:sz w:val="24"/>
          <w:szCs w:val="24"/>
        </w:rPr>
        <w:t>que ha sido materia del presente fallo, p</w:t>
      </w:r>
      <w:r w:rsidRPr="007D2A7D">
        <w:rPr>
          <w:rFonts w:ascii="Palatino Linotype" w:hAnsi="Palatino Linotype" w:cs="Arial"/>
          <w:sz w:val="24"/>
          <w:szCs w:val="24"/>
        </w:rPr>
        <w:t>or lo antes expuesto y fundado es de resolverse y;</w:t>
      </w:r>
    </w:p>
    <w:p w:rsidR="007D2A7D" w:rsidRDefault="007D2A7D" w:rsidP="007D2A7D">
      <w:pPr>
        <w:spacing w:after="0" w:line="360" w:lineRule="auto"/>
        <w:ind w:right="51"/>
        <w:jc w:val="both"/>
        <w:rPr>
          <w:rFonts w:ascii="Palatino Linotype" w:hAnsi="Palatino Linotype" w:cs="Arial"/>
          <w:sz w:val="24"/>
          <w:szCs w:val="24"/>
        </w:rPr>
      </w:pPr>
    </w:p>
    <w:p w:rsidR="000C0566" w:rsidRDefault="000C0566" w:rsidP="007D2A7D">
      <w:pPr>
        <w:spacing w:after="0" w:line="360" w:lineRule="auto"/>
        <w:ind w:right="51"/>
        <w:jc w:val="both"/>
        <w:rPr>
          <w:rFonts w:ascii="Palatino Linotype" w:hAnsi="Palatino Linotype" w:cs="Arial"/>
          <w:sz w:val="24"/>
          <w:szCs w:val="24"/>
        </w:rPr>
      </w:pPr>
    </w:p>
    <w:p w:rsidR="007D2A7D" w:rsidRDefault="007D2A7D" w:rsidP="007D2A7D">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b/>
          <w:sz w:val="24"/>
          <w:szCs w:val="24"/>
        </w:rPr>
      </w:pPr>
      <w:r w:rsidRPr="007D2A7D">
        <w:rPr>
          <w:rFonts w:ascii="Palatino Linotype" w:eastAsia="Calibri" w:hAnsi="Palatino Linotype" w:cs="Arial"/>
          <w:b/>
          <w:sz w:val="24"/>
          <w:szCs w:val="24"/>
          <w:lang w:val="es-ES_tradnl"/>
        </w:rPr>
        <w:t>PRIMERO.</w:t>
      </w:r>
      <w:r w:rsidRPr="007D2A7D">
        <w:rPr>
          <w:rFonts w:ascii="Palatino Linotype" w:eastAsia="Calibri" w:hAnsi="Palatino Linotype" w:cs="Arial"/>
          <w:sz w:val="24"/>
          <w:szCs w:val="24"/>
          <w:lang w:val="es-ES_tradnl"/>
        </w:rPr>
        <w:t xml:space="preserve"> </w:t>
      </w:r>
      <w:r w:rsidRPr="007D2A7D">
        <w:rPr>
          <w:rFonts w:ascii="Palatino Linotype" w:hAnsi="Palatino Linotype" w:cs="Arial"/>
          <w:sz w:val="24"/>
          <w:szCs w:val="24"/>
        </w:rPr>
        <w:t xml:space="preserve">Se </w:t>
      </w:r>
      <w:r w:rsidR="00ED7339" w:rsidRPr="007D2A7D">
        <w:rPr>
          <w:rFonts w:ascii="Palatino Linotype" w:hAnsi="Palatino Linotype" w:cs="Arial"/>
          <w:b/>
          <w:sz w:val="24"/>
          <w:szCs w:val="24"/>
        </w:rPr>
        <w:t>CONFIRMA</w:t>
      </w:r>
      <w:r w:rsidR="00ED7339" w:rsidRPr="007D2A7D">
        <w:rPr>
          <w:rFonts w:ascii="Palatino Linotype" w:hAnsi="Palatino Linotype" w:cs="Arial"/>
          <w:sz w:val="24"/>
          <w:szCs w:val="24"/>
        </w:rPr>
        <w:t xml:space="preserve"> </w:t>
      </w:r>
      <w:r w:rsidRPr="007D2A7D">
        <w:rPr>
          <w:rFonts w:ascii="Palatino Linotype" w:hAnsi="Palatino Linotype" w:cs="Arial"/>
          <w:sz w:val="24"/>
          <w:szCs w:val="24"/>
        </w:rPr>
        <w:t xml:space="preserve">la respuesta a la solicitud de información: </w:t>
      </w:r>
      <w:r w:rsidR="00E443B6" w:rsidRPr="00287115">
        <w:rPr>
          <w:rFonts w:ascii="Palatino Linotype" w:eastAsia="Calibri" w:hAnsi="Palatino Linotype" w:cs="Arial"/>
          <w:b/>
          <w:sz w:val="24"/>
          <w:szCs w:val="24"/>
        </w:rPr>
        <w:t>00336/ECATZIN/IP/2019</w:t>
      </w:r>
      <w:r w:rsidRPr="007D2A7D">
        <w:rPr>
          <w:rFonts w:ascii="Palatino Linotype" w:eastAsia="Calibri" w:hAnsi="Palatino Linotype" w:cs="Arial"/>
          <w:sz w:val="24"/>
          <w:szCs w:val="24"/>
        </w:rPr>
        <w:t xml:space="preserve">, </w:t>
      </w:r>
      <w:r w:rsidRPr="007D2A7D">
        <w:rPr>
          <w:rFonts w:ascii="Palatino Linotype" w:hAnsi="Palatino Linotype" w:cs="Arial"/>
          <w:sz w:val="24"/>
          <w:szCs w:val="24"/>
        </w:rPr>
        <w:t>por resultar infundadas e inoperantes las razones o motivos de inconformidad hechos valer por la</w:t>
      </w:r>
      <w:r w:rsidRPr="007D2A7D">
        <w:rPr>
          <w:rFonts w:ascii="Palatino Linotype" w:hAnsi="Palatino Linotype" w:cs="Arial"/>
          <w:b/>
          <w:sz w:val="24"/>
          <w:szCs w:val="24"/>
        </w:rPr>
        <w:t xml:space="preserve"> Recurrente</w:t>
      </w:r>
      <w:r w:rsidRPr="007D2A7D">
        <w:rPr>
          <w:rFonts w:ascii="Palatino Linotype" w:hAnsi="Palatino Linotype" w:cs="Arial"/>
          <w:sz w:val="24"/>
          <w:szCs w:val="24"/>
        </w:rPr>
        <w:t xml:space="preserve"> en términos del Considerando </w:t>
      </w:r>
      <w:r w:rsidRPr="007D2A7D">
        <w:rPr>
          <w:rFonts w:ascii="Palatino Linotype" w:hAnsi="Palatino Linotype" w:cs="Arial"/>
          <w:b/>
          <w:sz w:val="24"/>
          <w:szCs w:val="24"/>
        </w:rPr>
        <w:t>CUARTO</w:t>
      </w:r>
      <w:r w:rsidRPr="007D2A7D">
        <w:rPr>
          <w:rFonts w:ascii="Palatino Linotype" w:hAnsi="Palatino Linotype" w:cs="Arial"/>
          <w:sz w:val="24"/>
          <w:szCs w:val="24"/>
        </w:rPr>
        <w:t xml:space="preserve"> de la presente resolución.</w:t>
      </w:r>
    </w:p>
    <w:p w:rsidR="00D60D24" w:rsidRPr="007D2A7D" w:rsidRDefault="00D60D24"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b/>
          <w:sz w:val="24"/>
          <w:szCs w:val="24"/>
        </w:rPr>
        <w:t>SEGUNDO</w:t>
      </w:r>
      <w:r w:rsidRPr="007D2A7D">
        <w:rPr>
          <w:rFonts w:ascii="Palatino Linotype" w:hAnsi="Palatino Linotype" w:cs="Arial"/>
          <w:sz w:val="24"/>
          <w:szCs w:val="24"/>
        </w:rPr>
        <w:t>. Notifíquese la presente resolución al</w:t>
      </w:r>
      <w:r w:rsidRPr="007D2A7D">
        <w:rPr>
          <w:rFonts w:ascii="Palatino Linotype" w:hAnsi="Palatino Linotype"/>
          <w:sz w:val="24"/>
          <w:szCs w:val="24"/>
        </w:rPr>
        <w:t xml:space="preserve"> </w:t>
      </w:r>
      <w:r w:rsidRPr="007D2A7D">
        <w:rPr>
          <w:rFonts w:ascii="Palatino Linotype" w:hAnsi="Palatino Linotype" w:cs="Arial"/>
          <w:sz w:val="24"/>
          <w:szCs w:val="24"/>
        </w:rPr>
        <w:t>Titular</w:t>
      </w:r>
      <w:r w:rsidRPr="007D2A7D">
        <w:rPr>
          <w:rFonts w:ascii="Palatino Linotype" w:hAnsi="Palatino Linotype"/>
          <w:sz w:val="24"/>
          <w:szCs w:val="24"/>
        </w:rPr>
        <w:t xml:space="preserve"> </w:t>
      </w:r>
      <w:r w:rsidRPr="007D2A7D">
        <w:rPr>
          <w:rFonts w:ascii="Palatino Linotype" w:hAnsi="Palatino Linotype" w:cs="Arial"/>
          <w:sz w:val="24"/>
          <w:szCs w:val="24"/>
        </w:rPr>
        <w:t>de la Unidad de Transparencia del Sujeto Obligado mediante el SAIMEX.</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ind w:right="51"/>
        <w:jc w:val="both"/>
        <w:rPr>
          <w:rFonts w:ascii="Palatino Linotype" w:hAnsi="Palatino Linotype" w:cs="Arial"/>
          <w:sz w:val="24"/>
          <w:szCs w:val="24"/>
        </w:rPr>
      </w:pPr>
      <w:r w:rsidRPr="007D2A7D">
        <w:rPr>
          <w:rFonts w:ascii="Palatino Linotype" w:hAnsi="Palatino Linotype" w:cs="Arial"/>
          <w:b/>
          <w:sz w:val="24"/>
          <w:szCs w:val="24"/>
        </w:rPr>
        <w:t>TERCERO</w:t>
      </w:r>
      <w:r w:rsidRPr="007D2A7D">
        <w:rPr>
          <w:rFonts w:ascii="Palatino Linotype" w:hAnsi="Palatino Linotype" w:cs="Arial"/>
          <w:sz w:val="24"/>
          <w:szCs w:val="24"/>
        </w:rPr>
        <w:t xml:space="preserve">. Notifíquese al recurrente </w:t>
      </w:r>
      <w:r w:rsidR="00160806">
        <w:rPr>
          <w:rFonts w:ascii="Palatino Linotype" w:hAnsi="Palatino Linotype" w:cs="Arial"/>
          <w:sz w:val="24"/>
          <w:szCs w:val="24"/>
        </w:rPr>
        <w:t>la presente resolución a través del</w:t>
      </w:r>
      <w:r w:rsidRPr="007D2A7D">
        <w:rPr>
          <w:rFonts w:ascii="Palatino Linotype" w:hAnsi="Palatino Linotype" w:cs="Arial"/>
          <w:sz w:val="24"/>
          <w:szCs w:val="24"/>
        </w:rPr>
        <w:t xml:space="preserve"> SAIMEX, haciéndole saber que de conformidad con lo establecido en el artículo 196 de la Ley de Transparencia y Acceso a la Información Pública del Estado de México y Municipios, podrá impugnarla vía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UNANIMIDAD DE VOTOS, EL PLENO DEL INSTITUTO DE TRANSPARENCIA, ACCESO A LA INFORMACIÓN PÚBLICA Y PROTECCIÓN </w:t>
      </w:r>
      <w:r w:rsidRPr="007D2A7D">
        <w:rPr>
          <w:rFonts w:ascii="Palatino Linotype" w:hAnsi="Palatino Linotype" w:cs="Arial"/>
          <w:sz w:val="24"/>
          <w:szCs w:val="24"/>
        </w:rPr>
        <w:lastRenderedPageBreak/>
        <w:t>DE DATOS PERSONALES DEL ESTADO DE MÉXICO Y MUNICIPIOS, CONFORMADO POR LOS COMISIONADOS ZULEMA MARTÍNEZ SÁNCHEZ, EVA ABAID YAPUR, JOSÉ GUADALUPE LUNA HERNÁNDEZ, JAVIER MARTÍNEZ CRUZ</w:t>
      </w:r>
      <w:r w:rsidR="00873A17">
        <w:rPr>
          <w:rFonts w:ascii="Palatino Linotype" w:hAnsi="Palatino Linotype" w:cs="Arial"/>
          <w:sz w:val="24"/>
          <w:szCs w:val="24"/>
        </w:rPr>
        <w:t xml:space="preserve"> CON VOTO PARTICULAR</w:t>
      </w:r>
      <w:r w:rsidRPr="007D2A7D">
        <w:rPr>
          <w:rFonts w:ascii="Palatino Linotype" w:hAnsi="Palatino Linotype" w:cs="Arial"/>
          <w:sz w:val="24"/>
          <w:szCs w:val="24"/>
        </w:rPr>
        <w:t xml:space="preserve"> Y LUIS GUSTAVO PARRA NORIEGA, </w:t>
      </w:r>
      <w:r w:rsidR="00873A17">
        <w:rPr>
          <w:rFonts w:ascii="Palatino Linotype" w:hAnsi="Palatino Linotype" w:cs="Arial"/>
          <w:sz w:val="24"/>
          <w:szCs w:val="24"/>
        </w:rPr>
        <w:t>EN LA TERCERA SESIÓN ORDINARIA CELEBRADA EL VEINTINUEVE DE ENERO DE DOS MIL VEINTE</w:t>
      </w:r>
      <w:r w:rsidRPr="007D2A7D">
        <w:rPr>
          <w:rFonts w:ascii="Palatino Linotype" w:hAnsi="Palatino Linotype" w:cs="Arial"/>
          <w:sz w:val="24"/>
          <w:szCs w:val="24"/>
        </w:rPr>
        <w:t>, ANTE EL SECRETARIO TÉCNICO DEL PLENO, ALEXIS TAPIA RAMÍREZ. ============</w:t>
      </w:r>
      <w:r w:rsidR="00873A17">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 =========================================================================</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w:t>
      </w:r>
      <w:r w:rsidR="00EA5483">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5567AC" w:rsidRPr="005567AC">
        <w:rPr>
          <w:rFonts w:ascii="Palatino Linotype" w:hAnsi="Palatino Linotype" w:cs="Arial"/>
          <w:sz w:val="20"/>
          <w:szCs w:val="20"/>
        </w:rPr>
        <w:t>veintinueve de enero de dos mil veinte</w:t>
      </w:r>
      <w:r w:rsidRPr="00363A57">
        <w:rPr>
          <w:rFonts w:ascii="Palatino Linotype" w:hAnsi="Palatino Linotype" w:cs="Arial"/>
          <w:sz w:val="20"/>
          <w:szCs w:val="20"/>
        </w:rPr>
        <w:t xml:space="preserve">, emitida en el recurso de revisión </w:t>
      </w:r>
      <w:r w:rsidRPr="005567AC">
        <w:rPr>
          <w:rFonts w:ascii="Palatino Linotype" w:hAnsi="Palatino Linotype" w:cs="Arial"/>
          <w:sz w:val="20"/>
          <w:szCs w:val="20"/>
        </w:rPr>
        <w:t>0</w:t>
      </w:r>
      <w:r w:rsidR="005567AC">
        <w:rPr>
          <w:rFonts w:ascii="Palatino Linotype" w:hAnsi="Palatino Linotype" w:cs="Arial"/>
          <w:sz w:val="20"/>
          <w:szCs w:val="20"/>
        </w:rPr>
        <w:t>8550</w:t>
      </w:r>
      <w:r w:rsidRPr="005567AC">
        <w:rPr>
          <w:rFonts w:ascii="Palatino Linotype" w:hAnsi="Palatino Linotype" w:cs="Arial"/>
          <w:sz w:val="20"/>
          <w:szCs w:val="20"/>
        </w:rPr>
        <w:t>/INFOEM/IP/RR/2019</w:t>
      </w:r>
      <w:r w:rsidR="005567AC">
        <w:rPr>
          <w:rFonts w:ascii="Palatino Linotype" w:hAnsi="Palatino Linotype" w:cs="Arial"/>
          <w:sz w:val="20"/>
          <w:szCs w:val="20"/>
        </w:rPr>
        <w:t xml:space="preserve"> y acumulado.</w:t>
      </w:r>
    </w:p>
    <w:p w:rsidR="007E2E80" w:rsidRPr="005567AC" w:rsidRDefault="007D2A7D" w:rsidP="00EA5483">
      <w:pPr>
        <w:spacing w:after="0" w:line="240" w:lineRule="auto"/>
        <w:jc w:val="both"/>
        <w:rPr>
          <w:rFonts w:ascii="Palatino Linotype" w:hAnsi="Palatino Linotype" w:cs="Arial"/>
          <w:sz w:val="20"/>
          <w:szCs w:val="20"/>
        </w:rPr>
      </w:pPr>
      <w:r w:rsidRPr="005567AC">
        <w:rPr>
          <w:rFonts w:ascii="Palatino Linotype" w:hAnsi="Palatino Linotype" w:cs="Arial"/>
          <w:sz w:val="20"/>
          <w:szCs w:val="20"/>
        </w:rPr>
        <w:t>OSAM/ROA</w:t>
      </w:r>
    </w:p>
    <w:sectPr w:rsidR="007E2E80" w:rsidRPr="005567AC"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E5" w:rsidRDefault="00350BE5" w:rsidP="007E2E80">
      <w:pPr>
        <w:spacing w:after="0" w:line="240" w:lineRule="auto"/>
      </w:pPr>
      <w:r>
        <w:separator/>
      </w:r>
    </w:p>
  </w:endnote>
  <w:endnote w:type="continuationSeparator" w:id="0">
    <w:p w:rsidR="00350BE5" w:rsidRDefault="00350BE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034D">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034D">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03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034D">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E5" w:rsidRDefault="00350BE5" w:rsidP="007E2E80">
      <w:pPr>
        <w:spacing w:after="0" w:line="240" w:lineRule="auto"/>
      </w:pPr>
      <w:r>
        <w:separator/>
      </w:r>
    </w:p>
  </w:footnote>
  <w:footnote w:type="continuationSeparator" w:id="0">
    <w:p w:rsidR="00350BE5" w:rsidRDefault="00350BE5"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1057" w:type="dxa"/>
      <w:tblInd w:w="-851" w:type="dxa"/>
      <w:tblCellMar>
        <w:left w:w="70" w:type="dxa"/>
        <w:right w:w="70" w:type="dxa"/>
      </w:tblCellMar>
      <w:tblLook w:val="04A0" w:firstRow="1" w:lastRow="0" w:firstColumn="1" w:lastColumn="0" w:noHBand="0" w:noVBand="1"/>
    </w:tblPr>
    <w:tblGrid>
      <w:gridCol w:w="7655"/>
      <w:gridCol w:w="3402"/>
    </w:tblGrid>
    <w:tr w:rsidR="00295503" w:rsidTr="00893173">
      <w:trPr>
        <w:trHeight w:val="227"/>
      </w:trPr>
      <w:tc>
        <w:tcPr>
          <w:tcW w:w="7655"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295503" w:rsidRDefault="00893173" w:rsidP="00893173">
          <w:pPr>
            <w:spacing w:after="120" w:line="256" w:lineRule="auto"/>
            <w:ind w:right="72"/>
            <w:rPr>
              <w:rFonts w:ascii="Palatino Linotype" w:hAnsi="Palatino Linotype" w:cs="Arial"/>
              <w:szCs w:val="20"/>
            </w:rPr>
          </w:pPr>
          <w:r>
            <w:rPr>
              <w:rFonts w:ascii="Palatino Linotype" w:hAnsi="Palatino Linotype" w:cs="Arial"/>
              <w:bCs/>
              <w:sz w:val="24"/>
              <w:lang w:eastAsia="es-MX"/>
            </w:rPr>
            <w:t>10145</w:t>
          </w:r>
          <w:r w:rsidR="005353A8">
            <w:rPr>
              <w:rFonts w:ascii="Palatino Linotype" w:hAnsi="Palatino Linotype" w:cs="Arial"/>
              <w:bCs/>
              <w:sz w:val="24"/>
              <w:lang w:eastAsia="es-MX"/>
            </w:rPr>
            <w:t xml:space="preserve">/INFOEM/IP/RR/2019 </w:t>
          </w:r>
        </w:p>
      </w:tc>
    </w:tr>
    <w:tr w:rsidR="00295503" w:rsidTr="00893173">
      <w:trPr>
        <w:trHeight w:val="242"/>
      </w:trPr>
      <w:tc>
        <w:tcPr>
          <w:tcW w:w="7655"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295503" w:rsidRDefault="00893173" w:rsidP="00893173">
          <w:pPr>
            <w:spacing w:after="120" w:line="256" w:lineRule="auto"/>
            <w:ind w:left="72" w:right="72"/>
            <w:rPr>
              <w:rFonts w:ascii="Palatino Linotype" w:hAnsi="Palatino Linotype" w:cs="Arial"/>
              <w:szCs w:val="20"/>
            </w:rPr>
          </w:pPr>
          <w:r>
            <w:rPr>
              <w:rFonts w:ascii="Palatino Linotype" w:hAnsi="Palatino Linotype" w:cs="Arial"/>
              <w:bCs/>
              <w:sz w:val="24"/>
              <w:lang w:eastAsia="es-MX"/>
            </w:rPr>
            <w:t>Ayuntamiento de Ecatzingo</w:t>
          </w:r>
        </w:p>
      </w:tc>
    </w:tr>
    <w:tr w:rsidR="00295503" w:rsidTr="00893173">
      <w:trPr>
        <w:trHeight w:val="342"/>
      </w:trPr>
      <w:tc>
        <w:tcPr>
          <w:tcW w:w="7655"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8" w:type="dxa"/>
      <w:tblInd w:w="-5" w:type="dxa"/>
      <w:tblLayout w:type="fixed"/>
      <w:tblCellMar>
        <w:left w:w="70" w:type="dxa"/>
        <w:right w:w="70" w:type="dxa"/>
      </w:tblCellMar>
      <w:tblLook w:val="04A0" w:firstRow="1" w:lastRow="0" w:firstColumn="1" w:lastColumn="0" w:noHBand="0" w:noVBand="1"/>
    </w:tblPr>
    <w:tblGrid>
      <w:gridCol w:w="6526"/>
      <w:gridCol w:w="3402"/>
    </w:tblGrid>
    <w:tr w:rsidR="00295503" w:rsidTr="00893173">
      <w:trPr>
        <w:trHeight w:val="227"/>
      </w:trPr>
      <w:tc>
        <w:tcPr>
          <w:tcW w:w="6526"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1B082D" w:rsidRPr="00893173" w:rsidRDefault="00893173" w:rsidP="007C12A0">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1015</w:t>
          </w:r>
          <w:r w:rsidR="007C12A0">
            <w:rPr>
              <w:rFonts w:ascii="Palatino Linotype" w:hAnsi="Palatino Linotype" w:cs="Arial"/>
              <w:bCs/>
              <w:sz w:val="24"/>
              <w:lang w:eastAsia="es-MX"/>
            </w:rPr>
            <w:t>0</w:t>
          </w:r>
          <w:r w:rsidR="00295503">
            <w:rPr>
              <w:rFonts w:ascii="Palatino Linotype" w:hAnsi="Palatino Linotype" w:cs="Arial"/>
              <w:bCs/>
              <w:sz w:val="24"/>
              <w:lang w:eastAsia="es-MX"/>
            </w:rPr>
            <w:t>/INFOEM/IP/RR/2019</w:t>
          </w:r>
        </w:p>
      </w:tc>
    </w:tr>
    <w:tr w:rsidR="00295503" w:rsidTr="00893173">
      <w:trPr>
        <w:trHeight w:val="196"/>
      </w:trPr>
      <w:tc>
        <w:tcPr>
          <w:tcW w:w="6526"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402" w:type="dxa"/>
          <w:hideMark/>
        </w:tcPr>
        <w:p w:rsidR="00295503" w:rsidRPr="00F06FED" w:rsidRDefault="0005034D"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893173">
      <w:trPr>
        <w:trHeight w:val="242"/>
      </w:trPr>
      <w:tc>
        <w:tcPr>
          <w:tcW w:w="6526"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295503" w:rsidRPr="00BD7B15" w:rsidRDefault="00893173" w:rsidP="00BD7B15">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Ayuntamiento de Ecatzingo</w:t>
          </w:r>
        </w:p>
      </w:tc>
    </w:tr>
    <w:tr w:rsidR="00295503" w:rsidTr="00893173">
      <w:trPr>
        <w:trHeight w:val="342"/>
      </w:trPr>
      <w:tc>
        <w:tcPr>
          <w:tcW w:w="6526"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6"/>
  </w:num>
  <w:num w:numId="5">
    <w:abstractNumId w:val="4"/>
  </w:num>
  <w:num w:numId="6">
    <w:abstractNumId w:val="3"/>
  </w:num>
  <w:num w:numId="7">
    <w:abstractNumId w:val="19"/>
  </w:num>
  <w:num w:numId="8">
    <w:abstractNumId w:val="17"/>
  </w:num>
  <w:num w:numId="9">
    <w:abstractNumId w:val="24"/>
  </w:num>
  <w:num w:numId="10">
    <w:abstractNumId w:val="5"/>
  </w:num>
  <w:num w:numId="11">
    <w:abstractNumId w:val="25"/>
  </w:num>
  <w:num w:numId="12">
    <w:abstractNumId w:val="21"/>
  </w:num>
  <w:num w:numId="13">
    <w:abstractNumId w:val="20"/>
  </w:num>
  <w:num w:numId="14">
    <w:abstractNumId w:val="13"/>
  </w:num>
  <w:num w:numId="15">
    <w:abstractNumId w:val="2"/>
  </w:num>
  <w:num w:numId="16">
    <w:abstractNumId w:val="7"/>
  </w:num>
  <w:num w:numId="17">
    <w:abstractNumId w:val="16"/>
  </w:num>
  <w:num w:numId="18">
    <w:abstractNumId w:val="23"/>
  </w:num>
  <w:num w:numId="19">
    <w:abstractNumId w:val="22"/>
  </w:num>
  <w:num w:numId="20">
    <w:abstractNumId w:val="14"/>
  </w:num>
  <w:num w:numId="21">
    <w:abstractNumId w:val="9"/>
  </w:num>
  <w:num w:numId="22">
    <w:abstractNumId w:val="15"/>
  </w:num>
  <w:num w:numId="23">
    <w:abstractNumId w:val="11"/>
  </w:num>
  <w:num w:numId="24">
    <w:abstractNumId w:val="18"/>
  </w:num>
  <w:num w:numId="25">
    <w:abstractNumId w:val="10"/>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11A0"/>
    <w:rsid w:val="00022E72"/>
    <w:rsid w:val="000276E0"/>
    <w:rsid w:val="00031486"/>
    <w:rsid w:val="00032DBD"/>
    <w:rsid w:val="00033949"/>
    <w:rsid w:val="00033A37"/>
    <w:rsid w:val="00037385"/>
    <w:rsid w:val="000402BD"/>
    <w:rsid w:val="00043018"/>
    <w:rsid w:val="0005034D"/>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7188"/>
    <w:rsid w:val="000B50F3"/>
    <w:rsid w:val="000B6962"/>
    <w:rsid w:val="000B7CC1"/>
    <w:rsid w:val="000C0566"/>
    <w:rsid w:val="000C3FE2"/>
    <w:rsid w:val="000C54CB"/>
    <w:rsid w:val="000D203E"/>
    <w:rsid w:val="000D26E6"/>
    <w:rsid w:val="000D47AB"/>
    <w:rsid w:val="000D65BE"/>
    <w:rsid w:val="000D6982"/>
    <w:rsid w:val="000D756B"/>
    <w:rsid w:val="000E48EE"/>
    <w:rsid w:val="000E7C0A"/>
    <w:rsid w:val="000F199E"/>
    <w:rsid w:val="000F3722"/>
    <w:rsid w:val="000F5647"/>
    <w:rsid w:val="000F74DE"/>
    <w:rsid w:val="001001E8"/>
    <w:rsid w:val="0010112C"/>
    <w:rsid w:val="001050A6"/>
    <w:rsid w:val="00106160"/>
    <w:rsid w:val="001110E1"/>
    <w:rsid w:val="001126BD"/>
    <w:rsid w:val="00114C3C"/>
    <w:rsid w:val="00116B4C"/>
    <w:rsid w:val="00122CD0"/>
    <w:rsid w:val="0012508A"/>
    <w:rsid w:val="0013112A"/>
    <w:rsid w:val="001324C5"/>
    <w:rsid w:val="00132E9F"/>
    <w:rsid w:val="00135494"/>
    <w:rsid w:val="0013562E"/>
    <w:rsid w:val="001367E5"/>
    <w:rsid w:val="00136A4D"/>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6114"/>
    <w:rsid w:val="001D61D0"/>
    <w:rsid w:val="001E07AC"/>
    <w:rsid w:val="001E1E50"/>
    <w:rsid w:val="001E40B4"/>
    <w:rsid w:val="001E60B7"/>
    <w:rsid w:val="001E6163"/>
    <w:rsid w:val="001F021C"/>
    <w:rsid w:val="001F2BC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4270D"/>
    <w:rsid w:val="002450D9"/>
    <w:rsid w:val="00247E1F"/>
    <w:rsid w:val="00254523"/>
    <w:rsid w:val="002572CF"/>
    <w:rsid w:val="0026175D"/>
    <w:rsid w:val="0026191D"/>
    <w:rsid w:val="00271762"/>
    <w:rsid w:val="00275E42"/>
    <w:rsid w:val="00280B7B"/>
    <w:rsid w:val="00282690"/>
    <w:rsid w:val="0028585E"/>
    <w:rsid w:val="00287072"/>
    <w:rsid w:val="00287115"/>
    <w:rsid w:val="00290397"/>
    <w:rsid w:val="00295503"/>
    <w:rsid w:val="00296F49"/>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F044A"/>
    <w:rsid w:val="002F0481"/>
    <w:rsid w:val="002F160B"/>
    <w:rsid w:val="002F17FB"/>
    <w:rsid w:val="002F47D7"/>
    <w:rsid w:val="002F6B8E"/>
    <w:rsid w:val="00301A01"/>
    <w:rsid w:val="003021C1"/>
    <w:rsid w:val="00303FAF"/>
    <w:rsid w:val="00304C91"/>
    <w:rsid w:val="00307784"/>
    <w:rsid w:val="00310760"/>
    <w:rsid w:val="00311191"/>
    <w:rsid w:val="00312E7E"/>
    <w:rsid w:val="00315192"/>
    <w:rsid w:val="00326D4D"/>
    <w:rsid w:val="00327932"/>
    <w:rsid w:val="00336EDF"/>
    <w:rsid w:val="0033729E"/>
    <w:rsid w:val="00344583"/>
    <w:rsid w:val="00347674"/>
    <w:rsid w:val="00350BE5"/>
    <w:rsid w:val="00353E3E"/>
    <w:rsid w:val="00363308"/>
    <w:rsid w:val="00365ADF"/>
    <w:rsid w:val="00366574"/>
    <w:rsid w:val="003666BD"/>
    <w:rsid w:val="00366D3F"/>
    <w:rsid w:val="00374450"/>
    <w:rsid w:val="00375FF5"/>
    <w:rsid w:val="0037690F"/>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4FE7"/>
    <w:rsid w:val="003C6B46"/>
    <w:rsid w:val="003C71D4"/>
    <w:rsid w:val="003C74AF"/>
    <w:rsid w:val="003D2672"/>
    <w:rsid w:val="003D2A1C"/>
    <w:rsid w:val="003D3420"/>
    <w:rsid w:val="003E08B9"/>
    <w:rsid w:val="003F046E"/>
    <w:rsid w:val="00400852"/>
    <w:rsid w:val="0040117C"/>
    <w:rsid w:val="00404F9D"/>
    <w:rsid w:val="00405574"/>
    <w:rsid w:val="00406B61"/>
    <w:rsid w:val="004071A4"/>
    <w:rsid w:val="00407282"/>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51FF"/>
    <w:rsid w:val="004B05FA"/>
    <w:rsid w:val="004B2C63"/>
    <w:rsid w:val="004B4721"/>
    <w:rsid w:val="004C51D1"/>
    <w:rsid w:val="004C7E18"/>
    <w:rsid w:val="004D6AB3"/>
    <w:rsid w:val="004E3718"/>
    <w:rsid w:val="004F239F"/>
    <w:rsid w:val="004F483E"/>
    <w:rsid w:val="004F4B8F"/>
    <w:rsid w:val="0050104C"/>
    <w:rsid w:val="005023F4"/>
    <w:rsid w:val="005033CC"/>
    <w:rsid w:val="00516BA8"/>
    <w:rsid w:val="005209D1"/>
    <w:rsid w:val="0052393E"/>
    <w:rsid w:val="00524986"/>
    <w:rsid w:val="00525BC2"/>
    <w:rsid w:val="005328FB"/>
    <w:rsid w:val="005353A8"/>
    <w:rsid w:val="00537419"/>
    <w:rsid w:val="00537D90"/>
    <w:rsid w:val="00541B17"/>
    <w:rsid w:val="005421C7"/>
    <w:rsid w:val="005448FA"/>
    <w:rsid w:val="005567AC"/>
    <w:rsid w:val="00560791"/>
    <w:rsid w:val="00565F31"/>
    <w:rsid w:val="00566699"/>
    <w:rsid w:val="00572DFB"/>
    <w:rsid w:val="005733EB"/>
    <w:rsid w:val="00574300"/>
    <w:rsid w:val="0057534D"/>
    <w:rsid w:val="00577E1C"/>
    <w:rsid w:val="0058697B"/>
    <w:rsid w:val="00590126"/>
    <w:rsid w:val="00591149"/>
    <w:rsid w:val="00591988"/>
    <w:rsid w:val="00592D52"/>
    <w:rsid w:val="00596856"/>
    <w:rsid w:val="005A117C"/>
    <w:rsid w:val="005A6F55"/>
    <w:rsid w:val="005B2A31"/>
    <w:rsid w:val="005B50EC"/>
    <w:rsid w:val="005B6302"/>
    <w:rsid w:val="005B7E58"/>
    <w:rsid w:val="005C04BF"/>
    <w:rsid w:val="005C057C"/>
    <w:rsid w:val="005C76D5"/>
    <w:rsid w:val="005D02A8"/>
    <w:rsid w:val="005D30EB"/>
    <w:rsid w:val="005D5EEB"/>
    <w:rsid w:val="005D6173"/>
    <w:rsid w:val="005E3F88"/>
    <w:rsid w:val="005E5E95"/>
    <w:rsid w:val="005F0A37"/>
    <w:rsid w:val="005F58B1"/>
    <w:rsid w:val="005F724A"/>
    <w:rsid w:val="0060031A"/>
    <w:rsid w:val="00600575"/>
    <w:rsid w:val="00600D67"/>
    <w:rsid w:val="0060633A"/>
    <w:rsid w:val="006105E0"/>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610F"/>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2C7E"/>
    <w:rsid w:val="006A3A54"/>
    <w:rsid w:val="006A561E"/>
    <w:rsid w:val="006A729B"/>
    <w:rsid w:val="006B070F"/>
    <w:rsid w:val="006B4DFD"/>
    <w:rsid w:val="006B5E24"/>
    <w:rsid w:val="006C43CE"/>
    <w:rsid w:val="006C6176"/>
    <w:rsid w:val="006D01DC"/>
    <w:rsid w:val="006D1136"/>
    <w:rsid w:val="006D254A"/>
    <w:rsid w:val="006D38BF"/>
    <w:rsid w:val="006D4AD4"/>
    <w:rsid w:val="006D780C"/>
    <w:rsid w:val="006E0601"/>
    <w:rsid w:val="006E2D42"/>
    <w:rsid w:val="006E546F"/>
    <w:rsid w:val="006E6394"/>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1BBC"/>
    <w:rsid w:val="0075676A"/>
    <w:rsid w:val="0076120C"/>
    <w:rsid w:val="007619EE"/>
    <w:rsid w:val="00763D73"/>
    <w:rsid w:val="007640C8"/>
    <w:rsid w:val="007676AF"/>
    <w:rsid w:val="00767E91"/>
    <w:rsid w:val="00776087"/>
    <w:rsid w:val="00785145"/>
    <w:rsid w:val="00786497"/>
    <w:rsid w:val="007867F3"/>
    <w:rsid w:val="00790289"/>
    <w:rsid w:val="0079496F"/>
    <w:rsid w:val="00794D57"/>
    <w:rsid w:val="00795882"/>
    <w:rsid w:val="00797BE3"/>
    <w:rsid w:val="007A0571"/>
    <w:rsid w:val="007A223B"/>
    <w:rsid w:val="007A4E13"/>
    <w:rsid w:val="007B0292"/>
    <w:rsid w:val="007B0801"/>
    <w:rsid w:val="007B0E30"/>
    <w:rsid w:val="007B1050"/>
    <w:rsid w:val="007B3810"/>
    <w:rsid w:val="007C11C3"/>
    <w:rsid w:val="007C12A0"/>
    <w:rsid w:val="007D0CFF"/>
    <w:rsid w:val="007D1347"/>
    <w:rsid w:val="007D2A7D"/>
    <w:rsid w:val="007D79C6"/>
    <w:rsid w:val="007E2E80"/>
    <w:rsid w:val="007E39F7"/>
    <w:rsid w:val="007E585D"/>
    <w:rsid w:val="007F054B"/>
    <w:rsid w:val="007F1984"/>
    <w:rsid w:val="007F282E"/>
    <w:rsid w:val="007F4CDF"/>
    <w:rsid w:val="007F7846"/>
    <w:rsid w:val="0080248F"/>
    <w:rsid w:val="008041A7"/>
    <w:rsid w:val="008103B2"/>
    <w:rsid w:val="0081299A"/>
    <w:rsid w:val="00821898"/>
    <w:rsid w:val="00823454"/>
    <w:rsid w:val="00824894"/>
    <w:rsid w:val="00830360"/>
    <w:rsid w:val="008307E5"/>
    <w:rsid w:val="00836B75"/>
    <w:rsid w:val="008410A3"/>
    <w:rsid w:val="0084469C"/>
    <w:rsid w:val="008455DC"/>
    <w:rsid w:val="00853CC3"/>
    <w:rsid w:val="008659E5"/>
    <w:rsid w:val="00867D56"/>
    <w:rsid w:val="00870064"/>
    <w:rsid w:val="008725EE"/>
    <w:rsid w:val="008731D1"/>
    <w:rsid w:val="00873A17"/>
    <w:rsid w:val="00882E8A"/>
    <w:rsid w:val="00887852"/>
    <w:rsid w:val="00887AB7"/>
    <w:rsid w:val="00892543"/>
    <w:rsid w:val="00893173"/>
    <w:rsid w:val="008A1C19"/>
    <w:rsid w:val="008A46B7"/>
    <w:rsid w:val="008A6D61"/>
    <w:rsid w:val="008A75B0"/>
    <w:rsid w:val="008B2BCF"/>
    <w:rsid w:val="008C0E72"/>
    <w:rsid w:val="008C0F70"/>
    <w:rsid w:val="008C2010"/>
    <w:rsid w:val="008C2971"/>
    <w:rsid w:val="008C651F"/>
    <w:rsid w:val="008C7CEB"/>
    <w:rsid w:val="008D0121"/>
    <w:rsid w:val="008D17A8"/>
    <w:rsid w:val="008E572E"/>
    <w:rsid w:val="008E63C2"/>
    <w:rsid w:val="008F3BD7"/>
    <w:rsid w:val="008F741F"/>
    <w:rsid w:val="00903599"/>
    <w:rsid w:val="00905CE1"/>
    <w:rsid w:val="00912536"/>
    <w:rsid w:val="009151CF"/>
    <w:rsid w:val="009242AD"/>
    <w:rsid w:val="009272C6"/>
    <w:rsid w:val="00930F68"/>
    <w:rsid w:val="009339EC"/>
    <w:rsid w:val="00936CE7"/>
    <w:rsid w:val="0093743A"/>
    <w:rsid w:val="009375FB"/>
    <w:rsid w:val="00942349"/>
    <w:rsid w:val="00943711"/>
    <w:rsid w:val="00943B37"/>
    <w:rsid w:val="00950ABA"/>
    <w:rsid w:val="00954DC1"/>
    <w:rsid w:val="00960D8F"/>
    <w:rsid w:val="0096284F"/>
    <w:rsid w:val="0096359D"/>
    <w:rsid w:val="00963E20"/>
    <w:rsid w:val="00967270"/>
    <w:rsid w:val="0097416D"/>
    <w:rsid w:val="009759F9"/>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D1E63"/>
    <w:rsid w:val="009D34B0"/>
    <w:rsid w:val="009D4DDB"/>
    <w:rsid w:val="009D56AA"/>
    <w:rsid w:val="009E0089"/>
    <w:rsid w:val="009E2FAF"/>
    <w:rsid w:val="009E396D"/>
    <w:rsid w:val="009E43E1"/>
    <w:rsid w:val="009E7128"/>
    <w:rsid w:val="009F223E"/>
    <w:rsid w:val="009F7B22"/>
    <w:rsid w:val="00A008BF"/>
    <w:rsid w:val="00A01F59"/>
    <w:rsid w:val="00A06551"/>
    <w:rsid w:val="00A066AD"/>
    <w:rsid w:val="00A10000"/>
    <w:rsid w:val="00A10775"/>
    <w:rsid w:val="00A112EB"/>
    <w:rsid w:val="00A2199B"/>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481C"/>
    <w:rsid w:val="00AB5115"/>
    <w:rsid w:val="00AB5DA8"/>
    <w:rsid w:val="00AB63C1"/>
    <w:rsid w:val="00AB6FE4"/>
    <w:rsid w:val="00AD0168"/>
    <w:rsid w:val="00AD3C94"/>
    <w:rsid w:val="00AD4AD8"/>
    <w:rsid w:val="00AD7189"/>
    <w:rsid w:val="00AE658B"/>
    <w:rsid w:val="00AF03D2"/>
    <w:rsid w:val="00AF145F"/>
    <w:rsid w:val="00AF1F1C"/>
    <w:rsid w:val="00AF2D17"/>
    <w:rsid w:val="00B06F82"/>
    <w:rsid w:val="00B070F5"/>
    <w:rsid w:val="00B1130B"/>
    <w:rsid w:val="00B12CBA"/>
    <w:rsid w:val="00B16CAC"/>
    <w:rsid w:val="00B303EA"/>
    <w:rsid w:val="00B31ACE"/>
    <w:rsid w:val="00B31BB2"/>
    <w:rsid w:val="00B33A21"/>
    <w:rsid w:val="00B34950"/>
    <w:rsid w:val="00B36915"/>
    <w:rsid w:val="00B37304"/>
    <w:rsid w:val="00B40D19"/>
    <w:rsid w:val="00B501B2"/>
    <w:rsid w:val="00B50E01"/>
    <w:rsid w:val="00B51B2F"/>
    <w:rsid w:val="00B549E1"/>
    <w:rsid w:val="00B56587"/>
    <w:rsid w:val="00B649E6"/>
    <w:rsid w:val="00B75842"/>
    <w:rsid w:val="00B81C51"/>
    <w:rsid w:val="00B93C5C"/>
    <w:rsid w:val="00B97CAC"/>
    <w:rsid w:val="00BA11F9"/>
    <w:rsid w:val="00BA6922"/>
    <w:rsid w:val="00BA69A0"/>
    <w:rsid w:val="00BA79BA"/>
    <w:rsid w:val="00BB2359"/>
    <w:rsid w:val="00BB707A"/>
    <w:rsid w:val="00BC1DCE"/>
    <w:rsid w:val="00BC55DA"/>
    <w:rsid w:val="00BC64D4"/>
    <w:rsid w:val="00BD1536"/>
    <w:rsid w:val="00BD1DE7"/>
    <w:rsid w:val="00BD20DA"/>
    <w:rsid w:val="00BD6AD7"/>
    <w:rsid w:val="00BD7B15"/>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2107B"/>
    <w:rsid w:val="00C2473C"/>
    <w:rsid w:val="00C25822"/>
    <w:rsid w:val="00C25B89"/>
    <w:rsid w:val="00C277F4"/>
    <w:rsid w:val="00C34B47"/>
    <w:rsid w:val="00C35F18"/>
    <w:rsid w:val="00C40345"/>
    <w:rsid w:val="00C40AF4"/>
    <w:rsid w:val="00C44F56"/>
    <w:rsid w:val="00C51D29"/>
    <w:rsid w:val="00C60835"/>
    <w:rsid w:val="00C61A53"/>
    <w:rsid w:val="00C67A59"/>
    <w:rsid w:val="00C738E4"/>
    <w:rsid w:val="00C746BB"/>
    <w:rsid w:val="00C8573E"/>
    <w:rsid w:val="00C868EA"/>
    <w:rsid w:val="00C90CE9"/>
    <w:rsid w:val="00C911DE"/>
    <w:rsid w:val="00C921D5"/>
    <w:rsid w:val="00C93EEE"/>
    <w:rsid w:val="00C95F13"/>
    <w:rsid w:val="00CA2ED9"/>
    <w:rsid w:val="00CA3DD3"/>
    <w:rsid w:val="00CA5EC1"/>
    <w:rsid w:val="00CC2A3A"/>
    <w:rsid w:val="00CD410A"/>
    <w:rsid w:val="00CD4230"/>
    <w:rsid w:val="00CD5D9E"/>
    <w:rsid w:val="00CE15C8"/>
    <w:rsid w:val="00CE36B2"/>
    <w:rsid w:val="00CF27C6"/>
    <w:rsid w:val="00CF505E"/>
    <w:rsid w:val="00CF66C4"/>
    <w:rsid w:val="00CF7E3D"/>
    <w:rsid w:val="00D017F5"/>
    <w:rsid w:val="00D01B24"/>
    <w:rsid w:val="00D020E2"/>
    <w:rsid w:val="00D033C3"/>
    <w:rsid w:val="00D04234"/>
    <w:rsid w:val="00D04E44"/>
    <w:rsid w:val="00D0540D"/>
    <w:rsid w:val="00D0673B"/>
    <w:rsid w:val="00D0685A"/>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889"/>
    <w:rsid w:val="00D57072"/>
    <w:rsid w:val="00D57A8D"/>
    <w:rsid w:val="00D57C7A"/>
    <w:rsid w:val="00D60D24"/>
    <w:rsid w:val="00D61A59"/>
    <w:rsid w:val="00D633B6"/>
    <w:rsid w:val="00D64F6D"/>
    <w:rsid w:val="00D70758"/>
    <w:rsid w:val="00D72377"/>
    <w:rsid w:val="00D75DD0"/>
    <w:rsid w:val="00D760EF"/>
    <w:rsid w:val="00D77F62"/>
    <w:rsid w:val="00D80239"/>
    <w:rsid w:val="00D82C3F"/>
    <w:rsid w:val="00D849BC"/>
    <w:rsid w:val="00D84D1B"/>
    <w:rsid w:val="00D85C97"/>
    <w:rsid w:val="00D867E7"/>
    <w:rsid w:val="00DA0E70"/>
    <w:rsid w:val="00DA1B7C"/>
    <w:rsid w:val="00DA21DB"/>
    <w:rsid w:val="00DA5A00"/>
    <w:rsid w:val="00DA6917"/>
    <w:rsid w:val="00DB01B2"/>
    <w:rsid w:val="00DB07E3"/>
    <w:rsid w:val="00DB3486"/>
    <w:rsid w:val="00DB5FF7"/>
    <w:rsid w:val="00DB7D08"/>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0B72"/>
    <w:rsid w:val="00E31685"/>
    <w:rsid w:val="00E35357"/>
    <w:rsid w:val="00E37AA1"/>
    <w:rsid w:val="00E426C9"/>
    <w:rsid w:val="00E4299C"/>
    <w:rsid w:val="00E443B6"/>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65E9A"/>
    <w:rsid w:val="00E70CAE"/>
    <w:rsid w:val="00E70CC2"/>
    <w:rsid w:val="00E70D08"/>
    <w:rsid w:val="00E726BA"/>
    <w:rsid w:val="00E72712"/>
    <w:rsid w:val="00E83DA0"/>
    <w:rsid w:val="00E93579"/>
    <w:rsid w:val="00EA0886"/>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5C96"/>
    <w:rsid w:val="00EE5CE9"/>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70A50"/>
    <w:rsid w:val="00F70E82"/>
    <w:rsid w:val="00F75079"/>
    <w:rsid w:val="00F7667E"/>
    <w:rsid w:val="00F80CF6"/>
    <w:rsid w:val="00F83F9F"/>
    <w:rsid w:val="00F8521C"/>
    <w:rsid w:val="00F86466"/>
    <w:rsid w:val="00F8666D"/>
    <w:rsid w:val="00F91340"/>
    <w:rsid w:val="00F92D09"/>
    <w:rsid w:val="00F96AD5"/>
    <w:rsid w:val="00FA0A04"/>
    <w:rsid w:val="00FA47E2"/>
    <w:rsid w:val="00FB1D33"/>
    <w:rsid w:val="00FB2F77"/>
    <w:rsid w:val="00FB55E9"/>
    <w:rsid w:val="00FB59DF"/>
    <w:rsid w:val="00FC716A"/>
    <w:rsid w:val="00FC7D8B"/>
    <w:rsid w:val="00FD27EA"/>
    <w:rsid w:val="00FD3A3C"/>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39347961">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1A100-1CAA-4AEF-8CF2-774DBA88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18</Pages>
  <Words>3676</Words>
  <Characters>20219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181</cp:revision>
  <cp:lastPrinted>2020-01-30T19:58:00Z</cp:lastPrinted>
  <dcterms:created xsi:type="dcterms:W3CDTF">2019-09-04T18:37:00Z</dcterms:created>
  <dcterms:modified xsi:type="dcterms:W3CDTF">2020-04-23T06:49:00Z</dcterms:modified>
</cp:coreProperties>
</file>