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04651D">
        <w:rPr>
          <w:rFonts w:ascii="Palatino Linotype" w:hAnsi="Palatino Linotype" w:cs="Arial"/>
          <w:b/>
          <w:bCs/>
          <w:lang w:eastAsia="es-MX"/>
        </w:rPr>
        <w:t>94</w:t>
      </w:r>
      <w:r w:rsidR="00EF674D">
        <w:rPr>
          <w:rFonts w:ascii="Palatino Linotype" w:hAnsi="Palatino Linotype" w:cs="Arial"/>
          <w:b/>
          <w:bCs/>
          <w:lang w:eastAsia="es-MX"/>
        </w:rPr>
        <w:t>15</w:t>
      </w:r>
      <w:r w:rsidR="004B2880">
        <w:rPr>
          <w:rFonts w:ascii="Palatino Linotype" w:hAnsi="Palatino Linotype" w:cs="Arial"/>
          <w:b/>
          <w:bCs/>
          <w:lang w:eastAsia="es-MX"/>
        </w:rPr>
        <w:t>/INFOEM/IP/RR/2019</w:t>
      </w:r>
      <w:r w:rsidR="00EF674D">
        <w:rPr>
          <w:rFonts w:ascii="Palatino Linotype" w:hAnsi="Palatino Linotype" w:cs="Arial"/>
        </w:rPr>
        <w:t xml:space="preserve"> y</w:t>
      </w:r>
      <w:r w:rsidR="00B00245">
        <w:rPr>
          <w:rFonts w:ascii="Palatino Linotype" w:hAnsi="Palatino Linotype" w:cs="Arial"/>
        </w:rPr>
        <w:t xml:space="preserve"> </w:t>
      </w:r>
      <w:r w:rsidR="00B00245" w:rsidRPr="00AC0CA2">
        <w:rPr>
          <w:rFonts w:ascii="Palatino Linotype" w:hAnsi="Palatino Linotype" w:cs="Arial"/>
          <w:b/>
          <w:bCs/>
          <w:lang w:eastAsia="es-MX"/>
        </w:rPr>
        <w:t>0</w:t>
      </w:r>
      <w:r w:rsidR="0004651D">
        <w:rPr>
          <w:rFonts w:ascii="Palatino Linotype" w:hAnsi="Palatino Linotype" w:cs="Arial"/>
          <w:b/>
          <w:bCs/>
          <w:lang w:eastAsia="es-MX"/>
        </w:rPr>
        <w:t>94</w:t>
      </w:r>
      <w:r w:rsidR="00EF674D">
        <w:rPr>
          <w:rFonts w:ascii="Palatino Linotype" w:hAnsi="Palatino Linotype" w:cs="Arial"/>
          <w:b/>
          <w:bCs/>
          <w:lang w:eastAsia="es-MX"/>
        </w:rPr>
        <w:t xml:space="preserve">16/INFOEM/IP/RR/2019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C95156">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Pr="00AC0CA2">
        <w:rPr>
          <w:rFonts w:ascii="Palatino Linotype" w:hAnsi="Palatino Linotype" w:cs="Arial"/>
          <w:szCs w:val="24"/>
        </w:rPr>
        <w:t xml:space="preserve"> del </w:t>
      </w:r>
      <w:r w:rsidR="00ED040E" w:rsidRPr="00ED040E">
        <w:rPr>
          <w:rFonts w:ascii="Palatino Linotype" w:hAnsi="Palatino Linotype" w:cs="Arial"/>
          <w:b/>
          <w:szCs w:val="24"/>
        </w:rPr>
        <w:t>Ayuntamiento de Isidro Fabela</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E67266">
        <w:rPr>
          <w:rFonts w:ascii="Palatino Linotype" w:hAnsi="Palatino Linotype" w:cs="Arial"/>
        </w:rPr>
        <w:t>ocho de octubre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AD479B" w:rsidRPr="00AD479B">
        <w:rPr>
          <w:rFonts w:ascii="Palatino Linotype" w:hAnsi="Palatino Linotype" w:cs="Arial"/>
          <w:b/>
          <w:sz w:val="24"/>
          <w:szCs w:val="24"/>
        </w:rPr>
        <w:t xml:space="preserve">00507/ISIFABE/IP/2019 </w:t>
      </w:r>
      <w:r w:rsidR="00EF674D">
        <w:rPr>
          <w:rFonts w:ascii="Palatino Linotype" w:hAnsi="Palatino Linotype" w:cs="Arial"/>
          <w:b/>
        </w:rPr>
        <w:t>y</w:t>
      </w:r>
      <w:r w:rsidR="00E67266">
        <w:rPr>
          <w:rFonts w:ascii="Palatino Linotype" w:hAnsi="Palatino Linotype" w:cs="Arial"/>
          <w:b/>
        </w:rPr>
        <w:t xml:space="preserve"> </w:t>
      </w:r>
      <w:r w:rsidR="00E6781A" w:rsidRPr="00B50D8C">
        <w:rPr>
          <w:rFonts w:ascii="Palatino Linotype" w:hAnsi="Palatino Linotype" w:cs="Arial"/>
          <w:b/>
          <w:sz w:val="24"/>
        </w:rPr>
        <w:t>00506/ISIFABE/IP/2019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AD479B" w:rsidRDefault="00AD479B" w:rsidP="00A944BC">
      <w:pPr>
        <w:ind w:left="851" w:right="850"/>
        <w:jc w:val="both"/>
        <w:rPr>
          <w:rFonts w:ascii="Palatino Linotype" w:eastAsia="Times New Roman" w:hAnsi="Palatino Linotype" w:cs="Times New Roman"/>
          <w:b/>
          <w:bCs/>
          <w:color w:val="000000" w:themeColor="text1"/>
          <w:u w:val="single"/>
          <w:lang w:eastAsia="es-ES"/>
        </w:rPr>
      </w:pPr>
      <w:r w:rsidRPr="00AD479B">
        <w:rPr>
          <w:rFonts w:ascii="Palatino Linotype" w:eastAsia="Times New Roman" w:hAnsi="Palatino Linotype" w:cs="Times New Roman"/>
          <w:b/>
          <w:bCs/>
          <w:color w:val="000000" w:themeColor="text1"/>
          <w:u w:val="single"/>
          <w:lang w:eastAsia="es-ES"/>
        </w:rPr>
        <w:t xml:space="preserve">00507/ISIFABE/IP/2019 </w:t>
      </w:r>
    </w:p>
    <w:p w:rsidR="002745B9"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D479B" w:rsidRPr="00AD479B">
        <w:rPr>
          <w:rFonts w:ascii="Palatino Linotype" w:eastAsia="Times New Roman" w:hAnsi="Palatino Linotype" w:cs="Times New Roman"/>
          <w:i/>
          <w:lang w:val="es-ES_tradnl" w:eastAsia="es-ES"/>
        </w:rPr>
        <w:t>Solicito los gafetes institucionales del personal que trabaja en la Dirección de Obras Públicas.</w:t>
      </w:r>
      <w:r w:rsidR="00A944BC">
        <w:rPr>
          <w:rFonts w:ascii="Palatino Linotype" w:eastAsia="Times New Roman" w:hAnsi="Palatino Linotype" w:cs="Times New Roman"/>
          <w:i/>
          <w:lang w:val="es-ES_tradnl" w:eastAsia="es-ES"/>
        </w:rPr>
        <w:t>” [Sic]</w:t>
      </w:r>
    </w:p>
    <w:p w:rsidR="00A944BC" w:rsidRPr="00A944BC" w:rsidRDefault="00A944BC" w:rsidP="00A944BC">
      <w:pPr>
        <w:ind w:left="851" w:right="850"/>
        <w:jc w:val="both"/>
        <w:rPr>
          <w:rFonts w:ascii="Palatino Linotype" w:eastAsia="Times New Roman" w:hAnsi="Palatino Linotype" w:cs="Times New Roman"/>
          <w:i/>
          <w:lang w:val="es-ES_tradnl" w:eastAsia="es-ES"/>
        </w:rPr>
      </w:pPr>
    </w:p>
    <w:p w:rsidR="004307AA" w:rsidRDefault="00E6781A" w:rsidP="00A944BC">
      <w:pPr>
        <w:ind w:left="851" w:right="850"/>
        <w:jc w:val="both"/>
        <w:rPr>
          <w:rFonts w:ascii="Palatino Linotype" w:eastAsia="Times New Roman" w:hAnsi="Palatino Linotype" w:cs="Times New Roman"/>
          <w:b/>
          <w:bCs/>
          <w:color w:val="000000" w:themeColor="text1"/>
          <w:u w:val="single"/>
          <w:lang w:eastAsia="es-ES"/>
        </w:rPr>
      </w:pPr>
      <w:r w:rsidRPr="00E6781A">
        <w:rPr>
          <w:rFonts w:ascii="Palatino Linotype" w:eastAsia="Times New Roman" w:hAnsi="Palatino Linotype" w:cs="Times New Roman"/>
          <w:b/>
          <w:bCs/>
          <w:color w:val="000000" w:themeColor="text1"/>
          <w:u w:val="single"/>
          <w:lang w:eastAsia="es-ES"/>
        </w:rPr>
        <w:t>00506/ISIFABE/IP/2019</w:t>
      </w:r>
      <w:r w:rsidR="004307AA" w:rsidRPr="004307AA">
        <w:rPr>
          <w:rFonts w:ascii="Palatino Linotype" w:eastAsia="Times New Roman" w:hAnsi="Palatino Linotype" w:cs="Times New Roman"/>
          <w:b/>
          <w:bCs/>
          <w:color w:val="000000" w:themeColor="text1"/>
          <w:u w:val="single"/>
          <w:lang w:eastAsia="es-ES"/>
        </w:rPr>
        <w:t xml:space="preserve"> </w:t>
      </w:r>
    </w:p>
    <w:p w:rsidR="00A944BC" w:rsidRDefault="00A944B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E6781A" w:rsidRPr="00E6781A">
        <w:rPr>
          <w:rFonts w:ascii="Palatino Linotype" w:eastAsia="Times New Roman" w:hAnsi="Palatino Linotype" w:cs="Times New Roman"/>
          <w:i/>
          <w:lang w:val="es-ES_tradnl" w:eastAsia="es-ES"/>
        </w:rPr>
        <w:t>Solicito los gafetes institucionales del personal que trabaja en la Dirección de Administración.</w:t>
      </w:r>
      <w:r>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w:t>
      </w:r>
      <w:r w:rsidR="00AC1824">
        <w:rPr>
          <w:rFonts w:ascii="Palatino Linotype" w:hAnsi="Palatino Linotype" w:cs="Arial"/>
        </w:rPr>
        <w:t>emitió respuesta</w:t>
      </w:r>
      <w:r w:rsidR="00452C0E">
        <w:rPr>
          <w:rFonts w:ascii="Palatino Linotype" w:hAnsi="Palatino Linotype" w:cs="Arial"/>
        </w:rPr>
        <w:t>s</w:t>
      </w:r>
      <w:r w:rsidR="00AC1824">
        <w:rPr>
          <w:rFonts w:ascii="Palatino Linotype" w:hAnsi="Palatino Linotype" w:cs="Arial"/>
        </w:rPr>
        <w:t xml:space="preserve"> a la</w:t>
      </w:r>
      <w:r w:rsidR="00452C0E">
        <w:rPr>
          <w:rFonts w:ascii="Palatino Linotype" w:hAnsi="Palatino Linotype" w:cs="Arial"/>
        </w:rPr>
        <w:t>s</w:t>
      </w:r>
      <w:r w:rsidR="00AC1824">
        <w:rPr>
          <w:rFonts w:ascii="Palatino Linotype" w:hAnsi="Palatino Linotype" w:cs="Arial"/>
        </w:rPr>
        <w:t xml:space="preserve"> solicitud</w:t>
      </w:r>
      <w:r w:rsidR="00452C0E">
        <w:rPr>
          <w:rFonts w:ascii="Palatino Linotype" w:hAnsi="Palatino Linotype" w:cs="Arial"/>
        </w:rPr>
        <w:t>es</w:t>
      </w:r>
      <w:r w:rsidR="00AC1824">
        <w:rPr>
          <w:rFonts w:ascii="Palatino Linotype" w:hAnsi="Palatino Linotype" w:cs="Arial"/>
        </w:rPr>
        <w:t xml:space="preserve"> de información </w:t>
      </w:r>
      <w:r w:rsidR="00452C0E">
        <w:rPr>
          <w:rFonts w:ascii="Palatino Linotype" w:hAnsi="Palatino Linotype" w:cs="Arial"/>
        </w:rPr>
        <w:t xml:space="preserve">en fecha veintinueve de noviembre de dos mil diecinueve </w:t>
      </w:r>
      <w:r w:rsidR="006E6052">
        <w:rPr>
          <w:rFonts w:ascii="Palatino Linotype" w:hAnsi="Palatino Linotype" w:cs="Arial"/>
        </w:rPr>
        <w:t>al tenor de las siguientes:</w:t>
      </w:r>
    </w:p>
    <w:tbl>
      <w:tblPr>
        <w:tblW w:w="8535" w:type="dxa"/>
        <w:jc w:val="center"/>
        <w:tblCellSpacing w:w="0" w:type="dxa"/>
        <w:tblCellMar>
          <w:left w:w="0" w:type="dxa"/>
          <w:right w:w="0" w:type="dxa"/>
        </w:tblCellMar>
        <w:tblLook w:val="04A0" w:firstRow="1" w:lastRow="0" w:firstColumn="1" w:lastColumn="0" w:noHBand="0" w:noVBand="1"/>
      </w:tblPr>
      <w:tblGrid>
        <w:gridCol w:w="8535"/>
      </w:tblGrid>
      <w:tr w:rsidR="006E6052" w:rsidRPr="006E6052" w:rsidTr="006E6052">
        <w:trPr>
          <w:trHeight w:val="309"/>
          <w:tblCellSpacing w:w="0" w:type="dxa"/>
          <w:jc w:val="center"/>
        </w:trPr>
        <w:tc>
          <w:tcPr>
            <w:tcW w:w="0" w:type="auto"/>
            <w:vAlign w:val="center"/>
            <w:hideMark/>
          </w:tcPr>
          <w:p w:rsidR="006E6052" w:rsidRPr="006E6052" w:rsidRDefault="006E6052" w:rsidP="006E6052">
            <w:pPr>
              <w:spacing w:after="0" w:line="240" w:lineRule="auto"/>
              <w:jc w:val="right"/>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Isidro Fabela, México a 29 de Noviembre de 2019</w:t>
            </w:r>
          </w:p>
        </w:tc>
      </w:tr>
      <w:tr w:rsidR="006E6052" w:rsidRPr="006E6052" w:rsidTr="006E6052">
        <w:trPr>
          <w:trHeight w:val="309"/>
          <w:tblCellSpacing w:w="0" w:type="dxa"/>
          <w:jc w:val="center"/>
        </w:trPr>
        <w:tc>
          <w:tcPr>
            <w:tcW w:w="0" w:type="auto"/>
            <w:vAlign w:val="center"/>
            <w:hideMark/>
          </w:tcPr>
          <w:p w:rsidR="006E6052" w:rsidRPr="006E6052" w:rsidRDefault="006E6052" w:rsidP="006E6052">
            <w:pPr>
              <w:spacing w:after="0" w:line="240" w:lineRule="auto"/>
              <w:jc w:val="right"/>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Nombre del solicitante:</w:t>
            </w:r>
          </w:p>
        </w:tc>
      </w:tr>
      <w:tr w:rsidR="006E6052" w:rsidRPr="006E6052" w:rsidTr="006E6052">
        <w:trPr>
          <w:trHeight w:val="309"/>
          <w:tblCellSpacing w:w="0" w:type="dxa"/>
          <w:jc w:val="center"/>
        </w:trPr>
        <w:tc>
          <w:tcPr>
            <w:tcW w:w="0" w:type="auto"/>
            <w:vAlign w:val="center"/>
            <w:hideMark/>
          </w:tcPr>
          <w:p w:rsidR="006E6052" w:rsidRPr="006E6052" w:rsidRDefault="006E6052" w:rsidP="006E6052">
            <w:pPr>
              <w:spacing w:after="0" w:line="240" w:lineRule="auto"/>
              <w:jc w:val="right"/>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Folio de la solicitud: 00507/ISIFABE/IP/2019</w:t>
            </w:r>
          </w:p>
        </w:tc>
      </w:tr>
      <w:tr w:rsidR="006E6052" w:rsidRPr="006E6052" w:rsidTr="006E6052">
        <w:trPr>
          <w:trHeight w:val="463"/>
          <w:tblCellSpacing w:w="0" w:type="dxa"/>
          <w:jc w:val="center"/>
        </w:trPr>
        <w:tc>
          <w:tcPr>
            <w:tcW w:w="0" w:type="auto"/>
            <w:vAlign w:val="center"/>
            <w:hideMark/>
          </w:tcPr>
          <w:p w:rsidR="006E6052" w:rsidRPr="006E6052" w:rsidRDefault="006E6052" w:rsidP="006E6052">
            <w:pPr>
              <w:spacing w:after="0" w:line="240" w:lineRule="auto"/>
              <w:jc w:val="right"/>
              <w:rPr>
                <w:rFonts w:ascii="Times New Roman" w:eastAsia="Times New Roman" w:hAnsi="Times New Roman" w:cs="Times New Roman"/>
                <w:sz w:val="24"/>
                <w:szCs w:val="24"/>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jc w:val="center"/>
              <w:rPr>
                <w:rFonts w:ascii="Times New Roman" w:eastAsia="Times New Roman" w:hAnsi="Times New Roman" w:cs="Times New Roman"/>
                <w:sz w:val="20"/>
                <w:szCs w:val="20"/>
                <w:lang w:eastAsia="es-MX"/>
              </w:rPr>
            </w:pPr>
          </w:p>
        </w:tc>
      </w:tr>
      <w:tr w:rsidR="006E6052" w:rsidRPr="006E6052" w:rsidTr="006E6052">
        <w:trPr>
          <w:trHeight w:val="386"/>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0"/>
                <w:szCs w:val="20"/>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NO SE PUEDEN ENTREGAR COMO TAL</w:t>
            </w:r>
          </w:p>
        </w:tc>
      </w:tr>
      <w:tr w:rsidR="006E6052" w:rsidRPr="006E6052" w:rsidTr="006E6052">
        <w:trPr>
          <w:trHeight w:val="386"/>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4"/>
                <w:szCs w:val="24"/>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jc w:val="center"/>
              <w:rPr>
                <w:rFonts w:ascii="Times New Roman" w:eastAsia="Times New Roman" w:hAnsi="Times New Roman" w:cs="Times New Roman"/>
                <w:sz w:val="20"/>
                <w:szCs w:val="20"/>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0"/>
                <w:szCs w:val="20"/>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ATENTAMENTE</w:t>
            </w:r>
          </w:p>
        </w:tc>
      </w:tr>
      <w:tr w:rsidR="006E6052" w:rsidRPr="006E6052" w:rsidTr="006E6052">
        <w:trPr>
          <w:trHeight w:val="231"/>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4"/>
                <w:szCs w:val="24"/>
                <w:lang w:eastAsia="es-MX"/>
              </w:rPr>
            </w:pPr>
          </w:p>
        </w:tc>
      </w:tr>
      <w:tr w:rsidR="006E6052" w:rsidRPr="006E6052" w:rsidTr="006E6052">
        <w:trPr>
          <w:trHeight w:val="154"/>
          <w:tblCellSpacing w:w="0" w:type="dxa"/>
          <w:jc w:val="center"/>
        </w:trPr>
        <w:tc>
          <w:tcPr>
            <w:tcW w:w="0" w:type="auto"/>
            <w:vAlign w:val="center"/>
            <w:hideMark/>
          </w:tcPr>
          <w:p w:rsidR="006E6052" w:rsidRPr="006E6052" w:rsidRDefault="006E6052" w:rsidP="006E6052">
            <w:pPr>
              <w:spacing w:after="0" w:line="240" w:lineRule="auto"/>
              <w:rPr>
                <w:rFonts w:ascii="Times New Roman" w:eastAsia="Times New Roman" w:hAnsi="Times New Roman" w:cs="Times New Roman"/>
                <w:sz w:val="24"/>
                <w:szCs w:val="24"/>
                <w:lang w:eastAsia="es-MX"/>
              </w:rPr>
            </w:pPr>
            <w:r w:rsidRPr="006E6052">
              <w:rPr>
                <w:rFonts w:ascii="Verdana" w:eastAsia="Times New Roman" w:hAnsi="Verdana" w:cs="Times New Roman"/>
                <w:sz w:val="18"/>
                <w:szCs w:val="18"/>
                <w:lang w:eastAsia="es-MX"/>
              </w:rPr>
              <w:t>C. JUAN ANTONIO CHAVARRIA NOLASCO</w:t>
            </w:r>
          </w:p>
        </w:tc>
      </w:tr>
    </w:tbl>
    <w:p w:rsidR="006E6052" w:rsidRDefault="006E6052" w:rsidP="00EF4493">
      <w:pPr>
        <w:spacing w:before="240" w:line="360" w:lineRule="auto"/>
        <w:jc w:val="both"/>
        <w:rPr>
          <w:rFonts w:ascii="Palatino Linotype" w:hAnsi="Palatino Linotype" w:cs="Arial"/>
        </w:rPr>
      </w:pPr>
    </w:p>
    <w:tbl>
      <w:tblPr>
        <w:tblW w:w="8826" w:type="dxa"/>
        <w:jc w:val="center"/>
        <w:tblCellSpacing w:w="0" w:type="dxa"/>
        <w:tblCellMar>
          <w:left w:w="0" w:type="dxa"/>
          <w:right w:w="0" w:type="dxa"/>
        </w:tblCellMar>
        <w:tblLook w:val="04A0" w:firstRow="1" w:lastRow="0" w:firstColumn="1" w:lastColumn="0" w:noHBand="0" w:noVBand="1"/>
      </w:tblPr>
      <w:tblGrid>
        <w:gridCol w:w="8826"/>
      </w:tblGrid>
      <w:tr w:rsidR="00326F0B" w:rsidRPr="00326F0B" w:rsidTr="00326F0B">
        <w:trPr>
          <w:trHeight w:val="309"/>
          <w:tblCellSpacing w:w="0" w:type="dxa"/>
          <w:jc w:val="center"/>
        </w:trPr>
        <w:tc>
          <w:tcPr>
            <w:tcW w:w="0" w:type="auto"/>
            <w:vAlign w:val="center"/>
            <w:hideMark/>
          </w:tcPr>
          <w:p w:rsidR="00326F0B" w:rsidRPr="00326F0B" w:rsidRDefault="00326F0B" w:rsidP="00326F0B">
            <w:pPr>
              <w:spacing w:after="0" w:line="240" w:lineRule="auto"/>
              <w:jc w:val="right"/>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Isidro Fabela, México a 29 de Noviembre de 2019</w:t>
            </w:r>
          </w:p>
        </w:tc>
      </w:tr>
      <w:tr w:rsidR="00326F0B" w:rsidRPr="00326F0B" w:rsidTr="00326F0B">
        <w:trPr>
          <w:trHeight w:val="309"/>
          <w:tblCellSpacing w:w="0" w:type="dxa"/>
          <w:jc w:val="center"/>
        </w:trPr>
        <w:tc>
          <w:tcPr>
            <w:tcW w:w="0" w:type="auto"/>
            <w:vAlign w:val="center"/>
            <w:hideMark/>
          </w:tcPr>
          <w:p w:rsidR="00326F0B" w:rsidRPr="00326F0B" w:rsidRDefault="00326F0B" w:rsidP="00326F0B">
            <w:pPr>
              <w:spacing w:after="0" w:line="240" w:lineRule="auto"/>
              <w:jc w:val="right"/>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Nombre del solicitante:</w:t>
            </w:r>
          </w:p>
        </w:tc>
      </w:tr>
      <w:tr w:rsidR="00326F0B" w:rsidRPr="00326F0B" w:rsidTr="00326F0B">
        <w:trPr>
          <w:trHeight w:val="309"/>
          <w:tblCellSpacing w:w="0" w:type="dxa"/>
          <w:jc w:val="center"/>
        </w:trPr>
        <w:tc>
          <w:tcPr>
            <w:tcW w:w="0" w:type="auto"/>
            <w:vAlign w:val="center"/>
            <w:hideMark/>
          </w:tcPr>
          <w:p w:rsidR="00326F0B" w:rsidRPr="00326F0B" w:rsidRDefault="00326F0B" w:rsidP="00326F0B">
            <w:pPr>
              <w:spacing w:after="0" w:line="240" w:lineRule="auto"/>
              <w:jc w:val="right"/>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Folio de la solicitud: 00506/ISIFABE/IP/2019</w:t>
            </w:r>
          </w:p>
        </w:tc>
      </w:tr>
      <w:tr w:rsidR="00326F0B" w:rsidRPr="00326F0B" w:rsidTr="00326F0B">
        <w:trPr>
          <w:trHeight w:val="463"/>
          <w:tblCellSpacing w:w="0" w:type="dxa"/>
          <w:jc w:val="center"/>
        </w:trPr>
        <w:tc>
          <w:tcPr>
            <w:tcW w:w="0" w:type="auto"/>
            <w:vAlign w:val="center"/>
            <w:hideMark/>
          </w:tcPr>
          <w:p w:rsidR="00326F0B" w:rsidRPr="00326F0B" w:rsidRDefault="00326F0B" w:rsidP="00326F0B">
            <w:pPr>
              <w:spacing w:after="0" w:line="240" w:lineRule="auto"/>
              <w:jc w:val="right"/>
              <w:rPr>
                <w:rFonts w:ascii="Times New Roman" w:eastAsia="Times New Roman" w:hAnsi="Times New Roman" w:cs="Times New Roman"/>
                <w:sz w:val="24"/>
                <w:szCs w:val="24"/>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jc w:val="center"/>
              <w:rPr>
                <w:rFonts w:ascii="Times New Roman" w:eastAsia="Times New Roman" w:hAnsi="Times New Roman" w:cs="Times New Roman"/>
                <w:sz w:val="20"/>
                <w:szCs w:val="20"/>
                <w:lang w:eastAsia="es-MX"/>
              </w:rPr>
            </w:pPr>
          </w:p>
        </w:tc>
      </w:tr>
      <w:tr w:rsidR="00326F0B" w:rsidRPr="00326F0B" w:rsidTr="00326F0B">
        <w:trPr>
          <w:trHeight w:val="386"/>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0"/>
                <w:szCs w:val="20"/>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LOS GAFETES NO SE PUEDEN ENTREGAR COMO TAL</w:t>
            </w:r>
          </w:p>
        </w:tc>
      </w:tr>
      <w:tr w:rsidR="00326F0B" w:rsidRPr="00326F0B" w:rsidTr="00326F0B">
        <w:trPr>
          <w:trHeight w:val="386"/>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4"/>
                <w:szCs w:val="24"/>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jc w:val="center"/>
              <w:rPr>
                <w:rFonts w:ascii="Times New Roman" w:eastAsia="Times New Roman" w:hAnsi="Times New Roman" w:cs="Times New Roman"/>
                <w:sz w:val="20"/>
                <w:szCs w:val="20"/>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0"/>
                <w:szCs w:val="20"/>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ATENTAMENTE</w:t>
            </w:r>
          </w:p>
        </w:tc>
      </w:tr>
      <w:tr w:rsidR="00326F0B" w:rsidRPr="00326F0B" w:rsidTr="00326F0B">
        <w:trPr>
          <w:trHeight w:val="231"/>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4"/>
                <w:szCs w:val="24"/>
                <w:lang w:eastAsia="es-MX"/>
              </w:rPr>
            </w:pPr>
          </w:p>
        </w:tc>
      </w:tr>
      <w:tr w:rsidR="00326F0B" w:rsidRPr="00326F0B" w:rsidTr="00326F0B">
        <w:trPr>
          <w:trHeight w:val="154"/>
          <w:tblCellSpacing w:w="0" w:type="dxa"/>
          <w:jc w:val="center"/>
        </w:trPr>
        <w:tc>
          <w:tcPr>
            <w:tcW w:w="0" w:type="auto"/>
            <w:vAlign w:val="center"/>
            <w:hideMark/>
          </w:tcPr>
          <w:p w:rsidR="00326F0B" w:rsidRPr="00326F0B" w:rsidRDefault="00326F0B" w:rsidP="00326F0B">
            <w:pPr>
              <w:spacing w:after="0" w:line="240" w:lineRule="auto"/>
              <w:rPr>
                <w:rFonts w:ascii="Times New Roman" w:eastAsia="Times New Roman" w:hAnsi="Times New Roman" w:cs="Times New Roman"/>
                <w:sz w:val="24"/>
                <w:szCs w:val="24"/>
                <w:lang w:eastAsia="es-MX"/>
              </w:rPr>
            </w:pPr>
            <w:r w:rsidRPr="00326F0B">
              <w:rPr>
                <w:rFonts w:ascii="Verdana" w:eastAsia="Times New Roman" w:hAnsi="Verdana" w:cs="Times New Roman"/>
                <w:sz w:val="18"/>
                <w:szCs w:val="18"/>
                <w:lang w:eastAsia="es-MX"/>
              </w:rPr>
              <w:t>C. JUAN ANTONIO CHAVARRIA NOLASCO</w:t>
            </w:r>
          </w:p>
        </w:tc>
      </w:tr>
    </w:tbl>
    <w:p w:rsidR="00326F0B" w:rsidRPr="00DD53BB" w:rsidRDefault="00326F0B" w:rsidP="00EF4493">
      <w:pPr>
        <w:spacing w:before="240" w:line="360" w:lineRule="auto"/>
        <w:jc w:val="both"/>
        <w:rPr>
          <w:rFonts w:ascii="Palatino Linotype" w:hAnsi="Palatino Linotype" w:cs="Arial"/>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En fecha veintinueve</w:t>
      </w:r>
      <w:r w:rsidR="00E82558">
        <w:rPr>
          <w:rFonts w:ascii="Palatino Linotype" w:hAnsi="Palatino Linotype" w:cs="Arial"/>
          <w:szCs w:val="24"/>
        </w:rPr>
        <w:t xml:space="preserve"> de noviembre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8A0849">
        <w:rPr>
          <w:rFonts w:ascii="Palatino Linotype" w:hAnsi="Palatino Linotype"/>
          <w:b/>
          <w:sz w:val="24"/>
          <w:szCs w:val="24"/>
        </w:rPr>
        <w:t>94</w:t>
      </w:r>
      <w:r>
        <w:rPr>
          <w:rFonts w:ascii="Palatino Linotype" w:hAnsi="Palatino Linotype"/>
          <w:b/>
          <w:sz w:val="24"/>
          <w:szCs w:val="24"/>
        </w:rPr>
        <w:t>15</w:t>
      </w:r>
      <w:r w:rsidR="001F72E7" w:rsidRPr="002076B5">
        <w:rPr>
          <w:rFonts w:ascii="Palatino Linotype" w:hAnsi="Palatino Linotype"/>
          <w:b/>
          <w:sz w:val="24"/>
          <w:szCs w:val="24"/>
        </w:rPr>
        <w:t>/INFOEM/IP/RR/2019</w:t>
      </w:r>
      <w:r>
        <w:rPr>
          <w:rFonts w:ascii="Palatino Linotype" w:hAnsi="Palatino Linotype"/>
          <w:b/>
          <w:sz w:val="24"/>
          <w:szCs w:val="24"/>
        </w:rPr>
        <w:t xml:space="preserve"> y</w:t>
      </w:r>
      <w:r w:rsidR="008A0849">
        <w:rPr>
          <w:rFonts w:ascii="Palatino Linotype" w:hAnsi="Palatino Linotype"/>
          <w:b/>
          <w:sz w:val="24"/>
          <w:szCs w:val="24"/>
        </w:rPr>
        <w:t xml:space="preserve"> 094</w:t>
      </w:r>
      <w:r>
        <w:rPr>
          <w:rFonts w:ascii="Palatino Linotype" w:hAnsi="Palatino Linotype"/>
          <w:b/>
          <w:sz w:val="24"/>
          <w:szCs w:val="24"/>
        </w:rPr>
        <w:t>16</w:t>
      </w:r>
      <w:r w:rsidR="00F21AB0"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Default="008A0849" w:rsidP="00EF4493">
      <w:pPr>
        <w:spacing w:before="240" w:line="360" w:lineRule="auto"/>
        <w:jc w:val="both"/>
        <w:rPr>
          <w:rFonts w:ascii="Palatino Linotype" w:hAnsi="Palatino Linotype"/>
          <w:b/>
          <w:sz w:val="24"/>
          <w:szCs w:val="24"/>
        </w:rPr>
      </w:pPr>
      <w:r>
        <w:rPr>
          <w:rFonts w:ascii="Palatino Linotype" w:hAnsi="Palatino Linotype"/>
          <w:b/>
          <w:sz w:val="24"/>
          <w:szCs w:val="24"/>
        </w:rPr>
        <w:t>094</w:t>
      </w:r>
      <w:r w:rsidR="00355864">
        <w:rPr>
          <w:rFonts w:ascii="Palatino Linotype" w:hAnsi="Palatino Linotype"/>
          <w:b/>
          <w:sz w:val="24"/>
          <w:szCs w:val="24"/>
        </w:rPr>
        <w:t>15</w:t>
      </w:r>
      <w:r w:rsidR="00F21AB0" w:rsidRPr="002076B5">
        <w:rPr>
          <w:rFonts w:ascii="Palatino Linotype" w:hAnsi="Palatino Linotype"/>
          <w:b/>
          <w:sz w:val="24"/>
          <w:szCs w:val="24"/>
        </w:rPr>
        <w:t>/INFOEM/IP/RR/2019</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8A0849" w:rsidRPr="008A0849">
        <w:rPr>
          <w:rFonts w:ascii="Palatino Linotype" w:hAnsi="Palatino Linotype" w:cs="Arial"/>
          <w:i/>
        </w:rPr>
        <w:t>La solicitud no fue contestada con lo que marca la Ley.</w:t>
      </w:r>
      <w:r w:rsidR="00D66256">
        <w:rPr>
          <w:rFonts w:ascii="Palatino Linotype" w:hAnsi="Palatino Linotype" w:cs="Arial"/>
          <w:i/>
        </w:rPr>
        <w:t>” (</w:t>
      </w:r>
      <w:r>
        <w:rPr>
          <w:rFonts w:ascii="Palatino Linotype" w:hAnsi="Palatino Linotype" w:cs="Arial"/>
          <w:i/>
        </w:rPr>
        <w:t>sic)</w:t>
      </w:r>
    </w:p>
    <w:p w:rsidR="00F21AB0" w:rsidRDefault="00F21AB0" w:rsidP="00EF4493">
      <w:pPr>
        <w:spacing w:before="240" w:line="360" w:lineRule="auto"/>
        <w:jc w:val="both"/>
        <w:rPr>
          <w:rFonts w:ascii="Palatino Linotype" w:hAnsi="Palatino Linotype"/>
          <w:b/>
          <w:sz w:val="24"/>
          <w:szCs w:val="24"/>
        </w:rPr>
      </w:pPr>
    </w:p>
    <w:p w:rsidR="00F21AB0" w:rsidRDefault="008A0849" w:rsidP="00EF4493">
      <w:pPr>
        <w:spacing w:before="240" w:line="360" w:lineRule="auto"/>
        <w:jc w:val="both"/>
        <w:rPr>
          <w:rFonts w:ascii="Palatino Linotype" w:hAnsi="Palatino Linotype"/>
          <w:b/>
          <w:sz w:val="24"/>
          <w:szCs w:val="24"/>
        </w:rPr>
      </w:pPr>
      <w:r>
        <w:rPr>
          <w:rFonts w:ascii="Palatino Linotype" w:hAnsi="Palatino Linotype"/>
          <w:b/>
          <w:sz w:val="24"/>
          <w:szCs w:val="24"/>
        </w:rPr>
        <w:t>094</w:t>
      </w:r>
      <w:r w:rsidR="00355864">
        <w:rPr>
          <w:rFonts w:ascii="Palatino Linotype" w:hAnsi="Palatino Linotype"/>
          <w:b/>
          <w:sz w:val="24"/>
          <w:szCs w:val="24"/>
        </w:rPr>
        <w:t>16</w:t>
      </w:r>
      <w:r w:rsidR="00F21AB0" w:rsidRPr="002076B5">
        <w:rPr>
          <w:rFonts w:ascii="Palatino Linotype" w:hAnsi="Palatino Linotype"/>
          <w:b/>
          <w:sz w:val="24"/>
          <w:szCs w:val="24"/>
        </w:rPr>
        <w:t>/INFOEM/IP/RR/2019</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t>“</w:t>
      </w:r>
      <w:r w:rsidR="008A0849" w:rsidRPr="008A0849">
        <w:rPr>
          <w:rFonts w:ascii="Palatino Linotype" w:hAnsi="Palatino Linotype" w:cs="Arial"/>
          <w:i/>
        </w:rPr>
        <w:t>La solicitud no fue atendida con base en lo que dicta la Ley.</w:t>
      </w:r>
      <w:r>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F21AB0" w:rsidRDefault="00400F71" w:rsidP="00F21AB0">
      <w:pPr>
        <w:spacing w:before="240" w:line="360" w:lineRule="auto"/>
        <w:jc w:val="both"/>
        <w:rPr>
          <w:rFonts w:ascii="Palatino Linotype" w:hAnsi="Palatino Linotype"/>
          <w:b/>
          <w:sz w:val="24"/>
          <w:szCs w:val="24"/>
        </w:rPr>
      </w:pPr>
      <w:r>
        <w:rPr>
          <w:rFonts w:ascii="Palatino Linotype" w:hAnsi="Palatino Linotype"/>
          <w:b/>
          <w:sz w:val="24"/>
          <w:szCs w:val="24"/>
        </w:rPr>
        <w:t>09415</w:t>
      </w:r>
      <w:r w:rsidR="00F21AB0" w:rsidRPr="002076B5">
        <w:rPr>
          <w:rFonts w:ascii="Palatino Linotype" w:hAnsi="Palatino Linotype"/>
          <w:b/>
          <w:sz w:val="24"/>
          <w:szCs w:val="24"/>
        </w:rPr>
        <w:t>/INFOEM/IP/RR/2019</w:t>
      </w:r>
    </w:p>
    <w:p w:rsidR="00732820" w:rsidRPr="00732820" w:rsidRDefault="00732820" w:rsidP="009A304B">
      <w:pPr>
        <w:ind w:left="851" w:right="850"/>
        <w:jc w:val="both"/>
        <w:rPr>
          <w:rFonts w:ascii="Palatino Linotype" w:hAnsi="Palatino Linotype" w:cs="Arial"/>
          <w:i/>
        </w:rPr>
      </w:pPr>
      <w:r w:rsidRPr="00B15A94">
        <w:rPr>
          <w:rFonts w:ascii="Palatino Linotype" w:hAnsi="Palatino Linotype" w:cs="Arial"/>
          <w:i/>
        </w:rPr>
        <w:t>“</w:t>
      </w:r>
      <w:r w:rsidR="00400F71" w:rsidRPr="00400F71">
        <w:rPr>
          <w:rFonts w:ascii="Palatino Linotype" w:hAnsi="Palatino Linotype" w:cs="Arial"/>
          <w:i/>
        </w:rPr>
        <w:t>No se da una justificación fundada por la cual no se puede entregar los archivos.</w:t>
      </w:r>
      <w:r w:rsidR="00E955A0" w:rsidRPr="00E955A0">
        <w:rPr>
          <w:rFonts w:ascii="Palatino Linotype" w:hAnsi="Palatino Linotype" w:cs="Arial"/>
          <w:i/>
        </w:rPr>
        <w:t>.</w:t>
      </w:r>
      <w:r>
        <w:rPr>
          <w:rFonts w:ascii="Palatino Linotype" w:hAnsi="Palatino Linotype" w:cs="Arial"/>
          <w:i/>
        </w:rPr>
        <w:t>” (sic)</w:t>
      </w:r>
    </w:p>
    <w:p w:rsidR="00F21AB0" w:rsidRDefault="008A0849" w:rsidP="00F21AB0">
      <w:pPr>
        <w:spacing w:before="240" w:line="360" w:lineRule="auto"/>
        <w:jc w:val="both"/>
        <w:rPr>
          <w:rFonts w:ascii="Palatino Linotype" w:hAnsi="Palatino Linotype"/>
          <w:b/>
          <w:sz w:val="24"/>
          <w:szCs w:val="24"/>
        </w:rPr>
      </w:pPr>
      <w:r>
        <w:rPr>
          <w:rFonts w:ascii="Palatino Linotype" w:hAnsi="Palatino Linotype"/>
          <w:b/>
          <w:sz w:val="24"/>
          <w:szCs w:val="24"/>
        </w:rPr>
        <w:t>094</w:t>
      </w:r>
      <w:r w:rsidR="00355864">
        <w:rPr>
          <w:rFonts w:ascii="Palatino Linotype" w:hAnsi="Palatino Linotype"/>
          <w:b/>
          <w:sz w:val="24"/>
          <w:szCs w:val="24"/>
        </w:rPr>
        <w:t>16</w:t>
      </w:r>
      <w:r w:rsidR="00F21AB0" w:rsidRPr="002076B5">
        <w:rPr>
          <w:rFonts w:ascii="Palatino Linotype" w:hAnsi="Palatino Linotype"/>
          <w:b/>
          <w:sz w:val="24"/>
          <w:szCs w:val="24"/>
        </w:rPr>
        <w:t>/INFOEM/IP/RR/2019</w:t>
      </w:r>
    </w:p>
    <w:p w:rsidR="00F21AB0" w:rsidRDefault="009A304B" w:rsidP="006F3C31">
      <w:pPr>
        <w:ind w:left="851" w:right="850"/>
        <w:jc w:val="both"/>
        <w:rPr>
          <w:rFonts w:ascii="Palatino Linotype" w:hAnsi="Palatino Linotype" w:cs="Arial"/>
          <w:i/>
        </w:rPr>
      </w:pPr>
      <w:r w:rsidRPr="00B15A94">
        <w:rPr>
          <w:rFonts w:ascii="Palatino Linotype" w:hAnsi="Palatino Linotype" w:cs="Arial"/>
          <w:i/>
        </w:rPr>
        <w:t>“</w:t>
      </w:r>
      <w:r w:rsidR="008A0849" w:rsidRPr="008A0849">
        <w:rPr>
          <w:rFonts w:ascii="Palatino Linotype" w:hAnsi="Palatino Linotype" w:cs="Arial"/>
          <w:i/>
        </w:rPr>
        <w:t>No cuentan con ninguna acuerdo de clasificación o fundamento.</w:t>
      </w:r>
      <w:r>
        <w:rPr>
          <w:rFonts w:ascii="Palatino Linotype" w:hAnsi="Palatino Linotype" w:cs="Arial"/>
          <w:i/>
        </w:rPr>
        <w:t>” (sic)</w:t>
      </w:r>
    </w:p>
    <w:p w:rsidR="006F3C31" w:rsidRPr="006F3C31" w:rsidRDefault="006F3C31" w:rsidP="006F3C31">
      <w:pPr>
        <w:ind w:left="851" w:right="850"/>
        <w:jc w:val="both"/>
        <w:rPr>
          <w:rFonts w:ascii="Palatino Linotype" w:hAnsi="Palatino Linotype" w:cs="Arial"/>
          <w:i/>
          <w:sz w:val="10"/>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lastRenderedPageBreak/>
        <w:t>Medios de impugnación que le fueron turnados a la Comi</w:t>
      </w:r>
      <w:r w:rsidR="00ED5591">
        <w:rPr>
          <w:rFonts w:ascii="Palatino Linotype" w:hAnsi="Palatino Linotype" w:cs="Arial"/>
          <w:sz w:val="24"/>
          <w:szCs w:val="24"/>
        </w:rPr>
        <w:t>sionada Zulema Martínez Sánchez y</w:t>
      </w:r>
      <w:r w:rsidRPr="00134121">
        <w:rPr>
          <w:rFonts w:ascii="Palatino Linotype" w:hAnsi="Palatino Linotype" w:cs="Arial"/>
          <w:sz w:val="24"/>
          <w:szCs w:val="24"/>
        </w:rPr>
        <w:t xml:space="preserve"> al Comision</w:t>
      </w:r>
      <w:r w:rsidR="00ED5591">
        <w:rPr>
          <w:rFonts w:ascii="Palatino Linotype" w:hAnsi="Palatino Linotype" w:cs="Arial"/>
          <w:sz w:val="24"/>
          <w:szCs w:val="24"/>
        </w:rPr>
        <w:t>ado Luis Gustavo Parra Noriega</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w:t>
      </w:r>
      <w:r w:rsidR="00ED5591">
        <w:rPr>
          <w:rFonts w:ascii="Palatino Linotype" w:hAnsi="Palatino Linotype" w:cs="Arial"/>
          <w:sz w:val="24"/>
          <w:szCs w:val="24"/>
        </w:rPr>
        <w:t xml:space="preserve">admisión en fecha </w:t>
      </w:r>
      <w:r w:rsidR="00AB45A4">
        <w:rPr>
          <w:rFonts w:ascii="Palatino Linotype" w:hAnsi="Palatino Linotype" w:cs="Arial"/>
          <w:sz w:val="24"/>
          <w:szCs w:val="24"/>
        </w:rPr>
        <w:t>diecisiete</w:t>
      </w:r>
      <w:r w:rsidR="00ED5591">
        <w:rPr>
          <w:rFonts w:ascii="Palatino Linotype" w:hAnsi="Palatino Linotype" w:cs="Arial"/>
          <w:sz w:val="24"/>
          <w:szCs w:val="24"/>
        </w:rPr>
        <w:t xml:space="preserve"> de diciembre</w:t>
      </w:r>
      <w:r w:rsidRPr="0013412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F66687"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ED5591">
        <w:rPr>
          <w:rFonts w:ascii="Palatino Linotype" w:hAnsi="Palatino Linotype" w:cs="Arial"/>
          <w:sz w:val="24"/>
          <w:szCs w:val="24"/>
        </w:rPr>
        <w:t>que</w:t>
      </w:r>
      <w:r w:rsidR="00364724">
        <w:rPr>
          <w:rFonts w:ascii="Palatino Linotype" w:hAnsi="Palatino Linotype" w:cs="Arial"/>
          <w:sz w:val="24"/>
          <w:szCs w:val="24"/>
        </w:rPr>
        <w:t xml:space="preserve"> tanto</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364724">
        <w:rPr>
          <w:rFonts w:ascii="Palatino Linotype" w:hAnsi="Palatino Linotype" w:cs="Arial"/>
          <w:sz w:val="24"/>
          <w:szCs w:val="24"/>
        </w:rPr>
        <w:t xml:space="preserve">como </w:t>
      </w:r>
      <w:r w:rsidR="00364724">
        <w:rPr>
          <w:rFonts w:ascii="Palatino Linotype" w:hAnsi="Palatino Linotype" w:cs="Arial"/>
          <w:b/>
          <w:sz w:val="24"/>
          <w:szCs w:val="24"/>
        </w:rPr>
        <w:t>El Recurrente,</w:t>
      </w:r>
      <w:r w:rsidR="00364724">
        <w:rPr>
          <w:rFonts w:ascii="Palatino Linotype" w:hAnsi="Palatino Linotype" w:cs="Arial"/>
          <w:sz w:val="24"/>
          <w:szCs w:val="24"/>
        </w:rPr>
        <w:t xml:space="preserve"> fueron omisos en </w:t>
      </w:r>
      <w:r w:rsidR="00C8176F">
        <w:rPr>
          <w:rFonts w:ascii="Palatino Linotype" w:hAnsi="Palatino Linotype" w:cs="Arial"/>
          <w:sz w:val="24"/>
          <w:szCs w:val="24"/>
        </w:rPr>
        <w:t>presentar informe justificado y manifestaciones respectivamente.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124474">
        <w:rPr>
          <w:rFonts w:ascii="Palatino Linotype" w:hAnsi="Palatino Linotype" w:cs="Arial"/>
          <w:sz w:val="24"/>
          <w:szCs w:val="24"/>
        </w:rPr>
        <w:t>cinco de febrero</w:t>
      </w:r>
      <w:r w:rsidR="00EF4493" w:rsidRPr="00DC3C2C">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A3726F" w:rsidRDefault="00A3726F" w:rsidP="00EF4493">
      <w:pPr>
        <w:tabs>
          <w:tab w:val="left" w:pos="709"/>
        </w:tabs>
        <w:spacing w:before="240" w:line="360" w:lineRule="auto"/>
        <w:ind w:right="51"/>
        <w:jc w:val="both"/>
        <w:rPr>
          <w:rFonts w:ascii="Palatino Linotype" w:hAnsi="Palatino Linotype"/>
          <w:b/>
          <w:sz w:val="28"/>
          <w:szCs w:val="28"/>
        </w:rPr>
      </w:pPr>
    </w:p>
    <w:p w:rsidR="00EF4493"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A3726F" w:rsidRPr="00B230B3" w:rsidRDefault="00A3726F" w:rsidP="00A3726F">
      <w:pPr>
        <w:pStyle w:val="Sinespaciado"/>
        <w:spacing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3726F" w:rsidRPr="00B230B3" w:rsidRDefault="00A3726F" w:rsidP="00A3726F">
      <w:pPr>
        <w:pStyle w:val="Sinespaciado"/>
        <w:spacing w:line="360" w:lineRule="auto"/>
        <w:jc w:val="both"/>
        <w:rPr>
          <w:rFonts w:ascii="Palatino Linotype" w:hAnsi="Palatino Linotype"/>
        </w:rPr>
      </w:pPr>
    </w:p>
    <w:p w:rsidR="00A3726F" w:rsidRPr="00B230B3" w:rsidRDefault="00A3726F" w:rsidP="00A3726F">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 xml:space="preserve">es de advertirse lo siguiente: nuestra Carta Magna dispone que para el ejercicio del derecho de acceso a la información los Estados deben observar diversos </w:t>
      </w:r>
      <w:r w:rsidRPr="00B230B3">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A3726F" w:rsidRPr="00407282" w:rsidRDefault="00A3726F" w:rsidP="00A3726F">
      <w:pPr>
        <w:pStyle w:val="Sinespaciado"/>
        <w:spacing w:line="360" w:lineRule="auto"/>
        <w:jc w:val="both"/>
        <w:rPr>
          <w:rFonts w:ascii="Palatino Linotype" w:hAnsi="Palatino Linotype"/>
          <w:color w:val="000000"/>
        </w:rPr>
      </w:pPr>
    </w:p>
    <w:p w:rsidR="00A3726F" w:rsidRPr="004E6B5B" w:rsidRDefault="00A3726F" w:rsidP="00A3726F">
      <w:pPr>
        <w:pStyle w:val="Sinespaciado"/>
        <w:ind w:left="567" w:right="567"/>
        <w:jc w:val="both"/>
        <w:rPr>
          <w:rFonts w:ascii="Palatino Linotype" w:hAnsi="Palatino Linotype"/>
          <w:b/>
          <w:i/>
        </w:rPr>
      </w:pPr>
      <w:r w:rsidRPr="004E6B5B">
        <w:rPr>
          <w:rFonts w:ascii="Palatino Linotype" w:hAnsi="Palatino Linotype"/>
          <w:b/>
          <w:i/>
        </w:rPr>
        <w:t>Artículo 6</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3726F" w:rsidRPr="004E6B5B" w:rsidRDefault="00A3726F" w:rsidP="00A3726F">
      <w:pPr>
        <w:pStyle w:val="Sinespaciado"/>
        <w:ind w:left="567" w:right="567"/>
        <w:jc w:val="both"/>
        <w:rPr>
          <w:rFonts w:ascii="Palatino Linotype" w:hAnsi="Palatino Linotype"/>
          <w:i/>
        </w:rPr>
      </w:pPr>
    </w:p>
    <w:p w:rsidR="00A3726F" w:rsidRPr="004C43AA" w:rsidRDefault="00A3726F" w:rsidP="00A3726F">
      <w:pPr>
        <w:pStyle w:val="Sinespaciado"/>
        <w:ind w:left="993" w:right="567"/>
        <w:jc w:val="both"/>
        <w:rPr>
          <w:rFonts w:ascii="Palatino Linotype" w:hAnsi="Palatino Linotype"/>
          <w:i/>
        </w:rPr>
      </w:pPr>
      <w:r w:rsidRPr="004E6B5B">
        <w:rPr>
          <w:rFonts w:ascii="Palatino Linotype" w:hAnsi="Palatino Linotype"/>
          <w:i/>
        </w:rPr>
        <w:t>Toda la información</w:t>
      </w:r>
      <w:r>
        <w:rPr>
          <w:rFonts w:ascii="Palatino Linotype" w:hAnsi="Palatino Linotype"/>
          <w:i/>
        </w:rPr>
        <w:t xml:space="preserve"> </w:t>
      </w:r>
      <w:r w:rsidRPr="004C43AA">
        <w:rPr>
          <w:rFonts w:ascii="Palatino Linotype"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726F" w:rsidRPr="00407282" w:rsidRDefault="00A3726F" w:rsidP="00A3726F">
      <w:pPr>
        <w:pStyle w:val="Sinespaciado"/>
        <w:spacing w:line="360" w:lineRule="auto"/>
        <w:jc w:val="both"/>
        <w:rPr>
          <w:rFonts w:ascii="Palatino Linotype" w:hAnsi="Palatino Linotype"/>
        </w:rPr>
      </w:pPr>
    </w:p>
    <w:p w:rsidR="00A3726F" w:rsidRPr="00407282" w:rsidRDefault="00A3726F" w:rsidP="00A3726F">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A3726F" w:rsidRPr="00407282" w:rsidRDefault="00A3726F" w:rsidP="00A3726F">
      <w:pPr>
        <w:pStyle w:val="Sinespaciado"/>
        <w:ind w:left="567" w:right="567"/>
        <w:jc w:val="both"/>
        <w:rPr>
          <w:rFonts w:ascii="Palatino Linotype" w:hAnsi="Palatino Linotype"/>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i/>
        </w:rPr>
        <w:t>…</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726F" w:rsidRPr="006376FA" w:rsidRDefault="00A3726F" w:rsidP="00A3726F">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726F" w:rsidRPr="006376FA" w:rsidRDefault="00A3726F" w:rsidP="00A3726F">
      <w:pPr>
        <w:pStyle w:val="Sinespaciado"/>
        <w:ind w:left="567" w:right="567"/>
        <w:jc w:val="both"/>
        <w:rPr>
          <w:rFonts w:ascii="Palatino Linotype" w:hAnsi="Palatino Linotype"/>
          <w:bCs/>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3726F" w:rsidRPr="006376FA" w:rsidRDefault="00A3726F" w:rsidP="00A3726F">
      <w:pPr>
        <w:pStyle w:val="Sinespaciado"/>
        <w:ind w:left="567" w:right="567"/>
        <w:jc w:val="both"/>
        <w:rPr>
          <w:rFonts w:ascii="Palatino Linotype" w:hAnsi="Palatino Linotype"/>
          <w:i/>
        </w:rPr>
      </w:pPr>
    </w:p>
    <w:p w:rsidR="00A3726F" w:rsidRPr="004E6B5B" w:rsidRDefault="00A3726F" w:rsidP="00A3726F">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3726F" w:rsidRPr="00407282" w:rsidRDefault="00A3726F" w:rsidP="00A3726F">
      <w:pPr>
        <w:pStyle w:val="Sinespaciado"/>
        <w:spacing w:line="360" w:lineRule="auto"/>
        <w:jc w:val="both"/>
        <w:rPr>
          <w:rFonts w:ascii="Palatino Linotype" w:hAnsi="Palatino Linotype"/>
        </w:rPr>
      </w:pPr>
    </w:p>
    <w:p w:rsidR="00A3726F" w:rsidRDefault="00A3726F" w:rsidP="00A3726F">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3726F" w:rsidRPr="006010FE" w:rsidRDefault="00A3726F" w:rsidP="00A3726F">
      <w:pPr>
        <w:pStyle w:val="Prrafodelista"/>
        <w:autoSpaceDE w:val="0"/>
        <w:autoSpaceDN w:val="0"/>
        <w:adjustRightInd w:val="0"/>
        <w:spacing w:line="360" w:lineRule="auto"/>
        <w:ind w:left="0"/>
        <w:jc w:val="both"/>
        <w:rPr>
          <w:rFonts w:ascii="Palatino Linotype" w:hAnsi="Palatino Linotype" w:cs="Arial"/>
        </w:rPr>
      </w:pP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Pr>
          <w:rFonts w:ascii="Palatino Linotype" w:hAnsi="Palatino Linotype"/>
        </w:rPr>
        <w:t>Cuadra</w:t>
      </w:r>
      <w:r w:rsidRPr="0096591D">
        <w:rPr>
          <w:rFonts w:ascii="Palatino Linotype" w:hAnsi="Palatino Linotype"/>
        </w:rPr>
        <w:t xml:space="preserve">gésima </w:t>
      </w:r>
      <w:r>
        <w:rPr>
          <w:rFonts w:ascii="Palatino Linotype" w:hAnsi="Palatino Linotype"/>
        </w:rPr>
        <w:t xml:space="preserve">Sexta </w:t>
      </w:r>
      <w:r w:rsidRPr="0096591D">
        <w:rPr>
          <w:rFonts w:ascii="Palatino Linotype" w:hAnsi="Palatino Linotype"/>
        </w:rPr>
        <w:t xml:space="preserve">Sesión Ordinaria celebrada el </w:t>
      </w:r>
      <w:r>
        <w:rPr>
          <w:rFonts w:ascii="Palatino Linotype" w:hAnsi="Palatino Linotype"/>
        </w:rPr>
        <w:t>once de diciembre</w:t>
      </w:r>
      <w:r w:rsidRPr="0096591D">
        <w:rPr>
          <w:rFonts w:ascii="Palatino Linotype" w:hAnsi="Palatino Linotype"/>
        </w:rPr>
        <w:t xml:space="preserve"> de dos mil diecinueve,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artículo 195 de la Ley de Transparencia y Acceso a la información Pública del Estado de México y Municipios, y con el artículo 18 del Código de Procedimientos Administrativos del Estado de México, los cuales establecen respectivamente:</w:t>
      </w: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A3726F" w:rsidRDefault="00A3726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A3726F" w:rsidRDefault="00A3726F" w:rsidP="00A3726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A3726F" w:rsidRDefault="00A3726F" w:rsidP="00A3726F">
      <w:pPr>
        <w:pStyle w:val="Prrafodelista"/>
        <w:numPr>
          <w:ilvl w:val="0"/>
          <w:numId w:val="43"/>
        </w:numPr>
        <w:autoSpaceDE w:val="0"/>
        <w:autoSpaceDN w:val="0"/>
        <w:adjustRightInd w:val="0"/>
        <w:spacing w:before="240" w:after="160" w:line="360" w:lineRule="auto"/>
        <w:jc w:val="both"/>
        <w:rPr>
          <w:rFonts w:ascii="Palatino Linotype" w:hAnsi="Palatino Linotype" w:cs="Arial"/>
        </w:rPr>
      </w:pPr>
      <w:r w:rsidRPr="00A3726F">
        <w:rPr>
          <w:rFonts w:ascii="Palatino Linotype" w:hAnsi="Palatino Linotype" w:cs="Arial"/>
        </w:rPr>
        <w:t>Solicito los gafetes institucionales del personal que trabaja en la Dirección de Obras Públicas.</w:t>
      </w:r>
    </w:p>
    <w:p w:rsidR="00A3726F" w:rsidRDefault="00A3726F" w:rsidP="00A3726F">
      <w:pPr>
        <w:pStyle w:val="Prrafodelista"/>
        <w:numPr>
          <w:ilvl w:val="0"/>
          <w:numId w:val="43"/>
        </w:numPr>
        <w:autoSpaceDE w:val="0"/>
        <w:autoSpaceDN w:val="0"/>
        <w:adjustRightInd w:val="0"/>
        <w:spacing w:before="240" w:after="160" w:line="360" w:lineRule="auto"/>
        <w:jc w:val="both"/>
        <w:rPr>
          <w:rFonts w:ascii="Palatino Linotype" w:hAnsi="Palatino Linotype" w:cs="Arial"/>
        </w:rPr>
      </w:pPr>
      <w:r w:rsidRPr="00A3726F">
        <w:rPr>
          <w:rFonts w:ascii="Palatino Linotype" w:hAnsi="Palatino Linotype" w:cs="Arial"/>
        </w:rPr>
        <w:t>Solicito los gafetes institucionales del personal que trabaja en la Dirección de Administración.</w:t>
      </w:r>
    </w:p>
    <w:p w:rsidR="00A3726F" w:rsidRPr="009A0D0A" w:rsidRDefault="004B1F1A"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 xml:space="preserve"> </w:t>
      </w:r>
    </w:p>
    <w:p w:rsidR="00325503" w:rsidRDefault="00803304" w:rsidP="00EF4493">
      <w:pPr>
        <w:autoSpaceDE w:val="0"/>
        <w:autoSpaceDN w:val="0"/>
        <w:adjustRightInd w:val="0"/>
        <w:spacing w:before="240" w:line="360" w:lineRule="auto"/>
        <w:jc w:val="both"/>
        <w:rPr>
          <w:rFonts w:ascii="Palatino Linotype" w:hAnsi="Palatino Linotype" w:cs="Arial"/>
          <w:sz w:val="24"/>
          <w:szCs w:val="24"/>
        </w:rPr>
      </w:pPr>
      <w:r w:rsidRPr="00803304">
        <w:rPr>
          <w:rFonts w:ascii="Palatino Linotype" w:hAnsi="Palatino Linotype" w:cs="Arial"/>
          <w:sz w:val="24"/>
          <w:szCs w:val="24"/>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w:t>
      </w:r>
      <w:r>
        <w:rPr>
          <w:rFonts w:ascii="Palatino Linotype" w:hAnsi="Palatino Linotype" w:cs="Arial"/>
          <w:sz w:val="24"/>
          <w:szCs w:val="24"/>
        </w:rPr>
        <w:t xml:space="preserve"> de ser entregada al Recurrente. </w:t>
      </w:r>
    </w:p>
    <w:p w:rsidR="00757C64" w:rsidRPr="00803304" w:rsidRDefault="00757C64" w:rsidP="00EF4493">
      <w:pPr>
        <w:autoSpaceDE w:val="0"/>
        <w:autoSpaceDN w:val="0"/>
        <w:adjustRightInd w:val="0"/>
        <w:spacing w:before="240" w:line="360" w:lineRule="auto"/>
        <w:jc w:val="both"/>
        <w:rPr>
          <w:rFonts w:ascii="Palatino Linotype" w:hAnsi="Palatino Linotype" w:cs="Arial"/>
          <w:sz w:val="24"/>
          <w:szCs w:val="24"/>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010FE">
        <w:rPr>
          <w:rFonts w:ascii="Palatino Linotype" w:hAnsi="Palatino Linotype"/>
          <w:i/>
          <w:sz w:val="22"/>
          <w:szCs w:val="22"/>
        </w:rPr>
        <w:lastRenderedPageBreak/>
        <w:t xml:space="preserve">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VII. La inobservancia a las disposiciones en materia de acceso a la información pública será sancionada en los términos que dispongan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0B5A64" w:rsidRPr="006010FE" w:rsidRDefault="000B5A64" w:rsidP="000B5A64">
      <w:pPr>
        <w:pStyle w:val="Sinespaciado"/>
        <w:ind w:left="567" w:right="567"/>
        <w:jc w:val="both"/>
        <w:rPr>
          <w:rFonts w:ascii="Palatino Linotype" w:hAnsi="Palatino Linotype"/>
          <w:i/>
          <w:sz w:val="22"/>
          <w:szCs w:val="22"/>
        </w:rPr>
      </w:pPr>
    </w:p>
    <w:p w:rsidR="000B5A64"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0B5A64" w:rsidRPr="006010FE"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V. Los órganos autónomos;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57C64" w:rsidRPr="00757C64" w:rsidRDefault="000B5A64" w:rsidP="00757C64">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757C64" w:rsidRDefault="00757C64" w:rsidP="00733917">
      <w:pPr>
        <w:pStyle w:val="Sinespaciado"/>
        <w:spacing w:line="360" w:lineRule="auto"/>
        <w:jc w:val="both"/>
        <w:rPr>
          <w:rFonts w:ascii="Palatino Linotype" w:hAnsi="Palatino Linotype" w:cs="Arial"/>
          <w:highlight w:val="yellow"/>
        </w:rPr>
      </w:pPr>
    </w:p>
    <w:p w:rsidR="00757C64" w:rsidRPr="00757C64" w:rsidRDefault="00757C64" w:rsidP="00733917">
      <w:pPr>
        <w:pStyle w:val="Sinespaciado"/>
        <w:spacing w:line="360" w:lineRule="auto"/>
        <w:jc w:val="both"/>
        <w:rPr>
          <w:rFonts w:ascii="Palatino Linotype" w:hAnsi="Palatino Linotype" w:cs="Arial"/>
        </w:rPr>
      </w:pPr>
    </w:p>
    <w:p w:rsidR="00757C64" w:rsidRDefault="00757C64" w:rsidP="00733917">
      <w:pPr>
        <w:pStyle w:val="Sinespaciado"/>
        <w:spacing w:line="360" w:lineRule="auto"/>
        <w:jc w:val="both"/>
        <w:rPr>
          <w:rFonts w:ascii="Palatino Linotype" w:hAnsi="Palatino Linotype" w:cs="Arial"/>
        </w:rPr>
      </w:pPr>
      <w:r w:rsidRPr="00757C64">
        <w:rPr>
          <w:rFonts w:ascii="Palatino Linotype" w:hAnsi="Palatino Linotype" w:cs="Arial"/>
        </w:rPr>
        <w:t>Ahora</w:t>
      </w:r>
      <w:r>
        <w:rPr>
          <w:rFonts w:ascii="Palatino Linotype" w:hAnsi="Palatino Linotype" w:cs="Arial"/>
        </w:rPr>
        <w:t xml:space="preserve"> bien, una vez expuesto lo anterior, tenemos que el Sujeto Obligado al momento de emitir las respuestas a las solicitudes de información, manifestó lo mismo en el sentido de que no se podían entregar los gafetes institucionales como tal, motivo por el cual el recurrente se dolió de las respuestas en referencia argumentando </w:t>
      </w:r>
      <w:r w:rsidR="00830C9E">
        <w:rPr>
          <w:rFonts w:ascii="Palatino Linotype" w:hAnsi="Palatino Linotype" w:cs="Arial"/>
        </w:rPr>
        <w:t>que el Sujeto Obligado no fundamenta ni justifica su respuesta.</w:t>
      </w:r>
    </w:p>
    <w:p w:rsidR="00830C9E" w:rsidRDefault="00830C9E" w:rsidP="00733917">
      <w:pPr>
        <w:pStyle w:val="Sinespaciado"/>
        <w:spacing w:line="360" w:lineRule="auto"/>
        <w:jc w:val="both"/>
        <w:rPr>
          <w:rFonts w:ascii="Palatino Linotype" w:hAnsi="Palatino Linotype" w:cs="Arial"/>
        </w:rPr>
      </w:pPr>
    </w:p>
    <w:p w:rsidR="00830C9E" w:rsidRPr="005B7B2A" w:rsidRDefault="00830C9E" w:rsidP="00830C9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rPr>
        <w:t xml:space="preserve">Así las cosas, </w:t>
      </w:r>
      <w:r w:rsidRPr="007707AC">
        <w:rPr>
          <w:rFonts w:ascii="Palatino Linotype" w:hAnsi="Palatino Linotype" w:cs="Arial"/>
          <w:sz w:val="24"/>
          <w:szCs w:val="24"/>
        </w:rPr>
        <w:t>es cierto que la Unidad de</w:t>
      </w:r>
      <w:r w:rsidRPr="005B7B2A">
        <w:rPr>
          <w:rFonts w:ascii="Palatino Linotype" w:hAnsi="Palatino Linotype" w:cs="Arial"/>
          <w:sz w:val="24"/>
          <w:szCs w:val="24"/>
        </w:rPr>
        <w:t xml:space="preserv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w:t>
      </w:r>
      <w:r w:rsidRPr="005B7B2A">
        <w:rPr>
          <w:rFonts w:ascii="Palatino Linotype" w:hAnsi="Palatino Linotype" w:cs="Arial"/>
          <w:sz w:val="24"/>
          <w:szCs w:val="24"/>
        </w:rPr>
        <w:lastRenderedPageBreak/>
        <w:t>correspondiente, la genere, recopile, administre, maneje, procese, archive o conserve, esto de conformidad con los artículos 51 y 53 fracción IV de la Ley en cita, que refieren:</w:t>
      </w:r>
    </w:p>
    <w:p w:rsidR="00830C9E" w:rsidRPr="005B7B2A" w:rsidRDefault="00830C9E" w:rsidP="00830C9E">
      <w:pPr>
        <w:autoSpaceDE w:val="0"/>
        <w:autoSpaceDN w:val="0"/>
        <w:adjustRightInd w:val="0"/>
        <w:spacing w:after="0" w:line="360" w:lineRule="auto"/>
        <w:jc w:val="both"/>
        <w:rPr>
          <w:rFonts w:ascii="Palatino Linotype" w:hAnsi="Palatino Linotype" w:cs="Arial"/>
          <w:sz w:val="24"/>
          <w:szCs w:val="24"/>
        </w:rPr>
      </w:pPr>
    </w:p>
    <w:p w:rsidR="00830C9E" w:rsidRPr="005B7B2A" w:rsidRDefault="00830C9E" w:rsidP="00830C9E">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830C9E" w:rsidRPr="005B7B2A" w:rsidRDefault="00830C9E" w:rsidP="00830C9E">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rsidR="00830C9E" w:rsidRDefault="00830C9E" w:rsidP="00830C9E">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rsidR="00830C9E" w:rsidRDefault="00830C9E" w:rsidP="00830C9E">
      <w:pPr>
        <w:tabs>
          <w:tab w:val="left" w:pos="709"/>
        </w:tabs>
        <w:spacing w:after="0" w:line="240" w:lineRule="auto"/>
        <w:ind w:left="851" w:right="760"/>
        <w:jc w:val="both"/>
        <w:rPr>
          <w:rFonts w:ascii="Palatino Linotype" w:hAnsi="Palatino Linotype" w:cs="Arial"/>
          <w:i/>
          <w:lang w:eastAsia="es-MX"/>
        </w:rPr>
      </w:pPr>
    </w:p>
    <w:p w:rsidR="00830C9E" w:rsidRPr="005B7B2A" w:rsidRDefault="00830C9E" w:rsidP="00830C9E">
      <w:pPr>
        <w:tabs>
          <w:tab w:val="left" w:pos="709"/>
        </w:tabs>
        <w:spacing w:after="0" w:line="240" w:lineRule="auto"/>
        <w:ind w:left="851" w:right="760"/>
        <w:jc w:val="both"/>
        <w:rPr>
          <w:rFonts w:ascii="Palatino Linotype" w:hAnsi="Palatino Linotype" w:cs="Arial"/>
          <w:i/>
          <w:lang w:eastAsia="es-MX"/>
        </w:rPr>
      </w:pPr>
    </w:p>
    <w:p w:rsidR="00830C9E" w:rsidRDefault="00830C9E" w:rsidP="00830C9E">
      <w:pPr>
        <w:autoSpaceDE w:val="0"/>
        <w:autoSpaceDN w:val="0"/>
        <w:adjustRightInd w:val="0"/>
        <w:spacing w:after="0" w:line="360" w:lineRule="auto"/>
        <w:jc w:val="both"/>
        <w:rPr>
          <w:rFonts w:ascii="Palatino Linotype" w:hAnsi="Palatino Linotype" w:cs="Arial"/>
          <w:sz w:val="24"/>
          <w:szCs w:val="24"/>
        </w:rPr>
      </w:pPr>
      <w:r w:rsidRPr="005B7B2A">
        <w:rPr>
          <w:rFonts w:ascii="Palatino Linotype" w:hAnsi="Palatino Linotype" w:cs="Arial"/>
          <w:sz w:val="24"/>
          <w:szCs w:val="24"/>
        </w:rPr>
        <w:t>Lo anterior es así ya que derivado de la</w:t>
      </w:r>
      <w:r w:rsidR="00921823">
        <w:rPr>
          <w:rFonts w:ascii="Palatino Linotype" w:hAnsi="Palatino Linotype" w:cs="Arial"/>
          <w:sz w:val="24"/>
          <w:szCs w:val="24"/>
        </w:rPr>
        <w:t>s</w:t>
      </w:r>
      <w:r w:rsidRPr="005B7B2A">
        <w:rPr>
          <w:rFonts w:ascii="Palatino Linotype" w:hAnsi="Palatino Linotype" w:cs="Arial"/>
          <w:sz w:val="24"/>
          <w:szCs w:val="24"/>
        </w:rPr>
        <w:t xml:space="preserve"> solicitud</w:t>
      </w:r>
      <w:r w:rsidR="00921823">
        <w:rPr>
          <w:rFonts w:ascii="Palatino Linotype" w:hAnsi="Palatino Linotype" w:cs="Arial"/>
          <w:sz w:val="24"/>
          <w:szCs w:val="24"/>
        </w:rPr>
        <w:t>es de información en las que se resuelve</w:t>
      </w:r>
      <w:r w:rsidRPr="005B7B2A">
        <w:rPr>
          <w:rFonts w:ascii="Palatino Linotype" w:hAnsi="Palatino Linotype" w:cs="Arial"/>
          <w:sz w:val="24"/>
          <w:szCs w:val="24"/>
        </w:rPr>
        <w:t xml:space="preserve">, se aprecia en el sistema SAIMEX, que la </w:t>
      </w:r>
      <w:r>
        <w:rPr>
          <w:rFonts w:ascii="Palatino Linotype" w:hAnsi="Palatino Linotype" w:cs="Arial"/>
          <w:sz w:val="24"/>
          <w:szCs w:val="24"/>
        </w:rPr>
        <w:t xml:space="preserve">Unidad de Transparencia </w:t>
      </w:r>
      <w:r w:rsidRPr="00385633">
        <w:rPr>
          <w:rFonts w:ascii="Palatino Linotype" w:hAnsi="Palatino Linotype" w:cs="Arial"/>
          <w:sz w:val="24"/>
          <w:szCs w:val="24"/>
        </w:rPr>
        <w:t>y Acceso a la Información Pública</w:t>
      </w:r>
      <w:r>
        <w:rPr>
          <w:rFonts w:ascii="Palatino Linotype" w:hAnsi="Palatino Linotype" w:cs="Arial"/>
          <w:sz w:val="24"/>
          <w:szCs w:val="24"/>
        </w:rPr>
        <w:t xml:space="preserve"> del sujeto obligado</w:t>
      </w:r>
      <w:r w:rsidR="00921823">
        <w:rPr>
          <w:rFonts w:ascii="Palatino Linotype" w:hAnsi="Palatino Linotype" w:cs="Arial"/>
          <w:sz w:val="24"/>
          <w:szCs w:val="24"/>
        </w:rPr>
        <w:t xml:space="preserve"> no realizó el turno respectivo, es decir no remitió las solicitudes de información al área o áreas que pudieran contar con la información solicitada</w:t>
      </w:r>
      <w:r>
        <w:rPr>
          <w:rFonts w:ascii="Palatino Linotype" w:hAnsi="Palatino Linotype" w:cs="Arial"/>
          <w:sz w:val="24"/>
          <w:szCs w:val="24"/>
        </w:rPr>
        <w:t>, dando como resultado incertidumbre sobre</w:t>
      </w:r>
      <w:r w:rsidR="00921823">
        <w:rPr>
          <w:rFonts w:ascii="Palatino Linotype" w:hAnsi="Palatino Linotype" w:cs="Arial"/>
          <w:sz w:val="24"/>
          <w:szCs w:val="24"/>
        </w:rPr>
        <w:t xml:space="preserve"> la respuesta proporcionada por el sujeto obligado</w:t>
      </w:r>
      <w:r>
        <w:rPr>
          <w:rFonts w:ascii="Palatino Linotype" w:hAnsi="Palatino Linotype" w:cs="Arial"/>
          <w:sz w:val="24"/>
          <w:szCs w:val="24"/>
        </w:rPr>
        <w:t>.</w:t>
      </w:r>
    </w:p>
    <w:p w:rsidR="00830C9E" w:rsidRDefault="00830C9E" w:rsidP="00830C9E">
      <w:pPr>
        <w:pStyle w:val="Prrafodelista"/>
        <w:autoSpaceDE w:val="0"/>
        <w:autoSpaceDN w:val="0"/>
        <w:adjustRightInd w:val="0"/>
        <w:spacing w:before="240" w:after="160" w:line="360" w:lineRule="auto"/>
        <w:ind w:left="0"/>
        <w:jc w:val="both"/>
        <w:rPr>
          <w:rFonts w:ascii="Palatino Linotype" w:hAnsi="Palatino Linotype" w:cs="Arial"/>
        </w:rPr>
      </w:pPr>
    </w:p>
    <w:p w:rsidR="00830C9E" w:rsidRDefault="00830C9E" w:rsidP="00830C9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se considera que la</w:t>
      </w:r>
      <w:r w:rsidR="00921823">
        <w:rPr>
          <w:rFonts w:ascii="Palatino Linotype" w:hAnsi="Palatino Linotype" w:cs="Arial"/>
        </w:rPr>
        <w:t>s</w:t>
      </w:r>
      <w:r>
        <w:rPr>
          <w:rFonts w:ascii="Palatino Linotype" w:hAnsi="Palatino Linotype" w:cs="Arial"/>
        </w:rPr>
        <w:t xml:space="preserve"> respuesta</w:t>
      </w:r>
      <w:r w:rsidR="00921823">
        <w:rPr>
          <w:rFonts w:ascii="Palatino Linotype" w:hAnsi="Palatino Linotype" w:cs="Arial"/>
        </w:rPr>
        <w:t>s</w:t>
      </w:r>
      <w:r>
        <w:rPr>
          <w:rFonts w:ascii="Palatino Linotype" w:hAnsi="Palatino Linotype" w:cs="Arial"/>
        </w:rPr>
        <w:t xml:space="preserve"> proporcionada</w:t>
      </w:r>
      <w:r w:rsidR="00921823">
        <w:rPr>
          <w:rFonts w:ascii="Palatino Linotype" w:hAnsi="Palatino Linotype" w:cs="Arial"/>
        </w:rPr>
        <w:t>s</w:t>
      </w:r>
      <w:r>
        <w:rPr>
          <w:rFonts w:ascii="Palatino Linotype" w:hAnsi="Palatino Linotype" w:cs="Arial"/>
        </w:rPr>
        <w:t xml:space="preserve"> por el sujeto obligado no colma con los requerimientos planteados por </w:t>
      </w:r>
      <w:r w:rsidR="00921823">
        <w:rPr>
          <w:rFonts w:ascii="Palatino Linotype" w:hAnsi="Palatino Linotype" w:cs="Arial"/>
        </w:rPr>
        <w:t>el</w:t>
      </w:r>
      <w:r>
        <w:rPr>
          <w:rFonts w:ascii="Palatino Linotype" w:hAnsi="Palatino Linotype" w:cs="Arial"/>
        </w:rPr>
        <w:t xml:space="preserve"> recurrente en su</w:t>
      </w:r>
      <w:r w:rsidR="00921823">
        <w:rPr>
          <w:rFonts w:ascii="Palatino Linotype" w:hAnsi="Palatino Linotype" w:cs="Arial"/>
        </w:rPr>
        <w:t>s</w:t>
      </w:r>
      <w:r>
        <w:rPr>
          <w:rFonts w:ascii="Palatino Linotype" w:hAnsi="Palatino Linotype" w:cs="Arial"/>
        </w:rPr>
        <w:t xml:space="preserve"> solicitud</w:t>
      </w:r>
      <w:r w:rsidR="00921823">
        <w:rPr>
          <w:rFonts w:ascii="Palatino Linotype" w:hAnsi="Palatino Linotype" w:cs="Arial"/>
        </w:rPr>
        <w:t>es</w:t>
      </w:r>
      <w:r>
        <w:rPr>
          <w:rFonts w:ascii="Palatino Linotype" w:hAnsi="Palatino Linotype" w:cs="Arial"/>
        </w:rPr>
        <w:t xml:space="preserve"> de información ante la indebida fundamentación y motivación sobre la misma, ya que para tener certeza sobre la situación a la que hace referencia el sujeto obligado, hace falta tener seguridad sobre el turno de la solicitud de información materia del presente fallo y a su vez argumentar el por qué no </w:t>
      </w:r>
      <w:r w:rsidR="00921823">
        <w:rPr>
          <w:rFonts w:ascii="Palatino Linotype" w:hAnsi="Palatino Linotype" w:cs="Arial"/>
        </w:rPr>
        <w:t>es posible entregar la información como tal</w:t>
      </w:r>
      <w:r>
        <w:rPr>
          <w:rFonts w:ascii="Palatino Linotype" w:hAnsi="Palatino Linotype" w:cs="Arial"/>
        </w:rPr>
        <w:t>.</w:t>
      </w:r>
    </w:p>
    <w:p w:rsidR="00830C9E" w:rsidRDefault="00830C9E" w:rsidP="00733917">
      <w:pPr>
        <w:pStyle w:val="Sinespaciado"/>
        <w:spacing w:line="360" w:lineRule="auto"/>
        <w:jc w:val="both"/>
        <w:rPr>
          <w:rFonts w:ascii="Palatino Linotype" w:hAnsi="Palatino Linotype" w:cs="Arial"/>
        </w:rPr>
      </w:pPr>
    </w:p>
    <w:p w:rsidR="00757C64" w:rsidRDefault="00C45378" w:rsidP="00733917">
      <w:pPr>
        <w:pStyle w:val="Sinespaciado"/>
        <w:spacing w:line="360" w:lineRule="auto"/>
        <w:jc w:val="both"/>
        <w:rPr>
          <w:rFonts w:ascii="Palatino Linotype" w:hAnsi="Palatino Linotype" w:cs="Arial"/>
        </w:rPr>
      </w:pPr>
      <w:r>
        <w:rPr>
          <w:rFonts w:ascii="Palatino Linotype" w:hAnsi="Palatino Linotype" w:cs="Arial"/>
        </w:rPr>
        <w:t xml:space="preserve">De igual forma cabe señalar que de </w:t>
      </w:r>
      <w:r w:rsidR="004674BE">
        <w:rPr>
          <w:rFonts w:ascii="Palatino Linotype" w:hAnsi="Palatino Linotype" w:cs="Arial"/>
        </w:rPr>
        <w:t>las respuestas proporcionadas</w:t>
      </w:r>
      <w:r>
        <w:rPr>
          <w:rFonts w:ascii="Palatino Linotype" w:hAnsi="Palatino Linotype" w:cs="Arial"/>
        </w:rPr>
        <w:t xml:space="preserve"> por el sujeto obl</w:t>
      </w:r>
      <w:r w:rsidR="004674BE">
        <w:rPr>
          <w:rFonts w:ascii="Palatino Linotype" w:hAnsi="Palatino Linotype" w:cs="Arial"/>
        </w:rPr>
        <w:t xml:space="preserve">igado podemos apreciar </w:t>
      </w:r>
      <w:r w:rsidR="00D27AC6">
        <w:rPr>
          <w:rFonts w:ascii="Palatino Linotype" w:hAnsi="Palatino Linotype" w:cs="Arial"/>
        </w:rPr>
        <w:t>que ha asumido contar con los documentos peticionados ya que únicamente argumentó que estos no podían ser entregados como tal, mas nunca negó la existencia de estos.</w:t>
      </w:r>
    </w:p>
    <w:p w:rsidR="00D27AC6" w:rsidRDefault="00D27AC6" w:rsidP="00733917">
      <w:pPr>
        <w:pStyle w:val="Sinespaciado"/>
        <w:spacing w:line="360" w:lineRule="auto"/>
        <w:jc w:val="both"/>
        <w:rPr>
          <w:rFonts w:ascii="Palatino Linotype" w:hAnsi="Palatino Linotype" w:cs="Arial"/>
        </w:rPr>
      </w:pPr>
    </w:p>
    <w:p w:rsidR="00D27AC6" w:rsidRDefault="00D27AC6" w:rsidP="00733917">
      <w:pPr>
        <w:pStyle w:val="Sinespaciado"/>
        <w:spacing w:line="360" w:lineRule="auto"/>
        <w:jc w:val="both"/>
        <w:rPr>
          <w:rFonts w:ascii="Palatino Linotype" w:hAnsi="Palatino Linotype" w:cs="Arial"/>
        </w:rPr>
      </w:pPr>
      <w:r w:rsidRPr="00D27AC6">
        <w:rPr>
          <w:rFonts w:ascii="Palatino Linotype" w:hAnsi="Palatino Linotype" w:cs="Arial"/>
        </w:rPr>
        <w:t>Por lo tanto, derivado de que el sujeto obligado ya acepto tácitamente que cuenta con la información, no es necesario entrar al estudio de su fuente obligacional, ya que a nada práctico nos llevaría hacerlo, sin embargo, es menester tomar en cuenta las siguientes consideraciones.</w:t>
      </w:r>
    </w:p>
    <w:p w:rsidR="00D27AC6" w:rsidRDefault="00D27AC6" w:rsidP="00733917">
      <w:pPr>
        <w:pStyle w:val="Sinespaciado"/>
        <w:spacing w:line="360" w:lineRule="auto"/>
        <w:jc w:val="both"/>
        <w:rPr>
          <w:rFonts w:ascii="Palatino Linotype" w:hAnsi="Palatino Linotype" w:cs="Arial"/>
        </w:rPr>
      </w:pPr>
    </w:p>
    <w:p w:rsidR="00D27AC6" w:rsidRDefault="00D53106" w:rsidP="00733917">
      <w:pPr>
        <w:pStyle w:val="Sinespaciado"/>
        <w:spacing w:line="360" w:lineRule="auto"/>
        <w:jc w:val="both"/>
        <w:rPr>
          <w:rFonts w:ascii="Palatino Linotype" w:hAnsi="Palatino Linotype" w:cs="Arial"/>
        </w:rPr>
      </w:pPr>
      <w:r>
        <w:rPr>
          <w:rFonts w:ascii="Palatino Linotype" w:hAnsi="Palatino Linotype" w:cs="Arial"/>
        </w:rPr>
        <w:t>Resulta necesario precisar que, los gafetes institucionales, pueden ser proporcionados al particular en versión pública, ya que dicho documento acredita y da certeza a la ciudadanía que los servidores públicos se encuentran adscritos a la dependencia correspondiente y en todo caso que este puede ejercer actos de autoridad con base a las atribuciones y funciones que el propio Ayuntamiento le confiere.</w:t>
      </w:r>
    </w:p>
    <w:p w:rsidR="00D53106" w:rsidRDefault="00D53106" w:rsidP="00733917">
      <w:pPr>
        <w:pStyle w:val="Sinespaciado"/>
        <w:spacing w:line="360" w:lineRule="auto"/>
        <w:jc w:val="both"/>
        <w:rPr>
          <w:rFonts w:ascii="Palatino Linotype" w:hAnsi="Palatino Linotype" w:cs="Arial"/>
        </w:rPr>
      </w:pPr>
    </w:p>
    <w:p w:rsidR="00D53106" w:rsidRDefault="00D53106" w:rsidP="00733917">
      <w:pPr>
        <w:pStyle w:val="Sinespaciado"/>
        <w:spacing w:line="360" w:lineRule="auto"/>
        <w:jc w:val="both"/>
        <w:rPr>
          <w:rFonts w:ascii="Palatino Linotype" w:hAnsi="Palatino Linotype" w:cs="Arial"/>
        </w:rPr>
      </w:pPr>
      <w:r>
        <w:rPr>
          <w:rFonts w:ascii="Palatino Linotype" w:hAnsi="Palatino Linotype" w:cs="Arial"/>
        </w:rPr>
        <w:t>En ese sentido si bien podemos encontrar algunos datos que pueden ser considerados como confidenciales, también lo es que estos pueden ser proporcionados en una adecuada versión pública, censurando los datos que puedan ser considerados como tal; verbigracia, la fotografía inmersa en los multicitados gafetes, sin embargo resulta necesario precisar lo siguiente</w:t>
      </w:r>
      <w:r w:rsidR="007D4E9E">
        <w:rPr>
          <w:rFonts w:ascii="Palatino Linotype" w:hAnsi="Palatino Linotype" w:cs="Arial"/>
        </w:rPr>
        <w:t>:</w:t>
      </w:r>
    </w:p>
    <w:p w:rsidR="007D4E9E" w:rsidRDefault="007D4E9E" w:rsidP="00733917">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7D4E9E" w:rsidRPr="007D4E9E" w:rsidRDefault="007D4E9E" w:rsidP="007D4E9E">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7D4E9E" w:rsidRPr="007D4E9E" w:rsidRDefault="007D4E9E" w:rsidP="007D4E9E">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 xml:space="preserve">Que la Ley de Protección de Datos Personales en Posesión de Sujetos Obligados del Estado de México y Municipios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w:t>
      </w:r>
      <w:r w:rsidRPr="007D4E9E">
        <w:rPr>
          <w:rFonts w:ascii="Palatino Linotype" w:hAnsi="Palatino Linotype" w:cs="Arial"/>
        </w:rPr>
        <w:lastRenderedPageBreak/>
        <w:t>de las personas, así como también el acceso a la información que sobre los mismos se registre.</w:t>
      </w:r>
    </w:p>
    <w:p w:rsidR="007D4E9E" w:rsidRPr="007D4E9E" w:rsidRDefault="007D4E9E" w:rsidP="007D4E9E">
      <w:pPr>
        <w:pStyle w:val="Sinespaciado"/>
        <w:spacing w:line="360" w:lineRule="auto"/>
        <w:jc w:val="both"/>
        <w:rPr>
          <w:rFonts w:ascii="Palatino Linotype" w:hAnsi="Palatino Linotype" w:cs="Arial"/>
        </w:rPr>
      </w:pPr>
    </w:p>
    <w:p w:rsidR="007D4E9E" w:rsidRPr="007D4E9E" w:rsidRDefault="007D4E9E" w:rsidP="007D4E9E">
      <w:pPr>
        <w:pStyle w:val="Sinespaciado"/>
        <w:spacing w:line="360" w:lineRule="auto"/>
        <w:jc w:val="both"/>
        <w:rPr>
          <w:rFonts w:ascii="Palatino Linotype" w:hAnsi="Palatino Linotype" w:cs="Arial"/>
        </w:rPr>
      </w:pPr>
    </w:p>
    <w:p w:rsid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rsidR="007D4E9E" w:rsidRDefault="007D4E9E" w:rsidP="007D4E9E">
      <w:pPr>
        <w:pStyle w:val="Sinespaciado"/>
        <w:spacing w:line="360" w:lineRule="auto"/>
        <w:jc w:val="both"/>
        <w:rPr>
          <w:rFonts w:ascii="Palatino Linotype" w:hAnsi="Palatino Linotype" w:cs="Arial"/>
        </w:rPr>
      </w:pPr>
    </w:p>
    <w:p w:rsid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En estos casos, se debe corroborar una conexión patente entre la información confidencial y un tema de interés público. La fotografía de un servidor público</w:t>
      </w:r>
      <w:r>
        <w:rPr>
          <w:rFonts w:ascii="Palatino Linotype" w:hAnsi="Palatino Linotype" w:cs="Arial"/>
        </w:rPr>
        <w:t xml:space="preserve"> posiblemente</w:t>
      </w:r>
      <w:r w:rsidRPr="007D4E9E">
        <w:rPr>
          <w:rFonts w:ascii="Palatino Linotype" w:hAnsi="Palatino Linotype" w:cs="Arial"/>
        </w:rPr>
        <w:t xml:space="preserve"> contenidos </w:t>
      </w:r>
      <w:r>
        <w:rPr>
          <w:rFonts w:ascii="Palatino Linotype" w:hAnsi="Palatino Linotype" w:cs="Arial"/>
        </w:rPr>
        <w:t>en los gafetes solicitados</w:t>
      </w:r>
      <w:r w:rsidRPr="007D4E9E">
        <w:rPr>
          <w:rFonts w:ascii="Palatino Linotype" w:hAnsi="Palatino Linotype" w:cs="Arial"/>
        </w:rPr>
        <w:t xml:space="preserve"> son datos personales susceptibles de ser clasificados como confidenciales.</w:t>
      </w:r>
    </w:p>
    <w:p w:rsidR="007D4E9E" w:rsidRDefault="007D4E9E" w:rsidP="007D4E9E">
      <w:pPr>
        <w:pStyle w:val="Sinespaciado"/>
        <w:spacing w:line="360" w:lineRule="auto"/>
        <w:jc w:val="both"/>
        <w:rPr>
          <w:rFonts w:ascii="Palatino Linotype" w:hAnsi="Palatino Linotype" w:cs="Arial"/>
        </w:rPr>
      </w:pPr>
    </w:p>
    <w:p w:rsidR="007D4E9E" w:rsidRDefault="007D4E9E" w:rsidP="007D4E9E">
      <w:pPr>
        <w:pStyle w:val="Sinespaciado"/>
        <w:spacing w:line="360" w:lineRule="auto"/>
        <w:jc w:val="both"/>
        <w:rPr>
          <w:rFonts w:ascii="Palatino Linotype" w:hAnsi="Palatino Linotype" w:cs="Arial"/>
        </w:rPr>
      </w:pPr>
      <w:r w:rsidRPr="007D4E9E">
        <w:rPr>
          <w:rFonts w:ascii="Palatino Linotype" w:hAnsi="Palatino Linotype" w:cs="Arial"/>
        </w:rPr>
        <w:t>En este sentido, el interés público que existe, radica en que ésta medida permite identificar la relación que tiene la persona que aparece en la fotografía con la experiencia tanto laboral como académica. Lo que además permitirá identifi</w:t>
      </w:r>
      <w:r w:rsidR="00B50D8C">
        <w:rPr>
          <w:rFonts w:ascii="Palatino Linotype" w:hAnsi="Palatino Linotype" w:cs="Arial"/>
        </w:rPr>
        <w:t xml:space="preserve">car si la persona reconocida en un gafete institucional </w:t>
      </w:r>
      <w:r w:rsidRPr="007D4E9E">
        <w:rPr>
          <w:rFonts w:ascii="Palatino Linotype" w:hAnsi="Palatino Linotype" w:cs="Arial"/>
        </w:rPr>
        <w:t>es quien brinda sus serv</w:t>
      </w:r>
      <w:r w:rsidR="00B50D8C">
        <w:rPr>
          <w:rFonts w:ascii="Palatino Linotype" w:hAnsi="Palatino Linotype" w:cs="Arial"/>
        </w:rPr>
        <w:t>icios al s</w:t>
      </w:r>
      <w:r w:rsidRPr="007D4E9E">
        <w:rPr>
          <w:rFonts w:ascii="Palatino Linotype" w:hAnsi="Palatino Linotype" w:cs="Arial"/>
        </w:rPr>
        <w:t xml:space="preserve">ujeto </w:t>
      </w:r>
      <w:r w:rsidR="00B50D8C">
        <w:rPr>
          <w:rFonts w:ascii="Palatino Linotype" w:hAnsi="Palatino Linotype" w:cs="Arial"/>
        </w:rPr>
        <w:t>o</w:t>
      </w:r>
      <w:r w:rsidRPr="007D4E9E">
        <w:rPr>
          <w:rFonts w:ascii="Palatino Linotype" w:hAnsi="Palatino Linotype" w:cs="Arial"/>
        </w:rPr>
        <w:t>bligado.</w:t>
      </w:r>
    </w:p>
    <w:p w:rsidR="00B50D8C" w:rsidRDefault="00B50D8C" w:rsidP="007D4E9E">
      <w:pPr>
        <w:pStyle w:val="Sinespaciado"/>
        <w:spacing w:line="360" w:lineRule="auto"/>
        <w:jc w:val="both"/>
        <w:rPr>
          <w:rFonts w:ascii="Palatino Linotype" w:hAnsi="Palatino Linotype" w:cs="Arial"/>
        </w:rPr>
      </w:pPr>
    </w:p>
    <w:p w:rsidR="00B50D8C" w:rsidRDefault="00B50D8C" w:rsidP="007D4E9E">
      <w:pPr>
        <w:pStyle w:val="Sinespaciado"/>
        <w:spacing w:line="360" w:lineRule="auto"/>
        <w:jc w:val="both"/>
        <w:rPr>
          <w:rFonts w:ascii="Palatino Linotype" w:hAnsi="Palatino Linotype" w:cs="Arial"/>
        </w:rPr>
      </w:pPr>
      <w:r w:rsidRPr="00B50D8C">
        <w:rPr>
          <w:rFonts w:ascii="Palatino Linotype" w:hAnsi="Palatino Linotype" w:cs="Arial"/>
        </w:rPr>
        <w:lastRenderedPageBreak/>
        <w:t xml:space="preserve">Como ya se ha señalado, el interés público consiste en </w:t>
      </w:r>
      <w:r>
        <w:rPr>
          <w:rFonts w:ascii="Palatino Linotype" w:hAnsi="Palatino Linotype" w:cs="Arial"/>
        </w:rPr>
        <w:t>que las personas, conozcan si el rostro de la persona que aparece en los documentos en referencia corresponde a la</w:t>
      </w:r>
      <w:r w:rsidRPr="00B50D8C">
        <w:rPr>
          <w:rFonts w:ascii="Palatino Linotype" w:hAnsi="Palatino Linotype" w:cs="Arial"/>
        </w:rPr>
        <w:t xml:space="preserve"> que se encuentran laborando en la administración pública municipal.</w:t>
      </w:r>
    </w:p>
    <w:p w:rsidR="00B50D8C" w:rsidRDefault="00B50D8C" w:rsidP="007D4E9E">
      <w:pPr>
        <w:pStyle w:val="Sinespaciado"/>
        <w:spacing w:line="360" w:lineRule="auto"/>
        <w:jc w:val="both"/>
        <w:rPr>
          <w:rFonts w:ascii="Palatino Linotype" w:hAnsi="Palatino Linotype" w:cs="Arial"/>
        </w:rPr>
      </w:pPr>
    </w:p>
    <w:p w:rsidR="00B50D8C" w:rsidRDefault="00B50D8C" w:rsidP="007D4E9E">
      <w:pPr>
        <w:pStyle w:val="Sinespaciado"/>
        <w:spacing w:line="360" w:lineRule="auto"/>
        <w:jc w:val="both"/>
        <w:rPr>
          <w:rFonts w:ascii="Palatino Linotype" w:hAnsi="Palatino Linotype" w:cs="Arial"/>
        </w:rPr>
      </w:pPr>
      <w:r>
        <w:rPr>
          <w:rFonts w:ascii="Palatino Linotype" w:hAnsi="Palatino Linotype" w:cs="Arial"/>
        </w:rPr>
        <w:t>Lo anterior únicamente se considera aplicable para los servidores públicos que cuentan con un rango de mandos medios a superiores, directivos, etc. así como los que desempeñan funciones de interacción con el público en general, ya que al tratarse de estos casos, la ciudadanía tiene derecho a tener certeza de que efectivamente dichos funcionarios se encuentran adscritos al sujeto obligado.</w:t>
      </w:r>
    </w:p>
    <w:p w:rsidR="00B50D8C" w:rsidRDefault="00B50D8C" w:rsidP="007D4E9E">
      <w:pPr>
        <w:pStyle w:val="Sinespaciado"/>
        <w:spacing w:line="360" w:lineRule="auto"/>
        <w:jc w:val="both"/>
        <w:rPr>
          <w:rFonts w:ascii="Palatino Linotype" w:hAnsi="Palatino Linotype" w:cs="Arial"/>
        </w:rPr>
      </w:pPr>
    </w:p>
    <w:p w:rsidR="00757C64" w:rsidRDefault="00B50D8C" w:rsidP="00733917">
      <w:pPr>
        <w:pStyle w:val="Sinespaciado"/>
        <w:spacing w:line="360" w:lineRule="auto"/>
        <w:jc w:val="both"/>
        <w:rPr>
          <w:rFonts w:ascii="Palatino Linotype" w:hAnsi="Palatino Linotype" w:cs="Arial"/>
        </w:rPr>
      </w:pPr>
      <w:r>
        <w:rPr>
          <w:rFonts w:ascii="Palatino Linotype" w:hAnsi="Palatino Linotype" w:cs="Arial"/>
        </w:rPr>
        <w:t>Es por todo lo anterior que se considera que el sujeto obligado tiene la posibilidad de entregar la información peticionada en las solicitudes de información, en versión pública de ser procedente, ello a efecto de otorgar el debido derecho de acceso a la información del particular, privilegiando en todo momento los principios de certeza y máxima publicidad.</w:t>
      </w:r>
    </w:p>
    <w:p w:rsidR="00456601" w:rsidRDefault="00456601" w:rsidP="00733917">
      <w:pPr>
        <w:pStyle w:val="Sinespaciado"/>
        <w:spacing w:line="360" w:lineRule="auto"/>
        <w:jc w:val="both"/>
        <w:rPr>
          <w:rFonts w:ascii="Palatino Linotype" w:hAnsi="Palatino Linotype" w:cs="Arial"/>
        </w:rPr>
      </w:pPr>
    </w:p>
    <w:p w:rsidR="00456601" w:rsidRPr="00B50D8C" w:rsidRDefault="00456601" w:rsidP="00733917">
      <w:pPr>
        <w:pStyle w:val="Sinespaciado"/>
        <w:spacing w:line="360" w:lineRule="auto"/>
        <w:jc w:val="both"/>
        <w:rPr>
          <w:rFonts w:ascii="Palatino Linotype" w:hAnsi="Palatino Linotype" w:cs="Arial"/>
        </w:rPr>
      </w:pPr>
      <w:r>
        <w:rPr>
          <w:rFonts w:ascii="Palatino Linotype" w:hAnsi="Palatino Linotype" w:cs="Arial"/>
        </w:rPr>
        <w:t>De igual forma no pasa desapercibido que el recurrente no puntualizó la temporalidad en la que desea conocer la información solicitada, por ende este Órgano Garante considera dable ordenar al sujeto obligado haga entrega de la información solicitada del personal que se encuentre adscrito a la fecha de las solicitudes de información.</w:t>
      </w:r>
    </w:p>
    <w:p w:rsidR="00757C64" w:rsidRPr="00733917" w:rsidRDefault="00757C64" w:rsidP="00733917">
      <w:pPr>
        <w:pStyle w:val="Sinespaciado"/>
        <w:spacing w:line="360" w:lineRule="auto"/>
        <w:jc w:val="both"/>
        <w:rPr>
          <w:rFonts w:ascii="Palatino Linotype" w:hAnsi="Palatino Linotype" w:cs="Arial"/>
          <w:highlight w:val="yellow"/>
        </w:rPr>
      </w:pPr>
    </w:p>
    <w:p w:rsidR="006B740B" w:rsidRPr="00FD08EA" w:rsidRDefault="006B740B" w:rsidP="006B740B">
      <w:pPr>
        <w:numPr>
          <w:ilvl w:val="0"/>
          <w:numId w:val="39"/>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t xml:space="preserve">Versión pública. </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lastRenderedPageBreak/>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w:t>
      </w:r>
      <w:r w:rsidRPr="00FD08EA">
        <w:rPr>
          <w:rFonts w:ascii="Palatino Linotype" w:hAnsi="Palatino Linotype" w:cs="Arial"/>
          <w:sz w:val="24"/>
          <w:szCs w:val="24"/>
        </w:rPr>
        <w:lastRenderedPageBreak/>
        <w:t>(ISSEMYM, u otros), y números de cuentas bancarias, siempre y cuando se contengan en dichos documentos, los cuales, deben testarse al momento de la elaboración de versión pública.</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0C5A93" w:rsidRDefault="006B740B" w:rsidP="006B740B">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6B740B" w:rsidRPr="00FD08EA" w:rsidRDefault="006B740B" w:rsidP="006B740B">
      <w:pPr>
        <w:spacing w:after="0" w:line="360" w:lineRule="auto"/>
        <w:jc w:val="both"/>
        <w:rPr>
          <w:rFonts w:ascii="Palatino Linotype" w:hAnsi="Palatino Linotype" w:cs="Arial"/>
          <w:sz w:val="24"/>
          <w:lang w:eastAsia="es-MX"/>
        </w:rPr>
      </w:pPr>
    </w:p>
    <w:p w:rsidR="006B740B"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w:t>
      </w:r>
      <w:r w:rsidRPr="00FD08EA">
        <w:rPr>
          <w:rFonts w:ascii="Palatino Linotype" w:hAnsi="Palatino Linotype" w:cs="Arial"/>
          <w:sz w:val="24"/>
          <w:szCs w:val="24"/>
          <w:lang w:eastAsia="es-MX"/>
        </w:rPr>
        <w:lastRenderedPageBreak/>
        <w:t>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Default="006B740B" w:rsidP="006B740B">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B740B" w:rsidRPr="00FD08EA" w:rsidRDefault="006B740B" w:rsidP="006B740B">
      <w:pPr>
        <w:spacing w:after="0" w:line="360" w:lineRule="auto"/>
        <w:jc w:val="both"/>
        <w:rPr>
          <w:rFonts w:ascii="Palatino Linotype" w:eastAsia="Calibri" w:hAnsi="Palatino Linotype" w:cs="Arial"/>
          <w:sz w:val="24"/>
          <w:szCs w:val="24"/>
          <w:lang w:eastAsia="es-MX"/>
        </w:rPr>
      </w:pPr>
    </w:p>
    <w:p w:rsidR="006B740B"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6B740B" w:rsidRPr="00FD08EA" w:rsidRDefault="006B740B" w:rsidP="006B740B">
      <w:pPr>
        <w:spacing w:after="0" w:line="360" w:lineRule="auto"/>
        <w:jc w:val="both"/>
        <w:rPr>
          <w:rFonts w:ascii="Palatino Linotype" w:hAnsi="Palatino Linotype" w:cs="Arial"/>
          <w:sz w:val="24"/>
          <w:szCs w:val="24"/>
        </w:rPr>
      </w:pPr>
    </w:p>
    <w:p w:rsidR="006B740B" w:rsidRPr="000C5A93" w:rsidRDefault="006B740B" w:rsidP="006B740B">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6B740B" w:rsidRPr="00FD08EA" w:rsidRDefault="006B740B" w:rsidP="006B740B">
      <w:pPr>
        <w:spacing w:after="0" w:line="360" w:lineRule="auto"/>
        <w:jc w:val="both"/>
        <w:rPr>
          <w:rFonts w:ascii="Palatino Linotype" w:eastAsia="Calibri" w:hAnsi="Palatino Linotype" w:cs="Arial"/>
          <w:sz w:val="24"/>
        </w:rPr>
      </w:pPr>
    </w:p>
    <w:p w:rsidR="006B740B" w:rsidRPr="00FD08EA" w:rsidRDefault="006B740B" w:rsidP="006B740B">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B740B" w:rsidRPr="00FD08EA" w:rsidRDefault="006B740B" w:rsidP="006B740B">
      <w:pPr>
        <w:spacing w:after="0" w:line="360" w:lineRule="auto"/>
        <w:jc w:val="both"/>
        <w:rPr>
          <w:rFonts w:ascii="Palatino Linotype" w:hAnsi="Palatino Linotype"/>
          <w:sz w:val="24"/>
        </w:rPr>
      </w:pPr>
      <w:r w:rsidRPr="00FD08EA">
        <w:rPr>
          <w:rFonts w:ascii="Palatino Linotype" w:hAnsi="Palatino Linotype"/>
          <w:sz w:val="24"/>
        </w:rPr>
        <w:t xml:space="preserve">Por tanto, resulta importante precisar que los Lineamientos Generales en materia de Clasificación y Desclasificación de la información, así como para la elaboración de </w:t>
      </w:r>
      <w:r w:rsidRPr="00FD08EA">
        <w:rPr>
          <w:rFonts w:ascii="Palatino Linotype" w:hAnsi="Palatino Linotype"/>
          <w:sz w:val="24"/>
        </w:rPr>
        <w:lastRenderedPageBreak/>
        <w:t>versiones públicas, emitidos por el Sistema Nacional de Transparencia, Acceso a la Información Pública y Protección de Datos Personales, establecen lo siguiente:</w:t>
      </w:r>
    </w:p>
    <w:p w:rsidR="006B740B" w:rsidRPr="00FD08EA" w:rsidRDefault="006B740B" w:rsidP="006B740B">
      <w:pPr>
        <w:spacing w:after="0" w:line="360" w:lineRule="auto"/>
        <w:rPr>
          <w:rFonts w:ascii="Palatino Linotype" w:hAnsi="Palatino Linotype"/>
          <w:sz w:val="24"/>
        </w:rPr>
      </w:pP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concluir que el caso particular se ajusta al supuesto previsto por la norma legal invocada como fundamento</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p>
    <w:p w:rsidR="006B740B" w:rsidRPr="00F75AA0" w:rsidRDefault="006B740B" w:rsidP="006B740B">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6B740B" w:rsidRPr="000C5A93" w:rsidRDefault="006B740B" w:rsidP="006B740B">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6B740B" w:rsidRPr="000C5A93" w:rsidRDefault="006B740B" w:rsidP="006B740B">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lastRenderedPageBreak/>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6B740B" w:rsidRPr="00FD08EA" w:rsidRDefault="006B740B" w:rsidP="006B740B">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spacing w:after="0" w:line="360" w:lineRule="auto"/>
        <w:jc w:val="both"/>
        <w:rPr>
          <w:rFonts w:ascii="Palatino Linotype" w:hAnsi="Palatino Linotype" w:cs="Arial"/>
          <w:bCs/>
          <w:sz w:val="24"/>
        </w:rPr>
      </w:pPr>
      <w:r w:rsidRPr="00D900C3">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B740B" w:rsidRPr="00D900C3" w:rsidRDefault="006B740B" w:rsidP="006B740B">
      <w:pPr>
        <w:spacing w:after="0" w:line="360" w:lineRule="auto"/>
        <w:jc w:val="both"/>
        <w:rPr>
          <w:rFonts w:ascii="Palatino Linotype" w:hAnsi="Palatino Linotype" w:cs="Arial"/>
          <w:bCs/>
          <w:sz w:val="24"/>
        </w:rPr>
      </w:pPr>
    </w:p>
    <w:p w:rsidR="006B740B"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6B740B"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6B740B" w:rsidRPr="000C5A93" w:rsidRDefault="006B740B" w:rsidP="006B740B">
      <w:pPr>
        <w:spacing w:after="0" w:line="240" w:lineRule="auto"/>
        <w:ind w:left="567" w:right="567"/>
        <w:jc w:val="both"/>
        <w:rPr>
          <w:rFonts w:ascii="Palatino Linotype" w:hAnsi="Palatino Linotype" w:cs="Arial"/>
          <w:bCs/>
          <w:i/>
          <w:iCs/>
        </w:rPr>
      </w:pPr>
    </w:p>
    <w:p w:rsidR="006B740B" w:rsidRPr="006B740B" w:rsidRDefault="006B740B" w:rsidP="006B740B">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B50D8C" w:rsidRPr="00434359" w:rsidRDefault="00B50D8C" w:rsidP="00B50D8C">
      <w:pPr>
        <w:spacing w:line="360" w:lineRule="auto"/>
        <w:jc w:val="both"/>
        <w:rPr>
          <w:rFonts w:ascii="Palatino Linotype" w:hAnsi="Palatino Linotype" w:cs="Arial"/>
          <w:b/>
          <w:sz w:val="24"/>
          <w:szCs w:val="24"/>
        </w:rPr>
      </w:pPr>
      <w:r w:rsidRPr="00434359">
        <w:rPr>
          <w:rFonts w:ascii="Palatino Linotype" w:hAnsi="Palatino Linotype" w:cs="Arial"/>
          <w:b/>
          <w:sz w:val="24"/>
          <w:szCs w:val="24"/>
          <w:lang w:val="es-ES_tradnl"/>
        </w:rPr>
        <w:t>PRIMERO.</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Se</w:t>
      </w:r>
      <w:r w:rsidRPr="00434359">
        <w:rPr>
          <w:rFonts w:ascii="Palatino Linotype" w:hAnsi="Palatino Linotype" w:cs="Arial"/>
          <w:sz w:val="24"/>
          <w:szCs w:val="24"/>
          <w:lang w:val="es-ES_tradnl"/>
        </w:rPr>
        <w:t xml:space="preserve"> </w:t>
      </w:r>
      <w:r w:rsidRPr="00434359">
        <w:rPr>
          <w:rFonts w:ascii="Palatino Linotype" w:hAnsi="Palatino Linotype" w:cs="Arial"/>
          <w:b/>
          <w:sz w:val="24"/>
          <w:szCs w:val="24"/>
          <w:lang w:val="es-ES_tradnl"/>
        </w:rPr>
        <w:t>REVOCA</w:t>
      </w:r>
      <w:r>
        <w:rPr>
          <w:rFonts w:ascii="Palatino Linotype" w:hAnsi="Palatino Linotype" w:cs="Arial"/>
          <w:b/>
          <w:sz w:val="24"/>
          <w:szCs w:val="24"/>
          <w:lang w:val="es-ES_tradnl"/>
        </w:rPr>
        <w:t>N</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por </w:t>
      </w:r>
      <w:r w:rsidRPr="00434359">
        <w:rPr>
          <w:rFonts w:ascii="Palatino Linotype" w:eastAsia="Arial Unicode MS" w:hAnsi="Palatino Linotype" w:cs="Arial"/>
          <w:b/>
          <w:sz w:val="24"/>
          <w:szCs w:val="24"/>
        </w:rPr>
        <w:t xml:space="preserve">el Sujeto Obligado </w:t>
      </w:r>
      <w:r w:rsidRPr="0043435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43435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w:t>
      </w:r>
      <w:r w:rsidRPr="006B20CD">
        <w:rPr>
          <w:rFonts w:ascii="Palatino Linotype" w:hAnsi="Palatino Linotype" w:cs="Arial"/>
          <w:b/>
          <w:sz w:val="24"/>
          <w:szCs w:val="24"/>
        </w:rPr>
        <w:t xml:space="preserve"> </w:t>
      </w:r>
      <w:r w:rsidR="00870C9C" w:rsidRPr="00456601">
        <w:rPr>
          <w:rFonts w:ascii="Palatino Linotype" w:hAnsi="Palatino Linotype" w:cs="Arial"/>
          <w:b/>
          <w:sz w:val="24"/>
          <w:szCs w:val="24"/>
        </w:rPr>
        <w:t>00506/ISIFABE/IP/2019</w:t>
      </w:r>
      <w:r w:rsidR="00870C9C">
        <w:rPr>
          <w:rFonts w:ascii="Palatino Linotype" w:hAnsi="Palatino Linotype" w:cs="Arial"/>
          <w:b/>
          <w:sz w:val="24"/>
          <w:szCs w:val="24"/>
        </w:rPr>
        <w:t xml:space="preserve"> </w:t>
      </w:r>
      <w:r w:rsidR="00456601" w:rsidRPr="00456601">
        <w:rPr>
          <w:rFonts w:ascii="Palatino Linotype" w:hAnsi="Palatino Linotype" w:cs="Arial"/>
          <w:b/>
          <w:sz w:val="24"/>
          <w:szCs w:val="24"/>
        </w:rPr>
        <w:t>y</w:t>
      </w:r>
      <w:r w:rsidR="00870C9C">
        <w:rPr>
          <w:rFonts w:ascii="Palatino Linotype" w:hAnsi="Palatino Linotype" w:cs="Arial"/>
          <w:b/>
          <w:sz w:val="24"/>
          <w:szCs w:val="24"/>
        </w:rPr>
        <w:t xml:space="preserve"> </w:t>
      </w:r>
      <w:r w:rsidR="00870C9C" w:rsidRPr="00456601">
        <w:rPr>
          <w:rFonts w:ascii="Palatino Linotype" w:hAnsi="Palatino Linotype" w:cs="Arial"/>
          <w:b/>
          <w:sz w:val="24"/>
          <w:szCs w:val="24"/>
        </w:rPr>
        <w:t>00507/ISIFABE/IP/2019</w:t>
      </w:r>
      <w:r w:rsidRPr="00434359">
        <w:rPr>
          <w:rFonts w:ascii="Palatino Linotype" w:hAnsi="Palatino Linotype" w:cs="Arial"/>
          <w:sz w:val="24"/>
          <w:szCs w:val="24"/>
        </w:rPr>
        <w:t xml:space="preserve">, ya que </w:t>
      </w:r>
      <w:r w:rsidRPr="00434359">
        <w:rPr>
          <w:rFonts w:ascii="Palatino Linotype" w:hAnsi="Palatino Linotype" w:cs="Arial"/>
          <w:sz w:val="24"/>
          <w:szCs w:val="24"/>
          <w:lang w:val="es-ES_tradnl"/>
        </w:rPr>
        <w:t xml:space="preserve">resultan fundadas las razones o motivos de inconformidad </w:t>
      </w:r>
      <w:r w:rsidRPr="00434359">
        <w:rPr>
          <w:rFonts w:ascii="Palatino Linotype" w:eastAsia="Arial Unicode MS" w:hAnsi="Palatino Linotype" w:cs="Arial"/>
          <w:sz w:val="24"/>
          <w:szCs w:val="24"/>
        </w:rPr>
        <w:t xml:space="preserve">que arguye el recurrente, en términos del </w:t>
      </w:r>
      <w:r w:rsidRPr="00434359">
        <w:rPr>
          <w:rFonts w:ascii="Palatino Linotype" w:hAnsi="Palatino Linotype" w:cs="Arial"/>
          <w:sz w:val="24"/>
          <w:szCs w:val="24"/>
        </w:rPr>
        <w:t>Considerando Cuarto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456601" w:rsidRDefault="00456601" w:rsidP="00EF4493">
      <w:pPr>
        <w:autoSpaceDE w:val="0"/>
        <w:autoSpaceDN w:val="0"/>
        <w:adjustRightInd w:val="0"/>
        <w:spacing w:before="240" w:line="360" w:lineRule="auto"/>
        <w:ind w:right="49"/>
        <w:jc w:val="both"/>
        <w:rPr>
          <w:rFonts w:ascii="Palatino Linotype" w:hAnsi="Palatino Linotype" w:cs="Arial"/>
          <w:sz w:val="24"/>
          <w:szCs w:val="24"/>
          <w:lang w:val="es-ES_tradnl"/>
        </w:rPr>
      </w:pPr>
      <w:r w:rsidRPr="00456601">
        <w:rPr>
          <w:rFonts w:ascii="Palatino Linotype" w:hAnsi="Palatino Linotype" w:cs="Arial"/>
          <w:b/>
          <w:sz w:val="24"/>
          <w:szCs w:val="24"/>
          <w:lang w:val="es-ES_tradnl"/>
        </w:rPr>
        <w:t>SEGUNDO</w:t>
      </w:r>
      <w:r w:rsidRPr="00456601">
        <w:rPr>
          <w:rFonts w:ascii="Palatino Linotype" w:hAnsi="Palatino Linotype" w:cs="Arial"/>
          <w:sz w:val="24"/>
          <w:szCs w:val="24"/>
          <w:lang w:val="es-ES_tradnl"/>
        </w:rPr>
        <w:t>. Se ordena al Sujeto Obligado, haga entrega al recurrente en términos del Considerando Cuarto de la presente resolución, en versión pública</w:t>
      </w:r>
      <w:r w:rsidR="00D022A9">
        <w:rPr>
          <w:rFonts w:ascii="Palatino Linotype" w:hAnsi="Palatino Linotype" w:cs="Arial"/>
          <w:sz w:val="24"/>
          <w:szCs w:val="24"/>
          <w:lang w:val="es-ES_tradnl"/>
        </w:rPr>
        <w:t xml:space="preserve"> de ser procedente</w:t>
      </w:r>
      <w:r w:rsidRPr="00456601">
        <w:rPr>
          <w:rFonts w:ascii="Palatino Linotype" w:hAnsi="Palatino Linotype" w:cs="Arial"/>
          <w:sz w:val="24"/>
          <w:szCs w:val="24"/>
          <w:lang w:val="es-ES_tradnl"/>
        </w:rPr>
        <w:t>, a través del SAIMEX, de lo siguiente:</w:t>
      </w:r>
    </w:p>
    <w:p w:rsidR="00456601" w:rsidRDefault="00456601" w:rsidP="00EF4493">
      <w:pPr>
        <w:autoSpaceDE w:val="0"/>
        <w:autoSpaceDN w:val="0"/>
        <w:adjustRightInd w:val="0"/>
        <w:spacing w:before="240" w:line="360" w:lineRule="auto"/>
        <w:ind w:right="49"/>
        <w:jc w:val="both"/>
        <w:rPr>
          <w:rFonts w:ascii="Palatino Linotype" w:hAnsi="Palatino Linotype" w:cs="Arial"/>
          <w:sz w:val="24"/>
          <w:szCs w:val="24"/>
          <w:lang w:val="es-ES_tradnl"/>
        </w:rPr>
      </w:pPr>
    </w:p>
    <w:p w:rsidR="00456601" w:rsidRDefault="00456601" w:rsidP="00456601">
      <w:pPr>
        <w:pStyle w:val="Prrafodelista"/>
        <w:numPr>
          <w:ilvl w:val="0"/>
          <w:numId w:val="4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lastRenderedPageBreak/>
        <w:t>G</w:t>
      </w:r>
      <w:r w:rsidRPr="00456601">
        <w:rPr>
          <w:rFonts w:ascii="Palatino Linotype" w:hAnsi="Palatino Linotype" w:cs="Arial"/>
        </w:rPr>
        <w:t xml:space="preserve">afetes institucionales del personal </w:t>
      </w:r>
      <w:r>
        <w:rPr>
          <w:rFonts w:ascii="Palatino Linotype" w:hAnsi="Palatino Linotype" w:cs="Arial"/>
        </w:rPr>
        <w:t>adscrito</w:t>
      </w:r>
      <w:r w:rsidR="00D022A9">
        <w:rPr>
          <w:rFonts w:ascii="Palatino Linotype" w:hAnsi="Palatino Linotype" w:cs="Arial"/>
        </w:rPr>
        <w:t xml:space="preserve"> al veintiséis de noviembre de dos mil diecinueve correspondiente</w:t>
      </w:r>
      <w:r>
        <w:rPr>
          <w:rFonts w:ascii="Palatino Linotype" w:hAnsi="Palatino Linotype" w:cs="Arial"/>
        </w:rPr>
        <w:t xml:space="preserve"> a la </w:t>
      </w:r>
      <w:r w:rsidRPr="00456601">
        <w:rPr>
          <w:rFonts w:ascii="Palatino Linotype" w:hAnsi="Palatino Linotype" w:cs="Arial"/>
        </w:rPr>
        <w:t>Dirección de Obras Públicas</w:t>
      </w:r>
      <w:r>
        <w:rPr>
          <w:rFonts w:ascii="Palatino Linotype" w:hAnsi="Palatino Linotype" w:cs="Arial"/>
        </w:rPr>
        <w:t xml:space="preserve"> y Dirección de Administración.</w:t>
      </w:r>
    </w:p>
    <w:p w:rsidR="00203AEC" w:rsidRPr="00D919D3" w:rsidRDefault="00B94AF5" w:rsidP="00D919D3">
      <w:pPr>
        <w:spacing w:before="240" w:line="360" w:lineRule="auto"/>
        <w:ind w:right="425"/>
        <w:jc w:val="both"/>
        <w:rPr>
          <w:rFonts w:ascii="Palatino Linotype" w:hAnsi="Palatino Linotype" w:cs="Arial"/>
          <w:i/>
        </w:rPr>
      </w:pPr>
      <w:r w:rsidRPr="00B94AF5">
        <w:rPr>
          <w:rFonts w:ascii="Palatino Linotype" w:hAnsi="Palatino Linotype" w:cs="Arial"/>
          <w:i/>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b/>
          <w:sz w:val="8"/>
          <w:szCs w:val="24"/>
        </w:rPr>
      </w:pPr>
    </w:p>
    <w:p w:rsidR="000136A4" w:rsidRPr="000136A4" w:rsidRDefault="00D022A9" w:rsidP="00EF4493">
      <w:pPr>
        <w:autoSpaceDE w:val="0"/>
        <w:autoSpaceDN w:val="0"/>
        <w:adjustRightInd w:val="0"/>
        <w:spacing w:before="240" w:line="360" w:lineRule="auto"/>
        <w:jc w:val="both"/>
        <w:rPr>
          <w:rFonts w:ascii="Palatino Linotype" w:hAnsi="Palatino Linotype" w:cs="Arial"/>
          <w:sz w:val="2"/>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w:t>
      </w:r>
    </w:p>
    <w:p w:rsidR="000136A4" w:rsidRDefault="00D022A9"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EC4370" w:rsidRPr="00203AEC" w:rsidRDefault="00EC4370" w:rsidP="00EF4493">
      <w:pPr>
        <w:autoSpaceDE w:val="0"/>
        <w:autoSpaceDN w:val="0"/>
        <w:adjustRightInd w:val="0"/>
        <w:spacing w:before="240" w:line="360" w:lineRule="auto"/>
        <w:jc w:val="both"/>
        <w:rPr>
          <w:rFonts w:ascii="Palatino Linotype" w:hAnsi="Palatino Linotype" w:cs="Arial"/>
          <w:sz w:val="10"/>
          <w:szCs w:val="24"/>
        </w:rPr>
      </w:pPr>
      <w:r>
        <w:rPr>
          <w:rFonts w:ascii="Palatino Linotype" w:hAnsi="Palatino Linotype" w:cs="Arial"/>
          <w:sz w:val="24"/>
        </w:rPr>
        <w:t>---------------------------------------------------------------------------------------------------------------------------------------------------------------------------------------------------------------------------------------------------------------------------------------------------------------------------------------------------</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C50F69">
        <w:rPr>
          <w:rFonts w:ascii="Palatino Linotype" w:hAnsi="Palatino Linotype" w:cs="Arial"/>
          <w:sz w:val="24"/>
        </w:rPr>
        <w:t>----------</w:t>
      </w:r>
      <w:r w:rsidR="00EC4370">
        <w:rPr>
          <w:rFonts w:ascii="Palatino Linotype" w:hAnsi="Palatino Linotype" w:cs="Arial"/>
          <w:sz w:val="24"/>
        </w:rPr>
        <w:t>--</w:t>
      </w:r>
      <w:r w:rsidR="00755B41">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D022A9" w:rsidRDefault="00D022A9" w:rsidP="00EF4493">
      <w:pPr>
        <w:autoSpaceDE w:val="0"/>
        <w:autoSpaceDN w:val="0"/>
        <w:adjustRightInd w:val="0"/>
        <w:spacing w:before="240" w:line="480" w:lineRule="auto"/>
        <w:jc w:val="both"/>
        <w:rPr>
          <w:rFonts w:ascii="Palatino Linotype" w:hAnsi="Palatino Linotype" w:cs="Arial"/>
          <w:sz w:val="24"/>
          <w:szCs w:val="24"/>
        </w:rPr>
      </w:pPr>
    </w:p>
    <w:p w:rsidR="00D022A9"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D022A9">
        <w:rPr>
          <w:rFonts w:ascii="Palatino Linotype" w:hAnsi="Palatino Linotype" w:cs="Arial"/>
          <w:bCs/>
          <w:sz w:val="16"/>
          <w:szCs w:val="16"/>
          <w:lang w:eastAsia="es-MX"/>
        </w:rPr>
        <w:t>09415</w:t>
      </w:r>
      <w:r w:rsidR="00025E59">
        <w:rPr>
          <w:rFonts w:ascii="Palatino Linotype" w:hAnsi="Palatino Linotype" w:cs="Arial"/>
          <w:bCs/>
          <w:sz w:val="16"/>
          <w:szCs w:val="16"/>
          <w:lang w:eastAsia="es-MX"/>
        </w:rPr>
        <w:t>/INFOEM/IP/RR/2019</w:t>
      </w:r>
      <w:r w:rsidR="00755B41">
        <w:rPr>
          <w:rFonts w:ascii="Palatino Linotype" w:hAnsi="Palatino Linotype" w:cs="Arial"/>
          <w:bCs/>
          <w:sz w:val="16"/>
          <w:szCs w:val="16"/>
          <w:lang w:eastAsia="es-MX"/>
        </w:rPr>
        <w:t xml:space="preserve"> y acumulados</w:t>
      </w:r>
      <w:r>
        <w:rPr>
          <w:rFonts w:ascii="Palatino Linotype" w:hAnsi="Palatino Linotype" w:cs="Arial"/>
          <w:bCs/>
          <w:sz w:val="16"/>
          <w:szCs w:val="16"/>
          <w:lang w:eastAsia="es-MX"/>
        </w:rPr>
        <w:t xml:space="preserve">.   </w:t>
      </w:r>
    </w:p>
    <w:p w:rsidR="00696FBF" w:rsidRPr="00C50F69" w:rsidRDefault="00D022A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C7" w:rsidRDefault="00FD75C7" w:rsidP="00EF4493">
      <w:pPr>
        <w:spacing w:after="0" w:line="240" w:lineRule="auto"/>
      </w:pPr>
      <w:r>
        <w:separator/>
      </w:r>
    </w:p>
  </w:endnote>
  <w:endnote w:type="continuationSeparator" w:id="0">
    <w:p w:rsidR="00FD75C7" w:rsidRDefault="00FD75C7"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15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15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1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15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C7" w:rsidRDefault="00FD75C7" w:rsidP="00EF4493">
      <w:pPr>
        <w:spacing w:after="0" w:line="240" w:lineRule="auto"/>
      </w:pPr>
      <w:r>
        <w:separator/>
      </w:r>
    </w:p>
  </w:footnote>
  <w:footnote w:type="continuationSeparator" w:id="0">
    <w:p w:rsidR="00FD75C7" w:rsidRDefault="00FD75C7"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673D0A"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094</w:t>
          </w:r>
          <w:r w:rsidR="00EF7BB0">
            <w:rPr>
              <w:rFonts w:ascii="Palatino Linotype" w:hAnsi="Palatino Linotype" w:cs="Arial"/>
              <w:bCs/>
              <w:sz w:val="24"/>
              <w:lang w:eastAsia="es-MX"/>
            </w:rPr>
            <w:t>15</w:t>
          </w:r>
          <w:r w:rsidR="00E26222">
            <w:rPr>
              <w:rFonts w:ascii="Palatino Linotype" w:hAnsi="Palatino Linotype" w:cs="Arial"/>
              <w:bCs/>
              <w:sz w:val="24"/>
              <w:lang w:eastAsia="es-MX"/>
            </w:rPr>
            <w:t>/INFOEM/IP/RR/2019</w:t>
          </w:r>
          <w:r w:rsidR="00EF7BB0">
            <w:rPr>
              <w:rFonts w:ascii="Palatino Linotype" w:hAnsi="Palatino Linotype" w:cs="Arial"/>
              <w:bCs/>
              <w:sz w:val="24"/>
              <w:lang w:eastAsia="es-MX"/>
            </w:rPr>
            <w:t xml:space="preserve"> y acumulado</w:t>
          </w:r>
          <w:r w:rsidR="00761D7D">
            <w:rPr>
              <w:rFonts w:ascii="Palatino Linotype" w:hAnsi="Palatino Linotype" w:cs="Arial"/>
              <w:bCs/>
              <w:sz w:val="24"/>
              <w:lang w:eastAsia="es-MX"/>
            </w:rPr>
            <w:t>.</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673D0A" w:rsidP="00761D7D">
          <w:pPr>
            <w:spacing w:after="120" w:line="256" w:lineRule="auto"/>
            <w:ind w:right="214"/>
            <w:jc w:val="both"/>
            <w:rPr>
              <w:rFonts w:ascii="Palatino Linotype" w:hAnsi="Palatino Linotype" w:cs="Arial"/>
            </w:rPr>
          </w:pPr>
          <w:r w:rsidRPr="00673D0A">
            <w:rPr>
              <w:rFonts w:ascii="Palatino Linotype" w:hAnsi="Palatino Linotype" w:cs="Arial"/>
              <w:szCs w:val="20"/>
            </w:rPr>
            <w:t>Ayuntamiento de Isidro Fabela</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04651D"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094</w:t>
          </w:r>
          <w:r w:rsidR="00EF674D">
            <w:rPr>
              <w:rFonts w:ascii="Palatino Linotype" w:hAnsi="Palatino Linotype" w:cs="Arial"/>
              <w:bCs/>
              <w:sz w:val="24"/>
              <w:lang w:eastAsia="es-MX"/>
            </w:rPr>
            <w:t>15</w:t>
          </w:r>
          <w:r w:rsidR="00E26222">
            <w:rPr>
              <w:rFonts w:ascii="Palatino Linotype" w:hAnsi="Palatino Linotype" w:cs="Arial"/>
              <w:bCs/>
              <w:sz w:val="24"/>
              <w:lang w:eastAsia="es-MX"/>
            </w:rPr>
            <w:t>/INFOEM/IP/RR/2019</w:t>
          </w:r>
          <w:r w:rsidR="00EF674D">
            <w:rPr>
              <w:rFonts w:ascii="Palatino Linotype" w:hAnsi="Palatino Linotype" w:cs="Arial"/>
              <w:bCs/>
              <w:sz w:val="24"/>
              <w:lang w:eastAsia="es-MX"/>
            </w:rPr>
            <w:t xml:space="preserve"> y acumulado</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C95156"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124E16" w:rsidP="003C3CA3">
          <w:pPr>
            <w:spacing w:after="120" w:line="256" w:lineRule="auto"/>
            <w:ind w:right="214"/>
            <w:jc w:val="both"/>
            <w:rPr>
              <w:rFonts w:ascii="Palatino Linotype" w:hAnsi="Palatino Linotype" w:cs="Arial"/>
              <w:szCs w:val="20"/>
            </w:rPr>
          </w:pPr>
          <w:r w:rsidRPr="00124E16">
            <w:rPr>
              <w:rFonts w:ascii="Palatino Linotype" w:hAnsi="Palatino Linotype" w:cs="Arial"/>
              <w:szCs w:val="20"/>
            </w:rPr>
            <w:t>Ayuntamiento de Isidro Fabela</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514C13"/>
    <w:multiLevelType w:val="hybridMultilevel"/>
    <w:tmpl w:val="71A2D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790B51"/>
    <w:multiLevelType w:val="hybridMultilevel"/>
    <w:tmpl w:val="94C4A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1"/>
  </w:num>
  <w:num w:numId="5">
    <w:abstractNumId w:val="16"/>
  </w:num>
  <w:num w:numId="6">
    <w:abstractNumId w:val="40"/>
  </w:num>
  <w:num w:numId="7">
    <w:abstractNumId w:val="3"/>
  </w:num>
  <w:num w:numId="8">
    <w:abstractNumId w:val="17"/>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2"/>
  </w:num>
  <w:num w:numId="23">
    <w:abstractNumId w:val="13"/>
  </w:num>
  <w:num w:numId="24">
    <w:abstractNumId w:val="38"/>
  </w:num>
  <w:num w:numId="25">
    <w:abstractNumId w:val="36"/>
  </w:num>
  <w:num w:numId="26">
    <w:abstractNumId w:val="5"/>
  </w:num>
  <w:num w:numId="27">
    <w:abstractNumId w:val="23"/>
  </w:num>
  <w:num w:numId="28">
    <w:abstractNumId w:val="35"/>
  </w:num>
  <w:num w:numId="29">
    <w:abstractNumId w:val="43"/>
  </w:num>
  <w:num w:numId="30">
    <w:abstractNumId w:val="26"/>
  </w:num>
  <w:num w:numId="31">
    <w:abstractNumId w:val="28"/>
  </w:num>
  <w:num w:numId="32">
    <w:abstractNumId w:val="39"/>
  </w:num>
  <w:num w:numId="33">
    <w:abstractNumId w:val="30"/>
  </w:num>
  <w:num w:numId="34">
    <w:abstractNumId w:val="19"/>
  </w:num>
  <w:num w:numId="35">
    <w:abstractNumId w:val="15"/>
  </w:num>
  <w:num w:numId="36">
    <w:abstractNumId w:val="10"/>
  </w:num>
  <w:num w:numId="37">
    <w:abstractNumId w:val="11"/>
  </w:num>
  <w:num w:numId="38">
    <w:abstractNumId w:val="37"/>
  </w:num>
  <w:num w:numId="39">
    <w:abstractNumId w:val="21"/>
  </w:num>
  <w:num w:numId="40">
    <w:abstractNumId w:val="27"/>
  </w:num>
  <w:num w:numId="41">
    <w:abstractNumId w:val="4"/>
  </w:num>
  <w:num w:numId="42">
    <w:abstractNumId w:val="14"/>
  </w:num>
  <w:num w:numId="43">
    <w:abstractNumId w:val="4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352"/>
    <w:rsid w:val="00106E8D"/>
    <w:rsid w:val="001141ED"/>
    <w:rsid w:val="00114686"/>
    <w:rsid w:val="00124474"/>
    <w:rsid w:val="00124810"/>
    <w:rsid w:val="00124E05"/>
    <w:rsid w:val="00124E16"/>
    <w:rsid w:val="001267CD"/>
    <w:rsid w:val="001278E0"/>
    <w:rsid w:val="001501CA"/>
    <w:rsid w:val="001633F9"/>
    <w:rsid w:val="00166EC3"/>
    <w:rsid w:val="00170204"/>
    <w:rsid w:val="00185C3A"/>
    <w:rsid w:val="00187FF4"/>
    <w:rsid w:val="00190B39"/>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94D5A"/>
    <w:rsid w:val="002A33CE"/>
    <w:rsid w:val="002A44E0"/>
    <w:rsid w:val="002A5ADB"/>
    <w:rsid w:val="002A7D7A"/>
    <w:rsid w:val="002D04E8"/>
    <w:rsid w:val="002F7FF2"/>
    <w:rsid w:val="00306529"/>
    <w:rsid w:val="00325503"/>
    <w:rsid w:val="00326F0B"/>
    <w:rsid w:val="00344DF6"/>
    <w:rsid w:val="00355864"/>
    <w:rsid w:val="0036453F"/>
    <w:rsid w:val="00364724"/>
    <w:rsid w:val="0036658A"/>
    <w:rsid w:val="00370AE0"/>
    <w:rsid w:val="00394381"/>
    <w:rsid w:val="003A3011"/>
    <w:rsid w:val="003C3CA3"/>
    <w:rsid w:val="003E33B1"/>
    <w:rsid w:val="003E52A4"/>
    <w:rsid w:val="003E6C68"/>
    <w:rsid w:val="003F4FB0"/>
    <w:rsid w:val="00400282"/>
    <w:rsid w:val="00400F71"/>
    <w:rsid w:val="00401F93"/>
    <w:rsid w:val="0041352A"/>
    <w:rsid w:val="00430260"/>
    <w:rsid w:val="004307AA"/>
    <w:rsid w:val="00452C0E"/>
    <w:rsid w:val="004560BF"/>
    <w:rsid w:val="00456601"/>
    <w:rsid w:val="00461E98"/>
    <w:rsid w:val="004625C7"/>
    <w:rsid w:val="00463292"/>
    <w:rsid w:val="004644B4"/>
    <w:rsid w:val="004674BE"/>
    <w:rsid w:val="004826F4"/>
    <w:rsid w:val="004840D7"/>
    <w:rsid w:val="004901C7"/>
    <w:rsid w:val="004902C5"/>
    <w:rsid w:val="00490653"/>
    <w:rsid w:val="004A260D"/>
    <w:rsid w:val="004B13E8"/>
    <w:rsid w:val="004B1F1A"/>
    <w:rsid w:val="004B2880"/>
    <w:rsid w:val="004C1447"/>
    <w:rsid w:val="004C565B"/>
    <w:rsid w:val="004F4459"/>
    <w:rsid w:val="005075CF"/>
    <w:rsid w:val="00513367"/>
    <w:rsid w:val="00515E81"/>
    <w:rsid w:val="00526446"/>
    <w:rsid w:val="00540B2F"/>
    <w:rsid w:val="00545C18"/>
    <w:rsid w:val="00546BD1"/>
    <w:rsid w:val="0055089B"/>
    <w:rsid w:val="005569D6"/>
    <w:rsid w:val="005649E2"/>
    <w:rsid w:val="00583579"/>
    <w:rsid w:val="00586B5A"/>
    <w:rsid w:val="005A5CE2"/>
    <w:rsid w:val="005A7CA3"/>
    <w:rsid w:val="005B3EB0"/>
    <w:rsid w:val="005B4B11"/>
    <w:rsid w:val="005D137B"/>
    <w:rsid w:val="005D72CE"/>
    <w:rsid w:val="005E56B2"/>
    <w:rsid w:val="0060353E"/>
    <w:rsid w:val="00604565"/>
    <w:rsid w:val="006046ED"/>
    <w:rsid w:val="00673D0A"/>
    <w:rsid w:val="00684514"/>
    <w:rsid w:val="00696FBF"/>
    <w:rsid w:val="00697A1C"/>
    <w:rsid w:val="006B11C6"/>
    <w:rsid w:val="006B2A06"/>
    <w:rsid w:val="006B740B"/>
    <w:rsid w:val="006D6D37"/>
    <w:rsid w:val="006E6052"/>
    <w:rsid w:val="006F251D"/>
    <w:rsid w:val="006F2DE7"/>
    <w:rsid w:val="006F3C31"/>
    <w:rsid w:val="006F63D2"/>
    <w:rsid w:val="007136D6"/>
    <w:rsid w:val="0071506B"/>
    <w:rsid w:val="0072323C"/>
    <w:rsid w:val="00732820"/>
    <w:rsid w:val="00733917"/>
    <w:rsid w:val="007370D5"/>
    <w:rsid w:val="00741959"/>
    <w:rsid w:val="00755B41"/>
    <w:rsid w:val="00757C64"/>
    <w:rsid w:val="00761D7D"/>
    <w:rsid w:val="00770A89"/>
    <w:rsid w:val="0077428B"/>
    <w:rsid w:val="00784619"/>
    <w:rsid w:val="00791E63"/>
    <w:rsid w:val="0079621F"/>
    <w:rsid w:val="007B5341"/>
    <w:rsid w:val="007B70F6"/>
    <w:rsid w:val="007B7A90"/>
    <w:rsid w:val="007D0F08"/>
    <w:rsid w:val="007D4E9E"/>
    <w:rsid w:val="007F011C"/>
    <w:rsid w:val="0080077B"/>
    <w:rsid w:val="00803304"/>
    <w:rsid w:val="00815A0F"/>
    <w:rsid w:val="00817E7B"/>
    <w:rsid w:val="008229F9"/>
    <w:rsid w:val="00830C9E"/>
    <w:rsid w:val="008626E3"/>
    <w:rsid w:val="00870C9C"/>
    <w:rsid w:val="00877591"/>
    <w:rsid w:val="008860FD"/>
    <w:rsid w:val="00893572"/>
    <w:rsid w:val="008938CF"/>
    <w:rsid w:val="008A0849"/>
    <w:rsid w:val="008D16FA"/>
    <w:rsid w:val="008E67E9"/>
    <w:rsid w:val="009017C6"/>
    <w:rsid w:val="00903DAE"/>
    <w:rsid w:val="00921823"/>
    <w:rsid w:val="009404A3"/>
    <w:rsid w:val="0097766B"/>
    <w:rsid w:val="00983BC6"/>
    <w:rsid w:val="009900EC"/>
    <w:rsid w:val="009A304B"/>
    <w:rsid w:val="009A7AB8"/>
    <w:rsid w:val="009B5455"/>
    <w:rsid w:val="009D55B4"/>
    <w:rsid w:val="009E56E2"/>
    <w:rsid w:val="009F286E"/>
    <w:rsid w:val="00A3726F"/>
    <w:rsid w:val="00A5380A"/>
    <w:rsid w:val="00A56558"/>
    <w:rsid w:val="00A62BC0"/>
    <w:rsid w:val="00A719CB"/>
    <w:rsid w:val="00A944BC"/>
    <w:rsid w:val="00AB45A4"/>
    <w:rsid w:val="00AC0CA2"/>
    <w:rsid w:val="00AC1824"/>
    <w:rsid w:val="00AD479B"/>
    <w:rsid w:val="00AE6BF4"/>
    <w:rsid w:val="00AF41F9"/>
    <w:rsid w:val="00B00245"/>
    <w:rsid w:val="00B071B9"/>
    <w:rsid w:val="00B26705"/>
    <w:rsid w:val="00B469C1"/>
    <w:rsid w:val="00B50D8C"/>
    <w:rsid w:val="00B53142"/>
    <w:rsid w:val="00B61C99"/>
    <w:rsid w:val="00B64DAF"/>
    <w:rsid w:val="00B82722"/>
    <w:rsid w:val="00B82D5C"/>
    <w:rsid w:val="00B84C69"/>
    <w:rsid w:val="00B85928"/>
    <w:rsid w:val="00B85B37"/>
    <w:rsid w:val="00B86F58"/>
    <w:rsid w:val="00B94AF5"/>
    <w:rsid w:val="00BB502B"/>
    <w:rsid w:val="00BC02DE"/>
    <w:rsid w:val="00BD0523"/>
    <w:rsid w:val="00BE1CF1"/>
    <w:rsid w:val="00BE6F62"/>
    <w:rsid w:val="00BF4A39"/>
    <w:rsid w:val="00C07D1E"/>
    <w:rsid w:val="00C11C06"/>
    <w:rsid w:val="00C2405E"/>
    <w:rsid w:val="00C2663F"/>
    <w:rsid w:val="00C318E7"/>
    <w:rsid w:val="00C45378"/>
    <w:rsid w:val="00C47430"/>
    <w:rsid w:val="00C501FC"/>
    <w:rsid w:val="00C50F69"/>
    <w:rsid w:val="00C64549"/>
    <w:rsid w:val="00C66054"/>
    <w:rsid w:val="00C67CCC"/>
    <w:rsid w:val="00C74C20"/>
    <w:rsid w:val="00C75866"/>
    <w:rsid w:val="00C76FD3"/>
    <w:rsid w:val="00C8176F"/>
    <w:rsid w:val="00C948EC"/>
    <w:rsid w:val="00C95156"/>
    <w:rsid w:val="00CA4E2D"/>
    <w:rsid w:val="00CB17A8"/>
    <w:rsid w:val="00CB33B2"/>
    <w:rsid w:val="00CB5A0F"/>
    <w:rsid w:val="00CD400D"/>
    <w:rsid w:val="00CF17C0"/>
    <w:rsid w:val="00CF36A8"/>
    <w:rsid w:val="00D022A9"/>
    <w:rsid w:val="00D110B7"/>
    <w:rsid w:val="00D25820"/>
    <w:rsid w:val="00D27AC6"/>
    <w:rsid w:val="00D317E2"/>
    <w:rsid w:val="00D35DCB"/>
    <w:rsid w:val="00D43C37"/>
    <w:rsid w:val="00D449DB"/>
    <w:rsid w:val="00D50082"/>
    <w:rsid w:val="00D53106"/>
    <w:rsid w:val="00D5314D"/>
    <w:rsid w:val="00D56BC0"/>
    <w:rsid w:val="00D56D1F"/>
    <w:rsid w:val="00D632D6"/>
    <w:rsid w:val="00D64AFF"/>
    <w:rsid w:val="00D66256"/>
    <w:rsid w:val="00D706AD"/>
    <w:rsid w:val="00D75807"/>
    <w:rsid w:val="00D87861"/>
    <w:rsid w:val="00D919D3"/>
    <w:rsid w:val="00D97B5E"/>
    <w:rsid w:val="00DA1EF2"/>
    <w:rsid w:val="00DC00E5"/>
    <w:rsid w:val="00DC3C2C"/>
    <w:rsid w:val="00DD295B"/>
    <w:rsid w:val="00DD53BB"/>
    <w:rsid w:val="00DE3168"/>
    <w:rsid w:val="00E026B4"/>
    <w:rsid w:val="00E15DE0"/>
    <w:rsid w:val="00E250DA"/>
    <w:rsid w:val="00E26222"/>
    <w:rsid w:val="00E31056"/>
    <w:rsid w:val="00E31918"/>
    <w:rsid w:val="00E47967"/>
    <w:rsid w:val="00E506CA"/>
    <w:rsid w:val="00E6268F"/>
    <w:rsid w:val="00E67266"/>
    <w:rsid w:val="00E6781A"/>
    <w:rsid w:val="00E80EC3"/>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B0395"/>
    <w:rsid w:val="00FB2284"/>
    <w:rsid w:val="00FC75FB"/>
    <w:rsid w:val="00FC7A72"/>
    <w:rsid w:val="00FD2516"/>
    <w:rsid w:val="00FD75C7"/>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383255414">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75063212">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82789615">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21423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6C69-2634-49DA-AB45-790C1B37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9187</Words>
  <Characters>50531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2020-04-10T05:32:00Z</dcterms:created>
  <dcterms:modified xsi:type="dcterms:W3CDTF">2020-04-22T19:17:00Z</dcterms:modified>
</cp:coreProperties>
</file>