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F5" w:rsidRPr="0028184F" w:rsidRDefault="004140F5" w:rsidP="004140F5">
      <w:pPr>
        <w:spacing w:line="360" w:lineRule="auto"/>
        <w:jc w:val="both"/>
        <w:rPr>
          <w:rFonts w:ascii="Palatino Linotype" w:hAnsi="Palatino Linotype"/>
          <w:noProof/>
          <w:sz w:val="24"/>
          <w:szCs w:val="22"/>
          <w:lang w:val="es-ES"/>
        </w:rPr>
      </w:pPr>
      <w:r w:rsidRPr="0028184F">
        <w:rPr>
          <w:rFonts w:ascii="Palatino Linotype" w:hAnsi="Palatino Linotype" w:cs="Tahoma"/>
          <w:bCs/>
          <w:sz w:val="24"/>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4"/>
          <w:szCs w:val="22"/>
        </w:rPr>
        <w:t xml:space="preserve">diez </w:t>
      </w:r>
      <w:r w:rsidRPr="0028184F">
        <w:rPr>
          <w:rFonts w:ascii="Palatino Linotype" w:hAnsi="Palatino Linotype" w:cs="Tahoma"/>
          <w:bCs/>
          <w:sz w:val="24"/>
          <w:szCs w:val="22"/>
        </w:rPr>
        <w:t>de julio de dos mil diecinueve.</w:t>
      </w:r>
    </w:p>
    <w:p w:rsidR="004140F5" w:rsidRPr="0028184F" w:rsidRDefault="004140F5" w:rsidP="004140F5">
      <w:pPr>
        <w:spacing w:line="360" w:lineRule="auto"/>
        <w:jc w:val="both"/>
        <w:rPr>
          <w:rFonts w:ascii="Palatino Linotype" w:hAnsi="Palatino Linotype"/>
          <w:noProof/>
          <w:sz w:val="24"/>
          <w:szCs w:val="22"/>
          <w:lang w:val="es-ES"/>
        </w:rPr>
      </w:pPr>
    </w:p>
    <w:p w:rsidR="004140F5" w:rsidRPr="0028184F" w:rsidRDefault="004140F5" w:rsidP="004140F5">
      <w:pPr>
        <w:spacing w:line="360" w:lineRule="auto"/>
        <w:jc w:val="both"/>
        <w:rPr>
          <w:rFonts w:ascii="Palatino Linotype" w:hAnsi="Palatino Linotype" w:cs="Tahoma"/>
          <w:bCs/>
          <w:color w:val="0D0D0D" w:themeColor="text1" w:themeTint="F2"/>
          <w:sz w:val="24"/>
          <w:szCs w:val="22"/>
        </w:rPr>
      </w:pPr>
      <w:r w:rsidRPr="0028184F">
        <w:rPr>
          <w:rFonts w:ascii="Palatino Linotype" w:hAnsi="Palatino Linotype" w:cs="Tahoma"/>
          <w:b/>
          <w:bCs/>
          <w:color w:val="0D0D0D" w:themeColor="text1" w:themeTint="F2"/>
          <w:sz w:val="24"/>
          <w:szCs w:val="22"/>
        </w:rPr>
        <w:t>VISTO</w:t>
      </w:r>
      <w:r w:rsidRPr="0028184F">
        <w:rPr>
          <w:rFonts w:ascii="Palatino Linotype" w:hAnsi="Palatino Linotype" w:cs="Tahoma"/>
          <w:bCs/>
          <w:color w:val="0D0D0D" w:themeColor="text1" w:themeTint="F2"/>
          <w:sz w:val="24"/>
          <w:szCs w:val="22"/>
        </w:rPr>
        <w:t xml:space="preserve"> el expediente conformado con motivo del Recurso de Revisión </w:t>
      </w:r>
      <w:r w:rsidRPr="0028184F">
        <w:rPr>
          <w:rFonts w:ascii="Palatino Linotype" w:eastAsia="Calibri" w:hAnsi="Palatino Linotype" w:cs="Tahoma"/>
          <w:b/>
          <w:bCs/>
          <w:sz w:val="24"/>
          <w:szCs w:val="22"/>
          <w:lang w:eastAsia="en-US"/>
        </w:rPr>
        <w:t>03556/INFOEM/IP/RR/2019</w:t>
      </w:r>
      <w:r w:rsidRPr="0028184F">
        <w:rPr>
          <w:rFonts w:ascii="Palatino Linotype" w:hAnsi="Palatino Linotype" w:cs="Tahoma"/>
          <w:bCs/>
          <w:color w:val="0D0D0D" w:themeColor="text1" w:themeTint="F2"/>
          <w:sz w:val="24"/>
          <w:szCs w:val="22"/>
        </w:rPr>
        <w:t xml:space="preserve">, interpuesto por </w:t>
      </w:r>
      <w:r>
        <w:rPr>
          <w:rFonts w:ascii="Palatino Linotype" w:eastAsia="Calibri" w:hAnsi="Palatino Linotype" w:cs="Tahoma"/>
          <w:b/>
          <w:sz w:val="24"/>
          <w:szCs w:val="22"/>
          <w:lang w:eastAsia="en-US"/>
        </w:rPr>
        <w:t>XXXXXXXXXXXXXXXXX</w:t>
      </w:r>
      <w:r w:rsidRPr="0028184F">
        <w:rPr>
          <w:rFonts w:ascii="Palatino Linotype" w:hAnsi="Palatino Linotype" w:cs="Tahoma"/>
          <w:bCs/>
          <w:color w:val="0D0D0D" w:themeColor="text1" w:themeTint="F2"/>
          <w:sz w:val="24"/>
          <w:szCs w:val="22"/>
        </w:rPr>
        <w:t xml:space="preserve">, en lo sucesivo </w:t>
      </w:r>
      <w:r w:rsidRPr="0028184F">
        <w:rPr>
          <w:rFonts w:ascii="Palatino Linotype" w:hAnsi="Palatino Linotype" w:cs="Tahoma"/>
          <w:b/>
          <w:bCs/>
          <w:color w:val="0D0D0D" w:themeColor="text1" w:themeTint="F2"/>
          <w:sz w:val="24"/>
          <w:szCs w:val="22"/>
        </w:rPr>
        <w:t>Recurrente</w:t>
      </w:r>
      <w:r w:rsidRPr="0028184F">
        <w:rPr>
          <w:rFonts w:ascii="Palatino Linotype" w:hAnsi="Palatino Linotype" w:cs="Tahoma"/>
          <w:bCs/>
          <w:color w:val="0D0D0D" w:themeColor="text1" w:themeTint="F2"/>
          <w:sz w:val="24"/>
          <w:szCs w:val="22"/>
        </w:rPr>
        <w:t xml:space="preserve"> o </w:t>
      </w:r>
      <w:r w:rsidRPr="0028184F">
        <w:rPr>
          <w:rFonts w:ascii="Palatino Linotype" w:hAnsi="Palatino Linotype" w:cs="Tahoma"/>
          <w:b/>
          <w:bCs/>
          <w:color w:val="0D0D0D" w:themeColor="text1" w:themeTint="F2"/>
          <w:sz w:val="24"/>
          <w:szCs w:val="22"/>
        </w:rPr>
        <w:t>Particular</w:t>
      </w:r>
      <w:r w:rsidRPr="0028184F">
        <w:rPr>
          <w:rFonts w:ascii="Palatino Linotype" w:hAnsi="Palatino Linotype" w:cs="Tahoma"/>
          <w:bCs/>
          <w:color w:val="0D0D0D" w:themeColor="text1" w:themeTint="F2"/>
          <w:sz w:val="24"/>
          <w:szCs w:val="22"/>
        </w:rPr>
        <w:t xml:space="preserve">, </w:t>
      </w:r>
      <w:r w:rsidRPr="0028184F">
        <w:rPr>
          <w:rFonts w:ascii="Palatino Linotype" w:eastAsia="Calibri" w:hAnsi="Palatino Linotype" w:cs="Tahoma"/>
          <w:bCs/>
          <w:sz w:val="24"/>
          <w:szCs w:val="22"/>
          <w:lang w:val="es-ES" w:eastAsia="en-US"/>
        </w:rPr>
        <w:t xml:space="preserve">en contra de la respuesta del </w:t>
      </w:r>
      <w:r w:rsidRPr="0028184F">
        <w:rPr>
          <w:rFonts w:ascii="Palatino Linotype" w:eastAsia="Calibri" w:hAnsi="Palatino Linotype" w:cs="Tahoma"/>
          <w:b/>
          <w:bCs/>
          <w:sz w:val="24"/>
          <w:szCs w:val="22"/>
          <w:lang w:val="es-ES" w:eastAsia="en-US"/>
        </w:rPr>
        <w:t>Sujeto Obligado,</w:t>
      </w:r>
      <w:r w:rsidRPr="0028184F">
        <w:rPr>
          <w:rFonts w:ascii="Palatino Linotype" w:eastAsia="Calibri" w:hAnsi="Palatino Linotype" w:cs="Tahoma"/>
          <w:bCs/>
          <w:sz w:val="24"/>
          <w:szCs w:val="22"/>
          <w:lang w:val="es-ES" w:eastAsia="en-US"/>
        </w:rPr>
        <w:t xml:space="preserve"> </w:t>
      </w:r>
      <w:r w:rsidRPr="0028184F">
        <w:rPr>
          <w:rFonts w:ascii="Palatino Linotype" w:eastAsia="Calibri" w:hAnsi="Palatino Linotype" w:cs="Tahoma"/>
          <w:b/>
          <w:sz w:val="24"/>
          <w:szCs w:val="22"/>
          <w:lang w:eastAsia="en-US"/>
        </w:rPr>
        <w:t>Secretaría Ejecutiva del Sistema Estatal Anticorrupción</w:t>
      </w:r>
      <w:r w:rsidRPr="0028184F">
        <w:rPr>
          <w:rFonts w:ascii="Palatino Linotype" w:eastAsia="Calibri" w:hAnsi="Palatino Linotype" w:cs="Tahoma"/>
          <w:bCs/>
          <w:sz w:val="24"/>
          <w:szCs w:val="22"/>
          <w:lang w:val="es-ES" w:eastAsia="en-US"/>
        </w:rPr>
        <w:t xml:space="preserve">, a la solicitud de acceso a la información pública con número de folio </w:t>
      </w:r>
      <w:r w:rsidRPr="0028184F">
        <w:rPr>
          <w:rFonts w:ascii="Palatino Linotype" w:eastAsia="Calibri" w:hAnsi="Palatino Linotype" w:cs="Tahoma"/>
          <w:b/>
          <w:bCs/>
          <w:sz w:val="24"/>
          <w:szCs w:val="22"/>
          <w:lang w:eastAsia="en-US"/>
        </w:rPr>
        <w:t>00017/SESEA/IP/2019</w:t>
      </w:r>
      <w:r w:rsidRPr="0028184F">
        <w:rPr>
          <w:rFonts w:ascii="Palatino Linotype" w:eastAsia="Calibri" w:hAnsi="Palatino Linotype" w:cs="Tahoma"/>
          <w:b/>
          <w:bCs/>
          <w:sz w:val="24"/>
          <w:szCs w:val="22"/>
          <w:lang w:val="es-ES" w:eastAsia="en-US"/>
        </w:rPr>
        <w:t>,</w:t>
      </w:r>
      <w:r w:rsidRPr="0028184F">
        <w:rPr>
          <w:rFonts w:ascii="Palatino Linotype" w:eastAsia="Calibri" w:hAnsi="Palatino Linotype" w:cs="Tahoma"/>
          <w:bCs/>
          <w:sz w:val="24"/>
          <w:szCs w:val="22"/>
          <w:lang w:val="es-ES" w:eastAsia="en-US"/>
        </w:rPr>
        <w:t xml:space="preserve"> se emite la presente Resolución, con base en los Antecedentes y Consideraciones que a continuación se exponen:</w:t>
      </w:r>
    </w:p>
    <w:p w:rsidR="004140F5" w:rsidRPr="0028184F" w:rsidRDefault="004140F5" w:rsidP="004140F5">
      <w:pPr>
        <w:tabs>
          <w:tab w:val="left" w:pos="2835"/>
        </w:tabs>
        <w:spacing w:line="360" w:lineRule="auto"/>
        <w:ind w:right="-93"/>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tab/>
      </w:r>
    </w:p>
    <w:p w:rsidR="004140F5" w:rsidRPr="0028184F" w:rsidRDefault="004140F5" w:rsidP="004140F5">
      <w:pPr>
        <w:spacing w:line="360" w:lineRule="auto"/>
        <w:ind w:right="-93"/>
        <w:jc w:val="center"/>
        <w:rPr>
          <w:rFonts w:ascii="Palatino Linotype" w:eastAsia="Calibri" w:hAnsi="Palatino Linotype" w:cs="Tahoma"/>
          <w:b/>
          <w:bCs/>
          <w:sz w:val="28"/>
          <w:szCs w:val="22"/>
          <w:lang w:eastAsia="en-US"/>
        </w:rPr>
      </w:pPr>
      <w:r w:rsidRPr="0028184F">
        <w:rPr>
          <w:rFonts w:ascii="Palatino Linotype" w:eastAsia="Calibri" w:hAnsi="Palatino Linotype" w:cs="Tahoma"/>
          <w:b/>
          <w:bCs/>
          <w:sz w:val="28"/>
          <w:szCs w:val="22"/>
          <w:lang w:eastAsia="en-US"/>
        </w:rPr>
        <w:t>A</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N</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T</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C</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D</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N</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T</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S</w:t>
      </w:r>
    </w:p>
    <w:p w:rsidR="004140F5" w:rsidRPr="0028184F" w:rsidRDefault="004140F5" w:rsidP="004140F5">
      <w:pPr>
        <w:spacing w:line="360" w:lineRule="auto"/>
        <w:ind w:right="-93"/>
        <w:jc w:val="both"/>
        <w:rPr>
          <w:rFonts w:ascii="Palatino Linotype" w:eastAsia="Calibri" w:hAnsi="Palatino Linotype" w:cs="Tahoma"/>
          <w:bCs/>
          <w:sz w:val="24"/>
          <w:szCs w:val="22"/>
          <w:lang w:eastAsia="en-US"/>
        </w:rPr>
      </w:pPr>
    </w:p>
    <w:p w:rsidR="004140F5" w:rsidRPr="0028184F" w:rsidRDefault="004140F5" w:rsidP="004140F5">
      <w:pPr>
        <w:spacing w:line="360" w:lineRule="auto"/>
        <w:jc w:val="both"/>
        <w:rPr>
          <w:rFonts w:ascii="Palatino Linotype" w:eastAsia="Calibri" w:hAnsi="Palatino Linotype" w:cs="Tahoma"/>
          <w:b/>
          <w:bCs/>
          <w:sz w:val="28"/>
          <w:szCs w:val="22"/>
          <w:lang w:eastAsia="en-US"/>
        </w:rPr>
      </w:pPr>
      <w:r w:rsidRPr="0028184F">
        <w:rPr>
          <w:rFonts w:ascii="Palatino Linotype" w:eastAsia="Calibri" w:hAnsi="Palatino Linotype" w:cs="Tahoma"/>
          <w:b/>
          <w:bCs/>
          <w:sz w:val="28"/>
          <w:szCs w:val="22"/>
          <w:lang w:eastAsia="en-US"/>
        </w:rPr>
        <w:t xml:space="preserve">I. Presentación de la solicitud de información. </w:t>
      </w:r>
    </w:p>
    <w:p w:rsidR="004140F5" w:rsidRPr="0028184F" w:rsidRDefault="004140F5" w:rsidP="004140F5">
      <w:pPr>
        <w:spacing w:line="360" w:lineRule="auto"/>
        <w:jc w:val="both"/>
        <w:rPr>
          <w:rFonts w:ascii="Palatino Linotype" w:eastAsia="Calibri" w:hAnsi="Palatino Linotype" w:cs="Tahoma"/>
          <w:bCs/>
          <w:sz w:val="24"/>
          <w:szCs w:val="22"/>
          <w:lang w:eastAsia="en-US"/>
        </w:rPr>
      </w:pPr>
      <w:r w:rsidRPr="0028184F">
        <w:rPr>
          <w:rFonts w:ascii="Palatino Linotype" w:eastAsia="Calibri" w:hAnsi="Palatino Linotype" w:cs="Tahoma"/>
          <w:bCs/>
          <w:sz w:val="24"/>
          <w:szCs w:val="22"/>
          <w:lang w:eastAsia="en-US"/>
        </w:rPr>
        <w:t>Con fecha veinticinco de abril de dos mil diecinueve, mediante el</w:t>
      </w:r>
      <w:r w:rsidRPr="0028184F">
        <w:rPr>
          <w:rFonts w:ascii="Palatino Linotype" w:eastAsia="Calibri" w:hAnsi="Palatino Linotype" w:cs="Tahoma"/>
          <w:bCs/>
          <w:sz w:val="24"/>
          <w:szCs w:val="22"/>
          <w:lang w:val="es-ES" w:eastAsia="en-US"/>
        </w:rPr>
        <w:t xml:space="preserve"> Sistema de Acceso a la Información Mexiquense (SAIMEX), </w:t>
      </w:r>
      <w:r w:rsidRPr="0028184F">
        <w:rPr>
          <w:rFonts w:ascii="Palatino Linotype" w:eastAsia="Calibri" w:hAnsi="Palatino Linotype" w:cs="Tahoma"/>
          <w:bCs/>
          <w:sz w:val="24"/>
          <w:szCs w:val="22"/>
          <w:lang w:eastAsia="en-US"/>
        </w:rPr>
        <w:t xml:space="preserve">el Particular presentó solicitud de acceso a la información pública ante la Secretaría Ejecutiva del Sistema Estatal Anticorrupción, misma que se registró con el folio </w:t>
      </w:r>
      <w:r w:rsidRPr="0028184F">
        <w:rPr>
          <w:rFonts w:ascii="Palatino Linotype" w:eastAsia="Calibri" w:hAnsi="Palatino Linotype" w:cs="Tahoma"/>
          <w:b/>
          <w:bCs/>
          <w:sz w:val="24"/>
          <w:szCs w:val="22"/>
          <w:lang w:eastAsia="en-US"/>
        </w:rPr>
        <w:t>00017/SESEA/IP/2019,</w:t>
      </w:r>
      <w:r w:rsidRPr="0028184F">
        <w:rPr>
          <w:rFonts w:ascii="Palatino Linotype" w:eastAsia="Calibri" w:hAnsi="Palatino Linotype" w:cs="Tahoma"/>
          <w:bCs/>
          <w:sz w:val="24"/>
          <w:szCs w:val="22"/>
          <w:lang w:eastAsia="en-US"/>
        </w:rPr>
        <w:t xml:space="preserve"> mediante la cual requirió lo siguiente:</w:t>
      </w:r>
    </w:p>
    <w:p w:rsidR="004140F5" w:rsidRPr="0028184F" w:rsidRDefault="004140F5" w:rsidP="004140F5">
      <w:pPr>
        <w:spacing w:line="360" w:lineRule="auto"/>
        <w:jc w:val="both"/>
        <w:rPr>
          <w:rFonts w:ascii="Palatino Linotype" w:eastAsia="Calibri" w:hAnsi="Palatino Linotype" w:cs="Tahoma"/>
          <w:bCs/>
          <w:sz w:val="24"/>
          <w:szCs w:val="22"/>
          <w:lang w:eastAsia="en-US"/>
        </w:rPr>
      </w:pPr>
    </w:p>
    <w:p w:rsidR="004140F5" w:rsidRDefault="004140F5" w:rsidP="004140F5">
      <w:pPr>
        <w:spacing w:line="360" w:lineRule="auto"/>
        <w:ind w:right="567"/>
        <w:jc w:val="both"/>
        <w:rPr>
          <w:rFonts w:ascii="Palatino Linotype" w:eastAsia="Calibri" w:hAnsi="Palatino Linotype" w:cs="Tahoma"/>
          <w:b/>
          <w:bCs/>
          <w:sz w:val="24"/>
          <w:szCs w:val="22"/>
          <w:lang w:val="es-ES" w:eastAsia="en-US"/>
        </w:rPr>
      </w:pPr>
      <w:r w:rsidRPr="0028184F">
        <w:rPr>
          <w:rFonts w:ascii="Palatino Linotype" w:eastAsia="Calibri" w:hAnsi="Palatino Linotype" w:cs="Tahoma"/>
          <w:b/>
          <w:bCs/>
          <w:sz w:val="24"/>
          <w:szCs w:val="22"/>
          <w:lang w:val="es-ES" w:eastAsia="en-US"/>
        </w:rPr>
        <w:t>DESCRIPCIÓN CLARA Y PRECISA DE LA INFORMACIÓN SOLICITADA</w:t>
      </w:r>
    </w:p>
    <w:p w:rsidR="004140F5" w:rsidRPr="0028184F" w:rsidRDefault="004140F5" w:rsidP="004140F5">
      <w:pPr>
        <w:spacing w:line="360" w:lineRule="auto"/>
        <w:ind w:right="567"/>
        <w:jc w:val="both"/>
        <w:rPr>
          <w:rFonts w:ascii="Palatino Linotype" w:eastAsia="Calibri" w:hAnsi="Palatino Linotype" w:cs="Tahoma"/>
          <w:b/>
          <w:bCs/>
          <w:sz w:val="24"/>
          <w:szCs w:val="22"/>
          <w:lang w:val="es-ES" w:eastAsia="en-US"/>
        </w:rPr>
      </w:pPr>
    </w:p>
    <w:p w:rsidR="004140F5" w:rsidRPr="0028184F" w:rsidRDefault="004140F5" w:rsidP="004140F5">
      <w:pPr>
        <w:ind w:left="567" w:right="567"/>
        <w:jc w:val="both"/>
        <w:rPr>
          <w:rFonts w:ascii="Palatino Linotype" w:eastAsia="Calibri" w:hAnsi="Palatino Linotype" w:cs="Tahoma"/>
          <w:bCs/>
          <w:i/>
          <w:sz w:val="22"/>
          <w:szCs w:val="22"/>
          <w:lang w:eastAsia="en-US"/>
        </w:rPr>
      </w:pPr>
      <w:r w:rsidRPr="0028184F">
        <w:rPr>
          <w:rFonts w:ascii="Palatino Linotype" w:eastAsia="Calibri" w:hAnsi="Palatino Linotype" w:cs="Tahoma"/>
          <w:bCs/>
          <w:i/>
          <w:sz w:val="22"/>
          <w:szCs w:val="22"/>
          <w:lang w:eastAsia="en-US"/>
        </w:rPr>
        <w:lastRenderedPageBreak/>
        <w:t>1) Base de datos de 2017, 2018 y 2019 sobre la cantidad de denuncias por faltas administrativas graves de Gobernador del Estado de México y del Presidente Municipal de Huixquilucan 2) Base de datos de 2017 al 2019 sobre cuántas denuncias acabaron en proceso administrativo ante el Tribunal de Justicia Administrativa en contra del Gobernador del atestado de México y el Presidente Municipal de Huixquilucan 3) Base de datos del 2017 al 2019 sobre la cantidad de investigaciones de oficio por faltas administrativas graves en contra del Gobernador del estado de México y el Presidente Municipal de Huixquilucan y cuantas llegaron a proceso administrativo ante el TJA (Sic.)</w:t>
      </w:r>
    </w:p>
    <w:p w:rsidR="004140F5" w:rsidRPr="008A26D3" w:rsidRDefault="004140F5" w:rsidP="004140F5">
      <w:pPr>
        <w:spacing w:line="360" w:lineRule="auto"/>
        <w:ind w:left="567" w:right="567"/>
        <w:jc w:val="both"/>
        <w:rPr>
          <w:rFonts w:ascii="Palatino Linotype" w:eastAsia="Calibri" w:hAnsi="Palatino Linotype" w:cs="Tahoma"/>
          <w:bCs/>
          <w:sz w:val="22"/>
          <w:szCs w:val="22"/>
          <w:lang w:eastAsia="en-US"/>
        </w:rPr>
      </w:pPr>
    </w:p>
    <w:p w:rsidR="004140F5" w:rsidRPr="001B21B4" w:rsidRDefault="004140F5" w:rsidP="004140F5">
      <w:pPr>
        <w:spacing w:line="360" w:lineRule="auto"/>
        <w:ind w:left="567" w:right="567"/>
        <w:jc w:val="both"/>
        <w:rPr>
          <w:rFonts w:ascii="Palatino Linotype" w:eastAsia="Calibri" w:hAnsi="Palatino Linotype" w:cs="Tahoma"/>
          <w:bCs/>
          <w:szCs w:val="22"/>
          <w:lang w:val="es-ES" w:eastAsia="en-US"/>
        </w:rPr>
      </w:pPr>
      <w:r w:rsidRPr="001B21B4">
        <w:rPr>
          <w:rFonts w:ascii="Palatino Linotype" w:eastAsia="Calibri" w:hAnsi="Palatino Linotype" w:cs="Tahoma"/>
          <w:b/>
          <w:bCs/>
          <w:szCs w:val="22"/>
          <w:lang w:val="es-ES" w:eastAsia="en-US"/>
        </w:rPr>
        <w:t>MODALIDAD DE ENTREGA</w:t>
      </w:r>
    </w:p>
    <w:p w:rsidR="004140F5" w:rsidRPr="0028184F" w:rsidRDefault="004140F5" w:rsidP="004140F5">
      <w:pPr>
        <w:ind w:left="567" w:right="567"/>
        <w:jc w:val="both"/>
        <w:rPr>
          <w:rFonts w:ascii="Palatino Linotype" w:eastAsia="Calibri" w:hAnsi="Palatino Linotype" w:cs="Tahoma"/>
          <w:bCs/>
          <w:i/>
          <w:sz w:val="22"/>
          <w:szCs w:val="22"/>
          <w:lang w:val="es-ES" w:eastAsia="en-US"/>
        </w:rPr>
      </w:pPr>
      <w:r w:rsidRPr="0028184F">
        <w:rPr>
          <w:rFonts w:ascii="Palatino Linotype" w:eastAsia="Calibri" w:hAnsi="Palatino Linotype" w:cs="Tahoma"/>
          <w:bCs/>
          <w:i/>
          <w:sz w:val="22"/>
          <w:szCs w:val="22"/>
          <w:lang w:val="es-ES" w:eastAsia="en-US"/>
        </w:rPr>
        <w:t>A través del SAIMEX</w:t>
      </w:r>
    </w:p>
    <w:p w:rsidR="004140F5" w:rsidRPr="0028184F" w:rsidRDefault="004140F5" w:rsidP="004140F5">
      <w:pPr>
        <w:spacing w:line="360" w:lineRule="auto"/>
        <w:jc w:val="both"/>
        <w:rPr>
          <w:rFonts w:ascii="Palatino Linotype" w:eastAsia="Calibri" w:hAnsi="Palatino Linotype" w:cs="Tahoma"/>
          <w:b/>
          <w:bCs/>
          <w:sz w:val="24"/>
          <w:szCs w:val="22"/>
          <w:lang w:val="es-ES" w:eastAsia="en-US"/>
        </w:rPr>
      </w:pPr>
    </w:p>
    <w:p w:rsidR="004140F5" w:rsidRPr="0028184F" w:rsidRDefault="004140F5" w:rsidP="004140F5">
      <w:pPr>
        <w:pStyle w:val="Prrafodelista"/>
        <w:tabs>
          <w:tab w:val="left" w:pos="567"/>
        </w:tabs>
        <w:spacing w:line="360" w:lineRule="auto"/>
        <w:ind w:left="0"/>
        <w:contextualSpacing w:val="0"/>
        <w:jc w:val="both"/>
        <w:rPr>
          <w:rFonts w:ascii="Palatino Linotype" w:hAnsi="Palatino Linotype" w:cs="Tahoma"/>
          <w:sz w:val="28"/>
          <w:szCs w:val="22"/>
        </w:rPr>
      </w:pPr>
      <w:r w:rsidRPr="0028184F">
        <w:rPr>
          <w:rFonts w:ascii="Palatino Linotype" w:hAnsi="Palatino Linotype" w:cs="Tahoma"/>
          <w:b/>
          <w:sz w:val="28"/>
          <w:szCs w:val="22"/>
        </w:rPr>
        <w:t>II. Respuesta del Sujeto Obligado.</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rPr>
      </w:pPr>
      <w:r w:rsidRPr="0028184F">
        <w:rPr>
          <w:rFonts w:ascii="Palatino Linotype" w:hAnsi="Palatino Linotype" w:cs="Tahoma"/>
          <w:sz w:val="24"/>
          <w:szCs w:val="22"/>
        </w:rPr>
        <w:t>El treinta de abril de dos mil diecinueve, el Sujeto Obligado dio respuesta a la solicitud de acceso a la información a través del Sistema de Acceso a la Información Mexiquense (SAIMEX), en los términos siguientes:</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rPr>
      </w:pPr>
    </w:p>
    <w:p w:rsidR="004140F5" w:rsidRPr="0028184F" w:rsidRDefault="004140F5" w:rsidP="004140F5">
      <w:pPr>
        <w:autoSpaceDE w:val="0"/>
        <w:autoSpaceDN w:val="0"/>
        <w:adjustRightInd w:val="0"/>
        <w:ind w:left="567" w:right="567"/>
        <w:jc w:val="both"/>
        <w:rPr>
          <w:rFonts w:ascii="Palatino Linotype" w:hAnsi="Palatino Linotype" w:cs="Tahoma"/>
          <w:i/>
          <w:sz w:val="22"/>
          <w:szCs w:val="22"/>
        </w:rPr>
      </w:pPr>
      <w:r w:rsidRPr="0028184F">
        <w:rPr>
          <w:rFonts w:ascii="Palatino Linotype" w:hAnsi="Palatino Linotype" w:cs="Tahoma"/>
          <w:i/>
          <w:sz w:val="22"/>
          <w:szCs w:val="22"/>
        </w:rPr>
        <w:t>Toluca, Estado de México; a 30 de abril de 2019 Ciudadano (a) solicitante de información pública con folio 00017/SESEA/IP/2019 Presente. Con fundamento en el artículo 167 primer párrafo de la Ley de Transparencia y Acceso a la Información Pública del Estado de México y Municipios. Hago de su conocimiento que esta Secretaría Ejecutiva del Sistema Estatal Anticorrupción no es competente para atender su solicitud de información pública, en el entendido que conforme los artículos 24 y 25 de la Ley del Sistema Anticorrupción del Estado de México y Municipios, esta dependencia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Esta Secretaría Ejecutiva tiene por objeto fungir como órgano de apoyo técnico del Comité Coordinador, a efecto de proveerle la asistencia técnica, así como los insumos necesarios para el desempeño de sus atribuciones, conforme a lo dispuesto en la Ley del Sistema Anticorrupción del Estado de México y Municipios y demás ordenamientos aplicables. Atentamente M.D.TIC. Luis Ricardo Sánchez Hernández Jefe de la Unidad de Planeación y Transparencia de la Secretaría Ejecutiva del Sistema Estatal Anticorrupción</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rPr>
      </w:pPr>
      <w:r w:rsidRPr="0028184F">
        <w:rPr>
          <w:rFonts w:ascii="Palatino Linotype" w:hAnsi="Palatino Linotype" w:cs="Tahoma"/>
          <w:sz w:val="24"/>
          <w:szCs w:val="22"/>
        </w:rPr>
        <w:lastRenderedPageBreak/>
        <w:t>Así mismo, adjuntó a su respuesta, cuatro archivos electrónicos con el contenido siguiente:</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rPr>
      </w:pPr>
    </w:p>
    <w:p w:rsidR="004140F5" w:rsidRPr="0028184F" w:rsidRDefault="004140F5" w:rsidP="004140F5">
      <w:pPr>
        <w:pStyle w:val="Prrafodelista"/>
        <w:numPr>
          <w:ilvl w:val="0"/>
          <w:numId w:val="3"/>
        </w:numPr>
        <w:autoSpaceDE w:val="0"/>
        <w:autoSpaceDN w:val="0"/>
        <w:adjustRightInd w:val="0"/>
        <w:spacing w:line="360" w:lineRule="auto"/>
        <w:ind w:left="284" w:hanging="284"/>
        <w:jc w:val="both"/>
        <w:rPr>
          <w:rFonts w:ascii="Palatino Linotype" w:eastAsia="Calibri" w:hAnsi="Palatino Linotype" w:cs="Tahoma"/>
          <w:bCs/>
          <w:sz w:val="24"/>
          <w:szCs w:val="22"/>
          <w:lang w:val="es-ES" w:eastAsia="en-US"/>
        </w:rPr>
      </w:pPr>
      <w:r w:rsidRPr="0028184F">
        <w:rPr>
          <w:rFonts w:ascii="Palatino Linotype" w:hAnsi="Palatino Linotype" w:cs="Tahoma"/>
          <w:b/>
          <w:i/>
          <w:sz w:val="24"/>
          <w:szCs w:val="22"/>
        </w:rPr>
        <w:t>OF129_Respuesta_solicitud_00017_2019.pdf</w:t>
      </w:r>
      <w:r w:rsidRPr="0028184F">
        <w:rPr>
          <w:rFonts w:ascii="Palatino Linotype" w:hAnsi="Palatino Linotype" w:cs="Tahoma"/>
          <w:b/>
          <w:sz w:val="24"/>
          <w:szCs w:val="22"/>
        </w:rPr>
        <w:t xml:space="preserve">: </w:t>
      </w:r>
      <w:r w:rsidRPr="0028184F">
        <w:rPr>
          <w:rFonts w:ascii="Palatino Linotype" w:hAnsi="Palatino Linotype" w:cs="Tahoma"/>
          <w:sz w:val="24"/>
          <w:szCs w:val="22"/>
        </w:rPr>
        <w:t xml:space="preserve">Contiene el </w:t>
      </w:r>
      <w:r w:rsidRPr="0028184F">
        <w:rPr>
          <w:rFonts w:ascii="Palatino Linotype" w:hAnsi="Palatino Linotype" w:cs="Tahoma"/>
          <w:b/>
          <w:sz w:val="24"/>
          <w:szCs w:val="22"/>
        </w:rPr>
        <w:t xml:space="preserve">oficio no. 400N13000/129/2019, </w:t>
      </w:r>
      <w:r w:rsidRPr="0028184F">
        <w:rPr>
          <w:rFonts w:ascii="Palatino Linotype" w:hAnsi="Palatino Linotype" w:cs="Tahoma"/>
          <w:sz w:val="24"/>
          <w:szCs w:val="22"/>
        </w:rPr>
        <w:t>dirigido al solicitante de información, signado por el Jefe de la Unidad de Transparencia, por medio del cual le informa que el Sujeto Obligado es incompetente para conocer de la información solicitada, bajo los argumentos siguientes:</w:t>
      </w:r>
    </w:p>
    <w:p w:rsidR="004140F5" w:rsidRPr="008A26D3" w:rsidRDefault="004140F5" w:rsidP="004140F5">
      <w:pPr>
        <w:pStyle w:val="Prrafodelista"/>
        <w:autoSpaceDE w:val="0"/>
        <w:autoSpaceDN w:val="0"/>
        <w:adjustRightInd w:val="0"/>
        <w:spacing w:line="360" w:lineRule="auto"/>
        <w:ind w:left="284"/>
        <w:jc w:val="both"/>
        <w:rPr>
          <w:rFonts w:ascii="Palatino Linotype" w:eastAsia="Calibri" w:hAnsi="Palatino Linotype" w:cs="Tahoma"/>
          <w:bCs/>
          <w:szCs w:val="22"/>
          <w:lang w:val="es-ES" w:eastAsia="en-US"/>
        </w:rPr>
      </w:pPr>
    </w:p>
    <w:p w:rsidR="004140F5" w:rsidRPr="0028184F" w:rsidRDefault="004140F5" w:rsidP="004140F5">
      <w:pPr>
        <w:pStyle w:val="Prrafodelista"/>
        <w:autoSpaceDE w:val="0"/>
        <w:autoSpaceDN w:val="0"/>
        <w:adjustRightInd w:val="0"/>
        <w:ind w:left="567" w:right="567"/>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w:t>
      </w:r>
    </w:p>
    <w:p w:rsidR="004140F5" w:rsidRPr="0028184F" w:rsidRDefault="004140F5" w:rsidP="004140F5">
      <w:pPr>
        <w:pStyle w:val="Prrafodelista"/>
        <w:autoSpaceDE w:val="0"/>
        <w:autoSpaceDN w:val="0"/>
        <w:adjustRightInd w:val="0"/>
        <w:ind w:left="567" w:right="567"/>
        <w:contextualSpacing w:val="0"/>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En atención a dicho requerimiento, me permito hacer de su conocimiento que de manera adjunta al presente se remite la respuesta otorgada por parte de la Dirección General de Servicios Tecnológicos y Plataforma Digital de la Secretaría Ejecutiva del Sistema Estatal Anticorrupción, mediante oficio 400N50000/017/2019 informa que la Plataforma Digital Estatal está en proceso de desarrollo, misma que contará entre sus módulos con un sistema de denuncias públicas de faltas administrativas y hechos de corrupción.</w:t>
      </w:r>
    </w:p>
    <w:p w:rsidR="004140F5" w:rsidRPr="0028184F" w:rsidRDefault="004140F5" w:rsidP="004140F5">
      <w:pPr>
        <w:pStyle w:val="Prrafodelista"/>
        <w:autoSpaceDE w:val="0"/>
        <w:autoSpaceDN w:val="0"/>
        <w:adjustRightInd w:val="0"/>
        <w:ind w:left="567" w:right="567"/>
        <w:contextualSpacing w:val="0"/>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Por otra parte, en lo que hace a los expedientes que contienen  denuncias por faltas administrativas graves del Gobernador del Estado de México y el presidente Municipal de Huixquilucan; con fundamento en el artículo 167 primer párrafo de la Ley de Transparencia y Acceso a la Información Pública del Estado de México y Municipios, que establece:</w:t>
      </w:r>
    </w:p>
    <w:p w:rsidR="004140F5" w:rsidRPr="0028184F" w:rsidRDefault="004140F5" w:rsidP="004140F5">
      <w:pPr>
        <w:pStyle w:val="Prrafodelista"/>
        <w:autoSpaceDE w:val="0"/>
        <w:autoSpaceDN w:val="0"/>
        <w:adjustRightInd w:val="0"/>
        <w:ind w:left="567" w:right="567"/>
        <w:contextualSpacing w:val="0"/>
        <w:jc w:val="both"/>
        <w:rPr>
          <w:rFonts w:ascii="Palatino Linotype" w:eastAsia="Calibri" w:hAnsi="Palatino Linotype" w:cs="Tahoma"/>
          <w:bCs/>
          <w:i/>
          <w:szCs w:val="22"/>
          <w:lang w:val="es-ES" w:eastAsia="en-US"/>
        </w:rPr>
      </w:pPr>
      <w:r w:rsidRPr="0028184F">
        <w:rPr>
          <w:rFonts w:ascii="Palatino Linotype" w:eastAsia="Calibri" w:hAnsi="Palatino Linotype" w:cs="Tahoma"/>
          <w:b/>
          <w:bCs/>
          <w:i/>
          <w:szCs w:val="22"/>
          <w:lang w:val="es-ES" w:eastAsia="en-US"/>
        </w:rPr>
        <w:t>Artículo 167.</w:t>
      </w:r>
      <w:r w:rsidRPr="0028184F">
        <w:rPr>
          <w:rFonts w:ascii="Palatino Linotype" w:eastAsia="Calibri" w:hAnsi="Palatino Linotype" w:cs="Tahoma"/>
          <w:bCs/>
          <w:i/>
          <w:szCs w:val="22"/>
          <w:lang w:val="es-ES" w:eastAsia="en-US"/>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4140F5" w:rsidRPr="0028184F" w:rsidRDefault="004140F5" w:rsidP="004140F5">
      <w:pPr>
        <w:pStyle w:val="Prrafodelista"/>
        <w:autoSpaceDE w:val="0"/>
        <w:autoSpaceDN w:val="0"/>
        <w:adjustRightInd w:val="0"/>
        <w:ind w:left="567" w:right="567"/>
        <w:contextualSpacing w:val="0"/>
        <w:jc w:val="both"/>
        <w:rPr>
          <w:rFonts w:ascii="Palatino Linotype" w:hAnsi="Palatino Linotype" w:cs="Tahoma"/>
          <w:i/>
          <w:szCs w:val="22"/>
        </w:rPr>
      </w:pPr>
      <w:r w:rsidRPr="0028184F">
        <w:rPr>
          <w:rFonts w:ascii="Palatino Linotype" w:eastAsia="Calibri" w:hAnsi="Palatino Linotype" w:cs="Tahoma"/>
          <w:bCs/>
          <w:i/>
          <w:szCs w:val="22"/>
          <w:lang w:val="es-ES" w:eastAsia="en-US"/>
        </w:rPr>
        <w:t xml:space="preserve">Hago de su conocimiento que esta Secretaría Ejecutiva del Sistema Estatal Anticorrupción no es competente para atender su solicitud de información pública, en el entendido que conforme los artículos 24 y 25 de la Ley del Sistema Anticorrupción del Estado de México y Municipios, </w:t>
      </w:r>
      <w:r w:rsidRPr="0028184F">
        <w:rPr>
          <w:rFonts w:ascii="Palatino Linotype" w:hAnsi="Palatino Linotype" w:cs="Tahoma"/>
          <w:i/>
          <w:szCs w:val="22"/>
        </w:rPr>
        <w:t xml:space="preserve">esta dependencia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Esta Secretaría Ejecutiva tiene por </w:t>
      </w:r>
      <w:r w:rsidRPr="0028184F">
        <w:rPr>
          <w:rFonts w:ascii="Palatino Linotype" w:hAnsi="Palatino Linotype" w:cs="Tahoma"/>
          <w:i/>
          <w:szCs w:val="22"/>
        </w:rPr>
        <w:lastRenderedPageBreak/>
        <w:t>objeto fungir como órgano de apoyo técnico del Comité Coordinador, a efecto de proveerle la asistencia técnica, así como los insumos necesarios para el desempeño de sus atribuciones, conforme a lo dispuesto en la Ley del Sistema Anticorrupción del Estado de México y Municipios…</w:t>
      </w:r>
    </w:p>
    <w:p w:rsidR="004140F5" w:rsidRPr="0028184F" w:rsidRDefault="004140F5" w:rsidP="004140F5">
      <w:pPr>
        <w:pStyle w:val="Prrafodelista"/>
        <w:autoSpaceDE w:val="0"/>
        <w:autoSpaceDN w:val="0"/>
        <w:adjustRightInd w:val="0"/>
        <w:ind w:left="567" w:right="567"/>
        <w:contextualSpacing w:val="0"/>
        <w:jc w:val="both"/>
        <w:rPr>
          <w:rFonts w:ascii="Palatino Linotype" w:hAnsi="Palatino Linotype" w:cs="Tahoma"/>
          <w:i/>
          <w:szCs w:val="22"/>
        </w:rPr>
      </w:pPr>
      <w:r w:rsidRPr="0028184F">
        <w:rPr>
          <w:rFonts w:ascii="Palatino Linotype" w:eastAsia="Calibri" w:hAnsi="Palatino Linotype" w:cs="Tahoma"/>
          <w:bCs/>
          <w:i/>
          <w:szCs w:val="22"/>
          <w:lang w:val="es-ES" w:eastAsia="en-US"/>
        </w:rPr>
        <w:t xml:space="preserve">Me permito compartirle que la Secretaría Ejecutiva del Sistema Estatal Anticorrupción fue creada a partir del Decreto 207 de la “LIX” Legislatura del Estado de México, publicado en el Periódico Oficial “Gaceta de Gobierno” por el que se expide la Ley del </w:t>
      </w:r>
      <w:r w:rsidRPr="0028184F">
        <w:rPr>
          <w:rFonts w:ascii="Palatino Linotype" w:hAnsi="Palatino Linotype" w:cs="Tahoma"/>
          <w:i/>
          <w:szCs w:val="22"/>
        </w:rPr>
        <w:t>Sistema Anticorrupción del Estado de México y Municipios.</w:t>
      </w:r>
    </w:p>
    <w:p w:rsidR="004140F5" w:rsidRPr="0028184F" w:rsidRDefault="004140F5" w:rsidP="004140F5">
      <w:pPr>
        <w:pStyle w:val="Prrafodelista"/>
        <w:autoSpaceDE w:val="0"/>
        <w:autoSpaceDN w:val="0"/>
        <w:adjustRightInd w:val="0"/>
        <w:ind w:left="567" w:right="567"/>
        <w:contextualSpacing w:val="0"/>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El artículo transitorio SEXTO del Decreto de referencia estableció lo siguiente: “La Secretaría Ejecutiva deberá iniciar operaciones a más tardar a los sesenta días naturales siguientes a la sesión de instalación del Comité Coordinador del Sistema Estatal Anticorrupción”.</w:t>
      </w:r>
    </w:p>
    <w:p w:rsidR="004140F5" w:rsidRPr="0028184F" w:rsidRDefault="004140F5" w:rsidP="004140F5">
      <w:pPr>
        <w:pStyle w:val="Prrafodelista"/>
        <w:autoSpaceDE w:val="0"/>
        <w:autoSpaceDN w:val="0"/>
        <w:adjustRightInd w:val="0"/>
        <w:ind w:left="567" w:right="567"/>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En consecuencia, posteriormente a la instalación del Comité Coordinador del Sistema Estatal Anticorrupción, e 12 de enero de 2018 fue nombrada la Dra. Josefina Román Vergara como Secretaria Técnica de la Secretaría Ejecutiva del Sistema Estatal Anticorrupción, por lo que fue hasta el año 2018 cuando se iniciaron operaciones, por lo tanto, no se generó ningún tipo de información de los años 2017, 2018 y 2019.</w:t>
      </w:r>
    </w:p>
    <w:p w:rsidR="004140F5" w:rsidRPr="0028184F" w:rsidRDefault="004140F5" w:rsidP="004140F5">
      <w:pPr>
        <w:pStyle w:val="Prrafodelista"/>
        <w:autoSpaceDE w:val="0"/>
        <w:autoSpaceDN w:val="0"/>
        <w:adjustRightInd w:val="0"/>
        <w:ind w:left="567" w:right="567"/>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w:t>
      </w:r>
    </w:p>
    <w:p w:rsidR="004140F5" w:rsidRPr="0028184F" w:rsidRDefault="004140F5" w:rsidP="004140F5">
      <w:pPr>
        <w:pStyle w:val="Prrafodelista"/>
        <w:autoSpaceDE w:val="0"/>
        <w:autoSpaceDN w:val="0"/>
        <w:adjustRightInd w:val="0"/>
        <w:ind w:left="567" w:right="567"/>
        <w:jc w:val="both"/>
        <w:rPr>
          <w:rFonts w:ascii="Palatino Linotype" w:eastAsia="Calibri" w:hAnsi="Palatino Linotype" w:cs="Tahoma"/>
          <w:bCs/>
          <w:i/>
          <w:szCs w:val="22"/>
          <w:lang w:val="es-ES" w:eastAsia="en-US"/>
        </w:rPr>
      </w:pPr>
      <w:r w:rsidRPr="0028184F">
        <w:rPr>
          <w:rFonts w:ascii="Palatino Linotype" w:eastAsia="Calibri" w:hAnsi="Palatino Linotype" w:cs="Tahoma"/>
          <w:bCs/>
          <w:i/>
          <w:szCs w:val="22"/>
          <w:lang w:val="es-ES" w:eastAsia="en-US"/>
        </w:rPr>
        <w:t>(Énfasis añadido)</w:t>
      </w:r>
    </w:p>
    <w:p w:rsidR="004140F5" w:rsidRPr="0028184F" w:rsidRDefault="004140F5" w:rsidP="004140F5">
      <w:pPr>
        <w:autoSpaceDE w:val="0"/>
        <w:autoSpaceDN w:val="0"/>
        <w:adjustRightInd w:val="0"/>
        <w:spacing w:line="360" w:lineRule="auto"/>
        <w:ind w:right="567"/>
        <w:jc w:val="both"/>
        <w:rPr>
          <w:rFonts w:ascii="Palatino Linotype" w:eastAsia="Calibri" w:hAnsi="Palatino Linotype" w:cs="Tahoma"/>
          <w:bCs/>
          <w:sz w:val="24"/>
          <w:szCs w:val="22"/>
          <w:lang w:val="es-ES" w:eastAsia="en-US"/>
        </w:rPr>
      </w:pPr>
    </w:p>
    <w:p w:rsidR="004140F5" w:rsidRDefault="004140F5" w:rsidP="004140F5">
      <w:pPr>
        <w:autoSpaceDE w:val="0"/>
        <w:autoSpaceDN w:val="0"/>
        <w:adjustRightInd w:val="0"/>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t xml:space="preserve">Además, informó al solicitante las ligas electrónicas para consultar los trámites y servicios que proporciona la </w:t>
      </w:r>
      <w:r w:rsidRPr="0028184F">
        <w:rPr>
          <w:rFonts w:ascii="Palatino Linotype" w:eastAsia="Calibri" w:hAnsi="Palatino Linotype" w:cs="Tahoma"/>
          <w:sz w:val="24"/>
          <w:szCs w:val="22"/>
          <w:lang w:eastAsia="en-US"/>
        </w:rPr>
        <w:t>Secretaría Ejecutiva del Sistema Estatal Anticorrupción</w:t>
      </w:r>
      <w:r w:rsidRPr="0028184F">
        <w:rPr>
          <w:rFonts w:ascii="Palatino Linotype" w:eastAsia="Calibri" w:hAnsi="Palatino Linotype" w:cs="Tahoma"/>
          <w:bCs/>
          <w:sz w:val="24"/>
          <w:szCs w:val="22"/>
          <w:lang w:val="es-ES" w:eastAsia="en-US"/>
        </w:rPr>
        <w:t>, asimismo, le orientó para presentar su solicitud ante los Sujeto Obligados que pudieran contar con la información solicitada, esto es, la Secretaría de la Contraloría, el Tribunal de Justicia Administrativa y al Municipio de Huixquilucan. De igual manera, proporcionó los datos de contacto del personal de la Unidad de Transparencia del Sujeto Obligado para el caso de que el Particular tenga alguna duda o requiera orientación con relación a las obligaciones de la Secretaría Ejecutiva del Sistema Estatal Anticorrupción.</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2"/>
          <w:lang w:val="es-ES" w:eastAsia="en-US"/>
        </w:rPr>
      </w:pPr>
    </w:p>
    <w:p w:rsidR="004140F5" w:rsidRPr="0028184F" w:rsidRDefault="004140F5" w:rsidP="004140F5">
      <w:pPr>
        <w:pStyle w:val="Prrafodelista"/>
        <w:numPr>
          <w:ilvl w:val="0"/>
          <w:numId w:val="3"/>
        </w:numPr>
        <w:autoSpaceDE w:val="0"/>
        <w:autoSpaceDN w:val="0"/>
        <w:adjustRightInd w:val="0"/>
        <w:spacing w:line="360" w:lineRule="auto"/>
        <w:ind w:left="284" w:hanging="284"/>
        <w:jc w:val="both"/>
        <w:rPr>
          <w:rFonts w:ascii="Palatino Linotype" w:eastAsia="Calibri" w:hAnsi="Palatino Linotype" w:cs="Tahoma"/>
          <w:bCs/>
          <w:sz w:val="24"/>
          <w:szCs w:val="22"/>
          <w:lang w:val="es-ES" w:eastAsia="en-US"/>
        </w:rPr>
      </w:pPr>
      <w:r w:rsidRPr="0028184F">
        <w:rPr>
          <w:rFonts w:ascii="Palatino Linotype" w:hAnsi="Palatino Linotype" w:cs="Tahoma"/>
          <w:b/>
          <w:i/>
          <w:sz w:val="24"/>
          <w:szCs w:val="22"/>
        </w:rPr>
        <w:lastRenderedPageBreak/>
        <w:t>017_Atención_Solicitud_016_017.pdf</w:t>
      </w:r>
      <w:r w:rsidRPr="0028184F">
        <w:rPr>
          <w:rFonts w:ascii="Palatino Linotype" w:hAnsi="Palatino Linotype" w:cs="Tahoma"/>
          <w:b/>
          <w:sz w:val="24"/>
          <w:szCs w:val="22"/>
        </w:rPr>
        <w:t xml:space="preserve">: </w:t>
      </w:r>
      <w:r w:rsidRPr="0028184F">
        <w:rPr>
          <w:rFonts w:ascii="Palatino Linotype" w:hAnsi="Palatino Linotype" w:cs="Tahoma"/>
          <w:sz w:val="24"/>
          <w:szCs w:val="22"/>
        </w:rPr>
        <w:t xml:space="preserve">Contiene el </w:t>
      </w:r>
      <w:r w:rsidRPr="0028184F">
        <w:rPr>
          <w:rFonts w:ascii="Palatino Linotype" w:hAnsi="Palatino Linotype" w:cs="Tahoma"/>
          <w:b/>
          <w:sz w:val="24"/>
          <w:szCs w:val="22"/>
        </w:rPr>
        <w:t xml:space="preserve">oficio no. 400N50000/017/2019, </w:t>
      </w:r>
      <w:r w:rsidRPr="0028184F">
        <w:rPr>
          <w:rFonts w:ascii="Palatino Linotype" w:hAnsi="Palatino Linotype" w:cs="Tahoma"/>
          <w:sz w:val="24"/>
          <w:szCs w:val="22"/>
        </w:rPr>
        <w:t>dirigido al Jefe de la Unidad de Transparencia, signado por el Director General de Servicios Tecnológicos y Plataforma Digital, por medio del cual le informa que con relación a la información solicitada, en lo que hace a los mecanismos automatizados para la recepción de denuncias, estos se encuentran en proceso de diseño en el Plataforma Digital Estatal.</w:t>
      </w:r>
    </w:p>
    <w:p w:rsidR="004140F5" w:rsidRPr="0028184F" w:rsidRDefault="004140F5" w:rsidP="004140F5">
      <w:pPr>
        <w:pStyle w:val="Prrafodelista"/>
        <w:numPr>
          <w:ilvl w:val="0"/>
          <w:numId w:val="3"/>
        </w:numPr>
        <w:autoSpaceDE w:val="0"/>
        <w:autoSpaceDN w:val="0"/>
        <w:adjustRightInd w:val="0"/>
        <w:spacing w:line="360" w:lineRule="auto"/>
        <w:ind w:left="284" w:hanging="284"/>
        <w:jc w:val="both"/>
        <w:rPr>
          <w:rFonts w:ascii="Palatino Linotype" w:eastAsia="Calibri" w:hAnsi="Palatino Linotype" w:cs="Tahoma"/>
          <w:bCs/>
          <w:sz w:val="24"/>
          <w:szCs w:val="22"/>
          <w:lang w:val="es-ES" w:eastAsia="en-US"/>
        </w:rPr>
      </w:pPr>
      <w:r w:rsidRPr="0028184F">
        <w:rPr>
          <w:rFonts w:ascii="Palatino Linotype" w:hAnsi="Palatino Linotype" w:cs="Tahoma"/>
          <w:b/>
          <w:i/>
          <w:sz w:val="24"/>
          <w:szCs w:val="22"/>
        </w:rPr>
        <w:t>LSAEMYM.</w:t>
      </w:r>
      <w:r w:rsidRPr="0028184F">
        <w:rPr>
          <w:rFonts w:ascii="Palatino Linotype" w:eastAsia="Calibri" w:hAnsi="Palatino Linotype" w:cs="Tahoma"/>
          <w:b/>
          <w:bCs/>
          <w:i/>
          <w:sz w:val="24"/>
          <w:szCs w:val="22"/>
          <w:lang w:val="es-ES" w:eastAsia="en-US"/>
        </w:rPr>
        <w:t xml:space="preserve">pdf: </w:t>
      </w:r>
      <w:r w:rsidRPr="0028184F">
        <w:rPr>
          <w:rFonts w:ascii="Palatino Linotype" w:eastAsia="Calibri" w:hAnsi="Palatino Linotype" w:cs="Tahoma"/>
          <w:bCs/>
          <w:sz w:val="24"/>
          <w:szCs w:val="22"/>
          <w:lang w:val="es-ES" w:eastAsia="en-US"/>
        </w:rPr>
        <w:t xml:space="preserve">Contiene la </w:t>
      </w:r>
      <w:r w:rsidRPr="0028184F">
        <w:rPr>
          <w:rFonts w:ascii="Palatino Linotype" w:eastAsia="Calibri" w:hAnsi="Palatino Linotype" w:cs="Tahoma"/>
          <w:bCs/>
          <w:sz w:val="24"/>
          <w:szCs w:val="22"/>
          <w:lang w:eastAsia="en-US"/>
        </w:rPr>
        <w:t>Ley del Sistema Anticorrupción del Estado de México y Municipios.</w:t>
      </w:r>
    </w:p>
    <w:p w:rsidR="004140F5" w:rsidRPr="0028184F" w:rsidRDefault="004140F5" w:rsidP="004140F5">
      <w:pPr>
        <w:pStyle w:val="Prrafodelista"/>
        <w:numPr>
          <w:ilvl w:val="0"/>
          <w:numId w:val="3"/>
        </w:numPr>
        <w:autoSpaceDE w:val="0"/>
        <w:autoSpaceDN w:val="0"/>
        <w:adjustRightInd w:val="0"/>
        <w:spacing w:line="360" w:lineRule="auto"/>
        <w:ind w:left="284" w:hanging="284"/>
        <w:jc w:val="both"/>
        <w:rPr>
          <w:rFonts w:ascii="Palatino Linotype" w:eastAsia="Calibri" w:hAnsi="Palatino Linotype" w:cs="Tahoma"/>
          <w:bCs/>
          <w:sz w:val="24"/>
          <w:szCs w:val="22"/>
          <w:lang w:val="es-ES" w:eastAsia="en-US"/>
        </w:rPr>
      </w:pPr>
      <w:r w:rsidRPr="0028184F">
        <w:rPr>
          <w:rFonts w:ascii="Palatino Linotype" w:hAnsi="Palatino Linotype" w:cs="Tahoma"/>
          <w:b/>
          <w:i/>
          <w:sz w:val="24"/>
          <w:szCs w:val="22"/>
        </w:rPr>
        <w:t>Ley de Transparencia Edo.</w:t>
      </w:r>
      <w:r w:rsidRPr="0028184F">
        <w:rPr>
          <w:rFonts w:ascii="Palatino Linotype" w:eastAsia="Calibri" w:hAnsi="Palatino Linotype" w:cs="Tahoma"/>
          <w:bCs/>
          <w:sz w:val="24"/>
          <w:szCs w:val="22"/>
          <w:lang w:val="es-ES" w:eastAsia="en-US"/>
        </w:rPr>
        <w:t xml:space="preserve"> </w:t>
      </w:r>
      <w:r w:rsidRPr="0028184F">
        <w:rPr>
          <w:rFonts w:ascii="Palatino Linotype" w:eastAsia="Calibri" w:hAnsi="Palatino Linotype" w:cs="Tahoma"/>
          <w:b/>
          <w:bCs/>
          <w:i/>
          <w:sz w:val="24"/>
          <w:szCs w:val="22"/>
          <w:lang w:val="es-ES" w:eastAsia="en-US"/>
        </w:rPr>
        <w:t xml:space="preserve">Méx..pdf: </w:t>
      </w:r>
      <w:r w:rsidRPr="0028184F">
        <w:rPr>
          <w:rFonts w:ascii="Palatino Linotype" w:eastAsia="Calibri" w:hAnsi="Palatino Linotype" w:cs="Tahoma"/>
          <w:bCs/>
          <w:sz w:val="24"/>
          <w:szCs w:val="22"/>
          <w:lang w:val="es-ES" w:eastAsia="en-US"/>
        </w:rPr>
        <w:t xml:space="preserve">Contiene la </w:t>
      </w:r>
      <w:r w:rsidRPr="0028184F">
        <w:rPr>
          <w:rFonts w:ascii="Palatino Linotype" w:eastAsia="Calibri" w:hAnsi="Palatino Linotype" w:cs="Tahoma"/>
          <w:bCs/>
          <w:sz w:val="24"/>
          <w:szCs w:val="22"/>
          <w:lang w:eastAsia="en-US"/>
        </w:rPr>
        <w:t>Ley de Transparencia y Acceso a la Información Pública del Estado de México y Municipios.</w:t>
      </w:r>
    </w:p>
    <w:p w:rsidR="004140F5" w:rsidRPr="0028184F" w:rsidRDefault="004140F5" w:rsidP="004140F5">
      <w:pPr>
        <w:autoSpaceDE w:val="0"/>
        <w:autoSpaceDN w:val="0"/>
        <w:adjustRightInd w:val="0"/>
        <w:spacing w:line="360" w:lineRule="auto"/>
        <w:ind w:right="567"/>
        <w:jc w:val="both"/>
        <w:rPr>
          <w:rFonts w:ascii="Palatino Linotype" w:eastAsia="Calibri" w:hAnsi="Palatino Linotype" w:cs="Tahoma"/>
          <w:bCs/>
          <w:sz w:val="24"/>
          <w:szCs w:val="22"/>
          <w:lang w:val="es-ES" w:eastAsia="en-US"/>
        </w:rPr>
      </w:pPr>
    </w:p>
    <w:p w:rsidR="004140F5" w:rsidRPr="0028184F" w:rsidRDefault="004140F5" w:rsidP="004140F5">
      <w:pPr>
        <w:spacing w:line="360" w:lineRule="auto"/>
        <w:ind w:right="567"/>
        <w:jc w:val="both"/>
        <w:rPr>
          <w:rFonts w:ascii="Palatino Linotype" w:eastAsia="Calibri" w:hAnsi="Palatino Linotype" w:cs="Tahoma"/>
          <w:b/>
          <w:bCs/>
          <w:sz w:val="28"/>
          <w:szCs w:val="22"/>
          <w:lang w:val="es-ES" w:eastAsia="en-US"/>
        </w:rPr>
      </w:pPr>
      <w:r w:rsidRPr="0028184F">
        <w:rPr>
          <w:rFonts w:ascii="Palatino Linotype" w:eastAsia="Calibri" w:hAnsi="Palatino Linotype" w:cs="Tahoma"/>
          <w:b/>
          <w:bCs/>
          <w:sz w:val="28"/>
          <w:szCs w:val="22"/>
          <w:lang w:val="es-ES" w:eastAsia="en-US"/>
        </w:rPr>
        <w:t xml:space="preserve">III. Interposición del Recurso de Revisión. </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t xml:space="preserve">Con fecha siete de mayo de dos mil diecinueve, </w:t>
      </w:r>
      <w:r w:rsidRPr="0028184F">
        <w:rPr>
          <w:rFonts w:ascii="Palatino Linotype" w:eastAsia="Calibri" w:hAnsi="Palatino Linotype" w:cs="Tahoma"/>
          <w:bCs/>
          <w:sz w:val="24"/>
          <w:szCs w:val="22"/>
          <w:lang w:eastAsia="en-US"/>
        </w:rPr>
        <w:t xml:space="preserve">mediante el </w:t>
      </w:r>
      <w:r w:rsidRPr="0028184F">
        <w:rPr>
          <w:rFonts w:ascii="Palatino Linotype" w:eastAsia="Calibri" w:hAnsi="Palatino Linotype" w:cs="Tahoma"/>
          <w:bCs/>
          <w:sz w:val="24"/>
          <w:szCs w:val="22"/>
          <w:lang w:val="es-ES" w:eastAsia="en-US"/>
        </w:rPr>
        <w:t xml:space="preserve">Sistema de Acceso a la Información Mexiquense (SAIMEX), se recibió en este </w:t>
      </w:r>
      <w:r w:rsidRPr="0028184F">
        <w:rPr>
          <w:rFonts w:ascii="Palatino Linotype" w:eastAsia="Calibri" w:hAnsi="Palatino Linotype" w:cs="Tahoma"/>
          <w:bCs/>
          <w:sz w:val="24"/>
          <w:szCs w:val="22"/>
          <w:lang w:eastAsia="en-US"/>
        </w:rPr>
        <w:t xml:space="preserve">Instituto, </w:t>
      </w:r>
      <w:r w:rsidRPr="0028184F">
        <w:rPr>
          <w:rFonts w:ascii="Palatino Linotype" w:eastAsia="Calibri" w:hAnsi="Palatino Linotype" w:cs="Tahoma"/>
          <w:bCs/>
          <w:sz w:val="24"/>
          <w:szCs w:val="22"/>
          <w:lang w:val="es-ES" w:eastAsia="en-US"/>
        </w:rPr>
        <w:t>el Recurso de Revisión interpuesto por el Particular, en contra de la respuesta otorgada por la Secretaría Ejecutiva del Sistema Estatal Anticorrupción</w:t>
      </w:r>
      <w:r w:rsidRPr="0028184F">
        <w:rPr>
          <w:rFonts w:ascii="Palatino Linotype" w:eastAsia="Calibri" w:hAnsi="Palatino Linotype" w:cs="Tahoma"/>
          <w:sz w:val="24"/>
          <w:szCs w:val="22"/>
          <w:lang w:eastAsia="en-US"/>
        </w:rPr>
        <w:t>,</w:t>
      </w:r>
      <w:r w:rsidRPr="0028184F">
        <w:rPr>
          <w:rFonts w:ascii="Palatino Linotype" w:eastAsia="Calibri" w:hAnsi="Palatino Linotype" w:cs="Tahoma"/>
          <w:bCs/>
          <w:sz w:val="24"/>
          <w:szCs w:val="22"/>
          <w:lang w:eastAsia="en-US"/>
        </w:rPr>
        <w:t xml:space="preserve"> en los términos siguientes:</w:t>
      </w:r>
    </w:p>
    <w:p w:rsidR="004140F5" w:rsidRPr="0028184F" w:rsidRDefault="004140F5" w:rsidP="004140F5">
      <w:pPr>
        <w:spacing w:line="360" w:lineRule="auto"/>
        <w:ind w:left="567" w:right="567"/>
        <w:jc w:val="both"/>
        <w:rPr>
          <w:rFonts w:ascii="Palatino Linotype" w:eastAsia="Calibri" w:hAnsi="Palatino Linotype" w:cs="Tahoma"/>
          <w:b/>
          <w:bCs/>
          <w:sz w:val="22"/>
          <w:szCs w:val="22"/>
          <w:lang w:eastAsia="en-US"/>
        </w:rPr>
      </w:pPr>
    </w:p>
    <w:p w:rsidR="004140F5" w:rsidRPr="0028184F" w:rsidRDefault="004140F5" w:rsidP="004140F5">
      <w:pPr>
        <w:spacing w:line="360" w:lineRule="auto"/>
        <w:ind w:left="567" w:right="567"/>
        <w:jc w:val="both"/>
        <w:rPr>
          <w:rFonts w:ascii="Palatino Linotype" w:eastAsia="Calibri" w:hAnsi="Palatino Linotype" w:cs="Tahoma"/>
          <w:bCs/>
          <w:sz w:val="24"/>
          <w:szCs w:val="22"/>
          <w:lang w:eastAsia="en-US"/>
        </w:rPr>
      </w:pPr>
      <w:r w:rsidRPr="0028184F">
        <w:rPr>
          <w:rFonts w:ascii="Palatino Linotype" w:eastAsia="Calibri" w:hAnsi="Palatino Linotype" w:cs="Tahoma"/>
          <w:b/>
          <w:bCs/>
          <w:sz w:val="24"/>
          <w:szCs w:val="22"/>
          <w:lang w:eastAsia="en-US"/>
        </w:rPr>
        <w:t>ACTO IMPUGNADO</w:t>
      </w:r>
    </w:p>
    <w:p w:rsidR="004140F5" w:rsidRPr="0028184F" w:rsidRDefault="004140F5" w:rsidP="004140F5">
      <w:pPr>
        <w:ind w:left="567" w:right="567"/>
        <w:jc w:val="both"/>
        <w:rPr>
          <w:rFonts w:ascii="Palatino Linotype" w:eastAsia="Calibri" w:hAnsi="Palatino Linotype" w:cs="Tahoma"/>
          <w:bCs/>
          <w:i/>
          <w:sz w:val="22"/>
          <w:szCs w:val="22"/>
          <w:lang w:val="es-ES" w:eastAsia="en-US"/>
        </w:rPr>
      </w:pPr>
      <w:r w:rsidRPr="0028184F">
        <w:rPr>
          <w:rFonts w:ascii="Palatino Linotype" w:eastAsia="Calibri" w:hAnsi="Palatino Linotype" w:cs="Tahoma"/>
          <w:bCs/>
          <w:i/>
          <w:sz w:val="22"/>
          <w:szCs w:val="22"/>
          <w:lang w:eastAsia="en-US"/>
        </w:rPr>
        <w:t>Me respondieron que la información se encuentra en otra dependencia.¿ A esto se le llama eficiencia? Si no son los que tienen la información que solicito se le manda la solicitud a la autoridad competente. (Sic).</w:t>
      </w:r>
    </w:p>
    <w:p w:rsidR="004140F5" w:rsidRPr="00E71824" w:rsidRDefault="004140F5" w:rsidP="004140F5">
      <w:pPr>
        <w:spacing w:line="360" w:lineRule="auto"/>
        <w:ind w:left="567" w:right="567"/>
        <w:jc w:val="both"/>
        <w:rPr>
          <w:rFonts w:ascii="Palatino Linotype" w:eastAsia="Calibri" w:hAnsi="Palatino Linotype" w:cs="Tahoma"/>
          <w:bCs/>
          <w:i/>
          <w:szCs w:val="22"/>
          <w:lang w:val="es-ES" w:eastAsia="en-US"/>
        </w:rPr>
      </w:pPr>
    </w:p>
    <w:p w:rsidR="004140F5" w:rsidRPr="0028184F" w:rsidRDefault="004140F5" w:rsidP="004140F5">
      <w:pPr>
        <w:spacing w:line="360" w:lineRule="auto"/>
        <w:ind w:left="567" w:right="567"/>
        <w:jc w:val="both"/>
        <w:rPr>
          <w:rFonts w:ascii="Palatino Linotype" w:eastAsia="Calibri" w:hAnsi="Palatino Linotype" w:cs="Tahoma"/>
          <w:b/>
          <w:bCs/>
          <w:sz w:val="24"/>
          <w:szCs w:val="22"/>
          <w:lang w:val="es-ES" w:eastAsia="en-US"/>
        </w:rPr>
      </w:pPr>
      <w:r w:rsidRPr="0028184F">
        <w:rPr>
          <w:rFonts w:ascii="Palatino Linotype" w:eastAsia="Calibri" w:hAnsi="Palatino Linotype" w:cs="Tahoma"/>
          <w:b/>
          <w:bCs/>
          <w:sz w:val="24"/>
          <w:szCs w:val="22"/>
          <w:lang w:val="es-ES" w:eastAsia="en-US"/>
        </w:rPr>
        <w:t>RAZONES O MOTIVOS DE LA INCONFORMIDAD</w:t>
      </w:r>
    </w:p>
    <w:p w:rsidR="004140F5" w:rsidRPr="0028184F" w:rsidRDefault="004140F5" w:rsidP="004140F5">
      <w:pPr>
        <w:ind w:left="567" w:right="567"/>
        <w:jc w:val="both"/>
        <w:rPr>
          <w:rFonts w:ascii="Palatino Linotype" w:eastAsia="Calibri" w:hAnsi="Palatino Linotype" w:cs="Tahoma"/>
          <w:bCs/>
          <w:i/>
          <w:sz w:val="22"/>
          <w:szCs w:val="22"/>
          <w:lang w:eastAsia="en-US"/>
        </w:rPr>
      </w:pPr>
      <w:r w:rsidRPr="0028184F">
        <w:rPr>
          <w:rFonts w:ascii="Palatino Linotype" w:eastAsia="Calibri" w:hAnsi="Palatino Linotype" w:cs="Tahoma"/>
          <w:bCs/>
          <w:i/>
          <w:sz w:val="22"/>
          <w:szCs w:val="22"/>
          <w:lang w:eastAsia="en-US"/>
        </w:rPr>
        <w:t xml:space="preserve">Estoy solicitando información en una plataforma en donde se supone se tiene la coordinación de información de todas las dependencias del Estado de México, por eso la gente no confía en sus instituciones ni en el gobierno, porque trabas cómo estás, sin </w:t>
      </w:r>
      <w:r w:rsidRPr="0028184F">
        <w:rPr>
          <w:rFonts w:ascii="Palatino Linotype" w:eastAsia="Calibri" w:hAnsi="Palatino Linotype" w:cs="Tahoma"/>
          <w:bCs/>
          <w:i/>
          <w:sz w:val="22"/>
          <w:szCs w:val="22"/>
          <w:lang w:eastAsia="en-US"/>
        </w:rPr>
        <w:lastRenderedPageBreak/>
        <w:t>fundamento lógico jurídico, y solo responder cómodamente que la información la tiene otra dependencia.</w:t>
      </w:r>
    </w:p>
    <w:p w:rsidR="004140F5" w:rsidRPr="008A26D3" w:rsidRDefault="004140F5" w:rsidP="004140F5">
      <w:pPr>
        <w:spacing w:line="360" w:lineRule="auto"/>
        <w:ind w:left="567" w:right="567"/>
        <w:jc w:val="both"/>
        <w:rPr>
          <w:rFonts w:ascii="Palatino Linotype" w:eastAsia="Calibri" w:hAnsi="Palatino Linotype" w:cs="Tahoma"/>
          <w:bCs/>
          <w:sz w:val="22"/>
          <w:szCs w:val="22"/>
          <w:lang w:eastAsia="en-US"/>
        </w:rPr>
      </w:pPr>
    </w:p>
    <w:p w:rsidR="004140F5" w:rsidRPr="0028184F" w:rsidRDefault="004140F5" w:rsidP="004140F5">
      <w:pPr>
        <w:spacing w:line="360" w:lineRule="auto"/>
        <w:jc w:val="both"/>
        <w:rPr>
          <w:rFonts w:ascii="Palatino Linotype" w:eastAsia="Calibri" w:hAnsi="Palatino Linotype" w:cs="Tahoma"/>
          <w:b/>
          <w:bCs/>
          <w:sz w:val="28"/>
          <w:szCs w:val="22"/>
          <w:lang w:val="es-ES" w:eastAsia="en-US"/>
        </w:rPr>
      </w:pPr>
      <w:r w:rsidRPr="0028184F">
        <w:rPr>
          <w:rFonts w:ascii="Palatino Linotype" w:eastAsia="Calibri" w:hAnsi="Palatino Linotype" w:cs="Tahoma"/>
          <w:b/>
          <w:bCs/>
          <w:sz w:val="28"/>
          <w:szCs w:val="22"/>
          <w:lang w:val="es-ES" w:eastAsia="en-US"/>
        </w:rPr>
        <w:t>IV. Trámite del Recurso de Revisión ante el Instituto.</w:t>
      </w:r>
    </w:p>
    <w:p w:rsidR="004140F5" w:rsidRPr="0028184F" w:rsidRDefault="004140F5" w:rsidP="004140F5">
      <w:pPr>
        <w:spacing w:line="360" w:lineRule="auto"/>
        <w:jc w:val="both"/>
        <w:rPr>
          <w:rFonts w:ascii="Palatino Linotype" w:eastAsia="Calibri" w:hAnsi="Palatino Linotype" w:cs="Tahoma"/>
          <w:bCs/>
          <w:sz w:val="24"/>
          <w:szCs w:val="22"/>
          <w:lang w:eastAsia="en-US"/>
        </w:rPr>
      </w:pPr>
      <w:r w:rsidRPr="0028184F">
        <w:rPr>
          <w:rFonts w:ascii="Palatino Linotype" w:eastAsia="Calibri" w:hAnsi="Palatino Linotype" w:cs="Tahoma"/>
          <w:b/>
          <w:bCs/>
          <w:sz w:val="24"/>
          <w:szCs w:val="22"/>
          <w:lang w:val="es-ES" w:eastAsia="en-US"/>
        </w:rPr>
        <w:t xml:space="preserve">a) Turno del Recurso de Revisión. </w:t>
      </w:r>
      <w:r w:rsidRPr="0028184F">
        <w:rPr>
          <w:rFonts w:ascii="Palatino Linotype" w:eastAsia="Calibri" w:hAnsi="Palatino Linotype" w:cs="Tahoma"/>
          <w:bCs/>
          <w:sz w:val="24"/>
          <w:szCs w:val="22"/>
          <w:lang w:eastAsia="en-US"/>
        </w:rPr>
        <w:t xml:space="preserve">Con fecha siete de mayo dos mil diecinueve, el Sistema de Acceso a la Información Mexiquense (SAIMEX), asignó el número de expediente </w:t>
      </w:r>
      <w:r w:rsidRPr="0028184F">
        <w:rPr>
          <w:rFonts w:ascii="Palatino Linotype" w:eastAsia="Calibri" w:hAnsi="Palatino Linotype" w:cs="Tahoma"/>
          <w:b/>
          <w:bCs/>
          <w:sz w:val="24"/>
          <w:szCs w:val="22"/>
          <w:lang w:eastAsia="en-US"/>
        </w:rPr>
        <w:t>03556/INFOEM/IP/RR/2019</w:t>
      </w:r>
      <w:r w:rsidRPr="0028184F">
        <w:rPr>
          <w:rFonts w:ascii="Palatino Linotype" w:eastAsia="Calibri" w:hAnsi="Palatino Linotype" w:cs="Tahoma"/>
          <w:bCs/>
          <w:sz w:val="24"/>
          <w:szCs w:val="22"/>
          <w:lang w:eastAsia="en-US"/>
        </w:rPr>
        <w:t xml:space="preserve"> al Recurso de Revisión y lo turnó al Comisionado Ponente </w:t>
      </w:r>
      <w:r w:rsidRPr="0028184F">
        <w:rPr>
          <w:rFonts w:ascii="Palatino Linotype" w:eastAsia="Calibri" w:hAnsi="Palatino Linotype" w:cs="Tahoma"/>
          <w:b/>
          <w:bCs/>
          <w:sz w:val="24"/>
          <w:szCs w:val="22"/>
          <w:lang w:eastAsia="en-US"/>
        </w:rPr>
        <w:t>Luis Gustavo Parra Noriega</w:t>
      </w:r>
      <w:r w:rsidRPr="0028184F">
        <w:rPr>
          <w:rFonts w:ascii="Palatino Linotype" w:eastAsia="Calibri" w:hAnsi="Palatino Linotype" w:cs="Tahoma"/>
          <w:bCs/>
          <w:sz w:val="24"/>
          <w:szCs w:val="22"/>
          <w:lang w:eastAsia="en-US"/>
        </w:rPr>
        <w:t>, para los efectos del artículo 185, fracción I de la Ley de Transparencia y Acceso a la Información Pública del Estado de México y Municipios.</w:t>
      </w:r>
    </w:p>
    <w:p w:rsidR="004140F5" w:rsidRPr="0028184F" w:rsidRDefault="004140F5" w:rsidP="004140F5">
      <w:pPr>
        <w:spacing w:line="360" w:lineRule="auto"/>
        <w:jc w:val="both"/>
        <w:rPr>
          <w:rFonts w:ascii="Palatino Linotype" w:eastAsia="Calibri" w:hAnsi="Palatino Linotype" w:cs="Tahoma"/>
          <w:b/>
          <w:bCs/>
          <w:sz w:val="24"/>
          <w:szCs w:val="22"/>
          <w:lang w:val="es-ES" w:eastAsia="en-US"/>
        </w:rPr>
      </w:pPr>
    </w:p>
    <w:p w:rsidR="004140F5" w:rsidRPr="0028184F" w:rsidRDefault="004140F5" w:rsidP="004140F5">
      <w:pPr>
        <w:spacing w:line="360" w:lineRule="auto"/>
        <w:jc w:val="both"/>
        <w:rPr>
          <w:rFonts w:ascii="Palatino Linotype" w:eastAsia="Calibri" w:hAnsi="Palatino Linotype" w:cs="Tahoma"/>
          <w:b/>
          <w:bCs/>
          <w:sz w:val="24"/>
          <w:szCs w:val="22"/>
          <w:lang w:val="es-ES_tradnl" w:eastAsia="en-US"/>
        </w:rPr>
      </w:pPr>
      <w:r w:rsidRPr="0028184F">
        <w:rPr>
          <w:rFonts w:ascii="Palatino Linotype" w:eastAsia="Calibri" w:hAnsi="Palatino Linotype" w:cs="Tahoma"/>
          <w:b/>
          <w:bCs/>
          <w:sz w:val="24"/>
          <w:szCs w:val="22"/>
          <w:lang w:val="es-ES" w:eastAsia="en-US"/>
        </w:rPr>
        <w:t>b) Admisión del Recurso de Revisión</w:t>
      </w:r>
      <w:r w:rsidRPr="0028184F">
        <w:rPr>
          <w:rFonts w:ascii="Palatino Linotype" w:eastAsia="Calibri" w:hAnsi="Palatino Linotype" w:cs="Tahoma"/>
          <w:b/>
          <w:bCs/>
          <w:sz w:val="24"/>
          <w:szCs w:val="22"/>
          <w:lang w:val="es-ES_tradnl" w:eastAsia="en-US"/>
        </w:rPr>
        <w:t xml:space="preserve">. </w:t>
      </w:r>
      <w:r w:rsidRPr="0028184F">
        <w:rPr>
          <w:rFonts w:ascii="Palatino Linotype" w:eastAsia="Calibri" w:hAnsi="Palatino Linotype" w:cs="Tahoma"/>
          <w:bCs/>
          <w:sz w:val="24"/>
          <w:szCs w:val="22"/>
          <w:lang w:val="es-ES_tradnl" w:eastAsia="en-US"/>
        </w:rPr>
        <w:t xml:space="preserve">Con fecha trece de mayo de dos mil diecinueve, el Comisionado Ponente </w:t>
      </w:r>
      <w:r w:rsidRPr="0028184F">
        <w:rPr>
          <w:rFonts w:ascii="Palatino Linotype" w:eastAsia="Calibri" w:hAnsi="Palatino Linotype" w:cs="Tahoma"/>
          <w:b/>
          <w:bCs/>
          <w:sz w:val="24"/>
          <w:szCs w:val="22"/>
          <w:lang w:eastAsia="en-US"/>
        </w:rPr>
        <w:t>acordó la admisión</w:t>
      </w:r>
      <w:r w:rsidRPr="0028184F">
        <w:rPr>
          <w:rFonts w:ascii="Palatino Linotype" w:eastAsia="Calibri" w:hAnsi="Palatino Linotype" w:cs="Tahoma"/>
          <w:bCs/>
          <w:sz w:val="24"/>
          <w:szCs w:val="22"/>
          <w:lang w:eastAsia="en-US"/>
        </w:rPr>
        <w:t xml:space="preserve"> de</w:t>
      </w:r>
      <w:r w:rsidRPr="0028184F">
        <w:rPr>
          <w:rFonts w:ascii="Palatino Linotype" w:eastAsia="Calibri" w:hAnsi="Palatino Linotype" w:cs="Tahoma"/>
          <w:bCs/>
          <w:sz w:val="24"/>
          <w:szCs w:val="22"/>
          <w:lang w:val="es-ES" w:eastAsia="en-US"/>
        </w:rPr>
        <w:t xml:space="preserve">l Recurso de Revisión interpuesto por la parte recurrente en contra de la respuesta otorgada por la Secretaría Ejecutiva del Sistema Estatal Anticorrupción, </w:t>
      </w:r>
      <w:r w:rsidRPr="0028184F">
        <w:rPr>
          <w:rFonts w:ascii="Palatino Linotype" w:eastAsia="Calibri" w:hAnsi="Palatino Linotype" w:cs="Tahoma"/>
          <w:b/>
          <w:bCs/>
          <w:sz w:val="24"/>
          <w:szCs w:val="22"/>
          <w:lang w:val="es-ES" w:eastAsia="en-US"/>
        </w:rPr>
        <w:t>la</w:t>
      </w:r>
      <w:r w:rsidRPr="0028184F">
        <w:rPr>
          <w:rFonts w:ascii="Palatino Linotype" w:eastAsia="Calibri" w:hAnsi="Palatino Linotype" w:cs="Tahoma"/>
          <w:bCs/>
          <w:sz w:val="24"/>
          <w:szCs w:val="22"/>
          <w:lang w:val="es-ES" w:eastAsia="en-US"/>
        </w:rPr>
        <w:t xml:space="preserve"> </w:t>
      </w:r>
      <w:r w:rsidRPr="0028184F">
        <w:rPr>
          <w:rFonts w:ascii="Palatino Linotype" w:eastAsia="Calibri" w:hAnsi="Palatino Linotype" w:cs="Tahoma"/>
          <w:b/>
          <w:bCs/>
          <w:sz w:val="24"/>
          <w:szCs w:val="22"/>
          <w:lang w:val="es-ES" w:eastAsia="en-US"/>
        </w:rPr>
        <w:t xml:space="preserve">integración del expediente </w:t>
      </w:r>
      <w:r w:rsidRPr="0028184F">
        <w:rPr>
          <w:rFonts w:ascii="Palatino Linotype" w:eastAsia="Calibri" w:hAnsi="Palatino Linotype" w:cs="Tahoma"/>
          <w:bCs/>
          <w:sz w:val="24"/>
          <w:szCs w:val="22"/>
          <w:lang w:val="es-ES" w:eastAsia="en-US"/>
        </w:rPr>
        <w:t xml:space="preserve">y </w:t>
      </w:r>
      <w:r w:rsidRPr="0028184F">
        <w:rPr>
          <w:rFonts w:ascii="Palatino Linotype" w:eastAsia="Calibri" w:hAnsi="Palatino Linotype" w:cs="Tahoma"/>
          <w:b/>
          <w:bCs/>
          <w:sz w:val="24"/>
          <w:szCs w:val="22"/>
          <w:lang w:val="es-ES" w:eastAsia="en-US"/>
        </w:rPr>
        <w:t xml:space="preserve">su puesta a disposición </w:t>
      </w:r>
      <w:r w:rsidRPr="0028184F">
        <w:rPr>
          <w:rFonts w:ascii="Palatino Linotype" w:eastAsia="Calibri" w:hAnsi="Palatino Linotype" w:cs="Tahoma"/>
          <w:bCs/>
          <w:sz w:val="24"/>
          <w:szCs w:val="22"/>
          <w:lang w:val="es-ES" w:eastAsia="en-US"/>
        </w:rPr>
        <w:t xml:space="preserve">de las partes, en términos del artículo 185, fracciones I y II, de la </w:t>
      </w:r>
      <w:r w:rsidRPr="0028184F">
        <w:rPr>
          <w:rFonts w:ascii="Palatino Linotype" w:eastAsia="Calibri" w:hAnsi="Palatino Linotype" w:cs="Tahoma"/>
          <w:bCs/>
          <w:sz w:val="24"/>
          <w:szCs w:val="22"/>
          <w:lang w:eastAsia="en-US"/>
        </w:rPr>
        <w:t xml:space="preserve">Ley de Transparencia y Acceso a la Información Pública del Estado de México y Municipios; acto que fue notificado a las partes el mismo día, a través del Sistema de Acceso a la Información Mexiquense, en el que se les otorgó un plazo de siete días hábiles posteriores a dicha notificación para que manifestaran lo que a su derecho conviniera y formularan alegatos, </w:t>
      </w:r>
      <w:r w:rsidRPr="0028184F">
        <w:rPr>
          <w:rFonts w:ascii="Palatino Linotype" w:eastAsia="Calibri" w:hAnsi="Palatino Linotype" w:cs="Tahoma"/>
          <w:bCs/>
          <w:sz w:val="24"/>
          <w:szCs w:val="22"/>
          <w:lang w:val="es-ES" w:eastAsia="en-US"/>
        </w:rPr>
        <w:t xml:space="preserve">en términos del artículo 185, fracción IV, de la </w:t>
      </w:r>
      <w:r w:rsidRPr="0028184F">
        <w:rPr>
          <w:rFonts w:ascii="Palatino Linotype" w:eastAsia="Calibri" w:hAnsi="Palatino Linotype" w:cs="Tahoma"/>
          <w:bCs/>
          <w:sz w:val="24"/>
          <w:szCs w:val="22"/>
          <w:lang w:eastAsia="en-US"/>
        </w:rPr>
        <w:t>Ley de Transparencia y Acceso a la Información Pública del Estado de México y Municipios.</w:t>
      </w:r>
    </w:p>
    <w:p w:rsidR="004140F5" w:rsidRPr="0028184F" w:rsidRDefault="004140F5" w:rsidP="004140F5">
      <w:pPr>
        <w:spacing w:line="360" w:lineRule="auto"/>
        <w:jc w:val="both"/>
        <w:rPr>
          <w:rFonts w:ascii="Palatino Linotype" w:eastAsia="Calibri" w:hAnsi="Palatino Linotype" w:cs="Tahoma"/>
          <w:bCs/>
          <w:iCs/>
          <w:sz w:val="24"/>
          <w:szCs w:val="22"/>
          <w:lang w:val="es-ES" w:eastAsia="en-US"/>
        </w:rPr>
      </w:pPr>
      <w:r w:rsidRPr="0028184F">
        <w:rPr>
          <w:rFonts w:ascii="Palatino Linotype" w:eastAsia="Calibri" w:hAnsi="Palatino Linotype" w:cs="Tahoma"/>
          <w:b/>
          <w:bCs/>
          <w:sz w:val="24"/>
          <w:szCs w:val="22"/>
          <w:lang w:val="es-ES" w:eastAsia="en-US"/>
        </w:rPr>
        <w:lastRenderedPageBreak/>
        <w:t xml:space="preserve">c) Manifestaciones de la Recurrente. </w:t>
      </w:r>
      <w:r w:rsidRPr="0028184F">
        <w:rPr>
          <w:rFonts w:ascii="Palatino Linotype" w:eastAsia="Calibri" w:hAnsi="Palatino Linotype" w:cs="Tahoma"/>
          <w:bCs/>
          <w:iCs/>
          <w:sz w:val="24"/>
          <w:szCs w:val="22"/>
          <w:lang w:val="es-ES" w:eastAsia="en-US"/>
        </w:rPr>
        <w:t>De las constancias que integran el expediente del Sistema de Acceso a la Información Mexiquense (SAIMEX), se aprecia que la Recurrente fue omisa en presentar manifestaciones.</w:t>
      </w:r>
    </w:p>
    <w:p w:rsidR="004140F5" w:rsidRPr="0028184F" w:rsidRDefault="004140F5" w:rsidP="004140F5">
      <w:pPr>
        <w:spacing w:line="360" w:lineRule="auto"/>
        <w:jc w:val="both"/>
        <w:rPr>
          <w:rFonts w:ascii="Palatino Linotype" w:eastAsia="Calibri" w:hAnsi="Palatino Linotype" w:cs="Tahoma"/>
          <w:bCs/>
          <w:iCs/>
          <w:sz w:val="24"/>
          <w:szCs w:val="22"/>
          <w:lang w:val="es-ES" w:eastAsia="en-US"/>
        </w:rPr>
      </w:pPr>
    </w:p>
    <w:p w:rsidR="004140F5" w:rsidRDefault="004140F5" w:rsidP="004140F5">
      <w:pPr>
        <w:spacing w:line="360" w:lineRule="auto"/>
        <w:jc w:val="both"/>
        <w:rPr>
          <w:rFonts w:ascii="Palatino Linotype" w:eastAsia="Calibri" w:hAnsi="Palatino Linotype" w:cs="Tahoma"/>
          <w:bCs/>
          <w:iCs/>
          <w:sz w:val="24"/>
          <w:szCs w:val="22"/>
          <w:lang w:val="es-ES" w:eastAsia="en-US"/>
        </w:rPr>
      </w:pPr>
      <w:r w:rsidRPr="0028184F">
        <w:rPr>
          <w:rFonts w:ascii="Palatino Linotype" w:hAnsi="Palatino Linotype" w:cs="Tahoma"/>
          <w:b/>
          <w:sz w:val="24"/>
          <w:szCs w:val="22"/>
        </w:rPr>
        <w:t xml:space="preserve">d) Informe Justificado: </w:t>
      </w:r>
      <w:r w:rsidRPr="0028184F">
        <w:rPr>
          <w:rFonts w:ascii="Palatino Linotype" w:eastAsia="Calibri" w:hAnsi="Palatino Linotype" w:cs="Tahoma"/>
          <w:bCs/>
          <w:sz w:val="24"/>
          <w:szCs w:val="22"/>
          <w:lang w:val="es-ES" w:eastAsia="en-US"/>
        </w:rPr>
        <w:t xml:space="preserve">El catorce de mayo de dos mil diecinueve, a través del </w:t>
      </w:r>
      <w:r w:rsidRPr="0028184F">
        <w:rPr>
          <w:rFonts w:ascii="Palatino Linotype" w:eastAsia="Calibri" w:hAnsi="Palatino Linotype" w:cs="Tahoma"/>
          <w:bCs/>
          <w:iCs/>
          <w:sz w:val="24"/>
          <w:szCs w:val="22"/>
          <w:lang w:val="es-ES" w:eastAsia="en-US"/>
        </w:rPr>
        <w:t>Sistema de Acceso a la Información Mexiquense (SAIMEX), el Sujeto Obligado remitió un archivo electrónico que contiene el Informe Justificado, mismo que consiste en lo siguiente:</w:t>
      </w:r>
    </w:p>
    <w:p w:rsidR="004140F5" w:rsidRPr="0028184F" w:rsidRDefault="004140F5" w:rsidP="004140F5">
      <w:pPr>
        <w:spacing w:line="360" w:lineRule="auto"/>
        <w:jc w:val="both"/>
        <w:rPr>
          <w:rFonts w:ascii="Palatino Linotype" w:eastAsia="Calibri" w:hAnsi="Palatino Linotype" w:cs="Tahoma"/>
          <w:bCs/>
          <w:iCs/>
          <w:sz w:val="24"/>
          <w:szCs w:val="22"/>
          <w:lang w:val="es-ES" w:eastAsia="en-US"/>
        </w:rPr>
      </w:pPr>
    </w:p>
    <w:p w:rsidR="004140F5" w:rsidRPr="0028184F" w:rsidRDefault="004140F5" w:rsidP="004140F5">
      <w:pPr>
        <w:pStyle w:val="Prrafodelista"/>
        <w:numPr>
          <w:ilvl w:val="0"/>
          <w:numId w:val="6"/>
        </w:numPr>
        <w:spacing w:line="360" w:lineRule="auto"/>
        <w:ind w:left="426"/>
        <w:jc w:val="both"/>
        <w:rPr>
          <w:rFonts w:ascii="Palatino Linotype" w:hAnsi="Palatino Linotype" w:cs="Tahoma"/>
          <w:sz w:val="24"/>
          <w:szCs w:val="22"/>
        </w:rPr>
      </w:pPr>
      <w:r w:rsidRPr="0028184F">
        <w:rPr>
          <w:rFonts w:ascii="Palatino Linotype" w:hAnsi="Palatino Linotype" w:cs="Tahoma"/>
          <w:b/>
          <w:i/>
          <w:sz w:val="24"/>
          <w:szCs w:val="22"/>
        </w:rPr>
        <w:t>IJ_RRA3556_19_SESAEMM_2.pdf</w:t>
      </w:r>
      <w:r w:rsidRPr="0028184F">
        <w:rPr>
          <w:rFonts w:ascii="Palatino Linotype" w:hAnsi="Palatino Linotype" w:cs="Tahoma"/>
          <w:sz w:val="24"/>
          <w:szCs w:val="22"/>
        </w:rPr>
        <w:t>: Contiene el oficio no. 400N13000/150/2019, signado por el Jefe de la Unidad de Planeación y Transparencia, referente al Informe Justificado sobre respuesta a la solicitud de información 00017/SESEA/IP/2019, por medio del cual, previa descripción de los antecedentes de la solicitud mencionada, de manera sustancial informó lo siguiente:</w:t>
      </w:r>
    </w:p>
    <w:p w:rsidR="004140F5" w:rsidRPr="002E027E" w:rsidRDefault="004140F5" w:rsidP="004140F5">
      <w:pPr>
        <w:spacing w:line="360" w:lineRule="auto"/>
        <w:ind w:left="66"/>
        <w:jc w:val="both"/>
        <w:rPr>
          <w:rFonts w:ascii="Palatino Linotype" w:hAnsi="Palatino Linotype" w:cs="Tahoma"/>
          <w:sz w:val="22"/>
          <w:szCs w:val="22"/>
        </w:rPr>
      </w:pP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hAnsi="Palatino Linotype" w:cs="Tahoma"/>
          <w:i/>
          <w:sz w:val="22"/>
          <w:szCs w:val="22"/>
        </w:rPr>
        <w:t>A consideración de esta Unidad de Transparencia el contenido del oficio 400N13000/129/2019 de fecha 30 de abril de 2019, mediante el cual se da respuesta a la persona solicitante, se determina la falta de competencia de la Secretaría Ejecutiva del Sistema Estatal Anticorrupción y se orienta al solicitante en el expediente registrado con el número 00017/SESEA/IP/2019 hacia diversos sujetos obligados, es acorde lo exigido por el artículo 6 apartado A de la Constitución Política de los Estados Unidos Mexicanos y el 5 de la Constitución del Estado Libre y Soberano de México, así como los principios, bases generales y procedimientos para tutelar y garantizar la transparencia y el derecho humano de acceso a la información pública en términos de la Ley de Transparencia y Acceso a la Información Pública del Estado de México y Municipios.</w:t>
      </w: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hAnsi="Palatino Linotype" w:cs="Tahoma"/>
          <w:i/>
          <w:sz w:val="22"/>
          <w:szCs w:val="22"/>
        </w:rPr>
        <w:t>…</w:t>
      </w: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hAnsi="Palatino Linotype" w:cs="Tahoma"/>
          <w:i/>
          <w:sz w:val="22"/>
          <w:szCs w:val="22"/>
        </w:rPr>
        <w:t xml:space="preserve">De lo anterior podrá observarse que ante la solicitud de referencia, esta Secretaría Ejecutiva del Sistema Estatal Anticorrupción se identificó una incompetencia parcial, lo que provocó que se brindara respuesta y se orientara en el mismo acto, con lo cual se cumplen los </w:t>
      </w:r>
      <w:r w:rsidRPr="0028184F">
        <w:rPr>
          <w:rFonts w:ascii="Palatino Linotype" w:hAnsi="Palatino Linotype" w:cs="Tahoma"/>
          <w:i/>
          <w:sz w:val="22"/>
          <w:szCs w:val="22"/>
        </w:rPr>
        <w:lastRenderedPageBreak/>
        <w:t>requisito previstos en el artículo 167 de la Ley de Transparencia y Acceso a la Información Pública del Estado de México y Municipios, es decir, se proporcionó respuesta por parte de la Secretaría Ejecutiva en lo que hace a la plataforma digital estatal; por otra parte, se declaró la falta de competencia y se orientó al solicitante sobre los sujetos obligados en los cuáles podría obrar la información, así como los mecanismos de acceso (Ipomex, Saimex y plataforma nacional de transparencia) y las ligas específicas en las cuales podría consultar la información.</w:t>
      </w:r>
    </w:p>
    <w:p w:rsidR="004140F5" w:rsidRPr="0028184F" w:rsidRDefault="004140F5" w:rsidP="004140F5">
      <w:pPr>
        <w:ind w:left="567" w:right="567"/>
        <w:jc w:val="both"/>
        <w:rPr>
          <w:rFonts w:ascii="Palatino Linotype" w:eastAsia="Calibri" w:hAnsi="Palatino Linotype" w:cs="Tahoma"/>
          <w:bCs/>
          <w:i/>
          <w:sz w:val="22"/>
          <w:szCs w:val="22"/>
          <w:lang w:eastAsia="en-US"/>
        </w:rPr>
      </w:pPr>
      <w:r w:rsidRPr="0028184F">
        <w:rPr>
          <w:rFonts w:ascii="Palatino Linotype" w:hAnsi="Palatino Linotype" w:cs="Tahoma"/>
          <w:i/>
          <w:sz w:val="22"/>
          <w:szCs w:val="22"/>
        </w:rPr>
        <w:t>Sin embargo, en lo que hace al acto impugnado y las razones o motivos de inconformidad, relativos a: “Me respondieron que la información se encuentra en otra dependencia</w:t>
      </w:r>
      <w:r w:rsidRPr="0028184F">
        <w:rPr>
          <w:rFonts w:ascii="Palatino Linotype" w:eastAsia="Calibri" w:hAnsi="Palatino Linotype" w:cs="Tahoma"/>
          <w:bCs/>
          <w:i/>
          <w:sz w:val="22"/>
          <w:szCs w:val="22"/>
          <w:lang w:eastAsia="en-US"/>
        </w:rPr>
        <w:t>. ¿A esto se le llama eficiencia? Si no son los que tienen la información que solicito se le manda la solicitud a la autoridad competente” y “Estoy solicitando información en una plataforma en donde se supone se tiene la coordinación de información de todas las dependencias del Estado de México, por eso la gente no confía en sus instituciones ni en el gobierno, porque trabas cómo estás, sin fundamento lógico jurídico, y solo responder cómodamente que la información la tiene otra dependencia”…</w:t>
      </w: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eastAsia="Calibri" w:hAnsi="Palatino Linotype" w:cs="Tahoma"/>
          <w:bCs/>
          <w:i/>
          <w:sz w:val="22"/>
          <w:szCs w:val="22"/>
          <w:lang w:eastAsia="en-US"/>
        </w:rPr>
        <w:t xml:space="preserve">… con la respuesta proporcionada se cumple con lo establecido en el artículo 12 de la </w:t>
      </w:r>
      <w:r w:rsidRPr="0028184F">
        <w:rPr>
          <w:rFonts w:ascii="Palatino Linotype" w:hAnsi="Palatino Linotype" w:cs="Tahoma"/>
          <w:i/>
          <w:sz w:val="22"/>
          <w:szCs w:val="22"/>
        </w:rPr>
        <w:t>Ley de Transparencia y Acceso a la Información Pública del Estado de México y Municipios, y por tanto, al no contar con la Plataforma Digital Estatal la Secretaría Ejecutiva no cuenta con la información de los años 2017, 2018 y 20196, ni se encuentra en aptitud de requerir a diversas autoridades al información solicitada, en el entendido de que los sujeto obligados sólo proporcionarán la información pública que se les requiera y que obre en sus archivos y en el estado en que ésta se encuentre, por lo que la obligación de proporcionar información no comprende el procesamiento de la misma, ni el presentarla conforme al interés del solicitante.</w:t>
      </w:r>
    </w:p>
    <w:p w:rsidR="004140F5" w:rsidRPr="0028184F" w:rsidRDefault="004140F5" w:rsidP="004140F5">
      <w:pPr>
        <w:ind w:left="567" w:right="567"/>
        <w:jc w:val="both"/>
        <w:rPr>
          <w:rFonts w:ascii="Palatino Linotype" w:eastAsia="Calibri" w:hAnsi="Palatino Linotype" w:cs="Tahoma"/>
          <w:bCs/>
          <w:i/>
          <w:sz w:val="22"/>
          <w:szCs w:val="22"/>
          <w:lang w:eastAsia="en-US"/>
        </w:rPr>
      </w:pPr>
      <w:r w:rsidRPr="0028184F">
        <w:rPr>
          <w:rFonts w:ascii="Palatino Linotype" w:eastAsia="Calibri" w:hAnsi="Palatino Linotype" w:cs="Tahoma"/>
          <w:bCs/>
          <w:i/>
          <w:sz w:val="22"/>
          <w:szCs w:val="22"/>
          <w:lang w:eastAsia="en-US"/>
        </w:rPr>
        <w:t>… a través de la incompetencia se advierte que esta Secretaría Ejecutiva no cuenta con la información solicitada, no obstante, al identificar que otras dependencias, entes o sujetos obligados pudieran tenerla en el ejercicio de sus atribuciones, se realizó la orientación respectiva ante la Secretaría de la Contraloría perteneciente al Poder Ejecutivo, al Tribunal de Justicia Administrativa perteneciente a los Órganos Autónomos y al Municipio de Huixquilucan perteneciente al apartado de Ayuntamientos.</w:t>
      </w: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eastAsia="Calibri" w:hAnsi="Palatino Linotype" w:cs="Tahoma"/>
          <w:bCs/>
          <w:i/>
          <w:sz w:val="22"/>
          <w:szCs w:val="22"/>
          <w:lang w:eastAsia="en-US"/>
        </w:rPr>
        <w:t xml:space="preserve">Determinación de incompetencia que al realizarse dentro de los 3 días hábiles siguientes a su recepción, cumple con lo previsto por el artículo 167 de la </w:t>
      </w:r>
      <w:r w:rsidRPr="0028184F">
        <w:rPr>
          <w:rFonts w:ascii="Palatino Linotype" w:hAnsi="Palatino Linotype" w:cs="Tahoma"/>
          <w:i/>
          <w:sz w:val="22"/>
          <w:szCs w:val="22"/>
        </w:rPr>
        <w:t>Ley de Transparencia y Acceso a la Información Pública del Estado de México y Municipios, por lo que no resulta aplicable la disposición prevista en el último párrafo de dicho numeral.</w:t>
      </w:r>
    </w:p>
    <w:p w:rsidR="004140F5" w:rsidRPr="0028184F" w:rsidRDefault="004140F5" w:rsidP="004140F5">
      <w:pPr>
        <w:ind w:left="567" w:right="567"/>
        <w:jc w:val="both"/>
        <w:rPr>
          <w:rFonts w:ascii="Palatino Linotype" w:hAnsi="Palatino Linotype" w:cs="Tahoma"/>
          <w:i/>
          <w:sz w:val="22"/>
          <w:szCs w:val="22"/>
        </w:rPr>
      </w:pPr>
      <w:r w:rsidRPr="0028184F">
        <w:rPr>
          <w:rFonts w:ascii="Palatino Linotype" w:eastAsia="Calibri" w:hAnsi="Palatino Linotype" w:cs="Tahoma"/>
          <w:bCs/>
          <w:i/>
          <w:sz w:val="22"/>
          <w:szCs w:val="22"/>
          <w:lang w:eastAsia="en-US"/>
        </w:rPr>
        <w:t>…</w:t>
      </w:r>
    </w:p>
    <w:p w:rsidR="004140F5" w:rsidRDefault="004140F5" w:rsidP="004140F5">
      <w:pPr>
        <w:spacing w:line="360" w:lineRule="auto"/>
        <w:jc w:val="both"/>
        <w:rPr>
          <w:rFonts w:ascii="Palatino Linotype" w:hAnsi="Palatino Linotype" w:cs="Tahoma"/>
          <w:sz w:val="24"/>
          <w:szCs w:val="22"/>
        </w:rPr>
      </w:pPr>
    </w:p>
    <w:p w:rsidR="004140F5" w:rsidRPr="0028184F" w:rsidRDefault="004140F5" w:rsidP="004140F5">
      <w:pPr>
        <w:spacing w:line="360" w:lineRule="auto"/>
        <w:jc w:val="both"/>
        <w:rPr>
          <w:rFonts w:ascii="Palatino Linotype" w:hAnsi="Palatino Linotype" w:cs="Tahoma"/>
          <w:sz w:val="24"/>
          <w:szCs w:val="22"/>
        </w:rPr>
      </w:pPr>
    </w:p>
    <w:p w:rsidR="004140F5" w:rsidRDefault="004140F5" w:rsidP="004140F5">
      <w:pPr>
        <w:spacing w:line="360" w:lineRule="auto"/>
        <w:jc w:val="both"/>
        <w:rPr>
          <w:rFonts w:ascii="Palatino Linotype" w:hAnsi="Palatino Linotype" w:cs="Tahoma"/>
          <w:sz w:val="24"/>
          <w:szCs w:val="22"/>
        </w:rPr>
      </w:pPr>
      <w:r w:rsidRPr="0028184F">
        <w:rPr>
          <w:rFonts w:ascii="Palatino Linotype" w:hAnsi="Palatino Linotype" w:cs="Tahoma"/>
          <w:sz w:val="24"/>
          <w:szCs w:val="22"/>
        </w:rPr>
        <w:lastRenderedPageBreak/>
        <w:t>Es de señalar que dicho informe se puso a la vista del Recurrente.</w:t>
      </w:r>
    </w:p>
    <w:p w:rsidR="004140F5" w:rsidRPr="0028184F" w:rsidRDefault="004140F5" w:rsidP="004140F5">
      <w:pPr>
        <w:spacing w:line="360" w:lineRule="auto"/>
        <w:jc w:val="both"/>
        <w:rPr>
          <w:rFonts w:ascii="Palatino Linotype" w:hAnsi="Palatino Linotype" w:cs="Tahoma"/>
          <w:sz w:val="24"/>
          <w:szCs w:val="22"/>
        </w:rPr>
      </w:pPr>
    </w:p>
    <w:p w:rsidR="004140F5" w:rsidRPr="0028184F" w:rsidRDefault="004140F5" w:rsidP="004140F5">
      <w:pPr>
        <w:spacing w:line="360" w:lineRule="auto"/>
        <w:jc w:val="both"/>
        <w:rPr>
          <w:rFonts w:ascii="Palatino Linotype" w:hAnsi="Palatino Linotype" w:cs="Tahoma"/>
          <w:b/>
          <w:sz w:val="24"/>
          <w:szCs w:val="22"/>
        </w:rPr>
      </w:pPr>
      <w:r w:rsidRPr="0028184F">
        <w:rPr>
          <w:rFonts w:ascii="Palatino Linotype" w:hAnsi="Palatino Linotype" w:cs="Tahoma"/>
          <w:b/>
          <w:bCs/>
          <w:sz w:val="24"/>
          <w:szCs w:val="22"/>
          <w:lang w:val="es-ES"/>
        </w:rPr>
        <w:t xml:space="preserve">e) Ampliación del plazo para resolver. </w:t>
      </w:r>
      <w:r w:rsidRPr="0028184F">
        <w:rPr>
          <w:rFonts w:ascii="Palatino Linotype" w:hAnsi="Palatino Linotype" w:cs="Tahoma"/>
          <w:sz w:val="24"/>
          <w:szCs w:val="22"/>
          <w:lang w:val="es-ES"/>
        </w:rPr>
        <w:t>El veintiuno de junio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día veinticuatro del mismo mes y año.</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p>
    <w:p w:rsidR="004140F5" w:rsidRDefault="004140F5" w:rsidP="004140F5">
      <w:pPr>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
          <w:bCs/>
          <w:sz w:val="24"/>
          <w:szCs w:val="22"/>
          <w:lang w:val="es-ES" w:eastAsia="en-US"/>
        </w:rPr>
        <w:t>e) Cierre de instrucción:</w:t>
      </w:r>
      <w:r w:rsidRPr="0028184F">
        <w:rPr>
          <w:rFonts w:ascii="Palatino Linotype" w:eastAsia="Calibri" w:hAnsi="Palatino Linotype" w:cs="Tahoma"/>
          <w:bCs/>
          <w:sz w:val="24"/>
          <w:szCs w:val="22"/>
          <w:lang w:val="es-ES" w:eastAsia="en-US"/>
        </w:rPr>
        <w:t xml:space="preserve"> Con fecha dos de julio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p>
    <w:p w:rsidR="004140F5" w:rsidRPr="0028184F" w:rsidRDefault="004140F5" w:rsidP="004140F5">
      <w:pPr>
        <w:autoSpaceDE w:val="0"/>
        <w:autoSpaceDN w:val="0"/>
        <w:adjustRightInd w:val="0"/>
        <w:spacing w:line="360" w:lineRule="auto"/>
        <w:jc w:val="both"/>
        <w:rPr>
          <w:rFonts w:ascii="Palatino Linotype" w:hAnsi="Palatino Linotype" w:cs="Tahoma"/>
          <w:b/>
          <w:sz w:val="28"/>
          <w:szCs w:val="22"/>
        </w:rPr>
      </w:pPr>
      <w:r w:rsidRPr="0028184F">
        <w:rPr>
          <w:rFonts w:ascii="Palatino Linotype" w:hAnsi="Palatino Linotype" w:cs="Tahoma"/>
          <w:b/>
          <w:sz w:val="28"/>
          <w:szCs w:val="22"/>
        </w:rPr>
        <w:t>V. Returno de Recurso de Revisión.</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rPr>
      </w:pPr>
      <w:r w:rsidRPr="0028184F">
        <w:rPr>
          <w:rFonts w:ascii="Palatino Linotype" w:hAnsi="Palatino Linotype" w:cs="Tahoma"/>
          <w:sz w:val="24"/>
          <w:szCs w:val="22"/>
        </w:rPr>
        <w:t>Con fecha diez de julio de dos mil diecinueve, el Pleno de este Instituto de Transparencia, Acceso a la Información Pública y Protección de Datos Personales del Estado de México y Municipios, en la Vigésima Sexta Sesión Ordinaria, aprobó el returno del Recurso de Revisión que nos ocupa, a la Comisionada Presidenta Zulema Martínez Sánchez.</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lastRenderedPageBreak/>
        <w:t xml:space="preserve">En razón de que fue debidamente sustanciado el expediente electrónico y no existe diligencia pendiente de desahogo, se emite la resolución que conforme a Derecho proceda, de acuerdo con las siguientes: </w:t>
      </w:r>
    </w:p>
    <w:p w:rsidR="004140F5" w:rsidRDefault="004140F5" w:rsidP="004140F5">
      <w:pPr>
        <w:spacing w:line="360" w:lineRule="auto"/>
        <w:ind w:left="708" w:hanging="708"/>
        <w:jc w:val="center"/>
        <w:rPr>
          <w:rFonts w:ascii="Palatino Linotype" w:eastAsia="Calibri" w:hAnsi="Palatino Linotype" w:cs="Tahoma"/>
          <w:b/>
          <w:bCs/>
          <w:sz w:val="22"/>
          <w:szCs w:val="22"/>
          <w:lang w:val="es-ES" w:eastAsia="en-US"/>
        </w:rPr>
      </w:pPr>
    </w:p>
    <w:p w:rsidR="004140F5" w:rsidRPr="0028184F" w:rsidRDefault="004140F5" w:rsidP="004140F5">
      <w:pPr>
        <w:spacing w:line="360" w:lineRule="auto"/>
        <w:ind w:left="708" w:hanging="708"/>
        <w:jc w:val="center"/>
        <w:rPr>
          <w:rFonts w:ascii="Palatino Linotype" w:eastAsia="Calibri" w:hAnsi="Palatino Linotype" w:cs="Tahoma"/>
          <w:b/>
          <w:bCs/>
          <w:sz w:val="28"/>
          <w:szCs w:val="22"/>
          <w:lang w:val="es-ES" w:eastAsia="en-US"/>
        </w:rPr>
      </w:pPr>
      <w:r w:rsidRPr="0028184F">
        <w:rPr>
          <w:rFonts w:ascii="Palatino Linotype" w:eastAsia="Calibri" w:hAnsi="Palatino Linotype" w:cs="Tahoma"/>
          <w:b/>
          <w:bCs/>
          <w:sz w:val="28"/>
          <w:szCs w:val="22"/>
          <w:lang w:val="es-ES" w:eastAsia="en-US"/>
        </w:rPr>
        <w:t>C</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O</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N</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S</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I</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D</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E</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R</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A</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N</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D</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O</w:t>
      </w:r>
      <w:r>
        <w:rPr>
          <w:rFonts w:ascii="Palatino Linotype" w:eastAsia="Calibri" w:hAnsi="Palatino Linotype" w:cs="Tahoma"/>
          <w:b/>
          <w:bCs/>
          <w:sz w:val="28"/>
          <w:szCs w:val="22"/>
          <w:lang w:val="es-ES" w:eastAsia="en-US"/>
        </w:rPr>
        <w:t xml:space="preserve"> </w:t>
      </w:r>
      <w:r w:rsidRPr="0028184F">
        <w:rPr>
          <w:rFonts w:ascii="Palatino Linotype" w:eastAsia="Calibri" w:hAnsi="Palatino Linotype" w:cs="Tahoma"/>
          <w:b/>
          <w:bCs/>
          <w:sz w:val="28"/>
          <w:szCs w:val="22"/>
          <w:lang w:val="es-ES" w:eastAsia="en-US"/>
        </w:rPr>
        <w:t>S</w:t>
      </w:r>
    </w:p>
    <w:p w:rsidR="004140F5" w:rsidRPr="008A26D3" w:rsidRDefault="004140F5" w:rsidP="004140F5">
      <w:pPr>
        <w:spacing w:line="360" w:lineRule="auto"/>
        <w:jc w:val="both"/>
        <w:rPr>
          <w:rFonts w:ascii="Palatino Linotype" w:eastAsia="Calibri" w:hAnsi="Palatino Linotype" w:cs="Tahoma"/>
          <w:b/>
          <w:bCs/>
          <w:sz w:val="22"/>
          <w:szCs w:val="22"/>
          <w:lang w:val="es-ES" w:eastAsia="en-US"/>
        </w:rPr>
      </w:pPr>
    </w:p>
    <w:p w:rsidR="004140F5" w:rsidRPr="0028184F" w:rsidRDefault="004140F5" w:rsidP="004140F5">
      <w:pPr>
        <w:spacing w:line="360" w:lineRule="auto"/>
        <w:jc w:val="both"/>
        <w:rPr>
          <w:rFonts w:ascii="Palatino Linotype" w:eastAsia="Calibri" w:hAnsi="Palatino Linotype" w:cs="Tahoma"/>
          <w:b/>
          <w:bCs/>
          <w:sz w:val="28"/>
          <w:szCs w:val="22"/>
          <w:lang w:val="es-ES" w:eastAsia="en-US"/>
        </w:rPr>
      </w:pPr>
      <w:r w:rsidRPr="0028184F">
        <w:rPr>
          <w:rFonts w:ascii="Palatino Linotype" w:eastAsia="Calibri" w:hAnsi="Palatino Linotype" w:cs="Tahoma"/>
          <w:b/>
          <w:bCs/>
          <w:sz w:val="28"/>
          <w:szCs w:val="22"/>
          <w:lang w:val="es-ES" w:eastAsia="en-US"/>
        </w:rPr>
        <w:t xml:space="preserve">PRIMERA. Competencia. </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fracciones I, II, III, IV y V</w:t>
      </w:r>
      <w:r>
        <w:rPr>
          <w:rFonts w:ascii="Palatino Linotype" w:eastAsia="Calibri" w:hAnsi="Palatino Linotype" w:cs="Tahoma"/>
          <w:bCs/>
          <w:sz w:val="24"/>
          <w:szCs w:val="22"/>
          <w:lang w:val="es-ES" w:eastAsia="en-US"/>
        </w:rPr>
        <w:t xml:space="preserve">; </w:t>
      </w:r>
      <w:r w:rsidRPr="0028184F">
        <w:rPr>
          <w:rFonts w:ascii="Palatino Linotype" w:eastAsia="Calibri" w:hAnsi="Palatino Linotype" w:cs="Tahoma"/>
          <w:bCs/>
          <w:sz w:val="24"/>
          <w:szCs w:val="22"/>
          <w:lang w:val="es-ES" w:eastAsia="en-US"/>
        </w:rPr>
        <w:t>vigésimo</w:t>
      </w:r>
      <w:r>
        <w:rPr>
          <w:rFonts w:ascii="Palatino Linotype" w:eastAsia="Calibri" w:hAnsi="Palatino Linotype" w:cs="Tahoma"/>
          <w:bCs/>
          <w:sz w:val="24"/>
          <w:szCs w:val="22"/>
          <w:lang w:val="es-ES" w:eastAsia="en-US"/>
        </w:rPr>
        <w:t xml:space="preserve"> tercero y </w:t>
      </w:r>
      <w:r w:rsidRPr="0028184F">
        <w:rPr>
          <w:rFonts w:ascii="Palatino Linotype" w:eastAsia="Calibri" w:hAnsi="Palatino Linotype" w:cs="Tahoma"/>
          <w:bCs/>
          <w:sz w:val="24"/>
          <w:szCs w:val="22"/>
          <w:lang w:val="es-ES" w:eastAsia="en-US"/>
        </w:rPr>
        <w:t xml:space="preserve">vigésimo </w:t>
      </w:r>
      <w:r>
        <w:rPr>
          <w:rFonts w:ascii="Palatino Linotype" w:eastAsia="Calibri" w:hAnsi="Palatino Linotype" w:cs="Tahoma"/>
          <w:bCs/>
          <w:sz w:val="24"/>
          <w:szCs w:val="22"/>
          <w:lang w:val="es-ES" w:eastAsia="en-US"/>
        </w:rPr>
        <w:t>cuarto</w:t>
      </w:r>
      <w:r w:rsidRPr="0028184F">
        <w:rPr>
          <w:rFonts w:ascii="Palatino Linotype" w:eastAsia="Calibri" w:hAnsi="Palatino Linotype" w:cs="Tahoma"/>
          <w:bCs/>
          <w:sz w:val="24"/>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
          <w:color w:val="000000"/>
          <w:sz w:val="24"/>
          <w:szCs w:val="22"/>
          <w:lang w:val="es-ES" w:eastAsia="es-MX"/>
        </w:rPr>
      </w:pPr>
    </w:p>
    <w:p w:rsidR="004140F5" w:rsidRPr="0028184F" w:rsidRDefault="004140F5" w:rsidP="004140F5">
      <w:pPr>
        <w:autoSpaceDE w:val="0"/>
        <w:autoSpaceDN w:val="0"/>
        <w:adjustRightInd w:val="0"/>
        <w:spacing w:line="360" w:lineRule="auto"/>
        <w:jc w:val="both"/>
        <w:rPr>
          <w:rFonts w:ascii="Palatino Linotype" w:hAnsi="Palatino Linotype" w:cs="Tahoma"/>
          <w:sz w:val="28"/>
          <w:szCs w:val="22"/>
          <w:lang w:val="es-ES"/>
        </w:rPr>
      </w:pPr>
      <w:r w:rsidRPr="0028184F">
        <w:rPr>
          <w:rFonts w:ascii="Palatino Linotype" w:eastAsia="Calibri" w:hAnsi="Palatino Linotype" w:cs="Tahoma"/>
          <w:b/>
          <w:color w:val="000000"/>
          <w:sz w:val="28"/>
          <w:szCs w:val="22"/>
          <w:lang w:val="es-ES" w:eastAsia="es-MX"/>
        </w:rPr>
        <w:t>SEGUNDO</w:t>
      </w:r>
      <w:r w:rsidRPr="0028184F">
        <w:rPr>
          <w:rFonts w:ascii="Palatino Linotype" w:eastAsia="Calibri" w:hAnsi="Palatino Linotype" w:cs="Tahoma"/>
          <w:color w:val="000000"/>
          <w:sz w:val="28"/>
          <w:szCs w:val="22"/>
          <w:lang w:val="es-ES" w:eastAsia="es-MX"/>
        </w:rPr>
        <w:t xml:space="preserve">. </w:t>
      </w:r>
      <w:r w:rsidRPr="0028184F">
        <w:rPr>
          <w:rFonts w:ascii="Palatino Linotype" w:hAnsi="Palatino Linotype" w:cs="Tahoma"/>
          <w:b/>
          <w:sz w:val="28"/>
          <w:szCs w:val="22"/>
          <w:lang w:val="es-ES"/>
        </w:rPr>
        <w:t>Metodología de estudio.</w:t>
      </w:r>
      <w:r w:rsidRPr="0028184F">
        <w:rPr>
          <w:rFonts w:ascii="Palatino Linotype" w:hAnsi="Palatino Linotype" w:cs="Tahoma"/>
          <w:sz w:val="28"/>
          <w:szCs w:val="22"/>
          <w:lang w:val="es-ES"/>
        </w:rPr>
        <w:t xml:space="preserve"> </w:t>
      </w:r>
    </w:p>
    <w:p w:rsidR="004140F5" w:rsidRDefault="004140F5" w:rsidP="004140F5">
      <w:pPr>
        <w:autoSpaceDE w:val="0"/>
        <w:autoSpaceDN w:val="0"/>
        <w:adjustRightInd w:val="0"/>
        <w:spacing w:line="360" w:lineRule="auto"/>
        <w:jc w:val="both"/>
        <w:rPr>
          <w:rFonts w:ascii="Palatino Linotype" w:hAnsi="Palatino Linotype" w:cs="Tahoma"/>
          <w:sz w:val="24"/>
          <w:szCs w:val="22"/>
          <w:lang w:val="es-ES"/>
        </w:rPr>
      </w:pPr>
      <w:r w:rsidRPr="0028184F">
        <w:rPr>
          <w:rFonts w:ascii="Palatino Linotype" w:hAnsi="Palatino Linotype" w:cs="Tahoma"/>
          <w:sz w:val="24"/>
          <w:szCs w:val="22"/>
          <w:lang w:val="es-ES"/>
        </w:rPr>
        <w:t xml:space="preserve">De las constancias que forma parte del Recurso de Revisión que se analiza, se advierte que previo al estudio del fondo de la </w:t>
      </w:r>
      <w:r w:rsidRPr="0028184F">
        <w:rPr>
          <w:rFonts w:ascii="Palatino Linotype" w:hAnsi="Palatino Linotype" w:cs="Tahoma"/>
          <w:i/>
          <w:sz w:val="24"/>
          <w:szCs w:val="22"/>
          <w:lang w:val="es-ES"/>
        </w:rPr>
        <w:t>Litis</w:t>
      </w:r>
      <w:r w:rsidRPr="0028184F">
        <w:rPr>
          <w:rFonts w:ascii="Palatino Linotype" w:hAnsi="Palatino Linotype" w:cs="Tahoma"/>
          <w:sz w:val="24"/>
          <w:szCs w:val="22"/>
          <w:lang w:val="es-ES"/>
        </w:rPr>
        <w:t xml:space="preserve">, es necesario estudiar las causales de </w:t>
      </w:r>
      <w:r w:rsidRPr="0028184F">
        <w:rPr>
          <w:rFonts w:ascii="Palatino Linotype" w:hAnsi="Palatino Linotype" w:cs="Tahoma"/>
          <w:sz w:val="24"/>
          <w:szCs w:val="22"/>
          <w:lang w:val="es-ES"/>
        </w:rPr>
        <w:lastRenderedPageBreak/>
        <w:t>improcedencia y sobreseimiento que se adviertan, para determinar lo que en Derecho proceda.</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lang w:val="es-ES"/>
        </w:rPr>
      </w:pPr>
    </w:p>
    <w:p w:rsidR="004140F5" w:rsidRPr="0028184F" w:rsidRDefault="004140F5" w:rsidP="004140F5">
      <w:pPr>
        <w:pStyle w:val="Prrafodelista"/>
        <w:numPr>
          <w:ilvl w:val="0"/>
          <w:numId w:val="5"/>
        </w:numPr>
        <w:autoSpaceDE w:val="0"/>
        <w:autoSpaceDN w:val="0"/>
        <w:adjustRightInd w:val="0"/>
        <w:spacing w:line="360" w:lineRule="auto"/>
        <w:jc w:val="both"/>
        <w:rPr>
          <w:rFonts w:ascii="Palatino Linotype" w:eastAsia="Calibri" w:hAnsi="Palatino Linotype" w:cs="Tahoma"/>
          <w:color w:val="000000"/>
          <w:sz w:val="28"/>
          <w:szCs w:val="22"/>
          <w:lang w:val="es-ES" w:eastAsia="es-MX"/>
        </w:rPr>
      </w:pPr>
      <w:r w:rsidRPr="0028184F">
        <w:rPr>
          <w:rFonts w:ascii="Palatino Linotype" w:eastAsia="Calibri" w:hAnsi="Palatino Linotype" w:cs="Tahoma"/>
          <w:b/>
          <w:color w:val="000000"/>
          <w:sz w:val="28"/>
          <w:szCs w:val="22"/>
          <w:lang w:val="es-ES" w:eastAsia="es-MX"/>
        </w:rPr>
        <w:t>Causales de improcedencia.</w:t>
      </w:r>
      <w:r w:rsidRPr="0028184F">
        <w:rPr>
          <w:rFonts w:ascii="Palatino Linotype" w:eastAsia="Calibri" w:hAnsi="Palatino Linotype" w:cs="Tahoma"/>
          <w:color w:val="000000"/>
          <w:sz w:val="28"/>
          <w:szCs w:val="22"/>
          <w:lang w:val="es-ES" w:eastAsia="es-MX"/>
        </w:rPr>
        <w:t xml:space="preserve"> </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p>
    <w:p w:rsidR="004140F5" w:rsidRPr="0028184F" w:rsidRDefault="004140F5" w:rsidP="004140F5">
      <w:pPr>
        <w:spacing w:line="360" w:lineRule="auto"/>
        <w:jc w:val="both"/>
        <w:rPr>
          <w:rFonts w:ascii="Palatino Linotype" w:hAnsi="Palatino Linotype" w:cs="Tahoma"/>
          <w:sz w:val="24"/>
          <w:szCs w:val="22"/>
        </w:rPr>
      </w:pPr>
      <w:r w:rsidRPr="0028184F">
        <w:rPr>
          <w:rFonts w:ascii="Palatino Linotype" w:hAnsi="Palatino Linotype" w:cs="Tahoma"/>
          <w:sz w:val="24"/>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r w:rsidRPr="0028184F">
        <w:rPr>
          <w:rFonts w:ascii="Palatino Linotype" w:eastAsia="Calibri" w:hAnsi="Palatino Linotype" w:cs="Tahoma"/>
          <w:color w:val="000000"/>
          <w:sz w:val="24"/>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r w:rsidRPr="0028184F">
        <w:rPr>
          <w:rFonts w:ascii="Palatino Linotype" w:eastAsia="Calibri" w:hAnsi="Palatino Linotype" w:cs="Tahoma"/>
          <w:color w:val="000000"/>
          <w:sz w:val="24"/>
          <w:szCs w:val="22"/>
          <w:lang w:val="es-ES" w:eastAsia="es-MX"/>
        </w:rPr>
        <w:t xml:space="preserve">En el presente caso, no se actualiza ninguna de las causales de improcedencia establecidas en el ordenamiento jurídico previamente señalado, toda vez que este Instituto no tiene conocimiento </w:t>
      </w:r>
      <w:r w:rsidRPr="0028184F">
        <w:rPr>
          <w:rFonts w:ascii="Palatino Linotype" w:hAnsi="Palatino Linotype" w:cs="Tahoma"/>
          <w:sz w:val="24"/>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28184F">
        <w:rPr>
          <w:rFonts w:ascii="Palatino Linotype" w:eastAsia="Calibri" w:hAnsi="Palatino Linotype" w:cs="Tahoma"/>
          <w:color w:val="000000"/>
          <w:sz w:val="24"/>
          <w:szCs w:val="22"/>
          <w:lang w:val="es-ES" w:eastAsia="es-MX"/>
        </w:rPr>
        <w:t>el medio de impugnación fue presentado en tiempo.</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val="es-ES" w:eastAsia="es-MX"/>
        </w:rPr>
      </w:pPr>
      <w:r w:rsidRPr="0028184F">
        <w:rPr>
          <w:rFonts w:ascii="Palatino Linotype" w:eastAsia="Calibri" w:hAnsi="Palatino Linotype" w:cs="Tahoma"/>
          <w:color w:val="000000"/>
          <w:sz w:val="24"/>
          <w:szCs w:val="22"/>
          <w:lang w:val="es-ES" w:eastAsia="es-MX"/>
        </w:rPr>
        <w:lastRenderedPageBreak/>
        <w:t>Asimismo, se actualiza la causal de procedencia establecida en el artículo 179, fracción IV, de la Ley de Transparencia y Acceso a la Información Pública del Estado de México y Municipios, toda vez que la Particular se inconformó por la declaración de incompetencia por el sujeto obligado.</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
          <w:color w:val="000000"/>
          <w:sz w:val="24"/>
          <w:szCs w:val="22"/>
          <w:lang w:val="es-ES" w:eastAsia="es-MX"/>
        </w:rPr>
      </w:pPr>
    </w:p>
    <w:p w:rsidR="004140F5" w:rsidRPr="0028184F" w:rsidRDefault="004140F5" w:rsidP="004140F5">
      <w:pPr>
        <w:pStyle w:val="Prrafodelista"/>
        <w:numPr>
          <w:ilvl w:val="0"/>
          <w:numId w:val="4"/>
        </w:numPr>
        <w:spacing w:line="360" w:lineRule="auto"/>
        <w:jc w:val="both"/>
        <w:rPr>
          <w:rFonts w:ascii="Palatino Linotype" w:eastAsia="Calibri" w:hAnsi="Palatino Linotype" w:cs="Tahoma"/>
          <w:sz w:val="28"/>
          <w:szCs w:val="22"/>
          <w:lang w:eastAsia="es-ES_tradnl"/>
        </w:rPr>
      </w:pPr>
      <w:r w:rsidRPr="0028184F">
        <w:rPr>
          <w:rFonts w:ascii="Palatino Linotype" w:eastAsia="Calibri" w:hAnsi="Palatino Linotype" w:cs="Tahoma"/>
          <w:b/>
          <w:sz w:val="28"/>
          <w:szCs w:val="22"/>
          <w:lang w:eastAsia="es-ES_tradnl"/>
        </w:rPr>
        <w:t>Causales de sobreseimiento.</w:t>
      </w:r>
    </w:p>
    <w:p w:rsidR="004140F5" w:rsidRPr="0028184F" w:rsidRDefault="004140F5" w:rsidP="004140F5">
      <w:pPr>
        <w:spacing w:line="360" w:lineRule="auto"/>
        <w:jc w:val="both"/>
        <w:rPr>
          <w:rFonts w:ascii="Palatino Linotype" w:eastAsia="Calibri" w:hAnsi="Palatino Linotype" w:cs="Tahoma"/>
          <w:sz w:val="24"/>
          <w:szCs w:val="22"/>
          <w:lang w:eastAsia="es-ES_tradnl"/>
        </w:rPr>
      </w:pPr>
    </w:p>
    <w:p w:rsidR="004140F5" w:rsidRPr="0028184F" w:rsidRDefault="004140F5" w:rsidP="004140F5">
      <w:pPr>
        <w:spacing w:line="360" w:lineRule="auto"/>
        <w:jc w:val="both"/>
        <w:rPr>
          <w:rFonts w:ascii="Palatino Linotype" w:eastAsia="Calibri" w:hAnsi="Palatino Linotype" w:cs="Tahoma"/>
          <w:sz w:val="24"/>
          <w:szCs w:val="22"/>
          <w:lang w:val="es-ES" w:eastAsia="es-ES_tradnl"/>
        </w:rPr>
      </w:pPr>
      <w:r w:rsidRPr="0028184F">
        <w:rPr>
          <w:rFonts w:ascii="Palatino Linotype" w:eastAsia="Calibri" w:hAnsi="Palatino Linotype" w:cs="Tahoma"/>
          <w:sz w:val="24"/>
          <w:szCs w:val="22"/>
          <w:lang w:val="es-ES" w:eastAsia="es-ES_tradnl"/>
        </w:rPr>
        <w:t>Por lo que hace a las causales de sobreseimiento, del análisis realizado por este Instituto, se advierte que</w:t>
      </w:r>
      <w:r w:rsidRPr="0028184F">
        <w:rPr>
          <w:rFonts w:ascii="Palatino Linotype" w:eastAsia="Calibri" w:hAnsi="Palatino Linotype" w:cs="Tahoma"/>
          <w:b/>
          <w:sz w:val="24"/>
          <w:szCs w:val="22"/>
          <w:lang w:val="es-ES" w:eastAsia="es-ES_tradnl"/>
        </w:rPr>
        <w:t xml:space="preserve"> no se actualiza ninguna de las previstas por el artículo 192 de la Ley de Transparencia y Acceso a la Información Pública del Estado de México y Municipios; </w:t>
      </w:r>
      <w:r w:rsidRPr="0028184F">
        <w:rPr>
          <w:rFonts w:ascii="Palatino Linotype" w:eastAsia="Calibri" w:hAnsi="Palatino Linotype" w:cs="Tahoma"/>
          <w:sz w:val="24"/>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rsidR="004140F5" w:rsidRPr="0028184F" w:rsidRDefault="004140F5" w:rsidP="004140F5">
      <w:pPr>
        <w:spacing w:line="360" w:lineRule="auto"/>
        <w:jc w:val="both"/>
        <w:rPr>
          <w:rFonts w:ascii="Palatino Linotype" w:eastAsia="Calibri" w:hAnsi="Palatino Linotype" w:cs="Tahoma"/>
          <w:sz w:val="24"/>
          <w:szCs w:val="22"/>
          <w:lang w:val="es-ES" w:eastAsia="es-ES_tradnl"/>
        </w:rPr>
      </w:pPr>
    </w:p>
    <w:p w:rsidR="004140F5" w:rsidRPr="0028184F" w:rsidRDefault="004140F5" w:rsidP="004140F5">
      <w:pPr>
        <w:tabs>
          <w:tab w:val="left" w:pos="4962"/>
        </w:tabs>
        <w:spacing w:line="360" w:lineRule="auto"/>
        <w:jc w:val="both"/>
        <w:rPr>
          <w:rFonts w:ascii="Palatino Linotype" w:eastAsia="Calibri" w:hAnsi="Palatino Linotype" w:cs="Tahoma"/>
          <w:b/>
          <w:iCs/>
          <w:sz w:val="28"/>
          <w:szCs w:val="22"/>
          <w:lang w:val="es-ES_tradnl" w:eastAsia="es-ES_tradnl"/>
        </w:rPr>
      </w:pPr>
      <w:r w:rsidRPr="0028184F">
        <w:rPr>
          <w:rFonts w:ascii="Palatino Linotype" w:eastAsia="Calibri" w:hAnsi="Palatino Linotype" w:cs="Tahoma"/>
          <w:b/>
          <w:iCs/>
          <w:sz w:val="28"/>
          <w:szCs w:val="22"/>
          <w:lang w:val="es-ES_tradnl" w:eastAsia="es-ES_tradnl"/>
        </w:rPr>
        <w:t xml:space="preserve">TERCERO. Determinación de la Controversia. </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color w:val="000000"/>
          <w:sz w:val="24"/>
          <w:szCs w:val="22"/>
          <w:lang w:eastAsia="es-MX"/>
        </w:rPr>
      </w:pPr>
      <w:r w:rsidRPr="0028184F">
        <w:rPr>
          <w:rFonts w:ascii="Palatino Linotype" w:eastAsia="Calibri" w:hAnsi="Palatino Linotype" w:cs="Tahoma"/>
          <w:color w:val="000000"/>
          <w:sz w:val="24"/>
          <w:szCs w:val="22"/>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
          <w:color w:val="000000"/>
          <w:sz w:val="24"/>
          <w:szCs w:val="22"/>
          <w:lang w:eastAsia="es-MX"/>
        </w:rPr>
      </w:pPr>
      <w:r w:rsidRPr="0028184F">
        <w:rPr>
          <w:rFonts w:ascii="Palatino Linotype" w:eastAsia="Calibri" w:hAnsi="Palatino Linotype" w:cs="Tahoma"/>
          <w:color w:val="000000"/>
          <w:sz w:val="24"/>
          <w:szCs w:val="22"/>
          <w:lang w:eastAsia="es-MX"/>
        </w:rPr>
        <w:lastRenderedPageBreak/>
        <w:t xml:space="preserve">La solicitud realizada por la Particular versa sobre: </w:t>
      </w:r>
      <w:r w:rsidRPr="0028184F">
        <w:rPr>
          <w:rFonts w:ascii="Palatino Linotype" w:eastAsia="Calibri" w:hAnsi="Palatino Linotype" w:cs="Tahoma"/>
          <w:b/>
          <w:color w:val="000000"/>
          <w:sz w:val="24"/>
          <w:szCs w:val="22"/>
          <w:lang w:eastAsia="es-MX"/>
        </w:rPr>
        <w:t>1) Base de datos de 2017, 2018 y 2019 sobre la cantidad de denuncias por faltas administrativas graves de Gobernador del Estado de México y del Presidente Municipal de Huixquilucan 2) Base de datos de 2017 al 2019 sobre cuántas denuncias acabaron en proceso administrativo ante el Tribunal de Justicia Administrativa en contra del Gobernador del atestado de México y el Presidente Municipal de Huixquilucan 3) Base de datos del 2017 al 2019 sobre la cantidad de investigaciones de oficio por faltas administrativas graves en contra del Gobernador del estado de México y el Presidente Municipal de Huixquilucan y cuantas llegaron a proceso administrativo ante el TJA.</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sz w:val="24"/>
          <w:szCs w:val="22"/>
          <w:lang w:eastAsia="en-US"/>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sz w:val="24"/>
          <w:szCs w:val="22"/>
          <w:lang w:eastAsia="en-US"/>
        </w:rPr>
        <w:t xml:space="preserve">En respuesta, el Sujeto Obligado hizo de conocimiento que </w:t>
      </w:r>
      <w:r w:rsidRPr="0028184F">
        <w:rPr>
          <w:rFonts w:ascii="Palatino Linotype" w:eastAsia="Calibri" w:hAnsi="Palatino Linotype" w:cs="Tahoma"/>
          <w:b/>
          <w:sz w:val="24"/>
          <w:szCs w:val="22"/>
          <w:lang w:eastAsia="en-US"/>
        </w:rPr>
        <w:t>no es competente para contar con la información solicitada, asimismo, la Secretaría Ejecutiva del Sistema Estatal Anticorrupción fue creada en dos mil diecisiete e inició operaciones en el año dos mil dieciocho, por lo que la Plataforma Digital Estatal está en proceso de desarrollo</w:t>
      </w:r>
      <w:r w:rsidRPr="0028184F">
        <w:rPr>
          <w:rFonts w:ascii="Palatino Linotype" w:eastAsia="Calibri" w:hAnsi="Palatino Linotype" w:cs="Tahoma"/>
          <w:sz w:val="24"/>
          <w:szCs w:val="22"/>
          <w:lang w:eastAsia="en-US"/>
        </w:rPr>
        <w:t>, misma que contará entre sus módulos con un sistema de denuncias públicas de faltas administrativas y hechos de corrupción</w:t>
      </w:r>
      <w:r w:rsidRPr="0028184F">
        <w:rPr>
          <w:rFonts w:ascii="Palatino Linotype" w:eastAsia="Calibri" w:hAnsi="Palatino Linotype" w:cs="Tahoma"/>
          <w:b/>
          <w:sz w:val="24"/>
          <w:szCs w:val="22"/>
          <w:lang w:eastAsia="en-US"/>
        </w:rPr>
        <w:t xml:space="preserve">. </w:t>
      </w:r>
      <w:r w:rsidRPr="0028184F">
        <w:rPr>
          <w:rFonts w:ascii="Palatino Linotype" w:eastAsia="Calibri" w:hAnsi="Palatino Linotype" w:cs="Tahoma"/>
          <w:bCs/>
          <w:sz w:val="24"/>
          <w:szCs w:val="22"/>
          <w:lang w:val="es-ES" w:eastAsia="en-US"/>
        </w:rPr>
        <w:t xml:space="preserve">Además, </w:t>
      </w:r>
      <w:r w:rsidRPr="0028184F">
        <w:rPr>
          <w:rFonts w:ascii="Palatino Linotype" w:eastAsia="Calibri" w:hAnsi="Palatino Linotype" w:cs="Tahoma"/>
          <w:b/>
          <w:bCs/>
          <w:sz w:val="24"/>
          <w:szCs w:val="22"/>
          <w:lang w:val="es-ES" w:eastAsia="en-US"/>
        </w:rPr>
        <w:t xml:space="preserve">informó al solicitante las ligas electrónicas para consultar los trámites y servicios que proporciona la </w:t>
      </w:r>
      <w:r w:rsidRPr="0028184F">
        <w:rPr>
          <w:rFonts w:ascii="Palatino Linotype" w:eastAsia="Calibri" w:hAnsi="Palatino Linotype" w:cs="Tahoma"/>
          <w:b/>
          <w:sz w:val="24"/>
          <w:szCs w:val="22"/>
          <w:lang w:eastAsia="en-US"/>
        </w:rPr>
        <w:t>Secretaría Ejecutiva del Sistema Estatal Anticorrupción</w:t>
      </w:r>
      <w:r w:rsidRPr="0028184F">
        <w:rPr>
          <w:rFonts w:ascii="Palatino Linotype" w:eastAsia="Calibri" w:hAnsi="Palatino Linotype" w:cs="Tahoma"/>
          <w:bCs/>
          <w:sz w:val="24"/>
          <w:szCs w:val="22"/>
          <w:lang w:val="es-ES" w:eastAsia="en-US"/>
        </w:rPr>
        <w:t xml:space="preserve">, asimismo, </w:t>
      </w:r>
      <w:r w:rsidRPr="0028184F">
        <w:rPr>
          <w:rFonts w:ascii="Palatino Linotype" w:eastAsia="Calibri" w:hAnsi="Palatino Linotype" w:cs="Tahoma"/>
          <w:b/>
          <w:bCs/>
          <w:sz w:val="24"/>
          <w:szCs w:val="22"/>
          <w:lang w:val="es-ES" w:eastAsia="en-US"/>
        </w:rPr>
        <w:t>le orientó para presentar su solicitud ante los Sujeto Obligados que pudieran contar con la información solicitada, esto es, la Secretaría de la Contraloría, el Tribunal de Justicia Administrativa y al Municipio de Huixquilucan.</w:t>
      </w:r>
      <w:r w:rsidRPr="0028184F">
        <w:rPr>
          <w:rFonts w:ascii="Palatino Linotype" w:eastAsia="Calibri" w:hAnsi="Palatino Linotype" w:cs="Tahoma"/>
          <w:bCs/>
          <w:sz w:val="24"/>
          <w:szCs w:val="22"/>
          <w:lang w:val="es-ES" w:eastAsia="en-US"/>
        </w:rPr>
        <w:t xml:space="preserve"> De igual manera, </w:t>
      </w:r>
      <w:r w:rsidRPr="0028184F">
        <w:rPr>
          <w:rFonts w:ascii="Palatino Linotype" w:eastAsia="Calibri" w:hAnsi="Palatino Linotype" w:cs="Tahoma"/>
          <w:b/>
          <w:bCs/>
          <w:sz w:val="24"/>
          <w:szCs w:val="22"/>
          <w:lang w:val="es-ES" w:eastAsia="en-US"/>
        </w:rPr>
        <w:t>proporcionó los datos de contacto del personal de la Unidad de Transparencia</w:t>
      </w:r>
      <w:r w:rsidRPr="0028184F">
        <w:rPr>
          <w:rFonts w:ascii="Palatino Linotype" w:eastAsia="Calibri" w:hAnsi="Palatino Linotype" w:cs="Tahoma"/>
          <w:bCs/>
          <w:sz w:val="24"/>
          <w:szCs w:val="22"/>
          <w:lang w:val="es-ES" w:eastAsia="en-US"/>
        </w:rPr>
        <w:t xml:space="preserve"> del Sujeto Obligado </w:t>
      </w:r>
      <w:r w:rsidRPr="0028184F">
        <w:rPr>
          <w:rFonts w:ascii="Palatino Linotype" w:eastAsia="Calibri" w:hAnsi="Palatino Linotype" w:cs="Tahoma"/>
          <w:b/>
          <w:bCs/>
          <w:sz w:val="24"/>
          <w:szCs w:val="22"/>
          <w:lang w:val="es-ES" w:eastAsia="en-US"/>
        </w:rPr>
        <w:t xml:space="preserve">para el caso de que el Particular tenga alguna duda o requiera </w:t>
      </w:r>
      <w:r w:rsidRPr="0028184F">
        <w:rPr>
          <w:rFonts w:ascii="Palatino Linotype" w:eastAsia="Calibri" w:hAnsi="Palatino Linotype" w:cs="Tahoma"/>
          <w:b/>
          <w:bCs/>
          <w:sz w:val="24"/>
          <w:szCs w:val="22"/>
          <w:lang w:val="es-ES" w:eastAsia="en-US"/>
        </w:rPr>
        <w:lastRenderedPageBreak/>
        <w:t>orientación con relación a las obligaciones de la Secretaría Ejecutiva del Sistema Estatal Anticorrupción</w:t>
      </w:r>
      <w:r w:rsidRPr="0028184F">
        <w:rPr>
          <w:rFonts w:ascii="Palatino Linotype" w:eastAsia="Calibri" w:hAnsi="Palatino Linotype" w:cs="Tahoma"/>
          <w:bCs/>
          <w:sz w:val="24"/>
          <w:szCs w:val="22"/>
          <w:lang w:val="es-ES" w:eastAsia="en-US"/>
        </w:rPr>
        <w:t>.</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sz w:val="24"/>
          <w:szCs w:val="22"/>
          <w:lang w:eastAsia="en-US"/>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b/>
          <w:color w:val="000000"/>
          <w:sz w:val="24"/>
          <w:szCs w:val="22"/>
          <w:lang w:eastAsia="es-MX"/>
        </w:rPr>
      </w:pPr>
      <w:r w:rsidRPr="0028184F">
        <w:rPr>
          <w:rFonts w:ascii="Palatino Linotype" w:eastAsia="Calibri" w:hAnsi="Palatino Linotype" w:cs="Tahoma"/>
          <w:sz w:val="24"/>
          <w:szCs w:val="22"/>
          <w:lang w:eastAsia="en-US"/>
        </w:rPr>
        <w:t>Derivado de la respuesta, el Particular interpuso el Recurso de Revisión que nos ocupa, en el cual manifestó como agravios que si no cuentan con la información solicitada manden la solicitud a la autoridad competente, asimismo adujo que solicitó información en una plataforma en donde se supone se tiene la coordinación de información de todas las dependencias del Estado de México</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 xml:space="preserve">Expuestas las posturas de las partes, este Órgano Colegiado procede al análisis del agravio hecho valer por la ahora Recurrente, a luz de la respuesta otorgada por la </w:t>
      </w:r>
      <w:r w:rsidRPr="0028184F">
        <w:rPr>
          <w:rFonts w:ascii="Palatino Linotype" w:eastAsia="Calibri" w:hAnsi="Palatino Linotype" w:cs="Tahoma"/>
          <w:sz w:val="24"/>
          <w:szCs w:val="22"/>
          <w:lang w:eastAsia="en-US"/>
        </w:rPr>
        <w:t>Secretaría Ejecutiva del Sistema Estatal Anticorrupción</w:t>
      </w:r>
      <w:r w:rsidRPr="0028184F">
        <w:rPr>
          <w:rFonts w:ascii="Palatino Linotype" w:eastAsia="Calibri" w:hAnsi="Palatino Linotype" w:cs="Tahoma"/>
          <w:bCs/>
          <w:sz w:val="24"/>
          <w:szCs w:val="22"/>
          <w:lang w:val="es-ES_tradnl" w:eastAsia="en-US"/>
        </w:rPr>
        <w:t>, de conformidad con la Ley de Transparencia y Acceso a la Información Pública del Estado de México y Municipios y demás normativa aplicable a la materia que se resuelve.</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ind w:right="-93"/>
        <w:jc w:val="both"/>
        <w:rPr>
          <w:rFonts w:ascii="Palatino Linotype" w:hAnsi="Palatino Linotype" w:cs="Tahoma"/>
          <w:b/>
          <w:sz w:val="28"/>
          <w:szCs w:val="22"/>
          <w:lang w:val="es-ES_tradnl"/>
        </w:rPr>
      </w:pPr>
      <w:r w:rsidRPr="0028184F">
        <w:rPr>
          <w:rFonts w:ascii="Palatino Linotype" w:hAnsi="Palatino Linotype" w:cs="Tahoma"/>
          <w:b/>
          <w:sz w:val="28"/>
          <w:szCs w:val="22"/>
          <w:lang w:val="es-ES_tradnl"/>
        </w:rPr>
        <w:t>CUARTO. Marco normativo aplicable en materia de transparencia y acceso a la información pública.</w:t>
      </w:r>
    </w:p>
    <w:p w:rsidR="004140F5" w:rsidRPr="0028184F" w:rsidRDefault="004140F5" w:rsidP="004140F5">
      <w:pPr>
        <w:spacing w:line="360" w:lineRule="auto"/>
        <w:contextualSpacing/>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4140F5" w:rsidRPr="0028184F" w:rsidRDefault="004140F5" w:rsidP="004140F5">
      <w:pPr>
        <w:spacing w:line="360" w:lineRule="auto"/>
        <w:contextualSpacing/>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 xml:space="preserve">La Ley General de Transparencia y Acceso a la Información Pública, publicada en el Diario Oficial de la Federación el 4 de mayo de 2015, dispone en su artículo 70, la </w:t>
      </w:r>
      <w:r w:rsidRPr="0028184F">
        <w:rPr>
          <w:rFonts w:ascii="Palatino Linotype" w:hAnsi="Palatino Linotype" w:cs="Tahoma"/>
          <w:sz w:val="24"/>
          <w:szCs w:val="22"/>
          <w:lang w:val="es-ES_tradnl"/>
        </w:rPr>
        <w:lastRenderedPageBreak/>
        <w:t>información que se considera corresponde a las Obligaciones de Transparencia, la cual debe estar disponible para cualquier persona de manera permanente y actualizada.</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Por su parte, la Ley de Transparencia y Acceso a la Información Pública del Estado de México y Municipios (Reglamentaria del artículo 5° de la Constitución Local), establece lo siguiente:</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El artículo 12, que, quienes generen, recopilen, administren, manejen, procesen, archiven o conserven información pública serán responsables de la misma.</w:t>
      </w: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140F5" w:rsidRPr="0028184F" w:rsidRDefault="004140F5" w:rsidP="004140F5">
      <w:pPr>
        <w:spacing w:line="360" w:lineRule="auto"/>
        <w:jc w:val="both"/>
        <w:rPr>
          <w:rFonts w:ascii="Palatino Linotype" w:hAnsi="Palatino Linotype" w:cs="Tahoma"/>
          <w:b/>
          <w:sz w:val="28"/>
          <w:szCs w:val="22"/>
          <w:lang w:val="es-ES_tradnl"/>
        </w:rPr>
      </w:pPr>
      <w:r w:rsidRPr="0028184F">
        <w:rPr>
          <w:rFonts w:ascii="Palatino Linotype" w:eastAsia="Calibri" w:hAnsi="Palatino Linotype" w:cs="Tahoma"/>
          <w:b/>
          <w:iCs/>
          <w:sz w:val="28"/>
          <w:szCs w:val="22"/>
          <w:lang w:val="es-ES" w:eastAsia="es-ES_tradnl"/>
        </w:rPr>
        <w:lastRenderedPageBreak/>
        <w:t xml:space="preserve">QUINTO. </w:t>
      </w:r>
      <w:r w:rsidRPr="0028184F">
        <w:rPr>
          <w:rFonts w:ascii="Palatino Linotype" w:hAnsi="Palatino Linotype" w:cs="Tahoma"/>
          <w:b/>
          <w:sz w:val="28"/>
          <w:szCs w:val="22"/>
          <w:lang w:val="es-ES_tradnl"/>
        </w:rPr>
        <w:t>Estudio de Fondo.</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1"/>
        </w:num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Proveer lo necesario para garantizar a toda persona el derecho de acceso a la información pública, a través de procedimientos sencillos, expeditos, oportunos y gratuitos;</w:t>
      </w:r>
    </w:p>
    <w:p w:rsidR="004140F5" w:rsidRPr="0028184F" w:rsidRDefault="004140F5" w:rsidP="004140F5">
      <w:pPr>
        <w:spacing w:line="360" w:lineRule="auto"/>
        <w:ind w:left="360"/>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1"/>
        </w:num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Transparentar la gestión pública, mediante la difusión de la información generada por los Sujetos Obligados, y</w:t>
      </w:r>
    </w:p>
    <w:p w:rsidR="004140F5" w:rsidRPr="0028184F" w:rsidRDefault="004140F5" w:rsidP="004140F5">
      <w:pPr>
        <w:pStyle w:val="Prrafodelista"/>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1"/>
        </w:num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Promover, fomentar y difundir la cultura de la transparencia en el ejercicio de la función pública, el acceso a la información y la participación ciudadana, así como, la rendición de cuentas.</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 xml:space="preserve">Conforme a lo anterior, se deprende que </w:t>
      </w:r>
      <w:r w:rsidRPr="0028184F">
        <w:rPr>
          <w:rFonts w:ascii="Palatino Linotype" w:eastAsia="Calibri" w:hAnsi="Palatino Linotype" w:cs="Tahoma"/>
          <w:b/>
          <w:bCs/>
          <w:sz w:val="24"/>
          <w:szCs w:val="22"/>
          <w:lang w:val="es-ES_tradnl" w:eastAsia="en-US"/>
        </w:rPr>
        <w:t>los objetivos de la Ley de la materia,</w:t>
      </w:r>
      <w:r w:rsidRPr="0028184F">
        <w:rPr>
          <w:rFonts w:ascii="Palatino Linotype" w:eastAsia="Calibri" w:hAnsi="Palatino Linotype" w:cs="Tahoma"/>
          <w:bCs/>
          <w:sz w:val="24"/>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lastRenderedPageBreak/>
        <w:t xml:space="preserve">En ese orden de ideas, para la atención de las solicitudes de acceso a la información, debe privilegiarse el </w:t>
      </w:r>
      <w:r w:rsidRPr="0028184F">
        <w:rPr>
          <w:rFonts w:ascii="Palatino Linotype" w:eastAsia="Calibri" w:hAnsi="Palatino Linotype" w:cs="Tahoma"/>
          <w:b/>
          <w:bCs/>
          <w:sz w:val="24"/>
          <w:szCs w:val="22"/>
          <w:lang w:val="es-ES_tradnl" w:eastAsia="en-US"/>
        </w:rPr>
        <w:t>principio de máxima publicidad</w:t>
      </w:r>
      <w:r w:rsidRPr="0028184F">
        <w:rPr>
          <w:rFonts w:ascii="Palatino Linotype" w:eastAsia="Calibri" w:hAnsi="Palatino Linotype" w:cs="Tahoma"/>
          <w:bCs/>
          <w:sz w:val="24"/>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2"/>
        </w:num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4140F5" w:rsidRPr="0028184F" w:rsidRDefault="004140F5" w:rsidP="004140F5">
      <w:pPr>
        <w:pStyle w:val="Prrafodelista"/>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2"/>
        </w:num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 xml:space="preserve">La respuesta a los requerimientos informativos deberá notificarse al interesado en el menor tiempo posible, que no podrá exceder de </w:t>
      </w:r>
      <w:r w:rsidRPr="0028184F">
        <w:rPr>
          <w:rFonts w:ascii="Palatino Linotype" w:eastAsia="Calibri" w:hAnsi="Palatino Linotype" w:cs="Tahoma"/>
          <w:b/>
          <w:bCs/>
          <w:sz w:val="24"/>
          <w:szCs w:val="22"/>
          <w:lang w:val="es-ES_tradnl" w:eastAsia="en-US"/>
        </w:rPr>
        <w:t>quince días hábiles, contados a partir del día siguiente a la presentación de esta.</w:t>
      </w:r>
      <w:r w:rsidRPr="0028184F">
        <w:rPr>
          <w:rFonts w:ascii="Palatino Linotype" w:eastAsia="Calibri" w:hAnsi="Palatino Linotype" w:cs="Tahoma"/>
          <w:bCs/>
          <w:sz w:val="24"/>
          <w:szCs w:val="22"/>
          <w:lang w:val="es-ES_tradnl" w:eastAsia="en-US"/>
        </w:rPr>
        <w:t xml:space="preserve"> Excepcionalmente, el plazo referido podrá ampliarse por siete días hábiles más, cuando existan razones fundadas y motivadas, a través del Comité de Transparencia;</w:t>
      </w:r>
    </w:p>
    <w:p w:rsidR="004140F5" w:rsidRPr="0028184F" w:rsidRDefault="004140F5" w:rsidP="004140F5">
      <w:pPr>
        <w:pStyle w:val="Prrafodelista"/>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pStyle w:val="Prrafodelista"/>
        <w:numPr>
          <w:ilvl w:val="0"/>
          <w:numId w:val="2"/>
        </w:numPr>
        <w:spacing w:line="360" w:lineRule="auto"/>
        <w:jc w:val="both"/>
        <w:rPr>
          <w:rFonts w:ascii="Palatino Linotype" w:eastAsia="Calibri" w:hAnsi="Palatino Linotype" w:cs="Tahoma"/>
          <w:b/>
          <w:bCs/>
          <w:sz w:val="24"/>
          <w:szCs w:val="22"/>
          <w:lang w:val="es-ES_tradnl" w:eastAsia="en-US"/>
        </w:rPr>
      </w:pPr>
      <w:r w:rsidRPr="0028184F">
        <w:rPr>
          <w:rFonts w:ascii="Palatino Linotype" w:eastAsia="Calibri" w:hAnsi="Palatino Linotype" w:cs="Tahoma"/>
          <w:bCs/>
          <w:sz w:val="24"/>
          <w:szCs w:val="22"/>
          <w:lang w:val="es-ES_tradnl"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8184F">
        <w:rPr>
          <w:rFonts w:ascii="Palatino Linotype" w:eastAsia="Calibri" w:hAnsi="Palatino Linotype" w:cs="Tahoma"/>
          <w:b/>
          <w:bCs/>
          <w:sz w:val="24"/>
          <w:szCs w:val="22"/>
          <w:lang w:val="es-ES_tradnl" w:eastAsia="en-US"/>
        </w:rPr>
        <w:t>que se encuentren en sus archivos o que estén constreñidos a elaborar;</w:t>
      </w:r>
    </w:p>
    <w:p w:rsidR="004140F5" w:rsidRPr="0028184F" w:rsidRDefault="004140F5" w:rsidP="004140F5">
      <w:pPr>
        <w:pStyle w:val="Prrafodelista"/>
        <w:spacing w:line="360" w:lineRule="auto"/>
        <w:jc w:val="both"/>
        <w:rPr>
          <w:rFonts w:ascii="Palatino Linotype" w:eastAsia="Calibri" w:hAnsi="Palatino Linotype" w:cs="Tahoma"/>
          <w:b/>
          <w:bCs/>
          <w:sz w:val="24"/>
          <w:szCs w:val="22"/>
          <w:lang w:val="es-ES_tradnl" w:eastAsia="en-US"/>
        </w:rPr>
      </w:pPr>
    </w:p>
    <w:p w:rsidR="004140F5" w:rsidRPr="0028184F" w:rsidRDefault="004140F5" w:rsidP="004140F5">
      <w:pPr>
        <w:pStyle w:val="Prrafodelista"/>
        <w:numPr>
          <w:ilvl w:val="0"/>
          <w:numId w:val="2"/>
        </w:numPr>
        <w:spacing w:line="360" w:lineRule="auto"/>
        <w:jc w:val="both"/>
        <w:rPr>
          <w:rFonts w:ascii="Palatino Linotype" w:eastAsia="Calibri" w:hAnsi="Palatino Linotype" w:cs="Tahoma"/>
          <w:b/>
          <w:bCs/>
          <w:sz w:val="24"/>
          <w:szCs w:val="22"/>
          <w:lang w:val="es-ES_tradnl" w:eastAsia="en-US"/>
        </w:rPr>
      </w:pPr>
      <w:r w:rsidRPr="0028184F">
        <w:rPr>
          <w:rFonts w:ascii="Palatino Linotype" w:eastAsia="Calibri" w:hAnsi="Palatino Linotype" w:cs="Tahoma"/>
          <w:bCs/>
          <w:sz w:val="24"/>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4140F5" w:rsidRPr="0028184F" w:rsidRDefault="004140F5" w:rsidP="004140F5">
      <w:pPr>
        <w:pStyle w:val="Prrafodelista"/>
        <w:rPr>
          <w:rFonts w:ascii="Palatino Linotype" w:eastAsia="Calibri" w:hAnsi="Palatino Linotype" w:cs="Tahoma"/>
          <w:b/>
          <w:bCs/>
          <w:sz w:val="24"/>
          <w:szCs w:val="22"/>
          <w:lang w:val="es-ES_tradnl" w:eastAsia="en-US"/>
        </w:rPr>
      </w:pPr>
    </w:p>
    <w:p w:rsidR="004140F5" w:rsidRPr="0028184F" w:rsidRDefault="004140F5" w:rsidP="004140F5">
      <w:pPr>
        <w:pStyle w:val="Prrafodelista"/>
        <w:numPr>
          <w:ilvl w:val="0"/>
          <w:numId w:val="2"/>
        </w:numPr>
        <w:spacing w:line="360" w:lineRule="auto"/>
        <w:jc w:val="both"/>
        <w:rPr>
          <w:rFonts w:ascii="Palatino Linotype" w:eastAsia="Calibri" w:hAnsi="Palatino Linotype" w:cs="Tahoma"/>
          <w:b/>
          <w:bCs/>
          <w:sz w:val="24"/>
          <w:szCs w:val="22"/>
          <w:lang w:val="es-ES_tradnl" w:eastAsia="en-US"/>
        </w:rPr>
      </w:pPr>
      <w:r w:rsidRPr="0028184F">
        <w:rPr>
          <w:rFonts w:ascii="Palatino Linotype" w:eastAsia="Calibri" w:hAnsi="Palatino Linotype" w:cs="Tahoma"/>
          <w:bCs/>
          <w:sz w:val="24"/>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bCs/>
          <w:sz w:val="24"/>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p>
    <w:p w:rsidR="004140F5" w:rsidRDefault="004140F5" w:rsidP="004140F5">
      <w:pPr>
        <w:autoSpaceDE w:val="0"/>
        <w:autoSpaceDN w:val="0"/>
        <w:adjustRightInd w:val="0"/>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_tradnl" w:eastAsia="en-US"/>
        </w:rPr>
        <w:lastRenderedPageBreak/>
        <w:t xml:space="preserve">Por principio de cuentas, es preciso señalar que el Sujeto Obligado mediante respuesta mencionó explícitamente que </w:t>
      </w:r>
      <w:r w:rsidRPr="0028184F">
        <w:rPr>
          <w:rFonts w:ascii="Palatino Linotype" w:eastAsia="Calibri" w:hAnsi="Palatino Linotype" w:cs="Tahoma"/>
          <w:b/>
          <w:sz w:val="24"/>
          <w:szCs w:val="22"/>
          <w:lang w:eastAsia="en-US"/>
        </w:rPr>
        <w:t>no es competente para contar con la información solicitada y</w:t>
      </w:r>
      <w:r w:rsidRPr="0028184F">
        <w:rPr>
          <w:rFonts w:ascii="Palatino Linotype" w:eastAsia="Calibri" w:hAnsi="Palatino Linotype" w:cs="Tahoma"/>
          <w:b/>
          <w:bCs/>
          <w:sz w:val="24"/>
          <w:szCs w:val="22"/>
          <w:lang w:val="es-ES" w:eastAsia="en-US"/>
        </w:rPr>
        <w:t xml:space="preserve"> orientó a la Particular para presentar su solicitud ante los Sujeto Obligados que pudieran contar con la información, esto es, la Secretaría de la Contraloría, el Tribunal de Justicia Administrativa y al Municipio de Huixquilucan.</w:t>
      </w:r>
      <w:r w:rsidRPr="0028184F">
        <w:rPr>
          <w:rFonts w:ascii="Palatino Linotype" w:eastAsia="Calibri" w:hAnsi="Palatino Linotype" w:cs="Tahoma"/>
          <w:bCs/>
          <w:sz w:val="24"/>
          <w:szCs w:val="22"/>
          <w:lang w:val="es-ES" w:eastAsia="en-US"/>
        </w:rPr>
        <w:t xml:space="preserve"> Asimismo, informó que </w:t>
      </w:r>
      <w:r w:rsidRPr="0028184F">
        <w:rPr>
          <w:rFonts w:ascii="Palatino Linotype" w:eastAsia="Calibri" w:hAnsi="Palatino Linotype" w:cs="Tahoma"/>
          <w:b/>
          <w:sz w:val="24"/>
          <w:szCs w:val="22"/>
          <w:lang w:eastAsia="en-US"/>
        </w:rPr>
        <w:t>la Secretaría Ejecutiva del Sistema Estatal Anticorrupción fue creada en dos mil diecisiete e inició operaciones en el año dos mil dieciocho, por lo que la Plataforma Digital Estatal está en proceso de desarrollo</w:t>
      </w:r>
      <w:r w:rsidRPr="0028184F">
        <w:rPr>
          <w:rFonts w:ascii="Palatino Linotype" w:eastAsia="Calibri" w:hAnsi="Palatino Linotype" w:cs="Tahoma"/>
          <w:sz w:val="24"/>
          <w:szCs w:val="22"/>
          <w:lang w:eastAsia="en-US"/>
        </w:rPr>
        <w:t xml:space="preserve">, misma que contará entre sus módulos con un sistema de denuncias públicas de faltas administrativas y hechos de corrupción, </w:t>
      </w:r>
      <w:r w:rsidRPr="0028184F">
        <w:rPr>
          <w:rFonts w:ascii="Palatino Linotype" w:eastAsia="Calibri" w:hAnsi="Palatino Linotype" w:cs="Tahoma"/>
          <w:bCs/>
          <w:sz w:val="24"/>
          <w:szCs w:val="22"/>
          <w:lang w:val="es-ES" w:eastAsia="en-US"/>
        </w:rPr>
        <w:t xml:space="preserve">De igual manera, proveyó las ligas electrónicas para consultar los trámites y servicios que proporciona la </w:t>
      </w:r>
      <w:r w:rsidRPr="0028184F">
        <w:rPr>
          <w:rFonts w:ascii="Palatino Linotype" w:eastAsia="Calibri" w:hAnsi="Palatino Linotype" w:cs="Tahoma"/>
          <w:sz w:val="24"/>
          <w:szCs w:val="22"/>
          <w:lang w:eastAsia="en-US"/>
        </w:rPr>
        <w:t>Secretaría Ejecutiva del Sistema Estatal Anticorrupción</w:t>
      </w:r>
      <w:r w:rsidRPr="0028184F">
        <w:rPr>
          <w:rFonts w:ascii="Palatino Linotype" w:eastAsia="Calibri" w:hAnsi="Palatino Linotype" w:cs="Tahoma"/>
          <w:bCs/>
          <w:sz w:val="24"/>
          <w:szCs w:val="22"/>
          <w:lang w:val="es-ES" w:eastAsia="en-US"/>
        </w:rPr>
        <w:t>, así como los datos de contacto del personal de la Unidad de Transparencia del Sujeto Obligado para el caso de que el Particular tenga alguna duda o requiera orientación con relación a las obligaciones de la Secretaría Ejecutiva del Sistema Estatal Anticorrupción.</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2"/>
          <w:lang w:val="es-ES" w:eastAsia="en-US"/>
        </w:rPr>
      </w:pPr>
    </w:p>
    <w:p w:rsidR="004140F5" w:rsidRPr="0028184F" w:rsidRDefault="004140F5" w:rsidP="004140F5">
      <w:pPr>
        <w:tabs>
          <w:tab w:val="left" w:pos="4962"/>
        </w:tabs>
        <w:spacing w:line="360" w:lineRule="auto"/>
        <w:jc w:val="both"/>
        <w:rPr>
          <w:rFonts w:ascii="Palatino Linotype" w:eastAsia="Calibri" w:hAnsi="Palatino Linotype" w:cs="Tahoma"/>
          <w:bCs/>
          <w:sz w:val="24"/>
          <w:szCs w:val="22"/>
          <w:lang w:eastAsia="en-US"/>
        </w:rPr>
      </w:pPr>
      <w:r w:rsidRPr="0028184F">
        <w:rPr>
          <w:rFonts w:ascii="Palatino Linotype" w:eastAsia="Calibri" w:hAnsi="Palatino Linotype" w:cs="Tahoma"/>
          <w:bCs/>
          <w:sz w:val="24"/>
          <w:szCs w:val="22"/>
          <w:lang w:val="es-ES" w:eastAsia="en-US"/>
        </w:rPr>
        <w:t xml:space="preserve">De la respuesta otorgada por el Sujeto Obligado, se advierte que no sólo informó su falta de competencia para conocer del requerimiento de información, sino que también orientó al Particular acerca de los sujetos obligados que pueden proporcionarle la información de su interés, tal como lo señala el artículo </w:t>
      </w:r>
      <w:r w:rsidRPr="0028184F">
        <w:rPr>
          <w:rFonts w:ascii="Palatino Linotype" w:hAnsi="Palatino Linotype" w:cs="Tahoma"/>
          <w:sz w:val="24"/>
          <w:szCs w:val="22"/>
        </w:rPr>
        <w:t xml:space="preserve">167 de la </w:t>
      </w:r>
      <w:r w:rsidRPr="0028184F">
        <w:rPr>
          <w:rFonts w:ascii="Palatino Linotype" w:eastAsia="Calibri" w:hAnsi="Palatino Linotype" w:cs="Tahoma"/>
          <w:bCs/>
          <w:sz w:val="24"/>
          <w:szCs w:val="22"/>
          <w:lang w:eastAsia="en-US"/>
        </w:rPr>
        <w:t>Ley de Transparencia y Acceso a la Información Pública del Estado de México y Municipios, el cual a la letra menciona:</w:t>
      </w:r>
    </w:p>
    <w:p w:rsidR="004140F5" w:rsidRPr="0028184F" w:rsidRDefault="004140F5" w:rsidP="004140F5">
      <w:pPr>
        <w:tabs>
          <w:tab w:val="left" w:pos="4962"/>
        </w:tabs>
        <w:spacing w:line="360" w:lineRule="auto"/>
        <w:ind w:left="567" w:right="539"/>
        <w:jc w:val="both"/>
        <w:rPr>
          <w:rFonts w:ascii="Palatino Linotype" w:hAnsi="Palatino Linotype" w:cs="Tahoma"/>
          <w:sz w:val="24"/>
          <w:szCs w:val="22"/>
        </w:rPr>
      </w:pPr>
    </w:p>
    <w:p w:rsidR="004140F5" w:rsidRPr="0028184F" w:rsidRDefault="004140F5" w:rsidP="004140F5">
      <w:pPr>
        <w:pStyle w:val="Default"/>
        <w:ind w:left="567" w:right="567"/>
        <w:jc w:val="both"/>
        <w:rPr>
          <w:rFonts w:ascii="Palatino Linotype" w:eastAsia="Times New Roman" w:hAnsi="Palatino Linotype" w:cs="Times New Roman"/>
          <w:b/>
          <w:i/>
          <w:color w:val="auto"/>
          <w:sz w:val="22"/>
          <w:szCs w:val="22"/>
          <w:lang w:eastAsia="es-ES"/>
        </w:rPr>
      </w:pPr>
      <w:r w:rsidRPr="0028184F">
        <w:rPr>
          <w:rFonts w:ascii="Palatino Linotype" w:eastAsia="Times New Roman" w:hAnsi="Palatino Linotype" w:cs="Times New Roman"/>
          <w:b/>
          <w:i/>
          <w:color w:val="auto"/>
          <w:sz w:val="22"/>
          <w:szCs w:val="22"/>
          <w:lang w:eastAsia="es-ES"/>
        </w:rPr>
        <w:lastRenderedPageBreak/>
        <w:t>Artículo 167.</w:t>
      </w:r>
      <w:r w:rsidRPr="0028184F">
        <w:rPr>
          <w:rFonts w:ascii="Palatino Linotype" w:eastAsia="Times New Roman" w:hAnsi="Palatino Linotype" w:cs="Times New Roman"/>
          <w:i/>
          <w:color w:val="auto"/>
          <w:sz w:val="22"/>
          <w:szCs w:val="22"/>
          <w:lang w:eastAsia="es-ES"/>
        </w:rPr>
        <w:t xml:space="preserve"> Cuando las unidades de transparencia determinen la notoria incompetencia por parte de los sujetos obligados, dentro del ámbito de aplicación, </w:t>
      </w:r>
      <w:r w:rsidRPr="0028184F">
        <w:rPr>
          <w:rFonts w:ascii="Palatino Linotype" w:eastAsia="Times New Roman" w:hAnsi="Palatino Linotype" w:cs="Times New Roman"/>
          <w:b/>
          <w:i/>
          <w:color w:val="auto"/>
          <w:sz w:val="22"/>
          <w:szCs w:val="22"/>
          <w:lang w:eastAsia="es-ES"/>
        </w:rPr>
        <w:t xml:space="preserve">para atender la solicitud de acceso a la información, deberán comunicarlo al solicitante, dentro de los tres días hábiles posteriores a la recepción de la solicitud y, en su caso orientar al solicitante, el o los sujetos obligados competentes. </w:t>
      </w:r>
    </w:p>
    <w:p w:rsidR="004140F5" w:rsidRPr="0028184F" w:rsidRDefault="004140F5" w:rsidP="004140F5">
      <w:pPr>
        <w:pStyle w:val="Default"/>
        <w:ind w:left="567" w:right="567"/>
        <w:jc w:val="both"/>
        <w:rPr>
          <w:rFonts w:ascii="Palatino Linotype" w:hAnsi="Palatino Linotype"/>
          <w:i/>
          <w:sz w:val="22"/>
          <w:szCs w:val="22"/>
        </w:rPr>
      </w:pPr>
      <w:r w:rsidRPr="0028184F">
        <w:rPr>
          <w:rFonts w:ascii="Palatino Linotype" w:eastAsia="Times New Roman" w:hAnsi="Palatino Linotype" w:cs="Times New Roman"/>
          <w:i/>
          <w:color w:val="auto"/>
          <w:sz w:val="22"/>
          <w:szCs w:val="22"/>
          <w:lang w:eastAsia="es-ES"/>
        </w:rPr>
        <w:t>…</w:t>
      </w:r>
    </w:p>
    <w:p w:rsidR="004140F5" w:rsidRPr="0028184F" w:rsidRDefault="004140F5" w:rsidP="004140F5">
      <w:pPr>
        <w:ind w:left="567" w:right="567"/>
        <w:jc w:val="both"/>
        <w:rPr>
          <w:rFonts w:ascii="Palatino Linotype" w:eastAsia="Calibri" w:hAnsi="Palatino Linotype" w:cs="Tahoma"/>
          <w:bCs/>
          <w:i/>
          <w:sz w:val="22"/>
          <w:szCs w:val="22"/>
          <w:lang w:val="es-ES" w:eastAsia="en-US"/>
        </w:rPr>
      </w:pPr>
      <w:r w:rsidRPr="0028184F">
        <w:rPr>
          <w:rFonts w:ascii="Palatino Linotype" w:eastAsia="Calibri" w:hAnsi="Palatino Linotype" w:cs="Tahoma"/>
          <w:bCs/>
          <w:i/>
          <w:sz w:val="22"/>
          <w:szCs w:val="22"/>
          <w:lang w:val="es-ES" w:eastAsia="en-US"/>
        </w:rPr>
        <w:t xml:space="preserve"> (Énfasis añadido)</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4"/>
          <w:lang w:val="es-ES" w:eastAsia="en-US"/>
        </w:rPr>
      </w:pPr>
    </w:p>
    <w:p w:rsidR="004140F5" w:rsidRPr="0028184F" w:rsidRDefault="004140F5" w:rsidP="004140F5">
      <w:pPr>
        <w:spacing w:line="360" w:lineRule="auto"/>
        <w:ind w:right="-93" w:firstLine="1"/>
        <w:jc w:val="both"/>
        <w:rPr>
          <w:rFonts w:ascii="Palatino Linotype" w:eastAsia="Calibri" w:hAnsi="Palatino Linotype" w:cs="Tahoma"/>
          <w:bCs/>
          <w:sz w:val="24"/>
          <w:szCs w:val="24"/>
          <w:lang w:eastAsia="en-US"/>
        </w:rPr>
      </w:pPr>
      <w:r w:rsidRPr="0028184F">
        <w:rPr>
          <w:rFonts w:ascii="Palatino Linotype" w:eastAsia="Calibri" w:hAnsi="Palatino Linotype" w:cs="Tahoma"/>
          <w:bCs/>
          <w:sz w:val="24"/>
          <w:szCs w:val="24"/>
          <w:lang w:val="es-ES" w:eastAsia="en-US"/>
        </w:rPr>
        <w:t xml:space="preserve">En este sentido, cabe señalar que la incompetencia del Sujeto Obligado fue comunicada en el término legal descrito, toda vez que la solicitud fue presentada el día veinticinco de abril del presente año, por lo que los tres días hábiles posteriores fueron el veintiséis, veintinueve y treinta de abril; </w:t>
      </w:r>
      <w:r w:rsidRPr="0028184F">
        <w:rPr>
          <w:rFonts w:ascii="Palatino Linotype" w:eastAsia="Calibri" w:hAnsi="Palatino Linotype" w:cs="Tahoma"/>
          <w:bCs/>
          <w:sz w:val="24"/>
          <w:szCs w:val="24"/>
          <w:lang w:eastAsia="en-US"/>
        </w:rPr>
        <w:t>lo anterior, sin contar los días veintisiete y veintiocho de abril,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rsidR="004140F5" w:rsidRPr="0028184F" w:rsidRDefault="004140F5" w:rsidP="004140F5">
      <w:pPr>
        <w:spacing w:line="360" w:lineRule="auto"/>
        <w:ind w:right="-93" w:firstLine="1"/>
        <w:jc w:val="both"/>
        <w:rPr>
          <w:rFonts w:ascii="Palatino Linotype" w:eastAsia="Calibri" w:hAnsi="Palatino Linotype" w:cs="Tahoma"/>
          <w:bCs/>
          <w:sz w:val="24"/>
          <w:szCs w:val="24"/>
          <w:lang w:eastAsia="en-US"/>
        </w:rPr>
      </w:pP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4"/>
          <w:lang w:val="es-ES" w:eastAsia="en-US"/>
        </w:rPr>
      </w:pPr>
      <w:r w:rsidRPr="0028184F">
        <w:rPr>
          <w:rFonts w:ascii="Palatino Linotype" w:eastAsia="Calibri" w:hAnsi="Palatino Linotype" w:cs="Tahoma"/>
          <w:bCs/>
          <w:sz w:val="24"/>
          <w:szCs w:val="24"/>
          <w:lang w:val="es-ES" w:eastAsia="en-US"/>
        </w:rPr>
        <w:t>En este contexto, la falta de competencia del Sujeto Obligado fue comunicada al Particular el día treinta de abril de dos mil diecinueve, es decir dentro del plazo legal otorgado para ello.</w:t>
      </w:r>
    </w:p>
    <w:p w:rsidR="004140F5" w:rsidRPr="0028184F" w:rsidRDefault="004140F5" w:rsidP="004140F5">
      <w:pPr>
        <w:autoSpaceDE w:val="0"/>
        <w:autoSpaceDN w:val="0"/>
        <w:adjustRightInd w:val="0"/>
        <w:spacing w:line="360" w:lineRule="auto"/>
        <w:jc w:val="both"/>
        <w:rPr>
          <w:rFonts w:ascii="Palatino Linotype" w:eastAsia="Calibri" w:hAnsi="Palatino Linotype" w:cs="Tahoma"/>
          <w:bCs/>
          <w:sz w:val="24"/>
          <w:szCs w:val="24"/>
          <w:lang w:val="es-ES" w:eastAsia="en-US"/>
        </w:rPr>
      </w:pPr>
    </w:p>
    <w:p w:rsidR="004140F5" w:rsidRPr="0028184F" w:rsidRDefault="004140F5" w:rsidP="004140F5">
      <w:pPr>
        <w:spacing w:line="360" w:lineRule="auto"/>
        <w:jc w:val="both"/>
        <w:rPr>
          <w:rFonts w:ascii="Palatino Linotype" w:hAnsi="Palatino Linotype" w:cs="Tahoma"/>
          <w:sz w:val="24"/>
          <w:szCs w:val="24"/>
          <w:lang w:val="es-ES_tradnl"/>
        </w:rPr>
      </w:pPr>
      <w:r w:rsidRPr="0028184F">
        <w:rPr>
          <w:rFonts w:ascii="Palatino Linotype" w:hAnsi="Palatino Linotype" w:cs="Tahoma"/>
          <w:sz w:val="24"/>
          <w:szCs w:val="24"/>
          <w:lang w:val="es-ES_tradnl"/>
        </w:rPr>
        <w:t xml:space="preserve">Ahora bien, respecto a la falta de competencia aducida por el Sujeto Obligado, cabe señalar que de acuerdo al </w:t>
      </w:r>
      <w:r w:rsidRPr="0028184F">
        <w:rPr>
          <w:rFonts w:ascii="Palatino Linotype" w:hAnsi="Palatino Linotype" w:cs="Tahoma"/>
          <w:i/>
          <w:sz w:val="24"/>
          <w:szCs w:val="24"/>
          <w:lang w:val="es-ES_tradnl"/>
        </w:rPr>
        <w:t xml:space="preserve">Diccionario Jurídico Elemental (disponible en </w:t>
      </w:r>
      <w:r w:rsidRPr="0028184F">
        <w:rPr>
          <w:rFonts w:ascii="Palatino Linotype" w:hAnsi="Palatino Linotype" w:cs="Arial"/>
          <w:sz w:val="24"/>
          <w:szCs w:val="24"/>
          <w:lang w:val="es-ES"/>
        </w:rPr>
        <w:t xml:space="preserve">Visible en: </w:t>
      </w:r>
      <w:hyperlink r:id="rId5" w:history="1">
        <w:r w:rsidRPr="0028184F">
          <w:rPr>
            <w:rStyle w:val="Hipervnculo"/>
            <w:rFonts w:ascii="Palatino Linotype" w:hAnsi="Palatino Linotype" w:cs="Arial"/>
            <w:i/>
            <w:sz w:val="24"/>
            <w:szCs w:val="24"/>
          </w:rPr>
          <w:t>http://www.ies.edu.mx/index_htm_files/DICCIONARIO-JURIDICO-ELEMENTAL-</w:t>
        </w:r>
        <w:r w:rsidRPr="0028184F">
          <w:rPr>
            <w:rStyle w:val="Hipervnculo"/>
            <w:rFonts w:ascii="Palatino Linotype" w:hAnsi="Palatino Linotype" w:cs="Arial"/>
            <w:i/>
            <w:sz w:val="24"/>
            <w:szCs w:val="24"/>
          </w:rPr>
          <w:lastRenderedPageBreak/>
          <w:t>GUILLERMO-CABANELLAS.pdf</w:t>
        </w:r>
      </w:hyperlink>
      <w:r>
        <w:rPr>
          <w:rStyle w:val="Hipervnculo"/>
          <w:rFonts w:ascii="Palatino Linotype" w:hAnsi="Palatino Linotype" w:cs="Arial"/>
          <w:i/>
          <w:sz w:val="24"/>
          <w:szCs w:val="24"/>
        </w:rPr>
        <w:t xml:space="preserve"> </w:t>
      </w:r>
      <w:r w:rsidRPr="0028184F">
        <w:rPr>
          <w:rFonts w:ascii="Palatino Linotype" w:eastAsia="Calibri" w:hAnsi="Palatino Linotype" w:cs="Tahoma"/>
          <w:bCs/>
          <w:sz w:val="24"/>
          <w:szCs w:val="24"/>
          <w:lang w:val="es-ES" w:eastAsia="en-US"/>
        </w:rPr>
        <w:t>y consultado el tres de julio de dos mil diecinueve a las doce horas), la</w:t>
      </w:r>
      <w:r w:rsidRPr="0028184F">
        <w:rPr>
          <w:rFonts w:ascii="Palatino Linotype" w:hAnsi="Palatino Linotype" w:cs="Tahoma"/>
          <w:sz w:val="24"/>
          <w:szCs w:val="24"/>
          <w:lang w:val="es-ES_tradnl"/>
        </w:rPr>
        <w:t xml:space="preserve"> </w:t>
      </w:r>
      <w:r w:rsidRPr="0028184F">
        <w:rPr>
          <w:rFonts w:ascii="Palatino Linotype" w:hAnsi="Palatino Linotype" w:cs="Tahoma"/>
          <w:b/>
          <w:sz w:val="24"/>
          <w:szCs w:val="24"/>
          <w:lang w:val="es-ES_tradnl"/>
        </w:rPr>
        <w:t xml:space="preserve">incompetencia </w:t>
      </w:r>
      <w:r w:rsidRPr="0028184F">
        <w:rPr>
          <w:rFonts w:ascii="Palatino Linotype" w:hAnsi="Palatino Linotype" w:cs="Tahoma"/>
          <w:sz w:val="24"/>
          <w:szCs w:val="24"/>
          <w:lang w:val="es-ES_tradnl"/>
        </w:rPr>
        <w:t>es la capacidad para conocer una autoridad sobre una materia o asunto.</w:t>
      </w:r>
    </w:p>
    <w:p w:rsidR="004140F5" w:rsidRPr="0028184F" w:rsidRDefault="004140F5" w:rsidP="004140F5">
      <w:pPr>
        <w:spacing w:line="360" w:lineRule="auto"/>
        <w:jc w:val="both"/>
        <w:rPr>
          <w:rFonts w:ascii="Palatino Linotype" w:hAnsi="Palatino Linotype" w:cs="Tahoma"/>
          <w:sz w:val="24"/>
          <w:szCs w:val="24"/>
          <w:lang w:val="es-ES_tradnl"/>
        </w:rPr>
      </w:pPr>
    </w:p>
    <w:p w:rsidR="004140F5" w:rsidRPr="0028184F" w:rsidRDefault="004140F5" w:rsidP="004140F5">
      <w:pPr>
        <w:spacing w:line="360" w:lineRule="auto"/>
        <w:jc w:val="both"/>
        <w:rPr>
          <w:rFonts w:ascii="Palatino Linotype" w:hAnsi="Palatino Linotype" w:cs="Arial"/>
          <w:bCs/>
          <w:sz w:val="24"/>
          <w:szCs w:val="24"/>
        </w:rPr>
      </w:pPr>
      <w:r w:rsidRPr="0028184F">
        <w:rPr>
          <w:rFonts w:ascii="Palatino Linotype" w:hAnsi="Palatino Linotype" w:cs="Arial"/>
          <w:sz w:val="24"/>
          <w:szCs w:val="24"/>
        </w:rPr>
        <w:t xml:space="preserve">Por otra parte, </w:t>
      </w:r>
      <w:r w:rsidRPr="0028184F">
        <w:rPr>
          <w:rFonts w:ascii="Palatino Linotype" w:hAnsi="Palatino Linotype" w:cs="Arial"/>
          <w:bCs/>
          <w:sz w:val="24"/>
          <w:szCs w:val="24"/>
        </w:rPr>
        <w:t>según Cabanellas, Guillermo (1993), en el “Diccionario Jurídico Elemental” (p. 32 y 161), precisó los siguientes conceptos:</w:t>
      </w:r>
    </w:p>
    <w:p w:rsidR="004140F5" w:rsidRPr="0028184F" w:rsidRDefault="004140F5" w:rsidP="004140F5">
      <w:pPr>
        <w:spacing w:line="360" w:lineRule="auto"/>
        <w:jc w:val="both"/>
        <w:rPr>
          <w:rFonts w:ascii="Palatino Linotype" w:hAnsi="Palatino Linotype" w:cs="Arial"/>
          <w:bCs/>
          <w:sz w:val="24"/>
          <w:szCs w:val="24"/>
        </w:rPr>
      </w:pPr>
    </w:p>
    <w:p w:rsidR="004140F5" w:rsidRPr="0028184F" w:rsidRDefault="004140F5" w:rsidP="004140F5">
      <w:pPr>
        <w:pStyle w:val="Prrafodelista"/>
        <w:numPr>
          <w:ilvl w:val="0"/>
          <w:numId w:val="7"/>
        </w:numPr>
        <w:spacing w:line="360" w:lineRule="auto"/>
        <w:jc w:val="both"/>
        <w:rPr>
          <w:rFonts w:ascii="Palatino Linotype" w:hAnsi="Palatino Linotype" w:cs="Arial"/>
          <w:bCs/>
          <w:sz w:val="24"/>
        </w:rPr>
      </w:pPr>
      <w:r w:rsidRPr="0028184F">
        <w:rPr>
          <w:rFonts w:ascii="Palatino Linotype" w:hAnsi="Palatino Linotype" w:cs="Arial"/>
          <w:b/>
          <w:bCs/>
          <w:sz w:val="24"/>
        </w:rPr>
        <w:t xml:space="preserve">Competencia: </w:t>
      </w:r>
      <w:r w:rsidRPr="0028184F">
        <w:rPr>
          <w:rFonts w:ascii="Palatino Linotype" w:hAnsi="Palatino Linotype" w:cs="Arial"/>
          <w:bCs/>
          <w:sz w:val="24"/>
        </w:rPr>
        <w:t>La capacidad de una autoridad para conocer sobre una materia o asunto.</w:t>
      </w:r>
    </w:p>
    <w:p w:rsidR="004140F5" w:rsidRPr="0028184F" w:rsidRDefault="004140F5" w:rsidP="004140F5">
      <w:pPr>
        <w:pStyle w:val="Prrafodelista"/>
        <w:numPr>
          <w:ilvl w:val="0"/>
          <w:numId w:val="7"/>
        </w:numPr>
        <w:spacing w:line="360" w:lineRule="auto"/>
        <w:jc w:val="both"/>
        <w:rPr>
          <w:rFonts w:ascii="Palatino Linotype" w:hAnsi="Palatino Linotype" w:cs="Arial"/>
          <w:bCs/>
          <w:sz w:val="24"/>
        </w:rPr>
      </w:pPr>
      <w:r w:rsidRPr="0028184F">
        <w:rPr>
          <w:rFonts w:ascii="Palatino Linotype" w:hAnsi="Palatino Linotype" w:cs="Arial"/>
          <w:b/>
          <w:bCs/>
          <w:sz w:val="24"/>
        </w:rPr>
        <w:t>Incompetencia:</w:t>
      </w:r>
      <w:r w:rsidRPr="0028184F">
        <w:rPr>
          <w:rFonts w:ascii="Palatino Linotype" w:hAnsi="Palatino Linotype" w:cs="Arial"/>
          <w:bCs/>
          <w:sz w:val="24"/>
        </w:rPr>
        <w:t xml:space="preserve"> Falta de Competencia.</w:t>
      </w:r>
    </w:p>
    <w:p w:rsidR="004140F5" w:rsidRPr="0028184F" w:rsidRDefault="004140F5" w:rsidP="004140F5">
      <w:pPr>
        <w:spacing w:line="360" w:lineRule="auto"/>
        <w:jc w:val="both"/>
        <w:rPr>
          <w:rFonts w:ascii="Palatino Linotype" w:hAnsi="Palatino Linotype" w:cs="Arial"/>
          <w:sz w:val="24"/>
          <w:szCs w:val="24"/>
        </w:rPr>
      </w:pPr>
    </w:p>
    <w:p w:rsidR="004140F5" w:rsidRPr="0028184F" w:rsidRDefault="004140F5" w:rsidP="004140F5">
      <w:pPr>
        <w:spacing w:line="360" w:lineRule="auto"/>
        <w:jc w:val="both"/>
        <w:rPr>
          <w:rFonts w:ascii="Palatino Linotype" w:hAnsi="Palatino Linotype" w:cs="Tahoma"/>
          <w:sz w:val="24"/>
          <w:szCs w:val="24"/>
        </w:rPr>
      </w:pPr>
      <w:r w:rsidRPr="0028184F">
        <w:rPr>
          <w:rFonts w:ascii="Palatino Linotype" w:hAnsi="Palatino Linotype" w:cs="Tahoma"/>
          <w:sz w:val="24"/>
          <w:szCs w:val="24"/>
          <w:lang w:val="es-ES_tradnl"/>
        </w:rPr>
        <w:t>Por lo que, la incompetencia, radica en la incapacidad de una autoridad para conocer de un tema o asunto. En el mismo sentido, conviene citar la tesis</w:t>
      </w:r>
      <w:r w:rsidRPr="0028184F">
        <w:rPr>
          <w:rFonts w:ascii="Palatino Linotype" w:hAnsi="Palatino Linotype" w:cs="Tahoma"/>
          <w:sz w:val="24"/>
          <w:szCs w:val="24"/>
        </w:rPr>
        <w:t xml:space="preserve"> aislada número III.2o.P.11 K, publicada en el Semanario Judicial de la Federación y su Gaceta, Novena Época, Tomo XV, Mayo de 2002, Pág. 1243, misma que precisa lo siguiente: </w:t>
      </w:r>
    </w:p>
    <w:p w:rsidR="004140F5" w:rsidRPr="0028184F" w:rsidRDefault="004140F5" w:rsidP="004140F5">
      <w:pPr>
        <w:spacing w:line="360" w:lineRule="auto"/>
        <w:jc w:val="both"/>
        <w:rPr>
          <w:rFonts w:ascii="Palatino Linotype" w:hAnsi="Palatino Linotype" w:cs="Tahoma"/>
          <w:sz w:val="24"/>
          <w:szCs w:val="24"/>
          <w:lang w:val="es-ES_tradnl"/>
        </w:rPr>
      </w:pPr>
    </w:p>
    <w:p w:rsidR="004140F5" w:rsidRPr="0028184F" w:rsidRDefault="004140F5" w:rsidP="004140F5">
      <w:pPr>
        <w:ind w:left="567" w:right="567"/>
        <w:jc w:val="both"/>
        <w:rPr>
          <w:rFonts w:ascii="Palatino Linotype" w:hAnsi="Palatino Linotype" w:cs="Tahoma"/>
          <w:i/>
          <w:sz w:val="22"/>
          <w:lang w:val="es-ES_tradnl"/>
        </w:rPr>
      </w:pPr>
      <w:r w:rsidRPr="0028184F">
        <w:rPr>
          <w:rFonts w:ascii="Palatino Linotype" w:hAnsi="Palatino Linotype" w:cs="Tahoma"/>
          <w:b/>
          <w:bCs/>
          <w:i/>
          <w:sz w:val="22"/>
          <w:lang w:val="es-ES_tradnl"/>
        </w:rPr>
        <w:t xml:space="preserve">LEGITIMACIÓN DE FUNCIONARIOS PÚBLICOS. LOS TRIBUNALES DE AMPARO, POR ESTAR VINCULADOS CON EL CONCEPTO DE COMPETENCIA A QUE SE REFIERE EL ARTÍCULO 16 CONSTITUCIONAL, NO PUEDEN CONOCER DE AQUÉLLA. </w:t>
      </w:r>
      <w:r w:rsidRPr="0028184F">
        <w:rPr>
          <w:rFonts w:ascii="Palatino Linotype" w:hAnsi="Palatino Linotype" w:cs="Tahoma"/>
          <w:i/>
          <w:sz w:val="22"/>
          <w:lang w:val="es-ES_tradnl"/>
        </w:rPr>
        <w:t>El artículo </w:t>
      </w:r>
      <w:hyperlink r:id="rId6" w:history="1">
        <w:r w:rsidRPr="0028184F">
          <w:rPr>
            <w:rStyle w:val="Hipervnculo"/>
            <w:rFonts w:ascii="Palatino Linotype" w:hAnsi="Palatino Linotype" w:cs="Tahoma"/>
            <w:i/>
            <w:sz w:val="22"/>
            <w:lang w:val="es-ES_tradnl"/>
          </w:rPr>
          <w:t>16 constitucional</w:t>
        </w:r>
      </w:hyperlink>
      <w:r w:rsidRPr="0028184F">
        <w:rPr>
          <w:rFonts w:ascii="Palatino Linotype" w:hAnsi="Palatino Linotype" w:cs="Tahoma"/>
          <w:i/>
          <w:sz w:val="22"/>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w:t>
      </w:r>
      <w:r w:rsidRPr="0028184F">
        <w:rPr>
          <w:rFonts w:ascii="Palatino Linotype" w:hAnsi="Palatino Linotype" w:cs="Tahoma"/>
          <w:i/>
          <w:sz w:val="22"/>
          <w:lang w:val="es-ES_tradnl"/>
        </w:rPr>
        <w:lastRenderedPageBreak/>
        <w:t>consagra una garantía individual y no un control interno de la organización administrativa.</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rPr>
      </w:pPr>
      <w:r w:rsidRPr="0028184F">
        <w:rPr>
          <w:rFonts w:ascii="Palatino Linotype" w:hAnsi="Palatino Linotype" w:cs="Tahoma"/>
          <w:sz w:val="24"/>
          <w:szCs w:val="22"/>
          <w:lang w:val="es-ES_tradnl"/>
        </w:rPr>
        <w:t xml:space="preserve">Por otro lado, el </w:t>
      </w:r>
      <w:r w:rsidRPr="0028184F">
        <w:rPr>
          <w:rFonts w:ascii="Palatino Linotype" w:hAnsi="Palatino Linotype" w:cs="Tahoma"/>
          <w:sz w:val="24"/>
          <w:szCs w:val="22"/>
          <w:lang w:val="es-ES"/>
        </w:rPr>
        <w:t xml:space="preserve">Criterio 13/17, </w:t>
      </w:r>
      <w:r w:rsidRPr="0028184F">
        <w:rPr>
          <w:rFonts w:ascii="Palatino Linotype" w:hAnsi="Palatino Linotype" w:cs="Tahoma"/>
          <w:sz w:val="24"/>
          <w:szCs w:val="22"/>
        </w:rPr>
        <w:t xml:space="preserve">emitido por el Instituto Nacional de Transparencia, Acceso a la Información y Protección de Datos Personales, dispone lo siguiente: </w:t>
      </w:r>
    </w:p>
    <w:p w:rsidR="004140F5" w:rsidRPr="0028184F" w:rsidRDefault="004140F5" w:rsidP="004140F5">
      <w:pPr>
        <w:spacing w:line="360" w:lineRule="auto"/>
        <w:jc w:val="both"/>
        <w:rPr>
          <w:rFonts w:ascii="Palatino Linotype" w:hAnsi="Palatino Linotype" w:cs="Tahoma"/>
          <w:sz w:val="24"/>
          <w:szCs w:val="22"/>
        </w:rPr>
      </w:pPr>
    </w:p>
    <w:p w:rsidR="004140F5" w:rsidRPr="0028184F" w:rsidRDefault="004140F5" w:rsidP="004140F5">
      <w:pPr>
        <w:ind w:left="567" w:right="567"/>
        <w:jc w:val="both"/>
        <w:rPr>
          <w:rFonts w:ascii="Palatino Linotype" w:hAnsi="Palatino Linotype" w:cs="Tahoma"/>
          <w:i/>
          <w:sz w:val="22"/>
        </w:rPr>
      </w:pPr>
      <w:r w:rsidRPr="0028184F">
        <w:rPr>
          <w:rFonts w:ascii="Palatino Linotype" w:hAnsi="Palatino Linotype" w:cs="Tahoma"/>
          <w:b/>
          <w:bCs/>
          <w:i/>
          <w:sz w:val="22"/>
        </w:rPr>
        <w:t xml:space="preserve">Incompetencia. </w:t>
      </w:r>
      <w:r w:rsidRPr="0028184F">
        <w:rPr>
          <w:rFonts w:ascii="Palatino Linotype" w:hAnsi="Palatino Linotype" w:cs="Tahoma"/>
          <w:i/>
          <w:sz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 xml:space="preserve">En tal virtud, la </w:t>
      </w:r>
      <w:r w:rsidRPr="0028184F">
        <w:rPr>
          <w:rFonts w:ascii="Palatino Linotype" w:hAnsi="Palatino Linotype" w:cs="Tahoma"/>
          <w:b/>
          <w:sz w:val="24"/>
          <w:szCs w:val="22"/>
          <w:lang w:val="es-ES_tradnl"/>
        </w:rPr>
        <w:t xml:space="preserve">incompetencia </w:t>
      </w:r>
      <w:r w:rsidRPr="0028184F">
        <w:rPr>
          <w:rFonts w:ascii="Palatino Linotype" w:hAnsi="Palatino Linotype" w:cs="Tahoma"/>
          <w:sz w:val="24"/>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 en términos del artículo 167 de la Ley de Transparencia y Acceso a la Información Pública del Estado de México y Municipios, situación que aconteció en el asunto que nos ocupa.</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 xml:space="preserve">Ahora bien, es importante mencionar que el artículo 1, de la Ley del Sistema Anticorrupción del Estado de México y Municipios, señala que tiene por objeto establecer las </w:t>
      </w:r>
      <w:r w:rsidRPr="0028184F">
        <w:rPr>
          <w:rFonts w:ascii="Palatino Linotype" w:hAnsi="Palatino Linotype" w:cs="Tahoma"/>
          <w:b/>
          <w:sz w:val="24"/>
          <w:szCs w:val="22"/>
          <w:lang w:val="es-ES_tradnl"/>
        </w:rPr>
        <w:t>bases de coordinación</w:t>
      </w:r>
      <w:r w:rsidRPr="0028184F">
        <w:rPr>
          <w:rFonts w:ascii="Palatino Linotype" w:hAnsi="Palatino Linotype" w:cs="Tahoma"/>
          <w:sz w:val="24"/>
          <w:szCs w:val="22"/>
          <w:lang w:val="es-ES_tradnl"/>
        </w:rPr>
        <w:t xml:space="preserve">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w:t>
      </w:r>
      <w:r w:rsidRPr="0028184F">
        <w:rPr>
          <w:rFonts w:ascii="Palatino Linotype" w:hAnsi="Palatino Linotype" w:cs="Tahoma"/>
          <w:b/>
          <w:sz w:val="24"/>
          <w:szCs w:val="22"/>
          <w:lang w:val="es-ES_tradnl"/>
        </w:rPr>
        <w:t xml:space="preserve">para que las autoridades estatales y municipales competentes </w:t>
      </w:r>
      <w:r w:rsidRPr="0028184F">
        <w:rPr>
          <w:rFonts w:ascii="Palatino Linotype" w:hAnsi="Palatino Linotype" w:cs="Tahoma"/>
          <w:b/>
          <w:sz w:val="24"/>
          <w:szCs w:val="22"/>
          <w:lang w:val="es-ES_tradnl"/>
        </w:rPr>
        <w:lastRenderedPageBreak/>
        <w:t>prevengan, investiguen y sancionen las faltas administrativas</w:t>
      </w:r>
      <w:r w:rsidRPr="0028184F">
        <w:rPr>
          <w:rFonts w:ascii="Palatino Linotype" w:hAnsi="Palatino Linotype" w:cs="Tahoma"/>
          <w:sz w:val="24"/>
          <w:szCs w:val="22"/>
          <w:lang w:val="es-ES_tradnl"/>
        </w:rPr>
        <w:t xml:space="preserve"> y los hechos de corrupción.</w:t>
      </w:r>
    </w:p>
    <w:p w:rsidR="004140F5" w:rsidRPr="0028184F" w:rsidRDefault="004140F5" w:rsidP="004140F5">
      <w:pPr>
        <w:spacing w:line="360" w:lineRule="auto"/>
        <w:jc w:val="both"/>
        <w:rPr>
          <w:rFonts w:ascii="Palatino Linotype" w:hAnsi="Palatino Linotype" w:cs="Tahoma"/>
          <w:sz w:val="24"/>
          <w:szCs w:val="22"/>
          <w:lang w:val="es-ES_tradnl"/>
        </w:rPr>
      </w:pP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lang w:val="es-ES_tradnl"/>
        </w:rPr>
      </w:pPr>
      <w:r w:rsidRPr="0028184F">
        <w:rPr>
          <w:rFonts w:ascii="Palatino Linotype" w:hAnsi="Palatino Linotype" w:cs="Tahoma"/>
          <w:sz w:val="24"/>
          <w:szCs w:val="22"/>
          <w:lang w:val="es-ES_tradnl"/>
        </w:rPr>
        <w:t>Asimismo, los artículos 24 y 25 de la legislación en cita, determinan lo siguiente:</w:t>
      </w:r>
    </w:p>
    <w:p w:rsidR="004140F5" w:rsidRPr="0028184F" w:rsidRDefault="004140F5" w:rsidP="004140F5">
      <w:pPr>
        <w:autoSpaceDE w:val="0"/>
        <w:autoSpaceDN w:val="0"/>
        <w:adjustRightInd w:val="0"/>
        <w:spacing w:line="360" w:lineRule="auto"/>
        <w:jc w:val="both"/>
        <w:rPr>
          <w:rFonts w:ascii="Palatino Linotype" w:hAnsi="Palatino Linotype" w:cs="Tahoma"/>
          <w:sz w:val="24"/>
          <w:szCs w:val="22"/>
          <w:lang w:val="es-ES_tradnl"/>
        </w:rPr>
      </w:pPr>
    </w:p>
    <w:p w:rsidR="004140F5" w:rsidRPr="0028184F" w:rsidRDefault="004140F5" w:rsidP="004140F5">
      <w:pPr>
        <w:autoSpaceDE w:val="0"/>
        <w:autoSpaceDN w:val="0"/>
        <w:adjustRightInd w:val="0"/>
        <w:ind w:left="567" w:right="567"/>
        <w:jc w:val="both"/>
        <w:rPr>
          <w:rFonts w:ascii="Palatino Linotype" w:eastAsia="Calibri" w:hAnsi="Palatino Linotype" w:cs="Tahoma"/>
          <w:bCs/>
          <w:i/>
          <w:sz w:val="22"/>
          <w:szCs w:val="22"/>
          <w:lang w:eastAsia="en-US"/>
        </w:rPr>
      </w:pPr>
      <w:r w:rsidRPr="0028184F">
        <w:rPr>
          <w:rFonts w:ascii="Palatino Linotype" w:eastAsia="Calibri" w:hAnsi="Palatino Linotype" w:cs="Tahoma"/>
          <w:b/>
          <w:bCs/>
          <w:i/>
          <w:sz w:val="22"/>
          <w:szCs w:val="22"/>
          <w:lang w:eastAsia="en-US"/>
        </w:rPr>
        <w:t xml:space="preserve">Artículo 24. </w:t>
      </w:r>
      <w:r w:rsidRPr="0028184F">
        <w:rPr>
          <w:rFonts w:ascii="Palatino Linotype" w:eastAsia="Calibri" w:hAnsi="Palatino Linotype" w:cs="Tahoma"/>
          <w:bCs/>
          <w:i/>
          <w:sz w:val="22"/>
          <w:szCs w:val="22"/>
          <w:lang w:eastAsia="en-US"/>
        </w:rPr>
        <w:t>La Secretaría Ejecutiva,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w:t>
      </w:r>
    </w:p>
    <w:p w:rsidR="004140F5" w:rsidRPr="0028184F" w:rsidRDefault="004140F5" w:rsidP="004140F5">
      <w:pPr>
        <w:autoSpaceDE w:val="0"/>
        <w:autoSpaceDN w:val="0"/>
        <w:adjustRightInd w:val="0"/>
        <w:ind w:left="567" w:right="567"/>
        <w:jc w:val="both"/>
        <w:rPr>
          <w:rFonts w:ascii="Palatino Linotype" w:eastAsia="Calibri" w:hAnsi="Palatino Linotype" w:cs="Tahoma"/>
          <w:bCs/>
          <w:i/>
          <w:sz w:val="22"/>
          <w:szCs w:val="22"/>
          <w:lang w:eastAsia="en-US"/>
        </w:rPr>
      </w:pPr>
    </w:p>
    <w:p w:rsidR="004140F5" w:rsidRPr="0028184F" w:rsidRDefault="004140F5" w:rsidP="004140F5">
      <w:pPr>
        <w:autoSpaceDE w:val="0"/>
        <w:autoSpaceDN w:val="0"/>
        <w:adjustRightInd w:val="0"/>
        <w:ind w:left="567" w:right="567"/>
        <w:jc w:val="both"/>
        <w:rPr>
          <w:rFonts w:ascii="Palatino Linotype" w:eastAsia="Calibri" w:hAnsi="Palatino Linotype" w:cs="Tahoma"/>
          <w:bCs/>
          <w:i/>
          <w:sz w:val="22"/>
          <w:szCs w:val="22"/>
          <w:lang w:eastAsia="en-US"/>
        </w:rPr>
      </w:pPr>
      <w:r w:rsidRPr="0028184F">
        <w:rPr>
          <w:rFonts w:ascii="Palatino Linotype" w:eastAsia="Calibri" w:hAnsi="Palatino Linotype" w:cs="Tahoma"/>
          <w:b/>
          <w:bCs/>
          <w:i/>
          <w:sz w:val="22"/>
          <w:szCs w:val="22"/>
          <w:lang w:eastAsia="en-US"/>
        </w:rPr>
        <w:t xml:space="preserve">Artículo 25. </w:t>
      </w:r>
      <w:r w:rsidRPr="0028184F">
        <w:rPr>
          <w:rFonts w:ascii="Palatino Linotype" w:eastAsia="Calibri" w:hAnsi="Palatino Linotype" w:cs="Tahoma"/>
          <w:bCs/>
          <w:i/>
          <w:sz w:val="22"/>
          <w:szCs w:val="22"/>
          <w:lang w:eastAsia="en-US"/>
        </w:rPr>
        <w:t xml:space="preserve">La Secretaría Ejecutiva, </w:t>
      </w:r>
      <w:r w:rsidRPr="0028184F">
        <w:rPr>
          <w:rFonts w:ascii="Palatino Linotype" w:eastAsia="Calibri" w:hAnsi="Palatino Linotype" w:cs="Tahoma"/>
          <w:b/>
          <w:bCs/>
          <w:i/>
          <w:sz w:val="22"/>
          <w:szCs w:val="22"/>
          <w:lang w:eastAsia="en-US"/>
        </w:rPr>
        <w:t xml:space="preserve">tiene por objeto fungir como </w:t>
      </w:r>
      <w:r w:rsidRPr="0028184F">
        <w:rPr>
          <w:rFonts w:ascii="Palatino Linotype" w:eastAsia="Calibri" w:hAnsi="Palatino Linotype" w:cs="Tahoma"/>
          <w:b/>
          <w:bCs/>
          <w:i/>
          <w:sz w:val="22"/>
          <w:szCs w:val="22"/>
          <w:u w:val="single"/>
          <w:lang w:eastAsia="en-US"/>
        </w:rPr>
        <w:t>órgano de apoyo técnico</w:t>
      </w:r>
      <w:r w:rsidRPr="0028184F">
        <w:rPr>
          <w:rFonts w:ascii="Palatino Linotype" w:eastAsia="Calibri" w:hAnsi="Palatino Linotype" w:cs="Tahoma"/>
          <w:b/>
          <w:bCs/>
          <w:i/>
          <w:sz w:val="22"/>
          <w:szCs w:val="22"/>
          <w:lang w:eastAsia="en-US"/>
        </w:rPr>
        <w:t xml:space="preserve"> del Comité Coordinador</w:t>
      </w:r>
      <w:r w:rsidRPr="0028184F">
        <w:rPr>
          <w:rFonts w:ascii="Palatino Linotype" w:eastAsia="Calibri" w:hAnsi="Palatino Linotype" w:cs="Tahoma"/>
          <w:bCs/>
          <w:i/>
          <w:sz w:val="22"/>
          <w:szCs w:val="22"/>
          <w:lang w:eastAsia="en-US"/>
        </w:rPr>
        <w:t xml:space="preserve">, a efecto de </w:t>
      </w:r>
      <w:r w:rsidRPr="0028184F">
        <w:rPr>
          <w:rFonts w:ascii="Palatino Linotype" w:eastAsia="Calibri" w:hAnsi="Palatino Linotype" w:cs="Tahoma"/>
          <w:b/>
          <w:bCs/>
          <w:i/>
          <w:sz w:val="22"/>
          <w:szCs w:val="22"/>
          <w:lang w:eastAsia="en-US"/>
        </w:rPr>
        <w:t>proveerle la asistencia técnica</w:t>
      </w:r>
      <w:r w:rsidRPr="0028184F">
        <w:rPr>
          <w:rFonts w:ascii="Palatino Linotype" w:eastAsia="Calibri" w:hAnsi="Palatino Linotype" w:cs="Tahoma"/>
          <w:bCs/>
          <w:i/>
          <w:sz w:val="22"/>
          <w:szCs w:val="22"/>
          <w:lang w:eastAsia="en-US"/>
        </w:rPr>
        <w:t>, así como los insumos necesarios para el desempeño de sus atribuciones, conforme a lo dispuesto en la presente Ley y demás ordenamientos aplicables.</w:t>
      </w:r>
    </w:p>
    <w:p w:rsidR="004140F5" w:rsidRPr="0028184F" w:rsidRDefault="004140F5" w:rsidP="004140F5">
      <w:pPr>
        <w:autoSpaceDE w:val="0"/>
        <w:autoSpaceDN w:val="0"/>
        <w:adjustRightInd w:val="0"/>
        <w:spacing w:line="360" w:lineRule="auto"/>
        <w:ind w:right="567"/>
        <w:jc w:val="both"/>
        <w:rPr>
          <w:rFonts w:ascii="Palatino Linotype" w:eastAsia="Calibri" w:hAnsi="Palatino Linotype" w:cs="Tahoma"/>
          <w:bCs/>
          <w:sz w:val="24"/>
          <w:szCs w:val="22"/>
          <w:lang w:val="es-ES" w:eastAsia="en-US"/>
        </w:rPr>
      </w:pPr>
    </w:p>
    <w:p w:rsidR="004140F5" w:rsidRPr="0028184F" w:rsidRDefault="004140F5" w:rsidP="004140F5">
      <w:pPr>
        <w:spacing w:line="360" w:lineRule="auto"/>
        <w:jc w:val="both"/>
        <w:rPr>
          <w:rFonts w:ascii="Palatino Linotype" w:hAnsi="Palatino Linotype" w:cs="Tahoma"/>
          <w:sz w:val="24"/>
          <w:szCs w:val="22"/>
          <w:lang w:val="es-ES_tradnl"/>
        </w:rPr>
      </w:pPr>
      <w:r w:rsidRPr="0028184F">
        <w:rPr>
          <w:rFonts w:ascii="Palatino Linotype" w:eastAsia="Calibri" w:hAnsi="Palatino Linotype" w:cs="Tahoma"/>
          <w:bCs/>
          <w:sz w:val="24"/>
          <w:szCs w:val="22"/>
          <w:lang w:val="es-ES" w:eastAsia="en-US"/>
        </w:rPr>
        <w:t xml:space="preserve">Como se puede observar, en efecto, la Secretaría Ejecutiva del Sistema Estatal Anticorrupción, es un órgano que provee apoyo técnico al Comité Coordinador, asimismo, la ley que regula su actuar tiene por objeto </w:t>
      </w:r>
      <w:r w:rsidRPr="0028184F">
        <w:rPr>
          <w:rFonts w:ascii="Palatino Linotype" w:hAnsi="Palatino Linotype" w:cs="Tahoma"/>
          <w:sz w:val="24"/>
          <w:szCs w:val="22"/>
          <w:lang w:val="es-ES_tradnl"/>
        </w:rPr>
        <w:t xml:space="preserve">establecer las </w:t>
      </w:r>
      <w:r w:rsidRPr="0028184F">
        <w:rPr>
          <w:rFonts w:ascii="Palatino Linotype" w:hAnsi="Palatino Linotype" w:cs="Tahoma"/>
          <w:b/>
          <w:sz w:val="24"/>
          <w:szCs w:val="22"/>
          <w:lang w:val="es-ES_tradnl"/>
        </w:rPr>
        <w:t>bases de coordinación</w:t>
      </w:r>
      <w:r w:rsidRPr="0028184F">
        <w:rPr>
          <w:rFonts w:ascii="Palatino Linotype" w:hAnsi="Palatino Linotype" w:cs="Tahoma"/>
          <w:sz w:val="24"/>
          <w:szCs w:val="22"/>
          <w:lang w:val="es-ES_tradnl"/>
        </w:rPr>
        <w:t xml:space="preserve"> </w:t>
      </w:r>
      <w:r w:rsidRPr="0028184F">
        <w:rPr>
          <w:rFonts w:ascii="Palatino Linotype" w:hAnsi="Palatino Linotype" w:cs="Tahoma"/>
          <w:b/>
          <w:sz w:val="24"/>
          <w:szCs w:val="22"/>
          <w:lang w:val="es-ES_tradnl"/>
        </w:rPr>
        <w:t>para que las autoridades estatales y municipales competentes prevengan, investiguen y sancionen las faltas administrativas</w:t>
      </w:r>
      <w:r w:rsidRPr="0028184F">
        <w:rPr>
          <w:rFonts w:ascii="Palatino Linotype" w:hAnsi="Palatino Linotype" w:cs="Tahoma"/>
          <w:sz w:val="24"/>
          <w:szCs w:val="22"/>
          <w:lang w:val="es-ES_tradnl"/>
        </w:rPr>
        <w:t xml:space="preserve"> y los hechos de corrupción. En este sentido, tal como lo informó el Sujeto Obligado, es incompetente para conocer de la información solicitada, por lo cual es dable confirmar la respuesta otorgada.</w:t>
      </w:r>
    </w:p>
    <w:p w:rsidR="004140F5" w:rsidRPr="0028184F" w:rsidRDefault="004140F5" w:rsidP="004140F5">
      <w:pPr>
        <w:autoSpaceDE w:val="0"/>
        <w:autoSpaceDN w:val="0"/>
        <w:adjustRightInd w:val="0"/>
        <w:spacing w:line="360" w:lineRule="auto"/>
        <w:ind w:right="567"/>
        <w:jc w:val="both"/>
        <w:rPr>
          <w:rFonts w:ascii="Palatino Linotype" w:eastAsia="Calibri" w:hAnsi="Palatino Linotype" w:cs="Tahoma"/>
          <w:bCs/>
          <w:sz w:val="24"/>
          <w:szCs w:val="22"/>
          <w:lang w:val="es-ES" w:eastAsia="en-US"/>
        </w:rPr>
      </w:pP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r w:rsidRPr="0028184F">
        <w:rPr>
          <w:rFonts w:ascii="Palatino Linotype" w:eastAsia="Calibri" w:hAnsi="Palatino Linotype" w:cs="Tahoma"/>
          <w:bCs/>
          <w:sz w:val="24"/>
          <w:szCs w:val="22"/>
          <w:lang w:val="es-ES" w:eastAsia="en-US"/>
        </w:rPr>
        <w:t xml:space="preserve">Ahora bien, por cuanto hace al agravio manifestado por la Recurrente, referente a que el Sujeto Obligado pudo haber remitido la solicitud de información a la autoridad competente para su atención, es oportuno señalar que el artículo 12 de la Ley de </w:t>
      </w:r>
      <w:r w:rsidRPr="0028184F">
        <w:rPr>
          <w:rFonts w:ascii="Palatino Linotype" w:eastAsia="Calibri" w:hAnsi="Palatino Linotype" w:cs="Tahoma"/>
          <w:bCs/>
          <w:sz w:val="24"/>
          <w:szCs w:val="22"/>
          <w:lang w:val="es-ES" w:eastAsia="en-US"/>
        </w:rPr>
        <w:lastRenderedPageBreak/>
        <w:t>Transparencia y Acceso a la Información Pública del Estado de México y Municipios, establece lo siguiente:</w:t>
      </w:r>
    </w:p>
    <w:p w:rsidR="004140F5" w:rsidRPr="0028184F" w:rsidRDefault="004140F5" w:rsidP="004140F5">
      <w:pPr>
        <w:spacing w:line="360" w:lineRule="auto"/>
        <w:jc w:val="both"/>
        <w:rPr>
          <w:rFonts w:ascii="Palatino Linotype" w:eastAsia="Calibri" w:hAnsi="Palatino Linotype" w:cs="Tahoma"/>
          <w:bCs/>
          <w:sz w:val="24"/>
          <w:szCs w:val="22"/>
          <w:lang w:val="es-ES" w:eastAsia="en-US"/>
        </w:rPr>
      </w:pPr>
    </w:p>
    <w:p w:rsidR="004140F5" w:rsidRPr="0028184F" w:rsidRDefault="004140F5" w:rsidP="004140F5">
      <w:pPr>
        <w:ind w:left="567" w:right="567"/>
        <w:jc w:val="both"/>
        <w:rPr>
          <w:rFonts w:ascii="Palatino Linotype" w:eastAsia="Calibri" w:hAnsi="Palatino Linotype" w:cs="Tahoma"/>
          <w:bCs/>
          <w:i/>
          <w:sz w:val="22"/>
          <w:szCs w:val="22"/>
          <w:lang w:val="es-ES_tradnl" w:eastAsia="en-US"/>
        </w:rPr>
      </w:pPr>
      <w:r w:rsidRPr="0028184F">
        <w:rPr>
          <w:rFonts w:ascii="Palatino Linotype" w:eastAsia="Calibri" w:hAnsi="Palatino Linotype" w:cs="Tahoma"/>
          <w:b/>
          <w:bCs/>
          <w:i/>
          <w:sz w:val="22"/>
          <w:szCs w:val="22"/>
          <w:lang w:val="es-ES_tradnl" w:eastAsia="en-US"/>
        </w:rPr>
        <w:t>Artículo 12.</w:t>
      </w:r>
      <w:r w:rsidRPr="0028184F">
        <w:rPr>
          <w:rFonts w:ascii="Palatino Linotype" w:eastAsia="Calibri" w:hAnsi="Palatino Linotype" w:cs="Tahoma"/>
          <w:bCs/>
          <w:i/>
          <w:sz w:val="22"/>
          <w:szCs w:val="22"/>
          <w:lang w:val="es-ES_tradnl" w:eastAsia="en-US"/>
        </w:rPr>
        <w:t xml:space="preserve"> Quienes generen, recopilen, administren, manejen, procesen, archiven o conserven información pública serán responsables de la misma en los términos de las disposiciones jurídicas aplicables.</w:t>
      </w:r>
    </w:p>
    <w:p w:rsidR="004140F5" w:rsidRPr="0028184F" w:rsidRDefault="004140F5" w:rsidP="004140F5">
      <w:pPr>
        <w:ind w:left="567" w:right="567"/>
        <w:jc w:val="both"/>
        <w:rPr>
          <w:rFonts w:ascii="Palatino Linotype" w:eastAsia="Calibri" w:hAnsi="Palatino Linotype" w:cs="Tahoma"/>
          <w:bCs/>
          <w:i/>
          <w:sz w:val="22"/>
          <w:szCs w:val="22"/>
          <w:lang w:val="es-ES_tradnl" w:eastAsia="en-US"/>
        </w:rPr>
      </w:pPr>
    </w:p>
    <w:p w:rsidR="004140F5" w:rsidRPr="0028184F" w:rsidRDefault="004140F5" w:rsidP="004140F5">
      <w:pPr>
        <w:ind w:left="567" w:right="567"/>
        <w:jc w:val="both"/>
        <w:rPr>
          <w:rFonts w:ascii="Palatino Linotype" w:eastAsia="Calibri" w:hAnsi="Palatino Linotype" w:cs="Tahoma"/>
          <w:b/>
          <w:bCs/>
          <w:i/>
          <w:sz w:val="22"/>
          <w:szCs w:val="22"/>
          <w:lang w:val="es-ES_tradnl" w:eastAsia="en-US"/>
        </w:rPr>
      </w:pPr>
      <w:r w:rsidRPr="0028184F">
        <w:rPr>
          <w:rFonts w:ascii="Palatino Linotype" w:eastAsia="Calibri" w:hAnsi="Palatino Linotype" w:cs="Tahoma"/>
          <w:b/>
          <w:bCs/>
          <w:i/>
          <w:sz w:val="22"/>
          <w:szCs w:val="22"/>
          <w:lang w:val="es-ES_tradnl" w:eastAsia="en-US"/>
        </w:rPr>
        <w:t xml:space="preserve">Los sujetos obligados sólo </w:t>
      </w:r>
      <w:r w:rsidRPr="0028184F">
        <w:rPr>
          <w:rFonts w:ascii="Palatino Linotype" w:eastAsia="Calibri" w:hAnsi="Palatino Linotype" w:cs="Tahoma"/>
          <w:b/>
          <w:bCs/>
          <w:i/>
          <w:sz w:val="22"/>
          <w:szCs w:val="22"/>
          <w:u w:val="single"/>
          <w:lang w:val="es-ES_tradnl" w:eastAsia="en-US"/>
        </w:rPr>
        <w:t>proporcionarán la información</w:t>
      </w:r>
      <w:r w:rsidRPr="0028184F">
        <w:rPr>
          <w:rFonts w:ascii="Palatino Linotype" w:eastAsia="Calibri" w:hAnsi="Palatino Linotype" w:cs="Tahoma"/>
          <w:b/>
          <w:bCs/>
          <w:i/>
          <w:sz w:val="22"/>
          <w:szCs w:val="22"/>
          <w:lang w:val="es-ES_tradnl" w:eastAsia="en-US"/>
        </w:rPr>
        <w:t xml:space="preserve"> pública que se les requiera y </w:t>
      </w:r>
      <w:r w:rsidRPr="0028184F">
        <w:rPr>
          <w:rFonts w:ascii="Palatino Linotype" w:eastAsia="Calibri" w:hAnsi="Palatino Linotype" w:cs="Tahoma"/>
          <w:b/>
          <w:bCs/>
          <w:i/>
          <w:sz w:val="22"/>
          <w:szCs w:val="22"/>
          <w:u w:val="single"/>
          <w:lang w:val="es-ES_tradnl" w:eastAsia="en-US"/>
        </w:rPr>
        <w:t>que obre en sus archivos</w:t>
      </w:r>
      <w:r w:rsidRPr="0028184F">
        <w:rPr>
          <w:rFonts w:ascii="Palatino Linotype" w:eastAsia="Calibri" w:hAnsi="Palatino Linotype" w:cs="Tahoma"/>
          <w:b/>
          <w:bCs/>
          <w:i/>
          <w:sz w:val="22"/>
          <w:szCs w:val="22"/>
          <w:lang w:val="es-ES_tradnl" w:eastAsia="en-US"/>
        </w:rPr>
        <w:t xml:space="preserve"> y en el estado en que ésta se encuentre. La obligación de proporcionar información no comprende el procesamiento de la misma, ni el presentarla conforme al interés del solicitante; </w:t>
      </w:r>
      <w:r w:rsidRPr="0028184F">
        <w:rPr>
          <w:rFonts w:ascii="Palatino Linotype" w:eastAsia="Calibri" w:hAnsi="Palatino Linotype" w:cs="Tahoma"/>
          <w:b/>
          <w:bCs/>
          <w:i/>
          <w:sz w:val="22"/>
          <w:szCs w:val="22"/>
          <w:u w:val="single"/>
          <w:lang w:val="es-ES_tradnl" w:eastAsia="en-US"/>
        </w:rPr>
        <w:t>no estarán obligados a</w:t>
      </w:r>
      <w:r w:rsidRPr="0028184F">
        <w:rPr>
          <w:rFonts w:ascii="Palatino Linotype" w:eastAsia="Calibri" w:hAnsi="Palatino Linotype" w:cs="Tahoma"/>
          <w:b/>
          <w:bCs/>
          <w:i/>
          <w:sz w:val="22"/>
          <w:szCs w:val="22"/>
          <w:lang w:val="es-ES_tradnl" w:eastAsia="en-US"/>
        </w:rPr>
        <w:t xml:space="preserve"> generarla, resumirla, efectuar cálculos o </w:t>
      </w:r>
      <w:r w:rsidRPr="0028184F">
        <w:rPr>
          <w:rFonts w:ascii="Palatino Linotype" w:eastAsia="Calibri" w:hAnsi="Palatino Linotype" w:cs="Tahoma"/>
          <w:b/>
          <w:bCs/>
          <w:i/>
          <w:sz w:val="22"/>
          <w:szCs w:val="22"/>
          <w:u w:val="single"/>
          <w:lang w:val="es-ES_tradnl" w:eastAsia="en-US"/>
        </w:rPr>
        <w:t>practicar investigaciones</w:t>
      </w:r>
      <w:r w:rsidRPr="0028184F">
        <w:rPr>
          <w:rFonts w:ascii="Palatino Linotype" w:eastAsia="Calibri" w:hAnsi="Palatino Linotype" w:cs="Tahoma"/>
          <w:b/>
          <w:bCs/>
          <w:i/>
          <w:sz w:val="22"/>
          <w:szCs w:val="22"/>
          <w:lang w:val="es-ES_tradnl" w:eastAsia="en-US"/>
        </w:rPr>
        <w:t>.</w:t>
      </w:r>
    </w:p>
    <w:p w:rsidR="004140F5" w:rsidRPr="0028184F" w:rsidRDefault="004140F5" w:rsidP="004140F5">
      <w:pPr>
        <w:spacing w:line="360" w:lineRule="auto"/>
        <w:ind w:right="567"/>
        <w:jc w:val="both"/>
        <w:rPr>
          <w:rFonts w:ascii="Palatino Linotype" w:eastAsia="Calibri" w:hAnsi="Palatino Linotype" w:cs="Tahoma"/>
          <w:b/>
          <w:bCs/>
          <w:i/>
          <w:sz w:val="22"/>
          <w:szCs w:val="22"/>
          <w:lang w:val="es-ES_tradnl" w:eastAsia="en-US"/>
        </w:rPr>
      </w:pPr>
    </w:p>
    <w:p w:rsidR="004140F5" w:rsidRPr="0028184F" w:rsidRDefault="004140F5" w:rsidP="004140F5">
      <w:pPr>
        <w:spacing w:line="360" w:lineRule="auto"/>
        <w:jc w:val="both"/>
        <w:rPr>
          <w:rFonts w:ascii="Palatino Linotype" w:eastAsia="Calibri" w:hAnsi="Palatino Linotype" w:cs="Tahoma"/>
          <w:iCs/>
          <w:sz w:val="24"/>
          <w:szCs w:val="22"/>
          <w:lang w:eastAsia="es-ES_tradnl"/>
        </w:rPr>
      </w:pPr>
      <w:r w:rsidRPr="0028184F">
        <w:rPr>
          <w:rFonts w:ascii="Palatino Linotype" w:eastAsia="Calibri" w:hAnsi="Palatino Linotype" w:cs="Tahoma"/>
          <w:bCs/>
          <w:sz w:val="24"/>
          <w:szCs w:val="22"/>
          <w:lang w:val="es-ES" w:eastAsia="en-US"/>
        </w:rPr>
        <w:t xml:space="preserve">En este sentido, la Secretaría Ejecutiva del Sistema Estatal Anticorrupción, únicamente está obligada a </w:t>
      </w:r>
      <w:r w:rsidRPr="0028184F">
        <w:rPr>
          <w:rFonts w:ascii="Palatino Linotype" w:eastAsia="Calibri" w:hAnsi="Palatino Linotype" w:cs="Tahoma"/>
          <w:iCs/>
          <w:sz w:val="24"/>
          <w:szCs w:val="22"/>
          <w:lang w:eastAsia="es-ES_tradnl"/>
        </w:rPr>
        <w:t>otorgar acceso a la información que obre en sus archivos, ya sea porque la posee o la genera, por lo que turnar la solicitud a los sujetos obligados que resulten competentes para atenderla forma parte de un proceso de investigación que no está constreñida a realizar, aunado a que tampoco es una función de las Unidades de Transparencia en términos de lo establecido en el artículo 53, de la ley de la materia.</w:t>
      </w:r>
    </w:p>
    <w:p w:rsidR="004140F5" w:rsidRPr="0028184F" w:rsidRDefault="004140F5" w:rsidP="004140F5">
      <w:pPr>
        <w:spacing w:line="360" w:lineRule="auto"/>
        <w:jc w:val="both"/>
        <w:rPr>
          <w:rFonts w:ascii="Palatino Linotype" w:eastAsia="Calibri" w:hAnsi="Palatino Linotype" w:cs="Tahoma"/>
          <w:iCs/>
          <w:sz w:val="24"/>
          <w:szCs w:val="22"/>
          <w:lang w:eastAsia="es-ES_tradnl"/>
        </w:rPr>
      </w:pPr>
    </w:p>
    <w:p w:rsidR="004140F5" w:rsidRPr="0028184F" w:rsidRDefault="004140F5" w:rsidP="004140F5">
      <w:pPr>
        <w:spacing w:line="360" w:lineRule="auto"/>
        <w:jc w:val="both"/>
        <w:rPr>
          <w:rFonts w:ascii="Palatino Linotype" w:eastAsia="Calibri" w:hAnsi="Palatino Linotype" w:cs="Tahoma"/>
          <w:bCs/>
          <w:sz w:val="24"/>
          <w:szCs w:val="22"/>
          <w:lang w:val="es-ES_tradnl" w:eastAsia="en-US"/>
        </w:rPr>
      </w:pPr>
      <w:r w:rsidRPr="0028184F">
        <w:rPr>
          <w:rFonts w:ascii="Palatino Linotype" w:eastAsia="Calibri" w:hAnsi="Palatino Linotype" w:cs="Tahoma"/>
          <w:iCs/>
          <w:sz w:val="24"/>
          <w:szCs w:val="22"/>
          <w:lang w:eastAsia="es-ES_tradnl"/>
        </w:rPr>
        <w:t>Asimismo, el Sistema de Acceso a la Información Mexiquense, es la plataforma a través de la cual las personas pueden presentar solicitudes de información ante los Sujetos Obligados del Estado de México, los cuales darán la atención que corresponda a cada requerimiento que reciban, no obstante, el sistema no les permite turnar solicitudes entre sujetos obligados, toda vez que como ha quedado descrito, cada uno es responsable específicamente de la información que genera y/o posee en sus archivos.</w:t>
      </w:r>
    </w:p>
    <w:p w:rsidR="004140F5" w:rsidRPr="0028184F" w:rsidRDefault="004140F5" w:rsidP="004140F5">
      <w:pPr>
        <w:tabs>
          <w:tab w:val="left" w:pos="4962"/>
        </w:tabs>
        <w:spacing w:line="360" w:lineRule="auto"/>
        <w:jc w:val="both"/>
        <w:rPr>
          <w:rFonts w:ascii="Palatino Linotype" w:hAnsi="Palatino Linotype" w:cs="Tahoma"/>
          <w:sz w:val="24"/>
          <w:szCs w:val="22"/>
        </w:rPr>
      </w:pPr>
      <w:r w:rsidRPr="0028184F">
        <w:rPr>
          <w:rFonts w:ascii="Palatino Linotype" w:hAnsi="Palatino Linotype" w:cs="Tahoma"/>
          <w:sz w:val="24"/>
          <w:szCs w:val="22"/>
        </w:rPr>
        <w:lastRenderedPageBreak/>
        <w:t xml:space="preserve">Por lo anterior, se considera que los motivos de inconformidad manifestados por la Recurrente son infundados. </w:t>
      </w:r>
    </w:p>
    <w:p w:rsidR="004140F5" w:rsidRPr="0028184F" w:rsidRDefault="004140F5" w:rsidP="004140F5">
      <w:pPr>
        <w:spacing w:line="360" w:lineRule="auto"/>
        <w:ind w:right="-93"/>
        <w:jc w:val="both"/>
        <w:rPr>
          <w:rFonts w:ascii="Palatino Linotype" w:hAnsi="Palatino Linotype" w:cs="Tahoma"/>
          <w:sz w:val="24"/>
          <w:szCs w:val="22"/>
        </w:rPr>
      </w:pPr>
    </w:p>
    <w:p w:rsidR="004140F5" w:rsidRPr="0028184F" w:rsidRDefault="004140F5" w:rsidP="004140F5">
      <w:pPr>
        <w:spacing w:line="360" w:lineRule="auto"/>
        <w:ind w:right="-93"/>
        <w:jc w:val="both"/>
        <w:rPr>
          <w:rFonts w:ascii="Palatino Linotype" w:hAnsi="Palatino Linotype" w:cs="Tahoma"/>
          <w:b/>
          <w:sz w:val="28"/>
          <w:szCs w:val="22"/>
        </w:rPr>
      </w:pPr>
      <w:r w:rsidRPr="0028184F">
        <w:rPr>
          <w:rFonts w:ascii="Palatino Linotype" w:hAnsi="Palatino Linotype" w:cs="Tahoma"/>
          <w:b/>
          <w:sz w:val="28"/>
          <w:szCs w:val="22"/>
        </w:rPr>
        <w:t xml:space="preserve">SEXTO. Decisión. </w:t>
      </w:r>
    </w:p>
    <w:p w:rsidR="004140F5" w:rsidRPr="0028184F" w:rsidRDefault="004140F5" w:rsidP="004140F5">
      <w:pPr>
        <w:spacing w:line="360" w:lineRule="auto"/>
        <w:ind w:right="-93"/>
        <w:jc w:val="both"/>
        <w:rPr>
          <w:rFonts w:ascii="Palatino Linotype" w:hAnsi="Palatino Linotype" w:cs="Tahoma"/>
          <w:bCs/>
          <w:sz w:val="24"/>
          <w:szCs w:val="22"/>
        </w:rPr>
      </w:pPr>
      <w:r w:rsidRPr="0028184F">
        <w:rPr>
          <w:rFonts w:ascii="Palatino Linotype" w:hAnsi="Palatino Linotype" w:cs="Tahoma"/>
          <w:sz w:val="24"/>
          <w:szCs w:val="22"/>
        </w:rPr>
        <w:t xml:space="preserve">Con fundamento en el artículo 186, fracción II, de la Ley de Transparencia y Acceso a la Información Pública del Estado de México y Municipios, este Instituto considera procedente </w:t>
      </w:r>
      <w:r w:rsidRPr="0028184F">
        <w:rPr>
          <w:rFonts w:ascii="Palatino Linotype" w:hAnsi="Palatino Linotype" w:cs="Tahoma"/>
          <w:b/>
          <w:sz w:val="24"/>
          <w:szCs w:val="22"/>
        </w:rPr>
        <w:t xml:space="preserve">CONFIRMAR </w:t>
      </w:r>
      <w:r w:rsidRPr="0028184F">
        <w:rPr>
          <w:rFonts w:ascii="Palatino Linotype" w:hAnsi="Palatino Linotype" w:cs="Tahoma"/>
          <w:sz w:val="24"/>
          <w:szCs w:val="22"/>
        </w:rPr>
        <w:t xml:space="preserve">la respuesta a la solicitud de información pública </w:t>
      </w:r>
      <w:r w:rsidRPr="0028184F">
        <w:rPr>
          <w:rFonts w:ascii="Palatino Linotype" w:eastAsia="Calibri" w:hAnsi="Palatino Linotype" w:cs="Tahoma"/>
          <w:b/>
          <w:bCs/>
          <w:sz w:val="24"/>
          <w:szCs w:val="22"/>
          <w:lang w:eastAsia="en-US"/>
        </w:rPr>
        <w:t xml:space="preserve">00017/SESEA/IP/2019, </w:t>
      </w:r>
      <w:r w:rsidRPr="0028184F">
        <w:rPr>
          <w:rFonts w:ascii="Palatino Linotype" w:hAnsi="Palatino Linotype" w:cs="Tahoma"/>
          <w:bCs/>
          <w:sz w:val="24"/>
          <w:szCs w:val="22"/>
        </w:rPr>
        <w:t>que ha sido materia</w:t>
      </w:r>
      <w:r w:rsidRPr="0028184F">
        <w:rPr>
          <w:rFonts w:ascii="Palatino Linotype" w:hAnsi="Palatino Linotype" w:cs="Tahoma"/>
          <w:b/>
          <w:bCs/>
          <w:sz w:val="24"/>
          <w:szCs w:val="22"/>
        </w:rPr>
        <w:t xml:space="preserve"> </w:t>
      </w:r>
      <w:r w:rsidRPr="0028184F">
        <w:rPr>
          <w:rFonts w:ascii="Palatino Linotype" w:hAnsi="Palatino Linotype" w:cs="Tahoma"/>
          <w:bCs/>
          <w:sz w:val="24"/>
          <w:szCs w:val="22"/>
        </w:rPr>
        <w:t>del presente fallo.</w:t>
      </w:r>
    </w:p>
    <w:p w:rsidR="004140F5" w:rsidRPr="0028184F" w:rsidRDefault="004140F5" w:rsidP="004140F5">
      <w:pPr>
        <w:spacing w:line="360" w:lineRule="auto"/>
        <w:ind w:right="-93"/>
        <w:jc w:val="both"/>
        <w:rPr>
          <w:rFonts w:ascii="Palatino Linotype" w:hAnsi="Palatino Linotype" w:cs="Tahoma"/>
          <w:bCs/>
          <w:sz w:val="24"/>
          <w:szCs w:val="22"/>
        </w:rPr>
      </w:pPr>
    </w:p>
    <w:p w:rsidR="004140F5" w:rsidRDefault="004140F5" w:rsidP="004140F5">
      <w:pPr>
        <w:spacing w:line="360" w:lineRule="auto"/>
        <w:ind w:right="-93"/>
        <w:jc w:val="both"/>
        <w:rPr>
          <w:rFonts w:ascii="Palatino Linotype" w:eastAsia="Calibri" w:hAnsi="Palatino Linotype" w:cs="Tahoma"/>
          <w:bCs/>
          <w:sz w:val="24"/>
          <w:szCs w:val="22"/>
          <w:lang w:eastAsia="en-US"/>
        </w:rPr>
      </w:pPr>
      <w:r w:rsidRPr="0028184F">
        <w:rPr>
          <w:rFonts w:ascii="Palatino Linotype" w:eastAsia="Calibri" w:hAnsi="Palatino Linotype" w:cs="Tahoma"/>
          <w:bCs/>
          <w:sz w:val="24"/>
          <w:szCs w:val="22"/>
          <w:lang w:eastAsia="en-US"/>
        </w:rPr>
        <w:t>Por lo expuesto y fundado, este Pleno:</w:t>
      </w:r>
    </w:p>
    <w:p w:rsidR="004140F5" w:rsidRPr="0028184F" w:rsidRDefault="004140F5" w:rsidP="004140F5">
      <w:pPr>
        <w:spacing w:line="360" w:lineRule="auto"/>
        <w:ind w:right="-93"/>
        <w:jc w:val="both"/>
        <w:rPr>
          <w:rFonts w:ascii="Palatino Linotype" w:eastAsia="Calibri" w:hAnsi="Palatino Linotype" w:cs="Tahoma"/>
          <w:bCs/>
          <w:sz w:val="24"/>
          <w:szCs w:val="22"/>
          <w:lang w:eastAsia="en-US"/>
        </w:rPr>
      </w:pPr>
    </w:p>
    <w:p w:rsidR="004140F5" w:rsidRPr="0028184F" w:rsidRDefault="004140F5" w:rsidP="004140F5">
      <w:pPr>
        <w:spacing w:line="360" w:lineRule="auto"/>
        <w:ind w:right="-93"/>
        <w:jc w:val="center"/>
        <w:rPr>
          <w:rFonts w:ascii="Palatino Linotype" w:eastAsia="Calibri" w:hAnsi="Palatino Linotype" w:cs="Tahoma"/>
          <w:b/>
          <w:bCs/>
          <w:sz w:val="28"/>
          <w:szCs w:val="22"/>
          <w:lang w:eastAsia="en-US"/>
        </w:rPr>
      </w:pPr>
      <w:r w:rsidRPr="0028184F">
        <w:rPr>
          <w:rFonts w:ascii="Palatino Linotype" w:eastAsia="Calibri" w:hAnsi="Palatino Linotype" w:cs="Tahoma"/>
          <w:b/>
          <w:bCs/>
          <w:sz w:val="28"/>
          <w:szCs w:val="22"/>
          <w:lang w:eastAsia="en-US"/>
        </w:rPr>
        <w:t>R</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S</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U</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E</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L</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V</w:t>
      </w:r>
      <w:r>
        <w:rPr>
          <w:rFonts w:ascii="Palatino Linotype" w:eastAsia="Calibri" w:hAnsi="Palatino Linotype" w:cs="Tahoma"/>
          <w:b/>
          <w:bCs/>
          <w:sz w:val="28"/>
          <w:szCs w:val="22"/>
          <w:lang w:eastAsia="en-US"/>
        </w:rPr>
        <w:t xml:space="preserve"> </w:t>
      </w:r>
      <w:r w:rsidRPr="0028184F">
        <w:rPr>
          <w:rFonts w:ascii="Palatino Linotype" w:eastAsia="Calibri" w:hAnsi="Palatino Linotype" w:cs="Tahoma"/>
          <w:b/>
          <w:bCs/>
          <w:sz w:val="28"/>
          <w:szCs w:val="22"/>
          <w:lang w:eastAsia="en-US"/>
        </w:rPr>
        <w:t xml:space="preserve">E </w:t>
      </w:r>
    </w:p>
    <w:p w:rsidR="004140F5" w:rsidRPr="007F2678" w:rsidRDefault="004140F5" w:rsidP="004140F5">
      <w:pPr>
        <w:spacing w:line="360" w:lineRule="auto"/>
        <w:ind w:right="-93"/>
        <w:rPr>
          <w:rFonts w:ascii="Palatino Linotype" w:eastAsia="Calibri" w:hAnsi="Palatino Linotype" w:cs="Tahoma"/>
          <w:b/>
          <w:bCs/>
          <w:sz w:val="22"/>
          <w:szCs w:val="22"/>
          <w:lang w:eastAsia="en-US"/>
        </w:rPr>
      </w:pPr>
    </w:p>
    <w:p w:rsidR="004140F5" w:rsidRPr="0028184F" w:rsidRDefault="004140F5" w:rsidP="004140F5">
      <w:pPr>
        <w:spacing w:line="360" w:lineRule="auto"/>
        <w:jc w:val="both"/>
        <w:rPr>
          <w:rFonts w:ascii="Palatino Linotype" w:hAnsi="Palatino Linotype"/>
          <w:sz w:val="24"/>
          <w:szCs w:val="22"/>
        </w:rPr>
      </w:pPr>
      <w:r w:rsidRPr="0028184F">
        <w:rPr>
          <w:rFonts w:ascii="Palatino Linotype" w:hAnsi="Palatino Linotype"/>
          <w:b/>
          <w:sz w:val="28"/>
          <w:szCs w:val="22"/>
        </w:rPr>
        <w:t>PRIMERO</w:t>
      </w:r>
      <w:r w:rsidRPr="007F2678">
        <w:rPr>
          <w:rFonts w:ascii="Palatino Linotype" w:hAnsi="Palatino Linotype"/>
          <w:b/>
          <w:sz w:val="22"/>
          <w:szCs w:val="22"/>
        </w:rPr>
        <w:t xml:space="preserve">. </w:t>
      </w:r>
      <w:r w:rsidRPr="0028184F">
        <w:rPr>
          <w:rFonts w:ascii="Palatino Linotype" w:hAnsi="Palatino Linotype"/>
          <w:sz w:val="24"/>
          <w:szCs w:val="22"/>
        </w:rPr>
        <w:t xml:space="preserve">Se </w:t>
      </w:r>
      <w:r w:rsidRPr="0028184F">
        <w:rPr>
          <w:rFonts w:ascii="Palatino Linotype" w:hAnsi="Palatino Linotype"/>
          <w:b/>
          <w:sz w:val="24"/>
          <w:szCs w:val="22"/>
        </w:rPr>
        <w:t xml:space="preserve">CONFIRMA </w:t>
      </w:r>
      <w:r w:rsidRPr="0028184F">
        <w:rPr>
          <w:rFonts w:ascii="Palatino Linotype" w:hAnsi="Palatino Linotype"/>
          <w:sz w:val="24"/>
          <w:szCs w:val="22"/>
        </w:rPr>
        <w:t>la respuesta del Sujeto Obligado</w:t>
      </w:r>
      <w:r w:rsidRPr="0028184F">
        <w:rPr>
          <w:rFonts w:ascii="Palatino Linotype" w:hAnsi="Palatino Linotype"/>
          <w:b/>
          <w:sz w:val="24"/>
          <w:szCs w:val="22"/>
        </w:rPr>
        <w:t xml:space="preserve"> </w:t>
      </w:r>
      <w:r w:rsidRPr="0028184F">
        <w:rPr>
          <w:rFonts w:ascii="Palatino Linotype" w:hAnsi="Palatino Linotype"/>
          <w:bCs/>
          <w:sz w:val="24"/>
          <w:szCs w:val="22"/>
        </w:rPr>
        <w:t xml:space="preserve">a la solicitud de información </w:t>
      </w:r>
      <w:r w:rsidRPr="0028184F">
        <w:rPr>
          <w:rFonts w:ascii="Palatino Linotype" w:eastAsia="Calibri" w:hAnsi="Palatino Linotype" w:cs="Tahoma"/>
          <w:b/>
          <w:bCs/>
          <w:sz w:val="24"/>
          <w:szCs w:val="22"/>
          <w:lang w:eastAsia="en-US"/>
        </w:rPr>
        <w:t>00017/SESEA/IP/2019</w:t>
      </w:r>
      <w:r w:rsidRPr="0028184F">
        <w:rPr>
          <w:rFonts w:ascii="Palatino Linotype" w:hAnsi="Palatino Linotype" w:cs="Tahoma"/>
          <w:b/>
          <w:bCs/>
          <w:sz w:val="24"/>
          <w:szCs w:val="22"/>
        </w:rPr>
        <w:t xml:space="preserve">, </w:t>
      </w:r>
      <w:r w:rsidRPr="0028184F">
        <w:rPr>
          <w:rFonts w:ascii="Palatino Linotype" w:hAnsi="Palatino Linotype"/>
          <w:sz w:val="24"/>
          <w:szCs w:val="22"/>
        </w:rPr>
        <w:t xml:space="preserve">por resultar infundadas las razones o motivos de inconformidad hechos </w:t>
      </w:r>
      <w:r w:rsidRPr="0028184F">
        <w:rPr>
          <w:rFonts w:ascii="Palatino Linotype" w:hAnsi="Palatino Linotype" w:cs="Tahoma"/>
          <w:sz w:val="24"/>
          <w:szCs w:val="22"/>
        </w:rPr>
        <w:t>valer</w:t>
      </w:r>
      <w:r w:rsidRPr="0028184F">
        <w:rPr>
          <w:rFonts w:ascii="Palatino Linotype" w:hAnsi="Palatino Linotype"/>
          <w:sz w:val="24"/>
          <w:szCs w:val="22"/>
        </w:rPr>
        <w:t xml:space="preserve"> por la Recurrente en el Recurso de Revisión </w:t>
      </w:r>
      <w:r w:rsidRPr="0028184F">
        <w:rPr>
          <w:rFonts w:ascii="Palatino Linotype" w:eastAsia="Calibri" w:hAnsi="Palatino Linotype" w:cs="Tahoma"/>
          <w:b/>
          <w:bCs/>
          <w:sz w:val="24"/>
          <w:szCs w:val="22"/>
          <w:lang w:eastAsia="en-US"/>
        </w:rPr>
        <w:t>03556/INFOEM/IP/RR/2019</w:t>
      </w:r>
      <w:r w:rsidRPr="0028184F">
        <w:rPr>
          <w:rFonts w:ascii="Palatino Linotype" w:hAnsi="Palatino Linotype"/>
          <w:sz w:val="24"/>
          <w:szCs w:val="22"/>
        </w:rPr>
        <w:t xml:space="preserve">, en términos del Considerando </w:t>
      </w:r>
      <w:r w:rsidRPr="0028184F">
        <w:rPr>
          <w:rFonts w:ascii="Palatino Linotype" w:hAnsi="Palatino Linotype"/>
          <w:b/>
          <w:sz w:val="24"/>
          <w:szCs w:val="22"/>
        </w:rPr>
        <w:t xml:space="preserve">QUINTO </w:t>
      </w:r>
      <w:r w:rsidRPr="0028184F">
        <w:rPr>
          <w:rFonts w:ascii="Palatino Linotype" w:hAnsi="Palatino Linotype"/>
          <w:sz w:val="24"/>
          <w:szCs w:val="22"/>
        </w:rPr>
        <w:t>de esta Resolución.</w:t>
      </w:r>
    </w:p>
    <w:p w:rsidR="004140F5" w:rsidRPr="0028184F" w:rsidRDefault="004140F5" w:rsidP="004140F5">
      <w:pPr>
        <w:spacing w:line="360" w:lineRule="auto"/>
        <w:jc w:val="both"/>
        <w:rPr>
          <w:rFonts w:ascii="Palatino Linotype" w:hAnsi="Palatino Linotype" w:cs="Arial"/>
          <w:sz w:val="24"/>
          <w:szCs w:val="22"/>
        </w:rPr>
      </w:pPr>
    </w:p>
    <w:p w:rsidR="004140F5" w:rsidRPr="0028184F" w:rsidRDefault="004140F5" w:rsidP="004140F5">
      <w:pPr>
        <w:spacing w:line="360" w:lineRule="auto"/>
        <w:jc w:val="both"/>
        <w:rPr>
          <w:rFonts w:ascii="Palatino Linotype" w:hAnsi="Palatino Linotype" w:cs="Tahoma"/>
          <w:i/>
          <w:sz w:val="24"/>
          <w:szCs w:val="22"/>
        </w:rPr>
      </w:pPr>
      <w:r w:rsidRPr="0028184F">
        <w:rPr>
          <w:rFonts w:ascii="Palatino Linotype" w:eastAsia="Calibri" w:hAnsi="Palatino Linotype" w:cs="Tahoma"/>
          <w:b/>
          <w:bCs/>
          <w:sz w:val="28"/>
          <w:szCs w:val="22"/>
          <w:lang w:eastAsia="en-US"/>
        </w:rPr>
        <w:t>SEGUNDO</w:t>
      </w:r>
      <w:r w:rsidRPr="007F2678">
        <w:rPr>
          <w:rFonts w:ascii="Palatino Linotype" w:eastAsia="Calibri" w:hAnsi="Palatino Linotype" w:cs="Tahoma"/>
          <w:b/>
          <w:bCs/>
          <w:sz w:val="22"/>
          <w:szCs w:val="22"/>
          <w:lang w:eastAsia="en-US"/>
        </w:rPr>
        <w:t xml:space="preserve">. </w:t>
      </w:r>
      <w:r w:rsidRPr="0028184F">
        <w:rPr>
          <w:rFonts w:ascii="Palatino Linotype" w:hAnsi="Palatino Linotype" w:cs="Tahoma"/>
          <w:b/>
          <w:sz w:val="24"/>
          <w:szCs w:val="22"/>
        </w:rPr>
        <w:t xml:space="preserve">NOTIFÍQUESE </w:t>
      </w:r>
      <w:r w:rsidRPr="0028184F">
        <w:rPr>
          <w:rFonts w:ascii="Palatino Linotype" w:hAnsi="Palatino Linotype" w:cs="Tahoma"/>
          <w:sz w:val="24"/>
          <w:szCs w:val="22"/>
        </w:rPr>
        <w:t>la presente Resolución al Titular de la Unidad de Transparencia del Sujeto Obligado.</w:t>
      </w:r>
    </w:p>
    <w:p w:rsidR="004140F5" w:rsidRPr="0028184F" w:rsidRDefault="004140F5" w:rsidP="004140F5">
      <w:pPr>
        <w:shd w:val="clear" w:color="auto" w:fill="FFFFFF" w:themeFill="background1"/>
        <w:spacing w:line="360" w:lineRule="auto"/>
        <w:jc w:val="both"/>
        <w:rPr>
          <w:rFonts w:ascii="Palatino Linotype" w:eastAsia="Calibri" w:hAnsi="Palatino Linotype" w:cs="Tahoma"/>
          <w:sz w:val="24"/>
          <w:szCs w:val="22"/>
          <w:lang w:eastAsia="es-MX"/>
        </w:rPr>
      </w:pPr>
    </w:p>
    <w:p w:rsidR="004140F5" w:rsidRPr="00514CFF" w:rsidRDefault="004140F5" w:rsidP="004140F5">
      <w:pPr>
        <w:shd w:val="clear" w:color="auto" w:fill="FFFFFF" w:themeFill="background1"/>
        <w:spacing w:line="360" w:lineRule="auto"/>
        <w:jc w:val="both"/>
        <w:rPr>
          <w:rFonts w:ascii="Palatino Linotype" w:hAnsi="Palatino Linotype" w:cs="Tahoma"/>
          <w:sz w:val="24"/>
          <w:szCs w:val="22"/>
        </w:rPr>
      </w:pPr>
      <w:r w:rsidRPr="00514CFF">
        <w:rPr>
          <w:rFonts w:ascii="Palatino Linotype" w:eastAsia="Calibri" w:hAnsi="Palatino Linotype" w:cs="Tahoma"/>
          <w:b/>
          <w:sz w:val="24"/>
          <w:szCs w:val="22"/>
          <w:lang w:eastAsia="es-MX"/>
        </w:rPr>
        <w:lastRenderedPageBreak/>
        <w:t>TERCERO</w:t>
      </w:r>
      <w:r w:rsidRPr="007F2678">
        <w:rPr>
          <w:rFonts w:ascii="Palatino Linotype" w:eastAsia="Calibri" w:hAnsi="Palatino Linotype" w:cs="Tahoma"/>
          <w:b/>
          <w:bCs/>
          <w:sz w:val="22"/>
          <w:szCs w:val="22"/>
          <w:lang w:eastAsia="en-US"/>
        </w:rPr>
        <w:t xml:space="preserve">. </w:t>
      </w:r>
      <w:r w:rsidRPr="00514CFF">
        <w:rPr>
          <w:rFonts w:ascii="Palatino Linotype" w:hAnsi="Palatino Linotype" w:cs="Tahoma"/>
          <w:b/>
          <w:sz w:val="24"/>
          <w:szCs w:val="22"/>
        </w:rPr>
        <w:t>NOTIFÍQUESE</w:t>
      </w:r>
      <w:r w:rsidRPr="00514CFF">
        <w:rPr>
          <w:rFonts w:ascii="Palatino Linotype" w:hAnsi="Palatino Linotype" w:cs="Tahoma"/>
          <w:sz w:val="24"/>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140F5" w:rsidRPr="00514CFF" w:rsidRDefault="004140F5" w:rsidP="004140F5">
      <w:pPr>
        <w:spacing w:line="360" w:lineRule="auto"/>
        <w:ind w:right="-93"/>
        <w:jc w:val="both"/>
        <w:rPr>
          <w:rFonts w:ascii="Palatino Linotype" w:eastAsia="Calibri" w:hAnsi="Palatino Linotype" w:cs="Tahoma"/>
          <w:b/>
          <w:bCs/>
          <w:sz w:val="24"/>
          <w:szCs w:val="22"/>
          <w:lang w:eastAsia="en-US"/>
        </w:rPr>
      </w:pPr>
    </w:p>
    <w:p w:rsidR="004140F5" w:rsidRDefault="004140F5" w:rsidP="004140F5">
      <w:pPr>
        <w:spacing w:line="360" w:lineRule="auto"/>
        <w:jc w:val="both"/>
        <w:rPr>
          <w:rFonts w:ascii="Palatino Linotype" w:hAnsi="Palatino Linotype" w:cs="Tahoma"/>
          <w:sz w:val="24"/>
          <w:szCs w:val="22"/>
          <w:lang w:eastAsia="es-MX"/>
        </w:rPr>
      </w:pPr>
      <w:r w:rsidRPr="00514CFF">
        <w:rPr>
          <w:rFonts w:ascii="Palatino Linotype" w:hAnsi="Palatino Linotype" w:cs="Tahoma"/>
          <w:sz w:val="24"/>
          <w:szCs w:val="22"/>
          <w:lang w:eastAsia="es-MX"/>
        </w:rPr>
        <w:t xml:space="preserve">ASÍ, POR </w:t>
      </w:r>
      <w:r w:rsidRPr="00514CFF">
        <w:rPr>
          <w:rFonts w:ascii="Palatino Linotype" w:hAnsi="Palatino Linotype" w:cs="Tahoma"/>
          <w:b/>
          <w:sz w:val="24"/>
          <w:szCs w:val="22"/>
          <w:lang w:eastAsia="es-MX"/>
        </w:rPr>
        <w:t>UNANIMIDAD</w:t>
      </w:r>
      <w:r w:rsidRPr="00514CFF">
        <w:rPr>
          <w:rFonts w:ascii="Palatino Linotype" w:hAnsi="Palatino Linotype" w:cs="Tahoma"/>
          <w:sz w:val="24"/>
          <w:szCs w:val="22"/>
          <w:lang w:eastAsia="es-MX"/>
        </w:rPr>
        <w:t xml:space="preserve"> DE VOTOS</w:t>
      </w:r>
      <w:r>
        <w:rPr>
          <w:rFonts w:ascii="Palatino Linotype" w:hAnsi="Palatino Linotype" w:cs="Tahoma"/>
          <w:sz w:val="24"/>
          <w:szCs w:val="22"/>
          <w:lang w:eastAsia="es-MX"/>
        </w:rPr>
        <w:t xml:space="preserve"> </w:t>
      </w:r>
      <w:r w:rsidRPr="00514CFF">
        <w:rPr>
          <w:rFonts w:ascii="Palatino Linotype" w:hAnsi="Palatino Linotype" w:cs="Tahoma"/>
          <w:sz w:val="24"/>
          <w:szCs w:val="22"/>
          <w:lang w:eastAsia="es-MX"/>
        </w:rPr>
        <w:t xml:space="preserve">LO RESOLVIERON Y FIRMAN LOS COMISIONADOS DEL INSTITUTO DE TRANSPARENCIA, ACCESO A LA INFORMACIÓN PÚBLICA Y PROTECCIÓN DE DATOS PERSONALES DEL ESTADO DE MÉXICO Y MUNICIPIOS, ZULEMA MARTÍNEZ SÁNCHEZ CON VOTO PARTICULAR CONCURRENTE; </w:t>
      </w:r>
      <w:r w:rsidRPr="00514CFF">
        <w:rPr>
          <w:rFonts w:ascii="Palatino Linotype" w:hAnsi="Palatino Linotype" w:cs="Tahoma"/>
          <w:bCs/>
          <w:sz w:val="24"/>
          <w:szCs w:val="22"/>
          <w:lang w:eastAsia="es-MX"/>
        </w:rPr>
        <w:t>EVA ABAID YAPUR</w:t>
      </w:r>
      <w:r w:rsidRPr="00514CFF">
        <w:rPr>
          <w:rFonts w:ascii="Palatino Linotype" w:hAnsi="Palatino Linotype" w:cs="Tahoma"/>
          <w:sz w:val="24"/>
          <w:szCs w:val="22"/>
          <w:lang w:eastAsia="es-MX"/>
        </w:rPr>
        <w:t xml:space="preserve">; JOSÉ GUADALUPE LUNA HERNÁNDEZ (AUSENCIA JUSTIFICADA); </w:t>
      </w:r>
      <w:r w:rsidRPr="00514CFF">
        <w:rPr>
          <w:rFonts w:ascii="Palatino Linotype" w:hAnsi="Palatino Linotype" w:cs="Tahoma"/>
          <w:sz w:val="24"/>
          <w:szCs w:val="22"/>
          <w:lang w:val="es-ES_tradnl" w:eastAsia="es-MX"/>
        </w:rPr>
        <w:t>JAVIER MARTÍNEZ CRUZ</w:t>
      </w:r>
      <w:r>
        <w:rPr>
          <w:rFonts w:ascii="Palatino Linotype" w:hAnsi="Palatino Linotype" w:cs="Tahoma"/>
          <w:sz w:val="24"/>
          <w:szCs w:val="22"/>
          <w:lang w:val="es-ES_tradnl" w:eastAsia="es-MX"/>
        </w:rPr>
        <w:t xml:space="preserve"> (AUSENCIA JUSTIFICADA)</w:t>
      </w:r>
      <w:r w:rsidRPr="00514CFF">
        <w:rPr>
          <w:rFonts w:ascii="Palatino Linotype" w:hAnsi="Palatino Linotype" w:cs="Tahoma"/>
          <w:sz w:val="24"/>
          <w:szCs w:val="22"/>
          <w:lang w:val="es-ES_tradnl" w:eastAsia="es-MX"/>
        </w:rPr>
        <w:t xml:space="preserve"> Y LUIS GUSTAVO PARRA NORIEGA</w:t>
      </w:r>
      <w:r>
        <w:rPr>
          <w:rFonts w:ascii="Palatino Linotype" w:hAnsi="Palatino Linotype" w:cs="Tahoma"/>
          <w:sz w:val="24"/>
          <w:szCs w:val="22"/>
          <w:lang w:val="es-ES_tradnl" w:eastAsia="es-MX"/>
        </w:rPr>
        <w:t xml:space="preserve"> (AUSENCIA JUSTIFICADA)</w:t>
      </w:r>
      <w:r w:rsidRPr="00514CFF">
        <w:rPr>
          <w:rFonts w:ascii="Palatino Linotype" w:hAnsi="Palatino Linotype" w:cs="Tahoma"/>
          <w:sz w:val="24"/>
          <w:szCs w:val="22"/>
          <w:lang w:eastAsia="es-MX"/>
        </w:rPr>
        <w:t>, EN LA VIGÉSIMA SEXTA SESIÓN ORDINARIA, CELEBRADA EL DIEZ DE JULIO  DE DOS MIL DIECINUEVE, ANTE EL SECRETARIO TÉCNICO DEL PLENO, ALEXIS TAPIA RAMÍREZ. --------------</w:t>
      </w: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p w:rsidR="004140F5" w:rsidRPr="00514CFF" w:rsidRDefault="004140F5" w:rsidP="004140F5">
      <w:pPr>
        <w:spacing w:line="360" w:lineRule="auto"/>
        <w:jc w:val="both"/>
        <w:rPr>
          <w:rFonts w:ascii="Palatino Linotype" w:hAnsi="Palatino Linotype" w:cs="Tahoma"/>
          <w:sz w:val="24"/>
          <w:szCs w:val="22"/>
          <w:lang w:eastAsia="es-MX"/>
        </w:rPr>
      </w:pPr>
      <w:r>
        <w:rPr>
          <w:rFonts w:ascii="Palatino Linotype" w:hAnsi="Palatino Linotype" w:cs="Tahoma"/>
          <w:sz w:val="24"/>
          <w:szCs w:val="22"/>
          <w:lang w:eastAsia="es-MX"/>
        </w:rPr>
        <w:t>------------------------------------</w:t>
      </w:r>
      <w:r w:rsidRPr="00514CFF">
        <w:rPr>
          <w:rFonts w:ascii="Palatino Linotype" w:hAnsi="Palatino Linotype" w:cs="Tahoma"/>
          <w:sz w:val="24"/>
          <w:szCs w:val="22"/>
          <w:lang w:eastAsia="es-MX"/>
        </w:rPr>
        <w:t>-----------------------------------------------------------------------------</w:t>
      </w:r>
    </w:p>
    <w:tbl>
      <w:tblPr>
        <w:tblW w:w="9072" w:type="dxa"/>
        <w:tblInd w:w="137" w:type="dxa"/>
        <w:tblLook w:val="04A0" w:firstRow="1" w:lastRow="0" w:firstColumn="1" w:lastColumn="0" w:noHBand="0" w:noVBand="1"/>
      </w:tblPr>
      <w:tblGrid>
        <w:gridCol w:w="4536"/>
        <w:gridCol w:w="4536"/>
      </w:tblGrid>
      <w:tr w:rsidR="004140F5" w:rsidRPr="007F2678" w:rsidTr="003450B7">
        <w:tc>
          <w:tcPr>
            <w:tcW w:w="9072" w:type="dxa"/>
            <w:gridSpan w:val="2"/>
          </w:tcPr>
          <w:p w:rsidR="004140F5" w:rsidRPr="00514CFF" w:rsidRDefault="004140F5" w:rsidP="003450B7">
            <w:pPr>
              <w:spacing w:line="276" w:lineRule="auto"/>
              <w:jc w:val="center"/>
              <w:rPr>
                <w:rFonts w:ascii="Palatino Linotype" w:eastAsia="Calibri" w:hAnsi="Palatino Linotype" w:cs="Tahoma"/>
                <w:b/>
                <w:sz w:val="24"/>
                <w:szCs w:val="22"/>
                <w:lang w:eastAsia="es-MX"/>
              </w:rPr>
            </w:pPr>
          </w:p>
          <w:p w:rsidR="004140F5" w:rsidRPr="00514CFF" w:rsidRDefault="004140F5" w:rsidP="003450B7">
            <w:pPr>
              <w:spacing w:line="276" w:lineRule="auto"/>
              <w:jc w:val="center"/>
              <w:rPr>
                <w:rFonts w:ascii="Palatino Linotype" w:eastAsia="Calibri" w:hAnsi="Palatino Linotype" w:cs="Tahoma"/>
                <w:b/>
                <w:sz w:val="24"/>
                <w:szCs w:val="22"/>
                <w:lang w:eastAsia="es-MX"/>
              </w:rPr>
            </w:pPr>
          </w:p>
          <w:p w:rsidR="004140F5" w:rsidRPr="00514CFF" w:rsidRDefault="004140F5" w:rsidP="003450B7">
            <w:pPr>
              <w:spacing w:line="276" w:lineRule="auto"/>
              <w:jc w:val="center"/>
              <w:rPr>
                <w:rFonts w:ascii="Palatino Linotype" w:eastAsia="Calibri" w:hAnsi="Palatino Linotype" w:cs="Tahoma"/>
                <w:b/>
                <w:sz w:val="24"/>
                <w:szCs w:val="22"/>
                <w:lang w:eastAsia="es-MX"/>
              </w:rPr>
            </w:pPr>
          </w:p>
          <w:p w:rsidR="004140F5" w:rsidRPr="00514CFF" w:rsidRDefault="004140F5" w:rsidP="003450B7">
            <w:pPr>
              <w:tabs>
                <w:tab w:val="left" w:pos="2445"/>
                <w:tab w:val="center" w:pos="4428"/>
              </w:tabs>
              <w:spacing w:line="276" w:lineRule="auto"/>
              <w:jc w:val="center"/>
              <w:rPr>
                <w:rFonts w:ascii="Palatino Linotype" w:eastAsia="Calibri" w:hAnsi="Palatino Linotype" w:cs="Tahoma"/>
                <w:b/>
                <w:sz w:val="24"/>
                <w:szCs w:val="22"/>
                <w:lang w:eastAsia="es-MX"/>
              </w:rPr>
            </w:pPr>
            <w:r w:rsidRPr="00514CFF">
              <w:rPr>
                <w:rFonts w:ascii="Palatino Linotype" w:eastAsia="Calibri" w:hAnsi="Palatino Linotype" w:cs="Tahoma"/>
                <w:b/>
                <w:sz w:val="24"/>
                <w:szCs w:val="22"/>
                <w:lang w:eastAsia="es-MX"/>
              </w:rPr>
              <w:t>Zulema Martínez Sánchez</w:t>
            </w:r>
          </w:p>
          <w:p w:rsidR="004140F5" w:rsidRPr="00514CFF" w:rsidRDefault="004140F5" w:rsidP="003450B7">
            <w:pPr>
              <w:spacing w:line="276" w:lineRule="auto"/>
              <w:ind w:right="-108"/>
              <w:jc w:val="center"/>
              <w:rPr>
                <w:rFonts w:ascii="Palatino Linotype" w:eastAsia="Calibri" w:hAnsi="Palatino Linotype" w:cs="Tahoma"/>
                <w:sz w:val="24"/>
                <w:szCs w:val="22"/>
                <w:lang w:eastAsia="es-MX"/>
              </w:rPr>
            </w:pPr>
            <w:r w:rsidRPr="00514CFF">
              <w:rPr>
                <w:rFonts w:ascii="Palatino Linotype" w:eastAsia="Calibri" w:hAnsi="Palatino Linotype" w:cs="Tahoma"/>
                <w:sz w:val="24"/>
                <w:szCs w:val="22"/>
                <w:lang w:eastAsia="es-MX"/>
              </w:rPr>
              <w:t>Comisionada Presidenta</w:t>
            </w:r>
          </w:p>
          <w:p w:rsidR="004140F5" w:rsidRPr="00936846" w:rsidRDefault="004140F5" w:rsidP="003450B7">
            <w:pPr>
              <w:spacing w:line="276" w:lineRule="auto"/>
              <w:jc w:val="center"/>
              <w:rPr>
                <w:rFonts w:ascii="Palatino Linotype" w:eastAsia="Calibri" w:hAnsi="Palatino Linotype" w:cs="Tahoma"/>
                <w:sz w:val="24"/>
                <w:szCs w:val="22"/>
                <w:lang w:eastAsia="es-MX"/>
              </w:rPr>
            </w:pPr>
          </w:p>
          <w:p w:rsidR="004140F5" w:rsidRPr="00514CFF" w:rsidRDefault="004140F5" w:rsidP="003450B7">
            <w:pPr>
              <w:spacing w:line="360" w:lineRule="auto"/>
              <w:ind w:right="-108"/>
              <w:rPr>
                <w:rFonts w:ascii="Palatino Linotype" w:eastAsia="Calibri" w:hAnsi="Palatino Linotype" w:cs="Tahoma"/>
                <w:b/>
                <w:sz w:val="24"/>
                <w:szCs w:val="22"/>
              </w:rPr>
            </w:pPr>
          </w:p>
          <w:p w:rsidR="004140F5" w:rsidRPr="00514CFF" w:rsidRDefault="004140F5" w:rsidP="003450B7">
            <w:pPr>
              <w:spacing w:line="360" w:lineRule="auto"/>
              <w:ind w:right="-108"/>
              <w:rPr>
                <w:rFonts w:ascii="Palatino Linotype" w:eastAsia="Calibri" w:hAnsi="Palatino Linotype" w:cs="Tahoma"/>
                <w:b/>
                <w:sz w:val="24"/>
                <w:szCs w:val="22"/>
              </w:rPr>
            </w:pPr>
          </w:p>
          <w:p w:rsidR="004140F5" w:rsidRPr="007F2678" w:rsidRDefault="004140F5" w:rsidP="003450B7">
            <w:pPr>
              <w:spacing w:line="360" w:lineRule="auto"/>
              <w:ind w:right="-108"/>
              <w:rPr>
                <w:rFonts w:ascii="Palatino Linotype" w:eastAsia="Calibri" w:hAnsi="Palatino Linotype" w:cs="Tahoma"/>
                <w:b/>
                <w:sz w:val="22"/>
                <w:szCs w:val="22"/>
              </w:rPr>
            </w:pPr>
          </w:p>
        </w:tc>
      </w:tr>
      <w:tr w:rsidR="004140F5" w:rsidRPr="007F2678" w:rsidTr="003450B7">
        <w:trPr>
          <w:trHeight w:val="2797"/>
        </w:trPr>
        <w:tc>
          <w:tcPr>
            <w:tcW w:w="4536" w:type="dxa"/>
          </w:tcPr>
          <w:p w:rsidR="004140F5" w:rsidRPr="00514CFF" w:rsidRDefault="004140F5" w:rsidP="003450B7">
            <w:pPr>
              <w:spacing w:line="276" w:lineRule="auto"/>
              <w:ind w:right="-108"/>
              <w:jc w:val="center"/>
              <w:rPr>
                <w:rFonts w:ascii="Palatino Linotype" w:eastAsia="Calibri" w:hAnsi="Palatino Linotype" w:cs="Tahoma"/>
                <w:b/>
                <w:sz w:val="24"/>
                <w:szCs w:val="22"/>
              </w:rPr>
            </w:pPr>
            <w:r w:rsidRPr="00514CFF">
              <w:rPr>
                <w:rFonts w:ascii="Palatino Linotype" w:eastAsia="Calibri" w:hAnsi="Palatino Linotype" w:cs="Tahoma"/>
                <w:b/>
                <w:sz w:val="24"/>
                <w:szCs w:val="22"/>
              </w:rPr>
              <w:t xml:space="preserve">Eva Abaid Yapur </w:t>
            </w:r>
          </w:p>
          <w:p w:rsidR="004140F5" w:rsidRPr="00514CFF" w:rsidRDefault="004140F5" w:rsidP="003450B7">
            <w:pPr>
              <w:spacing w:line="276" w:lineRule="auto"/>
              <w:ind w:right="-108"/>
              <w:jc w:val="center"/>
              <w:rPr>
                <w:rFonts w:ascii="Palatino Linotype" w:eastAsia="Calibri" w:hAnsi="Palatino Linotype" w:cs="Tahoma"/>
                <w:sz w:val="24"/>
                <w:szCs w:val="22"/>
              </w:rPr>
            </w:pPr>
            <w:r w:rsidRPr="00514CFF">
              <w:rPr>
                <w:rFonts w:ascii="Palatino Linotype" w:eastAsia="Calibri" w:hAnsi="Palatino Linotype" w:cs="Tahoma"/>
                <w:sz w:val="24"/>
                <w:szCs w:val="22"/>
              </w:rPr>
              <w:t>Comisionada</w:t>
            </w:r>
          </w:p>
          <w:p w:rsidR="004140F5" w:rsidRPr="00936846" w:rsidRDefault="004140F5" w:rsidP="003450B7">
            <w:pPr>
              <w:spacing w:line="276" w:lineRule="auto"/>
              <w:jc w:val="center"/>
              <w:rPr>
                <w:rFonts w:ascii="Palatino Linotype" w:eastAsia="Calibri" w:hAnsi="Palatino Linotype" w:cs="Tahoma"/>
                <w:sz w:val="24"/>
                <w:szCs w:val="22"/>
                <w:lang w:eastAsia="es-MX"/>
              </w:rPr>
            </w:pPr>
          </w:p>
          <w:p w:rsidR="004140F5" w:rsidRPr="00514CFF" w:rsidRDefault="004140F5" w:rsidP="003450B7">
            <w:pPr>
              <w:spacing w:line="360" w:lineRule="auto"/>
              <w:rPr>
                <w:rFonts w:ascii="Palatino Linotype" w:eastAsia="Calibri" w:hAnsi="Palatino Linotype" w:cs="Tahoma"/>
                <w:sz w:val="24"/>
                <w:szCs w:val="22"/>
                <w:lang w:eastAsia="es-MX"/>
              </w:rPr>
            </w:pPr>
          </w:p>
          <w:p w:rsidR="004140F5" w:rsidRPr="00514CFF" w:rsidRDefault="004140F5" w:rsidP="003450B7">
            <w:pPr>
              <w:spacing w:line="360" w:lineRule="auto"/>
              <w:rPr>
                <w:rFonts w:ascii="Palatino Linotype" w:eastAsia="Calibri" w:hAnsi="Palatino Linotype" w:cs="Tahoma"/>
                <w:sz w:val="24"/>
                <w:szCs w:val="22"/>
                <w:lang w:eastAsia="es-MX"/>
              </w:rPr>
            </w:pPr>
          </w:p>
          <w:p w:rsidR="004140F5" w:rsidRPr="007F2678" w:rsidRDefault="004140F5" w:rsidP="003450B7">
            <w:pPr>
              <w:spacing w:line="360" w:lineRule="auto"/>
              <w:rPr>
                <w:rFonts w:ascii="Palatino Linotype" w:eastAsia="Calibri" w:hAnsi="Palatino Linotype" w:cs="Tahoma"/>
                <w:sz w:val="22"/>
                <w:szCs w:val="22"/>
                <w:lang w:eastAsia="es-MX"/>
              </w:rPr>
            </w:pPr>
          </w:p>
        </w:tc>
        <w:tc>
          <w:tcPr>
            <w:tcW w:w="4536" w:type="dxa"/>
          </w:tcPr>
          <w:p w:rsidR="004140F5" w:rsidRPr="00514CFF" w:rsidRDefault="004140F5" w:rsidP="003450B7">
            <w:pPr>
              <w:spacing w:line="276" w:lineRule="auto"/>
              <w:ind w:right="-108"/>
              <w:jc w:val="center"/>
              <w:rPr>
                <w:rFonts w:ascii="Palatino Linotype" w:eastAsia="Calibri" w:hAnsi="Palatino Linotype" w:cs="Tahoma"/>
                <w:b/>
                <w:sz w:val="24"/>
                <w:szCs w:val="22"/>
                <w:lang w:eastAsia="es-MX"/>
              </w:rPr>
            </w:pPr>
            <w:r w:rsidRPr="00514CFF">
              <w:rPr>
                <w:rFonts w:ascii="Palatino Linotype" w:eastAsia="Calibri" w:hAnsi="Palatino Linotype" w:cs="Tahoma"/>
                <w:b/>
                <w:sz w:val="24"/>
                <w:szCs w:val="22"/>
                <w:lang w:eastAsia="es-MX"/>
              </w:rPr>
              <w:t>José Guadalupe Luna Hernández</w:t>
            </w:r>
          </w:p>
          <w:p w:rsidR="004140F5" w:rsidRPr="00514CFF" w:rsidRDefault="004140F5" w:rsidP="003450B7">
            <w:pPr>
              <w:spacing w:line="276" w:lineRule="auto"/>
              <w:ind w:right="-108"/>
              <w:jc w:val="center"/>
              <w:rPr>
                <w:rFonts w:ascii="Palatino Linotype" w:eastAsia="Calibri" w:hAnsi="Palatino Linotype" w:cs="Tahoma"/>
                <w:sz w:val="24"/>
                <w:szCs w:val="22"/>
                <w:lang w:eastAsia="es-MX"/>
              </w:rPr>
            </w:pPr>
            <w:r w:rsidRPr="00514CFF">
              <w:rPr>
                <w:rFonts w:ascii="Palatino Linotype" w:eastAsia="Calibri" w:hAnsi="Palatino Linotype" w:cs="Tahoma"/>
                <w:sz w:val="24"/>
                <w:szCs w:val="22"/>
                <w:lang w:eastAsia="es-MX"/>
              </w:rPr>
              <w:t>Comisionado</w:t>
            </w:r>
          </w:p>
          <w:p w:rsidR="004140F5" w:rsidRPr="00936846" w:rsidRDefault="004140F5" w:rsidP="003450B7">
            <w:pPr>
              <w:spacing w:line="276" w:lineRule="auto"/>
              <w:jc w:val="center"/>
              <w:rPr>
                <w:rFonts w:ascii="Palatino Linotype" w:eastAsia="Calibri" w:hAnsi="Palatino Linotype" w:cs="Tahoma"/>
                <w:sz w:val="22"/>
                <w:szCs w:val="22"/>
                <w:lang w:eastAsia="es-MX"/>
              </w:rPr>
            </w:pPr>
          </w:p>
        </w:tc>
      </w:tr>
      <w:tr w:rsidR="004140F5" w:rsidRPr="007F2678" w:rsidTr="003450B7">
        <w:trPr>
          <w:trHeight w:val="2519"/>
        </w:trPr>
        <w:tc>
          <w:tcPr>
            <w:tcW w:w="4536" w:type="dxa"/>
          </w:tcPr>
          <w:p w:rsidR="004140F5" w:rsidRPr="00514CFF" w:rsidRDefault="004140F5" w:rsidP="003450B7">
            <w:pPr>
              <w:spacing w:line="276" w:lineRule="auto"/>
              <w:jc w:val="center"/>
              <w:rPr>
                <w:rFonts w:ascii="Palatino Linotype" w:eastAsia="Calibri" w:hAnsi="Palatino Linotype" w:cs="Tahoma"/>
                <w:b/>
                <w:sz w:val="24"/>
                <w:szCs w:val="22"/>
                <w:lang w:val="es-ES_tradnl"/>
              </w:rPr>
            </w:pPr>
            <w:r w:rsidRPr="00514CFF">
              <w:rPr>
                <w:rFonts w:ascii="Palatino Linotype" w:eastAsia="Calibri" w:hAnsi="Palatino Linotype" w:cs="Tahoma"/>
                <w:b/>
                <w:sz w:val="24"/>
                <w:szCs w:val="22"/>
                <w:lang w:val="es-ES_tradnl"/>
              </w:rPr>
              <w:t xml:space="preserve">Javier Martínez Cruz </w:t>
            </w:r>
          </w:p>
          <w:p w:rsidR="004140F5" w:rsidRPr="00514CFF" w:rsidRDefault="004140F5" w:rsidP="003450B7">
            <w:pPr>
              <w:spacing w:line="276" w:lineRule="auto"/>
              <w:jc w:val="center"/>
              <w:rPr>
                <w:rFonts w:ascii="Palatino Linotype" w:eastAsia="Calibri" w:hAnsi="Palatino Linotype" w:cs="Tahoma"/>
                <w:b/>
                <w:sz w:val="24"/>
                <w:szCs w:val="22"/>
              </w:rPr>
            </w:pPr>
            <w:r w:rsidRPr="00514CFF">
              <w:rPr>
                <w:rFonts w:ascii="Palatino Linotype" w:eastAsia="Calibri" w:hAnsi="Palatino Linotype" w:cs="Tahoma"/>
                <w:sz w:val="24"/>
                <w:szCs w:val="22"/>
              </w:rPr>
              <w:t>Comisionado</w:t>
            </w:r>
          </w:p>
          <w:p w:rsidR="004140F5" w:rsidRPr="00936846" w:rsidRDefault="004140F5" w:rsidP="003450B7">
            <w:pPr>
              <w:spacing w:line="276" w:lineRule="auto"/>
              <w:jc w:val="center"/>
              <w:rPr>
                <w:rFonts w:ascii="Palatino Linotype" w:eastAsia="Calibri" w:hAnsi="Palatino Linotype" w:cs="Tahoma"/>
                <w:sz w:val="22"/>
                <w:szCs w:val="22"/>
                <w:lang w:eastAsia="es-MX"/>
              </w:rPr>
            </w:pPr>
            <w:r w:rsidRPr="00936846">
              <w:rPr>
                <w:rFonts w:ascii="Palatino Linotype" w:eastAsia="Calibri" w:hAnsi="Palatino Linotype" w:cs="Tahoma"/>
                <w:sz w:val="24"/>
                <w:szCs w:val="22"/>
                <w:lang w:eastAsia="es-MX"/>
              </w:rPr>
              <w:t>(Ausencia justificada)</w:t>
            </w:r>
          </w:p>
        </w:tc>
        <w:tc>
          <w:tcPr>
            <w:tcW w:w="4536" w:type="dxa"/>
          </w:tcPr>
          <w:p w:rsidR="004140F5" w:rsidRPr="00514CFF" w:rsidRDefault="004140F5" w:rsidP="003450B7">
            <w:pPr>
              <w:spacing w:line="276" w:lineRule="auto"/>
              <w:ind w:right="-108"/>
              <w:jc w:val="center"/>
              <w:rPr>
                <w:rFonts w:ascii="Palatino Linotype" w:eastAsia="Calibri" w:hAnsi="Palatino Linotype" w:cs="Tahoma"/>
                <w:b/>
                <w:sz w:val="24"/>
                <w:szCs w:val="22"/>
              </w:rPr>
            </w:pPr>
            <w:r w:rsidRPr="00514CFF">
              <w:rPr>
                <w:rFonts w:ascii="Palatino Linotype" w:eastAsia="Calibri" w:hAnsi="Palatino Linotype" w:cs="Tahoma"/>
                <w:b/>
                <w:sz w:val="24"/>
                <w:szCs w:val="22"/>
                <w:lang w:val="es-ES_tradnl"/>
              </w:rPr>
              <w:t>Luis Gustavo Parra Noriega</w:t>
            </w:r>
          </w:p>
          <w:p w:rsidR="004140F5" w:rsidRPr="00514CFF" w:rsidRDefault="004140F5" w:rsidP="003450B7">
            <w:pPr>
              <w:spacing w:line="276" w:lineRule="auto"/>
              <w:ind w:right="-108"/>
              <w:jc w:val="center"/>
              <w:rPr>
                <w:rFonts w:ascii="Palatino Linotype" w:eastAsia="Calibri" w:hAnsi="Palatino Linotype" w:cs="Tahoma"/>
                <w:sz w:val="24"/>
                <w:szCs w:val="22"/>
              </w:rPr>
            </w:pPr>
            <w:r w:rsidRPr="00514CFF">
              <w:rPr>
                <w:rFonts w:ascii="Palatino Linotype" w:eastAsia="Calibri" w:hAnsi="Palatino Linotype" w:cs="Tahoma"/>
                <w:sz w:val="24"/>
                <w:szCs w:val="22"/>
              </w:rPr>
              <w:t>Comisionado</w:t>
            </w:r>
          </w:p>
          <w:p w:rsidR="004140F5" w:rsidRPr="00936846" w:rsidRDefault="004140F5" w:rsidP="003450B7">
            <w:pPr>
              <w:spacing w:line="276" w:lineRule="auto"/>
              <w:jc w:val="center"/>
              <w:rPr>
                <w:rFonts w:ascii="Palatino Linotype" w:eastAsia="Calibri" w:hAnsi="Palatino Linotype" w:cs="Tahoma"/>
                <w:sz w:val="24"/>
                <w:szCs w:val="22"/>
                <w:lang w:eastAsia="es-MX"/>
              </w:rPr>
            </w:pPr>
            <w:r w:rsidRPr="00936846">
              <w:rPr>
                <w:rFonts w:ascii="Palatino Linotype" w:eastAsia="Calibri" w:hAnsi="Palatino Linotype" w:cs="Tahoma"/>
                <w:sz w:val="24"/>
                <w:szCs w:val="22"/>
                <w:lang w:eastAsia="es-MX"/>
              </w:rPr>
              <w:t>(Ausencia justificada)</w:t>
            </w:r>
          </w:p>
          <w:p w:rsidR="004140F5" w:rsidRPr="007F2678" w:rsidRDefault="004140F5" w:rsidP="003450B7">
            <w:pPr>
              <w:spacing w:line="360" w:lineRule="auto"/>
              <w:ind w:right="-108"/>
              <w:jc w:val="center"/>
              <w:rPr>
                <w:rFonts w:ascii="Palatino Linotype" w:eastAsia="Batang" w:hAnsi="Palatino Linotype" w:cs="Tahoma"/>
                <w:b/>
                <w:sz w:val="22"/>
                <w:szCs w:val="22"/>
              </w:rPr>
            </w:pPr>
          </w:p>
          <w:p w:rsidR="004140F5" w:rsidRPr="007F2678" w:rsidRDefault="004140F5" w:rsidP="003450B7">
            <w:pPr>
              <w:spacing w:line="360" w:lineRule="auto"/>
              <w:ind w:right="-108"/>
              <w:jc w:val="center"/>
              <w:rPr>
                <w:rFonts w:ascii="Palatino Linotype" w:eastAsia="Batang" w:hAnsi="Palatino Linotype" w:cs="Tahoma"/>
                <w:b/>
                <w:sz w:val="22"/>
                <w:szCs w:val="22"/>
              </w:rPr>
            </w:pPr>
          </w:p>
          <w:p w:rsidR="004140F5" w:rsidRPr="007F2678" w:rsidRDefault="004140F5" w:rsidP="003450B7">
            <w:pPr>
              <w:spacing w:line="360" w:lineRule="auto"/>
              <w:ind w:right="-108"/>
              <w:jc w:val="center"/>
              <w:rPr>
                <w:rFonts w:ascii="Palatino Linotype" w:eastAsia="Batang" w:hAnsi="Palatino Linotype" w:cs="Tahoma"/>
                <w:b/>
                <w:sz w:val="22"/>
                <w:szCs w:val="22"/>
              </w:rPr>
            </w:pPr>
          </w:p>
        </w:tc>
      </w:tr>
      <w:tr w:rsidR="004140F5" w:rsidRPr="008A26D3" w:rsidTr="003450B7">
        <w:trPr>
          <w:trHeight w:val="1220"/>
        </w:trPr>
        <w:tc>
          <w:tcPr>
            <w:tcW w:w="9072" w:type="dxa"/>
            <w:gridSpan w:val="2"/>
          </w:tcPr>
          <w:p w:rsidR="004140F5" w:rsidRPr="00514CFF" w:rsidRDefault="004140F5" w:rsidP="003450B7">
            <w:pPr>
              <w:spacing w:line="276" w:lineRule="auto"/>
              <w:jc w:val="center"/>
              <w:rPr>
                <w:rFonts w:ascii="Palatino Linotype" w:eastAsia="Calibri" w:hAnsi="Palatino Linotype" w:cs="Tahoma"/>
                <w:b/>
                <w:sz w:val="24"/>
                <w:szCs w:val="22"/>
              </w:rPr>
            </w:pPr>
            <w:r w:rsidRPr="00514CFF">
              <w:rPr>
                <w:rFonts w:ascii="Palatino Linotype" w:eastAsia="Calibri" w:hAnsi="Palatino Linotype" w:cs="Tahoma"/>
                <w:b/>
                <w:sz w:val="24"/>
                <w:szCs w:val="22"/>
              </w:rPr>
              <w:t>Alexis Tapia Ramírez</w:t>
            </w:r>
          </w:p>
          <w:p w:rsidR="004140F5" w:rsidRPr="00514CFF" w:rsidRDefault="004140F5" w:rsidP="003450B7">
            <w:pPr>
              <w:spacing w:line="276" w:lineRule="auto"/>
              <w:jc w:val="center"/>
              <w:rPr>
                <w:rFonts w:ascii="Palatino Linotype" w:eastAsia="Calibri" w:hAnsi="Palatino Linotype" w:cs="Tahoma"/>
                <w:sz w:val="24"/>
                <w:szCs w:val="22"/>
              </w:rPr>
            </w:pPr>
            <w:r w:rsidRPr="00514CFF">
              <w:rPr>
                <w:rFonts w:ascii="Palatino Linotype" w:eastAsia="Calibri" w:hAnsi="Palatino Linotype" w:cs="Tahoma"/>
                <w:sz w:val="24"/>
                <w:szCs w:val="22"/>
              </w:rPr>
              <w:t>Secretario Técnico del Pleno</w:t>
            </w:r>
          </w:p>
          <w:p w:rsidR="004140F5" w:rsidRPr="00514CFF" w:rsidRDefault="004140F5" w:rsidP="003450B7">
            <w:pPr>
              <w:spacing w:line="276" w:lineRule="auto"/>
              <w:jc w:val="center"/>
              <w:rPr>
                <w:rFonts w:ascii="Palatino Linotype" w:eastAsia="Calibri" w:hAnsi="Palatino Linotype" w:cs="Tahoma"/>
                <w:b/>
                <w:sz w:val="24"/>
                <w:szCs w:val="22"/>
                <w:lang w:eastAsia="es-MX"/>
              </w:rPr>
            </w:pPr>
          </w:p>
        </w:tc>
      </w:tr>
    </w:tbl>
    <w:p w:rsidR="004140F5" w:rsidRDefault="004140F5" w:rsidP="004140F5">
      <w:pPr>
        <w:jc w:val="both"/>
        <w:rPr>
          <w:rFonts w:ascii="Palatino Linotype" w:eastAsia="Calibri" w:hAnsi="Palatino Linotype" w:cs="Tahoma"/>
          <w:szCs w:val="22"/>
          <w:lang w:eastAsia="en-US"/>
        </w:rPr>
      </w:pPr>
    </w:p>
    <w:p w:rsidR="004140F5" w:rsidRPr="00514CFF" w:rsidRDefault="004140F5" w:rsidP="004140F5">
      <w:pPr>
        <w:jc w:val="both"/>
        <w:rPr>
          <w:rFonts w:ascii="Palatino Linotype" w:eastAsia="Calibri" w:hAnsi="Palatino Linotype" w:cs="Tahoma"/>
          <w:szCs w:val="22"/>
          <w:lang w:eastAsia="en-US"/>
        </w:rPr>
      </w:pPr>
      <w:r w:rsidRPr="00514CFF">
        <w:rPr>
          <w:rFonts w:ascii="Palatino Linotype" w:eastAsia="Calibri" w:hAnsi="Palatino Linotype" w:cs="Tahoma"/>
          <w:szCs w:val="22"/>
          <w:lang w:eastAsia="en-US"/>
        </w:rPr>
        <w:t xml:space="preserve">Esta foja corresponde a la Resolución de fecha diez de julio de dos mil diecinueve, emitida en el Recurso de Revisión número </w:t>
      </w:r>
      <w:r w:rsidRPr="00514CFF">
        <w:rPr>
          <w:rFonts w:ascii="Palatino Linotype" w:eastAsia="Calibri" w:hAnsi="Palatino Linotype" w:cs="Tahoma"/>
          <w:b/>
          <w:bCs/>
          <w:szCs w:val="22"/>
          <w:lang w:eastAsia="en-US"/>
        </w:rPr>
        <w:t>03556/INFOEM/IP/RR/2019</w:t>
      </w:r>
      <w:r w:rsidRPr="00514CFF">
        <w:rPr>
          <w:rFonts w:ascii="Palatino Linotype" w:eastAsia="Calibri" w:hAnsi="Palatino Linotype" w:cs="Tahoma"/>
          <w:szCs w:val="22"/>
          <w:lang w:eastAsia="en-US"/>
        </w:rPr>
        <w:t xml:space="preserve">. </w:t>
      </w:r>
    </w:p>
    <w:p w:rsidR="004140F5" w:rsidRPr="00514CFF" w:rsidRDefault="004140F5" w:rsidP="004140F5">
      <w:pPr>
        <w:jc w:val="both"/>
        <w:rPr>
          <w:rFonts w:ascii="Palatino Linotype" w:eastAsia="Calibri" w:hAnsi="Palatino Linotype" w:cs="Arial"/>
          <w:szCs w:val="22"/>
          <w:lang w:eastAsia="en-US"/>
        </w:rPr>
      </w:pPr>
      <w:r w:rsidRPr="00514CFF">
        <w:rPr>
          <w:rFonts w:ascii="Palatino Linotype" w:eastAsia="Calibri" w:hAnsi="Palatino Linotype" w:cs="Tahoma"/>
          <w:szCs w:val="22"/>
          <w:lang w:eastAsia="en-US"/>
        </w:rPr>
        <w:t>ZMS/OSAM/HAP</w:t>
      </w:r>
    </w:p>
    <w:p w:rsidR="00966C26" w:rsidRDefault="00966C26">
      <w:bookmarkStart w:id="0" w:name="_GoBack"/>
      <w:bookmarkEnd w:id="0"/>
    </w:p>
    <w:sectPr w:rsidR="00966C26" w:rsidSect="00DB7E5F">
      <w:headerReference w:type="default" r:id="rId7"/>
      <w:footerReference w:type="default" r:id="rId8"/>
      <w:headerReference w:type="first" r:id="rId9"/>
      <w:footerReference w:type="first" r:id="rId10"/>
      <w:pgSz w:w="12240" w:h="15840"/>
      <w:pgMar w:top="80" w:right="1608" w:bottom="1418" w:left="1588" w:header="709" w:footer="91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5B5449" w:rsidRPr="00C13895" w:rsidRDefault="004140F5">
            <w:pPr>
              <w:pStyle w:val="Piedepgina"/>
              <w:jc w:val="right"/>
              <w:rPr>
                <w:sz w:val="26"/>
                <w:szCs w:val="26"/>
              </w:rPr>
            </w:pPr>
          </w:p>
          <w:p w:rsidR="005B5449" w:rsidRDefault="004140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rsidR="005B5449" w:rsidRDefault="004140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5B5449" w:rsidRDefault="004140F5">
            <w:pPr>
              <w:pStyle w:val="Piedepgina"/>
              <w:jc w:val="right"/>
            </w:pPr>
          </w:p>
          <w:p w:rsidR="005B5449" w:rsidRDefault="004140F5">
            <w:pPr>
              <w:pStyle w:val="Piedepgina"/>
              <w:jc w:val="right"/>
            </w:pPr>
          </w:p>
          <w:p w:rsidR="005B5449" w:rsidRDefault="004140F5">
            <w:pPr>
              <w:pStyle w:val="Piedepgina"/>
              <w:jc w:val="right"/>
            </w:pPr>
          </w:p>
          <w:p w:rsidR="005B5449" w:rsidRDefault="004140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rsidR="005B5449" w:rsidRDefault="004140F5">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B5449" w:rsidRPr="005C106F" w:rsidTr="000930AE">
      <w:trPr>
        <w:trHeight w:val="1412"/>
      </w:trPr>
      <w:tc>
        <w:tcPr>
          <w:tcW w:w="2835" w:type="dxa"/>
          <w:shd w:val="clear" w:color="auto" w:fill="auto"/>
        </w:tcPr>
        <w:p w:rsidR="005B5449" w:rsidRPr="005C106F" w:rsidRDefault="004140F5" w:rsidP="00EF4A64">
          <w:pPr>
            <w:tabs>
              <w:tab w:val="right" w:pos="4273"/>
            </w:tabs>
            <w:rPr>
              <w:rFonts w:ascii="Garamond" w:eastAsia="Calibri" w:hAnsi="Garamond"/>
              <w:sz w:val="16"/>
              <w:szCs w:val="16"/>
              <w:lang w:eastAsia="en-US"/>
            </w:rPr>
          </w:pPr>
        </w:p>
      </w:tc>
      <w:tc>
        <w:tcPr>
          <w:tcW w:w="6733" w:type="dxa"/>
          <w:shd w:val="clear" w:color="auto" w:fill="auto"/>
        </w:tcPr>
        <w:p w:rsidR="005B5449" w:rsidRDefault="004140F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425"/>
            <w:gridCol w:w="2273"/>
            <w:gridCol w:w="279"/>
            <w:gridCol w:w="3265"/>
            <w:gridCol w:w="77"/>
          </w:tblGrid>
          <w:tr w:rsidR="005B5449" w:rsidTr="006B3D4A">
            <w:trPr>
              <w:gridBefore w:val="1"/>
              <w:gridAfter w:val="1"/>
              <w:wBefore w:w="425" w:type="dxa"/>
              <w:wAfter w:w="77" w:type="dxa"/>
              <w:trHeight w:val="144"/>
            </w:trPr>
            <w:tc>
              <w:tcPr>
                <w:tcW w:w="2552" w:type="dxa"/>
                <w:gridSpan w:val="2"/>
              </w:tcPr>
              <w:p w:rsidR="005B5449" w:rsidRPr="00026EBB" w:rsidRDefault="004140F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65" w:type="dxa"/>
              </w:tcPr>
              <w:p w:rsidR="005B5449" w:rsidRPr="00026EBB" w:rsidRDefault="004140F5"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03556</w:t>
                </w:r>
                <w:r>
                  <w:rPr>
                    <w:rFonts w:ascii="Palatino Linotype" w:eastAsia="Calibri" w:hAnsi="Palatino Linotype" w:cs="Tahoma"/>
                    <w:b/>
                    <w:bCs/>
                    <w:sz w:val="22"/>
                    <w:szCs w:val="22"/>
                    <w:lang w:eastAsia="en-US"/>
                  </w:rPr>
                  <w:t>/INFOEM/IP/RR/2019</w:t>
                </w:r>
              </w:p>
            </w:tc>
          </w:tr>
          <w:tr w:rsidR="005B5449" w:rsidTr="006B3D4A">
            <w:trPr>
              <w:gridBefore w:val="1"/>
              <w:gridAfter w:val="1"/>
              <w:wBefore w:w="425" w:type="dxa"/>
              <w:wAfter w:w="77" w:type="dxa"/>
              <w:trHeight w:val="144"/>
            </w:trPr>
            <w:tc>
              <w:tcPr>
                <w:tcW w:w="2552" w:type="dxa"/>
                <w:gridSpan w:val="2"/>
              </w:tcPr>
              <w:p w:rsidR="005B5449" w:rsidRPr="00026EBB" w:rsidRDefault="004140F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265" w:type="dxa"/>
              </w:tcPr>
              <w:p w:rsidR="005B5449" w:rsidRPr="00026EBB" w:rsidRDefault="004140F5" w:rsidP="004979A2">
                <w:pPr>
                  <w:tabs>
                    <w:tab w:val="right" w:pos="8838"/>
                  </w:tabs>
                  <w:jc w:val="both"/>
                  <w:rPr>
                    <w:rFonts w:ascii="Palatino Linotype" w:eastAsia="Calibri" w:hAnsi="Palatino Linotype" w:cs="Tahoma"/>
                    <w:sz w:val="22"/>
                    <w:szCs w:val="22"/>
                    <w:lang w:val="es-MX" w:eastAsia="en-US"/>
                  </w:rPr>
                </w:pPr>
                <w:r w:rsidRPr="001B21B4">
                  <w:rPr>
                    <w:rFonts w:ascii="Palatino Linotype" w:eastAsia="Calibri" w:hAnsi="Palatino Linotype" w:cs="Tahoma"/>
                    <w:sz w:val="22"/>
                    <w:szCs w:val="22"/>
                    <w:lang w:val="es-MX" w:eastAsia="en-US"/>
                  </w:rPr>
                  <w:t>Secretaría Ejecutiva del Sistema Estatal Anticorrupció</w:t>
                </w:r>
                <w:r>
                  <w:rPr>
                    <w:rFonts w:ascii="Palatino Linotype" w:eastAsia="Calibri" w:hAnsi="Palatino Linotype" w:cs="Tahoma"/>
                    <w:sz w:val="22"/>
                    <w:szCs w:val="22"/>
                    <w:lang w:val="es-MX" w:eastAsia="en-US"/>
                  </w:rPr>
                  <w:t>n</w:t>
                </w:r>
              </w:p>
            </w:tc>
          </w:tr>
          <w:tr w:rsidR="005B5449" w:rsidTr="006B3D4A">
            <w:trPr>
              <w:gridBefore w:val="1"/>
              <w:gridAfter w:val="1"/>
              <w:wBefore w:w="425" w:type="dxa"/>
              <w:wAfter w:w="77" w:type="dxa"/>
              <w:trHeight w:val="138"/>
            </w:trPr>
            <w:tc>
              <w:tcPr>
                <w:tcW w:w="2552" w:type="dxa"/>
                <w:gridSpan w:val="2"/>
              </w:tcPr>
              <w:p w:rsidR="005B5449" w:rsidRPr="00026EBB" w:rsidRDefault="004140F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65" w:type="dxa"/>
              </w:tcPr>
              <w:p w:rsidR="005B5449" w:rsidRPr="00026EBB" w:rsidRDefault="004140F5" w:rsidP="005743D2">
                <w:pPr>
                  <w:tabs>
                    <w:tab w:val="right" w:pos="8838"/>
                  </w:tabs>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Zulema </w:t>
                </w:r>
                <w:r>
                  <w:rPr>
                    <w:rFonts w:ascii="Palatino Linotype" w:eastAsia="Calibri" w:hAnsi="Palatino Linotype" w:cs="Tahoma"/>
                    <w:sz w:val="22"/>
                    <w:szCs w:val="22"/>
                    <w:lang w:val="es-MX" w:eastAsia="en-US"/>
                  </w:rPr>
                  <w:t>Martínez Sánchez</w:t>
                </w:r>
              </w:p>
            </w:tc>
          </w:tr>
          <w:tr w:rsidR="005B5449" w:rsidTr="006B3D4A">
            <w:trPr>
              <w:trHeight w:val="283"/>
            </w:trPr>
            <w:tc>
              <w:tcPr>
                <w:tcW w:w="2698" w:type="dxa"/>
                <w:gridSpan w:val="2"/>
              </w:tcPr>
              <w:p w:rsidR="005B5449" w:rsidRPr="00E10748" w:rsidRDefault="004140F5" w:rsidP="005743D2">
                <w:pPr>
                  <w:tabs>
                    <w:tab w:val="right" w:pos="8838"/>
                  </w:tabs>
                  <w:rPr>
                    <w:rFonts w:ascii="Tahoma" w:eastAsia="Calibri" w:hAnsi="Tahoma" w:cs="Tahoma"/>
                    <w:b/>
                    <w:sz w:val="22"/>
                    <w:szCs w:val="22"/>
                    <w:lang w:val="es-MX" w:eastAsia="en-US"/>
                  </w:rPr>
                </w:pPr>
              </w:p>
            </w:tc>
            <w:tc>
              <w:tcPr>
                <w:tcW w:w="3621" w:type="dxa"/>
                <w:gridSpan w:val="3"/>
              </w:tcPr>
              <w:p w:rsidR="005B5449" w:rsidRPr="00E10748" w:rsidRDefault="004140F5" w:rsidP="005743D2">
                <w:pPr>
                  <w:tabs>
                    <w:tab w:val="right" w:pos="8838"/>
                  </w:tabs>
                  <w:jc w:val="both"/>
                  <w:rPr>
                    <w:rFonts w:ascii="Tahoma" w:eastAsia="Calibri" w:hAnsi="Tahoma" w:cs="Tahoma"/>
                    <w:b/>
                    <w:sz w:val="22"/>
                    <w:szCs w:val="22"/>
                    <w:lang w:val="es-MX" w:eastAsia="en-US"/>
                  </w:rPr>
                </w:pPr>
              </w:p>
            </w:tc>
          </w:tr>
        </w:tbl>
        <w:p w:rsidR="005B5449" w:rsidRPr="005C106F" w:rsidRDefault="004140F5" w:rsidP="005743D2">
          <w:pPr>
            <w:tabs>
              <w:tab w:val="right" w:pos="8838"/>
            </w:tabs>
            <w:ind w:left="-28"/>
            <w:jc w:val="both"/>
            <w:rPr>
              <w:rFonts w:ascii="Arial" w:eastAsia="Calibri" w:hAnsi="Arial" w:cs="Arial"/>
              <w:b/>
              <w:sz w:val="22"/>
              <w:szCs w:val="22"/>
              <w:lang w:eastAsia="en-US"/>
            </w:rPr>
          </w:pPr>
        </w:p>
      </w:tc>
    </w:tr>
  </w:tbl>
  <w:p w:rsidR="005B5449" w:rsidRDefault="004140F5"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49" w:rsidRDefault="004140F5"/>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5B5449" w:rsidRPr="00264223" w:rsidTr="005B27D6">
      <w:trPr>
        <w:trHeight w:val="563"/>
      </w:trPr>
      <w:tc>
        <w:tcPr>
          <w:tcW w:w="2552" w:type="dxa"/>
          <w:vAlign w:val="bottom"/>
        </w:tcPr>
        <w:p w:rsidR="005B5449" w:rsidRPr="00026EBB" w:rsidRDefault="004140F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rsidR="005B5449" w:rsidRPr="0091633A" w:rsidRDefault="004140F5" w:rsidP="00A00BF3">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03556</w:t>
          </w:r>
          <w:r w:rsidRPr="0088724B">
            <w:rPr>
              <w:rFonts w:ascii="Palatino Linotype" w:eastAsia="Calibri" w:hAnsi="Palatino Linotype" w:cs="Tahoma"/>
              <w:b/>
              <w:bCs/>
              <w:sz w:val="22"/>
              <w:szCs w:val="22"/>
              <w:lang w:eastAsia="en-US"/>
            </w:rPr>
            <w:t>/INFOEM/IP/RR/2019</w:t>
          </w:r>
        </w:p>
      </w:tc>
    </w:tr>
    <w:tr w:rsidR="005B5449" w:rsidRPr="00264223" w:rsidTr="005B27D6">
      <w:trPr>
        <w:trHeight w:val="144"/>
      </w:trPr>
      <w:tc>
        <w:tcPr>
          <w:tcW w:w="2552" w:type="dxa"/>
        </w:tcPr>
        <w:p w:rsidR="005B5449" w:rsidRPr="00026EBB" w:rsidRDefault="004140F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rsidR="005B5449" w:rsidRPr="00026EBB" w:rsidRDefault="004140F5" w:rsidP="005B27D6">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w:t>
          </w:r>
        </w:p>
      </w:tc>
    </w:tr>
    <w:tr w:rsidR="005B5449" w:rsidRPr="00264223" w:rsidTr="005B27D6">
      <w:trPr>
        <w:trHeight w:val="283"/>
      </w:trPr>
      <w:tc>
        <w:tcPr>
          <w:tcW w:w="2552" w:type="dxa"/>
        </w:tcPr>
        <w:p w:rsidR="005B5449" w:rsidRPr="00026EBB" w:rsidRDefault="004140F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rsidR="005B5449" w:rsidRPr="00026EBB" w:rsidRDefault="004140F5" w:rsidP="001B21B4">
          <w:pPr>
            <w:tabs>
              <w:tab w:val="right" w:pos="8838"/>
            </w:tabs>
            <w:ind w:right="171"/>
            <w:jc w:val="both"/>
            <w:rPr>
              <w:rFonts w:ascii="Palatino Linotype" w:eastAsia="Calibri" w:hAnsi="Palatino Linotype" w:cs="Tahoma"/>
              <w:b/>
              <w:sz w:val="22"/>
              <w:szCs w:val="22"/>
              <w:lang w:val="es-MX" w:eastAsia="en-US"/>
            </w:rPr>
          </w:pPr>
          <w:r w:rsidRPr="001B21B4">
            <w:rPr>
              <w:rFonts w:ascii="Palatino Linotype" w:eastAsia="Calibri" w:hAnsi="Palatino Linotype" w:cs="Tahoma"/>
              <w:sz w:val="22"/>
              <w:szCs w:val="22"/>
              <w:lang w:val="es-MX" w:eastAsia="en-US"/>
            </w:rPr>
            <w:t>Secretaría Ejecutiva del Sistema Estatal Anticorrupció</w:t>
          </w:r>
          <w:r>
            <w:rPr>
              <w:rFonts w:ascii="Palatino Linotype" w:eastAsia="Calibri" w:hAnsi="Palatino Linotype" w:cs="Tahoma"/>
              <w:sz w:val="22"/>
              <w:szCs w:val="22"/>
              <w:lang w:val="es-MX" w:eastAsia="en-US"/>
            </w:rPr>
            <w:t>n</w:t>
          </w:r>
        </w:p>
      </w:tc>
    </w:tr>
    <w:tr w:rsidR="005B5449" w:rsidRPr="00264223" w:rsidTr="005B27D6">
      <w:trPr>
        <w:trHeight w:val="283"/>
      </w:trPr>
      <w:tc>
        <w:tcPr>
          <w:tcW w:w="2552" w:type="dxa"/>
        </w:tcPr>
        <w:p w:rsidR="005B5449" w:rsidRPr="00026EBB" w:rsidRDefault="004140F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rsidR="005B5449" w:rsidRPr="00026EBB" w:rsidRDefault="004140F5" w:rsidP="005B27D6">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Zulema Martínez </w:t>
          </w:r>
          <w:r>
            <w:rPr>
              <w:rFonts w:ascii="Palatino Linotype" w:eastAsia="Calibri" w:hAnsi="Palatino Linotype" w:cs="Tahoma"/>
              <w:sz w:val="22"/>
              <w:szCs w:val="22"/>
              <w:lang w:val="es-MX" w:eastAsia="en-US"/>
            </w:rPr>
            <w:t>Sánchez</w:t>
          </w:r>
        </w:p>
      </w:tc>
    </w:tr>
  </w:tbl>
  <w:p w:rsidR="005B5449" w:rsidRDefault="004140F5"/>
  <w:p w:rsidR="005B5449" w:rsidRDefault="004140F5"/>
  <w:p w:rsidR="005B5449" w:rsidRDefault="004140F5"/>
  <w:p w:rsidR="005B5449" w:rsidRDefault="004140F5"/>
  <w:p w:rsidR="005B5449" w:rsidRDefault="004140F5"/>
  <w:p w:rsidR="005B5449" w:rsidRDefault="004140F5" w:rsidP="00B727C5">
    <w:pPr>
      <w:pStyle w:val="Encabezado"/>
    </w:pPr>
  </w:p>
  <w:p w:rsidR="005B5449" w:rsidRDefault="004140F5" w:rsidP="00B727C5">
    <w:pPr>
      <w:pStyle w:val="Encabezado"/>
    </w:pPr>
  </w:p>
  <w:p w:rsidR="00936846" w:rsidRDefault="004140F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F53EE9"/>
    <w:multiLevelType w:val="hybridMultilevel"/>
    <w:tmpl w:val="5528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F5"/>
    <w:rsid w:val="004140F5"/>
    <w:rsid w:val="00966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27402-2B28-4E66-B396-155116A7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F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F5"/>
    <w:pPr>
      <w:tabs>
        <w:tab w:val="center" w:pos="4419"/>
        <w:tab w:val="right" w:pos="8838"/>
      </w:tabs>
    </w:pPr>
  </w:style>
  <w:style w:type="character" w:customStyle="1" w:styleId="EncabezadoCar">
    <w:name w:val="Encabezado Car"/>
    <w:basedOn w:val="Fuentedeprrafopredeter"/>
    <w:link w:val="Encabezado"/>
    <w:uiPriority w:val="99"/>
    <w:rsid w:val="004140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140F5"/>
    <w:pPr>
      <w:tabs>
        <w:tab w:val="center" w:pos="4419"/>
        <w:tab w:val="right" w:pos="8838"/>
      </w:tabs>
    </w:pPr>
  </w:style>
  <w:style w:type="character" w:customStyle="1" w:styleId="PiedepginaCar">
    <w:name w:val="Pie de página Car"/>
    <w:basedOn w:val="Fuentedeprrafopredeter"/>
    <w:link w:val="Piedepgina"/>
    <w:uiPriority w:val="99"/>
    <w:rsid w:val="004140F5"/>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40F5"/>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140F5"/>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4140F5"/>
    <w:rPr>
      <w:color w:val="0563C1" w:themeColor="hyperlink"/>
      <w:u w:val="single"/>
    </w:rPr>
  </w:style>
  <w:style w:type="table" w:styleId="Tablaconcuadrcula">
    <w:name w:val="Table Grid"/>
    <w:basedOn w:val="Tablanormal"/>
    <w:uiPriority w:val="59"/>
    <w:rsid w:val="004140F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0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brirModal(1)" TargetMode="External"/><Relationship Id="rId11" Type="http://schemas.openxmlformats.org/officeDocument/2006/relationships/fontTable" Target="fontTable.xml"/><Relationship Id="rId5" Type="http://schemas.openxmlformats.org/officeDocument/2006/relationships/hyperlink" Target="http://www.ies.edu.mx/index_htm_files/DICCIONARIO-JURIDICO-ELEMENTAL-GUILLERMO-CABANELLAS.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6726</Words>
  <Characters>36993</Characters>
  <Application>Microsoft Office Word</Application>
  <DocSecurity>0</DocSecurity>
  <Lines>308</Lines>
  <Paragraphs>87</Paragraphs>
  <ScaleCrop>false</ScaleCrop>
  <Company/>
  <LinksUpToDate>false</LinksUpToDate>
  <CharactersWithSpaces>43632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2019-08-21T16:42:00Z</dcterms:created>
  <dcterms:modified xsi:type="dcterms:W3CDTF">2019-08-21T16:43:00Z</dcterms:modified>
</cp:coreProperties>
</file>