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892442" w:rsidRDefault="002A5BA4" w:rsidP="00892442">
      <w:pPr>
        <w:spacing w:line="360" w:lineRule="auto"/>
        <w:jc w:val="center"/>
        <w:rPr>
          <w:rFonts w:ascii="Palatino Linotype" w:eastAsia="Times New Roman" w:hAnsi="Palatino Linotype" w:cs="Times New Roman"/>
          <w:b/>
        </w:rPr>
      </w:pPr>
      <w:r w:rsidRPr="00892442">
        <w:rPr>
          <w:rFonts w:ascii="Palatino Linotype" w:eastAsia="Times New Roman" w:hAnsi="Palatino Linotype" w:cs="Times New Roman"/>
          <w:b/>
        </w:rPr>
        <w:t>LÍNEAS ARGUMENTATIVAS</w:t>
      </w:r>
    </w:p>
    <w:p w:rsidR="00266537" w:rsidRPr="00892442" w:rsidRDefault="00266537" w:rsidP="00892442">
      <w:pPr>
        <w:spacing w:before="240" w:after="240" w:line="360" w:lineRule="auto"/>
        <w:jc w:val="both"/>
        <w:rPr>
          <w:rFonts w:ascii="Palatino Linotype" w:eastAsia="Times New Roman" w:hAnsi="Palatino Linotype"/>
        </w:rPr>
      </w:pPr>
      <w:r w:rsidRPr="00892442">
        <w:rPr>
          <w:rFonts w:ascii="Palatino Linotype" w:eastAsia="Times New Roman" w:hAnsi="Palatino Linotype"/>
          <w:b/>
        </w:rPr>
        <w:t>DEBERES DE LAS AUTORIDADES.</w:t>
      </w:r>
      <w:r w:rsidRPr="00892442">
        <w:rPr>
          <w:rFonts w:ascii="Palatino Linotype" w:eastAsia="Times New Roman" w:hAnsi="Palatino Linotype"/>
        </w:rPr>
        <w:t xml:space="preserve"> El acceso a </w:t>
      </w:r>
      <w:r w:rsidR="00E25649" w:rsidRPr="00892442">
        <w:rPr>
          <w:rFonts w:ascii="Palatino Linotype" w:eastAsia="Times New Roman" w:hAnsi="Palatino Linotype"/>
        </w:rPr>
        <w:t xml:space="preserve">datos personales </w:t>
      </w:r>
      <w:r w:rsidRPr="00892442">
        <w:rPr>
          <w:rFonts w:ascii="Palatino Linotype" w:eastAsia="Times New Roman" w:hAnsi="Palatino Linotype"/>
        </w:rPr>
        <w:t>es un derecho constitucionalmente reconocido en consecuencia todas las autoridades en el ámbito de sus competencias, funciones y atribuciones tienen la obligación de respetarlo, protegerlo y garantizarlo.</w:t>
      </w:r>
    </w:p>
    <w:p w:rsidR="00266537" w:rsidRPr="00892442" w:rsidRDefault="00266537" w:rsidP="00892442">
      <w:pPr>
        <w:spacing w:before="240" w:after="240" w:line="360" w:lineRule="auto"/>
        <w:jc w:val="both"/>
        <w:rPr>
          <w:rFonts w:ascii="Palatino Linotype" w:hAnsi="Palatino Linotype" w:cs="Arial"/>
        </w:rPr>
      </w:pPr>
      <w:r w:rsidRPr="00892442">
        <w:rPr>
          <w:rFonts w:ascii="Palatino Linotype" w:hAnsi="Palatino Linotype" w:cs="Arial"/>
          <w:b/>
        </w:rPr>
        <w:t>PRINCIPIO PRO PERSONA.</w:t>
      </w:r>
      <w:r w:rsidRPr="00892442">
        <w:rPr>
          <w:rFonts w:ascii="Palatino Linotype" w:hAnsi="Palatino Linotype" w:cs="Arial"/>
        </w:rPr>
        <w:t xml:space="preserve"> Cuando los Sujetos Obligados se topen con leyes contradictorias, deberán adoptar por la legislación que otorgue un umbral más amplio de protección a los derechos de los particulares.</w:t>
      </w:r>
    </w:p>
    <w:p w:rsidR="000021F7" w:rsidRPr="00892442" w:rsidRDefault="000021F7" w:rsidP="00892442">
      <w:pPr>
        <w:spacing w:line="360" w:lineRule="auto"/>
        <w:jc w:val="both"/>
        <w:rPr>
          <w:rFonts w:ascii="Palatino Linotype" w:hAnsi="Palatino Linotype"/>
        </w:rPr>
      </w:pPr>
      <w:r w:rsidRPr="00892442">
        <w:rPr>
          <w:rFonts w:ascii="Palatino Linotype" w:hAnsi="Palatino Linotype"/>
          <w:b/>
        </w:rPr>
        <w:t xml:space="preserve">INFORMACIÓN CONFIDENCIAL, CLASIFICACIÓN DE LA. </w:t>
      </w:r>
      <w:r w:rsidRPr="00892442">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C71A73" w:rsidRPr="00892442" w:rsidRDefault="00C71A73" w:rsidP="00892442">
      <w:pPr>
        <w:spacing w:line="360" w:lineRule="auto"/>
        <w:jc w:val="both"/>
        <w:rPr>
          <w:rFonts w:ascii="Palatino Linotype" w:hAnsi="Palatino Linotype"/>
        </w:rPr>
      </w:pPr>
    </w:p>
    <w:p w:rsidR="00C71A73" w:rsidRPr="00892442" w:rsidRDefault="00C71A73" w:rsidP="00892442">
      <w:pPr>
        <w:spacing w:line="360" w:lineRule="auto"/>
        <w:jc w:val="both"/>
        <w:rPr>
          <w:rFonts w:ascii="Palatino Linotype" w:hAnsi="Palatino Linotype"/>
        </w:rPr>
      </w:pPr>
    </w:p>
    <w:p w:rsidR="00C71A73" w:rsidRPr="00892442" w:rsidRDefault="00C71A73" w:rsidP="00892442">
      <w:pPr>
        <w:spacing w:line="360" w:lineRule="auto"/>
        <w:jc w:val="both"/>
        <w:rPr>
          <w:rFonts w:ascii="Palatino Linotype" w:hAnsi="Palatino Linotype"/>
        </w:rPr>
      </w:pPr>
    </w:p>
    <w:p w:rsidR="00C71A73" w:rsidRPr="00892442" w:rsidRDefault="00C71A73" w:rsidP="00892442">
      <w:pPr>
        <w:spacing w:line="360" w:lineRule="auto"/>
        <w:jc w:val="both"/>
        <w:rPr>
          <w:rFonts w:ascii="Palatino Linotype" w:hAnsi="Palatino Linotype"/>
        </w:rPr>
      </w:pPr>
    </w:p>
    <w:p w:rsidR="00C71A73" w:rsidRPr="00892442" w:rsidRDefault="00C71A73" w:rsidP="00892442">
      <w:pPr>
        <w:spacing w:line="360" w:lineRule="auto"/>
        <w:jc w:val="both"/>
        <w:rPr>
          <w:rFonts w:ascii="Palatino Linotype" w:hAnsi="Palatino Linotype"/>
        </w:rPr>
      </w:pPr>
    </w:p>
    <w:p w:rsidR="00C71A73" w:rsidRPr="00892442" w:rsidRDefault="00C71A73" w:rsidP="00892442">
      <w:pPr>
        <w:spacing w:line="360" w:lineRule="auto"/>
        <w:jc w:val="both"/>
        <w:rPr>
          <w:rFonts w:ascii="Palatino Linotype" w:hAnsi="Palatino Linotype"/>
        </w:rPr>
      </w:pPr>
    </w:p>
    <w:p w:rsidR="00C71A73" w:rsidRPr="00892442" w:rsidRDefault="00C71A73" w:rsidP="00892442">
      <w:pPr>
        <w:spacing w:line="360" w:lineRule="auto"/>
        <w:jc w:val="both"/>
        <w:rPr>
          <w:rFonts w:ascii="Palatino Linotype" w:eastAsia="Times New Roman" w:hAnsi="Palatino Linotype" w:cs="Times New Roman"/>
          <w:b/>
        </w:rPr>
      </w:pPr>
    </w:p>
    <w:p w:rsidR="002A5BA4" w:rsidRPr="00892442" w:rsidRDefault="002A5BA4" w:rsidP="00892442">
      <w:pPr>
        <w:spacing w:before="240" w:after="240" w:line="360" w:lineRule="auto"/>
        <w:jc w:val="center"/>
        <w:rPr>
          <w:rFonts w:ascii="Palatino Linotype" w:hAnsi="Palatino Linotype"/>
        </w:rPr>
      </w:pPr>
      <w:r w:rsidRPr="00892442">
        <w:rPr>
          <w:rFonts w:ascii="Palatino Linotype" w:hAnsi="Palatino Linotype"/>
          <w:b/>
        </w:rPr>
        <w:lastRenderedPageBreak/>
        <w:t>Índice</w:t>
      </w:r>
      <w:r w:rsidRPr="0089244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892442" w:rsidRDefault="002A5BA4" w:rsidP="00892442">
          <w:pPr>
            <w:pStyle w:val="TtulodeTDC"/>
            <w:spacing w:line="360" w:lineRule="auto"/>
            <w:rPr>
              <w:szCs w:val="24"/>
            </w:rPr>
          </w:pPr>
        </w:p>
        <w:p w:rsidR="00D84261" w:rsidRDefault="002A5BA4">
          <w:pPr>
            <w:pStyle w:val="TDC1"/>
            <w:tabs>
              <w:tab w:val="right" w:leader="dot" w:pos="8779"/>
            </w:tabs>
            <w:rPr>
              <w:noProof/>
              <w:sz w:val="22"/>
              <w:szCs w:val="22"/>
              <w:lang w:val="es-MX" w:eastAsia="es-MX"/>
            </w:rPr>
          </w:pPr>
          <w:r w:rsidRPr="00892442">
            <w:rPr>
              <w:rFonts w:ascii="Palatino Linotype" w:hAnsi="Palatino Linotype"/>
              <w:b/>
            </w:rPr>
            <w:fldChar w:fldCharType="begin"/>
          </w:r>
          <w:r w:rsidRPr="00892442">
            <w:rPr>
              <w:rFonts w:ascii="Palatino Linotype" w:hAnsi="Palatino Linotype"/>
              <w:b/>
            </w:rPr>
            <w:instrText xml:space="preserve"> TOC \o "1-3" \h \z \u </w:instrText>
          </w:r>
          <w:r w:rsidRPr="00892442">
            <w:rPr>
              <w:rFonts w:ascii="Palatino Linotype" w:hAnsi="Palatino Linotype"/>
              <w:b/>
            </w:rPr>
            <w:fldChar w:fldCharType="separate"/>
          </w:r>
          <w:hyperlink w:anchor="_Toc13132685" w:history="1">
            <w:r w:rsidR="00D84261" w:rsidRPr="00F55D23">
              <w:rPr>
                <w:rStyle w:val="Hipervnculo"/>
                <w:noProof/>
              </w:rPr>
              <w:t>ANTECEDENTES</w:t>
            </w:r>
            <w:r w:rsidR="00D84261">
              <w:rPr>
                <w:noProof/>
                <w:webHidden/>
              </w:rPr>
              <w:tab/>
            </w:r>
            <w:r w:rsidR="00D84261">
              <w:rPr>
                <w:noProof/>
                <w:webHidden/>
              </w:rPr>
              <w:fldChar w:fldCharType="begin"/>
            </w:r>
            <w:r w:rsidR="00D84261">
              <w:rPr>
                <w:noProof/>
                <w:webHidden/>
              </w:rPr>
              <w:instrText xml:space="preserve"> PAGEREF _Toc13132685 \h </w:instrText>
            </w:r>
            <w:r w:rsidR="00D84261">
              <w:rPr>
                <w:noProof/>
                <w:webHidden/>
              </w:rPr>
            </w:r>
            <w:r w:rsidR="00D84261">
              <w:rPr>
                <w:noProof/>
                <w:webHidden/>
              </w:rPr>
              <w:fldChar w:fldCharType="separate"/>
            </w:r>
            <w:r w:rsidR="008D1C16">
              <w:rPr>
                <w:noProof/>
                <w:webHidden/>
              </w:rPr>
              <w:t>3</w:t>
            </w:r>
            <w:r w:rsidR="00D84261">
              <w:rPr>
                <w:noProof/>
                <w:webHidden/>
              </w:rPr>
              <w:fldChar w:fldCharType="end"/>
            </w:r>
          </w:hyperlink>
        </w:p>
        <w:p w:rsidR="00D84261" w:rsidRDefault="00DD6266">
          <w:pPr>
            <w:pStyle w:val="TDC1"/>
            <w:tabs>
              <w:tab w:val="right" w:leader="dot" w:pos="8779"/>
            </w:tabs>
            <w:rPr>
              <w:noProof/>
              <w:sz w:val="22"/>
              <w:szCs w:val="22"/>
              <w:lang w:val="es-MX" w:eastAsia="es-MX"/>
            </w:rPr>
          </w:pPr>
          <w:hyperlink w:anchor="_Toc13132686" w:history="1">
            <w:r w:rsidR="00D84261" w:rsidRPr="00F55D23">
              <w:rPr>
                <w:rStyle w:val="Hipervnculo"/>
                <w:noProof/>
              </w:rPr>
              <w:t>CONSIDERANDO</w:t>
            </w:r>
            <w:r w:rsidR="00D84261">
              <w:rPr>
                <w:noProof/>
                <w:webHidden/>
              </w:rPr>
              <w:tab/>
            </w:r>
            <w:r w:rsidR="00D84261">
              <w:rPr>
                <w:noProof/>
                <w:webHidden/>
              </w:rPr>
              <w:fldChar w:fldCharType="begin"/>
            </w:r>
            <w:r w:rsidR="00D84261">
              <w:rPr>
                <w:noProof/>
                <w:webHidden/>
              </w:rPr>
              <w:instrText xml:space="preserve"> PAGEREF _Toc13132686 \h </w:instrText>
            </w:r>
            <w:r w:rsidR="00D84261">
              <w:rPr>
                <w:noProof/>
                <w:webHidden/>
              </w:rPr>
            </w:r>
            <w:r w:rsidR="00D84261">
              <w:rPr>
                <w:noProof/>
                <w:webHidden/>
              </w:rPr>
              <w:fldChar w:fldCharType="separate"/>
            </w:r>
            <w:r w:rsidR="008D1C16">
              <w:rPr>
                <w:noProof/>
                <w:webHidden/>
              </w:rPr>
              <w:t>9</w:t>
            </w:r>
            <w:r w:rsidR="00D84261">
              <w:rPr>
                <w:noProof/>
                <w:webHidden/>
              </w:rPr>
              <w:fldChar w:fldCharType="end"/>
            </w:r>
          </w:hyperlink>
        </w:p>
        <w:p w:rsidR="00D84261" w:rsidRDefault="00DD6266" w:rsidP="00D84261">
          <w:pPr>
            <w:pStyle w:val="TDC2"/>
            <w:ind w:left="0"/>
            <w:rPr>
              <w:noProof/>
              <w:sz w:val="22"/>
              <w:szCs w:val="22"/>
              <w:lang w:val="es-MX" w:eastAsia="es-MX"/>
            </w:rPr>
          </w:pPr>
          <w:hyperlink w:anchor="_Toc13132687" w:history="1">
            <w:r w:rsidR="00D84261" w:rsidRPr="00F55D23">
              <w:rPr>
                <w:rStyle w:val="Hipervnculo"/>
                <w:rFonts w:ascii="Palatino Linotype" w:hAnsi="Palatino Linotype"/>
                <w:b/>
                <w:noProof/>
              </w:rPr>
              <w:t>PRIMERO. De la competencia</w:t>
            </w:r>
            <w:r w:rsidR="00D84261">
              <w:rPr>
                <w:noProof/>
                <w:webHidden/>
              </w:rPr>
              <w:tab/>
            </w:r>
            <w:r w:rsidR="00D84261">
              <w:rPr>
                <w:noProof/>
                <w:webHidden/>
              </w:rPr>
              <w:fldChar w:fldCharType="begin"/>
            </w:r>
            <w:r w:rsidR="00D84261">
              <w:rPr>
                <w:noProof/>
                <w:webHidden/>
              </w:rPr>
              <w:instrText xml:space="preserve"> PAGEREF _Toc13132687 \h </w:instrText>
            </w:r>
            <w:r w:rsidR="00D84261">
              <w:rPr>
                <w:noProof/>
                <w:webHidden/>
              </w:rPr>
            </w:r>
            <w:r w:rsidR="00D84261">
              <w:rPr>
                <w:noProof/>
                <w:webHidden/>
              </w:rPr>
              <w:fldChar w:fldCharType="separate"/>
            </w:r>
            <w:r w:rsidR="008D1C16">
              <w:rPr>
                <w:noProof/>
                <w:webHidden/>
              </w:rPr>
              <w:t>9</w:t>
            </w:r>
            <w:r w:rsidR="00D84261">
              <w:rPr>
                <w:noProof/>
                <w:webHidden/>
              </w:rPr>
              <w:fldChar w:fldCharType="end"/>
            </w:r>
          </w:hyperlink>
        </w:p>
        <w:p w:rsidR="00D84261" w:rsidRDefault="00DD6266" w:rsidP="00D84261">
          <w:pPr>
            <w:pStyle w:val="TDC2"/>
            <w:ind w:left="0"/>
            <w:rPr>
              <w:noProof/>
              <w:sz w:val="22"/>
              <w:szCs w:val="22"/>
              <w:lang w:val="es-MX" w:eastAsia="es-MX"/>
            </w:rPr>
          </w:pPr>
          <w:hyperlink w:anchor="_Toc13132688" w:history="1">
            <w:r w:rsidR="00D84261" w:rsidRPr="00F55D23">
              <w:rPr>
                <w:rStyle w:val="Hipervnculo"/>
                <w:rFonts w:ascii="Palatino Linotype" w:hAnsi="Palatino Linotype"/>
                <w:b/>
                <w:noProof/>
              </w:rPr>
              <w:t>SEGUNDO. De la oportunidad y procedencia.</w:t>
            </w:r>
            <w:r w:rsidR="00D84261">
              <w:rPr>
                <w:noProof/>
                <w:webHidden/>
              </w:rPr>
              <w:tab/>
            </w:r>
            <w:r w:rsidR="00D84261">
              <w:rPr>
                <w:noProof/>
                <w:webHidden/>
              </w:rPr>
              <w:fldChar w:fldCharType="begin"/>
            </w:r>
            <w:r w:rsidR="00D84261">
              <w:rPr>
                <w:noProof/>
                <w:webHidden/>
              </w:rPr>
              <w:instrText xml:space="preserve"> PAGEREF _Toc13132688 \h </w:instrText>
            </w:r>
            <w:r w:rsidR="00D84261">
              <w:rPr>
                <w:noProof/>
                <w:webHidden/>
              </w:rPr>
            </w:r>
            <w:r w:rsidR="00D84261">
              <w:rPr>
                <w:noProof/>
                <w:webHidden/>
              </w:rPr>
              <w:fldChar w:fldCharType="separate"/>
            </w:r>
            <w:r w:rsidR="008D1C16">
              <w:rPr>
                <w:noProof/>
                <w:webHidden/>
              </w:rPr>
              <w:t>9</w:t>
            </w:r>
            <w:r w:rsidR="00D84261">
              <w:rPr>
                <w:noProof/>
                <w:webHidden/>
              </w:rPr>
              <w:fldChar w:fldCharType="end"/>
            </w:r>
          </w:hyperlink>
        </w:p>
        <w:p w:rsidR="00D84261" w:rsidRDefault="00DD6266" w:rsidP="00D84261">
          <w:pPr>
            <w:pStyle w:val="TDC2"/>
            <w:ind w:left="0"/>
            <w:rPr>
              <w:noProof/>
              <w:sz w:val="22"/>
              <w:szCs w:val="22"/>
              <w:lang w:val="es-MX" w:eastAsia="es-MX"/>
            </w:rPr>
          </w:pPr>
          <w:hyperlink w:anchor="_Toc13132689" w:history="1">
            <w:r w:rsidR="00D84261" w:rsidRPr="00F55D23">
              <w:rPr>
                <w:rStyle w:val="Hipervnculo"/>
                <w:rFonts w:ascii="Palatino Linotype" w:hAnsi="Palatino Linotype"/>
                <w:b/>
                <w:noProof/>
              </w:rPr>
              <w:t>TERCERO. Planteamiento de la Litis</w:t>
            </w:r>
            <w:r w:rsidR="00D84261">
              <w:rPr>
                <w:noProof/>
                <w:webHidden/>
              </w:rPr>
              <w:tab/>
            </w:r>
            <w:r w:rsidR="00D84261">
              <w:rPr>
                <w:noProof/>
                <w:webHidden/>
              </w:rPr>
              <w:fldChar w:fldCharType="begin"/>
            </w:r>
            <w:r w:rsidR="00D84261">
              <w:rPr>
                <w:noProof/>
                <w:webHidden/>
              </w:rPr>
              <w:instrText xml:space="preserve"> PAGEREF _Toc13132689 \h </w:instrText>
            </w:r>
            <w:r w:rsidR="00D84261">
              <w:rPr>
                <w:noProof/>
                <w:webHidden/>
              </w:rPr>
            </w:r>
            <w:r w:rsidR="00D84261">
              <w:rPr>
                <w:noProof/>
                <w:webHidden/>
              </w:rPr>
              <w:fldChar w:fldCharType="separate"/>
            </w:r>
            <w:r w:rsidR="008D1C16">
              <w:rPr>
                <w:noProof/>
                <w:webHidden/>
              </w:rPr>
              <w:t>10</w:t>
            </w:r>
            <w:r w:rsidR="00D84261">
              <w:rPr>
                <w:noProof/>
                <w:webHidden/>
              </w:rPr>
              <w:fldChar w:fldCharType="end"/>
            </w:r>
          </w:hyperlink>
        </w:p>
        <w:p w:rsidR="00D84261" w:rsidRDefault="00DD6266" w:rsidP="00D84261">
          <w:pPr>
            <w:pStyle w:val="TDC2"/>
            <w:ind w:left="0"/>
            <w:rPr>
              <w:noProof/>
              <w:sz w:val="22"/>
              <w:szCs w:val="22"/>
              <w:lang w:val="es-MX" w:eastAsia="es-MX"/>
            </w:rPr>
          </w:pPr>
          <w:hyperlink w:anchor="_Toc13132690" w:history="1">
            <w:r w:rsidR="00D84261" w:rsidRPr="00F55D23">
              <w:rPr>
                <w:rStyle w:val="Hipervnculo"/>
                <w:rFonts w:ascii="Palatino Linotype" w:hAnsi="Palatino Linotype"/>
                <w:b/>
                <w:noProof/>
              </w:rPr>
              <w:t>CUARTO. Estudio y análisis del asunto.</w:t>
            </w:r>
            <w:r w:rsidR="00D84261">
              <w:rPr>
                <w:noProof/>
                <w:webHidden/>
              </w:rPr>
              <w:tab/>
            </w:r>
            <w:r w:rsidR="00D84261">
              <w:rPr>
                <w:noProof/>
                <w:webHidden/>
              </w:rPr>
              <w:fldChar w:fldCharType="begin"/>
            </w:r>
            <w:r w:rsidR="00D84261">
              <w:rPr>
                <w:noProof/>
                <w:webHidden/>
              </w:rPr>
              <w:instrText xml:space="preserve"> PAGEREF _Toc13132690 \h </w:instrText>
            </w:r>
            <w:r w:rsidR="00D84261">
              <w:rPr>
                <w:noProof/>
                <w:webHidden/>
              </w:rPr>
            </w:r>
            <w:r w:rsidR="00D84261">
              <w:rPr>
                <w:noProof/>
                <w:webHidden/>
              </w:rPr>
              <w:fldChar w:fldCharType="separate"/>
            </w:r>
            <w:r w:rsidR="008D1C16">
              <w:rPr>
                <w:noProof/>
                <w:webHidden/>
              </w:rPr>
              <w:t>11</w:t>
            </w:r>
            <w:r w:rsidR="00D84261">
              <w:rPr>
                <w:noProof/>
                <w:webHidden/>
              </w:rPr>
              <w:fldChar w:fldCharType="end"/>
            </w:r>
          </w:hyperlink>
        </w:p>
        <w:p w:rsidR="00D84261" w:rsidRDefault="00DD6266" w:rsidP="00D84261">
          <w:pPr>
            <w:pStyle w:val="TDC2"/>
            <w:ind w:left="0"/>
            <w:rPr>
              <w:noProof/>
              <w:sz w:val="22"/>
              <w:szCs w:val="22"/>
              <w:lang w:val="es-MX" w:eastAsia="es-MX"/>
            </w:rPr>
          </w:pPr>
          <w:hyperlink w:anchor="_Toc13132691" w:history="1">
            <w:r w:rsidR="00D84261" w:rsidRPr="00F55D23">
              <w:rPr>
                <w:rStyle w:val="Hipervnculo"/>
                <w:rFonts w:ascii="Palatino Linotype" w:eastAsia="Calibri" w:hAnsi="Palatino Linotype"/>
                <w:b/>
                <w:noProof/>
              </w:rPr>
              <w:t>A)Actuaciones de las partes.</w:t>
            </w:r>
            <w:r w:rsidR="00D84261">
              <w:rPr>
                <w:noProof/>
                <w:webHidden/>
              </w:rPr>
              <w:tab/>
            </w:r>
            <w:r w:rsidR="00D84261">
              <w:rPr>
                <w:noProof/>
                <w:webHidden/>
              </w:rPr>
              <w:fldChar w:fldCharType="begin"/>
            </w:r>
            <w:r w:rsidR="00D84261">
              <w:rPr>
                <w:noProof/>
                <w:webHidden/>
              </w:rPr>
              <w:instrText xml:space="preserve"> PAGEREF _Toc13132691 \h </w:instrText>
            </w:r>
            <w:r w:rsidR="00D84261">
              <w:rPr>
                <w:noProof/>
                <w:webHidden/>
              </w:rPr>
            </w:r>
            <w:r w:rsidR="00D84261">
              <w:rPr>
                <w:noProof/>
                <w:webHidden/>
              </w:rPr>
              <w:fldChar w:fldCharType="separate"/>
            </w:r>
            <w:r w:rsidR="008D1C16">
              <w:rPr>
                <w:noProof/>
                <w:webHidden/>
              </w:rPr>
              <w:t>11</w:t>
            </w:r>
            <w:r w:rsidR="00D84261">
              <w:rPr>
                <w:noProof/>
                <w:webHidden/>
              </w:rPr>
              <w:fldChar w:fldCharType="end"/>
            </w:r>
          </w:hyperlink>
        </w:p>
        <w:p w:rsidR="00D84261" w:rsidRDefault="00DD6266" w:rsidP="00D84261">
          <w:pPr>
            <w:pStyle w:val="TDC2"/>
            <w:ind w:left="0"/>
            <w:rPr>
              <w:noProof/>
              <w:sz w:val="22"/>
              <w:szCs w:val="22"/>
              <w:lang w:val="es-MX" w:eastAsia="es-MX"/>
            </w:rPr>
          </w:pPr>
          <w:hyperlink w:anchor="_Toc13132692" w:history="1">
            <w:r w:rsidR="00D84261" w:rsidRPr="00F55D23">
              <w:rPr>
                <w:rStyle w:val="Hipervnculo"/>
                <w:rFonts w:ascii="Palatino Linotype" w:hAnsi="Palatino Linotype"/>
                <w:b/>
                <w:noProof/>
              </w:rPr>
              <w:t>B)Del cobro por digitalización.</w:t>
            </w:r>
            <w:r w:rsidR="00D84261">
              <w:rPr>
                <w:noProof/>
                <w:webHidden/>
              </w:rPr>
              <w:tab/>
            </w:r>
            <w:r w:rsidR="00D84261">
              <w:rPr>
                <w:noProof/>
                <w:webHidden/>
              </w:rPr>
              <w:fldChar w:fldCharType="begin"/>
            </w:r>
            <w:r w:rsidR="00D84261">
              <w:rPr>
                <w:noProof/>
                <w:webHidden/>
              </w:rPr>
              <w:instrText xml:space="preserve"> PAGEREF _Toc13132692 \h </w:instrText>
            </w:r>
            <w:r w:rsidR="00D84261">
              <w:rPr>
                <w:noProof/>
                <w:webHidden/>
              </w:rPr>
            </w:r>
            <w:r w:rsidR="00D84261">
              <w:rPr>
                <w:noProof/>
                <w:webHidden/>
              </w:rPr>
              <w:fldChar w:fldCharType="separate"/>
            </w:r>
            <w:r w:rsidR="008D1C16">
              <w:rPr>
                <w:noProof/>
                <w:webHidden/>
              </w:rPr>
              <w:t>12</w:t>
            </w:r>
            <w:r w:rsidR="00D84261">
              <w:rPr>
                <w:noProof/>
                <w:webHidden/>
              </w:rPr>
              <w:fldChar w:fldCharType="end"/>
            </w:r>
          </w:hyperlink>
        </w:p>
        <w:p w:rsidR="00D84261" w:rsidRDefault="00DD6266" w:rsidP="00D84261">
          <w:pPr>
            <w:pStyle w:val="TDC2"/>
            <w:ind w:left="0"/>
            <w:rPr>
              <w:noProof/>
              <w:sz w:val="22"/>
              <w:szCs w:val="22"/>
              <w:lang w:val="es-MX" w:eastAsia="es-MX"/>
            </w:rPr>
          </w:pPr>
          <w:hyperlink w:anchor="_Toc13132693" w:history="1">
            <w:r w:rsidR="00D84261" w:rsidRPr="00F55D23">
              <w:rPr>
                <w:rStyle w:val="Hipervnculo"/>
                <w:rFonts w:ascii="Palatino Linotype" w:hAnsi="Palatino Linotype"/>
                <w:b/>
                <w:noProof/>
              </w:rPr>
              <w:t>C)Del procedimiento de acceso a datos personales.</w:t>
            </w:r>
            <w:r w:rsidR="00D84261">
              <w:rPr>
                <w:noProof/>
                <w:webHidden/>
              </w:rPr>
              <w:tab/>
            </w:r>
            <w:r w:rsidR="00D84261">
              <w:rPr>
                <w:noProof/>
                <w:webHidden/>
              </w:rPr>
              <w:fldChar w:fldCharType="begin"/>
            </w:r>
            <w:r w:rsidR="00D84261">
              <w:rPr>
                <w:noProof/>
                <w:webHidden/>
              </w:rPr>
              <w:instrText xml:space="preserve"> PAGEREF _Toc13132693 \h </w:instrText>
            </w:r>
            <w:r w:rsidR="00D84261">
              <w:rPr>
                <w:noProof/>
                <w:webHidden/>
              </w:rPr>
            </w:r>
            <w:r w:rsidR="00D84261">
              <w:rPr>
                <w:noProof/>
                <w:webHidden/>
              </w:rPr>
              <w:fldChar w:fldCharType="separate"/>
            </w:r>
            <w:r w:rsidR="008D1C16">
              <w:rPr>
                <w:noProof/>
                <w:webHidden/>
              </w:rPr>
              <w:t>25</w:t>
            </w:r>
            <w:r w:rsidR="00D84261">
              <w:rPr>
                <w:noProof/>
                <w:webHidden/>
              </w:rPr>
              <w:fldChar w:fldCharType="end"/>
            </w:r>
          </w:hyperlink>
        </w:p>
        <w:p w:rsidR="00D84261" w:rsidRDefault="00DD6266" w:rsidP="00D84261">
          <w:pPr>
            <w:pStyle w:val="TDC3"/>
            <w:tabs>
              <w:tab w:val="left" w:pos="880"/>
              <w:tab w:val="right" w:leader="dot" w:pos="8779"/>
            </w:tabs>
            <w:ind w:left="0"/>
            <w:rPr>
              <w:noProof/>
              <w:sz w:val="22"/>
              <w:szCs w:val="22"/>
              <w:lang w:val="es-MX" w:eastAsia="es-MX"/>
            </w:rPr>
          </w:pPr>
          <w:hyperlink w:anchor="_Toc13132694" w:history="1">
            <w:r w:rsidR="00D84261" w:rsidRPr="00F55D23">
              <w:rPr>
                <w:rStyle w:val="Hipervnculo"/>
                <w:rFonts w:ascii="Palatino Linotype" w:hAnsi="Palatino Linotype"/>
                <w:b/>
                <w:noProof/>
              </w:rPr>
              <w:t>i.Garantía Primaria.</w:t>
            </w:r>
            <w:r w:rsidR="00D84261">
              <w:rPr>
                <w:noProof/>
                <w:webHidden/>
              </w:rPr>
              <w:tab/>
            </w:r>
            <w:r w:rsidR="00D84261">
              <w:rPr>
                <w:noProof/>
                <w:webHidden/>
              </w:rPr>
              <w:fldChar w:fldCharType="begin"/>
            </w:r>
            <w:r w:rsidR="00D84261">
              <w:rPr>
                <w:noProof/>
                <w:webHidden/>
              </w:rPr>
              <w:instrText xml:space="preserve"> PAGEREF _Toc13132694 \h </w:instrText>
            </w:r>
            <w:r w:rsidR="00D84261">
              <w:rPr>
                <w:noProof/>
                <w:webHidden/>
              </w:rPr>
            </w:r>
            <w:r w:rsidR="00D84261">
              <w:rPr>
                <w:noProof/>
                <w:webHidden/>
              </w:rPr>
              <w:fldChar w:fldCharType="separate"/>
            </w:r>
            <w:r w:rsidR="008D1C16">
              <w:rPr>
                <w:noProof/>
                <w:webHidden/>
              </w:rPr>
              <w:t>26</w:t>
            </w:r>
            <w:r w:rsidR="00D84261">
              <w:rPr>
                <w:noProof/>
                <w:webHidden/>
              </w:rPr>
              <w:fldChar w:fldCharType="end"/>
            </w:r>
          </w:hyperlink>
        </w:p>
        <w:p w:rsidR="00D84261" w:rsidRDefault="00DD6266" w:rsidP="00D84261">
          <w:pPr>
            <w:pStyle w:val="TDC3"/>
            <w:tabs>
              <w:tab w:val="left" w:pos="1100"/>
              <w:tab w:val="right" w:leader="dot" w:pos="8779"/>
            </w:tabs>
            <w:ind w:left="0"/>
            <w:rPr>
              <w:noProof/>
              <w:sz w:val="22"/>
              <w:szCs w:val="22"/>
              <w:lang w:val="es-MX" w:eastAsia="es-MX"/>
            </w:rPr>
          </w:pPr>
          <w:hyperlink w:anchor="_Toc13132695" w:history="1">
            <w:r w:rsidR="00D84261" w:rsidRPr="00F55D23">
              <w:rPr>
                <w:rStyle w:val="Hipervnculo"/>
                <w:rFonts w:ascii="Palatino Linotype" w:hAnsi="Palatino Linotype"/>
                <w:b/>
                <w:noProof/>
              </w:rPr>
              <w:t>ii.Garantía secundaria.</w:t>
            </w:r>
            <w:r w:rsidR="00D84261">
              <w:rPr>
                <w:noProof/>
                <w:webHidden/>
              </w:rPr>
              <w:tab/>
            </w:r>
            <w:r w:rsidR="00D84261">
              <w:rPr>
                <w:noProof/>
                <w:webHidden/>
              </w:rPr>
              <w:fldChar w:fldCharType="begin"/>
            </w:r>
            <w:r w:rsidR="00D84261">
              <w:rPr>
                <w:noProof/>
                <w:webHidden/>
              </w:rPr>
              <w:instrText xml:space="preserve"> PAGEREF _Toc13132695 \h </w:instrText>
            </w:r>
            <w:r w:rsidR="00D84261">
              <w:rPr>
                <w:noProof/>
                <w:webHidden/>
              </w:rPr>
            </w:r>
            <w:r w:rsidR="00D84261">
              <w:rPr>
                <w:noProof/>
                <w:webHidden/>
              </w:rPr>
              <w:fldChar w:fldCharType="separate"/>
            </w:r>
            <w:r w:rsidR="008D1C16">
              <w:rPr>
                <w:noProof/>
                <w:webHidden/>
              </w:rPr>
              <w:t>28</w:t>
            </w:r>
            <w:r w:rsidR="00D84261">
              <w:rPr>
                <w:noProof/>
                <w:webHidden/>
              </w:rPr>
              <w:fldChar w:fldCharType="end"/>
            </w:r>
          </w:hyperlink>
        </w:p>
        <w:p w:rsidR="00D84261" w:rsidRDefault="00DD6266" w:rsidP="00D84261">
          <w:pPr>
            <w:pStyle w:val="TDC3"/>
            <w:tabs>
              <w:tab w:val="left" w:pos="1100"/>
              <w:tab w:val="right" w:leader="dot" w:pos="8779"/>
            </w:tabs>
            <w:ind w:left="0"/>
            <w:rPr>
              <w:noProof/>
              <w:sz w:val="22"/>
              <w:szCs w:val="22"/>
              <w:lang w:val="es-MX" w:eastAsia="es-MX"/>
            </w:rPr>
          </w:pPr>
          <w:hyperlink w:anchor="_Toc13132696" w:history="1">
            <w:r w:rsidR="00D84261" w:rsidRPr="00F55D23">
              <w:rPr>
                <w:rStyle w:val="Hipervnculo"/>
                <w:rFonts w:ascii="Palatino Linotype" w:hAnsi="Palatino Linotype"/>
                <w:b/>
                <w:noProof/>
              </w:rPr>
              <w:t>iii.Consecuencias de la violación al derecho humano.</w:t>
            </w:r>
            <w:r w:rsidR="00D84261">
              <w:rPr>
                <w:noProof/>
                <w:webHidden/>
              </w:rPr>
              <w:tab/>
            </w:r>
            <w:r w:rsidR="00D84261">
              <w:rPr>
                <w:noProof/>
                <w:webHidden/>
              </w:rPr>
              <w:fldChar w:fldCharType="begin"/>
            </w:r>
            <w:r w:rsidR="00D84261">
              <w:rPr>
                <w:noProof/>
                <w:webHidden/>
              </w:rPr>
              <w:instrText xml:space="preserve"> PAGEREF _Toc13132696 \h </w:instrText>
            </w:r>
            <w:r w:rsidR="00D84261">
              <w:rPr>
                <w:noProof/>
                <w:webHidden/>
              </w:rPr>
            </w:r>
            <w:r w:rsidR="00D84261">
              <w:rPr>
                <w:noProof/>
                <w:webHidden/>
              </w:rPr>
              <w:fldChar w:fldCharType="separate"/>
            </w:r>
            <w:r w:rsidR="008D1C16">
              <w:rPr>
                <w:noProof/>
                <w:webHidden/>
              </w:rPr>
              <w:t>29</w:t>
            </w:r>
            <w:r w:rsidR="00D84261">
              <w:rPr>
                <w:noProof/>
                <w:webHidden/>
              </w:rPr>
              <w:fldChar w:fldCharType="end"/>
            </w:r>
          </w:hyperlink>
        </w:p>
        <w:p w:rsidR="00D84261" w:rsidRDefault="00DD6266" w:rsidP="00D84261">
          <w:pPr>
            <w:pStyle w:val="TDC2"/>
            <w:ind w:left="0"/>
            <w:rPr>
              <w:noProof/>
              <w:sz w:val="22"/>
              <w:szCs w:val="22"/>
              <w:lang w:val="es-MX" w:eastAsia="es-MX"/>
            </w:rPr>
          </w:pPr>
          <w:hyperlink w:anchor="_Toc13132697" w:history="1">
            <w:r w:rsidR="00D84261" w:rsidRPr="00F55D23">
              <w:rPr>
                <w:rStyle w:val="Hipervnculo"/>
                <w:rFonts w:ascii="Palatino Linotype" w:eastAsia="Calibri" w:hAnsi="Palatino Linotype"/>
                <w:b/>
                <w:noProof/>
              </w:rPr>
              <w:t>D)De la búsqueda exhaustiva.</w:t>
            </w:r>
            <w:r w:rsidR="00D84261">
              <w:rPr>
                <w:noProof/>
                <w:webHidden/>
              </w:rPr>
              <w:tab/>
            </w:r>
            <w:r w:rsidR="00D84261">
              <w:rPr>
                <w:noProof/>
                <w:webHidden/>
              </w:rPr>
              <w:fldChar w:fldCharType="begin"/>
            </w:r>
            <w:r w:rsidR="00D84261">
              <w:rPr>
                <w:noProof/>
                <w:webHidden/>
              </w:rPr>
              <w:instrText xml:space="preserve"> PAGEREF _Toc13132697 \h </w:instrText>
            </w:r>
            <w:r w:rsidR="00D84261">
              <w:rPr>
                <w:noProof/>
                <w:webHidden/>
              </w:rPr>
            </w:r>
            <w:r w:rsidR="00D84261">
              <w:rPr>
                <w:noProof/>
                <w:webHidden/>
              </w:rPr>
              <w:fldChar w:fldCharType="separate"/>
            </w:r>
            <w:r w:rsidR="008D1C16">
              <w:rPr>
                <w:noProof/>
                <w:webHidden/>
              </w:rPr>
              <w:t>30</w:t>
            </w:r>
            <w:r w:rsidR="00D84261">
              <w:rPr>
                <w:noProof/>
                <w:webHidden/>
              </w:rPr>
              <w:fldChar w:fldCharType="end"/>
            </w:r>
          </w:hyperlink>
        </w:p>
        <w:p w:rsidR="00D84261" w:rsidRDefault="00DD6266" w:rsidP="00D84261">
          <w:pPr>
            <w:pStyle w:val="TDC2"/>
            <w:ind w:left="0"/>
            <w:rPr>
              <w:noProof/>
              <w:sz w:val="22"/>
              <w:szCs w:val="22"/>
              <w:lang w:val="es-MX" w:eastAsia="es-MX"/>
            </w:rPr>
          </w:pPr>
          <w:hyperlink w:anchor="_Toc13132698" w:history="1">
            <w:r w:rsidR="00D84261" w:rsidRPr="00F55D23">
              <w:rPr>
                <w:rStyle w:val="Hipervnculo"/>
                <w:rFonts w:ascii="Palatino Linotype" w:hAnsi="Palatino Linotype"/>
                <w:b/>
                <w:noProof/>
              </w:rPr>
              <w:t>E)Acreditación de identidad</w:t>
            </w:r>
            <w:r w:rsidR="00D84261">
              <w:rPr>
                <w:noProof/>
                <w:webHidden/>
              </w:rPr>
              <w:tab/>
            </w:r>
            <w:r w:rsidR="00D84261">
              <w:rPr>
                <w:noProof/>
                <w:webHidden/>
              </w:rPr>
              <w:fldChar w:fldCharType="begin"/>
            </w:r>
            <w:r w:rsidR="00D84261">
              <w:rPr>
                <w:noProof/>
                <w:webHidden/>
              </w:rPr>
              <w:instrText xml:space="preserve"> PAGEREF _Toc13132698 \h </w:instrText>
            </w:r>
            <w:r w:rsidR="00D84261">
              <w:rPr>
                <w:noProof/>
                <w:webHidden/>
              </w:rPr>
            </w:r>
            <w:r w:rsidR="00D84261">
              <w:rPr>
                <w:noProof/>
                <w:webHidden/>
              </w:rPr>
              <w:fldChar w:fldCharType="separate"/>
            </w:r>
            <w:r w:rsidR="008D1C16">
              <w:rPr>
                <w:noProof/>
                <w:webHidden/>
              </w:rPr>
              <w:t>33</w:t>
            </w:r>
            <w:r w:rsidR="00D84261">
              <w:rPr>
                <w:noProof/>
                <w:webHidden/>
              </w:rPr>
              <w:fldChar w:fldCharType="end"/>
            </w:r>
          </w:hyperlink>
        </w:p>
        <w:p w:rsidR="00D84261" w:rsidRDefault="00DD6266">
          <w:pPr>
            <w:pStyle w:val="TDC1"/>
            <w:tabs>
              <w:tab w:val="right" w:leader="dot" w:pos="8779"/>
            </w:tabs>
            <w:rPr>
              <w:noProof/>
              <w:sz w:val="22"/>
              <w:szCs w:val="22"/>
              <w:lang w:val="es-MX" w:eastAsia="es-MX"/>
            </w:rPr>
          </w:pPr>
          <w:hyperlink w:anchor="_Toc13132699" w:history="1">
            <w:r w:rsidR="00D84261" w:rsidRPr="00F55D23">
              <w:rPr>
                <w:rStyle w:val="Hipervnculo"/>
                <w:noProof/>
              </w:rPr>
              <w:t>QUINTO. De la Versión Pública</w:t>
            </w:r>
            <w:r w:rsidR="00D84261">
              <w:rPr>
                <w:noProof/>
                <w:webHidden/>
              </w:rPr>
              <w:tab/>
            </w:r>
            <w:r w:rsidR="00D84261">
              <w:rPr>
                <w:noProof/>
                <w:webHidden/>
              </w:rPr>
              <w:fldChar w:fldCharType="begin"/>
            </w:r>
            <w:r w:rsidR="00D84261">
              <w:rPr>
                <w:noProof/>
                <w:webHidden/>
              </w:rPr>
              <w:instrText xml:space="preserve"> PAGEREF _Toc13132699 \h </w:instrText>
            </w:r>
            <w:r w:rsidR="00D84261">
              <w:rPr>
                <w:noProof/>
                <w:webHidden/>
              </w:rPr>
            </w:r>
            <w:r w:rsidR="00D84261">
              <w:rPr>
                <w:noProof/>
                <w:webHidden/>
              </w:rPr>
              <w:fldChar w:fldCharType="separate"/>
            </w:r>
            <w:r w:rsidR="008D1C16">
              <w:rPr>
                <w:noProof/>
                <w:webHidden/>
              </w:rPr>
              <w:t>35</w:t>
            </w:r>
            <w:r w:rsidR="00D84261">
              <w:rPr>
                <w:noProof/>
                <w:webHidden/>
              </w:rPr>
              <w:fldChar w:fldCharType="end"/>
            </w:r>
          </w:hyperlink>
        </w:p>
        <w:p w:rsidR="00D84261" w:rsidRDefault="00DD6266" w:rsidP="00D84261">
          <w:pPr>
            <w:pStyle w:val="TDC3"/>
            <w:tabs>
              <w:tab w:val="left" w:pos="1100"/>
              <w:tab w:val="right" w:leader="dot" w:pos="8779"/>
            </w:tabs>
            <w:ind w:left="0"/>
            <w:rPr>
              <w:noProof/>
              <w:sz w:val="22"/>
              <w:szCs w:val="22"/>
              <w:lang w:val="es-MX" w:eastAsia="es-MX"/>
            </w:rPr>
          </w:pPr>
          <w:hyperlink w:anchor="_Toc13132700" w:history="1">
            <w:r w:rsidR="00D84261" w:rsidRPr="00F55D23">
              <w:rPr>
                <w:rStyle w:val="Hipervnculo"/>
                <w:rFonts w:ascii="Palatino Linotype" w:hAnsi="Palatino Linotype"/>
                <w:b/>
                <w:noProof/>
              </w:rPr>
              <w:t>a.Requisitos previos.</w:t>
            </w:r>
            <w:r w:rsidR="00D84261">
              <w:rPr>
                <w:noProof/>
                <w:webHidden/>
              </w:rPr>
              <w:tab/>
            </w:r>
            <w:r w:rsidR="00D84261">
              <w:rPr>
                <w:noProof/>
                <w:webHidden/>
              </w:rPr>
              <w:fldChar w:fldCharType="begin"/>
            </w:r>
            <w:r w:rsidR="00D84261">
              <w:rPr>
                <w:noProof/>
                <w:webHidden/>
              </w:rPr>
              <w:instrText xml:space="preserve"> PAGEREF _Toc13132700 \h </w:instrText>
            </w:r>
            <w:r w:rsidR="00D84261">
              <w:rPr>
                <w:noProof/>
                <w:webHidden/>
              </w:rPr>
            </w:r>
            <w:r w:rsidR="00D84261">
              <w:rPr>
                <w:noProof/>
                <w:webHidden/>
              </w:rPr>
              <w:fldChar w:fldCharType="separate"/>
            </w:r>
            <w:r w:rsidR="008D1C16">
              <w:rPr>
                <w:noProof/>
                <w:webHidden/>
              </w:rPr>
              <w:t>35</w:t>
            </w:r>
            <w:r w:rsidR="00D84261">
              <w:rPr>
                <w:noProof/>
                <w:webHidden/>
              </w:rPr>
              <w:fldChar w:fldCharType="end"/>
            </w:r>
          </w:hyperlink>
        </w:p>
        <w:p w:rsidR="00D84261" w:rsidRDefault="00DD6266" w:rsidP="00D84261">
          <w:pPr>
            <w:pStyle w:val="TDC3"/>
            <w:tabs>
              <w:tab w:val="left" w:pos="1100"/>
              <w:tab w:val="right" w:leader="dot" w:pos="8779"/>
            </w:tabs>
            <w:ind w:left="0"/>
            <w:rPr>
              <w:noProof/>
              <w:sz w:val="22"/>
              <w:szCs w:val="22"/>
              <w:lang w:val="es-MX" w:eastAsia="es-MX"/>
            </w:rPr>
          </w:pPr>
          <w:hyperlink w:anchor="_Toc13132701" w:history="1">
            <w:r w:rsidR="00D84261" w:rsidRPr="00F55D23">
              <w:rPr>
                <w:rStyle w:val="Hipervnculo"/>
                <w:rFonts w:ascii="Palatino Linotype" w:hAnsi="Palatino Linotype"/>
                <w:b/>
                <w:noProof/>
              </w:rPr>
              <w:t>b.Supuesto de clasificación.</w:t>
            </w:r>
            <w:r w:rsidR="00D84261">
              <w:rPr>
                <w:noProof/>
                <w:webHidden/>
              </w:rPr>
              <w:tab/>
            </w:r>
            <w:r w:rsidR="00D84261">
              <w:rPr>
                <w:noProof/>
                <w:webHidden/>
              </w:rPr>
              <w:fldChar w:fldCharType="begin"/>
            </w:r>
            <w:r w:rsidR="00D84261">
              <w:rPr>
                <w:noProof/>
                <w:webHidden/>
              </w:rPr>
              <w:instrText xml:space="preserve"> PAGEREF _Toc13132701 \h </w:instrText>
            </w:r>
            <w:r w:rsidR="00D84261">
              <w:rPr>
                <w:noProof/>
                <w:webHidden/>
              </w:rPr>
            </w:r>
            <w:r w:rsidR="00D84261">
              <w:rPr>
                <w:noProof/>
                <w:webHidden/>
              </w:rPr>
              <w:fldChar w:fldCharType="separate"/>
            </w:r>
            <w:r w:rsidR="008D1C16">
              <w:rPr>
                <w:noProof/>
                <w:webHidden/>
              </w:rPr>
              <w:t>36</w:t>
            </w:r>
            <w:r w:rsidR="00D84261">
              <w:rPr>
                <w:noProof/>
                <w:webHidden/>
              </w:rPr>
              <w:fldChar w:fldCharType="end"/>
            </w:r>
          </w:hyperlink>
        </w:p>
        <w:p w:rsidR="00D84261" w:rsidRDefault="00DD6266" w:rsidP="00D84261">
          <w:pPr>
            <w:pStyle w:val="TDC3"/>
            <w:tabs>
              <w:tab w:val="left" w:pos="880"/>
              <w:tab w:val="right" w:leader="dot" w:pos="8779"/>
            </w:tabs>
            <w:ind w:left="0"/>
            <w:rPr>
              <w:noProof/>
              <w:sz w:val="22"/>
              <w:szCs w:val="22"/>
              <w:lang w:val="es-MX" w:eastAsia="es-MX"/>
            </w:rPr>
          </w:pPr>
          <w:hyperlink w:anchor="_Toc13132702" w:history="1">
            <w:r w:rsidR="00D84261" w:rsidRPr="00F55D23">
              <w:rPr>
                <w:rStyle w:val="Hipervnculo"/>
                <w:rFonts w:ascii="Palatino Linotype" w:hAnsi="Palatino Linotype"/>
                <w:b/>
                <w:noProof/>
              </w:rPr>
              <w:t>c.La intervención del Comité de Transparencia.</w:t>
            </w:r>
            <w:r w:rsidR="00D84261">
              <w:rPr>
                <w:noProof/>
                <w:webHidden/>
              </w:rPr>
              <w:tab/>
            </w:r>
            <w:r w:rsidR="00D84261">
              <w:rPr>
                <w:noProof/>
                <w:webHidden/>
              </w:rPr>
              <w:fldChar w:fldCharType="begin"/>
            </w:r>
            <w:r w:rsidR="00D84261">
              <w:rPr>
                <w:noProof/>
                <w:webHidden/>
              </w:rPr>
              <w:instrText xml:space="preserve"> PAGEREF _Toc13132702 \h </w:instrText>
            </w:r>
            <w:r w:rsidR="00D84261">
              <w:rPr>
                <w:noProof/>
                <w:webHidden/>
              </w:rPr>
            </w:r>
            <w:r w:rsidR="00D84261">
              <w:rPr>
                <w:noProof/>
                <w:webHidden/>
              </w:rPr>
              <w:fldChar w:fldCharType="separate"/>
            </w:r>
            <w:r w:rsidR="008D1C16">
              <w:rPr>
                <w:noProof/>
                <w:webHidden/>
              </w:rPr>
              <w:t>39</w:t>
            </w:r>
            <w:r w:rsidR="00D84261">
              <w:rPr>
                <w:noProof/>
                <w:webHidden/>
              </w:rPr>
              <w:fldChar w:fldCharType="end"/>
            </w:r>
          </w:hyperlink>
        </w:p>
        <w:p w:rsidR="00D84261" w:rsidRDefault="00DD6266">
          <w:pPr>
            <w:pStyle w:val="TDC1"/>
            <w:tabs>
              <w:tab w:val="right" w:leader="dot" w:pos="8779"/>
            </w:tabs>
            <w:rPr>
              <w:noProof/>
              <w:sz w:val="22"/>
              <w:szCs w:val="22"/>
              <w:lang w:val="es-MX" w:eastAsia="es-MX"/>
            </w:rPr>
          </w:pPr>
          <w:hyperlink w:anchor="_Toc13132703" w:history="1">
            <w:r w:rsidR="00D84261" w:rsidRPr="00F55D23">
              <w:rPr>
                <w:rStyle w:val="Hipervnculo"/>
                <w:rFonts w:eastAsia="Times New Roman"/>
                <w:noProof/>
              </w:rPr>
              <w:t>R E S O L U T I V O S</w:t>
            </w:r>
            <w:r w:rsidR="00D84261">
              <w:rPr>
                <w:noProof/>
                <w:webHidden/>
              </w:rPr>
              <w:tab/>
            </w:r>
            <w:r w:rsidR="00D84261">
              <w:rPr>
                <w:noProof/>
                <w:webHidden/>
              </w:rPr>
              <w:fldChar w:fldCharType="begin"/>
            </w:r>
            <w:r w:rsidR="00D84261">
              <w:rPr>
                <w:noProof/>
                <w:webHidden/>
              </w:rPr>
              <w:instrText xml:space="preserve"> PAGEREF _Toc13132703 \h </w:instrText>
            </w:r>
            <w:r w:rsidR="00D84261">
              <w:rPr>
                <w:noProof/>
                <w:webHidden/>
              </w:rPr>
            </w:r>
            <w:r w:rsidR="00D84261">
              <w:rPr>
                <w:noProof/>
                <w:webHidden/>
              </w:rPr>
              <w:fldChar w:fldCharType="separate"/>
            </w:r>
            <w:r w:rsidR="008D1C16">
              <w:rPr>
                <w:noProof/>
                <w:webHidden/>
              </w:rPr>
              <w:t>45</w:t>
            </w:r>
            <w:r w:rsidR="00D84261">
              <w:rPr>
                <w:noProof/>
                <w:webHidden/>
              </w:rPr>
              <w:fldChar w:fldCharType="end"/>
            </w:r>
          </w:hyperlink>
        </w:p>
        <w:p w:rsidR="00892442" w:rsidRDefault="002A5BA4" w:rsidP="00892442">
          <w:pPr>
            <w:spacing w:line="360" w:lineRule="auto"/>
            <w:rPr>
              <w:rFonts w:ascii="Palatino Linotype" w:hAnsi="Palatino Linotype"/>
              <w:b/>
              <w:bCs/>
              <w:lang w:val="es-ES"/>
            </w:rPr>
          </w:pPr>
          <w:r w:rsidRPr="00892442">
            <w:rPr>
              <w:rFonts w:ascii="Palatino Linotype" w:hAnsi="Palatino Linotype"/>
              <w:b/>
              <w:bCs/>
              <w:lang w:val="es-ES"/>
            </w:rPr>
            <w:fldChar w:fldCharType="end"/>
          </w:r>
        </w:p>
        <w:p w:rsidR="00D84261" w:rsidRDefault="00D84261" w:rsidP="00892442">
          <w:pPr>
            <w:spacing w:line="360" w:lineRule="auto"/>
            <w:rPr>
              <w:rFonts w:ascii="Palatino Linotype" w:hAnsi="Palatino Linotype"/>
            </w:rPr>
          </w:pPr>
        </w:p>
        <w:p w:rsidR="00D84261" w:rsidRDefault="00D84261" w:rsidP="00892442">
          <w:pPr>
            <w:spacing w:line="360" w:lineRule="auto"/>
            <w:rPr>
              <w:rFonts w:ascii="Palatino Linotype" w:hAnsi="Palatino Linotype"/>
            </w:rPr>
          </w:pPr>
        </w:p>
        <w:p w:rsidR="00D84261" w:rsidRDefault="00D84261" w:rsidP="00892442">
          <w:pPr>
            <w:spacing w:line="360" w:lineRule="auto"/>
            <w:rPr>
              <w:rFonts w:ascii="Palatino Linotype" w:hAnsi="Palatino Linotype"/>
            </w:rPr>
          </w:pPr>
        </w:p>
        <w:p w:rsidR="00C71A73" w:rsidRPr="00892442" w:rsidRDefault="00DD6266" w:rsidP="00892442">
          <w:pPr>
            <w:spacing w:line="360" w:lineRule="auto"/>
            <w:rPr>
              <w:rFonts w:ascii="Palatino Linotype" w:hAnsi="Palatino Linotype"/>
            </w:rPr>
          </w:pPr>
        </w:p>
      </w:sdtContent>
    </w:sdt>
    <w:p w:rsidR="002A5BA4" w:rsidRPr="00892442" w:rsidRDefault="002A5BA4" w:rsidP="00892442">
      <w:pPr>
        <w:spacing w:before="240" w:after="240" w:line="360" w:lineRule="auto"/>
        <w:jc w:val="both"/>
        <w:rPr>
          <w:rFonts w:ascii="Palatino Linotype" w:hAnsi="Palatino Linotype"/>
        </w:rPr>
      </w:pPr>
      <w:r w:rsidRPr="00892442">
        <w:rPr>
          <w:rFonts w:ascii="Palatino Linotype" w:hAnsi="Palatino Linotype"/>
        </w:rPr>
        <w:lastRenderedPageBreak/>
        <w:t>Resolución del Pleno del Instituto de Transparencia, Acceso a la Información Pública y Protección de Datos Personales del Estado de México y Municipios, con domicilio en Mete</w:t>
      </w:r>
      <w:r w:rsidR="00795CEB">
        <w:rPr>
          <w:rFonts w:ascii="Palatino Linotype" w:hAnsi="Palatino Linotype"/>
        </w:rPr>
        <w:t>pec, Estado de México; de fecha tres</w:t>
      </w:r>
      <w:r w:rsidRPr="00892442">
        <w:rPr>
          <w:rFonts w:ascii="Palatino Linotype" w:hAnsi="Palatino Linotype"/>
        </w:rPr>
        <w:t xml:space="preserve"> (</w:t>
      </w:r>
      <w:r w:rsidR="00892442">
        <w:rPr>
          <w:rFonts w:ascii="Palatino Linotype" w:hAnsi="Palatino Linotype"/>
        </w:rPr>
        <w:t>03) de julio</w:t>
      </w:r>
      <w:r w:rsidRPr="00892442">
        <w:rPr>
          <w:rFonts w:ascii="Palatino Linotype" w:hAnsi="Palatino Linotype"/>
        </w:rPr>
        <w:t xml:space="preserve"> de dos mil </w:t>
      </w:r>
      <w:r w:rsidR="000E053C" w:rsidRPr="00892442">
        <w:rPr>
          <w:rFonts w:ascii="Palatino Linotype" w:eastAsia="Calibri" w:hAnsi="Palatino Linotype" w:cs="Arial"/>
          <w:lang w:val="es-ES"/>
        </w:rPr>
        <w:t>dieci</w:t>
      </w:r>
      <w:r w:rsidR="00AC15BE" w:rsidRPr="00892442">
        <w:rPr>
          <w:rFonts w:ascii="Palatino Linotype" w:eastAsia="Calibri" w:hAnsi="Palatino Linotype" w:cs="Arial"/>
          <w:lang w:val="es-ES"/>
        </w:rPr>
        <w:t>nueve</w:t>
      </w:r>
      <w:r w:rsidR="000404FD" w:rsidRPr="00892442">
        <w:rPr>
          <w:rFonts w:ascii="Palatino Linotype" w:hAnsi="Palatino Linotype"/>
        </w:rPr>
        <w:t>.</w:t>
      </w:r>
    </w:p>
    <w:p w:rsidR="002A5BA4" w:rsidRPr="00892442" w:rsidRDefault="002A5BA4" w:rsidP="00892442">
      <w:pPr>
        <w:spacing w:before="240" w:after="360" w:line="360" w:lineRule="auto"/>
        <w:jc w:val="both"/>
        <w:rPr>
          <w:rFonts w:ascii="Palatino Linotype" w:hAnsi="Palatino Linotype" w:cs="Arial"/>
          <w:b/>
          <w:bCs/>
        </w:rPr>
      </w:pPr>
      <w:r w:rsidRPr="00892442">
        <w:rPr>
          <w:rFonts w:ascii="Palatino Linotype" w:hAnsi="Palatino Linotype"/>
          <w:b/>
        </w:rPr>
        <w:t>VISTO</w:t>
      </w:r>
      <w:r w:rsidR="0036196A" w:rsidRPr="00892442">
        <w:rPr>
          <w:rFonts w:ascii="Palatino Linotype" w:hAnsi="Palatino Linotype"/>
          <w:b/>
        </w:rPr>
        <w:t xml:space="preserve"> </w:t>
      </w:r>
      <w:r w:rsidR="0036196A" w:rsidRPr="00892442">
        <w:rPr>
          <w:rFonts w:ascii="Palatino Linotype" w:hAnsi="Palatino Linotype"/>
        </w:rPr>
        <w:t>el</w:t>
      </w:r>
      <w:r w:rsidRPr="00892442">
        <w:rPr>
          <w:rFonts w:ascii="Palatino Linotype" w:hAnsi="Palatino Linotype"/>
        </w:rPr>
        <w:t xml:space="preserve"> expediente</w:t>
      </w:r>
      <w:r w:rsidR="0036196A" w:rsidRPr="00892442">
        <w:rPr>
          <w:rFonts w:ascii="Palatino Linotype" w:hAnsi="Palatino Linotype"/>
        </w:rPr>
        <w:t xml:space="preserve"> </w:t>
      </w:r>
      <w:r w:rsidRPr="00892442">
        <w:rPr>
          <w:rFonts w:ascii="Palatino Linotype" w:hAnsi="Palatino Linotype"/>
        </w:rPr>
        <w:t xml:space="preserve">electrónico formado con motivo del recurso de revisión </w:t>
      </w:r>
      <w:r w:rsidR="00FB4F92" w:rsidRPr="00892442">
        <w:rPr>
          <w:rFonts w:ascii="Palatino Linotype" w:hAnsi="Palatino Linotype"/>
          <w:b/>
        </w:rPr>
        <w:t>02308</w:t>
      </w:r>
      <w:r w:rsidR="00795CEB">
        <w:rPr>
          <w:rFonts w:ascii="Palatino Linotype" w:hAnsi="Palatino Linotype"/>
          <w:b/>
        </w:rPr>
        <w:t>/INFOEM/AD</w:t>
      </w:r>
      <w:r w:rsidR="00AC15BE" w:rsidRPr="00892442">
        <w:rPr>
          <w:rFonts w:ascii="Palatino Linotype" w:hAnsi="Palatino Linotype"/>
          <w:b/>
        </w:rPr>
        <w:t>/RR/201</w:t>
      </w:r>
      <w:r w:rsidR="00FB4F92" w:rsidRPr="00892442">
        <w:rPr>
          <w:rFonts w:ascii="Palatino Linotype" w:hAnsi="Palatino Linotype"/>
          <w:b/>
        </w:rPr>
        <w:t>9</w:t>
      </w:r>
      <w:r w:rsidR="009A66DF" w:rsidRPr="00892442">
        <w:rPr>
          <w:rFonts w:ascii="Palatino Linotype" w:hAnsi="Palatino Linotype" w:cs="Arial"/>
          <w:b/>
          <w:bCs/>
        </w:rPr>
        <w:t xml:space="preserve"> </w:t>
      </w:r>
      <w:r w:rsidR="00795CEB">
        <w:rPr>
          <w:rFonts w:ascii="Palatino Linotype" w:hAnsi="Palatino Linotype"/>
        </w:rPr>
        <w:t xml:space="preserve">promovido por </w:t>
      </w:r>
      <w:r w:rsidR="0015100C" w:rsidRPr="0015100C">
        <w:rPr>
          <w:rFonts w:ascii="Palatino Linotype" w:hAnsi="Palatino Linotype"/>
          <w:b/>
          <w:highlight w:val="black"/>
        </w:rPr>
        <w:t>-----------------------------</w:t>
      </w:r>
      <w:r w:rsidRPr="00795CEB">
        <w:rPr>
          <w:rFonts w:ascii="Palatino Linotype" w:hAnsi="Palatino Linotype"/>
          <w:b/>
        </w:rPr>
        <w:t xml:space="preserve"> </w:t>
      </w:r>
      <w:r w:rsidRPr="00892442">
        <w:rPr>
          <w:rFonts w:ascii="Palatino Linotype" w:hAnsi="Palatino Linotype" w:cs="Arial"/>
        </w:rPr>
        <w:t xml:space="preserve">en su calidad de </w:t>
      </w:r>
      <w:r w:rsidRPr="00892442">
        <w:rPr>
          <w:rFonts w:ascii="Palatino Linotype" w:hAnsi="Palatino Linotype" w:cs="Arial"/>
          <w:b/>
        </w:rPr>
        <w:t>RECURRENTE</w:t>
      </w:r>
      <w:r w:rsidRPr="00892442">
        <w:rPr>
          <w:rFonts w:ascii="Palatino Linotype" w:hAnsi="Palatino Linotype" w:cs="Arial"/>
        </w:rPr>
        <w:t>, en contra de la respuesta del</w:t>
      </w:r>
      <w:r w:rsidR="00795CEB">
        <w:rPr>
          <w:rFonts w:ascii="Palatino Linotype" w:hAnsi="Palatino Linotype" w:cs="Arial"/>
        </w:rPr>
        <w:t xml:space="preserve"> </w:t>
      </w:r>
      <w:r w:rsidR="00795CEB">
        <w:rPr>
          <w:rFonts w:ascii="Palatino Linotype" w:hAnsi="Palatino Linotype"/>
          <w:b/>
        </w:rPr>
        <w:t>Ayuntamiento de Huixquilucan</w:t>
      </w:r>
      <w:r w:rsidRPr="00892442">
        <w:rPr>
          <w:rFonts w:ascii="Palatino Linotype" w:hAnsi="Palatino Linotype" w:cs="Arial"/>
        </w:rPr>
        <w:t>,</w:t>
      </w:r>
      <w:r w:rsidRPr="00892442">
        <w:rPr>
          <w:rFonts w:ascii="Palatino Linotype" w:hAnsi="Palatino Linotype"/>
          <w:b/>
        </w:rPr>
        <w:t xml:space="preserve"> </w:t>
      </w:r>
      <w:r w:rsidRPr="00892442">
        <w:rPr>
          <w:rFonts w:ascii="Palatino Linotype" w:hAnsi="Palatino Linotype"/>
        </w:rPr>
        <w:t>en lo sucesivo el</w:t>
      </w:r>
      <w:r w:rsidRPr="00892442">
        <w:rPr>
          <w:rFonts w:ascii="Palatino Linotype" w:hAnsi="Palatino Linotype"/>
          <w:b/>
        </w:rPr>
        <w:t xml:space="preserve"> SUJETO OBLIGADO, </w:t>
      </w:r>
      <w:r w:rsidRPr="00892442">
        <w:rPr>
          <w:rFonts w:ascii="Palatino Linotype" w:hAnsi="Palatino Linotype"/>
        </w:rPr>
        <w:t xml:space="preserve">se procede a dictar la presente resolución, con base en los siguientes: </w:t>
      </w:r>
    </w:p>
    <w:p w:rsidR="002A5BA4" w:rsidRPr="00892442" w:rsidRDefault="002A5BA4" w:rsidP="00892442">
      <w:pPr>
        <w:pStyle w:val="Ttulo1"/>
        <w:spacing w:line="360" w:lineRule="auto"/>
        <w:jc w:val="center"/>
        <w:rPr>
          <w:b w:val="0"/>
          <w:szCs w:val="24"/>
        </w:rPr>
      </w:pPr>
      <w:bookmarkStart w:id="0" w:name="_Toc13132685"/>
      <w:r w:rsidRPr="00892442">
        <w:rPr>
          <w:szCs w:val="24"/>
        </w:rPr>
        <w:t>ANTECEDENTES</w:t>
      </w:r>
      <w:bookmarkEnd w:id="0"/>
    </w:p>
    <w:p w:rsidR="002A5BA4" w:rsidRPr="00892442" w:rsidRDefault="0036196A" w:rsidP="00892442">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92442">
        <w:rPr>
          <w:rFonts w:ascii="Palatino Linotype" w:eastAsia="Calibri" w:hAnsi="Palatino Linotype" w:cs="Arial"/>
          <w:lang w:val="es-ES"/>
        </w:rPr>
        <w:t xml:space="preserve">El </w:t>
      </w:r>
      <w:r w:rsidR="002A5BA4" w:rsidRPr="00892442">
        <w:rPr>
          <w:rFonts w:ascii="Palatino Linotype" w:eastAsia="Calibri" w:hAnsi="Palatino Linotype" w:cs="Arial"/>
          <w:lang w:val="es-ES"/>
        </w:rPr>
        <w:t xml:space="preserve">día </w:t>
      </w:r>
      <w:r w:rsidR="00FB4F92" w:rsidRPr="00892442">
        <w:rPr>
          <w:rFonts w:ascii="Palatino Linotype" w:eastAsia="Calibri" w:hAnsi="Palatino Linotype" w:cs="Arial"/>
          <w:lang w:val="es-ES"/>
        </w:rPr>
        <w:t>cinco</w:t>
      </w:r>
      <w:r w:rsidR="00FB61C7" w:rsidRPr="00892442">
        <w:rPr>
          <w:rFonts w:ascii="Palatino Linotype" w:eastAsia="Calibri" w:hAnsi="Palatino Linotype" w:cs="Arial"/>
          <w:lang w:val="es-ES"/>
        </w:rPr>
        <w:t xml:space="preserve"> </w:t>
      </w:r>
      <w:r w:rsidR="002A5BA4" w:rsidRPr="00892442">
        <w:rPr>
          <w:rFonts w:ascii="Palatino Linotype" w:eastAsia="Calibri" w:hAnsi="Palatino Linotype" w:cs="Arial"/>
          <w:lang w:val="es-ES"/>
        </w:rPr>
        <w:t>(</w:t>
      </w:r>
      <w:r w:rsidR="00FB4F92" w:rsidRPr="00892442">
        <w:rPr>
          <w:rFonts w:ascii="Palatino Linotype" w:eastAsia="Calibri" w:hAnsi="Palatino Linotype" w:cs="Arial"/>
          <w:lang w:val="es-ES"/>
        </w:rPr>
        <w:t>5</w:t>
      </w:r>
      <w:r w:rsidR="002A5BA4" w:rsidRPr="00892442">
        <w:rPr>
          <w:rFonts w:ascii="Palatino Linotype" w:eastAsia="Calibri" w:hAnsi="Palatino Linotype" w:cs="Arial"/>
          <w:lang w:val="es-ES"/>
        </w:rPr>
        <w:t xml:space="preserve">) de </w:t>
      </w:r>
      <w:r w:rsidR="00FB4F92" w:rsidRPr="00892442">
        <w:rPr>
          <w:rFonts w:ascii="Palatino Linotype" w:eastAsia="Calibri" w:hAnsi="Palatino Linotype" w:cs="Arial"/>
          <w:lang w:val="es-ES"/>
        </w:rPr>
        <w:t xml:space="preserve">febrero </w:t>
      </w:r>
      <w:r w:rsidR="002A5BA4" w:rsidRPr="00892442">
        <w:rPr>
          <w:rFonts w:ascii="Palatino Linotype" w:eastAsia="Calibri" w:hAnsi="Palatino Linotype" w:cs="Arial"/>
          <w:lang w:val="es-ES"/>
        </w:rPr>
        <w:t xml:space="preserve">de dos mil </w:t>
      </w:r>
      <w:r w:rsidR="009A66DF" w:rsidRPr="00892442">
        <w:rPr>
          <w:rFonts w:ascii="Palatino Linotype" w:eastAsia="Calibri" w:hAnsi="Palatino Linotype" w:cs="Arial"/>
          <w:lang w:val="es-ES"/>
        </w:rPr>
        <w:t>dieci</w:t>
      </w:r>
      <w:r w:rsidR="00FB4F92" w:rsidRPr="00892442">
        <w:rPr>
          <w:rFonts w:ascii="Palatino Linotype" w:eastAsia="Calibri" w:hAnsi="Palatino Linotype" w:cs="Arial"/>
          <w:lang w:val="es-ES"/>
        </w:rPr>
        <w:t>nueve</w:t>
      </w:r>
      <w:r w:rsidR="002A5BA4" w:rsidRPr="00892442">
        <w:rPr>
          <w:rFonts w:ascii="Palatino Linotype" w:eastAsia="Calibri" w:hAnsi="Palatino Linotype" w:cs="Arial"/>
          <w:lang w:val="es-ES"/>
        </w:rPr>
        <w:t>,</w:t>
      </w:r>
      <w:r w:rsidR="002A5BA4" w:rsidRPr="00892442">
        <w:rPr>
          <w:rFonts w:ascii="Palatino Linotype" w:eastAsia="Calibri" w:hAnsi="Palatino Linotype" w:cs="Times New Roman"/>
          <w:lang w:val="es-ES"/>
        </w:rPr>
        <w:t xml:space="preserve"> </w:t>
      </w:r>
      <w:r w:rsidR="0015100C" w:rsidRPr="0015100C">
        <w:rPr>
          <w:rFonts w:ascii="Palatino Linotype" w:hAnsi="Palatino Linotype"/>
          <w:b/>
          <w:highlight w:val="black"/>
        </w:rPr>
        <w:t>----------------------------</w:t>
      </w:r>
      <w:r w:rsidR="00347BB3" w:rsidRPr="00892442">
        <w:rPr>
          <w:rFonts w:ascii="Palatino Linotype" w:hAnsi="Palatino Linotype"/>
          <w:b/>
        </w:rPr>
        <w:t xml:space="preserve"> </w:t>
      </w:r>
      <w:r w:rsidR="002A5BA4" w:rsidRPr="00892442">
        <w:rPr>
          <w:rFonts w:ascii="Palatino Linotype" w:eastAsia="Calibri" w:hAnsi="Palatino Linotype" w:cs="Arial"/>
          <w:lang w:val="es-ES"/>
        </w:rPr>
        <w:t xml:space="preserve">ante el </w:t>
      </w:r>
      <w:r w:rsidR="002A5BA4" w:rsidRPr="00892442">
        <w:rPr>
          <w:rFonts w:ascii="Palatino Linotype" w:eastAsia="Calibri" w:hAnsi="Palatino Linotype" w:cs="Arial"/>
          <w:b/>
          <w:lang w:val="es-ES"/>
        </w:rPr>
        <w:t>SUJETO OBLIGADO</w:t>
      </w:r>
      <w:r w:rsidR="002A5BA4" w:rsidRPr="00892442">
        <w:rPr>
          <w:rFonts w:ascii="Palatino Linotype" w:eastAsia="Calibri" w:hAnsi="Palatino Linotype" w:cs="Arial"/>
        </w:rPr>
        <w:t xml:space="preserve"> vía </w:t>
      </w:r>
      <w:r w:rsidR="00EB5A47" w:rsidRPr="00892442">
        <w:rPr>
          <w:rStyle w:val="Ttulo2Car"/>
          <w:rFonts w:ascii="Palatino Linotype" w:eastAsiaTheme="minorEastAsia" w:hAnsi="Palatino Linotype" w:cstheme="minorBidi"/>
          <w:color w:val="auto"/>
          <w:sz w:val="24"/>
          <w:szCs w:val="24"/>
        </w:rPr>
        <w:t xml:space="preserve">Sistema de Acceso, Rectificación, Cancelación y Oposición de Datos Personales del Estado de México </w:t>
      </w:r>
      <w:r w:rsidR="00EB5A47" w:rsidRPr="00892442">
        <w:rPr>
          <w:rStyle w:val="Ttulo2Car"/>
          <w:rFonts w:ascii="Palatino Linotype" w:eastAsiaTheme="minorEastAsia" w:hAnsi="Palatino Linotype" w:cstheme="minorBidi"/>
          <w:b/>
          <w:color w:val="auto"/>
          <w:sz w:val="24"/>
          <w:szCs w:val="24"/>
        </w:rPr>
        <w:t>(SARCOEM)</w:t>
      </w:r>
      <w:r w:rsidR="002A5BA4" w:rsidRPr="00892442">
        <w:rPr>
          <w:rFonts w:ascii="Palatino Linotype" w:eastAsia="Calibri" w:hAnsi="Palatino Linotype" w:cs="Arial"/>
          <w:lang w:val="es-ES"/>
        </w:rPr>
        <w:t xml:space="preserve">, presentó la solicitud de </w:t>
      </w:r>
      <w:r w:rsidR="00FB4F92" w:rsidRPr="00892442">
        <w:rPr>
          <w:rFonts w:ascii="Palatino Linotype" w:eastAsia="Calibri" w:hAnsi="Palatino Linotype" w:cs="Arial"/>
          <w:lang w:val="es-ES"/>
        </w:rPr>
        <w:t>acceso a datos personales r</w:t>
      </w:r>
      <w:r w:rsidR="002A5BA4" w:rsidRPr="00892442">
        <w:rPr>
          <w:rFonts w:ascii="Palatino Linotype" w:eastAsia="Calibri" w:hAnsi="Palatino Linotype" w:cs="Arial"/>
          <w:lang w:val="es-ES"/>
        </w:rPr>
        <w:t>egistrada</w:t>
      </w:r>
      <w:r w:rsidRPr="00892442">
        <w:rPr>
          <w:rFonts w:ascii="Palatino Linotype" w:eastAsia="Calibri" w:hAnsi="Palatino Linotype" w:cs="Arial"/>
          <w:lang w:val="es-ES"/>
        </w:rPr>
        <w:t xml:space="preserve"> bajo el número</w:t>
      </w:r>
      <w:r w:rsidR="000E053C" w:rsidRPr="00892442">
        <w:rPr>
          <w:rFonts w:ascii="Palatino Linotype" w:eastAsia="Times New Roman" w:hAnsi="Palatino Linotype" w:cs="Arial"/>
          <w:b/>
          <w:lang w:val="es-ES"/>
        </w:rPr>
        <w:t xml:space="preserve"> </w:t>
      </w:r>
      <w:r w:rsidR="008F51A3" w:rsidRPr="00892442">
        <w:rPr>
          <w:rFonts w:ascii="Palatino Linotype" w:eastAsia="Calibri" w:hAnsi="Palatino Linotype" w:cs="Arial"/>
          <w:b/>
          <w:color w:val="000000" w:themeColor="text1"/>
          <w:lang w:val="es-ES"/>
        </w:rPr>
        <w:t>000</w:t>
      </w:r>
      <w:r w:rsidR="00FB4F92" w:rsidRPr="00892442">
        <w:rPr>
          <w:rFonts w:ascii="Palatino Linotype" w:eastAsia="Calibri" w:hAnsi="Palatino Linotype" w:cs="Arial"/>
          <w:b/>
          <w:color w:val="000000" w:themeColor="text1"/>
          <w:lang w:val="es-ES"/>
        </w:rPr>
        <w:t>0</w:t>
      </w:r>
      <w:r w:rsidR="008F51A3" w:rsidRPr="00892442">
        <w:rPr>
          <w:rFonts w:ascii="Palatino Linotype" w:eastAsia="Calibri" w:hAnsi="Palatino Linotype" w:cs="Arial"/>
          <w:b/>
          <w:color w:val="000000" w:themeColor="text1"/>
          <w:lang w:val="es-ES"/>
        </w:rPr>
        <w:t>1/</w:t>
      </w:r>
      <w:r w:rsidR="00FB4F92" w:rsidRPr="00892442">
        <w:rPr>
          <w:rFonts w:ascii="Palatino Linotype" w:eastAsia="Calibri" w:hAnsi="Palatino Linotype" w:cs="Arial"/>
          <w:b/>
          <w:color w:val="000000" w:themeColor="text1"/>
          <w:lang w:val="es-ES"/>
        </w:rPr>
        <w:t>HUIXQUIL/AD/2019</w:t>
      </w:r>
      <w:r w:rsidR="008F51A3" w:rsidRPr="00892442">
        <w:rPr>
          <w:rFonts w:ascii="Palatino Linotype" w:hAnsi="Palatino Linotype"/>
          <w:b/>
          <w:bCs/>
          <w:color w:val="000000" w:themeColor="text1"/>
        </w:rPr>
        <w:t xml:space="preserve"> </w:t>
      </w:r>
      <w:r w:rsidR="002A5BA4" w:rsidRPr="00892442">
        <w:rPr>
          <w:rFonts w:ascii="Palatino Linotype" w:eastAsia="Calibri" w:hAnsi="Palatino Linotype" w:cs="Arial"/>
          <w:lang w:val="es-ES"/>
        </w:rPr>
        <w:t>mediante la</w:t>
      </w:r>
      <w:r w:rsidR="00FB61C7" w:rsidRPr="00892442">
        <w:rPr>
          <w:rFonts w:ascii="Palatino Linotype" w:eastAsia="Calibri" w:hAnsi="Palatino Linotype" w:cs="Arial"/>
          <w:lang w:val="es-ES"/>
        </w:rPr>
        <w:t xml:space="preserve"> </w:t>
      </w:r>
      <w:r w:rsidR="002A5BA4" w:rsidRPr="00892442">
        <w:rPr>
          <w:rFonts w:ascii="Palatino Linotype" w:eastAsia="Calibri" w:hAnsi="Palatino Linotype" w:cs="Arial"/>
          <w:lang w:val="es-ES"/>
        </w:rPr>
        <w:t>cual</w:t>
      </w:r>
      <w:r w:rsidRPr="00892442">
        <w:rPr>
          <w:rFonts w:ascii="Palatino Linotype" w:eastAsia="Calibri" w:hAnsi="Palatino Linotype" w:cs="Arial"/>
          <w:lang w:val="es-ES"/>
        </w:rPr>
        <w:t xml:space="preserve"> </w:t>
      </w:r>
      <w:r w:rsidR="000E053C" w:rsidRPr="00892442">
        <w:rPr>
          <w:rFonts w:ascii="Palatino Linotype" w:eastAsia="Calibri" w:hAnsi="Palatino Linotype" w:cs="Arial"/>
          <w:lang w:val="es-ES"/>
        </w:rPr>
        <w:t>solicitó lo siguiente:</w:t>
      </w:r>
    </w:p>
    <w:p w:rsidR="004942B7" w:rsidRPr="00892442" w:rsidRDefault="009B69B4" w:rsidP="00892442">
      <w:pPr>
        <w:spacing w:before="240" w:after="240" w:line="360" w:lineRule="auto"/>
        <w:ind w:left="567" w:right="567"/>
        <w:jc w:val="both"/>
        <w:rPr>
          <w:rFonts w:ascii="Palatino Linotype" w:eastAsia="Calibri" w:hAnsi="Palatino Linotype" w:cs="Arial"/>
          <w:i/>
          <w:lang w:val="es-ES"/>
        </w:rPr>
      </w:pPr>
      <w:r w:rsidRPr="00892442">
        <w:rPr>
          <w:rFonts w:ascii="Palatino Linotype" w:eastAsia="Calibri" w:hAnsi="Palatino Linotype" w:cs="Arial"/>
          <w:i/>
          <w:lang w:val="es-ES"/>
        </w:rPr>
        <w:t xml:space="preserve"> </w:t>
      </w:r>
      <w:r w:rsidR="000E053C" w:rsidRPr="00892442">
        <w:rPr>
          <w:rFonts w:ascii="Palatino Linotype" w:eastAsia="Calibri" w:hAnsi="Palatino Linotype" w:cs="Arial"/>
          <w:i/>
          <w:lang w:val="es-ES"/>
        </w:rPr>
        <w:t>“</w:t>
      </w:r>
      <w:proofErr w:type="spellStart"/>
      <w:r w:rsidR="00FB4F92" w:rsidRPr="00892442">
        <w:rPr>
          <w:rStyle w:val="Ninguno"/>
          <w:rFonts w:ascii="Palatino Linotype" w:hAnsi="Palatino Linotype"/>
          <w:bCs/>
          <w:i/>
          <w:lang w:val="es-MX"/>
        </w:rPr>
        <w:t>oda</w:t>
      </w:r>
      <w:proofErr w:type="spellEnd"/>
      <w:r w:rsidR="00FB4F92" w:rsidRPr="00892442">
        <w:rPr>
          <w:rStyle w:val="Ninguno"/>
          <w:rFonts w:ascii="Palatino Linotype" w:hAnsi="Palatino Linotype"/>
          <w:bCs/>
          <w:i/>
          <w:lang w:val="es-MX"/>
        </w:rPr>
        <w:t xml:space="preserve"> la documentación en copias certificadas, correspondiente al predio ubicado en paraje denominado cerrada de </w:t>
      </w:r>
      <w:r w:rsidR="00A37CD6" w:rsidRPr="00A37CD6">
        <w:rPr>
          <w:rStyle w:val="Ninguno"/>
          <w:rFonts w:ascii="Palatino Linotype" w:hAnsi="Palatino Linotype"/>
          <w:bCs/>
          <w:i/>
          <w:highlight w:val="black"/>
          <w:lang w:val="es-MX"/>
        </w:rPr>
        <w:t>--------</w:t>
      </w:r>
      <w:r w:rsidR="00FB4F92" w:rsidRPr="00892442">
        <w:rPr>
          <w:rStyle w:val="Ninguno"/>
          <w:rFonts w:ascii="Palatino Linotype" w:hAnsi="Palatino Linotype"/>
          <w:bCs/>
          <w:i/>
          <w:lang w:val="es-MX"/>
        </w:rPr>
        <w:t xml:space="preserve"> sin número, perteneciente al poblado </w:t>
      </w:r>
      <w:r w:rsidR="00A37CD6" w:rsidRPr="00A37CD6">
        <w:rPr>
          <w:rStyle w:val="Ninguno"/>
          <w:rFonts w:ascii="Palatino Linotype" w:hAnsi="Palatino Linotype"/>
          <w:bCs/>
          <w:i/>
          <w:highlight w:val="black"/>
          <w:lang w:val="es-MX"/>
        </w:rPr>
        <w:t>-------------------</w:t>
      </w:r>
      <w:r w:rsidR="00FB4F92" w:rsidRPr="00892442">
        <w:rPr>
          <w:rStyle w:val="Ninguno"/>
          <w:rFonts w:ascii="Palatino Linotype" w:hAnsi="Palatino Linotype"/>
          <w:bCs/>
          <w:i/>
          <w:lang w:val="es-MX"/>
        </w:rPr>
        <w:t xml:space="preserve">, dicha documentación puede estar a nombre de </w:t>
      </w:r>
      <w:r w:rsidR="0015100C" w:rsidRPr="0015100C">
        <w:rPr>
          <w:rStyle w:val="Ninguno"/>
          <w:rFonts w:ascii="Palatino Linotype" w:hAnsi="Palatino Linotype"/>
          <w:bCs/>
          <w:i/>
          <w:highlight w:val="black"/>
          <w:lang w:val="es-MX"/>
        </w:rPr>
        <w:t>---------------------------------</w:t>
      </w:r>
      <w:r w:rsidR="00FB4F92" w:rsidRPr="00892442">
        <w:rPr>
          <w:rStyle w:val="Ninguno"/>
          <w:rFonts w:ascii="Palatino Linotype" w:hAnsi="Palatino Linotype"/>
          <w:bCs/>
          <w:i/>
          <w:lang w:val="es-MX"/>
        </w:rPr>
        <w:t xml:space="preserve"> o de </w:t>
      </w:r>
      <w:r w:rsidR="0015100C" w:rsidRPr="0015100C">
        <w:rPr>
          <w:rStyle w:val="Ninguno"/>
          <w:rFonts w:ascii="Palatino Linotype" w:hAnsi="Palatino Linotype"/>
          <w:bCs/>
          <w:i/>
          <w:highlight w:val="black"/>
          <w:lang w:val="es-MX"/>
        </w:rPr>
        <w:t>-------------------------</w:t>
      </w:r>
      <w:r w:rsidR="00FB4F92" w:rsidRPr="00892442">
        <w:rPr>
          <w:rStyle w:val="Ninguno"/>
          <w:rFonts w:ascii="Palatino Linotype" w:hAnsi="Palatino Linotype"/>
          <w:bCs/>
          <w:i/>
          <w:lang w:val="es-MX"/>
        </w:rPr>
        <w:t>, lo anterior con el afán de dirimir el conflicto y posible despojo de la antes mencionada a mi persona, hecho por el que no se ha podido regularizar la situación de dicho inmueble; adjunto la documentación correspondiente, adjunto la documentación al respecto.</w:t>
      </w:r>
      <w:r w:rsidR="000E053C" w:rsidRPr="00892442">
        <w:rPr>
          <w:rFonts w:ascii="Palatino Linotype" w:eastAsia="Calibri" w:hAnsi="Palatino Linotype" w:cs="Arial"/>
          <w:i/>
          <w:lang w:val="es-ES"/>
        </w:rPr>
        <w:t>” (</w:t>
      </w:r>
      <w:proofErr w:type="gramStart"/>
      <w:r w:rsidR="000E053C" w:rsidRPr="00892442">
        <w:rPr>
          <w:rFonts w:ascii="Palatino Linotype" w:eastAsia="Calibri" w:hAnsi="Palatino Linotype" w:cs="Arial"/>
          <w:i/>
          <w:lang w:val="es-ES"/>
        </w:rPr>
        <w:t>sic</w:t>
      </w:r>
      <w:proofErr w:type="gramEnd"/>
      <w:r w:rsidR="000E053C" w:rsidRPr="00892442">
        <w:rPr>
          <w:rFonts w:ascii="Palatino Linotype" w:eastAsia="Calibri" w:hAnsi="Palatino Linotype" w:cs="Arial"/>
          <w:i/>
          <w:lang w:val="es-ES"/>
        </w:rPr>
        <w:t>)</w:t>
      </w:r>
    </w:p>
    <w:p w:rsidR="00FB4F92" w:rsidRPr="00892442" w:rsidRDefault="004942B7" w:rsidP="00892442">
      <w:pPr>
        <w:pStyle w:val="Prrafodelista"/>
        <w:numPr>
          <w:ilvl w:val="0"/>
          <w:numId w:val="1"/>
        </w:numPr>
        <w:spacing w:line="360" w:lineRule="auto"/>
        <w:ind w:left="0" w:firstLine="0"/>
        <w:jc w:val="both"/>
        <w:rPr>
          <w:rFonts w:ascii="Palatino Linotype" w:eastAsia="Times New Roman" w:hAnsi="Palatino Linotype" w:cs="Arial"/>
          <w:lang w:val="es-ES"/>
        </w:rPr>
      </w:pPr>
      <w:r w:rsidRPr="00892442">
        <w:rPr>
          <w:rFonts w:ascii="Palatino Linotype" w:eastAsia="Times New Roman" w:hAnsi="Palatino Linotype" w:cs="Arial"/>
          <w:lang w:val="es-ES"/>
        </w:rPr>
        <w:t xml:space="preserve">A la solicitud se adjuntó el documento electrónico denominado </w:t>
      </w:r>
      <w:r w:rsidR="0015100C" w:rsidRPr="0015100C">
        <w:rPr>
          <w:rFonts w:ascii="Palatino Linotype" w:eastAsia="Times New Roman" w:hAnsi="Palatino Linotype" w:cs="Arial"/>
          <w:b/>
          <w:i/>
          <w:highlight w:val="black"/>
          <w:lang w:val="es-ES"/>
        </w:rPr>
        <w:t>-----------------------</w:t>
      </w:r>
      <w:r w:rsidRPr="00892442">
        <w:rPr>
          <w:rFonts w:ascii="Palatino Linotype" w:eastAsia="Times New Roman" w:hAnsi="Palatino Linotype" w:cs="Arial"/>
          <w:b/>
          <w:i/>
          <w:lang w:val="es-ES"/>
        </w:rPr>
        <w:t>.pdf</w:t>
      </w:r>
      <w:r w:rsidRPr="00892442">
        <w:rPr>
          <w:rFonts w:ascii="Palatino Linotype" w:eastAsia="Times New Roman" w:hAnsi="Palatino Linotype" w:cs="Arial"/>
          <w:lang w:val="es-ES"/>
        </w:rPr>
        <w:t xml:space="preserve"> el cual contiene la copia digitalizada </w:t>
      </w:r>
      <w:r w:rsidR="00FB4F92" w:rsidRPr="00892442">
        <w:rPr>
          <w:rFonts w:ascii="Palatino Linotype" w:eastAsia="Times New Roman" w:hAnsi="Palatino Linotype" w:cs="Arial"/>
          <w:lang w:val="es-ES"/>
        </w:rPr>
        <w:t>de lo siguiente:</w:t>
      </w:r>
    </w:p>
    <w:p w:rsidR="00FB4F92" w:rsidRPr="00892442" w:rsidRDefault="00FB4F92" w:rsidP="00892442">
      <w:pPr>
        <w:pStyle w:val="Prrafodelista"/>
        <w:numPr>
          <w:ilvl w:val="0"/>
          <w:numId w:val="24"/>
        </w:numPr>
        <w:spacing w:line="360" w:lineRule="auto"/>
        <w:jc w:val="both"/>
        <w:rPr>
          <w:rFonts w:ascii="Palatino Linotype" w:eastAsia="Times New Roman" w:hAnsi="Palatino Linotype" w:cs="Arial"/>
          <w:lang w:val="es-ES"/>
        </w:rPr>
      </w:pPr>
      <w:r w:rsidRPr="00892442">
        <w:rPr>
          <w:rFonts w:ascii="Palatino Linotype" w:eastAsia="Times New Roman" w:hAnsi="Palatino Linotype" w:cs="Arial"/>
          <w:lang w:val="es-ES"/>
        </w:rPr>
        <w:t>Credencial de elector;</w:t>
      </w:r>
    </w:p>
    <w:p w:rsidR="00FB4F92" w:rsidRPr="00892442" w:rsidRDefault="00FB4F92" w:rsidP="00892442">
      <w:pPr>
        <w:pStyle w:val="Prrafodelista"/>
        <w:numPr>
          <w:ilvl w:val="0"/>
          <w:numId w:val="24"/>
        </w:numPr>
        <w:spacing w:line="360" w:lineRule="auto"/>
        <w:jc w:val="both"/>
        <w:rPr>
          <w:rFonts w:ascii="Palatino Linotype" w:eastAsia="Times New Roman" w:hAnsi="Palatino Linotype" w:cs="Arial"/>
          <w:lang w:val="es-ES"/>
        </w:rPr>
      </w:pPr>
      <w:r w:rsidRPr="00892442">
        <w:rPr>
          <w:rFonts w:ascii="Palatino Linotype" w:eastAsia="Times New Roman" w:hAnsi="Palatino Linotype" w:cs="Arial"/>
          <w:lang w:val="es-ES"/>
        </w:rPr>
        <w:t>Oficio de fecha 27 de noviembre de 2012 suscrito por el director de catastro;</w:t>
      </w:r>
    </w:p>
    <w:p w:rsidR="00FB4F92" w:rsidRPr="00892442" w:rsidRDefault="00FB4F92" w:rsidP="00892442">
      <w:pPr>
        <w:pStyle w:val="Prrafodelista"/>
        <w:numPr>
          <w:ilvl w:val="0"/>
          <w:numId w:val="24"/>
        </w:numPr>
        <w:spacing w:line="360" w:lineRule="auto"/>
        <w:jc w:val="both"/>
        <w:rPr>
          <w:rFonts w:ascii="Palatino Linotype" w:eastAsia="Times New Roman" w:hAnsi="Palatino Linotype" w:cs="Arial"/>
          <w:lang w:val="es-ES"/>
        </w:rPr>
      </w:pPr>
      <w:r w:rsidRPr="00892442">
        <w:rPr>
          <w:rFonts w:ascii="Palatino Linotype" w:eastAsia="Times New Roman" w:hAnsi="Palatino Linotype" w:cs="Arial"/>
          <w:lang w:val="es-ES"/>
        </w:rPr>
        <w:t xml:space="preserve">Escrito del C. </w:t>
      </w:r>
      <w:r w:rsidR="0015100C" w:rsidRPr="0015100C">
        <w:rPr>
          <w:rFonts w:ascii="Palatino Linotype" w:eastAsia="Times New Roman" w:hAnsi="Palatino Linotype" w:cs="Arial"/>
          <w:highlight w:val="black"/>
          <w:lang w:val="es-ES"/>
        </w:rPr>
        <w:t>-------------------------</w:t>
      </w:r>
      <w:r w:rsidRPr="00892442">
        <w:rPr>
          <w:rFonts w:ascii="Palatino Linotype" w:eastAsia="Times New Roman" w:hAnsi="Palatino Linotype" w:cs="Arial"/>
          <w:lang w:val="es-ES"/>
        </w:rPr>
        <w:t xml:space="preserve"> dirigido a la Tesorería Municipal donde solicite se le proporcione la información con fecha de 22 de febrero de 2012;</w:t>
      </w:r>
    </w:p>
    <w:p w:rsidR="00FB4F92" w:rsidRPr="00892442" w:rsidRDefault="00FB4F92" w:rsidP="00892442">
      <w:pPr>
        <w:pStyle w:val="Prrafodelista"/>
        <w:numPr>
          <w:ilvl w:val="0"/>
          <w:numId w:val="24"/>
        </w:numPr>
        <w:spacing w:line="360" w:lineRule="auto"/>
        <w:jc w:val="both"/>
        <w:rPr>
          <w:rFonts w:ascii="Palatino Linotype" w:eastAsia="Times New Roman" w:hAnsi="Palatino Linotype" w:cs="Arial"/>
          <w:lang w:val="es-ES"/>
        </w:rPr>
      </w:pPr>
      <w:r w:rsidRPr="00892442">
        <w:rPr>
          <w:rFonts w:ascii="Palatino Linotype" w:eastAsia="Times New Roman" w:hAnsi="Palatino Linotype" w:cs="Arial"/>
          <w:lang w:val="es-ES"/>
        </w:rPr>
        <w:t xml:space="preserve">Estado de cuenta a nombre de </w:t>
      </w:r>
      <w:r w:rsidR="0015100C" w:rsidRPr="0015100C">
        <w:rPr>
          <w:rFonts w:ascii="Palatino Linotype" w:eastAsia="Times New Roman" w:hAnsi="Palatino Linotype" w:cs="Arial"/>
          <w:highlight w:val="black"/>
          <w:lang w:val="es-ES"/>
        </w:rPr>
        <w:t>------------------------------</w:t>
      </w:r>
      <w:r w:rsidRPr="00892442">
        <w:rPr>
          <w:rFonts w:ascii="Palatino Linotype" w:eastAsia="Times New Roman" w:hAnsi="Palatino Linotype" w:cs="Arial"/>
          <w:lang w:val="es-ES"/>
        </w:rPr>
        <w:t xml:space="preserve"> sobre el pago por concepto de impuesto predial;</w:t>
      </w:r>
    </w:p>
    <w:p w:rsidR="00DD64AB" w:rsidRPr="00892442" w:rsidRDefault="00DD64AB" w:rsidP="00892442">
      <w:pPr>
        <w:pStyle w:val="Prrafodelista"/>
        <w:numPr>
          <w:ilvl w:val="0"/>
          <w:numId w:val="24"/>
        </w:numPr>
        <w:spacing w:line="360" w:lineRule="auto"/>
        <w:jc w:val="both"/>
        <w:rPr>
          <w:rFonts w:ascii="Palatino Linotype" w:eastAsia="Times New Roman" w:hAnsi="Palatino Linotype" w:cs="Arial"/>
          <w:lang w:val="es-ES"/>
        </w:rPr>
      </w:pPr>
      <w:r w:rsidRPr="00892442">
        <w:rPr>
          <w:rFonts w:ascii="Palatino Linotype" w:eastAsia="Times New Roman" w:hAnsi="Palatino Linotype" w:cs="Arial"/>
          <w:lang w:val="es-ES"/>
        </w:rPr>
        <w:t>Solicitud de certificación de clave catastral del inmueble señalado en la solicitud;</w:t>
      </w:r>
    </w:p>
    <w:p w:rsidR="00DD64AB" w:rsidRPr="00892442" w:rsidRDefault="00DD64AB" w:rsidP="00892442">
      <w:pPr>
        <w:pStyle w:val="Prrafodelista"/>
        <w:numPr>
          <w:ilvl w:val="0"/>
          <w:numId w:val="24"/>
        </w:numPr>
        <w:spacing w:line="360" w:lineRule="auto"/>
        <w:jc w:val="both"/>
        <w:rPr>
          <w:rFonts w:ascii="Palatino Linotype" w:eastAsia="Times New Roman" w:hAnsi="Palatino Linotype" w:cs="Arial"/>
          <w:lang w:val="es-ES"/>
        </w:rPr>
      </w:pPr>
      <w:r w:rsidRPr="00892442">
        <w:rPr>
          <w:rFonts w:ascii="Palatino Linotype" w:eastAsia="Times New Roman" w:hAnsi="Palatino Linotype" w:cs="Arial"/>
          <w:lang w:val="es-ES"/>
        </w:rPr>
        <w:t>Escrito del recurrente, dirigido a la Titular de la Unidad de Transparencia, con fecha de 1 de febrero de 2019</w:t>
      </w:r>
      <w:r w:rsidR="00A00E51" w:rsidRPr="00892442">
        <w:rPr>
          <w:rFonts w:ascii="Palatino Linotype" w:eastAsia="Times New Roman" w:hAnsi="Palatino Linotype" w:cs="Arial"/>
          <w:lang w:val="es-ES"/>
        </w:rPr>
        <w:t>;</w:t>
      </w:r>
    </w:p>
    <w:p w:rsidR="00A00E51" w:rsidRPr="00892442" w:rsidRDefault="00A00E51" w:rsidP="00892442">
      <w:pPr>
        <w:pStyle w:val="Prrafodelista"/>
        <w:numPr>
          <w:ilvl w:val="0"/>
          <w:numId w:val="24"/>
        </w:numPr>
        <w:spacing w:line="360" w:lineRule="auto"/>
        <w:jc w:val="both"/>
        <w:rPr>
          <w:rFonts w:ascii="Palatino Linotype" w:eastAsia="Times New Roman" w:hAnsi="Palatino Linotype" w:cs="Arial"/>
          <w:lang w:val="es-ES"/>
        </w:rPr>
      </w:pPr>
      <w:r w:rsidRPr="00892442">
        <w:rPr>
          <w:rFonts w:ascii="Palatino Linotype" w:eastAsia="Times New Roman" w:hAnsi="Palatino Linotype" w:cs="Arial"/>
          <w:lang w:val="es-ES"/>
        </w:rPr>
        <w:t>Oficio del Instituto Federal de la Defensoría Pública Delegación Estado de México, donde orienta y canaliza al hoy recurrente para que formalice la denuncia de despojo por ocupación ilegal sobre un inmueble; y,</w:t>
      </w:r>
    </w:p>
    <w:p w:rsidR="00A00E51" w:rsidRPr="00892442" w:rsidRDefault="00A00E51" w:rsidP="00892442">
      <w:pPr>
        <w:pStyle w:val="Prrafodelista"/>
        <w:numPr>
          <w:ilvl w:val="0"/>
          <w:numId w:val="24"/>
        </w:numPr>
        <w:spacing w:line="360" w:lineRule="auto"/>
        <w:jc w:val="both"/>
        <w:rPr>
          <w:rFonts w:ascii="Palatino Linotype" w:eastAsia="Times New Roman" w:hAnsi="Palatino Linotype" w:cs="Arial"/>
          <w:lang w:val="es-ES"/>
        </w:rPr>
      </w:pPr>
      <w:r w:rsidRPr="00892442">
        <w:rPr>
          <w:rFonts w:ascii="Palatino Linotype" w:eastAsia="Times New Roman" w:hAnsi="Palatino Linotype" w:cs="Arial"/>
          <w:lang w:val="es-ES"/>
        </w:rPr>
        <w:t>Parte de un contrato de compra venta, donde se aprecia como comprador la persona que funge como recurrente en el presente asunto.</w:t>
      </w:r>
    </w:p>
    <w:p w:rsidR="00DD64AB" w:rsidRPr="00892442" w:rsidRDefault="00DD64AB" w:rsidP="00892442">
      <w:pPr>
        <w:pStyle w:val="Prrafodelista"/>
        <w:spacing w:line="360" w:lineRule="auto"/>
        <w:ind w:left="0"/>
        <w:jc w:val="both"/>
        <w:rPr>
          <w:rFonts w:ascii="Palatino Linotype" w:eastAsia="Times New Roman" w:hAnsi="Palatino Linotype" w:cs="Arial"/>
          <w:lang w:val="es-ES"/>
        </w:rPr>
      </w:pPr>
    </w:p>
    <w:p w:rsidR="00FC5D9F" w:rsidRPr="00892442" w:rsidRDefault="00FC5D9F" w:rsidP="00892442">
      <w:pPr>
        <w:pStyle w:val="Prrafodelista"/>
        <w:numPr>
          <w:ilvl w:val="0"/>
          <w:numId w:val="1"/>
        </w:numPr>
        <w:spacing w:line="360" w:lineRule="auto"/>
        <w:ind w:left="0" w:firstLine="0"/>
        <w:jc w:val="both"/>
        <w:rPr>
          <w:rFonts w:ascii="Palatino Linotype" w:eastAsia="Times New Roman" w:hAnsi="Palatino Linotype" w:cs="Arial"/>
          <w:lang w:val="es-ES"/>
        </w:rPr>
      </w:pPr>
      <w:r w:rsidRPr="00892442">
        <w:rPr>
          <w:rFonts w:ascii="Palatino Linotype" w:eastAsia="Times New Roman" w:hAnsi="Palatino Linotype" w:cs="Arial"/>
          <w:lang w:val="es-ES"/>
        </w:rPr>
        <w:t>Señaló como modalidad de entrega de la información</w:t>
      </w:r>
      <w:r w:rsidRPr="00892442">
        <w:rPr>
          <w:rFonts w:ascii="Palatino Linotype" w:eastAsia="Times New Roman" w:hAnsi="Palatino Linotype" w:cs="Arial"/>
          <w:b/>
          <w:lang w:val="es-ES"/>
        </w:rPr>
        <w:t>:</w:t>
      </w:r>
      <w:r w:rsidRPr="00892442">
        <w:rPr>
          <w:rFonts w:ascii="Palatino Linotype" w:eastAsia="Times New Roman" w:hAnsi="Palatino Linotype" w:cs="Arial"/>
          <w:lang w:val="es-ES"/>
        </w:rPr>
        <w:t xml:space="preserve"> a través del </w:t>
      </w:r>
      <w:r w:rsidR="004942B7" w:rsidRPr="00892442">
        <w:rPr>
          <w:rFonts w:ascii="Palatino Linotype" w:eastAsia="Times New Roman" w:hAnsi="Palatino Linotype" w:cs="Arial"/>
          <w:b/>
          <w:lang w:val="es-ES"/>
        </w:rPr>
        <w:t>SARCOEM</w:t>
      </w:r>
      <w:r w:rsidR="00A00E51" w:rsidRPr="00892442">
        <w:rPr>
          <w:rFonts w:ascii="Palatino Linotype" w:eastAsia="Times New Roman" w:hAnsi="Palatino Linotype" w:cs="Arial"/>
          <w:b/>
          <w:lang w:val="es-ES"/>
        </w:rPr>
        <w:t xml:space="preserve"> y Copias certificadas.</w:t>
      </w:r>
    </w:p>
    <w:p w:rsidR="00FC5D9F" w:rsidRPr="00892442" w:rsidRDefault="00FC5D9F" w:rsidP="00892442">
      <w:pPr>
        <w:pStyle w:val="Prrafodelista"/>
        <w:spacing w:before="240" w:after="240" w:line="360" w:lineRule="auto"/>
        <w:ind w:left="0"/>
        <w:jc w:val="both"/>
        <w:rPr>
          <w:rFonts w:ascii="Palatino Linotype" w:hAnsi="Palatino Linotype"/>
        </w:rPr>
      </w:pPr>
    </w:p>
    <w:p w:rsidR="00A00E51" w:rsidRPr="00892442" w:rsidRDefault="00347BB3" w:rsidP="00892442">
      <w:pPr>
        <w:pStyle w:val="Prrafodelista"/>
        <w:numPr>
          <w:ilvl w:val="0"/>
          <w:numId w:val="1"/>
        </w:numPr>
        <w:spacing w:before="240" w:after="240" w:line="360" w:lineRule="auto"/>
        <w:ind w:left="0" w:firstLine="0"/>
        <w:jc w:val="both"/>
        <w:rPr>
          <w:rFonts w:ascii="Palatino Linotype" w:hAnsi="Palatino Linotype"/>
        </w:rPr>
      </w:pPr>
      <w:r w:rsidRPr="00892442">
        <w:rPr>
          <w:rFonts w:ascii="Palatino Linotype" w:eastAsia="Calibri" w:hAnsi="Palatino Linotype" w:cs="Times New Roman"/>
          <w:lang w:val="es-ES"/>
        </w:rPr>
        <w:t xml:space="preserve">El </w:t>
      </w:r>
      <w:r w:rsidR="004942B7" w:rsidRPr="00892442">
        <w:rPr>
          <w:rFonts w:ascii="Palatino Linotype" w:eastAsia="Calibri" w:hAnsi="Palatino Linotype" w:cs="Times New Roman"/>
          <w:lang w:val="es-ES"/>
        </w:rPr>
        <w:t>veinte</w:t>
      </w:r>
      <w:r w:rsidR="00C82ADE" w:rsidRPr="00892442">
        <w:rPr>
          <w:rFonts w:ascii="Palatino Linotype" w:eastAsia="Calibri" w:hAnsi="Palatino Linotype" w:cs="Times New Roman"/>
          <w:lang w:val="es-ES"/>
        </w:rPr>
        <w:t xml:space="preserve"> (</w:t>
      </w:r>
      <w:r w:rsidR="004942B7" w:rsidRPr="00892442">
        <w:rPr>
          <w:rFonts w:ascii="Palatino Linotype" w:eastAsia="Calibri" w:hAnsi="Palatino Linotype" w:cs="Times New Roman"/>
          <w:lang w:val="es-ES"/>
        </w:rPr>
        <w:t>20</w:t>
      </w:r>
      <w:r w:rsidR="009B69B4" w:rsidRPr="00892442">
        <w:rPr>
          <w:rFonts w:ascii="Palatino Linotype" w:eastAsia="Calibri" w:hAnsi="Palatino Linotype" w:cs="Times New Roman"/>
          <w:lang w:val="es-ES"/>
        </w:rPr>
        <w:t xml:space="preserve">) de </w:t>
      </w:r>
      <w:r w:rsidR="00A00E51" w:rsidRPr="00892442">
        <w:rPr>
          <w:rFonts w:ascii="Palatino Linotype" w:eastAsia="Calibri" w:hAnsi="Palatino Linotype" w:cs="Times New Roman"/>
          <w:lang w:val="es-ES"/>
        </w:rPr>
        <w:t>marzo</w:t>
      </w:r>
      <w:r w:rsidR="00C82ADE" w:rsidRPr="00892442">
        <w:rPr>
          <w:rFonts w:ascii="Palatino Linotype" w:eastAsia="Calibri" w:hAnsi="Palatino Linotype" w:cs="Times New Roman"/>
          <w:lang w:val="es-ES"/>
        </w:rPr>
        <w:t xml:space="preserve"> de dos mil dieci</w:t>
      </w:r>
      <w:r w:rsidR="00A00E51" w:rsidRPr="00892442">
        <w:rPr>
          <w:rFonts w:ascii="Palatino Linotype" w:eastAsia="Calibri" w:hAnsi="Palatino Linotype" w:cs="Times New Roman"/>
          <w:lang w:val="es-ES"/>
        </w:rPr>
        <w:t>nueve</w:t>
      </w:r>
      <w:r w:rsidR="00C82ADE" w:rsidRPr="00892442">
        <w:rPr>
          <w:rFonts w:ascii="Palatino Linotype" w:eastAsia="Calibri" w:hAnsi="Palatino Linotype" w:cs="Times New Roman"/>
          <w:lang w:val="es-ES"/>
        </w:rPr>
        <w:t>, e</w:t>
      </w:r>
      <w:r w:rsidR="002A5BA4" w:rsidRPr="00892442">
        <w:rPr>
          <w:rFonts w:ascii="Palatino Linotype" w:eastAsia="Calibri" w:hAnsi="Palatino Linotype" w:cs="Times New Roman"/>
          <w:lang w:val="es-ES"/>
        </w:rPr>
        <w:t xml:space="preserve">l </w:t>
      </w:r>
      <w:r w:rsidR="002A5BA4" w:rsidRPr="00892442">
        <w:rPr>
          <w:rFonts w:ascii="Palatino Linotype" w:eastAsia="Calibri" w:hAnsi="Palatino Linotype" w:cs="Arial"/>
          <w:b/>
          <w:lang w:val="es-AR"/>
        </w:rPr>
        <w:t>SUJETO OBLIGADO</w:t>
      </w:r>
      <w:r w:rsidR="002A5BA4" w:rsidRPr="00892442">
        <w:rPr>
          <w:rFonts w:ascii="Palatino Linotype" w:eastAsia="Calibri" w:hAnsi="Palatino Linotype" w:cs="Arial"/>
          <w:b/>
          <w:i/>
          <w:lang w:val="es-AR"/>
        </w:rPr>
        <w:t xml:space="preserve"> </w:t>
      </w:r>
      <w:r w:rsidR="001358C7" w:rsidRPr="00892442">
        <w:rPr>
          <w:rFonts w:ascii="Palatino Linotype" w:eastAsia="Calibri" w:hAnsi="Palatino Linotype" w:cs="Arial"/>
          <w:lang w:val="es-AR"/>
        </w:rPr>
        <w:t>dio res</w:t>
      </w:r>
      <w:r w:rsidR="00CD7FAD" w:rsidRPr="00892442">
        <w:rPr>
          <w:rFonts w:ascii="Palatino Linotype" w:eastAsia="Calibri" w:hAnsi="Palatino Linotype" w:cs="Arial"/>
          <w:lang w:val="es-AR"/>
        </w:rPr>
        <w:t>p</w:t>
      </w:r>
      <w:r w:rsidR="00006214" w:rsidRPr="00892442">
        <w:rPr>
          <w:rFonts w:ascii="Palatino Linotype" w:eastAsia="Calibri" w:hAnsi="Palatino Linotype" w:cs="Arial"/>
          <w:lang w:val="es-AR"/>
        </w:rPr>
        <w:t xml:space="preserve">uesta a la solicitud </w:t>
      </w:r>
      <w:r w:rsidR="00A00E51" w:rsidRPr="00892442">
        <w:rPr>
          <w:rFonts w:ascii="Palatino Linotype" w:eastAsia="Calibri" w:hAnsi="Palatino Linotype" w:cs="Arial"/>
          <w:lang w:val="es-AR"/>
        </w:rPr>
        <w:t>en los siguientes términos:</w:t>
      </w:r>
    </w:p>
    <w:p w:rsidR="00A00E51" w:rsidRPr="00892442" w:rsidRDefault="00A00E51" w:rsidP="00892442">
      <w:pPr>
        <w:pStyle w:val="Prrafodelista"/>
        <w:spacing w:line="360" w:lineRule="auto"/>
        <w:rPr>
          <w:rFonts w:ascii="Palatino Linotype" w:eastAsia="Calibri" w:hAnsi="Palatino Linotype" w:cs="Arial"/>
          <w:lang w:val="es-AR"/>
        </w:rPr>
      </w:pPr>
    </w:p>
    <w:p w:rsidR="00A00E51" w:rsidRPr="00892442" w:rsidRDefault="00A00E51" w:rsidP="00892442">
      <w:pPr>
        <w:pStyle w:val="Prrafodelista"/>
        <w:spacing w:before="240" w:after="240" w:line="360" w:lineRule="auto"/>
        <w:ind w:left="567" w:right="567"/>
        <w:jc w:val="both"/>
        <w:rPr>
          <w:rFonts w:ascii="Palatino Linotype" w:hAnsi="Palatino Linotype"/>
          <w:i/>
        </w:rPr>
      </w:pPr>
      <w:r w:rsidRPr="00892442">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00E51" w:rsidRPr="00892442" w:rsidRDefault="00A00E51" w:rsidP="00892442">
      <w:pPr>
        <w:pStyle w:val="Prrafodelista"/>
        <w:spacing w:before="240" w:after="240" w:line="360" w:lineRule="auto"/>
        <w:ind w:left="567" w:right="567"/>
        <w:jc w:val="both"/>
        <w:rPr>
          <w:rFonts w:ascii="Palatino Linotype" w:hAnsi="Palatino Linotype"/>
          <w:i/>
        </w:rPr>
      </w:pPr>
      <w:r w:rsidRPr="00892442">
        <w:rPr>
          <w:rFonts w:ascii="Palatino Linotype" w:hAnsi="Palatino Linotype"/>
          <w:i/>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2019; en atención a su solicitud número 00001/HUIXQUIL/AD/2019, que a letra versa: “Toda la documentación en copias certificadas, correspondiente al predio ubicado en paraje denominado cerrada de </w:t>
      </w:r>
      <w:r w:rsidR="0015100C" w:rsidRPr="0015100C">
        <w:rPr>
          <w:rFonts w:ascii="Palatino Linotype" w:hAnsi="Palatino Linotype"/>
          <w:i/>
          <w:highlight w:val="black"/>
        </w:rPr>
        <w:t>--</w:t>
      </w:r>
      <w:r w:rsidR="0015100C">
        <w:rPr>
          <w:rFonts w:ascii="Palatino Linotype" w:hAnsi="Palatino Linotype"/>
          <w:i/>
          <w:highlight w:val="black"/>
        </w:rPr>
        <w:t>--</w:t>
      </w:r>
      <w:r w:rsidR="0015100C" w:rsidRPr="0015100C">
        <w:rPr>
          <w:rFonts w:ascii="Palatino Linotype" w:hAnsi="Palatino Linotype"/>
          <w:i/>
          <w:highlight w:val="black"/>
        </w:rPr>
        <w:t>---</w:t>
      </w:r>
      <w:r w:rsidRPr="00892442">
        <w:rPr>
          <w:rFonts w:ascii="Palatino Linotype" w:hAnsi="Palatino Linotype"/>
          <w:i/>
        </w:rPr>
        <w:t xml:space="preserve"> sin número, perteneciente al poblado </w:t>
      </w:r>
      <w:r w:rsidR="0015100C" w:rsidRPr="0015100C">
        <w:rPr>
          <w:rFonts w:ascii="Palatino Linotype" w:hAnsi="Palatino Linotype"/>
          <w:i/>
          <w:highlight w:val="black"/>
        </w:rPr>
        <w:t>--------------------</w:t>
      </w:r>
      <w:r w:rsidRPr="00892442">
        <w:rPr>
          <w:rFonts w:ascii="Palatino Linotype" w:hAnsi="Palatino Linotype"/>
          <w:i/>
        </w:rPr>
        <w:t xml:space="preserve">, dicha documentación puede estar a nombre de </w:t>
      </w:r>
      <w:r w:rsidR="0015100C" w:rsidRPr="0015100C">
        <w:rPr>
          <w:rFonts w:ascii="Palatino Linotype" w:hAnsi="Palatino Linotype"/>
          <w:i/>
          <w:highlight w:val="black"/>
        </w:rPr>
        <w:t>------------------------</w:t>
      </w:r>
      <w:r w:rsidRPr="00892442">
        <w:rPr>
          <w:rFonts w:ascii="Palatino Linotype" w:hAnsi="Palatino Linotype"/>
          <w:i/>
        </w:rPr>
        <w:t xml:space="preserve"> o de </w:t>
      </w:r>
      <w:r w:rsidR="0015100C" w:rsidRPr="0015100C">
        <w:rPr>
          <w:rFonts w:ascii="Palatino Linotype" w:hAnsi="Palatino Linotype"/>
          <w:i/>
          <w:highlight w:val="black"/>
        </w:rPr>
        <w:t>-------------</w:t>
      </w:r>
      <w:r w:rsidRPr="0015100C">
        <w:rPr>
          <w:rFonts w:ascii="Palatino Linotype" w:hAnsi="Palatino Linotype"/>
          <w:i/>
          <w:highlight w:val="black"/>
        </w:rPr>
        <w:t xml:space="preserve"> </w:t>
      </w:r>
      <w:r w:rsidR="0015100C" w:rsidRPr="0015100C">
        <w:rPr>
          <w:rFonts w:ascii="Palatino Linotype" w:hAnsi="Palatino Linotype"/>
          <w:i/>
          <w:highlight w:val="black"/>
        </w:rPr>
        <w:t>-----------------</w:t>
      </w:r>
      <w:r w:rsidRPr="00892442">
        <w:rPr>
          <w:rFonts w:ascii="Palatino Linotype" w:hAnsi="Palatino Linotype"/>
          <w:i/>
        </w:rPr>
        <w:t xml:space="preserve">, lo anterior con el afán de dirimir el conflicto y posible despojo de la antes mencionada a mi persona, hecho por el que no se ha podido regularizar la situación de dicho inmueble; adjunto la documentación correspondiente, adjunto la documentación al respecto.” (SIC). Sobre el particular, esta Unidad de Transparencia en ejercicio de las atribuciones que la Ley le confiere y conforme al Reglamento Orgánico de la Administración Pública Municipal de Huixquilucan, Estado de México 2019, turnó su solicitud a la Tesorería Municipal, unidad que manifestó lo siguiente: “En relación a su solicitud registrada con el número de folio 00001/HUIXQUIL/AD/2019 misma que a la letra dice: "Toda la documentación en copias certificadas, correspondientes al predio ubicado en paraje denominado cerrada de </w:t>
      </w:r>
      <w:r w:rsidR="0015100C" w:rsidRPr="0015100C">
        <w:rPr>
          <w:rFonts w:ascii="Palatino Linotype" w:hAnsi="Palatino Linotype"/>
          <w:i/>
          <w:highlight w:val="black"/>
        </w:rPr>
        <w:t>------</w:t>
      </w:r>
      <w:r w:rsidRPr="00892442">
        <w:rPr>
          <w:rFonts w:ascii="Palatino Linotype" w:hAnsi="Palatino Linotype"/>
          <w:i/>
        </w:rPr>
        <w:t xml:space="preserve"> sin </w:t>
      </w:r>
      <w:proofErr w:type="spellStart"/>
      <w:r w:rsidRPr="00892442">
        <w:rPr>
          <w:rFonts w:ascii="Palatino Linotype" w:hAnsi="Palatino Linotype"/>
          <w:i/>
        </w:rPr>
        <w:t>numero</w:t>
      </w:r>
      <w:proofErr w:type="spellEnd"/>
      <w:r w:rsidRPr="00892442">
        <w:rPr>
          <w:rFonts w:ascii="Palatino Linotype" w:hAnsi="Palatino Linotype"/>
          <w:i/>
        </w:rPr>
        <w:t xml:space="preserve">, perteneciente al poblado </w:t>
      </w:r>
      <w:r w:rsidR="0015100C" w:rsidRPr="0015100C">
        <w:rPr>
          <w:rFonts w:ascii="Palatino Linotype" w:hAnsi="Palatino Linotype"/>
          <w:i/>
          <w:highlight w:val="black"/>
        </w:rPr>
        <w:t>---------------</w:t>
      </w:r>
      <w:r w:rsidRPr="00892442">
        <w:rPr>
          <w:rFonts w:ascii="Palatino Linotype" w:hAnsi="Palatino Linotype"/>
          <w:i/>
        </w:rPr>
        <w:t xml:space="preserve">, dicha documentación puede estar a nombre de </w:t>
      </w:r>
      <w:r w:rsidR="0015100C" w:rsidRPr="0015100C">
        <w:rPr>
          <w:rFonts w:ascii="Palatino Linotype" w:hAnsi="Palatino Linotype"/>
          <w:i/>
          <w:highlight w:val="black"/>
        </w:rPr>
        <w:t>-----------------------------------</w:t>
      </w:r>
      <w:r w:rsidRPr="00892442">
        <w:rPr>
          <w:rFonts w:ascii="Palatino Linotype" w:hAnsi="Palatino Linotype"/>
          <w:i/>
        </w:rPr>
        <w:t xml:space="preserve"> o de </w:t>
      </w:r>
      <w:r w:rsidR="0015100C" w:rsidRPr="0015100C">
        <w:rPr>
          <w:rFonts w:ascii="Palatino Linotype" w:hAnsi="Palatino Linotype"/>
          <w:i/>
          <w:highlight w:val="black"/>
        </w:rPr>
        <w:t>---------------------------</w:t>
      </w:r>
      <w:r w:rsidRPr="00892442">
        <w:rPr>
          <w:rFonts w:ascii="Palatino Linotype" w:hAnsi="Palatino Linotype"/>
          <w:i/>
        </w:rPr>
        <w:t>, lo anterior con el afán de dirimir el conflicto y posible despojo de la antes mencionada a mi persona, hecho por el que no se ha podido regularizar la situación de dicho inmueble; adjunto documentación correspondiente, adjunto la documentación al respecto”(SIC).; Al respecto nos permitimos responder que, la documentación que solicita se le entregara con previo pago de derechos, el costo de derechos son los siguientes: $71.82 1ra Foja, excedentes $35.23.”(SIC)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ATENTAMENTE LIC. MARIANA VICTORIA YÁÑEZ RODRIGUEZ Responsable de la Unidad de Información Ayuntamiento de Huixquilucan</w:t>
      </w:r>
    </w:p>
    <w:p w:rsidR="00A00E51" w:rsidRPr="00892442" w:rsidRDefault="00A00E51" w:rsidP="00892442">
      <w:pPr>
        <w:pStyle w:val="Prrafodelista"/>
        <w:spacing w:before="240" w:after="240" w:line="360" w:lineRule="auto"/>
        <w:ind w:left="567" w:right="567"/>
        <w:jc w:val="both"/>
        <w:rPr>
          <w:rFonts w:ascii="Palatino Linotype" w:hAnsi="Palatino Linotype"/>
          <w:i/>
        </w:rPr>
      </w:pPr>
      <w:r w:rsidRPr="00892442">
        <w:rPr>
          <w:rFonts w:ascii="Palatino Linotype" w:hAnsi="Palatino Linotype"/>
          <w:i/>
        </w:rPr>
        <w:t>ATENTAMENTE</w:t>
      </w:r>
    </w:p>
    <w:p w:rsidR="00A00E51" w:rsidRPr="00892442" w:rsidRDefault="00A00E51" w:rsidP="00892442">
      <w:pPr>
        <w:pStyle w:val="Prrafodelista"/>
        <w:spacing w:before="240" w:after="240" w:line="360" w:lineRule="auto"/>
        <w:ind w:left="567" w:right="567"/>
        <w:jc w:val="both"/>
        <w:rPr>
          <w:rFonts w:ascii="Palatino Linotype" w:hAnsi="Palatino Linotype"/>
          <w:i/>
        </w:rPr>
      </w:pPr>
      <w:r w:rsidRPr="00892442">
        <w:rPr>
          <w:rFonts w:ascii="Palatino Linotype" w:hAnsi="Palatino Linotype"/>
          <w:i/>
        </w:rPr>
        <w:t>LIC. MARIANA VICTORIA YÁÑEZ RODRIGUEZ”</w:t>
      </w:r>
    </w:p>
    <w:p w:rsidR="00644CCE" w:rsidRPr="00892442" w:rsidRDefault="002A5BA4" w:rsidP="00892442">
      <w:pPr>
        <w:pStyle w:val="Prrafodelista"/>
        <w:numPr>
          <w:ilvl w:val="0"/>
          <w:numId w:val="1"/>
        </w:numPr>
        <w:spacing w:before="240" w:after="240" w:line="360" w:lineRule="auto"/>
        <w:ind w:left="0" w:firstLine="0"/>
        <w:jc w:val="both"/>
        <w:rPr>
          <w:rFonts w:ascii="Palatino Linotype" w:hAnsi="Palatino Linotype" w:cs="Arial"/>
          <w:i/>
        </w:rPr>
      </w:pPr>
      <w:r w:rsidRPr="00892442">
        <w:rPr>
          <w:rFonts w:ascii="Palatino Linotype" w:eastAsia="Calibri" w:hAnsi="Palatino Linotype" w:cs="Arial"/>
          <w:lang w:val="es-AR"/>
        </w:rPr>
        <w:t>El</w:t>
      </w:r>
      <w:r w:rsidR="00471954" w:rsidRPr="00892442">
        <w:rPr>
          <w:rFonts w:ascii="Palatino Linotype" w:eastAsia="Times New Roman" w:hAnsi="Palatino Linotype" w:cs="Arial"/>
          <w:lang w:val="es-ES"/>
        </w:rPr>
        <w:t xml:space="preserve"> día </w:t>
      </w:r>
      <w:r w:rsidR="00A00E51" w:rsidRPr="00892442">
        <w:rPr>
          <w:rFonts w:ascii="Palatino Linotype" w:eastAsia="Times New Roman" w:hAnsi="Palatino Linotype" w:cs="Arial"/>
          <w:lang w:val="es-ES"/>
        </w:rPr>
        <w:t xml:space="preserve">cinco </w:t>
      </w:r>
      <w:r w:rsidRPr="00892442">
        <w:rPr>
          <w:rFonts w:ascii="Palatino Linotype" w:eastAsia="Times New Roman" w:hAnsi="Palatino Linotype" w:cs="Arial"/>
          <w:lang w:val="es-ES"/>
        </w:rPr>
        <w:t>(</w:t>
      </w:r>
      <w:r w:rsidR="00A00E51" w:rsidRPr="00892442">
        <w:rPr>
          <w:rFonts w:ascii="Palatino Linotype" w:eastAsia="Times New Roman" w:hAnsi="Palatino Linotype" w:cs="Arial"/>
          <w:lang w:val="es-ES"/>
        </w:rPr>
        <w:t>5</w:t>
      </w:r>
      <w:r w:rsidRPr="00892442">
        <w:rPr>
          <w:rFonts w:ascii="Palatino Linotype" w:eastAsia="Times New Roman" w:hAnsi="Palatino Linotype" w:cs="Arial"/>
          <w:lang w:val="es-ES"/>
        </w:rPr>
        <w:t xml:space="preserve">) de </w:t>
      </w:r>
      <w:r w:rsidR="00A00E51" w:rsidRPr="00892442">
        <w:rPr>
          <w:rFonts w:ascii="Palatino Linotype" w:eastAsia="Times New Roman" w:hAnsi="Palatino Linotype" w:cs="Arial"/>
          <w:lang w:val="es-ES"/>
        </w:rPr>
        <w:t>abril</w:t>
      </w:r>
      <w:r w:rsidRPr="00892442">
        <w:rPr>
          <w:rFonts w:ascii="Palatino Linotype" w:eastAsia="Times New Roman" w:hAnsi="Palatino Linotype" w:cs="Arial"/>
          <w:lang w:val="es-ES"/>
        </w:rPr>
        <w:t xml:space="preserve"> de dos mil dieci</w:t>
      </w:r>
      <w:r w:rsidR="00A00E51" w:rsidRPr="00892442">
        <w:rPr>
          <w:rFonts w:ascii="Palatino Linotype" w:eastAsia="Times New Roman" w:hAnsi="Palatino Linotype" w:cs="Arial"/>
          <w:lang w:val="es-ES"/>
        </w:rPr>
        <w:t>nueve</w:t>
      </w:r>
      <w:r w:rsidRPr="00892442">
        <w:rPr>
          <w:rFonts w:ascii="Palatino Linotype" w:eastAsia="Times New Roman" w:hAnsi="Palatino Linotype" w:cs="Arial"/>
          <w:lang w:val="es-ES"/>
        </w:rPr>
        <w:t xml:space="preserve">, </w:t>
      </w:r>
      <w:r w:rsidR="008F5678" w:rsidRPr="00892442">
        <w:rPr>
          <w:rFonts w:ascii="Palatino Linotype" w:hAnsi="Palatino Linotype"/>
          <w:b/>
        </w:rPr>
        <w:t>el recurrente</w:t>
      </w:r>
      <w:r w:rsidR="00FB61C7" w:rsidRPr="00892442">
        <w:rPr>
          <w:rFonts w:ascii="Palatino Linotype" w:eastAsia="Times New Roman" w:hAnsi="Palatino Linotype" w:cs="Arial"/>
          <w:lang w:val="es-ES"/>
        </w:rPr>
        <w:t xml:space="preserve"> interpuso </w:t>
      </w:r>
      <w:r w:rsidR="0036196A" w:rsidRPr="00892442">
        <w:rPr>
          <w:rFonts w:ascii="Palatino Linotype" w:eastAsia="Times New Roman" w:hAnsi="Palatino Linotype" w:cs="Arial"/>
          <w:lang w:val="es-ES"/>
        </w:rPr>
        <w:t xml:space="preserve">el </w:t>
      </w:r>
      <w:r w:rsidRPr="00892442">
        <w:rPr>
          <w:rFonts w:ascii="Palatino Linotype" w:eastAsia="Times New Roman" w:hAnsi="Palatino Linotype" w:cs="Arial"/>
          <w:lang w:val="es-ES"/>
        </w:rPr>
        <w:t>recurso de revisión,</w:t>
      </w:r>
      <w:r w:rsidR="008F5678" w:rsidRPr="00892442">
        <w:rPr>
          <w:rFonts w:ascii="Palatino Linotype" w:eastAsia="Times New Roman" w:hAnsi="Palatino Linotype" w:cs="Arial"/>
          <w:lang w:val="es-ES"/>
        </w:rPr>
        <w:t xml:space="preserve"> </w:t>
      </w:r>
      <w:bookmarkStart w:id="1" w:name="_Toc462307683"/>
      <w:bookmarkStart w:id="2" w:name="_Toc472427085"/>
      <w:bookmarkStart w:id="3" w:name="_Toc472500652"/>
      <w:r w:rsidR="00A00E51" w:rsidRPr="00892442">
        <w:rPr>
          <w:rFonts w:ascii="Palatino Linotype" w:eastAsia="Times New Roman" w:hAnsi="Palatino Linotype" w:cs="Arial"/>
          <w:lang w:val="es-ES"/>
        </w:rPr>
        <w:t>señalando como:</w:t>
      </w:r>
    </w:p>
    <w:p w:rsidR="000F4EBE" w:rsidRPr="00892442" w:rsidRDefault="000F4EBE" w:rsidP="00892442">
      <w:pPr>
        <w:pStyle w:val="Prrafodelista"/>
        <w:spacing w:before="240" w:after="240" w:line="360" w:lineRule="auto"/>
        <w:ind w:left="0"/>
        <w:jc w:val="both"/>
        <w:rPr>
          <w:rFonts w:ascii="Palatino Linotype" w:hAnsi="Palatino Linotype" w:cs="Arial"/>
          <w:i/>
        </w:rPr>
      </w:pPr>
    </w:p>
    <w:p w:rsidR="000E053C" w:rsidRPr="00892442" w:rsidRDefault="000E053C" w:rsidP="00892442">
      <w:pPr>
        <w:pStyle w:val="Prrafodelista"/>
        <w:spacing w:line="360" w:lineRule="auto"/>
        <w:ind w:left="567" w:right="567"/>
        <w:jc w:val="both"/>
        <w:rPr>
          <w:rFonts w:ascii="Palatino Linotype" w:hAnsi="Palatino Linotype" w:cs="Arial"/>
          <w:i/>
        </w:rPr>
      </w:pPr>
      <w:r w:rsidRPr="00892442">
        <w:rPr>
          <w:rFonts w:ascii="Palatino Linotype" w:hAnsi="Palatino Linotype"/>
          <w:b/>
        </w:rPr>
        <w:t>Acto impugnado:</w:t>
      </w:r>
      <w:r w:rsidRPr="00892442">
        <w:rPr>
          <w:rStyle w:val="Ttulo2Car"/>
          <w:rFonts w:ascii="Palatino Linotype" w:hAnsi="Palatino Linotype"/>
          <w:b/>
          <w:i/>
          <w:color w:val="auto"/>
          <w:sz w:val="24"/>
          <w:szCs w:val="24"/>
          <w:lang w:val="es-ES"/>
        </w:rPr>
        <w:t xml:space="preserve"> </w:t>
      </w:r>
      <w:r w:rsidRPr="00892442">
        <w:rPr>
          <w:rFonts w:ascii="Palatino Linotype" w:hAnsi="Palatino Linotype"/>
          <w:i/>
        </w:rPr>
        <w:t>“</w:t>
      </w:r>
      <w:r w:rsidR="00A00E51" w:rsidRPr="00892442">
        <w:rPr>
          <w:rFonts w:ascii="Palatino Linotype" w:hAnsi="Palatino Linotype"/>
          <w:i/>
        </w:rPr>
        <w:t>LA RESPUESTA ENTREGADA“(</w:t>
      </w:r>
      <w:r w:rsidR="008F51A3" w:rsidRPr="00892442">
        <w:rPr>
          <w:rFonts w:ascii="Palatino Linotype" w:eastAsia="Calibri" w:hAnsi="Palatino Linotype" w:cs="Arial"/>
          <w:i/>
          <w:lang w:val="es-ES"/>
        </w:rPr>
        <w:t xml:space="preserve">Sic) </w:t>
      </w:r>
    </w:p>
    <w:p w:rsidR="00ED2E65" w:rsidRPr="00892442" w:rsidRDefault="000E053C" w:rsidP="00892442">
      <w:pPr>
        <w:pStyle w:val="Prrafodelista"/>
        <w:spacing w:line="360" w:lineRule="auto"/>
        <w:ind w:left="567" w:right="567"/>
        <w:jc w:val="both"/>
        <w:rPr>
          <w:rFonts w:ascii="Palatino Linotype" w:hAnsi="Palatino Linotype" w:cs="Arial"/>
          <w:i/>
        </w:rPr>
      </w:pPr>
      <w:r w:rsidRPr="00892442">
        <w:rPr>
          <w:rFonts w:ascii="Palatino Linotype" w:hAnsi="Palatino Linotype"/>
          <w:b/>
        </w:rPr>
        <w:t>Razones o Motivos de inconformidad:</w:t>
      </w:r>
      <w:r w:rsidRPr="00892442">
        <w:rPr>
          <w:rStyle w:val="Ttulo2Car"/>
          <w:rFonts w:ascii="Palatino Linotype" w:hAnsi="Palatino Linotype"/>
          <w:b/>
          <w:sz w:val="24"/>
          <w:szCs w:val="24"/>
          <w:lang w:val="es-ES"/>
        </w:rPr>
        <w:t xml:space="preserve"> </w:t>
      </w:r>
      <w:r w:rsidRPr="00892442">
        <w:rPr>
          <w:rFonts w:ascii="Palatino Linotype" w:hAnsi="Palatino Linotype"/>
          <w:i/>
        </w:rPr>
        <w:t>“</w:t>
      </w:r>
      <w:r w:rsidR="00A00E51" w:rsidRPr="00892442">
        <w:rPr>
          <w:rFonts w:ascii="Palatino Linotype" w:hAnsi="Palatino Linotype"/>
          <w:i/>
        </w:rPr>
        <w:t>NO SE ENTREGO LA INFORMACIÓN COMPLETA COMO LA SOLICITE.</w:t>
      </w:r>
      <w:r w:rsidRPr="00892442">
        <w:rPr>
          <w:rFonts w:ascii="Palatino Linotype" w:hAnsi="Palatino Linotype"/>
          <w:i/>
        </w:rPr>
        <w:t xml:space="preserve">” </w:t>
      </w:r>
      <w:r w:rsidRPr="00892442">
        <w:rPr>
          <w:rFonts w:ascii="Palatino Linotype" w:hAnsi="Palatino Linotype" w:cs="Arial"/>
          <w:i/>
        </w:rPr>
        <w:t xml:space="preserve">(Sic) </w:t>
      </w:r>
    </w:p>
    <w:p w:rsidR="00ED2E65" w:rsidRPr="00892442" w:rsidRDefault="00ED2E65" w:rsidP="00892442">
      <w:pPr>
        <w:pStyle w:val="Prrafodelista"/>
        <w:spacing w:line="360" w:lineRule="auto"/>
        <w:jc w:val="both"/>
        <w:rPr>
          <w:rFonts w:ascii="Palatino Linotype" w:hAnsi="Palatino Linotype" w:cs="Arial"/>
        </w:rPr>
      </w:pPr>
    </w:p>
    <w:bookmarkEnd w:id="1"/>
    <w:bookmarkEnd w:id="2"/>
    <w:bookmarkEnd w:id="3"/>
    <w:p w:rsidR="002A5BA4" w:rsidRPr="00892442" w:rsidRDefault="0036196A" w:rsidP="00892442">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892442">
        <w:rPr>
          <w:rFonts w:ascii="Palatino Linotype" w:eastAsia="Times New Roman" w:hAnsi="Palatino Linotype" w:cs="Arial"/>
          <w:lang w:val="es-ES"/>
        </w:rPr>
        <w:t>Se registró</w:t>
      </w:r>
      <w:r w:rsidR="002A5BA4" w:rsidRPr="00892442">
        <w:rPr>
          <w:rFonts w:ascii="Palatino Linotype" w:eastAsia="Times New Roman" w:hAnsi="Palatino Linotype" w:cs="Arial"/>
          <w:lang w:val="es-ES"/>
        </w:rPr>
        <w:t xml:space="preserve"> </w:t>
      </w:r>
      <w:r w:rsidRPr="00892442">
        <w:rPr>
          <w:rFonts w:ascii="Palatino Linotype" w:eastAsia="Times New Roman" w:hAnsi="Palatino Linotype" w:cs="Arial"/>
          <w:lang w:val="es-ES"/>
        </w:rPr>
        <w:t>el</w:t>
      </w:r>
      <w:r w:rsidR="002A5BA4" w:rsidRPr="00892442">
        <w:rPr>
          <w:rFonts w:ascii="Palatino Linotype" w:eastAsia="Times New Roman" w:hAnsi="Palatino Linotype" w:cs="Arial"/>
          <w:lang w:val="es-ES"/>
        </w:rPr>
        <w:t xml:space="preserve"> recurso de revisión bajo </w:t>
      </w:r>
      <w:r w:rsidRPr="00892442">
        <w:rPr>
          <w:rFonts w:ascii="Palatino Linotype" w:eastAsia="Times New Roman" w:hAnsi="Palatino Linotype" w:cs="Arial"/>
          <w:lang w:val="es-ES"/>
        </w:rPr>
        <w:t>el</w:t>
      </w:r>
      <w:r w:rsidR="002A5BA4" w:rsidRPr="00892442">
        <w:rPr>
          <w:rFonts w:ascii="Palatino Linotype" w:eastAsia="Times New Roman" w:hAnsi="Palatino Linotype" w:cs="Arial"/>
          <w:lang w:val="es-ES"/>
        </w:rPr>
        <w:t xml:space="preserve"> número de expediente </w:t>
      </w:r>
      <w:r w:rsidR="002A5BA4" w:rsidRPr="00892442">
        <w:rPr>
          <w:rFonts w:ascii="Palatino Linotype" w:hAnsi="Palatino Linotype" w:cs="Arial"/>
          <w:bCs/>
        </w:rPr>
        <w:t xml:space="preserve">al rubro indicado, asimismo con fundamento en lo dispuesto por el </w:t>
      </w:r>
      <w:r w:rsidR="002A5BA4" w:rsidRPr="00892442">
        <w:rPr>
          <w:rFonts w:ascii="Palatino Linotype" w:eastAsia="Calibri" w:hAnsi="Palatino Linotype" w:cs="Arial"/>
          <w:lang w:val="es-ES"/>
        </w:rPr>
        <w:t xml:space="preserve">artículo 185 fracción I de la </w:t>
      </w:r>
      <w:r w:rsidR="002A5BA4" w:rsidRPr="00892442">
        <w:rPr>
          <w:rFonts w:ascii="Palatino Linotype" w:eastAsia="Calibri" w:hAnsi="Palatino Linotype" w:cs="Arial"/>
          <w:b/>
          <w:lang w:val="es-ES"/>
        </w:rPr>
        <w:t xml:space="preserve">Ley de Transparencia y Acceso a la Información Pública del Estado de México y Municipios </w:t>
      </w:r>
      <w:r w:rsidR="002A5BA4" w:rsidRPr="00892442">
        <w:rPr>
          <w:rFonts w:ascii="Palatino Linotype" w:eastAsia="Times New Roman" w:hAnsi="Palatino Linotype" w:cs="Arial"/>
          <w:lang w:val="es-ES"/>
        </w:rPr>
        <w:t>se turn</w:t>
      </w:r>
      <w:r w:rsidRPr="00892442">
        <w:rPr>
          <w:rFonts w:ascii="Palatino Linotype" w:eastAsia="Times New Roman" w:hAnsi="Palatino Linotype" w:cs="Arial"/>
          <w:lang w:val="es-ES"/>
        </w:rPr>
        <w:t>ó</w:t>
      </w:r>
      <w:r w:rsidR="002A5BA4" w:rsidRPr="00892442">
        <w:rPr>
          <w:rFonts w:ascii="Palatino Linotype" w:eastAsia="Times New Roman" w:hAnsi="Palatino Linotype" w:cs="Arial"/>
          <w:lang w:val="es-ES"/>
        </w:rPr>
        <w:t xml:space="preserve"> a</w:t>
      </w:r>
      <w:r w:rsidR="00A00E51" w:rsidRPr="00892442">
        <w:rPr>
          <w:rFonts w:ascii="Palatino Linotype" w:eastAsia="Times New Roman" w:hAnsi="Palatino Linotype" w:cs="Arial"/>
          <w:lang w:val="es-ES"/>
        </w:rPr>
        <w:t>l</w:t>
      </w:r>
      <w:r w:rsidR="002A5BA4" w:rsidRPr="00892442">
        <w:rPr>
          <w:rFonts w:ascii="Palatino Linotype" w:eastAsia="Times New Roman" w:hAnsi="Palatino Linotype" w:cs="Arial"/>
          <w:lang w:val="es-ES"/>
        </w:rPr>
        <w:t xml:space="preserve"> </w:t>
      </w:r>
      <w:r w:rsidR="00A00E51" w:rsidRPr="00892442">
        <w:rPr>
          <w:rFonts w:ascii="Palatino Linotype" w:eastAsia="Times New Roman" w:hAnsi="Palatino Linotype" w:cs="Arial"/>
          <w:b/>
          <w:lang w:val="es-ES"/>
        </w:rPr>
        <w:t>Comisionado</w:t>
      </w:r>
      <w:r w:rsidR="002A5BA4" w:rsidRPr="00892442">
        <w:rPr>
          <w:rFonts w:ascii="Palatino Linotype" w:eastAsia="Times New Roman" w:hAnsi="Palatino Linotype" w:cs="Arial"/>
          <w:b/>
          <w:lang w:val="es-ES"/>
        </w:rPr>
        <w:t xml:space="preserve"> </w:t>
      </w:r>
      <w:r w:rsidR="00A00E51" w:rsidRPr="00892442">
        <w:rPr>
          <w:rFonts w:ascii="Palatino Linotype" w:eastAsia="Times New Roman" w:hAnsi="Palatino Linotype" w:cs="Arial"/>
          <w:b/>
          <w:lang w:val="es-ES"/>
        </w:rPr>
        <w:t>José Guadalupe Luna Hernández</w:t>
      </w:r>
      <w:r w:rsidR="002A5BA4" w:rsidRPr="00892442">
        <w:rPr>
          <w:rFonts w:ascii="Palatino Linotype" w:eastAsia="Times New Roman" w:hAnsi="Palatino Linotype" w:cs="Arial"/>
          <w:b/>
          <w:lang w:val="es-ES"/>
        </w:rPr>
        <w:t xml:space="preserve">, </w:t>
      </w:r>
      <w:r w:rsidR="002A5BA4" w:rsidRPr="00892442">
        <w:rPr>
          <w:rFonts w:ascii="Palatino Linotype" w:eastAsia="Times New Roman" w:hAnsi="Palatino Linotype" w:cs="Arial"/>
          <w:lang w:val="es-ES"/>
        </w:rPr>
        <w:t xml:space="preserve">con el objeto de </w:t>
      </w:r>
      <w:r w:rsidR="002A5BA4" w:rsidRPr="00892442">
        <w:rPr>
          <w:rFonts w:ascii="Palatino Linotype" w:eastAsia="Times New Roman" w:hAnsi="Palatino Linotype" w:cs="Arial"/>
          <w:lang w:val="es-MX"/>
        </w:rPr>
        <w:t xml:space="preserve">su análisis. </w:t>
      </w:r>
    </w:p>
    <w:p w:rsidR="001100E7" w:rsidRPr="00892442" w:rsidRDefault="001100E7" w:rsidP="00892442">
      <w:pPr>
        <w:pStyle w:val="Prrafodelista"/>
        <w:spacing w:before="240" w:after="240" w:line="360" w:lineRule="auto"/>
        <w:ind w:left="0"/>
        <w:jc w:val="both"/>
        <w:rPr>
          <w:rFonts w:ascii="Palatino Linotype" w:eastAsia="Calibri" w:hAnsi="Palatino Linotype" w:cs="Arial"/>
          <w:lang w:val="es-AR"/>
        </w:rPr>
      </w:pPr>
    </w:p>
    <w:p w:rsidR="00AE587B" w:rsidRDefault="00A00E51" w:rsidP="00892442">
      <w:pPr>
        <w:pStyle w:val="Prrafodelista"/>
        <w:numPr>
          <w:ilvl w:val="0"/>
          <w:numId w:val="1"/>
        </w:numPr>
        <w:spacing w:before="240" w:after="240" w:line="360" w:lineRule="auto"/>
        <w:ind w:left="0" w:firstLine="0"/>
        <w:jc w:val="both"/>
        <w:rPr>
          <w:rFonts w:ascii="Palatino Linotype" w:hAnsi="Palatino Linotype" w:cs="Arial"/>
        </w:rPr>
      </w:pPr>
      <w:r w:rsidRPr="00892442">
        <w:rPr>
          <w:rFonts w:ascii="Palatino Linotype" w:hAnsi="Palatino Linotype" w:cs="Arial"/>
        </w:rPr>
        <w:t>Mediante el acuerdo de fecha veintidós (2</w:t>
      </w:r>
      <w:r w:rsidR="0083060F" w:rsidRPr="00892442">
        <w:rPr>
          <w:rFonts w:ascii="Palatino Linotype" w:hAnsi="Palatino Linotype" w:cs="Arial"/>
        </w:rPr>
        <w:t>2) de abril de dos mil diecinueve</w:t>
      </w:r>
      <w:r w:rsidRPr="00892442">
        <w:rPr>
          <w:rFonts w:ascii="Palatino Linotype" w:hAnsi="Palatino Linotype" w:cs="Arial"/>
        </w:rPr>
        <w:t xml:space="preserve">, </w:t>
      </w:r>
      <w:r w:rsidR="006F41CA" w:rsidRPr="00892442">
        <w:rPr>
          <w:rFonts w:ascii="Palatino Linotype" w:hAnsi="Palatino Linotype" w:cs="Arial"/>
        </w:rPr>
        <w:t xml:space="preserve">se admitió el recurso de revisión al rubro indicado. </w:t>
      </w:r>
      <w:r w:rsidRPr="00892442">
        <w:rPr>
          <w:rFonts w:ascii="Palatino Linotype" w:hAnsi="Palatino Linotype" w:cs="Arial"/>
        </w:rPr>
        <w:t xml:space="preserve"> </w:t>
      </w:r>
      <w:r w:rsidR="001100E7" w:rsidRPr="00892442">
        <w:rPr>
          <w:rFonts w:ascii="Palatino Linotype" w:hAnsi="Palatino Linotype" w:cs="Arial"/>
        </w:rPr>
        <w:t>En fecha</w:t>
      </w:r>
      <w:r w:rsidR="006F41CA" w:rsidRPr="00892442">
        <w:rPr>
          <w:rFonts w:ascii="Palatino Linotype" w:hAnsi="Palatino Linotype" w:cs="Arial"/>
        </w:rPr>
        <w:t xml:space="preserve"> veintisiete (27) de mayo de dos mil diecinueve, </w:t>
      </w:r>
      <w:r w:rsidR="001100E7" w:rsidRPr="00892442">
        <w:rPr>
          <w:rFonts w:ascii="Palatino Linotype" w:hAnsi="Palatino Linotype" w:cs="Arial"/>
        </w:rPr>
        <w:t xml:space="preserve">atento a lo dispuesto en los artículos 131 </w:t>
      </w:r>
      <w:r w:rsidR="0083060F" w:rsidRPr="00892442">
        <w:rPr>
          <w:rFonts w:ascii="Palatino Linotype" w:hAnsi="Palatino Linotype" w:cs="Arial"/>
        </w:rPr>
        <w:t xml:space="preserve">y 132 </w:t>
      </w:r>
      <w:r w:rsidR="001100E7" w:rsidRPr="00892442">
        <w:rPr>
          <w:rFonts w:ascii="Palatino Linotype" w:hAnsi="Palatino Linotype" w:cs="Arial"/>
        </w:rPr>
        <w:t xml:space="preserve">de la Ley de Protección de Datos Personales en Posesión de Sujetos Obligados del Estado de México y Municipios </w:t>
      </w:r>
      <w:r w:rsidR="0083060F" w:rsidRPr="00892442">
        <w:rPr>
          <w:rFonts w:ascii="Palatino Linotype" w:hAnsi="Palatino Linotype" w:cs="Arial"/>
        </w:rPr>
        <w:t xml:space="preserve">se les exhorta a realizar una conciliación, para tal efecto se les concedió un plazo de siete (7) días hábiles; sin embargo, trascurrido el plazo no se apreció la voluntad de las partes para conciliar, toda vez que, </w:t>
      </w:r>
      <w:r w:rsidR="00AE587B" w:rsidRPr="00892442">
        <w:rPr>
          <w:rFonts w:ascii="Palatino Linotype" w:hAnsi="Palatino Linotype" w:cs="Arial"/>
        </w:rPr>
        <w:t>el RESPONSABLE remitió documentos electrónicos, sin embargo en su contenido no aceptó conciliar con la parte recurrente, mientras que éste último fue omiso en atender la exhortación.</w:t>
      </w:r>
    </w:p>
    <w:p w:rsidR="00892442" w:rsidRPr="00892442" w:rsidRDefault="00892442" w:rsidP="00892442">
      <w:pPr>
        <w:pStyle w:val="Prrafodelista"/>
        <w:spacing w:before="240" w:after="240" w:line="360" w:lineRule="auto"/>
        <w:ind w:left="0"/>
        <w:jc w:val="both"/>
        <w:rPr>
          <w:rFonts w:ascii="Palatino Linotype" w:hAnsi="Palatino Linotype" w:cs="Arial"/>
        </w:rPr>
      </w:pPr>
    </w:p>
    <w:p w:rsidR="0083060F" w:rsidRPr="00892442" w:rsidRDefault="0083060F"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Posteriormente, en fecha cinco (5) de junio de dos mil diecinueve se acordó conceder un plazo de siete (7) días hábiles para realizar las manifestaci</w:t>
      </w:r>
      <w:r w:rsidR="00AE587B" w:rsidRPr="00892442">
        <w:rPr>
          <w:rFonts w:ascii="Palatino Linotype" w:hAnsi="Palatino Linotype" w:cs="Arial"/>
        </w:rPr>
        <w:t>ones que a su derecho convengan, el RESPONSABLE de los datos personales remitió cuatro documentos electrónicos que coinciden con los documentos remitidos en la exhortación a la conciliación, en consecuencia no se pusieron a la vista del recurrente.</w:t>
      </w:r>
    </w:p>
    <w:p w:rsidR="0083060F" w:rsidRPr="00892442" w:rsidRDefault="0083060F" w:rsidP="00892442">
      <w:pPr>
        <w:pStyle w:val="Prrafodelista"/>
        <w:spacing w:line="360" w:lineRule="auto"/>
        <w:rPr>
          <w:rFonts w:ascii="Palatino Linotype" w:hAnsi="Palatino Linotype" w:cs="Arial"/>
        </w:rPr>
      </w:pPr>
    </w:p>
    <w:p w:rsidR="002B591E" w:rsidRPr="00892442" w:rsidRDefault="002B591E"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 xml:space="preserve">Una vez analizado el estado procesal que guardaba el expediente, el seis de septiembre de dos mil dieciocho, y de conformidad con lo establecido en los artículos 11, 125, 127 y 133 de la Ley de Protección de Datos Personales en Posesión de Sujetos Obligados del Estado de México y Municipios y 185 fracción VI de la Ley de Transparencia y Acceso a la Información Pública del Estado de México y Municipios de aplicación supletoria, la Comisionada Ponente acordó: </w:t>
      </w:r>
      <w:r w:rsidRPr="00892442">
        <w:rPr>
          <w:rFonts w:ascii="Palatino Linotype" w:hAnsi="Palatino Linotype" w:cs="Arial"/>
          <w:b/>
        </w:rPr>
        <w:t>a)</w:t>
      </w:r>
      <w:r w:rsidRPr="00892442">
        <w:rPr>
          <w:rFonts w:ascii="Palatino Linotype" w:hAnsi="Palatino Linotype" w:cs="Arial"/>
        </w:rPr>
        <w:t xml:space="preserve"> Te</w:t>
      </w:r>
      <w:r w:rsidRPr="00892442">
        <w:rPr>
          <w:rFonts w:ascii="Palatino Linotype" w:eastAsia="Calibri" w:hAnsi="Palatino Linotype" w:cs="Arial"/>
        </w:rPr>
        <w:t xml:space="preserve">ner por recibido el Informe Justificado del </w:t>
      </w:r>
      <w:r w:rsidRPr="00892442">
        <w:rPr>
          <w:rFonts w:ascii="Palatino Linotype" w:eastAsia="Calibri" w:hAnsi="Palatino Linotype" w:cs="Arial"/>
          <w:b/>
        </w:rPr>
        <w:t>SUJETO OBLIGADO</w:t>
      </w:r>
      <w:r w:rsidRPr="00892442">
        <w:rPr>
          <w:rFonts w:ascii="Palatino Linotype" w:eastAsia="Calibri" w:hAnsi="Palatino Linotype" w:cs="Arial"/>
        </w:rPr>
        <w:t xml:space="preserve">; </w:t>
      </w:r>
      <w:r w:rsidRPr="00892442">
        <w:rPr>
          <w:rFonts w:ascii="Palatino Linotype" w:eastAsia="Calibri" w:hAnsi="Palatino Linotype" w:cs="Arial"/>
          <w:b/>
        </w:rPr>
        <w:t>b)</w:t>
      </w:r>
      <w:r w:rsidRPr="00892442">
        <w:rPr>
          <w:rFonts w:ascii="Palatino Linotype" w:eastAsia="Calibri" w:hAnsi="Palatino Linotype" w:cs="Arial"/>
        </w:rPr>
        <w:t xml:space="preserve"> Tener por </w:t>
      </w:r>
      <w:proofErr w:type="spellStart"/>
      <w:r w:rsidRPr="00892442">
        <w:rPr>
          <w:rFonts w:ascii="Palatino Linotype" w:eastAsia="Calibri" w:hAnsi="Palatino Linotype" w:cs="Arial"/>
        </w:rPr>
        <w:t>precluido</w:t>
      </w:r>
      <w:proofErr w:type="spellEnd"/>
      <w:r w:rsidRPr="00892442">
        <w:rPr>
          <w:rFonts w:ascii="Palatino Linotype" w:eastAsia="Calibri" w:hAnsi="Palatino Linotype" w:cs="Arial"/>
        </w:rPr>
        <w:t xml:space="preserve"> el derecho del </w:t>
      </w:r>
      <w:r w:rsidRPr="00892442">
        <w:rPr>
          <w:rFonts w:ascii="Palatino Linotype" w:eastAsia="Calibri" w:hAnsi="Palatino Linotype" w:cs="Arial"/>
          <w:b/>
        </w:rPr>
        <w:t>RECURRENTE</w:t>
      </w:r>
      <w:r w:rsidRPr="00892442">
        <w:rPr>
          <w:rFonts w:ascii="Palatino Linotype" w:eastAsia="Calibri" w:hAnsi="Palatino Linotype" w:cs="Arial"/>
        </w:rPr>
        <w:t xml:space="preserve"> </w:t>
      </w:r>
      <w:r w:rsidRPr="00892442">
        <w:rPr>
          <w:rFonts w:ascii="Palatino Linotype" w:hAnsi="Palatino Linotype"/>
        </w:rPr>
        <w:t xml:space="preserve">de manifestar su voluntad de conciliar; y </w:t>
      </w:r>
      <w:r w:rsidRPr="00892442">
        <w:rPr>
          <w:rFonts w:ascii="Palatino Linotype" w:hAnsi="Palatino Linotype"/>
          <w:b/>
        </w:rPr>
        <w:t xml:space="preserve">c) </w:t>
      </w:r>
      <w:r w:rsidRPr="00892442">
        <w:rPr>
          <w:rFonts w:ascii="Palatino Linotype" w:hAnsi="Palatino Linotype"/>
        </w:rPr>
        <w:t xml:space="preserve">Continuar con el procedimiento y declarar el </w:t>
      </w:r>
      <w:r w:rsidRPr="00892442">
        <w:rPr>
          <w:rFonts w:ascii="Palatino Linotype" w:hAnsi="Palatino Linotype" w:cs="Arial"/>
        </w:rPr>
        <w:t>cierre de instrucción, en virtud de no existir acuerdo entre las partes para conciliar, así como la remisión del mismo a efecto de ser resuelto; y</w:t>
      </w:r>
    </w:p>
    <w:p w:rsidR="002B591E" w:rsidRPr="00892442" w:rsidRDefault="002B591E" w:rsidP="00892442">
      <w:pPr>
        <w:pStyle w:val="Prrafodelista"/>
        <w:spacing w:line="360" w:lineRule="auto"/>
        <w:ind w:left="0"/>
        <w:jc w:val="both"/>
        <w:rPr>
          <w:rFonts w:ascii="Palatino Linotype" w:hAnsi="Palatino Linotype" w:cs="Arial"/>
        </w:rPr>
      </w:pPr>
    </w:p>
    <w:p w:rsidR="00AE587B" w:rsidRPr="00892442" w:rsidRDefault="00AE587B" w:rsidP="00892442">
      <w:pPr>
        <w:pStyle w:val="Prrafodelista"/>
        <w:numPr>
          <w:ilvl w:val="0"/>
          <w:numId w:val="1"/>
        </w:numPr>
        <w:spacing w:line="360" w:lineRule="auto"/>
        <w:ind w:left="0" w:hanging="11"/>
        <w:jc w:val="both"/>
        <w:rPr>
          <w:rFonts w:ascii="Palatino Linotype" w:hAnsi="Palatino Linotype"/>
          <w:b/>
          <w:u w:val="single"/>
        </w:rPr>
      </w:pPr>
      <w:r w:rsidRPr="00892442">
        <w:rPr>
          <w:rFonts w:ascii="Palatino Linotype" w:hAnsi="Palatino Linotype"/>
        </w:rPr>
        <w:t>El Comisionado Ponente decretó el cierre de instrucción</w:t>
      </w:r>
      <w:r w:rsidRPr="00892442">
        <w:rPr>
          <w:rFonts w:ascii="Palatino Linotype" w:hAnsi="Palatino Linotype" w:cs="Arial"/>
        </w:rPr>
        <w:t xml:space="preserve"> </w:t>
      </w:r>
      <w:r w:rsidRPr="00892442">
        <w:rPr>
          <w:rFonts w:ascii="Palatino Linotype" w:hAnsi="Palatino Linotype"/>
        </w:rPr>
        <w:t>mediante el acuerdo de fecha veintiuno (21) de junio de dos mil diecinueve.</w:t>
      </w:r>
      <w:r w:rsidRPr="00892442">
        <w:rPr>
          <w:rFonts w:ascii="Palatino Linotype" w:hAnsi="Palatino Linotype" w:cs="Arial"/>
        </w:rPr>
        <w:t xml:space="preserve"> Asimismo </w:t>
      </w:r>
      <w:r w:rsidRPr="00892442">
        <w:rPr>
          <w:rFonts w:ascii="Palatino Linotype" w:hAnsi="Palatino Linotype"/>
          <w:color w:val="000000" w:themeColor="text1"/>
        </w:rPr>
        <w:t xml:space="preserve">se amplió el plazo para resolver el recurso de revisión, </w:t>
      </w:r>
      <w:r w:rsidR="00722AAD" w:rsidRPr="00892442">
        <w:rPr>
          <w:rFonts w:ascii="Palatino Linotype" w:hAnsi="Palatino Linotype"/>
          <w:color w:val="000000" w:themeColor="text1"/>
        </w:rPr>
        <w:t xml:space="preserve">por un periodo de veinte (20) días hábiles, </w:t>
      </w:r>
      <w:r w:rsidRPr="00892442">
        <w:rPr>
          <w:rFonts w:ascii="Palatino Linotype" w:hAnsi="Palatino Linotype" w:cs="Arial"/>
          <w:color w:val="000000" w:themeColor="text1"/>
        </w:rPr>
        <w:t xml:space="preserve">por lo que ordenó turnar el expediente para su resolución, misma que ahora se pronuncia; y  - - - - - - - - - - - </w:t>
      </w:r>
      <w:r w:rsidRPr="00892442">
        <w:rPr>
          <w:rFonts w:ascii="Palatino Linotype" w:hAnsi="Palatino Linotype" w:cs="Arial"/>
        </w:rPr>
        <w:t xml:space="preserve">- - - - - - - - - - - - -- - - - - - - - - - - - - - - - - - - - - - </w:t>
      </w:r>
      <w:r w:rsidR="00722AAD" w:rsidRPr="00892442">
        <w:rPr>
          <w:rFonts w:ascii="Palatino Linotype" w:hAnsi="Palatino Linotype" w:cs="Arial"/>
        </w:rPr>
        <w:t xml:space="preserve">- - - - - - - </w:t>
      </w:r>
    </w:p>
    <w:p w:rsidR="002B591E" w:rsidRPr="00892442" w:rsidRDefault="002B591E" w:rsidP="00892442">
      <w:pPr>
        <w:pStyle w:val="Prrafodelista"/>
        <w:spacing w:before="240" w:after="240" w:line="360" w:lineRule="auto"/>
        <w:ind w:left="0"/>
        <w:jc w:val="both"/>
        <w:rPr>
          <w:rFonts w:ascii="Palatino Linotype" w:eastAsia="Calibri" w:hAnsi="Palatino Linotype" w:cs="Arial"/>
          <w:lang w:val="es-ES"/>
        </w:rPr>
      </w:pPr>
    </w:p>
    <w:p w:rsidR="002A5BA4" w:rsidRPr="00892442" w:rsidRDefault="00722AAD" w:rsidP="00892442">
      <w:pPr>
        <w:pStyle w:val="Ttulo1"/>
        <w:spacing w:line="360" w:lineRule="auto"/>
        <w:jc w:val="center"/>
        <w:rPr>
          <w:b w:val="0"/>
          <w:szCs w:val="24"/>
        </w:rPr>
      </w:pPr>
      <w:r w:rsidRPr="00892442">
        <w:rPr>
          <w:szCs w:val="24"/>
        </w:rPr>
        <w:t xml:space="preserve"> </w:t>
      </w:r>
      <w:bookmarkStart w:id="4" w:name="_Toc13132686"/>
      <w:r w:rsidR="002A5BA4" w:rsidRPr="00892442">
        <w:rPr>
          <w:szCs w:val="24"/>
        </w:rPr>
        <w:t>CONSIDERANDO</w:t>
      </w:r>
      <w:bookmarkEnd w:id="4"/>
      <w:r w:rsidR="005E6C51" w:rsidRPr="00892442">
        <w:rPr>
          <w:szCs w:val="24"/>
        </w:rPr>
        <w:t xml:space="preserve"> </w:t>
      </w:r>
    </w:p>
    <w:p w:rsidR="002A5BA4" w:rsidRPr="00892442" w:rsidRDefault="002A5BA4" w:rsidP="00892442">
      <w:pPr>
        <w:spacing w:line="360" w:lineRule="auto"/>
        <w:rPr>
          <w:rFonts w:ascii="Palatino Linotype" w:hAnsi="Palatino Linotype"/>
          <w:lang w:val="es-MX" w:eastAsia="en-US"/>
        </w:rPr>
      </w:pPr>
    </w:p>
    <w:p w:rsidR="002A5BA4" w:rsidRPr="00892442" w:rsidRDefault="002A5BA4" w:rsidP="00892442">
      <w:pPr>
        <w:pStyle w:val="Ttulo2"/>
        <w:spacing w:line="360" w:lineRule="auto"/>
        <w:rPr>
          <w:rFonts w:ascii="Palatino Linotype" w:hAnsi="Palatino Linotype"/>
          <w:b/>
          <w:bCs/>
          <w:color w:val="auto"/>
          <w:spacing w:val="60"/>
          <w:sz w:val="24"/>
          <w:szCs w:val="24"/>
        </w:rPr>
      </w:pPr>
      <w:bookmarkStart w:id="5" w:name="_Toc13132687"/>
      <w:r w:rsidRPr="00892442">
        <w:rPr>
          <w:rFonts w:ascii="Palatino Linotype" w:hAnsi="Palatino Linotype"/>
          <w:b/>
          <w:color w:val="auto"/>
          <w:sz w:val="24"/>
          <w:szCs w:val="24"/>
        </w:rPr>
        <w:t>PRIMERO. De la competencia</w:t>
      </w:r>
      <w:bookmarkEnd w:id="5"/>
    </w:p>
    <w:p w:rsidR="00813630" w:rsidRPr="00892442" w:rsidRDefault="00813630" w:rsidP="00892442">
      <w:pPr>
        <w:pStyle w:val="Prrafodelista"/>
        <w:numPr>
          <w:ilvl w:val="0"/>
          <w:numId w:val="1"/>
        </w:numPr>
        <w:spacing w:before="240" w:after="240" w:line="360" w:lineRule="auto"/>
        <w:ind w:left="0" w:firstLine="0"/>
        <w:jc w:val="both"/>
        <w:rPr>
          <w:rFonts w:ascii="Palatino Linotype" w:hAnsi="Palatino Linotype"/>
        </w:rPr>
      </w:pPr>
      <w:r w:rsidRPr="0089244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Pr="00892442">
        <w:rPr>
          <w:rFonts w:ascii="Palatino Linotype" w:eastAsia="Calibri" w:hAnsi="Palatino Linotype" w:cs="Times New Roman"/>
          <w:b/>
          <w:lang w:val="es-ES"/>
        </w:rPr>
        <w:t>Constitución Política de los Estados Unidos Mexicanos</w:t>
      </w:r>
      <w:r w:rsidRPr="00892442">
        <w:rPr>
          <w:rFonts w:ascii="Palatino Linotype" w:eastAsia="Calibri" w:hAnsi="Palatino Linotype" w:cs="Times New Roman"/>
          <w:lang w:val="es-ES"/>
        </w:rPr>
        <w:t xml:space="preserve">; 5, párrafos vigésimo, vigésimo primero y vigésimo segundo fracciones IV, V, VIII de la </w:t>
      </w:r>
      <w:r w:rsidRPr="00892442">
        <w:rPr>
          <w:rFonts w:ascii="Palatino Linotype" w:eastAsia="Calibri" w:hAnsi="Palatino Linotype" w:cs="Times New Roman"/>
          <w:b/>
          <w:lang w:val="es-ES"/>
        </w:rPr>
        <w:t>Constitución Política del Estado Libre y Soberano de México</w:t>
      </w:r>
      <w:r w:rsidRPr="00892442">
        <w:rPr>
          <w:rFonts w:ascii="Palatino Linotype" w:eastAsia="Calibri" w:hAnsi="Palatino Linotype" w:cs="Times New Roman"/>
          <w:lang w:val="es-ES"/>
        </w:rPr>
        <w:t>; 1, 3 fracción I, 82, 97, 98, 119, 123, 124, 127, 128 y 133</w:t>
      </w:r>
      <w:r w:rsidRPr="00892442">
        <w:rPr>
          <w:rFonts w:ascii="Palatino Linotype" w:hAnsi="Palatino Linotype" w:cs="Arial"/>
          <w:lang w:val="es-ES"/>
        </w:rPr>
        <w:t xml:space="preserve"> </w:t>
      </w:r>
      <w:r w:rsidRPr="00892442">
        <w:rPr>
          <w:rFonts w:ascii="Palatino Linotype" w:eastAsia="Calibri" w:hAnsi="Palatino Linotype" w:cs="Times New Roman"/>
          <w:b/>
        </w:rPr>
        <w:t>Ley de Protección de Datos Personales en Posesión de Sujetos Obligados del Estado de México y Municipios</w:t>
      </w:r>
      <w:r w:rsidRPr="00892442">
        <w:rPr>
          <w:rFonts w:ascii="Palatino Linotype" w:eastAsia="Calibri" w:hAnsi="Palatino Linotype" w:cs="Arial"/>
          <w:lang w:val="es-ES"/>
        </w:rPr>
        <w:t xml:space="preserve">; y 10, 7, 9 fracciones I y XXIV, y 11 del </w:t>
      </w:r>
      <w:r w:rsidRPr="0089244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2A5BA4" w:rsidRPr="00892442" w:rsidRDefault="002A5BA4" w:rsidP="00892442">
      <w:pPr>
        <w:pStyle w:val="Ttulo2"/>
        <w:spacing w:line="360" w:lineRule="auto"/>
        <w:rPr>
          <w:rFonts w:ascii="Palatino Linotype" w:hAnsi="Palatino Linotype"/>
          <w:b/>
          <w:color w:val="auto"/>
          <w:sz w:val="24"/>
          <w:szCs w:val="24"/>
        </w:rPr>
      </w:pPr>
      <w:bookmarkStart w:id="6" w:name="_Toc13132688"/>
      <w:r w:rsidRPr="00892442">
        <w:rPr>
          <w:rFonts w:ascii="Palatino Linotype" w:hAnsi="Palatino Linotype"/>
          <w:b/>
          <w:color w:val="auto"/>
          <w:sz w:val="24"/>
          <w:szCs w:val="24"/>
        </w:rPr>
        <w:t>SEGUNDO. De la oportunidad y procedencia.</w:t>
      </w:r>
      <w:bookmarkEnd w:id="6"/>
    </w:p>
    <w:p w:rsidR="00813630" w:rsidRPr="00892442" w:rsidRDefault="00813630" w:rsidP="00892442">
      <w:pPr>
        <w:pStyle w:val="Prrafodelista"/>
        <w:numPr>
          <w:ilvl w:val="0"/>
          <w:numId w:val="1"/>
        </w:numPr>
        <w:spacing w:before="240" w:after="240" w:line="360" w:lineRule="auto"/>
        <w:ind w:left="0" w:right="49" w:firstLine="0"/>
        <w:jc w:val="both"/>
        <w:rPr>
          <w:rFonts w:ascii="Palatino Linotype" w:hAnsi="Palatino Linotype"/>
        </w:rPr>
      </w:pPr>
      <w:r w:rsidRPr="00892442">
        <w:rPr>
          <w:rFonts w:ascii="Palatino Linotype" w:eastAsia="Calibri" w:hAnsi="Palatino Linotype" w:cs="Arial"/>
        </w:rPr>
        <w:t xml:space="preserve">El medio de impugnación fue presentado a través del </w:t>
      </w:r>
      <w:r w:rsidRPr="00892442">
        <w:rPr>
          <w:rFonts w:ascii="Palatino Linotype" w:eastAsia="Calibri" w:hAnsi="Palatino Linotype" w:cs="Arial"/>
          <w:b/>
        </w:rPr>
        <w:t>SARCOEM,</w:t>
      </w:r>
      <w:r w:rsidRPr="0089244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892442">
        <w:rPr>
          <w:rFonts w:ascii="Palatino Linotype" w:eastAsia="Calibri" w:hAnsi="Palatino Linotype" w:cs="Arial"/>
          <w:b/>
        </w:rPr>
        <w:t>SUJETO OBLIGADO</w:t>
      </w:r>
      <w:r w:rsidRPr="00892442">
        <w:rPr>
          <w:rFonts w:ascii="Palatino Linotype" w:eastAsia="Calibri" w:hAnsi="Palatino Linotype" w:cs="Arial"/>
        </w:rPr>
        <w:t xml:space="preserve"> entregó respuesta el día </w:t>
      </w:r>
      <w:r w:rsidR="00DF1A46" w:rsidRPr="00892442">
        <w:rPr>
          <w:rFonts w:ascii="Palatino Linotype" w:eastAsia="Calibri" w:hAnsi="Palatino Linotype" w:cs="Arial"/>
        </w:rPr>
        <w:t>veinte</w:t>
      </w:r>
      <w:r w:rsidRPr="00892442">
        <w:rPr>
          <w:rFonts w:ascii="Palatino Linotype" w:eastAsia="Calibri" w:hAnsi="Palatino Linotype" w:cs="Arial"/>
        </w:rPr>
        <w:t xml:space="preserve"> (</w:t>
      </w:r>
      <w:r w:rsidR="00DF1A46" w:rsidRPr="00892442">
        <w:rPr>
          <w:rFonts w:ascii="Palatino Linotype" w:eastAsia="Calibri" w:hAnsi="Palatino Linotype" w:cs="Arial"/>
        </w:rPr>
        <w:t>20</w:t>
      </w:r>
      <w:r w:rsidRPr="00892442">
        <w:rPr>
          <w:rFonts w:ascii="Palatino Linotype" w:eastAsia="Calibri" w:hAnsi="Palatino Linotype" w:cs="Arial"/>
        </w:rPr>
        <w:t xml:space="preserve">) de </w:t>
      </w:r>
      <w:r w:rsidR="00722AAD" w:rsidRPr="00892442">
        <w:rPr>
          <w:rFonts w:ascii="Palatino Linotype" w:eastAsia="Calibri" w:hAnsi="Palatino Linotype" w:cs="Arial"/>
        </w:rPr>
        <w:t>marzo</w:t>
      </w:r>
      <w:r w:rsidRPr="00892442">
        <w:rPr>
          <w:rFonts w:ascii="Palatino Linotype" w:eastAsia="Calibri" w:hAnsi="Palatino Linotype" w:cs="Arial"/>
        </w:rPr>
        <w:t xml:space="preserve"> de dos mil dieci</w:t>
      </w:r>
      <w:r w:rsidR="00722AAD" w:rsidRPr="00892442">
        <w:rPr>
          <w:rFonts w:ascii="Palatino Linotype" w:eastAsia="Calibri" w:hAnsi="Palatino Linotype" w:cs="Arial"/>
        </w:rPr>
        <w:t>nueve</w:t>
      </w:r>
      <w:r w:rsidRPr="00892442">
        <w:rPr>
          <w:rFonts w:ascii="Palatino Linotype" w:eastAsia="Calibri" w:hAnsi="Palatino Linotype" w:cs="Arial"/>
        </w:rPr>
        <w:t xml:space="preserve">, </w:t>
      </w:r>
      <w:r w:rsidRPr="00892442">
        <w:rPr>
          <w:rFonts w:ascii="Palatino Linotype" w:hAnsi="Palatino Linotype" w:cs="Arial"/>
        </w:rPr>
        <w:t xml:space="preserve">de tal forma que el plazo para interponer el recurso de revisión transcurrió del día </w:t>
      </w:r>
      <w:r w:rsidR="00DF1A46" w:rsidRPr="00892442">
        <w:rPr>
          <w:rFonts w:ascii="Palatino Linotype" w:hAnsi="Palatino Linotype" w:cs="Arial"/>
        </w:rPr>
        <w:t>veintiuno</w:t>
      </w:r>
      <w:r w:rsidRPr="00892442">
        <w:rPr>
          <w:rFonts w:ascii="Palatino Linotype" w:hAnsi="Palatino Linotype" w:cs="Arial"/>
        </w:rPr>
        <w:t xml:space="preserve"> (</w:t>
      </w:r>
      <w:r w:rsidR="00DF1A46" w:rsidRPr="00892442">
        <w:rPr>
          <w:rFonts w:ascii="Palatino Linotype" w:hAnsi="Palatino Linotype" w:cs="Arial"/>
        </w:rPr>
        <w:t>21</w:t>
      </w:r>
      <w:r w:rsidRPr="00892442">
        <w:rPr>
          <w:rFonts w:ascii="Palatino Linotype" w:hAnsi="Palatino Linotype" w:cs="Arial"/>
        </w:rPr>
        <w:t xml:space="preserve">) </w:t>
      </w:r>
      <w:r w:rsidR="00DF1A46" w:rsidRPr="00892442">
        <w:rPr>
          <w:rFonts w:ascii="Palatino Linotype" w:hAnsi="Palatino Linotype" w:cs="Arial"/>
        </w:rPr>
        <w:t xml:space="preserve">de </w:t>
      </w:r>
      <w:r w:rsidR="00722AAD" w:rsidRPr="00892442">
        <w:rPr>
          <w:rFonts w:ascii="Palatino Linotype" w:hAnsi="Palatino Linotype" w:cs="Arial"/>
        </w:rPr>
        <w:t>marzo</w:t>
      </w:r>
      <w:r w:rsidR="00DF1A46" w:rsidRPr="00892442">
        <w:rPr>
          <w:rFonts w:ascii="Palatino Linotype" w:hAnsi="Palatino Linotype" w:cs="Arial"/>
        </w:rPr>
        <w:t xml:space="preserve"> al </w:t>
      </w:r>
      <w:r w:rsidR="006C662D" w:rsidRPr="00892442">
        <w:rPr>
          <w:rFonts w:ascii="Palatino Linotype" w:hAnsi="Palatino Linotype" w:cs="Arial"/>
        </w:rPr>
        <w:t>veinticinco</w:t>
      </w:r>
      <w:r w:rsidRPr="00892442">
        <w:rPr>
          <w:rFonts w:ascii="Palatino Linotype" w:hAnsi="Palatino Linotype" w:cs="Arial"/>
        </w:rPr>
        <w:t xml:space="preserve"> (</w:t>
      </w:r>
      <w:r w:rsidR="006C662D" w:rsidRPr="00892442">
        <w:rPr>
          <w:rFonts w:ascii="Palatino Linotype" w:hAnsi="Palatino Linotype" w:cs="Arial"/>
        </w:rPr>
        <w:t>25</w:t>
      </w:r>
      <w:r w:rsidRPr="00892442">
        <w:rPr>
          <w:rFonts w:ascii="Palatino Linotype" w:hAnsi="Palatino Linotype" w:cs="Arial"/>
        </w:rPr>
        <w:t xml:space="preserve">) de </w:t>
      </w:r>
      <w:r w:rsidR="00722AAD" w:rsidRPr="00892442">
        <w:rPr>
          <w:rFonts w:ascii="Palatino Linotype" w:hAnsi="Palatino Linotype" w:cs="Arial"/>
        </w:rPr>
        <w:t>abril</w:t>
      </w:r>
      <w:r w:rsidRPr="00892442">
        <w:rPr>
          <w:rFonts w:ascii="Palatino Linotype" w:hAnsi="Palatino Linotype" w:cs="Arial"/>
        </w:rPr>
        <w:t xml:space="preserve"> dos mil dieci</w:t>
      </w:r>
      <w:r w:rsidR="00722AAD" w:rsidRPr="00892442">
        <w:rPr>
          <w:rFonts w:ascii="Palatino Linotype" w:hAnsi="Palatino Linotype" w:cs="Arial"/>
        </w:rPr>
        <w:t>nueve</w:t>
      </w:r>
      <w:r w:rsidRPr="00892442">
        <w:rPr>
          <w:rFonts w:ascii="Palatino Linotype" w:hAnsi="Palatino Linotype" w:cs="Arial"/>
        </w:rPr>
        <w:t>; en consecuencia, prese</w:t>
      </w:r>
      <w:r w:rsidR="00722AAD" w:rsidRPr="00892442">
        <w:rPr>
          <w:rFonts w:ascii="Palatino Linotype" w:hAnsi="Palatino Linotype" w:cs="Arial"/>
        </w:rPr>
        <w:t>ntó su inconformidad el día cinco</w:t>
      </w:r>
      <w:r w:rsidRPr="00892442">
        <w:rPr>
          <w:rFonts w:ascii="Palatino Linotype" w:hAnsi="Palatino Linotype" w:cs="Arial"/>
        </w:rPr>
        <w:t xml:space="preserve"> (</w:t>
      </w:r>
      <w:r w:rsidR="00722AAD" w:rsidRPr="00892442">
        <w:rPr>
          <w:rFonts w:ascii="Palatino Linotype" w:hAnsi="Palatino Linotype" w:cs="Arial"/>
        </w:rPr>
        <w:t>5</w:t>
      </w:r>
      <w:r w:rsidRPr="00892442">
        <w:rPr>
          <w:rFonts w:ascii="Palatino Linotype" w:hAnsi="Palatino Linotype" w:cs="Arial"/>
        </w:rPr>
        <w:t xml:space="preserve">) de </w:t>
      </w:r>
      <w:r w:rsidR="00722AAD" w:rsidRPr="00892442">
        <w:rPr>
          <w:rFonts w:ascii="Palatino Linotype" w:hAnsi="Palatino Linotype" w:cs="Arial"/>
        </w:rPr>
        <w:t>abril</w:t>
      </w:r>
      <w:r w:rsidRPr="00892442">
        <w:rPr>
          <w:rFonts w:ascii="Palatino Linotype" w:hAnsi="Palatino Linotype" w:cs="Arial"/>
        </w:rPr>
        <w:t xml:space="preserve"> de dos mil dieci</w:t>
      </w:r>
      <w:r w:rsidR="00722AAD" w:rsidRPr="00892442">
        <w:rPr>
          <w:rFonts w:ascii="Palatino Linotype" w:hAnsi="Palatino Linotype" w:cs="Arial"/>
        </w:rPr>
        <w:t>nueve</w:t>
      </w:r>
      <w:r w:rsidRPr="00892442">
        <w:rPr>
          <w:rFonts w:ascii="Palatino Linotype" w:hAnsi="Palatino Linotype" w:cs="Arial"/>
        </w:rPr>
        <w:t>, por lo que se encuentra dentro de los márgenes temporales previstos en el artículo</w:t>
      </w:r>
      <w:r w:rsidRPr="00892442">
        <w:rPr>
          <w:rFonts w:ascii="Palatino Linotype" w:eastAsia="Calibri" w:hAnsi="Palatino Linotype" w:cs="Arial"/>
        </w:rPr>
        <w:t xml:space="preserve"> </w:t>
      </w:r>
      <w:r w:rsidRPr="00892442">
        <w:rPr>
          <w:rFonts w:ascii="Palatino Linotype" w:hAnsi="Palatino Linotype" w:cs="Arial"/>
        </w:rPr>
        <w:t xml:space="preserve">señalados en el artículo 128 de la </w:t>
      </w:r>
      <w:r w:rsidRPr="00892442">
        <w:rPr>
          <w:rFonts w:ascii="Palatino Linotype" w:hAnsi="Palatino Linotype" w:cs="Arial"/>
          <w:b/>
        </w:rPr>
        <w:t>Ley de Protección de Datos Personales en Posesión de Sujetos Obligados del Estado de México y Municipios.</w:t>
      </w:r>
      <w:r w:rsidRPr="00892442">
        <w:rPr>
          <w:rFonts w:ascii="Palatino Linotype" w:hAnsi="Palatino Linotype" w:cs="Arial"/>
        </w:rPr>
        <w:t xml:space="preserve"> </w:t>
      </w:r>
    </w:p>
    <w:p w:rsidR="00813630" w:rsidRPr="00892442" w:rsidRDefault="00813630" w:rsidP="00892442">
      <w:pPr>
        <w:pStyle w:val="Prrafodelista"/>
        <w:spacing w:before="240" w:after="240" w:line="360" w:lineRule="auto"/>
        <w:ind w:left="0" w:right="49"/>
        <w:jc w:val="both"/>
        <w:rPr>
          <w:rFonts w:ascii="Palatino Linotype" w:hAnsi="Palatino Linotype"/>
        </w:rPr>
      </w:pPr>
    </w:p>
    <w:p w:rsidR="00813630" w:rsidRPr="00892442" w:rsidRDefault="00813630" w:rsidP="00892442">
      <w:pPr>
        <w:pStyle w:val="Prrafodelista"/>
        <w:numPr>
          <w:ilvl w:val="0"/>
          <w:numId w:val="1"/>
        </w:numPr>
        <w:spacing w:before="240" w:after="240" w:line="360" w:lineRule="auto"/>
        <w:ind w:left="0" w:right="49" w:firstLine="0"/>
        <w:jc w:val="both"/>
        <w:rPr>
          <w:rFonts w:ascii="Palatino Linotype" w:hAnsi="Palatino Linotype"/>
        </w:rPr>
      </w:pPr>
      <w:r w:rsidRPr="00892442">
        <w:rPr>
          <w:rFonts w:ascii="Palatino Linotype" w:eastAsia="Calibri" w:hAnsi="Palatino Linotype" w:cs="Arial"/>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rsidR="00722AAD" w:rsidRPr="00892442" w:rsidRDefault="00722AAD" w:rsidP="00892442">
      <w:pPr>
        <w:pStyle w:val="Prrafodelista"/>
        <w:spacing w:line="360" w:lineRule="auto"/>
        <w:rPr>
          <w:rFonts w:ascii="Palatino Linotype" w:hAnsi="Palatino Linotype"/>
        </w:rPr>
      </w:pPr>
    </w:p>
    <w:p w:rsidR="002A5BA4" w:rsidRPr="00892442" w:rsidRDefault="002A5BA4" w:rsidP="00892442">
      <w:pPr>
        <w:pStyle w:val="Ttulo2"/>
        <w:spacing w:line="360" w:lineRule="auto"/>
        <w:rPr>
          <w:rFonts w:ascii="Palatino Linotype" w:hAnsi="Palatino Linotype"/>
          <w:b/>
          <w:color w:val="auto"/>
          <w:sz w:val="24"/>
          <w:szCs w:val="24"/>
        </w:rPr>
      </w:pPr>
      <w:bookmarkStart w:id="7" w:name="_Toc486525253"/>
      <w:bookmarkStart w:id="8" w:name="_Toc13132689"/>
      <w:r w:rsidRPr="00892442">
        <w:rPr>
          <w:rFonts w:ascii="Palatino Linotype" w:hAnsi="Palatino Linotype"/>
          <w:b/>
          <w:color w:val="auto"/>
          <w:sz w:val="24"/>
          <w:szCs w:val="24"/>
        </w:rPr>
        <w:t xml:space="preserve">TERCERO. </w:t>
      </w:r>
      <w:bookmarkEnd w:id="7"/>
      <w:r w:rsidR="006E4CE1" w:rsidRPr="00892442">
        <w:rPr>
          <w:rFonts w:ascii="Palatino Linotype" w:hAnsi="Palatino Linotype"/>
          <w:b/>
          <w:color w:val="auto"/>
          <w:sz w:val="24"/>
          <w:szCs w:val="24"/>
        </w:rPr>
        <w:t>Planteamiento de la Litis</w:t>
      </w:r>
      <w:bookmarkEnd w:id="8"/>
    </w:p>
    <w:p w:rsidR="006C662D" w:rsidRPr="00892442" w:rsidRDefault="00DF1A46" w:rsidP="00892442">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892442">
        <w:rPr>
          <w:rFonts w:ascii="Palatino Linotype" w:hAnsi="Palatino Linotype" w:cs="Arial"/>
        </w:rPr>
        <w:t xml:space="preserve">Se solicitó, </w:t>
      </w:r>
      <w:r w:rsidR="006C662D" w:rsidRPr="00892442">
        <w:rPr>
          <w:rFonts w:ascii="Palatino Linotype" w:hAnsi="Palatino Linotype" w:cs="Arial"/>
        </w:rPr>
        <w:t xml:space="preserve">a través del SARCOEM y en Copias Certificadas, del predio ubicado en el paraje denominado Cerrada de </w:t>
      </w:r>
      <w:r w:rsidR="00416612" w:rsidRPr="00416612">
        <w:rPr>
          <w:rFonts w:ascii="Palatino Linotype" w:hAnsi="Palatino Linotype" w:cs="Arial"/>
          <w:highlight w:val="black"/>
        </w:rPr>
        <w:t>-----------</w:t>
      </w:r>
      <w:r w:rsidR="006C662D" w:rsidRPr="00892442">
        <w:rPr>
          <w:rFonts w:ascii="Palatino Linotype" w:hAnsi="Palatino Linotype" w:cs="Arial"/>
        </w:rPr>
        <w:t xml:space="preserve"> sin número perteneciente al poblado “</w:t>
      </w:r>
      <w:r w:rsidR="00416612" w:rsidRPr="00416612">
        <w:rPr>
          <w:rFonts w:ascii="Palatino Linotype" w:hAnsi="Palatino Linotype" w:cs="Arial"/>
          <w:highlight w:val="black"/>
        </w:rPr>
        <w:t>------------</w:t>
      </w:r>
      <w:r w:rsidR="006C662D" w:rsidRPr="00892442">
        <w:rPr>
          <w:rFonts w:ascii="Palatino Linotype" w:hAnsi="Palatino Linotype" w:cs="Arial"/>
        </w:rPr>
        <w:t xml:space="preserve">” toda la información relacionada con el predio, pudiendo estar a nombre del Suscrito o a nombre de </w:t>
      </w:r>
      <w:r w:rsidR="00416612" w:rsidRPr="00416612">
        <w:rPr>
          <w:rFonts w:ascii="Palatino Linotype" w:hAnsi="Palatino Linotype" w:cs="Arial"/>
          <w:b/>
          <w:highlight w:val="black"/>
        </w:rPr>
        <w:t>------------------------------</w:t>
      </w:r>
      <w:r w:rsidR="00EE5BA4" w:rsidRPr="00892442">
        <w:rPr>
          <w:rFonts w:ascii="Palatino Linotype" w:hAnsi="Palatino Linotype" w:cs="Arial"/>
          <w:b/>
        </w:rPr>
        <w:t>.</w:t>
      </w:r>
    </w:p>
    <w:p w:rsidR="006C662D" w:rsidRPr="00892442" w:rsidRDefault="006C662D" w:rsidP="00892442">
      <w:pPr>
        <w:pStyle w:val="Prrafodelista"/>
        <w:spacing w:before="240" w:after="240" w:line="360" w:lineRule="auto"/>
        <w:ind w:left="0"/>
        <w:jc w:val="both"/>
        <w:rPr>
          <w:rFonts w:ascii="Palatino Linotype" w:hAnsi="Palatino Linotype" w:cs="Arial"/>
        </w:rPr>
      </w:pPr>
    </w:p>
    <w:p w:rsidR="00EE5BA4" w:rsidRPr="00892442" w:rsidRDefault="006E4CE1"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Por su parte</w:t>
      </w:r>
      <w:r w:rsidR="002D2177" w:rsidRPr="00892442">
        <w:rPr>
          <w:rFonts w:ascii="Palatino Linotype" w:hAnsi="Palatino Linotype" w:cs="Arial"/>
        </w:rPr>
        <w:t>,</w:t>
      </w:r>
      <w:r w:rsidRPr="00892442">
        <w:rPr>
          <w:rFonts w:ascii="Palatino Linotype" w:hAnsi="Palatino Linotype" w:cs="Arial"/>
        </w:rPr>
        <w:t xml:space="preserve"> el Sujeto Obligado </w:t>
      </w:r>
      <w:r w:rsidR="007A649F" w:rsidRPr="00892442">
        <w:rPr>
          <w:rFonts w:ascii="Palatino Linotype" w:hAnsi="Palatino Linotype" w:cs="Arial"/>
        </w:rPr>
        <w:t xml:space="preserve">mediante su respuesta </w:t>
      </w:r>
      <w:r w:rsidR="00EE5BA4" w:rsidRPr="00892442">
        <w:rPr>
          <w:rFonts w:ascii="Palatino Linotype" w:hAnsi="Palatino Linotype" w:cs="Arial"/>
        </w:rPr>
        <w:t xml:space="preserve">se limitó a requerir un </w:t>
      </w:r>
      <w:r w:rsidR="00193431" w:rsidRPr="00892442">
        <w:rPr>
          <w:rFonts w:ascii="Palatino Linotype" w:hAnsi="Palatino Linotype" w:cs="Arial"/>
        </w:rPr>
        <w:t>pago</w:t>
      </w:r>
      <w:r w:rsidR="00EE5BA4" w:rsidRPr="00892442">
        <w:rPr>
          <w:rFonts w:ascii="Palatino Linotype" w:hAnsi="Palatino Linotype" w:cs="Arial"/>
        </w:rPr>
        <w:t xml:space="preserve"> de $71.82 1ra foja y, excedentes $35.23.</w:t>
      </w:r>
    </w:p>
    <w:p w:rsidR="008F6413" w:rsidRPr="00892442" w:rsidRDefault="008F6413" w:rsidP="00892442">
      <w:pPr>
        <w:pStyle w:val="Prrafodelista"/>
        <w:spacing w:line="360" w:lineRule="auto"/>
        <w:ind w:left="0"/>
        <w:jc w:val="both"/>
        <w:rPr>
          <w:rFonts w:ascii="Palatino Linotype" w:hAnsi="Palatino Linotype" w:cs="Arial"/>
        </w:rPr>
      </w:pPr>
    </w:p>
    <w:p w:rsidR="00DF1A46" w:rsidRPr="00892442" w:rsidRDefault="002F20A0"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eastAsia="Calibri" w:hAnsi="Palatino Linotype" w:cs="Arial"/>
          <w:lang w:val="es-AR"/>
        </w:rPr>
        <w:t>El particular se inconformó por</w:t>
      </w:r>
      <w:r w:rsidR="00EE5BA4" w:rsidRPr="00892442">
        <w:rPr>
          <w:rFonts w:ascii="Palatino Linotype" w:eastAsia="Calibri" w:hAnsi="Palatino Linotype" w:cs="Arial"/>
          <w:lang w:val="es-AR"/>
        </w:rPr>
        <w:t>que no le proporcionaron la información.</w:t>
      </w:r>
    </w:p>
    <w:p w:rsidR="00DF1A46" w:rsidRPr="00892442" w:rsidRDefault="00DF1A46" w:rsidP="00892442">
      <w:pPr>
        <w:pStyle w:val="Prrafodelista"/>
        <w:spacing w:line="360" w:lineRule="auto"/>
        <w:rPr>
          <w:rFonts w:ascii="Palatino Linotype" w:eastAsia="Calibri" w:hAnsi="Palatino Linotype" w:cs="Arial"/>
          <w:lang w:val="es-AR"/>
        </w:rPr>
      </w:pPr>
    </w:p>
    <w:p w:rsidR="00797107" w:rsidRDefault="00763B5A"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eastAsia="MS Mincho" w:hAnsi="Palatino Linotype" w:cs="Arial"/>
        </w:rPr>
        <w:t xml:space="preserve">De este modo, el presente recurso de revisión se circunscribe en </w:t>
      </w:r>
      <w:proofErr w:type="gramStart"/>
      <w:r w:rsidRPr="00892442">
        <w:rPr>
          <w:rFonts w:ascii="Palatino Linotype" w:eastAsia="MS Mincho" w:hAnsi="Palatino Linotype" w:cs="Arial"/>
        </w:rPr>
        <w:t>determinar  si</w:t>
      </w:r>
      <w:proofErr w:type="gramEnd"/>
      <w:r w:rsidRPr="00892442">
        <w:rPr>
          <w:rFonts w:ascii="Palatino Linotype" w:eastAsia="MS Mincho" w:hAnsi="Palatino Linotype" w:cs="Arial"/>
        </w:rPr>
        <w:t xml:space="preserve"> actualiza la causal de procedencia establecida</w:t>
      </w:r>
      <w:r w:rsidRPr="00892442">
        <w:rPr>
          <w:rFonts w:ascii="Palatino Linotype" w:hAnsi="Palatino Linotype" w:cs="Arial"/>
        </w:rPr>
        <w:t xml:space="preserve"> </w:t>
      </w:r>
      <w:r w:rsidRPr="00892442">
        <w:rPr>
          <w:rFonts w:ascii="Palatino Linotype" w:eastAsia="MS Mincho" w:hAnsi="Palatino Linotype" w:cs="Arial"/>
        </w:rPr>
        <w:t>en el artículo 1</w:t>
      </w:r>
      <w:r w:rsidR="0044480F" w:rsidRPr="00892442">
        <w:rPr>
          <w:rFonts w:ascii="Palatino Linotype" w:eastAsia="MS Mincho" w:hAnsi="Palatino Linotype" w:cs="Arial"/>
        </w:rPr>
        <w:t>2</w:t>
      </w:r>
      <w:r w:rsidRPr="00892442">
        <w:rPr>
          <w:rFonts w:ascii="Palatino Linotype" w:eastAsia="MS Mincho" w:hAnsi="Palatino Linotype" w:cs="Arial"/>
        </w:rPr>
        <w:t xml:space="preserve">9, fracción </w:t>
      </w:r>
      <w:r w:rsidR="00DF1A46" w:rsidRPr="00892442">
        <w:rPr>
          <w:rFonts w:ascii="Palatino Linotype" w:eastAsia="MS Mincho" w:hAnsi="Palatino Linotype" w:cs="Arial"/>
        </w:rPr>
        <w:t>IX</w:t>
      </w:r>
      <w:r w:rsidRPr="00892442">
        <w:rPr>
          <w:rFonts w:ascii="Palatino Linotype" w:eastAsia="MS Mincho" w:hAnsi="Palatino Linotype" w:cs="Arial"/>
        </w:rPr>
        <w:t xml:space="preserve"> de la Ley de </w:t>
      </w:r>
      <w:r w:rsidR="0044480F" w:rsidRPr="00892442">
        <w:rPr>
          <w:rFonts w:ascii="Palatino Linotype" w:eastAsia="MS Mincho" w:hAnsi="Palatino Linotype" w:cs="Arial"/>
        </w:rPr>
        <w:t>Protección de Datos Personales en Posesión de Sujetos Obligados del Estado de México y Municipios.</w:t>
      </w:r>
    </w:p>
    <w:p w:rsidR="00892442" w:rsidRPr="00892442" w:rsidRDefault="00892442" w:rsidP="00892442">
      <w:pPr>
        <w:pStyle w:val="Prrafodelista"/>
        <w:spacing w:line="360" w:lineRule="auto"/>
        <w:ind w:left="0"/>
        <w:jc w:val="both"/>
        <w:rPr>
          <w:rFonts w:ascii="Palatino Linotype" w:hAnsi="Palatino Linotype" w:cs="Arial"/>
        </w:rPr>
      </w:pPr>
    </w:p>
    <w:p w:rsidR="002A5BA4" w:rsidRPr="00892442" w:rsidRDefault="002A5BA4" w:rsidP="00892442">
      <w:pPr>
        <w:pStyle w:val="Ttulo2"/>
        <w:spacing w:line="360" w:lineRule="auto"/>
        <w:jc w:val="both"/>
        <w:rPr>
          <w:rFonts w:ascii="Palatino Linotype" w:hAnsi="Palatino Linotype"/>
          <w:b/>
          <w:color w:val="auto"/>
          <w:sz w:val="24"/>
          <w:szCs w:val="24"/>
        </w:rPr>
      </w:pPr>
      <w:bookmarkStart w:id="12" w:name="_Toc486525254"/>
      <w:bookmarkStart w:id="13" w:name="_Toc13132690"/>
      <w:r w:rsidRPr="00892442">
        <w:rPr>
          <w:rFonts w:ascii="Palatino Linotype" w:hAnsi="Palatino Linotype"/>
          <w:b/>
          <w:color w:val="auto"/>
          <w:sz w:val="24"/>
          <w:szCs w:val="24"/>
        </w:rPr>
        <w:t xml:space="preserve">CUARTO. </w:t>
      </w:r>
      <w:r w:rsidR="00F8067A" w:rsidRPr="00892442">
        <w:rPr>
          <w:rFonts w:ascii="Palatino Linotype" w:hAnsi="Palatino Linotype"/>
          <w:b/>
          <w:color w:val="auto"/>
          <w:sz w:val="24"/>
          <w:szCs w:val="24"/>
        </w:rPr>
        <w:t>Estudio y a</w:t>
      </w:r>
      <w:r w:rsidRPr="00892442">
        <w:rPr>
          <w:rFonts w:ascii="Palatino Linotype" w:hAnsi="Palatino Linotype"/>
          <w:b/>
          <w:color w:val="auto"/>
          <w:sz w:val="24"/>
          <w:szCs w:val="24"/>
        </w:rPr>
        <w:t>nálisis del asunto</w:t>
      </w:r>
      <w:bookmarkEnd w:id="12"/>
      <w:r w:rsidR="00995591" w:rsidRPr="00892442">
        <w:rPr>
          <w:rFonts w:ascii="Palatino Linotype" w:hAnsi="Palatino Linotype"/>
          <w:b/>
          <w:color w:val="auto"/>
          <w:sz w:val="24"/>
          <w:szCs w:val="24"/>
        </w:rPr>
        <w:t>.</w:t>
      </w:r>
      <w:bookmarkEnd w:id="13"/>
    </w:p>
    <w:p w:rsidR="0044480F" w:rsidRPr="00892442" w:rsidRDefault="0044480F" w:rsidP="00892442">
      <w:pPr>
        <w:spacing w:line="360" w:lineRule="auto"/>
        <w:rPr>
          <w:rFonts w:ascii="Palatino Linotype" w:hAnsi="Palatino Linotype"/>
          <w:lang w:val="es-MX" w:eastAsia="en-US"/>
        </w:rPr>
      </w:pPr>
    </w:p>
    <w:p w:rsidR="00F12AA6" w:rsidRDefault="00797107" w:rsidP="00892442">
      <w:pPr>
        <w:pStyle w:val="Ttulo2"/>
        <w:numPr>
          <w:ilvl w:val="0"/>
          <w:numId w:val="4"/>
        </w:numPr>
        <w:spacing w:line="360" w:lineRule="auto"/>
        <w:rPr>
          <w:rFonts w:ascii="Palatino Linotype" w:eastAsia="Calibri" w:hAnsi="Palatino Linotype"/>
          <w:b/>
          <w:color w:val="auto"/>
          <w:sz w:val="24"/>
          <w:szCs w:val="24"/>
        </w:rPr>
      </w:pPr>
      <w:bookmarkStart w:id="14" w:name="_Toc13132691"/>
      <w:r w:rsidRPr="00892442">
        <w:rPr>
          <w:rFonts w:ascii="Palatino Linotype" w:eastAsia="Calibri" w:hAnsi="Palatino Linotype"/>
          <w:b/>
          <w:color w:val="auto"/>
          <w:sz w:val="24"/>
          <w:szCs w:val="24"/>
        </w:rPr>
        <w:t>Actuaciones de las partes.</w:t>
      </w:r>
      <w:bookmarkEnd w:id="14"/>
    </w:p>
    <w:p w:rsidR="00892442" w:rsidRPr="00892442" w:rsidRDefault="00892442" w:rsidP="00892442">
      <w:pPr>
        <w:rPr>
          <w:lang w:val="es-MX" w:eastAsia="en-US"/>
        </w:rPr>
      </w:pPr>
    </w:p>
    <w:p w:rsidR="00193431" w:rsidRPr="00892442" w:rsidRDefault="00735F27"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 xml:space="preserve">El recurrente </w:t>
      </w:r>
      <w:r w:rsidR="00193431" w:rsidRPr="00892442">
        <w:rPr>
          <w:rFonts w:ascii="Palatino Linotype" w:hAnsi="Palatino Linotype" w:cs="Arial"/>
        </w:rPr>
        <w:t xml:space="preserve">requiere información relativa a un predio </w:t>
      </w:r>
      <w:r w:rsidRPr="00892442">
        <w:rPr>
          <w:rFonts w:ascii="Palatino Linotype" w:hAnsi="Palatino Linotype" w:cs="Arial"/>
        </w:rPr>
        <w:t>mediante su solicitu</w:t>
      </w:r>
      <w:r w:rsidR="00193431" w:rsidRPr="00892442">
        <w:rPr>
          <w:rFonts w:ascii="Palatino Linotype" w:hAnsi="Palatino Linotype" w:cs="Arial"/>
        </w:rPr>
        <w:t>d de acceso a datos personales. Por su parte, el Sujeto Obligado refirió que la información le sería proporcionada una vez se realice el pago por los derechos, con un monto de $71.82 1ra foja y, excedentes $35.23.</w:t>
      </w:r>
    </w:p>
    <w:p w:rsidR="00A94B63" w:rsidRPr="00892442" w:rsidRDefault="00A94B63" w:rsidP="00892442">
      <w:pPr>
        <w:pStyle w:val="Prrafodelista"/>
        <w:spacing w:line="360" w:lineRule="auto"/>
        <w:ind w:left="0"/>
        <w:jc w:val="both"/>
        <w:rPr>
          <w:rFonts w:ascii="Palatino Linotype" w:hAnsi="Palatino Linotype" w:cs="Arial"/>
        </w:rPr>
      </w:pPr>
    </w:p>
    <w:p w:rsidR="00193431" w:rsidRPr="00892442" w:rsidRDefault="00193431"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eastAsia="Calibri" w:hAnsi="Palatino Linotype" w:cs="Arial"/>
          <w:lang w:val="es-ES"/>
        </w:rPr>
        <w:t>No obstante, en el apartado de exhortación a conciliación, el Sujeto Obligado remitió los siguientes documentos:</w:t>
      </w:r>
    </w:p>
    <w:p w:rsidR="00193431" w:rsidRPr="00892442" w:rsidRDefault="00193431" w:rsidP="00892442">
      <w:pPr>
        <w:pStyle w:val="Prrafodelista"/>
        <w:spacing w:line="360" w:lineRule="auto"/>
        <w:rPr>
          <w:rFonts w:ascii="Palatino Linotype" w:hAnsi="Palatino Linotype" w:cs="Arial"/>
          <w:highlight w:val="cyan"/>
        </w:rPr>
      </w:pPr>
    </w:p>
    <w:p w:rsidR="00193431" w:rsidRPr="00892442" w:rsidRDefault="00193431" w:rsidP="00892442">
      <w:pPr>
        <w:pStyle w:val="Prrafodelista"/>
        <w:numPr>
          <w:ilvl w:val="0"/>
          <w:numId w:val="25"/>
        </w:numPr>
        <w:spacing w:line="360" w:lineRule="auto"/>
        <w:jc w:val="both"/>
        <w:rPr>
          <w:rFonts w:ascii="Palatino Linotype" w:hAnsi="Palatino Linotype" w:cs="Arial"/>
        </w:rPr>
      </w:pPr>
      <w:r w:rsidRPr="00892442">
        <w:rPr>
          <w:rFonts w:ascii="Palatino Linotype" w:hAnsi="Palatino Linotype" w:cs="Arial"/>
          <w:b/>
        </w:rPr>
        <w:t xml:space="preserve">Oficio Alegatos </w:t>
      </w:r>
      <w:r w:rsidR="00DD6266" w:rsidRPr="00DD6266">
        <w:rPr>
          <w:rFonts w:ascii="Palatino Linotype" w:hAnsi="Palatino Linotype" w:cs="Arial"/>
          <w:b/>
          <w:highlight w:val="black"/>
        </w:rPr>
        <w:t>---------------</w:t>
      </w:r>
      <w:r w:rsidRPr="00892442">
        <w:rPr>
          <w:rFonts w:ascii="Palatino Linotype" w:hAnsi="Palatino Linotype" w:cs="Arial"/>
          <w:b/>
        </w:rPr>
        <w:t>.</w:t>
      </w:r>
      <w:proofErr w:type="spellStart"/>
      <w:r w:rsidRPr="00892442">
        <w:rPr>
          <w:rFonts w:ascii="Palatino Linotype" w:hAnsi="Palatino Linotype" w:cs="Arial"/>
          <w:b/>
        </w:rPr>
        <w:t>pdf</w:t>
      </w:r>
      <w:proofErr w:type="spellEnd"/>
      <w:r w:rsidRPr="00892442">
        <w:rPr>
          <w:rFonts w:ascii="Palatino Linotype" w:hAnsi="Palatino Linotype" w:cs="Arial"/>
          <w:b/>
        </w:rPr>
        <w:t>:</w:t>
      </w:r>
      <w:r w:rsidRPr="00892442">
        <w:rPr>
          <w:rFonts w:ascii="Palatino Linotype" w:hAnsi="Palatino Linotype" w:cs="Arial"/>
        </w:rPr>
        <w:t xml:space="preserve"> Oficio TM/700/05/2019, suscrito por el Tesorero Municipal, mediante el cual refiere que será proporcionada la información solicitada, en versión pública, testando nombres, apellidos, dirección y firma autógrafa.</w:t>
      </w:r>
    </w:p>
    <w:p w:rsidR="00193431" w:rsidRPr="00892442" w:rsidRDefault="00193431" w:rsidP="00892442">
      <w:pPr>
        <w:pStyle w:val="Prrafodelista"/>
        <w:spacing w:line="360" w:lineRule="auto"/>
        <w:ind w:left="0"/>
        <w:jc w:val="both"/>
        <w:rPr>
          <w:rFonts w:ascii="Palatino Linotype" w:hAnsi="Palatino Linotype" w:cs="Arial"/>
        </w:rPr>
      </w:pPr>
    </w:p>
    <w:p w:rsidR="00193431" w:rsidRPr="00892442" w:rsidRDefault="00193431" w:rsidP="00892442">
      <w:pPr>
        <w:pStyle w:val="Prrafodelista"/>
        <w:numPr>
          <w:ilvl w:val="0"/>
          <w:numId w:val="25"/>
        </w:numPr>
        <w:spacing w:line="360" w:lineRule="auto"/>
        <w:jc w:val="both"/>
        <w:rPr>
          <w:rFonts w:ascii="Palatino Linotype" w:hAnsi="Palatino Linotype" w:cs="Arial"/>
          <w:b/>
        </w:rPr>
      </w:pPr>
      <w:r w:rsidRPr="00892442">
        <w:rPr>
          <w:rFonts w:ascii="Palatino Linotype" w:hAnsi="Palatino Linotype" w:cs="Arial"/>
          <w:b/>
        </w:rPr>
        <w:t xml:space="preserve">Expedientes 095-12-141-39-00-0000.pdf: </w:t>
      </w:r>
      <w:r w:rsidRPr="00892442">
        <w:rPr>
          <w:rFonts w:ascii="Palatino Linotype" w:hAnsi="Palatino Linotype" w:cs="Arial"/>
        </w:rPr>
        <w:t>Contiene un documento de manifestación catastral, donde se aprecia la clave catastral, ubicación, medidas del predio, medidas de construcción, valor catastral y valor de construcción. Asimismo, se contiene un contrato de compra-venta y una fotografía.</w:t>
      </w:r>
    </w:p>
    <w:p w:rsidR="00193431" w:rsidRPr="00892442" w:rsidRDefault="00193431" w:rsidP="00892442">
      <w:pPr>
        <w:pStyle w:val="Prrafodelista"/>
        <w:spacing w:line="360" w:lineRule="auto"/>
        <w:ind w:left="0"/>
        <w:jc w:val="both"/>
        <w:rPr>
          <w:rFonts w:ascii="Palatino Linotype" w:hAnsi="Palatino Linotype" w:cs="Arial"/>
          <w:b/>
        </w:rPr>
      </w:pPr>
    </w:p>
    <w:p w:rsidR="00892442" w:rsidRPr="00892442" w:rsidRDefault="00193431" w:rsidP="00892442">
      <w:pPr>
        <w:pStyle w:val="Prrafodelista"/>
        <w:numPr>
          <w:ilvl w:val="0"/>
          <w:numId w:val="25"/>
        </w:numPr>
        <w:spacing w:line="360" w:lineRule="auto"/>
        <w:jc w:val="both"/>
        <w:rPr>
          <w:rFonts w:ascii="Palatino Linotype" w:hAnsi="Palatino Linotype" w:cs="Arial"/>
          <w:b/>
        </w:rPr>
      </w:pPr>
      <w:r w:rsidRPr="00892442">
        <w:rPr>
          <w:rFonts w:ascii="Palatino Linotype" w:hAnsi="Palatino Linotype" w:cs="Arial"/>
          <w:b/>
        </w:rPr>
        <w:t>037</w:t>
      </w:r>
      <w:proofErr w:type="gramStart"/>
      <w:r w:rsidRPr="00892442">
        <w:rPr>
          <w:rFonts w:ascii="Palatino Linotype" w:hAnsi="Palatino Linotype" w:cs="Arial"/>
          <w:b/>
        </w:rPr>
        <w:t>.pdf</w:t>
      </w:r>
      <w:proofErr w:type="gramEnd"/>
      <w:r w:rsidRPr="00892442">
        <w:rPr>
          <w:rFonts w:ascii="Palatino Linotype" w:hAnsi="Palatino Linotype" w:cs="Arial"/>
          <w:b/>
        </w:rPr>
        <w:t>:</w:t>
      </w:r>
      <w:r w:rsidR="00D35C84" w:rsidRPr="00892442">
        <w:rPr>
          <w:rFonts w:ascii="Palatino Linotype" w:hAnsi="Palatino Linotype" w:cs="Arial"/>
          <w:b/>
        </w:rPr>
        <w:t xml:space="preserve"> </w:t>
      </w:r>
      <w:r w:rsidR="00D35C84" w:rsidRPr="00892442">
        <w:rPr>
          <w:rFonts w:ascii="Palatino Linotype" w:hAnsi="Palatino Linotype" w:cs="Arial"/>
        </w:rPr>
        <w:t>Acuerdo de clasificación del Comité de Transparencia del Sujeto Obligado mediante el cual se clasificó como información confidencial la contenida en el contrato de compra venta y los documentos remitidos.</w:t>
      </w:r>
    </w:p>
    <w:p w:rsidR="00892442" w:rsidRPr="00892442" w:rsidRDefault="00892442" w:rsidP="00892442">
      <w:pPr>
        <w:spacing w:line="360" w:lineRule="auto"/>
        <w:jc w:val="both"/>
        <w:rPr>
          <w:rFonts w:ascii="Palatino Linotype" w:hAnsi="Palatino Linotype" w:cs="Arial"/>
          <w:b/>
        </w:rPr>
      </w:pPr>
    </w:p>
    <w:p w:rsidR="00193431" w:rsidRPr="00892442" w:rsidRDefault="00D35C84"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En informe justificado, el Sujeto Obligado envió nuevamente la información señalada en líneas anteriores.</w:t>
      </w:r>
    </w:p>
    <w:p w:rsidR="00193431" w:rsidRPr="00892442" w:rsidRDefault="00193431" w:rsidP="00892442">
      <w:pPr>
        <w:pStyle w:val="Prrafodelista"/>
        <w:spacing w:line="360" w:lineRule="auto"/>
        <w:ind w:left="0"/>
        <w:jc w:val="both"/>
        <w:rPr>
          <w:rFonts w:ascii="Palatino Linotype" w:hAnsi="Palatino Linotype" w:cs="Arial"/>
          <w:highlight w:val="cyan"/>
        </w:rPr>
      </w:pPr>
    </w:p>
    <w:p w:rsidR="004D11D5" w:rsidRPr="00892442" w:rsidRDefault="00B30E0B" w:rsidP="00892442">
      <w:pPr>
        <w:pStyle w:val="Ttulo2"/>
        <w:numPr>
          <w:ilvl w:val="0"/>
          <w:numId w:val="4"/>
        </w:numPr>
        <w:spacing w:line="360" w:lineRule="auto"/>
        <w:rPr>
          <w:rFonts w:ascii="Palatino Linotype" w:hAnsi="Palatino Linotype"/>
          <w:b/>
          <w:color w:val="auto"/>
          <w:sz w:val="24"/>
          <w:szCs w:val="24"/>
        </w:rPr>
      </w:pPr>
      <w:bookmarkStart w:id="15" w:name="_Toc13132692"/>
      <w:r w:rsidRPr="00892442">
        <w:rPr>
          <w:rFonts w:ascii="Palatino Linotype" w:hAnsi="Palatino Linotype"/>
          <w:b/>
          <w:color w:val="auto"/>
          <w:sz w:val="24"/>
          <w:szCs w:val="24"/>
        </w:rPr>
        <w:t>Del cobro</w:t>
      </w:r>
      <w:r w:rsidR="004D11D5" w:rsidRPr="00892442">
        <w:rPr>
          <w:rFonts w:ascii="Palatino Linotype" w:hAnsi="Palatino Linotype"/>
          <w:b/>
          <w:color w:val="auto"/>
          <w:sz w:val="24"/>
          <w:szCs w:val="24"/>
        </w:rPr>
        <w:t xml:space="preserve"> por digitalización.</w:t>
      </w:r>
      <w:bookmarkEnd w:id="15"/>
    </w:p>
    <w:p w:rsidR="004D11D5" w:rsidRPr="00892442" w:rsidRDefault="004D11D5" w:rsidP="00892442">
      <w:pPr>
        <w:pStyle w:val="Prrafodelista"/>
        <w:spacing w:line="360" w:lineRule="auto"/>
        <w:ind w:left="0"/>
        <w:jc w:val="both"/>
        <w:rPr>
          <w:rFonts w:ascii="Palatino Linotype" w:hAnsi="Palatino Linotype" w:cs="Arial"/>
        </w:rPr>
      </w:pPr>
    </w:p>
    <w:p w:rsidR="006F4707" w:rsidRPr="00892442" w:rsidRDefault="006F4707" w:rsidP="00892442">
      <w:pPr>
        <w:pStyle w:val="Prrafodelista"/>
        <w:numPr>
          <w:ilvl w:val="0"/>
          <w:numId w:val="1"/>
        </w:numPr>
        <w:spacing w:line="360" w:lineRule="auto"/>
        <w:ind w:left="0" w:firstLine="0"/>
        <w:jc w:val="both"/>
        <w:rPr>
          <w:rFonts w:ascii="Palatino Linotype" w:hAnsi="Palatino Linotype" w:cs="Arial"/>
          <w:i/>
        </w:rPr>
      </w:pPr>
      <w:r w:rsidRPr="00892442">
        <w:rPr>
          <w:rFonts w:ascii="Palatino Linotype" w:hAnsi="Palatino Linotype" w:cs="Arial"/>
        </w:rPr>
        <w:t>Primeramente, debemos analizar que, el Sujeto Obligado no negó contar con la información, tan es así que, requirió un pago por los derechos de la entrega de la información.</w:t>
      </w:r>
    </w:p>
    <w:p w:rsidR="006F4707" w:rsidRPr="00892442" w:rsidRDefault="006F4707" w:rsidP="00892442">
      <w:pPr>
        <w:pStyle w:val="Prrafodelista"/>
        <w:spacing w:line="360" w:lineRule="auto"/>
        <w:ind w:left="0"/>
        <w:jc w:val="both"/>
        <w:rPr>
          <w:rFonts w:ascii="Palatino Linotype" w:hAnsi="Palatino Linotype" w:cs="Arial"/>
          <w:i/>
        </w:rPr>
      </w:pPr>
    </w:p>
    <w:p w:rsidR="0072046C" w:rsidRPr="00892442" w:rsidRDefault="006F4707" w:rsidP="00892442">
      <w:pPr>
        <w:pStyle w:val="Prrafodelista"/>
        <w:numPr>
          <w:ilvl w:val="0"/>
          <w:numId w:val="1"/>
        </w:numPr>
        <w:spacing w:line="360" w:lineRule="auto"/>
        <w:ind w:left="0" w:firstLine="0"/>
        <w:jc w:val="both"/>
        <w:rPr>
          <w:rFonts w:ascii="Palatino Linotype" w:hAnsi="Palatino Linotype" w:cs="Arial"/>
          <w:i/>
        </w:rPr>
      </w:pPr>
      <w:r w:rsidRPr="00892442">
        <w:rPr>
          <w:rFonts w:ascii="Palatino Linotype" w:hAnsi="Palatino Linotype" w:cs="Arial"/>
        </w:rPr>
        <w:t>Ante dicha situación, no</w:t>
      </w:r>
      <w:r w:rsidR="00E7645E" w:rsidRPr="00892442">
        <w:rPr>
          <w:rFonts w:ascii="Palatino Linotype" w:hAnsi="Palatino Linotype" w:cs="Arial"/>
        </w:rPr>
        <w:t xml:space="preserve"> debemos perder de vista que el artículo 16 segundo párrafo de la Constitución Política de los Estados Unidos Mexicanos establece que </w:t>
      </w:r>
      <w:r w:rsidR="00E7645E" w:rsidRPr="00892442">
        <w:rPr>
          <w:rFonts w:ascii="Palatino Linotype" w:hAnsi="Palatino Linotype"/>
          <w:i/>
        </w:rPr>
        <w:t xml:space="preserve">toda persona tiene </w:t>
      </w:r>
      <w:r w:rsidR="00E7645E" w:rsidRPr="00892442">
        <w:rPr>
          <w:rFonts w:ascii="Palatino Linotype" w:hAnsi="Palatino Linotype"/>
          <w:b/>
          <w:i/>
        </w:rPr>
        <w:t>derecho</w:t>
      </w:r>
      <w:r w:rsidR="00E7645E" w:rsidRPr="00892442">
        <w:rPr>
          <w:rFonts w:ascii="Palatino Linotype" w:hAnsi="Palatino Linotype"/>
          <w:i/>
        </w:rPr>
        <w:t xml:space="preserve">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00E7645E" w:rsidRPr="00892442">
        <w:rPr>
          <w:rFonts w:ascii="Palatino Linotype" w:hAnsi="Palatino Linotype"/>
        </w:rPr>
        <w:t xml:space="preserve">En ese entendido, tenemos que la protección a los datos personales es un </w:t>
      </w:r>
      <w:r w:rsidR="00E7645E" w:rsidRPr="00892442">
        <w:rPr>
          <w:rFonts w:ascii="Palatino Linotype" w:hAnsi="Palatino Linotype"/>
          <w:b/>
        </w:rPr>
        <w:t xml:space="preserve">derecho, </w:t>
      </w:r>
      <w:r w:rsidR="00E7645E" w:rsidRPr="00892442">
        <w:rPr>
          <w:rFonts w:ascii="Palatino Linotype" w:hAnsi="Palatino Linotype"/>
        </w:rPr>
        <w:t>en consecuencia, el artículo 1 de la misma normatividad establece</w:t>
      </w:r>
      <w:r w:rsidR="00E7645E" w:rsidRPr="00892442">
        <w:rPr>
          <w:rFonts w:ascii="Palatino Linotype" w:hAnsi="Palatino Linotype"/>
          <w:b/>
        </w:rPr>
        <w:t xml:space="preserve"> </w:t>
      </w:r>
      <w:r w:rsidR="00E7645E" w:rsidRPr="00892442">
        <w:rPr>
          <w:rFonts w:ascii="Palatino Linotype" w:eastAsia="Times New Roman" w:hAnsi="Palatino Linotype" w:cs="Arial"/>
          <w:color w:val="000000"/>
        </w:rPr>
        <w:t>que “</w:t>
      </w:r>
      <w:r w:rsidR="00E7645E" w:rsidRPr="00892442">
        <w:rPr>
          <w:rFonts w:ascii="Palatino Linotype" w:hAnsi="Palatino Linotype" w:cs="Helvetica"/>
          <w:i/>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00E7645E" w:rsidRPr="00892442">
        <w:rPr>
          <w:rStyle w:val="Refdenotaalpie"/>
          <w:rFonts w:ascii="Palatino Linotype" w:hAnsi="Palatino Linotype" w:cs="Helvetica"/>
          <w:i/>
          <w:shd w:val="clear" w:color="auto" w:fill="FFFFFF"/>
        </w:rPr>
        <w:footnoteReference w:id="1"/>
      </w:r>
      <w:r w:rsidR="00E7645E" w:rsidRPr="00892442">
        <w:rPr>
          <w:rFonts w:ascii="Palatino Linotype" w:hAnsi="Palatino Linotype" w:cs="Helvetica"/>
          <w:shd w:val="clear" w:color="auto" w:fill="FFFFFF"/>
        </w:rPr>
        <w:t xml:space="preserve">, </w:t>
      </w:r>
      <w:r w:rsidR="00704AAF" w:rsidRPr="00892442">
        <w:rPr>
          <w:rFonts w:ascii="Palatino Linotype" w:hAnsi="Palatino Linotype" w:cs="Helvetica"/>
          <w:shd w:val="clear" w:color="auto" w:fill="FFFFFF"/>
        </w:rPr>
        <w:t xml:space="preserve">luego entonces, como la protección a los datos personales es un derecho, </w:t>
      </w:r>
      <w:r w:rsidR="00E7645E" w:rsidRPr="00892442">
        <w:rPr>
          <w:rFonts w:ascii="Palatino Linotype" w:hAnsi="Palatino Linotype" w:cs="Helvetica"/>
          <w:shd w:val="clear" w:color="auto" w:fill="FFFFFF"/>
        </w:rPr>
        <w:t xml:space="preserve">todas las autoridades en el ámbito de su competencia se ven impuestas por la obligación de </w:t>
      </w:r>
      <w:r w:rsidR="00E7645E" w:rsidRPr="00892442">
        <w:rPr>
          <w:rFonts w:ascii="Palatino Linotype" w:hAnsi="Palatino Linotype" w:cs="Helvetica"/>
          <w:b/>
          <w:shd w:val="clear" w:color="auto" w:fill="FFFFFF"/>
        </w:rPr>
        <w:t>promover, proteger, respetar y garantizar</w:t>
      </w:r>
      <w:r w:rsidR="00E7645E" w:rsidRPr="00892442">
        <w:rPr>
          <w:rFonts w:ascii="Palatino Linotype" w:hAnsi="Palatino Linotype" w:cs="Helvetica"/>
          <w:shd w:val="clear" w:color="auto" w:fill="FFFFFF"/>
        </w:rPr>
        <w:t>.</w:t>
      </w:r>
    </w:p>
    <w:p w:rsidR="0072046C" w:rsidRPr="00892442" w:rsidRDefault="0072046C" w:rsidP="00892442">
      <w:pPr>
        <w:pStyle w:val="Prrafodelista"/>
        <w:spacing w:line="360" w:lineRule="auto"/>
        <w:ind w:left="0"/>
        <w:jc w:val="both"/>
        <w:rPr>
          <w:rFonts w:ascii="Palatino Linotype" w:hAnsi="Palatino Linotype" w:cs="Arial"/>
          <w:i/>
        </w:rPr>
      </w:pPr>
    </w:p>
    <w:p w:rsidR="0072046C" w:rsidRPr="00892442" w:rsidRDefault="0072046C" w:rsidP="00892442">
      <w:pPr>
        <w:pStyle w:val="Prrafodelista"/>
        <w:numPr>
          <w:ilvl w:val="0"/>
          <w:numId w:val="1"/>
        </w:numPr>
        <w:spacing w:line="360" w:lineRule="auto"/>
        <w:ind w:left="0" w:firstLine="0"/>
        <w:jc w:val="both"/>
        <w:rPr>
          <w:rFonts w:ascii="Palatino Linotype" w:hAnsi="Palatino Linotype" w:cs="Arial"/>
          <w:i/>
        </w:rPr>
      </w:pPr>
      <w:r w:rsidRPr="00892442">
        <w:rPr>
          <w:rFonts w:ascii="Palatino Linotype" w:eastAsia="Calibri" w:hAnsi="Palatino Linotype" w:cs="Arial"/>
          <w:color w:val="000000" w:themeColor="text1"/>
          <w:lang w:val="es-ES"/>
        </w:rPr>
        <w:t xml:space="preserve">Podemos entender a los derechos como realidades positivas que forman parte de </w:t>
      </w:r>
      <w:r w:rsidRPr="00892442">
        <w:rPr>
          <w:rFonts w:ascii="Palatino Linotype" w:eastAsia="Calibri" w:hAnsi="Palatino Linotype" w:cs="Arial"/>
          <w:i/>
          <w:color w:val="000000" w:themeColor="text1"/>
          <w:lang w:val="es-ES"/>
        </w:rPr>
        <w:t>la esfera de lo indecidible que</w:t>
      </w:r>
      <w:r w:rsidRPr="00892442">
        <w:rPr>
          <w:rFonts w:ascii="Palatino Linotype" w:eastAsia="Calibri" w:hAnsi="Palatino Linotype" w:cs="Arial"/>
          <w:color w:val="000000" w:themeColor="text1"/>
          <w:lang w:val="es-ES"/>
        </w:rPr>
        <w:t xml:space="preserve"> o de</w:t>
      </w:r>
      <w:r w:rsidRPr="00892442">
        <w:rPr>
          <w:rFonts w:ascii="Palatino Linotype" w:eastAsia="Calibri" w:hAnsi="Palatino Linotype" w:cs="Arial"/>
          <w:i/>
          <w:color w:val="000000" w:themeColor="text1"/>
          <w:lang w:val="es-ES"/>
        </w:rPr>
        <w:t xml:space="preserve"> lo indecidible que no</w:t>
      </w:r>
      <w:r w:rsidRPr="00892442">
        <w:rPr>
          <w:rFonts w:ascii="Palatino Linotype" w:eastAsia="Calibri" w:hAnsi="Palatino Linotype"/>
          <w:i/>
          <w:vertAlign w:val="superscript"/>
          <w:lang w:val="es-ES"/>
        </w:rPr>
        <w:footnoteReference w:id="2"/>
      </w:r>
      <w:r w:rsidRPr="00892442">
        <w:rPr>
          <w:rFonts w:ascii="Palatino Linotype" w:eastAsia="Calibri" w:hAnsi="Palatino Linotype" w:cs="Arial"/>
          <w:color w:val="000000" w:themeColor="text1"/>
          <w:lang w:val="es-ES"/>
        </w:rPr>
        <w:t xml:space="preserve"> o bien como principios que constituyen </w:t>
      </w:r>
      <w:r w:rsidRPr="00892442">
        <w:rPr>
          <w:rFonts w:ascii="Palatino Linotype" w:eastAsia="Calibri" w:hAnsi="Palatino Linotype" w:cs="Arial"/>
          <w:i/>
          <w:color w:val="000000" w:themeColor="text1"/>
          <w:lang w:val="es-ES"/>
        </w:rPr>
        <w:t>mandatos de optimización</w:t>
      </w:r>
      <w:r w:rsidRPr="00892442">
        <w:rPr>
          <w:rFonts w:ascii="Palatino Linotype" w:eastAsia="Calibri" w:hAnsi="Palatino Linotype" w:cs="Arial"/>
          <w:color w:val="000000" w:themeColor="text1"/>
          <w:lang w:val="es-ES"/>
        </w:rPr>
        <w:t>,</w:t>
      </w:r>
      <w:r w:rsidRPr="00892442">
        <w:rPr>
          <w:rFonts w:ascii="Palatino Linotype" w:eastAsia="Calibri" w:hAnsi="Palatino Linotype"/>
          <w:vertAlign w:val="superscript"/>
          <w:lang w:val="es-ES"/>
        </w:rPr>
        <w:footnoteReference w:id="3"/>
      </w:r>
      <w:r w:rsidRPr="00892442">
        <w:rPr>
          <w:rFonts w:ascii="Palatino Linotype" w:eastAsia="Calibri" w:hAnsi="Palatino Linotype" w:cs="Arial"/>
          <w:color w:val="000000" w:themeColor="text1"/>
          <w:lang w:val="es-ES"/>
        </w:rPr>
        <w:t xml:space="preserve"> lo cierto es que son piedra cardinal en el Estado Constitucional de Derecho que estamos llamados a hacer prevalecer en nuestro país.</w:t>
      </w:r>
    </w:p>
    <w:p w:rsidR="0072046C" w:rsidRPr="00892442" w:rsidRDefault="0072046C" w:rsidP="00892442">
      <w:pPr>
        <w:pStyle w:val="Prrafodelista"/>
        <w:spacing w:line="360" w:lineRule="auto"/>
        <w:rPr>
          <w:rFonts w:ascii="Palatino Linotype" w:hAnsi="Palatino Linotype" w:cs="Arial"/>
          <w:i/>
        </w:rPr>
      </w:pPr>
    </w:p>
    <w:p w:rsidR="0072046C" w:rsidRPr="00892442" w:rsidRDefault="0072046C" w:rsidP="00892442">
      <w:pPr>
        <w:pStyle w:val="Prrafodelista"/>
        <w:numPr>
          <w:ilvl w:val="0"/>
          <w:numId w:val="1"/>
        </w:numPr>
        <w:spacing w:line="360" w:lineRule="auto"/>
        <w:ind w:left="0" w:firstLine="0"/>
        <w:jc w:val="both"/>
        <w:rPr>
          <w:rFonts w:ascii="Palatino Linotype" w:hAnsi="Palatino Linotype" w:cs="Arial"/>
          <w:i/>
        </w:rPr>
      </w:pPr>
      <w:r w:rsidRPr="00892442">
        <w:rPr>
          <w:rFonts w:ascii="Palatino Linotype" w:eastAsia="Calibri" w:hAnsi="Palatino Linotype" w:cs="Arial"/>
          <w:color w:val="000000" w:themeColor="text1"/>
          <w:lang w:val="es-ES"/>
        </w:rPr>
        <w:t xml:space="preserve">En ese sentido es necesario referir que el derecho al acceso a datos personales es </w:t>
      </w:r>
      <w:r w:rsidRPr="00892442">
        <w:rPr>
          <w:rFonts w:ascii="Palatino Linotype" w:eastAsia="Calibri" w:hAnsi="Palatino Linotype" w:cs="Arial"/>
          <w:i/>
          <w:color w:val="000000" w:themeColor="text1"/>
          <w:lang w:val="es-ES"/>
        </w:rPr>
        <w:t>aquel mediante el cual su titular tiene derecho a solicitar y ser informado sobre sus datos personales, el origen de los mismos, el tratamiento del cual sean objeto, las cesiones realizadas o que se pretendan realizar, así como a tener acceso al aviso de privacidad al que está sujeto el tratamiento.</w:t>
      </w:r>
      <w:r w:rsidRPr="00892442">
        <w:rPr>
          <w:rStyle w:val="Refdenotaalpie"/>
          <w:rFonts w:ascii="Palatino Linotype" w:eastAsia="Calibri" w:hAnsi="Palatino Linotype" w:cs="Arial"/>
          <w:i/>
          <w:color w:val="000000" w:themeColor="text1"/>
          <w:lang w:val="es-ES"/>
        </w:rPr>
        <w:footnoteReference w:id="4"/>
      </w:r>
    </w:p>
    <w:p w:rsidR="0072046C" w:rsidRPr="00892442" w:rsidRDefault="0072046C" w:rsidP="00892442">
      <w:pPr>
        <w:pStyle w:val="Prrafodelista"/>
        <w:spacing w:line="360" w:lineRule="auto"/>
        <w:ind w:left="0"/>
        <w:jc w:val="both"/>
        <w:rPr>
          <w:rFonts w:ascii="Palatino Linotype" w:hAnsi="Palatino Linotype" w:cs="Arial"/>
          <w:i/>
        </w:rPr>
      </w:pPr>
    </w:p>
    <w:p w:rsidR="00704AAF" w:rsidRPr="00892442" w:rsidRDefault="00704AAF" w:rsidP="00892442">
      <w:pPr>
        <w:pStyle w:val="Prrafodelista"/>
        <w:numPr>
          <w:ilvl w:val="0"/>
          <w:numId w:val="1"/>
        </w:numPr>
        <w:spacing w:line="360" w:lineRule="auto"/>
        <w:ind w:left="0" w:firstLine="0"/>
        <w:jc w:val="both"/>
        <w:rPr>
          <w:rFonts w:ascii="Palatino Linotype" w:hAnsi="Palatino Linotype" w:cs="Arial"/>
          <w:i/>
        </w:rPr>
      </w:pPr>
      <w:r w:rsidRPr="00892442">
        <w:rPr>
          <w:rFonts w:ascii="Palatino Linotype" w:hAnsi="Palatino Linotype" w:cs="Arial"/>
        </w:rPr>
        <w:t>La Ley de Protección de Datos Personales en Posesión de los Sujetos Obligados del Estado de México y Municipios en el artículo 107 establece lo siguiente:</w:t>
      </w:r>
    </w:p>
    <w:p w:rsidR="00704AAF" w:rsidRPr="00892442" w:rsidRDefault="00704AAF" w:rsidP="00892442">
      <w:pPr>
        <w:pStyle w:val="Prrafodelista"/>
        <w:spacing w:line="360" w:lineRule="auto"/>
        <w:rPr>
          <w:rFonts w:ascii="Palatino Linotype" w:hAnsi="Palatino Linotype" w:cs="Arial"/>
        </w:rPr>
      </w:pPr>
    </w:p>
    <w:p w:rsidR="00704AAF" w:rsidRPr="00892442" w:rsidRDefault="00704AAF" w:rsidP="00892442">
      <w:pPr>
        <w:autoSpaceDE w:val="0"/>
        <w:autoSpaceDN w:val="0"/>
        <w:adjustRightInd w:val="0"/>
        <w:spacing w:line="360" w:lineRule="auto"/>
        <w:ind w:left="567" w:right="567"/>
        <w:jc w:val="both"/>
        <w:rPr>
          <w:rFonts w:ascii="Palatino Linotype" w:eastAsiaTheme="minorHAnsi" w:hAnsi="Palatino Linotype" w:cs="Arial"/>
          <w:b/>
          <w:bCs/>
          <w:i/>
          <w:lang w:val="es-MX" w:eastAsia="en-US"/>
        </w:rPr>
      </w:pPr>
      <w:r w:rsidRPr="00892442">
        <w:rPr>
          <w:rFonts w:ascii="Palatino Linotype" w:eastAsiaTheme="minorHAnsi" w:hAnsi="Palatino Linotype" w:cs="Arial"/>
          <w:b/>
          <w:bCs/>
          <w:i/>
          <w:lang w:val="es-MX" w:eastAsia="en-US"/>
        </w:rPr>
        <w:t>Gratuidad en el Ejercicio de los Derechos ARCO</w:t>
      </w:r>
    </w:p>
    <w:p w:rsidR="00704AAF" w:rsidRPr="00892442" w:rsidRDefault="00704AAF" w:rsidP="00892442">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892442">
        <w:rPr>
          <w:rFonts w:ascii="Palatino Linotype" w:eastAsiaTheme="minorHAnsi" w:hAnsi="Palatino Linotype" w:cs="Arial"/>
          <w:b/>
          <w:bCs/>
          <w:i/>
          <w:lang w:val="es-MX" w:eastAsia="en-US"/>
        </w:rPr>
        <w:t xml:space="preserve">Artículo 107. </w:t>
      </w:r>
      <w:r w:rsidRPr="00892442">
        <w:rPr>
          <w:rFonts w:ascii="Palatino Linotype" w:eastAsiaTheme="minorHAnsi" w:hAnsi="Palatino Linotype" w:cs="Arial"/>
          <w:i/>
          <w:lang w:val="es-MX" w:eastAsia="en-US"/>
        </w:rPr>
        <w:t>El ejercicio de los derechos ARCO deberá ser gratuito. Sólo podrán realizarse cobros para recuperar los costos de reproducción, certificación o envío en los términos previstos por el Código Financiero del Estado de México y Municipios y demás disposiciones jurídicas aplicables. En ningún caso el pago de derechos deberá exceder el costo de reproducción, certificación o de envío.</w:t>
      </w:r>
    </w:p>
    <w:p w:rsidR="00704AAF" w:rsidRPr="00892442" w:rsidRDefault="00704AAF" w:rsidP="00892442">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892442">
        <w:rPr>
          <w:rFonts w:ascii="Palatino Linotype" w:eastAsiaTheme="minorHAnsi" w:hAnsi="Palatino Linotype" w:cs="Arial"/>
          <w:i/>
          <w:lang w:val="es-MX" w:eastAsia="en-US"/>
        </w:rPr>
        <w:t>Cuando el titular proporcione el medio magnético, electrónico o el mecanismo necesario para reproducir los datos personales, los mismos deberán ser entregados sin costo al solicitante.</w:t>
      </w:r>
    </w:p>
    <w:p w:rsidR="00704AAF" w:rsidRPr="00892442" w:rsidRDefault="00704AAF" w:rsidP="00892442">
      <w:pPr>
        <w:autoSpaceDE w:val="0"/>
        <w:autoSpaceDN w:val="0"/>
        <w:adjustRightInd w:val="0"/>
        <w:spacing w:line="360" w:lineRule="auto"/>
        <w:ind w:left="567" w:right="567"/>
        <w:jc w:val="both"/>
        <w:rPr>
          <w:rFonts w:ascii="Palatino Linotype" w:eastAsiaTheme="minorHAnsi" w:hAnsi="Palatino Linotype" w:cs="Arial"/>
          <w:i/>
          <w:lang w:val="es-MX" w:eastAsia="en-US"/>
        </w:rPr>
      </w:pPr>
    </w:p>
    <w:p w:rsidR="00704AAF" w:rsidRPr="00892442" w:rsidRDefault="00704AAF" w:rsidP="00892442">
      <w:pPr>
        <w:autoSpaceDE w:val="0"/>
        <w:autoSpaceDN w:val="0"/>
        <w:adjustRightInd w:val="0"/>
        <w:spacing w:line="360" w:lineRule="auto"/>
        <w:ind w:left="567" w:right="567"/>
        <w:jc w:val="both"/>
        <w:rPr>
          <w:rFonts w:ascii="Palatino Linotype" w:eastAsiaTheme="minorHAnsi" w:hAnsi="Palatino Linotype" w:cs="Arial"/>
          <w:i/>
          <w:lang w:val="es-MX" w:eastAsia="en-US"/>
        </w:rPr>
      </w:pPr>
      <w:r w:rsidRPr="00892442">
        <w:rPr>
          <w:rFonts w:ascii="Palatino Linotype" w:eastAsiaTheme="minorHAnsi" w:hAnsi="Palatino Linotype" w:cs="Arial"/>
          <w:i/>
          <w:lang w:val="es-MX" w:eastAsia="en-US"/>
        </w:rPr>
        <w:t>La información deberá ser entregada sin costo, cuando implique la entrega de no más de veinte hojas simples. Las unidades de transparencia podrán exceptuar el pago de reproducción y envío atendiendo a las circunstancias socioeconómicas del titular.</w:t>
      </w:r>
    </w:p>
    <w:p w:rsidR="00704AAF" w:rsidRPr="00892442" w:rsidRDefault="00704AAF" w:rsidP="00892442">
      <w:pPr>
        <w:autoSpaceDE w:val="0"/>
        <w:autoSpaceDN w:val="0"/>
        <w:adjustRightInd w:val="0"/>
        <w:spacing w:line="360" w:lineRule="auto"/>
        <w:ind w:left="567" w:right="567"/>
        <w:jc w:val="both"/>
        <w:rPr>
          <w:rFonts w:ascii="Palatino Linotype" w:eastAsiaTheme="minorHAnsi" w:hAnsi="Palatino Linotype" w:cs="Arial"/>
          <w:i/>
          <w:lang w:val="es-MX" w:eastAsia="en-US"/>
        </w:rPr>
      </w:pPr>
    </w:p>
    <w:p w:rsidR="00892442" w:rsidRDefault="00704AAF" w:rsidP="00892442">
      <w:pPr>
        <w:autoSpaceDE w:val="0"/>
        <w:autoSpaceDN w:val="0"/>
        <w:adjustRightInd w:val="0"/>
        <w:spacing w:line="360" w:lineRule="auto"/>
        <w:ind w:left="567" w:right="567"/>
        <w:jc w:val="both"/>
        <w:rPr>
          <w:rFonts w:ascii="Palatino Linotype" w:hAnsi="Palatino Linotype" w:cs="Arial"/>
          <w:i/>
        </w:rPr>
      </w:pPr>
      <w:r w:rsidRPr="00892442">
        <w:rPr>
          <w:rFonts w:ascii="Palatino Linotype" w:eastAsiaTheme="minorHAnsi" w:hAnsi="Palatino Linotype" w:cs="Arial"/>
          <w:i/>
          <w:lang w:val="es-MX" w:eastAsia="en-US"/>
        </w:rPr>
        <w:t>El responsable no podrá establecer para la presentación de las solicitudes del ejercicio de los derechos ARCO algún servicio o medio que implique un costo al titular.</w:t>
      </w:r>
      <w:r w:rsidRPr="00892442">
        <w:rPr>
          <w:rFonts w:ascii="Palatino Linotype" w:hAnsi="Palatino Linotype" w:cs="Arial"/>
          <w:i/>
        </w:rPr>
        <w:t xml:space="preserve"> </w:t>
      </w:r>
    </w:p>
    <w:p w:rsidR="00892442" w:rsidRPr="00892442" w:rsidRDefault="00892442" w:rsidP="00892442">
      <w:pPr>
        <w:autoSpaceDE w:val="0"/>
        <w:autoSpaceDN w:val="0"/>
        <w:adjustRightInd w:val="0"/>
        <w:spacing w:line="360" w:lineRule="auto"/>
        <w:ind w:left="567" w:right="567"/>
        <w:jc w:val="both"/>
        <w:rPr>
          <w:rFonts w:ascii="Palatino Linotype" w:hAnsi="Palatino Linotype" w:cs="Arial"/>
          <w:i/>
        </w:rPr>
      </w:pPr>
    </w:p>
    <w:p w:rsidR="0072046C" w:rsidRPr="00892442" w:rsidRDefault="0072046C"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En ese orden de ideas se tiene que en el ejercicio de los Derechos ARCO, entre los que se encuentra el acceso a datos personales, los reviste el principio de gratuidad.</w:t>
      </w:r>
    </w:p>
    <w:p w:rsidR="00EB5A47" w:rsidRPr="00892442" w:rsidRDefault="00EB5A47" w:rsidP="00892442">
      <w:pPr>
        <w:pStyle w:val="Prrafodelista"/>
        <w:spacing w:line="360" w:lineRule="auto"/>
        <w:ind w:left="0"/>
        <w:jc w:val="both"/>
        <w:rPr>
          <w:rFonts w:ascii="Palatino Linotype" w:hAnsi="Palatino Linotype" w:cs="Arial"/>
        </w:rPr>
      </w:pPr>
    </w:p>
    <w:p w:rsidR="00EB5A47" w:rsidRPr="00892442" w:rsidRDefault="00EB5A47"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En un primer momento este principio es entendido bajo la lógica de que si los documentos que obran en los archivos de una institución pública fueron elaborados por servidores públicos en el ejercicio de las atribuciones que delegatoriamente les son conferidas por la sociedad, entonces dicha información es un bien público al que puede acceder cualquier persona sin tener que condicionarse pago alguno y más aun tratándose de acceso a datos personales.</w:t>
      </w:r>
    </w:p>
    <w:p w:rsidR="00EB5A47" w:rsidRPr="00892442" w:rsidRDefault="00EB5A47" w:rsidP="00892442">
      <w:pPr>
        <w:pStyle w:val="Prrafodelista"/>
        <w:spacing w:line="360" w:lineRule="auto"/>
        <w:rPr>
          <w:rFonts w:ascii="Palatino Linotype" w:hAnsi="Palatino Linotype" w:cs="Arial"/>
        </w:rPr>
      </w:pPr>
    </w:p>
    <w:p w:rsidR="00EB5A47" w:rsidRPr="00892442" w:rsidRDefault="00EB5A47"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Lo anterior no implica que cuando la información sea solicitada en algún medio específico, la expedición de los documentos puede generar un costo, constreñido únicamente al pago de los materiales en los que se solicitó o el envío de la misma, tal y como lo señala la normatividad.</w:t>
      </w:r>
    </w:p>
    <w:p w:rsidR="00EB5A47" w:rsidRPr="00892442" w:rsidRDefault="00EB5A47" w:rsidP="00892442">
      <w:pPr>
        <w:pStyle w:val="Prrafodelista"/>
        <w:spacing w:line="360" w:lineRule="auto"/>
        <w:rPr>
          <w:rFonts w:ascii="Palatino Linotype" w:hAnsi="Palatino Linotype" w:cs="Arial"/>
        </w:rPr>
      </w:pPr>
    </w:p>
    <w:p w:rsidR="00EB5A47" w:rsidRPr="00892442" w:rsidRDefault="00EB5A47"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De lo anterior, se puede deducir que de acuerdo con este principio, la información de las entidades públicas es, por regla general, gratuita y sólo en caso de que dicha información se haya requerido en un medio específico (físico o magnético) se cubrirá un derecho que no puede exceder el costo de los materiales empleados o el envío de ella al lugar que haya solicitado el particular (mensajería).</w:t>
      </w:r>
    </w:p>
    <w:p w:rsidR="00A52EEC" w:rsidRPr="00892442" w:rsidRDefault="00A52EEC" w:rsidP="00892442">
      <w:pPr>
        <w:pStyle w:val="Prrafodelista"/>
        <w:spacing w:line="360" w:lineRule="auto"/>
        <w:rPr>
          <w:rFonts w:ascii="Palatino Linotype" w:hAnsi="Palatino Linotype" w:cs="Arial"/>
        </w:rPr>
      </w:pPr>
    </w:p>
    <w:p w:rsidR="00EB4C97" w:rsidRPr="00892442" w:rsidRDefault="00EB5A47"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 xml:space="preserve">Asimismo, se destaca que el </w:t>
      </w:r>
      <w:r w:rsidRPr="00892442">
        <w:rPr>
          <w:rStyle w:val="Ttulo2Car"/>
          <w:rFonts w:ascii="Palatino Linotype" w:eastAsiaTheme="minorEastAsia" w:hAnsi="Palatino Linotype" w:cstheme="minorBidi"/>
          <w:color w:val="auto"/>
          <w:sz w:val="24"/>
          <w:szCs w:val="24"/>
        </w:rPr>
        <w:t xml:space="preserve">Sistema de Acceso, Rectificación, Cancelación y Oposición de Datos Personales del Estado de México </w:t>
      </w:r>
      <w:r w:rsidRPr="00892442">
        <w:rPr>
          <w:rStyle w:val="Ttulo2Car"/>
          <w:rFonts w:ascii="Palatino Linotype" w:eastAsiaTheme="minorEastAsia" w:hAnsi="Palatino Linotype" w:cstheme="minorBidi"/>
          <w:b/>
          <w:color w:val="auto"/>
          <w:sz w:val="24"/>
          <w:szCs w:val="24"/>
        </w:rPr>
        <w:t>(SARCOEM)</w:t>
      </w:r>
      <w:r w:rsidR="00EB4C97" w:rsidRPr="00892442">
        <w:rPr>
          <w:rStyle w:val="Ttulo2Car"/>
          <w:rFonts w:ascii="Palatino Linotype" w:eastAsiaTheme="minorEastAsia" w:hAnsi="Palatino Linotype" w:cs="Arial"/>
          <w:color w:val="auto"/>
          <w:sz w:val="24"/>
          <w:szCs w:val="24"/>
        </w:rPr>
        <w:t xml:space="preserve"> </w:t>
      </w:r>
      <w:r w:rsidR="00EB4C97" w:rsidRPr="00892442">
        <w:rPr>
          <w:rFonts w:ascii="Palatino Linotype" w:hAnsi="Palatino Linotype"/>
          <w:i/>
          <w:shd w:val="clear" w:color="auto" w:fill="FFFFFF"/>
        </w:rPr>
        <w:t>es un medio electrónico, a través del cual es posible formular solicitudes de derechos ARCO y recursos de revisión. De esta manera, tras abrir una cuenta en esta herramienta, es posible dar seguimiento a todas las solicitudes, desde su presentación hasta su resolución.</w:t>
      </w:r>
    </w:p>
    <w:p w:rsidR="009A0584" w:rsidRPr="00892442" w:rsidRDefault="009A0584" w:rsidP="00892442">
      <w:pPr>
        <w:pStyle w:val="Prrafodelista"/>
        <w:spacing w:line="360" w:lineRule="auto"/>
        <w:rPr>
          <w:rFonts w:ascii="Palatino Linotype" w:hAnsi="Palatino Linotype" w:cs="Arial"/>
        </w:rPr>
      </w:pPr>
    </w:p>
    <w:p w:rsidR="009A0584" w:rsidRPr="00892442" w:rsidRDefault="009A0584"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rPr>
        <w:t>Visto de otra manera, es el medio por el cual los particulares hacen efectivo el derecho de Acceso, Rectificación, Cancelación y Oposición de sus datos personales ante los Sujetos Obligados que tienen en su posesión dicha información.</w:t>
      </w:r>
    </w:p>
    <w:p w:rsidR="009A0584" w:rsidRPr="00892442" w:rsidRDefault="009A0584" w:rsidP="00892442">
      <w:pPr>
        <w:pStyle w:val="Prrafodelista"/>
        <w:spacing w:line="360" w:lineRule="auto"/>
        <w:jc w:val="both"/>
        <w:rPr>
          <w:rFonts w:ascii="Palatino Linotype" w:hAnsi="Palatino Linotype" w:cs="Arial"/>
        </w:rPr>
      </w:pPr>
    </w:p>
    <w:p w:rsidR="009A0584" w:rsidRPr="00892442" w:rsidRDefault="009A0584"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rPr>
        <w:t>Al momento en que los particulares formulan sus solicitudes deben cumplir con los requisitos que establece la Ley en materia, mismos que se encuentran contemplados en el artículo 110, se inserta su contenido para mejor entendimiento, siendo el siguiente:</w:t>
      </w:r>
    </w:p>
    <w:p w:rsidR="009A0584" w:rsidRPr="00892442" w:rsidRDefault="009A0584" w:rsidP="00892442">
      <w:pPr>
        <w:spacing w:line="360" w:lineRule="auto"/>
        <w:jc w:val="both"/>
        <w:rPr>
          <w:rFonts w:ascii="Palatino Linotype" w:hAnsi="Palatino Linotype"/>
        </w:rPr>
      </w:pPr>
    </w:p>
    <w:p w:rsidR="009A0584" w:rsidRPr="00892442" w:rsidRDefault="009A0584" w:rsidP="00892442">
      <w:pPr>
        <w:spacing w:line="360" w:lineRule="auto"/>
        <w:ind w:left="567" w:right="567"/>
        <w:jc w:val="both"/>
        <w:rPr>
          <w:rFonts w:ascii="Palatino Linotype" w:hAnsi="Palatino Linotype"/>
          <w:b/>
          <w:bCs/>
          <w:i/>
          <w:lang w:val="es-MX"/>
        </w:rPr>
      </w:pPr>
      <w:r w:rsidRPr="00892442">
        <w:rPr>
          <w:rFonts w:ascii="Palatino Linotype" w:hAnsi="Palatino Linotype"/>
          <w:b/>
          <w:bCs/>
          <w:i/>
          <w:lang w:val="es-MX"/>
        </w:rPr>
        <w:t>Requisitos de Solicitudes para el Ejercicio de los Derechos ARCO</w:t>
      </w:r>
    </w:p>
    <w:p w:rsidR="009A0584" w:rsidRPr="00892442" w:rsidRDefault="009A0584" w:rsidP="00892442">
      <w:pPr>
        <w:spacing w:line="360" w:lineRule="auto"/>
        <w:ind w:left="567" w:right="567"/>
        <w:jc w:val="both"/>
        <w:rPr>
          <w:rFonts w:ascii="Palatino Linotype" w:hAnsi="Palatino Linotype"/>
          <w:i/>
          <w:lang w:val="es-MX"/>
        </w:rPr>
      </w:pPr>
      <w:r w:rsidRPr="00892442">
        <w:rPr>
          <w:rFonts w:ascii="Palatino Linotype" w:hAnsi="Palatino Linotype"/>
          <w:b/>
          <w:bCs/>
          <w:i/>
          <w:lang w:val="es-MX"/>
        </w:rPr>
        <w:t xml:space="preserve">Artículo 110. </w:t>
      </w:r>
      <w:r w:rsidRPr="00892442">
        <w:rPr>
          <w:rFonts w:ascii="Palatino Linotype" w:hAnsi="Palatino Linotype"/>
          <w:i/>
          <w:lang w:val="es-MX"/>
        </w:rPr>
        <w:t>La solicitud para el ejercicio de derechos ARCO, deberá contener:</w:t>
      </w:r>
    </w:p>
    <w:p w:rsidR="009A0584" w:rsidRPr="00892442" w:rsidRDefault="009A0584" w:rsidP="00892442">
      <w:pPr>
        <w:spacing w:line="360" w:lineRule="auto"/>
        <w:ind w:left="567" w:right="567"/>
        <w:jc w:val="both"/>
        <w:rPr>
          <w:rFonts w:ascii="Palatino Linotype" w:hAnsi="Palatino Linotype"/>
          <w:i/>
          <w:lang w:val="es-MX"/>
        </w:rPr>
      </w:pPr>
      <w:r w:rsidRPr="00892442">
        <w:rPr>
          <w:rFonts w:ascii="Palatino Linotype" w:hAnsi="Palatino Linotype"/>
          <w:b/>
          <w:bCs/>
          <w:i/>
          <w:lang w:val="es-MX"/>
        </w:rPr>
        <w:t xml:space="preserve">I. </w:t>
      </w:r>
      <w:r w:rsidRPr="00892442">
        <w:rPr>
          <w:rFonts w:ascii="Palatino Linotype" w:hAnsi="Palatino Linotype"/>
          <w:i/>
          <w:lang w:val="es-MX"/>
        </w:rPr>
        <w:t>El nombre del titular y su domicilio, o cualquier otro medio para recibir notificaciones.</w:t>
      </w:r>
    </w:p>
    <w:p w:rsidR="009A0584" w:rsidRPr="00892442" w:rsidRDefault="009A0584" w:rsidP="00892442">
      <w:pPr>
        <w:spacing w:line="360" w:lineRule="auto"/>
        <w:ind w:left="567" w:right="567"/>
        <w:jc w:val="both"/>
        <w:rPr>
          <w:rFonts w:ascii="Palatino Linotype" w:hAnsi="Palatino Linotype"/>
          <w:i/>
          <w:lang w:val="es-MX"/>
        </w:rPr>
      </w:pPr>
      <w:r w:rsidRPr="00892442">
        <w:rPr>
          <w:rFonts w:ascii="Palatino Linotype" w:hAnsi="Palatino Linotype"/>
          <w:b/>
          <w:bCs/>
          <w:i/>
          <w:lang w:val="es-MX"/>
        </w:rPr>
        <w:t xml:space="preserve">II. </w:t>
      </w:r>
      <w:r w:rsidRPr="00892442">
        <w:rPr>
          <w:rFonts w:ascii="Palatino Linotype" w:hAnsi="Palatino Linotype"/>
          <w:i/>
          <w:lang w:val="es-MX"/>
        </w:rPr>
        <w:t>Los documentos que acrediten la identidad del titular y en su caso, la personalidad e identidad de su representante.</w:t>
      </w:r>
    </w:p>
    <w:p w:rsidR="009A0584" w:rsidRPr="00892442" w:rsidRDefault="009A0584" w:rsidP="00892442">
      <w:pPr>
        <w:spacing w:line="360" w:lineRule="auto"/>
        <w:ind w:left="567" w:right="567"/>
        <w:jc w:val="both"/>
        <w:rPr>
          <w:rFonts w:ascii="Palatino Linotype" w:hAnsi="Palatino Linotype"/>
          <w:i/>
          <w:lang w:val="es-MX"/>
        </w:rPr>
      </w:pPr>
      <w:r w:rsidRPr="00892442">
        <w:rPr>
          <w:rFonts w:ascii="Palatino Linotype" w:hAnsi="Palatino Linotype"/>
          <w:b/>
          <w:bCs/>
          <w:i/>
          <w:lang w:val="es-MX"/>
        </w:rPr>
        <w:t xml:space="preserve">III. </w:t>
      </w:r>
      <w:r w:rsidRPr="00892442">
        <w:rPr>
          <w:rFonts w:ascii="Palatino Linotype" w:hAnsi="Palatino Linotype"/>
          <w:i/>
          <w:lang w:val="es-MX"/>
        </w:rPr>
        <w:t>De ser posible, el área responsable que trata los datos personales y ante el cual se presenta la solicitud.</w:t>
      </w:r>
    </w:p>
    <w:p w:rsidR="009A0584" w:rsidRPr="00892442" w:rsidRDefault="009A0584" w:rsidP="00892442">
      <w:pPr>
        <w:spacing w:line="360" w:lineRule="auto"/>
        <w:ind w:left="567" w:right="567"/>
        <w:jc w:val="both"/>
        <w:rPr>
          <w:rFonts w:ascii="Palatino Linotype" w:hAnsi="Palatino Linotype"/>
          <w:i/>
          <w:lang w:val="es-MX"/>
        </w:rPr>
      </w:pPr>
      <w:r w:rsidRPr="00892442">
        <w:rPr>
          <w:rFonts w:ascii="Palatino Linotype" w:hAnsi="Palatino Linotype"/>
          <w:b/>
          <w:bCs/>
          <w:i/>
          <w:lang w:val="es-MX"/>
        </w:rPr>
        <w:t xml:space="preserve">IV. </w:t>
      </w:r>
      <w:r w:rsidRPr="00892442">
        <w:rPr>
          <w:rFonts w:ascii="Palatino Linotype" w:hAnsi="Palatino Linotype"/>
          <w:i/>
          <w:lang w:val="es-MX"/>
        </w:rPr>
        <w:t>La descripción clara y precisa de los datos personales respecto de los que se busca ejercer alguno de los derechos</w:t>
      </w:r>
    </w:p>
    <w:p w:rsidR="009A0584" w:rsidRPr="00892442" w:rsidRDefault="009A0584" w:rsidP="00892442">
      <w:pPr>
        <w:spacing w:line="360" w:lineRule="auto"/>
        <w:ind w:left="567" w:right="567"/>
        <w:jc w:val="both"/>
        <w:rPr>
          <w:rFonts w:ascii="Palatino Linotype" w:hAnsi="Palatino Linotype"/>
          <w:i/>
          <w:lang w:val="es-MX"/>
        </w:rPr>
      </w:pPr>
      <w:r w:rsidRPr="00892442">
        <w:rPr>
          <w:rFonts w:ascii="Palatino Linotype" w:hAnsi="Palatino Linotype"/>
          <w:i/>
          <w:lang w:val="es-MX"/>
        </w:rPr>
        <w:t>ARCO, salvo que se trate del derecho de acceso.</w:t>
      </w:r>
    </w:p>
    <w:p w:rsidR="009A0584" w:rsidRPr="00892442" w:rsidRDefault="009A0584" w:rsidP="00892442">
      <w:pPr>
        <w:spacing w:line="360" w:lineRule="auto"/>
        <w:ind w:left="567" w:right="567"/>
        <w:jc w:val="both"/>
        <w:rPr>
          <w:rFonts w:ascii="Palatino Linotype" w:hAnsi="Palatino Linotype"/>
          <w:i/>
          <w:lang w:val="es-MX"/>
        </w:rPr>
      </w:pPr>
      <w:r w:rsidRPr="00892442">
        <w:rPr>
          <w:rFonts w:ascii="Palatino Linotype" w:hAnsi="Palatino Linotype"/>
          <w:b/>
          <w:bCs/>
          <w:i/>
          <w:lang w:val="es-MX"/>
        </w:rPr>
        <w:t xml:space="preserve">V. </w:t>
      </w:r>
      <w:r w:rsidRPr="00892442">
        <w:rPr>
          <w:rFonts w:ascii="Palatino Linotype" w:hAnsi="Palatino Linotype"/>
          <w:i/>
          <w:lang w:val="es-MX"/>
        </w:rPr>
        <w:t>La descripción del derecho ARCO que se pretende ejercer, o bien, lo que solicita el titular.</w:t>
      </w:r>
    </w:p>
    <w:p w:rsidR="009A0584" w:rsidRPr="00892442" w:rsidRDefault="009A0584" w:rsidP="00892442">
      <w:pPr>
        <w:spacing w:line="360" w:lineRule="auto"/>
        <w:ind w:left="567" w:right="567"/>
        <w:jc w:val="both"/>
        <w:rPr>
          <w:rFonts w:ascii="Palatino Linotype" w:hAnsi="Palatino Linotype"/>
          <w:i/>
          <w:lang w:val="es-MX"/>
        </w:rPr>
      </w:pPr>
      <w:r w:rsidRPr="00892442">
        <w:rPr>
          <w:rFonts w:ascii="Palatino Linotype" w:hAnsi="Palatino Linotype"/>
          <w:b/>
          <w:bCs/>
          <w:i/>
          <w:lang w:val="es-MX"/>
        </w:rPr>
        <w:t xml:space="preserve">VI. </w:t>
      </w:r>
      <w:r w:rsidRPr="00892442">
        <w:rPr>
          <w:rFonts w:ascii="Palatino Linotype" w:hAnsi="Palatino Linotype"/>
          <w:i/>
          <w:lang w:val="es-MX"/>
        </w:rPr>
        <w:t>Cualquier otro elemento o documento que facilite la localización de los datos personales, en su caso.</w:t>
      </w:r>
    </w:p>
    <w:p w:rsidR="009A0584" w:rsidRPr="00892442" w:rsidRDefault="009A0584" w:rsidP="00892442">
      <w:pPr>
        <w:spacing w:line="360" w:lineRule="auto"/>
        <w:ind w:left="567" w:right="567"/>
        <w:jc w:val="both"/>
        <w:rPr>
          <w:rFonts w:ascii="Palatino Linotype" w:hAnsi="Palatino Linotype"/>
          <w:i/>
          <w:lang w:val="es-MX"/>
        </w:rPr>
      </w:pPr>
      <w:r w:rsidRPr="00892442">
        <w:rPr>
          <w:rFonts w:ascii="Palatino Linotype" w:hAnsi="Palatino Linotype"/>
          <w:i/>
          <w:lang w:val="es-MX"/>
        </w:rPr>
        <w:t>Tratándose del requisito de la fracción I, si es el caso del domicilio no se localiza dentro del Estado de México, las notificaciones se efectuarán por estrados.</w:t>
      </w:r>
    </w:p>
    <w:p w:rsidR="009A0584" w:rsidRPr="00892442" w:rsidRDefault="009A0584" w:rsidP="00892442">
      <w:pPr>
        <w:spacing w:line="360" w:lineRule="auto"/>
        <w:ind w:left="567" w:right="567"/>
        <w:jc w:val="both"/>
        <w:rPr>
          <w:rFonts w:ascii="Palatino Linotype" w:hAnsi="Palatino Linotype"/>
          <w:i/>
          <w:lang w:val="es-MX"/>
        </w:rPr>
      </w:pPr>
      <w:r w:rsidRPr="00892442">
        <w:rPr>
          <w:rFonts w:ascii="Palatino Linotype" w:hAnsi="Palatino Linotype"/>
          <w:i/>
          <w:lang w:val="es-MX"/>
        </w:rPr>
        <w:t>De manera adicional, el titular podrá aportar pruebas para acreditar la procedencia de su solicitud.</w:t>
      </w:r>
    </w:p>
    <w:p w:rsidR="009A0584" w:rsidRPr="00892442" w:rsidRDefault="009A0584" w:rsidP="00892442">
      <w:pPr>
        <w:spacing w:line="360" w:lineRule="auto"/>
        <w:ind w:left="567" w:right="567"/>
        <w:jc w:val="both"/>
        <w:rPr>
          <w:rFonts w:ascii="Palatino Linotype" w:hAnsi="Palatino Linotype"/>
          <w:b/>
          <w:i/>
          <w:lang w:val="es-MX"/>
        </w:rPr>
      </w:pPr>
      <w:r w:rsidRPr="00892442">
        <w:rPr>
          <w:rFonts w:ascii="Palatino Linotype" w:hAnsi="Palatino Linotype"/>
          <w:b/>
          <w:i/>
          <w:lang w:val="es-MX"/>
        </w:rPr>
        <w:t>Tratándose de una solicitud de acceso a datos personales se señalará la modalidad en la que el titular prefiere se otorgue éste, la cual podrá ser por consulta directa, copias simples, certificadas, digitalizadas u otro tipo de medio electrónico.</w:t>
      </w:r>
    </w:p>
    <w:p w:rsidR="009A0584" w:rsidRPr="00892442" w:rsidRDefault="009A0584" w:rsidP="00892442">
      <w:pPr>
        <w:spacing w:line="360" w:lineRule="auto"/>
        <w:ind w:left="567" w:right="567"/>
        <w:jc w:val="both"/>
        <w:rPr>
          <w:rFonts w:ascii="Palatino Linotype" w:hAnsi="Palatino Linotype"/>
          <w:i/>
          <w:lang w:val="es-MX"/>
        </w:rPr>
      </w:pPr>
      <w:r w:rsidRPr="00892442">
        <w:rPr>
          <w:rFonts w:ascii="Palatino Linotype" w:hAnsi="Palatino Linotype"/>
          <w:i/>
          <w:lang w:val="es-MX"/>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rsidR="009A0584" w:rsidRPr="00892442" w:rsidRDefault="009A0584" w:rsidP="00892442">
      <w:pPr>
        <w:spacing w:line="360" w:lineRule="auto"/>
        <w:ind w:left="567" w:right="567"/>
        <w:jc w:val="both"/>
        <w:rPr>
          <w:rFonts w:ascii="Palatino Linotype" w:hAnsi="Palatino Linotype"/>
          <w:i/>
          <w:lang w:val="es-MX"/>
        </w:rPr>
      </w:pPr>
      <w:r w:rsidRPr="00892442">
        <w:rPr>
          <w:rFonts w:ascii="Palatino Linotype" w:hAnsi="Palatino Linotype"/>
          <w:i/>
          <w:lang w:val="es-MX"/>
        </w:rPr>
        <w:t>(</w:t>
      </w:r>
      <w:r w:rsidR="0042443A" w:rsidRPr="00892442">
        <w:rPr>
          <w:rFonts w:ascii="Palatino Linotype" w:hAnsi="Palatino Linotype"/>
          <w:i/>
          <w:lang w:val="es-MX"/>
        </w:rPr>
        <w:t>Énfasis</w:t>
      </w:r>
      <w:r w:rsidRPr="00892442">
        <w:rPr>
          <w:rFonts w:ascii="Palatino Linotype" w:hAnsi="Palatino Linotype"/>
          <w:i/>
          <w:lang w:val="es-MX"/>
        </w:rPr>
        <w:t xml:space="preserve"> añadido)</w:t>
      </w:r>
    </w:p>
    <w:p w:rsidR="0042443A" w:rsidRPr="00892442" w:rsidRDefault="0042443A" w:rsidP="00892442">
      <w:pPr>
        <w:spacing w:line="360" w:lineRule="auto"/>
        <w:ind w:left="567" w:right="567"/>
        <w:jc w:val="both"/>
        <w:rPr>
          <w:rFonts w:ascii="Palatino Linotype" w:hAnsi="Palatino Linotype"/>
          <w:i/>
        </w:rPr>
      </w:pPr>
    </w:p>
    <w:p w:rsidR="009A0584" w:rsidRPr="00892442" w:rsidRDefault="009A0584" w:rsidP="00892442">
      <w:pPr>
        <w:pStyle w:val="Prrafodelista"/>
        <w:numPr>
          <w:ilvl w:val="0"/>
          <w:numId w:val="1"/>
        </w:numPr>
        <w:spacing w:line="360" w:lineRule="auto"/>
        <w:ind w:left="0" w:firstLine="0"/>
        <w:jc w:val="both"/>
        <w:rPr>
          <w:rFonts w:ascii="Palatino Linotype" w:hAnsi="Palatino Linotype"/>
        </w:rPr>
      </w:pPr>
      <w:r w:rsidRPr="00892442">
        <w:rPr>
          <w:rFonts w:ascii="Palatino Linotype" w:hAnsi="Palatino Linotype"/>
        </w:rPr>
        <w:t>Se aprecia claramente que un requisito indispensable para las solicitudes de acceso a datos es señalar la modalidad en que desea tener acceso, y para el caso en particular, el recurrente señaló el</w:t>
      </w:r>
      <w:r w:rsidRPr="00892442">
        <w:rPr>
          <w:rFonts w:ascii="Palatino Linotype" w:hAnsi="Palatino Linotype"/>
          <w:b/>
        </w:rPr>
        <w:t xml:space="preserve"> SARCOEM</w:t>
      </w:r>
      <w:r w:rsidR="009F7190" w:rsidRPr="00892442">
        <w:rPr>
          <w:rFonts w:ascii="Palatino Linotype" w:hAnsi="Palatino Linotype"/>
          <w:b/>
        </w:rPr>
        <w:t xml:space="preserve"> y Copias certificadas</w:t>
      </w:r>
      <w:r w:rsidRPr="00892442">
        <w:rPr>
          <w:rFonts w:ascii="Palatino Linotype" w:hAnsi="Palatino Linotype"/>
        </w:rPr>
        <w:t>, en consecuencia, al ser una plataforma digital no genera costo de reproducción y mucho menos costo de envío, por lo que encuadra perfectamente</w:t>
      </w:r>
      <w:r w:rsidR="009F7190" w:rsidRPr="00892442">
        <w:rPr>
          <w:rFonts w:ascii="Palatino Linotype" w:hAnsi="Palatino Linotype"/>
        </w:rPr>
        <w:t xml:space="preserve"> bajo el principio de gratuidad, mientras que por lo que se refiere a las copias certificadas, el Sujeto Obligado fue omiso en señalar el cúmulo de hojas de las que se integra la información solicitada, asimismo, fue omiso en señalar el importe total que genera la entrega de la información y por último y no menos importante, fue omiso en señalar la forma y el procedimiento en que debe realizarse el pago requerido.</w:t>
      </w:r>
    </w:p>
    <w:p w:rsidR="009F7190" w:rsidRPr="00892442" w:rsidRDefault="009F7190" w:rsidP="00892442">
      <w:pPr>
        <w:pStyle w:val="Prrafodelista"/>
        <w:spacing w:line="360" w:lineRule="auto"/>
        <w:ind w:left="0"/>
        <w:jc w:val="both"/>
        <w:rPr>
          <w:rFonts w:ascii="Palatino Linotype" w:hAnsi="Palatino Linotype"/>
        </w:rPr>
      </w:pPr>
    </w:p>
    <w:p w:rsidR="009F7190" w:rsidRPr="00892442" w:rsidRDefault="009F7190" w:rsidP="00892442">
      <w:pPr>
        <w:pStyle w:val="Prrafodelista"/>
        <w:numPr>
          <w:ilvl w:val="0"/>
          <w:numId w:val="1"/>
        </w:numPr>
        <w:spacing w:line="360" w:lineRule="auto"/>
        <w:ind w:left="0" w:firstLine="0"/>
        <w:jc w:val="both"/>
        <w:rPr>
          <w:rFonts w:ascii="Palatino Linotype" w:hAnsi="Palatino Linotype"/>
        </w:rPr>
      </w:pPr>
      <w:r w:rsidRPr="00892442">
        <w:rPr>
          <w:rFonts w:ascii="Palatino Linotype" w:hAnsi="Palatino Linotype"/>
        </w:rPr>
        <w:t xml:space="preserve">Ante dichas omisiones, debemos traer a colación el artículo </w:t>
      </w:r>
      <w:r w:rsidR="00191A0F" w:rsidRPr="00892442">
        <w:rPr>
          <w:rFonts w:ascii="Palatino Linotype" w:hAnsi="Palatino Linotype"/>
        </w:rPr>
        <w:t>234 de la Ley de Transparencia y Acceso a la Información Pública del Estado de México y Municipios el cual dispone lo siguiente:</w:t>
      </w:r>
    </w:p>
    <w:p w:rsidR="00191A0F" w:rsidRPr="00892442" w:rsidRDefault="00191A0F" w:rsidP="00892442">
      <w:pPr>
        <w:pStyle w:val="Prrafodelista"/>
        <w:spacing w:line="360" w:lineRule="auto"/>
        <w:rPr>
          <w:rFonts w:ascii="Palatino Linotype" w:hAnsi="Palatino Linotype"/>
        </w:rPr>
      </w:pPr>
    </w:p>
    <w:p w:rsidR="00191A0F" w:rsidRPr="00892442" w:rsidRDefault="00191A0F" w:rsidP="00892442">
      <w:pPr>
        <w:autoSpaceDE w:val="0"/>
        <w:autoSpaceDN w:val="0"/>
        <w:adjustRightInd w:val="0"/>
        <w:spacing w:line="360" w:lineRule="auto"/>
        <w:ind w:left="567" w:right="567"/>
        <w:jc w:val="both"/>
        <w:rPr>
          <w:rFonts w:ascii="Palatino Linotype" w:hAnsi="Palatino Linotype"/>
        </w:rPr>
      </w:pPr>
      <w:r w:rsidRPr="00892442">
        <w:rPr>
          <w:rFonts w:ascii="Palatino Linotype" w:eastAsiaTheme="minorHAnsi" w:hAnsi="Palatino Linotype" w:cs="Bookman Old Style,Bold"/>
          <w:b/>
          <w:bCs/>
          <w:i/>
          <w:lang w:val="es-MX" w:eastAsia="en-US"/>
        </w:rPr>
        <w:t xml:space="preserve">Artículo 234. </w:t>
      </w:r>
      <w:r w:rsidRPr="00892442">
        <w:rPr>
          <w:rFonts w:ascii="Palatino Linotype" w:eastAsiaTheme="minorHAnsi" w:hAnsi="Palatino Linotype" w:cs="Bookman Old Style"/>
          <w:i/>
          <w:lang w:val="es-MX" w:eastAsia="en-US"/>
        </w:rPr>
        <w:t xml:space="preserve">En caso que el Instituto determine que por negligencia no se hubiere atendido alguna solicitud en los términos de esta Ley, requerirá a la Unidad de Transparencia correspondiente para que </w:t>
      </w:r>
      <w:r w:rsidRPr="00892442">
        <w:rPr>
          <w:rFonts w:ascii="Palatino Linotype" w:eastAsiaTheme="minorHAnsi" w:hAnsi="Palatino Linotype" w:cs="Bookman Old Style"/>
          <w:b/>
          <w:i/>
          <w:lang w:val="es-MX" w:eastAsia="en-US"/>
        </w:rPr>
        <w:t>proporcione la información sin costo alguno para el solicitante</w:t>
      </w:r>
      <w:r w:rsidRPr="00892442">
        <w:rPr>
          <w:rFonts w:ascii="Palatino Linotype" w:eastAsiaTheme="minorHAnsi" w:hAnsi="Palatino Linotype" w:cs="Bookman Old Style"/>
          <w:i/>
          <w:lang w:val="es-MX" w:eastAsia="en-US"/>
        </w:rPr>
        <w:t xml:space="preserve">, dentro del plazo de quince </w:t>
      </w:r>
      <w:bookmarkStart w:id="16" w:name="_GoBack"/>
      <w:r w:rsidRPr="00892442">
        <w:rPr>
          <w:rFonts w:ascii="Palatino Linotype" w:eastAsiaTheme="minorHAnsi" w:hAnsi="Palatino Linotype" w:cs="Bookman Old Style"/>
          <w:i/>
          <w:lang w:val="es-MX" w:eastAsia="en-US"/>
        </w:rPr>
        <w:t>días hábiles a partir del requerimiento.</w:t>
      </w:r>
    </w:p>
    <w:bookmarkEnd w:id="16"/>
    <w:p w:rsidR="009A0584" w:rsidRPr="00892442" w:rsidRDefault="009A0584" w:rsidP="00892442">
      <w:pPr>
        <w:pStyle w:val="Prrafodelista"/>
        <w:spacing w:line="360" w:lineRule="auto"/>
        <w:ind w:left="0"/>
        <w:jc w:val="both"/>
        <w:rPr>
          <w:rFonts w:ascii="Palatino Linotype" w:hAnsi="Palatino Linotype"/>
        </w:rPr>
      </w:pPr>
    </w:p>
    <w:p w:rsidR="009A0584" w:rsidRPr="00892442" w:rsidRDefault="00191A0F" w:rsidP="00892442">
      <w:pPr>
        <w:pStyle w:val="Prrafodelista"/>
        <w:numPr>
          <w:ilvl w:val="0"/>
          <w:numId w:val="1"/>
        </w:numPr>
        <w:spacing w:line="360" w:lineRule="auto"/>
        <w:ind w:left="0" w:firstLine="0"/>
        <w:jc w:val="both"/>
        <w:rPr>
          <w:rFonts w:ascii="Palatino Linotype" w:hAnsi="Palatino Linotype"/>
        </w:rPr>
      </w:pPr>
      <w:r w:rsidRPr="00892442">
        <w:rPr>
          <w:rFonts w:ascii="Palatino Linotype" w:hAnsi="Palatino Linotype"/>
        </w:rPr>
        <w:t xml:space="preserve">Es así que, se determina que la información solicitada será proporcionada sin costo alguno para el recurrente. </w:t>
      </w:r>
      <w:r w:rsidR="009A0584" w:rsidRPr="00892442">
        <w:rPr>
          <w:rFonts w:ascii="Palatino Linotype" w:hAnsi="Palatino Linotype"/>
        </w:rPr>
        <w:t>Robusteciendo el principio de gratuidad</w:t>
      </w:r>
      <w:r w:rsidR="002757B5" w:rsidRPr="00892442">
        <w:rPr>
          <w:rFonts w:ascii="Palatino Linotype" w:hAnsi="Palatino Linotype"/>
        </w:rPr>
        <w:t>,</w:t>
      </w:r>
      <w:r w:rsidR="009A0584" w:rsidRPr="00892442">
        <w:rPr>
          <w:rFonts w:ascii="Palatino Linotype" w:hAnsi="Palatino Linotype"/>
        </w:rPr>
        <w:t xml:space="preserve"> doctrinariamente, Ernesto Villanueva </w:t>
      </w:r>
      <w:proofErr w:type="spellStart"/>
      <w:r w:rsidR="009A0584" w:rsidRPr="00892442">
        <w:rPr>
          <w:rFonts w:ascii="Palatino Linotype" w:hAnsi="Palatino Linotype"/>
        </w:rPr>
        <w:t>Villanueva</w:t>
      </w:r>
      <w:proofErr w:type="spellEnd"/>
      <w:r w:rsidR="009A0584" w:rsidRPr="00892442">
        <w:rPr>
          <w:rFonts w:ascii="Palatino Linotype" w:hAnsi="Palatino Linotype"/>
        </w:rPr>
        <w:t xml:space="preserve"> en su obra </w:t>
      </w:r>
      <w:r w:rsidR="009A0584" w:rsidRPr="00892442">
        <w:rPr>
          <w:rFonts w:ascii="Palatino Linotype" w:hAnsi="Palatino Linotype"/>
          <w:i/>
        </w:rPr>
        <w:t>Derecho de Acceso a la Información Pública en México. Indicadores legales</w:t>
      </w:r>
      <w:r w:rsidR="009A0584" w:rsidRPr="00892442">
        <w:rPr>
          <w:rFonts w:ascii="Palatino Linotype" w:hAnsi="Palatino Linotype"/>
        </w:rPr>
        <w:t xml:space="preserve">, Editorial </w:t>
      </w:r>
      <w:proofErr w:type="spellStart"/>
      <w:r w:rsidR="009A0584" w:rsidRPr="00892442">
        <w:rPr>
          <w:rFonts w:ascii="Palatino Linotype" w:hAnsi="Palatino Linotype"/>
        </w:rPr>
        <w:t>Limac</w:t>
      </w:r>
      <w:proofErr w:type="spellEnd"/>
      <w:r w:rsidR="009A0584" w:rsidRPr="00892442">
        <w:rPr>
          <w:rFonts w:ascii="Palatino Linotype" w:hAnsi="Palatino Linotype"/>
        </w:rPr>
        <w:t>, segunda edición, México 2005, página 22, ha definido el principio de gratuidad de la información de la siguiente forma:</w:t>
      </w:r>
    </w:p>
    <w:p w:rsidR="009A0584" w:rsidRPr="00892442" w:rsidRDefault="009A0584" w:rsidP="00892442">
      <w:pPr>
        <w:pStyle w:val="Prrafodelista"/>
        <w:spacing w:line="360" w:lineRule="auto"/>
        <w:jc w:val="both"/>
        <w:rPr>
          <w:rFonts w:ascii="Palatino Linotype" w:hAnsi="Palatino Linotype"/>
        </w:rPr>
      </w:pPr>
    </w:p>
    <w:p w:rsidR="009A0584" w:rsidRDefault="009A0584" w:rsidP="00892442">
      <w:pPr>
        <w:spacing w:line="360" w:lineRule="auto"/>
        <w:ind w:left="567" w:right="567"/>
        <w:jc w:val="both"/>
        <w:rPr>
          <w:rFonts w:ascii="Palatino Linotype" w:hAnsi="Palatino Linotype"/>
          <w:i/>
        </w:rPr>
      </w:pPr>
      <w:r w:rsidRPr="00892442">
        <w:rPr>
          <w:rFonts w:ascii="Palatino Linotype" w:hAnsi="Palatino Linotype"/>
          <w:i/>
        </w:rPr>
        <w:t xml:space="preserve">“Este principio va en función de que toda la información esté en posesión de los sujetos obligados por una ley es considerada como un bien público, por lo tanto, toda persona que desee ejercitar este derecho debe tener acceso a la información </w:t>
      </w:r>
      <w:r w:rsidRPr="00892442">
        <w:rPr>
          <w:rFonts w:ascii="Palatino Linotype" w:hAnsi="Palatino Linotype"/>
          <w:b/>
          <w:i/>
        </w:rPr>
        <w:t>de manera gratuita</w:t>
      </w:r>
      <w:r w:rsidRPr="00892442">
        <w:rPr>
          <w:rFonts w:ascii="Palatino Linotype" w:hAnsi="Palatino Linotype"/>
          <w:i/>
        </w:rPr>
        <w:t>, sin que esto impida que al sujeto obligado el poder cobrar uno cuota de recuperación por la reproducción de la información, dejándose la opción de consulta directa por parte del solicitante.”</w:t>
      </w:r>
    </w:p>
    <w:p w:rsidR="00892442" w:rsidRPr="00892442" w:rsidRDefault="00892442" w:rsidP="00892442">
      <w:pPr>
        <w:spacing w:line="360" w:lineRule="auto"/>
        <w:ind w:left="567" w:right="567"/>
        <w:jc w:val="both"/>
        <w:rPr>
          <w:rStyle w:val="Ttulo2Car"/>
          <w:rFonts w:ascii="Palatino Linotype" w:eastAsiaTheme="minorEastAsia" w:hAnsi="Palatino Linotype" w:cstheme="minorBidi"/>
          <w:i/>
          <w:color w:val="auto"/>
          <w:sz w:val="24"/>
          <w:szCs w:val="24"/>
        </w:rPr>
      </w:pPr>
    </w:p>
    <w:p w:rsidR="00EB5A47" w:rsidRDefault="00EB5A47"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De este modo, habrá que distinguir que el principio de gratuidad abarca dos aspectos:</w:t>
      </w:r>
    </w:p>
    <w:p w:rsidR="00892442" w:rsidRPr="00892442" w:rsidRDefault="00892442" w:rsidP="00892442">
      <w:pPr>
        <w:pStyle w:val="Prrafodelista"/>
        <w:spacing w:line="360" w:lineRule="auto"/>
        <w:ind w:left="0"/>
        <w:jc w:val="both"/>
        <w:rPr>
          <w:rFonts w:ascii="Palatino Linotype" w:hAnsi="Palatino Linotype" w:cs="Arial"/>
        </w:rPr>
      </w:pPr>
    </w:p>
    <w:p w:rsidR="00EB5A47" w:rsidRPr="00892442" w:rsidRDefault="00EB4C97" w:rsidP="00892442">
      <w:pPr>
        <w:pStyle w:val="Prrafodelista"/>
        <w:numPr>
          <w:ilvl w:val="0"/>
          <w:numId w:val="13"/>
        </w:numPr>
        <w:spacing w:before="240" w:after="240" w:line="360" w:lineRule="auto"/>
        <w:jc w:val="both"/>
        <w:rPr>
          <w:rFonts w:ascii="Palatino Linotype" w:hAnsi="Palatino Linotype" w:cs="Arial"/>
        </w:rPr>
      </w:pPr>
      <w:r w:rsidRPr="00892442">
        <w:rPr>
          <w:rFonts w:ascii="Palatino Linotype" w:hAnsi="Palatino Linotype" w:cs="Arial"/>
        </w:rPr>
        <w:t>El procedimiento de acceso</w:t>
      </w:r>
      <w:r w:rsidR="00EB5A47" w:rsidRPr="00892442">
        <w:rPr>
          <w:rFonts w:ascii="Palatino Linotype" w:hAnsi="Palatino Linotype" w:cs="Arial"/>
        </w:rPr>
        <w:t xml:space="preserve"> acceder a </w:t>
      </w:r>
      <w:r w:rsidRPr="00892442">
        <w:rPr>
          <w:rFonts w:ascii="Palatino Linotype" w:hAnsi="Palatino Linotype" w:cs="Arial"/>
        </w:rPr>
        <w:t xml:space="preserve">los datos personales </w:t>
      </w:r>
      <w:r w:rsidR="00EB5A47" w:rsidRPr="00892442">
        <w:rPr>
          <w:rFonts w:ascii="Palatino Linotype" w:hAnsi="Palatino Linotype" w:cs="Arial"/>
        </w:rPr>
        <w:t>y la consulta de l</w:t>
      </w:r>
      <w:r w:rsidRPr="00892442">
        <w:rPr>
          <w:rFonts w:ascii="Palatino Linotype" w:hAnsi="Palatino Linotype" w:cs="Arial"/>
        </w:rPr>
        <w:t>os mismos</w:t>
      </w:r>
      <w:r w:rsidR="00EB5A47" w:rsidRPr="00892442">
        <w:rPr>
          <w:rFonts w:ascii="Palatino Linotype" w:hAnsi="Palatino Linotype" w:cs="Arial"/>
        </w:rPr>
        <w:t xml:space="preserve"> en forma directa o en línea, a través de las plataformas de internet</w:t>
      </w:r>
      <w:r w:rsidRPr="00892442">
        <w:rPr>
          <w:rFonts w:ascii="Palatino Linotype" w:hAnsi="Palatino Linotype" w:cs="Arial"/>
        </w:rPr>
        <w:t xml:space="preserve">. </w:t>
      </w:r>
    </w:p>
    <w:p w:rsidR="00EB5A47" w:rsidRPr="00892442" w:rsidRDefault="00EB5A47" w:rsidP="00892442">
      <w:pPr>
        <w:pStyle w:val="Prrafodelista"/>
        <w:spacing w:before="240" w:after="240" w:line="360" w:lineRule="auto"/>
        <w:jc w:val="both"/>
        <w:rPr>
          <w:rFonts w:ascii="Palatino Linotype" w:hAnsi="Palatino Linotype" w:cs="Arial"/>
        </w:rPr>
      </w:pPr>
      <w:r w:rsidRPr="00892442">
        <w:rPr>
          <w:rFonts w:ascii="Palatino Linotype" w:hAnsi="Palatino Linotype" w:cs="Arial"/>
          <w:b/>
        </w:rPr>
        <w:t xml:space="preserve">En esta primera hipótesis tanto el procedimiento como </w:t>
      </w:r>
      <w:r w:rsidR="00EB4C97" w:rsidRPr="00892442">
        <w:rPr>
          <w:rFonts w:ascii="Palatino Linotype" w:hAnsi="Palatino Linotype" w:cs="Arial"/>
          <w:b/>
        </w:rPr>
        <w:t>el acceso</w:t>
      </w:r>
      <w:r w:rsidRPr="00892442">
        <w:rPr>
          <w:rFonts w:ascii="Palatino Linotype" w:hAnsi="Palatino Linotype" w:cs="Arial"/>
          <w:b/>
        </w:rPr>
        <w:t xml:space="preserve"> son eminentemente sin costo para los solicitantes</w:t>
      </w:r>
      <w:r w:rsidRPr="00892442">
        <w:rPr>
          <w:rFonts w:ascii="Palatino Linotype" w:hAnsi="Palatino Linotype" w:cs="Arial"/>
        </w:rPr>
        <w:t>.</w:t>
      </w:r>
    </w:p>
    <w:p w:rsidR="00EB5A47" w:rsidRPr="00892442" w:rsidRDefault="00EB5A47" w:rsidP="00892442">
      <w:pPr>
        <w:pStyle w:val="Prrafodelista"/>
        <w:spacing w:before="240" w:after="240" w:line="360" w:lineRule="auto"/>
        <w:jc w:val="both"/>
        <w:rPr>
          <w:rFonts w:ascii="Palatino Linotype" w:hAnsi="Palatino Linotype" w:cs="Arial"/>
        </w:rPr>
      </w:pPr>
      <w:r w:rsidRPr="00892442">
        <w:rPr>
          <w:rFonts w:ascii="Palatino Linotype" w:hAnsi="Palatino Linotype" w:cs="Arial"/>
        </w:rPr>
        <w:t xml:space="preserve"> </w:t>
      </w:r>
    </w:p>
    <w:p w:rsidR="00EB5A47" w:rsidRPr="00892442" w:rsidRDefault="00EB5A47" w:rsidP="00892442">
      <w:pPr>
        <w:pStyle w:val="Prrafodelista"/>
        <w:numPr>
          <w:ilvl w:val="0"/>
          <w:numId w:val="13"/>
        </w:numPr>
        <w:spacing w:before="240" w:after="240" w:line="360" w:lineRule="auto"/>
        <w:jc w:val="both"/>
        <w:rPr>
          <w:rFonts w:ascii="Palatino Linotype" w:hAnsi="Palatino Linotype" w:cs="Arial"/>
        </w:rPr>
      </w:pPr>
      <w:r w:rsidRPr="00892442">
        <w:rPr>
          <w:rFonts w:ascii="Palatino Linotype" w:hAnsi="Palatino Linotype" w:cs="Arial"/>
        </w:rPr>
        <w:t>Cuando el propio solicitante e</w:t>
      </w:r>
      <w:r w:rsidR="00EB4C97" w:rsidRPr="00892442">
        <w:rPr>
          <w:rFonts w:ascii="Palatino Linotype" w:hAnsi="Palatino Linotype" w:cs="Arial"/>
        </w:rPr>
        <w:t>lige una modalidad de acceso</w:t>
      </w:r>
      <w:r w:rsidRPr="00892442">
        <w:rPr>
          <w:rFonts w:ascii="Palatino Linotype" w:hAnsi="Palatino Linotype" w:cs="Arial"/>
        </w:rPr>
        <w:t xml:space="preserve"> distinta a las herramientas tecnológicas puestas a su disposición para tal fin.</w:t>
      </w:r>
    </w:p>
    <w:p w:rsidR="00EB5A47" w:rsidRPr="00892442" w:rsidRDefault="00EB5A47" w:rsidP="00892442">
      <w:pPr>
        <w:pStyle w:val="Prrafodelista"/>
        <w:spacing w:before="240" w:after="240" w:line="360" w:lineRule="auto"/>
        <w:jc w:val="both"/>
        <w:rPr>
          <w:rFonts w:ascii="Palatino Linotype" w:hAnsi="Palatino Linotype" w:cs="Arial"/>
          <w:b/>
        </w:rPr>
      </w:pPr>
      <w:r w:rsidRPr="00892442">
        <w:rPr>
          <w:rFonts w:ascii="Palatino Linotype" w:hAnsi="Palatino Linotype" w:cs="Arial"/>
          <w:b/>
        </w:rPr>
        <w:t>En este supuesto, la reproducción de la información tiene un costo que depende de los materiales empleados, el soporte elegido o, en su caso, el envío.</w:t>
      </w:r>
    </w:p>
    <w:p w:rsidR="00EB4C97" w:rsidRPr="00892442" w:rsidRDefault="00EB4C97" w:rsidP="00892442">
      <w:pPr>
        <w:pStyle w:val="Prrafodelista"/>
        <w:spacing w:before="240" w:after="240" w:line="360" w:lineRule="auto"/>
        <w:jc w:val="both"/>
        <w:rPr>
          <w:rFonts w:ascii="Palatino Linotype" w:hAnsi="Palatino Linotype" w:cs="Arial"/>
          <w:b/>
        </w:rPr>
      </w:pPr>
    </w:p>
    <w:p w:rsidR="00EB5A47" w:rsidRPr="00892442" w:rsidRDefault="00EB5A47" w:rsidP="00892442">
      <w:pPr>
        <w:pStyle w:val="Prrafodelista"/>
        <w:numPr>
          <w:ilvl w:val="0"/>
          <w:numId w:val="1"/>
        </w:numPr>
        <w:spacing w:before="240" w:after="240" w:line="360" w:lineRule="auto"/>
        <w:ind w:left="0" w:firstLine="0"/>
        <w:jc w:val="both"/>
        <w:rPr>
          <w:rFonts w:ascii="Palatino Linotype" w:hAnsi="Palatino Linotype" w:cs="Arial"/>
        </w:rPr>
      </w:pPr>
      <w:r w:rsidRPr="00892442">
        <w:rPr>
          <w:rFonts w:ascii="Palatino Linotype" w:hAnsi="Palatino Linotype" w:cs="Arial"/>
        </w:rPr>
        <w:t>En esa tesitura, la gratuidad en sentido amplio abarca el procedimiento y cuando las personas acceden directamente a la información o a través de los sistemas electrónicos que los órganos garantes están obligados a implementar, pero cuando se pretende copiado o reproducción en algún medio magnético, es válido el cobro de una retribución sin que dicho pago tenga fines recaudatorios, sino únicamente la recuperación de los materiales y soportes empleados para la entrega de la información y el envío.</w:t>
      </w:r>
    </w:p>
    <w:p w:rsidR="00EB4C97" w:rsidRPr="00892442" w:rsidRDefault="00EB4C97" w:rsidP="00892442">
      <w:pPr>
        <w:pStyle w:val="Prrafodelista"/>
        <w:spacing w:before="240" w:after="240" w:line="360" w:lineRule="auto"/>
        <w:ind w:left="0"/>
        <w:jc w:val="both"/>
        <w:rPr>
          <w:rFonts w:ascii="Palatino Linotype" w:hAnsi="Palatino Linotype" w:cs="Arial"/>
        </w:rPr>
      </w:pPr>
    </w:p>
    <w:p w:rsidR="00C347A2" w:rsidRPr="00892442" w:rsidRDefault="00EB5A47" w:rsidP="00892442">
      <w:pPr>
        <w:pStyle w:val="Prrafodelista"/>
        <w:numPr>
          <w:ilvl w:val="0"/>
          <w:numId w:val="1"/>
        </w:numPr>
        <w:spacing w:before="240" w:after="240" w:line="360" w:lineRule="auto"/>
        <w:ind w:left="0" w:firstLine="0"/>
        <w:jc w:val="both"/>
        <w:rPr>
          <w:rFonts w:ascii="Palatino Linotype" w:hAnsi="Palatino Linotype" w:cs="Arial"/>
        </w:rPr>
      </w:pPr>
      <w:r w:rsidRPr="00892442">
        <w:rPr>
          <w:rFonts w:ascii="Palatino Linotype" w:hAnsi="Palatino Linotype" w:cs="Arial"/>
        </w:rPr>
        <w:t>Suponer lo contrario implicaría un elemento inhibitorio para que las personas ejerzan el derecho fundamental de acceso a</w:t>
      </w:r>
      <w:r w:rsidR="00C347A2" w:rsidRPr="00892442">
        <w:rPr>
          <w:rFonts w:ascii="Palatino Linotype" w:hAnsi="Palatino Linotype" w:cs="Arial"/>
        </w:rPr>
        <w:t xml:space="preserve"> sus datos personales, derecho que este Órgano Garante debe tutelar de manera efectiva.</w:t>
      </w:r>
    </w:p>
    <w:p w:rsidR="00C347A2" w:rsidRPr="00892442" w:rsidRDefault="00C347A2" w:rsidP="00892442">
      <w:pPr>
        <w:pStyle w:val="Prrafodelista"/>
        <w:spacing w:line="360" w:lineRule="auto"/>
        <w:rPr>
          <w:rFonts w:ascii="Palatino Linotype" w:hAnsi="Palatino Linotype" w:cs="Arial"/>
        </w:rPr>
      </w:pPr>
    </w:p>
    <w:p w:rsidR="00EB5A47" w:rsidRPr="00892442" w:rsidRDefault="00C347A2" w:rsidP="00892442">
      <w:pPr>
        <w:pStyle w:val="Prrafodelista"/>
        <w:numPr>
          <w:ilvl w:val="0"/>
          <w:numId w:val="1"/>
        </w:numPr>
        <w:spacing w:before="240" w:after="240" w:line="360" w:lineRule="auto"/>
        <w:ind w:left="0" w:firstLine="0"/>
        <w:jc w:val="both"/>
        <w:rPr>
          <w:rFonts w:ascii="Palatino Linotype" w:hAnsi="Palatino Linotype" w:cs="Arial"/>
        </w:rPr>
      </w:pPr>
      <w:r w:rsidRPr="00892442">
        <w:rPr>
          <w:rFonts w:ascii="Palatino Linotype" w:hAnsi="Palatino Linotype" w:cs="Arial"/>
        </w:rPr>
        <w:t>L</w:t>
      </w:r>
      <w:r w:rsidR="00EB5A47" w:rsidRPr="00892442">
        <w:rPr>
          <w:rFonts w:ascii="Palatino Linotype" w:hAnsi="Palatino Linotype" w:cs="Arial"/>
        </w:rPr>
        <w:t xml:space="preserve">os procedimientos para acceder a </w:t>
      </w:r>
      <w:r w:rsidRPr="00892442">
        <w:rPr>
          <w:rFonts w:ascii="Palatino Linotype" w:hAnsi="Palatino Linotype" w:cs="Arial"/>
        </w:rPr>
        <w:t xml:space="preserve">los datos personales, como se ha dicho, </w:t>
      </w:r>
      <w:r w:rsidR="00EB5A47" w:rsidRPr="00892442">
        <w:rPr>
          <w:rFonts w:ascii="Palatino Linotype" w:hAnsi="Palatino Linotype" w:cs="Arial"/>
        </w:rPr>
        <w:t>son eminentemente gratuitos, no así los soportes en los que se entrega ni los servicios de mensajería que implica el envío a un lugar determinado.</w:t>
      </w:r>
    </w:p>
    <w:p w:rsidR="00C347A2" w:rsidRPr="00892442" w:rsidRDefault="00C347A2" w:rsidP="00892442">
      <w:pPr>
        <w:pStyle w:val="Prrafodelista"/>
        <w:spacing w:line="360" w:lineRule="auto"/>
        <w:rPr>
          <w:rFonts w:ascii="Palatino Linotype" w:hAnsi="Palatino Linotype" w:cs="Arial"/>
        </w:rPr>
      </w:pPr>
    </w:p>
    <w:p w:rsidR="00EB5A47" w:rsidRPr="00892442" w:rsidRDefault="00E74C45" w:rsidP="00892442">
      <w:pPr>
        <w:pStyle w:val="Prrafodelista"/>
        <w:numPr>
          <w:ilvl w:val="0"/>
          <w:numId w:val="1"/>
        </w:numPr>
        <w:spacing w:before="240" w:after="240" w:line="360" w:lineRule="auto"/>
        <w:ind w:left="0" w:firstLine="0"/>
        <w:jc w:val="both"/>
        <w:rPr>
          <w:rFonts w:ascii="Palatino Linotype" w:hAnsi="Palatino Linotype" w:cs="Arial"/>
        </w:rPr>
      </w:pPr>
      <w:r w:rsidRPr="00892442">
        <w:rPr>
          <w:rFonts w:ascii="Palatino Linotype" w:hAnsi="Palatino Linotype" w:cs="Arial"/>
        </w:rPr>
        <w:t>E</w:t>
      </w:r>
      <w:r w:rsidR="00C347A2" w:rsidRPr="00892442">
        <w:rPr>
          <w:rFonts w:ascii="Palatino Linotype" w:hAnsi="Palatino Linotype" w:cs="Arial"/>
        </w:rPr>
        <w:t xml:space="preserve">s así que, </w:t>
      </w:r>
      <w:r w:rsidR="00EB5A47" w:rsidRPr="00892442">
        <w:rPr>
          <w:rFonts w:ascii="Palatino Linotype" w:hAnsi="Palatino Linotype" w:cs="Arial"/>
        </w:rPr>
        <w:t xml:space="preserve">ninguna de las disposiciones normativas referidas en esta resolución prevé la posibilidad de que las personas que ejerciten el derecho de acceso a </w:t>
      </w:r>
      <w:r w:rsidR="00C347A2" w:rsidRPr="00892442">
        <w:rPr>
          <w:rFonts w:ascii="Palatino Linotype" w:hAnsi="Palatino Linotype" w:cs="Arial"/>
        </w:rPr>
        <w:t xml:space="preserve">sus datos personales </w:t>
      </w:r>
      <w:r w:rsidR="00EB5A47" w:rsidRPr="00892442">
        <w:rPr>
          <w:rFonts w:ascii="Palatino Linotype" w:hAnsi="Palatino Linotype" w:cs="Arial"/>
        </w:rPr>
        <w:t xml:space="preserve">tengan que pagar porque las instituciones públicas utilizan medios mecánicos para reproducir la información. </w:t>
      </w:r>
    </w:p>
    <w:p w:rsidR="00C347A2" w:rsidRPr="00892442" w:rsidRDefault="00C347A2" w:rsidP="00892442">
      <w:pPr>
        <w:pStyle w:val="Prrafodelista"/>
        <w:spacing w:before="240" w:after="240" w:line="360" w:lineRule="auto"/>
        <w:ind w:left="0"/>
        <w:jc w:val="both"/>
        <w:rPr>
          <w:rFonts w:ascii="Palatino Linotype" w:hAnsi="Palatino Linotype" w:cs="Arial"/>
        </w:rPr>
      </w:pPr>
    </w:p>
    <w:p w:rsidR="00EB5A47" w:rsidRPr="00892442" w:rsidRDefault="00EB5A47" w:rsidP="00892442">
      <w:pPr>
        <w:pStyle w:val="Prrafodelista"/>
        <w:numPr>
          <w:ilvl w:val="0"/>
          <w:numId w:val="1"/>
        </w:numPr>
        <w:spacing w:before="240" w:after="240" w:line="360" w:lineRule="auto"/>
        <w:ind w:left="0" w:firstLine="0"/>
        <w:jc w:val="both"/>
        <w:rPr>
          <w:rFonts w:ascii="Palatino Linotype" w:hAnsi="Palatino Linotype" w:cs="Arial"/>
        </w:rPr>
      </w:pPr>
      <w:r w:rsidRPr="00892442">
        <w:rPr>
          <w:rFonts w:ascii="Palatino Linotype" w:hAnsi="Palatino Linotype" w:cs="Arial"/>
        </w:rPr>
        <w:t xml:space="preserve">Esto es, el hecho de que se emplee una copiadora, un escáner, una computadora o una cámara para cumplir con su obligación de información no significa que el solicitante tenga que pagar por ello, simple y sencillamente porque el pago de todos esos aparatos electrónicos o mecánicos son cubiertos con recursos públicos asignados a las instituciones públicas y que provienen precisamente de la ciudadanía.  </w:t>
      </w:r>
    </w:p>
    <w:p w:rsidR="00C347A2" w:rsidRPr="00892442" w:rsidRDefault="00C347A2" w:rsidP="00892442">
      <w:pPr>
        <w:pStyle w:val="Prrafodelista"/>
        <w:spacing w:line="360" w:lineRule="auto"/>
        <w:rPr>
          <w:rFonts w:ascii="Palatino Linotype" w:hAnsi="Palatino Linotype" w:cs="Arial"/>
        </w:rPr>
      </w:pPr>
    </w:p>
    <w:p w:rsidR="00A046C8" w:rsidRPr="00892442" w:rsidRDefault="009D0E63" w:rsidP="00892442">
      <w:pPr>
        <w:pStyle w:val="Prrafodelista"/>
        <w:numPr>
          <w:ilvl w:val="0"/>
          <w:numId w:val="1"/>
        </w:numPr>
        <w:spacing w:before="240" w:after="240" w:line="360" w:lineRule="auto"/>
        <w:ind w:left="0" w:firstLine="0"/>
        <w:jc w:val="both"/>
        <w:rPr>
          <w:rFonts w:ascii="Palatino Linotype" w:hAnsi="Palatino Linotype" w:cs="Arial"/>
        </w:rPr>
      </w:pPr>
      <w:r w:rsidRPr="00892442">
        <w:rPr>
          <w:rFonts w:ascii="Palatino Linotype" w:hAnsi="Palatino Linotype" w:cs="Arial"/>
        </w:rPr>
        <w:t>Además</w:t>
      </w:r>
      <w:r w:rsidR="00EB5A47" w:rsidRPr="00892442">
        <w:rPr>
          <w:rFonts w:ascii="Palatino Linotype" w:hAnsi="Palatino Linotype" w:cs="Arial"/>
        </w:rPr>
        <w:t xml:space="preserve"> de lo anterior, </w:t>
      </w:r>
      <w:r w:rsidR="00A046C8" w:rsidRPr="00892442">
        <w:rPr>
          <w:rFonts w:ascii="Palatino Linotype" w:hAnsi="Palatino Linotype" w:cs="Arial"/>
        </w:rPr>
        <w:t>c</w:t>
      </w:r>
      <w:r w:rsidR="00A046C8" w:rsidRPr="00892442">
        <w:rPr>
          <w:rFonts w:ascii="Palatino Linotype" w:hAnsi="Palatino Linotype" w:cs="Arial"/>
          <w:bCs/>
        </w:rPr>
        <w:t>on el texto vigente del artículo 1º, párrafos primero, segundo y tercero, de la Constitución Política de los Estados Unidos Mexicanos, existen dos fuentes originarias de los derechos humanos:</w:t>
      </w:r>
    </w:p>
    <w:p w:rsidR="00A52EEC" w:rsidRPr="00892442" w:rsidRDefault="00A52EEC" w:rsidP="00892442">
      <w:pPr>
        <w:pStyle w:val="Prrafodelista"/>
        <w:spacing w:before="240" w:after="240" w:line="360" w:lineRule="auto"/>
        <w:ind w:left="0"/>
        <w:jc w:val="both"/>
        <w:rPr>
          <w:rFonts w:ascii="Palatino Linotype" w:hAnsi="Palatino Linotype" w:cs="Arial"/>
        </w:rPr>
      </w:pPr>
    </w:p>
    <w:p w:rsidR="00A046C8" w:rsidRPr="00892442" w:rsidRDefault="00A046C8" w:rsidP="00892442">
      <w:pPr>
        <w:pStyle w:val="Prrafodelista"/>
        <w:widowControl w:val="0"/>
        <w:numPr>
          <w:ilvl w:val="1"/>
          <w:numId w:val="15"/>
        </w:numPr>
        <w:autoSpaceDE w:val="0"/>
        <w:autoSpaceDN w:val="0"/>
        <w:adjustRightInd w:val="0"/>
        <w:spacing w:before="240" w:after="240" w:line="360" w:lineRule="auto"/>
        <w:ind w:left="1134" w:right="49"/>
        <w:contextualSpacing w:val="0"/>
        <w:jc w:val="both"/>
        <w:rPr>
          <w:rFonts w:ascii="Palatino Linotype" w:hAnsi="Palatino Linotype" w:cs="Arial"/>
        </w:rPr>
      </w:pPr>
      <w:r w:rsidRPr="00892442">
        <w:rPr>
          <w:rFonts w:ascii="Palatino Linotype" w:hAnsi="Palatino Linotype" w:cs="Arial"/>
          <w:bCs/>
        </w:rPr>
        <w:t>Los Derechos Humanos reconocidos expresamente en la Constitución.</w:t>
      </w:r>
    </w:p>
    <w:p w:rsidR="00A046C8" w:rsidRPr="00892442" w:rsidRDefault="00A046C8" w:rsidP="00892442">
      <w:pPr>
        <w:pStyle w:val="Prrafodelista"/>
        <w:widowControl w:val="0"/>
        <w:numPr>
          <w:ilvl w:val="1"/>
          <w:numId w:val="15"/>
        </w:numPr>
        <w:autoSpaceDE w:val="0"/>
        <w:autoSpaceDN w:val="0"/>
        <w:adjustRightInd w:val="0"/>
        <w:spacing w:before="240" w:after="240" w:line="360" w:lineRule="auto"/>
        <w:ind w:left="1134" w:right="49"/>
        <w:contextualSpacing w:val="0"/>
        <w:jc w:val="both"/>
        <w:rPr>
          <w:rFonts w:ascii="Palatino Linotype" w:hAnsi="Palatino Linotype" w:cs="Arial"/>
        </w:rPr>
      </w:pPr>
      <w:r w:rsidRPr="00892442">
        <w:rPr>
          <w:rFonts w:ascii="Palatino Linotype" w:hAnsi="Palatino Linotype" w:cs="Arial"/>
          <w:bCs/>
        </w:rPr>
        <w:t>Los Derechos Humanos establecidos en los Tratados Internacionales firmados y ratificados por los Estados Unidos Mexicanos.</w:t>
      </w:r>
    </w:p>
    <w:p w:rsidR="00A046C8" w:rsidRPr="00892442" w:rsidRDefault="00A046C8" w:rsidP="00892442">
      <w:pPr>
        <w:pStyle w:val="Sinespaciado"/>
        <w:spacing w:line="360" w:lineRule="auto"/>
        <w:ind w:left="851" w:right="567"/>
        <w:jc w:val="both"/>
        <w:rPr>
          <w:rFonts w:ascii="Palatino Linotype" w:hAnsi="Palatino Linotype"/>
          <w:i/>
          <w:lang w:eastAsia="es-ES_tradnl"/>
        </w:rPr>
      </w:pPr>
      <w:r w:rsidRPr="00892442">
        <w:rPr>
          <w:rFonts w:ascii="Palatino Linotype" w:hAnsi="Palatino Linotype"/>
          <w:i/>
          <w:lang w:eastAsia="es-ES_tradnl"/>
        </w:rPr>
        <w:t>“</w:t>
      </w:r>
      <w:r w:rsidRPr="00892442">
        <w:rPr>
          <w:rFonts w:ascii="Palatino Linotype" w:hAnsi="Palatino Linotype"/>
          <w:b/>
          <w:i/>
          <w:lang w:eastAsia="es-ES_tradnl"/>
        </w:rPr>
        <w:t>Artículo 1o</w:t>
      </w:r>
      <w:r w:rsidRPr="00892442">
        <w:rPr>
          <w:rFonts w:ascii="Palatino Linotype" w:hAnsi="Palatino Linotype"/>
          <w:i/>
          <w:lang w:eastAsia="es-ES_tradnl"/>
        </w:rPr>
        <w:t xml:space="preserve">. En los Estados Unidos Mexicanos </w:t>
      </w:r>
      <w:r w:rsidRPr="00892442">
        <w:rPr>
          <w:rFonts w:ascii="Palatino Linotype" w:hAnsi="Palatino Linotype"/>
          <w:b/>
          <w:i/>
          <w:lang w:eastAsia="es-ES_tradnl"/>
        </w:rPr>
        <w:t>todas las personas gozarán de los derechos humanos reconocidos en esta Constitución y en los tratados internacionales de los que el Estado Mexicano sea parte</w:t>
      </w:r>
      <w:r w:rsidRPr="00892442">
        <w:rPr>
          <w:rFonts w:ascii="Palatino Linotype" w:hAnsi="Palatino Linotype"/>
          <w:i/>
          <w:lang w:eastAsia="es-ES_tradnl"/>
        </w:rPr>
        <w:t>, así como de las garantías para su protección, cuyo ejercicio no podrá restringirse ni suspenderse, salvo en los casos y bajo las condiciones que esta Constitución establece.</w:t>
      </w:r>
    </w:p>
    <w:p w:rsidR="00A046C8" w:rsidRPr="00892442" w:rsidRDefault="00A046C8" w:rsidP="00892442">
      <w:pPr>
        <w:pStyle w:val="Sinespaciado"/>
        <w:spacing w:line="360" w:lineRule="auto"/>
        <w:ind w:left="851" w:right="567"/>
        <w:jc w:val="both"/>
        <w:rPr>
          <w:rFonts w:ascii="Palatino Linotype" w:hAnsi="Palatino Linotype"/>
          <w:i/>
          <w:lang w:eastAsia="es-ES_tradnl"/>
        </w:rPr>
      </w:pPr>
    </w:p>
    <w:p w:rsidR="00A046C8" w:rsidRPr="00892442" w:rsidRDefault="00A046C8" w:rsidP="00892442">
      <w:pPr>
        <w:pStyle w:val="Sinespaciado"/>
        <w:spacing w:line="360" w:lineRule="auto"/>
        <w:ind w:left="851" w:right="567"/>
        <w:jc w:val="both"/>
        <w:rPr>
          <w:rFonts w:ascii="Palatino Linotype" w:hAnsi="Palatino Linotype"/>
          <w:b/>
          <w:i/>
          <w:lang w:eastAsia="es-ES_tradnl"/>
        </w:rPr>
      </w:pPr>
      <w:r w:rsidRPr="00892442">
        <w:rPr>
          <w:rFonts w:ascii="Palatino Linotype" w:hAnsi="Palatino Linotype"/>
          <w:b/>
          <w:i/>
          <w:lang w:eastAsia="es-ES_tradnl"/>
        </w:rPr>
        <w:t>Las normas relativas a los derechos humanos se interpretarán de conformidad con esta Constitución y con los tratados internacionales de la materia favoreciendo en todo tiempo a las personas la protección más amplia.</w:t>
      </w:r>
    </w:p>
    <w:p w:rsidR="00A046C8" w:rsidRPr="00892442" w:rsidRDefault="00A046C8" w:rsidP="00892442">
      <w:pPr>
        <w:pStyle w:val="Sinespaciado"/>
        <w:spacing w:line="360" w:lineRule="auto"/>
        <w:ind w:left="851" w:right="567"/>
        <w:jc w:val="both"/>
        <w:rPr>
          <w:rFonts w:ascii="Palatino Linotype" w:hAnsi="Palatino Linotype"/>
          <w:i/>
          <w:lang w:eastAsia="es-ES_tradnl"/>
        </w:rPr>
      </w:pPr>
    </w:p>
    <w:p w:rsidR="00A046C8" w:rsidRPr="00892442" w:rsidRDefault="00A046C8" w:rsidP="00892442">
      <w:pPr>
        <w:pStyle w:val="Sinespaciado"/>
        <w:spacing w:line="360" w:lineRule="auto"/>
        <w:ind w:left="851" w:right="567"/>
        <w:jc w:val="both"/>
        <w:rPr>
          <w:rFonts w:ascii="Palatino Linotype" w:hAnsi="Palatino Linotype"/>
          <w:i/>
          <w:lang w:eastAsia="es-ES_tradnl"/>
        </w:rPr>
      </w:pPr>
      <w:r w:rsidRPr="00892442">
        <w:rPr>
          <w:rFonts w:ascii="Palatino Linotype" w:hAnsi="Palatino Linotype"/>
          <w:b/>
          <w:i/>
          <w:lang w:eastAsia="es-ES_tradnl"/>
        </w:rPr>
        <w:t>Todas las autoridades, en el ámbito de sus competencias, tienen la obligación de promover, respetar, proteger y garantizar los derechos humanos de conformidad con los principios de universalidad, interdependencia, indivisibilidad y progresividad.</w:t>
      </w:r>
      <w:r w:rsidRPr="00892442">
        <w:rPr>
          <w:rFonts w:ascii="Palatino Linotype" w:hAnsi="Palatino Linotype"/>
          <w:i/>
          <w:lang w:eastAsia="es-ES_tradnl"/>
        </w:rPr>
        <w:t xml:space="preserve"> En consecuencia, el Estado deberá prevenir, investigar, sancionar y reparar las violaciones a los derechos humanos, en los términos que establezca la ley. </w:t>
      </w:r>
    </w:p>
    <w:p w:rsidR="00A046C8" w:rsidRPr="00892442" w:rsidRDefault="00A046C8" w:rsidP="00892442">
      <w:pPr>
        <w:pStyle w:val="Sinespaciado"/>
        <w:spacing w:line="360" w:lineRule="auto"/>
        <w:ind w:left="851" w:right="567"/>
        <w:jc w:val="both"/>
        <w:rPr>
          <w:rFonts w:ascii="Palatino Linotype" w:hAnsi="Palatino Linotype"/>
          <w:i/>
          <w:lang w:eastAsia="es-ES_tradnl"/>
        </w:rPr>
      </w:pPr>
      <w:r w:rsidRPr="00892442">
        <w:rPr>
          <w:rFonts w:ascii="Palatino Linotype" w:hAnsi="Palatino Linotype"/>
          <w:i/>
          <w:lang w:eastAsia="es-ES_tradnl"/>
        </w:rPr>
        <w:t>(…)”</w:t>
      </w:r>
    </w:p>
    <w:p w:rsidR="00A046C8" w:rsidRPr="00892442" w:rsidRDefault="00A046C8" w:rsidP="00892442">
      <w:pPr>
        <w:pStyle w:val="Sinespaciado"/>
        <w:spacing w:line="360" w:lineRule="auto"/>
        <w:ind w:left="851" w:right="567"/>
        <w:jc w:val="both"/>
        <w:rPr>
          <w:rFonts w:ascii="Palatino Linotype" w:hAnsi="Palatino Linotype" w:cs="Arial"/>
        </w:rPr>
      </w:pPr>
      <w:r w:rsidRPr="00892442">
        <w:rPr>
          <w:rFonts w:ascii="Palatino Linotype" w:hAnsi="Palatino Linotype"/>
          <w:lang w:eastAsia="es-ES_tradnl"/>
        </w:rPr>
        <w:t>(Énfasis añadido)</w:t>
      </w:r>
    </w:p>
    <w:p w:rsidR="00A046C8" w:rsidRPr="00892442" w:rsidRDefault="00A046C8" w:rsidP="00892442">
      <w:pPr>
        <w:pStyle w:val="Prrafodelista"/>
        <w:tabs>
          <w:tab w:val="left" w:pos="426"/>
        </w:tabs>
        <w:spacing w:before="240" w:after="240" w:line="360" w:lineRule="auto"/>
        <w:ind w:left="0" w:right="49"/>
        <w:jc w:val="both"/>
        <w:rPr>
          <w:rFonts w:ascii="Palatino Linotype" w:hAnsi="Palatino Linotype" w:cs="Arial"/>
        </w:rPr>
      </w:pPr>
    </w:p>
    <w:p w:rsidR="00A046C8" w:rsidRPr="00892442" w:rsidRDefault="00A046C8" w:rsidP="00892442">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892442">
        <w:rPr>
          <w:rFonts w:ascii="Palatino Linotype" w:hAnsi="Palatino Linotype" w:cs="Arial"/>
        </w:rPr>
        <w:t xml:space="preserve">La reforma al artículo 1° de la </w:t>
      </w:r>
      <w:r w:rsidRPr="00892442">
        <w:rPr>
          <w:rFonts w:ascii="Palatino Linotype" w:hAnsi="Palatino Linotype" w:cs="Arial"/>
          <w:b/>
        </w:rPr>
        <w:t>Constitución Política de los Estados Unidos Mexicanos</w:t>
      </w:r>
      <w:r w:rsidRPr="00892442">
        <w:rPr>
          <w:rFonts w:ascii="Palatino Linotype" w:hAnsi="Palatino Linotype" w:cs="Arial"/>
        </w:rPr>
        <w:t>, publicada en el Diario Oficial de la Federación el diez de junio de dos mil once, faculta a todas las autoridades en nuestro país, sin excepción, para proteger y garantizar los Derechos Humanos desde sus respectivos ámbitos competenciales.</w:t>
      </w:r>
    </w:p>
    <w:p w:rsidR="00EB537B" w:rsidRPr="00892442" w:rsidRDefault="00EB537B" w:rsidP="00892442">
      <w:pPr>
        <w:pStyle w:val="Prrafodelista"/>
        <w:tabs>
          <w:tab w:val="left" w:pos="426"/>
        </w:tabs>
        <w:spacing w:before="240" w:after="240" w:line="360" w:lineRule="auto"/>
        <w:ind w:left="0" w:right="49"/>
        <w:jc w:val="both"/>
        <w:rPr>
          <w:rFonts w:ascii="Palatino Linotype" w:hAnsi="Palatino Linotype" w:cs="Arial"/>
        </w:rPr>
      </w:pPr>
    </w:p>
    <w:p w:rsidR="00A046C8" w:rsidRPr="00892442" w:rsidRDefault="00A046C8" w:rsidP="00892442">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892442">
        <w:rPr>
          <w:rFonts w:ascii="Palatino Linotype" w:hAnsi="Palatino Linotype" w:cs="Arial"/>
        </w:rPr>
        <w:t xml:space="preserve">Lo anterior no sólo implicó un cambio de denominación, sino que con ella se creó un bloque de constitucionalidad integrado por la Ley fundamental y por los Tratados Internacionales en que el Estado Mexicano sea parte; asimismo, se incorporó el </w:t>
      </w:r>
      <w:r w:rsidRPr="00892442">
        <w:rPr>
          <w:rFonts w:ascii="Palatino Linotype" w:hAnsi="Palatino Linotype" w:cs="Arial"/>
          <w:b/>
        </w:rPr>
        <w:t>principio pro persona</w:t>
      </w:r>
      <w:r w:rsidRPr="00892442">
        <w:rPr>
          <w:rFonts w:ascii="Palatino Linotype" w:hAnsi="Palatino Linotype" w:cs="Arial"/>
        </w:rPr>
        <w:t xml:space="preserve"> como rector de la interpretación y aplicación de las normas jurídicas, en aquellas que favorezcan y brinden mayor protección a las personas.</w:t>
      </w:r>
    </w:p>
    <w:p w:rsidR="00A046C8" w:rsidRPr="00892442" w:rsidRDefault="00A046C8" w:rsidP="00892442">
      <w:pPr>
        <w:pStyle w:val="Prrafodelista"/>
        <w:tabs>
          <w:tab w:val="left" w:pos="426"/>
        </w:tabs>
        <w:spacing w:before="240" w:after="240" w:line="360" w:lineRule="auto"/>
        <w:ind w:left="0" w:right="49"/>
        <w:jc w:val="both"/>
        <w:rPr>
          <w:rFonts w:ascii="Palatino Linotype" w:hAnsi="Palatino Linotype" w:cs="Arial"/>
        </w:rPr>
      </w:pPr>
    </w:p>
    <w:p w:rsidR="00A046C8" w:rsidRPr="00892442" w:rsidRDefault="00A046C8" w:rsidP="00892442">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892442">
        <w:rPr>
          <w:rFonts w:ascii="Palatino Linotype" w:hAnsi="Palatino Linotype" w:cs="Arial"/>
        </w:rPr>
        <w:t>El citado principio supone que cuando existan distintas interpretaciones posibles de una norma jurídica, deberá elegirse aquella que más proteja al titular de un derecho humano. Asimismo, significa que cuando en la resolución de un caso concreto se puedan aplicar dos o más normas jurídicas, el intérprete debe elegir aquella que proteja de mejor manera a los titulares de un derecho humano.</w:t>
      </w:r>
    </w:p>
    <w:p w:rsidR="00A046C8" w:rsidRPr="00892442" w:rsidRDefault="00A046C8" w:rsidP="00892442">
      <w:pPr>
        <w:pStyle w:val="Prrafodelista"/>
        <w:tabs>
          <w:tab w:val="left" w:pos="426"/>
        </w:tabs>
        <w:spacing w:before="240" w:after="240" w:line="360" w:lineRule="auto"/>
        <w:ind w:left="0" w:right="49"/>
        <w:jc w:val="both"/>
        <w:rPr>
          <w:rFonts w:ascii="Palatino Linotype" w:hAnsi="Palatino Linotype" w:cs="Arial"/>
        </w:rPr>
      </w:pPr>
    </w:p>
    <w:p w:rsidR="00A046C8" w:rsidRPr="00892442" w:rsidRDefault="00A046C8" w:rsidP="00892442">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892442">
        <w:rPr>
          <w:rFonts w:ascii="Palatino Linotype" w:hAnsi="Palatino Linotype" w:cs="Arial"/>
        </w:rPr>
        <w:t xml:space="preserve">Sirve </w:t>
      </w:r>
      <w:r w:rsidRPr="00892442">
        <w:rPr>
          <w:rFonts w:ascii="Palatino Linotype" w:hAnsi="Palatino Linotype" w:cs="Times New Roman"/>
          <w:lang w:eastAsia="es-ES_tradnl"/>
        </w:rPr>
        <w:t xml:space="preserve">como </w:t>
      </w:r>
      <w:r w:rsidRPr="00892442">
        <w:rPr>
          <w:rFonts w:ascii="Palatino Linotype" w:hAnsi="Palatino Linotype"/>
        </w:rPr>
        <w:t>criterio orientador la Tesis Aislada I.4o.A.20 K (10a.), publicada en la Gaceta del Semanario Judicial de la Federación Libro 1, diciembre de 2013, Tomo II, página: 1211, cuyo rubro, texto y datos de identificación son los siguientes:</w:t>
      </w:r>
    </w:p>
    <w:p w:rsidR="00A046C8" w:rsidRPr="00892442" w:rsidRDefault="00A046C8" w:rsidP="00892442">
      <w:pPr>
        <w:pStyle w:val="Sinespaciado"/>
        <w:spacing w:line="360" w:lineRule="auto"/>
        <w:ind w:left="567" w:right="567"/>
        <w:jc w:val="both"/>
        <w:rPr>
          <w:rFonts w:ascii="Palatino Linotype" w:hAnsi="Palatino Linotype"/>
        </w:rPr>
      </w:pPr>
      <w:r w:rsidRPr="00892442">
        <w:rPr>
          <w:rFonts w:ascii="Palatino Linotype" w:hAnsi="Palatino Linotype"/>
          <w:b/>
          <w:i/>
        </w:rPr>
        <w:t>PRINCIPIO PRO HOMINE. VARIANTES QUE LO COMPONEN.</w:t>
      </w:r>
      <w:r w:rsidRPr="00892442">
        <w:rPr>
          <w:rFonts w:ascii="Palatino Linotype" w:hAnsi="Palatino Linotype"/>
          <w:i/>
        </w:rPr>
        <w:t xml:space="preserve"> “Conforme al artículo 1o., segundo párrafo, de la Constitución Política de los Estados Unidos Mexicanos, las normas en materia de derechos humanos se interpretarán de conformidad con la propia Constitución y con los tratados internacionales de la materia, procurando favorecer en todo tiempo a las personas con la protección más amplia. En este párrafo se recoge el principio "pro </w:t>
      </w:r>
      <w:proofErr w:type="spellStart"/>
      <w:r w:rsidRPr="00892442">
        <w:rPr>
          <w:rFonts w:ascii="Palatino Linotype" w:hAnsi="Palatino Linotype"/>
          <w:i/>
        </w:rPr>
        <w:t>homine</w:t>
      </w:r>
      <w:proofErr w:type="spellEnd"/>
      <w:r w:rsidRPr="00892442">
        <w:rPr>
          <w:rFonts w:ascii="Palatino Linotype" w:hAnsi="Palatino Linotype"/>
          <w:i/>
        </w:rPr>
        <w:t xml:space="preserve">", el cual </w:t>
      </w:r>
      <w:r w:rsidRPr="00892442">
        <w:rPr>
          <w:rFonts w:ascii="Palatino Linotype" w:hAnsi="Palatino Linotype"/>
          <w:b/>
          <w:i/>
        </w:rPr>
        <w:t>consiste en ponderar el peso de los derechos humanos, a efecto de estar siempre a favor del hombre</w:t>
      </w:r>
      <w:r w:rsidRPr="00892442">
        <w:rPr>
          <w:rFonts w:ascii="Palatino Linotype" w:hAnsi="Palatino Linotype"/>
          <w:i/>
        </w:rPr>
        <w:t xml:space="preserve">, lo que implica que debe acudirse a la norma más amplia o a la interpretación más extensiva cuando se trate de derechos protegidos y, por el contrario, a la norma o a la interpretación más restringida, cuando se trate de establecer límites a su ejercicio. En este contexto, desde el campo doctrinal se ha considerado que el referido principio "pro </w:t>
      </w:r>
      <w:proofErr w:type="spellStart"/>
      <w:r w:rsidRPr="00892442">
        <w:rPr>
          <w:rFonts w:ascii="Palatino Linotype" w:hAnsi="Palatino Linotype"/>
          <w:i/>
        </w:rPr>
        <w:t>homine</w:t>
      </w:r>
      <w:proofErr w:type="spellEnd"/>
      <w:r w:rsidRPr="00892442">
        <w:rPr>
          <w:rFonts w:ascii="Palatino Linotype" w:hAnsi="Palatino Linotype"/>
          <w:i/>
        </w:rPr>
        <w:t xml:space="preserve">" tiene dos variantes: a) Directriz de preferencia interpretativa, por la cual se ha de buscar la interpretación que optimice más un derecho constitucional. Esta variante, a su vez, se compone de: a.1.) Principio favor </w:t>
      </w:r>
      <w:proofErr w:type="spellStart"/>
      <w:r w:rsidRPr="00892442">
        <w:rPr>
          <w:rFonts w:ascii="Palatino Linotype" w:hAnsi="Palatino Linotype"/>
          <w:i/>
        </w:rPr>
        <w:t>libertatis</w:t>
      </w:r>
      <w:proofErr w:type="spellEnd"/>
      <w:r w:rsidRPr="00892442">
        <w:rPr>
          <w:rFonts w:ascii="Palatino Linotype" w:hAnsi="Palatino Linotype"/>
          <w:i/>
        </w:rPr>
        <w:t xml:space="preserve">, que postula la necesidad de entender al precepto normativo en el sentido más propicio a la libertad en juicio, e incluye una doble vertiente: i) las limitaciones que mediante ley se establezcan a los derechos humanos no deberán ser interpretadas extensivamente, sino de modo restrictivo; y, ii) debe interpretarse la norma de la manera que optimice su ejercicio; a.2.) Principio de protección a víctimas o principio favor </w:t>
      </w:r>
      <w:proofErr w:type="spellStart"/>
      <w:r w:rsidRPr="00892442">
        <w:rPr>
          <w:rFonts w:ascii="Palatino Linotype" w:hAnsi="Palatino Linotype"/>
          <w:i/>
        </w:rPr>
        <w:t>debilis</w:t>
      </w:r>
      <w:proofErr w:type="spellEnd"/>
      <w:r w:rsidRPr="00892442">
        <w:rPr>
          <w:rFonts w:ascii="Palatino Linotype" w:hAnsi="Palatino Linotype"/>
          <w:i/>
        </w:rPr>
        <w:t>; referente a que en la interpretación de situaciones que comprometen derechos en conflicto, es menester considerar especialmente a la parte situada en inferioridad de condiciones, cuando las partes no se encuentran en un plano de igualdad; y, b) Directriz de preferencia de normas, la cual prevé que el Juez aplicará la norma más favorable a la persona, con independencia de la jerarquía formal de aquélla.”</w:t>
      </w:r>
    </w:p>
    <w:p w:rsidR="00A046C8" w:rsidRPr="00892442" w:rsidRDefault="00A046C8" w:rsidP="00892442">
      <w:pPr>
        <w:pStyle w:val="Sinespaciado"/>
        <w:spacing w:line="360" w:lineRule="auto"/>
        <w:ind w:left="567" w:right="567"/>
        <w:jc w:val="both"/>
        <w:rPr>
          <w:rFonts w:ascii="Palatino Linotype" w:hAnsi="Palatino Linotype"/>
        </w:rPr>
      </w:pPr>
      <w:r w:rsidRPr="00892442">
        <w:rPr>
          <w:rFonts w:ascii="Palatino Linotype" w:hAnsi="Palatino Linotype"/>
        </w:rPr>
        <w:t>(Énfasis añadido)</w:t>
      </w:r>
    </w:p>
    <w:p w:rsidR="00A046C8" w:rsidRPr="00892442" w:rsidRDefault="00A046C8" w:rsidP="00892442">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892442">
        <w:rPr>
          <w:rFonts w:ascii="Palatino Linotype" w:hAnsi="Palatino Linotype" w:cs="Arial"/>
        </w:rPr>
        <w:t xml:space="preserve">Por lo anterior, se puede afirmar que el principio </w:t>
      </w:r>
      <w:r w:rsidRPr="00892442">
        <w:rPr>
          <w:rFonts w:ascii="Palatino Linotype" w:hAnsi="Palatino Linotype" w:cs="Arial"/>
          <w:i/>
        </w:rPr>
        <w:t>pro persona</w:t>
      </w:r>
      <w:r w:rsidRPr="00892442">
        <w:rPr>
          <w:rFonts w:ascii="Palatino Linotype" w:hAnsi="Palatino Linotype" w:cs="Arial"/>
        </w:rPr>
        <w:t xml:space="preserve"> tiene dos variantes:</w:t>
      </w:r>
    </w:p>
    <w:p w:rsidR="00A046C8" w:rsidRPr="00892442" w:rsidRDefault="00A046C8" w:rsidP="00892442">
      <w:pPr>
        <w:pStyle w:val="Prrafodelista"/>
        <w:tabs>
          <w:tab w:val="left" w:pos="426"/>
        </w:tabs>
        <w:spacing w:before="240" w:after="240" w:line="360" w:lineRule="auto"/>
        <w:ind w:left="0" w:right="49"/>
        <w:jc w:val="both"/>
        <w:rPr>
          <w:rFonts w:ascii="Palatino Linotype" w:hAnsi="Palatino Linotype" w:cs="Arial"/>
        </w:rPr>
      </w:pPr>
    </w:p>
    <w:p w:rsidR="00A046C8" w:rsidRPr="00892442" w:rsidRDefault="00A046C8" w:rsidP="00892442">
      <w:pPr>
        <w:pStyle w:val="Prrafodelista"/>
        <w:widowControl w:val="0"/>
        <w:numPr>
          <w:ilvl w:val="1"/>
          <w:numId w:val="16"/>
        </w:numPr>
        <w:autoSpaceDE w:val="0"/>
        <w:autoSpaceDN w:val="0"/>
        <w:adjustRightInd w:val="0"/>
        <w:spacing w:before="240" w:after="240" w:line="360" w:lineRule="auto"/>
        <w:ind w:left="993" w:right="49"/>
        <w:contextualSpacing w:val="0"/>
        <w:jc w:val="both"/>
        <w:rPr>
          <w:rFonts w:ascii="Palatino Linotype" w:hAnsi="Palatino Linotype" w:cs="Arial"/>
        </w:rPr>
      </w:pPr>
      <w:r w:rsidRPr="00892442">
        <w:rPr>
          <w:rFonts w:ascii="Palatino Linotype" w:hAnsi="Palatino Linotype" w:cs="Arial"/>
          <w:b/>
        </w:rPr>
        <w:t>Preferencia interpretativa:</w:t>
      </w:r>
      <w:r w:rsidRPr="00892442">
        <w:rPr>
          <w:rFonts w:ascii="Palatino Linotype" w:hAnsi="Palatino Linotype" w:cs="Arial"/>
        </w:rPr>
        <w:t xml:space="preserve"> </w:t>
      </w:r>
      <w:r w:rsidRPr="00892442">
        <w:rPr>
          <w:rFonts w:ascii="Palatino Linotype" w:hAnsi="Palatino Linotype"/>
        </w:rPr>
        <w:t>El intérprete debe preferir, de las interpretaciones válidas que estén disponibles para resolver un caso concreto, la que más optimice un derecho fundamental, es decir, cuando amplía el ámbito de los sujetos protegidos por el Derecho.</w:t>
      </w:r>
    </w:p>
    <w:p w:rsidR="00A046C8" w:rsidRPr="00892442" w:rsidRDefault="00A046C8" w:rsidP="00892442">
      <w:pPr>
        <w:pStyle w:val="Prrafodelista"/>
        <w:widowControl w:val="0"/>
        <w:numPr>
          <w:ilvl w:val="1"/>
          <w:numId w:val="16"/>
        </w:numPr>
        <w:autoSpaceDE w:val="0"/>
        <w:autoSpaceDN w:val="0"/>
        <w:adjustRightInd w:val="0"/>
        <w:spacing w:before="240" w:after="240" w:line="360" w:lineRule="auto"/>
        <w:ind w:left="993" w:right="49"/>
        <w:contextualSpacing w:val="0"/>
        <w:jc w:val="both"/>
        <w:rPr>
          <w:rFonts w:ascii="Palatino Linotype" w:hAnsi="Palatino Linotype" w:cs="Arial"/>
        </w:rPr>
      </w:pPr>
      <w:r w:rsidRPr="00892442">
        <w:rPr>
          <w:rFonts w:ascii="Palatino Linotype" w:hAnsi="Palatino Linotype"/>
          <w:b/>
        </w:rPr>
        <w:t>Preferencia de normas:</w:t>
      </w:r>
      <w:r w:rsidRPr="00892442">
        <w:rPr>
          <w:rFonts w:ascii="Palatino Linotype" w:hAnsi="Palatino Linotype"/>
        </w:rPr>
        <w:t xml:space="preserve"> El intérprete, si puede aplicar más de una norma al caso concreto, </w:t>
      </w:r>
      <w:r w:rsidRPr="00892442">
        <w:rPr>
          <w:rFonts w:ascii="Palatino Linotype" w:hAnsi="Palatino Linotype"/>
          <w:b/>
          <w:u w:val="single"/>
        </w:rPr>
        <w:t>deberá preferir aquella que sea más favorable a la persona, con independencia del lugar que ocupe dentro de la jerarquía normativa.</w:t>
      </w:r>
    </w:p>
    <w:p w:rsidR="00A046C8" w:rsidRPr="00892442" w:rsidRDefault="00A046C8" w:rsidP="00892442">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892442">
        <w:rPr>
          <w:rFonts w:ascii="Palatino Linotype" w:hAnsi="Palatino Linotype" w:cs="Arial"/>
        </w:rPr>
        <w:t xml:space="preserve">Así, el principio </w:t>
      </w:r>
      <w:r w:rsidRPr="00892442">
        <w:rPr>
          <w:rFonts w:ascii="Palatino Linotype" w:hAnsi="Palatino Linotype" w:cs="Arial"/>
          <w:i/>
        </w:rPr>
        <w:t>pro persona</w:t>
      </w:r>
      <w:r w:rsidRPr="00892442">
        <w:rPr>
          <w:rFonts w:ascii="Palatino Linotype" w:hAnsi="Palatino Linotype" w:cs="Arial"/>
        </w:rPr>
        <w:t xml:space="preserve"> coincide con la esencia de los derechos humanos, por virtud del cual debe estarse siempre a lo más favorable para los particulares e implica que debe acudirse a la norma más amplia o a la interpretación extensiva cuando se trata de derechos protegidos y, por el contrario, a la norma o a la interpretación más restringida, cuando se trata de establecer límites a su ejercicio.</w:t>
      </w:r>
    </w:p>
    <w:p w:rsidR="00A046C8" w:rsidRPr="00892442" w:rsidRDefault="00A046C8" w:rsidP="00892442">
      <w:pPr>
        <w:pStyle w:val="Prrafodelista"/>
        <w:tabs>
          <w:tab w:val="left" w:pos="426"/>
        </w:tabs>
        <w:spacing w:before="240" w:after="240" w:line="360" w:lineRule="auto"/>
        <w:ind w:left="0" w:right="49"/>
        <w:jc w:val="both"/>
        <w:rPr>
          <w:rFonts w:ascii="Palatino Linotype" w:hAnsi="Palatino Linotype" w:cs="Arial"/>
        </w:rPr>
      </w:pPr>
    </w:p>
    <w:p w:rsidR="00A046C8" w:rsidRDefault="00A046C8" w:rsidP="00892442">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892442">
        <w:rPr>
          <w:rFonts w:ascii="Palatino Linotype" w:hAnsi="Palatino Linotype" w:cs="Arial"/>
        </w:rPr>
        <w:t xml:space="preserve">De </w:t>
      </w:r>
      <w:r w:rsidRPr="00892442">
        <w:rPr>
          <w:rFonts w:ascii="Palatino Linotype" w:hAnsi="Palatino Linotype"/>
        </w:rPr>
        <w:t xml:space="preserve">lo expuesto se colige que cualquier órgano judicial, jurisdiccional o administrativo del Estado mexicano con facultades decisorias o de </w:t>
      </w:r>
      <w:proofErr w:type="spellStart"/>
      <w:r w:rsidRPr="00892442">
        <w:rPr>
          <w:rFonts w:ascii="Palatino Linotype" w:hAnsi="Palatino Linotype"/>
          <w:i/>
        </w:rPr>
        <w:t>imperium</w:t>
      </w:r>
      <w:proofErr w:type="spellEnd"/>
      <w:r w:rsidRPr="00892442">
        <w:rPr>
          <w:rFonts w:ascii="Palatino Linotype" w:hAnsi="Palatino Linotype"/>
        </w:rPr>
        <w:t xml:space="preserve">, y que derivado de ello debe respetar el principio </w:t>
      </w:r>
      <w:r w:rsidRPr="00892442">
        <w:rPr>
          <w:rFonts w:ascii="Palatino Linotype" w:hAnsi="Palatino Linotype"/>
          <w:i/>
        </w:rPr>
        <w:t>pro persona</w:t>
      </w:r>
      <w:r w:rsidRPr="00892442">
        <w:rPr>
          <w:rFonts w:ascii="Palatino Linotype" w:hAnsi="Palatino Linotype"/>
        </w:rPr>
        <w:t xml:space="preserve"> para que en la aplicación e interpretación de la norma siempre favorezca en la mayor medida el otorgamiento y reconocimiento de los derechos humanos. Por tanto, al momento de resolver una controversia no debe limitarse a aplicar sólo las legislaciones locales, sino que además se encuentra compelido a aplicar la Constitución Política de los Estados Unidos Mexicanos, los tratados o convenciones internacionales cuando se traten temas que vinculen derechos humanos protegidos por esas disposiciones.</w:t>
      </w:r>
    </w:p>
    <w:p w:rsidR="00892442" w:rsidRPr="00892442" w:rsidRDefault="00892442" w:rsidP="00892442">
      <w:pPr>
        <w:pStyle w:val="Prrafodelista"/>
        <w:tabs>
          <w:tab w:val="left" w:pos="426"/>
        </w:tabs>
        <w:spacing w:before="240" w:after="240" w:line="360" w:lineRule="auto"/>
        <w:ind w:left="0" w:right="49"/>
        <w:jc w:val="both"/>
        <w:rPr>
          <w:rFonts w:ascii="Palatino Linotype" w:hAnsi="Palatino Linotype" w:cs="Arial"/>
        </w:rPr>
      </w:pPr>
    </w:p>
    <w:p w:rsidR="00A046C8" w:rsidRPr="00892442" w:rsidRDefault="00A046C8" w:rsidP="00892442">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892442">
        <w:rPr>
          <w:rFonts w:ascii="Palatino Linotype" w:hAnsi="Palatino Linotype" w:cs="Arial"/>
        </w:rPr>
        <w:t xml:space="preserve">Ahora bien, </w:t>
      </w:r>
      <w:r w:rsidRPr="00892442">
        <w:rPr>
          <w:rFonts w:ascii="Palatino Linotype" w:hAnsi="Palatino Linotype"/>
        </w:rPr>
        <w:t xml:space="preserve">de conformidad con el artículo 5, fracción IV de la Constitución Política del Estado Libre y Soberano de México, el Instituto de Transparencia, Acceso a la Información Pública y protección de Datos Personales del Estado de México y Municipios se crea con el objeto garantizar el derecho de acceso a la información pública </w:t>
      </w:r>
      <w:r w:rsidRPr="00892442">
        <w:rPr>
          <w:rFonts w:ascii="Palatino Linotype" w:hAnsi="Palatino Linotype"/>
          <w:b/>
        </w:rPr>
        <w:t>y la protección de los datos personales en poder de las instituciones públicas.</w:t>
      </w:r>
      <w:r w:rsidRPr="00892442">
        <w:rPr>
          <w:rFonts w:ascii="Palatino Linotype" w:hAnsi="Palatino Linotype"/>
        </w:rPr>
        <w:t xml:space="preserve"> Asimismo, se le dotaron de atribuciones jurisdiccionales para conocer y resolver las controversias que surjan con motivo del ejercicio de estos dos derechos a través del recurso de revisión, cuyas decisiones son definitivas y vinculantes para los Sujetos Obligados.</w:t>
      </w:r>
    </w:p>
    <w:p w:rsidR="00A046C8" w:rsidRPr="00892442" w:rsidRDefault="00A046C8" w:rsidP="00892442">
      <w:pPr>
        <w:pStyle w:val="Prrafodelista"/>
        <w:tabs>
          <w:tab w:val="left" w:pos="426"/>
        </w:tabs>
        <w:spacing w:before="240" w:after="240" w:line="360" w:lineRule="auto"/>
        <w:ind w:left="0" w:right="49"/>
        <w:jc w:val="both"/>
        <w:rPr>
          <w:rFonts w:ascii="Palatino Linotype" w:hAnsi="Palatino Linotype" w:cs="Arial"/>
        </w:rPr>
      </w:pPr>
    </w:p>
    <w:p w:rsidR="00A046C8" w:rsidRPr="00892442" w:rsidRDefault="00A046C8" w:rsidP="00892442">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892442">
        <w:rPr>
          <w:rFonts w:ascii="Palatino Linotype" w:hAnsi="Palatino Linotype" w:cs="Arial"/>
        </w:rPr>
        <w:t xml:space="preserve">Precisado </w:t>
      </w:r>
      <w:r w:rsidRPr="00892442">
        <w:rPr>
          <w:rFonts w:ascii="Palatino Linotype" w:hAnsi="Palatino Linotype"/>
        </w:rPr>
        <w:t>lo anterior, y con relación a uno de los derechos fundamentales que tiene la obligación de proteger este Instituto, la Carta Magna establece que el acceso a datos personales es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rsidR="005A28B6" w:rsidRPr="00892442" w:rsidRDefault="005A28B6" w:rsidP="00892442">
      <w:pPr>
        <w:pStyle w:val="Prrafodelista"/>
        <w:spacing w:line="360" w:lineRule="auto"/>
        <w:rPr>
          <w:rFonts w:ascii="Palatino Linotype" w:hAnsi="Palatino Linotype" w:cs="Arial"/>
        </w:rPr>
      </w:pPr>
    </w:p>
    <w:p w:rsidR="005A28B6" w:rsidRPr="00892442" w:rsidRDefault="005A28B6" w:rsidP="00892442">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892442">
        <w:rPr>
          <w:rFonts w:ascii="Palatino Linotype" w:hAnsi="Palatino Linotype" w:cs="Arial"/>
        </w:rPr>
        <w:t>Es por lo anterior que, el supuesto cobro al que hace alusión el Sujeto Obligado resulta improcedente y, debe proporcionarse la información de manera gratuita.</w:t>
      </w:r>
    </w:p>
    <w:p w:rsidR="005A28B6" w:rsidRPr="00892442" w:rsidRDefault="00AB5CCF" w:rsidP="00892442">
      <w:pPr>
        <w:pStyle w:val="Ttulo2"/>
        <w:numPr>
          <w:ilvl w:val="0"/>
          <w:numId w:val="4"/>
        </w:numPr>
        <w:spacing w:line="360" w:lineRule="auto"/>
        <w:rPr>
          <w:rFonts w:ascii="Palatino Linotype" w:hAnsi="Palatino Linotype"/>
          <w:b/>
          <w:color w:val="auto"/>
          <w:sz w:val="24"/>
          <w:szCs w:val="24"/>
        </w:rPr>
      </w:pPr>
      <w:bookmarkStart w:id="17" w:name="_Toc13132693"/>
      <w:r w:rsidRPr="00892442">
        <w:rPr>
          <w:rFonts w:ascii="Palatino Linotype" w:hAnsi="Palatino Linotype"/>
          <w:b/>
          <w:color w:val="auto"/>
          <w:sz w:val="24"/>
          <w:szCs w:val="24"/>
        </w:rPr>
        <w:t>Del procedimiento de acceso a datos personales.</w:t>
      </w:r>
      <w:bookmarkEnd w:id="17"/>
    </w:p>
    <w:p w:rsidR="00DF6CA8" w:rsidRPr="00892442" w:rsidRDefault="00A046C8" w:rsidP="00892442">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892442">
        <w:rPr>
          <w:rFonts w:ascii="Palatino Linotype" w:hAnsi="Palatino Linotype" w:cs="Arial"/>
        </w:rPr>
        <w:t xml:space="preserve">De </w:t>
      </w:r>
      <w:r w:rsidRPr="00892442">
        <w:rPr>
          <w:rFonts w:ascii="Palatino Linotype" w:hAnsi="Palatino Linotype"/>
        </w:rPr>
        <w:t xml:space="preserve">lo anterior, es dable señalar que el </w:t>
      </w:r>
      <w:r w:rsidR="00DF6CA8" w:rsidRPr="00892442">
        <w:rPr>
          <w:rFonts w:ascii="Palatino Linotype" w:hAnsi="Palatino Linotype"/>
        </w:rPr>
        <w:t>acceso a datos personales c</w:t>
      </w:r>
      <w:r w:rsidRPr="00892442">
        <w:rPr>
          <w:rFonts w:ascii="Palatino Linotype" w:hAnsi="Palatino Linotype"/>
        </w:rPr>
        <w:t xml:space="preserve">onstituye un derecho subjetivo público cuyo titular es la persona y el sujeto pasivo o el sujeto obligado es el Estado; Se trata de que </w:t>
      </w:r>
      <w:r w:rsidR="00DF6CA8" w:rsidRPr="00892442">
        <w:rPr>
          <w:rFonts w:ascii="Palatino Linotype" w:hAnsi="Palatino Linotype"/>
        </w:rPr>
        <w:t>los titulares de los datos personales en todo momento pueden tener acceso a los mismos, siempre y cuando se encuentren en posesión de los Sujetos Obligados.</w:t>
      </w:r>
    </w:p>
    <w:p w:rsidR="00DF6CA8" w:rsidRPr="00892442" w:rsidRDefault="00DF6CA8" w:rsidP="00892442">
      <w:pPr>
        <w:pStyle w:val="Prrafodelista"/>
        <w:spacing w:line="360" w:lineRule="auto"/>
        <w:rPr>
          <w:rFonts w:ascii="Palatino Linotype" w:hAnsi="Palatino Linotype" w:cs="Arial"/>
        </w:rPr>
      </w:pPr>
    </w:p>
    <w:p w:rsidR="00A046C8" w:rsidRPr="00892442" w:rsidRDefault="00A046C8" w:rsidP="00892442">
      <w:pPr>
        <w:pStyle w:val="Prrafodelista"/>
        <w:numPr>
          <w:ilvl w:val="0"/>
          <w:numId w:val="1"/>
        </w:numPr>
        <w:tabs>
          <w:tab w:val="left" w:pos="426"/>
        </w:tabs>
        <w:spacing w:before="240" w:after="240" w:line="360" w:lineRule="auto"/>
        <w:ind w:left="0" w:right="49" w:firstLine="0"/>
        <w:jc w:val="both"/>
        <w:rPr>
          <w:rFonts w:ascii="Palatino Linotype" w:hAnsi="Palatino Linotype" w:cs="Arial"/>
        </w:rPr>
      </w:pPr>
      <w:r w:rsidRPr="00892442">
        <w:rPr>
          <w:rFonts w:ascii="Palatino Linotype" w:hAnsi="Palatino Linotype" w:cs="Arial"/>
        </w:rPr>
        <w:t xml:space="preserve">Por </w:t>
      </w:r>
      <w:r w:rsidRPr="00892442">
        <w:rPr>
          <w:rFonts w:ascii="Palatino Linotype" w:hAnsi="Palatino Linotype" w:cs="Arial"/>
          <w:bCs/>
        </w:rPr>
        <w:t xml:space="preserve">consiguiente, de las consideraciones señaladas y derivado de la funciones y atribuciones conferidas al </w:t>
      </w:r>
      <w:r w:rsidR="00191A0F" w:rsidRPr="00892442">
        <w:rPr>
          <w:rFonts w:ascii="Palatino Linotype" w:hAnsi="Palatino Linotype"/>
          <w:b/>
          <w:bCs/>
        </w:rPr>
        <w:t>Ayuntamiento de Huixquilucan</w:t>
      </w:r>
      <w:r w:rsidR="00DF6CA8" w:rsidRPr="00892442">
        <w:rPr>
          <w:rFonts w:ascii="Palatino Linotype" w:hAnsi="Palatino Linotype" w:cs="Arial"/>
          <w:bCs/>
        </w:rPr>
        <w:t xml:space="preserve"> </w:t>
      </w:r>
      <w:r w:rsidRPr="00892442">
        <w:rPr>
          <w:rFonts w:ascii="Palatino Linotype" w:hAnsi="Palatino Linotype" w:cs="Arial"/>
          <w:bCs/>
        </w:rPr>
        <w:t xml:space="preserve">se deduce que cuenta con las capacidades técnicas y presupuestales necesarias para realizar sus funciones sin alguna limitante para observar </w:t>
      </w:r>
      <w:r w:rsidRPr="00892442">
        <w:rPr>
          <w:rFonts w:ascii="Palatino Linotype" w:hAnsi="Palatino Linotype" w:cs="Arial"/>
          <w:b/>
          <w:bCs/>
        </w:rPr>
        <w:t xml:space="preserve">los principios de gratuidad y </w:t>
      </w:r>
      <w:r w:rsidRPr="00892442">
        <w:rPr>
          <w:rFonts w:ascii="Palatino Linotype" w:hAnsi="Palatino Linotype" w:cs="Arial"/>
          <w:b/>
          <w:bCs/>
          <w:i/>
        </w:rPr>
        <w:t>pro persona</w:t>
      </w:r>
      <w:r w:rsidRPr="00892442">
        <w:rPr>
          <w:rFonts w:ascii="Palatino Linotype" w:hAnsi="Palatino Linotype" w:cs="Arial"/>
          <w:b/>
          <w:bCs/>
        </w:rPr>
        <w:t xml:space="preserve"> previamente estudiados</w:t>
      </w:r>
      <w:r w:rsidRPr="00892442">
        <w:rPr>
          <w:rFonts w:ascii="Palatino Linotype" w:hAnsi="Palatino Linotype" w:cs="Arial"/>
          <w:bCs/>
        </w:rPr>
        <w:t xml:space="preserve">, y por lo tanto deberá entregar la información en la modalidad requerida por </w:t>
      </w:r>
      <w:r w:rsidRPr="00892442">
        <w:rPr>
          <w:rFonts w:ascii="Palatino Linotype" w:hAnsi="Palatino Linotype"/>
        </w:rPr>
        <w:t xml:space="preserve">la </w:t>
      </w:r>
      <w:r w:rsidRPr="00892442">
        <w:rPr>
          <w:rFonts w:ascii="Palatino Linotype" w:hAnsi="Palatino Linotype"/>
          <w:b/>
        </w:rPr>
        <w:t xml:space="preserve">RECURRENTE </w:t>
      </w:r>
      <w:r w:rsidRPr="00892442">
        <w:rPr>
          <w:rFonts w:ascii="Palatino Linotype" w:hAnsi="Palatino Linotype"/>
        </w:rPr>
        <w:t xml:space="preserve">sin necesidad de que previo a la entrega de la información realice pago alguno, </w:t>
      </w:r>
      <w:r w:rsidRPr="00892442">
        <w:rPr>
          <w:rFonts w:ascii="Palatino Linotype" w:hAnsi="Palatino Linotype" w:cs="Arial"/>
        </w:rPr>
        <w:t>ya que actuar como se propone en las respuestas a las solicitudes de información resulta una carga desproporcionada que limita su derec</w:t>
      </w:r>
      <w:r w:rsidR="00DF6CA8" w:rsidRPr="00892442">
        <w:rPr>
          <w:rFonts w:ascii="Palatino Linotype" w:hAnsi="Palatino Linotype" w:cs="Arial"/>
        </w:rPr>
        <w:t>ho</w:t>
      </w:r>
      <w:r w:rsidR="00191A0F" w:rsidRPr="00892442">
        <w:rPr>
          <w:rFonts w:ascii="Palatino Linotype" w:hAnsi="Palatino Linotype" w:cs="Arial"/>
        </w:rPr>
        <w:t>, además,</w:t>
      </w:r>
      <w:r w:rsidR="00BE59B0" w:rsidRPr="00892442">
        <w:rPr>
          <w:rFonts w:ascii="Palatino Linotype" w:hAnsi="Palatino Linotype" w:cs="Arial"/>
        </w:rPr>
        <w:t xml:space="preserve"> siendo una entidad pública, </w:t>
      </w:r>
      <w:r w:rsidR="00191A0F" w:rsidRPr="00892442">
        <w:rPr>
          <w:rFonts w:ascii="Palatino Linotype" w:hAnsi="Palatino Linotype" w:cs="Arial"/>
        </w:rPr>
        <w:t xml:space="preserve">el material empleado para atender la solicitud de acceso a datos personales </w:t>
      </w:r>
      <w:r w:rsidR="00BE59B0" w:rsidRPr="00892442">
        <w:rPr>
          <w:rFonts w:ascii="Palatino Linotype" w:hAnsi="Palatino Linotype" w:cs="Arial"/>
        </w:rPr>
        <w:t>debe ser adquirido con recursos públicos, robusteciendo la postura de que no genera ningún costo para el Sujeto Obligado.</w:t>
      </w:r>
    </w:p>
    <w:p w:rsidR="00BE59B0" w:rsidRPr="00892442" w:rsidRDefault="00BE59B0" w:rsidP="00892442">
      <w:pPr>
        <w:pStyle w:val="Prrafodelista"/>
        <w:spacing w:line="360" w:lineRule="auto"/>
        <w:rPr>
          <w:rFonts w:ascii="Palatino Linotype" w:hAnsi="Palatino Linotype" w:cs="Arial"/>
        </w:rPr>
      </w:pPr>
    </w:p>
    <w:p w:rsidR="0046059A" w:rsidRPr="00892442" w:rsidRDefault="0046059A"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 xml:space="preserve">No conforme con lo anterior, es de señalar que </w:t>
      </w:r>
      <w:r w:rsidRPr="00892442">
        <w:rPr>
          <w:rFonts w:ascii="Palatino Linotype" w:eastAsia="Calibri" w:hAnsi="Palatino Linotype" w:cs="Arial"/>
          <w:color w:val="000000" w:themeColor="text1"/>
          <w:lang w:val="es-ES"/>
        </w:rPr>
        <w:t xml:space="preserve">el derecho al acceso a datos personales </w:t>
      </w:r>
      <w:r w:rsidR="00191A0F" w:rsidRPr="00892442">
        <w:rPr>
          <w:rFonts w:ascii="Palatino Linotype" w:eastAsia="Calibri" w:hAnsi="Palatino Linotype" w:cs="Arial"/>
          <w:color w:val="000000" w:themeColor="text1"/>
          <w:lang w:val="es-ES"/>
        </w:rPr>
        <w:t>se encuentra protegido por dos garantías.</w:t>
      </w:r>
    </w:p>
    <w:p w:rsidR="00E1136E" w:rsidRPr="00892442" w:rsidRDefault="00E1136E" w:rsidP="00892442">
      <w:pPr>
        <w:pStyle w:val="Ttulo3"/>
        <w:numPr>
          <w:ilvl w:val="0"/>
          <w:numId w:val="18"/>
        </w:numPr>
        <w:spacing w:line="360" w:lineRule="auto"/>
        <w:ind w:left="851"/>
        <w:rPr>
          <w:rFonts w:ascii="Palatino Linotype" w:hAnsi="Palatino Linotype"/>
          <w:b/>
          <w:color w:val="auto"/>
        </w:rPr>
      </w:pPr>
      <w:bookmarkStart w:id="18" w:name="_Toc13132694"/>
      <w:bookmarkStart w:id="19" w:name="_Toc536191459"/>
      <w:r w:rsidRPr="00892442">
        <w:rPr>
          <w:rFonts w:ascii="Palatino Linotype" w:hAnsi="Palatino Linotype"/>
          <w:b/>
          <w:color w:val="auto"/>
        </w:rPr>
        <w:t>Garantía Primaria.</w:t>
      </w:r>
      <w:bookmarkEnd w:id="18"/>
    </w:p>
    <w:bookmarkEnd w:id="19"/>
    <w:p w:rsidR="00E1136E" w:rsidRPr="00892442" w:rsidRDefault="00E1136E" w:rsidP="00892442">
      <w:pPr>
        <w:spacing w:line="360" w:lineRule="auto"/>
        <w:rPr>
          <w:rFonts w:ascii="Palatino Linotype" w:hAnsi="Palatino Linotype"/>
        </w:rPr>
      </w:pPr>
    </w:p>
    <w:p w:rsidR="0046059A" w:rsidRPr="00892442" w:rsidRDefault="0046059A" w:rsidP="00892442">
      <w:pPr>
        <w:pStyle w:val="Prrafodelista"/>
        <w:numPr>
          <w:ilvl w:val="0"/>
          <w:numId w:val="1"/>
        </w:numPr>
        <w:spacing w:before="240" w:line="360" w:lineRule="auto"/>
        <w:ind w:left="0" w:firstLine="0"/>
        <w:jc w:val="both"/>
        <w:rPr>
          <w:rFonts w:ascii="Palatino Linotype" w:hAnsi="Palatino Linotype" w:cs="Arial"/>
          <w:i/>
          <w:color w:val="000000" w:themeColor="text1"/>
        </w:rPr>
      </w:pPr>
      <w:r w:rsidRPr="00892442">
        <w:rPr>
          <w:rFonts w:ascii="Palatino Linotype" w:hAnsi="Palatino Linotype" w:cs="Arial"/>
          <w:color w:val="000000" w:themeColor="text1"/>
        </w:rPr>
        <w:t xml:space="preserve">Como lo establece la doctrina y lo señala nuestro texto fundamental, para que esos derechos no sean sólo proclamas políticas sino realmente efectivos se requiere de la existencia de garantías constitucionales que permitan su ejercicio o protección, las que pueden ser de carácter primario cuando consisten en </w:t>
      </w:r>
      <w:r w:rsidRPr="00892442">
        <w:rPr>
          <w:rFonts w:ascii="Palatino Linotype" w:hAnsi="Palatino Linotype" w:cs="Arial"/>
          <w:i/>
          <w:color w:val="000000" w:themeColor="text1"/>
        </w:rPr>
        <w:t>las</w:t>
      </w:r>
      <w:r w:rsidRPr="00892442">
        <w:rPr>
          <w:rFonts w:ascii="Palatino Linotype" w:hAnsi="Palatino Linotype" w:cs="Arial"/>
          <w:color w:val="000000" w:themeColor="text1"/>
        </w:rPr>
        <w:t xml:space="preserve"> </w:t>
      </w:r>
      <w:r w:rsidRPr="00892442">
        <w:rPr>
          <w:rFonts w:ascii="Palatino Linotype" w:hAnsi="Palatino Linotype" w:cs="Arial"/>
          <w:i/>
          <w:color w:val="000000" w:themeColor="text1"/>
        </w:rPr>
        <w:t>obligaciones o prohibiciones inmediatamente correlativas a los derechos establecidos en las constituciones</w:t>
      </w:r>
      <w:r w:rsidRPr="00892442">
        <w:rPr>
          <w:rFonts w:ascii="Palatino Linotype" w:hAnsi="Palatino Linotype"/>
          <w:i/>
          <w:vertAlign w:val="superscript"/>
        </w:rPr>
        <w:footnoteReference w:id="5"/>
      </w:r>
      <w:r w:rsidRPr="00892442">
        <w:rPr>
          <w:rFonts w:ascii="Palatino Linotype" w:hAnsi="Palatino Linotype" w:cs="Arial"/>
          <w:color w:val="000000" w:themeColor="text1"/>
        </w:rPr>
        <w:t xml:space="preserve"> o bien </w:t>
      </w:r>
      <w:r w:rsidRPr="00892442">
        <w:rPr>
          <w:rFonts w:ascii="Palatino Linotype" w:hAnsi="Palatino Linotype" w:cs="Arial"/>
          <w:i/>
          <w:color w:val="000000" w:themeColor="text1"/>
        </w:rPr>
        <w:t>como la suma de las garantías positivas y de las garantías negativas,</w:t>
      </w:r>
      <w:r w:rsidRPr="00892442">
        <w:rPr>
          <w:rFonts w:ascii="Palatino Linotype" w:hAnsi="Palatino Linotype"/>
          <w:i/>
          <w:vertAlign w:val="superscript"/>
        </w:rPr>
        <w:footnoteReference w:id="6"/>
      </w:r>
      <w:r w:rsidRPr="00892442">
        <w:rPr>
          <w:rFonts w:ascii="Palatino Linotype" w:hAnsi="Palatino Linotype" w:cs="Arial"/>
          <w:color w:val="000000" w:themeColor="text1"/>
        </w:rPr>
        <w:t xml:space="preserve"> lo que en materia de acceso a datos personales es que e</w:t>
      </w:r>
      <w:r w:rsidRPr="00892442">
        <w:rPr>
          <w:rFonts w:ascii="Palatino Linotype" w:hAnsi="Palatino Linotype" w:cs="Arial"/>
          <w:i/>
        </w:rPr>
        <w:t>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rsidR="0046059A" w:rsidRPr="00892442" w:rsidRDefault="0046059A" w:rsidP="00892442">
      <w:pPr>
        <w:autoSpaceDE w:val="0"/>
        <w:autoSpaceDN w:val="0"/>
        <w:adjustRightInd w:val="0"/>
        <w:spacing w:line="360" w:lineRule="auto"/>
        <w:jc w:val="both"/>
        <w:rPr>
          <w:rFonts w:ascii="Palatino Linotype" w:hAnsi="Palatino Linotype" w:cs="Arial"/>
          <w:i/>
        </w:rPr>
      </w:pPr>
    </w:p>
    <w:p w:rsidR="0046059A" w:rsidRPr="00892442" w:rsidRDefault="0046059A" w:rsidP="00892442">
      <w:pPr>
        <w:numPr>
          <w:ilvl w:val="0"/>
          <w:numId w:val="1"/>
        </w:numPr>
        <w:spacing w:line="360" w:lineRule="auto"/>
        <w:ind w:left="0" w:firstLine="0"/>
        <w:contextualSpacing/>
        <w:jc w:val="both"/>
        <w:rPr>
          <w:rFonts w:ascii="Palatino Linotype" w:hAnsi="Palatino Linotype" w:cs="Arial"/>
          <w:color w:val="000000" w:themeColor="text1"/>
        </w:rPr>
      </w:pPr>
      <w:r w:rsidRPr="00892442">
        <w:rPr>
          <w:rFonts w:ascii="Palatino Linotype" w:hAnsi="Palatino Linotype" w:cs="Arial"/>
          <w:color w:val="000000" w:themeColor="text1"/>
        </w:rPr>
        <w:t xml:space="preserve"> Por lo tanto, cuando </w:t>
      </w:r>
      <w:r w:rsidRPr="00892442">
        <w:rPr>
          <w:rFonts w:ascii="Palatino Linotype" w:hAnsi="Palatino Linotype" w:cs="Arial"/>
          <w:b/>
          <w:color w:val="000000" w:themeColor="text1"/>
        </w:rPr>
        <w:t>el particular</w:t>
      </w:r>
      <w:r w:rsidRPr="00892442">
        <w:rPr>
          <w:rFonts w:ascii="Palatino Linotype" w:hAnsi="Palatino Linotype" w:cs="Arial"/>
          <w:color w:val="000000" w:themeColor="text1"/>
        </w:rPr>
        <w:t>, presentó la solicitud de acceso a datos personales ante el Responsable, ejerció el derecho en cuestión a través de su garantía primaria depositada en la autoridad quien, por mandato categórico del tercer párrafo del artículo primero de la Constitución Federal</w:t>
      </w:r>
      <w:r w:rsidRPr="00892442">
        <w:rPr>
          <w:rFonts w:ascii="Palatino Linotype" w:eastAsia="Calibri" w:hAnsi="Palatino Linotype" w:cs="Arial"/>
          <w:color w:val="000000" w:themeColor="text1"/>
          <w:lang w:val="es-ES"/>
        </w:rPr>
        <w:t xml:space="preserve">, se encuentra obligado, como todas las demás autoridades, en el ámbito de su competencia, a </w:t>
      </w:r>
      <w:r w:rsidRPr="00892442">
        <w:rPr>
          <w:rFonts w:ascii="Palatino Linotype" w:eastAsia="Calibri" w:hAnsi="Palatino Linotype" w:cs="Arial"/>
          <w:b/>
          <w:color w:val="000000" w:themeColor="text1"/>
          <w:lang w:val="es-ES"/>
        </w:rPr>
        <w:t>“promover, respetar, proteger y garantizar los derechos humanos</w:t>
      </w:r>
      <w:r w:rsidRPr="00892442">
        <w:rPr>
          <w:rFonts w:ascii="Palatino Linotype" w:eastAsia="Calibri" w:hAnsi="Palatino Linotype" w:cs="Arial"/>
          <w:color w:val="000000" w:themeColor="text1"/>
          <w:lang w:val="es-ES"/>
        </w:rPr>
        <w:t>”, entre los cuales se encuentra el otorgar acceso.</w:t>
      </w:r>
    </w:p>
    <w:p w:rsidR="0046059A" w:rsidRPr="00892442" w:rsidRDefault="0046059A" w:rsidP="00892442">
      <w:pPr>
        <w:pStyle w:val="Prrafodelista"/>
        <w:spacing w:line="360" w:lineRule="auto"/>
        <w:rPr>
          <w:rFonts w:ascii="Palatino Linotype" w:hAnsi="Palatino Linotype" w:cs="Arial"/>
          <w:color w:val="000000" w:themeColor="text1"/>
        </w:rPr>
      </w:pPr>
    </w:p>
    <w:p w:rsidR="0046059A" w:rsidRDefault="0046059A" w:rsidP="00892442">
      <w:pPr>
        <w:numPr>
          <w:ilvl w:val="0"/>
          <w:numId w:val="1"/>
        </w:numPr>
        <w:spacing w:line="360" w:lineRule="auto"/>
        <w:ind w:left="0" w:firstLine="0"/>
        <w:contextualSpacing/>
        <w:jc w:val="both"/>
        <w:rPr>
          <w:rFonts w:ascii="Palatino Linotype" w:hAnsi="Palatino Linotype" w:cs="Arial"/>
          <w:color w:val="000000" w:themeColor="text1"/>
        </w:rPr>
      </w:pPr>
      <w:r w:rsidRPr="00892442">
        <w:rPr>
          <w:rFonts w:ascii="Palatino Linotype" w:hAnsi="Palatino Linotype" w:cs="Arial"/>
          <w:color w:val="000000" w:themeColor="text1"/>
        </w:rPr>
        <w:t xml:space="preserve">La garantía primaria, en la que se constituye la solicitud, impone a la autoridad la obligación de atender la solicitud en los términos requeridos, obviamente, como el resto de los derechos, ninguno es absoluto y es posible limitarlos y restringirlos, siguiendo el procedimiento que para tal efecto se encuentra establecido, sin embargo, en el caso que se resuelve, </w:t>
      </w:r>
      <w:r w:rsidRPr="00892442">
        <w:rPr>
          <w:rFonts w:ascii="Palatino Linotype" w:hAnsi="Palatino Linotype" w:cs="Arial"/>
          <w:b/>
          <w:color w:val="000000" w:themeColor="text1"/>
        </w:rPr>
        <w:t>el recurrente</w:t>
      </w:r>
      <w:r w:rsidRPr="00892442">
        <w:rPr>
          <w:rFonts w:ascii="Palatino Linotype" w:hAnsi="Palatino Linotype" w:cs="Arial"/>
          <w:color w:val="000000" w:themeColor="text1"/>
        </w:rPr>
        <w:t xml:space="preserve"> modalidad de acceso el SARCOEM</w:t>
      </w:r>
      <w:r w:rsidR="00191A0F" w:rsidRPr="00892442">
        <w:rPr>
          <w:rFonts w:ascii="Palatino Linotype" w:hAnsi="Palatino Linotype" w:cs="Arial"/>
          <w:color w:val="000000" w:themeColor="text1"/>
        </w:rPr>
        <w:t xml:space="preserve"> y Copias Certificadas</w:t>
      </w:r>
      <w:r w:rsidRPr="00892442">
        <w:rPr>
          <w:rFonts w:ascii="Palatino Linotype" w:hAnsi="Palatino Linotype" w:cs="Arial"/>
          <w:color w:val="000000" w:themeColor="text1"/>
        </w:rPr>
        <w:t xml:space="preserve">, consiguientemente y como se ha reiterado a lo largo de la presente resolución, </w:t>
      </w:r>
      <w:r w:rsidR="00191A0F" w:rsidRPr="00892442">
        <w:rPr>
          <w:rFonts w:ascii="Palatino Linotype" w:hAnsi="Palatino Linotype" w:cs="Arial"/>
          <w:color w:val="000000" w:themeColor="text1"/>
        </w:rPr>
        <w:t xml:space="preserve">no debe generarse costo alguno, pues </w:t>
      </w:r>
      <w:r w:rsidR="00FB5408" w:rsidRPr="00892442">
        <w:rPr>
          <w:rFonts w:ascii="Palatino Linotype" w:hAnsi="Palatino Linotype" w:cs="Arial"/>
          <w:color w:val="000000" w:themeColor="text1"/>
        </w:rPr>
        <w:t>el procedimiento de acceso a datos personales se rige bajo el principio de gratuidad.</w:t>
      </w:r>
    </w:p>
    <w:p w:rsidR="00892442" w:rsidRPr="00892442" w:rsidRDefault="00892442" w:rsidP="00892442">
      <w:pPr>
        <w:spacing w:line="360" w:lineRule="auto"/>
        <w:contextualSpacing/>
        <w:jc w:val="both"/>
        <w:rPr>
          <w:rFonts w:ascii="Palatino Linotype" w:hAnsi="Palatino Linotype" w:cs="Arial"/>
          <w:color w:val="000000" w:themeColor="text1"/>
        </w:rPr>
      </w:pPr>
    </w:p>
    <w:p w:rsidR="0046059A" w:rsidRPr="00892442" w:rsidRDefault="00E1136E" w:rsidP="00892442">
      <w:pPr>
        <w:pStyle w:val="Ttulo3"/>
        <w:numPr>
          <w:ilvl w:val="0"/>
          <w:numId w:val="18"/>
        </w:numPr>
        <w:spacing w:line="360" w:lineRule="auto"/>
        <w:ind w:left="851"/>
        <w:rPr>
          <w:rFonts w:ascii="Palatino Linotype" w:hAnsi="Palatino Linotype"/>
          <w:b/>
          <w:color w:val="auto"/>
        </w:rPr>
      </w:pPr>
      <w:bookmarkStart w:id="20" w:name="_Toc536191460"/>
      <w:bookmarkStart w:id="21" w:name="_Toc13132695"/>
      <w:r w:rsidRPr="00892442">
        <w:rPr>
          <w:rFonts w:ascii="Palatino Linotype" w:hAnsi="Palatino Linotype"/>
          <w:b/>
          <w:color w:val="auto"/>
        </w:rPr>
        <w:t>G</w:t>
      </w:r>
      <w:r w:rsidR="0046059A" w:rsidRPr="00892442">
        <w:rPr>
          <w:rFonts w:ascii="Palatino Linotype" w:hAnsi="Palatino Linotype"/>
          <w:b/>
          <w:color w:val="auto"/>
        </w:rPr>
        <w:t>arantía secundaria.</w:t>
      </w:r>
      <w:bookmarkEnd w:id="20"/>
      <w:bookmarkEnd w:id="21"/>
    </w:p>
    <w:p w:rsidR="0046059A" w:rsidRPr="00892442" w:rsidRDefault="0046059A" w:rsidP="00892442">
      <w:pPr>
        <w:keepNext/>
        <w:keepLines/>
        <w:spacing w:before="40" w:line="360" w:lineRule="auto"/>
        <w:outlineLvl w:val="1"/>
        <w:rPr>
          <w:rFonts w:ascii="Palatino Linotype" w:eastAsiaTheme="majorEastAsia" w:hAnsi="Palatino Linotype" w:cs="Arial"/>
          <w:b/>
          <w:iCs/>
          <w:color w:val="000000" w:themeColor="text1"/>
        </w:rPr>
      </w:pPr>
    </w:p>
    <w:p w:rsidR="0046059A" w:rsidRPr="00892442" w:rsidRDefault="0046059A" w:rsidP="00892442">
      <w:pPr>
        <w:numPr>
          <w:ilvl w:val="0"/>
          <w:numId w:val="1"/>
        </w:numPr>
        <w:spacing w:line="360" w:lineRule="auto"/>
        <w:ind w:left="0" w:firstLine="0"/>
        <w:contextualSpacing/>
        <w:jc w:val="both"/>
        <w:rPr>
          <w:rFonts w:ascii="Palatino Linotype" w:hAnsi="Palatino Linotype" w:cs="Arial"/>
          <w:color w:val="000000" w:themeColor="text1"/>
        </w:rPr>
      </w:pPr>
      <w:r w:rsidRPr="00892442">
        <w:rPr>
          <w:rFonts w:ascii="Palatino Linotype" w:hAnsi="Palatino Linotype" w:cs="Arial"/>
          <w:color w:val="000000" w:themeColor="text1"/>
        </w:rPr>
        <w:t xml:space="preserve"> Como también lo establece la doctrina y lo determina así nuestro texto fundamental, para asegurar la efectividad de los derechos no son suficientes las obligaciones y prohibiciones inmediatas a la autoridad, y ante una eventual afectación al derecho humano, el Estado tiene la obligación de </w:t>
      </w:r>
      <w:r w:rsidRPr="00892442">
        <w:rPr>
          <w:rFonts w:ascii="Palatino Linotype" w:hAnsi="Palatino Linotype" w:cs="Arial"/>
          <w:i/>
          <w:color w:val="000000" w:themeColor="text1"/>
        </w:rPr>
        <w:t>investigar, sancionar y reparar</w:t>
      </w:r>
      <w:r w:rsidRPr="00892442">
        <w:rPr>
          <w:rFonts w:ascii="Palatino Linotype" w:hAnsi="Palatino Linotype" w:cs="Arial"/>
          <w:color w:val="000000" w:themeColor="text1"/>
        </w:rPr>
        <w:t xml:space="preserve"> sus violaciones. </w:t>
      </w:r>
    </w:p>
    <w:p w:rsidR="0046059A" w:rsidRPr="00892442" w:rsidRDefault="0046059A" w:rsidP="00892442">
      <w:pPr>
        <w:spacing w:line="360" w:lineRule="auto"/>
        <w:contextualSpacing/>
        <w:jc w:val="both"/>
        <w:rPr>
          <w:rFonts w:ascii="Palatino Linotype" w:hAnsi="Palatino Linotype" w:cs="Arial"/>
          <w:color w:val="000000" w:themeColor="text1"/>
        </w:rPr>
      </w:pPr>
    </w:p>
    <w:p w:rsidR="0046059A" w:rsidRPr="00892442" w:rsidRDefault="0046059A" w:rsidP="00892442">
      <w:pPr>
        <w:numPr>
          <w:ilvl w:val="0"/>
          <w:numId w:val="1"/>
        </w:numPr>
        <w:spacing w:line="360" w:lineRule="auto"/>
        <w:ind w:left="0" w:firstLine="0"/>
        <w:contextualSpacing/>
        <w:jc w:val="both"/>
        <w:rPr>
          <w:rFonts w:ascii="Palatino Linotype" w:hAnsi="Palatino Linotype" w:cs="Arial"/>
          <w:color w:val="000000" w:themeColor="text1"/>
        </w:rPr>
      </w:pPr>
      <w:r w:rsidRPr="00892442">
        <w:rPr>
          <w:rFonts w:ascii="Palatino Linotype" w:hAnsi="Palatino Linotype" w:cs="Arial"/>
          <w:color w:val="000000" w:themeColor="text1"/>
        </w:rPr>
        <w:t xml:space="preserve"> Las propias obligaciones internacionales adquiridas por el Estado Mexicano  determinan que nuestro país cuente con un procedimiento sencillo, rápido y  efectivo</w:t>
      </w:r>
      <w:r w:rsidRPr="00892442">
        <w:rPr>
          <w:rFonts w:ascii="Palatino Linotype" w:hAnsi="Palatino Linotype" w:cs="Arial"/>
          <w:color w:val="000000" w:themeColor="text1"/>
          <w:vertAlign w:val="superscript"/>
        </w:rPr>
        <w:footnoteReference w:id="7"/>
      </w:r>
      <w:r w:rsidRPr="00892442">
        <w:rPr>
          <w:rFonts w:ascii="Palatino Linotype" w:hAnsi="Palatino Linotype" w:cs="Arial"/>
          <w:color w:val="000000" w:themeColor="text1"/>
        </w:rPr>
        <w:t xml:space="preserve"> para la protección del derecho que ha implicado el diseño del recurso de revisión como una garantía secundaria, desahogada en sede de un órgano constitucionalmente autónomo, cuya fuerza en sus resoluciones es definitiva en todos aquellos casos en los que las pretensiones de la persona se colman ordenando al Sujeto Obligado la entrega de la información requerida y a través del desahogo de un procedimiento materialmente jurisdiccional.</w:t>
      </w:r>
      <w:r w:rsidRPr="00892442">
        <w:rPr>
          <w:rFonts w:ascii="Palatino Linotype" w:hAnsi="Palatino Linotype" w:cs="Arial"/>
          <w:color w:val="000000" w:themeColor="text1"/>
          <w:vertAlign w:val="superscript"/>
        </w:rPr>
        <w:footnoteReference w:id="8"/>
      </w:r>
      <w:r w:rsidRPr="00892442">
        <w:rPr>
          <w:rFonts w:ascii="Palatino Linotype" w:hAnsi="Palatino Linotype" w:cs="Arial"/>
          <w:color w:val="000000" w:themeColor="text1"/>
        </w:rPr>
        <w:t xml:space="preserve"> </w:t>
      </w:r>
    </w:p>
    <w:p w:rsidR="0046059A" w:rsidRPr="00892442" w:rsidRDefault="0046059A" w:rsidP="00892442">
      <w:pPr>
        <w:spacing w:line="360" w:lineRule="auto"/>
        <w:contextualSpacing/>
        <w:rPr>
          <w:rFonts w:ascii="Palatino Linotype" w:hAnsi="Palatino Linotype" w:cs="Arial"/>
          <w:color w:val="000000" w:themeColor="text1"/>
        </w:rPr>
      </w:pPr>
    </w:p>
    <w:p w:rsidR="0046059A" w:rsidRDefault="0046059A" w:rsidP="00892442">
      <w:pPr>
        <w:numPr>
          <w:ilvl w:val="0"/>
          <w:numId w:val="1"/>
        </w:numPr>
        <w:spacing w:line="360" w:lineRule="auto"/>
        <w:ind w:left="0" w:firstLine="0"/>
        <w:contextualSpacing/>
        <w:jc w:val="both"/>
        <w:rPr>
          <w:rFonts w:ascii="Palatino Linotype" w:hAnsi="Palatino Linotype" w:cs="Arial"/>
          <w:color w:val="000000" w:themeColor="text1"/>
        </w:rPr>
      </w:pPr>
      <w:r w:rsidRPr="00892442">
        <w:rPr>
          <w:rFonts w:ascii="Palatino Linotype" w:hAnsi="Palatino Linotype" w:cs="Arial"/>
          <w:color w:val="000000" w:themeColor="text1"/>
        </w:rPr>
        <w:t>Lo que fue entendido por el legislador ordinario mexiquense quien a través del artículo 119 de la ley estatal de Protección de Datos Personales citada previamente, ha señalado que e</w:t>
      </w:r>
      <w:r w:rsidRPr="00892442">
        <w:rPr>
          <w:rFonts w:ascii="Palatino Linotype" w:hAnsi="Palatino Linotype" w:cs="Arial"/>
          <w:i/>
          <w:color w:val="000000" w:themeColor="text1"/>
        </w:rPr>
        <w:t>l titular o su representante podrán interponer un recurso de revisión ante el Instituto o bien, ante la Unidad de Transparencia del responsable que haya conocido de la solicitud.</w:t>
      </w:r>
      <w:r w:rsidR="000F689C" w:rsidRPr="00892442">
        <w:rPr>
          <w:rFonts w:ascii="Palatino Linotype" w:hAnsi="Palatino Linotype" w:cs="Arial"/>
          <w:i/>
          <w:color w:val="000000" w:themeColor="text1"/>
        </w:rPr>
        <w:t xml:space="preserve"> </w:t>
      </w:r>
      <w:r w:rsidR="000F689C" w:rsidRPr="00892442">
        <w:rPr>
          <w:rFonts w:ascii="Palatino Linotype" w:hAnsi="Palatino Linotype" w:cs="Arial"/>
          <w:color w:val="000000" w:themeColor="text1"/>
        </w:rPr>
        <w:t>Dicha acción será ejercida cuando el recurrente considere que su derecho fue violado o restringido.</w:t>
      </w:r>
    </w:p>
    <w:p w:rsidR="00892442" w:rsidRPr="00892442" w:rsidRDefault="00892442" w:rsidP="00892442">
      <w:pPr>
        <w:spacing w:line="360" w:lineRule="auto"/>
        <w:contextualSpacing/>
        <w:jc w:val="both"/>
        <w:rPr>
          <w:rFonts w:ascii="Palatino Linotype" w:hAnsi="Palatino Linotype" w:cs="Arial"/>
          <w:color w:val="000000" w:themeColor="text1"/>
        </w:rPr>
      </w:pPr>
    </w:p>
    <w:p w:rsidR="00FB5408" w:rsidRPr="00892442" w:rsidRDefault="0046059A" w:rsidP="00892442">
      <w:pPr>
        <w:numPr>
          <w:ilvl w:val="0"/>
          <w:numId w:val="1"/>
        </w:numPr>
        <w:spacing w:line="360" w:lineRule="auto"/>
        <w:ind w:left="0" w:firstLine="0"/>
        <w:contextualSpacing/>
        <w:jc w:val="both"/>
        <w:rPr>
          <w:rFonts w:ascii="Palatino Linotype" w:hAnsi="Palatino Linotype" w:cs="Arial"/>
          <w:b/>
          <w:color w:val="000000" w:themeColor="text1"/>
        </w:rPr>
      </w:pPr>
      <w:r w:rsidRPr="00892442">
        <w:rPr>
          <w:rFonts w:ascii="Palatino Linotype" w:hAnsi="Palatino Linotype" w:cs="Arial"/>
          <w:color w:val="000000" w:themeColor="text1"/>
        </w:rPr>
        <w:t xml:space="preserve">El motivo de inconformidad consiste en que el Sujeto Obligado </w:t>
      </w:r>
      <w:r w:rsidR="00FB5408" w:rsidRPr="00892442">
        <w:rPr>
          <w:rFonts w:ascii="Palatino Linotype" w:hAnsi="Palatino Linotype" w:cs="Arial"/>
          <w:color w:val="000000" w:themeColor="text1"/>
        </w:rPr>
        <w:t>pretende cobrar por el acceso a los datos personales</w:t>
      </w:r>
      <w:r w:rsidRPr="00892442">
        <w:rPr>
          <w:rFonts w:ascii="Palatino Linotype" w:hAnsi="Palatino Linotype" w:cs="Arial"/>
          <w:color w:val="000000" w:themeColor="text1"/>
        </w:rPr>
        <w:t xml:space="preserve">, </w:t>
      </w:r>
      <w:r w:rsidR="00FB5408" w:rsidRPr="00892442">
        <w:rPr>
          <w:rFonts w:ascii="Palatino Linotype" w:hAnsi="Palatino Linotype" w:cs="Arial"/>
          <w:color w:val="000000" w:themeColor="text1"/>
        </w:rPr>
        <w:t xml:space="preserve">sin embargo, </w:t>
      </w:r>
      <w:r w:rsidR="00191A0F" w:rsidRPr="00892442">
        <w:rPr>
          <w:rFonts w:ascii="Palatino Linotype" w:hAnsi="Palatino Linotype" w:cs="Arial"/>
          <w:color w:val="000000" w:themeColor="text1"/>
        </w:rPr>
        <w:t>no señaló la forma y el procedimiento a seguir para la realización del pago de los derechos</w:t>
      </w:r>
      <w:proofErr w:type="gramStart"/>
      <w:r w:rsidR="00191A0F" w:rsidRPr="00892442">
        <w:rPr>
          <w:rFonts w:ascii="Palatino Linotype" w:hAnsi="Palatino Linotype" w:cs="Arial"/>
          <w:color w:val="000000" w:themeColor="text1"/>
        </w:rPr>
        <w:t>,</w:t>
      </w:r>
      <w:r w:rsidR="00FB5408" w:rsidRPr="00892442">
        <w:rPr>
          <w:rFonts w:ascii="Palatino Linotype" w:hAnsi="Palatino Linotype" w:cs="Arial"/>
          <w:color w:val="000000" w:themeColor="text1"/>
        </w:rPr>
        <w:t>,</w:t>
      </w:r>
      <w:proofErr w:type="gramEnd"/>
      <w:r w:rsidR="00FB5408" w:rsidRPr="00892442">
        <w:rPr>
          <w:rFonts w:ascii="Palatino Linotype" w:hAnsi="Palatino Linotype" w:cs="Arial"/>
          <w:color w:val="000000" w:themeColor="text1"/>
        </w:rPr>
        <w:t xml:space="preserve"> por lo que el Sujeto Obligado recayó en una negligencia u omisión en el cumplimiento de la normatividad, pudiendo así restringir el derecho accionado.</w:t>
      </w:r>
    </w:p>
    <w:p w:rsidR="0046059A" w:rsidRPr="00892442" w:rsidRDefault="0046059A" w:rsidP="00892442">
      <w:pPr>
        <w:spacing w:line="360" w:lineRule="auto"/>
        <w:contextualSpacing/>
        <w:jc w:val="both"/>
        <w:rPr>
          <w:rFonts w:ascii="Palatino Linotype" w:hAnsi="Palatino Linotype" w:cs="Arial"/>
          <w:color w:val="000000" w:themeColor="text1"/>
        </w:rPr>
      </w:pPr>
    </w:p>
    <w:p w:rsidR="0046059A" w:rsidRPr="00892442" w:rsidRDefault="0046059A" w:rsidP="00892442">
      <w:pPr>
        <w:pStyle w:val="Ttulo3"/>
        <w:numPr>
          <w:ilvl w:val="0"/>
          <w:numId w:val="18"/>
        </w:numPr>
        <w:spacing w:line="360" w:lineRule="auto"/>
        <w:ind w:left="851"/>
        <w:rPr>
          <w:rFonts w:ascii="Palatino Linotype" w:hAnsi="Palatino Linotype"/>
          <w:b/>
          <w:color w:val="auto"/>
        </w:rPr>
      </w:pPr>
      <w:bookmarkStart w:id="22" w:name="_Toc536191461"/>
      <w:bookmarkStart w:id="23" w:name="_Toc13132696"/>
      <w:r w:rsidRPr="00892442">
        <w:rPr>
          <w:rFonts w:ascii="Palatino Linotype" w:hAnsi="Palatino Linotype"/>
          <w:b/>
          <w:color w:val="auto"/>
        </w:rPr>
        <w:t>Consecuencias de la violación al derecho humano.</w:t>
      </w:r>
      <w:bookmarkEnd w:id="22"/>
      <w:bookmarkEnd w:id="23"/>
      <w:r w:rsidRPr="00892442">
        <w:rPr>
          <w:rFonts w:ascii="Palatino Linotype" w:hAnsi="Palatino Linotype"/>
          <w:b/>
          <w:color w:val="auto"/>
        </w:rPr>
        <w:t xml:space="preserve"> </w:t>
      </w:r>
    </w:p>
    <w:p w:rsidR="0046059A" w:rsidRPr="00892442" w:rsidRDefault="0046059A" w:rsidP="00892442">
      <w:pPr>
        <w:keepNext/>
        <w:keepLines/>
        <w:spacing w:before="40" w:line="360" w:lineRule="auto"/>
        <w:outlineLvl w:val="1"/>
        <w:rPr>
          <w:rFonts w:ascii="Palatino Linotype" w:eastAsiaTheme="majorEastAsia" w:hAnsi="Palatino Linotype" w:cs="Arial"/>
          <w:b/>
          <w:iCs/>
          <w:color w:val="000000" w:themeColor="text1"/>
        </w:rPr>
      </w:pPr>
    </w:p>
    <w:p w:rsidR="0046059A" w:rsidRPr="00892442" w:rsidRDefault="00AB5CCF" w:rsidP="00892442">
      <w:pPr>
        <w:numPr>
          <w:ilvl w:val="0"/>
          <w:numId w:val="1"/>
        </w:numPr>
        <w:spacing w:line="360" w:lineRule="auto"/>
        <w:ind w:left="0" w:firstLine="0"/>
        <w:contextualSpacing/>
        <w:jc w:val="both"/>
        <w:rPr>
          <w:rFonts w:ascii="Palatino Linotype" w:hAnsi="Palatino Linotype" w:cs="Arial"/>
          <w:color w:val="000000" w:themeColor="text1"/>
        </w:rPr>
      </w:pPr>
      <w:r w:rsidRPr="00892442">
        <w:rPr>
          <w:rFonts w:ascii="Palatino Linotype" w:hAnsi="Palatino Linotype" w:cs="Arial"/>
          <w:color w:val="000000" w:themeColor="text1"/>
        </w:rPr>
        <w:t>L</w:t>
      </w:r>
      <w:r w:rsidR="0046059A" w:rsidRPr="00892442">
        <w:rPr>
          <w:rFonts w:ascii="Palatino Linotype" w:hAnsi="Palatino Linotype" w:cs="Arial"/>
          <w:color w:val="000000" w:themeColor="text1"/>
        </w:rPr>
        <w:t>os derechos no son efectivos sin las garantías que permitan su pleno cumplimiento, también estamos convencidos de que las garantías son limitadas si las afectaciones o violaciones a los derechos humanos no se acompañan de las medidas adecuadas para asegurar lo que la Corte Interamericana de Derechos Humanos ampliamente ha establecido como doctrina consolidada en materia de no repetición de las conductas que lo violan,</w:t>
      </w:r>
      <w:r w:rsidR="0046059A" w:rsidRPr="00892442">
        <w:rPr>
          <w:rFonts w:ascii="Palatino Linotype" w:hAnsi="Palatino Linotype" w:cs="Arial"/>
          <w:color w:val="000000" w:themeColor="text1"/>
          <w:vertAlign w:val="superscript"/>
        </w:rPr>
        <w:footnoteReference w:id="9"/>
      </w:r>
      <w:r w:rsidR="0046059A" w:rsidRPr="00892442">
        <w:rPr>
          <w:rFonts w:ascii="Palatino Linotype" w:hAnsi="Palatino Linotype" w:cs="Arial"/>
          <w:color w:val="000000" w:themeColor="text1"/>
        </w:rPr>
        <w:t xml:space="preserve"> o lo que </w:t>
      </w:r>
      <w:proofErr w:type="spellStart"/>
      <w:r w:rsidR="0046059A" w:rsidRPr="00892442">
        <w:rPr>
          <w:rFonts w:ascii="Palatino Linotype" w:hAnsi="Palatino Linotype" w:cs="Arial"/>
          <w:color w:val="000000" w:themeColor="text1"/>
        </w:rPr>
        <w:t>Ferrajoli</w:t>
      </w:r>
      <w:proofErr w:type="spellEnd"/>
      <w:r w:rsidR="0046059A" w:rsidRPr="00892442">
        <w:rPr>
          <w:rFonts w:ascii="Palatino Linotype" w:hAnsi="Palatino Linotype" w:cs="Arial"/>
          <w:color w:val="000000" w:themeColor="text1"/>
        </w:rPr>
        <w:t xml:space="preserve"> señala como la </w:t>
      </w:r>
      <w:r w:rsidR="0046059A" w:rsidRPr="00892442">
        <w:rPr>
          <w:rFonts w:ascii="Palatino Linotype" w:hAnsi="Palatino Linotype" w:cs="Arial"/>
          <w:i/>
          <w:color w:val="000000" w:themeColor="text1"/>
        </w:rPr>
        <w:t>sanción por los actos ilícitos</w:t>
      </w:r>
      <w:r w:rsidR="0046059A" w:rsidRPr="00892442">
        <w:rPr>
          <w:rFonts w:ascii="Palatino Linotype" w:hAnsi="Palatino Linotype" w:cs="Arial"/>
          <w:color w:val="000000" w:themeColor="text1"/>
        </w:rPr>
        <w:t xml:space="preserve"> según se ha citado ya. Lo cual implica que se debe revisar si el ordenamiento jurídico actual establece un procedimiento determinado que permita sancionar esta afectación particular al derecho accionado.</w:t>
      </w:r>
    </w:p>
    <w:p w:rsidR="0046059A" w:rsidRPr="00892442" w:rsidRDefault="0046059A" w:rsidP="00892442">
      <w:pPr>
        <w:pStyle w:val="Prrafodelista"/>
        <w:spacing w:line="360" w:lineRule="auto"/>
        <w:rPr>
          <w:rFonts w:ascii="Palatino Linotype" w:hAnsi="Palatino Linotype" w:cs="Arial"/>
          <w:color w:val="000000" w:themeColor="text1"/>
        </w:rPr>
      </w:pPr>
    </w:p>
    <w:p w:rsidR="0046059A" w:rsidRPr="00892442" w:rsidRDefault="00AB5CCF" w:rsidP="00892442">
      <w:pPr>
        <w:numPr>
          <w:ilvl w:val="0"/>
          <w:numId w:val="1"/>
        </w:numPr>
        <w:spacing w:line="360" w:lineRule="auto"/>
        <w:ind w:left="0" w:firstLine="0"/>
        <w:contextualSpacing/>
        <w:jc w:val="both"/>
        <w:rPr>
          <w:rFonts w:ascii="Palatino Linotype" w:hAnsi="Palatino Linotype" w:cs="Arial"/>
          <w:color w:val="000000" w:themeColor="text1"/>
        </w:rPr>
      </w:pPr>
      <w:r w:rsidRPr="00892442">
        <w:rPr>
          <w:rFonts w:ascii="Palatino Linotype" w:hAnsi="Palatino Linotype" w:cs="Arial"/>
          <w:color w:val="000000" w:themeColor="text1"/>
        </w:rPr>
        <w:t>E</w:t>
      </w:r>
      <w:r w:rsidR="0046059A" w:rsidRPr="00892442">
        <w:rPr>
          <w:rFonts w:ascii="Palatino Linotype" w:hAnsi="Palatino Linotype" w:cs="Arial"/>
          <w:color w:val="000000" w:themeColor="text1"/>
        </w:rPr>
        <w:t>l legislador ordinario federal y estatal, previó esta circunstancia y por esa razón estableció dos consecuencias precisas para sancionar este tipo de violaciones o afectaciones al derecho. La primera en la dimensión de las responsabilidades individuales de los servidores públicos, según consta en el artículo 165 fracción I, de la multicitada ley estatal de protección de datos personales en posesión de los Sujetos Obligados que determina como causa de responsabilidad administrativa de los servidores públicos el actuar con negligencia, dolo o mala fe en la sustanciación de las solicitudes de acceso, rectificación, cancelación u oposición de datos personales.</w:t>
      </w:r>
    </w:p>
    <w:p w:rsidR="0046059A" w:rsidRPr="00892442" w:rsidRDefault="0046059A" w:rsidP="00892442">
      <w:pPr>
        <w:pStyle w:val="Prrafodelista"/>
        <w:spacing w:line="360" w:lineRule="auto"/>
        <w:rPr>
          <w:rFonts w:ascii="Palatino Linotype" w:hAnsi="Palatino Linotype" w:cs="Arial"/>
          <w:color w:val="000000" w:themeColor="text1"/>
        </w:rPr>
      </w:pPr>
    </w:p>
    <w:p w:rsidR="0046059A" w:rsidRDefault="0046059A" w:rsidP="00892442">
      <w:pPr>
        <w:numPr>
          <w:ilvl w:val="0"/>
          <w:numId w:val="1"/>
        </w:numPr>
        <w:spacing w:line="360" w:lineRule="auto"/>
        <w:ind w:left="0" w:firstLine="0"/>
        <w:contextualSpacing/>
        <w:jc w:val="both"/>
        <w:rPr>
          <w:rFonts w:ascii="Palatino Linotype" w:hAnsi="Palatino Linotype" w:cs="Arial"/>
          <w:color w:val="000000" w:themeColor="text1"/>
        </w:rPr>
      </w:pPr>
      <w:r w:rsidRPr="00892442">
        <w:rPr>
          <w:rFonts w:ascii="Palatino Linotype" w:hAnsi="Palatino Linotype" w:cs="Arial"/>
          <w:color w:val="000000" w:themeColor="text1"/>
        </w:rPr>
        <w:t xml:space="preserve"> En este caso es evidente que el pago que se pretende aplicar para la expedición de la información requerida por </w:t>
      </w:r>
      <w:r w:rsidRPr="00892442">
        <w:rPr>
          <w:rFonts w:ascii="Palatino Linotype" w:hAnsi="Palatino Linotype" w:cs="Arial"/>
          <w:b/>
          <w:color w:val="000000" w:themeColor="text1"/>
        </w:rPr>
        <w:t>el r</w:t>
      </w:r>
      <w:r w:rsidR="00144A2C" w:rsidRPr="00892442">
        <w:rPr>
          <w:rFonts w:ascii="Palatino Linotype" w:hAnsi="Palatino Linotype" w:cs="Arial"/>
          <w:b/>
          <w:color w:val="000000" w:themeColor="text1"/>
        </w:rPr>
        <w:t xml:space="preserve">ecurrente, no resulta aplicable de acuerdo al contenido del artículo 234 </w:t>
      </w:r>
      <w:r w:rsidRPr="00892442">
        <w:rPr>
          <w:rFonts w:ascii="Palatino Linotype" w:hAnsi="Palatino Linotype" w:cs="Arial"/>
          <w:color w:val="000000" w:themeColor="text1"/>
        </w:rPr>
        <w:t xml:space="preserve">de la Ley de Transparencia y Acceso a la Información Pública del Estado de México y </w:t>
      </w:r>
      <w:proofErr w:type="gramStart"/>
      <w:r w:rsidRPr="00892442">
        <w:rPr>
          <w:rFonts w:ascii="Palatino Linotype" w:hAnsi="Palatino Linotype" w:cs="Arial"/>
          <w:color w:val="000000" w:themeColor="text1"/>
        </w:rPr>
        <w:t>Municipios  de</w:t>
      </w:r>
      <w:proofErr w:type="gramEnd"/>
      <w:r w:rsidRPr="00892442">
        <w:rPr>
          <w:rFonts w:ascii="Palatino Linotype" w:hAnsi="Palatino Linotype" w:cs="Arial"/>
          <w:color w:val="000000" w:themeColor="text1"/>
        </w:rPr>
        <w:t xml:space="preserve"> aplicación supletoria a la Ley de Protección de Datos Personales en posesión de los Sujetos Obligados de</w:t>
      </w:r>
      <w:r w:rsidR="00144A2C" w:rsidRPr="00892442">
        <w:rPr>
          <w:rFonts w:ascii="Palatino Linotype" w:hAnsi="Palatino Linotype" w:cs="Arial"/>
          <w:color w:val="000000" w:themeColor="text1"/>
        </w:rPr>
        <w:t>l Estado de México y Municipios.</w:t>
      </w:r>
    </w:p>
    <w:p w:rsidR="00892442" w:rsidRPr="00892442" w:rsidRDefault="00892442" w:rsidP="00892442">
      <w:pPr>
        <w:spacing w:line="360" w:lineRule="auto"/>
        <w:contextualSpacing/>
        <w:jc w:val="both"/>
        <w:rPr>
          <w:rFonts w:ascii="Palatino Linotype" w:hAnsi="Palatino Linotype" w:cs="Arial"/>
          <w:color w:val="000000" w:themeColor="text1"/>
        </w:rPr>
      </w:pPr>
    </w:p>
    <w:p w:rsidR="00D0504D" w:rsidRPr="00892442" w:rsidRDefault="0046059A" w:rsidP="00892442">
      <w:pPr>
        <w:numPr>
          <w:ilvl w:val="0"/>
          <w:numId w:val="1"/>
        </w:numPr>
        <w:spacing w:line="360" w:lineRule="auto"/>
        <w:ind w:left="0" w:firstLine="0"/>
        <w:contextualSpacing/>
        <w:jc w:val="both"/>
        <w:rPr>
          <w:rFonts w:ascii="Palatino Linotype" w:hAnsi="Palatino Linotype" w:cs="Arial"/>
          <w:color w:val="000000" w:themeColor="text1"/>
        </w:rPr>
      </w:pPr>
      <w:r w:rsidRPr="00892442">
        <w:rPr>
          <w:rFonts w:ascii="Palatino Linotype" w:hAnsi="Palatino Linotype" w:cs="Arial"/>
          <w:color w:val="000000" w:themeColor="text1"/>
        </w:rPr>
        <w:t xml:space="preserve">El precepto legal en comento resulta aplicable al caso que nos ocupa, toda vez que el Sujeto Obligado </w:t>
      </w:r>
      <w:r w:rsidR="00AB5CCF" w:rsidRPr="00892442">
        <w:rPr>
          <w:rFonts w:ascii="Palatino Linotype" w:hAnsi="Palatino Linotype" w:cs="Arial"/>
          <w:color w:val="000000" w:themeColor="text1"/>
        </w:rPr>
        <w:t>fue omiso en apegarse en todo momento a la normatividad y alejarse también, del principio de gratuidad y pro persona, lo cual debe ser reparado por</w:t>
      </w:r>
      <w:r w:rsidRPr="00892442">
        <w:rPr>
          <w:rFonts w:ascii="Palatino Linotype" w:hAnsi="Palatino Linotype" w:cs="Arial"/>
          <w:color w:val="000000" w:themeColor="text1"/>
        </w:rPr>
        <w:t xml:space="preserve"> encuadra</w:t>
      </w:r>
      <w:r w:rsidR="00AB5CCF" w:rsidRPr="00892442">
        <w:rPr>
          <w:rFonts w:ascii="Palatino Linotype" w:hAnsi="Palatino Linotype" w:cs="Arial"/>
          <w:color w:val="000000" w:themeColor="text1"/>
        </w:rPr>
        <w:t>r</w:t>
      </w:r>
      <w:r w:rsidRPr="00892442">
        <w:rPr>
          <w:rFonts w:ascii="Palatino Linotype" w:hAnsi="Palatino Linotype" w:cs="Arial"/>
          <w:color w:val="000000" w:themeColor="text1"/>
        </w:rPr>
        <w:t xml:space="preserve"> perfectamente en el artículo 234 aquí citado.</w:t>
      </w:r>
      <w:r w:rsidR="0042443A" w:rsidRPr="00892442">
        <w:rPr>
          <w:rFonts w:ascii="Palatino Linotype" w:hAnsi="Palatino Linotype" w:cs="Arial"/>
          <w:color w:val="000000" w:themeColor="text1"/>
        </w:rPr>
        <w:t xml:space="preserve"> </w:t>
      </w:r>
    </w:p>
    <w:p w:rsidR="00B011AC" w:rsidRPr="00892442" w:rsidRDefault="00B011AC" w:rsidP="00892442">
      <w:pPr>
        <w:spacing w:line="360" w:lineRule="auto"/>
        <w:contextualSpacing/>
        <w:jc w:val="both"/>
        <w:rPr>
          <w:rFonts w:ascii="Palatino Linotype" w:hAnsi="Palatino Linotype" w:cs="Arial"/>
          <w:color w:val="000000" w:themeColor="text1"/>
        </w:rPr>
      </w:pPr>
    </w:p>
    <w:p w:rsidR="00B011AC" w:rsidRPr="00892442" w:rsidRDefault="00B011AC" w:rsidP="00892442">
      <w:pPr>
        <w:pStyle w:val="Ttulo2"/>
        <w:numPr>
          <w:ilvl w:val="0"/>
          <w:numId w:val="4"/>
        </w:numPr>
        <w:spacing w:line="360" w:lineRule="auto"/>
        <w:rPr>
          <w:rFonts w:ascii="Palatino Linotype" w:eastAsia="Calibri" w:hAnsi="Palatino Linotype"/>
          <w:b/>
          <w:color w:val="auto"/>
          <w:sz w:val="24"/>
          <w:szCs w:val="24"/>
        </w:rPr>
      </w:pPr>
      <w:bookmarkStart w:id="24" w:name="_Toc3312781"/>
      <w:bookmarkStart w:id="25" w:name="_Toc13132697"/>
      <w:r w:rsidRPr="00892442">
        <w:rPr>
          <w:rFonts w:ascii="Palatino Linotype" w:eastAsia="Calibri" w:hAnsi="Palatino Linotype"/>
          <w:b/>
          <w:color w:val="auto"/>
          <w:sz w:val="24"/>
          <w:szCs w:val="24"/>
        </w:rPr>
        <w:t>De la búsqueda exhaustiva.</w:t>
      </w:r>
      <w:bookmarkEnd w:id="24"/>
      <w:bookmarkEnd w:id="25"/>
    </w:p>
    <w:p w:rsidR="00B011AC" w:rsidRPr="00892442" w:rsidRDefault="00B011AC" w:rsidP="00892442">
      <w:pPr>
        <w:spacing w:line="360" w:lineRule="auto"/>
        <w:contextualSpacing/>
        <w:jc w:val="both"/>
        <w:rPr>
          <w:rFonts w:ascii="Palatino Linotype" w:hAnsi="Palatino Linotype" w:cs="Arial"/>
          <w:color w:val="000000" w:themeColor="text1"/>
        </w:rPr>
      </w:pPr>
    </w:p>
    <w:p w:rsidR="00C71A73" w:rsidRPr="00892442" w:rsidRDefault="00B011AC" w:rsidP="00892442">
      <w:pPr>
        <w:numPr>
          <w:ilvl w:val="0"/>
          <w:numId w:val="1"/>
        </w:numPr>
        <w:spacing w:line="360" w:lineRule="auto"/>
        <w:ind w:left="0" w:firstLine="0"/>
        <w:contextualSpacing/>
        <w:jc w:val="both"/>
        <w:rPr>
          <w:rFonts w:ascii="Palatino Linotype" w:hAnsi="Palatino Linotype" w:cs="Arial"/>
          <w:color w:val="000000" w:themeColor="text1"/>
        </w:rPr>
      </w:pPr>
      <w:r w:rsidRPr="00892442">
        <w:rPr>
          <w:rFonts w:ascii="Palatino Linotype" w:hAnsi="Palatino Linotype" w:cs="Arial"/>
          <w:color w:val="000000" w:themeColor="text1"/>
        </w:rPr>
        <w:t>Por otra parte, e</w:t>
      </w:r>
      <w:r w:rsidR="00C71A73" w:rsidRPr="00892442">
        <w:rPr>
          <w:rFonts w:ascii="Palatino Linotype" w:hAnsi="Palatino Linotype" w:cs="Arial"/>
          <w:color w:val="000000" w:themeColor="text1"/>
        </w:rPr>
        <w:t>l responsable proporcionó parte de la información requerida; sin embargo, no se tiene certeza de que la información puesta a disposición sea toda con la que cuenta en sus archivos, toda vez que el área que entregó</w:t>
      </w:r>
      <w:r w:rsidR="001F5CFC" w:rsidRPr="00892442">
        <w:rPr>
          <w:rFonts w:ascii="Palatino Linotype" w:hAnsi="Palatino Linotype" w:cs="Arial"/>
          <w:color w:val="000000" w:themeColor="text1"/>
        </w:rPr>
        <w:t xml:space="preserve"> los documentos es la Tesorería.</w:t>
      </w:r>
    </w:p>
    <w:p w:rsidR="001F5CFC" w:rsidRPr="00892442" w:rsidRDefault="001F5CFC" w:rsidP="00892442">
      <w:pPr>
        <w:pStyle w:val="Prrafodelista"/>
        <w:spacing w:line="360" w:lineRule="auto"/>
        <w:rPr>
          <w:rFonts w:ascii="Palatino Linotype" w:hAnsi="Palatino Linotype" w:cs="Arial"/>
          <w:color w:val="000000" w:themeColor="text1"/>
        </w:rPr>
      </w:pPr>
    </w:p>
    <w:p w:rsidR="001F5CFC" w:rsidRPr="00892442" w:rsidRDefault="001F5CFC" w:rsidP="00892442">
      <w:pPr>
        <w:numPr>
          <w:ilvl w:val="0"/>
          <w:numId w:val="1"/>
        </w:numPr>
        <w:spacing w:line="360" w:lineRule="auto"/>
        <w:ind w:left="0" w:firstLine="0"/>
        <w:contextualSpacing/>
        <w:jc w:val="both"/>
        <w:rPr>
          <w:rFonts w:ascii="Palatino Linotype" w:hAnsi="Palatino Linotype" w:cs="Arial"/>
          <w:color w:val="000000" w:themeColor="text1"/>
        </w:rPr>
      </w:pPr>
      <w:r w:rsidRPr="00892442">
        <w:rPr>
          <w:rFonts w:ascii="Palatino Linotype" w:hAnsi="Palatino Linotype" w:cs="Arial"/>
          <w:color w:val="000000" w:themeColor="text1"/>
        </w:rPr>
        <w:t>Ninguna otra área se pronunció al respecto, como lo es, de manera enunciativa más no limitativa, la Dirección de Desarrollo Urbano y Sustentable a través de la Subdirección de Gestión Urbana, puesto que es el área encargada de recibir y atender las solicitudes de personas físicas o jurídico colectivas para la obtención de autorizaciones de construcción (licencias y/o permisos). O bien, en su defecto, los recibos por los diversos impuestos relativos al predio.</w:t>
      </w:r>
    </w:p>
    <w:p w:rsidR="00C71A73" w:rsidRPr="00892442" w:rsidRDefault="00C71A73" w:rsidP="00892442">
      <w:pPr>
        <w:pStyle w:val="Prrafodelista"/>
        <w:spacing w:line="360" w:lineRule="auto"/>
        <w:rPr>
          <w:rFonts w:ascii="Palatino Linotype" w:hAnsi="Palatino Linotype" w:cs="Arial"/>
          <w:color w:val="000000" w:themeColor="text1"/>
          <w:highlight w:val="cyan"/>
        </w:rPr>
      </w:pPr>
    </w:p>
    <w:p w:rsidR="00B011AC" w:rsidRPr="00892442" w:rsidRDefault="00B011AC" w:rsidP="0089244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92442">
        <w:rPr>
          <w:rFonts w:ascii="Palatino Linotype" w:hAnsi="Palatino Linotype"/>
          <w:lang w:val="es-ES"/>
        </w:rPr>
        <w:t>Es así que se aprecia que dentro de la estructura orgánica del Sujeto Obligado existen otras áreas que, de acuerdo a sus funciones, atribuciones y competencias, pudieran contar con la información.</w:t>
      </w:r>
    </w:p>
    <w:p w:rsidR="00B011AC" w:rsidRPr="00892442" w:rsidRDefault="00B011AC" w:rsidP="00892442">
      <w:pPr>
        <w:pStyle w:val="Prrafodelista"/>
        <w:tabs>
          <w:tab w:val="left" w:pos="851"/>
        </w:tabs>
        <w:spacing w:line="360" w:lineRule="auto"/>
        <w:ind w:left="0" w:right="49"/>
        <w:jc w:val="both"/>
        <w:rPr>
          <w:rFonts w:ascii="Palatino Linotype" w:hAnsi="Palatino Linotype"/>
          <w:lang w:val="es-ES"/>
        </w:rPr>
      </w:pPr>
    </w:p>
    <w:p w:rsidR="00B011AC" w:rsidRPr="00892442" w:rsidRDefault="00B011AC" w:rsidP="0089244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92442">
        <w:rPr>
          <w:rFonts w:ascii="Palatino Linotype" w:hAnsi="Palatino Linotype"/>
          <w:lang w:val="es-ES"/>
        </w:rPr>
        <w:t>No debemos pasar desapercibido que, los Sujetos Obligados, en materia del ejercicio de los derechos ARCO, deben aplicar de manera supletoria la Ley de Transparencia y, en todo momento deben apegar su actuar conforme a la normatividad.</w:t>
      </w:r>
    </w:p>
    <w:p w:rsidR="00B011AC" w:rsidRPr="00892442" w:rsidRDefault="00B011AC" w:rsidP="00892442">
      <w:pPr>
        <w:pStyle w:val="Prrafodelista"/>
        <w:spacing w:line="360" w:lineRule="auto"/>
        <w:rPr>
          <w:rFonts w:ascii="Palatino Linotype" w:hAnsi="Palatino Linotype"/>
          <w:lang w:val="es-ES"/>
        </w:rPr>
      </w:pPr>
    </w:p>
    <w:p w:rsidR="00B011AC" w:rsidRPr="00892442" w:rsidRDefault="00B011AC" w:rsidP="00892442">
      <w:pPr>
        <w:pStyle w:val="Prrafodelista"/>
        <w:numPr>
          <w:ilvl w:val="0"/>
          <w:numId w:val="1"/>
        </w:numPr>
        <w:spacing w:line="360" w:lineRule="auto"/>
        <w:ind w:left="0" w:firstLine="0"/>
        <w:jc w:val="both"/>
        <w:rPr>
          <w:rFonts w:ascii="Palatino Linotype" w:eastAsia="Calibri" w:hAnsi="Palatino Linotype" w:cs="Arial"/>
        </w:rPr>
      </w:pPr>
      <w:r w:rsidRPr="00892442">
        <w:rPr>
          <w:rFonts w:ascii="Palatino Linotype" w:hAnsi="Palatino Linotype"/>
        </w:rPr>
        <w:t xml:space="preserve">Las funciones que realizan las Unidades de Transparencia de los Sujetos Obligados es fundamental para el correcto cumplimiento del derecho de acceso a la datos personales, pues son el vínculo entre los particulares y la información que requieren, además, su obligación es </w:t>
      </w:r>
      <w:r w:rsidRPr="00892442">
        <w:rPr>
          <w:rFonts w:ascii="Palatino Linotype" w:hAnsi="Palatino Linotype"/>
          <w:i/>
        </w:rPr>
        <w:t>realizar, con efectividad, los trámites internos necesarios para la atención de las solicitudes de información</w:t>
      </w:r>
      <w:r w:rsidRPr="00892442">
        <w:rPr>
          <w:rStyle w:val="Refdenotaalpie"/>
          <w:rFonts w:ascii="Palatino Linotype" w:hAnsi="Palatino Linotype"/>
        </w:rPr>
        <w:footnoteReference w:id="10"/>
      </w:r>
      <w:r w:rsidRPr="00892442">
        <w:rPr>
          <w:rFonts w:ascii="Palatino Linotype" w:hAnsi="Palatino Linotype"/>
        </w:rPr>
        <w:t>, es decir, deben otorgar respuestas concisas, contundentes y certeras, además de estar en estricto apego a lo que la normatividad en la materia establece.</w:t>
      </w:r>
    </w:p>
    <w:p w:rsidR="00892442" w:rsidRPr="00892442" w:rsidRDefault="00892442" w:rsidP="00892442">
      <w:pPr>
        <w:pStyle w:val="Prrafodelista"/>
        <w:spacing w:line="360" w:lineRule="auto"/>
        <w:ind w:left="0"/>
        <w:jc w:val="both"/>
        <w:rPr>
          <w:rFonts w:ascii="Palatino Linotype" w:eastAsia="Calibri" w:hAnsi="Palatino Linotype" w:cs="Arial"/>
        </w:rPr>
      </w:pPr>
    </w:p>
    <w:p w:rsidR="00B011AC" w:rsidRPr="00892442" w:rsidRDefault="00B011AC" w:rsidP="00892442">
      <w:pPr>
        <w:pStyle w:val="Prrafodelista"/>
        <w:numPr>
          <w:ilvl w:val="0"/>
          <w:numId w:val="1"/>
        </w:numPr>
        <w:spacing w:line="360" w:lineRule="auto"/>
        <w:ind w:left="0" w:firstLine="0"/>
        <w:jc w:val="both"/>
        <w:rPr>
          <w:rFonts w:ascii="Palatino Linotype" w:eastAsia="Calibri" w:hAnsi="Palatino Linotype" w:cs="Arial"/>
        </w:rPr>
      </w:pPr>
      <w:r w:rsidRPr="00892442">
        <w:rPr>
          <w:rFonts w:ascii="Palatino Linotype" w:hAnsi="Palatino Linotype" w:cs="Arial"/>
        </w:rPr>
        <w:t>En el presente asunto en particular, el Titular de la Unidad de Transparencia turnó la solicitud solamente a un área, misma que proporcionó parte de la información.</w:t>
      </w:r>
    </w:p>
    <w:p w:rsidR="00B011AC" w:rsidRPr="00892442" w:rsidRDefault="00B011AC" w:rsidP="00892442">
      <w:pPr>
        <w:pStyle w:val="Prrafodelista"/>
        <w:spacing w:line="360" w:lineRule="auto"/>
        <w:rPr>
          <w:rFonts w:ascii="Palatino Linotype" w:hAnsi="Palatino Linotype" w:cs="Arial"/>
        </w:rPr>
      </w:pPr>
    </w:p>
    <w:p w:rsidR="00B011AC" w:rsidRPr="00892442" w:rsidRDefault="00B011AC" w:rsidP="00892442">
      <w:pPr>
        <w:pStyle w:val="Prrafodelista"/>
        <w:numPr>
          <w:ilvl w:val="0"/>
          <w:numId w:val="1"/>
        </w:numPr>
        <w:spacing w:line="360" w:lineRule="auto"/>
        <w:ind w:left="0" w:firstLine="0"/>
        <w:jc w:val="both"/>
        <w:rPr>
          <w:rFonts w:ascii="Palatino Linotype" w:hAnsi="Palatino Linotype"/>
          <w:lang w:val="es-MX" w:eastAsia="en-US"/>
        </w:rPr>
      </w:pPr>
      <w:r w:rsidRPr="00892442">
        <w:rPr>
          <w:rFonts w:ascii="Palatino Linotype" w:hAnsi="Palatino Linotype"/>
          <w:lang w:val="es-MX" w:eastAsia="en-US"/>
        </w:rPr>
        <w:t xml:space="preserve">Con la respuesta emitida, el Sujeto Obligado omitió el contenido de la Ley de Transparencia y Acceso a la Información Pública del Estado de México y Municipios, en el artículo 162 de aplicación supletoria, mismo del que se inserta su contenido: </w:t>
      </w:r>
    </w:p>
    <w:p w:rsidR="00B011AC" w:rsidRPr="00892442" w:rsidRDefault="00B011AC" w:rsidP="00892442">
      <w:pPr>
        <w:pStyle w:val="Prrafodelista"/>
        <w:spacing w:line="360" w:lineRule="auto"/>
        <w:rPr>
          <w:rFonts w:ascii="Palatino Linotype" w:hAnsi="Palatino Linotype"/>
          <w:lang w:val="es-MX" w:eastAsia="en-US"/>
        </w:rPr>
      </w:pPr>
    </w:p>
    <w:p w:rsidR="00B011AC" w:rsidRPr="00892442" w:rsidRDefault="00B011AC" w:rsidP="00892442">
      <w:pPr>
        <w:autoSpaceDE w:val="0"/>
        <w:autoSpaceDN w:val="0"/>
        <w:adjustRightInd w:val="0"/>
        <w:spacing w:line="360" w:lineRule="auto"/>
        <w:ind w:left="567" w:right="567"/>
        <w:jc w:val="both"/>
        <w:rPr>
          <w:rFonts w:ascii="Palatino Linotype" w:hAnsi="Palatino Linotype"/>
          <w:i/>
          <w:lang w:val="es-MX" w:eastAsia="en-US"/>
        </w:rPr>
      </w:pPr>
      <w:r w:rsidRPr="00892442">
        <w:rPr>
          <w:rFonts w:ascii="Palatino Linotype" w:hAnsi="Palatino Linotype" w:cs="Bookman Old Style,Bold"/>
          <w:b/>
          <w:bCs/>
          <w:i/>
          <w:lang w:val="es-MX"/>
        </w:rPr>
        <w:t xml:space="preserve">Artículo 162. </w:t>
      </w:r>
      <w:r w:rsidRPr="00892442">
        <w:rPr>
          <w:rFonts w:ascii="Palatino Linotype" w:hAnsi="Palatino Linotype" w:cs="Bookman Old Style"/>
          <w:i/>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B011AC" w:rsidRPr="00892442" w:rsidRDefault="00B011AC" w:rsidP="00892442">
      <w:pPr>
        <w:pStyle w:val="Prrafodelista"/>
        <w:spacing w:line="360" w:lineRule="auto"/>
        <w:ind w:left="0"/>
        <w:jc w:val="both"/>
        <w:rPr>
          <w:rFonts w:ascii="Palatino Linotype" w:hAnsi="Palatino Linotype"/>
          <w:lang w:val="es-MX" w:eastAsia="en-US"/>
        </w:rPr>
      </w:pPr>
      <w:r w:rsidRPr="00892442">
        <w:rPr>
          <w:rFonts w:ascii="Palatino Linotype" w:hAnsi="Palatino Linotype"/>
          <w:lang w:val="es-MX" w:eastAsia="en-US"/>
        </w:rPr>
        <w:t xml:space="preserve"> </w:t>
      </w:r>
    </w:p>
    <w:p w:rsidR="00B011AC" w:rsidRPr="00892442" w:rsidRDefault="00B011AC" w:rsidP="00892442">
      <w:pPr>
        <w:pStyle w:val="Prrafodelista"/>
        <w:numPr>
          <w:ilvl w:val="0"/>
          <w:numId w:val="1"/>
        </w:numPr>
        <w:spacing w:line="360" w:lineRule="auto"/>
        <w:ind w:left="0" w:firstLine="0"/>
        <w:jc w:val="both"/>
        <w:rPr>
          <w:rFonts w:ascii="Palatino Linotype" w:hAnsi="Palatino Linotype"/>
          <w:lang w:val="es-MX" w:eastAsia="en-US"/>
        </w:rPr>
      </w:pPr>
      <w:r w:rsidRPr="00892442">
        <w:rPr>
          <w:rFonts w:ascii="Palatino Linotype" w:hAnsi="Palatino Linotype"/>
          <w:lang w:val="es-MX" w:eastAsia="en-US"/>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rsidR="00B011AC" w:rsidRPr="00892442" w:rsidRDefault="00B011AC" w:rsidP="00892442">
      <w:pPr>
        <w:pStyle w:val="Prrafodelista"/>
        <w:spacing w:line="360" w:lineRule="auto"/>
        <w:ind w:left="0"/>
        <w:jc w:val="both"/>
        <w:rPr>
          <w:rFonts w:ascii="Palatino Linotype" w:hAnsi="Palatino Linotype"/>
          <w:lang w:val="es-MX" w:eastAsia="en-US"/>
        </w:rPr>
      </w:pPr>
    </w:p>
    <w:p w:rsidR="00B011AC" w:rsidRPr="00892442" w:rsidRDefault="00B011AC" w:rsidP="00892442">
      <w:pPr>
        <w:pStyle w:val="Prrafodelista"/>
        <w:numPr>
          <w:ilvl w:val="0"/>
          <w:numId w:val="1"/>
        </w:numPr>
        <w:spacing w:line="360" w:lineRule="auto"/>
        <w:ind w:left="0" w:firstLine="0"/>
        <w:jc w:val="both"/>
        <w:rPr>
          <w:rFonts w:ascii="Palatino Linotype" w:hAnsi="Palatino Linotype"/>
          <w:lang w:val="es-MX" w:eastAsia="en-US"/>
        </w:rPr>
      </w:pPr>
      <w:r w:rsidRPr="00892442">
        <w:rPr>
          <w:rFonts w:ascii="Palatino Linotype" w:hAnsi="Palatino Linotype"/>
          <w:lang w:val="es-MX" w:eastAsia="en-US"/>
        </w:rPr>
        <w:t>La búsqueda exhaustiva y razonable de la información con su debida comprobación, es una herramienta que permite brindar mayor certeza a los particulares sobre las acciones que realizan los sujetos obligados para atender las solicitudes que formulen los particulares. Asimismo, con dicha herramienta se refleja el grado de compromiso que tienen como autoridades para el debido cumplimiento y tutela del derecho constitucionalmente reconocido que es el derecho de acceso a datos personales La falta de carteo o turno de las Unidades de Transparencia a las diferentes áreas que integran la estructura orgánica de los Sujetos Obligados, podrían causar una afectación o restricción al derecho ejercido por los particulares.</w:t>
      </w:r>
    </w:p>
    <w:p w:rsidR="00B011AC" w:rsidRPr="00892442" w:rsidRDefault="00B011AC" w:rsidP="00892442">
      <w:pPr>
        <w:spacing w:line="360" w:lineRule="auto"/>
        <w:contextualSpacing/>
        <w:jc w:val="both"/>
        <w:rPr>
          <w:rFonts w:ascii="Palatino Linotype" w:hAnsi="Palatino Linotype" w:cs="Arial"/>
          <w:color w:val="000000" w:themeColor="text1"/>
          <w:highlight w:val="cyan"/>
        </w:rPr>
      </w:pPr>
    </w:p>
    <w:p w:rsidR="0046059A" w:rsidRPr="00892442" w:rsidRDefault="00AB5CCF" w:rsidP="00892442">
      <w:pPr>
        <w:pStyle w:val="Ttulo2"/>
        <w:numPr>
          <w:ilvl w:val="0"/>
          <w:numId w:val="4"/>
        </w:numPr>
        <w:spacing w:line="360" w:lineRule="auto"/>
        <w:rPr>
          <w:rFonts w:ascii="Palatino Linotype" w:hAnsi="Palatino Linotype"/>
          <w:b/>
          <w:color w:val="auto"/>
          <w:sz w:val="24"/>
          <w:szCs w:val="24"/>
        </w:rPr>
      </w:pPr>
      <w:bookmarkStart w:id="26" w:name="_Toc13132698"/>
      <w:r w:rsidRPr="00892442">
        <w:rPr>
          <w:rFonts w:ascii="Palatino Linotype" w:hAnsi="Palatino Linotype"/>
          <w:b/>
          <w:color w:val="auto"/>
          <w:sz w:val="24"/>
          <w:szCs w:val="24"/>
        </w:rPr>
        <w:t>Acreditación de identidad</w:t>
      </w:r>
      <w:bookmarkEnd w:id="26"/>
    </w:p>
    <w:p w:rsidR="00AB5CCF" w:rsidRPr="00892442" w:rsidRDefault="00AB5CCF" w:rsidP="00892442">
      <w:pPr>
        <w:pStyle w:val="Prrafodelista"/>
        <w:spacing w:line="360" w:lineRule="auto"/>
        <w:ind w:left="0"/>
        <w:jc w:val="both"/>
        <w:rPr>
          <w:rFonts w:ascii="Palatino Linotype" w:hAnsi="Palatino Linotype" w:cs="Arial"/>
        </w:rPr>
      </w:pPr>
    </w:p>
    <w:p w:rsidR="00AB5CCF" w:rsidRPr="00892442" w:rsidRDefault="00AB5CCF"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Si bien, la presente resolución está protegiendo y garantizando el derecho accionado por la parte recurrente, también lo es que, previó al acceso a la información requerida, es necesario que se acredite de manera fehaciente la identidad del recurrente.</w:t>
      </w:r>
    </w:p>
    <w:p w:rsidR="00AB5CCF" w:rsidRPr="00892442" w:rsidRDefault="00AB5CCF" w:rsidP="00892442">
      <w:pPr>
        <w:pStyle w:val="Prrafodelista"/>
        <w:spacing w:line="360" w:lineRule="auto"/>
        <w:ind w:left="0"/>
        <w:jc w:val="both"/>
        <w:rPr>
          <w:rFonts w:ascii="Palatino Linotype" w:hAnsi="Palatino Linotype" w:cs="Arial"/>
        </w:rPr>
      </w:pPr>
    </w:p>
    <w:p w:rsidR="00780441" w:rsidRPr="00892442" w:rsidRDefault="00AB5CCF"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 xml:space="preserve">Lo anterior, es como medida de seguridad ante una probable </w:t>
      </w:r>
      <w:r w:rsidR="00780441" w:rsidRPr="00892442">
        <w:rPr>
          <w:rFonts w:ascii="Palatino Linotype" w:hAnsi="Palatino Linotype" w:cs="Arial"/>
        </w:rPr>
        <w:t>usurpación de identidad, delito contemplado en el Código Penal del Estado de México en el artículo 264, siendo su contenido el siguiente:</w:t>
      </w:r>
    </w:p>
    <w:p w:rsidR="00780441" w:rsidRPr="00892442" w:rsidRDefault="00780441" w:rsidP="00892442">
      <w:pPr>
        <w:pStyle w:val="Prrafodelista"/>
        <w:spacing w:line="360" w:lineRule="auto"/>
        <w:rPr>
          <w:rFonts w:ascii="Palatino Linotype" w:hAnsi="Palatino Linotype" w:cs="Arial"/>
        </w:rPr>
      </w:pPr>
    </w:p>
    <w:p w:rsidR="00780441" w:rsidRPr="00892442" w:rsidRDefault="00780441" w:rsidP="00892442">
      <w:pPr>
        <w:pStyle w:val="Prrafodelista"/>
        <w:spacing w:line="360" w:lineRule="auto"/>
        <w:ind w:left="567" w:right="567"/>
        <w:jc w:val="both"/>
        <w:rPr>
          <w:rFonts w:ascii="Palatino Linotype" w:hAnsi="Palatino Linotype"/>
          <w:i/>
        </w:rPr>
      </w:pPr>
      <w:r w:rsidRPr="00892442">
        <w:rPr>
          <w:rFonts w:ascii="Palatino Linotype" w:hAnsi="Palatino Linotype"/>
          <w:b/>
          <w:i/>
        </w:rPr>
        <w:t>Artículo 264.-</w:t>
      </w:r>
      <w:r w:rsidRPr="00892442">
        <w:rPr>
          <w:rFonts w:ascii="Palatino Linotype" w:hAnsi="Palatino Linotype"/>
          <w:i/>
        </w:rPr>
        <w:t xml:space="preserve"> Se le impondrán de uno a cuatro años de prisión y de cien a quinientos días multa, a quien ejerza con fines ilícitos un derecho o use cualquier tipo de datos, informaciones o documentos que legítimamente pertenezcan a otro, que lo individualiza ante la sociedad y que le permite a una persona física o jurídica colectiva ser identificada o identificable, para hacerse pasar por él. </w:t>
      </w:r>
    </w:p>
    <w:p w:rsidR="00780441" w:rsidRPr="00892442" w:rsidRDefault="00780441" w:rsidP="00892442">
      <w:pPr>
        <w:pStyle w:val="Prrafodelista"/>
        <w:spacing w:line="360" w:lineRule="auto"/>
        <w:ind w:left="567" w:right="567"/>
        <w:jc w:val="both"/>
        <w:rPr>
          <w:rFonts w:ascii="Palatino Linotype" w:hAnsi="Palatino Linotype"/>
          <w:i/>
        </w:rPr>
      </w:pPr>
    </w:p>
    <w:p w:rsidR="00780441" w:rsidRPr="00892442" w:rsidRDefault="00780441" w:rsidP="00892442">
      <w:pPr>
        <w:pStyle w:val="Prrafodelista"/>
        <w:spacing w:line="360" w:lineRule="auto"/>
        <w:ind w:left="567" w:right="567"/>
        <w:jc w:val="both"/>
        <w:rPr>
          <w:rFonts w:ascii="Palatino Linotype" w:hAnsi="Palatino Linotype"/>
          <w:i/>
        </w:rPr>
      </w:pPr>
      <w:r w:rsidRPr="00892442">
        <w:rPr>
          <w:rFonts w:ascii="Palatino Linotype" w:hAnsi="Palatino Linotype"/>
          <w:i/>
        </w:rPr>
        <w:t xml:space="preserve">Se equiparan a la usurpación de identidad y se impondrán las mismas penas previstas en el párrafo que precede prevista en el presente artículo a quienes: </w:t>
      </w:r>
      <w:r w:rsidR="003E61BA" w:rsidRPr="00892442">
        <w:rPr>
          <w:rFonts w:ascii="Palatino Linotype" w:hAnsi="Palatino Linotype"/>
          <w:i/>
        </w:rPr>
        <w:t xml:space="preserve"> </w:t>
      </w:r>
    </w:p>
    <w:p w:rsidR="00780441" w:rsidRPr="00892442" w:rsidRDefault="00780441" w:rsidP="00892442">
      <w:pPr>
        <w:pStyle w:val="Prrafodelista"/>
        <w:spacing w:line="360" w:lineRule="auto"/>
        <w:ind w:left="567" w:right="567"/>
        <w:jc w:val="both"/>
        <w:rPr>
          <w:rFonts w:ascii="Palatino Linotype" w:hAnsi="Palatino Linotype"/>
          <w:i/>
        </w:rPr>
      </w:pPr>
    </w:p>
    <w:p w:rsidR="00780441" w:rsidRPr="00892442" w:rsidRDefault="00780441" w:rsidP="00892442">
      <w:pPr>
        <w:pStyle w:val="Prrafodelista"/>
        <w:numPr>
          <w:ilvl w:val="0"/>
          <w:numId w:val="21"/>
        </w:numPr>
        <w:spacing w:line="360" w:lineRule="auto"/>
        <w:ind w:left="993" w:right="567" w:hanging="425"/>
        <w:jc w:val="both"/>
        <w:rPr>
          <w:rFonts w:ascii="Palatino Linotype" w:hAnsi="Palatino Linotype"/>
          <w:i/>
        </w:rPr>
      </w:pPr>
      <w:r w:rsidRPr="00892442">
        <w:rPr>
          <w:rFonts w:ascii="Palatino Linotype" w:hAnsi="Palatino Linotype"/>
          <w:i/>
        </w:rPr>
        <w:t xml:space="preserve">Cometan un hecho ilícito previsto en las disposiciones legales con motivo de la usurpación de la identidad; </w:t>
      </w:r>
    </w:p>
    <w:p w:rsidR="00780441" w:rsidRPr="00892442" w:rsidRDefault="00780441" w:rsidP="00892442">
      <w:pPr>
        <w:pStyle w:val="Prrafodelista"/>
        <w:numPr>
          <w:ilvl w:val="0"/>
          <w:numId w:val="21"/>
        </w:numPr>
        <w:spacing w:line="360" w:lineRule="auto"/>
        <w:ind w:left="993" w:right="567" w:hanging="425"/>
        <w:jc w:val="both"/>
        <w:rPr>
          <w:rFonts w:ascii="Palatino Linotype" w:hAnsi="Palatino Linotype" w:cs="Arial"/>
          <w:b/>
          <w:i/>
        </w:rPr>
      </w:pPr>
      <w:r w:rsidRPr="00892442">
        <w:rPr>
          <w:rFonts w:ascii="Palatino Linotype" w:hAnsi="Palatino Linotype"/>
          <w:b/>
          <w:i/>
        </w:rPr>
        <w:t xml:space="preserve">Utilicen datos personales, sin consentimiento de quien deba otorgarlo; </w:t>
      </w:r>
    </w:p>
    <w:p w:rsidR="00780441" w:rsidRPr="00892442" w:rsidRDefault="00780441" w:rsidP="00892442">
      <w:pPr>
        <w:pStyle w:val="Prrafodelista"/>
        <w:numPr>
          <w:ilvl w:val="0"/>
          <w:numId w:val="21"/>
        </w:numPr>
        <w:spacing w:line="360" w:lineRule="auto"/>
        <w:ind w:left="993" w:right="425" w:hanging="425"/>
        <w:jc w:val="both"/>
        <w:rPr>
          <w:rFonts w:ascii="Palatino Linotype" w:hAnsi="Palatino Linotype" w:cs="Arial"/>
          <w:i/>
        </w:rPr>
      </w:pPr>
      <w:r w:rsidRPr="00892442">
        <w:rPr>
          <w:rFonts w:ascii="Palatino Linotype" w:hAnsi="Palatino Linotype"/>
          <w:i/>
        </w:rPr>
        <w:t xml:space="preserve">Otorguen el consentimiento para llevar a cabo la usurpación de su identidad; y </w:t>
      </w:r>
    </w:p>
    <w:p w:rsidR="00780441" w:rsidRPr="00892442" w:rsidRDefault="00780441" w:rsidP="00892442">
      <w:pPr>
        <w:pStyle w:val="Prrafodelista"/>
        <w:numPr>
          <w:ilvl w:val="0"/>
          <w:numId w:val="21"/>
        </w:numPr>
        <w:spacing w:line="360" w:lineRule="auto"/>
        <w:ind w:left="993" w:right="567" w:hanging="425"/>
        <w:jc w:val="both"/>
        <w:rPr>
          <w:rFonts w:ascii="Palatino Linotype" w:hAnsi="Palatino Linotype" w:cs="Arial"/>
          <w:i/>
        </w:rPr>
      </w:pPr>
      <w:r w:rsidRPr="00892442">
        <w:rPr>
          <w:rFonts w:ascii="Palatino Linotype" w:hAnsi="Palatino Linotype"/>
          <w:i/>
        </w:rPr>
        <w:t>Se valgan de la homonimia para cometer algún ilícito. Las sanciones previstas en este artículo se impondrán con independencia de las que correspondan por la comisión de otro u otros delitos.</w:t>
      </w:r>
      <w:r w:rsidRPr="00892442">
        <w:rPr>
          <w:rFonts w:ascii="Palatino Linotype" w:hAnsi="Palatino Linotype" w:cs="Arial"/>
          <w:i/>
        </w:rPr>
        <w:t xml:space="preserve"> </w:t>
      </w:r>
    </w:p>
    <w:p w:rsidR="000021F7" w:rsidRPr="00892442" w:rsidRDefault="000021F7" w:rsidP="00892442">
      <w:pPr>
        <w:pStyle w:val="Prrafodelista"/>
        <w:spacing w:line="360" w:lineRule="auto"/>
        <w:ind w:left="993" w:right="567"/>
        <w:jc w:val="both"/>
        <w:rPr>
          <w:rFonts w:ascii="Palatino Linotype" w:hAnsi="Palatino Linotype" w:cs="Arial"/>
          <w:i/>
        </w:rPr>
      </w:pPr>
    </w:p>
    <w:p w:rsidR="00AB5CCF" w:rsidRPr="00892442" w:rsidRDefault="00AB5CCF"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La acreditación de identidad previó a la entrega de la información requerida</w:t>
      </w:r>
      <w:r w:rsidR="004E5545" w:rsidRPr="00892442">
        <w:rPr>
          <w:rFonts w:ascii="Palatino Linotype" w:hAnsi="Palatino Linotype" w:cs="Arial"/>
        </w:rPr>
        <w:t>,</w:t>
      </w:r>
      <w:r w:rsidRPr="00892442">
        <w:rPr>
          <w:rFonts w:ascii="Palatino Linotype" w:hAnsi="Palatino Linotype" w:cs="Arial"/>
        </w:rPr>
        <w:t xml:space="preserve"> de ningún modo </w:t>
      </w:r>
      <w:r w:rsidR="004E5545" w:rsidRPr="00892442">
        <w:rPr>
          <w:rFonts w:ascii="Palatino Linotype" w:hAnsi="Palatino Linotype" w:cs="Arial"/>
        </w:rPr>
        <w:t>pretende causar una afectación o restricción al recurrente, sino por el contrario, se prevé como un modo de protección o blindaje ante un</w:t>
      </w:r>
      <w:r w:rsidR="00780441" w:rsidRPr="00892442">
        <w:rPr>
          <w:rFonts w:ascii="Palatino Linotype" w:hAnsi="Palatino Linotype" w:cs="Arial"/>
        </w:rPr>
        <w:t>a</w:t>
      </w:r>
      <w:r w:rsidR="004E5545" w:rsidRPr="00892442">
        <w:rPr>
          <w:rFonts w:ascii="Palatino Linotype" w:hAnsi="Palatino Linotype" w:cs="Arial"/>
        </w:rPr>
        <w:t xml:space="preserve"> probable </w:t>
      </w:r>
      <w:r w:rsidR="00780441" w:rsidRPr="00892442">
        <w:rPr>
          <w:rFonts w:ascii="Palatino Linotype" w:hAnsi="Palatino Linotype" w:cs="Arial"/>
        </w:rPr>
        <w:t>usurpación de i</w:t>
      </w:r>
      <w:r w:rsidR="004E5545" w:rsidRPr="00892442">
        <w:rPr>
          <w:rFonts w:ascii="Palatino Linotype" w:hAnsi="Palatino Linotype" w:cs="Arial"/>
        </w:rPr>
        <w:t xml:space="preserve">dentidad o falsificación de documentos, puesto que el SARCOEM por sí mismo, es incapaz de detectar la legalidad o ilegalidad de los documentos que son presentados por las partes. </w:t>
      </w:r>
    </w:p>
    <w:p w:rsidR="004E5545" w:rsidRPr="00892442" w:rsidRDefault="004E5545" w:rsidP="00892442">
      <w:pPr>
        <w:pStyle w:val="Prrafodelista"/>
        <w:spacing w:line="360" w:lineRule="auto"/>
        <w:rPr>
          <w:rFonts w:ascii="Palatino Linotype" w:hAnsi="Palatino Linotype" w:cs="Arial"/>
        </w:rPr>
      </w:pPr>
    </w:p>
    <w:p w:rsidR="00337A0F" w:rsidRPr="00892442" w:rsidRDefault="004E5545" w:rsidP="00892442">
      <w:pPr>
        <w:pStyle w:val="Prrafodelista"/>
        <w:numPr>
          <w:ilvl w:val="0"/>
          <w:numId w:val="1"/>
        </w:numPr>
        <w:spacing w:line="360" w:lineRule="auto"/>
        <w:ind w:left="0" w:firstLine="0"/>
        <w:jc w:val="both"/>
        <w:rPr>
          <w:rFonts w:ascii="Palatino Linotype" w:hAnsi="Palatino Linotype" w:cs="Arial"/>
        </w:rPr>
      </w:pPr>
      <w:r w:rsidRPr="00892442">
        <w:rPr>
          <w:rFonts w:ascii="Palatino Linotype" w:hAnsi="Palatino Linotype" w:cs="Arial"/>
        </w:rPr>
        <w:t>Entendiendo lo anterior, el recurrente deberá presentarse ante las oficinas del Sujeto Obligado con los documentos necesarios para acreditar su personalidad.</w:t>
      </w:r>
    </w:p>
    <w:p w:rsidR="000021F7" w:rsidRPr="00892442" w:rsidRDefault="000021F7" w:rsidP="00892442">
      <w:pPr>
        <w:pStyle w:val="Ttulo1"/>
        <w:spacing w:line="360" w:lineRule="auto"/>
        <w:rPr>
          <w:szCs w:val="24"/>
        </w:rPr>
      </w:pPr>
      <w:bookmarkStart w:id="27" w:name="_Toc473799824"/>
      <w:bookmarkStart w:id="28" w:name="_Toc487025370"/>
      <w:bookmarkStart w:id="29" w:name="_Toc493790438"/>
      <w:bookmarkStart w:id="30" w:name="_Toc495606558"/>
      <w:bookmarkStart w:id="31" w:name="_Toc497297048"/>
      <w:bookmarkStart w:id="32" w:name="_Toc498503756"/>
      <w:bookmarkStart w:id="33" w:name="_Toc499201876"/>
      <w:bookmarkStart w:id="34" w:name="_Toc536618579"/>
      <w:bookmarkStart w:id="35" w:name="_Toc13132699"/>
      <w:r w:rsidRPr="00892442">
        <w:rPr>
          <w:szCs w:val="24"/>
        </w:rPr>
        <w:t>QUINTO. De la Versión Pública</w:t>
      </w:r>
      <w:bookmarkEnd w:id="27"/>
      <w:bookmarkEnd w:id="28"/>
      <w:bookmarkEnd w:id="29"/>
      <w:bookmarkEnd w:id="30"/>
      <w:bookmarkEnd w:id="31"/>
      <w:bookmarkEnd w:id="32"/>
      <w:bookmarkEnd w:id="33"/>
      <w:bookmarkEnd w:id="34"/>
      <w:bookmarkEnd w:id="35"/>
      <w:r w:rsidRPr="00892442">
        <w:rPr>
          <w:szCs w:val="24"/>
        </w:rPr>
        <w:t xml:space="preserve"> </w:t>
      </w:r>
    </w:p>
    <w:p w:rsidR="0042443A" w:rsidRPr="00892442" w:rsidRDefault="000021F7" w:rsidP="00892442">
      <w:pPr>
        <w:pStyle w:val="Prrafodelista"/>
        <w:numPr>
          <w:ilvl w:val="0"/>
          <w:numId w:val="1"/>
        </w:numPr>
        <w:spacing w:before="240" w:after="240" w:line="360" w:lineRule="auto"/>
        <w:ind w:left="0" w:right="49" w:firstLine="0"/>
        <w:jc w:val="both"/>
        <w:rPr>
          <w:rFonts w:ascii="Palatino Linotype" w:hAnsi="Palatino Linotype" w:cs="Bookman Old Style"/>
        </w:rPr>
      </w:pPr>
      <w:r w:rsidRPr="00892442">
        <w:rPr>
          <w:rFonts w:ascii="Palatino Linotype" w:eastAsia="Calibri" w:hAnsi="Palatino Linotype" w:cs="Arial"/>
          <w:lang w:val="es-ES" w:eastAsia="es-MX"/>
        </w:rPr>
        <w:t>Como ya se ha señalado en el considerando anterior</w:t>
      </w:r>
      <w:r w:rsidR="0008777A" w:rsidRPr="00892442">
        <w:rPr>
          <w:rFonts w:ascii="Palatino Linotype" w:eastAsia="Calibri" w:hAnsi="Palatino Linotype" w:cs="Arial"/>
          <w:lang w:val="es-ES" w:eastAsia="es-MX"/>
        </w:rPr>
        <w:t>,</w:t>
      </w:r>
      <w:r w:rsidRPr="00892442">
        <w:rPr>
          <w:rFonts w:ascii="Palatino Linotype" w:eastAsia="Calibri" w:hAnsi="Palatino Linotype" w:cs="Arial"/>
          <w:lang w:val="es-ES" w:eastAsia="es-MX"/>
        </w:rPr>
        <w:t xml:space="preserve"> el </w:t>
      </w:r>
      <w:r w:rsidR="0008777A" w:rsidRPr="00892442">
        <w:rPr>
          <w:rFonts w:ascii="Palatino Linotype" w:eastAsia="Calibri" w:hAnsi="Palatino Linotype" w:cs="Arial"/>
          <w:b/>
          <w:lang w:val="es-ES" w:eastAsia="es-MX"/>
        </w:rPr>
        <w:t>SUJETO OBLIGADO</w:t>
      </w:r>
      <w:r w:rsidRPr="00892442">
        <w:rPr>
          <w:rFonts w:ascii="Palatino Linotype" w:eastAsia="Calibri" w:hAnsi="Palatino Linotype" w:cs="Arial"/>
          <w:lang w:val="es-ES" w:eastAsia="es-MX"/>
        </w:rPr>
        <w:t xml:space="preserve"> deberá </w:t>
      </w:r>
      <w:r w:rsidR="0042443A" w:rsidRPr="00892442">
        <w:rPr>
          <w:rFonts w:ascii="Palatino Linotype" w:eastAsia="Calibri" w:hAnsi="Palatino Linotype" w:cs="Arial"/>
          <w:lang w:val="es-ES" w:eastAsia="es-MX"/>
        </w:rPr>
        <w:t>permitir el acceso a</w:t>
      </w:r>
      <w:r w:rsidR="00797107" w:rsidRPr="00892442">
        <w:rPr>
          <w:rFonts w:ascii="Palatino Linotype" w:eastAsia="Calibri" w:hAnsi="Palatino Linotype" w:cs="Arial"/>
          <w:lang w:val="es-ES" w:eastAsia="es-MX"/>
        </w:rPr>
        <w:t xml:space="preserve"> los documentos requeridos</w:t>
      </w:r>
      <w:r w:rsidR="0042443A" w:rsidRPr="00892442">
        <w:rPr>
          <w:rFonts w:ascii="Palatino Linotype" w:eastAsia="Calibri" w:hAnsi="Palatino Linotype" w:cs="Arial"/>
          <w:lang w:val="es-ES" w:eastAsia="es-MX"/>
        </w:rPr>
        <w:t xml:space="preserve"> una vez que el Recurrente acredite su personalidad; no obstante, de ser el caso de que el expediente contenga datos personales co</w:t>
      </w:r>
      <w:r w:rsidR="0008777A" w:rsidRPr="00892442">
        <w:rPr>
          <w:rFonts w:ascii="Palatino Linotype" w:eastAsia="Calibri" w:hAnsi="Palatino Linotype" w:cs="Arial"/>
          <w:lang w:val="es-ES" w:eastAsia="es-MX"/>
        </w:rPr>
        <w:t xml:space="preserve">ncernientes a terceras personas </w:t>
      </w:r>
      <w:r w:rsidR="0042443A" w:rsidRPr="00892442">
        <w:rPr>
          <w:rFonts w:ascii="Palatino Linotype" w:eastAsia="Calibri" w:hAnsi="Palatino Linotype" w:cs="Arial"/>
          <w:lang w:val="es-ES" w:eastAsia="es-MX"/>
        </w:rPr>
        <w:t>qu</w:t>
      </w:r>
      <w:r w:rsidR="0008777A" w:rsidRPr="00892442">
        <w:rPr>
          <w:rFonts w:ascii="Palatino Linotype" w:eastAsia="Calibri" w:hAnsi="Palatino Linotype" w:cs="Arial"/>
          <w:lang w:val="es-ES" w:eastAsia="es-MX"/>
        </w:rPr>
        <w:t xml:space="preserve">e sean parte del procedimiento y que sean susceptibles de ser clasificados como confidenciales, </w:t>
      </w:r>
      <w:r w:rsidR="0042443A" w:rsidRPr="00892442">
        <w:rPr>
          <w:rFonts w:ascii="Palatino Linotype" w:eastAsia="Calibri" w:hAnsi="Palatino Linotype" w:cs="Arial"/>
          <w:lang w:val="es-ES" w:eastAsia="es-MX"/>
        </w:rPr>
        <w:t>deberá elaborarse una versión pública que deje a la vista la información requerida.</w:t>
      </w:r>
    </w:p>
    <w:p w:rsidR="000021F7" w:rsidRPr="00892442" w:rsidRDefault="000021F7" w:rsidP="00892442">
      <w:pPr>
        <w:pStyle w:val="Ttulo3"/>
        <w:numPr>
          <w:ilvl w:val="0"/>
          <w:numId w:val="22"/>
        </w:numPr>
        <w:spacing w:line="360" w:lineRule="auto"/>
        <w:rPr>
          <w:rFonts w:ascii="Palatino Linotype" w:eastAsia="Calibri" w:hAnsi="Palatino Linotype"/>
          <w:b/>
          <w:color w:val="auto"/>
        </w:rPr>
      </w:pPr>
      <w:bookmarkStart w:id="36" w:name="_Toc531859121"/>
      <w:bookmarkStart w:id="37" w:name="_Toc532385645"/>
      <w:bookmarkStart w:id="38" w:name="_Toc536618580"/>
      <w:bookmarkStart w:id="39" w:name="_Toc13132700"/>
      <w:r w:rsidRPr="00892442">
        <w:rPr>
          <w:rFonts w:ascii="Palatino Linotype" w:hAnsi="Palatino Linotype"/>
          <w:b/>
          <w:color w:val="auto"/>
        </w:rPr>
        <w:t>Requisitos previos.</w:t>
      </w:r>
      <w:bookmarkEnd w:id="36"/>
      <w:bookmarkEnd w:id="37"/>
      <w:bookmarkEnd w:id="38"/>
      <w:bookmarkEnd w:id="39"/>
    </w:p>
    <w:p w:rsidR="000021F7" w:rsidRPr="00892442" w:rsidRDefault="000021F7" w:rsidP="0089244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0021F7" w:rsidRPr="00892442" w:rsidRDefault="000021F7" w:rsidP="0089244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92442">
        <w:rPr>
          <w:rFonts w:ascii="Palatino Linotype" w:hAnsi="Palatino Linotype" w:cs="Arial"/>
        </w:rPr>
        <w:t xml:space="preserve">El artículo 122 de la Ley </w:t>
      </w:r>
      <w:r w:rsidR="0042443A" w:rsidRPr="00892442">
        <w:rPr>
          <w:rFonts w:ascii="Palatino Linotype" w:hAnsi="Palatino Linotype" w:cs="Arial"/>
        </w:rPr>
        <w:t xml:space="preserve">de Transparencia y Acceso a la Información Pública del Estado de México y Municipios de aplicación supletoria </w:t>
      </w:r>
      <w:r w:rsidRPr="00892442">
        <w:rPr>
          <w:rFonts w:ascii="Palatino Linotype" w:hAnsi="Palatino Linotype" w:cs="Arial"/>
        </w:rPr>
        <w:t>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0021F7" w:rsidRPr="00892442" w:rsidRDefault="000021F7" w:rsidP="0089244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0021F7" w:rsidRPr="00892442" w:rsidRDefault="000021F7" w:rsidP="0089244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92442">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0021F7" w:rsidRPr="00892442" w:rsidRDefault="000021F7" w:rsidP="00892442">
      <w:pPr>
        <w:pStyle w:val="Prrafodelista"/>
        <w:spacing w:line="360" w:lineRule="auto"/>
        <w:rPr>
          <w:rFonts w:ascii="Palatino Linotype" w:eastAsia="Calibri" w:hAnsi="Palatino Linotype" w:cs="Arial"/>
          <w:lang w:val="es-ES" w:eastAsia="es-MX"/>
        </w:rPr>
      </w:pPr>
    </w:p>
    <w:p w:rsidR="000021F7" w:rsidRPr="00892442" w:rsidRDefault="000021F7" w:rsidP="0089244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92442">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0021F7" w:rsidRPr="00892442" w:rsidRDefault="000021F7" w:rsidP="00892442">
      <w:pPr>
        <w:pStyle w:val="Prrafodelista"/>
        <w:spacing w:line="360" w:lineRule="auto"/>
        <w:rPr>
          <w:rFonts w:ascii="Palatino Linotype" w:eastAsia="Calibri" w:hAnsi="Palatino Linotype" w:cs="Arial"/>
          <w:lang w:val="es-ES" w:eastAsia="es-MX"/>
        </w:rPr>
      </w:pPr>
    </w:p>
    <w:p w:rsidR="000021F7" w:rsidRPr="00892442" w:rsidRDefault="000021F7" w:rsidP="00892442">
      <w:pPr>
        <w:pStyle w:val="Ttulo3"/>
        <w:numPr>
          <w:ilvl w:val="0"/>
          <w:numId w:val="22"/>
        </w:numPr>
        <w:spacing w:line="360" w:lineRule="auto"/>
        <w:rPr>
          <w:rFonts w:ascii="Palatino Linotype" w:hAnsi="Palatino Linotype"/>
          <w:b/>
          <w:color w:val="auto"/>
        </w:rPr>
      </w:pPr>
      <w:bookmarkStart w:id="40" w:name="_Toc531859122"/>
      <w:bookmarkStart w:id="41" w:name="_Toc532385646"/>
      <w:bookmarkStart w:id="42" w:name="_Toc536618581"/>
      <w:bookmarkStart w:id="43" w:name="_Toc13132701"/>
      <w:r w:rsidRPr="00892442">
        <w:rPr>
          <w:rFonts w:ascii="Palatino Linotype" w:hAnsi="Palatino Linotype"/>
          <w:b/>
          <w:color w:val="auto"/>
        </w:rPr>
        <w:t>Supuesto de clasificación.</w:t>
      </w:r>
      <w:bookmarkEnd w:id="40"/>
      <w:bookmarkEnd w:id="41"/>
      <w:bookmarkEnd w:id="42"/>
      <w:bookmarkEnd w:id="43"/>
    </w:p>
    <w:p w:rsidR="000021F7" w:rsidRPr="00892442" w:rsidRDefault="000021F7" w:rsidP="0089244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0021F7" w:rsidRPr="00892442" w:rsidRDefault="000021F7" w:rsidP="0089244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92442">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0021F7" w:rsidRPr="00892442" w:rsidRDefault="000021F7" w:rsidP="00892442">
      <w:pPr>
        <w:autoSpaceDE w:val="0"/>
        <w:autoSpaceDN w:val="0"/>
        <w:adjustRightInd w:val="0"/>
        <w:spacing w:after="160" w:line="360" w:lineRule="auto"/>
        <w:ind w:left="567" w:right="567"/>
        <w:jc w:val="both"/>
        <w:rPr>
          <w:rFonts w:ascii="Palatino Linotype" w:hAnsi="Palatino Linotype" w:cs="Arial"/>
          <w:i/>
          <w:lang w:val="es-MX"/>
        </w:rPr>
      </w:pPr>
      <w:r w:rsidRPr="00892442">
        <w:rPr>
          <w:rFonts w:ascii="Palatino Linotype" w:hAnsi="Palatino Linotype" w:cs="Arial"/>
          <w:b/>
          <w:bCs/>
          <w:i/>
          <w:lang w:val="es-MX"/>
        </w:rPr>
        <w:t xml:space="preserve">Artículo 3. </w:t>
      </w:r>
      <w:r w:rsidRPr="00892442">
        <w:rPr>
          <w:rFonts w:ascii="Palatino Linotype" w:hAnsi="Palatino Linotype" w:cs="Arial"/>
          <w:i/>
          <w:lang w:val="es-MX"/>
        </w:rPr>
        <w:t>Para los efectos de la presente Ley se entenderá por:</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 xml:space="preserve"> (…)</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XX. Información clasificada: Aquella considerada por la presente Ley como reservada o confidencial;</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892442">
        <w:rPr>
          <w:rFonts w:ascii="Palatino Linotype" w:eastAsia="Calibri" w:hAnsi="Palatino Linotype" w:cs="Arial"/>
          <w:i/>
          <w:lang w:val="es-ES" w:eastAsia="es-MX"/>
        </w:rPr>
        <w:t>jurídico</w:t>
      </w:r>
      <w:proofErr w:type="gramEnd"/>
      <w:r w:rsidRPr="00892442">
        <w:rPr>
          <w:rFonts w:ascii="Palatino Linotype" w:eastAsia="Calibri" w:hAnsi="Palatino Linotype" w:cs="Arial"/>
          <w:i/>
          <w:lang w:val="es-ES" w:eastAsia="es-MX"/>
        </w:rPr>
        <w:t xml:space="preserve"> colectiva identificada o identificable;</w:t>
      </w:r>
    </w:p>
    <w:p w:rsidR="000021F7"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7F548D" w:rsidRPr="00892442" w:rsidRDefault="000021F7" w:rsidP="00892442">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92442">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892442" w:rsidRDefault="000021F7" w:rsidP="0089244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92442">
        <w:rPr>
          <w:rFonts w:ascii="Palatino Linotype" w:hAnsi="Palatino Linotype" w:cs="Arial"/>
        </w:rPr>
        <w:t xml:space="preserve">Mientras que el artículo 130 de la Ley en </w:t>
      </w:r>
      <w:r w:rsidR="00932824" w:rsidRPr="00892442">
        <w:rPr>
          <w:rFonts w:ascii="Palatino Linotype" w:hAnsi="Palatino Linotype" w:cs="Arial"/>
        </w:rPr>
        <w:t>comento</w:t>
      </w:r>
      <w:r w:rsidRPr="00892442">
        <w:rPr>
          <w:rFonts w:ascii="Palatino Linotype" w:hAnsi="Palatino Linotype" w:cs="Arial"/>
        </w:rPr>
        <w:t xml:space="preserve">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92442" w:rsidRPr="00892442" w:rsidRDefault="00892442" w:rsidP="0089244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0021F7" w:rsidRPr="00892442" w:rsidRDefault="000021F7" w:rsidP="0089244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92442">
        <w:rPr>
          <w:rFonts w:ascii="Palatino Linotype" w:hAnsi="Palatino Linotype" w:cs="Arial"/>
        </w:rPr>
        <w:t>Como consecuencia de lo anterior, el sujeto obligado debe identificar claramente el tipo de información y hacer un juicio de subsunción o encaje</w:t>
      </w:r>
      <w:r w:rsidRPr="00892442">
        <w:rPr>
          <w:rStyle w:val="Refdenotaalpie"/>
          <w:rFonts w:ascii="Palatino Linotype" w:hAnsi="Palatino Linotype" w:cs="Arial"/>
        </w:rPr>
        <w:footnoteReference w:id="11"/>
      </w:r>
      <w:r w:rsidRPr="00892442">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0021F7" w:rsidRPr="00892442" w:rsidRDefault="000021F7" w:rsidP="00892442">
      <w:pPr>
        <w:pStyle w:val="Prrafodelista"/>
        <w:spacing w:line="360" w:lineRule="auto"/>
        <w:rPr>
          <w:rFonts w:ascii="Palatino Linotype" w:eastAsia="Calibri" w:hAnsi="Palatino Linotype" w:cs="Arial"/>
          <w:lang w:val="es-ES" w:eastAsia="es-MX"/>
        </w:rPr>
      </w:pPr>
    </w:p>
    <w:p w:rsidR="000021F7" w:rsidRPr="00892442" w:rsidRDefault="000021F7" w:rsidP="0089244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92442">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0021F7" w:rsidRPr="00892442" w:rsidRDefault="007F548D" w:rsidP="00892442">
      <w:pPr>
        <w:pStyle w:val="Prrafodelista"/>
        <w:tabs>
          <w:tab w:val="left" w:pos="2385"/>
        </w:tabs>
        <w:spacing w:line="360" w:lineRule="auto"/>
        <w:rPr>
          <w:rFonts w:ascii="Palatino Linotype" w:eastAsia="Calibri" w:hAnsi="Palatino Linotype" w:cs="Arial"/>
          <w:lang w:val="es-ES" w:eastAsia="es-MX"/>
        </w:rPr>
      </w:pPr>
      <w:r w:rsidRPr="00892442">
        <w:rPr>
          <w:rFonts w:ascii="Palatino Linotype" w:eastAsia="Calibri" w:hAnsi="Palatino Linotype" w:cs="Arial"/>
          <w:lang w:val="es-ES" w:eastAsia="es-MX"/>
        </w:rPr>
        <w:tab/>
      </w:r>
    </w:p>
    <w:p w:rsidR="000021F7" w:rsidRPr="00892442" w:rsidRDefault="000021F7" w:rsidP="00892442">
      <w:pPr>
        <w:pStyle w:val="Ttulo3"/>
        <w:numPr>
          <w:ilvl w:val="0"/>
          <w:numId w:val="22"/>
        </w:numPr>
        <w:spacing w:line="360" w:lineRule="auto"/>
        <w:rPr>
          <w:rFonts w:ascii="Palatino Linotype" w:hAnsi="Palatino Linotype"/>
          <w:b/>
          <w:color w:val="auto"/>
        </w:rPr>
      </w:pPr>
      <w:bookmarkStart w:id="44" w:name="_Toc531859123"/>
      <w:bookmarkStart w:id="45" w:name="_Toc532385647"/>
      <w:bookmarkStart w:id="46" w:name="_Toc536618582"/>
      <w:bookmarkStart w:id="47" w:name="_Toc13132702"/>
      <w:r w:rsidRPr="00892442">
        <w:rPr>
          <w:rFonts w:ascii="Palatino Linotype" w:hAnsi="Palatino Linotype"/>
          <w:b/>
          <w:color w:val="auto"/>
        </w:rPr>
        <w:t>La intervención del Comité de Transparencia.</w:t>
      </w:r>
      <w:bookmarkEnd w:id="44"/>
      <w:bookmarkEnd w:id="45"/>
      <w:bookmarkEnd w:id="46"/>
      <w:bookmarkEnd w:id="47"/>
    </w:p>
    <w:p w:rsidR="000021F7" w:rsidRPr="00892442" w:rsidRDefault="000021F7" w:rsidP="00892442">
      <w:pPr>
        <w:pStyle w:val="Ttulo4"/>
        <w:numPr>
          <w:ilvl w:val="1"/>
          <w:numId w:val="1"/>
        </w:numPr>
        <w:spacing w:line="360" w:lineRule="auto"/>
        <w:rPr>
          <w:rFonts w:ascii="Palatino Linotype" w:hAnsi="Palatino Linotype"/>
          <w:b/>
          <w:i w:val="0"/>
          <w:color w:val="auto"/>
        </w:rPr>
      </w:pPr>
      <w:r w:rsidRPr="00892442">
        <w:rPr>
          <w:rFonts w:ascii="Palatino Linotype" w:hAnsi="Palatino Linotype"/>
          <w:b/>
          <w:i w:val="0"/>
          <w:color w:val="auto"/>
        </w:rPr>
        <w:t>Formalidades para emitir el acuerdo de clasificación.</w:t>
      </w:r>
    </w:p>
    <w:p w:rsidR="000021F7" w:rsidRPr="00892442" w:rsidRDefault="000021F7" w:rsidP="00892442">
      <w:pPr>
        <w:spacing w:line="360" w:lineRule="auto"/>
        <w:rPr>
          <w:rFonts w:ascii="Palatino Linotype" w:hAnsi="Palatino Linotype"/>
          <w:lang w:val="es-MX" w:eastAsia="en-US"/>
        </w:rPr>
      </w:pPr>
    </w:p>
    <w:p w:rsidR="000021F7" w:rsidRPr="00892442" w:rsidRDefault="000021F7" w:rsidP="0089244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92442">
        <w:rPr>
          <w:rFonts w:ascii="Palatino Linotype" w:hAnsi="Palatino Linotype" w:cs="Arial"/>
        </w:rPr>
        <w:t xml:space="preserve">El Comité de Transparencia, según lo dispuesto en los artículos 128 y 103 de la Ley Estatal y de la Ley General, respectivamente, y </w:t>
      </w:r>
      <w:r w:rsidRPr="00892442">
        <w:rPr>
          <w:rFonts w:ascii="Palatino Linotype" w:hAnsi="Palatino Linotype"/>
        </w:rPr>
        <w:t xml:space="preserve">la fracción III del numeral Segundo de los </w:t>
      </w:r>
      <w:r w:rsidRPr="00892442">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892442">
        <w:rPr>
          <w:rFonts w:ascii="Palatino Linotype" w:hAnsi="Palatino Linotype"/>
        </w:rPr>
        <w:t xml:space="preserve"> </w:t>
      </w:r>
      <w:r w:rsidRPr="00892442">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0021F7" w:rsidRPr="00892442" w:rsidRDefault="000021F7" w:rsidP="0089244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0021F7" w:rsidRPr="00892442" w:rsidRDefault="000021F7" w:rsidP="0089244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92442">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0021F7" w:rsidRPr="00892442" w:rsidRDefault="000021F7" w:rsidP="00892442">
      <w:pPr>
        <w:pStyle w:val="Prrafodelista"/>
        <w:spacing w:line="360" w:lineRule="auto"/>
        <w:rPr>
          <w:rFonts w:ascii="Palatino Linotype" w:eastAsia="Calibri" w:hAnsi="Palatino Linotype" w:cs="Arial"/>
          <w:lang w:val="es-ES" w:eastAsia="es-MX"/>
        </w:rPr>
      </w:pPr>
    </w:p>
    <w:p w:rsidR="00892442" w:rsidRPr="00892442" w:rsidRDefault="000021F7" w:rsidP="0089244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92442">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0021F7" w:rsidRDefault="000021F7" w:rsidP="00892442">
      <w:pPr>
        <w:pStyle w:val="Ttulo4"/>
        <w:numPr>
          <w:ilvl w:val="0"/>
          <w:numId w:val="23"/>
        </w:numPr>
        <w:spacing w:line="360" w:lineRule="auto"/>
        <w:rPr>
          <w:rFonts w:ascii="Palatino Linotype" w:hAnsi="Palatino Linotype"/>
          <w:b/>
          <w:i w:val="0"/>
          <w:color w:val="auto"/>
        </w:rPr>
      </w:pPr>
      <w:r w:rsidRPr="00892442">
        <w:rPr>
          <w:rFonts w:ascii="Palatino Linotype" w:hAnsi="Palatino Linotype"/>
          <w:b/>
          <w:i w:val="0"/>
          <w:color w:val="auto"/>
        </w:rPr>
        <w:t>Requisitos de fondo del acuerdo de clasificación</w:t>
      </w:r>
    </w:p>
    <w:p w:rsidR="00892442" w:rsidRPr="00892442" w:rsidRDefault="00892442" w:rsidP="00892442"/>
    <w:p w:rsidR="000021F7" w:rsidRPr="00892442" w:rsidRDefault="000021F7" w:rsidP="0089244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92442">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0021F7" w:rsidRPr="00892442" w:rsidRDefault="000021F7" w:rsidP="00892442">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0021F7" w:rsidRPr="00892442" w:rsidRDefault="000021F7" w:rsidP="0089244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9244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021F7" w:rsidRPr="00892442" w:rsidRDefault="000021F7" w:rsidP="00892442">
      <w:pPr>
        <w:pStyle w:val="Prrafodelista"/>
        <w:spacing w:line="360" w:lineRule="auto"/>
        <w:rPr>
          <w:rFonts w:ascii="Palatino Linotype" w:eastAsia="Calibri" w:hAnsi="Palatino Linotype" w:cs="Arial"/>
          <w:lang w:val="es-ES" w:eastAsia="es-MX"/>
        </w:rPr>
      </w:pPr>
    </w:p>
    <w:p w:rsidR="000021F7" w:rsidRPr="00892442" w:rsidRDefault="000021F7" w:rsidP="0089244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92442">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892442">
        <w:rPr>
          <w:rFonts w:ascii="Palatino Linotype" w:eastAsia="Times New Roman" w:hAnsi="Palatino Linotype" w:cs="Arial"/>
          <w:lang w:eastAsia="es-MX"/>
        </w:rPr>
        <w:t>....”</w:t>
      </w:r>
      <w:proofErr w:type="gramEnd"/>
      <w:r w:rsidRPr="00892442">
        <w:rPr>
          <w:rStyle w:val="Refdenotaalpie"/>
          <w:rFonts w:ascii="Palatino Linotype" w:eastAsia="Times New Roman" w:hAnsi="Palatino Linotype" w:cs="Arial"/>
          <w:lang w:eastAsia="es-MX"/>
        </w:rPr>
        <w:footnoteReference w:id="12"/>
      </w:r>
    </w:p>
    <w:p w:rsidR="000021F7" w:rsidRPr="00892442" w:rsidRDefault="000021F7" w:rsidP="00892442">
      <w:pPr>
        <w:pStyle w:val="Prrafodelista"/>
        <w:spacing w:line="360" w:lineRule="auto"/>
        <w:rPr>
          <w:rFonts w:ascii="Palatino Linotype" w:eastAsia="Calibri" w:hAnsi="Palatino Linotype" w:cs="Arial"/>
          <w:lang w:val="es-ES" w:eastAsia="es-MX"/>
        </w:rPr>
      </w:pPr>
    </w:p>
    <w:p w:rsidR="000021F7" w:rsidRPr="00892442" w:rsidRDefault="000021F7" w:rsidP="0089244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92442">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0021F7" w:rsidRPr="00892442" w:rsidRDefault="000021F7" w:rsidP="00892442">
      <w:pPr>
        <w:pStyle w:val="Prrafodelista"/>
        <w:spacing w:line="360" w:lineRule="auto"/>
        <w:rPr>
          <w:rFonts w:ascii="Palatino Linotype" w:eastAsia="Calibri" w:hAnsi="Palatino Linotype" w:cs="Arial"/>
          <w:lang w:val="es-ES" w:eastAsia="es-MX"/>
        </w:rPr>
      </w:pPr>
    </w:p>
    <w:p w:rsidR="000021F7" w:rsidRPr="00892442" w:rsidRDefault="000021F7" w:rsidP="00892442">
      <w:pPr>
        <w:spacing w:line="360" w:lineRule="auto"/>
        <w:ind w:left="567" w:right="567"/>
        <w:contextualSpacing/>
        <w:jc w:val="both"/>
        <w:rPr>
          <w:rFonts w:ascii="Palatino Linotype" w:hAnsi="Palatino Linotype" w:cs="Arial"/>
          <w:i/>
        </w:rPr>
      </w:pPr>
      <w:r w:rsidRPr="00892442">
        <w:rPr>
          <w:rFonts w:ascii="Palatino Linotype" w:hAnsi="Palatino Linotype" w:cs="Arial"/>
          <w:b/>
          <w:i/>
        </w:rPr>
        <w:t>FUNDAMENTACIÓN Y MOTIVACIÓN.</w:t>
      </w:r>
      <w:r w:rsidRPr="00892442">
        <w:rPr>
          <w:rFonts w:ascii="Palatino Linotype" w:hAnsi="Palatino Linotype" w:cs="Arial"/>
          <w:i/>
        </w:rPr>
        <w:t xml:space="preserve"> La </w:t>
      </w:r>
      <w:r w:rsidRPr="00892442">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92442">
        <w:rPr>
          <w:rFonts w:ascii="Palatino Linotype" w:hAnsi="Palatino Linotype" w:cs="Arial"/>
          <w:i/>
        </w:rPr>
        <w:t>.</w:t>
      </w:r>
    </w:p>
    <w:p w:rsidR="000021F7" w:rsidRPr="00892442" w:rsidRDefault="000021F7" w:rsidP="00892442">
      <w:pPr>
        <w:spacing w:line="360" w:lineRule="auto"/>
        <w:ind w:left="567" w:right="567"/>
        <w:contextualSpacing/>
        <w:jc w:val="both"/>
        <w:rPr>
          <w:rFonts w:ascii="Palatino Linotype" w:hAnsi="Palatino Linotype" w:cs="Arial"/>
          <w:i/>
        </w:rPr>
      </w:pPr>
      <w:r w:rsidRPr="00892442">
        <w:rPr>
          <w:rFonts w:ascii="Palatino Linotype" w:hAnsi="Palatino Linotype" w:cs="Arial"/>
          <w:i/>
        </w:rPr>
        <w:t>SEGUNDO TRIBUNAL COLEGIADO DEL SEXTO CIRCUITO.</w:t>
      </w:r>
    </w:p>
    <w:p w:rsidR="000021F7" w:rsidRPr="00892442" w:rsidRDefault="000021F7" w:rsidP="00892442">
      <w:pPr>
        <w:spacing w:line="360" w:lineRule="auto"/>
        <w:ind w:left="567" w:right="567"/>
        <w:contextualSpacing/>
        <w:jc w:val="both"/>
        <w:rPr>
          <w:rFonts w:ascii="Palatino Linotype" w:hAnsi="Palatino Linotype" w:cs="Arial"/>
          <w:i/>
        </w:rPr>
      </w:pPr>
      <w:r w:rsidRPr="00892442">
        <w:rPr>
          <w:rFonts w:ascii="Palatino Linotype" w:hAnsi="Palatino Linotype" w:cs="Arial"/>
          <w:i/>
        </w:rPr>
        <w:t>Amparo directo 194/88. Bufete Industrial Construcciones, S.A. de C.V. 28 de junio de 1988. Unanimidad de votos. Ponente: Gustavo Calvillo Rangel. Secretario: Jorge Alberto González Álvarez.</w:t>
      </w:r>
    </w:p>
    <w:p w:rsidR="000021F7" w:rsidRPr="00892442" w:rsidRDefault="000021F7" w:rsidP="00892442">
      <w:pPr>
        <w:spacing w:line="360" w:lineRule="auto"/>
        <w:ind w:left="567" w:right="567"/>
        <w:contextualSpacing/>
        <w:jc w:val="both"/>
        <w:rPr>
          <w:rFonts w:ascii="Palatino Linotype" w:hAnsi="Palatino Linotype" w:cs="Arial"/>
          <w:i/>
        </w:rPr>
      </w:pPr>
      <w:r w:rsidRPr="00892442">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892442">
        <w:rPr>
          <w:rFonts w:ascii="Palatino Linotype" w:hAnsi="Palatino Linotype" w:cs="Arial"/>
          <w:i/>
        </w:rPr>
        <w:t>Esponda</w:t>
      </w:r>
      <w:proofErr w:type="spellEnd"/>
      <w:r w:rsidRPr="00892442">
        <w:rPr>
          <w:rFonts w:ascii="Palatino Linotype" w:hAnsi="Palatino Linotype" w:cs="Arial"/>
          <w:i/>
        </w:rPr>
        <w:t xml:space="preserve"> Rincón.</w:t>
      </w:r>
    </w:p>
    <w:p w:rsidR="000021F7" w:rsidRPr="00892442" w:rsidRDefault="000021F7" w:rsidP="00892442">
      <w:pPr>
        <w:spacing w:line="360" w:lineRule="auto"/>
        <w:ind w:left="567" w:right="567"/>
        <w:contextualSpacing/>
        <w:jc w:val="both"/>
        <w:rPr>
          <w:rFonts w:ascii="Palatino Linotype" w:hAnsi="Palatino Linotype" w:cs="Arial"/>
          <w:i/>
        </w:rPr>
      </w:pPr>
      <w:r w:rsidRPr="00892442">
        <w:rPr>
          <w:rFonts w:ascii="Palatino Linotype" w:hAnsi="Palatino Linotype" w:cs="Arial"/>
          <w:i/>
        </w:rPr>
        <w:t xml:space="preserve">Amparo en revisión 333/88. </w:t>
      </w:r>
      <w:proofErr w:type="spellStart"/>
      <w:r w:rsidRPr="00892442">
        <w:rPr>
          <w:rFonts w:ascii="Palatino Linotype" w:hAnsi="Palatino Linotype" w:cs="Arial"/>
          <w:i/>
        </w:rPr>
        <w:t>Adilia</w:t>
      </w:r>
      <w:proofErr w:type="spellEnd"/>
      <w:r w:rsidRPr="00892442">
        <w:rPr>
          <w:rFonts w:ascii="Palatino Linotype" w:hAnsi="Palatino Linotype" w:cs="Arial"/>
          <w:i/>
        </w:rPr>
        <w:t xml:space="preserve"> Romero. 26 de octubre de 1988. Unanimidad de votos. Ponente: Arnoldo Nájera Virgen. Secretario: Enrique Crispín Campos Ramírez.</w:t>
      </w:r>
    </w:p>
    <w:p w:rsidR="000021F7" w:rsidRPr="00892442" w:rsidRDefault="000021F7" w:rsidP="00892442">
      <w:pPr>
        <w:spacing w:line="360" w:lineRule="auto"/>
        <w:ind w:left="567" w:right="567"/>
        <w:contextualSpacing/>
        <w:jc w:val="both"/>
        <w:rPr>
          <w:rFonts w:ascii="Palatino Linotype" w:hAnsi="Palatino Linotype" w:cs="Arial"/>
          <w:i/>
        </w:rPr>
      </w:pPr>
      <w:r w:rsidRPr="00892442">
        <w:rPr>
          <w:rFonts w:ascii="Palatino Linotype" w:hAnsi="Palatino Linotype" w:cs="Arial"/>
          <w:i/>
        </w:rPr>
        <w:t xml:space="preserve">Amparo en revisión 597/95. Emilio Maurer Bretón. 15 de noviembre de 1995. Unanimidad de votos. Ponente: Clementina Ramírez Moguel </w:t>
      </w:r>
      <w:proofErr w:type="spellStart"/>
      <w:r w:rsidRPr="00892442">
        <w:rPr>
          <w:rFonts w:ascii="Palatino Linotype" w:hAnsi="Palatino Linotype" w:cs="Arial"/>
          <w:i/>
        </w:rPr>
        <w:t>Goyzueta</w:t>
      </w:r>
      <w:proofErr w:type="spellEnd"/>
      <w:r w:rsidRPr="00892442">
        <w:rPr>
          <w:rFonts w:ascii="Palatino Linotype" w:hAnsi="Palatino Linotype" w:cs="Arial"/>
          <w:i/>
        </w:rPr>
        <w:t>. Secretario: Gonzalo Carrera Molina.</w:t>
      </w:r>
    </w:p>
    <w:p w:rsidR="000021F7" w:rsidRPr="00892442" w:rsidRDefault="000021F7" w:rsidP="00892442">
      <w:pPr>
        <w:spacing w:line="360" w:lineRule="auto"/>
        <w:ind w:left="567" w:right="567"/>
        <w:contextualSpacing/>
        <w:jc w:val="both"/>
        <w:rPr>
          <w:rFonts w:ascii="Palatino Linotype" w:hAnsi="Palatino Linotype" w:cs="Arial"/>
          <w:i/>
        </w:rPr>
      </w:pPr>
      <w:r w:rsidRPr="00892442">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892442">
        <w:rPr>
          <w:rFonts w:ascii="Palatino Linotype" w:hAnsi="Palatino Linotype" w:cs="Arial"/>
          <w:i/>
        </w:rPr>
        <w:t>Baigts</w:t>
      </w:r>
      <w:proofErr w:type="spellEnd"/>
      <w:r w:rsidRPr="00892442">
        <w:rPr>
          <w:rFonts w:ascii="Palatino Linotype" w:hAnsi="Palatino Linotype" w:cs="Arial"/>
          <w:i/>
        </w:rPr>
        <w:t xml:space="preserve"> Muñoz.</w:t>
      </w:r>
    </w:p>
    <w:p w:rsidR="000021F7" w:rsidRPr="00892442" w:rsidRDefault="000021F7" w:rsidP="00892442">
      <w:pPr>
        <w:spacing w:line="360" w:lineRule="auto"/>
        <w:ind w:firstLine="1418"/>
        <w:contextualSpacing/>
        <w:jc w:val="both"/>
        <w:rPr>
          <w:rFonts w:ascii="Palatino Linotype" w:hAnsi="Palatino Linotype" w:cs="Arial"/>
          <w:lang w:val="es-ES"/>
        </w:rPr>
      </w:pPr>
    </w:p>
    <w:p w:rsidR="000021F7" w:rsidRPr="00892442" w:rsidRDefault="000021F7" w:rsidP="0089244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92442">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021F7" w:rsidRPr="00892442" w:rsidRDefault="000021F7" w:rsidP="00892442">
      <w:pPr>
        <w:pStyle w:val="Prrafodelista"/>
        <w:shd w:val="clear" w:color="auto" w:fill="FFFFFF"/>
        <w:spacing w:line="360" w:lineRule="auto"/>
        <w:ind w:left="360"/>
        <w:jc w:val="both"/>
        <w:rPr>
          <w:rFonts w:ascii="Palatino Linotype" w:eastAsia="Times New Roman" w:hAnsi="Palatino Linotype" w:cs="Arial"/>
          <w:lang w:eastAsia="es-MX"/>
        </w:rPr>
      </w:pPr>
    </w:p>
    <w:p w:rsidR="000021F7" w:rsidRPr="00892442" w:rsidRDefault="000021F7" w:rsidP="0089244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92442">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021F7" w:rsidRPr="00892442" w:rsidRDefault="000021F7" w:rsidP="00892442">
      <w:pPr>
        <w:shd w:val="clear" w:color="auto" w:fill="FFFFFF"/>
        <w:spacing w:line="360" w:lineRule="auto"/>
        <w:contextualSpacing/>
        <w:jc w:val="both"/>
        <w:rPr>
          <w:rFonts w:ascii="Palatino Linotype" w:eastAsia="Times New Roman" w:hAnsi="Palatino Linotype" w:cs="Arial"/>
          <w:lang w:eastAsia="es-MX"/>
        </w:rPr>
      </w:pPr>
    </w:p>
    <w:p w:rsidR="000021F7" w:rsidRPr="00892442" w:rsidRDefault="000021F7" w:rsidP="0089244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92442">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0021F7" w:rsidRPr="00892442" w:rsidRDefault="000021F7" w:rsidP="00892442">
      <w:pPr>
        <w:shd w:val="clear" w:color="auto" w:fill="FFFFFF"/>
        <w:spacing w:line="360" w:lineRule="auto"/>
        <w:jc w:val="both"/>
        <w:rPr>
          <w:rFonts w:ascii="Palatino Linotype" w:eastAsia="Times New Roman" w:hAnsi="Palatino Linotype" w:cs="Arial"/>
          <w:lang w:eastAsia="es-MX"/>
        </w:rPr>
      </w:pPr>
    </w:p>
    <w:p w:rsidR="000021F7" w:rsidRPr="00892442" w:rsidRDefault="000021F7" w:rsidP="00892442">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892442">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92442">
        <w:rPr>
          <w:rFonts w:ascii="Palatino Linotype" w:hAnsi="Palatino Linotype"/>
        </w:rPr>
        <w:t xml:space="preserve"> </w:t>
      </w:r>
      <w:r w:rsidRPr="00892442">
        <w:rPr>
          <w:rFonts w:ascii="Palatino Linotype" w:eastAsia="Times New Roman" w:hAnsi="Palatino Linotype" w:cs="Arial"/>
          <w:lang w:eastAsia="es-MX"/>
        </w:rPr>
        <w:t>datos personales</w:t>
      </w:r>
      <w:r w:rsidRPr="00892442">
        <w:rPr>
          <w:rStyle w:val="Refdenotaalpie"/>
          <w:rFonts w:ascii="Palatino Linotype" w:eastAsia="Times New Roman" w:hAnsi="Palatino Linotype" w:cs="Arial"/>
          <w:lang w:eastAsia="es-MX"/>
        </w:rPr>
        <w:footnoteReference w:id="13"/>
      </w:r>
      <w:r w:rsidRPr="00892442">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892442">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0021F7" w:rsidRPr="00892442" w:rsidRDefault="000021F7" w:rsidP="00892442">
      <w:pPr>
        <w:pStyle w:val="Prrafodelista"/>
        <w:spacing w:line="360" w:lineRule="auto"/>
        <w:rPr>
          <w:rFonts w:ascii="Palatino Linotype" w:eastAsia="Times New Roman" w:hAnsi="Palatino Linotype" w:cs="Arial"/>
          <w:lang w:eastAsia="es-MX"/>
        </w:rPr>
      </w:pPr>
    </w:p>
    <w:p w:rsidR="000021F7" w:rsidRPr="00892442" w:rsidRDefault="000021F7" w:rsidP="00892442">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892442">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0021F7" w:rsidRPr="00892442" w:rsidRDefault="000021F7" w:rsidP="00892442">
      <w:pPr>
        <w:pStyle w:val="Prrafodelista"/>
        <w:spacing w:line="360" w:lineRule="auto"/>
        <w:rPr>
          <w:rFonts w:ascii="Palatino Linotype" w:eastAsia="Times New Roman" w:hAnsi="Palatino Linotype" w:cs="Arial"/>
          <w:lang w:eastAsia="es-MX"/>
        </w:rPr>
      </w:pPr>
    </w:p>
    <w:p w:rsidR="000021F7" w:rsidRPr="00892442" w:rsidRDefault="000021F7" w:rsidP="00892442">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92442">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892442">
        <w:rPr>
          <w:rFonts w:ascii="Palatino Linotype" w:hAnsi="Palatino Linotype"/>
          <w:lang w:val="es-ES"/>
        </w:rPr>
        <w:t xml:space="preserve"> </w:t>
      </w:r>
    </w:p>
    <w:p w:rsidR="000021F7" w:rsidRPr="00892442" w:rsidRDefault="000021F7" w:rsidP="00892442">
      <w:pPr>
        <w:pStyle w:val="Prrafodelista"/>
        <w:spacing w:line="360" w:lineRule="auto"/>
        <w:rPr>
          <w:rFonts w:ascii="Palatino Linotype" w:hAnsi="Palatino Linotype"/>
          <w:lang w:val="es-ES"/>
        </w:rPr>
      </w:pPr>
    </w:p>
    <w:p w:rsidR="007F548D" w:rsidRPr="00892442" w:rsidRDefault="000021F7" w:rsidP="00892442">
      <w:pPr>
        <w:pStyle w:val="Prrafodelista"/>
        <w:numPr>
          <w:ilvl w:val="0"/>
          <w:numId w:val="1"/>
        </w:numPr>
        <w:spacing w:before="240" w:after="240" w:line="360" w:lineRule="auto"/>
        <w:ind w:left="0" w:firstLine="0"/>
        <w:jc w:val="both"/>
        <w:rPr>
          <w:rFonts w:ascii="Palatino Linotype" w:hAnsi="Palatino Linotype" w:cs="Arial"/>
        </w:rPr>
      </w:pPr>
      <w:r w:rsidRPr="00892442">
        <w:rPr>
          <w:rFonts w:ascii="Palatino Linotype" w:hAnsi="Palatino Linotype"/>
          <w:color w:val="000000"/>
          <w:lang w:val="es-ES" w:eastAsia="es-MX"/>
        </w:rPr>
        <w:t xml:space="preserve">Por lo anteriormente expuesto y fundado, este </w:t>
      </w:r>
      <w:r w:rsidRPr="00892442">
        <w:rPr>
          <w:rFonts w:ascii="Palatino Linotype" w:hAnsi="Palatino Linotype"/>
          <w:b/>
          <w:bCs/>
          <w:color w:val="000000"/>
          <w:lang w:val="es-ES" w:eastAsia="es-MX"/>
        </w:rPr>
        <w:t>ÓRGANO GARANTE</w:t>
      </w:r>
      <w:r w:rsidRPr="00892442">
        <w:rPr>
          <w:rFonts w:ascii="Palatino Linotype" w:hAnsi="Palatino Linotype"/>
          <w:color w:val="000000"/>
          <w:lang w:val="es-ES" w:eastAsia="es-MX"/>
        </w:rPr>
        <w:t xml:space="preserve"> emite los siguientes:</w:t>
      </w:r>
    </w:p>
    <w:p w:rsidR="007F548D" w:rsidRDefault="00892442" w:rsidP="00892442">
      <w:pPr>
        <w:pStyle w:val="Prrafodelista"/>
        <w:spacing w:before="240" w:after="240"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8130</wp:posOffset>
                </wp:positionH>
                <wp:positionV relativeFrom="paragraph">
                  <wp:posOffset>61568</wp:posOffset>
                </wp:positionV>
                <wp:extent cx="5550794" cy="2691685"/>
                <wp:effectExtent l="19050" t="19050" r="12065" b="33020"/>
                <wp:wrapNone/>
                <wp:docPr id="1" name="Conector recto 1"/>
                <wp:cNvGraphicFramePr/>
                <a:graphic xmlns:a="http://schemas.openxmlformats.org/drawingml/2006/main">
                  <a:graphicData uri="http://schemas.microsoft.com/office/word/2010/wordprocessingShape">
                    <wps:wsp>
                      <wps:cNvCnPr/>
                      <wps:spPr>
                        <a:xfrm flipH="1" flipV="1">
                          <a:off x="0" y="0"/>
                          <a:ext cx="5550794" cy="269168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CF927"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65pt,4.85pt" to="437.7pt,2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" strokecolor="#5b9bd5 [3204]" strokeweight="3pt">
                <v:stroke joinstyle="miter"/>
              </v:line>
            </w:pict>
          </mc:Fallback>
        </mc:AlternateContent>
      </w:r>
    </w:p>
    <w:p w:rsidR="00892442" w:rsidRDefault="00892442" w:rsidP="00892442">
      <w:pPr>
        <w:pStyle w:val="Prrafodelista"/>
        <w:spacing w:before="240" w:after="240" w:line="360" w:lineRule="auto"/>
        <w:ind w:left="0"/>
        <w:jc w:val="both"/>
        <w:rPr>
          <w:rFonts w:ascii="Palatino Linotype" w:hAnsi="Palatino Linotype" w:cs="Arial"/>
        </w:rPr>
      </w:pPr>
    </w:p>
    <w:p w:rsidR="00892442" w:rsidRDefault="00892442" w:rsidP="00892442">
      <w:pPr>
        <w:pStyle w:val="Prrafodelista"/>
        <w:spacing w:before="240" w:after="240" w:line="360" w:lineRule="auto"/>
        <w:ind w:left="0"/>
        <w:jc w:val="both"/>
        <w:rPr>
          <w:rFonts w:ascii="Palatino Linotype" w:hAnsi="Palatino Linotype" w:cs="Arial"/>
        </w:rPr>
      </w:pPr>
    </w:p>
    <w:p w:rsidR="00892442" w:rsidRDefault="00892442" w:rsidP="00892442">
      <w:pPr>
        <w:pStyle w:val="Prrafodelista"/>
        <w:spacing w:before="240" w:after="240" w:line="360" w:lineRule="auto"/>
        <w:ind w:left="0"/>
        <w:jc w:val="both"/>
        <w:rPr>
          <w:rFonts w:ascii="Palatino Linotype" w:hAnsi="Palatino Linotype" w:cs="Arial"/>
        </w:rPr>
      </w:pPr>
    </w:p>
    <w:p w:rsidR="00892442" w:rsidRPr="00892442" w:rsidRDefault="00892442" w:rsidP="00892442">
      <w:pPr>
        <w:pStyle w:val="Prrafodelista"/>
        <w:spacing w:before="240" w:after="240" w:line="360" w:lineRule="auto"/>
        <w:ind w:left="0"/>
        <w:jc w:val="both"/>
        <w:rPr>
          <w:rFonts w:ascii="Palatino Linotype" w:hAnsi="Palatino Linotype" w:cs="Arial"/>
        </w:rPr>
      </w:pPr>
    </w:p>
    <w:p w:rsidR="002A5BA4" w:rsidRPr="00892442" w:rsidRDefault="002A5BA4" w:rsidP="00892442">
      <w:pPr>
        <w:pStyle w:val="Ttulo1"/>
        <w:spacing w:line="360" w:lineRule="auto"/>
        <w:jc w:val="center"/>
        <w:rPr>
          <w:rFonts w:eastAsia="Times New Roman"/>
          <w:szCs w:val="24"/>
        </w:rPr>
      </w:pPr>
      <w:bookmarkStart w:id="48" w:name="_Toc447699324"/>
      <w:bookmarkStart w:id="49" w:name="_Toc445745148"/>
      <w:bookmarkStart w:id="50" w:name="_Toc486525261"/>
      <w:bookmarkStart w:id="51" w:name="_Toc13132703"/>
      <w:r w:rsidRPr="00892442">
        <w:rPr>
          <w:rFonts w:eastAsia="Times New Roman"/>
          <w:szCs w:val="24"/>
        </w:rPr>
        <w:t>R E S O L U T I V O S</w:t>
      </w:r>
      <w:bookmarkEnd w:id="48"/>
      <w:bookmarkEnd w:id="49"/>
      <w:bookmarkEnd w:id="50"/>
      <w:bookmarkEnd w:id="51"/>
    </w:p>
    <w:p w:rsidR="004D60FB" w:rsidRPr="00892442" w:rsidRDefault="004D60FB" w:rsidP="00892442">
      <w:pPr>
        <w:keepNext/>
        <w:keepLines/>
        <w:spacing w:line="360" w:lineRule="auto"/>
        <w:jc w:val="center"/>
        <w:outlineLvl w:val="0"/>
        <w:rPr>
          <w:rFonts w:ascii="Palatino Linotype" w:eastAsia="Times New Roman" w:hAnsi="Palatino Linotype" w:cstheme="majorBidi"/>
          <w:b/>
          <w:bCs/>
        </w:rPr>
      </w:pPr>
    </w:p>
    <w:p w:rsidR="009A0584" w:rsidRPr="00892442" w:rsidRDefault="00286987" w:rsidP="00892442">
      <w:pPr>
        <w:spacing w:line="360" w:lineRule="auto"/>
        <w:jc w:val="both"/>
        <w:rPr>
          <w:rStyle w:val="Ttulo2Car"/>
          <w:rFonts w:ascii="Palatino Linotype" w:eastAsiaTheme="minorEastAsia" w:hAnsi="Palatino Linotype" w:cstheme="minorBidi"/>
          <w:color w:val="auto"/>
          <w:sz w:val="24"/>
          <w:szCs w:val="24"/>
        </w:rPr>
      </w:pPr>
      <w:r w:rsidRPr="00892442">
        <w:rPr>
          <w:rFonts w:ascii="Palatino Linotype" w:eastAsia="Times New Roman" w:hAnsi="Palatino Linotype" w:cs="Arial"/>
          <w:b/>
        </w:rPr>
        <w:t xml:space="preserve">PRIMERO. </w:t>
      </w:r>
      <w:r w:rsidR="0044480F" w:rsidRPr="00892442">
        <w:rPr>
          <w:rFonts w:ascii="Palatino Linotype" w:eastAsia="Times New Roman" w:hAnsi="Palatino Linotype" w:cs="Arial"/>
          <w:b/>
        </w:rPr>
        <w:tab/>
      </w:r>
      <w:r w:rsidR="005713F9" w:rsidRPr="00892442">
        <w:rPr>
          <w:rFonts w:ascii="Palatino Linotype" w:eastAsia="Times New Roman" w:hAnsi="Palatino Linotype" w:cs="Arial"/>
        </w:rPr>
        <w:t xml:space="preserve">Resultan </w:t>
      </w:r>
      <w:r w:rsidR="00381B52" w:rsidRPr="00892442">
        <w:rPr>
          <w:rFonts w:ascii="Palatino Linotype" w:eastAsia="Times New Roman" w:hAnsi="Palatino Linotype" w:cs="Arial"/>
        </w:rPr>
        <w:t xml:space="preserve">parcialmente </w:t>
      </w:r>
      <w:r w:rsidR="005713F9" w:rsidRPr="00892442">
        <w:rPr>
          <w:rFonts w:ascii="Palatino Linotype" w:eastAsia="Times New Roman" w:hAnsi="Palatino Linotype" w:cs="Arial"/>
        </w:rPr>
        <w:t xml:space="preserve">fundadas las razones o motivos de inconformidad hechos valer en el recurso de revisión </w:t>
      </w:r>
      <w:r w:rsidR="005713F9" w:rsidRPr="00892442">
        <w:rPr>
          <w:rFonts w:ascii="Palatino Linotype" w:eastAsia="Times New Roman" w:hAnsi="Palatino Linotype" w:cs="Arial"/>
          <w:b/>
        </w:rPr>
        <w:t>02308/INFOEM/AD/RR/2019</w:t>
      </w:r>
      <w:r w:rsidR="005713F9" w:rsidRPr="00892442">
        <w:rPr>
          <w:rFonts w:ascii="Palatino Linotype" w:eastAsia="Times New Roman" w:hAnsi="Palatino Linotype" w:cs="Arial"/>
        </w:rPr>
        <w:t xml:space="preserve"> en términos de los Considerandos </w:t>
      </w:r>
      <w:r w:rsidR="005713F9" w:rsidRPr="00892442">
        <w:rPr>
          <w:rFonts w:ascii="Palatino Linotype" w:eastAsia="Times New Roman" w:hAnsi="Palatino Linotype" w:cs="Arial"/>
          <w:b/>
        </w:rPr>
        <w:t>CUARTO Y QUINTO</w:t>
      </w:r>
      <w:r w:rsidR="005713F9" w:rsidRPr="00892442">
        <w:rPr>
          <w:rFonts w:ascii="Palatino Linotype" w:eastAsia="Times New Roman" w:hAnsi="Palatino Linotype" w:cs="Arial"/>
        </w:rPr>
        <w:t xml:space="preserve"> de la presente resolución.</w:t>
      </w:r>
    </w:p>
    <w:p w:rsidR="00735F27" w:rsidRPr="00892442" w:rsidRDefault="00735F27" w:rsidP="00892442">
      <w:pPr>
        <w:spacing w:line="360" w:lineRule="auto"/>
        <w:jc w:val="both"/>
        <w:rPr>
          <w:rStyle w:val="Ttulo2Car"/>
          <w:rFonts w:ascii="Palatino Linotype" w:eastAsiaTheme="minorEastAsia" w:hAnsi="Palatino Linotype" w:cstheme="minorBidi"/>
          <w:color w:val="auto"/>
          <w:sz w:val="24"/>
          <w:szCs w:val="24"/>
        </w:rPr>
      </w:pPr>
    </w:p>
    <w:p w:rsidR="009A0584" w:rsidRPr="00892442" w:rsidRDefault="005713F9" w:rsidP="00892442">
      <w:pPr>
        <w:spacing w:line="360" w:lineRule="auto"/>
        <w:jc w:val="both"/>
        <w:rPr>
          <w:rFonts w:ascii="Palatino Linotype" w:hAnsi="Palatino Linotype"/>
        </w:rPr>
      </w:pPr>
      <w:r w:rsidRPr="00892442">
        <w:rPr>
          <w:rFonts w:ascii="Palatino Linotype" w:hAnsi="Palatino Linotype"/>
          <w:b/>
        </w:rPr>
        <w:t>SEGUNDO</w:t>
      </w:r>
      <w:r w:rsidR="009A0584" w:rsidRPr="00892442">
        <w:rPr>
          <w:rFonts w:ascii="Palatino Linotype" w:hAnsi="Palatino Linotype"/>
          <w:b/>
        </w:rPr>
        <w:t>.</w:t>
      </w:r>
      <w:r w:rsidR="009A0584" w:rsidRPr="00892442">
        <w:rPr>
          <w:rStyle w:val="Ttulo2Car"/>
          <w:rFonts w:ascii="Palatino Linotype" w:eastAsiaTheme="minorEastAsia" w:hAnsi="Palatino Linotype" w:cstheme="minorBidi"/>
          <w:color w:val="auto"/>
          <w:sz w:val="24"/>
          <w:szCs w:val="24"/>
        </w:rPr>
        <w:t xml:space="preserve"> </w:t>
      </w:r>
      <w:r w:rsidR="009A0584" w:rsidRPr="00892442">
        <w:rPr>
          <w:rFonts w:ascii="Palatino Linotype" w:hAnsi="Palatino Linotype"/>
        </w:rPr>
        <w:t>Se</w:t>
      </w:r>
      <w:r w:rsidRPr="00892442">
        <w:rPr>
          <w:rFonts w:ascii="Palatino Linotype" w:hAnsi="Palatino Linotype"/>
        </w:rPr>
        <w:t xml:space="preserve"> </w:t>
      </w:r>
      <w:r w:rsidR="00381B52" w:rsidRPr="00892442">
        <w:rPr>
          <w:rFonts w:ascii="Palatino Linotype" w:hAnsi="Palatino Linotype"/>
          <w:b/>
        </w:rPr>
        <w:t>MODIFICA</w:t>
      </w:r>
      <w:r w:rsidRPr="00892442">
        <w:rPr>
          <w:rFonts w:ascii="Palatino Linotype" w:hAnsi="Palatino Linotype"/>
          <w:b/>
        </w:rPr>
        <w:t xml:space="preserve"> </w:t>
      </w:r>
      <w:r w:rsidRPr="00892442">
        <w:rPr>
          <w:rFonts w:ascii="Palatino Linotype" w:hAnsi="Palatino Linotype"/>
        </w:rPr>
        <w:t>la respuesta emitida por el</w:t>
      </w:r>
      <w:r w:rsidRPr="00892442">
        <w:rPr>
          <w:rFonts w:ascii="Palatino Linotype" w:hAnsi="Palatino Linotype"/>
          <w:b/>
        </w:rPr>
        <w:t xml:space="preserve"> Ayuntamiento de Huixquilucan</w:t>
      </w:r>
      <w:r w:rsidRPr="00892442">
        <w:rPr>
          <w:rFonts w:ascii="Palatino Linotype" w:hAnsi="Palatino Linotype"/>
        </w:rPr>
        <w:t xml:space="preserve"> y se</w:t>
      </w:r>
      <w:r w:rsidR="009A0584" w:rsidRPr="00892442">
        <w:rPr>
          <w:rFonts w:ascii="Palatino Linotype" w:hAnsi="Palatino Linotype"/>
        </w:rPr>
        <w:t xml:space="preserve"> </w:t>
      </w:r>
      <w:r w:rsidR="009A0584" w:rsidRPr="00892442">
        <w:rPr>
          <w:rFonts w:ascii="Palatino Linotype" w:hAnsi="Palatino Linotype"/>
          <w:b/>
        </w:rPr>
        <w:t>ORDENA</w:t>
      </w:r>
      <w:r w:rsidR="009A0584" w:rsidRPr="00892442">
        <w:rPr>
          <w:rFonts w:ascii="Palatino Linotype" w:hAnsi="Palatino Linotype"/>
        </w:rPr>
        <w:t xml:space="preserve"> entregar vía Sistema de Acceso, Rectificación, Cancelación y Oposición de Datos Personales del Estado de México </w:t>
      </w:r>
      <w:r w:rsidR="009A0584" w:rsidRPr="00892442">
        <w:rPr>
          <w:rFonts w:ascii="Palatino Linotype" w:hAnsi="Palatino Linotype"/>
          <w:b/>
        </w:rPr>
        <w:t>(SARCOEM)</w:t>
      </w:r>
      <w:r w:rsidR="00D35C84" w:rsidRPr="00892442">
        <w:rPr>
          <w:rFonts w:ascii="Palatino Linotype" w:hAnsi="Palatino Linotype"/>
        </w:rPr>
        <w:t xml:space="preserve"> y, en </w:t>
      </w:r>
      <w:r w:rsidRPr="00892442">
        <w:rPr>
          <w:rFonts w:ascii="Palatino Linotype" w:hAnsi="Palatino Linotype"/>
          <w:b/>
        </w:rPr>
        <w:t>Copias Certificadas</w:t>
      </w:r>
      <w:r w:rsidR="00D35C84" w:rsidRPr="00892442">
        <w:rPr>
          <w:rFonts w:ascii="Palatino Linotype" w:hAnsi="Palatino Linotype"/>
        </w:rPr>
        <w:t xml:space="preserve"> </w:t>
      </w:r>
      <w:r w:rsidRPr="00892442">
        <w:rPr>
          <w:rFonts w:ascii="Palatino Linotype" w:hAnsi="Palatino Linotype"/>
        </w:rPr>
        <w:t>(</w:t>
      </w:r>
      <w:r w:rsidR="00D802F0" w:rsidRPr="008D1C16">
        <w:rPr>
          <w:rFonts w:ascii="Palatino Linotype" w:hAnsi="Palatino Linotype"/>
          <w:b/>
        </w:rPr>
        <w:t>sin costo</w:t>
      </w:r>
      <w:r w:rsidRPr="008D1C16">
        <w:rPr>
          <w:rFonts w:ascii="Palatino Linotype" w:hAnsi="Palatino Linotype"/>
          <w:b/>
        </w:rPr>
        <w:t>)</w:t>
      </w:r>
      <w:r w:rsidR="00D802F0" w:rsidRPr="008D1C16">
        <w:rPr>
          <w:rFonts w:ascii="Palatino Linotype" w:hAnsi="Palatino Linotype"/>
        </w:rPr>
        <w:t xml:space="preserve"> y de ser el caso en versión pública,</w:t>
      </w:r>
      <w:r w:rsidR="00D802F0" w:rsidRPr="00892442">
        <w:rPr>
          <w:rFonts w:ascii="Palatino Linotype" w:hAnsi="Palatino Linotype"/>
        </w:rPr>
        <w:t xml:space="preserve"> </w:t>
      </w:r>
      <w:r w:rsidRPr="00892442">
        <w:rPr>
          <w:rFonts w:ascii="Palatino Linotype" w:hAnsi="Palatino Linotype"/>
        </w:rPr>
        <w:t>lo</w:t>
      </w:r>
      <w:r w:rsidR="00B6352F" w:rsidRPr="00892442">
        <w:rPr>
          <w:rFonts w:ascii="Palatino Linotype" w:hAnsi="Palatino Linotype"/>
        </w:rPr>
        <w:t xml:space="preserve"> siguiente:</w:t>
      </w:r>
    </w:p>
    <w:p w:rsidR="00B6352F" w:rsidRPr="00892442" w:rsidRDefault="00D35C84" w:rsidP="00892442">
      <w:pPr>
        <w:pStyle w:val="Prrafodelista"/>
        <w:numPr>
          <w:ilvl w:val="0"/>
          <w:numId w:val="11"/>
        </w:numPr>
        <w:spacing w:before="240" w:after="240" w:line="360" w:lineRule="auto"/>
        <w:ind w:left="567"/>
        <w:jc w:val="both"/>
        <w:rPr>
          <w:rFonts w:ascii="Palatino Linotype" w:eastAsia="Calibri" w:hAnsi="Palatino Linotype" w:cs="Arial"/>
          <w:b/>
          <w:lang w:val="es-ES"/>
        </w:rPr>
      </w:pPr>
      <w:r w:rsidRPr="00892442">
        <w:rPr>
          <w:rFonts w:ascii="Palatino Linotype" w:eastAsia="Calibri" w:hAnsi="Palatino Linotype" w:cs="Arial"/>
          <w:b/>
          <w:lang w:val="es-ES"/>
        </w:rPr>
        <w:t xml:space="preserve">Toda la información relacionada con el predio señalado en </w:t>
      </w:r>
      <w:r w:rsidR="006F4707" w:rsidRPr="00892442">
        <w:rPr>
          <w:rFonts w:ascii="Palatino Linotype" w:eastAsia="Calibri" w:hAnsi="Palatino Linotype" w:cs="Arial"/>
          <w:b/>
          <w:lang w:val="es-ES"/>
        </w:rPr>
        <w:t>la solicitud 00001/HUIXQUIL/AD/2019</w:t>
      </w:r>
      <w:r w:rsidR="00A31EFE" w:rsidRPr="00892442">
        <w:rPr>
          <w:rFonts w:ascii="Palatino Linotype" w:eastAsia="Calibri" w:hAnsi="Palatino Linotype" w:cs="Arial"/>
          <w:b/>
          <w:lang w:val="es-ES"/>
        </w:rPr>
        <w:t>.</w:t>
      </w:r>
    </w:p>
    <w:p w:rsidR="00D802F0" w:rsidRPr="00892442" w:rsidRDefault="00D802F0" w:rsidP="00892442">
      <w:pPr>
        <w:spacing w:line="360" w:lineRule="auto"/>
        <w:jc w:val="both"/>
        <w:rPr>
          <w:rFonts w:ascii="Palatino Linotype" w:hAnsi="Palatino Linotype"/>
          <w:b/>
        </w:rPr>
      </w:pPr>
      <w:r w:rsidRPr="00892442">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de aplicación supletoria en el que funde y motive las razones sobre los datos que se supriman o eliminen dentro del soporte documental respectivo objeto de las versiones públicas que se formulen y se ponga a disposición de </w:t>
      </w:r>
      <w:r w:rsidR="002E54EF" w:rsidRPr="002E54EF">
        <w:rPr>
          <w:rFonts w:ascii="Palatino Linotype" w:hAnsi="Palatino Linotype"/>
          <w:b/>
          <w:highlight w:val="black"/>
        </w:rPr>
        <w:t>----------------------------------</w:t>
      </w:r>
      <w:r w:rsidRPr="00892442">
        <w:rPr>
          <w:rFonts w:ascii="Palatino Linotype" w:hAnsi="Palatino Linotype"/>
          <w:b/>
        </w:rPr>
        <w:t>.</w:t>
      </w:r>
    </w:p>
    <w:p w:rsidR="005713F9" w:rsidRPr="00892442" w:rsidRDefault="005713F9" w:rsidP="00892442">
      <w:pPr>
        <w:spacing w:line="360" w:lineRule="auto"/>
        <w:jc w:val="both"/>
        <w:rPr>
          <w:rFonts w:ascii="Palatino Linotype" w:eastAsia="Calibri" w:hAnsi="Palatino Linotype" w:cs="Arial"/>
          <w:lang w:val="es-ES"/>
        </w:rPr>
      </w:pPr>
    </w:p>
    <w:p w:rsidR="00B011AC" w:rsidRPr="00892442" w:rsidRDefault="00B011AC" w:rsidP="00892442">
      <w:pPr>
        <w:spacing w:line="360" w:lineRule="auto"/>
        <w:jc w:val="both"/>
        <w:rPr>
          <w:rFonts w:ascii="Palatino Linotype" w:eastAsia="Calibri" w:hAnsi="Palatino Linotype" w:cs="Arial"/>
          <w:lang w:val="es-ES"/>
        </w:rPr>
      </w:pPr>
      <w:r w:rsidRPr="00892442">
        <w:rPr>
          <w:rFonts w:ascii="Palatino Linotype" w:hAnsi="Palatino Linotype"/>
          <w:color w:val="222222"/>
          <w:shd w:val="clear" w:color="auto" w:fill="FFFFFF"/>
        </w:rPr>
        <w:t>Asimismo se ordena al Sujeto Obligado que previo a la entrega de la información, haga del conocimiento al Recurrente,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a lo dispuesto por el artículo 118 de la Ley de Protección de Datos Personales en Posesión de los Sujetos Obligados del Estado de México y Municipios.</w:t>
      </w:r>
      <w:r w:rsidRPr="00892442">
        <w:rPr>
          <w:rFonts w:ascii="Palatino Linotype" w:eastAsia="Calibri" w:hAnsi="Palatino Linotype" w:cs="Arial"/>
          <w:lang w:val="es-ES"/>
        </w:rPr>
        <w:t xml:space="preserve"> </w:t>
      </w:r>
    </w:p>
    <w:p w:rsidR="00B22705" w:rsidRPr="00892442" w:rsidRDefault="005713F9" w:rsidP="00892442">
      <w:pPr>
        <w:spacing w:before="240" w:after="240" w:line="360" w:lineRule="auto"/>
        <w:jc w:val="both"/>
        <w:rPr>
          <w:rFonts w:ascii="Palatino Linotype" w:eastAsia="Calibri" w:hAnsi="Palatino Linotype" w:cs="Arial"/>
        </w:rPr>
      </w:pPr>
      <w:r w:rsidRPr="00892442">
        <w:rPr>
          <w:rFonts w:ascii="Palatino Linotype" w:eastAsia="Calibri" w:hAnsi="Palatino Linotype" w:cs="Arial"/>
          <w:b/>
        </w:rPr>
        <w:t>TERCER</w:t>
      </w:r>
      <w:r w:rsidR="009A0584" w:rsidRPr="00892442">
        <w:rPr>
          <w:rFonts w:ascii="Palatino Linotype" w:eastAsia="Calibri" w:hAnsi="Palatino Linotype" w:cs="Arial"/>
          <w:b/>
        </w:rPr>
        <w:t>O.</w:t>
      </w:r>
      <w:r w:rsidR="009A0584" w:rsidRPr="00892442">
        <w:rPr>
          <w:rFonts w:ascii="Palatino Linotype" w:eastAsia="Calibri" w:hAnsi="Palatino Linotype" w:cs="Arial"/>
        </w:rPr>
        <w:t xml:space="preserve"> </w:t>
      </w:r>
      <w:r w:rsidR="009A0584" w:rsidRPr="00892442">
        <w:rPr>
          <w:rFonts w:ascii="Palatino Linotype" w:eastAsia="Calibri" w:hAnsi="Palatino Linotype" w:cs="Arial"/>
          <w:b/>
        </w:rPr>
        <w:t>Notifíquese</w:t>
      </w:r>
      <w:r w:rsidR="009A0584" w:rsidRPr="00892442">
        <w:rPr>
          <w:rFonts w:ascii="Palatino Linotype" w:eastAsia="Calibri" w:hAnsi="Palatino Linotype" w:cs="Arial"/>
        </w:rPr>
        <w:t xml:space="preserve"> al Titular de la Unidad de Transparencia del </w:t>
      </w:r>
      <w:r w:rsidR="009A0584" w:rsidRPr="00892442">
        <w:rPr>
          <w:rFonts w:ascii="Palatino Linotype" w:eastAsia="Calibri" w:hAnsi="Palatino Linotype" w:cs="Arial"/>
          <w:b/>
        </w:rPr>
        <w:t>SUJETO OBLIGADO</w:t>
      </w:r>
      <w:r w:rsidR="009A0584" w:rsidRPr="00892442">
        <w:rPr>
          <w:rFonts w:ascii="Palatino Linotype" w:eastAsia="Calibri" w:hAnsi="Palatino Linotype" w:cs="Arial"/>
        </w:rPr>
        <w:t xml:space="preserve">, para que conforme a los artículos </w:t>
      </w:r>
      <w:r w:rsidR="000C65BE" w:rsidRPr="00892442">
        <w:rPr>
          <w:rFonts w:ascii="Palatino Linotype" w:eastAsia="Calibri" w:hAnsi="Palatino Linotype" w:cs="Arial"/>
        </w:rPr>
        <w:t>137</w:t>
      </w:r>
      <w:r w:rsidR="00452968" w:rsidRPr="00892442">
        <w:rPr>
          <w:rFonts w:ascii="Palatino Linotype" w:eastAsia="Calibri" w:hAnsi="Palatino Linotype" w:cs="Arial"/>
        </w:rPr>
        <w:t xml:space="preserve"> y</w:t>
      </w:r>
      <w:r w:rsidR="000C65BE" w:rsidRPr="00892442">
        <w:rPr>
          <w:rFonts w:ascii="Palatino Linotype" w:eastAsia="Calibri" w:hAnsi="Palatino Linotype" w:cs="Arial"/>
        </w:rPr>
        <w:t xml:space="preserve"> 140 </w:t>
      </w:r>
      <w:r w:rsidR="000C65BE" w:rsidRPr="00892442">
        <w:rPr>
          <w:rFonts w:ascii="Palatino Linotype" w:eastAsia="Times New Roman" w:hAnsi="Palatino Linotype" w:cs="Arial"/>
        </w:rPr>
        <w:t xml:space="preserve"> de la Ley de Protección de Datos Personales en Posesión de los Sujetos Obligados del Estado de México y Municipios</w:t>
      </w:r>
      <w:r w:rsidR="00B22705" w:rsidRPr="00892442">
        <w:rPr>
          <w:rFonts w:ascii="Palatino Linotype" w:eastAsia="Times New Roman" w:hAnsi="Palatino Linotype" w:cs="Arial"/>
        </w:rPr>
        <w:t>, artículos</w:t>
      </w:r>
      <w:r w:rsidR="00452968" w:rsidRPr="00892442">
        <w:rPr>
          <w:rFonts w:ascii="Palatino Linotype" w:eastAsia="Calibri" w:hAnsi="Palatino Linotype" w:cs="Arial"/>
        </w:rPr>
        <w:t xml:space="preserve"> </w:t>
      </w:r>
      <w:r w:rsidR="00B22705" w:rsidRPr="00892442">
        <w:rPr>
          <w:rFonts w:ascii="Palatino Linotype" w:eastAsia="Calibri" w:hAnsi="Palatino Linotype" w:cs="Arial"/>
          <w:lang w:val="es-ES"/>
        </w:rPr>
        <w:t>186 último párrafo y 189 párrafo segundo de la Ley de Transparencia y Acceso a la Información Pública del Estado de México y Municipios de aplicación supletoria, dé cumplimiento a lo ordenado dentro del plazo de diez días hábiles, debiendo informar a este Instituto en un plazo de tres días hábiles siguientes sobre el cumplimiento dado a la presente resolución.</w:t>
      </w:r>
    </w:p>
    <w:p w:rsidR="00D864CE" w:rsidRPr="00892442" w:rsidRDefault="005713F9" w:rsidP="00892442">
      <w:pPr>
        <w:shd w:val="clear" w:color="auto" w:fill="FFFFFF"/>
        <w:spacing w:line="360" w:lineRule="auto"/>
        <w:jc w:val="both"/>
        <w:rPr>
          <w:rFonts w:ascii="Palatino Linotype" w:hAnsi="Palatino Linotype"/>
        </w:rPr>
      </w:pPr>
      <w:r w:rsidRPr="00892442">
        <w:rPr>
          <w:rFonts w:ascii="Palatino Linotype" w:eastAsia="Times New Roman" w:hAnsi="Palatino Linotype" w:cs="Arial"/>
          <w:b/>
        </w:rPr>
        <w:t>CUAR</w:t>
      </w:r>
      <w:r w:rsidR="00D864CE" w:rsidRPr="00892442">
        <w:rPr>
          <w:rFonts w:ascii="Palatino Linotype" w:eastAsia="Times New Roman" w:hAnsi="Palatino Linotype" w:cs="Arial"/>
          <w:b/>
        </w:rPr>
        <w:t xml:space="preserve">TO. </w:t>
      </w:r>
      <w:r w:rsidR="00D864CE" w:rsidRPr="00892442">
        <w:rPr>
          <w:rFonts w:ascii="Palatino Linotype" w:eastAsia="Times New Roman" w:hAnsi="Palatino Linotype" w:cs="Times New Roman"/>
          <w:b/>
          <w:bCs/>
          <w:color w:val="222222"/>
          <w:lang w:val="es-ES"/>
        </w:rPr>
        <w:t>Notifíquese a</w:t>
      </w:r>
      <w:r w:rsidR="00D864CE" w:rsidRPr="00892442">
        <w:rPr>
          <w:rFonts w:ascii="Palatino Linotype" w:hAnsi="Palatino Linotype"/>
          <w:b/>
        </w:rPr>
        <w:t xml:space="preserve"> </w:t>
      </w:r>
      <w:r w:rsidR="002E54EF" w:rsidRPr="002E54EF">
        <w:rPr>
          <w:rFonts w:ascii="Palatino Linotype" w:hAnsi="Palatino Linotype"/>
          <w:b/>
          <w:highlight w:val="black"/>
        </w:rPr>
        <w:t>------------------------------</w:t>
      </w:r>
      <w:r w:rsidR="006F4707" w:rsidRPr="00892442">
        <w:rPr>
          <w:rFonts w:ascii="Palatino Linotype" w:hAnsi="Palatino Linotype"/>
        </w:rPr>
        <w:t xml:space="preserve"> </w:t>
      </w:r>
      <w:r w:rsidR="00D864CE" w:rsidRPr="00892442">
        <w:rPr>
          <w:rFonts w:ascii="Palatino Linotype" w:hAnsi="Palatino Linotype"/>
        </w:rPr>
        <w:t>la presente resolución</w:t>
      </w:r>
      <w:r w:rsidR="00452968" w:rsidRPr="00892442">
        <w:rPr>
          <w:rFonts w:ascii="Palatino Linotype" w:hAnsi="Palatino Linotype"/>
        </w:rPr>
        <w:t xml:space="preserve"> y su informe justificado.</w:t>
      </w:r>
    </w:p>
    <w:p w:rsidR="00D864CE" w:rsidRPr="00892442" w:rsidRDefault="00D864CE" w:rsidP="00892442">
      <w:pPr>
        <w:shd w:val="clear" w:color="auto" w:fill="FFFFFF"/>
        <w:spacing w:line="360" w:lineRule="auto"/>
        <w:jc w:val="both"/>
        <w:rPr>
          <w:rFonts w:ascii="Palatino Linotype" w:hAnsi="Palatino Linotype"/>
        </w:rPr>
      </w:pPr>
    </w:p>
    <w:p w:rsidR="00780441" w:rsidRDefault="005713F9" w:rsidP="00892442">
      <w:pPr>
        <w:spacing w:line="360" w:lineRule="auto"/>
        <w:jc w:val="both"/>
        <w:rPr>
          <w:rFonts w:ascii="Palatino Linotype" w:eastAsia="MS Mincho" w:hAnsi="Palatino Linotype" w:cs="Times New Roman"/>
          <w:lang w:val="es-ES"/>
        </w:rPr>
      </w:pPr>
      <w:r w:rsidRPr="00892442">
        <w:rPr>
          <w:rFonts w:ascii="Palatino Linotype" w:eastAsia="MS Mincho" w:hAnsi="Palatino Linotype" w:cs="Times New Roman"/>
          <w:b/>
          <w:lang w:val="es-MX"/>
        </w:rPr>
        <w:t>QUIN</w:t>
      </w:r>
      <w:r w:rsidR="00D864CE" w:rsidRPr="00892442">
        <w:rPr>
          <w:rFonts w:ascii="Palatino Linotype" w:eastAsia="MS Mincho" w:hAnsi="Palatino Linotype" w:cs="Times New Roman"/>
          <w:b/>
          <w:lang w:val="es-MX"/>
        </w:rPr>
        <w:t>TO.</w:t>
      </w:r>
      <w:r w:rsidR="00D864CE" w:rsidRPr="00892442">
        <w:rPr>
          <w:rFonts w:ascii="Palatino Linotype" w:eastAsia="MS Mincho" w:hAnsi="Palatino Linotype" w:cs="Times New Roman"/>
          <w:lang w:val="es-MX"/>
        </w:rPr>
        <w:t xml:space="preserve"> </w:t>
      </w:r>
      <w:r w:rsidR="00D864CE" w:rsidRPr="00892442">
        <w:rPr>
          <w:rFonts w:ascii="Palatino Linotype" w:eastAsia="MS Mincho" w:hAnsi="Palatino Linotype" w:cs="Times New Roman"/>
          <w:lang w:val="es-ES"/>
        </w:rPr>
        <w:t xml:space="preserve">Se hace del conocimiento de </w:t>
      </w:r>
      <w:r w:rsidR="002E54EF" w:rsidRPr="002E54EF">
        <w:rPr>
          <w:rFonts w:ascii="Palatino Linotype" w:hAnsi="Palatino Linotype"/>
          <w:b/>
          <w:highlight w:val="black"/>
        </w:rPr>
        <w:t>------------------------------</w:t>
      </w:r>
      <w:r w:rsidR="006F4707" w:rsidRPr="00892442">
        <w:rPr>
          <w:rFonts w:ascii="Palatino Linotype" w:eastAsia="MS Mincho" w:hAnsi="Palatino Linotype" w:cs="Times New Roman"/>
          <w:lang w:val="es-ES"/>
        </w:rPr>
        <w:t xml:space="preserve"> </w:t>
      </w:r>
      <w:r w:rsidR="00D864CE" w:rsidRPr="00892442">
        <w:rPr>
          <w:rFonts w:ascii="Palatino Linotype" w:eastAsia="MS Mincho" w:hAnsi="Palatino Linotype" w:cs="Times New Roman"/>
          <w:lang w:val="es-ES"/>
        </w:rPr>
        <w:t xml:space="preserve">que, de conformidad con lo establecido en el artículo </w:t>
      </w:r>
      <w:r w:rsidR="00780441" w:rsidRPr="00892442">
        <w:rPr>
          <w:rFonts w:ascii="Palatino Linotype" w:eastAsia="Times New Roman" w:hAnsi="Palatino Linotype" w:cs="Arial"/>
        </w:rPr>
        <w:t xml:space="preserve">142 de la Ley de Protección de Datos Personales en Posesión de los Sujetos Obligados del Estado de México y Municipios, </w:t>
      </w:r>
      <w:r w:rsidR="00D864CE" w:rsidRPr="00892442">
        <w:rPr>
          <w:rFonts w:ascii="Palatino Linotype" w:eastAsia="MS Mincho" w:hAnsi="Palatino Linotype" w:cs="Times New Roman"/>
          <w:lang w:val="es-ES"/>
        </w:rPr>
        <w:t>en caso de que considere que la resolución le cause algún perjuicio podrá impugnarla </w:t>
      </w:r>
      <w:r w:rsidR="00D864CE" w:rsidRPr="00892442">
        <w:rPr>
          <w:rFonts w:ascii="Palatino Linotype" w:eastAsia="MS Mincho" w:hAnsi="Palatino Linotype" w:cs="Times New Roman"/>
          <w:bCs/>
          <w:lang w:val="es-ES"/>
        </w:rPr>
        <w:t>vía juicio de amparo</w:t>
      </w:r>
      <w:r w:rsidR="00D864CE" w:rsidRPr="00892442">
        <w:rPr>
          <w:rFonts w:ascii="Palatino Linotype" w:eastAsia="MS Mincho" w:hAnsi="Palatino Linotype" w:cs="Times New Roman"/>
          <w:lang w:val="es-ES"/>
        </w:rPr>
        <w:t> en los términos de las leyes aplicables.</w:t>
      </w:r>
      <w:r w:rsidR="00780441" w:rsidRPr="00892442">
        <w:rPr>
          <w:rFonts w:ascii="Palatino Linotype" w:eastAsia="MS Mincho" w:hAnsi="Palatino Linotype" w:cs="Times New Roman"/>
          <w:lang w:val="es-ES"/>
        </w:rPr>
        <w:t xml:space="preserve"> </w:t>
      </w:r>
    </w:p>
    <w:p w:rsidR="00892442" w:rsidRDefault="00892442" w:rsidP="00892442">
      <w:pPr>
        <w:spacing w:line="360" w:lineRule="auto"/>
        <w:jc w:val="both"/>
        <w:rPr>
          <w:rFonts w:ascii="Palatino Linotype" w:eastAsia="MS Mincho" w:hAnsi="Palatino Linotype" w:cs="Times New Roman"/>
          <w:lang w:val="es-ES"/>
        </w:rPr>
      </w:pPr>
    </w:p>
    <w:p w:rsidR="00892442" w:rsidRDefault="00892442" w:rsidP="00892442">
      <w:pPr>
        <w:spacing w:line="360" w:lineRule="auto"/>
        <w:jc w:val="both"/>
        <w:rPr>
          <w:rFonts w:ascii="Palatino Linotype" w:eastAsia="MS Mincho" w:hAnsi="Palatino Linotype" w:cs="Times New Roman"/>
          <w:lang w:val="es-ES"/>
        </w:rPr>
      </w:pPr>
    </w:p>
    <w:p w:rsidR="00892442" w:rsidRDefault="00892442" w:rsidP="00892442">
      <w:pPr>
        <w:spacing w:line="360" w:lineRule="auto"/>
        <w:jc w:val="both"/>
        <w:rPr>
          <w:rFonts w:ascii="Palatino Linotype" w:eastAsia="MS Mincho" w:hAnsi="Palatino Linotype" w:cs="Times New Roman"/>
          <w:lang w:val="es-ES"/>
        </w:rPr>
      </w:pPr>
    </w:p>
    <w:p w:rsidR="00892442" w:rsidRDefault="00892442" w:rsidP="00892442">
      <w:pPr>
        <w:spacing w:line="360" w:lineRule="auto"/>
        <w:jc w:val="both"/>
        <w:rPr>
          <w:rFonts w:ascii="Palatino Linotype" w:eastAsia="MS Mincho" w:hAnsi="Palatino Linotype" w:cs="Times New Roman"/>
          <w:lang w:val="es-ES"/>
        </w:rPr>
      </w:pPr>
    </w:p>
    <w:p w:rsidR="00892442" w:rsidRPr="00892442" w:rsidRDefault="00892442" w:rsidP="00892442">
      <w:pPr>
        <w:spacing w:line="360" w:lineRule="auto"/>
        <w:jc w:val="both"/>
        <w:rPr>
          <w:rFonts w:ascii="Palatino Linotype" w:eastAsia="MS Mincho" w:hAnsi="Palatino Linotype" w:cs="Times New Roman"/>
          <w:lang w:val="es-ES"/>
        </w:rPr>
      </w:pPr>
    </w:p>
    <w:p w:rsidR="008D1C16" w:rsidRDefault="008D1C16" w:rsidP="00892442">
      <w:pPr>
        <w:shd w:val="clear" w:color="auto" w:fill="FFFFFF"/>
        <w:spacing w:before="240" w:after="360" w:line="360" w:lineRule="auto"/>
        <w:jc w:val="both"/>
        <w:rPr>
          <w:rFonts w:ascii="Palatino Linotype" w:hAnsi="Palatino Linotype"/>
        </w:rPr>
      </w:pPr>
    </w:p>
    <w:p w:rsidR="008D1C16" w:rsidRPr="008D1C16" w:rsidRDefault="008D1C16" w:rsidP="00892442">
      <w:pPr>
        <w:shd w:val="clear" w:color="auto" w:fill="FFFFFF"/>
        <w:spacing w:before="240" w:after="360" w:line="360" w:lineRule="auto"/>
        <w:jc w:val="both"/>
        <w:rPr>
          <w:rFonts w:ascii="Palatino Linotype" w:hAnsi="Palatino Linotype"/>
          <w:sz w:val="2"/>
        </w:rPr>
      </w:pPr>
    </w:p>
    <w:p w:rsidR="005B3C42" w:rsidRDefault="008D1C16" w:rsidP="00892442">
      <w:pPr>
        <w:shd w:val="clear" w:color="auto" w:fill="FFFFFF"/>
        <w:spacing w:before="240" w:after="360" w:line="360" w:lineRule="auto"/>
        <w:jc w:val="both"/>
        <w:rPr>
          <w:rFonts w:ascii="Palatino Linotype" w:hAnsi="Palatino Linotype"/>
        </w:rPr>
      </w:pPr>
      <w:r>
        <w:rPr>
          <w:rFonts w:ascii="Palatino Linotype" w:hAnsi="Palatino Linotype"/>
        </w:rPr>
        <w:t>ASÍ LO RESUELVE, POR MAYORÍA</w:t>
      </w:r>
      <w:r w:rsidR="005B3C42" w:rsidRPr="00892442">
        <w:rPr>
          <w:rFonts w:ascii="Palatino Linotype" w:hAnsi="Palatino Linotype"/>
        </w:rPr>
        <w:t xml:space="preserve"> DE VOTOS, EL PLENO DEL INSTITUTO DE TRANSPARENCIA, ACCESO A LA INFORMACIÓN PÚBLICA Y PROTECCIÓN DE DATOS PERSONALES DEL ESTADO DE MÉXICO Y MUNICIPIOS, CONFORMADO POR LOS COMISIONADOS ZULEMA MARTÍNEZ SÁNCHEZ</w:t>
      </w:r>
      <w:r w:rsidR="00D84261">
        <w:rPr>
          <w:rFonts w:ascii="Palatino Linotype" w:hAnsi="Palatino Linotype"/>
        </w:rPr>
        <w:t xml:space="preserve"> VOTO PARTICULAR CONCURRENTE</w:t>
      </w:r>
      <w:r w:rsidR="005B3C42" w:rsidRPr="00892442">
        <w:rPr>
          <w:rFonts w:ascii="Palatino Linotype" w:hAnsi="Palatino Linotype"/>
        </w:rPr>
        <w:t>; EVA ABAID YAPUR</w:t>
      </w:r>
      <w:r w:rsidR="005E6E7F">
        <w:rPr>
          <w:rFonts w:ascii="Palatino Linotype" w:hAnsi="Palatino Linotype"/>
        </w:rPr>
        <w:t xml:space="preserve"> EMITIE</w:t>
      </w:r>
      <w:r w:rsidR="00D84261">
        <w:rPr>
          <w:rFonts w:ascii="Palatino Linotype" w:hAnsi="Palatino Linotype"/>
        </w:rPr>
        <w:t>NDO VOTO PARTICULAR CONCURRENTE</w:t>
      </w:r>
      <w:r w:rsidR="005B3C42" w:rsidRPr="00892442">
        <w:rPr>
          <w:rFonts w:ascii="Palatino Linotype" w:hAnsi="Palatino Linotype"/>
        </w:rPr>
        <w:t>; JOSÉ GUADALUPE LUNA H</w:t>
      </w:r>
      <w:r w:rsidR="005E6E7F">
        <w:rPr>
          <w:rFonts w:ascii="Palatino Linotype" w:hAnsi="Palatino Linotype"/>
        </w:rPr>
        <w:t>ERNÁNDEZ;  JAVIER MARTÍNEZ CRUZ</w:t>
      </w:r>
      <w:r w:rsidR="00D84261">
        <w:rPr>
          <w:rFonts w:ascii="Palatino Linotype" w:hAnsi="Palatino Linotype"/>
        </w:rPr>
        <w:t xml:space="preserve"> EMITIENDO OPINIÓN PARTICULAR </w:t>
      </w:r>
      <w:r w:rsidR="005E6E7F">
        <w:rPr>
          <w:rFonts w:ascii="Palatino Linotype" w:hAnsi="Palatino Linotype"/>
        </w:rPr>
        <w:t xml:space="preserve"> Y LUIS GUSTAVO PARRA NORIEGA</w:t>
      </w:r>
      <w:r w:rsidR="00D84261">
        <w:rPr>
          <w:rFonts w:ascii="Palatino Linotype" w:hAnsi="Palatino Linotype"/>
        </w:rPr>
        <w:t xml:space="preserve"> EMITIENDO VOTO</w:t>
      </w:r>
      <w:r>
        <w:rPr>
          <w:rFonts w:ascii="Palatino Linotype" w:hAnsi="Palatino Linotype"/>
        </w:rPr>
        <w:t xml:space="preserve"> EN CONTRA CON VOTO</w:t>
      </w:r>
      <w:r w:rsidR="00D84261">
        <w:rPr>
          <w:rFonts w:ascii="Palatino Linotype" w:hAnsi="Palatino Linotype"/>
        </w:rPr>
        <w:t xml:space="preserve"> DISIDENTE</w:t>
      </w:r>
      <w:r w:rsidR="005E6E7F">
        <w:rPr>
          <w:rFonts w:ascii="Palatino Linotype" w:hAnsi="Palatino Linotype"/>
        </w:rPr>
        <w:t>; EN LA VIG</w:t>
      </w:r>
      <w:r w:rsidR="00D84261">
        <w:rPr>
          <w:rFonts w:ascii="Palatino Linotype" w:hAnsi="Palatino Linotype"/>
        </w:rPr>
        <w:t>ÉSIMA QUINTA</w:t>
      </w:r>
      <w:r w:rsidR="00B6352F" w:rsidRPr="00892442">
        <w:rPr>
          <w:rFonts w:ascii="Palatino Linotype" w:hAnsi="Palatino Linotype"/>
        </w:rPr>
        <w:t xml:space="preserve"> SESIÓN ORDINARIA CELEBRADA</w:t>
      </w:r>
      <w:r w:rsidR="005E6E7F">
        <w:rPr>
          <w:rFonts w:ascii="Palatino Linotype" w:hAnsi="Palatino Linotype"/>
        </w:rPr>
        <w:t xml:space="preserve"> EL DÍA TRES </w:t>
      </w:r>
      <w:r w:rsidR="005B3C42" w:rsidRPr="00892442">
        <w:rPr>
          <w:rFonts w:ascii="Palatino Linotype" w:hAnsi="Palatino Linotype"/>
        </w:rPr>
        <w:t>(</w:t>
      </w:r>
      <w:r w:rsidR="005E6E7F">
        <w:rPr>
          <w:rFonts w:ascii="Palatino Linotype" w:hAnsi="Palatino Linotype"/>
        </w:rPr>
        <w:t>03) DE JULIO</w:t>
      </w:r>
      <w:r w:rsidR="005B3C42" w:rsidRPr="00892442">
        <w:rPr>
          <w:rFonts w:ascii="Palatino Linotype" w:hAnsi="Palatino Linotype"/>
        </w:rPr>
        <w:t xml:space="preserve"> DE DOS MIL DIECI</w:t>
      </w:r>
      <w:r w:rsidR="00B6352F" w:rsidRPr="00892442">
        <w:rPr>
          <w:rFonts w:ascii="Palatino Linotype" w:hAnsi="Palatino Linotype"/>
        </w:rPr>
        <w:t>NUEVE</w:t>
      </w:r>
      <w:r w:rsidR="005E6E7F">
        <w:rPr>
          <w:rFonts w:ascii="Palatino Linotype" w:hAnsi="Palatino Linotype"/>
        </w:rPr>
        <w:t>, ANTE EL SECRETARIO</w:t>
      </w:r>
      <w:r w:rsidR="005B3C42" w:rsidRPr="00892442">
        <w:rPr>
          <w:rFonts w:ascii="Palatino Linotype" w:hAnsi="Palatino Linotype"/>
        </w:rPr>
        <w:t xml:space="preserve"> </w:t>
      </w:r>
      <w:r w:rsidR="005E6E7F">
        <w:rPr>
          <w:rFonts w:ascii="Palatino Linotype" w:hAnsi="Palatino Linotype"/>
        </w:rPr>
        <w:t>TÉCNICO</w:t>
      </w:r>
      <w:r w:rsidR="005B3C42" w:rsidRPr="00892442">
        <w:rPr>
          <w:rFonts w:ascii="Palatino Linotype" w:hAnsi="Palatino Linotype"/>
        </w:rPr>
        <w:t xml:space="preserve"> DEL PLENO</w:t>
      </w:r>
      <w:r w:rsidR="005E6E7F">
        <w:rPr>
          <w:rFonts w:ascii="Palatino Linotype" w:hAnsi="Palatino Linotype"/>
        </w:rPr>
        <w:t>,</w:t>
      </w:r>
      <w:r w:rsidR="005B3C42" w:rsidRPr="00892442">
        <w:rPr>
          <w:rFonts w:ascii="Palatino Linotype" w:hAnsi="Palatino Linotype"/>
        </w:rPr>
        <w:t xml:space="preserve"> </w:t>
      </w:r>
      <w:r w:rsidR="005E6E7F">
        <w:rPr>
          <w:rFonts w:ascii="Palatino Linotype" w:hAnsi="Palatino Linotype"/>
        </w:rPr>
        <w:t>ALEXIS TAPIA RAMÍREZ.</w:t>
      </w:r>
    </w:p>
    <w:tbl>
      <w:tblPr>
        <w:tblStyle w:val="Tablaconcuadrcula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5E6E7F" w:rsidRPr="00A912F0" w:rsidTr="0015100C">
        <w:trPr>
          <w:trHeight w:val="1807"/>
        </w:trPr>
        <w:tc>
          <w:tcPr>
            <w:tcW w:w="8779" w:type="dxa"/>
            <w:gridSpan w:val="2"/>
            <w:vAlign w:val="center"/>
          </w:tcPr>
          <w:p w:rsidR="005E6E7F" w:rsidRDefault="005E6E7F" w:rsidP="0015100C">
            <w:pPr>
              <w:spacing w:line="360" w:lineRule="auto"/>
              <w:rPr>
                <w:rFonts w:ascii="Palatino Linotype" w:eastAsia="Times New Roman" w:hAnsi="Palatino Linotype" w:cs="Times New Roman"/>
                <w:b/>
                <w:color w:val="000000"/>
              </w:rPr>
            </w:pPr>
          </w:p>
          <w:p w:rsidR="005E6E7F" w:rsidRDefault="005E6E7F" w:rsidP="0015100C">
            <w:pPr>
              <w:spacing w:line="360" w:lineRule="auto"/>
              <w:rPr>
                <w:rFonts w:ascii="Palatino Linotype" w:eastAsia="Times New Roman" w:hAnsi="Palatino Linotype" w:cs="Times New Roman"/>
                <w:b/>
                <w:color w:val="000000"/>
              </w:rPr>
            </w:pPr>
          </w:p>
          <w:p w:rsidR="005E6E7F" w:rsidRPr="00A912F0" w:rsidRDefault="005E6E7F" w:rsidP="0015100C">
            <w:pPr>
              <w:spacing w:line="360" w:lineRule="auto"/>
              <w:rPr>
                <w:rFonts w:ascii="Palatino Linotype" w:eastAsia="Times New Roman" w:hAnsi="Palatino Linotype" w:cs="Times New Roman"/>
                <w:b/>
                <w:color w:val="000000"/>
              </w:rPr>
            </w:pPr>
          </w:p>
          <w:p w:rsidR="005E6E7F" w:rsidRPr="00A912F0" w:rsidRDefault="005E6E7F" w:rsidP="0015100C">
            <w:pPr>
              <w:spacing w:line="360" w:lineRule="auto"/>
              <w:jc w:val="center"/>
              <w:rPr>
                <w:rFonts w:ascii="Palatino Linotype" w:eastAsia="Times New Roman" w:hAnsi="Palatino Linotype" w:cs="Times New Roman"/>
                <w:b/>
                <w:color w:val="000000"/>
              </w:rPr>
            </w:pPr>
            <w:r w:rsidRPr="00A912F0">
              <w:rPr>
                <w:rFonts w:ascii="Palatino Linotype" w:eastAsia="Times New Roman" w:hAnsi="Palatino Linotype" w:cs="Times New Roman"/>
                <w:b/>
                <w:color w:val="000000"/>
              </w:rPr>
              <w:t>Zulema Martínez Sánchez</w:t>
            </w:r>
          </w:p>
          <w:p w:rsidR="005E6E7F" w:rsidRPr="00A912F0" w:rsidRDefault="005E6E7F" w:rsidP="0015100C">
            <w:pPr>
              <w:spacing w:line="360" w:lineRule="auto"/>
              <w:jc w:val="center"/>
              <w:rPr>
                <w:rFonts w:ascii="Palatino Linotype" w:eastAsia="Times New Roman" w:hAnsi="Palatino Linotype" w:cs="Times New Roman"/>
                <w:color w:val="000000"/>
              </w:rPr>
            </w:pPr>
            <w:r w:rsidRPr="00A912F0">
              <w:rPr>
                <w:rFonts w:ascii="Palatino Linotype" w:eastAsia="Times New Roman" w:hAnsi="Palatino Linotype" w:cs="Times New Roman"/>
                <w:color w:val="000000"/>
              </w:rPr>
              <w:t>Comisionada Presidenta</w:t>
            </w:r>
          </w:p>
          <w:p w:rsidR="005E6E7F" w:rsidRDefault="005E6E7F" w:rsidP="0015100C">
            <w:pPr>
              <w:spacing w:line="360" w:lineRule="auto"/>
              <w:jc w:val="center"/>
              <w:rPr>
                <w:rFonts w:ascii="Palatino Linotype" w:eastAsia="Times New Roman" w:hAnsi="Palatino Linotype" w:cs="Times New Roman"/>
                <w:color w:val="000000"/>
              </w:rPr>
            </w:pPr>
            <w:r w:rsidRPr="00A912F0">
              <w:rPr>
                <w:rFonts w:ascii="Palatino Linotype" w:eastAsia="Times New Roman" w:hAnsi="Palatino Linotype" w:cs="Times New Roman"/>
                <w:color w:val="000000"/>
              </w:rPr>
              <w:t xml:space="preserve">(Rúbrica) </w:t>
            </w:r>
          </w:p>
          <w:p w:rsidR="005E6E7F" w:rsidRDefault="005E6E7F" w:rsidP="0015100C">
            <w:pPr>
              <w:spacing w:line="360" w:lineRule="auto"/>
              <w:jc w:val="center"/>
              <w:rPr>
                <w:rFonts w:ascii="Palatino Linotype" w:eastAsia="Times New Roman" w:hAnsi="Palatino Linotype" w:cs="Times New Roman"/>
                <w:color w:val="000000"/>
              </w:rPr>
            </w:pPr>
          </w:p>
          <w:p w:rsidR="005E6E7F" w:rsidRPr="00A912F0" w:rsidRDefault="005E6E7F" w:rsidP="005E6E7F">
            <w:pPr>
              <w:spacing w:line="360" w:lineRule="auto"/>
              <w:rPr>
                <w:rFonts w:ascii="Palatino Linotype" w:eastAsia="Times New Roman" w:hAnsi="Palatino Linotype" w:cs="Times New Roman"/>
                <w:color w:val="000000"/>
              </w:rPr>
            </w:pPr>
          </w:p>
        </w:tc>
      </w:tr>
      <w:tr w:rsidR="005E6E7F" w:rsidRPr="00A912F0" w:rsidTr="0015100C">
        <w:trPr>
          <w:trHeight w:val="2156"/>
        </w:trPr>
        <w:tc>
          <w:tcPr>
            <w:tcW w:w="4392" w:type="dxa"/>
            <w:vAlign w:val="center"/>
          </w:tcPr>
          <w:p w:rsidR="005E6E7F" w:rsidRPr="00A912F0" w:rsidRDefault="005E6E7F" w:rsidP="0015100C">
            <w:pPr>
              <w:spacing w:line="360" w:lineRule="auto"/>
              <w:jc w:val="center"/>
              <w:rPr>
                <w:rFonts w:ascii="Palatino Linotype" w:eastAsia="Times New Roman" w:hAnsi="Palatino Linotype" w:cs="Times New Roman"/>
                <w:b/>
                <w:color w:val="000000"/>
              </w:rPr>
            </w:pPr>
            <w:r w:rsidRPr="00A912F0">
              <w:rPr>
                <w:rFonts w:ascii="Palatino Linotype" w:eastAsia="Times New Roman" w:hAnsi="Palatino Linotype" w:cs="Times New Roman"/>
                <w:b/>
                <w:color w:val="000000"/>
              </w:rPr>
              <w:t xml:space="preserve">Eva </w:t>
            </w:r>
            <w:proofErr w:type="spellStart"/>
            <w:r w:rsidRPr="00A912F0">
              <w:rPr>
                <w:rFonts w:ascii="Palatino Linotype" w:eastAsia="Times New Roman" w:hAnsi="Palatino Linotype" w:cs="Times New Roman"/>
                <w:b/>
                <w:color w:val="000000"/>
              </w:rPr>
              <w:t>Abaid</w:t>
            </w:r>
            <w:proofErr w:type="spellEnd"/>
            <w:r w:rsidRPr="00A912F0">
              <w:rPr>
                <w:rFonts w:ascii="Palatino Linotype" w:eastAsia="Times New Roman" w:hAnsi="Palatino Linotype" w:cs="Times New Roman"/>
                <w:b/>
                <w:color w:val="000000"/>
              </w:rPr>
              <w:t xml:space="preserve"> </w:t>
            </w:r>
            <w:proofErr w:type="spellStart"/>
            <w:r w:rsidRPr="00A912F0">
              <w:rPr>
                <w:rFonts w:ascii="Palatino Linotype" w:eastAsia="Times New Roman" w:hAnsi="Palatino Linotype" w:cs="Times New Roman"/>
                <w:b/>
                <w:color w:val="000000"/>
              </w:rPr>
              <w:t>Yapur</w:t>
            </w:r>
            <w:proofErr w:type="spellEnd"/>
          </w:p>
          <w:p w:rsidR="005E6E7F" w:rsidRPr="00A912F0" w:rsidRDefault="005E6E7F" w:rsidP="0015100C">
            <w:pPr>
              <w:spacing w:line="360" w:lineRule="auto"/>
              <w:jc w:val="center"/>
              <w:rPr>
                <w:rFonts w:ascii="Palatino Linotype" w:eastAsia="Times New Roman" w:hAnsi="Palatino Linotype" w:cs="Times New Roman"/>
                <w:color w:val="000000"/>
              </w:rPr>
            </w:pPr>
            <w:r w:rsidRPr="00A912F0">
              <w:rPr>
                <w:rFonts w:ascii="Palatino Linotype" w:eastAsia="Times New Roman" w:hAnsi="Palatino Linotype" w:cs="Times New Roman"/>
                <w:color w:val="000000"/>
              </w:rPr>
              <w:t>Comisionada</w:t>
            </w:r>
          </w:p>
          <w:p w:rsidR="005E6E7F" w:rsidRPr="00A912F0" w:rsidRDefault="005E6E7F" w:rsidP="0015100C">
            <w:pPr>
              <w:spacing w:line="360" w:lineRule="auto"/>
              <w:jc w:val="center"/>
              <w:rPr>
                <w:rFonts w:ascii="Palatino Linotype" w:eastAsia="Times New Roman" w:hAnsi="Palatino Linotype" w:cs="Times New Roman"/>
                <w:color w:val="000000"/>
              </w:rPr>
            </w:pPr>
            <w:r w:rsidRPr="00A912F0">
              <w:rPr>
                <w:rFonts w:ascii="Palatino Linotype" w:eastAsia="Times New Roman" w:hAnsi="Palatino Linotype" w:cs="Times New Roman"/>
                <w:color w:val="000000"/>
              </w:rPr>
              <w:t>(Rúbrica)</w:t>
            </w:r>
          </w:p>
        </w:tc>
        <w:tc>
          <w:tcPr>
            <w:tcW w:w="4387" w:type="dxa"/>
            <w:vAlign w:val="center"/>
          </w:tcPr>
          <w:p w:rsidR="005E6E7F" w:rsidRPr="00A912F0" w:rsidRDefault="005E6E7F" w:rsidP="0015100C">
            <w:pPr>
              <w:spacing w:line="360" w:lineRule="auto"/>
              <w:jc w:val="center"/>
              <w:rPr>
                <w:rFonts w:ascii="Palatino Linotype" w:eastAsia="Times New Roman" w:hAnsi="Palatino Linotype" w:cs="Times New Roman"/>
                <w:b/>
                <w:color w:val="000000"/>
              </w:rPr>
            </w:pPr>
            <w:r w:rsidRPr="00A912F0">
              <w:rPr>
                <w:rFonts w:ascii="Palatino Linotype" w:eastAsia="Times New Roman" w:hAnsi="Palatino Linotype" w:cs="Times New Roman"/>
                <w:b/>
                <w:color w:val="000000"/>
              </w:rPr>
              <w:t>José Guadalupe Luna Hernández</w:t>
            </w:r>
          </w:p>
          <w:p w:rsidR="005E6E7F" w:rsidRPr="00A912F0" w:rsidRDefault="005E6E7F" w:rsidP="0015100C">
            <w:pPr>
              <w:spacing w:line="360" w:lineRule="auto"/>
              <w:jc w:val="center"/>
              <w:rPr>
                <w:rFonts w:ascii="Palatino Linotype" w:eastAsia="Times New Roman" w:hAnsi="Palatino Linotype" w:cs="Times New Roman"/>
                <w:color w:val="000000"/>
              </w:rPr>
            </w:pPr>
            <w:r w:rsidRPr="00A912F0">
              <w:rPr>
                <w:rFonts w:ascii="Palatino Linotype" w:eastAsia="Times New Roman" w:hAnsi="Palatino Linotype" w:cs="Times New Roman"/>
                <w:color w:val="000000"/>
              </w:rPr>
              <w:t>Comisionado</w:t>
            </w:r>
          </w:p>
          <w:p w:rsidR="005E6E7F" w:rsidRPr="00A912F0" w:rsidRDefault="005E6E7F" w:rsidP="0015100C">
            <w:pPr>
              <w:spacing w:line="360" w:lineRule="auto"/>
              <w:jc w:val="center"/>
              <w:rPr>
                <w:rFonts w:ascii="Palatino Linotype" w:eastAsia="Times New Roman" w:hAnsi="Palatino Linotype" w:cs="Times New Roman"/>
                <w:color w:val="000000"/>
              </w:rPr>
            </w:pPr>
            <w:r w:rsidRPr="00A912F0">
              <w:rPr>
                <w:rFonts w:ascii="Palatino Linotype" w:eastAsia="Times New Roman" w:hAnsi="Palatino Linotype" w:cs="Times New Roman"/>
                <w:color w:val="000000"/>
              </w:rPr>
              <w:t>(Rúbrica)</w:t>
            </w:r>
          </w:p>
        </w:tc>
      </w:tr>
      <w:tr w:rsidR="005E6E7F" w:rsidRPr="00A912F0" w:rsidTr="0015100C">
        <w:trPr>
          <w:trHeight w:val="2244"/>
        </w:trPr>
        <w:tc>
          <w:tcPr>
            <w:tcW w:w="4392" w:type="dxa"/>
            <w:vAlign w:val="center"/>
          </w:tcPr>
          <w:p w:rsidR="005E6E7F" w:rsidRDefault="005E6E7F" w:rsidP="0015100C">
            <w:pPr>
              <w:spacing w:line="360" w:lineRule="auto"/>
              <w:rPr>
                <w:rFonts w:ascii="Palatino Linotype" w:eastAsia="Times New Roman" w:hAnsi="Palatino Linotype" w:cs="Times New Roman"/>
                <w:b/>
                <w:color w:val="000000"/>
              </w:rPr>
            </w:pPr>
          </w:p>
          <w:p w:rsidR="005E6E7F" w:rsidRDefault="005E6E7F" w:rsidP="0015100C">
            <w:pPr>
              <w:spacing w:line="360" w:lineRule="auto"/>
              <w:rPr>
                <w:rFonts w:ascii="Palatino Linotype" w:eastAsia="Times New Roman" w:hAnsi="Palatino Linotype" w:cs="Times New Roman"/>
                <w:b/>
                <w:color w:val="000000"/>
              </w:rPr>
            </w:pPr>
          </w:p>
          <w:p w:rsidR="005E6E7F" w:rsidRPr="00A912F0" w:rsidRDefault="005E6E7F" w:rsidP="0015100C">
            <w:pPr>
              <w:spacing w:line="360" w:lineRule="auto"/>
              <w:rPr>
                <w:rFonts w:ascii="Palatino Linotype" w:eastAsia="Times New Roman" w:hAnsi="Palatino Linotype" w:cs="Times New Roman"/>
                <w:b/>
                <w:color w:val="000000"/>
              </w:rPr>
            </w:pPr>
          </w:p>
          <w:p w:rsidR="005E6E7F" w:rsidRPr="00A912F0" w:rsidRDefault="005E6E7F" w:rsidP="0015100C">
            <w:pPr>
              <w:spacing w:line="360" w:lineRule="auto"/>
              <w:jc w:val="center"/>
              <w:rPr>
                <w:rFonts w:ascii="Palatino Linotype" w:eastAsia="Times New Roman" w:hAnsi="Palatino Linotype" w:cs="Times New Roman"/>
                <w:b/>
                <w:color w:val="000000"/>
              </w:rPr>
            </w:pPr>
            <w:r w:rsidRPr="00A912F0">
              <w:rPr>
                <w:rFonts w:ascii="Palatino Linotype" w:eastAsia="Times New Roman" w:hAnsi="Palatino Linotype" w:cs="Times New Roman"/>
                <w:b/>
                <w:color w:val="000000"/>
              </w:rPr>
              <w:t>Javier Martínez Cruz</w:t>
            </w:r>
          </w:p>
          <w:p w:rsidR="005E6E7F" w:rsidRPr="00A912F0" w:rsidRDefault="005E6E7F" w:rsidP="0015100C">
            <w:pPr>
              <w:spacing w:line="360" w:lineRule="auto"/>
              <w:jc w:val="center"/>
              <w:rPr>
                <w:rFonts w:ascii="Palatino Linotype" w:eastAsia="Times New Roman" w:hAnsi="Palatino Linotype" w:cs="Times New Roman"/>
                <w:color w:val="000000"/>
              </w:rPr>
            </w:pPr>
            <w:r w:rsidRPr="00A912F0">
              <w:rPr>
                <w:rFonts w:ascii="Palatino Linotype" w:eastAsia="Times New Roman" w:hAnsi="Palatino Linotype" w:cs="Times New Roman"/>
                <w:color w:val="000000"/>
              </w:rPr>
              <w:t>Comisionado</w:t>
            </w:r>
          </w:p>
          <w:p w:rsidR="005E6E7F" w:rsidRPr="00A912F0" w:rsidRDefault="005E6E7F" w:rsidP="0015100C">
            <w:pPr>
              <w:spacing w:line="360" w:lineRule="auto"/>
              <w:jc w:val="center"/>
              <w:rPr>
                <w:rFonts w:ascii="Palatino Linotype" w:eastAsia="Times New Roman" w:hAnsi="Palatino Linotype" w:cs="Times New Roman"/>
                <w:color w:val="000000"/>
              </w:rPr>
            </w:pPr>
            <w:r w:rsidRPr="00A912F0">
              <w:rPr>
                <w:rFonts w:ascii="Palatino Linotype" w:eastAsia="Times New Roman" w:hAnsi="Palatino Linotype" w:cs="Times New Roman"/>
                <w:color w:val="000000"/>
              </w:rPr>
              <w:t>(Rúbrica)</w:t>
            </w:r>
          </w:p>
        </w:tc>
        <w:tc>
          <w:tcPr>
            <w:tcW w:w="4387" w:type="dxa"/>
            <w:vAlign w:val="center"/>
          </w:tcPr>
          <w:p w:rsidR="005E6E7F" w:rsidRDefault="005E6E7F" w:rsidP="0015100C">
            <w:pPr>
              <w:rPr>
                <w:rFonts w:ascii="Palatino Linotype" w:eastAsia="Times New Roman" w:hAnsi="Palatino Linotype" w:cs="Times New Roman"/>
                <w:color w:val="000000"/>
              </w:rPr>
            </w:pPr>
          </w:p>
          <w:p w:rsidR="005E6E7F" w:rsidRDefault="005E6E7F" w:rsidP="0015100C">
            <w:pPr>
              <w:rPr>
                <w:rFonts w:ascii="Palatino Linotype" w:eastAsia="Times New Roman" w:hAnsi="Palatino Linotype" w:cs="Times New Roman"/>
                <w:color w:val="000000"/>
              </w:rPr>
            </w:pPr>
          </w:p>
          <w:p w:rsidR="005E6E7F" w:rsidRDefault="005E6E7F" w:rsidP="0015100C">
            <w:pPr>
              <w:rPr>
                <w:rFonts w:ascii="Palatino Linotype" w:eastAsia="Times New Roman" w:hAnsi="Palatino Linotype" w:cs="Times New Roman"/>
                <w:color w:val="000000"/>
              </w:rPr>
            </w:pPr>
          </w:p>
          <w:p w:rsidR="005E6E7F" w:rsidRPr="00A912F0" w:rsidRDefault="005E6E7F" w:rsidP="0015100C">
            <w:pPr>
              <w:rPr>
                <w:rFonts w:ascii="Palatino Linotype" w:eastAsia="Times New Roman" w:hAnsi="Palatino Linotype" w:cs="Times New Roman"/>
                <w:color w:val="000000"/>
              </w:rPr>
            </w:pPr>
          </w:p>
          <w:p w:rsidR="005E6E7F" w:rsidRPr="00A912F0" w:rsidRDefault="005E6E7F" w:rsidP="0015100C">
            <w:pPr>
              <w:spacing w:line="360" w:lineRule="auto"/>
              <w:jc w:val="center"/>
              <w:rPr>
                <w:rFonts w:ascii="Palatino Linotype" w:eastAsia="Times New Roman" w:hAnsi="Palatino Linotype" w:cs="Times New Roman"/>
                <w:b/>
                <w:color w:val="000000"/>
              </w:rPr>
            </w:pPr>
            <w:r w:rsidRPr="00A912F0">
              <w:rPr>
                <w:rFonts w:ascii="Palatino Linotype" w:eastAsia="Times New Roman" w:hAnsi="Palatino Linotype" w:cs="Times New Roman"/>
                <w:b/>
                <w:color w:val="000000"/>
              </w:rPr>
              <w:t xml:space="preserve">Luis Gustavo Parra Noriega </w:t>
            </w:r>
          </w:p>
          <w:p w:rsidR="005E6E7F" w:rsidRPr="00A912F0" w:rsidRDefault="005E6E7F" w:rsidP="0015100C">
            <w:pPr>
              <w:spacing w:line="360" w:lineRule="auto"/>
              <w:jc w:val="center"/>
              <w:rPr>
                <w:rFonts w:ascii="Palatino Linotype" w:eastAsia="Times New Roman" w:hAnsi="Palatino Linotype" w:cs="Times New Roman"/>
                <w:color w:val="000000"/>
              </w:rPr>
            </w:pPr>
            <w:r w:rsidRPr="00A912F0">
              <w:rPr>
                <w:rFonts w:ascii="Palatino Linotype" w:eastAsia="Times New Roman" w:hAnsi="Palatino Linotype" w:cs="Times New Roman"/>
                <w:color w:val="000000"/>
              </w:rPr>
              <w:t xml:space="preserve">Comisionado  </w:t>
            </w:r>
          </w:p>
          <w:p w:rsidR="005E6E7F" w:rsidRPr="00A912F0" w:rsidRDefault="005E6E7F" w:rsidP="0015100C">
            <w:pPr>
              <w:spacing w:line="360" w:lineRule="auto"/>
              <w:jc w:val="center"/>
              <w:rPr>
                <w:rFonts w:ascii="Palatino Linotype" w:eastAsia="Times New Roman" w:hAnsi="Palatino Linotype" w:cs="Times New Roman"/>
                <w:color w:val="000000"/>
              </w:rPr>
            </w:pPr>
            <w:r w:rsidRPr="00A912F0">
              <w:rPr>
                <w:rFonts w:ascii="Palatino Linotype" w:eastAsia="Times New Roman" w:hAnsi="Palatino Linotype" w:cs="Times New Roman"/>
                <w:color w:val="000000"/>
              </w:rPr>
              <w:t>(Rúbrica)</w:t>
            </w:r>
          </w:p>
        </w:tc>
      </w:tr>
      <w:tr w:rsidR="005E6E7F" w:rsidRPr="00A912F0" w:rsidTr="0015100C">
        <w:trPr>
          <w:trHeight w:val="1953"/>
        </w:trPr>
        <w:tc>
          <w:tcPr>
            <w:tcW w:w="8779" w:type="dxa"/>
            <w:gridSpan w:val="2"/>
            <w:vAlign w:val="center"/>
          </w:tcPr>
          <w:p w:rsidR="005E6E7F" w:rsidRPr="00A912F0" w:rsidRDefault="005E6E7F" w:rsidP="0015100C">
            <w:pPr>
              <w:spacing w:line="360" w:lineRule="auto"/>
              <w:jc w:val="center"/>
              <w:rPr>
                <w:rFonts w:ascii="Palatino Linotype" w:eastAsia="Times New Roman" w:hAnsi="Palatino Linotype" w:cs="Times New Roman"/>
                <w:b/>
                <w:color w:val="000000"/>
              </w:rPr>
            </w:pPr>
          </w:p>
          <w:p w:rsidR="005E6E7F" w:rsidRDefault="005E6E7F" w:rsidP="0015100C">
            <w:pPr>
              <w:spacing w:line="360" w:lineRule="auto"/>
              <w:rPr>
                <w:rFonts w:ascii="Palatino Linotype" w:eastAsia="Times New Roman" w:hAnsi="Palatino Linotype" w:cs="Times New Roman"/>
                <w:b/>
                <w:color w:val="000000"/>
              </w:rPr>
            </w:pPr>
          </w:p>
          <w:p w:rsidR="005E6E7F" w:rsidRPr="00A912F0" w:rsidRDefault="005E6E7F" w:rsidP="0015100C">
            <w:pPr>
              <w:spacing w:line="360" w:lineRule="auto"/>
              <w:rPr>
                <w:rFonts w:ascii="Palatino Linotype" w:eastAsia="Times New Roman" w:hAnsi="Palatino Linotype" w:cs="Times New Roman"/>
                <w:b/>
                <w:color w:val="000000"/>
              </w:rPr>
            </w:pPr>
          </w:p>
          <w:p w:rsidR="005E6E7F" w:rsidRPr="00A912F0" w:rsidRDefault="005E6E7F" w:rsidP="0015100C">
            <w:pPr>
              <w:spacing w:line="360" w:lineRule="auto"/>
              <w:jc w:val="center"/>
              <w:rPr>
                <w:rFonts w:ascii="Palatino Linotype" w:eastAsia="Times New Roman" w:hAnsi="Palatino Linotype" w:cs="Times New Roman"/>
                <w:b/>
                <w:color w:val="000000"/>
              </w:rPr>
            </w:pPr>
            <w:r w:rsidRPr="00A912F0">
              <w:rPr>
                <w:rFonts w:ascii="Palatino Linotype" w:eastAsia="Times New Roman" w:hAnsi="Palatino Linotype" w:cs="Times New Roman"/>
                <w:b/>
                <w:color w:val="000000"/>
              </w:rPr>
              <w:t>Alexis Tapia Ramírez</w:t>
            </w:r>
          </w:p>
          <w:p w:rsidR="005E6E7F" w:rsidRDefault="005E6E7F" w:rsidP="0015100C">
            <w:pPr>
              <w:spacing w:line="360" w:lineRule="auto"/>
              <w:jc w:val="center"/>
              <w:rPr>
                <w:rFonts w:ascii="Palatino Linotype" w:eastAsia="Times New Roman" w:hAnsi="Palatino Linotype" w:cs="Times New Roman"/>
                <w:color w:val="000000"/>
              </w:rPr>
            </w:pPr>
            <w:r w:rsidRPr="00A912F0">
              <w:rPr>
                <w:rFonts w:ascii="Palatino Linotype" w:eastAsia="Times New Roman" w:hAnsi="Palatino Linotype" w:cs="Times New Roman"/>
                <w:color w:val="000000"/>
              </w:rPr>
              <w:t>Secretario Técnico del Pleno</w:t>
            </w:r>
          </w:p>
          <w:p w:rsidR="005E6E7F" w:rsidRPr="00A912F0" w:rsidRDefault="005E6E7F" w:rsidP="0015100C">
            <w:pPr>
              <w:spacing w:line="360" w:lineRule="auto"/>
              <w:jc w:val="center"/>
              <w:rPr>
                <w:rFonts w:ascii="Palatino Linotype" w:eastAsia="Times New Roman" w:hAnsi="Palatino Linotype" w:cs="Times New Roman"/>
                <w:color w:val="000000"/>
              </w:rPr>
            </w:pPr>
            <w:r>
              <w:rPr>
                <w:rFonts w:ascii="Palatino Linotype" w:eastAsia="Times New Roman" w:hAnsi="Palatino Linotype" w:cs="Times New Roman"/>
                <w:color w:val="000000"/>
              </w:rPr>
              <w:t>(Rúbrica)</w:t>
            </w:r>
          </w:p>
        </w:tc>
      </w:tr>
    </w:tbl>
    <w:p w:rsidR="005E6E7F" w:rsidRPr="00892442" w:rsidRDefault="005E6E7F" w:rsidP="00892442">
      <w:pPr>
        <w:shd w:val="clear" w:color="auto" w:fill="FFFFFF"/>
        <w:spacing w:before="240" w:after="360" w:line="360" w:lineRule="auto"/>
        <w:jc w:val="both"/>
        <w:rPr>
          <w:rFonts w:ascii="Palatino Linotype" w:hAnsi="Palatino Linotype" w:cs="Arial"/>
        </w:rPr>
      </w:pPr>
    </w:p>
    <w:p w:rsidR="002248D3" w:rsidRPr="00892442" w:rsidRDefault="005B3C42" w:rsidP="00892442">
      <w:pPr>
        <w:spacing w:before="240" w:after="240" w:line="360" w:lineRule="auto"/>
        <w:jc w:val="both"/>
        <w:rPr>
          <w:rFonts w:ascii="Palatino Linotype" w:hAnsi="Palatino Linotype"/>
        </w:rPr>
      </w:pPr>
      <w:r w:rsidRPr="00892442">
        <w:rPr>
          <w:rFonts w:ascii="Palatino Linotype" w:eastAsia="Times New Roman" w:hAnsi="Palatino Linotype" w:cs="Arial"/>
          <w:color w:val="000000" w:themeColor="text1"/>
        </w:rPr>
        <w:t>Esta hoja corr</w:t>
      </w:r>
      <w:r w:rsidR="005E6E7F">
        <w:rPr>
          <w:rFonts w:ascii="Palatino Linotype" w:eastAsia="Times New Roman" w:hAnsi="Palatino Linotype" w:cs="Arial"/>
          <w:color w:val="000000" w:themeColor="text1"/>
        </w:rPr>
        <w:t>esponde a la resolución de fecha tres (03) de julio de dos mil diecinueve</w:t>
      </w:r>
      <w:r w:rsidRPr="00892442">
        <w:rPr>
          <w:rFonts w:ascii="Palatino Linotype" w:eastAsia="Times New Roman" w:hAnsi="Palatino Linotype" w:cs="Arial"/>
          <w:color w:val="000000" w:themeColor="text1"/>
        </w:rPr>
        <w:t xml:space="preserve">, emitida en el recurso de revisión </w:t>
      </w:r>
      <w:r w:rsidRPr="00892442">
        <w:rPr>
          <w:rFonts w:ascii="Palatino Linotype" w:hAnsi="Palatino Linotype" w:cs="Arial"/>
          <w:b/>
          <w:bCs/>
        </w:rPr>
        <w:t>0</w:t>
      </w:r>
      <w:r w:rsidR="00FB4F92" w:rsidRPr="00892442">
        <w:rPr>
          <w:rFonts w:ascii="Palatino Linotype" w:hAnsi="Palatino Linotype" w:cs="Arial"/>
          <w:b/>
          <w:bCs/>
        </w:rPr>
        <w:t>2308</w:t>
      </w:r>
      <w:r w:rsidR="0046240B" w:rsidRPr="00892442">
        <w:rPr>
          <w:rFonts w:ascii="Palatino Linotype" w:hAnsi="Palatino Linotype" w:cs="Arial"/>
          <w:b/>
          <w:bCs/>
        </w:rPr>
        <w:t>/</w:t>
      </w:r>
      <w:r w:rsidR="00261273" w:rsidRPr="00892442">
        <w:rPr>
          <w:rFonts w:ascii="Palatino Linotype" w:hAnsi="Palatino Linotype" w:cs="Arial"/>
          <w:b/>
          <w:bCs/>
        </w:rPr>
        <w:t>INFOEM/AD</w:t>
      </w:r>
      <w:r w:rsidRPr="00892442">
        <w:rPr>
          <w:rFonts w:ascii="Palatino Linotype" w:hAnsi="Palatino Linotype" w:cs="Arial"/>
          <w:b/>
          <w:bCs/>
        </w:rPr>
        <w:t>/RR/201</w:t>
      </w:r>
      <w:r w:rsidR="00FB4F92" w:rsidRPr="00892442">
        <w:rPr>
          <w:rFonts w:ascii="Palatino Linotype" w:hAnsi="Palatino Linotype" w:cs="Arial"/>
          <w:b/>
          <w:bCs/>
        </w:rPr>
        <w:t>9</w:t>
      </w:r>
      <w:r w:rsidRPr="00892442">
        <w:rPr>
          <w:rFonts w:ascii="Palatino Linotype" w:eastAsia="Times New Roman" w:hAnsi="Palatino Linotype" w:cs="Arial"/>
          <w:b/>
          <w:color w:val="000000" w:themeColor="text1"/>
        </w:rPr>
        <w:t>.</w:t>
      </w:r>
      <w:bookmarkEnd w:id="9"/>
      <w:bookmarkEnd w:id="10"/>
      <w:bookmarkEnd w:id="11"/>
    </w:p>
    <w:sectPr w:rsidR="002248D3" w:rsidRPr="00892442"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00C" w:rsidRDefault="0015100C" w:rsidP="008B6F5F">
      <w:r>
        <w:separator/>
      </w:r>
    </w:p>
  </w:endnote>
  <w:endnote w:type="continuationSeparator" w:id="0">
    <w:p w:rsidR="0015100C" w:rsidRDefault="0015100C"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15100C" w:rsidRPr="000A2541" w:rsidRDefault="0015100C">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D6266">
              <w:rPr>
                <w:rFonts w:ascii="Palatino Linotype" w:hAnsi="Palatino Linotype"/>
                <w:b/>
                <w:bCs/>
                <w:noProof/>
              </w:rPr>
              <w:t>26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D6266">
              <w:rPr>
                <w:rFonts w:ascii="Palatino Linotype" w:hAnsi="Palatino Linotype"/>
                <w:b/>
                <w:bCs/>
                <w:noProof/>
              </w:rPr>
              <w:t>48</w:t>
            </w:r>
            <w:r w:rsidRPr="000A2541">
              <w:rPr>
                <w:rFonts w:ascii="Palatino Linotype" w:hAnsi="Palatino Linotype"/>
                <w:b/>
                <w:bCs/>
              </w:rPr>
              <w:fldChar w:fldCharType="end"/>
            </w:r>
          </w:p>
        </w:sdtContent>
      </w:sdt>
    </w:sdtContent>
  </w:sdt>
  <w:p w:rsidR="0015100C" w:rsidRDefault="0015100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00C" w:rsidRPr="00883450" w:rsidRDefault="0015100C"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D6266" w:rsidRPr="00DD626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D6266" w:rsidRPr="00DD6266">
      <w:rPr>
        <w:rFonts w:ascii="Palatino Linotype" w:hAnsi="Palatino Linotype"/>
        <w:noProof/>
        <w:sz w:val="22"/>
        <w:szCs w:val="22"/>
        <w:lang w:val="es-ES"/>
      </w:rPr>
      <w:t>48</w:t>
    </w:r>
    <w:r w:rsidRPr="00883450">
      <w:rPr>
        <w:rFonts w:ascii="Palatino Linotype" w:hAnsi="Palatino Linotype"/>
        <w:sz w:val="22"/>
        <w:szCs w:val="22"/>
      </w:rPr>
      <w:fldChar w:fldCharType="end"/>
    </w:r>
  </w:p>
  <w:p w:rsidR="0015100C" w:rsidRPr="00883450" w:rsidRDefault="0015100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00C" w:rsidRDefault="0015100C" w:rsidP="008B6F5F">
      <w:r>
        <w:separator/>
      </w:r>
    </w:p>
  </w:footnote>
  <w:footnote w:type="continuationSeparator" w:id="0">
    <w:p w:rsidR="0015100C" w:rsidRDefault="0015100C" w:rsidP="008B6F5F">
      <w:r>
        <w:continuationSeparator/>
      </w:r>
    </w:p>
  </w:footnote>
  <w:footnote w:id="1">
    <w:p w:rsidR="0015100C" w:rsidRDefault="0015100C" w:rsidP="00E7645E">
      <w:pPr>
        <w:pStyle w:val="Textonotapie"/>
      </w:pPr>
      <w:r>
        <w:rPr>
          <w:rStyle w:val="Refdenotaalpie"/>
        </w:rPr>
        <w:footnoteRef/>
      </w:r>
      <w:r>
        <w:t xml:space="preserve"> Tercer párrafo, artículo 1º, Constitución Política de los Estados Unidos Mexicanos.</w:t>
      </w:r>
    </w:p>
  </w:footnote>
  <w:footnote w:id="2">
    <w:p w:rsidR="0015100C" w:rsidRPr="00F154C8" w:rsidRDefault="0015100C" w:rsidP="0072046C">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“Los derechos fundamentales, precisamente porque están igual garantizados para todos los sustraídos a la disponibilidad de del mercado y de la política, forman la esfera de lo indecidible que y de lo indecidible que no; y actúan como factores no solo de legitimación sino también y, sobre todo, como factores de deslegitimación de las decisiones y de las no-decisiones.” FERRAJOLI, Luigi, </w:t>
      </w:r>
      <w:r w:rsidRPr="00F154C8">
        <w:rPr>
          <w:rFonts w:ascii="Palatino Linotype" w:hAnsi="Palatino Linotype" w:cs="Arial"/>
          <w:i/>
        </w:rPr>
        <w:t>Derechos y Garantías. La ley del más débil.</w:t>
      </w:r>
      <w:r w:rsidRPr="00F154C8">
        <w:rPr>
          <w:rFonts w:ascii="Palatino Linotype" w:hAnsi="Palatino Linotype" w:cs="Arial"/>
        </w:rPr>
        <w:t xml:space="preserve"> Séptima edición, Madrid. Editorial </w:t>
      </w:r>
      <w:proofErr w:type="spellStart"/>
      <w:r w:rsidRPr="00F154C8">
        <w:rPr>
          <w:rFonts w:ascii="Palatino Linotype" w:hAnsi="Palatino Linotype" w:cs="Arial"/>
        </w:rPr>
        <w:t>Trotta</w:t>
      </w:r>
      <w:proofErr w:type="spellEnd"/>
      <w:r w:rsidRPr="00F154C8">
        <w:rPr>
          <w:rFonts w:ascii="Palatino Linotype" w:hAnsi="Palatino Linotype" w:cs="Arial"/>
        </w:rPr>
        <w:t>, 2010. Pág. 24</w:t>
      </w:r>
    </w:p>
  </w:footnote>
  <w:footnote w:id="3">
    <w:p w:rsidR="0015100C" w:rsidRPr="00FA14E5" w:rsidRDefault="0015100C" w:rsidP="0072046C">
      <w:pPr>
        <w:pStyle w:val="Textonotapie"/>
        <w:jc w:val="both"/>
        <w:rPr>
          <w:rFonts w:ascii="Arial" w:hAnsi="Arial" w:cs="Arial"/>
        </w:rPr>
      </w:pPr>
      <w:r w:rsidRPr="00F154C8">
        <w:rPr>
          <w:rStyle w:val="Refdenotaalpie"/>
          <w:rFonts w:ascii="Palatino Linotype" w:hAnsi="Palatino Linotype" w:cs="Arial"/>
        </w:rPr>
        <w:footnoteRef/>
      </w:r>
      <w:r w:rsidRPr="00F154C8">
        <w:rPr>
          <w:rFonts w:ascii="Palatino Linotype" w:hAnsi="Palatino Linotype" w:cs="Arial"/>
        </w:rPr>
        <w:t xml:space="preserve"> “Por lo tanto, los principios son mandatos de optimización, que se caracterizan porque pueden cumplirse en diferente grado y que la medida debida de su cumplimiento no sólo depende de las posibilidades reales sino también de las jurídicas”. </w:t>
      </w:r>
      <w:proofErr w:type="spellStart"/>
      <w:r w:rsidRPr="00F154C8">
        <w:rPr>
          <w:rFonts w:ascii="Palatino Linotype" w:hAnsi="Palatino Linotype" w:cs="Arial"/>
        </w:rPr>
        <w:t>Alexy</w:t>
      </w:r>
      <w:proofErr w:type="spellEnd"/>
      <w:r w:rsidRPr="00F154C8">
        <w:rPr>
          <w:rFonts w:ascii="Palatino Linotype" w:hAnsi="Palatino Linotype" w:cs="Arial"/>
        </w:rPr>
        <w:t xml:space="preserve">, Robert. </w:t>
      </w:r>
      <w:r w:rsidRPr="00F154C8">
        <w:rPr>
          <w:rFonts w:ascii="Palatino Linotype" w:hAnsi="Palatino Linotype" w:cs="Arial"/>
          <w:i/>
        </w:rPr>
        <w:t>Teoría de los derechos fundamentales.</w:t>
      </w:r>
      <w:r w:rsidRPr="00F154C8">
        <w:rPr>
          <w:rFonts w:ascii="Palatino Linotype" w:hAnsi="Palatino Linotype" w:cs="Arial"/>
        </w:rPr>
        <w:t xml:space="preserve"> Segunda edición, Madrid, Ed, Centro de Estudios Políticos y Constitucionales. 2014. Pág. 68.</w:t>
      </w:r>
    </w:p>
  </w:footnote>
  <w:footnote w:id="4">
    <w:p w:rsidR="0015100C" w:rsidRDefault="0015100C" w:rsidP="0072046C">
      <w:pPr>
        <w:pStyle w:val="Textonotapie"/>
      </w:pPr>
      <w:r>
        <w:rPr>
          <w:rStyle w:val="Refdenotaalpie"/>
        </w:rPr>
        <w:footnoteRef/>
      </w:r>
      <w:r>
        <w:t xml:space="preserve"> </w:t>
      </w:r>
      <w:hyperlink r:id="rId1" w:history="1">
        <w:r w:rsidRPr="005D287A">
          <w:rPr>
            <w:rStyle w:val="Hipervnculo"/>
          </w:rPr>
          <w:t>https://www.infoem.org.mx/src/htm/queEsArco.html</w:t>
        </w:r>
      </w:hyperlink>
    </w:p>
  </w:footnote>
  <w:footnote w:id="5">
    <w:p w:rsidR="0015100C" w:rsidRPr="00F154C8" w:rsidRDefault="0015100C" w:rsidP="0046059A">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FERRAJOLI, Luigi. </w:t>
      </w:r>
      <w:r w:rsidRPr="00F154C8">
        <w:rPr>
          <w:rFonts w:ascii="Palatino Linotype" w:hAnsi="Palatino Linotype" w:cs="Arial"/>
          <w:i/>
        </w:rPr>
        <w:t>La democracia a través de los derechos., El constitucionalismo garantista como modelo teórico y como proyecto político.</w:t>
      </w:r>
      <w:r w:rsidRPr="00F154C8">
        <w:rPr>
          <w:rFonts w:ascii="Palatino Linotype" w:hAnsi="Palatino Linotype" w:cs="Arial"/>
        </w:rPr>
        <w:t xml:space="preserve"> Madrid. Ed. </w:t>
      </w:r>
      <w:proofErr w:type="spellStart"/>
      <w:r w:rsidRPr="00F154C8">
        <w:rPr>
          <w:rFonts w:ascii="Palatino Linotype" w:hAnsi="Palatino Linotype" w:cs="Arial"/>
        </w:rPr>
        <w:t>Trotta</w:t>
      </w:r>
      <w:proofErr w:type="spellEnd"/>
      <w:r w:rsidRPr="00F154C8">
        <w:rPr>
          <w:rFonts w:ascii="Palatino Linotype" w:hAnsi="Palatino Linotype" w:cs="Arial"/>
        </w:rPr>
        <w:t>, 2014.Pág. 62.</w:t>
      </w:r>
    </w:p>
  </w:footnote>
  <w:footnote w:id="6">
    <w:p w:rsidR="0015100C" w:rsidRPr="00FA14E5" w:rsidRDefault="0015100C" w:rsidP="0046059A">
      <w:pPr>
        <w:pStyle w:val="Textonotapie"/>
        <w:jc w:val="both"/>
        <w:rPr>
          <w:rFonts w:ascii="Arial" w:hAnsi="Arial" w:cs="Arial"/>
        </w:rPr>
      </w:pPr>
      <w:r w:rsidRPr="00F154C8">
        <w:rPr>
          <w:rStyle w:val="Refdenotaalpie"/>
          <w:rFonts w:ascii="Palatino Linotype" w:hAnsi="Palatino Linotype" w:cs="Arial"/>
        </w:rPr>
        <w:footnoteRef/>
      </w:r>
      <w:r w:rsidRPr="00F154C8">
        <w:rPr>
          <w:rFonts w:ascii="Palatino Linotype" w:hAnsi="Palatino Linotype" w:cs="Arial"/>
        </w:rPr>
        <w:t xml:space="preserve"> FERRAJOLI, Luigi. </w:t>
      </w:r>
      <w:r w:rsidRPr="00F154C8">
        <w:rPr>
          <w:rFonts w:ascii="Palatino Linotype" w:hAnsi="Palatino Linotype" w:cs="Arial"/>
          <w:i/>
        </w:rPr>
        <w:t>Poderes salvajes. La crisis de la democracia constitucional.</w:t>
      </w:r>
      <w:r w:rsidRPr="00F154C8">
        <w:rPr>
          <w:rFonts w:ascii="Palatino Linotype" w:hAnsi="Palatino Linotype" w:cs="Arial"/>
        </w:rPr>
        <w:t xml:space="preserve"> Segunda edición, Madrid. Ed. Mínima </w:t>
      </w:r>
      <w:proofErr w:type="spellStart"/>
      <w:r w:rsidRPr="00F154C8">
        <w:rPr>
          <w:rFonts w:ascii="Palatino Linotype" w:hAnsi="Palatino Linotype" w:cs="Arial"/>
        </w:rPr>
        <w:t>Trotta</w:t>
      </w:r>
      <w:proofErr w:type="spellEnd"/>
      <w:r w:rsidRPr="00F154C8">
        <w:rPr>
          <w:rFonts w:ascii="Palatino Linotype" w:hAnsi="Palatino Linotype" w:cs="Arial"/>
        </w:rPr>
        <w:t>. 2011. Pág. 40.</w:t>
      </w:r>
    </w:p>
  </w:footnote>
  <w:footnote w:id="7">
    <w:p w:rsidR="0015100C" w:rsidRPr="00FA14E5" w:rsidRDefault="0015100C" w:rsidP="0046059A">
      <w:pPr>
        <w:pStyle w:val="Textonotapie"/>
        <w:jc w:val="both"/>
        <w:rPr>
          <w:rFonts w:ascii="Arial" w:hAnsi="Arial" w:cs="Arial"/>
        </w:rPr>
      </w:pPr>
      <w:r w:rsidRPr="00F154C8">
        <w:rPr>
          <w:rStyle w:val="Refdenotaalpie"/>
          <w:rFonts w:ascii="Palatino Linotype" w:hAnsi="Palatino Linotype" w:cs="Arial"/>
        </w:rPr>
        <w:footnoteRef/>
      </w:r>
      <w:r w:rsidRPr="00F154C8">
        <w:rPr>
          <w:rFonts w:ascii="Palatino Linotype" w:hAnsi="Palatino Linotype" w:cs="Arial"/>
        </w:rPr>
        <w:t xml:space="preserve"> Corte Interamericana de Derechos Humanos. Caso Claude Reyes y otros contra Chile. Sentencia de 19 de septiembre de 2006. </w:t>
      </w:r>
      <w:proofErr w:type="spellStart"/>
      <w:r w:rsidRPr="00F154C8">
        <w:rPr>
          <w:rFonts w:ascii="Palatino Linotype" w:hAnsi="Palatino Linotype" w:cs="Arial"/>
        </w:rPr>
        <w:t>Párrfs</w:t>
      </w:r>
      <w:proofErr w:type="spellEnd"/>
      <w:r w:rsidRPr="00F154C8">
        <w:rPr>
          <w:rFonts w:ascii="Palatino Linotype" w:hAnsi="Palatino Linotype" w:cs="Arial"/>
        </w:rPr>
        <w:t>. 116-139.</w:t>
      </w:r>
    </w:p>
  </w:footnote>
  <w:footnote w:id="8">
    <w:p w:rsidR="0015100C" w:rsidRPr="00F154C8" w:rsidRDefault="0015100C" w:rsidP="0046059A">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OPINIÓN PARTICULAR DEL COMISIONADO JOSÉ GUADALUPE LUNA HERNÁNDEZ EN EL RECURSO DE REVISIÓN 01750/INFOEM/IP/RR/2015 Y 01751/INFOEM/IP/RR/2015. Párr. 21.</w:t>
      </w:r>
    </w:p>
  </w:footnote>
  <w:footnote w:id="9">
    <w:p w:rsidR="0015100C" w:rsidRPr="00F154C8" w:rsidRDefault="0015100C" w:rsidP="0046059A">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“120. Que el Estado debe adoptar, de acuerdo con el artículo 2 de la Convención, aquellas medidas de protección de los derechos humanos que aseguren el ejercicio libre y pleno de los derechos a la vida, la libertad e integridad personales y la protección y garantías judiciales, con el fin de evitar que ocurran en el futuro hechos lesivos como los del presente caso”. Corte Interamericana de Derechos Humanos. Caso Trujillo </w:t>
      </w:r>
      <w:proofErr w:type="spellStart"/>
      <w:r w:rsidRPr="00F154C8">
        <w:rPr>
          <w:rFonts w:ascii="Palatino Linotype" w:hAnsi="Palatino Linotype" w:cs="Arial"/>
        </w:rPr>
        <w:t>Oroza</w:t>
      </w:r>
      <w:proofErr w:type="spellEnd"/>
      <w:r w:rsidRPr="00F154C8">
        <w:rPr>
          <w:rFonts w:ascii="Palatino Linotype" w:hAnsi="Palatino Linotype" w:cs="Arial"/>
        </w:rPr>
        <w:t xml:space="preserve"> vs. Bolivia. Sentencia de 27 de febrero de 2002 (Reparaciones y Costas). Párr. 120.</w:t>
      </w:r>
    </w:p>
  </w:footnote>
  <w:footnote w:id="10">
    <w:p w:rsidR="0015100C" w:rsidRDefault="0015100C" w:rsidP="00B011AC">
      <w:pPr>
        <w:pStyle w:val="Textonotapie"/>
      </w:pPr>
      <w:r>
        <w:rPr>
          <w:rStyle w:val="Refdenotaalpie"/>
        </w:rPr>
        <w:footnoteRef/>
      </w:r>
      <w:r>
        <w:t xml:space="preserve"> Fracción IV. Artículo 53. Ibídem.</w:t>
      </w:r>
    </w:p>
  </w:footnote>
  <w:footnote w:id="11">
    <w:p w:rsidR="0015100C" w:rsidRDefault="0015100C" w:rsidP="000021F7">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15100C" w:rsidRDefault="0015100C" w:rsidP="000021F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5100C" w:rsidRPr="001E1F95" w:rsidRDefault="0015100C" w:rsidP="000021F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rsidR="0015100C" w:rsidRPr="0037004E" w:rsidRDefault="0015100C" w:rsidP="000021F7">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footnote>
  <w:footnote w:id="13">
    <w:p w:rsidR="0015100C" w:rsidRDefault="0015100C" w:rsidP="000021F7">
      <w:pPr>
        <w:pStyle w:val="Textonotapie"/>
        <w:jc w:val="both"/>
      </w:pPr>
      <w:r>
        <w:rPr>
          <w:rStyle w:val="Refdenotaalpie"/>
        </w:rPr>
        <w:footnoteRef/>
      </w:r>
      <w:r>
        <w:t xml:space="preserve"> Artículo 3. Para los efectos de la presente Ley se entenderá por:</w:t>
      </w:r>
    </w:p>
    <w:p w:rsidR="0015100C" w:rsidRDefault="0015100C" w:rsidP="000021F7">
      <w:pPr>
        <w:pStyle w:val="Textonotapie"/>
        <w:jc w:val="both"/>
      </w:pPr>
      <w:r>
        <w:t xml:space="preserve"> (…)</w:t>
      </w:r>
    </w:p>
    <w:p w:rsidR="0015100C" w:rsidRDefault="0015100C" w:rsidP="000021F7">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5100C" w:rsidRPr="00EF13C1" w:rsidTr="00646380">
      <w:trPr>
        <w:trHeight w:val="138"/>
        <w:jc w:val="right"/>
      </w:trPr>
      <w:tc>
        <w:tcPr>
          <w:tcW w:w="2552" w:type="dxa"/>
          <w:vAlign w:val="center"/>
        </w:tcPr>
        <w:p w:rsidR="0015100C" w:rsidRPr="00EF13C1" w:rsidRDefault="0015100C"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5100C" w:rsidRPr="00EF13C1" w:rsidRDefault="0015100C" w:rsidP="00B713AE">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02308/INFOEM/AD/RR/2019 </w:t>
          </w:r>
        </w:p>
      </w:tc>
    </w:tr>
    <w:tr w:rsidR="0015100C" w:rsidRPr="00EF13C1" w:rsidTr="00646380">
      <w:trPr>
        <w:trHeight w:val="321"/>
        <w:jc w:val="right"/>
      </w:trPr>
      <w:tc>
        <w:tcPr>
          <w:tcW w:w="2552" w:type="dxa"/>
          <w:vAlign w:val="center"/>
        </w:tcPr>
        <w:p w:rsidR="0015100C" w:rsidRPr="00EF13C1" w:rsidRDefault="0015100C"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5100C" w:rsidRPr="00EF13C1" w:rsidRDefault="0015100C" w:rsidP="00FB61C7">
          <w:pPr>
            <w:pStyle w:val="Encabezado"/>
            <w:jc w:val="right"/>
            <w:rPr>
              <w:rFonts w:ascii="Palatino Linotype" w:hAnsi="Palatino Linotype"/>
              <w:b/>
              <w:sz w:val="22"/>
              <w:szCs w:val="22"/>
            </w:rPr>
          </w:pPr>
          <w:r>
            <w:rPr>
              <w:rFonts w:ascii="Palatino Linotype" w:hAnsi="Palatino Linotype"/>
              <w:b/>
              <w:bCs/>
              <w:sz w:val="22"/>
              <w:szCs w:val="22"/>
            </w:rPr>
            <w:t>Ayuntamiento de Huixquilucan</w:t>
          </w:r>
        </w:p>
      </w:tc>
    </w:tr>
    <w:tr w:rsidR="0015100C" w:rsidRPr="00EF13C1" w:rsidTr="00646380">
      <w:trPr>
        <w:trHeight w:val="321"/>
        <w:jc w:val="right"/>
      </w:trPr>
      <w:tc>
        <w:tcPr>
          <w:tcW w:w="2552" w:type="dxa"/>
          <w:vAlign w:val="center"/>
        </w:tcPr>
        <w:p w:rsidR="0015100C" w:rsidRPr="00EF13C1" w:rsidRDefault="0015100C"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5100C" w:rsidRPr="00EF13C1" w:rsidRDefault="0015100C"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5100C" w:rsidRDefault="0015100C"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15100C" w:rsidRPr="00182113" w:rsidTr="00141DF6">
      <w:trPr>
        <w:trHeight w:val="138"/>
      </w:trPr>
      <w:tc>
        <w:tcPr>
          <w:tcW w:w="2532" w:type="dxa"/>
          <w:vAlign w:val="center"/>
        </w:tcPr>
        <w:p w:rsidR="0015100C" w:rsidRPr="00EF13C1" w:rsidRDefault="0015100C"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15100C" w:rsidRPr="00EF13C1" w:rsidRDefault="0015100C" w:rsidP="004942B7">
          <w:pPr>
            <w:pStyle w:val="Encabezado"/>
            <w:jc w:val="right"/>
            <w:rPr>
              <w:rFonts w:ascii="Palatino Linotype" w:hAnsi="Palatino Linotype"/>
              <w:b/>
              <w:sz w:val="22"/>
              <w:szCs w:val="22"/>
            </w:rPr>
          </w:pPr>
          <w:r>
            <w:rPr>
              <w:rFonts w:ascii="Palatino Linotype" w:hAnsi="Palatino Linotype" w:cs="Arial"/>
              <w:b/>
              <w:bCs/>
              <w:sz w:val="22"/>
              <w:szCs w:val="22"/>
              <w:lang w:eastAsia="es-MX"/>
            </w:rPr>
            <w:t>02308/INFOEM/AD/RR/2019</w:t>
          </w:r>
        </w:p>
      </w:tc>
      <w:tc>
        <w:tcPr>
          <w:tcW w:w="2532" w:type="dxa"/>
          <w:vAlign w:val="center"/>
        </w:tcPr>
        <w:p w:rsidR="0015100C" w:rsidRPr="00182113" w:rsidRDefault="0015100C" w:rsidP="00141DF6">
          <w:pPr>
            <w:rPr>
              <w:rFonts w:ascii="Palatino Linotype" w:hAnsi="Palatino Linotype"/>
              <w:b/>
              <w:sz w:val="22"/>
              <w:szCs w:val="22"/>
            </w:rPr>
          </w:pPr>
        </w:p>
      </w:tc>
      <w:tc>
        <w:tcPr>
          <w:tcW w:w="236" w:type="dxa"/>
          <w:vAlign w:val="center"/>
        </w:tcPr>
        <w:p w:rsidR="0015100C" w:rsidRPr="00182113" w:rsidRDefault="0015100C" w:rsidP="00141DF6">
          <w:pPr>
            <w:pStyle w:val="Encabezado"/>
            <w:jc w:val="center"/>
            <w:rPr>
              <w:rFonts w:ascii="Palatino Linotype" w:hAnsi="Palatino Linotype"/>
              <w:b/>
              <w:sz w:val="22"/>
              <w:szCs w:val="22"/>
            </w:rPr>
          </w:pPr>
        </w:p>
      </w:tc>
      <w:tc>
        <w:tcPr>
          <w:tcW w:w="3261" w:type="dxa"/>
          <w:vAlign w:val="center"/>
        </w:tcPr>
        <w:p w:rsidR="0015100C" w:rsidRPr="00182113" w:rsidRDefault="0015100C" w:rsidP="00141DF6">
          <w:pPr>
            <w:pStyle w:val="Encabezado"/>
            <w:rPr>
              <w:rFonts w:ascii="Palatino Linotype" w:hAnsi="Palatino Linotype"/>
              <w:b/>
              <w:sz w:val="22"/>
              <w:szCs w:val="22"/>
            </w:rPr>
          </w:pPr>
        </w:p>
      </w:tc>
    </w:tr>
    <w:tr w:rsidR="0015100C" w:rsidRPr="00182113" w:rsidTr="00141DF6">
      <w:trPr>
        <w:trHeight w:val="227"/>
      </w:trPr>
      <w:tc>
        <w:tcPr>
          <w:tcW w:w="2532" w:type="dxa"/>
          <w:vAlign w:val="center"/>
        </w:tcPr>
        <w:p w:rsidR="0015100C" w:rsidRPr="00EF13C1" w:rsidRDefault="0015100C"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15100C" w:rsidRPr="00EF13C1" w:rsidRDefault="0015100C" w:rsidP="00141DF6">
          <w:pPr>
            <w:pStyle w:val="Encabezado"/>
            <w:jc w:val="right"/>
            <w:rPr>
              <w:rFonts w:ascii="Palatino Linotype" w:hAnsi="Palatino Linotype"/>
              <w:b/>
              <w:sz w:val="22"/>
              <w:szCs w:val="22"/>
            </w:rPr>
          </w:pPr>
          <w:r w:rsidRPr="0015100C">
            <w:rPr>
              <w:rFonts w:ascii="Palatino Linotype" w:hAnsi="Palatino Linotype"/>
              <w:b/>
              <w:sz w:val="22"/>
              <w:highlight w:val="black"/>
            </w:rPr>
            <w:t>-------------------------------------</w:t>
          </w:r>
        </w:p>
      </w:tc>
      <w:tc>
        <w:tcPr>
          <w:tcW w:w="2532" w:type="dxa"/>
          <w:vAlign w:val="center"/>
        </w:tcPr>
        <w:p w:rsidR="0015100C" w:rsidRPr="00182113" w:rsidRDefault="0015100C" w:rsidP="00141DF6">
          <w:pPr>
            <w:rPr>
              <w:rFonts w:ascii="Palatino Linotype" w:hAnsi="Palatino Linotype"/>
              <w:b/>
              <w:sz w:val="22"/>
              <w:szCs w:val="22"/>
            </w:rPr>
          </w:pPr>
        </w:p>
      </w:tc>
      <w:tc>
        <w:tcPr>
          <w:tcW w:w="236" w:type="dxa"/>
          <w:vAlign w:val="center"/>
        </w:tcPr>
        <w:p w:rsidR="0015100C" w:rsidRPr="00182113" w:rsidRDefault="0015100C" w:rsidP="00141DF6">
          <w:pPr>
            <w:pStyle w:val="Encabezado"/>
            <w:jc w:val="center"/>
            <w:rPr>
              <w:rFonts w:ascii="Palatino Linotype" w:hAnsi="Palatino Linotype"/>
              <w:b/>
              <w:sz w:val="22"/>
              <w:szCs w:val="22"/>
            </w:rPr>
          </w:pPr>
        </w:p>
      </w:tc>
      <w:tc>
        <w:tcPr>
          <w:tcW w:w="3261" w:type="dxa"/>
          <w:vAlign w:val="center"/>
        </w:tcPr>
        <w:p w:rsidR="0015100C" w:rsidRPr="00182113" w:rsidRDefault="0015100C" w:rsidP="00141DF6">
          <w:pPr>
            <w:pStyle w:val="Encabezado"/>
            <w:rPr>
              <w:rFonts w:ascii="Palatino Linotype" w:hAnsi="Palatino Linotype"/>
              <w:b/>
              <w:sz w:val="22"/>
              <w:szCs w:val="22"/>
            </w:rPr>
          </w:pPr>
        </w:p>
      </w:tc>
    </w:tr>
    <w:tr w:rsidR="0015100C" w:rsidRPr="00182113" w:rsidTr="00141DF6">
      <w:trPr>
        <w:trHeight w:val="232"/>
      </w:trPr>
      <w:tc>
        <w:tcPr>
          <w:tcW w:w="2532" w:type="dxa"/>
          <w:vAlign w:val="center"/>
        </w:tcPr>
        <w:p w:rsidR="0015100C" w:rsidRPr="00EF13C1" w:rsidRDefault="0015100C"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15100C" w:rsidRPr="00EF13C1" w:rsidRDefault="0015100C" w:rsidP="00FB61C7">
          <w:pPr>
            <w:pStyle w:val="Encabezado"/>
            <w:jc w:val="right"/>
            <w:rPr>
              <w:rFonts w:ascii="Palatino Linotype" w:hAnsi="Palatino Linotype"/>
              <w:b/>
              <w:sz w:val="22"/>
              <w:szCs w:val="22"/>
            </w:rPr>
          </w:pPr>
          <w:r>
            <w:rPr>
              <w:rFonts w:ascii="Palatino Linotype" w:hAnsi="Palatino Linotype"/>
              <w:b/>
              <w:bCs/>
              <w:sz w:val="22"/>
              <w:szCs w:val="22"/>
            </w:rPr>
            <w:t>Ayuntamiento de Huixquilucan</w:t>
          </w:r>
          <w:r w:rsidRPr="00EF13C1">
            <w:rPr>
              <w:rFonts w:ascii="Palatino Linotype" w:hAnsi="Palatino Linotype"/>
              <w:b/>
              <w:sz w:val="22"/>
              <w:szCs w:val="22"/>
            </w:rPr>
            <w:t xml:space="preserve"> </w:t>
          </w:r>
        </w:p>
      </w:tc>
      <w:tc>
        <w:tcPr>
          <w:tcW w:w="2532" w:type="dxa"/>
          <w:vAlign w:val="center"/>
        </w:tcPr>
        <w:p w:rsidR="0015100C" w:rsidRPr="00182113" w:rsidRDefault="0015100C" w:rsidP="00141DF6">
          <w:pPr>
            <w:rPr>
              <w:rFonts w:ascii="Palatino Linotype" w:hAnsi="Palatino Linotype"/>
              <w:b/>
              <w:sz w:val="22"/>
              <w:szCs w:val="22"/>
            </w:rPr>
          </w:pPr>
        </w:p>
      </w:tc>
      <w:tc>
        <w:tcPr>
          <w:tcW w:w="236" w:type="dxa"/>
          <w:vAlign w:val="center"/>
        </w:tcPr>
        <w:p w:rsidR="0015100C" w:rsidRPr="00182113" w:rsidRDefault="0015100C" w:rsidP="00141DF6">
          <w:pPr>
            <w:pStyle w:val="Encabezado"/>
            <w:jc w:val="center"/>
            <w:rPr>
              <w:rFonts w:ascii="Palatino Linotype" w:hAnsi="Palatino Linotype"/>
              <w:b/>
              <w:sz w:val="22"/>
              <w:szCs w:val="22"/>
            </w:rPr>
          </w:pPr>
        </w:p>
      </w:tc>
      <w:tc>
        <w:tcPr>
          <w:tcW w:w="3261" w:type="dxa"/>
          <w:vAlign w:val="center"/>
        </w:tcPr>
        <w:p w:rsidR="0015100C" w:rsidRPr="00182113" w:rsidRDefault="0015100C" w:rsidP="00141DF6">
          <w:pPr>
            <w:pStyle w:val="Encabezado"/>
            <w:rPr>
              <w:rFonts w:ascii="Palatino Linotype" w:hAnsi="Palatino Linotype"/>
              <w:b/>
              <w:sz w:val="22"/>
              <w:szCs w:val="22"/>
            </w:rPr>
          </w:pPr>
        </w:p>
      </w:tc>
    </w:tr>
    <w:tr w:rsidR="0015100C" w:rsidRPr="00182113" w:rsidTr="00141DF6">
      <w:trPr>
        <w:trHeight w:val="320"/>
      </w:trPr>
      <w:tc>
        <w:tcPr>
          <w:tcW w:w="2532" w:type="dxa"/>
          <w:vAlign w:val="center"/>
        </w:tcPr>
        <w:p w:rsidR="0015100C" w:rsidRPr="00EF13C1" w:rsidRDefault="0015100C"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15100C" w:rsidRPr="00EF13C1" w:rsidRDefault="0015100C"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15100C" w:rsidRPr="00182113" w:rsidRDefault="0015100C" w:rsidP="00141DF6">
          <w:pPr>
            <w:rPr>
              <w:rFonts w:ascii="Palatino Linotype" w:hAnsi="Palatino Linotype"/>
              <w:b/>
              <w:sz w:val="22"/>
              <w:szCs w:val="22"/>
            </w:rPr>
          </w:pPr>
        </w:p>
      </w:tc>
      <w:tc>
        <w:tcPr>
          <w:tcW w:w="236" w:type="dxa"/>
          <w:vAlign w:val="center"/>
        </w:tcPr>
        <w:p w:rsidR="0015100C" w:rsidRPr="00182113" w:rsidRDefault="0015100C" w:rsidP="00141DF6">
          <w:pPr>
            <w:pStyle w:val="Encabezado"/>
            <w:jc w:val="center"/>
            <w:rPr>
              <w:rFonts w:ascii="Palatino Linotype" w:hAnsi="Palatino Linotype"/>
              <w:b/>
              <w:sz w:val="22"/>
              <w:szCs w:val="22"/>
            </w:rPr>
          </w:pPr>
        </w:p>
      </w:tc>
      <w:tc>
        <w:tcPr>
          <w:tcW w:w="3261" w:type="dxa"/>
          <w:vAlign w:val="center"/>
        </w:tcPr>
        <w:p w:rsidR="0015100C" w:rsidRPr="00182113" w:rsidRDefault="0015100C" w:rsidP="00141DF6">
          <w:pPr>
            <w:pStyle w:val="Encabezado"/>
            <w:rPr>
              <w:rFonts w:ascii="Palatino Linotype" w:hAnsi="Palatino Linotype"/>
              <w:b/>
              <w:sz w:val="22"/>
              <w:szCs w:val="22"/>
            </w:rPr>
          </w:pPr>
        </w:p>
      </w:tc>
    </w:tr>
  </w:tbl>
  <w:p w:rsidR="0015100C" w:rsidRDefault="001510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CA2B12"/>
    <w:multiLevelType w:val="hybridMultilevel"/>
    <w:tmpl w:val="1D440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3A2869"/>
    <w:multiLevelType w:val="hybridMultilevel"/>
    <w:tmpl w:val="58AE9404"/>
    <w:lvl w:ilvl="0" w:tplc="59AEF4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C53E0E"/>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FF023D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22618E"/>
    <w:multiLevelType w:val="hybridMultilevel"/>
    <w:tmpl w:val="3454C0D2"/>
    <w:lvl w:ilvl="0" w:tplc="F66C52F6">
      <w:start w:val="1"/>
      <w:numFmt w:val="lowerLetter"/>
      <w:lvlText w:val="%1)"/>
      <w:lvlJc w:val="left"/>
      <w:pPr>
        <w:ind w:left="1211" w:hanging="36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4DD65507"/>
    <w:multiLevelType w:val="hybridMultilevel"/>
    <w:tmpl w:val="4692A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E3B739B"/>
    <w:multiLevelType w:val="hybridMultilevel"/>
    <w:tmpl w:val="F33A9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EAE3668"/>
    <w:multiLevelType w:val="hybridMultilevel"/>
    <w:tmpl w:val="7BEA4B6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nsid w:val="54D549BE"/>
    <w:multiLevelType w:val="hybridMultilevel"/>
    <w:tmpl w:val="8062D2B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61B0B97"/>
    <w:multiLevelType w:val="hybridMultilevel"/>
    <w:tmpl w:val="90CA2B7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0BC3BD6"/>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3B24E6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6F15E05"/>
    <w:multiLevelType w:val="hybridMultilevel"/>
    <w:tmpl w:val="40EAA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F0C31DB"/>
    <w:multiLevelType w:val="hybridMultilevel"/>
    <w:tmpl w:val="D408B6A4"/>
    <w:lvl w:ilvl="0" w:tplc="080A001B">
      <w:start w:val="1"/>
      <w:numFmt w:val="lowerRoman"/>
      <w:lvlText w:val="%1."/>
      <w:lvlJc w:val="righ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abstractNumId w:val="7"/>
  </w:num>
  <w:num w:numId="2">
    <w:abstractNumId w:val="9"/>
  </w:num>
  <w:num w:numId="3">
    <w:abstractNumId w:val="3"/>
  </w:num>
  <w:num w:numId="4">
    <w:abstractNumId w:val="20"/>
  </w:num>
  <w:num w:numId="5">
    <w:abstractNumId w:val="14"/>
  </w:num>
  <w:num w:numId="6">
    <w:abstractNumId w:val="21"/>
  </w:num>
  <w:num w:numId="7">
    <w:abstractNumId w:val="22"/>
  </w:num>
  <w:num w:numId="8">
    <w:abstractNumId w:val="10"/>
  </w:num>
  <w:num w:numId="9">
    <w:abstractNumId w:val="1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8"/>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6"/>
  </w:num>
  <w:num w:numId="17">
    <w:abstractNumId w:val="11"/>
  </w:num>
  <w:num w:numId="18">
    <w:abstractNumId w:val="17"/>
  </w:num>
  <w:num w:numId="19">
    <w:abstractNumId w:val="24"/>
  </w:num>
  <w:num w:numId="20">
    <w:abstractNumId w:val="16"/>
  </w:num>
  <w:num w:numId="21">
    <w:abstractNumId w:val="2"/>
  </w:num>
  <w:num w:numId="22">
    <w:abstractNumId w:val="0"/>
  </w:num>
  <w:num w:numId="23">
    <w:abstractNumId w:val="5"/>
  </w:num>
  <w:num w:numId="24">
    <w:abstractNumId w:val="13"/>
  </w:num>
  <w:num w:numId="25">
    <w:abstractNumId w:val="23"/>
  </w:num>
  <w:num w:numId="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21F7"/>
    <w:rsid w:val="00006214"/>
    <w:rsid w:val="0000765F"/>
    <w:rsid w:val="000129FA"/>
    <w:rsid w:val="00032ED4"/>
    <w:rsid w:val="000366F7"/>
    <w:rsid w:val="000404FD"/>
    <w:rsid w:val="00045CB1"/>
    <w:rsid w:val="00045D8E"/>
    <w:rsid w:val="000471A3"/>
    <w:rsid w:val="000550E9"/>
    <w:rsid w:val="000557F1"/>
    <w:rsid w:val="00063D22"/>
    <w:rsid w:val="00064402"/>
    <w:rsid w:val="00065C96"/>
    <w:rsid w:val="0007491E"/>
    <w:rsid w:val="00076560"/>
    <w:rsid w:val="0008777A"/>
    <w:rsid w:val="0009345C"/>
    <w:rsid w:val="00093A14"/>
    <w:rsid w:val="0009654B"/>
    <w:rsid w:val="000A2541"/>
    <w:rsid w:val="000A79E0"/>
    <w:rsid w:val="000B5D13"/>
    <w:rsid w:val="000C1226"/>
    <w:rsid w:val="000C37A1"/>
    <w:rsid w:val="000C65BE"/>
    <w:rsid w:val="000D3694"/>
    <w:rsid w:val="000E053C"/>
    <w:rsid w:val="000E4F0E"/>
    <w:rsid w:val="000F29B1"/>
    <w:rsid w:val="000F3174"/>
    <w:rsid w:val="000F4EBE"/>
    <w:rsid w:val="000F689C"/>
    <w:rsid w:val="00100FB3"/>
    <w:rsid w:val="00101488"/>
    <w:rsid w:val="001019CA"/>
    <w:rsid w:val="00101C48"/>
    <w:rsid w:val="001051D1"/>
    <w:rsid w:val="00105A38"/>
    <w:rsid w:val="001100E7"/>
    <w:rsid w:val="001308F8"/>
    <w:rsid w:val="001336BF"/>
    <w:rsid w:val="00134579"/>
    <w:rsid w:val="001358C7"/>
    <w:rsid w:val="00140005"/>
    <w:rsid w:val="00141DF6"/>
    <w:rsid w:val="00144A2C"/>
    <w:rsid w:val="0015100C"/>
    <w:rsid w:val="001520C4"/>
    <w:rsid w:val="00166171"/>
    <w:rsid w:val="0016675E"/>
    <w:rsid w:val="001716D3"/>
    <w:rsid w:val="00171AE9"/>
    <w:rsid w:val="00191A0F"/>
    <w:rsid w:val="00193431"/>
    <w:rsid w:val="001A556A"/>
    <w:rsid w:val="001C0763"/>
    <w:rsid w:val="001C1F82"/>
    <w:rsid w:val="001C41F3"/>
    <w:rsid w:val="001D1986"/>
    <w:rsid w:val="001D5D25"/>
    <w:rsid w:val="001D5E22"/>
    <w:rsid w:val="001D5F4A"/>
    <w:rsid w:val="001D732D"/>
    <w:rsid w:val="001F1A61"/>
    <w:rsid w:val="001F5CFC"/>
    <w:rsid w:val="001F6878"/>
    <w:rsid w:val="001F7C7C"/>
    <w:rsid w:val="00213EBA"/>
    <w:rsid w:val="0022089E"/>
    <w:rsid w:val="00220C8D"/>
    <w:rsid w:val="002218E5"/>
    <w:rsid w:val="0022251B"/>
    <w:rsid w:val="002248D3"/>
    <w:rsid w:val="00227203"/>
    <w:rsid w:val="00231FF4"/>
    <w:rsid w:val="002341B3"/>
    <w:rsid w:val="00241D58"/>
    <w:rsid w:val="00261273"/>
    <w:rsid w:val="00262949"/>
    <w:rsid w:val="00266537"/>
    <w:rsid w:val="00266D19"/>
    <w:rsid w:val="00266F04"/>
    <w:rsid w:val="002757B5"/>
    <w:rsid w:val="002770B1"/>
    <w:rsid w:val="00281117"/>
    <w:rsid w:val="0028558C"/>
    <w:rsid w:val="00286987"/>
    <w:rsid w:val="00293EA3"/>
    <w:rsid w:val="002A23AB"/>
    <w:rsid w:val="002A5BA4"/>
    <w:rsid w:val="002B591E"/>
    <w:rsid w:val="002C51AA"/>
    <w:rsid w:val="002D2177"/>
    <w:rsid w:val="002E2041"/>
    <w:rsid w:val="002E54EF"/>
    <w:rsid w:val="002F1198"/>
    <w:rsid w:val="002F20A0"/>
    <w:rsid w:val="002F37F6"/>
    <w:rsid w:val="002F4EDB"/>
    <w:rsid w:val="00302FF6"/>
    <w:rsid w:val="003031CF"/>
    <w:rsid w:val="00312AB3"/>
    <w:rsid w:val="00323479"/>
    <w:rsid w:val="00323568"/>
    <w:rsid w:val="00324CF1"/>
    <w:rsid w:val="003337B5"/>
    <w:rsid w:val="00334853"/>
    <w:rsid w:val="0033655A"/>
    <w:rsid w:val="00337A0F"/>
    <w:rsid w:val="00347BB3"/>
    <w:rsid w:val="00352F58"/>
    <w:rsid w:val="00353233"/>
    <w:rsid w:val="003532A3"/>
    <w:rsid w:val="0036196A"/>
    <w:rsid w:val="003762D7"/>
    <w:rsid w:val="00381B52"/>
    <w:rsid w:val="00385622"/>
    <w:rsid w:val="00397772"/>
    <w:rsid w:val="003A081B"/>
    <w:rsid w:val="003A3A45"/>
    <w:rsid w:val="003A3AD9"/>
    <w:rsid w:val="003A4654"/>
    <w:rsid w:val="003A75A4"/>
    <w:rsid w:val="003B0404"/>
    <w:rsid w:val="003C2170"/>
    <w:rsid w:val="003C53A5"/>
    <w:rsid w:val="003C658C"/>
    <w:rsid w:val="003C7615"/>
    <w:rsid w:val="003C7AB3"/>
    <w:rsid w:val="003D59AE"/>
    <w:rsid w:val="003D6636"/>
    <w:rsid w:val="003E61BA"/>
    <w:rsid w:val="003F5A1B"/>
    <w:rsid w:val="003F61E3"/>
    <w:rsid w:val="003F688E"/>
    <w:rsid w:val="004070A1"/>
    <w:rsid w:val="0041566F"/>
    <w:rsid w:val="00416612"/>
    <w:rsid w:val="0042443A"/>
    <w:rsid w:val="0044480F"/>
    <w:rsid w:val="00452968"/>
    <w:rsid w:val="00457FE4"/>
    <w:rsid w:val="0046059A"/>
    <w:rsid w:val="0046240B"/>
    <w:rsid w:val="0046559A"/>
    <w:rsid w:val="00471954"/>
    <w:rsid w:val="004819DA"/>
    <w:rsid w:val="00483E81"/>
    <w:rsid w:val="00490A69"/>
    <w:rsid w:val="004942B7"/>
    <w:rsid w:val="004A18C9"/>
    <w:rsid w:val="004A52A6"/>
    <w:rsid w:val="004B5E61"/>
    <w:rsid w:val="004B75AB"/>
    <w:rsid w:val="004C6DD1"/>
    <w:rsid w:val="004C775C"/>
    <w:rsid w:val="004D11D5"/>
    <w:rsid w:val="004D60FB"/>
    <w:rsid w:val="004E1E1B"/>
    <w:rsid w:val="004E5545"/>
    <w:rsid w:val="004E7667"/>
    <w:rsid w:val="004F2179"/>
    <w:rsid w:val="004F3423"/>
    <w:rsid w:val="004F6C8A"/>
    <w:rsid w:val="00500D9A"/>
    <w:rsid w:val="0050618A"/>
    <w:rsid w:val="005061AF"/>
    <w:rsid w:val="0050721C"/>
    <w:rsid w:val="00513071"/>
    <w:rsid w:val="00513336"/>
    <w:rsid w:val="0052012D"/>
    <w:rsid w:val="00524962"/>
    <w:rsid w:val="005540A0"/>
    <w:rsid w:val="005608FF"/>
    <w:rsid w:val="005700F2"/>
    <w:rsid w:val="005713F9"/>
    <w:rsid w:val="0057711B"/>
    <w:rsid w:val="005774C6"/>
    <w:rsid w:val="005865FB"/>
    <w:rsid w:val="00586CA2"/>
    <w:rsid w:val="005917BE"/>
    <w:rsid w:val="005933EC"/>
    <w:rsid w:val="005A0D04"/>
    <w:rsid w:val="005A1327"/>
    <w:rsid w:val="005A28B6"/>
    <w:rsid w:val="005B02E5"/>
    <w:rsid w:val="005B0AB7"/>
    <w:rsid w:val="005B36A7"/>
    <w:rsid w:val="005B3C42"/>
    <w:rsid w:val="005B441A"/>
    <w:rsid w:val="005B488F"/>
    <w:rsid w:val="005D31E4"/>
    <w:rsid w:val="005E10C3"/>
    <w:rsid w:val="005E6C51"/>
    <w:rsid w:val="005E6E7F"/>
    <w:rsid w:val="005F53F8"/>
    <w:rsid w:val="005F573E"/>
    <w:rsid w:val="0060031D"/>
    <w:rsid w:val="006008EE"/>
    <w:rsid w:val="0060163F"/>
    <w:rsid w:val="00604915"/>
    <w:rsid w:val="00610A53"/>
    <w:rsid w:val="006155B9"/>
    <w:rsid w:val="00630DD2"/>
    <w:rsid w:val="0063255B"/>
    <w:rsid w:val="00632A97"/>
    <w:rsid w:val="00634B71"/>
    <w:rsid w:val="006400DE"/>
    <w:rsid w:val="00643C2A"/>
    <w:rsid w:val="00644191"/>
    <w:rsid w:val="00644CCE"/>
    <w:rsid w:val="00646380"/>
    <w:rsid w:val="0065568B"/>
    <w:rsid w:val="00660D0F"/>
    <w:rsid w:val="006740AD"/>
    <w:rsid w:val="006823AB"/>
    <w:rsid w:val="00693768"/>
    <w:rsid w:val="00695DD2"/>
    <w:rsid w:val="006A4018"/>
    <w:rsid w:val="006A45AF"/>
    <w:rsid w:val="006A4ECA"/>
    <w:rsid w:val="006A5CB3"/>
    <w:rsid w:val="006B0B6A"/>
    <w:rsid w:val="006B1CCF"/>
    <w:rsid w:val="006B22CF"/>
    <w:rsid w:val="006B2892"/>
    <w:rsid w:val="006C05CC"/>
    <w:rsid w:val="006C084A"/>
    <w:rsid w:val="006C4394"/>
    <w:rsid w:val="006C50E7"/>
    <w:rsid w:val="006C662D"/>
    <w:rsid w:val="006D4191"/>
    <w:rsid w:val="006D77E3"/>
    <w:rsid w:val="006E4CE1"/>
    <w:rsid w:val="006E5B19"/>
    <w:rsid w:val="006E7D30"/>
    <w:rsid w:val="006F41CA"/>
    <w:rsid w:val="006F4707"/>
    <w:rsid w:val="00704AAF"/>
    <w:rsid w:val="007064B0"/>
    <w:rsid w:val="00715482"/>
    <w:rsid w:val="0071694F"/>
    <w:rsid w:val="0072046C"/>
    <w:rsid w:val="007215DD"/>
    <w:rsid w:val="00722AAD"/>
    <w:rsid w:val="00722C2F"/>
    <w:rsid w:val="00733408"/>
    <w:rsid w:val="00735F27"/>
    <w:rsid w:val="007401AD"/>
    <w:rsid w:val="007473A6"/>
    <w:rsid w:val="0076066A"/>
    <w:rsid w:val="00763B5A"/>
    <w:rsid w:val="00780441"/>
    <w:rsid w:val="007825C5"/>
    <w:rsid w:val="00784C6D"/>
    <w:rsid w:val="0079161C"/>
    <w:rsid w:val="0079198A"/>
    <w:rsid w:val="00795CEB"/>
    <w:rsid w:val="00796727"/>
    <w:rsid w:val="00796D7E"/>
    <w:rsid w:val="00797107"/>
    <w:rsid w:val="007A649F"/>
    <w:rsid w:val="007B2240"/>
    <w:rsid w:val="007B40B0"/>
    <w:rsid w:val="007C063C"/>
    <w:rsid w:val="007C2DB5"/>
    <w:rsid w:val="007C3570"/>
    <w:rsid w:val="007D22D7"/>
    <w:rsid w:val="007D75A9"/>
    <w:rsid w:val="007F27B2"/>
    <w:rsid w:val="007F548D"/>
    <w:rsid w:val="007F7C18"/>
    <w:rsid w:val="00801CB0"/>
    <w:rsid w:val="00803FA1"/>
    <w:rsid w:val="008044D2"/>
    <w:rsid w:val="00811F2A"/>
    <w:rsid w:val="00813630"/>
    <w:rsid w:val="00821599"/>
    <w:rsid w:val="00824FEA"/>
    <w:rsid w:val="00826DBC"/>
    <w:rsid w:val="0083060F"/>
    <w:rsid w:val="00833125"/>
    <w:rsid w:val="00835853"/>
    <w:rsid w:val="00840B4F"/>
    <w:rsid w:val="00840C2D"/>
    <w:rsid w:val="008427BB"/>
    <w:rsid w:val="00843D41"/>
    <w:rsid w:val="00844254"/>
    <w:rsid w:val="008628C0"/>
    <w:rsid w:val="00872FF9"/>
    <w:rsid w:val="00873B93"/>
    <w:rsid w:val="00880B0D"/>
    <w:rsid w:val="00892442"/>
    <w:rsid w:val="00897A58"/>
    <w:rsid w:val="008A7076"/>
    <w:rsid w:val="008B1DC5"/>
    <w:rsid w:val="008B48E5"/>
    <w:rsid w:val="008B575A"/>
    <w:rsid w:val="008B6A29"/>
    <w:rsid w:val="008B6F5F"/>
    <w:rsid w:val="008C1660"/>
    <w:rsid w:val="008C456C"/>
    <w:rsid w:val="008C7288"/>
    <w:rsid w:val="008D1C16"/>
    <w:rsid w:val="008D208C"/>
    <w:rsid w:val="008E1098"/>
    <w:rsid w:val="008E363C"/>
    <w:rsid w:val="008E78E7"/>
    <w:rsid w:val="008E7F83"/>
    <w:rsid w:val="008F51A3"/>
    <w:rsid w:val="008F5678"/>
    <w:rsid w:val="008F6153"/>
    <w:rsid w:val="008F6413"/>
    <w:rsid w:val="00903EC6"/>
    <w:rsid w:val="00911593"/>
    <w:rsid w:val="00916C74"/>
    <w:rsid w:val="0092505E"/>
    <w:rsid w:val="00932824"/>
    <w:rsid w:val="00933015"/>
    <w:rsid w:val="0094562A"/>
    <w:rsid w:val="00945BEB"/>
    <w:rsid w:val="00954B5F"/>
    <w:rsid w:val="00960A30"/>
    <w:rsid w:val="00970964"/>
    <w:rsid w:val="00970F94"/>
    <w:rsid w:val="00976E5F"/>
    <w:rsid w:val="0097749D"/>
    <w:rsid w:val="00995591"/>
    <w:rsid w:val="009A0584"/>
    <w:rsid w:val="009A2140"/>
    <w:rsid w:val="009A30B5"/>
    <w:rsid w:val="009A66DF"/>
    <w:rsid w:val="009B240E"/>
    <w:rsid w:val="009B69B4"/>
    <w:rsid w:val="009C06E9"/>
    <w:rsid w:val="009C234C"/>
    <w:rsid w:val="009C4F32"/>
    <w:rsid w:val="009C5BE9"/>
    <w:rsid w:val="009D018F"/>
    <w:rsid w:val="009D0E63"/>
    <w:rsid w:val="009E0399"/>
    <w:rsid w:val="009E66ED"/>
    <w:rsid w:val="009F7190"/>
    <w:rsid w:val="00A00E51"/>
    <w:rsid w:val="00A0157E"/>
    <w:rsid w:val="00A046C8"/>
    <w:rsid w:val="00A077DA"/>
    <w:rsid w:val="00A31EFE"/>
    <w:rsid w:val="00A349F8"/>
    <w:rsid w:val="00A37CD6"/>
    <w:rsid w:val="00A47352"/>
    <w:rsid w:val="00A516EA"/>
    <w:rsid w:val="00A52EEC"/>
    <w:rsid w:val="00A53B90"/>
    <w:rsid w:val="00A765E5"/>
    <w:rsid w:val="00A77D46"/>
    <w:rsid w:val="00A94B63"/>
    <w:rsid w:val="00A95E6A"/>
    <w:rsid w:val="00A9637C"/>
    <w:rsid w:val="00A97BE4"/>
    <w:rsid w:val="00AA21E2"/>
    <w:rsid w:val="00AA30C7"/>
    <w:rsid w:val="00AB5CCF"/>
    <w:rsid w:val="00AC15BE"/>
    <w:rsid w:val="00AC1836"/>
    <w:rsid w:val="00AC425E"/>
    <w:rsid w:val="00AC5F3B"/>
    <w:rsid w:val="00AC6FC5"/>
    <w:rsid w:val="00AD2117"/>
    <w:rsid w:val="00AE19CC"/>
    <w:rsid w:val="00AE587B"/>
    <w:rsid w:val="00AE637A"/>
    <w:rsid w:val="00AF0D0E"/>
    <w:rsid w:val="00B011AC"/>
    <w:rsid w:val="00B01CEF"/>
    <w:rsid w:val="00B0505D"/>
    <w:rsid w:val="00B1149A"/>
    <w:rsid w:val="00B16FB2"/>
    <w:rsid w:val="00B22705"/>
    <w:rsid w:val="00B247C4"/>
    <w:rsid w:val="00B258AA"/>
    <w:rsid w:val="00B25D9B"/>
    <w:rsid w:val="00B26B0F"/>
    <w:rsid w:val="00B30E0B"/>
    <w:rsid w:val="00B343CF"/>
    <w:rsid w:val="00B34623"/>
    <w:rsid w:val="00B37C23"/>
    <w:rsid w:val="00B4286E"/>
    <w:rsid w:val="00B42FEF"/>
    <w:rsid w:val="00B5361E"/>
    <w:rsid w:val="00B6352F"/>
    <w:rsid w:val="00B713AE"/>
    <w:rsid w:val="00B727A2"/>
    <w:rsid w:val="00B77D73"/>
    <w:rsid w:val="00B80A6D"/>
    <w:rsid w:val="00B82B69"/>
    <w:rsid w:val="00B8424B"/>
    <w:rsid w:val="00B90BEF"/>
    <w:rsid w:val="00B9186C"/>
    <w:rsid w:val="00B919BE"/>
    <w:rsid w:val="00B91D5C"/>
    <w:rsid w:val="00B967AF"/>
    <w:rsid w:val="00BA41D5"/>
    <w:rsid w:val="00BB7073"/>
    <w:rsid w:val="00BB7618"/>
    <w:rsid w:val="00BC259E"/>
    <w:rsid w:val="00BD7F9D"/>
    <w:rsid w:val="00BE15CE"/>
    <w:rsid w:val="00BE59B0"/>
    <w:rsid w:val="00BE7859"/>
    <w:rsid w:val="00C1107A"/>
    <w:rsid w:val="00C11558"/>
    <w:rsid w:val="00C278CB"/>
    <w:rsid w:val="00C306D3"/>
    <w:rsid w:val="00C30FC8"/>
    <w:rsid w:val="00C31C44"/>
    <w:rsid w:val="00C347A2"/>
    <w:rsid w:val="00C36247"/>
    <w:rsid w:val="00C366FF"/>
    <w:rsid w:val="00C509A4"/>
    <w:rsid w:val="00C57119"/>
    <w:rsid w:val="00C61C2B"/>
    <w:rsid w:val="00C63AA8"/>
    <w:rsid w:val="00C70625"/>
    <w:rsid w:val="00C71A73"/>
    <w:rsid w:val="00C7267B"/>
    <w:rsid w:val="00C731A8"/>
    <w:rsid w:val="00C82ADE"/>
    <w:rsid w:val="00C87DFC"/>
    <w:rsid w:val="00C946FB"/>
    <w:rsid w:val="00C9484F"/>
    <w:rsid w:val="00C9794C"/>
    <w:rsid w:val="00CA7849"/>
    <w:rsid w:val="00CB23B9"/>
    <w:rsid w:val="00CC1066"/>
    <w:rsid w:val="00CD5823"/>
    <w:rsid w:val="00CD6EC3"/>
    <w:rsid w:val="00CD7FAD"/>
    <w:rsid w:val="00CE6928"/>
    <w:rsid w:val="00CE7DC8"/>
    <w:rsid w:val="00CF71EA"/>
    <w:rsid w:val="00CF79AF"/>
    <w:rsid w:val="00D02B82"/>
    <w:rsid w:val="00D0504D"/>
    <w:rsid w:val="00D14CD5"/>
    <w:rsid w:val="00D35C84"/>
    <w:rsid w:val="00D35DE2"/>
    <w:rsid w:val="00D41D69"/>
    <w:rsid w:val="00D56477"/>
    <w:rsid w:val="00D60E06"/>
    <w:rsid w:val="00D61170"/>
    <w:rsid w:val="00D62024"/>
    <w:rsid w:val="00D6467C"/>
    <w:rsid w:val="00D70F0F"/>
    <w:rsid w:val="00D75159"/>
    <w:rsid w:val="00D7583A"/>
    <w:rsid w:val="00D802F0"/>
    <w:rsid w:val="00D8294B"/>
    <w:rsid w:val="00D84261"/>
    <w:rsid w:val="00D864CE"/>
    <w:rsid w:val="00DA618C"/>
    <w:rsid w:val="00DB787B"/>
    <w:rsid w:val="00DC033D"/>
    <w:rsid w:val="00DC3DF5"/>
    <w:rsid w:val="00DC7E63"/>
    <w:rsid w:val="00DD6266"/>
    <w:rsid w:val="00DD64AB"/>
    <w:rsid w:val="00DD6696"/>
    <w:rsid w:val="00DD764A"/>
    <w:rsid w:val="00DE11CF"/>
    <w:rsid w:val="00DE422B"/>
    <w:rsid w:val="00DF1A46"/>
    <w:rsid w:val="00DF6CA8"/>
    <w:rsid w:val="00DF6CCB"/>
    <w:rsid w:val="00E02044"/>
    <w:rsid w:val="00E1136E"/>
    <w:rsid w:val="00E17F9A"/>
    <w:rsid w:val="00E23805"/>
    <w:rsid w:val="00E25649"/>
    <w:rsid w:val="00E25808"/>
    <w:rsid w:val="00E26E35"/>
    <w:rsid w:val="00E30414"/>
    <w:rsid w:val="00E37012"/>
    <w:rsid w:val="00E37468"/>
    <w:rsid w:val="00E43AB9"/>
    <w:rsid w:val="00E55AA1"/>
    <w:rsid w:val="00E60198"/>
    <w:rsid w:val="00E60771"/>
    <w:rsid w:val="00E632D0"/>
    <w:rsid w:val="00E64135"/>
    <w:rsid w:val="00E6663B"/>
    <w:rsid w:val="00E669C9"/>
    <w:rsid w:val="00E74C45"/>
    <w:rsid w:val="00E75F88"/>
    <w:rsid w:val="00E7645E"/>
    <w:rsid w:val="00E81879"/>
    <w:rsid w:val="00E83BA6"/>
    <w:rsid w:val="00E918F4"/>
    <w:rsid w:val="00E931ED"/>
    <w:rsid w:val="00EA5687"/>
    <w:rsid w:val="00EB1032"/>
    <w:rsid w:val="00EB4C97"/>
    <w:rsid w:val="00EB537B"/>
    <w:rsid w:val="00EB5A47"/>
    <w:rsid w:val="00EC1FDB"/>
    <w:rsid w:val="00EC3681"/>
    <w:rsid w:val="00ED2D47"/>
    <w:rsid w:val="00ED2E65"/>
    <w:rsid w:val="00EE5BA4"/>
    <w:rsid w:val="00EF292B"/>
    <w:rsid w:val="00F05FBA"/>
    <w:rsid w:val="00F125C7"/>
    <w:rsid w:val="00F12AA6"/>
    <w:rsid w:val="00F21B7D"/>
    <w:rsid w:val="00F267D4"/>
    <w:rsid w:val="00F30C67"/>
    <w:rsid w:val="00F31162"/>
    <w:rsid w:val="00F3251B"/>
    <w:rsid w:val="00F36670"/>
    <w:rsid w:val="00F375F4"/>
    <w:rsid w:val="00F45F0C"/>
    <w:rsid w:val="00F55213"/>
    <w:rsid w:val="00F55AD7"/>
    <w:rsid w:val="00F61DF9"/>
    <w:rsid w:val="00F629AE"/>
    <w:rsid w:val="00F66D06"/>
    <w:rsid w:val="00F700EF"/>
    <w:rsid w:val="00F762E7"/>
    <w:rsid w:val="00F8067A"/>
    <w:rsid w:val="00F811F5"/>
    <w:rsid w:val="00F81579"/>
    <w:rsid w:val="00F816E8"/>
    <w:rsid w:val="00F82388"/>
    <w:rsid w:val="00F86CA4"/>
    <w:rsid w:val="00FA07D6"/>
    <w:rsid w:val="00FA204E"/>
    <w:rsid w:val="00FB4F8E"/>
    <w:rsid w:val="00FB4F92"/>
    <w:rsid w:val="00FB5408"/>
    <w:rsid w:val="00FB61C7"/>
    <w:rsid w:val="00FC5D9F"/>
    <w:rsid w:val="00FD1926"/>
    <w:rsid w:val="00FE021E"/>
    <w:rsid w:val="00FE5801"/>
    <w:rsid w:val="00FE635A"/>
    <w:rsid w:val="00FF3562"/>
    <w:rsid w:val="00FF6052"/>
    <w:rsid w:val="00FF7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0752174-1604-4C3B-88B7-C4A35D82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021F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66537"/>
    <w:pPr>
      <w:tabs>
        <w:tab w:val="left" w:pos="660"/>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3"/>
      </w:numPr>
    </w:pPr>
  </w:style>
  <w:style w:type="character" w:customStyle="1" w:styleId="Ninguno">
    <w:name w:val="Ninguno"/>
    <w:rsid w:val="004942B7"/>
    <w:rPr>
      <w:lang w:val="es-ES_tradnl"/>
    </w:rPr>
  </w:style>
  <w:style w:type="character" w:customStyle="1" w:styleId="red">
    <w:name w:val="red"/>
    <w:basedOn w:val="Fuentedeprrafopredeter"/>
    <w:rsid w:val="00227203"/>
  </w:style>
  <w:style w:type="paragraph" w:customStyle="1" w:styleId="francesa">
    <w:name w:val="frances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customStyle="1" w:styleId="nota">
    <w:name w:val="nota"/>
    <w:basedOn w:val="Normal"/>
    <w:rsid w:val="00227203"/>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DC3DF5"/>
    <w:rPr>
      <w:rFonts w:ascii="Courier New" w:eastAsia="Times New Roman" w:hAnsi="Courier New" w:cs="Times New Roman"/>
      <w:sz w:val="20"/>
      <w:szCs w:val="20"/>
      <w:lang w:val="x-none"/>
    </w:rPr>
  </w:style>
  <w:style w:type="character" w:customStyle="1" w:styleId="TextosinformatoCar">
    <w:name w:val="Texto sin formato Car"/>
    <w:basedOn w:val="Fuentedeprrafopredeter"/>
    <w:link w:val="Textosinformato"/>
    <w:rsid w:val="00DC3DF5"/>
    <w:rPr>
      <w:rFonts w:ascii="Courier New" w:eastAsia="Times New Roman" w:hAnsi="Courier New" w:cs="Times New Roman"/>
      <w:sz w:val="20"/>
      <w:szCs w:val="20"/>
      <w:lang w:val="x-none" w:eastAsia="es-ES"/>
    </w:rPr>
  </w:style>
  <w:style w:type="paragraph" w:customStyle="1" w:styleId="Texto">
    <w:name w:val="Texto"/>
    <w:basedOn w:val="Normal"/>
    <w:link w:val="TextoCar"/>
    <w:rsid w:val="00DC3DF5"/>
    <w:pPr>
      <w:spacing w:after="101" w:line="216" w:lineRule="exact"/>
      <w:ind w:firstLine="288"/>
      <w:jc w:val="both"/>
    </w:pPr>
    <w:rPr>
      <w:rFonts w:ascii="Arial" w:eastAsia="Times New Roman" w:hAnsi="Arial" w:cs="Arial"/>
      <w:sz w:val="18"/>
      <w:szCs w:val="18"/>
      <w:lang w:val="es-MX"/>
    </w:rPr>
  </w:style>
  <w:style w:type="paragraph" w:customStyle="1" w:styleId="TextoCarCar">
    <w:name w:val="Texto Car Car"/>
    <w:basedOn w:val="Normal"/>
    <w:rsid w:val="00DC3DF5"/>
    <w:pPr>
      <w:spacing w:after="101" w:line="216" w:lineRule="exact"/>
      <w:ind w:firstLine="288"/>
      <w:jc w:val="both"/>
    </w:pPr>
    <w:rPr>
      <w:rFonts w:ascii="Arial" w:eastAsia="Times New Roman" w:hAnsi="Arial" w:cs="Arial"/>
      <w:sz w:val="18"/>
      <w:szCs w:val="18"/>
      <w:lang w:val="es-MX"/>
    </w:rPr>
  </w:style>
  <w:style w:type="character" w:customStyle="1" w:styleId="TextoCar">
    <w:name w:val="Texto Car"/>
    <w:link w:val="Texto"/>
    <w:locked/>
    <w:rsid w:val="00C31C44"/>
    <w:rPr>
      <w:rFonts w:ascii="Arial" w:eastAsia="Times New Roman" w:hAnsi="Arial" w:cs="Arial"/>
      <w:sz w:val="18"/>
      <w:szCs w:val="18"/>
      <w:lang w:eastAsia="es-ES"/>
    </w:rPr>
  </w:style>
  <w:style w:type="character" w:customStyle="1" w:styleId="Ttulo4Car">
    <w:name w:val="Título 4 Car"/>
    <w:basedOn w:val="Fuentedeprrafopredeter"/>
    <w:link w:val="Ttulo4"/>
    <w:uiPriority w:val="9"/>
    <w:rsid w:val="000021F7"/>
    <w:rPr>
      <w:rFonts w:asciiTheme="majorHAnsi" w:eastAsiaTheme="majorEastAsia" w:hAnsiTheme="majorHAnsi" w:cstheme="majorBidi"/>
      <w:i/>
      <w:iCs/>
      <w:color w:val="2E74B5" w:themeColor="accent1" w:themeShade="BF"/>
      <w:sz w:val="24"/>
      <w:szCs w:val="24"/>
      <w:lang w:val="es-ES_tradnl" w:eastAsia="es-ES"/>
    </w:rPr>
  </w:style>
  <w:style w:type="table" w:customStyle="1" w:styleId="Tablaconcuadrcula121">
    <w:name w:val="Tabla con cuadrícula121"/>
    <w:basedOn w:val="Tablanormal"/>
    <w:next w:val="Tablaconcuadrcula"/>
    <w:uiPriority w:val="59"/>
    <w:rsid w:val="005E6E7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1C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1C16"/>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68235802">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46177398">
      <w:bodyDiv w:val="1"/>
      <w:marLeft w:val="0"/>
      <w:marRight w:val="0"/>
      <w:marTop w:val="0"/>
      <w:marBottom w:val="0"/>
      <w:divBdr>
        <w:top w:val="none" w:sz="0" w:space="0" w:color="auto"/>
        <w:left w:val="none" w:sz="0" w:space="0" w:color="auto"/>
        <w:bottom w:val="none" w:sz="0" w:space="0" w:color="auto"/>
        <w:right w:val="none" w:sz="0" w:space="0" w:color="auto"/>
      </w:divBdr>
    </w:div>
    <w:div w:id="385760088">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484814">
      <w:bodyDiv w:val="1"/>
      <w:marLeft w:val="0"/>
      <w:marRight w:val="0"/>
      <w:marTop w:val="0"/>
      <w:marBottom w:val="0"/>
      <w:divBdr>
        <w:top w:val="none" w:sz="0" w:space="0" w:color="auto"/>
        <w:left w:val="none" w:sz="0" w:space="0" w:color="auto"/>
        <w:bottom w:val="none" w:sz="0" w:space="0" w:color="auto"/>
        <w:right w:val="none" w:sz="0" w:space="0" w:color="auto"/>
      </w:divBdr>
      <w:divsChild>
        <w:div w:id="1673411628">
          <w:marLeft w:val="0"/>
          <w:marRight w:val="0"/>
          <w:marTop w:val="0"/>
          <w:marBottom w:val="0"/>
          <w:divBdr>
            <w:top w:val="none" w:sz="0" w:space="0" w:color="auto"/>
            <w:left w:val="none" w:sz="0" w:space="0" w:color="auto"/>
            <w:bottom w:val="none" w:sz="0" w:space="0" w:color="auto"/>
            <w:right w:val="none" w:sz="0" w:space="0" w:color="auto"/>
          </w:divBdr>
        </w:div>
        <w:div w:id="1758550533">
          <w:marLeft w:val="0"/>
          <w:marRight w:val="0"/>
          <w:marTop w:val="0"/>
          <w:marBottom w:val="0"/>
          <w:divBdr>
            <w:top w:val="none" w:sz="0" w:space="0" w:color="auto"/>
            <w:left w:val="none" w:sz="0" w:space="0" w:color="auto"/>
            <w:bottom w:val="none" w:sz="0" w:space="0" w:color="auto"/>
            <w:right w:val="none" w:sz="0" w:space="0" w:color="auto"/>
          </w:divBdr>
          <w:divsChild>
            <w:div w:id="204394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647444776">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185684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571579321">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720788708">
      <w:bodyDiv w:val="1"/>
      <w:marLeft w:val="0"/>
      <w:marRight w:val="0"/>
      <w:marTop w:val="0"/>
      <w:marBottom w:val="0"/>
      <w:divBdr>
        <w:top w:val="none" w:sz="0" w:space="0" w:color="auto"/>
        <w:left w:val="none" w:sz="0" w:space="0" w:color="auto"/>
        <w:bottom w:val="none" w:sz="0" w:space="0" w:color="auto"/>
        <w:right w:val="none" w:sz="0" w:space="0" w:color="auto"/>
      </w:divBdr>
    </w:div>
    <w:div w:id="181498124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3761352">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05354542">
      <w:bodyDiv w:val="1"/>
      <w:marLeft w:val="0"/>
      <w:marRight w:val="0"/>
      <w:marTop w:val="0"/>
      <w:marBottom w:val="0"/>
      <w:divBdr>
        <w:top w:val="none" w:sz="0" w:space="0" w:color="auto"/>
        <w:left w:val="none" w:sz="0" w:space="0" w:color="auto"/>
        <w:bottom w:val="none" w:sz="0" w:space="0" w:color="auto"/>
        <w:right w:val="none" w:sz="0" w:space="0" w:color="auto"/>
      </w:divBdr>
    </w:div>
    <w:div w:id="205422955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src/htm/queEsArc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6E00F-DE23-4FA0-A1D7-5431AEDF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48</Pages>
  <Words>10399</Words>
  <Characters>57196</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2019-07-08T20:15:00Z</cp:lastPrinted>
  <dcterms:created xsi:type="dcterms:W3CDTF">2019-07-04T16:39:00Z</dcterms:created>
  <dcterms:modified xsi:type="dcterms:W3CDTF">2019-07-30T00:44:00Z</dcterms:modified>
</cp:coreProperties>
</file>