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627CAE">
      <w:pPr>
        <w:spacing w:after="0" w:line="360" w:lineRule="auto"/>
        <w:jc w:val="both"/>
        <w:rPr>
          <w:rFonts w:ascii="Palatino Linotype" w:hAnsi="Palatino Linotype" w:cs="Arial"/>
          <w:b/>
          <w:sz w:val="24"/>
          <w:szCs w:val="24"/>
        </w:rPr>
      </w:pPr>
      <w:bookmarkStart w:id="0" w:name="_GoBack"/>
      <w:bookmarkEnd w:id="0"/>
      <w:r w:rsidRPr="0037358E">
        <w:rPr>
          <w:rFonts w:ascii="Palatino Linotype" w:hAnsi="Palatino Linotype" w:cs="Arial"/>
          <w:b/>
          <w:sz w:val="24"/>
          <w:szCs w:val="24"/>
        </w:rPr>
        <w:t xml:space="preserve">VOTO PARTICULAR DEL COMISIONADO JOSÉ GUADALUPE LUNA HERNÁNDEZ EN EL RECURSO DE REVISIÓN </w:t>
      </w:r>
      <w:r w:rsidR="000A1590">
        <w:rPr>
          <w:rFonts w:ascii="Palatino Linotype" w:hAnsi="Palatino Linotype" w:cs="Arial"/>
          <w:b/>
          <w:sz w:val="24"/>
          <w:szCs w:val="24"/>
        </w:rPr>
        <w:t>01</w:t>
      </w:r>
      <w:r w:rsidR="00125FD4">
        <w:rPr>
          <w:rFonts w:ascii="Palatino Linotype" w:hAnsi="Palatino Linotype" w:cs="Arial"/>
          <w:b/>
          <w:sz w:val="24"/>
          <w:szCs w:val="24"/>
        </w:rPr>
        <w:t>47</w:t>
      </w:r>
      <w:r w:rsidR="000A1590">
        <w:rPr>
          <w:rFonts w:ascii="Palatino Linotype" w:hAnsi="Palatino Linotype" w:cs="Arial"/>
          <w:b/>
          <w:sz w:val="24"/>
          <w:szCs w:val="24"/>
        </w:rPr>
        <w:t>2</w:t>
      </w:r>
      <w:r w:rsidR="00125FD4">
        <w:rPr>
          <w:rFonts w:ascii="Palatino Linotype" w:hAnsi="Palatino Linotype" w:cs="Arial"/>
          <w:b/>
          <w:sz w:val="24"/>
          <w:szCs w:val="24"/>
        </w:rPr>
        <w:t>/INFOEM/IP/RR/2019.</w:t>
      </w:r>
    </w:p>
    <w:p w:rsidR="0009550C" w:rsidRPr="00A2377D" w:rsidRDefault="0009550C" w:rsidP="00627CAE">
      <w:pPr>
        <w:spacing w:after="0" w:line="360" w:lineRule="auto"/>
        <w:jc w:val="both"/>
        <w:rPr>
          <w:rFonts w:ascii="Palatino Linotype" w:hAnsi="Palatino Linotype" w:cs="Arial"/>
          <w:b/>
          <w:sz w:val="8"/>
          <w:szCs w:val="24"/>
        </w:rPr>
      </w:pPr>
    </w:p>
    <w:p w:rsidR="00627CAE" w:rsidRDefault="00627CAE" w:rsidP="00A2377D">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acceso a la información pública. </w:t>
      </w:r>
      <w:r w:rsidR="00365A30">
        <w:rPr>
          <w:rFonts w:ascii="Palatino Linotype" w:hAnsi="Palatino Linotype" w:cs="Arial"/>
          <w:sz w:val="24"/>
          <w:szCs w:val="24"/>
        </w:rPr>
        <w:t xml:space="preserve"> </w:t>
      </w:r>
    </w:p>
    <w:p w:rsidR="00627CAE" w:rsidRDefault="00627CAE" w:rsidP="00A2377D">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A2377D" w:rsidRPr="00A2377D" w:rsidRDefault="00A2377D" w:rsidP="00A2377D">
      <w:pPr>
        <w:pStyle w:val="Prrafodelista"/>
        <w:spacing w:before="240" w:after="0" w:line="360" w:lineRule="auto"/>
        <w:ind w:left="0"/>
        <w:jc w:val="both"/>
        <w:rPr>
          <w:rFonts w:ascii="Palatino Linotype" w:hAnsi="Palatino Linotype" w:cs="Arial"/>
          <w:color w:val="000000" w:themeColor="text1"/>
          <w:sz w:val="10"/>
          <w:szCs w:val="24"/>
          <w:lang w:val="es-ES"/>
        </w:rPr>
      </w:pPr>
    </w:p>
    <w:p w:rsidR="00627CAE" w:rsidRDefault="00627CAE" w:rsidP="00A2377D">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125FD4" w:rsidRDefault="00125FD4" w:rsidP="00A2377D">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DC11A3" w:rsidP="00DC11A3">
      <w:pPr>
        <w:spacing w:after="0" w:line="360" w:lineRule="auto"/>
        <w:jc w:val="center"/>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INDICE</w:t>
      </w: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Pr="003416F2" w:rsidRDefault="00DC11A3" w:rsidP="00A2377D">
          <w:pPr>
            <w:pStyle w:val="TtulodeTDC"/>
            <w:spacing w:line="480" w:lineRule="auto"/>
            <w:rPr>
              <w:rFonts w:ascii="Palatino Linotype" w:hAnsi="Palatino Linotype"/>
              <w:b/>
              <w:color w:val="auto"/>
              <w:sz w:val="24"/>
            </w:rPr>
          </w:pPr>
          <w:r w:rsidRPr="003416F2">
            <w:rPr>
              <w:rFonts w:ascii="Palatino Linotype" w:hAnsi="Palatino Linotype"/>
              <w:b/>
              <w:color w:val="auto"/>
              <w:sz w:val="24"/>
              <w:lang w:val="es-ES"/>
            </w:rPr>
            <w:t>Contenido</w:t>
          </w:r>
        </w:p>
        <w:p w:rsidR="00F1759C" w:rsidRDefault="00DC11A3">
          <w:pPr>
            <w:pStyle w:val="TDC1"/>
            <w:tabs>
              <w:tab w:val="left" w:pos="440"/>
              <w:tab w:val="right" w:leader="dot" w:pos="8828"/>
            </w:tabs>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9867330" w:history="1">
            <w:r w:rsidR="00F1759C" w:rsidRPr="00B36F3C">
              <w:rPr>
                <w:rStyle w:val="Hipervnculo"/>
                <w:rFonts w:ascii="Palatino Linotype" w:hAnsi="Palatino Linotype"/>
                <w:b/>
                <w:noProof/>
              </w:rPr>
              <w:t>I.</w:t>
            </w:r>
            <w:r w:rsidR="00F1759C">
              <w:rPr>
                <w:rFonts w:eastAsiaTheme="minorEastAsia"/>
                <w:noProof/>
                <w:lang w:eastAsia="es-MX"/>
              </w:rPr>
              <w:tab/>
            </w:r>
            <w:r w:rsidR="00F1759C" w:rsidRPr="00B36F3C">
              <w:rPr>
                <w:rStyle w:val="Hipervnculo"/>
                <w:rFonts w:ascii="Palatino Linotype" w:hAnsi="Palatino Linotype"/>
                <w:b/>
                <w:noProof/>
              </w:rPr>
              <w:t>Consideraciones generales.</w:t>
            </w:r>
            <w:r w:rsidR="00F1759C">
              <w:rPr>
                <w:noProof/>
                <w:webHidden/>
              </w:rPr>
              <w:tab/>
            </w:r>
            <w:r w:rsidR="00F1759C">
              <w:rPr>
                <w:noProof/>
                <w:webHidden/>
              </w:rPr>
              <w:fldChar w:fldCharType="begin"/>
            </w:r>
            <w:r w:rsidR="00F1759C">
              <w:rPr>
                <w:noProof/>
                <w:webHidden/>
              </w:rPr>
              <w:instrText xml:space="preserve"> PAGEREF _Toc9867330 \h </w:instrText>
            </w:r>
            <w:r w:rsidR="00F1759C">
              <w:rPr>
                <w:noProof/>
                <w:webHidden/>
              </w:rPr>
            </w:r>
            <w:r w:rsidR="00F1759C">
              <w:rPr>
                <w:noProof/>
                <w:webHidden/>
              </w:rPr>
              <w:fldChar w:fldCharType="separate"/>
            </w:r>
            <w:r w:rsidR="00E22218">
              <w:rPr>
                <w:noProof/>
                <w:webHidden/>
              </w:rPr>
              <w:t>3</w:t>
            </w:r>
            <w:r w:rsidR="00F1759C">
              <w:rPr>
                <w:noProof/>
                <w:webHidden/>
              </w:rPr>
              <w:fldChar w:fldCharType="end"/>
            </w:r>
          </w:hyperlink>
        </w:p>
        <w:p w:rsidR="00F1759C" w:rsidRDefault="001773C0">
          <w:pPr>
            <w:pStyle w:val="TDC1"/>
            <w:tabs>
              <w:tab w:val="left" w:pos="660"/>
              <w:tab w:val="right" w:leader="dot" w:pos="8828"/>
            </w:tabs>
            <w:rPr>
              <w:rFonts w:eastAsiaTheme="minorEastAsia"/>
              <w:noProof/>
              <w:lang w:eastAsia="es-MX"/>
            </w:rPr>
          </w:pPr>
          <w:hyperlink w:anchor="_Toc9867331" w:history="1">
            <w:r w:rsidR="00F1759C" w:rsidRPr="00B36F3C">
              <w:rPr>
                <w:rStyle w:val="Hipervnculo"/>
                <w:rFonts w:ascii="Palatino Linotype" w:hAnsi="Palatino Linotype"/>
                <w:b/>
                <w:noProof/>
              </w:rPr>
              <w:t>II.</w:t>
            </w:r>
            <w:r w:rsidR="00F1759C">
              <w:rPr>
                <w:rFonts w:eastAsiaTheme="minorEastAsia"/>
                <w:noProof/>
                <w:lang w:eastAsia="es-MX"/>
              </w:rPr>
              <w:tab/>
            </w:r>
            <w:r w:rsidR="00F1759C" w:rsidRPr="00B36F3C">
              <w:rPr>
                <w:rStyle w:val="Hipervnculo"/>
                <w:rFonts w:ascii="Palatino Linotype" w:hAnsi="Palatino Linotype"/>
                <w:b/>
                <w:noProof/>
              </w:rPr>
              <w:t>La condición de definitividad de las resoluciones de los órganos garantes del derecho de acceso a la información pública.</w:t>
            </w:r>
            <w:r w:rsidR="00F1759C">
              <w:rPr>
                <w:noProof/>
                <w:webHidden/>
              </w:rPr>
              <w:tab/>
            </w:r>
            <w:r w:rsidR="00F1759C">
              <w:rPr>
                <w:noProof/>
                <w:webHidden/>
              </w:rPr>
              <w:fldChar w:fldCharType="begin"/>
            </w:r>
            <w:r w:rsidR="00F1759C">
              <w:rPr>
                <w:noProof/>
                <w:webHidden/>
              </w:rPr>
              <w:instrText xml:space="preserve"> PAGEREF _Toc9867331 \h </w:instrText>
            </w:r>
            <w:r w:rsidR="00F1759C">
              <w:rPr>
                <w:noProof/>
                <w:webHidden/>
              </w:rPr>
            </w:r>
            <w:r w:rsidR="00F1759C">
              <w:rPr>
                <w:noProof/>
                <w:webHidden/>
              </w:rPr>
              <w:fldChar w:fldCharType="separate"/>
            </w:r>
            <w:r w:rsidR="00E22218">
              <w:rPr>
                <w:noProof/>
                <w:webHidden/>
              </w:rPr>
              <w:t>4</w:t>
            </w:r>
            <w:r w:rsidR="00F1759C">
              <w:rPr>
                <w:noProof/>
                <w:webHidden/>
              </w:rPr>
              <w:fldChar w:fldCharType="end"/>
            </w:r>
          </w:hyperlink>
        </w:p>
        <w:p w:rsidR="00F1759C" w:rsidRDefault="001773C0">
          <w:pPr>
            <w:pStyle w:val="TDC1"/>
            <w:tabs>
              <w:tab w:val="left" w:pos="660"/>
              <w:tab w:val="right" w:leader="dot" w:pos="8828"/>
            </w:tabs>
            <w:rPr>
              <w:rFonts w:eastAsiaTheme="minorEastAsia"/>
              <w:noProof/>
              <w:lang w:eastAsia="es-MX"/>
            </w:rPr>
          </w:pPr>
          <w:hyperlink w:anchor="_Toc9867332" w:history="1">
            <w:r w:rsidR="00F1759C" w:rsidRPr="00B36F3C">
              <w:rPr>
                <w:rStyle w:val="Hipervnculo"/>
                <w:rFonts w:ascii="Palatino Linotype" w:hAnsi="Palatino Linotype"/>
                <w:b/>
                <w:noProof/>
                <w:lang w:val="es-ES"/>
              </w:rPr>
              <w:t>III.</w:t>
            </w:r>
            <w:r w:rsidR="00F1759C">
              <w:rPr>
                <w:rFonts w:eastAsiaTheme="minorEastAsia"/>
                <w:noProof/>
                <w:lang w:eastAsia="es-MX"/>
              </w:rPr>
              <w:tab/>
            </w:r>
            <w:r w:rsidR="00F1759C" w:rsidRPr="00B36F3C">
              <w:rPr>
                <w:rStyle w:val="Hipervnculo"/>
                <w:rFonts w:ascii="Palatino Linotype" w:hAnsi="Palatino Linotype"/>
                <w:b/>
                <w:noProof/>
                <w:lang w:val="es-ES"/>
              </w:rPr>
              <w:t>La naturaleza de los Sujetos Obligados.</w:t>
            </w:r>
            <w:r w:rsidR="00F1759C">
              <w:rPr>
                <w:noProof/>
                <w:webHidden/>
              </w:rPr>
              <w:tab/>
            </w:r>
            <w:r w:rsidR="00F1759C">
              <w:rPr>
                <w:noProof/>
                <w:webHidden/>
              </w:rPr>
              <w:fldChar w:fldCharType="begin"/>
            </w:r>
            <w:r w:rsidR="00F1759C">
              <w:rPr>
                <w:noProof/>
                <w:webHidden/>
              </w:rPr>
              <w:instrText xml:space="preserve"> PAGEREF _Toc9867332 \h </w:instrText>
            </w:r>
            <w:r w:rsidR="00F1759C">
              <w:rPr>
                <w:noProof/>
                <w:webHidden/>
              </w:rPr>
            </w:r>
            <w:r w:rsidR="00F1759C">
              <w:rPr>
                <w:noProof/>
                <w:webHidden/>
              </w:rPr>
              <w:fldChar w:fldCharType="separate"/>
            </w:r>
            <w:r w:rsidR="00E22218">
              <w:rPr>
                <w:noProof/>
                <w:webHidden/>
              </w:rPr>
              <w:t>7</w:t>
            </w:r>
            <w:r w:rsidR="00F1759C">
              <w:rPr>
                <w:noProof/>
                <w:webHidden/>
              </w:rPr>
              <w:fldChar w:fldCharType="end"/>
            </w:r>
          </w:hyperlink>
        </w:p>
        <w:p w:rsidR="00F1759C" w:rsidRDefault="001773C0">
          <w:pPr>
            <w:pStyle w:val="TDC1"/>
            <w:tabs>
              <w:tab w:val="left" w:pos="660"/>
              <w:tab w:val="right" w:leader="dot" w:pos="8828"/>
            </w:tabs>
            <w:rPr>
              <w:rFonts w:eastAsiaTheme="minorEastAsia"/>
              <w:noProof/>
              <w:lang w:eastAsia="es-MX"/>
            </w:rPr>
          </w:pPr>
          <w:hyperlink w:anchor="_Toc9867333" w:history="1">
            <w:r w:rsidR="00F1759C" w:rsidRPr="00B36F3C">
              <w:rPr>
                <w:rStyle w:val="Hipervnculo"/>
                <w:rFonts w:ascii="Palatino Linotype" w:hAnsi="Palatino Linotype"/>
                <w:b/>
                <w:noProof/>
                <w:lang w:val="es-ES"/>
              </w:rPr>
              <w:t>IV.</w:t>
            </w:r>
            <w:r w:rsidR="00F1759C">
              <w:rPr>
                <w:rFonts w:eastAsiaTheme="minorEastAsia"/>
                <w:noProof/>
                <w:lang w:eastAsia="es-MX"/>
              </w:rPr>
              <w:tab/>
            </w:r>
            <w:r w:rsidR="00F1759C" w:rsidRPr="00B36F3C">
              <w:rPr>
                <w:rStyle w:val="Hipervnculo"/>
                <w:rFonts w:ascii="Palatino Linotype" w:hAnsi="Palatino Linotype"/>
                <w:b/>
                <w:noProof/>
                <w:lang w:val="es-ES"/>
              </w:rPr>
              <w:t>Problema y propuesta.</w:t>
            </w:r>
            <w:r w:rsidR="00F1759C">
              <w:rPr>
                <w:noProof/>
                <w:webHidden/>
              </w:rPr>
              <w:tab/>
            </w:r>
            <w:r w:rsidR="00F1759C">
              <w:rPr>
                <w:noProof/>
                <w:webHidden/>
              </w:rPr>
              <w:fldChar w:fldCharType="begin"/>
            </w:r>
            <w:r w:rsidR="00F1759C">
              <w:rPr>
                <w:noProof/>
                <w:webHidden/>
              </w:rPr>
              <w:instrText xml:space="preserve"> PAGEREF _Toc9867333 \h </w:instrText>
            </w:r>
            <w:r w:rsidR="00F1759C">
              <w:rPr>
                <w:noProof/>
                <w:webHidden/>
              </w:rPr>
            </w:r>
            <w:r w:rsidR="00F1759C">
              <w:rPr>
                <w:noProof/>
                <w:webHidden/>
              </w:rPr>
              <w:fldChar w:fldCharType="separate"/>
            </w:r>
            <w:r w:rsidR="00E22218">
              <w:rPr>
                <w:noProof/>
                <w:webHidden/>
              </w:rPr>
              <w:t>14</w:t>
            </w:r>
            <w:r w:rsidR="00F1759C">
              <w:rPr>
                <w:noProof/>
                <w:webHidden/>
              </w:rPr>
              <w:fldChar w:fldCharType="end"/>
            </w:r>
          </w:hyperlink>
        </w:p>
        <w:p w:rsidR="00F1759C" w:rsidRDefault="001773C0">
          <w:pPr>
            <w:pStyle w:val="TDC1"/>
            <w:tabs>
              <w:tab w:val="left" w:pos="660"/>
              <w:tab w:val="right" w:leader="dot" w:pos="8828"/>
            </w:tabs>
            <w:rPr>
              <w:rFonts w:eastAsiaTheme="minorEastAsia"/>
              <w:noProof/>
              <w:lang w:eastAsia="es-MX"/>
            </w:rPr>
          </w:pPr>
          <w:hyperlink w:anchor="_Toc9867334" w:history="1">
            <w:r w:rsidR="00F1759C" w:rsidRPr="00B36F3C">
              <w:rPr>
                <w:rStyle w:val="Hipervnculo"/>
                <w:rFonts w:ascii="Palatino Linotype" w:hAnsi="Palatino Linotype"/>
                <w:b/>
                <w:noProof/>
                <w:lang w:val="es-ES"/>
              </w:rPr>
              <w:t>V.</w:t>
            </w:r>
            <w:r w:rsidR="00F1759C">
              <w:rPr>
                <w:rFonts w:eastAsiaTheme="minorEastAsia"/>
                <w:noProof/>
                <w:lang w:eastAsia="es-MX"/>
              </w:rPr>
              <w:tab/>
            </w:r>
            <w:r w:rsidR="00F1759C" w:rsidRPr="00B36F3C">
              <w:rPr>
                <w:rStyle w:val="Hipervnculo"/>
                <w:rFonts w:ascii="Palatino Linotype" w:hAnsi="Palatino Linotype"/>
                <w:b/>
                <w:noProof/>
                <w:lang w:val="es-ES"/>
              </w:rPr>
              <w:t>Conclusión.</w:t>
            </w:r>
            <w:r w:rsidR="00F1759C">
              <w:rPr>
                <w:noProof/>
                <w:webHidden/>
              </w:rPr>
              <w:tab/>
            </w:r>
            <w:r w:rsidR="00F1759C">
              <w:rPr>
                <w:noProof/>
                <w:webHidden/>
              </w:rPr>
              <w:fldChar w:fldCharType="begin"/>
            </w:r>
            <w:r w:rsidR="00F1759C">
              <w:rPr>
                <w:noProof/>
                <w:webHidden/>
              </w:rPr>
              <w:instrText xml:space="preserve"> PAGEREF _Toc9867334 \h </w:instrText>
            </w:r>
            <w:r w:rsidR="00F1759C">
              <w:rPr>
                <w:noProof/>
                <w:webHidden/>
              </w:rPr>
            </w:r>
            <w:r w:rsidR="00F1759C">
              <w:rPr>
                <w:noProof/>
                <w:webHidden/>
              </w:rPr>
              <w:fldChar w:fldCharType="separate"/>
            </w:r>
            <w:r w:rsidR="00E22218">
              <w:rPr>
                <w:noProof/>
                <w:webHidden/>
              </w:rPr>
              <w:t>18</w:t>
            </w:r>
            <w:r w:rsidR="00F1759C">
              <w:rPr>
                <w:noProof/>
                <w:webHidden/>
              </w:rPr>
              <w:fldChar w:fldCharType="end"/>
            </w:r>
          </w:hyperlink>
        </w:p>
        <w:p w:rsidR="00DC11A3" w:rsidRDefault="00DC11A3" w:rsidP="00A2377D">
          <w:pPr>
            <w:spacing w:line="480" w:lineRule="auto"/>
          </w:pPr>
          <w:r>
            <w:rPr>
              <w:b/>
              <w:bCs/>
              <w:lang w:val="es-ES"/>
            </w:rPr>
            <w:fldChar w:fldCharType="end"/>
          </w:r>
        </w:p>
      </w:sdtContent>
    </w:sdt>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F1759C" w:rsidRDefault="00F1759C"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F1759C" w:rsidRDefault="00F1759C"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F1759C" w:rsidRDefault="00F1759C"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DC11A3" w:rsidRDefault="00627CAE" w:rsidP="00DC11A3">
      <w:pPr>
        <w:pStyle w:val="Ttulo1"/>
        <w:numPr>
          <w:ilvl w:val="0"/>
          <w:numId w:val="16"/>
        </w:numPr>
        <w:rPr>
          <w:rFonts w:ascii="Palatino Linotype" w:hAnsi="Palatino Linotype"/>
          <w:b/>
          <w:color w:val="auto"/>
          <w:sz w:val="24"/>
        </w:rPr>
      </w:pPr>
      <w:bookmarkStart w:id="1" w:name="_Toc9867330"/>
      <w:r w:rsidRPr="00DC11A3">
        <w:rPr>
          <w:rFonts w:ascii="Palatino Linotype" w:hAnsi="Palatino Linotype"/>
          <w:b/>
          <w:color w:val="auto"/>
          <w:sz w:val="24"/>
        </w:rPr>
        <w:lastRenderedPageBreak/>
        <w:t>Consideraciones generales.</w:t>
      </w:r>
      <w:bookmarkEnd w:id="1"/>
    </w:p>
    <w:p w:rsidR="00627CAE" w:rsidRPr="0037358E" w:rsidRDefault="00627CAE" w:rsidP="00627CAE">
      <w:pPr>
        <w:spacing w:after="0" w:line="360" w:lineRule="auto"/>
        <w:jc w:val="both"/>
        <w:rPr>
          <w:rFonts w:ascii="Palatino Linotype" w:hAnsi="Palatino Linotype" w:cs="Arial"/>
          <w:sz w:val="24"/>
          <w:szCs w:val="24"/>
        </w:rPr>
      </w:pPr>
    </w:p>
    <w:p w:rsidR="00627CAE" w:rsidRPr="000052AD" w:rsidRDefault="00627CAE" w:rsidP="000052AD">
      <w:pPr>
        <w:pStyle w:val="Prrafodelista"/>
        <w:numPr>
          <w:ilvl w:val="0"/>
          <w:numId w:val="1"/>
        </w:numPr>
        <w:spacing w:after="0" w:line="360" w:lineRule="auto"/>
        <w:ind w:left="426"/>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concurrido con mi voto particular de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E22218">
        <w:rPr>
          <w:rFonts w:ascii="Palatino Linotype" w:hAnsi="Palatino Linotype" w:cs="Arial"/>
          <w:sz w:val="24"/>
          <w:szCs w:val="24"/>
        </w:rPr>
        <w:t>Vigésima</w:t>
      </w:r>
      <w:r w:rsidR="00125FD4">
        <w:rPr>
          <w:rFonts w:ascii="Palatino Linotype" w:hAnsi="Palatino Linotype" w:cs="Arial"/>
          <w:sz w:val="24"/>
          <w:szCs w:val="24"/>
        </w:rPr>
        <w:t xml:space="preserve"> </w:t>
      </w:r>
      <w:r w:rsidR="00A2377D">
        <w:rPr>
          <w:rFonts w:ascii="Palatino Linotype" w:hAnsi="Palatino Linotype" w:cs="Arial"/>
          <w:sz w:val="24"/>
          <w:szCs w:val="24"/>
        </w:rPr>
        <w:t>Sesión O</w:t>
      </w:r>
      <w:r w:rsidRPr="0037358E">
        <w:rPr>
          <w:rFonts w:ascii="Palatino Linotype" w:hAnsi="Palatino Linotype" w:cs="Arial"/>
          <w:sz w:val="24"/>
          <w:szCs w:val="24"/>
        </w:rPr>
        <w:t xml:space="preserve">rdinaria llevada a cabo el </w:t>
      </w:r>
      <w:r w:rsidR="00125FD4">
        <w:rPr>
          <w:rFonts w:ascii="Palatino Linotype" w:hAnsi="Palatino Linotype" w:cs="Arial"/>
          <w:sz w:val="24"/>
          <w:szCs w:val="24"/>
        </w:rPr>
        <w:t>veinti</w:t>
      </w:r>
      <w:r w:rsidR="000A1590">
        <w:rPr>
          <w:rFonts w:ascii="Palatino Linotype" w:hAnsi="Palatino Linotype" w:cs="Arial"/>
          <w:sz w:val="24"/>
          <w:szCs w:val="24"/>
        </w:rPr>
        <w:t>nueve</w:t>
      </w:r>
      <w:r w:rsidR="00125FD4">
        <w:rPr>
          <w:rFonts w:ascii="Palatino Linotype" w:hAnsi="Palatino Linotype" w:cs="Arial"/>
          <w:sz w:val="24"/>
          <w:szCs w:val="24"/>
        </w:rPr>
        <w:t xml:space="preserve"> (2</w:t>
      </w:r>
      <w:r w:rsidR="000A1590">
        <w:rPr>
          <w:rFonts w:ascii="Palatino Linotype" w:hAnsi="Palatino Linotype" w:cs="Arial"/>
          <w:sz w:val="24"/>
          <w:szCs w:val="24"/>
        </w:rPr>
        <w:t>9</w:t>
      </w:r>
      <w:r w:rsidR="00125FD4">
        <w:rPr>
          <w:rFonts w:ascii="Palatino Linotype" w:hAnsi="Palatino Linotype" w:cs="Arial"/>
          <w:sz w:val="24"/>
          <w:szCs w:val="24"/>
        </w:rPr>
        <w:t xml:space="preserve">) de mayo </w:t>
      </w:r>
      <w:r w:rsidRPr="0037358E">
        <w:rPr>
          <w:rFonts w:ascii="Palatino Linotype" w:hAnsi="Palatino Linotype" w:cs="Arial"/>
          <w:sz w:val="24"/>
          <w:szCs w:val="24"/>
        </w:rPr>
        <w:t>del año en curso, en el recurso de revisión promovido 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w:t>
      </w:r>
      <w:r w:rsidR="000A1590">
        <w:rPr>
          <w:rFonts w:ascii="Palatino Linotype" w:hAnsi="Palatino Linotype" w:cs="Arial"/>
          <w:sz w:val="24"/>
          <w:szCs w:val="24"/>
        </w:rPr>
        <w:t xml:space="preserve">l </w:t>
      </w:r>
      <w:r w:rsidR="000A1590" w:rsidRPr="000A1590">
        <w:rPr>
          <w:rFonts w:ascii="Palatino Linotype" w:hAnsi="Palatino Linotype" w:cs="Arial"/>
          <w:b/>
          <w:sz w:val="24"/>
          <w:szCs w:val="24"/>
        </w:rPr>
        <w:t>Sindicato de Maestros al Servicio del Estado de México</w:t>
      </w:r>
      <w:r w:rsidR="004B6A69" w:rsidRPr="000052AD">
        <w:rPr>
          <w:rFonts w:ascii="Palatino Linotype" w:hAnsi="Palatino Linotype" w:cs="Arial"/>
          <w:sz w:val="24"/>
          <w:szCs w:val="24"/>
        </w:rPr>
        <w:t>,</w:t>
      </w:r>
      <w:r w:rsidRPr="000052AD">
        <w:rPr>
          <w:rFonts w:ascii="Palatino Linotype" w:hAnsi="Palatino Linotype" w:cs="Arial"/>
          <w:sz w:val="24"/>
          <w:szCs w:val="24"/>
        </w:rPr>
        <w:t xml:space="preserve"> procedimiento al que se le </w:t>
      </w:r>
      <w:r w:rsidR="004B6A69" w:rsidRPr="000052AD">
        <w:rPr>
          <w:rFonts w:ascii="Palatino Linotype" w:hAnsi="Palatino Linotype" w:cs="Arial"/>
          <w:sz w:val="24"/>
          <w:szCs w:val="24"/>
        </w:rPr>
        <w:t>asignó el número de expediente</w:t>
      </w:r>
      <w:r w:rsidRPr="000052AD">
        <w:rPr>
          <w:rFonts w:ascii="Palatino Linotype" w:hAnsi="Palatino Linotype" w:cs="Arial"/>
          <w:sz w:val="24"/>
          <w:szCs w:val="24"/>
        </w:rPr>
        <w:t xml:space="preserve"> </w:t>
      </w:r>
      <w:r w:rsidR="000A1590">
        <w:rPr>
          <w:rFonts w:ascii="Palatino Linotype" w:hAnsi="Palatino Linotype" w:cs="Arial"/>
          <w:b/>
          <w:sz w:val="24"/>
          <w:szCs w:val="24"/>
        </w:rPr>
        <w:t>01</w:t>
      </w:r>
      <w:r w:rsidR="00125FD4">
        <w:rPr>
          <w:rFonts w:ascii="Palatino Linotype" w:hAnsi="Palatino Linotype" w:cs="Arial"/>
          <w:b/>
          <w:sz w:val="24"/>
          <w:szCs w:val="24"/>
        </w:rPr>
        <w:t>47</w:t>
      </w:r>
      <w:r w:rsidR="000A1590">
        <w:rPr>
          <w:rFonts w:ascii="Palatino Linotype" w:hAnsi="Palatino Linotype" w:cs="Arial"/>
          <w:b/>
          <w:sz w:val="24"/>
          <w:szCs w:val="24"/>
        </w:rPr>
        <w:t>2</w:t>
      </w:r>
      <w:r w:rsidR="00125FD4">
        <w:rPr>
          <w:rFonts w:ascii="Palatino Linotype" w:hAnsi="Palatino Linotype" w:cs="Arial"/>
          <w:b/>
          <w:sz w:val="24"/>
          <w:szCs w:val="24"/>
        </w:rPr>
        <w:t>/INFOEM/IP/RR/2019.</w:t>
      </w:r>
    </w:p>
    <w:p w:rsidR="00627CAE" w:rsidRPr="0037358E" w:rsidRDefault="00627CAE" w:rsidP="00627CAE">
      <w:pPr>
        <w:pStyle w:val="Prrafodelista"/>
        <w:spacing w:after="0" w:line="360" w:lineRule="auto"/>
        <w:ind w:left="0"/>
        <w:jc w:val="both"/>
        <w:rPr>
          <w:rFonts w:ascii="Palatino Linotype" w:hAnsi="Palatino Linotype" w:cs="Arial"/>
          <w:sz w:val="24"/>
          <w:szCs w:val="24"/>
        </w:rPr>
      </w:pPr>
    </w:p>
    <w:p w:rsidR="000A1590" w:rsidRDefault="000A1590" w:rsidP="00627CAE">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 La resolución</w:t>
      </w:r>
      <w:r w:rsidR="00980C62">
        <w:rPr>
          <w:rFonts w:ascii="Palatino Linotype" w:hAnsi="Palatino Linotype" w:cs="Arial"/>
          <w:sz w:val="24"/>
          <w:szCs w:val="24"/>
        </w:rPr>
        <w:t xml:space="preserve"> </w:t>
      </w:r>
      <w:r>
        <w:rPr>
          <w:rFonts w:ascii="Palatino Linotype" w:hAnsi="Palatino Linotype" w:cs="Arial"/>
          <w:sz w:val="24"/>
          <w:szCs w:val="24"/>
        </w:rPr>
        <w:t>determinó sobreseer el recurso de revisión, porque al modificar la respuesta, el recurso de revisión quedó sin materia, en términos del Considerando Quinto.</w:t>
      </w:r>
    </w:p>
    <w:p w:rsidR="000A1590" w:rsidRPr="000A1590" w:rsidRDefault="000A1590" w:rsidP="000A1590">
      <w:pPr>
        <w:pStyle w:val="Prrafodelista"/>
        <w:rPr>
          <w:rFonts w:ascii="Palatino Linotype" w:hAnsi="Palatino Linotype" w:cs="Arial"/>
          <w:sz w:val="24"/>
          <w:szCs w:val="24"/>
        </w:rPr>
      </w:pPr>
    </w:p>
    <w:p w:rsidR="00627CAE" w:rsidRDefault="00A2377D" w:rsidP="00627CAE">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eastAsia="Times New Roman" w:hAnsi="Palatino Linotype" w:cs="Arial"/>
          <w:sz w:val="24"/>
          <w:szCs w:val="24"/>
        </w:rPr>
        <w:t>Mi voto particular se deriva del hecho de que,</w:t>
      </w:r>
      <w:r w:rsidR="00980C62">
        <w:rPr>
          <w:rFonts w:ascii="Palatino Linotype" w:eastAsia="Times New Roman" w:hAnsi="Palatino Linotype" w:cs="Arial"/>
          <w:sz w:val="24"/>
          <w:szCs w:val="24"/>
        </w:rPr>
        <w:t xml:space="preserve"> en el</w:t>
      </w:r>
      <w:r w:rsidR="00627CAE" w:rsidRPr="0037358E">
        <w:rPr>
          <w:rFonts w:ascii="Palatino Linotype" w:eastAsia="Times New Roman" w:hAnsi="Palatino Linotype" w:cs="Arial"/>
          <w:sz w:val="24"/>
          <w:szCs w:val="24"/>
        </w:rPr>
        <w:t xml:space="preserve"> resolutivo cuarto informa </w:t>
      </w:r>
      <w:r w:rsidR="00DC11A3" w:rsidRPr="0037358E">
        <w:rPr>
          <w:rFonts w:ascii="Palatino Linotype" w:eastAsia="Times New Roman" w:hAnsi="Palatino Linotype" w:cs="Arial"/>
          <w:sz w:val="24"/>
          <w:szCs w:val="24"/>
        </w:rPr>
        <w:t>a</w:t>
      </w:r>
      <w:r w:rsidR="00114E2B">
        <w:rPr>
          <w:rFonts w:ascii="Palatino Linotype" w:eastAsia="Times New Roman" w:hAnsi="Palatino Linotype" w:cs="Arial"/>
          <w:sz w:val="24"/>
          <w:szCs w:val="24"/>
        </w:rPr>
        <w:t>l</w:t>
      </w:r>
      <w:r w:rsidR="00DC11A3">
        <w:rPr>
          <w:rFonts w:ascii="Palatino Linotype" w:eastAsia="Times New Roman" w:hAnsi="Palatino Linotype" w:cs="Arial"/>
          <w:sz w:val="24"/>
          <w:szCs w:val="24"/>
        </w:rPr>
        <w:t xml:space="preserve"> </w:t>
      </w:r>
      <w:r w:rsidR="00B67CCF">
        <w:rPr>
          <w:rFonts w:ascii="Palatino Linotype" w:eastAsia="Times New Roman" w:hAnsi="Palatino Linotype" w:cs="Arial"/>
          <w:sz w:val="24"/>
          <w:szCs w:val="24"/>
        </w:rPr>
        <w:t>recurrente</w:t>
      </w:r>
      <w:r>
        <w:rPr>
          <w:rFonts w:ascii="Palatino Linotype" w:eastAsia="Times New Roman" w:hAnsi="Palatino Linotype" w:cs="Arial"/>
          <w:sz w:val="24"/>
          <w:szCs w:val="24"/>
        </w:rPr>
        <w:t xml:space="preserve"> </w:t>
      </w:r>
      <w:r w:rsidR="00627CAE" w:rsidRPr="00A2377D">
        <w:rPr>
          <w:rFonts w:ascii="Palatino Linotype" w:eastAsia="Times New Roman" w:hAnsi="Palatino Linotype" w:cs="Arial"/>
          <w:i/>
          <w:sz w:val="24"/>
          <w:szCs w:val="24"/>
        </w:rPr>
        <w:t>“</w:t>
      </w:r>
      <w:r w:rsidRPr="00A2377D">
        <w:rPr>
          <w:rFonts w:ascii="Palatino Linotype" w:eastAsia="Times New Roman" w:hAnsi="Palatino Linotype" w:cs="Arial"/>
          <w:i/>
          <w:sz w:val="24"/>
          <w:szCs w:val="24"/>
        </w:rPr>
        <w:t xml:space="preserve">de </w:t>
      </w:r>
      <w:r w:rsidR="00627CAE" w:rsidRPr="00A2377D">
        <w:rPr>
          <w:rFonts w:ascii="Palatino Linotype" w:eastAsia="Times New Roman" w:hAnsi="Palatino Linotype" w:cs="Arial"/>
          <w:i/>
          <w:sz w:val="24"/>
          <w:szCs w:val="24"/>
        </w:rPr>
        <w:t>considerar que la presente resolución le causa algún perjuicio, podrá promover el Juicio de Amparo”</w:t>
      </w:r>
      <w:r>
        <w:rPr>
          <w:rFonts w:ascii="Palatino Linotype" w:hAnsi="Palatino Linotype" w:cs="Arial"/>
          <w:sz w:val="24"/>
          <w:szCs w:val="24"/>
        </w:rPr>
        <w:t xml:space="preserve"> </w:t>
      </w:r>
      <w:r w:rsidR="00627CAE" w:rsidRPr="0037358E">
        <w:rPr>
          <w:rFonts w:ascii="Palatino Linotype" w:hAnsi="Palatino Linotype" w:cs="Arial"/>
          <w:sz w:val="24"/>
          <w:szCs w:val="24"/>
        </w:rPr>
        <w:t>ya que si bien esa fórmula es generalmente empleada en las resoluciones, resulta ser una decisión inadecuada para</w:t>
      </w:r>
      <w:r>
        <w:rPr>
          <w:rFonts w:ascii="Palatino Linotype" w:hAnsi="Palatino Linotype" w:cs="Arial"/>
          <w:sz w:val="24"/>
          <w:szCs w:val="24"/>
        </w:rPr>
        <w:t xml:space="preserve"> el presente caso en particular, toda vez que a los sindicatos les asiste, también, el derecho de promover juicio de amparo en caso de que las resoluciones que emite este Órgano Garante les cause algún perjuicio.</w:t>
      </w:r>
    </w:p>
    <w:p w:rsidR="00627CAE" w:rsidRPr="002E0BA4"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lastRenderedPageBreak/>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416F2">
      <w:pPr>
        <w:pStyle w:val="Prrafodelista"/>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rPr>
      </w:pPr>
      <w:bookmarkStart w:id="2" w:name="_Toc9867331"/>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w:t>
      </w:r>
      <w:r w:rsidRPr="0037358E">
        <w:rPr>
          <w:rFonts w:ascii="Palatino Linotype" w:hAnsi="Palatino Linotype" w:cs="Arial"/>
          <w:sz w:val="24"/>
          <w:szCs w:val="24"/>
        </w:rPr>
        <w:lastRenderedPageBreak/>
        <w:t>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37358E"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627CAE">
      <w:pPr>
        <w:pStyle w:val="Prrafodelista"/>
        <w:rPr>
          <w:rFonts w:ascii="Palatino Linotype" w:hAnsi="Palatino Linotype" w:cs="Arial"/>
          <w:color w:val="000000" w:themeColor="text1"/>
          <w:sz w:val="24"/>
          <w:szCs w:val="24"/>
          <w:lang w:val="es-ES"/>
        </w:rPr>
      </w:pPr>
    </w:p>
    <w:p w:rsidR="00627CAE" w:rsidRPr="00F7738C"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F1759C">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w:t>
      </w:r>
      <w:r w:rsidRPr="00F7738C">
        <w:rPr>
          <w:rFonts w:ascii="Palatino Linotype" w:hAnsi="Palatino Linotype" w:cs="Arial"/>
          <w:i/>
          <w:color w:val="000000" w:themeColor="text1"/>
          <w:lang w:val="es-ES"/>
        </w:rPr>
        <w:lastRenderedPageBreak/>
        <w:t xml:space="preserve">entonces, se activa la intervención de un órgano garante  (IFAI) que asegure la protección de derecho en cuestión. Un esquema clásico: derechos, obligaciones y garantías. </w:t>
      </w:r>
    </w:p>
    <w:p w:rsidR="00627CAE" w:rsidRPr="00F7738C" w:rsidRDefault="00627CAE" w:rsidP="00F1759C">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F1759C">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27CAE" w:rsidRPr="00F7738C" w:rsidRDefault="00627CAE" w:rsidP="00627CA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Hasta este momento, nadie duda que ese es el efecto que la disposición constitucional y legal procura al determinar la definitividad de nuestras resoluciones en el caso de los Sujetos Obligados. Pero el caso que se resuelve en </w:t>
      </w:r>
      <w:r w:rsidRPr="0037358E">
        <w:rPr>
          <w:rFonts w:ascii="Palatino Linotype" w:hAnsi="Palatino Linotype" w:cs="Arial"/>
          <w:sz w:val="24"/>
          <w:szCs w:val="24"/>
        </w:rPr>
        <w:lastRenderedPageBreak/>
        <w:t>esta ocasión, nos obliga a considerar algunos elementos que demandan un especial análisis.</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3" w:name="_Toc9867332"/>
      <w:r w:rsidRPr="00DC11A3">
        <w:rPr>
          <w:rFonts w:ascii="Palatino Linotype" w:hAnsi="Palatino Linotype"/>
          <w:b/>
          <w:color w:val="auto"/>
          <w:sz w:val="24"/>
          <w:lang w:val="es-ES"/>
        </w:rPr>
        <w:t>La naturaleza de los Sujetos Obligados.</w:t>
      </w:r>
      <w:bookmarkEnd w:id="3"/>
    </w:p>
    <w:p w:rsidR="00627CAE" w:rsidRPr="0037358E" w:rsidRDefault="00627CAE" w:rsidP="00627CAE">
      <w:pPr>
        <w:spacing w:line="276" w:lineRule="auto"/>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627CAE" w:rsidRPr="0037358E" w:rsidRDefault="00627CAE" w:rsidP="00627CAE">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Se tiene que persona </w:t>
      </w:r>
      <w:r w:rsidRPr="0037358E">
        <w:rPr>
          <w:rFonts w:ascii="Palatino Linotype" w:hAnsi="Palatino Linotype" w:cs="Arial"/>
          <w:i/>
          <w:color w:val="000000" w:themeColor="text1"/>
          <w:sz w:val="24"/>
          <w:szCs w:val="24"/>
          <w:lang w:val="es-ES"/>
        </w:rPr>
        <w:t>es “ 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FE31E6" w:rsidRPr="00FE31E6" w:rsidRDefault="00FE31E6" w:rsidP="00FE31E6">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627CAE">
      <w:pPr>
        <w:pStyle w:val="Prrafodelista"/>
        <w:spacing w:before="240" w:after="0" w:line="360" w:lineRule="auto"/>
        <w:jc w:val="both"/>
        <w:rPr>
          <w:rFonts w:ascii="Palatino Linotype" w:hAnsi="Palatino Linotype" w:cs="Arial"/>
          <w:color w:val="000000" w:themeColor="text1"/>
          <w:sz w:val="24"/>
          <w:szCs w:val="24"/>
          <w:lang w:val="es-ES"/>
        </w:rPr>
      </w:pPr>
    </w:p>
    <w:p w:rsidR="00627CAE" w:rsidRPr="00B67CCF"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 xml:space="preserve">PRINCIPIO DE INTERPRETACIÓN MÁS FAVORABLE A LA PERSONA. ES APLICABLE RESPECTO DE LAS NORMAS RELATIVAS A LOS DERECHOS </w:t>
      </w:r>
      <w:r w:rsidRPr="00B67CCF">
        <w:rPr>
          <w:rFonts w:ascii="Palatino Linotype" w:hAnsi="Palatino Linotype" w:cs="Arial"/>
          <w:i/>
          <w:color w:val="000000" w:themeColor="text1"/>
          <w:szCs w:val="24"/>
          <w:lang w:val="es-ES"/>
        </w:rPr>
        <w:lastRenderedPageBreak/>
        <w:t xml:space="preserve">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lastRenderedPageBreak/>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w:t>
      </w:r>
      <w:r w:rsidRPr="0037358E">
        <w:rPr>
          <w:rFonts w:ascii="Palatino Linotype" w:hAnsi="Palatino Linotype" w:cs="Arial"/>
          <w:color w:val="000000" w:themeColor="text1"/>
          <w:sz w:val="24"/>
          <w:szCs w:val="24"/>
          <w:lang w:val="es-ES"/>
        </w:rPr>
        <w:lastRenderedPageBreak/>
        <w:t xml:space="preserve">se requiere que el principio de reserva de ley se actualice en alguna disposición legal que le otorgue personalidad para ejercitarlo. </w:t>
      </w:r>
    </w:p>
    <w:p w:rsidR="00FE31E6" w:rsidRPr="0037358E" w:rsidRDefault="00FE31E6" w:rsidP="00FE31E6">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37358E"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125FD4"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125FD4" w:rsidRDefault="00125FD4" w:rsidP="00125FD4">
      <w:pPr>
        <w:pStyle w:val="Prrafodelista"/>
        <w:spacing w:before="240" w:after="0" w:line="360" w:lineRule="auto"/>
        <w:ind w:left="426"/>
        <w:jc w:val="both"/>
        <w:rPr>
          <w:rFonts w:ascii="Palatino Linotype" w:hAnsi="Palatino Linotype" w:cs="Arial"/>
          <w:color w:val="000000" w:themeColor="text1"/>
          <w:sz w:val="24"/>
          <w:szCs w:val="24"/>
          <w:lang w:val="es-ES"/>
        </w:rPr>
      </w:pPr>
    </w:p>
    <w:p w:rsidR="00125FD4" w:rsidRPr="00F1759C" w:rsidRDefault="00125FD4" w:rsidP="00125FD4">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F1759C">
        <w:rPr>
          <w:rFonts w:ascii="Palatino Linotype" w:hAnsi="Palatino Linotype" w:cs="Arial"/>
          <w:i/>
          <w:color w:val="000000" w:themeColor="text1"/>
          <w:sz w:val="24"/>
          <w:szCs w:val="24"/>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interesado en el goce de su derecho y repararlo. Sería </w:t>
      </w:r>
      <w:r w:rsidRPr="00F1759C">
        <w:rPr>
          <w:rFonts w:ascii="Palatino Linotype" w:hAnsi="Palatino Linotype" w:cs="Arial"/>
          <w:i/>
          <w:color w:val="000000" w:themeColor="text1"/>
          <w:sz w:val="24"/>
          <w:szCs w:val="24"/>
          <w:lang w:val="es-ES"/>
        </w:rPr>
        <w:lastRenderedPageBreak/>
        <w:t xml:space="preserve">irrazonable establecer dicha garantía judicial si se exigiera a los justiciables saber de antemano si su situación será estimada por el órgano judicial como amparada por un derecho específico. </w:t>
      </w:r>
    </w:p>
    <w:p w:rsidR="00125FD4" w:rsidRPr="00F1759C" w:rsidRDefault="00125FD4" w:rsidP="00125FD4">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125FD4" w:rsidRPr="00F1759C" w:rsidRDefault="00125FD4" w:rsidP="00125FD4">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F1759C">
        <w:rPr>
          <w:rFonts w:ascii="Palatino Linotype" w:hAnsi="Palatino Linotype" w:cs="Arial"/>
          <w:i/>
          <w:color w:val="000000" w:themeColor="text1"/>
          <w:sz w:val="24"/>
          <w:szCs w:val="24"/>
          <w:lang w:val="es-ES"/>
        </w:rPr>
        <w:t>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F1759C">
        <w:rPr>
          <w:rStyle w:val="Refdenotaalpie"/>
          <w:rFonts w:ascii="Palatino Linotype" w:hAnsi="Palatino Linotype" w:cs="Arial"/>
          <w:i/>
          <w:color w:val="000000" w:themeColor="text1"/>
          <w:sz w:val="24"/>
          <w:szCs w:val="24"/>
          <w:lang w:val="es-ES"/>
        </w:rPr>
        <w:footnoteReference w:id="4"/>
      </w:r>
    </w:p>
    <w:p w:rsidR="00125FD4" w:rsidRPr="00125FD4" w:rsidRDefault="00125FD4" w:rsidP="00125FD4">
      <w:pPr>
        <w:pStyle w:val="Prrafodelista"/>
        <w:rPr>
          <w:rFonts w:ascii="Palatino Linotype" w:hAnsi="Palatino Linotype" w:cs="Arial"/>
          <w:color w:val="000000" w:themeColor="text1"/>
          <w:sz w:val="24"/>
          <w:szCs w:val="24"/>
          <w:lang w:val="es-ES"/>
        </w:rPr>
      </w:pPr>
    </w:p>
    <w:p w:rsidR="00627CAE" w:rsidRPr="00F1759C"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125FD4">
        <w:rPr>
          <w:rFonts w:ascii="Palatino Linotype" w:hAnsi="Palatino Linotype" w:cs="Arial"/>
          <w:color w:val="000000" w:themeColor="text1"/>
          <w:sz w:val="24"/>
          <w:szCs w:val="24"/>
          <w:lang w:val="es-ES"/>
        </w:rPr>
        <w:t xml:space="preserve">En este sentido  se ha considerado que: </w:t>
      </w:r>
      <w:r w:rsidRPr="00125FD4">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w:t>
      </w:r>
      <w:r w:rsidRPr="00125FD4">
        <w:rPr>
          <w:rFonts w:ascii="Palatino Linotype" w:hAnsi="Palatino Linotype" w:cs="Arial"/>
          <w:i/>
          <w:color w:val="000000" w:themeColor="text1"/>
          <w:sz w:val="24"/>
          <w:szCs w:val="24"/>
          <w:lang w:val="es-ES"/>
        </w:rPr>
        <w:lastRenderedPageBreak/>
        <w:t>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F1759C" w:rsidRPr="00125FD4" w:rsidRDefault="00F1759C" w:rsidP="00F1759C">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4" w:name="_Toc9867333"/>
      <w:r w:rsidRPr="00DC11A3">
        <w:rPr>
          <w:rFonts w:ascii="Palatino Linotype" w:hAnsi="Palatino Linotype"/>
          <w:b/>
          <w:color w:val="auto"/>
          <w:sz w:val="24"/>
          <w:lang w:val="es-ES"/>
        </w:rPr>
        <w:t>Problema y propuesta.</w:t>
      </w:r>
      <w:bookmarkEnd w:id="4"/>
    </w:p>
    <w:p w:rsidR="00627CAE" w:rsidRDefault="00627CAE" w:rsidP="00627CAE">
      <w:pPr>
        <w:spacing w:line="276" w:lineRule="auto"/>
        <w:jc w:val="both"/>
        <w:rPr>
          <w:rFonts w:ascii="Palatino Linotype" w:hAnsi="Palatino Linotype" w:cs="Arial"/>
          <w:b/>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 Por lo que al restringirse –en nuestra propia resolución–, el derecho de acceso a la justicia </w:t>
      </w:r>
      <w:r w:rsidR="00E473FB">
        <w:rPr>
          <w:rFonts w:ascii="Palatino Linotype" w:hAnsi="Palatino Linotype" w:cs="Arial"/>
          <w:color w:val="000000" w:themeColor="text1"/>
          <w:sz w:val="24"/>
          <w:szCs w:val="24"/>
          <w:lang w:val="es-ES"/>
        </w:rPr>
        <w:t xml:space="preserve">a la </w:t>
      </w:r>
      <w:r w:rsidR="000052AD" w:rsidRPr="000052AD">
        <w:rPr>
          <w:rFonts w:ascii="Palatino Linotype" w:hAnsi="Palatino Linotype" w:cs="Arial"/>
          <w:b/>
          <w:sz w:val="24"/>
          <w:szCs w:val="24"/>
        </w:rPr>
        <w:t>Agrupación de Trabajadores al Servicio del Colegio de Estudios Científicos y Tecnológicos del Estado de México (ATASCECYTEM)</w:t>
      </w:r>
      <w:r w:rsidRPr="0037358E">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F1759C" w:rsidRPr="00F1759C" w:rsidRDefault="00F1759C" w:rsidP="00F1759C">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En consecuencia, por lo que corresponde a las personas físicas y morales y a los sindicatos que reciban y ejerzan recursos públicos o realicen actos de autoridad, </w:t>
      </w:r>
      <w:r w:rsidRPr="0037358E">
        <w:rPr>
          <w:rFonts w:ascii="Palatino Linotype" w:hAnsi="Palatino Linotype" w:cs="Arial"/>
          <w:color w:val="000000" w:themeColor="text1"/>
          <w:sz w:val="24"/>
          <w:szCs w:val="24"/>
          <w:lang w:val="es-ES"/>
        </w:rPr>
        <w:lastRenderedPageBreak/>
        <w:t>estas personas, así como los recurrentes, pueden impugnar nuestras resoluciones a través del juicio de amparo.</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Pr="00A2377D" w:rsidRDefault="00C3567A"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A2377D">
        <w:rPr>
          <w:rFonts w:ascii="Palatino Linotype" w:hAnsi="Palatino Linotype" w:cs="Arial"/>
          <w:color w:val="000000" w:themeColor="text1"/>
          <w:sz w:val="24"/>
          <w:szCs w:val="24"/>
          <w:lang w:val="es-ES"/>
        </w:rPr>
        <w:lastRenderedPageBreak/>
        <w:t xml:space="preserve">Es así que la Ley Federal de protección de datos personales en posesión de los particulares </w:t>
      </w:r>
      <w:r w:rsidRPr="00A2377D">
        <w:rPr>
          <w:rFonts w:ascii="Palatino Linotype" w:hAnsi="Palatino Linotype" w:cs="Arial"/>
          <w:sz w:val="24"/>
          <w:szCs w:val="24"/>
        </w:rPr>
        <w:t>establece lo siguiente</w:t>
      </w:r>
      <w:r w:rsidRPr="00A2377D">
        <w:rPr>
          <w:rFonts w:ascii="Palatino Linotype" w:hAnsi="Palatino Linotype" w:cs="Arial"/>
          <w:b/>
          <w:sz w:val="24"/>
          <w:szCs w:val="24"/>
        </w:rPr>
        <w:t>:</w:t>
      </w:r>
    </w:p>
    <w:p w:rsidR="006A7929" w:rsidRPr="00A2377D" w:rsidRDefault="006A7929" w:rsidP="006A7929">
      <w:pPr>
        <w:pStyle w:val="Prrafodelista"/>
        <w:rPr>
          <w:rFonts w:ascii="Palatino Linotype" w:hAnsi="Palatino Linotype" w:cs="Arial"/>
          <w:b/>
          <w:sz w:val="24"/>
          <w:szCs w:val="24"/>
        </w:rPr>
      </w:pPr>
    </w:p>
    <w:p w:rsidR="00C3567A" w:rsidRPr="00A2377D" w:rsidRDefault="00C3567A" w:rsidP="00C3567A">
      <w:pPr>
        <w:pStyle w:val="Prrafodelista"/>
        <w:spacing w:after="0" w:line="360" w:lineRule="auto"/>
        <w:ind w:right="616"/>
        <w:jc w:val="both"/>
        <w:rPr>
          <w:rFonts w:ascii="Palatino Linotype" w:eastAsia="Times New Roman" w:hAnsi="Palatino Linotype" w:cs="Times New Roman"/>
          <w:i/>
          <w:sz w:val="32"/>
          <w:szCs w:val="24"/>
          <w:lang w:eastAsia="es-MX"/>
        </w:rPr>
      </w:pPr>
      <w:r w:rsidRPr="00A2377D">
        <w:rPr>
          <w:rFonts w:ascii="Palatino Linotype" w:eastAsia="Times New Roman" w:hAnsi="Palatino Linotype" w:cs="Arial"/>
          <w:i/>
          <w:color w:val="222222"/>
          <w:szCs w:val="19"/>
          <w:shd w:val="clear" w:color="auto" w:fill="FFFFFF"/>
          <w:lang w:eastAsia="es-MX"/>
        </w:rPr>
        <w:t>Artículo 56.- Contra las resoluciones del Instituto, los particulares podrán promover el juicio de nulidad ante el Tribunal Federal de Justicia Fiscal y Administrativa. </w:t>
      </w:r>
    </w:p>
    <w:p w:rsidR="00C3567A" w:rsidRPr="00A2377D"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A2377D"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A2377D">
        <w:rPr>
          <w:rFonts w:ascii="Palatino Linotype" w:eastAsia="Times New Roman" w:hAnsi="Palatino Linotype" w:cs="Arial"/>
          <w:i/>
          <w:color w:val="222222"/>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C3567A" w:rsidRPr="00A2377D"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A2377D">
        <w:rPr>
          <w:rFonts w:ascii="Palatino Linotype" w:eastAsia="Times New Roman" w:hAnsi="Palatino Linotype" w:cs="Arial"/>
          <w:i/>
          <w:color w:val="222222"/>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0052AD" w:rsidRPr="00A2377D" w:rsidRDefault="000052AD"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A2377D"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A2377D">
        <w:rPr>
          <w:rFonts w:ascii="Palatino Linotype" w:hAnsi="Palatino Linotype" w:cs="Arial"/>
          <w:sz w:val="24"/>
          <w:szCs w:val="24"/>
        </w:rPr>
        <w:t xml:space="preserve">En ese sentido, se entiende que al igual que las personas físicas, </w:t>
      </w:r>
      <w:r w:rsidR="00FE31E6" w:rsidRPr="00A2377D">
        <w:rPr>
          <w:rFonts w:ascii="Palatino Linotype" w:hAnsi="Palatino Linotype" w:cs="Arial"/>
          <w:sz w:val="24"/>
          <w:szCs w:val="24"/>
        </w:rPr>
        <w:t>las personas morales, tienen el derecho</w:t>
      </w:r>
      <w:r w:rsidRPr="00A2377D">
        <w:rPr>
          <w:rFonts w:ascii="Palatino Linotype" w:hAnsi="Palatino Linotype" w:cs="Arial"/>
          <w:sz w:val="24"/>
          <w:szCs w:val="24"/>
        </w:rPr>
        <w:t xml:space="preserve"> de interponer medios de impugnación cuando las resoluciones les causen al</w:t>
      </w:r>
      <w:r w:rsidR="004A0F46" w:rsidRPr="00A2377D">
        <w:rPr>
          <w:rFonts w:ascii="Palatino Linotype" w:hAnsi="Palatino Linotype" w:cs="Arial"/>
          <w:sz w:val="24"/>
          <w:szCs w:val="24"/>
        </w:rPr>
        <w:t xml:space="preserve">gún perjuicio, de lo contrario, como Instituto coartamos el derecho constitucional de acceso a la justicia de </w:t>
      </w:r>
      <w:r w:rsidRPr="00A2377D">
        <w:rPr>
          <w:rFonts w:ascii="Palatino Linotype" w:hAnsi="Palatino Linotype" w:cs="Arial"/>
          <w:sz w:val="24"/>
          <w:szCs w:val="24"/>
        </w:rPr>
        <w:t xml:space="preserve">dichas personas </w:t>
      </w:r>
      <w:r w:rsidR="004A0F46" w:rsidRPr="00A2377D">
        <w:rPr>
          <w:rFonts w:ascii="Palatino Linotype" w:hAnsi="Palatino Linotype" w:cs="Arial"/>
          <w:sz w:val="24"/>
          <w:szCs w:val="24"/>
        </w:rPr>
        <w:t>morales dejando en</w:t>
      </w:r>
      <w:r w:rsidRPr="00A2377D">
        <w:rPr>
          <w:rFonts w:ascii="Palatino Linotype" w:hAnsi="Palatino Linotype" w:cs="Arial"/>
          <w:sz w:val="24"/>
          <w:szCs w:val="24"/>
        </w:rPr>
        <w:t xml:space="preserve"> un estado de vulnerabilidad </w:t>
      </w:r>
      <w:r w:rsidR="004A0F46" w:rsidRPr="00A2377D">
        <w:rPr>
          <w:rFonts w:ascii="Palatino Linotype" w:hAnsi="Palatino Linotype" w:cs="Arial"/>
          <w:sz w:val="24"/>
          <w:szCs w:val="24"/>
        </w:rPr>
        <w:t>en comparación a las personas físicas de las cuales señalamos en todas las resoluciones que cuando consideren que la misma les causa algún perjuicio podrán promover juicio de amparo, o en su caso recurso de inconformidad.</w:t>
      </w:r>
    </w:p>
    <w:p w:rsidR="00627CAE" w:rsidRDefault="00627CAE" w:rsidP="00DC11A3">
      <w:pPr>
        <w:pStyle w:val="Ttulo1"/>
        <w:numPr>
          <w:ilvl w:val="0"/>
          <w:numId w:val="16"/>
        </w:numPr>
        <w:rPr>
          <w:rFonts w:ascii="Palatino Linotype" w:hAnsi="Palatino Linotype"/>
          <w:b/>
          <w:color w:val="auto"/>
          <w:sz w:val="24"/>
          <w:lang w:val="es-ES"/>
        </w:rPr>
      </w:pPr>
      <w:bookmarkStart w:id="5" w:name="_Toc9867334"/>
      <w:r w:rsidRPr="00A2377D">
        <w:rPr>
          <w:rFonts w:ascii="Palatino Linotype" w:hAnsi="Palatino Linotype"/>
          <w:b/>
          <w:color w:val="auto"/>
          <w:sz w:val="24"/>
          <w:lang w:val="es-ES"/>
        </w:rPr>
        <w:lastRenderedPageBreak/>
        <w:t>Conclusión.</w:t>
      </w:r>
      <w:bookmarkEnd w:id="5"/>
    </w:p>
    <w:p w:rsidR="00F1759C" w:rsidRPr="00F1759C" w:rsidRDefault="00F1759C" w:rsidP="00F1759C">
      <w:pPr>
        <w:rPr>
          <w:lang w:val="es-ES"/>
        </w:rPr>
      </w:pPr>
    </w:p>
    <w:p w:rsidR="00627CAE" w:rsidRPr="00A2377D"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A2377D">
        <w:rPr>
          <w:rFonts w:ascii="Palatino Linotype" w:hAnsi="Palatino Linotype" w:cs="Arial"/>
          <w:color w:val="000000" w:themeColor="text1"/>
          <w:sz w:val="24"/>
          <w:szCs w:val="24"/>
          <w:lang w:val="es-ES"/>
        </w:rPr>
        <w:t xml:space="preserve"> En virtud de lo anterior</w:t>
      </w:r>
      <w:r w:rsidR="00B67CCF" w:rsidRPr="00A2377D">
        <w:rPr>
          <w:rFonts w:ascii="Palatino Linotype" w:hAnsi="Palatino Linotype" w:cs="Arial"/>
          <w:color w:val="000000" w:themeColor="text1"/>
          <w:sz w:val="24"/>
          <w:szCs w:val="24"/>
          <w:lang w:val="es-ES"/>
        </w:rPr>
        <w:t>,</w:t>
      </w:r>
      <w:r w:rsidRPr="00A2377D">
        <w:rPr>
          <w:rFonts w:ascii="Palatino Linotype" w:hAnsi="Palatino Linotype" w:cs="Arial"/>
          <w:color w:val="000000" w:themeColor="text1"/>
          <w:sz w:val="24"/>
          <w:szCs w:val="24"/>
          <w:lang w:val="es-ES"/>
        </w:rPr>
        <w:t xml:space="preserve"> es que no puedo compartir los términos aprobados del resolutivo Cuarto ya que, el Sindicato también tiene derecho de acudir al juicio de</w:t>
      </w:r>
      <w:r w:rsidR="003416F2" w:rsidRPr="00A2377D">
        <w:rPr>
          <w:rFonts w:ascii="Palatino Linotype" w:hAnsi="Palatino Linotype" w:cs="Arial"/>
          <w:color w:val="000000" w:themeColor="text1"/>
          <w:sz w:val="24"/>
          <w:szCs w:val="24"/>
          <w:lang w:val="es-ES"/>
        </w:rPr>
        <w:t xml:space="preserve"> amparo si considera que la res</w:t>
      </w:r>
      <w:r w:rsidR="00F1759C">
        <w:rPr>
          <w:rFonts w:ascii="Palatino Linotype" w:hAnsi="Palatino Linotype" w:cs="Arial"/>
          <w:color w:val="000000" w:themeColor="text1"/>
          <w:sz w:val="24"/>
          <w:szCs w:val="24"/>
          <w:lang w:val="es-ES"/>
        </w:rPr>
        <w:t>olución emitida por el Pleno de este</w:t>
      </w:r>
      <w:r w:rsidR="003416F2" w:rsidRPr="00A2377D">
        <w:rPr>
          <w:rFonts w:ascii="Palatino Linotype" w:hAnsi="Palatino Linotype" w:cs="Arial"/>
          <w:color w:val="000000" w:themeColor="text1"/>
          <w:sz w:val="24"/>
          <w:szCs w:val="24"/>
          <w:lang w:val="es-ES"/>
        </w:rPr>
        <w:t xml:space="preserve"> Instituto </w:t>
      </w:r>
      <w:r w:rsidRPr="00A2377D">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A2377D">
        <w:rPr>
          <w:rFonts w:ascii="Palatino Linotype" w:hAnsi="Palatino Linotype" w:cs="Arial"/>
          <w:sz w:val="24"/>
          <w:szCs w:val="24"/>
        </w:rPr>
        <w:t xml:space="preserve"> </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B67CCF" w:rsidRDefault="00B67CCF" w:rsidP="00627CAE">
      <w:pPr>
        <w:spacing w:line="360" w:lineRule="auto"/>
        <w:rPr>
          <w:rFonts w:ascii="Palatino Linotype" w:hAnsi="Palatino Linotype" w:cs="Arial"/>
          <w:sz w:val="24"/>
          <w:szCs w:val="24"/>
        </w:rPr>
      </w:pPr>
    </w:p>
    <w:p w:rsidR="006A7929" w:rsidRDefault="006A7929" w:rsidP="00627CAE">
      <w:pPr>
        <w:spacing w:line="360" w:lineRule="auto"/>
        <w:rPr>
          <w:rFonts w:ascii="Palatino Linotype" w:hAnsi="Palatino Linotype" w:cs="Arial"/>
          <w:sz w:val="24"/>
          <w:szCs w:val="24"/>
        </w:rPr>
      </w:pPr>
    </w:p>
    <w:p w:rsidR="000A1590" w:rsidRDefault="000A1590" w:rsidP="00627CAE">
      <w:pPr>
        <w:spacing w:line="360" w:lineRule="auto"/>
        <w:rPr>
          <w:rFonts w:ascii="Palatino Linotype" w:hAnsi="Palatino Linotype" w:cs="Arial"/>
          <w:sz w:val="24"/>
          <w:szCs w:val="24"/>
        </w:rPr>
      </w:pPr>
    </w:p>
    <w:p w:rsidR="00A2377D" w:rsidRDefault="00A2377D" w:rsidP="00627CAE">
      <w:pPr>
        <w:spacing w:line="360" w:lineRule="auto"/>
        <w:rPr>
          <w:rFonts w:ascii="Palatino Linotype" w:hAnsi="Palatino Linotype" w:cs="Arial"/>
          <w:sz w:val="24"/>
          <w:szCs w:val="24"/>
        </w:rPr>
      </w:pPr>
    </w:p>
    <w:p w:rsidR="00627CAE" w:rsidRPr="000C1EE1" w:rsidRDefault="00627CAE" w:rsidP="00627CAE">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627CAE">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67CCF" w:rsidRDefault="006A7929" w:rsidP="00627CAE">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B75AFA" w:rsidRDefault="00B67CCF" w:rsidP="00B67CCF">
      <w:pPr>
        <w:spacing w:line="360" w:lineRule="auto"/>
        <w:rPr>
          <w:rFonts w:ascii="Palatino Linotype" w:eastAsia="Calibri" w:hAnsi="Palatino Linotype" w:cs="Arial"/>
          <w:sz w:val="20"/>
          <w:szCs w:val="20"/>
        </w:rPr>
      </w:pPr>
      <w:r>
        <w:rPr>
          <w:rFonts w:ascii="Palatino Linotype" w:eastAsia="Calibri" w:hAnsi="Palatino Linotype" w:cs="Arial"/>
          <w:b/>
          <w:sz w:val="24"/>
          <w:szCs w:val="24"/>
        </w:rPr>
        <w:t>JGLH/ADM</w:t>
      </w:r>
    </w:p>
    <w:sectPr w:rsidR="00B75AFA"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3C0" w:rsidRDefault="001773C0" w:rsidP="00E82D3D">
      <w:pPr>
        <w:spacing w:after="0" w:line="240" w:lineRule="auto"/>
      </w:pPr>
      <w:r>
        <w:separator/>
      </w:r>
    </w:p>
  </w:endnote>
  <w:endnote w:type="continuationSeparator" w:id="0">
    <w:p w:rsidR="001773C0" w:rsidRDefault="001773C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1E5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1E59">
              <w:rPr>
                <w:b/>
                <w:bCs/>
                <w:noProof/>
              </w:rPr>
              <w:t>18</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3C0" w:rsidRDefault="001773C0" w:rsidP="00E82D3D">
      <w:pPr>
        <w:spacing w:after="0" w:line="240" w:lineRule="auto"/>
      </w:pPr>
      <w:r>
        <w:separator/>
      </w:r>
    </w:p>
  </w:footnote>
  <w:footnote w:type="continuationSeparator" w:id="0">
    <w:p w:rsidR="001773C0" w:rsidRDefault="001773C0"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125FD4" w:rsidRPr="00236D89" w:rsidRDefault="00125FD4" w:rsidP="00125FD4">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1773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1773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1773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52AD"/>
    <w:rsid w:val="0009550C"/>
    <w:rsid w:val="00096CC2"/>
    <w:rsid w:val="000A1590"/>
    <w:rsid w:val="000C1EE1"/>
    <w:rsid w:val="000D6012"/>
    <w:rsid w:val="00101869"/>
    <w:rsid w:val="00102360"/>
    <w:rsid w:val="0010753A"/>
    <w:rsid w:val="00114E2B"/>
    <w:rsid w:val="001240A5"/>
    <w:rsid w:val="00125FD4"/>
    <w:rsid w:val="001369DC"/>
    <w:rsid w:val="001773C0"/>
    <w:rsid w:val="001B19B4"/>
    <w:rsid w:val="001D64D3"/>
    <w:rsid w:val="001F7C80"/>
    <w:rsid w:val="002275B6"/>
    <w:rsid w:val="00232437"/>
    <w:rsid w:val="002E0BA4"/>
    <w:rsid w:val="002E3ED2"/>
    <w:rsid w:val="002F79FF"/>
    <w:rsid w:val="003258B6"/>
    <w:rsid w:val="003416F2"/>
    <w:rsid w:val="00365A30"/>
    <w:rsid w:val="00384DBA"/>
    <w:rsid w:val="003B5308"/>
    <w:rsid w:val="0048628E"/>
    <w:rsid w:val="004A0F46"/>
    <w:rsid w:val="004B6A69"/>
    <w:rsid w:val="005556CA"/>
    <w:rsid w:val="005F30BC"/>
    <w:rsid w:val="00617ACF"/>
    <w:rsid w:val="00627CAE"/>
    <w:rsid w:val="006A7929"/>
    <w:rsid w:val="006B54EE"/>
    <w:rsid w:val="006B6E4B"/>
    <w:rsid w:val="006F0A01"/>
    <w:rsid w:val="007629FB"/>
    <w:rsid w:val="00797A31"/>
    <w:rsid w:val="007A2AA5"/>
    <w:rsid w:val="007B2BCF"/>
    <w:rsid w:val="007C26F0"/>
    <w:rsid w:val="007D037D"/>
    <w:rsid w:val="007D6E4B"/>
    <w:rsid w:val="00807E40"/>
    <w:rsid w:val="00834ABB"/>
    <w:rsid w:val="0083750E"/>
    <w:rsid w:val="00861BB5"/>
    <w:rsid w:val="008A4C72"/>
    <w:rsid w:val="008B3418"/>
    <w:rsid w:val="008D11C5"/>
    <w:rsid w:val="008D2A41"/>
    <w:rsid w:val="009623E8"/>
    <w:rsid w:val="00980C62"/>
    <w:rsid w:val="009A2D39"/>
    <w:rsid w:val="009E14DE"/>
    <w:rsid w:val="00A16FEB"/>
    <w:rsid w:val="00A2377D"/>
    <w:rsid w:val="00A24423"/>
    <w:rsid w:val="00A727D5"/>
    <w:rsid w:val="00B066EB"/>
    <w:rsid w:val="00B46E35"/>
    <w:rsid w:val="00B57C0A"/>
    <w:rsid w:val="00B67CCF"/>
    <w:rsid w:val="00B75AFA"/>
    <w:rsid w:val="00B9285A"/>
    <w:rsid w:val="00B92C8E"/>
    <w:rsid w:val="00BB488C"/>
    <w:rsid w:val="00BC4F31"/>
    <w:rsid w:val="00BD04CD"/>
    <w:rsid w:val="00C11E49"/>
    <w:rsid w:val="00C32F29"/>
    <w:rsid w:val="00C3567A"/>
    <w:rsid w:val="00C65912"/>
    <w:rsid w:val="00C753D8"/>
    <w:rsid w:val="00C760CB"/>
    <w:rsid w:val="00C851A8"/>
    <w:rsid w:val="00CA2B8E"/>
    <w:rsid w:val="00CC7CC1"/>
    <w:rsid w:val="00CD46C3"/>
    <w:rsid w:val="00CD7A0C"/>
    <w:rsid w:val="00CF0462"/>
    <w:rsid w:val="00D704EE"/>
    <w:rsid w:val="00D84F48"/>
    <w:rsid w:val="00DC11A3"/>
    <w:rsid w:val="00DD14BB"/>
    <w:rsid w:val="00DE7A32"/>
    <w:rsid w:val="00E22218"/>
    <w:rsid w:val="00E23A9E"/>
    <w:rsid w:val="00E473FB"/>
    <w:rsid w:val="00E82D3D"/>
    <w:rsid w:val="00F1759C"/>
    <w:rsid w:val="00F30EE8"/>
    <w:rsid w:val="00F61295"/>
    <w:rsid w:val="00F7738C"/>
    <w:rsid w:val="00FC605B"/>
    <w:rsid w:val="00FE31E6"/>
    <w:rsid w:val="00FF1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E952-3B62-4493-B182-7F23A089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3660</Words>
  <Characters>20134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2019-06-03T20:00:00Z</cp:lastPrinted>
  <dcterms:created xsi:type="dcterms:W3CDTF">2019-06-20T18:57:00Z</dcterms:created>
  <dcterms:modified xsi:type="dcterms:W3CDTF">2019-06-20T18:57:00Z</dcterms:modified>
</cp:coreProperties>
</file>