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61" w:rsidRPr="00017A61" w:rsidRDefault="00017A61" w:rsidP="0001698D">
      <w:pPr>
        <w:spacing w:line="360" w:lineRule="auto"/>
        <w:jc w:val="both"/>
        <w:rPr>
          <w:rFonts w:ascii="Palatino Linotype" w:hAnsi="Palatino Linotype" w:cs="Arial"/>
          <w:b/>
        </w:rPr>
      </w:pPr>
      <w:bookmarkStart w:id="0" w:name="_GoBack"/>
      <w:bookmarkEnd w:id="0"/>
    </w:p>
    <w:p w:rsidR="00CC0EC5" w:rsidRPr="00501F3C" w:rsidRDefault="00CC0EC5" w:rsidP="0001698D">
      <w:pPr>
        <w:spacing w:line="360" w:lineRule="auto"/>
        <w:jc w:val="both"/>
        <w:rPr>
          <w:rFonts w:ascii="Palatino Linotype" w:hAnsi="Palatino Linotype" w:cs="Arial"/>
        </w:rPr>
      </w:pPr>
      <w:r w:rsidRPr="00501F3C">
        <w:rPr>
          <w:rFonts w:ascii="Palatino Linotype" w:hAnsi="Palatino Linotype" w:cs="Arial"/>
          <w:b/>
        </w:rPr>
        <w:t xml:space="preserve">VOTO </w:t>
      </w:r>
      <w:r w:rsidR="00D75081" w:rsidRPr="00501F3C">
        <w:rPr>
          <w:rFonts w:ascii="Palatino Linotype" w:hAnsi="Palatino Linotype" w:cs="Arial"/>
          <w:b/>
        </w:rPr>
        <w:t xml:space="preserve">PARTICULAR </w:t>
      </w:r>
      <w:r w:rsidRPr="00501F3C">
        <w:rPr>
          <w:rFonts w:ascii="Palatino Linotype" w:hAnsi="Palatino Linotype" w:cs="Arial"/>
          <w:b/>
        </w:rPr>
        <w:t>DEL COMISIONADO JOSÉ GUADALUPE LUNA HERNÁN</w:t>
      </w:r>
      <w:r w:rsidR="00D75081" w:rsidRPr="00501F3C">
        <w:rPr>
          <w:rFonts w:ascii="Palatino Linotype" w:hAnsi="Palatino Linotype" w:cs="Arial"/>
          <w:b/>
        </w:rPr>
        <w:t>DEZ</w:t>
      </w:r>
      <w:r w:rsidR="00743244" w:rsidRPr="00501F3C">
        <w:rPr>
          <w:rFonts w:ascii="Palatino Linotype" w:hAnsi="Palatino Linotype" w:cs="Arial"/>
          <w:b/>
        </w:rPr>
        <w:t xml:space="preserve"> EN EL RECURSO DE REVISIÓN 0</w:t>
      </w:r>
      <w:r w:rsidR="002E4A47" w:rsidRPr="00501F3C">
        <w:rPr>
          <w:rFonts w:ascii="Palatino Linotype" w:hAnsi="Palatino Linotype" w:cs="Arial"/>
          <w:b/>
        </w:rPr>
        <w:t>1</w:t>
      </w:r>
      <w:r w:rsidR="0054182F">
        <w:rPr>
          <w:rFonts w:ascii="Palatino Linotype" w:hAnsi="Palatino Linotype" w:cs="Arial"/>
          <w:b/>
        </w:rPr>
        <w:t>416</w:t>
      </w:r>
      <w:r w:rsidR="00743244" w:rsidRPr="00501F3C">
        <w:rPr>
          <w:rFonts w:ascii="Palatino Linotype" w:hAnsi="Palatino Linotype" w:cs="Arial"/>
          <w:b/>
        </w:rPr>
        <w:t>/INFOEM/IP/RR/2019</w:t>
      </w:r>
      <w:r w:rsidR="00191742" w:rsidRPr="00501F3C">
        <w:rPr>
          <w:rFonts w:ascii="Palatino Linotype" w:hAnsi="Palatino Linotype" w:cs="Arial"/>
          <w:b/>
        </w:rPr>
        <w:t>.</w:t>
      </w:r>
      <w:r w:rsidR="00F95E27" w:rsidRPr="00501F3C">
        <w:rPr>
          <w:rFonts w:ascii="Palatino Linotype" w:hAnsi="Palatino Linotype" w:cs="Arial"/>
          <w:b/>
        </w:rPr>
        <w:t xml:space="preserve"> </w:t>
      </w:r>
    </w:p>
    <w:p w:rsidR="00017A61" w:rsidRPr="00501F3C" w:rsidRDefault="00017A61" w:rsidP="0001698D">
      <w:pPr>
        <w:spacing w:line="360" w:lineRule="auto"/>
        <w:jc w:val="both"/>
        <w:rPr>
          <w:rFonts w:ascii="Palatino Linotype" w:hAnsi="Palatino Linotype" w:cs="Arial"/>
          <w:b/>
          <w:i/>
        </w:rPr>
      </w:pPr>
    </w:p>
    <w:p w:rsidR="00F436A4" w:rsidRPr="00501F3C" w:rsidRDefault="003503B0" w:rsidP="0001698D">
      <w:pPr>
        <w:spacing w:line="360" w:lineRule="auto"/>
        <w:rPr>
          <w:rFonts w:ascii="Palatino Linotype" w:hAnsi="Palatino Linotype" w:cs="Arial"/>
          <w:b/>
        </w:rPr>
      </w:pPr>
      <w:r w:rsidRPr="00501F3C">
        <w:rPr>
          <w:rFonts w:ascii="Palatino Linotype" w:hAnsi="Palatino Linotype" w:cs="Arial"/>
          <w:b/>
        </w:rPr>
        <w:t>RESUMEN DEL VOTO</w:t>
      </w:r>
    </w:p>
    <w:p w:rsidR="0044164A" w:rsidRPr="00501F3C" w:rsidRDefault="0044164A" w:rsidP="0001698D">
      <w:pPr>
        <w:spacing w:line="360" w:lineRule="auto"/>
        <w:jc w:val="both"/>
        <w:rPr>
          <w:rFonts w:ascii="Palatino Linotype" w:hAnsi="Palatino Linotype" w:cs="Arial"/>
          <w:b/>
          <w:bdr w:val="none" w:sz="0" w:space="0" w:color="auto"/>
        </w:rPr>
      </w:pPr>
    </w:p>
    <w:p w:rsidR="00760EEB" w:rsidRPr="00501F3C" w:rsidRDefault="00760EEB" w:rsidP="00760EEB">
      <w:pPr>
        <w:spacing w:line="336" w:lineRule="auto"/>
        <w:jc w:val="both"/>
        <w:rPr>
          <w:rFonts w:ascii="Palatino Linotype" w:hAnsi="Palatino Linotype" w:cs="Arial"/>
        </w:rPr>
      </w:pPr>
      <w:r w:rsidRPr="00501F3C">
        <w:rPr>
          <w:rFonts w:ascii="Palatino Linotype" w:hAnsi="Palatino Linotype" w:cs="Arial"/>
        </w:rPr>
        <w:t>Si bien es cierto que los miembros operativos de las Direcciones de Seguridad Ciudadana realizan actividades que, por la naturaleza de su cargo presume que se encuentren en un nivel de seguridad personal menor al de otros servidores públicos, cuando los particulares soliciten información referente a ellos como lo son nombres y comprobante de pago de cualquier índole, deberá ordenarse su entrega de manera disociada, a fin de lograr un balance entre el derecho de acceso a la información pública y la necesidad de proteger la integridad de los miembros de la Dirección de Seguridad.</w:t>
      </w:r>
    </w:p>
    <w:p w:rsidR="00760EEB" w:rsidRPr="00501F3C" w:rsidRDefault="00760EEB" w:rsidP="00760EEB">
      <w:pPr>
        <w:spacing w:line="336" w:lineRule="auto"/>
        <w:jc w:val="both"/>
        <w:rPr>
          <w:rFonts w:ascii="Palatino Linotype" w:hAnsi="Palatino Linotype" w:cs="Arial"/>
        </w:rPr>
      </w:pPr>
    </w:p>
    <w:p w:rsidR="00760EEB" w:rsidRPr="00501F3C" w:rsidRDefault="001F7036" w:rsidP="00760EEB">
      <w:pPr>
        <w:spacing w:line="336" w:lineRule="auto"/>
        <w:jc w:val="both"/>
        <w:rPr>
          <w:rFonts w:ascii="Palatino Linotype" w:hAnsi="Palatino Linotype" w:cs="Arial"/>
        </w:rPr>
      </w:pPr>
      <w:r w:rsidRPr="00501F3C">
        <w:rPr>
          <w:rFonts w:ascii="Palatino Linotype" w:hAnsi="Palatino Linotype" w:cs="Arial"/>
        </w:rPr>
        <w:t xml:space="preserve">A su vez, es de agregar que a pesar de </w:t>
      </w:r>
      <w:r w:rsidR="00195687" w:rsidRPr="00501F3C">
        <w:rPr>
          <w:rFonts w:ascii="Palatino Linotype" w:hAnsi="Palatino Linotype" w:cs="Arial"/>
        </w:rPr>
        <w:t xml:space="preserve">que existe </w:t>
      </w:r>
      <w:r w:rsidRPr="00501F3C">
        <w:rPr>
          <w:rFonts w:ascii="Palatino Linotype" w:hAnsi="Palatino Linotype" w:cs="Arial"/>
        </w:rPr>
        <w:t xml:space="preserve">normatividad en materia de seguridad pública que prevé el tipo de información susceptible de reservarse, no debe perderse de vista que para acreditar que la misma encuadra en la hipótesis jurídica, es necesario </w:t>
      </w:r>
      <w:r w:rsidR="00195687" w:rsidRPr="00501F3C">
        <w:rPr>
          <w:rFonts w:ascii="Palatino Linotype" w:hAnsi="Palatino Linotype" w:cs="Arial"/>
        </w:rPr>
        <w:t xml:space="preserve">el </w:t>
      </w:r>
      <w:r w:rsidRPr="00501F3C">
        <w:rPr>
          <w:rFonts w:ascii="Palatino Linotype" w:hAnsi="Palatino Linotype" w:cs="Arial"/>
        </w:rPr>
        <w:t xml:space="preserve">análisis individualizado </w:t>
      </w:r>
      <w:r w:rsidR="00195687" w:rsidRPr="00501F3C">
        <w:rPr>
          <w:rFonts w:ascii="Palatino Linotype" w:hAnsi="Palatino Linotype" w:cs="Arial"/>
        </w:rPr>
        <w:t>al caso concreto</w:t>
      </w:r>
      <w:r w:rsidRPr="00501F3C">
        <w:rPr>
          <w:rFonts w:ascii="Palatino Linotype" w:hAnsi="Palatino Linotype" w:cs="Arial"/>
        </w:rPr>
        <w:t xml:space="preserve">, cuya aplicación de la prueba de daño resulta ser fundamental para </w:t>
      </w:r>
      <w:r w:rsidR="00195687" w:rsidRPr="00501F3C">
        <w:rPr>
          <w:rFonts w:ascii="Palatino Linotype" w:hAnsi="Palatino Linotype" w:cs="Arial"/>
        </w:rPr>
        <w:t>determinar el riesgo o perjuicio que se ocasionaría con su divulgación, de lo contrario se estaría trasgrediendo desde un inicio el derecho humano de acceso a la información.</w:t>
      </w:r>
    </w:p>
    <w:p w:rsidR="00E36F32" w:rsidRPr="00501F3C" w:rsidRDefault="00E36F32" w:rsidP="00760EEB">
      <w:pPr>
        <w:spacing w:line="336" w:lineRule="auto"/>
        <w:jc w:val="both"/>
        <w:rPr>
          <w:rFonts w:ascii="Palatino Linotype" w:hAnsi="Palatino Linotype" w:cs="Arial"/>
        </w:rPr>
      </w:pPr>
    </w:p>
    <w:bookmarkStart w:id="1" w:name="_Toc493504860" w:displacedByCustomXml="next"/>
    <w:sdt>
      <w:sdtPr>
        <w:rPr>
          <w:rFonts w:ascii="Times New Roman" w:eastAsia="Arial Unicode MS" w:hAnsi="Times New Roman" w:cs="Times New Roman"/>
          <w:color w:val="auto"/>
          <w:sz w:val="24"/>
          <w:bdr w:val="nil"/>
          <w:lang w:val="es-ES" w:eastAsia="en-US"/>
        </w:rPr>
        <w:id w:val="-1631233519"/>
        <w:docPartObj>
          <w:docPartGallery w:val="Table of Contents"/>
          <w:docPartUnique/>
        </w:docPartObj>
      </w:sdtPr>
      <w:sdtEndPr>
        <w:rPr>
          <w:b/>
          <w:bCs/>
        </w:rPr>
      </w:sdtEndPr>
      <w:sdtContent>
        <w:p w:rsidR="00E36F32" w:rsidRPr="00501F3C" w:rsidRDefault="00E36F32" w:rsidP="00E36F32">
          <w:pPr>
            <w:pStyle w:val="TtulodeTDC"/>
            <w:jc w:val="center"/>
            <w:rPr>
              <w:rFonts w:ascii="Palatino Linotype" w:hAnsi="Palatino Linotype"/>
              <w:b/>
              <w:color w:val="000000" w:themeColor="text1"/>
              <w:sz w:val="28"/>
            </w:rPr>
          </w:pPr>
          <w:r w:rsidRPr="00501F3C">
            <w:rPr>
              <w:rFonts w:ascii="Palatino Linotype" w:hAnsi="Palatino Linotype"/>
              <w:b/>
              <w:color w:val="000000" w:themeColor="text1"/>
              <w:sz w:val="28"/>
              <w:lang w:val="es-ES"/>
            </w:rPr>
            <w:t>Índice</w:t>
          </w:r>
        </w:p>
        <w:p w:rsidR="00E36F32" w:rsidRPr="00501F3C" w:rsidRDefault="00E36F32">
          <w:pPr>
            <w:pStyle w:val="TDC1"/>
            <w:rPr>
              <w:rFonts w:asciiTheme="minorHAnsi" w:eastAsiaTheme="minorEastAsia" w:hAnsiTheme="minorHAnsi" w:cstheme="minorBidi"/>
              <w:noProof/>
              <w:sz w:val="22"/>
              <w:szCs w:val="22"/>
              <w:bdr w:val="none" w:sz="0" w:space="0" w:color="auto"/>
              <w:lang w:eastAsia="es-MX"/>
            </w:rPr>
          </w:pPr>
          <w:r w:rsidRPr="00501F3C">
            <w:rPr>
              <w:b/>
              <w:bCs/>
              <w:lang w:val="es-ES"/>
            </w:rPr>
            <w:fldChar w:fldCharType="begin"/>
          </w:r>
          <w:r w:rsidRPr="00501F3C">
            <w:rPr>
              <w:b/>
              <w:bCs/>
              <w:lang w:val="es-ES"/>
            </w:rPr>
            <w:instrText xml:space="preserve"> TOC \o "1-3" \h \z \u </w:instrText>
          </w:r>
          <w:r w:rsidRPr="00501F3C">
            <w:rPr>
              <w:b/>
              <w:bCs/>
              <w:lang w:val="es-ES"/>
            </w:rPr>
            <w:fldChar w:fldCharType="separate"/>
          </w:r>
          <w:hyperlink w:anchor="_Toc8208621" w:history="1">
            <w:r w:rsidRPr="00501F3C">
              <w:rPr>
                <w:rStyle w:val="Hipervnculo"/>
                <w:rFonts w:eastAsiaTheme="majorEastAsia" w:cstheme="majorBidi"/>
                <w:noProof/>
              </w:rPr>
              <w:t>I. Consideraciones Generales</w:t>
            </w:r>
            <w:r w:rsidRPr="00501F3C">
              <w:rPr>
                <w:noProof/>
                <w:webHidden/>
              </w:rPr>
              <w:tab/>
            </w:r>
            <w:r w:rsidRPr="00501F3C">
              <w:rPr>
                <w:noProof/>
                <w:webHidden/>
              </w:rPr>
              <w:fldChar w:fldCharType="begin"/>
            </w:r>
            <w:r w:rsidRPr="00501F3C">
              <w:rPr>
                <w:noProof/>
                <w:webHidden/>
              </w:rPr>
              <w:instrText xml:space="preserve"> PAGEREF _Toc8208621 \h </w:instrText>
            </w:r>
            <w:r w:rsidRPr="00501F3C">
              <w:rPr>
                <w:noProof/>
                <w:webHidden/>
              </w:rPr>
            </w:r>
            <w:r w:rsidRPr="00501F3C">
              <w:rPr>
                <w:noProof/>
                <w:webHidden/>
              </w:rPr>
              <w:fldChar w:fldCharType="separate"/>
            </w:r>
            <w:r w:rsidR="00755BA2">
              <w:rPr>
                <w:noProof/>
                <w:webHidden/>
              </w:rPr>
              <w:t>2</w:t>
            </w:r>
            <w:r w:rsidRPr="00501F3C">
              <w:rPr>
                <w:noProof/>
                <w:webHidden/>
              </w:rPr>
              <w:fldChar w:fldCharType="end"/>
            </w:r>
          </w:hyperlink>
        </w:p>
        <w:p w:rsidR="00E36F32" w:rsidRPr="00501F3C" w:rsidRDefault="00AF4903">
          <w:pPr>
            <w:pStyle w:val="TDC1"/>
            <w:rPr>
              <w:rFonts w:asciiTheme="minorHAnsi" w:eastAsiaTheme="minorEastAsia" w:hAnsiTheme="minorHAnsi" w:cstheme="minorBidi"/>
              <w:noProof/>
              <w:sz w:val="22"/>
              <w:szCs w:val="22"/>
              <w:bdr w:val="none" w:sz="0" w:space="0" w:color="auto"/>
              <w:lang w:eastAsia="es-MX"/>
            </w:rPr>
          </w:pPr>
          <w:hyperlink w:anchor="_Toc8208622" w:history="1">
            <w:r w:rsidR="00E36F32" w:rsidRPr="00501F3C">
              <w:rPr>
                <w:rStyle w:val="Hipervnculo"/>
                <w:noProof/>
              </w:rPr>
              <w:t>II.</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De los requerimientos planteados en el recurso de revisión.</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_Toc8208622 \h </w:instrText>
            </w:r>
            <w:r w:rsidR="00E36F32" w:rsidRPr="00501F3C">
              <w:rPr>
                <w:noProof/>
                <w:webHidden/>
              </w:rPr>
            </w:r>
            <w:r w:rsidR="00E36F32" w:rsidRPr="00501F3C">
              <w:rPr>
                <w:noProof/>
                <w:webHidden/>
              </w:rPr>
              <w:fldChar w:fldCharType="separate"/>
            </w:r>
            <w:r w:rsidR="00755BA2">
              <w:rPr>
                <w:noProof/>
                <w:webHidden/>
              </w:rPr>
              <w:t>3</w:t>
            </w:r>
            <w:r w:rsidR="00E36F32" w:rsidRPr="00501F3C">
              <w:rPr>
                <w:noProof/>
                <w:webHidden/>
              </w:rPr>
              <w:fldChar w:fldCharType="end"/>
            </w:r>
          </w:hyperlink>
        </w:p>
        <w:p w:rsidR="00E36F32" w:rsidRPr="00501F3C" w:rsidRDefault="00AF4903">
          <w:pPr>
            <w:pStyle w:val="TDC1"/>
            <w:rPr>
              <w:rFonts w:asciiTheme="minorHAnsi" w:eastAsiaTheme="minorEastAsia" w:hAnsiTheme="minorHAnsi" w:cstheme="minorBidi"/>
              <w:noProof/>
              <w:sz w:val="22"/>
              <w:szCs w:val="22"/>
              <w:bdr w:val="none" w:sz="0" w:space="0" w:color="auto"/>
              <w:lang w:eastAsia="es-MX"/>
            </w:rPr>
          </w:pPr>
          <w:hyperlink w:anchor="_Toc8208623" w:history="1">
            <w:r w:rsidR="00E36F32" w:rsidRPr="00501F3C">
              <w:rPr>
                <w:rStyle w:val="Hipervnculo"/>
                <w:noProof/>
              </w:rPr>
              <w:t>III.</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Del estudio de la Ponencia Resolutora.</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_Toc8208623 \h </w:instrText>
            </w:r>
            <w:r w:rsidR="00E36F32" w:rsidRPr="00501F3C">
              <w:rPr>
                <w:noProof/>
                <w:webHidden/>
              </w:rPr>
            </w:r>
            <w:r w:rsidR="00E36F32" w:rsidRPr="00501F3C">
              <w:rPr>
                <w:noProof/>
                <w:webHidden/>
              </w:rPr>
              <w:fldChar w:fldCharType="separate"/>
            </w:r>
            <w:r w:rsidR="00755BA2">
              <w:rPr>
                <w:noProof/>
                <w:webHidden/>
              </w:rPr>
              <w:t>4</w:t>
            </w:r>
            <w:r w:rsidR="00E36F32" w:rsidRPr="00501F3C">
              <w:rPr>
                <w:noProof/>
                <w:webHidden/>
              </w:rPr>
              <w:fldChar w:fldCharType="end"/>
            </w:r>
          </w:hyperlink>
        </w:p>
        <w:p w:rsidR="00E36F32" w:rsidRPr="00501F3C" w:rsidRDefault="00AF4903">
          <w:pPr>
            <w:pStyle w:val="TDC1"/>
            <w:rPr>
              <w:rFonts w:asciiTheme="minorHAnsi" w:eastAsiaTheme="minorEastAsia" w:hAnsiTheme="minorHAnsi" w:cstheme="minorBidi"/>
              <w:noProof/>
              <w:sz w:val="22"/>
              <w:szCs w:val="22"/>
              <w:bdr w:val="none" w:sz="0" w:space="0" w:color="auto"/>
              <w:lang w:eastAsia="es-MX"/>
            </w:rPr>
          </w:pPr>
          <w:hyperlink w:anchor="_Toc8208624" w:history="1">
            <w:r w:rsidR="00E36F32" w:rsidRPr="00501F3C">
              <w:rPr>
                <w:rStyle w:val="Hipervnculo"/>
                <w:noProof/>
              </w:rPr>
              <w:t>IV.</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Del personal de seguridad pública.</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_Toc8208624 \h </w:instrText>
            </w:r>
            <w:r w:rsidR="00E36F32" w:rsidRPr="00501F3C">
              <w:rPr>
                <w:noProof/>
                <w:webHidden/>
              </w:rPr>
            </w:r>
            <w:r w:rsidR="00E36F32" w:rsidRPr="00501F3C">
              <w:rPr>
                <w:noProof/>
                <w:webHidden/>
              </w:rPr>
              <w:fldChar w:fldCharType="separate"/>
            </w:r>
            <w:r w:rsidR="00755BA2">
              <w:rPr>
                <w:noProof/>
                <w:webHidden/>
              </w:rPr>
              <w:t>6</w:t>
            </w:r>
            <w:r w:rsidR="00E36F32" w:rsidRPr="00501F3C">
              <w:rPr>
                <w:noProof/>
                <w:webHidden/>
              </w:rPr>
              <w:fldChar w:fldCharType="end"/>
            </w:r>
          </w:hyperlink>
        </w:p>
        <w:p w:rsidR="00E36F32" w:rsidRPr="00501F3C" w:rsidRDefault="00AF4903">
          <w:pPr>
            <w:pStyle w:val="TDC1"/>
            <w:rPr>
              <w:rFonts w:asciiTheme="minorHAnsi" w:eastAsiaTheme="minorEastAsia" w:hAnsiTheme="minorHAnsi" w:cstheme="minorBidi"/>
              <w:noProof/>
              <w:sz w:val="22"/>
              <w:szCs w:val="22"/>
              <w:bdr w:val="none" w:sz="0" w:space="0" w:color="auto"/>
              <w:lang w:eastAsia="es-MX"/>
            </w:rPr>
          </w:pPr>
          <w:hyperlink w:anchor="_Toc8208625" w:history="1">
            <w:r w:rsidR="00E36F32" w:rsidRPr="00501F3C">
              <w:rPr>
                <w:rStyle w:val="Hipervnculo"/>
                <w:noProof/>
              </w:rPr>
              <w:t>V.</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De la disociación.</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_Toc8208625 \h </w:instrText>
            </w:r>
            <w:r w:rsidR="00E36F32" w:rsidRPr="00501F3C">
              <w:rPr>
                <w:noProof/>
                <w:webHidden/>
              </w:rPr>
            </w:r>
            <w:r w:rsidR="00E36F32" w:rsidRPr="00501F3C">
              <w:rPr>
                <w:noProof/>
                <w:webHidden/>
              </w:rPr>
              <w:fldChar w:fldCharType="separate"/>
            </w:r>
            <w:r w:rsidR="00755BA2">
              <w:rPr>
                <w:noProof/>
                <w:webHidden/>
              </w:rPr>
              <w:t>11</w:t>
            </w:r>
            <w:r w:rsidR="00E36F32" w:rsidRPr="00501F3C">
              <w:rPr>
                <w:noProof/>
                <w:webHidden/>
              </w:rPr>
              <w:fldChar w:fldCharType="end"/>
            </w:r>
          </w:hyperlink>
        </w:p>
        <w:p w:rsidR="00E36F32" w:rsidRPr="00501F3C" w:rsidRDefault="00AF4903">
          <w:pPr>
            <w:pStyle w:val="TDC1"/>
            <w:rPr>
              <w:rFonts w:asciiTheme="minorHAnsi" w:eastAsiaTheme="minorEastAsia" w:hAnsiTheme="minorHAnsi" w:cstheme="minorBidi"/>
              <w:noProof/>
              <w:sz w:val="22"/>
              <w:szCs w:val="22"/>
              <w:bdr w:val="none" w:sz="0" w:space="0" w:color="auto"/>
              <w:lang w:eastAsia="es-MX"/>
            </w:rPr>
          </w:pPr>
          <w:hyperlink w:anchor="_Toc8208626" w:history="1">
            <w:r w:rsidR="00E36F32" w:rsidRPr="00501F3C">
              <w:rPr>
                <w:rStyle w:val="Hipervnculo"/>
                <w:noProof/>
              </w:rPr>
              <w:t>VI.</w:t>
            </w:r>
            <w:r w:rsidR="00E36F32" w:rsidRPr="00501F3C">
              <w:rPr>
                <w:rFonts w:asciiTheme="minorHAnsi" w:eastAsiaTheme="minorEastAsia" w:hAnsiTheme="minorHAnsi" w:cstheme="minorBidi"/>
                <w:noProof/>
                <w:sz w:val="22"/>
                <w:szCs w:val="22"/>
                <w:bdr w:val="none" w:sz="0" w:space="0" w:color="auto"/>
                <w:lang w:eastAsia="es-MX"/>
              </w:rPr>
              <w:tab/>
            </w:r>
            <w:r w:rsidR="00E36F32" w:rsidRPr="00501F3C">
              <w:rPr>
                <w:rStyle w:val="Hipervnculo"/>
                <w:noProof/>
              </w:rPr>
              <w:t>Conclusión</w:t>
            </w:r>
            <w:r w:rsidR="00E36F32" w:rsidRPr="00501F3C">
              <w:rPr>
                <w:noProof/>
                <w:webHidden/>
              </w:rPr>
              <w:tab/>
            </w:r>
            <w:r w:rsidR="00E36F32" w:rsidRPr="00501F3C">
              <w:rPr>
                <w:noProof/>
                <w:webHidden/>
              </w:rPr>
              <w:fldChar w:fldCharType="begin"/>
            </w:r>
            <w:r w:rsidR="00E36F32" w:rsidRPr="00501F3C">
              <w:rPr>
                <w:noProof/>
                <w:webHidden/>
              </w:rPr>
              <w:instrText xml:space="preserve"> PAGEREF _Toc8208626 \h </w:instrText>
            </w:r>
            <w:r w:rsidR="00E36F32" w:rsidRPr="00501F3C">
              <w:rPr>
                <w:noProof/>
                <w:webHidden/>
              </w:rPr>
            </w:r>
            <w:r w:rsidR="00E36F32" w:rsidRPr="00501F3C">
              <w:rPr>
                <w:noProof/>
                <w:webHidden/>
              </w:rPr>
              <w:fldChar w:fldCharType="separate"/>
            </w:r>
            <w:r w:rsidR="00755BA2">
              <w:rPr>
                <w:noProof/>
                <w:webHidden/>
              </w:rPr>
              <w:t>12</w:t>
            </w:r>
            <w:r w:rsidR="00E36F32" w:rsidRPr="00501F3C">
              <w:rPr>
                <w:noProof/>
                <w:webHidden/>
              </w:rPr>
              <w:fldChar w:fldCharType="end"/>
            </w:r>
          </w:hyperlink>
        </w:p>
        <w:p w:rsidR="00E36F32" w:rsidRPr="00501F3C" w:rsidRDefault="00E36F32">
          <w:pPr>
            <w:rPr>
              <w:b/>
              <w:bCs/>
              <w:lang w:val="es-ES"/>
            </w:rPr>
          </w:pPr>
          <w:r w:rsidRPr="00501F3C">
            <w:rPr>
              <w:b/>
              <w:bCs/>
              <w:lang w:val="es-ES"/>
            </w:rPr>
            <w:fldChar w:fldCharType="end"/>
          </w:r>
        </w:p>
        <w:p w:rsidR="00E36F32" w:rsidRPr="00501F3C" w:rsidRDefault="00AF4903"/>
      </w:sdtContent>
    </w:sdt>
    <w:p w:rsidR="00A3395D" w:rsidRPr="00501F3C" w:rsidRDefault="00343467"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bookmarkStart w:id="2" w:name="_Toc8208621"/>
      <w:r w:rsidRPr="00501F3C">
        <w:rPr>
          <w:rFonts w:ascii="Palatino Linotype" w:eastAsiaTheme="majorEastAsia" w:hAnsi="Palatino Linotype" w:cstheme="majorBidi"/>
          <w:b/>
        </w:rPr>
        <w:t xml:space="preserve">I. </w:t>
      </w:r>
      <w:r w:rsidR="00A3395D" w:rsidRPr="00501F3C">
        <w:rPr>
          <w:rFonts w:ascii="Palatino Linotype" w:eastAsiaTheme="majorEastAsia" w:hAnsi="Palatino Linotype" w:cstheme="majorBidi"/>
          <w:b/>
        </w:rPr>
        <w:t>Consideraciones Generales</w:t>
      </w:r>
      <w:bookmarkEnd w:id="1"/>
      <w:bookmarkEnd w:id="2"/>
    </w:p>
    <w:p w:rsidR="00A3395D" w:rsidRPr="00501F3C" w:rsidRDefault="00A3395D"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501F3C" w:rsidRDefault="00B97430" w:rsidP="0019568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eastAsia="Times New Roman" w:hAnsi="Palatino Linotype" w:cs="Arial"/>
          <w:lang w:val="es-ES_tradnl"/>
        </w:rPr>
        <w:t>He concurrido con mi voto particular</w:t>
      </w:r>
      <w:r w:rsidR="0044164A" w:rsidRPr="00501F3C">
        <w:rPr>
          <w:rFonts w:ascii="Palatino Linotype" w:eastAsia="Times New Roman" w:hAnsi="Palatino Linotype" w:cs="Arial"/>
          <w:lang w:val="es-ES_tradnl"/>
        </w:rPr>
        <w:t xml:space="preserve"> </w:t>
      </w:r>
      <w:r w:rsidRPr="00501F3C">
        <w:rPr>
          <w:rFonts w:ascii="Palatino Linotype" w:eastAsia="Times New Roman" w:hAnsi="Palatino Linotype" w:cs="Arial"/>
          <w:lang w:val="es-ES_tradnl"/>
        </w:rPr>
        <w:t>en</w:t>
      </w:r>
      <w:r w:rsidR="00CC0EC5" w:rsidRPr="00501F3C">
        <w:rPr>
          <w:rFonts w:ascii="Palatino Linotype" w:eastAsia="Times New Roman" w:hAnsi="Palatino Linotype" w:cs="Arial"/>
          <w:lang w:val="es-ES_tradnl"/>
        </w:rPr>
        <w:t xml:space="preserve"> la presente resolución emitida </w:t>
      </w:r>
      <w:r w:rsidR="00CC0EC5" w:rsidRPr="00501F3C">
        <w:rPr>
          <w:rFonts w:ascii="Palatino Linotype" w:hAnsi="Palatino Linotype" w:cs="Arial"/>
        </w:rPr>
        <w:t>por el Pleno del Instituto de Transparencia, Acceso a la Información Pública y Protección de Datos Personales del Estado de Méxic</w:t>
      </w:r>
      <w:r w:rsidRPr="00501F3C">
        <w:rPr>
          <w:rFonts w:ascii="Palatino Linotype" w:hAnsi="Palatino Linotype" w:cs="Arial"/>
        </w:rPr>
        <w:t xml:space="preserve">o y Municipios, en su </w:t>
      </w:r>
      <w:r w:rsidR="00195687" w:rsidRPr="00501F3C">
        <w:rPr>
          <w:rFonts w:ascii="Palatino Linotype" w:hAnsi="Palatino Linotype" w:cs="Arial"/>
        </w:rPr>
        <w:t xml:space="preserve">Décimo </w:t>
      </w:r>
      <w:r w:rsidR="002E4A47" w:rsidRPr="00501F3C">
        <w:rPr>
          <w:rFonts w:ascii="Palatino Linotype" w:hAnsi="Palatino Linotype" w:cs="Arial"/>
        </w:rPr>
        <w:t>Novena</w:t>
      </w:r>
      <w:r w:rsidR="0001698D" w:rsidRPr="00501F3C">
        <w:rPr>
          <w:rFonts w:ascii="Palatino Linotype" w:hAnsi="Palatino Linotype" w:cs="Arial"/>
        </w:rPr>
        <w:t xml:space="preserve"> Sesión</w:t>
      </w:r>
      <w:r w:rsidR="00743244" w:rsidRPr="00501F3C">
        <w:rPr>
          <w:rFonts w:ascii="Palatino Linotype" w:hAnsi="Palatino Linotype" w:cs="Arial"/>
        </w:rPr>
        <w:t xml:space="preserve"> </w:t>
      </w:r>
      <w:r w:rsidR="00CC0EC5" w:rsidRPr="00501F3C">
        <w:rPr>
          <w:rFonts w:ascii="Palatino Linotype" w:hAnsi="Palatino Linotype" w:cs="Arial"/>
        </w:rPr>
        <w:t xml:space="preserve">Ordinaria de fecha </w:t>
      </w:r>
      <w:r w:rsidR="002E4A47" w:rsidRPr="00501F3C">
        <w:rPr>
          <w:rFonts w:ascii="Palatino Linotype" w:hAnsi="Palatino Linotype" w:cs="Arial"/>
        </w:rPr>
        <w:t>veintidós</w:t>
      </w:r>
      <w:r w:rsidR="00CC0EC5" w:rsidRPr="00501F3C">
        <w:rPr>
          <w:rFonts w:ascii="Palatino Linotype" w:hAnsi="Palatino Linotype" w:cs="Arial"/>
        </w:rPr>
        <w:t xml:space="preserve"> </w:t>
      </w:r>
      <w:r w:rsidR="00B32143" w:rsidRPr="00501F3C">
        <w:rPr>
          <w:rFonts w:ascii="Palatino Linotype" w:hAnsi="Palatino Linotype" w:cs="Arial"/>
        </w:rPr>
        <w:t>(</w:t>
      </w:r>
      <w:r w:rsidR="002E4A47" w:rsidRPr="00501F3C">
        <w:rPr>
          <w:rFonts w:ascii="Palatino Linotype" w:hAnsi="Palatino Linotype" w:cs="Arial"/>
        </w:rPr>
        <w:t>2</w:t>
      </w:r>
      <w:r w:rsidR="00195687" w:rsidRPr="00501F3C">
        <w:rPr>
          <w:rFonts w:ascii="Palatino Linotype" w:hAnsi="Palatino Linotype" w:cs="Arial"/>
        </w:rPr>
        <w:t>2</w:t>
      </w:r>
      <w:r w:rsidR="00B1415F" w:rsidRPr="00501F3C">
        <w:rPr>
          <w:rFonts w:ascii="Palatino Linotype" w:hAnsi="Palatino Linotype" w:cs="Arial"/>
        </w:rPr>
        <w:t xml:space="preserve">) de </w:t>
      </w:r>
      <w:r w:rsidR="00185218" w:rsidRPr="00501F3C">
        <w:rPr>
          <w:rFonts w:ascii="Palatino Linotype" w:hAnsi="Palatino Linotype" w:cs="Arial"/>
        </w:rPr>
        <w:t>ma</w:t>
      </w:r>
      <w:r w:rsidR="00195687" w:rsidRPr="00501F3C">
        <w:rPr>
          <w:rFonts w:ascii="Palatino Linotype" w:hAnsi="Palatino Linotype" w:cs="Arial"/>
        </w:rPr>
        <w:t>y</w:t>
      </w:r>
      <w:r w:rsidR="00185218" w:rsidRPr="00501F3C">
        <w:rPr>
          <w:rFonts w:ascii="Palatino Linotype" w:hAnsi="Palatino Linotype" w:cs="Arial"/>
        </w:rPr>
        <w:t>o</w:t>
      </w:r>
      <w:r w:rsidR="00CC0EC5" w:rsidRPr="00501F3C">
        <w:rPr>
          <w:rFonts w:ascii="Palatino Linotype" w:hAnsi="Palatino Linotype" w:cs="Arial"/>
        </w:rPr>
        <w:t xml:space="preserve"> de dos mil dieci</w:t>
      </w:r>
      <w:r w:rsidR="00F7127D" w:rsidRPr="00501F3C">
        <w:rPr>
          <w:rFonts w:ascii="Palatino Linotype" w:hAnsi="Palatino Linotype" w:cs="Arial"/>
        </w:rPr>
        <w:t>nueve</w:t>
      </w:r>
      <w:r w:rsidR="00CC0EC5" w:rsidRPr="00501F3C">
        <w:rPr>
          <w:rFonts w:ascii="Palatino Linotype" w:hAnsi="Palatino Linotype" w:cs="Arial"/>
        </w:rPr>
        <w:t xml:space="preserve">, en el recurso de revisión promovido </w:t>
      </w:r>
      <w:r w:rsidR="00671670" w:rsidRPr="00501F3C">
        <w:rPr>
          <w:rFonts w:ascii="Palatino Linotype" w:hAnsi="Palatino Linotype" w:cs="Arial"/>
        </w:rPr>
        <w:t xml:space="preserve">por una particular </w:t>
      </w:r>
      <w:r w:rsidR="008037FF" w:rsidRPr="00501F3C">
        <w:rPr>
          <w:rFonts w:ascii="Palatino Linotype" w:hAnsi="Palatino Linotype" w:cs="Arial"/>
        </w:rPr>
        <w:t xml:space="preserve">en contra de la </w:t>
      </w:r>
      <w:r w:rsidR="00F511B5" w:rsidRPr="00501F3C">
        <w:rPr>
          <w:rFonts w:ascii="Palatino Linotype" w:hAnsi="Palatino Linotype" w:cs="Arial"/>
        </w:rPr>
        <w:t xml:space="preserve">respuesta del </w:t>
      </w:r>
      <w:r w:rsidR="00B32143" w:rsidRPr="00501F3C">
        <w:rPr>
          <w:rFonts w:ascii="Palatino Linotype" w:hAnsi="Palatino Linotype" w:cs="Arial"/>
          <w:b/>
        </w:rPr>
        <w:t xml:space="preserve">Ayuntamiento de </w:t>
      </w:r>
      <w:r w:rsidR="0054182F">
        <w:rPr>
          <w:rFonts w:ascii="Palatino Linotype" w:hAnsi="Palatino Linotype" w:cs="Arial"/>
          <w:b/>
        </w:rPr>
        <w:t>Tecámac</w:t>
      </w:r>
      <w:r w:rsidR="00CC0EC5" w:rsidRPr="00501F3C">
        <w:rPr>
          <w:rFonts w:ascii="Palatino Linotype" w:hAnsi="Palatino Linotype" w:cs="Arial"/>
        </w:rPr>
        <w:t>, procedimiento al que</w:t>
      </w:r>
      <w:r w:rsidR="00F95E27" w:rsidRPr="00501F3C">
        <w:rPr>
          <w:rFonts w:ascii="Palatino Linotype" w:hAnsi="Palatino Linotype" w:cs="Arial"/>
        </w:rPr>
        <w:t xml:space="preserve"> se le asignó el</w:t>
      </w:r>
      <w:r w:rsidR="00CC0EC5" w:rsidRPr="00501F3C">
        <w:rPr>
          <w:rFonts w:ascii="Palatino Linotype" w:hAnsi="Palatino Linotype" w:cs="Arial"/>
        </w:rPr>
        <w:t xml:space="preserve"> número de expediente </w:t>
      </w:r>
      <w:r w:rsidR="00CE4690" w:rsidRPr="00501F3C">
        <w:rPr>
          <w:rFonts w:ascii="Palatino Linotype" w:eastAsia="Times New Roman" w:hAnsi="Palatino Linotype" w:cs="Arial"/>
          <w:b/>
          <w:bCs/>
          <w:lang w:eastAsia="es-ES"/>
        </w:rPr>
        <w:t>0</w:t>
      </w:r>
      <w:r w:rsidR="002E4A47" w:rsidRPr="00501F3C">
        <w:rPr>
          <w:rFonts w:ascii="Palatino Linotype" w:eastAsia="Times New Roman" w:hAnsi="Palatino Linotype" w:cs="Arial"/>
          <w:b/>
          <w:bCs/>
          <w:lang w:eastAsia="es-ES"/>
        </w:rPr>
        <w:t>1</w:t>
      </w:r>
      <w:r w:rsidR="0054182F">
        <w:rPr>
          <w:rFonts w:ascii="Palatino Linotype" w:eastAsia="Times New Roman" w:hAnsi="Palatino Linotype" w:cs="Arial"/>
          <w:b/>
          <w:bCs/>
          <w:lang w:eastAsia="es-ES"/>
        </w:rPr>
        <w:t>416</w:t>
      </w:r>
      <w:r w:rsidR="00195687" w:rsidRPr="00501F3C">
        <w:rPr>
          <w:rFonts w:ascii="Palatino Linotype" w:eastAsia="Times New Roman" w:hAnsi="Palatino Linotype" w:cs="Arial"/>
          <w:b/>
          <w:bCs/>
          <w:lang w:eastAsia="es-ES"/>
        </w:rPr>
        <w:t>/INFOEM/IP/RR/2019</w:t>
      </w:r>
      <w:r w:rsidR="00366D22" w:rsidRPr="00501F3C">
        <w:rPr>
          <w:rFonts w:ascii="Palatino Linotype" w:eastAsia="Times New Roman" w:hAnsi="Palatino Linotype" w:cs="Arial"/>
          <w:bCs/>
          <w:lang w:eastAsia="es-ES"/>
        </w:rPr>
        <w:t xml:space="preserve">. </w:t>
      </w:r>
    </w:p>
    <w:p w:rsidR="003331EE" w:rsidRPr="00501F3C" w:rsidRDefault="003331EE"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195687" w:rsidRPr="001C6069" w:rsidRDefault="00CB061F" w:rsidP="0019568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color w:val="000000" w:themeColor="text1"/>
        </w:rPr>
      </w:pPr>
      <w:r w:rsidRPr="00501F3C">
        <w:rPr>
          <w:rFonts w:ascii="Palatino Linotype" w:hAnsi="Palatino Linotype" w:cs="Arial"/>
        </w:rPr>
        <w:t xml:space="preserve">La resolución determina </w:t>
      </w:r>
      <w:r w:rsidR="0054182F">
        <w:rPr>
          <w:rFonts w:ascii="Palatino Linotype" w:hAnsi="Palatino Linotype" w:cs="Arial"/>
        </w:rPr>
        <w:t xml:space="preserve">modificar la respuesta entregada por el Sujeto Obligado a la solicitud de información, por resultar parcialmente fundadas las razones o motivos de inconformidad, en términos de los Considerandos QUINTO Y SEXTO de la resolución, y ordena entregar previa búsqueda exhaustiva y </w:t>
      </w:r>
      <w:r w:rsidR="0054182F">
        <w:rPr>
          <w:rFonts w:ascii="Palatino Linotype" w:hAnsi="Palatino Linotype" w:cs="Arial"/>
        </w:rPr>
        <w:lastRenderedPageBreak/>
        <w:t>razonable en todas las áreas</w:t>
      </w:r>
      <w:r w:rsidR="001C6069">
        <w:rPr>
          <w:rFonts w:ascii="Palatino Linotype" w:hAnsi="Palatino Linotype" w:cs="Arial"/>
        </w:rPr>
        <w:t xml:space="preserve"> competentes, de ser el caso en versión pública, el documento que dé cuenta de</w:t>
      </w:r>
      <w:r w:rsidR="00195687" w:rsidRPr="00501F3C">
        <w:rPr>
          <w:rFonts w:ascii="Palatino Linotype" w:hAnsi="Palatino Linotype" w:cs="Arial"/>
        </w:rPr>
        <w:t>:</w:t>
      </w:r>
    </w:p>
    <w:p w:rsidR="001C6069" w:rsidRPr="001C6069" w:rsidRDefault="001C6069" w:rsidP="001C6069">
      <w:pPr>
        <w:pStyle w:val="Prrafodelista"/>
        <w:rPr>
          <w:rFonts w:ascii="Palatino Linotype" w:hAnsi="Palatino Linotype" w:cs="Arial"/>
          <w:color w:val="000000" w:themeColor="text1"/>
        </w:rPr>
      </w:pPr>
    </w:p>
    <w:p w:rsidR="001C6069" w:rsidRPr="001C6069" w:rsidRDefault="001C6069" w:rsidP="001C6069">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357"/>
        </w:tabs>
        <w:spacing w:line="360" w:lineRule="auto"/>
        <w:ind w:right="-93"/>
        <w:jc w:val="both"/>
        <w:rPr>
          <w:rFonts w:ascii="Palatino Linotype" w:hAnsi="Palatino Linotype" w:cs="Tahoma"/>
          <w:bCs/>
          <w:i/>
          <w:szCs w:val="22"/>
        </w:rPr>
      </w:pPr>
      <w:r w:rsidRPr="001C6069">
        <w:rPr>
          <w:rFonts w:ascii="Palatino Linotype" w:hAnsi="Palatino Linotype" w:cs="Tahoma"/>
          <w:bCs/>
          <w:i/>
          <w:szCs w:val="22"/>
        </w:rPr>
        <w:t>Número total de elementos de seguridad pública, tránsito y vialidad municipal.</w:t>
      </w:r>
    </w:p>
    <w:p w:rsidR="001C6069" w:rsidRPr="001C6069" w:rsidRDefault="001C6069" w:rsidP="001C6069">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357"/>
        </w:tabs>
        <w:spacing w:line="360" w:lineRule="auto"/>
        <w:ind w:right="-93"/>
        <w:jc w:val="both"/>
        <w:rPr>
          <w:rFonts w:ascii="Palatino Linotype" w:hAnsi="Palatino Linotype" w:cs="Tahoma"/>
          <w:bCs/>
          <w:i/>
          <w:szCs w:val="22"/>
        </w:rPr>
      </w:pPr>
      <w:r w:rsidRPr="001C6069">
        <w:rPr>
          <w:rFonts w:ascii="Palatino Linotype" w:hAnsi="Palatino Linotype" w:cs="Tahoma"/>
          <w:bCs/>
          <w:i/>
          <w:szCs w:val="22"/>
        </w:rPr>
        <w:t>Total de cuadrantes en el Municipio con sus respectivas zonas y colonias.</w:t>
      </w:r>
    </w:p>
    <w:p w:rsidR="002E4A47" w:rsidRPr="00501F3C" w:rsidRDefault="002E4A47" w:rsidP="002E4A47">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rPr>
      </w:pPr>
    </w:p>
    <w:p w:rsidR="000C1C45" w:rsidRPr="00501F3C" w:rsidRDefault="002E4A47" w:rsidP="00BF734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501F3C">
        <w:rPr>
          <w:rFonts w:ascii="Palatino Linotype" w:hAnsi="Palatino Linotype" w:cs="Tahoma"/>
          <w:bCs/>
          <w:szCs w:val="22"/>
        </w:rPr>
        <w:t>S</w:t>
      </w:r>
      <w:r w:rsidR="000C1C45" w:rsidRPr="00501F3C">
        <w:rPr>
          <w:rFonts w:ascii="Palatino Linotype" w:hAnsi="Palatino Linotype" w:cs="Arial"/>
        </w:rPr>
        <w:t>n embargo, mi vo</w:t>
      </w:r>
      <w:r w:rsidR="00CE4690" w:rsidRPr="00501F3C">
        <w:rPr>
          <w:rFonts w:ascii="Palatino Linotype" w:hAnsi="Palatino Linotype" w:cs="Arial"/>
        </w:rPr>
        <w:t xml:space="preserve">to particular se deriva </w:t>
      </w:r>
      <w:r w:rsidR="00A21F83" w:rsidRPr="00501F3C">
        <w:rPr>
          <w:rFonts w:ascii="Palatino Linotype" w:hAnsi="Palatino Linotype" w:cs="Arial"/>
        </w:rPr>
        <w:t>en razón de que la</w:t>
      </w:r>
      <w:r w:rsidR="003B12E8" w:rsidRPr="00501F3C">
        <w:rPr>
          <w:rFonts w:ascii="Palatino Linotype" w:hAnsi="Palatino Linotype" w:cs="Arial"/>
        </w:rPr>
        <w:t xml:space="preserve"> documentación</w:t>
      </w:r>
      <w:r w:rsidR="00A21F83" w:rsidRPr="00501F3C">
        <w:rPr>
          <w:rFonts w:ascii="Palatino Linotype" w:hAnsi="Palatino Linotype" w:cs="Arial"/>
        </w:rPr>
        <w:t xml:space="preserve"> </w:t>
      </w:r>
      <w:r w:rsidRPr="00501F3C">
        <w:rPr>
          <w:rFonts w:ascii="Palatino Linotype" w:hAnsi="Palatino Linotype" w:cs="Arial"/>
        </w:rPr>
        <w:t xml:space="preserve">que se ordena </w:t>
      </w:r>
      <w:r w:rsidR="00A21F83" w:rsidRPr="00501F3C">
        <w:rPr>
          <w:rFonts w:ascii="Palatino Linotype" w:hAnsi="Palatino Linotype" w:cs="Arial"/>
        </w:rPr>
        <w:t xml:space="preserve">relativa </w:t>
      </w:r>
      <w:r w:rsidRPr="00501F3C">
        <w:rPr>
          <w:rFonts w:ascii="Palatino Linotype" w:hAnsi="Palatino Linotype" w:cs="Arial"/>
        </w:rPr>
        <w:t xml:space="preserve">a </w:t>
      </w:r>
      <w:r w:rsidR="001C6069">
        <w:rPr>
          <w:rFonts w:ascii="Palatino Linotype" w:hAnsi="Palatino Linotype" w:cs="Arial"/>
        </w:rPr>
        <w:t>al número total de elementos de seguridad pública, tránsito y vialidad municipal</w:t>
      </w:r>
      <w:r w:rsidRPr="00501F3C">
        <w:rPr>
          <w:rFonts w:ascii="Palatino Linotype" w:hAnsi="Palatino Linotype" w:cs="Arial"/>
        </w:rPr>
        <w:t xml:space="preserve">, </w:t>
      </w:r>
      <w:r w:rsidR="001C6069">
        <w:rPr>
          <w:rFonts w:ascii="Palatino Linotype" w:hAnsi="Palatino Linotype" w:cs="Arial"/>
        </w:rPr>
        <w:t>pudiera contener el nombre de los</w:t>
      </w:r>
      <w:r w:rsidR="003B12E8" w:rsidRPr="00501F3C">
        <w:rPr>
          <w:rFonts w:ascii="Palatino Linotype" w:hAnsi="Palatino Linotype" w:cs="Arial"/>
        </w:rPr>
        <w:t xml:space="preserve"> elementos</w:t>
      </w:r>
      <w:r w:rsidR="001C6069">
        <w:rPr>
          <w:rFonts w:ascii="Palatino Linotype" w:hAnsi="Palatino Linotype" w:cs="Arial"/>
        </w:rPr>
        <w:t xml:space="preserve"> de seguridad pública </w:t>
      </w:r>
      <w:r w:rsidR="00A21F83" w:rsidRPr="00501F3C">
        <w:rPr>
          <w:rFonts w:ascii="Palatino Linotype" w:hAnsi="Palatino Linotype" w:cs="Arial"/>
        </w:rPr>
        <w:t xml:space="preserve">la ponencia resolutora señaló que pese a la naturaleza de la información, la misma </w:t>
      </w:r>
      <w:r w:rsidR="003B12E8" w:rsidRPr="00501F3C">
        <w:rPr>
          <w:rFonts w:ascii="Palatino Linotype" w:hAnsi="Palatino Linotype" w:cs="Arial"/>
        </w:rPr>
        <w:t>es</w:t>
      </w:r>
      <w:r w:rsidR="00A21F83" w:rsidRPr="00501F3C">
        <w:rPr>
          <w:rFonts w:ascii="Palatino Linotype" w:hAnsi="Palatino Linotype" w:cs="Arial"/>
        </w:rPr>
        <w:t xml:space="preserve"> </w:t>
      </w:r>
      <w:r w:rsidR="00D05D86" w:rsidRPr="00501F3C">
        <w:rPr>
          <w:rFonts w:ascii="Palatino Linotype" w:hAnsi="Palatino Linotype" w:cs="Arial"/>
        </w:rPr>
        <w:t>susceptible de entregarse, en versión pública,</w:t>
      </w:r>
      <w:r w:rsidR="007C13D8" w:rsidRPr="00501F3C">
        <w:rPr>
          <w:rFonts w:ascii="Palatino Linotype" w:hAnsi="Palatino Linotype" w:cs="Arial"/>
        </w:rPr>
        <w:t xml:space="preserve"> </w:t>
      </w:r>
      <w:r w:rsidR="003B12E8" w:rsidRPr="00501F3C">
        <w:rPr>
          <w:rFonts w:ascii="Palatino Linotype" w:hAnsi="Palatino Linotype" w:cs="Arial"/>
        </w:rPr>
        <w:t xml:space="preserve">siendo </w:t>
      </w:r>
      <w:r w:rsidR="007C13D8" w:rsidRPr="00501F3C">
        <w:rPr>
          <w:rFonts w:ascii="Palatino Linotype" w:hAnsi="Palatino Linotype" w:cs="Arial"/>
        </w:rPr>
        <w:t xml:space="preserve">pertinente testar los datos personales, criterio que no comparto, pues en el caso particular es viable </w:t>
      </w:r>
      <w:r w:rsidR="00A21F83" w:rsidRPr="00501F3C">
        <w:rPr>
          <w:rFonts w:ascii="Palatino Linotype" w:hAnsi="Palatino Linotype" w:cs="Arial"/>
        </w:rPr>
        <w:t>ordenar su entrega</w:t>
      </w:r>
      <w:r w:rsidR="00D05D86" w:rsidRPr="00501F3C">
        <w:rPr>
          <w:rFonts w:ascii="Palatino Linotype" w:hAnsi="Palatino Linotype" w:cs="Arial"/>
        </w:rPr>
        <w:t xml:space="preserve"> </w:t>
      </w:r>
      <w:r w:rsidR="00D05D86" w:rsidRPr="00501F3C">
        <w:rPr>
          <w:rFonts w:ascii="Palatino Linotype" w:hAnsi="Palatino Linotype" w:cs="Arial"/>
          <w:b/>
        </w:rPr>
        <w:t>disocia</w:t>
      </w:r>
      <w:r w:rsidR="007C13D8" w:rsidRPr="00501F3C">
        <w:rPr>
          <w:rFonts w:ascii="Palatino Linotype" w:hAnsi="Palatino Linotype" w:cs="Arial"/>
          <w:b/>
        </w:rPr>
        <w:t>n</w:t>
      </w:r>
      <w:r w:rsidR="00D05D86" w:rsidRPr="00501F3C">
        <w:rPr>
          <w:rFonts w:ascii="Palatino Linotype" w:hAnsi="Palatino Linotype" w:cs="Arial"/>
          <w:b/>
        </w:rPr>
        <w:t xml:space="preserve">do </w:t>
      </w:r>
      <w:r w:rsidR="00D05D86" w:rsidRPr="00501F3C">
        <w:rPr>
          <w:rFonts w:ascii="Palatino Linotype" w:hAnsi="Palatino Linotype" w:cs="Arial"/>
        </w:rPr>
        <w:t>la información referente a los nombres, y no sólo testarlos u ordenarlos clasificar como información reservada.</w:t>
      </w:r>
    </w:p>
    <w:p w:rsidR="000C1C45" w:rsidRPr="00501F3C" w:rsidRDefault="000C1C45" w:rsidP="000C1C45">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rPr>
      </w:pPr>
    </w:p>
    <w:p w:rsidR="00CC0EC5" w:rsidRPr="00501F3C" w:rsidRDefault="00CC0EC5"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501F3C">
        <w:rPr>
          <w:rFonts w:ascii="Palatino Linotype" w:hAnsi="Palatino Linotype" w:cs="Arial"/>
          <w:color w:val="000000" w:themeColor="text1"/>
        </w:rPr>
        <w:t xml:space="preserve">Por </w:t>
      </w:r>
      <w:r w:rsidR="007B70C2" w:rsidRPr="00501F3C">
        <w:rPr>
          <w:rFonts w:ascii="Palatino Linotype" w:hAnsi="Palatino Linotype" w:cs="Arial"/>
          <w:color w:val="000000" w:themeColor="text1"/>
        </w:rPr>
        <w:t xml:space="preserve">los motivos y las razones de hecho y de derecho que se señalan a continuación y en términos de lo señalado por </w:t>
      </w:r>
      <w:r w:rsidR="00E12C1D" w:rsidRPr="00501F3C">
        <w:rPr>
          <w:rFonts w:ascii="Palatino Linotype" w:hAnsi="Palatino Linotype" w:cs="Arial"/>
          <w:color w:val="000000" w:themeColor="text1"/>
        </w:rPr>
        <w:t>el</w:t>
      </w:r>
      <w:r w:rsidR="007B70C2" w:rsidRPr="00501F3C">
        <w:rPr>
          <w:rFonts w:ascii="Palatino Linotype" w:hAnsi="Palatino Linotype" w:cs="Arial"/>
          <w:color w:val="000000" w:themeColor="text1"/>
        </w:rPr>
        <w:t xml:space="preserve"> </w:t>
      </w:r>
      <w:r w:rsidR="00E12C1D" w:rsidRPr="00501F3C">
        <w:rPr>
          <w:rFonts w:ascii="Palatino Linotype" w:hAnsi="Palatino Linotype" w:cs="Arial"/>
          <w:color w:val="000000" w:themeColor="text1"/>
        </w:rPr>
        <w:t>artículo</w:t>
      </w:r>
      <w:r w:rsidR="007B70C2" w:rsidRPr="00501F3C">
        <w:rPr>
          <w:rFonts w:ascii="Palatino Linotype" w:hAnsi="Palatino Linotype" w:cs="Arial"/>
          <w:color w:val="000000" w:themeColor="text1"/>
        </w:rPr>
        <w:t xml:space="preserve"> </w:t>
      </w:r>
      <w:r w:rsidR="00E12C1D" w:rsidRPr="00501F3C">
        <w:rPr>
          <w:rFonts w:ascii="Palatino Linotype" w:hAnsi="Palatino Linotype" w:cs="Arial"/>
          <w:color w:val="000000" w:themeColor="text1"/>
        </w:rPr>
        <w:t>14</w:t>
      </w:r>
      <w:r w:rsidR="007B70C2" w:rsidRPr="00501F3C">
        <w:rPr>
          <w:rFonts w:ascii="Palatino Linotype" w:hAnsi="Palatino Linotype" w:cs="Arial"/>
          <w:color w:val="000000" w:themeColor="text1"/>
        </w:rPr>
        <w:t xml:space="preserve"> fracción </w:t>
      </w:r>
      <w:r w:rsidR="00E12C1D" w:rsidRPr="00501F3C">
        <w:rPr>
          <w:rFonts w:ascii="Palatino Linotype" w:hAnsi="Palatino Linotype" w:cs="Arial"/>
          <w:color w:val="000000" w:themeColor="text1"/>
        </w:rPr>
        <w:t>XI</w:t>
      </w:r>
      <w:r w:rsidR="007B70C2" w:rsidRPr="00501F3C">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501F3C">
        <w:rPr>
          <w:rFonts w:ascii="Palatino Linotype" w:hAnsi="Palatino Linotype" w:cs="Arial"/>
          <w:color w:val="000000" w:themeColor="text1"/>
        </w:rPr>
        <w:t>,</w:t>
      </w:r>
      <w:r w:rsidR="007B70C2" w:rsidRPr="00501F3C">
        <w:rPr>
          <w:rFonts w:ascii="Palatino Linotype" w:hAnsi="Palatino Linotype" w:cs="Arial"/>
          <w:color w:val="000000" w:themeColor="text1"/>
        </w:rPr>
        <w:t xml:space="preserve"> fo</w:t>
      </w:r>
      <w:r w:rsidR="00374684" w:rsidRPr="00501F3C">
        <w:rPr>
          <w:rFonts w:ascii="Palatino Linotype" w:hAnsi="Palatino Linotype" w:cs="Arial"/>
          <w:color w:val="000000" w:themeColor="text1"/>
        </w:rPr>
        <w:t>rmulo el presente voto particular</w:t>
      </w:r>
      <w:r w:rsidR="007B70C2" w:rsidRPr="00501F3C">
        <w:rPr>
          <w:rFonts w:ascii="Palatino Linotype" w:hAnsi="Palatino Linotype" w:cs="Arial"/>
          <w:color w:val="000000" w:themeColor="text1"/>
        </w:rPr>
        <w:t xml:space="preserve">. </w:t>
      </w:r>
    </w:p>
    <w:p w:rsidR="00F511B5" w:rsidRPr="00501F3C" w:rsidRDefault="00F511B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501F3C" w:rsidRDefault="00A410B3" w:rsidP="00FA1140">
      <w:pPr>
        <w:pStyle w:val="Ttulo1"/>
      </w:pPr>
      <w:bookmarkStart w:id="3" w:name="_Toc473810012"/>
      <w:bookmarkStart w:id="4" w:name="_Toc8208622"/>
      <w:bookmarkStart w:id="5" w:name="_Toc472594392"/>
      <w:bookmarkStart w:id="6" w:name="_Toc485911590"/>
      <w:r w:rsidRPr="00501F3C">
        <w:t>De los requerimientos planteados en el recurso de revisión.</w:t>
      </w:r>
      <w:bookmarkEnd w:id="3"/>
      <w:bookmarkEnd w:id="4"/>
    </w:p>
    <w:p w:rsidR="00A410B3" w:rsidRPr="00501F3C" w:rsidRDefault="00A410B3" w:rsidP="0001698D">
      <w:pPr>
        <w:pStyle w:val="Prrafodelista"/>
        <w:spacing w:line="360" w:lineRule="auto"/>
        <w:ind w:left="1080"/>
        <w:jc w:val="both"/>
        <w:rPr>
          <w:rFonts w:ascii="Palatino Linotype" w:hAnsi="Palatino Linotype" w:cs="Arial"/>
          <w:b/>
        </w:rPr>
      </w:pPr>
    </w:p>
    <w:p w:rsidR="004603A9" w:rsidRPr="00501F3C" w:rsidRDefault="00CC0EC5" w:rsidP="003B12E8">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imes New Roman" w:hAnsi="Palatino Linotype"/>
          <w:i/>
          <w:lang w:val="es-ES_tradnl" w:eastAsia="es-ES"/>
        </w:rPr>
      </w:pPr>
      <w:r w:rsidRPr="00501F3C">
        <w:rPr>
          <w:rFonts w:ascii="Palatino Linotype" w:hAnsi="Palatino Linotype" w:cs="Arial"/>
        </w:rPr>
        <w:t xml:space="preserve">El particular requirió del </w:t>
      </w:r>
      <w:r w:rsidR="00D97CBF" w:rsidRPr="00501F3C">
        <w:rPr>
          <w:rFonts w:ascii="Palatino Linotype" w:hAnsi="Palatino Linotype"/>
          <w:b/>
        </w:rPr>
        <w:t xml:space="preserve">Ayuntamiento de </w:t>
      </w:r>
      <w:r w:rsidR="001C6069">
        <w:rPr>
          <w:rFonts w:ascii="Palatino Linotype" w:hAnsi="Palatino Linotype"/>
          <w:b/>
        </w:rPr>
        <w:t>Tecámac</w:t>
      </w:r>
      <w:r w:rsidR="00374684" w:rsidRPr="00501F3C">
        <w:rPr>
          <w:rFonts w:ascii="Palatino Linotype" w:hAnsi="Palatino Linotype"/>
          <w:b/>
        </w:rPr>
        <w:t xml:space="preserve"> </w:t>
      </w:r>
      <w:r w:rsidRPr="00501F3C">
        <w:rPr>
          <w:rFonts w:ascii="Palatino Linotype" w:hAnsi="Palatino Linotype" w:cs="Arial"/>
        </w:rPr>
        <w:t>lo siguiente:</w:t>
      </w:r>
    </w:p>
    <w:p w:rsidR="003B12E8" w:rsidRPr="00501F3C" w:rsidRDefault="003B12E8" w:rsidP="003B12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eastAsia="Times New Roman" w:hAnsi="Palatino Linotype"/>
          <w:i/>
          <w:lang w:val="es-ES_tradnl" w:eastAsia="es-ES"/>
        </w:rPr>
      </w:pPr>
    </w:p>
    <w:p w:rsidR="004603A9" w:rsidRPr="00501F3C" w:rsidRDefault="003B12E8" w:rsidP="003B12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851" w:right="616"/>
        <w:jc w:val="both"/>
        <w:rPr>
          <w:rFonts w:ascii="Palatino Linotype" w:eastAsia="Times New Roman" w:hAnsi="Palatino Linotype"/>
          <w:i/>
          <w:lang w:val="es-ES_tradnl" w:eastAsia="es-ES"/>
        </w:rPr>
      </w:pPr>
      <w:r w:rsidRPr="00501F3C">
        <w:rPr>
          <w:rFonts w:ascii="Palatino Linotype" w:hAnsi="Palatino Linotype" w:cs="Tahoma"/>
          <w:bCs/>
          <w:i/>
          <w:sz w:val="22"/>
          <w:szCs w:val="22"/>
        </w:rPr>
        <w:t>“Contrato, monto mensual y anual por los servicios de comunicación y periodismo con Tv urbana noticias. Listado de personal de la administración 2019-2021. Nómina de todo el personal de la administración municipal 2019-2021 incluyendo presidente, sindico, regidores, directores, coordinadores, subdirectores, jefes de departamento Monto de la deuda municipal con corte al 31 de enero de 2019.”</w:t>
      </w:r>
    </w:p>
    <w:p w:rsidR="003B12E8" w:rsidRPr="00501F3C" w:rsidRDefault="003B12E8" w:rsidP="003B12E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851" w:right="616"/>
        <w:jc w:val="both"/>
        <w:rPr>
          <w:rFonts w:ascii="Palatino Linotype" w:eastAsia="Times New Roman" w:hAnsi="Palatino Linotype"/>
          <w:i/>
          <w:lang w:val="es-ES_tradnl" w:eastAsia="es-ES"/>
        </w:rPr>
      </w:pPr>
    </w:p>
    <w:p w:rsidR="007C13D8" w:rsidRPr="00501F3C" w:rsidRDefault="00CC0EC5"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El </w:t>
      </w:r>
      <w:r w:rsidR="004603A9" w:rsidRPr="00501F3C">
        <w:rPr>
          <w:rFonts w:ascii="Palatino Linotype" w:hAnsi="Palatino Linotype" w:cs="Arial"/>
          <w:b/>
        </w:rPr>
        <w:t>SUJETO OBLIGADO</w:t>
      </w:r>
      <w:r w:rsidR="007C13D8" w:rsidRPr="00501F3C">
        <w:rPr>
          <w:rFonts w:ascii="Palatino Linotype" w:hAnsi="Palatino Linotype" w:cs="Arial"/>
        </w:rPr>
        <w:t xml:space="preserve"> no emitió respuesta a las solicitudes de información formuladas por el recurrente. </w:t>
      </w:r>
    </w:p>
    <w:p w:rsidR="007C13D8" w:rsidRPr="00501F3C" w:rsidRDefault="007C13D8" w:rsidP="007C13D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370A13" w:rsidRPr="00501F3C" w:rsidRDefault="00671670"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Derivado de lo anterior</w:t>
      </w:r>
      <w:r w:rsidR="00CC0EC5" w:rsidRPr="00501F3C">
        <w:rPr>
          <w:rFonts w:ascii="Palatino Linotype" w:hAnsi="Palatino Linotype" w:cs="Arial"/>
        </w:rPr>
        <w:t>,</w:t>
      </w:r>
      <w:r w:rsidR="00CC0EC5" w:rsidRPr="00501F3C">
        <w:rPr>
          <w:rFonts w:ascii="Palatino Linotype" w:hAnsi="Palatino Linotype" w:cs="Arial"/>
          <w:b/>
        </w:rPr>
        <w:t xml:space="preserve"> </w:t>
      </w:r>
      <w:r w:rsidRPr="00501F3C">
        <w:rPr>
          <w:rFonts w:ascii="Palatino Linotype" w:hAnsi="Palatino Linotype" w:cs="Arial"/>
        </w:rPr>
        <w:t>la</w:t>
      </w:r>
      <w:r w:rsidR="00CC0EC5" w:rsidRPr="00501F3C">
        <w:rPr>
          <w:rFonts w:ascii="Palatino Linotype" w:hAnsi="Palatino Linotype" w:cs="Arial"/>
        </w:rPr>
        <w:t xml:space="preserve"> particular </w:t>
      </w:r>
      <w:r w:rsidR="001E6151" w:rsidRPr="00501F3C">
        <w:rPr>
          <w:rFonts w:ascii="Palatino Linotype" w:hAnsi="Palatino Linotype" w:cs="Arial"/>
        </w:rPr>
        <w:t>promovió el medio de impugnación</w:t>
      </w:r>
      <w:r w:rsidRPr="00501F3C">
        <w:rPr>
          <w:rFonts w:ascii="Palatino Linotype" w:hAnsi="Palatino Linotype" w:cs="Arial"/>
        </w:rPr>
        <w:t xml:space="preserve">, mediante el cual manifestó sustancialmente </w:t>
      </w:r>
      <w:r w:rsidR="003B12E8" w:rsidRPr="00501F3C">
        <w:rPr>
          <w:rFonts w:ascii="Palatino Linotype" w:hAnsi="Palatino Linotype" w:cs="Arial"/>
        </w:rPr>
        <w:t xml:space="preserve">que transcurrió el plazo sin que haya emitido respuesta. </w:t>
      </w:r>
    </w:p>
    <w:p w:rsidR="00370A13" w:rsidRPr="00501F3C" w:rsidRDefault="00370A13" w:rsidP="00370A13">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97CBF" w:rsidRPr="00501F3C" w:rsidRDefault="00D97CBF" w:rsidP="00FA1140">
      <w:pPr>
        <w:pStyle w:val="Ttulo1"/>
      </w:pPr>
      <w:bookmarkStart w:id="7" w:name="_Toc8208623"/>
      <w:r w:rsidRPr="00501F3C">
        <w:t>D</w:t>
      </w:r>
      <w:r w:rsidR="00370A13" w:rsidRPr="00501F3C">
        <w:t>el estudio de la P</w:t>
      </w:r>
      <w:r w:rsidR="00C819C8" w:rsidRPr="00501F3C">
        <w:t>onencia</w:t>
      </w:r>
      <w:r w:rsidR="00370A13" w:rsidRPr="00501F3C">
        <w:t xml:space="preserve"> Resolutora</w:t>
      </w:r>
      <w:r w:rsidR="00C819C8" w:rsidRPr="00501F3C">
        <w:t>.</w:t>
      </w:r>
      <w:bookmarkEnd w:id="7"/>
      <w:r w:rsidR="00C819C8" w:rsidRPr="00501F3C">
        <w:t xml:space="preserve"> </w:t>
      </w:r>
    </w:p>
    <w:p w:rsidR="00CC0EC5" w:rsidRPr="00501F3C" w:rsidRDefault="00CC0EC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bookmarkEnd w:id="5"/>
    <w:bookmarkEnd w:id="6"/>
    <w:p w:rsidR="00B664BB" w:rsidRPr="00501F3C" w:rsidRDefault="00370A13"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D</w:t>
      </w:r>
      <w:r w:rsidR="00D97CBF" w:rsidRPr="00501F3C">
        <w:rPr>
          <w:rFonts w:ascii="Palatino Linotype" w:hAnsi="Palatino Linotype" w:cs="Arial"/>
        </w:rPr>
        <w:t xml:space="preserve">e lo </w:t>
      </w:r>
      <w:r w:rsidRPr="00501F3C">
        <w:rPr>
          <w:rFonts w:ascii="Palatino Linotype" w:hAnsi="Palatino Linotype" w:cs="Arial"/>
        </w:rPr>
        <w:t>requerido</w:t>
      </w:r>
      <w:r w:rsidR="00C819C8" w:rsidRPr="00501F3C">
        <w:rPr>
          <w:rFonts w:ascii="Palatino Linotype" w:hAnsi="Palatino Linotype" w:cs="Arial"/>
        </w:rPr>
        <w:t xml:space="preserve"> </w:t>
      </w:r>
      <w:r w:rsidRPr="00501F3C">
        <w:rPr>
          <w:rFonts w:ascii="Palatino Linotype" w:hAnsi="Palatino Linotype" w:cs="Arial"/>
        </w:rPr>
        <w:t>en la solicitud de información</w:t>
      </w:r>
      <w:r w:rsidR="00AC5011" w:rsidRPr="00501F3C">
        <w:rPr>
          <w:rFonts w:ascii="Palatino Linotype" w:hAnsi="Palatino Linotype" w:cs="Arial"/>
        </w:rPr>
        <w:t>, la P</w:t>
      </w:r>
      <w:r w:rsidR="00C819C8" w:rsidRPr="00501F3C">
        <w:rPr>
          <w:rFonts w:ascii="Palatino Linotype" w:hAnsi="Palatino Linotype" w:cs="Arial"/>
        </w:rPr>
        <w:t xml:space="preserve">onencia </w:t>
      </w:r>
      <w:r w:rsidR="00AC5011" w:rsidRPr="00501F3C">
        <w:rPr>
          <w:rFonts w:ascii="Palatino Linotype" w:hAnsi="Palatino Linotype" w:cs="Arial"/>
        </w:rPr>
        <w:t xml:space="preserve">Resolutora </w:t>
      </w:r>
      <w:r w:rsidR="00C819C8" w:rsidRPr="00501F3C">
        <w:rPr>
          <w:rFonts w:ascii="Palatino Linotype" w:hAnsi="Palatino Linotype" w:cs="Arial"/>
        </w:rPr>
        <w:t xml:space="preserve">determinó que derivado de las atribuciones, facultades y competencias </w:t>
      </w:r>
      <w:r w:rsidR="001E6151" w:rsidRPr="00501F3C">
        <w:rPr>
          <w:rFonts w:ascii="Palatino Linotype" w:hAnsi="Palatino Linotype" w:cs="Arial"/>
        </w:rPr>
        <w:t>d</w:t>
      </w:r>
      <w:r w:rsidR="00C819C8" w:rsidRPr="00501F3C">
        <w:rPr>
          <w:rFonts w:ascii="Palatino Linotype" w:hAnsi="Palatino Linotype" w:cs="Arial"/>
        </w:rPr>
        <w:t xml:space="preserve">el </w:t>
      </w:r>
      <w:r w:rsidRPr="00501F3C">
        <w:rPr>
          <w:rFonts w:ascii="Palatino Linotype" w:hAnsi="Palatino Linotype" w:cs="Arial"/>
          <w:b/>
        </w:rPr>
        <w:t>SUJETO OBLIGADO</w:t>
      </w:r>
      <w:r w:rsidR="00C819C8" w:rsidRPr="00501F3C">
        <w:rPr>
          <w:rFonts w:ascii="Palatino Linotype" w:hAnsi="Palatino Linotype" w:cs="Arial"/>
          <w:b/>
        </w:rPr>
        <w:t xml:space="preserve">, </w:t>
      </w:r>
      <w:r w:rsidR="001E6151" w:rsidRPr="00501F3C">
        <w:rPr>
          <w:rFonts w:ascii="Palatino Linotype" w:hAnsi="Palatino Linotype" w:cs="Arial"/>
        </w:rPr>
        <w:t>era d</w:t>
      </w:r>
      <w:r w:rsidR="00C819C8" w:rsidRPr="00501F3C">
        <w:rPr>
          <w:rFonts w:ascii="Palatino Linotype" w:hAnsi="Palatino Linotype" w:cs="Arial"/>
        </w:rPr>
        <w:t>able ordenar</w:t>
      </w:r>
      <w:r w:rsidRPr="00501F3C">
        <w:rPr>
          <w:rFonts w:ascii="Palatino Linotype" w:hAnsi="Palatino Linotype" w:cs="Arial"/>
        </w:rPr>
        <w:t xml:space="preserve"> se pusiera </w:t>
      </w:r>
      <w:r w:rsidR="00C819C8" w:rsidRPr="00501F3C">
        <w:rPr>
          <w:rFonts w:ascii="Palatino Linotype" w:hAnsi="Palatino Linotype" w:cs="Arial"/>
        </w:rPr>
        <w:t xml:space="preserve"> </w:t>
      </w:r>
      <w:r w:rsidRPr="00501F3C">
        <w:rPr>
          <w:rFonts w:ascii="Palatino Linotype" w:hAnsi="Palatino Linotype" w:cs="Arial"/>
        </w:rPr>
        <w:t>disposición de la particular</w:t>
      </w:r>
      <w:r w:rsidR="00C819C8" w:rsidRPr="00501F3C">
        <w:rPr>
          <w:rFonts w:ascii="Palatino Linotype" w:hAnsi="Palatino Linotype" w:cs="Arial"/>
        </w:rPr>
        <w:t xml:space="preserve"> la información </w:t>
      </w:r>
      <w:r w:rsidRPr="00501F3C">
        <w:rPr>
          <w:rFonts w:ascii="Palatino Linotype" w:hAnsi="Palatino Linotype" w:cs="Arial"/>
        </w:rPr>
        <w:t>señalada en párrafos anteriores.</w:t>
      </w:r>
    </w:p>
    <w:p w:rsidR="00E36F32" w:rsidRPr="00501F3C" w:rsidRDefault="00E36F32" w:rsidP="00E36F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370A13" w:rsidRPr="00501F3C" w:rsidRDefault="000C7056" w:rsidP="00501F3C">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No obstante</w:t>
      </w:r>
      <w:r w:rsidR="00C819C8" w:rsidRPr="00501F3C">
        <w:rPr>
          <w:rFonts w:ascii="Palatino Linotype" w:hAnsi="Palatino Linotype" w:cs="Arial"/>
        </w:rPr>
        <w:t>,</w:t>
      </w:r>
      <w:r w:rsidR="00E77954" w:rsidRPr="00501F3C">
        <w:rPr>
          <w:rFonts w:ascii="Palatino Linotype" w:hAnsi="Palatino Linotype" w:cs="Arial"/>
        </w:rPr>
        <w:t xml:space="preserve"> del mismo modo señaló que </w:t>
      </w:r>
      <w:r w:rsidR="00E77954" w:rsidRPr="00501F3C">
        <w:rPr>
          <w:rFonts w:ascii="Palatino Linotype" w:hAnsi="Palatino Linotype" w:cs="Arial"/>
          <w:b/>
        </w:rPr>
        <w:t>“</w:t>
      </w:r>
      <w:r w:rsidR="00501F3C" w:rsidRPr="00501F3C">
        <w:rPr>
          <w:rFonts w:ascii="Palatino Linotype" w:hAnsi="Palatino Linotype" w:cs="Arial"/>
          <w:b/>
        </w:rPr>
        <w:t xml:space="preserve">el nombre de policías es susceptible de clasificarse, lo restante es acreditar que el conocer el nombre de un servidor público relacionado con funciones de seguridad pública, pone en riesgo la vida, </w:t>
      </w:r>
      <w:r w:rsidR="00501F3C" w:rsidRPr="00501F3C">
        <w:rPr>
          <w:rFonts w:ascii="Palatino Linotype" w:hAnsi="Palatino Linotype" w:cs="Arial"/>
          <w:b/>
        </w:rPr>
        <w:lastRenderedPageBreak/>
        <w:t>seguridad o salud de este</w:t>
      </w:r>
      <w:r w:rsidR="00C819C8" w:rsidRPr="00501F3C">
        <w:rPr>
          <w:rFonts w:ascii="Palatino Linotype" w:hAnsi="Palatino Linotype" w:cs="Arial"/>
          <w:b/>
        </w:rPr>
        <w:t>”,</w:t>
      </w:r>
      <w:r w:rsidR="00C819C8" w:rsidRPr="00501F3C">
        <w:rPr>
          <w:rFonts w:ascii="Palatino Linotype" w:hAnsi="Palatino Linotype" w:cs="Arial"/>
        </w:rPr>
        <w:t xml:space="preserve"> </w:t>
      </w:r>
      <w:r w:rsidR="00370A13" w:rsidRPr="00501F3C">
        <w:rPr>
          <w:rFonts w:ascii="Palatino Linotype" w:hAnsi="Palatino Linotype" w:cs="Arial"/>
        </w:rPr>
        <w:t>la Ponencia R</w:t>
      </w:r>
      <w:r w:rsidRPr="00501F3C">
        <w:rPr>
          <w:rFonts w:ascii="Palatino Linotype" w:hAnsi="Palatino Linotype" w:cs="Arial"/>
        </w:rPr>
        <w:t xml:space="preserve">esolutora argumentó que </w:t>
      </w:r>
      <w:r w:rsidR="00B664BB" w:rsidRPr="00501F3C">
        <w:rPr>
          <w:rFonts w:ascii="Palatino Linotype" w:hAnsi="Palatino Linotype" w:cs="Arial"/>
        </w:rPr>
        <w:t xml:space="preserve">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w:t>
      </w:r>
      <w:r w:rsidR="00370A13" w:rsidRPr="00501F3C">
        <w:rPr>
          <w:rFonts w:ascii="Palatino Linotype" w:hAnsi="Palatino Linotype" w:cs="Arial"/>
        </w:rPr>
        <w:t>el caso particular de los nombres de los servidores públicos con funciones operativas, como es el caso de policías,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w:t>
      </w:r>
      <w:r w:rsidR="00B664BB" w:rsidRPr="00501F3C">
        <w:rPr>
          <w:rFonts w:ascii="Palatino Linotype" w:hAnsi="Palatino Linotype" w:cs="Arial"/>
        </w:rPr>
        <w:t xml:space="preserve">to para garantizar la seguridad; considerando con ello ordenar dichos documentos, en versión pública </w:t>
      </w:r>
      <w:r w:rsidR="00AC5011" w:rsidRPr="00501F3C">
        <w:rPr>
          <w:rFonts w:ascii="Palatino Linotype" w:hAnsi="Palatino Linotype" w:cs="Arial"/>
        </w:rPr>
        <w:t>clasificando</w:t>
      </w:r>
      <w:r w:rsidR="00B664BB" w:rsidRPr="00501F3C">
        <w:rPr>
          <w:rFonts w:ascii="Palatino Linotype" w:hAnsi="Palatino Linotype" w:cs="Arial"/>
        </w:rPr>
        <w:t xml:space="preserve"> lo relativo al nombre de los servidores públicos que tienen </w:t>
      </w:r>
      <w:r w:rsidR="00AC5011" w:rsidRPr="00501F3C">
        <w:rPr>
          <w:rFonts w:ascii="Palatino Linotype" w:hAnsi="Palatino Linotype" w:cs="Arial"/>
        </w:rPr>
        <w:t xml:space="preserve">asignadas </w:t>
      </w:r>
      <w:r w:rsidR="00B664BB" w:rsidRPr="00501F3C">
        <w:rPr>
          <w:rFonts w:ascii="Palatino Linotype" w:hAnsi="Palatino Linotype" w:cs="Arial"/>
        </w:rPr>
        <w:t>funciones operativas en materia de seguridad pública.</w:t>
      </w:r>
    </w:p>
    <w:p w:rsidR="00370A13" w:rsidRPr="00501F3C" w:rsidRDefault="00370A13" w:rsidP="00370A13">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664BB" w:rsidRPr="00501F3C" w:rsidRDefault="00AC5011"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En ese mismo sentido se refirió </w:t>
      </w:r>
      <w:r w:rsidR="008037FF" w:rsidRPr="00501F3C">
        <w:rPr>
          <w:rFonts w:ascii="Palatino Linotype" w:hAnsi="Palatino Linotype" w:cs="Arial"/>
        </w:rPr>
        <w:t xml:space="preserve">que </w:t>
      </w:r>
      <w:r w:rsidRPr="00501F3C">
        <w:rPr>
          <w:rFonts w:ascii="Palatino Linotype" w:hAnsi="Palatino Linotype" w:cs="Arial"/>
        </w:rPr>
        <w:t xml:space="preserve">si bien </w:t>
      </w:r>
      <w:r w:rsidR="00C237B4" w:rsidRPr="00501F3C">
        <w:rPr>
          <w:rFonts w:ascii="Palatino Linotype" w:hAnsi="Palatino Linotype" w:cs="Arial"/>
        </w:rPr>
        <w:t>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B664BB" w:rsidRPr="00501F3C" w:rsidRDefault="00B664BB" w:rsidP="00B664B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AC5011" w:rsidRPr="00501F3C" w:rsidRDefault="00315C7A"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lastRenderedPageBreak/>
        <w:t xml:space="preserve">Asimismo, </w:t>
      </w:r>
      <w:r w:rsidR="008037FF" w:rsidRPr="00501F3C">
        <w:rPr>
          <w:rFonts w:ascii="Palatino Linotype" w:hAnsi="Palatino Linotype" w:cs="Arial"/>
        </w:rPr>
        <w:t xml:space="preserve">se </w:t>
      </w:r>
      <w:r w:rsidRPr="00501F3C">
        <w:rPr>
          <w:rFonts w:ascii="Palatino Linotype" w:hAnsi="Palatino Linotype" w:cs="Arial"/>
        </w:rPr>
        <w:t xml:space="preserve">determinó procedente </w:t>
      </w:r>
      <w:r w:rsidR="00B664BB" w:rsidRPr="00501F3C">
        <w:rPr>
          <w:rFonts w:ascii="Palatino Linotype" w:hAnsi="Palatino Linotype" w:cs="Arial"/>
        </w:rPr>
        <w:t xml:space="preserve">que sobre los documentos que contengan datos personales confidenciales, así como la información reservada que ha sido analizada, </w:t>
      </w:r>
      <w:r w:rsidR="00AC5011" w:rsidRPr="00501F3C">
        <w:rPr>
          <w:rFonts w:ascii="Palatino Linotype" w:hAnsi="Palatino Linotype" w:cs="Arial"/>
        </w:rPr>
        <w:t xml:space="preserve">el </w:t>
      </w:r>
      <w:r w:rsidR="00AC5011" w:rsidRPr="00501F3C">
        <w:rPr>
          <w:rFonts w:ascii="Palatino Linotype" w:hAnsi="Palatino Linotype" w:cs="Arial"/>
          <w:b/>
        </w:rPr>
        <w:t>SUJETO OBLIGADO</w:t>
      </w:r>
      <w:r w:rsidR="00AC5011" w:rsidRPr="00501F3C">
        <w:rPr>
          <w:rFonts w:ascii="Palatino Linotype" w:hAnsi="Palatino Linotype" w:cs="Arial"/>
        </w:rPr>
        <w:t xml:space="preserve"> debería e</w:t>
      </w:r>
      <w:r w:rsidR="00B664BB" w:rsidRPr="00501F3C">
        <w:rPr>
          <w:rFonts w:ascii="Palatino Linotype" w:hAnsi="Palatino Linotype" w:cs="Arial"/>
        </w:rPr>
        <w:t xml:space="preserve">laborar la versión pública correspondiente y emitir el acuerdo de clasificación </w:t>
      </w:r>
      <w:r w:rsidR="00AC5011" w:rsidRPr="00501F3C">
        <w:rPr>
          <w:rFonts w:ascii="Palatino Linotype" w:hAnsi="Palatino Linotype" w:cs="Arial"/>
        </w:rPr>
        <w:t>a través de su</w:t>
      </w:r>
      <w:r w:rsidR="00B664BB" w:rsidRPr="00501F3C">
        <w:rPr>
          <w:rFonts w:ascii="Palatino Linotype" w:hAnsi="Palatino Linotype" w:cs="Arial"/>
        </w:rPr>
        <w:t xml:space="preserve"> Comité de Transparencia, según lo dispuesto en los artículos 49, fracciones II y VIII, 140, fracciones IV y VI, 143, fracción I y 149 de la Ley de Transparencia y Acceso a la Información Pública del Estado de México.</w:t>
      </w:r>
    </w:p>
    <w:p w:rsidR="00AC5011" w:rsidRPr="00501F3C" w:rsidRDefault="00AC5011" w:rsidP="00AC5011">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1D2190" w:rsidRPr="00501F3C" w:rsidRDefault="00AC0CEB"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Por lo anteriormente expuesto es que esta P</w:t>
      </w:r>
      <w:r w:rsidR="00442007" w:rsidRPr="00501F3C">
        <w:rPr>
          <w:rFonts w:ascii="Palatino Linotype" w:hAnsi="Palatino Linotype" w:cs="Arial"/>
        </w:rPr>
        <w:t xml:space="preserve">onencia no comparte </w:t>
      </w:r>
      <w:r w:rsidRPr="00501F3C">
        <w:rPr>
          <w:rFonts w:ascii="Palatino Linotype" w:hAnsi="Palatino Linotype" w:cs="Arial"/>
        </w:rPr>
        <w:t xml:space="preserve">en su totalidad el criterio adoptado al momento de ordenar la entrega de la información, por los siguientes argumentos que a continuación se expondrán. </w:t>
      </w:r>
    </w:p>
    <w:p w:rsidR="00442007" w:rsidRPr="00501F3C" w:rsidRDefault="00442007" w:rsidP="0001698D">
      <w:pPr>
        <w:pStyle w:val="Prrafodelista"/>
        <w:spacing w:line="360" w:lineRule="auto"/>
        <w:rPr>
          <w:rFonts w:ascii="Palatino Linotype" w:hAnsi="Palatino Linotype" w:cs="Arial"/>
        </w:rPr>
      </w:pPr>
    </w:p>
    <w:p w:rsidR="00442007" w:rsidRPr="00501F3C" w:rsidRDefault="00442007" w:rsidP="00FA1140">
      <w:pPr>
        <w:pStyle w:val="Ttulo1"/>
      </w:pPr>
      <w:bookmarkStart w:id="8" w:name="_Toc8208624"/>
      <w:r w:rsidRPr="00501F3C">
        <w:t>Del personal de seguridad pública.</w:t>
      </w:r>
      <w:bookmarkEnd w:id="8"/>
      <w:r w:rsidRPr="00501F3C">
        <w:t xml:space="preserve"> </w:t>
      </w:r>
    </w:p>
    <w:p w:rsidR="00BE0306" w:rsidRPr="00501F3C" w:rsidRDefault="00BE0306" w:rsidP="0001698D">
      <w:pPr>
        <w:pStyle w:val="Prrafodelista"/>
        <w:spacing w:line="360" w:lineRule="auto"/>
        <w:rPr>
          <w:rFonts w:ascii="Palatino Linotype" w:hAnsi="Palatino Linotype" w:cs="Arial"/>
          <w:sz w:val="18"/>
        </w:rPr>
      </w:pPr>
    </w:p>
    <w:p w:rsidR="002611CF" w:rsidRPr="00501F3C" w:rsidRDefault="002611CF"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Derivado de lo anterior</w:t>
      </w:r>
      <w:r w:rsidR="00AC0CEB" w:rsidRPr="00501F3C">
        <w:rPr>
          <w:rFonts w:ascii="Palatino Linotype" w:hAnsi="Palatino Linotype" w:cs="Arial"/>
        </w:rPr>
        <w:t xml:space="preserve">, si bien es cierto que la información referente al personal operativo de seguridad pública debería ser clasificada, </w:t>
      </w:r>
      <w:r w:rsidR="00FA1140" w:rsidRPr="00501F3C">
        <w:rPr>
          <w:rFonts w:ascii="Palatino Linotype" w:hAnsi="Palatino Linotype" w:cs="Arial"/>
        </w:rPr>
        <w:t>por</w:t>
      </w:r>
      <w:r w:rsidR="00AC0CEB" w:rsidRPr="00501F3C">
        <w:rPr>
          <w:rFonts w:ascii="Palatino Linotype" w:hAnsi="Palatino Linotype" w:cs="Arial"/>
        </w:rPr>
        <w:t xml:space="preserve"> realizar funciones que tienen que ver con el combate a la delincuencia, y que dar a conocer sus nombre</w:t>
      </w:r>
      <w:r w:rsidR="00FA1140" w:rsidRPr="00501F3C">
        <w:rPr>
          <w:rFonts w:ascii="Palatino Linotype" w:hAnsi="Palatino Linotype" w:cs="Arial"/>
        </w:rPr>
        <w:t>s</w:t>
      </w:r>
      <w:r w:rsidR="00AC0CEB" w:rsidRPr="00501F3C">
        <w:rPr>
          <w:rFonts w:ascii="Palatino Linotype" w:hAnsi="Palatino Linotype" w:cs="Arial"/>
        </w:rPr>
        <w:t xml:space="preserve"> puede poner en riesgo su vida, seguridad y salud; también es cierto que al ser servidores públicos que reciben </w:t>
      </w:r>
      <w:r w:rsidR="00FA1140" w:rsidRPr="00501F3C">
        <w:rPr>
          <w:rFonts w:ascii="Palatino Linotype" w:hAnsi="Palatino Linotype" w:cs="Arial"/>
        </w:rPr>
        <w:t xml:space="preserve">sus remuneraciones mediante la aplicación de </w:t>
      </w:r>
      <w:r w:rsidR="00AC0CEB" w:rsidRPr="00501F3C">
        <w:rPr>
          <w:rFonts w:ascii="Palatino Linotype" w:hAnsi="Palatino Linotype" w:cs="Arial"/>
        </w:rPr>
        <w:t>recursos públicos</w:t>
      </w:r>
      <w:r w:rsidR="00FA1140" w:rsidRPr="00501F3C">
        <w:rPr>
          <w:rFonts w:ascii="Palatino Linotype" w:hAnsi="Palatino Linotype" w:cs="Arial"/>
        </w:rPr>
        <w:t>, por ende</w:t>
      </w:r>
      <w:r w:rsidR="00AC0CEB" w:rsidRPr="00501F3C">
        <w:rPr>
          <w:rFonts w:ascii="Palatino Linotype" w:hAnsi="Palatino Linotype" w:cs="Arial"/>
        </w:rPr>
        <w:t xml:space="preserve"> el régimen de protección de sus datos personales como lo son sus nombres se encuentran en un umbral de </w:t>
      </w:r>
      <w:r w:rsidR="00FA1140" w:rsidRPr="00501F3C">
        <w:rPr>
          <w:rFonts w:ascii="Palatino Linotype" w:hAnsi="Palatino Linotype" w:cs="Arial"/>
        </w:rPr>
        <w:t xml:space="preserve">mayor </w:t>
      </w:r>
      <w:r w:rsidR="00AC0CEB" w:rsidRPr="00501F3C">
        <w:rPr>
          <w:rFonts w:ascii="Palatino Linotype" w:hAnsi="Palatino Linotype" w:cs="Arial"/>
        </w:rPr>
        <w:t xml:space="preserve">publicidad al de los particulares, de modo que se debió buscar un punto de encuentro entre el derecho </w:t>
      </w:r>
      <w:r w:rsidR="00AC0CEB" w:rsidRPr="00501F3C">
        <w:rPr>
          <w:rFonts w:ascii="Palatino Linotype" w:hAnsi="Palatino Linotype" w:cs="Arial"/>
        </w:rPr>
        <w:lastRenderedPageBreak/>
        <w:t>de acceso a la información y la protección de la identidad de los se</w:t>
      </w:r>
      <w:r w:rsidR="00FA1140" w:rsidRPr="00501F3C">
        <w:rPr>
          <w:rFonts w:ascii="Palatino Linotype" w:hAnsi="Palatino Linotype" w:cs="Arial"/>
        </w:rPr>
        <w:t xml:space="preserve">rvidores públicos que se desenvuelven como </w:t>
      </w:r>
      <w:r w:rsidR="00AC0CEB" w:rsidRPr="00501F3C">
        <w:rPr>
          <w:rFonts w:ascii="Palatino Linotype" w:hAnsi="Palatino Linotype" w:cs="Arial"/>
        </w:rPr>
        <w:t>miembros de la seguridad pública.</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Pr="00501F3C" w:rsidRDefault="002611CF"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Asimismo, no se debe pasar 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501F3C">
        <w:rPr>
          <w:rFonts w:ascii="Palatino Linotype" w:hAnsi="Palatino Linotype" w:cs="Arial"/>
          <w:i/>
          <w:sz w:val="22"/>
        </w:rPr>
        <w:t>“</w:t>
      </w:r>
      <w:r w:rsidRPr="00501F3C">
        <w:rPr>
          <w:rFonts w:ascii="Palatino Linotype" w:hAnsi="Palatino Linotype" w:cs="Arial"/>
          <w:b/>
          <w:i/>
          <w:sz w:val="22"/>
        </w:rPr>
        <w:t>Artículo 4.</w:t>
      </w:r>
      <w:r w:rsidRPr="00501F3C">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501F3C">
        <w:rPr>
          <w:rFonts w:ascii="Palatino Linotype" w:hAnsi="Palatino Linotype" w:cs="Arial"/>
          <w:b/>
          <w:i/>
          <w:sz w:val="22"/>
        </w:rPr>
        <w:t>Toda la información generada, obtenida, adquirida, transformada, administrada o en posesión de los sujetos obligados es pública y accesible de manera permanente a cualquier persona,</w:t>
      </w:r>
      <w:r w:rsidRPr="00501F3C">
        <w:rPr>
          <w:rFonts w:ascii="Palatino Linotype" w:hAnsi="Palatino Linotype" w:cs="Arial"/>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501F3C">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Pr="00501F3C"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sz w:val="22"/>
        </w:rPr>
      </w:pPr>
      <w:r w:rsidRPr="00501F3C">
        <w:rPr>
          <w:rFonts w:ascii="Palatino Linotype" w:hAnsi="Palatino Linotype" w:cs="Arial"/>
          <w:sz w:val="22"/>
        </w:rPr>
        <w:t>(Énfasis añadido)</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FA1140" w:rsidRPr="00501F3C" w:rsidRDefault="002611CF"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firstLine="0"/>
        <w:jc w:val="both"/>
        <w:rPr>
          <w:rFonts w:ascii="Palatino Linotype" w:hAnsi="Palatino Linotype" w:cs="Arial"/>
        </w:rPr>
      </w:pPr>
      <w:r w:rsidRPr="00501F3C">
        <w:rPr>
          <w:rFonts w:ascii="Palatino Linotype" w:hAnsi="Palatino Linotype" w:cs="Arial"/>
        </w:rPr>
        <w:lastRenderedPageBreak/>
        <w:t xml:space="preserve">Bajo ese contexto, no está por demás referir que la información a la que pretendía acceder la particular, como lo son los documentos en donde se ordenó clasificar la información correspondiente a los nombres de los elementos de seguridad pública con funciones operativas, constituyen una obligación de transparencia que el </w:t>
      </w:r>
      <w:r w:rsidRPr="00501F3C">
        <w:rPr>
          <w:rFonts w:ascii="Palatino Linotype" w:hAnsi="Palatino Linotype" w:cs="Arial"/>
          <w:b/>
        </w:rPr>
        <w:t>SUJETO OBLIGADO</w:t>
      </w:r>
      <w:r w:rsidRPr="00501F3C">
        <w:rPr>
          <w:rFonts w:ascii="Palatino Linotype" w:hAnsi="Palatino Linotype" w:cs="Arial"/>
        </w:rPr>
        <w:t xml:space="preserve"> se encuentra constreñido a dar publicidad</w:t>
      </w:r>
      <w:r w:rsidR="0085434D" w:rsidRPr="00501F3C">
        <w:rPr>
          <w:rFonts w:ascii="Palatino Linotype" w:hAnsi="Palatino Linotype" w:cs="Arial"/>
        </w:rPr>
        <w:t>, la cual corresponde en todo caso a las remuneraciones y a la información curricular.</w:t>
      </w:r>
    </w:p>
    <w:p w:rsidR="002611CF" w:rsidRPr="00501F3C"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BF7F15" w:rsidRPr="00501F3C" w:rsidRDefault="00F3702C"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Ahora, como en reiteradas ocasiones han establecido diversos órganos jurisdiccionales, ningún derecho es absoluto, es decir, existen límites y restricciones al mismo, constituyéndose </w:t>
      </w:r>
      <w:r w:rsidR="0085434D" w:rsidRPr="00501F3C">
        <w:rPr>
          <w:rFonts w:ascii="Palatino Linotype" w:hAnsi="Palatino Linotype" w:cs="Arial"/>
        </w:rPr>
        <w:t xml:space="preserve">la clasificación de información </w:t>
      </w:r>
      <w:r w:rsidRPr="00501F3C">
        <w:rPr>
          <w:rFonts w:ascii="Palatino Linotype" w:hAnsi="Palatino Linotype" w:cs="Arial"/>
        </w:rPr>
        <w:t xml:space="preserve">como ese </w:t>
      </w:r>
      <w:r w:rsidR="00442007" w:rsidRPr="00501F3C">
        <w:rPr>
          <w:rFonts w:ascii="Palatino Linotype" w:hAnsi="Palatino Linotype" w:cs="Arial"/>
        </w:rPr>
        <w:t>acto excepcional de restricci</w:t>
      </w:r>
      <w:r w:rsidR="00EE0D26" w:rsidRPr="00501F3C">
        <w:rPr>
          <w:rFonts w:ascii="Palatino Linotype" w:hAnsi="Palatino Linotype" w:cs="Arial"/>
        </w:rPr>
        <w:t>ón de</w:t>
      </w:r>
      <w:r w:rsidR="00442007" w:rsidRPr="00501F3C">
        <w:rPr>
          <w:rFonts w:ascii="Palatino Linotype" w:hAnsi="Palatino Linotype" w:cs="Arial"/>
        </w:rPr>
        <w:t xml:space="preserve"> derechos</w:t>
      </w:r>
      <w:r w:rsidRPr="00501F3C">
        <w:rPr>
          <w:rFonts w:ascii="Palatino Linotype" w:hAnsi="Palatino Linotype" w:cs="Arial"/>
        </w:rPr>
        <w:t>.</w:t>
      </w:r>
    </w:p>
    <w:p w:rsidR="00F3702C" w:rsidRPr="00501F3C" w:rsidRDefault="00F3702C" w:rsidP="00F3702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7C1ADC" w:rsidRPr="00501F3C" w:rsidRDefault="00F3702C"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Sin embargo, para que dicha clasificación resulte procedente </w:t>
      </w:r>
      <w:r w:rsidR="00F26370" w:rsidRPr="00501F3C">
        <w:rPr>
          <w:rFonts w:ascii="Palatino Linotype" w:hAnsi="Palatino Linotype" w:cs="Arial"/>
        </w:rPr>
        <w:t xml:space="preserve">no basta </w:t>
      </w:r>
      <w:r w:rsidR="00CE768F" w:rsidRPr="00501F3C">
        <w:rPr>
          <w:rFonts w:ascii="Palatino Linotype" w:hAnsi="Palatino Linotype" w:cs="Arial"/>
        </w:rPr>
        <w:t>con que el supuesto jurídico se encuentre previsto en la normatividad, ni que por el simple hecho de considerarse información en materia de seguridad pública</w:t>
      </w:r>
      <w:r w:rsidRPr="00501F3C">
        <w:rPr>
          <w:rFonts w:ascii="Palatino Linotype" w:hAnsi="Palatino Linotype" w:cs="Arial"/>
        </w:rPr>
        <w:t xml:space="preserve"> tenga por esa sola característica la categoría </w:t>
      </w:r>
      <w:r w:rsidR="007C1ADC" w:rsidRPr="00501F3C">
        <w:rPr>
          <w:rFonts w:ascii="Palatino Linotype" w:hAnsi="Palatino Linotype" w:cs="Arial"/>
        </w:rPr>
        <w:t>de reservada, ya que para ello deberá analizarse el caso concreto que se presente, mediante la aplicación de la prueba de daño para determinar si la difusión puede generar un daño a intereses relevantes y protegidos constitucionalmente.</w:t>
      </w:r>
    </w:p>
    <w:p w:rsidR="007C1ADC" w:rsidRPr="00501F3C" w:rsidRDefault="007C1ADC" w:rsidP="007C1A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702C" w:rsidRPr="00501F3C" w:rsidRDefault="007C1ADC"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 xml:space="preserve">En este caso, es menester referir que la Ponencia Resolutora advirtió que el artículo 81, fracción III, de la Ley de Seguridad del Estado de México, señala que se considerada reservada la información relativa a los servidores públicos integrantes </w:t>
      </w:r>
      <w:r w:rsidRPr="00501F3C">
        <w:rPr>
          <w:rFonts w:ascii="Palatino Linotype" w:hAnsi="Palatino Linotype" w:cs="Arial"/>
        </w:rPr>
        <w:lastRenderedPageBreak/>
        <w:t>de las instituciones de seguridad pública, cuya revelación pueda poner en riesgo su vida e integridad física con motivo de sus funciones; no obstante, como ya se ha manifestado, para valorar si realmente el daño que se ocasionaría con la difusión de la información resulta mayor al interés de darla a conocer</w:t>
      </w:r>
      <w:r w:rsidR="00D05A32" w:rsidRPr="00501F3C">
        <w:rPr>
          <w:rFonts w:ascii="Palatino Linotype" w:hAnsi="Palatino Linotype" w:cs="Arial"/>
        </w:rPr>
        <w:t xml:space="preserve"> a la ciudadanía</w:t>
      </w:r>
      <w:r w:rsidRPr="00501F3C">
        <w:rPr>
          <w:rFonts w:ascii="Palatino Linotype" w:hAnsi="Palatino Linotype" w:cs="Arial"/>
        </w:rPr>
        <w:t>, se deb</w:t>
      </w:r>
      <w:r w:rsidR="00D05A32" w:rsidRPr="00501F3C">
        <w:rPr>
          <w:rFonts w:ascii="Palatino Linotype" w:hAnsi="Palatino Linotype" w:cs="Arial"/>
        </w:rPr>
        <w:t>e aplicar la prueba de daño, no sólo realizar la previa reserva; valoración y estudio del caso concreto que únicamente le compete a los Sujetos Obligados que se encuentran en posesión o administración de la información requerida.</w:t>
      </w:r>
    </w:p>
    <w:p w:rsidR="007C1ADC" w:rsidRPr="00501F3C" w:rsidRDefault="007C1ADC" w:rsidP="007C1A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Pr="00501F3C" w:rsidRDefault="00D05A32"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Robustece lo anterior el Comunicado de Prensa de la Suprema Corte de Justicia de la Nación No. 044/2019, emitido el treinta (30) de abril de dos mil diecinueve, aplicable al presente asunto como criterio orientador, cuya literalidad es la siguiente:</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center"/>
        <w:rPr>
          <w:rFonts w:ascii="Palatino Linotype" w:hAnsi="Palatino Linotype" w:cs="Arial"/>
          <w:b/>
          <w:i/>
          <w:sz w:val="22"/>
        </w:rPr>
      </w:pPr>
      <w:r w:rsidRPr="00501F3C">
        <w:rPr>
          <w:rFonts w:ascii="Palatino Linotype" w:hAnsi="Palatino Linotype" w:cs="Arial"/>
          <w:b/>
          <w:i/>
          <w:sz w:val="22"/>
        </w:rPr>
        <w:t>“LA INFORMACIÓN EN MATERIA DE SEGURIDAD PÚBLICA NO TIENE POR ESA SOLA CARACTERÍSTICA LA CATEGORÍA DE RESERVADA</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 xml:space="preserve">Para determinar si la información estatal debe ser reservada, se debe valorar si su difusión puede generar un daño a intereses estatales relevantes, protegidos a nivel </w:t>
      </w:r>
      <w:r w:rsidRPr="00501F3C">
        <w:rPr>
          <w:rFonts w:ascii="Palatino Linotype" w:hAnsi="Palatino Linotype" w:cs="Arial"/>
          <w:i/>
          <w:sz w:val="22"/>
        </w:rPr>
        <w:lastRenderedPageBreak/>
        <w:t>constitucional o legal y no considerar propiamente cuál es el órgano estatal que la genera o cuál es la denominación que se le otorga.</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501F3C">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1D2190"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sz w:val="22"/>
        </w:rPr>
      </w:pPr>
      <w:r w:rsidRPr="00501F3C">
        <w:rPr>
          <w:rFonts w:ascii="Palatino Linotype" w:hAnsi="Palatino Linotype" w:cs="Arial"/>
          <w:sz w:val="22"/>
        </w:rPr>
        <w:t>(Énfasis añadido)</w:t>
      </w:r>
    </w:p>
    <w:p w:rsidR="00D05A32" w:rsidRPr="00501F3C" w:rsidRDefault="00D05A32" w:rsidP="00D05A3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right="616"/>
        <w:jc w:val="both"/>
        <w:rPr>
          <w:rFonts w:ascii="Palatino Linotype" w:hAnsi="Palatino Linotype" w:cs="Arial"/>
          <w:sz w:val="22"/>
        </w:rPr>
      </w:pPr>
    </w:p>
    <w:p w:rsidR="00D05A32" w:rsidRPr="00501F3C" w:rsidRDefault="00D05A32"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Como se desprende del comunicado antes vertido, el máximo Tribunal de nuestro país</w:t>
      </w:r>
      <w:r w:rsidR="00BF7F15" w:rsidRPr="00501F3C">
        <w:rPr>
          <w:rFonts w:ascii="Palatino Linotype" w:hAnsi="Palatino Linotype" w:cs="Arial"/>
        </w:rPr>
        <w:t xml:space="preserve"> derivado de la interposición de una acción de inconstitucionalidad</w:t>
      </w:r>
      <w:r w:rsidRPr="00501F3C">
        <w:rPr>
          <w:rFonts w:ascii="Palatino Linotype" w:hAnsi="Palatino Linotype" w:cs="Arial"/>
        </w:rPr>
        <w:t xml:space="preserve"> determin</w:t>
      </w:r>
      <w:r w:rsidR="00D84524" w:rsidRPr="00501F3C">
        <w:rPr>
          <w:rFonts w:ascii="Palatino Linotype" w:hAnsi="Palatino Linotype" w:cs="Arial"/>
        </w:rPr>
        <w:t>ó</w:t>
      </w:r>
      <w:r w:rsidRPr="00501F3C">
        <w:rPr>
          <w:rFonts w:ascii="Palatino Linotype" w:hAnsi="Palatino Linotype" w:cs="Arial"/>
        </w:rPr>
        <w:t xml:space="preserve"> declarar </w:t>
      </w:r>
      <w:r w:rsidR="00BF7F15" w:rsidRPr="00501F3C">
        <w:rPr>
          <w:rFonts w:ascii="Palatino Linotype" w:hAnsi="Palatino Linotype" w:cs="Arial"/>
        </w:rPr>
        <w:t>la invalidez</w:t>
      </w:r>
      <w:r w:rsidRPr="00501F3C">
        <w:rPr>
          <w:rFonts w:ascii="Palatino Linotype" w:hAnsi="Palatino Linotype" w:cs="Arial"/>
        </w:rPr>
        <w:t xml:space="preserve"> de un </w:t>
      </w:r>
      <w:r w:rsidR="00BF7F15" w:rsidRPr="00501F3C">
        <w:rPr>
          <w:rFonts w:ascii="Palatino Linotype" w:hAnsi="Palatino Linotype" w:cs="Arial"/>
        </w:rPr>
        <w:t xml:space="preserve">articulado establecido en la normatividad de una entidad, por el hecho de realizar una reserva previa de la información, </w:t>
      </w:r>
      <w:r w:rsidRPr="00501F3C">
        <w:rPr>
          <w:rFonts w:ascii="Palatino Linotype" w:hAnsi="Palatino Linotype" w:cs="Arial"/>
        </w:rPr>
        <w:t xml:space="preserve">que </w:t>
      </w:r>
      <w:r w:rsidR="00BF7F15" w:rsidRPr="00501F3C">
        <w:rPr>
          <w:rFonts w:ascii="Palatino Linotype" w:hAnsi="Palatino Linotype" w:cs="Arial"/>
        </w:rPr>
        <w:t>dejaba a discrecionalidad de los Sujetos Obligados la opción de realizar una clasificación sin el previo desarrollo de la prueba de daño</w:t>
      </w:r>
      <w:r w:rsidR="00D84524" w:rsidRPr="00501F3C">
        <w:rPr>
          <w:rFonts w:ascii="Palatino Linotype" w:hAnsi="Palatino Linotype" w:cs="Arial"/>
        </w:rPr>
        <w:t>, con la que se</w:t>
      </w:r>
      <w:r w:rsidR="00BF7F15" w:rsidRPr="00501F3C">
        <w:rPr>
          <w:rFonts w:ascii="Palatino Linotype" w:hAnsi="Palatino Linotype" w:cs="Arial"/>
        </w:rPr>
        <w:t xml:space="preserve"> acredita ese riesgo de </w:t>
      </w:r>
      <w:r w:rsidR="00D84524" w:rsidRPr="00501F3C">
        <w:rPr>
          <w:rFonts w:ascii="Palatino Linotype" w:hAnsi="Palatino Linotype" w:cs="Arial"/>
        </w:rPr>
        <w:t>difundirla</w:t>
      </w:r>
      <w:r w:rsidR="00BF7F15" w:rsidRPr="00501F3C">
        <w:rPr>
          <w:rFonts w:ascii="Palatino Linotype" w:hAnsi="Palatino Linotype" w:cs="Arial"/>
        </w:rPr>
        <w:t>, lo cual resulta contrario al principio de máxima publicidad, además de generar con ello una vulneración al derecho de acceso a la información pública.</w:t>
      </w:r>
    </w:p>
    <w:p w:rsidR="00BF7F15" w:rsidRPr="00501F3C" w:rsidRDefault="00BF7F15" w:rsidP="00BF7F15">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F7F15" w:rsidRPr="00501F3C" w:rsidRDefault="00D84524"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501F3C">
        <w:rPr>
          <w:rFonts w:ascii="Palatino Linotype" w:hAnsi="Palatino Linotype" w:cs="Arial"/>
        </w:rPr>
        <w:t>Por lo anterior, es que a</w:t>
      </w:r>
      <w:r w:rsidR="00BF7F15" w:rsidRPr="00501F3C">
        <w:rPr>
          <w:rFonts w:ascii="Palatino Linotype" w:hAnsi="Palatino Linotype" w:cs="Arial"/>
        </w:rPr>
        <w:t xml:space="preserve"> este Órgano Garante</w:t>
      </w:r>
      <w:r w:rsidRPr="00501F3C">
        <w:rPr>
          <w:rFonts w:ascii="Palatino Linotype" w:hAnsi="Palatino Linotype" w:cs="Arial"/>
        </w:rPr>
        <w:t xml:space="preserve"> le </w:t>
      </w:r>
      <w:r w:rsidR="00BF7F15" w:rsidRPr="00501F3C">
        <w:rPr>
          <w:rFonts w:ascii="Palatino Linotype" w:hAnsi="Palatino Linotype" w:cs="Arial"/>
        </w:rPr>
        <w:t xml:space="preserve">corresponde realizar un </w:t>
      </w:r>
      <w:r w:rsidRPr="00501F3C">
        <w:rPr>
          <w:rFonts w:ascii="Palatino Linotype" w:hAnsi="Palatino Linotype" w:cs="Arial"/>
        </w:rPr>
        <w:t>análisis</w:t>
      </w:r>
      <w:r w:rsidR="00BF7F15" w:rsidRPr="00501F3C">
        <w:rPr>
          <w:rFonts w:ascii="Palatino Linotype" w:hAnsi="Palatino Linotype" w:cs="Arial"/>
        </w:rPr>
        <w:t xml:space="preserve"> </w:t>
      </w:r>
      <w:r w:rsidRPr="00501F3C">
        <w:rPr>
          <w:rFonts w:ascii="Palatino Linotype" w:hAnsi="Palatino Linotype" w:cs="Arial"/>
        </w:rPr>
        <w:t xml:space="preserve">de la información solicitada en el caso concreto y bajo el principio de máxima publicidad hacer efectiva su entrega, es decir, si existen probabilidades de entregar </w:t>
      </w:r>
      <w:r w:rsidRPr="00501F3C">
        <w:rPr>
          <w:rFonts w:ascii="Palatino Linotype" w:hAnsi="Palatino Linotype" w:cs="Arial"/>
        </w:rPr>
        <w:lastRenderedPageBreak/>
        <w:t xml:space="preserve">la información, a pesar de que la misma encuadre en la hipótesis jurídica por la cual se deba hacer una clasificación, brindar el acceso, como bien lo puede ser, en este caso, a través de la disociación. </w:t>
      </w:r>
    </w:p>
    <w:p w:rsidR="00D05A32" w:rsidRPr="00501F3C"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6639" w:rsidRPr="00501F3C" w:rsidRDefault="009A16E4" w:rsidP="00FA1140">
      <w:pPr>
        <w:pStyle w:val="Ttulo1"/>
      </w:pPr>
      <w:bookmarkStart w:id="9" w:name="_Toc8208625"/>
      <w:r w:rsidRPr="00501F3C">
        <w:t>De la disociación.</w:t>
      </w:r>
      <w:bookmarkEnd w:id="9"/>
      <w:r w:rsidRPr="00501F3C">
        <w:t xml:space="preserve"> </w:t>
      </w:r>
    </w:p>
    <w:p w:rsidR="009A16E4" w:rsidRPr="00501F3C" w:rsidRDefault="009A16E4" w:rsidP="0001698D">
      <w:pPr>
        <w:spacing w:line="360" w:lineRule="auto"/>
      </w:pPr>
    </w:p>
    <w:p w:rsidR="009A16E4" w:rsidRPr="00501F3C" w:rsidRDefault="00DC25D0" w:rsidP="002E4A47">
      <w:pPr>
        <w:pStyle w:val="Prrafodelista"/>
        <w:numPr>
          <w:ilvl w:val="0"/>
          <w:numId w:val="15"/>
        </w:numPr>
        <w:tabs>
          <w:tab w:val="left" w:pos="426"/>
        </w:tabs>
        <w:spacing w:line="360" w:lineRule="auto"/>
        <w:ind w:left="0" w:firstLine="0"/>
        <w:jc w:val="both"/>
        <w:rPr>
          <w:rFonts w:ascii="Palatino Linotype" w:hAnsi="Palatino Linotype"/>
        </w:rPr>
      </w:pPr>
      <w:r w:rsidRPr="00501F3C">
        <w:rPr>
          <w:rFonts w:ascii="Palatino Linotype" w:hAnsi="Palatino Linotype"/>
        </w:rPr>
        <w:t>D</w:t>
      </w:r>
      <w:r w:rsidR="009A16E4" w:rsidRPr="00501F3C">
        <w:rPr>
          <w:rFonts w:ascii="Palatino Linotype" w:hAnsi="Palatino Linotype"/>
        </w:rPr>
        <w:t xml:space="preserve">erivado de la </w:t>
      </w:r>
      <w:r w:rsidR="00E17384" w:rsidRPr="00501F3C">
        <w:rPr>
          <w:rFonts w:ascii="Palatino Linotype" w:hAnsi="Palatino Linotype"/>
        </w:rPr>
        <w:t xml:space="preserve">información </w:t>
      </w:r>
      <w:r w:rsidRPr="00501F3C">
        <w:rPr>
          <w:rFonts w:ascii="Palatino Linotype" w:hAnsi="Palatino Linotype"/>
        </w:rPr>
        <w:t>que se ordenó</w:t>
      </w:r>
      <w:r w:rsidR="009A16E4" w:rsidRPr="00501F3C">
        <w:rPr>
          <w:rFonts w:ascii="Palatino Linotype" w:hAnsi="Palatino Linotype"/>
        </w:rPr>
        <w:t xml:space="preserve"> entregar</w:t>
      </w:r>
      <w:r w:rsidRPr="00501F3C">
        <w:rPr>
          <w:rFonts w:ascii="Palatino Linotype" w:hAnsi="Palatino Linotype"/>
        </w:rPr>
        <w:t xml:space="preserve">, si bien en ella se pudieran advertir los nombres de los elementos de seguridad pública con funciones operativas, y en virtud de que a este Órgano Garante; por un lado, le corresponde tutelar el derecho de acceso a la información; y, por el otro, la protección de datos personales, más cuando se trata de servidores públicos dedicados a realizar funciones operativas en materia de seguridad pública, a mi consideración la información </w:t>
      </w:r>
      <w:r w:rsidR="00967499" w:rsidRPr="00501F3C">
        <w:rPr>
          <w:rFonts w:ascii="Palatino Linotype" w:hAnsi="Palatino Linotype"/>
        </w:rPr>
        <w:t xml:space="preserve">requerida por la particular, </w:t>
      </w:r>
      <w:r w:rsidRPr="00501F3C">
        <w:rPr>
          <w:rFonts w:ascii="Palatino Linotype" w:hAnsi="Palatino Linotype"/>
        </w:rPr>
        <w:t>correspondiente a “</w:t>
      </w:r>
      <w:r w:rsidRPr="00501F3C">
        <w:rPr>
          <w:rFonts w:ascii="Palatino Linotype" w:hAnsi="Palatino Linotype"/>
          <w:b/>
        </w:rPr>
        <w:t xml:space="preserve">los documentos en donde constará el nombre, el número de todo el personal adscrito a la Dirección de General </w:t>
      </w:r>
      <w:r w:rsidR="00967499" w:rsidRPr="00501F3C">
        <w:rPr>
          <w:rFonts w:ascii="Palatino Linotype" w:hAnsi="Palatino Linotype"/>
          <w:b/>
        </w:rPr>
        <w:t xml:space="preserve">de Seguridad Ciudadana y Tránsito, </w:t>
      </w:r>
      <w:r w:rsidRPr="00501F3C">
        <w:rPr>
          <w:rFonts w:ascii="Palatino Linotype" w:hAnsi="Palatino Linotype"/>
          <w:b/>
        </w:rPr>
        <w:t>desglosado por cargo y sueldo, tanto de seguridad como de tránsito, así como el curriculum de todo el personal adscrito a la Dirección en comento</w:t>
      </w:r>
      <w:r w:rsidRPr="00501F3C">
        <w:rPr>
          <w:rFonts w:ascii="Palatino Linotype" w:hAnsi="Palatino Linotype"/>
        </w:rPr>
        <w:t xml:space="preserve">”, se debió ordenar de manera </w:t>
      </w:r>
      <w:r w:rsidR="009A16E4" w:rsidRPr="00501F3C">
        <w:rPr>
          <w:rFonts w:ascii="Palatino Linotype" w:hAnsi="Palatino Linotype"/>
        </w:rPr>
        <w:t>disocia</w:t>
      </w:r>
      <w:r w:rsidRPr="00501F3C">
        <w:rPr>
          <w:rFonts w:ascii="Palatino Linotype" w:hAnsi="Palatino Linotype"/>
        </w:rPr>
        <w:t xml:space="preserve">da, de tal manera que </w:t>
      </w:r>
      <w:r w:rsidR="009A16E4" w:rsidRPr="00501F3C">
        <w:rPr>
          <w:rFonts w:ascii="Palatino Linotype" w:hAnsi="Palatino Linotype"/>
        </w:rPr>
        <w:t xml:space="preserve">los datos personales de los policías no pueden asociarse a sus titulares, ni permitir </w:t>
      </w:r>
      <w:r w:rsidRPr="00501F3C">
        <w:rPr>
          <w:rFonts w:ascii="Palatino Linotype" w:hAnsi="Palatino Linotype"/>
        </w:rPr>
        <w:t xml:space="preserve">que </w:t>
      </w:r>
      <w:r w:rsidR="009A16E4" w:rsidRPr="00501F3C">
        <w:rPr>
          <w:rFonts w:ascii="Palatino Linotype" w:hAnsi="Palatino Linotype"/>
        </w:rPr>
        <w:t xml:space="preserve">por su estructura, contenido o grado de desagregación, </w:t>
      </w:r>
      <w:r w:rsidRPr="00501F3C">
        <w:rPr>
          <w:rFonts w:ascii="Palatino Linotype" w:hAnsi="Palatino Linotype"/>
        </w:rPr>
        <w:t xml:space="preserve">se pueda hacer </w:t>
      </w:r>
      <w:r w:rsidR="009A16E4" w:rsidRPr="00501F3C">
        <w:rPr>
          <w:rFonts w:ascii="Palatino Linotype" w:hAnsi="Palatino Linotype"/>
        </w:rPr>
        <w:t>la identifi</w:t>
      </w:r>
      <w:r w:rsidRPr="00501F3C">
        <w:rPr>
          <w:rFonts w:ascii="Palatino Linotype" w:hAnsi="Palatino Linotype"/>
        </w:rPr>
        <w:t xml:space="preserve">cación individual de los mismos, logrando con ello </w:t>
      </w:r>
      <w:r w:rsidR="00967499" w:rsidRPr="00501F3C">
        <w:rPr>
          <w:rFonts w:ascii="Palatino Linotype" w:hAnsi="Palatino Linotype"/>
        </w:rPr>
        <w:t xml:space="preserve">un balance entre el derecho de acceso a la información y la protección de datos personales, </w:t>
      </w:r>
      <w:r w:rsidR="009A16E4" w:rsidRPr="00501F3C">
        <w:rPr>
          <w:rFonts w:ascii="Palatino Linotype" w:hAnsi="Palatino Linotype"/>
        </w:rPr>
        <w:t xml:space="preserve">tal y como lo establece el artículo 4 fracción XVI de la </w:t>
      </w:r>
      <w:r w:rsidR="009A16E4" w:rsidRPr="00501F3C">
        <w:rPr>
          <w:rFonts w:ascii="Palatino Linotype" w:hAnsi="Palatino Linotype"/>
          <w:b/>
        </w:rPr>
        <w:t>Ley de Protección de Datos Personales en Posesión de Sujetos Obligados  del Estado de México y Municipios</w:t>
      </w:r>
      <w:r w:rsidR="009A16E4" w:rsidRPr="00501F3C">
        <w:rPr>
          <w:rFonts w:ascii="Palatino Linotype" w:hAnsi="Palatino Linotype"/>
        </w:rPr>
        <w:t>, que refiere:</w:t>
      </w:r>
    </w:p>
    <w:p w:rsidR="00017A61" w:rsidRPr="00501F3C" w:rsidRDefault="00017A61" w:rsidP="0001698D">
      <w:pPr>
        <w:spacing w:line="360" w:lineRule="auto"/>
        <w:ind w:right="616"/>
        <w:jc w:val="both"/>
        <w:rPr>
          <w:rFonts w:ascii="Palatino Linotype" w:hAnsi="Palatino Linotype"/>
          <w:i/>
        </w:rPr>
      </w:pPr>
    </w:p>
    <w:p w:rsidR="009A16E4" w:rsidRPr="00501F3C" w:rsidRDefault="009A16E4" w:rsidP="0001698D">
      <w:pPr>
        <w:pStyle w:val="Prrafodelista"/>
        <w:tabs>
          <w:tab w:val="left" w:pos="7938"/>
        </w:tabs>
        <w:spacing w:line="360" w:lineRule="auto"/>
        <w:ind w:left="567" w:right="616"/>
        <w:jc w:val="both"/>
        <w:rPr>
          <w:rFonts w:ascii="Palatino Linotype" w:hAnsi="Palatino Linotype"/>
          <w:i/>
          <w:sz w:val="22"/>
        </w:rPr>
      </w:pPr>
      <w:r w:rsidRPr="00501F3C">
        <w:rPr>
          <w:rFonts w:ascii="Palatino Linotype" w:hAnsi="Palatino Linotype"/>
          <w:i/>
          <w:sz w:val="22"/>
        </w:rPr>
        <w:t>“</w:t>
      </w:r>
      <w:r w:rsidRPr="00501F3C">
        <w:rPr>
          <w:rFonts w:ascii="Palatino Linotype" w:hAnsi="Palatino Linotype"/>
          <w:b/>
          <w:i/>
          <w:sz w:val="22"/>
        </w:rPr>
        <w:t>Artículo 4</w:t>
      </w:r>
      <w:r w:rsidRPr="00501F3C">
        <w:rPr>
          <w:rFonts w:ascii="Palatino Linotype" w:hAnsi="Palatino Linotype"/>
          <w:i/>
          <w:sz w:val="22"/>
        </w:rPr>
        <w:t>.- Para los efectos de esta Ley se entenderá por:</w:t>
      </w:r>
    </w:p>
    <w:p w:rsidR="009A16E4" w:rsidRPr="00501F3C" w:rsidRDefault="00967499" w:rsidP="0001698D">
      <w:pPr>
        <w:pStyle w:val="Prrafodelista"/>
        <w:tabs>
          <w:tab w:val="left" w:pos="7938"/>
        </w:tabs>
        <w:spacing w:line="360" w:lineRule="auto"/>
        <w:ind w:left="567" w:right="616"/>
        <w:jc w:val="both"/>
        <w:rPr>
          <w:rFonts w:ascii="Palatino Linotype" w:hAnsi="Palatino Linotype"/>
          <w:i/>
          <w:sz w:val="22"/>
        </w:rPr>
      </w:pPr>
      <w:r w:rsidRPr="00501F3C">
        <w:rPr>
          <w:rFonts w:ascii="Palatino Linotype" w:hAnsi="Palatino Linotype"/>
          <w:i/>
          <w:sz w:val="22"/>
        </w:rPr>
        <w:t>(</w:t>
      </w:r>
      <w:r w:rsidR="009A16E4" w:rsidRPr="00501F3C">
        <w:rPr>
          <w:rFonts w:ascii="Palatino Linotype" w:hAnsi="Palatino Linotype"/>
          <w:i/>
          <w:sz w:val="22"/>
        </w:rPr>
        <w:t>…</w:t>
      </w:r>
      <w:r w:rsidRPr="00501F3C">
        <w:rPr>
          <w:rFonts w:ascii="Palatino Linotype" w:hAnsi="Palatino Linotype"/>
          <w:i/>
          <w:sz w:val="22"/>
        </w:rPr>
        <w:t>)</w:t>
      </w:r>
    </w:p>
    <w:p w:rsidR="00967499" w:rsidRPr="00501F3C" w:rsidRDefault="009A16E4" w:rsidP="0001698D">
      <w:pPr>
        <w:pStyle w:val="Prrafodelista"/>
        <w:tabs>
          <w:tab w:val="left" w:pos="7938"/>
        </w:tabs>
        <w:spacing w:line="360" w:lineRule="auto"/>
        <w:ind w:left="567" w:right="616"/>
        <w:jc w:val="both"/>
        <w:rPr>
          <w:rFonts w:ascii="Palatino Linotype" w:hAnsi="Palatino Linotype"/>
          <w:i/>
          <w:sz w:val="22"/>
        </w:rPr>
      </w:pPr>
      <w:r w:rsidRPr="00501F3C">
        <w:rPr>
          <w:rFonts w:ascii="Palatino Linotype" w:hAnsi="Palatino Linotype"/>
          <w:b/>
          <w:i/>
          <w:sz w:val="22"/>
        </w:rPr>
        <w:t>XVI. Disociación</w:t>
      </w:r>
      <w:r w:rsidRPr="00501F3C">
        <w:rPr>
          <w:rFonts w:ascii="Palatino Linotype" w:hAnsi="Palatino Linotype"/>
          <w:i/>
          <w:sz w:val="22"/>
        </w:rPr>
        <w:t xml:space="preserve">: al procedimiento por el que los datos personales no pueden asociarse a la o el titular, ni permitir por su estructura, contenido o grado de desagregación, la identificación individual del </w:t>
      </w:r>
      <w:r w:rsidR="00DC25D0" w:rsidRPr="00501F3C">
        <w:rPr>
          <w:rFonts w:ascii="Palatino Linotype" w:hAnsi="Palatino Linotype"/>
          <w:i/>
          <w:sz w:val="22"/>
        </w:rPr>
        <w:t>mi</w:t>
      </w:r>
      <w:r w:rsidRPr="00501F3C">
        <w:rPr>
          <w:rFonts w:ascii="Palatino Linotype" w:hAnsi="Palatino Linotype"/>
          <w:i/>
          <w:sz w:val="22"/>
        </w:rPr>
        <w:t>smo;</w:t>
      </w:r>
    </w:p>
    <w:p w:rsidR="009A16E4" w:rsidRPr="00501F3C" w:rsidRDefault="00967499" w:rsidP="0001698D">
      <w:pPr>
        <w:pStyle w:val="Prrafodelista"/>
        <w:tabs>
          <w:tab w:val="left" w:pos="7938"/>
        </w:tabs>
        <w:spacing w:line="360" w:lineRule="auto"/>
        <w:ind w:left="567" w:right="616"/>
        <w:jc w:val="both"/>
        <w:rPr>
          <w:rFonts w:ascii="Palatino Linotype" w:hAnsi="Palatino Linotype"/>
          <w:i/>
          <w:sz w:val="22"/>
        </w:rPr>
      </w:pPr>
      <w:r w:rsidRPr="00501F3C">
        <w:rPr>
          <w:rFonts w:ascii="Palatino Linotype" w:hAnsi="Palatino Linotype"/>
          <w:i/>
          <w:sz w:val="22"/>
        </w:rPr>
        <w:t>(…)</w:t>
      </w:r>
      <w:r w:rsidR="009A16E4" w:rsidRPr="00501F3C">
        <w:rPr>
          <w:rFonts w:ascii="Palatino Linotype" w:hAnsi="Palatino Linotype"/>
          <w:i/>
          <w:sz w:val="22"/>
        </w:rPr>
        <w:t>”</w:t>
      </w:r>
    </w:p>
    <w:p w:rsidR="00967499" w:rsidRPr="00501F3C" w:rsidRDefault="00967499" w:rsidP="0001698D">
      <w:pPr>
        <w:pStyle w:val="Prrafodelista"/>
        <w:tabs>
          <w:tab w:val="left" w:pos="7938"/>
        </w:tabs>
        <w:spacing w:line="360" w:lineRule="auto"/>
        <w:ind w:left="567" w:right="616"/>
        <w:jc w:val="both"/>
        <w:rPr>
          <w:rFonts w:ascii="Palatino Linotype" w:hAnsi="Palatino Linotype"/>
          <w:sz w:val="22"/>
        </w:rPr>
      </w:pPr>
      <w:r w:rsidRPr="00501F3C">
        <w:rPr>
          <w:rFonts w:ascii="Palatino Linotype" w:hAnsi="Palatino Linotype"/>
          <w:sz w:val="22"/>
        </w:rPr>
        <w:t>(Énfasis añadido)</w:t>
      </w:r>
    </w:p>
    <w:p w:rsidR="00022D14" w:rsidRPr="00501F3C" w:rsidRDefault="00022D14" w:rsidP="0001698D">
      <w:pPr>
        <w:pStyle w:val="Prrafodelista"/>
        <w:tabs>
          <w:tab w:val="left" w:pos="7938"/>
        </w:tabs>
        <w:spacing w:line="360" w:lineRule="auto"/>
        <w:ind w:left="142" w:right="333"/>
        <w:jc w:val="both"/>
        <w:rPr>
          <w:rFonts w:ascii="Palatino Linotype" w:hAnsi="Palatino Linotype"/>
          <w:i/>
        </w:rPr>
      </w:pPr>
    </w:p>
    <w:p w:rsidR="009A16E4" w:rsidRPr="00501F3C" w:rsidRDefault="00967499" w:rsidP="002E4A47">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heme="minorHAnsi" w:hAnsi="Palatino Linotype"/>
          <w:bdr w:val="none" w:sz="0" w:space="0" w:color="auto"/>
        </w:rPr>
      </w:pPr>
      <w:r w:rsidRPr="00501F3C">
        <w:rPr>
          <w:rFonts w:ascii="Palatino Linotype" w:hAnsi="Palatino Linotype" w:cs="Arial"/>
        </w:rPr>
        <w:t>De tal manera que, se insiste, se debió ordenar la información con lo</w:t>
      </w:r>
      <w:r w:rsidR="001D2B25" w:rsidRPr="00501F3C">
        <w:rPr>
          <w:rFonts w:ascii="Palatino Linotype" w:hAnsi="Palatino Linotype" w:cs="Arial"/>
        </w:rPr>
        <w:t>s datos disociados, por ejemplo, tanto de</w:t>
      </w:r>
      <w:r w:rsidRPr="00501F3C">
        <w:rPr>
          <w:rFonts w:ascii="Palatino Linotype" w:hAnsi="Palatino Linotype" w:cs="Arial"/>
        </w:rPr>
        <w:t>l documento donde constará el nombre, el número de todo el personal adscrito a la Dirección de General desglosado por cargo y sueldo, tanto de seguridad como de tránsito</w:t>
      </w:r>
      <w:r w:rsidR="00D64E2F">
        <w:rPr>
          <w:rFonts w:ascii="Palatino Linotype" w:hAnsi="Palatino Linotype" w:cs="Arial"/>
        </w:rPr>
        <w:t xml:space="preserve">, </w:t>
      </w:r>
      <w:r w:rsidRPr="00501F3C">
        <w:rPr>
          <w:rFonts w:ascii="Palatino Linotype" w:hAnsi="Palatino Linotype" w:cs="Arial"/>
        </w:rPr>
        <w:t xml:space="preserve"> se debió </w:t>
      </w:r>
      <w:r w:rsidR="00D64E2F">
        <w:rPr>
          <w:rFonts w:ascii="Palatino Linotype" w:hAnsi="Palatino Linotype" w:cs="Arial"/>
        </w:rPr>
        <w:t>ordenar</w:t>
      </w:r>
      <w:r w:rsidR="000860D6" w:rsidRPr="00501F3C">
        <w:rPr>
          <w:rFonts w:ascii="Palatino Linotype" w:hAnsi="Palatino Linotype" w:cs="Arial"/>
        </w:rPr>
        <w:t>, dejando los datos precisados por la Ponencia Resolutora, pero por cuanto hace a los nombres</w:t>
      </w:r>
      <w:r w:rsidR="001D2B25" w:rsidRPr="00501F3C">
        <w:rPr>
          <w:rFonts w:ascii="Palatino Linotype" w:hAnsi="Palatino Linotype" w:cs="Arial"/>
        </w:rPr>
        <w:t xml:space="preserve"> de dichos servidores públicos, </w:t>
      </w:r>
      <w:r w:rsidRPr="00501F3C">
        <w:rPr>
          <w:rFonts w:ascii="Palatino Linotype" w:hAnsi="Palatino Linotype" w:cs="Arial"/>
        </w:rPr>
        <w:t xml:space="preserve">elaborar </w:t>
      </w:r>
      <w:r w:rsidRPr="00501F3C">
        <w:rPr>
          <w:rFonts w:ascii="Palatino Linotype" w:eastAsia="MS Mincho" w:hAnsi="Palatino Linotype"/>
        </w:rPr>
        <w:t>en una lista de por orden alfabético sin especificar</w:t>
      </w:r>
      <w:r w:rsidR="001D2B25" w:rsidRPr="00501F3C">
        <w:rPr>
          <w:rFonts w:ascii="Palatino Linotype" w:eastAsia="MS Mincho" w:hAnsi="Palatino Linotype"/>
        </w:rPr>
        <w:t xml:space="preserve"> sus</w:t>
      </w:r>
      <w:r w:rsidRPr="00501F3C">
        <w:rPr>
          <w:rFonts w:ascii="Palatino Linotype" w:eastAsia="MS Mincho" w:hAnsi="Palatino Linotype"/>
        </w:rPr>
        <w:t xml:space="preserve"> cargos</w:t>
      </w:r>
      <w:r w:rsidR="001D2B25" w:rsidRPr="00501F3C">
        <w:rPr>
          <w:rFonts w:ascii="Palatino Linotype" w:eastAsia="MS Mincho" w:hAnsi="Palatino Linotype"/>
        </w:rPr>
        <w:t>, para con ello garantizar tanto el derechos de acceso a la información de la particular, como la protección de los datos personales de los titulares de la información dada la naturaleza de sus funciones.</w:t>
      </w:r>
    </w:p>
    <w:p w:rsidR="00E36F32" w:rsidRPr="00501F3C" w:rsidRDefault="00E36F32" w:rsidP="00E36F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eastAsiaTheme="minorHAnsi" w:hAnsi="Palatino Linotype"/>
          <w:bdr w:val="none" w:sz="0" w:space="0" w:color="auto"/>
        </w:rPr>
      </w:pPr>
    </w:p>
    <w:p w:rsidR="00D84524" w:rsidRPr="00501F3C" w:rsidRDefault="00D84524" w:rsidP="00E36F32">
      <w:pPr>
        <w:pStyle w:val="Ttulo1"/>
      </w:pPr>
      <w:bookmarkStart w:id="10" w:name="_Toc8208626"/>
      <w:r w:rsidRPr="00501F3C">
        <w:t>Conclusión</w:t>
      </w:r>
      <w:bookmarkEnd w:id="10"/>
    </w:p>
    <w:p w:rsidR="00D84524" w:rsidRPr="00501F3C" w:rsidRDefault="00D84524" w:rsidP="0001698D">
      <w:pPr>
        <w:pStyle w:val="Prrafodelista"/>
        <w:spacing w:line="360" w:lineRule="auto"/>
        <w:ind w:left="0"/>
        <w:jc w:val="both"/>
        <w:rPr>
          <w:rFonts w:ascii="Palatino Linotype" w:hAnsi="Palatino Linotype"/>
        </w:rPr>
      </w:pPr>
    </w:p>
    <w:p w:rsidR="000860D6" w:rsidRPr="00501F3C" w:rsidRDefault="000860D6" w:rsidP="002E4A47">
      <w:pPr>
        <w:pStyle w:val="Prrafodelista"/>
        <w:numPr>
          <w:ilvl w:val="0"/>
          <w:numId w:val="15"/>
        </w:numPr>
        <w:tabs>
          <w:tab w:val="left" w:pos="426"/>
        </w:tabs>
        <w:spacing w:line="360" w:lineRule="auto"/>
        <w:ind w:left="0" w:firstLine="0"/>
        <w:jc w:val="both"/>
        <w:rPr>
          <w:rFonts w:ascii="Palatino Linotype" w:eastAsia="Calibri" w:hAnsi="Palatino Linotype" w:cs="Arial"/>
        </w:rPr>
      </w:pPr>
      <w:r w:rsidRPr="00501F3C">
        <w:rPr>
          <w:rFonts w:ascii="Palatino Linotype" w:hAnsi="Palatino Linotype"/>
        </w:rPr>
        <w:t xml:space="preserve">Así, el </w:t>
      </w:r>
      <w:r w:rsidRPr="00501F3C">
        <w:rPr>
          <w:rFonts w:ascii="Palatino Linotype" w:hAnsi="Palatino Linotype"/>
          <w:b/>
        </w:rPr>
        <w:t>SUJETO OBLIGADO</w:t>
      </w:r>
      <w:r w:rsidRPr="00501F3C">
        <w:rPr>
          <w:rFonts w:ascii="Palatino Linotype" w:hAnsi="Palatino Linotype"/>
        </w:rPr>
        <w:t xml:space="preserve"> atendiendo los argumentos, efectivamente debe</w:t>
      </w:r>
      <w:r w:rsidR="001D2190" w:rsidRPr="00501F3C">
        <w:rPr>
          <w:rFonts w:ascii="Palatino Linotype" w:hAnsi="Palatino Linotype"/>
        </w:rPr>
        <w:t xml:space="preserve"> proporcionar la documentación</w:t>
      </w:r>
      <w:r w:rsidRPr="00501F3C">
        <w:rPr>
          <w:rFonts w:ascii="Palatino Linotype" w:hAnsi="Palatino Linotype"/>
        </w:rPr>
        <w:t xml:space="preserve">, pero aplicando a los documentos antes señalados la disociación, </w:t>
      </w:r>
      <w:r w:rsidR="001D2190" w:rsidRPr="00501F3C">
        <w:rPr>
          <w:rFonts w:ascii="Palatino Linotype" w:hAnsi="Palatino Linotype"/>
        </w:rPr>
        <w:t xml:space="preserve">ya que </w:t>
      </w:r>
      <w:r w:rsidR="001D2190" w:rsidRPr="00501F3C">
        <w:rPr>
          <w:rFonts w:ascii="Palatino Linotype" w:hAnsi="Palatino Linotype"/>
          <w:color w:val="000000" w:themeColor="text1"/>
        </w:rPr>
        <w:t xml:space="preserve">actuar como se propone en la resolución resulta una carga </w:t>
      </w:r>
      <w:r w:rsidR="001D2190" w:rsidRPr="00501F3C">
        <w:rPr>
          <w:rFonts w:ascii="Palatino Linotype" w:hAnsi="Palatino Linotype"/>
          <w:color w:val="000000" w:themeColor="text1"/>
        </w:rPr>
        <w:lastRenderedPageBreak/>
        <w:t xml:space="preserve">desproporcionada que limita </w:t>
      </w:r>
      <w:r w:rsidRPr="00501F3C">
        <w:rPr>
          <w:rFonts w:ascii="Palatino Linotype" w:hAnsi="Palatino Linotype"/>
          <w:color w:val="000000" w:themeColor="text1"/>
        </w:rPr>
        <w:t xml:space="preserve">el </w:t>
      </w:r>
      <w:r w:rsidR="001D2190" w:rsidRPr="00501F3C">
        <w:rPr>
          <w:rFonts w:ascii="Palatino Linotype" w:hAnsi="Palatino Linotype"/>
          <w:color w:val="000000" w:themeColor="text1"/>
        </w:rPr>
        <w:t>derecho</w:t>
      </w:r>
      <w:r w:rsidRPr="00501F3C">
        <w:rPr>
          <w:rFonts w:ascii="Palatino Linotype" w:hAnsi="Palatino Linotype"/>
          <w:color w:val="000000" w:themeColor="text1"/>
        </w:rPr>
        <w:t xml:space="preserve"> de acceso a la información de la particular, que, a su vez </w:t>
      </w:r>
      <w:r w:rsidR="001D2190" w:rsidRPr="00501F3C">
        <w:rPr>
          <w:rFonts w:ascii="Palatino Linotype" w:hAnsi="Palatino Linotype"/>
          <w:color w:val="000000" w:themeColor="text1"/>
        </w:rPr>
        <w:t>afecta el ejercicio de control popular de los actos de gobierno, debilita el debate público informado que, a la larga, sólo puede contribuir al fortalecimiento de la sociedad democrática.</w:t>
      </w:r>
    </w:p>
    <w:p w:rsidR="00E77954" w:rsidRPr="00501F3C" w:rsidRDefault="00E77954" w:rsidP="00E77954">
      <w:pPr>
        <w:tabs>
          <w:tab w:val="left" w:pos="426"/>
        </w:tabs>
        <w:spacing w:line="360" w:lineRule="auto"/>
        <w:jc w:val="both"/>
        <w:rPr>
          <w:rFonts w:ascii="Palatino Linotype" w:eastAsia="Calibri" w:hAnsi="Palatino Linotype" w:cs="Arial"/>
        </w:rPr>
      </w:pPr>
    </w:p>
    <w:p w:rsidR="00E77954" w:rsidRDefault="00E77954" w:rsidP="00E77954">
      <w:pPr>
        <w:tabs>
          <w:tab w:val="left" w:pos="426"/>
        </w:tabs>
        <w:spacing w:line="360" w:lineRule="auto"/>
        <w:jc w:val="both"/>
        <w:rPr>
          <w:rFonts w:ascii="Palatino Linotype" w:eastAsia="Calibri" w:hAnsi="Palatino Linotype" w:cs="Arial"/>
        </w:rPr>
      </w:pPr>
    </w:p>
    <w:p w:rsidR="00755BA2" w:rsidRDefault="00755BA2" w:rsidP="00E77954">
      <w:pPr>
        <w:tabs>
          <w:tab w:val="left" w:pos="426"/>
        </w:tabs>
        <w:spacing w:line="360" w:lineRule="auto"/>
        <w:jc w:val="both"/>
        <w:rPr>
          <w:rFonts w:ascii="Palatino Linotype" w:eastAsia="Calibri" w:hAnsi="Palatino Linotype" w:cs="Arial"/>
        </w:rPr>
      </w:pPr>
    </w:p>
    <w:p w:rsidR="00755BA2" w:rsidRPr="00501F3C" w:rsidRDefault="00755BA2" w:rsidP="00E77954">
      <w:pPr>
        <w:tabs>
          <w:tab w:val="left" w:pos="426"/>
        </w:tabs>
        <w:spacing w:line="360" w:lineRule="auto"/>
        <w:jc w:val="both"/>
        <w:rPr>
          <w:rFonts w:ascii="Palatino Linotype" w:eastAsia="Calibri" w:hAnsi="Palatino Linotype" w:cs="Arial"/>
        </w:rPr>
      </w:pPr>
    </w:p>
    <w:p w:rsidR="00CC0EC5" w:rsidRPr="00501F3C" w:rsidRDefault="00A4638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Palatino Linotype" w:hAnsi="Palatino Linotype" w:cs="Arial"/>
        </w:rPr>
      </w:pPr>
      <w:r w:rsidRPr="00501F3C">
        <w:rPr>
          <w:rFonts w:ascii="Palatino Linotype" w:hAnsi="Palatino Linotype"/>
          <w:b/>
        </w:rPr>
        <w:t xml:space="preserve">                                  </w:t>
      </w:r>
      <w:r w:rsidR="00CC0EC5" w:rsidRPr="00501F3C">
        <w:rPr>
          <w:rFonts w:ascii="Palatino Linotype" w:hAnsi="Palatino Linotype"/>
          <w:b/>
        </w:rPr>
        <w:t>JOSÉ GUADALUPE LUNA HERNÁNDEZ</w:t>
      </w:r>
    </w:p>
    <w:p w:rsidR="00022D14" w:rsidRDefault="00CC0EC5" w:rsidP="0001698D">
      <w:pPr>
        <w:spacing w:line="360" w:lineRule="auto"/>
        <w:jc w:val="center"/>
        <w:rPr>
          <w:rFonts w:ascii="Palatino Linotype" w:hAnsi="Palatino Linotype"/>
          <w:b/>
        </w:rPr>
      </w:pPr>
      <w:r w:rsidRPr="00501F3C">
        <w:rPr>
          <w:rFonts w:ascii="Palatino Linotype" w:hAnsi="Palatino Linotype"/>
          <w:b/>
        </w:rPr>
        <w:t>COMISIONADO</w:t>
      </w:r>
    </w:p>
    <w:p w:rsidR="00501F3C" w:rsidRDefault="00501F3C" w:rsidP="0001698D">
      <w:pPr>
        <w:spacing w:line="360" w:lineRule="auto"/>
        <w:jc w:val="center"/>
        <w:rPr>
          <w:rFonts w:ascii="Palatino Linotype" w:hAnsi="Palatino Linotype"/>
          <w:b/>
        </w:rPr>
      </w:pPr>
    </w:p>
    <w:p w:rsidR="00755BA2" w:rsidRPr="00501F3C" w:rsidRDefault="00755BA2" w:rsidP="0001698D">
      <w:pPr>
        <w:spacing w:line="360" w:lineRule="auto"/>
        <w:jc w:val="center"/>
        <w:rPr>
          <w:rFonts w:ascii="Palatino Linotype" w:hAnsi="Palatino Linotype"/>
          <w:b/>
        </w:rPr>
      </w:pPr>
    </w:p>
    <w:p w:rsidR="00E36F32" w:rsidRPr="00501F3C" w:rsidRDefault="00E36F32" w:rsidP="00E77954">
      <w:pPr>
        <w:spacing w:line="360" w:lineRule="auto"/>
        <w:rPr>
          <w:rFonts w:ascii="Palatino Linotype" w:hAnsi="Palatino Linotype"/>
          <w:b/>
        </w:rPr>
      </w:pPr>
    </w:p>
    <w:p w:rsidR="00E36F32" w:rsidRPr="00501F3C" w:rsidRDefault="00E36F32" w:rsidP="0001698D">
      <w:pPr>
        <w:spacing w:line="360" w:lineRule="auto"/>
        <w:jc w:val="center"/>
        <w:rPr>
          <w:rFonts w:ascii="Palatino Linotype" w:hAnsi="Palatino Linotype"/>
          <w:b/>
        </w:rPr>
      </w:pPr>
    </w:p>
    <w:p w:rsidR="00F511B5" w:rsidRPr="000860D6" w:rsidRDefault="000860D6" w:rsidP="000860D6">
      <w:pPr>
        <w:spacing w:line="360" w:lineRule="auto"/>
        <w:rPr>
          <w:rFonts w:ascii="Palatino Linotype" w:hAnsi="Palatino Linotype"/>
          <w:b/>
        </w:rPr>
      </w:pPr>
      <w:r w:rsidRPr="00501F3C">
        <w:rPr>
          <w:rFonts w:ascii="Palatino Linotype" w:hAnsi="Palatino Linotype"/>
          <w:b/>
        </w:rPr>
        <w:t>JGLH/</w:t>
      </w:r>
      <w:r w:rsidR="00501F3C">
        <w:rPr>
          <w:rFonts w:ascii="Palatino Linotype" w:hAnsi="Palatino Linotype"/>
          <w:b/>
        </w:rPr>
        <w:t>sev</w:t>
      </w:r>
    </w:p>
    <w:sectPr w:rsidR="00F511B5" w:rsidRPr="000860D6" w:rsidSect="00017A61">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903" w:rsidRDefault="00AF4903" w:rsidP="00ED7332">
      <w:r>
        <w:separator/>
      </w:r>
    </w:p>
  </w:endnote>
  <w:endnote w:type="continuationSeparator" w:id="0">
    <w:p w:rsidR="00AF4903" w:rsidRDefault="00AF4903"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C478DF">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C478DF">
              <w:rPr>
                <w:rFonts w:ascii="Palatino Linotype" w:hAnsi="Palatino Linotype"/>
                <w:b/>
                <w:bCs/>
                <w:noProof/>
                <w:sz w:val="20"/>
                <w:szCs w:val="20"/>
              </w:rPr>
              <w:t>13</w:t>
            </w:r>
            <w:r w:rsidRPr="0052203D">
              <w:rPr>
                <w:rFonts w:ascii="Palatino Linotype" w:hAnsi="Palatino Linotype"/>
                <w:b/>
                <w:bCs/>
                <w:sz w:val="20"/>
                <w:szCs w:val="20"/>
              </w:rPr>
              <w:fldChar w:fldCharType="end"/>
            </w:r>
          </w:p>
        </w:sdtContent>
      </w:sdt>
    </w:sdtContent>
  </w:sdt>
  <w:p w:rsidR="00951E8B" w:rsidRDefault="00AF49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903" w:rsidRDefault="00AF4903" w:rsidP="00ED7332">
      <w:r>
        <w:separator/>
      </w:r>
    </w:p>
  </w:footnote>
  <w:footnote w:type="continuationSeparator" w:id="0">
    <w:p w:rsidR="00AF4903" w:rsidRDefault="00AF4903"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F4903">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F4903">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F4903">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769"/>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91FBD"/>
    <w:multiLevelType w:val="hybridMultilevel"/>
    <w:tmpl w:val="ACA6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382BFF"/>
    <w:multiLevelType w:val="hybridMultilevel"/>
    <w:tmpl w:val="2EBC66B6"/>
    <w:lvl w:ilvl="0" w:tplc="C04EF49C">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666659"/>
    <w:multiLevelType w:val="hybridMultilevel"/>
    <w:tmpl w:val="65C47768"/>
    <w:lvl w:ilvl="0" w:tplc="080A0005">
      <w:start w:val="1"/>
      <w:numFmt w:val="bullet"/>
      <w:lvlText w:val=""/>
      <w:lvlJc w:val="left"/>
      <w:pPr>
        <w:ind w:left="720" w:hanging="360"/>
      </w:pPr>
      <w:rPr>
        <w:rFonts w:ascii="Wingdings" w:hAnsi="Wingdings" w:hint="default"/>
      </w:r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5E7EBB"/>
    <w:multiLevelType w:val="hybridMultilevel"/>
    <w:tmpl w:val="CBCC0A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4A57DE"/>
    <w:multiLevelType w:val="hybridMultilevel"/>
    <w:tmpl w:val="6F0EDDB6"/>
    <w:lvl w:ilvl="0" w:tplc="2D4622A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D515AC"/>
    <w:multiLevelType w:val="hybridMultilevel"/>
    <w:tmpl w:val="2118042A"/>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E238ED"/>
    <w:multiLevelType w:val="hybridMultilevel"/>
    <w:tmpl w:val="300476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641F14"/>
    <w:multiLevelType w:val="hybridMultilevel"/>
    <w:tmpl w:val="EEA0F28E"/>
    <w:lvl w:ilvl="0" w:tplc="C5481082">
      <w:start w:val="2"/>
      <w:numFmt w:val="upperRoman"/>
      <w:pStyle w:val="Ttulo1"/>
      <w:lvlText w:val="%1."/>
      <w:lvlJc w:val="right"/>
      <w:pPr>
        <w:ind w:left="40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3A47A4"/>
    <w:multiLevelType w:val="hybridMultilevel"/>
    <w:tmpl w:val="376EE09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19044B"/>
    <w:multiLevelType w:val="hybridMultilevel"/>
    <w:tmpl w:val="45A4FD8C"/>
    <w:lvl w:ilvl="0" w:tplc="080A000F">
      <w:start w:val="1"/>
      <w:numFmt w:val="decimal"/>
      <w:lvlText w:val="%1."/>
      <w:lvlJc w:val="left"/>
      <w:pPr>
        <w:ind w:left="720" w:hanging="360"/>
      </w:p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8"/>
  </w:num>
  <w:num w:numId="3">
    <w:abstractNumId w:val="1"/>
  </w:num>
  <w:num w:numId="4">
    <w:abstractNumId w:val="4"/>
  </w:num>
  <w:num w:numId="5">
    <w:abstractNumId w:val="12"/>
  </w:num>
  <w:num w:numId="6">
    <w:abstractNumId w:val="3"/>
  </w:num>
  <w:num w:numId="7">
    <w:abstractNumId w:val="7"/>
  </w:num>
  <w:num w:numId="8">
    <w:abstractNumId w:val="10"/>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3"/>
  </w:num>
  <w:num w:numId="14">
    <w:abstractNumId w:val="0"/>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1698D"/>
    <w:rsid w:val="00017A61"/>
    <w:rsid w:val="00022D14"/>
    <w:rsid w:val="000328AE"/>
    <w:rsid w:val="000350F9"/>
    <w:rsid w:val="00045EDE"/>
    <w:rsid w:val="00071C0E"/>
    <w:rsid w:val="00074B24"/>
    <w:rsid w:val="00075028"/>
    <w:rsid w:val="000779F9"/>
    <w:rsid w:val="000860D6"/>
    <w:rsid w:val="00091207"/>
    <w:rsid w:val="0009296B"/>
    <w:rsid w:val="000963B3"/>
    <w:rsid w:val="00096BFB"/>
    <w:rsid w:val="00097AD7"/>
    <w:rsid w:val="000B0E25"/>
    <w:rsid w:val="000C1C45"/>
    <w:rsid w:val="000C7056"/>
    <w:rsid w:val="000D714D"/>
    <w:rsid w:val="000E7EE8"/>
    <w:rsid w:val="000F1159"/>
    <w:rsid w:val="000F2AC8"/>
    <w:rsid w:val="00103510"/>
    <w:rsid w:val="001130D3"/>
    <w:rsid w:val="00115126"/>
    <w:rsid w:val="001229B6"/>
    <w:rsid w:val="00122FB9"/>
    <w:rsid w:val="001337C6"/>
    <w:rsid w:val="0015416E"/>
    <w:rsid w:val="0016141F"/>
    <w:rsid w:val="00161D60"/>
    <w:rsid w:val="00170FB4"/>
    <w:rsid w:val="00173575"/>
    <w:rsid w:val="00185218"/>
    <w:rsid w:val="00187C5A"/>
    <w:rsid w:val="00191742"/>
    <w:rsid w:val="00195687"/>
    <w:rsid w:val="001A2F06"/>
    <w:rsid w:val="001B4856"/>
    <w:rsid w:val="001C6069"/>
    <w:rsid w:val="001C6C91"/>
    <w:rsid w:val="001D2190"/>
    <w:rsid w:val="001D2B25"/>
    <w:rsid w:val="001E2E42"/>
    <w:rsid w:val="001E2F7E"/>
    <w:rsid w:val="001E6151"/>
    <w:rsid w:val="001F0577"/>
    <w:rsid w:val="001F7036"/>
    <w:rsid w:val="00203272"/>
    <w:rsid w:val="00216C90"/>
    <w:rsid w:val="002252EC"/>
    <w:rsid w:val="00230BB9"/>
    <w:rsid w:val="002528A4"/>
    <w:rsid w:val="00253251"/>
    <w:rsid w:val="00255331"/>
    <w:rsid w:val="00255EAA"/>
    <w:rsid w:val="002611CF"/>
    <w:rsid w:val="0026475A"/>
    <w:rsid w:val="0026502D"/>
    <w:rsid w:val="00266515"/>
    <w:rsid w:val="00274977"/>
    <w:rsid w:val="002813E1"/>
    <w:rsid w:val="00290D96"/>
    <w:rsid w:val="002A3764"/>
    <w:rsid w:val="002A3A54"/>
    <w:rsid w:val="002B6FBB"/>
    <w:rsid w:val="002D1347"/>
    <w:rsid w:val="002E4A47"/>
    <w:rsid w:val="002E4EAD"/>
    <w:rsid w:val="002F0112"/>
    <w:rsid w:val="002F6C6B"/>
    <w:rsid w:val="003061F2"/>
    <w:rsid w:val="00313DBF"/>
    <w:rsid w:val="00315C7A"/>
    <w:rsid w:val="003331EE"/>
    <w:rsid w:val="00341275"/>
    <w:rsid w:val="00343467"/>
    <w:rsid w:val="003503B0"/>
    <w:rsid w:val="003569D1"/>
    <w:rsid w:val="00364D1A"/>
    <w:rsid w:val="00364E7F"/>
    <w:rsid w:val="00366D22"/>
    <w:rsid w:val="003672A4"/>
    <w:rsid w:val="00370A13"/>
    <w:rsid w:val="00374684"/>
    <w:rsid w:val="003765B0"/>
    <w:rsid w:val="0038405F"/>
    <w:rsid w:val="003A43CE"/>
    <w:rsid w:val="003A68B3"/>
    <w:rsid w:val="003B12E8"/>
    <w:rsid w:val="003C68B6"/>
    <w:rsid w:val="003D1215"/>
    <w:rsid w:val="003D513F"/>
    <w:rsid w:val="003F69B0"/>
    <w:rsid w:val="003F71B7"/>
    <w:rsid w:val="00421FE8"/>
    <w:rsid w:val="004252DB"/>
    <w:rsid w:val="00430106"/>
    <w:rsid w:val="00437134"/>
    <w:rsid w:val="0044164A"/>
    <w:rsid w:val="00442007"/>
    <w:rsid w:val="0044710A"/>
    <w:rsid w:val="00447D29"/>
    <w:rsid w:val="004603A9"/>
    <w:rsid w:val="00460BFA"/>
    <w:rsid w:val="00482790"/>
    <w:rsid w:val="004915D5"/>
    <w:rsid w:val="004A4D9E"/>
    <w:rsid w:val="004A6948"/>
    <w:rsid w:val="004A75D5"/>
    <w:rsid w:val="004C0FDD"/>
    <w:rsid w:val="004C4360"/>
    <w:rsid w:val="004D1629"/>
    <w:rsid w:val="004E1A1B"/>
    <w:rsid w:val="004F719D"/>
    <w:rsid w:val="004F7289"/>
    <w:rsid w:val="0050137A"/>
    <w:rsid w:val="00501F3C"/>
    <w:rsid w:val="00503141"/>
    <w:rsid w:val="0052203D"/>
    <w:rsid w:val="0054182F"/>
    <w:rsid w:val="00557948"/>
    <w:rsid w:val="00577A92"/>
    <w:rsid w:val="00586E51"/>
    <w:rsid w:val="00594047"/>
    <w:rsid w:val="005A09A1"/>
    <w:rsid w:val="005A55B8"/>
    <w:rsid w:val="005D79B7"/>
    <w:rsid w:val="005E6E1A"/>
    <w:rsid w:val="00614828"/>
    <w:rsid w:val="00630699"/>
    <w:rsid w:val="00633DCF"/>
    <w:rsid w:val="00635965"/>
    <w:rsid w:val="0063753D"/>
    <w:rsid w:val="006409B3"/>
    <w:rsid w:val="00642F7C"/>
    <w:rsid w:val="00644DC3"/>
    <w:rsid w:val="00647C92"/>
    <w:rsid w:val="006500A4"/>
    <w:rsid w:val="00651B65"/>
    <w:rsid w:val="00671670"/>
    <w:rsid w:val="00696E58"/>
    <w:rsid w:val="006B62F4"/>
    <w:rsid w:val="006E2911"/>
    <w:rsid w:val="006F068E"/>
    <w:rsid w:val="006F3E9E"/>
    <w:rsid w:val="00711276"/>
    <w:rsid w:val="007226CE"/>
    <w:rsid w:val="00731C00"/>
    <w:rsid w:val="00743244"/>
    <w:rsid w:val="007455F7"/>
    <w:rsid w:val="0074731F"/>
    <w:rsid w:val="00755BA2"/>
    <w:rsid w:val="00760EEB"/>
    <w:rsid w:val="007631ED"/>
    <w:rsid w:val="00763471"/>
    <w:rsid w:val="00774A7F"/>
    <w:rsid w:val="0077794D"/>
    <w:rsid w:val="007900F4"/>
    <w:rsid w:val="00795E32"/>
    <w:rsid w:val="007A4E77"/>
    <w:rsid w:val="007A69A1"/>
    <w:rsid w:val="007A6A25"/>
    <w:rsid w:val="007A76AC"/>
    <w:rsid w:val="007B08CC"/>
    <w:rsid w:val="007B194A"/>
    <w:rsid w:val="007B1C16"/>
    <w:rsid w:val="007B70C2"/>
    <w:rsid w:val="007C13D8"/>
    <w:rsid w:val="007C1ADC"/>
    <w:rsid w:val="007C25E8"/>
    <w:rsid w:val="007E20E1"/>
    <w:rsid w:val="007F5BB2"/>
    <w:rsid w:val="007F7E66"/>
    <w:rsid w:val="007F7F59"/>
    <w:rsid w:val="008037FF"/>
    <w:rsid w:val="0081168F"/>
    <w:rsid w:val="00811FF8"/>
    <w:rsid w:val="00835B3B"/>
    <w:rsid w:val="008517AF"/>
    <w:rsid w:val="0085434D"/>
    <w:rsid w:val="00861EA4"/>
    <w:rsid w:val="00864D58"/>
    <w:rsid w:val="00876E43"/>
    <w:rsid w:val="00880EB4"/>
    <w:rsid w:val="00894FAC"/>
    <w:rsid w:val="008979F6"/>
    <w:rsid w:val="008A3152"/>
    <w:rsid w:val="008A78F1"/>
    <w:rsid w:val="008B29B7"/>
    <w:rsid w:val="008B2AC8"/>
    <w:rsid w:val="008B50DE"/>
    <w:rsid w:val="008B70FB"/>
    <w:rsid w:val="008B7317"/>
    <w:rsid w:val="008B7D1A"/>
    <w:rsid w:val="008C3561"/>
    <w:rsid w:val="008D1C7B"/>
    <w:rsid w:val="008F1F4E"/>
    <w:rsid w:val="008F3587"/>
    <w:rsid w:val="0090198C"/>
    <w:rsid w:val="00903879"/>
    <w:rsid w:val="00922379"/>
    <w:rsid w:val="009332A7"/>
    <w:rsid w:val="00940BE8"/>
    <w:rsid w:val="00941946"/>
    <w:rsid w:val="00952EB7"/>
    <w:rsid w:val="00962AB3"/>
    <w:rsid w:val="00967499"/>
    <w:rsid w:val="0097464F"/>
    <w:rsid w:val="0098429B"/>
    <w:rsid w:val="0099042C"/>
    <w:rsid w:val="009A16E4"/>
    <w:rsid w:val="009B59F6"/>
    <w:rsid w:val="009D5E66"/>
    <w:rsid w:val="009E3209"/>
    <w:rsid w:val="009E7D34"/>
    <w:rsid w:val="00A011F0"/>
    <w:rsid w:val="00A21F83"/>
    <w:rsid w:val="00A249AB"/>
    <w:rsid w:val="00A31B0C"/>
    <w:rsid w:val="00A3395D"/>
    <w:rsid w:val="00A36FB9"/>
    <w:rsid w:val="00A410B3"/>
    <w:rsid w:val="00A43D47"/>
    <w:rsid w:val="00A46385"/>
    <w:rsid w:val="00A527F0"/>
    <w:rsid w:val="00A7538B"/>
    <w:rsid w:val="00A94904"/>
    <w:rsid w:val="00AA4703"/>
    <w:rsid w:val="00AC0CEB"/>
    <w:rsid w:val="00AC5011"/>
    <w:rsid w:val="00AE112C"/>
    <w:rsid w:val="00AE1FD6"/>
    <w:rsid w:val="00AE4957"/>
    <w:rsid w:val="00AF4903"/>
    <w:rsid w:val="00AF61AB"/>
    <w:rsid w:val="00B06084"/>
    <w:rsid w:val="00B079D3"/>
    <w:rsid w:val="00B1415F"/>
    <w:rsid w:val="00B22AD2"/>
    <w:rsid w:val="00B305DB"/>
    <w:rsid w:val="00B32143"/>
    <w:rsid w:val="00B35501"/>
    <w:rsid w:val="00B544F7"/>
    <w:rsid w:val="00B64221"/>
    <w:rsid w:val="00B664BB"/>
    <w:rsid w:val="00B82DF9"/>
    <w:rsid w:val="00B847C6"/>
    <w:rsid w:val="00B951D9"/>
    <w:rsid w:val="00B97430"/>
    <w:rsid w:val="00BA7541"/>
    <w:rsid w:val="00BC23A5"/>
    <w:rsid w:val="00BD7E40"/>
    <w:rsid w:val="00BE0306"/>
    <w:rsid w:val="00BE1AF8"/>
    <w:rsid w:val="00BF7F15"/>
    <w:rsid w:val="00C04ABD"/>
    <w:rsid w:val="00C16A3B"/>
    <w:rsid w:val="00C237B4"/>
    <w:rsid w:val="00C35411"/>
    <w:rsid w:val="00C36B1F"/>
    <w:rsid w:val="00C37D34"/>
    <w:rsid w:val="00C478DF"/>
    <w:rsid w:val="00C50FC5"/>
    <w:rsid w:val="00C648C5"/>
    <w:rsid w:val="00C64CFF"/>
    <w:rsid w:val="00C7087D"/>
    <w:rsid w:val="00C74DDE"/>
    <w:rsid w:val="00C819C8"/>
    <w:rsid w:val="00C8234C"/>
    <w:rsid w:val="00C87E9E"/>
    <w:rsid w:val="00C96160"/>
    <w:rsid w:val="00CA5AFE"/>
    <w:rsid w:val="00CB061F"/>
    <w:rsid w:val="00CB13A7"/>
    <w:rsid w:val="00CB19F7"/>
    <w:rsid w:val="00CB3643"/>
    <w:rsid w:val="00CC0EC5"/>
    <w:rsid w:val="00CD3F2D"/>
    <w:rsid w:val="00CD617D"/>
    <w:rsid w:val="00CE058D"/>
    <w:rsid w:val="00CE4690"/>
    <w:rsid w:val="00CE768F"/>
    <w:rsid w:val="00CF16BC"/>
    <w:rsid w:val="00D05736"/>
    <w:rsid w:val="00D05A32"/>
    <w:rsid w:val="00D05D86"/>
    <w:rsid w:val="00D06241"/>
    <w:rsid w:val="00D075E8"/>
    <w:rsid w:val="00D0774E"/>
    <w:rsid w:val="00D212CB"/>
    <w:rsid w:val="00D349C5"/>
    <w:rsid w:val="00D37C48"/>
    <w:rsid w:val="00D420C4"/>
    <w:rsid w:val="00D570BC"/>
    <w:rsid w:val="00D64E2F"/>
    <w:rsid w:val="00D71039"/>
    <w:rsid w:val="00D74377"/>
    <w:rsid w:val="00D75081"/>
    <w:rsid w:val="00D84524"/>
    <w:rsid w:val="00D976D8"/>
    <w:rsid w:val="00D97CBF"/>
    <w:rsid w:val="00DA4B79"/>
    <w:rsid w:val="00DB5AF7"/>
    <w:rsid w:val="00DC25D0"/>
    <w:rsid w:val="00DC3B83"/>
    <w:rsid w:val="00DC3D1C"/>
    <w:rsid w:val="00DC613F"/>
    <w:rsid w:val="00DE28AC"/>
    <w:rsid w:val="00DE7C9B"/>
    <w:rsid w:val="00DE7DF6"/>
    <w:rsid w:val="00E042EC"/>
    <w:rsid w:val="00E043DE"/>
    <w:rsid w:val="00E06C70"/>
    <w:rsid w:val="00E12C1D"/>
    <w:rsid w:val="00E17384"/>
    <w:rsid w:val="00E25072"/>
    <w:rsid w:val="00E30652"/>
    <w:rsid w:val="00E36F32"/>
    <w:rsid w:val="00E4540E"/>
    <w:rsid w:val="00E60C19"/>
    <w:rsid w:val="00E6553A"/>
    <w:rsid w:val="00E67744"/>
    <w:rsid w:val="00E71DF9"/>
    <w:rsid w:val="00E77954"/>
    <w:rsid w:val="00E80889"/>
    <w:rsid w:val="00EA4216"/>
    <w:rsid w:val="00EA734D"/>
    <w:rsid w:val="00EB46CE"/>
    <w:rsid w:val="00EB6A73"/>
    <w:rsid w:val="00EB7AA0"/>
    <w:rsid w:val="00EB7E75"/>
    <w:rsid w:val="00EC781B"/>
    <w:rsid w:val="00ED2F56"/>
    <w:rsid w:val="00ED5776"/>
    <w:rsid w:val="00ED7332"/>
    <w:rsid w:val="00EE0D26"/>
    <w:rsid w:val="00EE3F52"/>
    <w:rsid w:val="00EF2C52"/>
    <w:rsid w:val="00EF4D4D"/>
    <w:rsid w:val="00EF7BFC"/>
    <w:rsid w:val="00F15D14"/>
    <w:rsid w:val="00F26370"/>
    <w:rsid w:val="00F3413E"/>
    <w:rsid w:val="00F36639"/>
    <w:rsid w:val="00F3702C"/>
    <w:rsid w:val="00F415FE"/>
    <w:rsid w:val="00F436A4"/>
    <w:rsid w:val="00F511B5"/>
    <w:rsid w:val="00F56E5B"/>
    <w:rsid w:val="00F63F46"/>
    <w:rsid w:val="00F7127D"/>
    <w:rsid w:val="00F71FF7"/>
    <w:rsid w:val="00F73EA1"/>
    <w:rsid w:val="00F742C0"/>
    <w:rsid w:val="00F75AE7"/>
    <w:rsid w:val="00F77503"/>
    <w:rsid w:val="00F95E27"/>
    <w:rsid w:val="00FA1140"/>
    <w:rsid w:val="00FB534E"/>
    <w:rsid w:val="00FB6B92"/>
    <w:rsid w:val="00FC0B18"/>
    <w:rsid w:val="00FC148F"/>
    <w:rsid w:val="00FC490F"/>
    <w:rsid w:val="00FD78FB"/>
    <w:rsid w:val="00FE3075"/>
    <w:rsid w:val="00FE5FB6"/>
    <w:rsid w:val="00FE7484"/>
    <w:rsid w:val="00FF3D64"/>
    <w:rsid w:val="00FF4B33"/>
    <w:rsid w:val="00FF4D2D"/>
    <w:rsid w:val="00FF6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FA1140"/>
    <w:pPr>
      <w:keepNext/>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FA1140"/>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 w:type="paragraph" w:styleId="NormalWeb">
    <w:name w:val="Normal (Web)"/>
    <w:basedOn w:val="Normal"/>
    <w:uiPriority w:val="99"/>
    <w:unhideWhenUsed/>
    <w:rsid w:val="00CE46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633945202">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974600428">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A6868-704A-4913-B1FD-ED52415E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2746</Words>
  <Characters>15105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2019-05-27T22:18:00Z</cp:lastPrinted>
  <dcterms:created xsi:type="dcterms:W3CDTF">2019-05-30T17:49:00Z</dcterms:created>
  <dcterms:modified xsi:type="dcterms:W3CDTF">2019-05-30T17:49:00Z</dcterms:modified>
</cp:coreProperties>
</file>