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5C6C2E"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9F1DF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C2443" w:rsidRPr="009F1DF2">
        <w:rPr>
          <w:rFonts w:ascii="Palatino Linotype" w:eastAsia="Times New Roman" w:hAnsi="Palatino Linotype" w:cs="Arial"/>
          <w:color w:val="000000"/>
          <w:sz w:val="24"/>
          <w:szCs w:val="24"/>
          <w:lang w:eastAsia="es-MX"/>
        </w:rPr>
        <w:t>veintiocho</w:t>
      </w:r>
      <w:r w:rsidR="00A32C01" w:rsidRPr="009F1DF2">
        <w:rPr>
          <w:rFonts w:ascii="Palatino Linotype" w:eastAsia="Times New Roman" w:hAnsi="Palatino Linotype" w:cs="Arial"/>
          <w:color w:val="000000"/>
          <w:sz w:val="24"/>
          <w:szCs w:val="24"/>
          <w:lang w:eastAsia="es-MX"/>
        </w:rPr>
        <w:t xml:space="preserve"> de agosto de dos mil diecinueve.</w:t>
      </w:r>
      <w:r w:rsidR="00A32C01" w:rsidRPr="005C6C2E">
        <w:rPr>
          <w:rFonts w:ascii="Palatino Linotype" w:eastAsia="Times New Roman" w:hAnsi="Palatino Linotype" w:cs="Arial"/>
          <w:color w:val="000000"/>
          <w:sz w:val="24"/>
          <w:szCs w:val="24"/>
          <w:lang w:eastAsia="es-MX"/>
        </w:rPr>
        <w:t xml:space="preserve"> </w:t>
      </w:r>
      <w:r w:rsidR="00B76FE1" w:rsidRPr="005C6C2E">
        <w:rPr>
          <w:rFonts w:ascii="Palatino Linotype" w:eastAsia="Times New Roman" w:hAnsi="Palatino Linotype" w:cs="Arial"/>
          <w:color w:val="000000"/>
          <w:sz w:val="24"/>
          <w:szCs w:val="24"/>
          <w:lang w:eastAsia="es-MX"/>
        </w:rPr>
        <w:t xml:space="preserve"> </w:t>
      </w:r>
      <w:r w:rsidR="00F7053D" w:rsidRPr="005C6C2E">
        <w:rPr>
          <w:rFonts w:ascii="Palatino Linotype" w:eastAsia="Times New Roman" w:hAnsi="Palatino Linotype" w:cs="Arial"/>
          <w:color w:val="000000"/>
          <w:sz w:val="24"/>
          <w:szCs w:val="24"/>
          <w:lang w:eastAsia="es-MX"/>
        </w:rPr>
        <w:t xml:space="preserve"> </w:t>
      </w:r>
      <w:r w:rsidR="00271F67" w:rsidRPr="005C6C2E">
        <w:rPr>
          <w:rFonts w:ascii="Palatino Linotype" w:eastAsia="Times New Roman" w:hAnsi="Palatino Linotype" w:cs="Arial"/>
          <w:color w:val="000000"/>
          <w:sz w:val="24"/>
          <w:szCs w:val="24"/>
          <w:lang w:eastAsia="es-MX"/>
        </w:rPr>
        <w:t xml:space="preserve"> </w:t>
      </w:r>
      <w:r w:rsidR="00BA0296" w:rsidRPr="005C6C2E">
        <w:rPr>
          <w:rFonts w:ascii="Palatino Linotype" w:eastAsia="Times New Roman" w:hAnsi="Palatino Linotype" w:cs="Arial"/>
          <w:color w:val="000000"/>
          <w:sz w:val="24"/>
          <w:szCs w:val="24"/>
          <w:lang w:eastAsia="es-MX"/>
        </w:rPr>
        <w:t xml:space="preserve"> </w:t>
      </w:r>
      <w:r w:rsidR="00893BE5" w:rsidRPr="005C6C2E">
        <w:rPr>
          <w:rFonts w:ascii="Palatino Linotype" w:eastAsia="Times New Roman" w:hAnsi="Palatino Linotype" w:cs="Arial"/>
          <w:color w:val="000000"/>
          <w:sz w:val="24"/>
          <w:szCs w:val="24"/>
          <w:lang w:eastAsia="es-MX"/>
        </w:rPr>
        <w:t xml:space="preserve"> </w:t>
      </w:r>
      <w:r w:rsidR="00F93BE2" w:rsidRPr="005C6C2E">
        <w:rPr>
          <w:rFonts w:ascii="Palatino Linotype" w:eastAsia="Times New Roman" w:hAnsi="Palatino Linotype" w:cs="Arial"/>
          <w:color w:val="000000"/>
          <w:sz w:val="24"/>
          <w:szCs w:val="24"/>
          <w:lang w:eastAsia="es-MX"/>
        </w:rPr>
        <w:t xml:space="preserve"> </w:t>
      </w:r>
    </w:p>
    <w:p w:rsidR="00A32C01" w:rsidRPr="00A32C01" w:rsidRDefault="006168E4" w:rsidP="00844569">
      <w:pPr>
        <w:tabs>
          <w:tab w:val="left" w:pos="1701"/>
        </w:tabs>
        <w:spacing w:before="240" w:line="360" w:lineRule="auto"/>
        <w:jc w:val="both"/>
        <w:rPr>
          <w:rFonts w:ascii="Palatino Linotype" w:hAnsi="Palatino Linotype" w:cs="Arial"/>
          <w:sz w:val="24"/>
        </w:rPr>
      </w:pPr>
      <w:r w:rsidRPr="005C6C2E">
        <w:rPr>
          <w:rFonts w:ascii="Palatino Linotype" w:hAnsi="Palatino Linotype" w:cs="Arial"/>
          <w:b/>
          <w:sz w:val="24"/>
        </w:rPr>
        <w:t>VISTO</w:t>
      </w:r>
      <w:r w:rsidRPr="005C6C2E">
        <w:rPr>
          <w:rFonts w:ascii="Palatino Linotype" w:hAnsi="Palatino Linotype" w:cs="Arial"/>
          <w:sz w:val="24"/>
        </w:rPr>
        <w:t xml:space="preserve"> el expediente electrónico formado con motivo del recurso de revisión número </w:t>
      </w:r>
      <w:r w:rsidR="00A32C01" w:rsidRPr="005C6C2E">
        <w:rPr>
          <w:rFonts w:ascii="Palatino Linotype" w:hAnsi="Palatino Linotype" w:cs="Arial"/>
          <w:b/>
          <w:sz w:val="24"/>
        </w:rPr>
        <w:t>05525</w:t>
      </w:r>
      <w:r w:rsidR="00271F67" w:rsidRPr="005C6C2E">
        <w:rPr>
          <w:rFonts w:ascii="Palatino Linotype" w:hAnsi="Palatino Linotype" w:cs="Arial"/>
          <w:b/>
          <w:sz w:val="24"/>
        </w:rPr>
        <w:t xml:space="preserve">/INFOEM/IP/RR/2019, </w:t>
      </w:r>
      <w:r w:rsidR="00B76FE1" w:rsidRPr="005C6C2E">
        <w:rPr>
          <w:rFonts w:ascii="Palatino Linotype" w:hAnsi="Palatino Linotype" w:cs="Arial"/>
          <w:sz w:val="24"/>
        </w:rPr>
        <w:t xml:space="preserve">interpuesto por </w:t>
      </w:r>
      <w:r w:rsidR="00A32C01" w:rsidRPr="005C6C2E">
        <w:rPr>
          <w:rFonts w:ascii="Palatino Linotype" w:hAnsi="Palatino Linotype" w:cs="Arial"/>
          <w:sz w:val="24"/>
        </w:rPr>
        <w:t xml:space="preserve">la </w:t>
      </w:r>
      <w:r w:rsidR="00A32C01" w:rsidRPr="005C6C2E">
        <w:rPr>
          <w:rFonts w:ascii="Palatino Linotype" w:hAnsi="Palatino Linotype" w:cs="Arial"/>
          <w:b/>
          <w:sz w:val="24"/>
        </w:rPr>
        <w:t xml:space="preserve">C. </w:t>
      </w:r>
      <w:r w:rsidR="004C0D8E">
        <w:rPr>
          <w:rFonts w:ascii="Palatino Linotype" w:hAnsi="Palatino Linotype" w:cs="Arial"/>
          <w:b/>
          <w:sz w:val="24"/>
        </w:rPr>
        <w:t>xxxxxxxxxxxx</w:t>
      </w:r>
      <w:r w:rsidR="00A32C01" w:rsidRPr="005C6C2E">
        <w:rPr>
          <w:rFonts w:ascii="Palatino Linotype" w:hAnsi="Palatino Linotype" w:cs="Arial"/>
          <w:b/>
          <w:sz w:val="24"/>
        </w:rPr>
        <w:t xml:space="preserve">, </w:t>
      </w:r>
      <w:r w:rsidR="00A32C01" w:rsidRPr="005C6C2E">
        <w:rPr>
          <w:rFonts w:ascii="Palatino Linotype" w:hAnsi="Palatino Linotype" w:cs="Arial"/>
          <w:sz w:val="24"/>
        </w:rPr>
        <w:t xml:space="preserve">en lo sucesivo </w:t>
      </w:r>
      <w:r w:rsidR="00A32C01" w:rsidRPr="005C6C2E">
        <w:rPr>
          <w:rFonts w:ascii="Palatino Linotype" w:hAnsi="Palatino Linotype" w:cs="Arial"/>
          <w:b/>
          <w:sz w:val="24"/>
        </w:rPr>
        <w:t xml:space="preserve">La Recurrente, </w:t>
      </w:r>
      <w:r w:rsidR="00A32C01" w:rsidRPr="005C6C2E">
        <w:rPr>
          <w:rFonts w:ascii="Palatino Linotype" w:hAnsi="Palatino Linotype" w:cs="Arial"/>
          <w:sz w:val="24"/>
        </w:rPr>
        <w:t xml:space="preserve">en contra de la falta de respuesta del </w:t>
      </w:r>
      <w:r w:rsidR="00A32C01" w:rsidRPr="005C6C2E">
        <w:rPr>
          <w:rFonts w:ascii="Palatino Linotype" w:hAnsi="Palatino Linotype" w:cs="Arial"/>
          <w:b/>
          <w:sz w:val="24"/>
        </w:rPr>
        <w:t xml:space="preserve">Ayuntamiento de Valle de Chalco Solidaridad, </w:t>
      </w:r>
      <w:r w:rsidR="00A32C01" w:rsidRPr="005C6C2E">
        <w:rPr>
          <w:rFonts w:ascii="Palatino Linotype" w:hAnsi="Palatino Linotype" w:cs="Arial"/>
          <w:sz w:val="24"/>
        </w:rPr>
        <w:t>en lo subsecuente, se procede a dictar la presente resolución:</w:t>
      </w:r>
      <w:r w:rsidR="00A32C01">
        <w:rPr>
          <w:rFonts w:ascii="Palatino Linotype" w:hAnsi="Palatino Linotype" w:cs="Arial"/>
          <w:sz w:val="24"/>
        </w:rPr>
        <w:t xml:space="preserve"> </w:t>
      </w:r>
    </w:p>
    <w:p w:rsidR="00A32C01" w:rsidRDefault="00A32C01"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5C6C2E" w:rsidRPr="005C6C2E"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C6C2E">
        <w:rPr>
          <w:rFonts w:ascii="Palatino Linotype" w:hAnsi="Palatino Linotype" w:cs="Arial"/>
          <w:sz w:val="24"/>
        </w:rPr>
        <w:t xml:space="preserve">veintisiete de mayo de los corrientes, </w:t>
      </w:r>
      <w:r w:rsidR="005C6C2E">
        <w:rPr>
          <w:rFonts w:ascii="Palatino Linotype" w:hAnsi="Palatino Linotype" w:cs="Arial"/>
          <w:b/>
          <w:sz w:val="24"/>
        </w:rPr>
        <w:t xml:space="preserve">La Recurrente, </w:t>
      </w:r>
      <w:r w:rsidR="00B76FE1">
        <w:rPr>
          <w:rFonts w:ascii="Palatino Linotype" w:hAnsi="Palatino Linotype" w:cs="Arial"/>
          <w:sz w:val="24"/>
        </w:rPr>
        <w:t>presentó a través del Sistema de Acceso a la Información Mexiquense  (</w:t>
      </w:r>
      <w:r w:rsidR="00B76FE1">
        <w:rPr>
          <w:rFonts w:ascii="Palatino Linotype" w:hAnsi="Palatino Linotype" w:cs="Arial"/>
          <w:b/>
          <w:sz w:val="24"/>
        </w:rPr>
        <w:t>SAIMEX)</w:t>
      </w:r>
      <w:r w:rsidR="00B76FE1">
        <w:rPr>
          <w:rFonts w:ascii="Palatino Linotype" w:hAnsi="Palatino Linotype" w:cs="Arial"/>
          <w:sz w:val="24"/>
        </w:rPr>
        <w:t xml:space="preserve"> ante </w:t>
      </w:r>
      <w:r w:rsidR="00B76FE1">
        <w:rPr>
          <w:rFonts w:ascii="Palatino Linotype" w:hAnsi="Palatino Linotype" w:cs="Arial"/>
          <w:b/>
          <w:sz w:val="24"/>
        </w:rPr>
        <w:t>El Sujeto Obligado</w:t>
      </w:r>
      <w:r w:rsidR="00B76FE1">
        <w:rPr>
          <w:rFonts w:ascii="Palatino Linotype" w:hAnsi="Palatino Linotype" w:cs="Arial"/>
          <w:sz w:val="24"/>
        </w:rPr>
        <w:t xml:space="preserve">, solicitud de acceso a la información pública, registrada bajo el número de expediente </w:t>
      </w:r>
      <w:r w:rsidR="005C6C2E">
        <w:rPr>
          <w:rFonts w:ascii="Palatino Linotype" w:hAnsi="Palatino Linotype" w:cs="Arial"/>
          <w:b/>
          <w:sz w:val="24"/>
        </w:rPr>
        <w:t xml:space="preserve">00361/VACHASO/IP/2019, </w:t>
      </w:r>
      <w:r w:rsidR="005C6C2E">
        <w:rPr>
          <w:rFonts w:ascii="Palatino Linotype" w:hAnsi="Palatino Linotype" w:cs="Arial"/>
          <w:sz w:val="24"/>
        </w:rPr>
        <w:t xml:space="preserve">mediante la cual solicitó información en el tenor siguiente: </w:t>
      </w:r>
    </w:p>
    <w:p w:rsidR="00B76FE1" w:rsidRDefault="005C6C2E" w:rsidP="00B76FE1">
      <w:pPr>
        <w:spacing w:before="240" w:line="360" w:lineRule="auto"/>
        <w:ind w:left="851" w:right="851"/>
        <w:jc w:val="both"/>
        <w:rPr>
          <w:rFonts w:ascii="Palatino Linotype" w:hAnsi="Palatino Linotype"/>
          <w:b/>
          <w:i/>
          <w:color w:val="000000"/>
        </w:rPr>
      </w:pPr>
      <w:r w:rsidRPr="005C6C2E">
        <w:rPr>
          <w:rFonts w:ascii="Palatino Linotype" w:hAnsi="Palatino Linotype"/>
          <w:i/>
          <w:color w:val="000000"/>
        </w:rPr>
        <w:t xml:space="preserve"> “solicito se den a conocer los gastos totales que se realizaron en los eventos del día del maestro, día del niño y día de las madres</w:t>
      </w:r>
      <w:r w:rsidR="00B76FE1" w:rsidRPr="005C6C2E">
        <w:rPr>
          <w:rFonts w:ascii="Palatino Linotype" w:hAnsi="Palatino Linotype"/>
          <w:i/>
          <w:color w:val="000000"/>
        </w:rPr>
        <w:t>”</w:t>
      </w:r>
      <w:r w:rsidR="00B76FE1" w:rsidRPr="00B76FE1">
        <w:rPr>
          <w:rFonts w:ascii="Palatino Linotype" w:hAnsi="Palatino Linotype"/>
          <w:i/>
          <w:color w:val="000000"/>
        </w:rPr>
        <w:t xml:space="preserve"> </w:t>
      </w:r>
      <w:r w:rsidR="00B76FE1" w:rsidRPr="00B76FE1">
        <w:rPr>
          <w:rFonts w:ascii="Palatino Linotype" w:hAnsi="Palatino Linotype"/>
          <w:b/>
          <w:i/>
          <w:color w:val="000000"/>
        </w:rPr>
        <w:t>[Sic]</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2B7079" w:rsidRDefault="00581A22" w:rsidP="00045379">
      <w:pPr>
        <w:spacing w:before="240" w:line="360" w:lineRule="auto"/>
        <w:jc w:val="both"/>
        <w:rPr>
          <w:rFonts w:ascii="Palatino Linotype" w:hAnsi="Palatino Linotype" w:cs="Arial"/>
          <w:b/>
          <w:sz w:val="28"/>
          <w:szCs w:val="20"/>
        </w:rPr>
      </w:pPr>
      <w:r w:rsidRPr="00783681">
        <w:rPr>
          <w:rFonts w:ascii="Palatino Linotype" w:hAnsi="Palatino Linotype" w:cs="Arial"/>
          <w:b/>
          <w:sz w:val="28"/>
        </w:rPr>
        <w:lastRenderedPageBreak/>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350373" w:rsidRDefault="005C6C2E" w:rsidP="0004537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simplePos x="0" y="0"/>
                <wp:positionH relativeFrom="column">
                  <wp:posOffset>-384811</wp:posOffset>
                </wp:positionH>
                <wp:positionV relativeFrom="paragraph">
                  <wp:posOffset>6577330</wp:posOffset>
                </wp:positionV>
                <wp:extent cx="6486525" cy="4381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64865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BA60BA" id="Conector recto 4"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0.3pt,517.9pt" to="480.45pt,5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" strokecolor="#5b9bd5 [3204]" strokeweight=".5pt">
                <v:stroke joinstyle="miter"/>
              </v:line>
            </w:pict>
          </mc:Fallback>
        </mc:AlternateContent>
      </w:r>
      <w:r w:rsidR="004C0D8E">
        <w:rPr>
          <w:rFonts w:ascii="Palatino Linotype" w:hAnsi="Palatino Linotype" w:cs="Arial"/>
          <w:noProof/>
          <w:sz w:val="24"/>
          <w:szCs w:val="24"/>
          <w:lang w:eastAsia="es-MX"/>
        </w:rPr>
        <w:drawing>
          <wp:inline distT="0" distB="0" distL="0" distR="0">
            <wp:extent cx="5760720" cy="3931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31920"/>
                    </a:xfrm>
                    <a:prstGeom prst="rect">
                      <a:avLst/>
                    </a:prstGeom>
                    <a:noFill/>
                    <a:ln>
                      <a:noFill/>
                    </a:ln>
                  </pic:spPr>
                </pic:pic>
              </a:graphicData>
            </a:graphic>
          </wp:inline>
        </w:drawing>
      </w:r>
      <w:bookmarkStart w:id="0" w:name="_GoBack"/>
      <w:bookmarkEnd w:id="0"/>
      <w:r w:rsidR="00350373" w:rsidRPr="001B05B9">
        <w:rPr>
          <w:rFonts w:ascii="Palatino Linotype" w:hAnsi="Palatino Linotype" w:cs="Arial"/>
          <w:sz w:val="24"/>
          <w:szCs w:val="24"/>
        </w:rPr>
        <w:t xml:space="preserve">En el expediente electrónico </w:t>
      </w:r>
      <w:r w:rsidR="00350373" w:rsidRPr="001B05B9">
        <w:rPr>
          <w:rFonts w:ascii="Palatino Linotype" w:hAnsi="Palatino Linotype" w:cs="Arial"/>
          <w:b/>
          <w:sz w:val="24"/>
          <w:szCs w:val="24"/>
        </w:rPr>
        <w:t>SAIMEX</w:t>
      </w:r>
      <w:r w:rsidR="00350373" w:rsidRPr="001B05B9">
        <w:rPr>
          <w:rFonts w:ascii="Palatino Linotype" w:hAnsi="Palatino Linotype" w:cs="Arial"/>
          <w:sz w:val="24"/>
          <w:szCs w:val="24"/>
        </w:rPr>
        <w:t xml:space="preserve">, se aprecia que </w:t>
      </w:r>
      <w:r w:rsidR="00350373">
        <w:rPr>
          <w:rFonts w:ascii="Palatino Linotype" w:hAnsi="Palatino Linotype" w:cs="Arial"/>
          <w:b/>
          <w:sz w:val="24"/>
          <w:szCs w:val="24"/>
        </w:rPr>
        <w:t xml:space="preserve">El Sujeto Obligado </w:t>
      </w:r>
      <w:r w:rsidR="00350373">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La</w:t>
      </w:r>
      <w:r w:rsidR="00350373">
        <w:rPr>
          <w:rFonts w:ascii="Palatino Linotype" w:hAnsi="Palatino Linotype" w:cs="Arial"/>
          <w:b/>
          <w:sz w:val="24"/>
          <w:szCs w:val="24"/>
        </w:rPr>
        <w:t xml:space="preserve"> Recurrente. </w:t>
      </w:r>
      <w:r w:rsidR="00350373">
        <w:rPr>
          <w:rFonts w:ascii="Palatino Linotype" w:hAnsi="Palatino Linotype" w:cs="Arial"/>
          <w:sz w:val="24"/>
          <w:szCs w:val="24"/>
        </w:rPr>
        <w:t xml:space="preserve">Derivado de lo anterior, se constituye la figura de la </w:t>
      </w:r>
      <w:r w:rsidR="00350373">
        <w:rPr>
          <w:rFonts w:ascii="Palatino Linotype" w:hAnsi="Palatino Linotype" w:cs="Arial"/>
          <w:b/>
          <w:sz w:val="24"/>
          <w:szCs w:val="24"/>
        </w:rPr>
        <w:t xml:space="preserve">NEGATIVA FICTA, </w:t>
      </w:r>
      <w:r w:rsidR="00350373">
        <w:rPr>
          <w:rFonts w:ascii="Palatino Linotype" w:hAnsi="Palatino Linotype" w:cs="Arial"/>
          <w:sz w:val="24"/>
          <w:szCs w:val="24"/>
        </w:rPr>
        <w:t>cuya esencia consiste en atribuir un efecto negativo de la autoridad administrativa frente a las instancias y solicitudes que hagan los particulares. Robustece lo anterior la siguiente imagen ilustrativa:</w:t>
      </w: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5C6C2E" w:rsidRPr="005C6C2E" w:rsidRDefault="006168E4" w:rsidP="00844569">
      <w:pPr>
        <w:spacing w:before="240" w:line="360" w:lineRule="auto"/>
        <w:jc w:val="both"/>
        <w:rPr>
          <w:rFonts w:ascii="Palatino Linotype" w:hAnsi="Palatino Linotype" w:cs="Arial"/>
          <w:sz w:val="24"/>
          <w:szCs w:val="24"/>
        </w:rPr>
      </w:pPr>
      <w:r w:rsidRPr="00893BE5">
        <w:rPr>
          <w:rFonts w:ascii="Palatino Linotype" w:hAnsi="Palatino Linotype" w:cs="Arial"/>
          <w:sz w:val="24"/>
          <w:szCs w:val="24"/>
        </w:rPr>
        <w:lastRenderedPageBreak/>
        <w:t>Inconforme c</w:t>
      </w:r>
      <w:r w:rsidR="00E56347" w:rsidRPr="00893BE5">
        <w:rPr>
          <w:rFonts w:ascii="Palatino Linotype" w:hAnsi="Palatino Linotype" w:cs="Arial"/>
          <w:sz w:val="24"/>
          <w:szCs w:val="24"/>
        </w:rPr>
        <w:t xml:space="preserve">on la </w:t>
      </w:r>
      <w:r w:rsidR="007D6140">
        <w:rPr>
          <w:rFonts w:ascii="Palatino Linotype" w:hAnsi="Palatino Linotype" w:cs="Arial"/>
          <w:sz w:val="24"/>
          <w:szCs w:val="24"/>
        </w:rPr>
        <w:t xml:space="preserve">falta de </w:t>
      </w:r>
      <w:r w:rsidR="00E56347" w:rsidRPr="00893BE5">
        <w:rPr>
          <w:rFonts w:ascii="Palatino Linotype" w:hAnsi="Palatino Linotype" w:cs="Arial"/>
          <w:sz w:val="24"/>
          <w:szCs w:val="24"/>
        </w:rPr>
        <w:t xml:space="preserve">respuesta notificada por </w:t>
      </w:r>
      <w:r w:rsidR="00E56347" w:rsidRPr="00893BE5">
        <w:rPr>
          <w:rFonts w:ascii="Palatino Linotype" w:hAnsi="Palatino Linotype" w:cs="Arial"/>
          <w:b/>
          <w:sz w:val="24"/>
          <w:szCs w:val="24"/>
        </w:rPr>
        <w:t>El Sujeto O</w:t>
      </w:r>
      <w:r w:rsidR="005C6C2E">
        <w:rPr>
          <w:rFonts w:ascii="Palatino Linotype" w:hAnsi="Palatino Linotype" w:cs="Arial"/>
          <w:b/>
          <w:sz w:val="24"/>
          <w:szCs w:val="24"/>
        </w:rPr>
        <w:t>bligado, La</w:t>
      </w:r>
      <w:r w:rsidRPr="00893BE5">
        <w:rPr>
          <w:rFonts w:ascii="Palatino Linotype" w:hAnsi="Palatino Linotype" w:cs="Arial"/>
          <w:b/>
          <w:sz w:val="24"/>
          <w:szCs w:val="24"/>
        </w:rPr>
        <w:t xml:space="preserve"> Recurrente </w:t>
      </w:r>
      <w:r w:rsidRPr="00893BE5">
        <w:rPr>
          <w:rFonts w:ascii="Palatino Linotype" w:hAnsi="Palatino Linotype" w:cs="Arial"/>
          <w:sz w:val="24"/>
          <w:szCs w:val="24"/>
        </w:rPr>
        <w:t>interpuso el recurso de revisión, en fecha</w:t>
      </w:r>
      <w:r w:rsidR="005305EA" w:rsidRPr="00893BE5">
        <w:rPr>
          <w:rFonts w:ascii="Palatino Linotype" w:hAnsi="Palatino Linotype" w:cs="Arial"/>
          <w:sz w:val="24"/>
          <w:szCs w:val="24"/>
        </w:rPr>
        <w:t xml:space="preserve"> </w:t>
      </w:r>
      <w:r w:rsidR="005C6C2E">
        <w:rPr>
          <w:rFonts w:ascii="Palatino Linotype" w:hAnsi="Palatino Linotype" w:cs="Arial"/>
          <w:sz w:val="24"/>
          <w:szCs w:val="24"/>
        </w:rPr>
        <w:t xml:space="preserve">dieciocho de junio del presente, el cual fue registrado en el sistema electrónico con el expediente número </w:t>
      </w:r>
      <w:r w:rsidR="005C6C2E">
        <w:rPr>
          <w:rFonts w:ascii="Palatino Linotype" w:hAnsi="Palatino Linotype" w:cs="Arial"/>
          <w:b/>
          <w:sz w:val="24"/>
          <w:szCs w:val="24"/>
        </w:rPr>
        <w:t xml:space="preserve">05525/INFOEM/IP/RR/2019, </w:t>
      </w:r>
      <w:r w:rsidR="005C6C2E">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5C6C2E" w:rsidRDefault="00F83D71" w:rsidP="00844569">
      <w:pPr>
        <w:spacing w:line="360" w:lineRule="auto"/>
        <w:ind w:left="851" w:right="851"/>
        <w:jc w:val="both"/>
        <w:rPr>
          <w:rFonts w:ascii="Palatino Linotype" w:hAnsi="Palatino Linotype" w:cs="Arial"/>
          <w:i/>
        </w:rPr>
      </w:pPr>
      <w:r w:rsidRPr="005C6C2E">
        <w:rPr>
          <w:rFonts w:ascii="Palatino Linotype" w:hAnsi="Palatino Linotype" w:cs="Arial"/>
          <w:i/>
        </w:rPr>
        <w:t>“</w:t>
      </w:r>
      <w:r w:rsidR="005C6C2E" w:rsidRPr="005C6C2E">
        <w:rPr>
          <w:rFonts w:ascii="Palatino Linotype" w:hAnsi="Palatino Linotype"/>
          <w:i/>
          <w:color w:val="000000"/>
        </w:rPr>
        <w:t>gastos que se generaron al realizar evento del día de las madres, día del maestro y día del niño</w:t>
      </w:r>
      <w:r w:rsidR="006168E4" w:rsidRPr="005C6C2E">
        <w:rPr>
          <w:rFonts w:ascii="Palatino Linotype" w:hAnsi="Palatino Linotype" w:cs="Arial"/>
          <w:i/>
        </w:rPr>
        <w:t>”</w:t>
      </w:r>
      <w:r w:rsidR="00454CE6" w:rsidRPr="005C6C2E">
        <w:rPr>
          <w:rFonts w:ascii="Palatino Linotype" w:hAnsi="Palatino Linotype" w:cs="Arial"/>
          <w:i/>
        </w:rPr>
        <w:t xml:space="preserve"> </w:t>
      </w:r>
      <w:r w:rsidR="00E56347" w:rsidRPr="005C6C2E">
        <w:rPr>
          <w:rFonts w:ascii="Palatino Linotype" w:hAnsi="Palatino Linotype" w:cs="Arial"/>
          <w:b/>
          <w:i/>
        </w:rPr>
        <w:t>[S</w:t>
      </w:r>
      <w:r w:rsidR="006168E4" w:rsidRPr="005C6C2E">
        <w:rPr>
          <w:rFonts w:ascii="Palatino Linotype" w:hAnsi="Palatino Linotype" w:cs="Arial"/>
          <w:b/>
          <w:i/>
        </w:rPr>
        <w:t>ic]</w:t>
      </w:r>
      <w:r w:rsidR="00465D60" w:rsidRPr="005C6C2E">
        <w:rPr>
          <w:rFonts w:ascii="Palatino Linotype" w:hAnsi="Palatino Linotype" w:cs="Arial"/>
          <w:b/>
          <w:i/>
        </w:rPr>
        <w:tab/>
      </w:r>
    </w:p>
    <w:p w:rsidR="00F83D71" w:rsidRDefault="00F83D71" w:rsidP="00844569">
      <w:pPr>
        <w:spacing w:before="240" w:line="360" w:lineRule="auto"/>
        <w:jc w:val="both"/>
        <w:rPr>
          <w:rFonts w:ascii="Palatino Linotype" w:hAnsi="Palatino Linotype" w:cs="Arial"/>
          <w:b/>
          <w:sz w:val="24"/>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5C6C2E" w:rsidRDefault="00F83D71" w:rsidP="00844569">
      <w:pPr>
        <w:spacing w:line="360" w:lineRule="auto"/>
        <w:ind w:left="851" w:right="851"/>
        <w:jc w:val="both"/>
        <w:rPr>
          <w:rFonts w:ascii="Palatino Linotype" w:hAnsi="Palatino Linotype" w:cs="Arial"/>
          <w:i/>
        </w:rPr>
      </w:pPr>
      <w:r w:rsidRPr="005C6C2E">
        <w:rPr>
          <w:rFonts w:ascii="Palatino Linotype" w:hAnsi="Palatino Linotype" w:cs="Arial"/>
          <w:i/>
        </w:rPr>
        <w:t>“</w:t>
      </w:r>
      <w:r w:rsidR="005C6C2E" w:rsidRPr="005C6C2E">
        <w:rPr>
          <w:rFonts w:ascii="Palatino Linotype" w:hAnsi="Palatino Linotype"/>
          <w:i/>
          <w:color w:val="000000"/>
        </w:rPr>
        <w:t>no se ha manifestado ninguna respuesta</w:t>
      </w:r>
      <w:r w:rsidR="006168E4" w:rsidRPr="005C6C2E">
        <w:rPr>
          <w:rFonts w:ascii="Palatino Linotype" w:hAnsi="Palatino Linotype" w:cs="Arial"/>
          <w:i/>
        </w:rPr>
        <w:t xml:space="preserve">” </w:t>
      </w:r>
      <w:r w:rsidR="006168E4" w:rsidRPr="005C6C2E">
        <w:rPr>
          <w:rFonts w:ascii="Palatino Linotype" w:hAnsi="Palatino Linotype" w:cs="Arial"/>
          <w:b/>
          <w:i/>
        </w:rPr>
        <w:t>[</w:t>
      </w:r>
      <w:r w:rsidR="002B7079" w:rsidRPr="005C6C2E">
        <w:rPr>
          <w:rFonts w:ascii="Palatino Linotype" w:hAnsi="Palatino Linotype" w:cs="Arial"/>
          <w:b/>
          <w:i/>
        </w:rPr>
        <w:t>S</w:t>
      </w:r>
      <w:r w:rsidR="006168E4" w:rsidRPr="005C6C2E">
        <w:rPr>
          <w:rFonts w:ascii="Palatino Linotype" w:hAnsi="Palatino Linotype" w:cs="Arial"/>
          <w:b/>
          <w:i/>
        </w:rPr>
        <w:t>ic]</w:t>
      </w:r>
    </w:p>
    <w:p w:rsidR="006168E4"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BD4625" w:rsidRDefault="006168E4" w:rsidP="00BD46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00BD4625">
        <w:rPr>
          <w:rFonts w:ascii="Palatino Linotype" w:hAnsi="Palatino Linotype" w:cs="Arial"/>
          <w:sz w:val="24"/>
          <w:szCs w:val="24"/>
        </w:rPr>
        <w:t xml:space="preserve">fecha </w:t>
      </w:r>
      <w:r w:rsidR="005C6C2E">
        <w:rPr>
          <w:rFonts w:ascii="Palatino Linotype" w:hAnsi="Palatino Linotype" w:cs="Arial"/>
          <w:sz w:val="24"/>
          <w:szCs w:val="24"/>
        </w:rPr>
        <w:t xml:space="preserve">veinticuatro de junio </w:t>
      </w:r>
      <w:r w:rsidR="00BD4625">
        <w:rPr>
          <w:rFonts w:ascii="Palatino Linotype" w:hAnsi="Palatino Linotype" w:cs="Arial"/>
          <w:sz w:val="24"/>
          <w:szCs w:val="24"/>
        </w:rPr>
        <w:t>de los corrientes, determinándose en él, un plazo de siete días para que las partes manifestaran lo que a su derecho corresponda en términos del numeral ya citado.</w:t>
      </w: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sidR="00F92B23">
        <w:rPr>
          <w:rFonts w:ascii="Palatino Linotype" w:hAnsi="Palatino Linotype" w:cs="Arial"/>
          <w:sz w:val="24"/>
          <w:szCs w:val="24"/>
        </w:rPr>
        <w:t xml:space="preserve">ido el término legal referido, </w:t>
      </w:r>
      <w:r w:rsidR="003D0B57">
        <w:rPr>
          <w:rFonts w:ascii="Palatino Linotype" w:hAnsi="Palatino Linotype" w:cs="Arial"/>
          <w:sz w:val="24"/>
          <w:szCs w:val="24"/>
        </w:rPr>
        <w:t xml:space="preserve">se advierte que </w:t>
      </w:r>
      <w:r w:rsidR="003D0B57">
        <w:rPr>
          <w:rFonts w:ascii="Palatino Linotype" w:hAnsi="Palatino Linotype" w:cs="Arial"/>
          <w:b/>
          <w:sz w:val="24"/>
          <w:szCs w:val="24"/>
        </w:rPr>
        <w:t xml:space="preserve">El Sujeto Obligado, </w:t>
      </w:r>
      <w:r w:rsidR="003D0B57">
        <w:rPr>
          <w:rFonts w:ascii="Palatino Linotype" w:hAnsi="Palatino Linotype" w:cs="Arial"/>
          <w:sz w:val="24"/>
          <w:szCs w:val="24"/>
        </w:rPr>
        <w:t>fue omiso en pre</w:t>
      </w:r>
      <w:r w:rsidR="00F7053D">
        <w:rPr>
          <w:rFonts w:ascii="Palatino Linotype" w:hAnsi="Palatino Linotype" w:cs="Arial"/>
          <w:sz w:val="24"/>
          <w:szCs w:val="24"/>
        </w:rPr>
        <w:t>sentar su informe justificado. A</w:t>
      </w:r>
      <w:r w:rsidR="003D0B57">
        <w:rPr>
          <w:rFonts w:ascii="Palatino Linotype" w:hAnsi="Palatino Linotype" w:cs="Arial"/>
          <w:sz w:val="24"/>
          <w:szCs w:val="24"/>
        </w:rPr>
        <w:t xml:space="preserve">simismo, </w:t>
      </w:r>
      <w:r w:rsidR="005C6C2E">
        <w:rPr>
          <w:rFonts w:ascii="Palatino Linotype" w:hAnsi="Palatino Linotype" w:cs="Arial"/>
          <w:b/>
          <w:sz w:val="24"/>
          <w:szCs w:val="24"/>
        </w:rPr>
        <w:t>La</w:t>
      </w:r>
      <w:r w:rsidR="003D0B57">
        <w:rPr>
          <w:rFonts w:ascii="Palatino Linotype" w:hAnsi="Palatino Linotype" w:cs="Arial"/>
          <w:b/>
          <w:sz w:val="24"/>
          <w:szCs w:val="24"/>
        </w:rPr>
        <w:t xml:space="preserve"> Recurrente </w:t>
      </w:r>
      <w:r w:rsidR="005C6C2E">
        <w:rPr>
          <w:rFonts w:ascii="Palatino Linotype" w:hAnsi="Palatino Linotype" w:cs="Arial"/>
          <w:sz w:val="24"/>
          <w:szCs w:val="24"/>
        </w:rPr>
        <w:t xml:space="preserve">fue omisa en rendir las </w:t>
      </w:r>
      <w:r w:rsidR="00FF14B2">
        <w:rPr>
          <w:rFonts w:ascii="Palatino Linotype" w:hAnsi="Palatino Linotype" w:cs="Arial"/>
          <w:sz w:val="24"/>
          <w:szCs w:val="24"/>
        </w:rPr>
        <w:t>manifestaciones estimadas pertinentes</w:t>
      </w:r>
      <w:r w:rsidR="003D0B57">
        <w:rPr>
          <w:rFonts w:ascii="Palatino Linotype" w:hAnsi="Palatino Linotype" w:cs="Arial"/>
          <w:sz w:val="24"/>
          <w:szCs w:val="24"/>
        </w:rPr>
        <w:t xml:space="preserve">. </w:t>
      </w:r>
      <w:r w:rsidR="003D0B57"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5C6C2E">
        <w:rPr>
          <w:rFonts w:ascii="Palatino Linotype" w:hAnsi="Palatino Linotype" w:cs="Arial"/>
          <w:sz w:val="24"/>
          <w:szCs w:val="24"/>
        </w:rPr>
        <w:t xml:space="preserve">veintinueve de julio </w:t>
      </w:r>
      <w:r w:rsidR="00BD4625">
        <w:rPr>
          <w:rFonts w:ascii="Palatino Linotype" w:hAnsi="Palatino Linotype" w:cs="Arial"/>
          <w:sz w:val="24"/>
          <w:szCs w:val="24"/>
        </w:rPr>
        <w:t xml:space="preserve">del presente, </w:t>
      </w:r>
      <w:r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0351DA" w:rsidRDefault="000351DA" w:rsidP="000351D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sidR="005C6C2E">
        <w:rPr>
          <w:rFonts w:ascii="Palatino Linotype" w:hAnsi="Palatino Linotype" w:cs="Arial"/>
          <w:sz w:val="24"/>
          <w:szCs w:val="24"/>
        </w:rPr>
        <w:t>diecinueve de agosto</w:t>
      </w:r>
      <w:r w:rsidRPr="00A14FEA">
        <w:rPr>
          <w:rFonts w:ascii="Palatino Linotype" w:hAnsi="Palatino Linotype" w:cs="Arial"/>
          <w:sz w:val="24"/>
          <w:szCs w:val="24"/>
        </w:rPr>
        <w:t xml:space="preserve"> </w:t>
      </w:r>
      <w:r w:rsidR="003D0B57">
        <w:rPr>
          <w:rFonts w:ascii="Palatino Linotype" w:hAnsi="Palatino Linotype" w:cs="Arial"/>
          <w:sz w:val="24"/>
          <w:szCs w:val="24"/>
        </w:rPr>
        <w:t>del año en curso</w:t>
      </w:r>
      <w:r w:rsidRPr="00A14FEA">
        <w:rPr>
          <w:rFonts w:ascii="Palatino Linotype" w:hAnsi="Palatino Linotype" w:cs="Arial"/>
          <w:sz w:val="24"/>
          <w:szCs w:val="24"/>
        </w:rPr>
        <w:t>,</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rsidR="006168E4" w:rsidRDefault="006168E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1174D9" w:rsidRPr="001174D9" w:rsidRDefault="001174D9" w:rsidP="001174D9">
      <w:pPr>
        <w:spacing w:before="240" w:line="360" w:lineRule="auto"/>
        <w:jc w:val="both"/>
        <w:rPr>
          <w:rFonts w:ascii="Palatino Linotype" w:hAnsi="Palatino Linotype" w:cs="Arial"/>
          <w:sz w:val="24"/>
          <w:szCs w:val="24"/>
        </w:rPr>
      </w:pPr>
      <w:r w:rsidRPr="001174D9">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5C6C2E">
        <w:rPr>
          <w:rFonts w:ascii="Palatino Linotype" w:hAnsi="Palatino Linotype" w:cs="Arial"/>
          <w:b/>
          <w:sz w:val="24"/>
          <w:szCs w:val="24"/>
        </w:rPr>
        <w:t>La</w:t>
      </w:r>
      <w:r w:rsidRPr="001174D9">
        <w:rPr>
          <w:rFonts w:ascii="Palatino Linotype" w:hAnsi="Palatino Linotype" w:cs="Arial"/>
          <w:b/>
          <w:sz w:val="24"/>
          <w:szCs w:val="24"/>
        </w:rPr>
        <w:t xml:space="preserve"> Recurrente </w:t>
      </w:r>
      <w:r w:rsidRPr="001174D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1174D9">
        <w:rPr>
          <w:rFonts w:ascii="Palatino Linotype" w:hAnsi="Palatino Linotype" w:cs="Arial"/>
          <w:sz w:val="24"/>
          <w:szCs w:val="24"/>
        </w:rPr>
        <w:lastRenderedPageBreak/>
        <w:t>y Municipios, 9 fracciones I, XXIV, 11 y 14 fracción I del Reglamento Interior del Instituto de Transparencia, Acceso a la Información Pública y Protección de Datos Personales del Estado de México.</w:t>
      </w:r>
    </w:p>
    <w:p w:rsidR="007D6140" w:rsidRDefault="007D6140"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F83D71" w:rsidRDefault="00F83D71" w:rsidP="00F83D71">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A94477">
        <w:rPr>
          <w:rFonts w:ascii="Palatino Linotype" w:hAnsi="Palatino Linotype" w:cs="Arial"/>
        </w:rPr>
        <w:lastRenderedPageBreak/>
        <w:t>de México y Municipios, en correlación con la seguridad jurídica que debe generar lo actuado ante este Organismo garante.</w:t>
      </w:r>
    </w:p>
    <w:p w:rsidR="00F83D71" w:rsidRDefault="00F83D71" w:rsidP="00F83D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F83D71" w:rsidRDefault="00F83D71" w:rsidP="00F83D7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al expediente del recurso de revisión que nos ocupa no se actualiza ninguna causa de improcedencia de las referidas en el artículo 191 de la Ley de Transparencia y Acceso a la Información Pública del Estado de México y </w:t>
      </w:r>
      <w:r>
        <w:rPr>
          <w:rFonts w:ascii="Palatino Linotype" w:hAnsi="Palatino Linotype" w:cs="Arial"/>
        </w:rPr>
        <w:lastRenderedPageBreak/>
        <w:t>Municipios, encontrándose actualizados todos los presupuestos procesales para atender el fondo del asunto, en los términos del considerando posterior.</w:t>
      </w:r>
    </w:p>
    <w:p w:rsidR="00BD4625" w:rsidRDefault="00BD4625" w:rsidP="00F83D71">
      <w:pPr>
        <w:pStyle w:val="Prrafodelista"/>
        <w:autoSpaceDE w:val="0"/>
        <w:autoSpaceDN w:val="0"/>
        <w:adjustRightInd w:val="0"/>
        <w:spacing w:before="240" w:after="160" w:line="360" w:lineRule="auto"/>
        <w:ind w:left="0"/>
        <w:jc w:val="both"/>
        <w:rPr>
          <w:rFonts w:ascii="Palatino Linotype" w:hAnsi="Palatino Linotype" w:cs="Arial"/>
        </w:rPr>
      </w:pP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BD4625" w:rsidRDefault="00BD4625" w:rsidP="00BD46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señalan a la literalidad: </w:t>
      </w:r>
    </w:p>
    <w:p w:rsidR="00BD4625" w:rsidRPr="005C6C2E" w:rsidRDefault="005C6C2E" w:rsidP="00BD4625">
      <w:pPr>
        <w:spacing w:before="240" w:line="360" w:lineRule="auto"/>
        <w:ind w:left="851" w:right="851"/>
        <w:jc w:val="both"/>
        <w:rPr>
          <w:rFonts w:ascii="Palatino Linotype" w:eastAsia="Times New Roman" w:hAnsi="Palatino Linotype" w:cs="Times New Roman"/>
          <w:b/>
          <w:i/>
          <w:lang w:eastAsia="es-MX"/>
        </w:rPr>
      </w:pPr>
      <w:r w:rsidRPr="005C6C2E">
        <w:rPr>
          <w:rFonts w:ascii="Palatino Linotype" w:eastAsia="Times New Roman" w:hAnsi="Palatino Linotype" w:cs="Times New Roman"/>
          <w:i/>
          <w:lang w:eastAsia="es-MX"/>
        </w:rPr>
        <w:t>“</w:t>
      </w:r>
      <w:r w:rsidRPr="005C6C2E">
        <w:rPr>
          <w:rFonts w:ascii="Palatino Linotype" w:hAnsi="Palatino Linotype"/>
          <w:i/>
          <w:color w:val="000000"/>
        </w:rPr>
        <w:t>solicito se den a conocer los gastos totales que se realizaron en los eventos del día del maestro, día del niño y día de las madres</w:t>
      </w:r>
      <w:r w:rsidR="00BD4625" w:rsidRPr="005C6C2E">
        <w:rPr>
          <w:rFonts w:ascii="Palatino Linotype" w:eastAsia="Times New Roman" w:hAnsi="Palatino Linotype" w:cs="Times New Roman"/>
          <w:i/>
          <w:lang w:eastAsia="es-MX"/>
        </w:rPr>
        <w:t xml:space="preserve">” </w:t>
      </w:r>
      <w:r w:rsidR="00BD4625" w:rsidRPr="005C6C2E">
        <w:rPr>
          <w:rFonts w:ascii="Palatino Linotype" w:eastAsia="Times New Roman" w:hAnsi="Palatino Linotype" w:cs="Times New Roman"/>
          <w:b/>
          <w:i/>
          <w:lang w:eastAsia="es-MX"/>
        </w:rPr>
        <w:t>[Sic]</w:t>
      </w:r>
    </w:p>
    <w:p w:rsidR="00BD4625" w:rsidRDefault="00BD4625" w:rsidP="00BD4625">
      <w:pPr>
        <w:pStyle w:val="Prrafodelista"/>
        <w:autoSpaceDE w:val="0"/>
        <w:autoSpaceDN w:val="0"/>
        <w:adjustRightInd w:val="0"/>
        <w:spacing w:line="360" w:lineRule="auto"/>
        <w:ind w:left="0"/>
        <w:jc w:val="both"/>
        <w:rPr>
          <w:rFonts w:ascii="Palatino Linotype" w:hAnsi="Palatino Linotype" w:cs="Arial"/>
        </w:rPr>
      </w:pPr>
    </w:p>
    <w:p w:rsidR="00C91901" w:rsidRPr="00C91901" w:rsidRDefault="00185470" w:rsidP="00C91901">
      <w:pPr>
        <w:spacing w:before="240" w:after="240" w:line="360" w:lineRule="auto"/>
        <w:jc w:val="both"/>
        <w:rPr>
          <w:rFonts w:ascii="Palatino Linotype" w:hAnsi="Palatino Linotype" w:cs="Arial"/>
          <w:sz w:val="24"/>
          <w:szCs w:val="24"/>
        </w:rPr>
      </w:pPr>
      <w:r w:rsidRPr="00C91901">
        <w:rPr>
          <w:rFonts w:ascii="Palatino Linotype" w:hAnsi="Palatino Linotype" w:cs="Arial"/>
          <w:sz w:val="24"/>
          <w:szCs w:val="24"/>
        </w:rPr>
        <w:t xml:space="preserve">En esta tesitura, si bien es cierto que los días conmemorativos referidos en la solicitud de información son celebrados los días 15 </w:t>
      </w:r>
      <w:r w:rsidRPr="00C91901">
        <w:rPr>
          <w:rFonts w:ascii="Palatino Linotype" w:hAnsi="Palatino Linotype" w:cs="Arial"/>
          <w:b/>
          <w:sz w:val="24"/>
          <w:szCs w:val="24"/>
        </w:rPr>
        <w:t>–quince-</w:t>
      </w:r>
      <w:r w:rsidRPr="00C91901">
        <w:rPr>
          <w:rFonts w:ascii="Palatino Linotype" w:hAnsi="Palatino Linotype" w:cs="Arial"/>
          <w:sz w:val="24"/>
          <w:szCs w:val="24"/>
        </w:rPr>
        <w:t xml:space="preserve"> de mayo, </w:t>
      </w:r>
      <w:r w:rsidR="00C91901" w:rsidRPr="00C91901">
        <w:rPr>
          <w:rFonts w:ascii="Palatino Linotype" w:hAnsi="Palatino Linotype" w:cs="Arial"/>
          <w:b/>
          <w:sz w:val="24"/>
          <w:szCs w:val="24"/>
        </w:rPr>
        <w:t>30</w:t>
      </w:r>
      <w:r w:rsidR="00C91901" w:rsidRPr="00C91901">
        <w:rPr>
          <w:rFonts w:ascii="Palatino Linotype" w:hAnsi="Palatino Linotype" w:cs="Arial"/>
          <w:sz w:val="24"/>
          <w:szCs w:val="24"/>
        </w:rPr>
        <w:t xml:space="preserve"> –</w:t>
      </w:r>
      <w:r w:rsidRPr="00C91901">
        <w:rPr>
          <w:rFonts w:ascii="Palatino Linotype" w:hAnsi="Palatino Linotype" w:cs="Arial"/>
          <w:sz w:val="24"/>
          <w:szCs w:val="24"/>
        </w:rPr>
        <w:t>treinta</w:t>
      </w:r>
      <w:r w:rsidR="00C91901" w:rsidRPr="00C91901">
        <w:rPr>
          <w:rFonts w:ascii="Palatino Linotype" w:hAnsi="Palatino Linotype" w:cs="Arial"/>
          <w:sz w:val="24"/>
          <w:szCs w:val="24"/>
        </w:rPr>
        <w:t>-</w:t>
      </w:r>
      <w:r w:rsidRPr="00C91901">
        <w:rPr>
          <w:rFonts w:ascii="Palatino Linotype" w:hAnsi="Palatino Linotype" w:cs="Arial"/>
          <w:sz w:val="24"/>
          <w:szCs w:val="24"/>
        </w:rPr>
        <w:t xml:space="preserve"> de abril y 10 </w:t>
      </w:r>
      <w:r w:rsidRPr="00C91901">
        <w:rPr>
          <w:rFonts w:ascii="Palatino Linotype" w:hAnsi="Palatino Linotype" w:cs="Arial"/>
          <w:b/>
          <w:sz w:val="24"/>
          <w:szCs w:val="24"/>
        </w:rPr>
        <w:t>–diez-</w:t>
      </w:r>
      <w:r w:rsidRPr="00C91901">
        <w:rPr>
          <w:rFonts w:ascii="Palatino Linotype" w:hAnsi="Palatino Linotype" w:cs="Arial"/>
          <w:sz w:val="24"/>
          <w:szCs w:val="24"/>
        </w:rPr>
        <w:t xml:space="preserve"> de mayo, respectivamente, lo </w:t>
      </w:r>
      <w:r w:rsidR="00C91901" w:rsidRPr="00C91901">
        <w:rPr>
          <w:rFonts w:ascii="Palatino Linotype" w:hAnsi="Palatino Linotype" w:cs="Arial"/>
          <w:sz w:val="24"/>
          <w:szCs w:val="24"/>
        </w:rPr>
        <w:t xml:space="preserve">cierto también es que </w:t>
      </w:r>
      <w:r w:rsidR="00C91901" w:rsidRPr="00C91901">
        <w:rPr>
          <w:rFonts w:ascii="Palatino Linotype" w:hAnsi="Palatino Linotype" w:cs="Arial"/>
          <w:b/>
          <w:sz w:val="24"/>
          <w:szCs w:val="24"/>
        </w:rPr>
        <w:t xml:space="preserve">La Recurrente </w:t>
      </w:r>
      <w:r w:rsidR="00C91901" w:rsidRPr="00C91901">
        <w:rPr>
          <w:rFonts w:ascii="Palatino Linotype" w:hAnsi="Palatino Linotype" w:cs="Arial"/>
          <w:sz w:val="24"/>
          <w:szCs w:val="24"/>
        </w:rPr>
        <w:t xml:space="preserve">no señaló </w:t>
      </w:r>
      <w:r w:rsidR="00C91901" w:rsidRPr="00C91901">
        <w:rPr>
          <w:rFonts w:ascii="Palatino Linotype" w:hAnsi="Palatino Linotype" w:cs="Arial"/>
          <w:sz w:val="24"/>
          <w:szCs w:val="24"/>
        </w:rPr>
        <w:lastRenderedPageBreak/>
        <w:t xml:space="preserve">expresamente respecto de que ejercicio fiscal resultan de su interés los soportes documentales requeridos, en este sentido, dicho requerimiento debe de ser concebido respecto del ejercicio fiscal dos mil diecinueve. Dicha precisión con fundamento en los artículos 13 y 181 cuarto párrafo de la Ley en materia, normatividad invocada cuyo contenido literal es el siguiente: </w:t>
      </w:r>
    </w:p>
    <w:p w:rsidR="00C91901" w:rsidRPr="009878C2" w:rsidRDefault="00C91901" w:rsidP="00C91901">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C91901" w:rsidRPr="009878C2" w:rsidRDefault="00C91901" w:rsidP="00C9190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rsidR="00C91901" w:rsidRPr="009878C2" w:rsidRDefault="00C91901" w:rsidP="00C9190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rsidR="00185470" w:rsidRDefault="00185470" w:rsidP="00BD4625">
      <w:pPr>
        <w:pStyle w:val="Prrafodelista"/>
        <w:autoSpaceDE w:val="0"/>
        <w:autoSpaceDN w:val="0"/>
        <w:adjustRightInd w:val="0"/>
        <w:spacing w:line="360" w:lineRule="auto"/>
        <w:ind w:left="0"/>
        <w:jc w:val="both"/>
        <w:rPr>
          <w:rFonts w:ascii="Palatino Linotype" w:hAnsi="Palatino Linotype" w:cs="Arial"/>
        </w:rPr>
      </w:pPr>
    </w:p>
    <w:p w:rsidR="0063029E" w:rsidRDefault="00C91901" w:rsidP="0063029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otra parte</w:t>
      </w:r>
      <w:r w:rsidR="0063029E" w:rsidRPr="006842B8">
        <w:rPr>
          <w:rFonts w:ascii="Palatino Linotype" w:hAnsi="Palatino Linotype" w:cs="Arial"/>
        </w:rPr>
        <w:t xml:space="preserve">, al referirnos a los actos impugnados por </w:t>
      </w:r>
      <w:r w:rsidR="0063029E">
        <w:rPr>
          <w:rFonts w:ascii="Palatino Linotype" w:hAnsi="Palatino Linotype" w:cs="Arial"/>
          <w:b/>
        </w:rPr>
        <w:t>La</w:t>
      </w:r>
      <w:r w:rsidR="0063029E" w:rsidRPr="006842B8">
        <w:rPr>
          <w:rFonts w:ascii="Palatino Linotype" w:hAnsi="Palatino Linotype" w:cs="Arial"/>
          <w:b/>
        </w:rPr>
        <w:t xml:space="preserve"> Recurrente, </w:t>
      </w:r>
      <w:r w:rsidR="0063029E" w:rsidRPr="006842B8">
        <w:rPr>
          <w:rFonts w:ascii="Palatino Linotype" w:hAnsi="Palatino Linotype" w:cs="Arial"/>
        </w:rPr>
        <w:t>concatenado con los motivos o razones de inconformidad emitidos, se distingue que se adolece, de forma toral</w:t>
      </w:r>
      <w:r w:rsidR="0063029E">
        <w:rPr>
          <w:rFonts w:ascii="Palatino Linotype" w:hAnsi="Palatino Linotype" w:cs="Arial"/>
        </w:rPr>
        <w:t>, de la falta de respuesta a la solicitud</w:t>
      </w:r>
      <w:r w:rsidR="0063029E"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63029E" w:rsidRDefault="0063029E" w:rsidP="0063029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5C6C2E" w:rsidRPr="007070C6" w:rsidRDefault="005C6C2E" w:rsidP="0063029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63029E" w:rsidRPr="007070C6" w:rsidRDefault="0063029E" w:rsidP="0063029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rsidR="0063029E" w:rsidRPr="007070C6" w:rsidRDefault="0063029E" w:rsidP="0063029E">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rsidR="00981F55" w:rsidRDefault="00981F55" w:rsidP="0063029E">
      <w:pPr>
        <w:pStyle w:val="Prrafodelista"/>
        <w:autoSpaceDE w:val="0"/>
        <w:autoSpaceDN w:val="0"/>
        <w:adjustRightInd w:val="0"/>
        <w:spacing w:before="240" w:after="160" w:line="360" w:lineRule="auto"/>
        <w:ind w:left="0"/>
        <w:jc w:val="both"/>
        <w:rPr>
          <w:rFonts w:ascii="Palatino Linotype" w:hAnsi="Palatino Linotype" w:cs="Arial"/>
        </w:rPr>
      </w:pPr>
    </w:p>
    <w:p w:rsidR="0063029E" w:rsidRDefault="0063029E" w:rsidP="0063029E">
      <w:pPr>
        <w:pStyle w:val="Prrafodelista"/>
        <w:autoSpaceDE w:val="0"/>
        <w:autoSpaceDN w:val="0"/>
        <w:adjustRightInd w:val="0"/>
        <w:spacing w:before="240" w:after="160" w:line="360" w:lineRule="auto"/>
        <w:ind w:left="0"/>
        <w:jc w:val="both"/>
        <w:rPr>
          <w:rFonts w:ascii="Palatino Linotype" w:hAnsi="Palatino Linotype"/>
        </w:rPr>
      </w:pPr>
      <w:r w:rsidRPr="00C91901">
        <w:rPr>
          <w:rFonts w:ascii="Palatino Linotype" w:hAnsi="Palatino Linotype" w:cs="Arial"/>
        </w:rPr>
        <w:t xml:space="preserve">Bajo estas líneas argumentativas, resulta evidente que las razones o motivos de inconformidad hechos valer por </w:t>
      </w:r>
      <w:r w:rsidR="005C6C2E" w:rsidRPr="00C91901">
        <w:rPr>
          <w:rFonts w:ascii="Palatino Linotype" w:hAnsi="Palatino Linotype" w:cs="Arial"/>
          <w:b/>
        </w:rPr>
        <w:t>La</w:t>
      </w:r>
      <w:r w:rsidRPr="00C91901">
        <w:rPr>
          <w:rFonts w:ascii="Palatino Linotype" w:hAnsi="Palatino Linotype" w:cs="Arial"/>
          <w:b/>
        </w:rPr>
        <w:t xml:space="preserve"> Recurrente, </w:t>
      </w:r>
      <w:r w:rsidRPr="00C91901">
        <w:rPr>
          <w:rFonts w:ascii="Palatino Linotype" w:hAnsi="Palatino Linotype" w:cs="Arial"/>
        </w:rPr>
        <w:t xml:space="preserve">resultan fundados y procedentes, en virtud de que como consta en el expediente electrónico del </w:t>
      </w:r>
      <w:r w:rsidRPr="00C91901">
        <w:rPr>
          <w:rFonts w:ascii="Palatino Linotype" w:hAnsi="Palatino Linotype" w:cs="Arial"/>
          <w:b/>
        </w:rPr>
        <w:t xml:space="preserve">SAIMEX, </w:t>
      </w:r>
      <w:r w:rsidRPr="00C91901">
        <w:rPr>
          <w:rFonts w:ascii="Palatino Linotype" w:hAnsi="Palatino Linotype" w:cs="Arial"/>
        </w:rPr>
        <w:t xml:space="preserve">se acredita que </w:t>
      </w:r>
      <w:r w:rsidRPr="00C91901">
        <w:rPr>
          <w:rFonts w:ascii="Palatino Linotype" w:hAnsi="Palatino Linotype" w:cs="Arial"/>
          <w:b/>
        </w:rPr>
        <w:t xml:space="preserve">El Sujeto Obligado </w:t>
      </w:r>
      <w:r w:rsidRPr="00C91901">
        <w:rPr>
          <w:rFonts w:ascii="Palatino Linotype" w:hAnsi="Palatino Linotype" w:cs="Arial"/>
        </w:rPr>
        <w:t xml:space="preserve">fue omiso en responder la solicitud de información hecha por </w:t>
      </w:r>
      <w:r w:rsidR="005C6C2E" w:rsidRPr="00C91901">
        <w:rPr>
          <w:rFonts w:ascii="Palatino Linotype" w:hAnsi="Palatino Linotype" w:cs="Arial"/>
          <w:b/>
        </w:rPr>
        <w:t>La</w:t>
      </w:r>
      <w:r w:rsidRPr="00C91901">
        <w:rPr>
          <w:rFonts w:ascii="Palatino Linotype" w:hAnsi="Palatino Linotype" w:cs="Arial"/>
          <w:b/>
        </w:rPr>
        <w:t xml:space="preserve"> Recurrente, </w:t>
      </w:r>
      <w:r w:rsidRPr="00C91901">
        <w:rPr>
          <w:rFonts w:ascii="Palatino Linotype" w:hAnsi="Palatino Linotype" w:cs="Arial"/>
        </w:rPr>
        <w:t xml:space="preserve">por ello </w:t>
      </w:r>
      <w:r w:rsidRPr="00C91901">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63029E" w:rsidRPr="007070C6" w:rsidRDefault="0063029E" w:rsidP="0063029E">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007201C1">
        <w:rPr>
          <w:rFonts w:ascii="Palatino Linotype" w:hAnsi="Palatino Linotype" w:cs="Arial"/>
          <w:b/>
        </w:rPr>
        <w:t>El</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rsidR="00C91901" w:rsidRPr="00C91901" w:rsidRDefault="00227F59" w:rsidP="00227F59">
      <w:pPr>
        <w:spacing w:after="0" w:line="360" w:lineRule="auto"/>
        <w:jc w:val="both"/>
        <w:rPr>
          <w:rFonts w:ascii="Palatino Linotype" w:hAnsi="Palatino Linotype" w:cs="Arial"/>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 xml:space="preserve">es importante señalar que </w:t>
      </w:r>
      <w:r w:rsidR="00C91901">
        <w:rPr>
          <w:rFonts w:ascii="Palatino Linotype" w:hAnsi="Palatino Linotype" w:cs="Arial"/>
          <w:sz w:val="24"/>
        </w:rPr>
        <w:t xml:space="preserve">el artículo 54 del Bando Municipal 2019 del </w:t>
      </w:r>
      <w:r w:rsidR="00C91901">
        <w:rPr>
          <w:rFonts w:ascii="Palatino Linotype" w:hAnsi="Palatino Linotype" w:cs="Arial"/>
          <w:b/>
          <w:sz w:val="24"/>
        </w:rPr>
        <w:t xml:space="preserve">Sujeto Obligado, </w:t>
      </w:r>
      <w:r w:rsidR="00C91901">
        <w:rPr>
          <w:rFonts w:ascii="Palatino Linotype" w:hAnsi="Palatino Linotype" w:cs="Arial"/>
          <w:sz w:val="24"/>
        </w:rPr>
        <w:t xml:space="preserve">dispone: </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lastRenderedPageBreak/>
        <w:t>“Artículo 54. Para el ejercicio de sus atribuciones y responsabilidades ejecutivas el Ayuntamiento se auxiliará de las dependencias administrativas que sean aprobadas por el Cabildo, las cuales en todo momento estarán subordinadas al Presidente Municipal, siendo las dependencias siguientes:</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a)Coordinación Técnica de Presidencia para Seguridad Pública y Gobierno</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b)Coordinación Técnica de Presidencia para Infraestructura</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c) Coordinación Técnica de Presidencia para Bienestar Social</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d) Coordinación Técnica de Presidencia para Desarrollo Económico</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e) Coordinación Técnica de Presidencia para Educación y Cultura</w:t>
      </w:r>
    </w:p>
    <w:p w:rsid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 xml:space="preserve">1.Dirección de Educación </w:t>
      </w:r>
    </w:p>
    <w:p w:rsid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 xml:space="preserve">2.Dirección de Cultura </w:t>
      </w:r>
    </w:p>
    <w:p w:rsid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 xml:space="preserve">A) Áreas </w:t>
      </w:r>
    </w:p>
    <w:p w:rsid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I. Secretaría del Ayuntamiento;</w:t>
      </w:r>
    </w:p>
    <w:p w:rsidR="00C91901" w:rsidRPr="00C91901" w:rsidRDefault="00C91901" w:rsidP="00C91901">
      <w:pPr>
        <w:spacing w:before="240" w:line="360" w:lineRule="auto"/>
        <w:ind w:left="851" w:right="851"/>
        <w:jc w:val="both"/>
        <w:rPr>
          <w:rFonts w:ascii="Palatino Linotype" w:hAnsi="Palatino Linotype"/>
          <w:b/>
          <w:i/>
          <w:u w:val="single"/>
        </w:rPr>
      </w:pPr>
      <w:r w:rsidRPr="00C91901">
        <w:rPr>
          <w:rFonts w:ascii="Palatino Linotype" w:hAnsi="Palatino Linotype"/>
          <w:b/>
          <w:i/>
          <w:u w:val="single"/>
        </w:rPr>
        <w:t xml:space="preserve"> </w:t>
      </w:r>
      <w:r>
        <w:rPr>
          <w:rFonts w:ascii="Palatino Linotype" w:hAnsi="Palatino Linotype"/>
          <w:b/>
          <w:i/>
          <w:u w:val="single"/>
        </w:rPr>
        <w:t>II. Tesorerí</w:t>
      </w:r>
      <w:r w:rsidRPr="00C91901">
        <w:rPr>
          <w:rFonts w:ascii="Palatino Linotype" w:hAnsi="Palatino Linotype"/>
          <w:b/>
          <w:i/>
          <w:u w:val="single"/>
        </w:rPr>
        <w:t xml:space="preserve">a Municipal; </w:t>
      </w:r>
    </w:p>
    <w:p w:rsidR="00C91901" w:rsidRDefault="00C91901" w:rsidP="00C91901">
      <w:pPr>
        <w:spacing w:before="240" w:line="360" w:lineRule="auto"/>
        <w:ind w:left="851" w:right="851"/>
        <w:rPr>
          <w:rFonts w:ascii="Palatino Linotype" w:hAnsi="Palatino Linotype"/>
          <w:i/>
        </w:rPr>
      </w:pPr>
      <w:r w:rsidRPr="00C91901">
        <w:rPr>
          <w:rFonts w:ascii="Palatino Linotype" w:hAnsi="Palatino Linotype"/>
          <w:i/>
        </w:rPr>
        <w:lastRenderedPageBreak/>
        <w:t xml:space="preserve">III. Contraloría Municipal; </w:t>
      </w:r>
    </w:p>
    <w:p w:rsidR="00C91901" w:rsidRPr="00F90847" w:rsidRDefault="00C91901" w:rsidP="00C91901">
      <w:pPr>
        <w:spacing w:before="240" w:line="360" w:lineRule="auto"/>
        <w:ind w:left="851" w:right="851"/>
        <w:rPr>
          <w:rFonts w:ascii="Palatino Linotype" w:hAnsi="Palatino Linotype"/>
          <w:i/>
        </w:rPr>
      </w:pPr>
      <w:r w:rsidRPr="00F90847">
        <w:rPr>
          <w:rFonts w:ascii="Palatino Linotype" w:hAnsi="Palatino Linotype"/>
          <w:i/>
        </w:rPr>
        <w:t xml:space="preserve">IV. Dirección de Administración; </w:t>
      </w:r>
    </w:p>
    <w:p w:rsidR="00C91901" w:rsidRDefault="00C91901" w:rsidP="00C91901">
      <w:pPr>
        <w:spacing w:before="240" w:line="360" w:lineRule="auto"/>
        <w:ind w:left="851" w:right="851"/>
        <w:rPr>
          <w:rFonts w:ascii="Palatino Linotype" w:hAnsi="Palatino Linotype"/>
          <w:i/>
        </w:rPr>
      </w:pPr>
      <w:r w:rsidRPr="00C91901">
        <w:rPr>
          <w:rFonts w:ascii="Palatino Linotype" w:hAnsi="Palatino Linotype"/>
          <w:i/>
        </w:rPr>
        <w:t xml:space="preserve">V. Unidad de Información, Programación, Presupuestación y Evaluación </w:t>
      </w:r>
    </w:p>
    <w:p w:rsid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 xml:space="preserve">VI. Dirección de Catastro Municipal </w:t>
      </w:r>
    </w:p>
    <w:p w:rsid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 xml:space="preserve">VII. Unidad de Transparencia </w:t>
      </w:r>
    </w:p>
    <w:p w:rsid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 xml:space="preserve">VIII. SIPINNA </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IX. Cronista Municipal</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B) Coordinaciones administrativas</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C)Oficialías:</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 xml:space="preserve">Además de las Dependencias, Entidades u órganos previstos en la Ley o que determine crear el Cabildo, el Ayuntamiento para el mejor funcionamiento de la Administración Pública, podrá acordar, a propuesta del Presidente Municipal, la creación de las áreas necesarias para el mejor funcionamiento de la administración pública municipal que en este caso funcionan las coordinaciones técnicas de Presidencia. </w:t>
      </w:r>
    </w:p>
    <w:p w:rsidR="00C91901" w:rsidRPr="00C91901" w:rsidRDefault="00C91901" w:rsidP="00C91901">
      <w:pPr>
        <w:spacing w:before="240" w:line="360" w:lineRule="auto"/>
        <w:ind w:left="851" w:right="851"/>
        <w:jc w:val="both"/>
        <w:rPr>
          <w:rFonts w:ascii="Palatino Linotype" w:hAnsi="Palatino Linotype"/>
          <w:i/>
        </w:rPr>
      </w:pPr>
      <w:r w:rsidRPr="00C91901">
        <w:rPr>
          <w:rFonts w:ascii="Palatino Linotype" w:hAnsi="Palatino Linotype"/>
          <w:i/>
        </w:rPr>
        <w:t>Estas dependencias regirán su actuar de conformidad con el Reglamento de la Administración Pública Municipal de Valle de Chalco Solidaridad.”</w:t>
      </w:r>
    </w:p>
    <w:p w:rsidR="00C91901" w:rsidRPr="009859A3" w:rsidRDefault="009859A3" w:rsidP="00227F59">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Del análisis sistemático y armónico de la normatividad previamente plasmada se desprende que </w:t>
      </w:r>
      <w:r>
        <w:rPr>
          <w:rFonts w:ascii="Palatino Linotype" w:hAnsi="Palatino Linotype" w:cs="Arial"/>
          <w:b/>
          <w:sz w:val="24"/>
        </w:rPr>
        <w:t xml:space="preserve">El Sujeto Obligado </w:t>
      </w:r>
      <w:r>
        <w:rPr>
          <w:rFonts w:ascii="Palatino Linotype" w:hAnsi="Palatino Linotype" w:cs="Arial"/>
          <w:sz w:val="24"/>
        </w:rPr>
        <w:t>se auxilia de diversas coordinaciones, direcciones y unidades para cumplir con sus fines y objetivos, resultando de nuestro interés  la Tesorería. En este sentido, se trae</w:t>
      </w:r>
      <w:r w:rsidR="00755CD6">
        <w:rPr>
          <w:rFonts w:ascii="Palatino Linotype" w:hAnsi="Palatino Linotype" w:cs="Arial"/>
          <w:sz w:val="24"/>
        </w:rPr>
        <w:t>n</w:t>
      </w:r>
      <w:r>
        <w:rPr>
          <w:rFonts w:ascii="Palatino Linotype" w:hAnsi="Palatino Linotype" w:cs="Arial"/>
          <w:sz w:val="24"/>
        </w:rPr>
        <w:t xml:space="preserve"> a colaci</w:t>
      </w:r>
      <w:r w:rsidR="00755CD6">
        <w:rPr>
          <w:rFonts w:ascii="Palatino Linotype" w:hAnsi="Palatino Linotype" w:cs="Arial"/>
          <w:sz w:val="24"/>
        </w:rPr>
        <w:t xml:space="preserve">ón los </w:t>
      </w:r>
      <w:r>
        <w:rPr>
          <w:rFonts w:ascii="Palatino Linotype" w:hAnsi="Palatino Linotype" w:cs="Arial"/>
          <w:sz w:val="24"/>
        </w:rPr>
        <w:t>artículo</w:t>
      </w:r>
      <w:r w:rsidR="00755CD6">
        <w:rPr>
          <w:rFonts w:ascii="Palatino Linotype" w:hAnsi="Palatino Linotype" w:cs="Arial"/>
          <w:sz w:val="24"/>
        </w:rPr>
        <w:t>s</w:t>
      </w:r>
      <w:r>
        <w:rPr>
          <w:rFonts w:ascii="Palatino Linotype" w:hAnsi="Palatino Linotype" w:cs="Arial"/>
          <w:sz w:val="24"/>
        </w:rPr>
        <w:t xml:space="preserve"> </w:t>
      </w:r>
      <w:r w:rsidR="00755CD6">
        <w:rPr>
          <w:rFonts w:ascii="Palatino Linotype" w:hAnsi="Palatino Linotype" w:cs="Arial"/>
          <w:sz w:val="24"/>
        </w:rPr>
        <w:t xml:space="preserve">93, 94 y </w:t>
      </w:r>
      <w:r>
        <w:rPr>
          <w:rFonts w:ascii="Palatino Linotype" w:hAnsi="Palatino Linotype" w:cs="Arial"/>
          <w:sz w:val="24"/>
        </w:rPr>
        <w:t>95 de la Ley Orgánica Municipal del Estado de México, dispositivo</w:t>
      </w:r>
      <w:r w:rsidR="00755CD6">
        <w:rPr>
          <w:rFonts w:ascii="Palatino Linotype" w:hAnsi="Palatino Linotype" w:cs="Arial"/>
          <w:sz w:val="24"/>
        </w:rPr>
        <w:t>s</w:t>
      </w:r>
      <w:r>
        <w:rPr>
          <w:rFonts w:ascii="Palatino Linotype" w:hAnsi="Palatino Linotype" w:cs="Arial"/>
          <w:sz w:val="24"/>
        </w:rPr>
        <w:t xml:space="preserve"> jurídico</w:t>
      </w:r>
      <w:r w:rsidR="00755CD6">
        <w:rPr>
          <w:rFonts w:ascii="Palatino Linotype" w:hAnsi="Palatino Linotype" w:cs="Arial"/>
          <w:sz w:val="24"/>
        </w:rPr>
        <w:t>s</w:t>
      </w:r>
      <w:r>
        <w:rPr>
          <w:rFonts w:ascii="Palatino Linotype" w:hAnsi="Palatino Linotype" w:cs="Arial"/>
          <w:sz w:val="24"/>
        </w:rPr>
        <w:t xml:space="preserve"> que dispone a la literalidad: </w:t>
      </w:r>
    </w:p>
    <w:p w:rsidR="00755CD6" w:rsidRPr="00755CD6" w:rsidRDefault="00755CD6" w:rsidP="00755CD6">
      <w:pPr>
        <w:spacing w:before="240" w:line="360" w:lineRule="auto"/>
        <w:ind w:left="851" w:right="851"/>
        <w:jc w:val="both"/>
        <w:rPr>
          <w:rFonts w:ascii="Palatino Linotype" w:hAnsi="Palatino Linotype"/>
          <w:b/>
          <w:i/>
          <w:u w:val="single"/>
        </w:rPr>
      </w:pPr>
      <w:r>
        <w:rPr>
          <w:rFonts w:ascii="Palatino Linotype" w:hAnsi="Palatino Linotype"/>
          <w:i/>
        </w:rPr>
        <w:t>“</w:t>
      </w:r>
      <w:r w:rsidRPr="00755CD6">
        <w:rPr>
          <w:rFonts w:ascii="Palatino Linotype" w:hAnsi="Palatino Linotype"/>
          <w:i/>
        </w:rPr>
        <w:t xml:space="preserve">Artículo 93.- La tesorería municipal es el órgano encargado de la recaudación de los ingresos municipales </w:t>
      </w:r>
      <w:r w:rsidRPr="00755CD6">
        <w:rPr>
          <w:rFonts w:ascii="Palatino Linotype" w:hAnsi="Palatino Linotype"/>
          <w:b/>
          <w:i/>
          <w:u w:val="single"/>
        </w:rPr>
        <w:t xml:space="preserve">y responsable de realizar las erogaciones que haga el ayuntamiento. </w:t>
      </w:r>
    </w:p>
    <w:p w:rsidR="00755CD6" w:rsidRPr="00755CD6" w:rsidRDefault="00755CD6" w:rsidP="00755CD6">
      <w:pPr>
        <w:spacing w:before="240" w:line="360" w:lineRule="auto"/>
        <w:ind w:left="851" w:right="851"/>
        <w:jc w:val="both"/>
        <w:rPr>
          <w:rFonts w:ascii="Palatino Linotype" w:hAnsi="Palatino Linotype"/>
          <w:b/>
          <w:i/>
          <w:u w:val="single"/>
        </w:rPr>
      </w:pPr>
      <w:r w:rsidRPr="00755CD6">
        <w:rPr>
          <w:rFonts w:ascii="Palatino Linotype" w:hAnsi="Palatino Linotype"/>
          <w:i/>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rsidR="00C91901" w:rsidRPr="005B509F" w:rsidRDefault="009859A3" w:rsidP="005B509F">
      <w:pPr>
        <w:spacing w:before="240" w:line="360" w:lineRule="auto"/>
        <w:ind w:left="851" w:right="851"/>
        <w:jc w:val="both"/>
        <w:rPr>
          <w:rFonts w:ascii="Palatino Linotype" w:hAnsi="Palatino Linotype"/>
          <w:b/>
          <w:i/>
          <w:u w:val="single"/>
        </w:rPr>
      </w:pPr>
      <w:r w:rsidRPr="005B509F">
        <w:rPr>
          <w:rFonts w:ascii="Palatino Linotype" w:hAnsi="Palatino Linotype"/>
          <w:b/>
          <w:i/>
          <w:u w:val="single"/>
        </w:rPr>
        <w:t>Artículo 95.- Son atribuciones del tesorero municipal:</w:t>
      </w:r>
    </w:p>
    <w:p w:rsidR="009859A3" w:rsidRPr="005B509F" w:rsidRDefault="005B509F" w:rsidP="005B509F">
      <w:pPr>
        <w:pStyle w:val="Prrafodelista"/>
        <w:spacing w:before="240" w:after="160" w:line="360" w:lineRule="auto"/>
        <w:ind w:left="851" w:right="851"/>
        <w:jc w:val="both"/>
        <w:rPr>
          <w:rFonts w:ascii="Palatino Linotype" w:hAnsi="Palatino Linotype"/>
          <w:b/>
          <w:i/>
          <w:sz w:val="22"/>
          <w:szCs w:val="22"/>
          <w:u w:val="single"/>
        </w:rPr>
      </w:pPr>
      <w:r w:rsidRPr="005B509F">
        <w:rPr>
          <w:rFonts w:ascii="Palatino Linotype" w:hAnsi="Palatino Linotype"/>
          <w:b/>
          <w:i/>
          <w:sz w:val="22"/>
          <w:szCs w:val="22"/>
          <w:u w:val="single"/>
        </w:rPr>
        <w:t xml:space="preserve">I. </w:t>
      </w:r>
      <w:r w:rsidR="009859A3" w:rsidRPr="005B509F">
        <w:rPr>
          <w:rFonts w:ascii="Palatino Linotype" w:hAnsi="Palatino Linotype"/>
          <w:b/>
          <w:i/>
          <w:sz w:val="22"/>
          <w:szCs w:val="22"/>
          <w:u w:val="single"/>
        </w:rPr>
        <w:t xml:space="preserve">Administrar la hacienda pública municipal, de conformidad con las disposiciones legales aplicables;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III. Imponer las sanciones administrativas que procedan por infracciones a las disposiciones fiscales; </w:t>
      </w:r>
    </w:p>
    <w:p w:rsidR="009859A3" w:rsidRPr="005B509F" w:rsidRDefault="009859A3" w:rsidP="005B509F">
      <w:pPr>
        <w:pStyle w:val="Prrafodelista"/>
        <w:spacing w:before="240" w:after="160" w:line="360" w:lineRule="auto"/>
        <w:ind w:left="851" w:right="851"/>
        <w:jc w:val="both"/>
        <w:rPr>
          <w:rFonts w:ascii="Palatino Linotype" w:hAnsi="Palatino Linotype" w:cs="Arial"/>
          <w:b/>
          <w:i/>
          <w:sz w:val="22"/>
          <w:szCs w:val="22"/>
          <w:u w:val="single"/>
        </w:rPr>
      </w:pPr>
      <w:r w:rsidRPr="005B509F">
        <w:rPr>
          <w:rFonts w:ascii="Palatino Linotype" w:hAnsi="Palatino Linotype"/>
          <w:b/>
          <w:i/>
          <w:sz w:val="22"/>
          <w:szCs w:val="22"/>
          <w:u w:val="single"/>
        </w:rPr>
        <w:lastRenderedPageBreak/>
        <w:t xml:space="preserve">IV. Llevar los registros contables, financieros y administrativos de los ingresos, egresos, e inventarios; </w:t>
      </w:r>
    </w:p>
    <w:p w:rsidR="009859A3" w:rsidRPr="005B509F" w:rsidRDefault="009859A3" w:rsidP="005B509F">
      <w:pPr>
        <w:pStyle w:val="Prrafodelista"/>
        <w:spacing w:before="240" w:after="160" w:line="360" w:lineRule="auto"/>
        <w:ind w:left="851" w:right="851"/>
        <w:jc w:val="both"/>
        <w:rPr>
          <w:rFonts w:ascii="Palatino Linotype" w:hAnsi="Palatino Linotype" w:cs="Arial"/>
          <w:b/>
          <w:i/>
          <w:sz w:val="22"/>
          <w:szCs w:val="22"/>
          <w:u w:val="single"/>
        </w:rPr>
      </w:pPr>
      <w:r w:rsidRPr="005B509F">
        <w:rPr>
          <w:rFonts w:ascii="Palatino Linotype" w:hAnsi="Palatino Linotype"/>
          <w:b/>
          <w:i/>
          <w:sz w:val="22"/>
          <w:szCs w:val="22"/>
          <w:u w:val="single"/>
        </w:rPr>
        <w:t>V. Proporcionar oportunamente al ayuntamiento todos los datos o informes que sean necesarios para la formulación del Presupuesto de Egresos Municipales, vigilando que se ajuste a las disposiciones de esta Ley y o</w:t>
      </w:r>
      <w:r w:rsidR="005B509F" w:rsidRPr="005B509F">
        <w:rPr>
          <w:rFonts w:ascii="Palatino Linotype" w:hAnsi="Palatino Linotype"/>
          <w:b/>
          <w:i/>
          <w:sz w:val="22"/>
          <w:szCs w:val="22"/>
          <w:u w:val="single"/>
        </w:rPr>
        <w:t xml:space="preserve">tros ordenamientos aplicables;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Presentar anualmente al ayuntamiento un informe de la situación contable financiera de la Tesorería Municipal;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Bis. Proporcionar para la formulación del proyecto de Presupuesto de Egresos Municipales la información financiera relativa a la solución o en su caso, el pago de los litigios laborales;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 Diseñar y aprobar las formas oficiales de manifestaciones, avisos y declaraciones y demás documentos requeridos;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VIII. Participar en la formulación de Convenios Fiscales y ejercer las atribuciones que le correspondan en el ámbito de su competencia;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IX. Proponer al ayuntamiento la cancelación de cuentas incobrables;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 Custodiar y ejercer las garantías que se otorguen en favor de la hacienda municipal;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 Proponer la política de ingresos de la tesorería municipal;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XII. Intervenir en la elaboración del programa financiero municipal;</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XIII. Elaborar y mantener actualizado el Padrón de Contribuyentes;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 Glosar oportunamente las cuentas del ayuntamiento;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 Contestar oportunamente los pliegos de observaciones y responsabilidad que haga la Órgano Superior de Fiscalización del Estado de México, así como atender en tiempo y forma las solicitudes de información que éste requiera, informando al ayuntamiento;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XVIII. Expedir copias certificadas de los documentos a su cuidado, por acuerdo expreso del Ayuntamiento y cuando se trate de documentación presentada ente el Órgano Superior de Fiscalización del Estado de México;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9859A3"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XX. Dar cumplimiento a las leyes, convenios de coordinación fiscal y demás que en materia hacendaria celebre el Ayuntamiento con el Estado; </w:t>
      </w:r>
    </w:p>
    <w:p w:rsidR="005B509F" w:rsidRPr="005B509F" w:rsidRDefault="009859A3" w:rsidP="005B509F">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XXI. Entregar oportunamente a él o los Síndicos, según sea el caso el informe mensual que corresponda a fin de que se revise y de ser necesario, para que se formulen las observaciones respectivas. </w:t>
      </w:r>
    </w:p>
    <w:p w:rsidR="009859A3" w:rsidRPr="00755CD6" w:rsidRDefault="009859A3" w:rsidP="005B509F">
      <w:pPr>
        <w:pStyle w:val="Prrafodelista"/>
        <w:spacing w:before="240" w:after="160" w:line="360" w:lineRule="auto"/>
        <w:ind w:left="851" w:right="851"/>
        <w:jc w:val="both"/>
        <w:rPr>
          <w:rFonts w:ascii="Palatino Linotype" w:hAnsi="Palatino Linotype" w:cs="Arial"/>
          <w:b/>
          <w:i/>
          <w:sz w:val="22"/>
          <w:szCs w:val="22"/>
        </w:rPr>
      </w:pPr>
      <w:r w:rsidRPr="005B509F">
        <w:rPr>
          <w:rFonts w:ascii="Palatino Linotype" w:hAnsi="Palatino Linotype"/>
          <w:i/>
          <w:sz w:val="22"/>
          <w:szCs w:val="22"/>
        </w:rPr>
        <w:t>XXII. Las que le señalen las demás disposiciones legales y el ayuntamiento</w:t>
      </w:r>
      <w:r w:rsidR="00755CD6">
        <w:rPr>
          <w:rFonts w:ascii="Palatino Linotype" w:hAnsi="Palatino Linotype"/>
          <w:i/>
          <w:sz w:val="22"/>
          <w:szCs w:val="22"/>
        </w:rPr>
        <w:t xml:space="preserve">” </w:t>
      </w:r>
      <w:r w:rsidR="00755CD6">
        <w:rPr>
          <w:rFonts w:ascii="Palatino Linotype" w:hAnsi="Palatino Linotype"/>
          <w:b/>
          <w:i/>
          <w:sz w:val="22"/>
          <w:szCs w:val="22"/>
        </w:rPr>
        <w:t>[Sic]</w:t>
      </w:r>
    </w:p>
    <w:p w:rsidR="00C91901" w:rsidRDefault="00C91901" w:rsidP="00227F59">
      <w:pPr>
        <w:spacing w:after="0" w:line="360" w:lineRule="auto"/>
        <w:jc w:val="both"/>
        <w:rPr>
          <w:rFonts w:ascii="Palatino Linotype" w:hAnsi="Palatino Linotype" w:cs="Arial"/>
          <w:sz w:val="24"/>
        </w:rPr>
      </w:pPr>
    </w:p>
    <w:p w:rsidR="005B509F" w:rsidRDefault="005B509F" w:rsidP="00227F59">
      <w:pPr>
        <w:spacing w:after="0" w:line="360" w:lineRule="auto"/>
        <w:jc w:val="both"/>
        <w:rPr>
          <w:rFonts w:ascii="Palatino Linotype" w:hAnsi="Palatino Linotype" w:cs="Arial"/>
          <w:sz w:val="24"/>
        </w:rPr>
      </w:pPr>
      <w:r>
        <w:rPr>
          <w:rFonts w:ascii="Palatino Linotype" w:hAnsi="Palatino Linotype" w:cs="Arial"/>
          <w:sz w:val="24"/>
        </w:rPr>
        <w:t xml:space="preserve">En esa tesitura, resulta inconcuso que la Tesorería funge como la unidad administrativa competente para atender la solicitud de información </w:t>
      </w:r>
      <w:r>
        <w:rPr>
          <w:rFonts w:ascii="Palatino Linotype" w:hAnsi="Palatino Linotype" w:cs="Arial"/>
          <w:b/>
          <w:sz w:val="24"/>
        </w:rPr>
        <w:t xml:space="preserve">00361/VACHASO/IP/2019. </w:t>
      </w:r>
      <w:r>
        <w:rPr>
          <w:rFonts w:ascii="Palatino Linotype" w:hAnsi="Palatino Linotype" w:cs="Arial"/>
          <w:sz w:val="24"/>
        </w:rPr>
        <w:t xml:space="preserve">A mayor abundamiento, resulta preciso señalar que la naturaleza de la información requerida estriba en el interés general y alcance público, robustece lo anterior el artículo 70, fracción XXXI de la Ley General de Transparencia y Acceso a la Información Pública, así como los artículos </w:t>
      </w:r>
      <w:r w:rsidR="00F90847">
        <w:rPr>
          <w:rFonts w:ascii="Palatino Linotype" w:hAnsi="Palatino Linotype" w:cs="Arial"/>
          <w:sz w:val="24"/>
        </w:rPr>
        <w:t xml:space="preserve">24, fracción XII y 92 fracción XXXV de la Ley de Transparencia y Acceso a la Información Pública del Estado de México y Municipios, normatividad invocada que dispone a la literalidad: </w:t>
      </w:r>
    </w:p>
    <w:p w:rsidR="00C231A5" w:rsidRDefault="00755CD6" w:rsidP="00C231A5">
      <w:pPr>
        <w:spacing w:before="240" w:line="360" w:lineRule="auto"/>
        <w:ind w:left="851" w:right="851"/>
        <w:jc w:val="center"/>
        <w:rPr>
          <w:rFonts w:ascii="Palatino Linotype" w:hAnsi="Palatino Linotype"/>
          <w:b/>
          <w:i/>
        </w:rPr>
      </w:pPr>
      <w:r>
        <w:rPr>
          <w:rFonts w:ascii="Palatino Linotype" w:hAnsi="Palatino Linotype"/>
          <w:b/>
          <w:i/>
        </w:rPr>
        <w:t>“</w:t>
      </w:r>
      <w:r w:rsidR="00C231A5">
        <w:rPr>
          <w:rFonts w:ascii="Palatino Linotype" w:hAnsi="Palatino Linotype"/>
          <w:b/>
          <w:i/>
        </w:rPr>
        <w:t>Ley General de Transparencia y Acceso a la Información Pública</w:t>
      </w:r>
    </w:p>
    <w:p w:rsidR="005B509F" w:rsidRPr="00C231A5" w:rsidRDefault="005B509F" w:rsidP="00C231A5">
      <w:pPr>
        <w:spacing w:before="240" w:line="360" w:lineRule="auto"/>
        <w:ind w:left="851" w:right="851"/>
        <w:jc w:val="both"/>
        <w:rPr>
          <w:rFonts w:ascii="Palatino Linotype" w:hAnsi="Palatino Linotype" w:cs="Arial"/>
          <w:i/>
          <w:sz w:val="24"/>
        </w:rPr>
      </w:pPr>
      <w:r w:rsidRPr="00C231A5">
        <w:rPr>
          <w:rFonts w:ascii="Palatino Linotype" w:hAnsi="Palatino Linotype"/>
          <w:b/>
          <w:i/>
        </w:rPr>
        <w:t>Artículo 70.</w:t>
      </w:r>
      <w:r w:rsidRPr="00C231A5">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5B509F" w:rsidRPr="00C231A5" w:rsidRDefault="00C231A5" w:rsidP="00C231A5">
      <w:pPr>
        <w:spacing w:before="240" w:line="360" w:lineRule="auto"/>
        <w:ind w:left="851" w:right="851"/>
        <w:jc w:val="both"/>
        <w:rPr>
          <w:rFonts w:ascii="Palatino Linotype" w:hAnsi="Palatino Linotype" w:cs="Arial"/>
          <w:b/>
          <w:i/>
          <w:sz w:val="24"/>
        </w:rPr>
      </w:pPr>
      <w:r w:rsidRPr="00C231A5">
        <w:rPr>
          <w:rFonts w:ascii="Palatino Linotype" w:hAnsi="Palatino Linotype" w:cs="Arial"/>
          <w:b/>
          <w:i/>
          <w:sz w:val="24"/>
        </w:rPr>
        <w:t>(…)</w:t>
      </w:r>
    </w:p>
    <w:p w:rsidR="00C91901" w:rsidRDefault="005B509F" w:rsidP="00C231A5">
      <w:pPr>
        <w:spacing w:before="240" w:line="360" w:lineRule="auto"/>
        <w:ind w:left="851" w:right="851"/>
        <w:jc w:val="both"/>
        <w:rPr>
          <w:rFonts w:ascii="Palatino Linotype" w:hAnsi="Palatino Linotype" w:cs="Arial"/>
          <w:i/>
          <w:sz w:val="24"/>
        </w:rPr>
      </w:pPr>
      <w:r w:rsidRPr="00C231A5">
        <w:rPr>
          <w:rFonts w:ascii="Palatino Linotype" w:hAnsi="Palatino Linotype"/>
          <w:b/>
          <w:i/>
        </w:rPr>
        <w:lastRenderedPageBreak/>
        <w:t>XXXI.</w:t>
      </w:r>
      <w:r w:rsidRPr="00C231A5">
        <w:rPr>
          <w:rFonts w:ascii="Palatino Linotype" w:hAnsi="Palatino Linotype"/>
          <w:i/>
        </w:rPr>
        <w:t xml:space="preserve"> Informe de avances programáticos o presupuestales, balances generales y su estado financiero</w:t>
      </w:r>
      <w:r w:rsidRPr="00C231A5">
        <w:rPr>
          <w:rFonts w:ascii="Palatino Linotype" w:hAnsi="Palatino Linotype" w:cs="Arial"/>
          <w:i/>
          <w:sz w:val="24"/>
        </w:rPr>
        <w:t xml:space="preserve"> </w:t>
      </w:r>
    </w:p>
    <w:p w:rsidR="00C231A5" w:rsidRDefault="00C231A5" w:rsidP="00C231A5">
      <w:pPr>
        <w:spacing w:before="240" w:line="360" w:lineRule="auto"/>
        <w:ind w:left="851" w:right="851"/>
        <w:jc w:val="both"/>
        <w:rPr>
          <w:rFonts w:ascii="Palatino Linotype" w:hAnsi="Palatino Linotype" w:cs="Arial"/>
          <w:i/>
          <w:sz w:val="24"/>
        </w:rPr>
      </w:pPr>
      <w:r>
        <w:rPr>
          <w:rFonts w:ascii="Palatino Linotype" w:hAnsi="Palatino Linotype"/>
          <w:b/>
          <w:i/>
        </w:rPr>
        <w:t>(…</w:t>
      </w:r>
      <w:r>
        <w:rPr>
          <w:rFonts w:ascii="Palatino Linotype" w:hAnsi="Palatino Linotype" w:cs="Arial"/>
          <w:i/>
          <w:sz w:val="24"/>
        </w:rPr>
        <w:t>)</w:t>
      </w:r>
    </w:p>
    <w:p w:rsidR="00C231A5" w:rsidRDefault="00C231A5" w:rsidP="00C231A5">
      <w:pPr>
        <w:spacing w:before="240" w:line="360" w:lineRule="auto"/>
        <w:ind w:left="851" w:right="851"/>
        <w:jc w:val="center"/>
        <w:rPr>
          <w:rFonts w:ascii="Palatino Linotype" w:hAnsi="Palatino Linotype" w:cs="Arial"/>
          <w:b/>
          <w:i/>
          <w:sz w:val="24"/>
        </w:rPr>
      </w:pPr>
      <w:r>
        <w:rPr>
          <w:rFonts w:ascii="Palatino Linotype" w:hAnsi="Palatino Linotype" w:cs="Arial"/>
          <w:b/>
          <w:i/>
          <w:sz w:val="24"/>
        </w:rPr>
        <w:t>Ley de Transparencia y Acceso a la Información Pública del Estado de México y Municipios</w:t>
      </w:r>
    </w:p>
    <w:p w:rsidR="00C231A5" w:rsidRPr="009535E0" w:rsidRDefault="00C231A5" w:rsidP="00C231A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rsidR="00C231A5" w:rsidRPr="00C231A5" w:rsidRDefault="00C231A5" w:rsidP="00C231A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rsidR="00C231A5" w:rsidRPr="009535E0" w:rsidRDefault="00C231A5" w:rsidP="00C231A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rsidR="00C231A5" w:rsidRPr="00C231A5" w:rsidRDefault="00C231A5" w:rsidP="00C231A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rsidR="00C231A5" w:rsidRPr="009535E0" w:rsidRDefault="00C231A5" w:rsidP="00C231A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231A5" w:rsidRPr="00C231A5" w:rsidRDefault="00C231A5" w:rsidP="00C231A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rsidR="00C231A5" w:rsidRDefault="00C231A5" w:rsidP="00C231A5">
      <w:pPr>
        <w:spacing w:before="240" w:line="360" w:lineRule="auto"/>
        <w:ind w:left="851" w:right="851"/>
        <w:jc w:val="both"/>
        <w:rPr>
          <w:rFonts w:ascii="Palatino Linotype" w:hAnsi="Palatino Linotype"/>
          <w:b/>
          <w:i/>
          <w:u w:val="single"/>
        </w:rPr>
      </w:pPr>
      <w:r w:rsidRPr="00C231A5">
        <w:rPr>
          <w:rFonts w:ascii="Palatino Linotype" w:hAnsi="Palatino Linotype"/>
          <w:b/>
          <w:i/>
          <w:u w:val="single"/>
        </w:rPr>
        <w:lastRenderedPageBreak/>
        <w:t>XXXV. Informes de avances programáticos o presupuestales, balances generales y estado financiero;</w:t>
      </w:r>
    </w:p>
    <w:p w:rsidR="00C231A5" w:rsidRPr="00C231A5" w:rsidRDefault="00C231A5" w:rsidP="00C231A5">
      <w:pPr>
        <w:spacing w:before="240" w:line="360" w:lineRule="auto"/>
        <w:ind w:left="851" w:right="851"/>
        <w:jc w:val="both"/>
        <w:rPr>
          <w:rFonts w:ascii="Palatino Linotype" w:hAnsi="Palatino Linotype" w:cs="Arial"/>
          <w:b/>
          <w:i/>
          <w:sz w:val="24"/>
        </w:rPr>
      </w:pPr>
      <w:r w:rsidRPr="00C231A5">
        <w:rPr>
          <w:rFonts w:ascii="Palatino Linotype" w:hAnsi="Palatino Linotype"/>
          <w:b/>
          <w:i/>
        </w:rPr>
        <w:t xml:space="preserve">(…)” </w:t>
      </w:r>
      <w:r>
        <w:rPr>
          <w:rFonts w:ascii="Palatino Linotype" w:hAnsi="Palatino Linotype"/>
          <w:b/>
          <w:i/>
        </w:rPr>
        <w:t>[Sic]</w:t>
      </w:r>
    </w:p>
    <w:p w:rsidR="005B509F" w:rsidRPr="005B509F" w:rsidRDefault="005B509F" w:rsidP="00227F59">
      <w:pPr>
        <w:spacing w:after="0" w:line="360" w:lineRule="auto"/>
        <w:jc w:val="both"/>
        <w:rPr>
          <w:rFonts w:ascii="Palatino Linotype" w:hAnsi="Palatino Linotype" w:cs="Arial"/>
          <w:b/>
          <w:sz w:val="24"/>
        </w:rPr>
      </w:pPr>
    </w:p>
    <w:p w:rsidR="005B509F" w:rsidRDefault="005B509F" w:rsidP="00227F59">
      <w:pPr>
        <w:spacing w:after="0" w:line="360" w:lineRule="auto"/>
        <w:jc w:val="both"/>
        <w:rPr>
          <w:rFonts w:ascii="Palatino Linotype" w:hAnsi="Palatino Linotype" w:cs="Arial"/>
          <w:sz w:val="24"/>
        </w:rPr>
      </w:pPr>
    </w:p>
    <w:p w:rsidR="00C231A5" w:rsidRDefault="00C231A5" w:rsidP="00227F59">
      <w:pPr>
        <w:spacing w:after="0" w:line="360" w:lineRule="auto"/>
        <w:jc w:val="both"/>
        <w:rPr>
          <w:rFonts w:ascii="Palatino Linotype" w:hAnsi="Palatino Linotype" w:cs="Arial"/>
          <w:sz w:val="24"/>
        </w:rPr>
      </w:pPr>
      <w:r>
        <w:rPr>
          <w:rFonts w:ascii="Palatino Linotype" w:hAnsi="Palatino Linotype"/>
          <w:sz w:val="24"/>
          <w:szCs w:val="24"/>
        </w:rPr>
        <w:t>A mayor abundamiento, vale la pena mencionar que el cuatro de mayo de dos mil dieciséis fue publicado en el Diario Oficial de la Federación,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resultan de nuestro interés las siguientes imágenes ilustrativas:</w:t>
      </w:r>
    </w:p>
    <w:p w:rsidR="005B509F" w:rsidRDefault="00755CD6" w:rsidP="00227F59">
      <w:pPr>
        <w:spacing w:after="0"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727872" behindDoc="0" locked="0" layoutInCell="1" allowOverlap="1" wp14:anchorId="742BF96E" wp14:editId="560CEE77">
                <wp:simplePos x="0" y="0"/>
                <wp:positionH relativeFrom="column">
                  <wp:posOffset>-584834</wp:posOffset>
                </wp:positionH>
                <wp:positionV relativeFrom="paragraph">
                  <wp:posOffset>277495</wp:posOffset>
                </wp:positionV>
                <wp:extent cx="6934200" cy="26860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934200" cy="268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1D203" id="Conector recto 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21.85pt" to="499.95pt,2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" strokecolor="#5b9bd5 [3204]" strokeweight=".5pt">
                <v:stroke joinstyle="miter"/>
              </v:line>
            </w:pict>
          </mc:Fallback>
        </mc:AlternateContent>
      </w:r>
    </w:p>
    <w:p w:rsidR="005B509F" w:rsidRDefault="005B509F" w:rsidP="00227F59">
      <w:pPr>
        <w:spacing w:after="0" w:line="360" w:lineRule="auto"/>
        <w:jc w:val="both"/>
        <w:rPr>
          <w:rFonts w:ascii="Palatino Linotype" w:hAnsi="Palatino Linotype" w:cs="Arial"/>
          <w:sz w:val="24"/>
        </w:rPr>
      </w:pPr>
    </w:p>
    <w:p w:rsidR="005B509F" w:rsidRDefault="005B509F" w:rsidP="00227F59">
      <w:pPr>
        <w:spacing w:after="0" w:line="360" w:lineRule="auto"/>
        <w:jc w:val="both"/>
        <w:rPr>
          <w:rFonts w:ascii="Palatino Linotype" w:hAnsi="Palatino Linotype" w:cs="Arial"/>
          <w:sz w:val="24"/>
        </w:rPr>
      </w:pPr>
    </w:p>
    <w:p w:rsidR="00C231A5" w:rsidRDefault="00C231A5" w:rsidP="00227F59">
      <w:pPr>
        <w:spacing w:after="0" w:line="360" w:lineRule="auto"/>
        <w:jc w:val="both"/>
        <w:rPr>
          <w:rFonts w:ascii="Palatino Linotype" w:hAnsi="Palatino Linotype" w:cs="Arial"/>
          <w:sz w:val="24"/>
        </w:rPr>
      </w:pPr>
    </w:p>
    <w:p w:rsidR="00C231A5" w:rsidRDefault="00C231A5" w:rsidP="00227F59">
      <w:pPr>
        <w:spacing w:after="0" w:line="360" w:lineRule="auto"/>
        <w:jc w:val="both"/>
        <w:rPr>
          <w:rFonts w:ascii="Palatino Linotype" w:hAnsi="Palatino Linotype" w:cs="Arial"/>
          <w:sz w:val="24"/>
        </w:rPr>
      </w:pPr>
    </w:p>
    <w:p w:rsidR="00C231A5" w:rsidRDefault="00C231A5" w:rsidP="00227F59">
      <w:pPr>
        <w:spacing w:after="0" w:line="360" w:lineRule="auto"/>
        <w:jc w:val="both"/>
        <w:rPr>
          <w:rFonts w:ascii="Palatino Linotype" w:hAnsi="Palatino Linotype" w:cs="Arial"/>
          <w:sz w:val="24"/>
        </w:rPr>
      </w:pPr>
    </w:p>
    <w:p w:rsidR="00C231A5" w:rsidRDefault="00C231A5" w:rsidP="00227F59">
      <w:pPr>
        <w:spacing w:after="0" w:line="360" w:lineRule="auto"/>
        <w:jc w:val="both"/>
        <w:rPr>
          <w:rFonts w:ascii="Palatino Linotype" w:hAnsi="Palatino Linotype" w:cs="Arial"/>
          <w:sz w:val="24"/>
        </w:rPr>
      </w:pPr>
    </w:p>
    <w:p w:rsidR="00C231A5" w:rsidRDefault="00C231A5" w:rsidP="00227F59">
      <w:pPr>
        <w:spacing w:after="0" w:line="360" w:lineRule="auto"/>
        <w:jc w:val="both"/>
        <w:rPr>
          <w:rFonts w:ascii="Palatino Linotype" w:hAnsi="Palatino Linotype" w:cs="Arial"/>
          <w:sz w:val="24"/>
        </w:rPr>
      </w:pPr>
    </w:p>
    <w:p w:rsidR="00C231A5" w:rsidRDefault="00C231A5" w:rsidP="00227F59">
      <w:pPr>
        <w:spacing w:after="0" w:line="360" w:lineRule="auto"/>
        <w:jc w:val="both"/>
        <w:rPr>
          <w:rFonts w:ascii="Palatino Linotype" w:hAnsi="Palatino Linotype" w:cs="Arial"/>
          <w:sz w:val="24"/>
        </w:rPr>
      </w:pPr>
    </w:p>
    <w:p w:rsidR="00C231A5" w:rsidRDefault="00C231A5" w:rsidP="00227F59">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11C4D93B" wp14:editId="47CE66F1">
            <wp:extent cx="5619750" cy="7200900"/>
            <wp:effectExtent l="19050" t="19050" r="19050"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7200900"/>
                    </a:xfrm>
                    <a:prstGeom prst="rect">
                      <a:avLst/>
                    </a:prstGeom>
                    <a:noFill/>
                    <a:ln>
                      <a:solidFill>
                        <a:schemeClr val="tx1"/>
                      </a:solidFill>
                    </a:ln>
                  </pic:spPr>
                </pic:pic>
              </a:graphicData>
            </a:graphic>
          </wp:inline>
        </w:drawing>
      </w:r>
    </w:p>
    <w:p w:rsidR="00C231A5" w:rsidRDefault="00C231A5" w:rsidP="00227F59">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4950B653" wp14:editId="386F7B66">
            <wp:extent cx="5610225" cy="7248525"/>
            <wp:effectExtent l="19050" t="19050" r="28575"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7248525"/>
                    </a:xfrm>
                    <a:prstGeom prst="rect">
                      <a:avLst/>
                    </a:prstGeom>
                    <a:noFill/>
                    <a:ln>
                      <a:solidFill>
                        <a:schemeClr val="tx1"/>
                      </a:solidFill>
                    </a:ln>
                  </pic:spPr>
                </pic:pic>
              </a:graphicData>
            </a:graphic>
          </wp:inline>
        </w:drawing>
      </w:r>
    </w:p>
    <w:p w:rsidR="00C231A5" w:rsidRDefault="00C231A5" w:rsidP="00227F59">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5591175" cy="7134225"/>
            <wp:effectExtent l="19050" t="19050" r="28575" b="285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175" cy="7134225"/>
                    </a:xfrm>
                    <a:prstGeom prst="rect">
                      <a:avLst/>
                    </a:prstGeom>
                    <a:noFill/>
                    <a:ln>
                      <a:solidFill>
                        <a:schemeClr val="tx1"/>
                      </a:solidFill>
                    </a:ln>
                  </pic:spPr>
                </pic:pic>
              </a:graphicData>
            </a:graphic>
          </wp:inline>
        </w:drawing>
      </w:r>
    </w:p>
    <w:p w:rsidR="00C231A5" w:rsidRDefault="00C231A5" w:rsidP="00227F59">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5524500" cy="7248525"/>
            <wp:effectExtent l="19050" t="19050" r="19050" b="285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7248525"/>
                    </a:xfrm>
                    <a:prstGeom prst="rect">
                      <a:avLst/>
                    </a:prstGeom>
                    <a:noFill/>
                    <a:ln>
                      <a:solidFill>
                        <a:schemeClr val="tx1"/>
                      </a:solidFill>
                    </a:ln>
                  </pic:spPr>
                </pic:pic>
              </a:graphicData>
            </a:graphic>
          </wp:inline>
        </w:drawing>
      </w:r>
    </w:p>
    <w:p w:rsidR="00C231A5" w:rsidRDefault="00755CD6" w:rsidP="00227F59">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Con base en lo anteriormente expuesto, resulta procedente ordenar la entrega del o los documentos donde consten los gastos realizados con motivo de los eventos del día del maestro, día del niño y día de la madre, </w:t>
      </w:r>
      <w:r w:rsidR="00F90847">
        <w:rPr>
          <w:rFonts w:ascii="Palatino Linotype" w:hAnsi="Palatino Linotype" w:cs="Arial"/>
          <w:sz w:val="24"/>
        </w:rPr>
        <w:t xml:space="preserve">todos ellos correspondientes al </w:t>
      </w:r>
      <w:r>
        <w:rPr>
          <w:rFonts w:ascii="Palatino Linotype" w:hAnsi="Palatino Linotype" w:cs="Arial"/>
          <w:sz w:val="24"/>
        </w:rPr>
        <w:t xml:space="preserve"> ejercicio fiscal dos mil diecinueve, información que deberá de ser remitida en versión pública de ser procedente. </w:t>
      </w:r>
    </w:p>
    <w:p w:rsidR="007E6B1F" w:rsidRDefault="007E6B1F" w:rsidP="00227F59">
      <w:pPr>
        <w:spacing w:after="0" w:line="360" w:lineRule="auto"/>
        <w:jc w:val="both"/>
        <w:rPr>
          <w:rFonts w:ascii="Palatino Linotype" w:hAnsi="Palatino Linotype" w:cs="Arial"/>
          <w:sz w:val="24"/>
        </w:rPr>
      </w:pPr>
    </w:p>
    <w:p w:rsidR="00755CD6" w:rsidRDefault="00755CD6" w:rsidP="00227F59">
      <w:pPr>
        <w:spacing w:after="0" w:line="360" w:lineRule="auto"/>
        <w:jc w:val="both"/>
        <w:rPr>
          <w:rFonts w:ascii="Palatino Linotype" w:hAnsi="Palatino Linotype" w:cs="Arial"/>
          <w:sz w:val="24"/>
        </w:rPr>
      </w:pPr>
    </w:p>
    <w:p w:rsidR="00631A67" w:rsidRPr="004C5774" w:rsidRDefault="00631A67" w:rsidP="00631A67">
      <w:pPr>
        <w:pStyle w:val="Prrafodelista"/>
        <w:numPr>
          <w:ilvl w:val="0"/>
          <w:numId w:val="43"/>
        </w:numPr>
        <w:spacing w:line="360" w:lineRule="auto"/>
        <w:jc w:val="both"/>
        <w:rPr>
          <w:rFonts w:ascii="Palatino Linotype" w:hAnsi="Palatino Linotype" w:cs="Arial"/>
          <w:b/>
          <w:sz w:val="28"/>
          <w:u w:val="single"/>
        </w:rPr>
      </w:pPr>
      <w:r w:rsidRPr="004C5774">
        <w:rPr>
          <w:rFonts w:ascii="Palatino Linotype" w:hAnsi="Palatino Linotype" w:cs="Arial"/>
          <w:b/>
          <w:sz w:val="28"/>
          <w:u w:val="single"/>
        </w:rPr>
        <w:t>De la versión pública.</w:t>
      </w:r>
    </w:p>
    <w:p w:rsidR="00631A67" w:rsidRDefault="00631A67" w:rsidP="00631A67">
      <w:pPr>
        <w:spacing w:after="0" w:line="360" w:lineRule="auto"/>
        <w:contextualSpacing/>
        <w:jc w:val="both"/>
        <w:rPr>
          <w:rFonts w:ascii="Palatino Linotype" w:hAnsi="Palatino Linotype"/>
          <w:sz w:val="24"/>
        </w:rPr>
      </w:pPr>
    </w:p>
    <w:p w:rsidR="00631A67" w:rsidRPr="00EA3340" w:rsidRDefault="00631A67" w:rsidP="00631A67">
      <w:pPr>
        <w:spacing w:after="0" w:line="360" w:lineRule="auto"/>
        <w:contextualSpacing/>
        <w:jc w:val="both"/>
        <w:rPr>
          <w:rFonts w:ascii="Palatino Linotype" w:hAnsi="Palatino Linotype"/>
          <w:b/>
          <w:sz w:val="24"/>
        </w:rPr>
      </w:pPr>
      <w:r w:rsidRPr="00EA3340">
        <w:rPr>
          <w:rFonts w:ascii="Palatino Linotype" w:hAnsi="Palatino Linotype"/>
          <w:sz w:val="24"/>
        </w:rPr>
        <w:t xml:space="preserve">Para la entrega de la información, en razón de que el derecho de acceso a la información pública no es absoluto, </w:t>
      </w:r>
      <w:r w:rsidRPr="00EA3340">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EA3340">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631A67" w:rsidRPr="00EA3340" w:rsidRDefault="00631A67" w:rsidP="00631A67">
      <w:pPr>
        <w:spacing w:after="0" w:line="360" w:lineRule="auto"/>
        <w:contextualSpacing/>
        <w:jc w:val="both"/>
        <w:rPr>
          <w:rFonts w:ascii="Palatino Linotype" w:hAnsi="Palatino Linotype"/>
          <w:sz w:val="24"/>
        </w:rPr>
      </w:pPr>
    </w:p>
    <w:p w:rsidR="00631A67" w:rsidRDefault="00631A67" w:rsidP="00631A67">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631A67" w:rsidRPr="00EA3340" w:rsidRDefault="00631A67" w:rsidP="00631A67">
      <w:pPr>
        <w:autoSpaceDE w:val="0"/>
        <w:autoSpaceDN w:val="0"/>
        <w:adjustRightInd w:val="0"/>
        <w:spacing w:after="0" w:line="360" w:lineRule="auto"/>
        <w:ind w:right="50"/>
        <w:jc w:val="both"/>
        <w:rPr>
          <w:rFonts w:ascii="Palatino Linotype" w:hAnsi="Palatino Linotype" w:cs="Arial"/>
          <w:sz w:val="24"/>
        </w:rPr>
      </w:pPr>
    </w:p>
    <w:p w:rsidR="00631A67" w:rsidRDefault="00631A67" w:rsidP="00631A67">
      <w:pPr>
        <w:autoSpaceDE w:val="0"/>
        <w:autoSpaceDN w:val="0"/>
        <w:adjustRightInd w:val="0"/>
        <w:spacing w:after="0" w:line="240" w:lineRule="auto"/>
        <w:ind w:left="567" w:right="567"/>
        <w:jc w:val="both"/>
        <w:rPr>
          <w:rFonts w:ascii="Palatino Linotype" w:hAnsi="Palatino Linotype" w:cs="Arial"/>
          <w:b/>
          <w:i/>
        </w:rPr>
      </w:pPr>
      <w:r>
        <w:rPr>
          <w:rFonts w:ascii="Palatino Linotype" w:hAnsi="Palatino Linotype" w:cs="Arial"/>
          <w:b/>
          <w:i/>
        </w:rPr>
        <w:t>“Artículo 3. Para los efectos de la presente Ley se entenderá por:</w:t>
      </w:r>
    </w:p>
    <w:p w:rsidR="00631A67" w:rsidRPr="00480F25" w:rsidRDefault="00631A67" w:rsidP="00631A67">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631A67" w:rsidRDefault="00631A67" w:rsidP="00631A67">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lastRenderedPageBreak/>
        <w:t>IX. Datos personales:</w:t>
      </w:r>
      <w:r>
        <w:rPr>
          <w:rFonts w:ascii="Palatino Linotype" w:hAnsi="Palatino Linotype" w:cs="Arial"/>
          <w:i/>
        </w:rPr>
        <w:t xml:space="preserve"> </w:t>
      </w:r>
      <w:r>
        <w:rPr>
          <w:rFonts w:ascii="Palatino Linotype" w:hAnsi="Palatino Linotype" w:cs="Arial"/>
          <w:b/>
          <w:i/>
        </w:rPr>
        <w:t>La información concerniente a una persona, identificada o identificable</w:t>
      </w:r>
      <w:r>
        <w:rPr>
          <w:rFonts w:ascii="Palatino Linotype" w:hAnsi="Palatino Linotype" w:cs="Arial"/>
          <w:i/>
        </w:rPr>
        <w:t xml:space="preserve"> según lo dispuesto por la Ley de Protección de Datos Personales del Estado de México;</w:t>
      </w:r>
    </w:p>
    <w:p w:rsidR="00631A67" w:rsidRPr="00480F25" w:rsidRDefault="00631A67" w:rsidP="00631A67">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631A67" w:rsidRDefault="00631A67" w:rsidP="00631A67">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XX. Información clasificada:</w:t>
      </w:r>
      <w:r>
        <w:rPr>
          <w:rFonts w:ascii="Palatino Linotype" w:hAnsi="Palatino Linotype" w:cs="Arial"/>
          <w:i/>
        </w:rPr>
        <w:t xml:space="preserve"> Aquella considerada por la presente Ley como reservada o confidencial;</w:t>
      </w:r>
    </w:p>
    <w:p w:rsidR="00631A67" w:rsidRPr="00480F25" w:rsidRDefault="00631A67" w:rsidP="00631A67">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631A67" w:rsidRDefault="00631A67" w:rsidP="00631A67">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b/>
          <w:i/>
        </w:rPr>
        <w:t>XXXII. Protección de Datos Personales:</w:t>
      </w:r>
      <w:r>
        <w:rPr>
          <w:rFonts w:ascii="Palatino Linotype" w:hAnsi="Palatino Linotype"/>
          <w:i/>
        </w:rPr>
        <w:t xml:space="preserve"> Derecho humano que tutela la privacidad de datos personales en poder de los sujetos obligados y sujetos particulares;</w:t>
      </w:r>
    </w:p>
    <w:p w:rsidR="00631A67" w:rsidRPr="00480F25" w:rsidRDefault="00631A67" w:rsidP="00631A67">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i/>
        </w:rPr>
        <w:t>(…)</w:t>
      </w:r>
    </w:p>
    <w:p w:rsidR="00631A67" w:rsidRDefault="00631A67" w:rsidP="00631A67">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XLV. Versión pública</w:t>
      </w:r>
      <w:r>
        <w:rPr>
          <w:rFonts w:ascii="Palatino Linotype" w:hAnsi="Palatino Linotype" w:cs="Arial"/>
          <w:i/>
        </w:rPr>
        <w:t>: Documento en el que se elimine, suprime o borra la información clasificada como reservada o confidencial para permitir su acceso.”</w:t>
      </w:r>
    </w:p>
    <w:p w:rsidR="00631A67" w:rsidRDefault="00631A67" w:rsidP="00631A67">
      <w:pPr>
        <w:pStyle w:val="Sinespaciado"/>
        <w:ind w:left="567" w:right="567"/>
      </w:pPr>
    </w:p>
    <w:p w:rsidR="00631A67" w:rsidRDefault="00631A67" w:rsidP="00631A67">
      <w:pPr>
        <w:spacing w:after="0" w:line="240" w:lineRule="auto"/>
        <w:ind w:left="567" w:right="567"/>
        <w:contextualSpacing/>
        <w:jc w:val="both"/>
        <w:rPr>
          <w:rFonts w:ascii="Palatino Linotype" w:hAnsi="Palatino Linotype"/>
          <w:i/>
        </w:rPr>
      </w:pPr>
      <w:r>
        <w:rPr>
          <w:rFonts w:ascii="Palatino Linotype" w:hAnsi="Palatino Linotype"/>
          <w:b/>
          <w:i/>
        </w:rPr>
        <w:t>Artículo 6.</w:t>
      </w:r>
      <w:r>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31A67" w:rsidRDefault="00631A67" w:rsidP="00631A67">
      <w:pPr>
        <w:spacing w:after="0" w:line="240" w:lineRule="auto"/>
        <w:ind w:left="567" w:right="567"/>
        <w:contextualSpacing/>
        <w:jc w:val="both"/>
        <w:rPr>
          <w:rFonts w:ascii="Palatino Linotype" w:hAnsi="Palatino Linotype" w:cs="Arial"/>
          <w:bCs/>
          <w:i/>
          <w:noProof/>
        </w:rPr>
      </w:pPr>
    </w:p>
    <w:p w:rsidR="00631A67" w:rsidRDefault="00631A67" w:rsidP="00631A67">
      <w:pPr>
        <w:spacing w:after="0" w:line="240" w:lineRule="auto"/>
        <w:ind w:left="567" w:right="567"/>
        <w:contextualSpacing/>
        <w:jc w:val="both"/>
        <w:rPr>
          <w:rFonts w:ascii="Palatino Linotype" w:hAnsi="Palatino Linotype" w:cs="Arial"/>
          <w:b/>
          <w:bCs/>
          <w:i/>
          <w:noProof/>
        </w:rPr>
      </w:pPr>
      <w:r>
        <w:rPr>
          <w:rFonts w:ascii="Palatino Linotype" w:hAnsi="Palatino Linotype"/>
          <w:b/>
          <w:i/>
        </w:rPr>
        <w:t>Artículo 137.</w:t>
      </w:r>
      <w:r>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31A67" w:rsidRDefault="00631A67" w:rsidP="00631A67">
      <w:pPr>
        <w:spacing w:after="0" w:line="240" w:lineRule="auto"/>
        <w:ind w:left="567" w:right="567"/>
        <w:contextualSpacing/>
        <w:jc w:val="both"/>
        <w:rPr>
          <w:rFonts w:ascii="Palatino Linotype" w:hAnsi="Palatino Linotype" w:cs="Arial"/>
          <w:b/>
          <w:bCs/>
          <w:i/>
          <w:noProof/>
        </w:rPr>
      </w:pPr>
    </w:p>
    <w:p w:rsidR="00631A67" w:rsidRDefault="00631A67" w:rsidP="00631A67">
      <w:pPr>
        <w:spacing w:after="0" w:line="240" w:lineRule="auto"/>
        <w:ind w:left="567" w:right="567"/>
        <w:contextualSpacing/>
        <w:jc w:val="both"/>
        <w:rPr>
          <w:rFonts w:ascii="Palatino Linotype" w:hAnsi="Palatino Linotype"/>
          <w:i/>
        </w:rPr>
      </w:pPr>
      <w:r>
        <w:rPr>
          <w:rFonts w:ascii="Palatino Linotype" w:hAnsi="Palatino Linotype"/>
          <w:b/>
          <w:i/>
        </w:rPr>
        <w:t>Artículo 143</w:t>
      </w:r>
      <w:r>
        <w:rPr>
          <w:rFonts w:ascii="Palatino Linotype" w:hAnsi="Palatino Linotype"/>
          <w:i/>
        </w:rPr>
        <w:t>. Para los efectos de esta Ley se considera información confidencial, la clasificada como tal, de manera permanente, por su naturaleza, cuando:</w:t>
      </w:r>
    </w:p>
    <w:p w:rsidR="00631A67" w:rsidRDefault="00631A67" w:rsidP="00631A67">
      <w:pPr>
        <w:spacing w:after="0" w:line="240" w:lineRule="auto"/>
        <w:ind w:left="567" w:right="567"/>
        <w:contextualSpacing/>
        <w:jc w:val="both"/>
        <w:rPr>
          <w:rFonts w:ascii="Palatino Linotype" w:hAnsi="Palatino Linotype"/>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w:t>
      </w:r>
    </w:p>
    <w:p w:rsidR="00631A67" w:rsidRPr="00F168E6" w:rsidRDefault="00631A67" w:rsidP="00631A67">
      <w:pPr>
        <w:spacing w:after="0" w:line="240" w:lineRule="auto"/>
        <w:ind w:left="567" w:right="567"/>
        <w:contextualSpacing/>
        <w:jc w:val="right"/>
        <w:rPr>
          <w:rFonts w:ascii="Palatino Linotype" w:hAnsi="Palatino Linotype"/>
        </w:rPr>
      </w:pPr>
      <w:r>
        <w:rPr>
          <w:rFonts w:ascii="Palatino Linotype" w:hAnsi="Palatino Linotype"/>
        </w:rPr>
        <w:t>(Énfasis añadido)</w:t>
      </w:r>
    </w:p>
    <w:p w:rsidR="00631A67" w:rsidRDefault="00631A67" w:rsidP="00631A67">
      <w:pPr>
        <w:autoSpaceDE w:val="0"/>
        <w:autoSpaceDN w:val="0"/>
        <w:adjustRightInd w:val="0"/>
        <w:spacing w:after="0" w:line="360" w:lineRule="auto"/>
        <w:ind w:right="51"/>
        <w:contextualSpacing/>
        <w:jc w:val="both"/>
        <w:rPr>
          <w:rFonts w:ascii="Palatino Linotype" w:hAnsi="Palatino Linotype" w:cs="Arial"/>
          <w:sz w:val="24"/>
        </w:rPr>
      </w:pPr>
    </w:p>
    <w:p w:rsidR="00631A67" w:rsidRPr="00EA3340" w:rsidRDefault="00631A67" w:rsidP="00631A67">
      <w:pPr>
        <w:autoSpaceDE w:val="0"/>
        <w:autoSpaceDN w:val="0"/>
        <w:adjustRightInd w:val="0"/>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w:t>
      </w:r>
      <w:r w:rsidRPr="00EA3340">
        <w:rPr>
          <w:rFonts w:ascii="Palatino Linotype" w:hAnsi="Palatino Linotype" w:cs="Arial"/>
          <w:sz w:val="24"/>
        </w:rPr>
        <w:lastRenderedPageBreak/>
        <w:t>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631A67" w:rsidRPr="00EA3340" w:rsidRDefault="00631A67" w:rsidP="00631A67">
      <w:pPr>
        <w:autoSpaceDE w:val="0"/>
        <w:autoSpaceDN w:val="0"/>
        <w:adjustRightInd w:val="0"/>
        <w:spacing w:after="0" w:line="360" w:lineRule="auto"/>
        <w:ind w:right="51"/>
        <w:contextualSpacing/>
        <w:jc w:val="both"/>
        <w:rPr>
          <w:rFonts w:ascii="Palatino Linotype" w:hAnsi="Palatino Linotype" w:cs="Arial"/>
          <w:sz w:val="24"/>
        </w:rPr>
      </w:pPr>
    </w:p>
    <w:p w:rsidR="00631A67" w:rsidRPr="00EA3340" w:rsidRDefault="00631A67" w:rsidP="00631A67">
      <w:pPr>
        <w:autoSpaceDE w:val="0"/>
        <w:autoSpaceDN w:val="0"/>
        <w:adjustRightInd w:val="0"/>
        <w:spacing w:after="0" w:line="360" w:lineRule="auto"/>
        <w:ind w:right="50"/>
        <w:contextualSpacing/>
        <w:jc w:val="both"/>
        <w:rPr>
          <w:rFonts w:ascii="Palatino Linotype" w:hAnsi="Palatino Linotype" w:cs="Arial"/>
          <w:sz w:val="24"/>
        </w:rPr>
      </w:pPr>
      <w:r w:rsidRPr="00EA3340">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31A67" w:rsidRPr="00EA3340" w:rsidRDefault="00631A67" w:rsidP="00631A67">
      <w:pPr>
        <w:spacing w:after="0"/>
      </w:pPr>
    </w:p>
    <w:p w:rsidR="00631A67" w:rsidRDefault="00631A67" w:rsidP="00631A67">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31A67" w:rsidRPr="00EA3340" w:rsidRDefault="00631A67" w:rsidP="00631A67">
      <w:pPr>
        <w:autoSpaceDE w:val="0"/>
        <w:autoSpaceDN w:val="0"/>
        <w:adjustRightInd w:val="0"/>
        <w:spacing w:after="0" w:line="360" w:lineRule="auto"/>
        <w:ind w:right="50"/>
        <w:jc w:val="both"/>
        <w:rPr>
          <w:rFonts w:ascii="Palatino Linotype" w:hAnsi="Palatino Linotype" w:cs="Arial"/>
          <w:sz w:val="24"/>
        </w:rPr>
      </w:pPr>
    </w:p>
    <w:p w:rsidR="00631A67" w:rsidRDefault="00631A67" w:rsidP="00631A67">
      <w:pPr>
        <w:spacing w:after="0" w:line="240" w:lineRule="auto"/>
        <w:ind w:left="567" w:right="567"/>
        <w:contextualSpacing/>
        <w:jc w:val="both"/>
        <w:rPr>
          <w:rFonts w:ascii="Palatino Linotype" w:hAnsi="Palatino Linotype"/>
          <w:i/>
        </w:rPr>
      </w:pPr>
      <w:r>
        <w:rPr>
          <w:rFonts w:ascii="Palatino Linotype" w:hAnsi="Palatino Linotype"/>
          <w:b/>
          <w:i/>
        </w:rPr>
        <w:t>“Artículo 49.</w:t>
      </w:r>
      <w:r>
        <w:rPr>
          <w:rFonts w:ascii="Palatino Linotype" w:hAnsi="Palatino Linotype"/>
          <w:i/>
        </w:rPr>
        <w:t xml:space="preserve"> </w:t>
      </w:r>
      <w:r>
        <w:rPr>
          <w:rFonts w:ascii="Palatino Linotype" w:hAnsi="Palatino Linotype"/>
          <w:b/>
          <w:i/>
        </w:rPr>
        <w:t>Los Comités de Transparencia</w:t>
      </w:r>
      <w:r>
        <w:rPr>
          <w:rFonts w:ascii="Palatino Linotype" w:hAnsi="Palatino Linotype"/>
          <w:i/>
        </w:rPr>
        <w:t xml:space="preserve"> tendrán las siguientes atribuciones:</w:t>
      </w:r>
    </w:p>
    <w:p w:rsidR="00631A67" w:rsidRDefault="00631A67" w:rsidP="00631A67">
      <w:pPr>
        <w:spacing w:after="0" w:line="240" w:lineRule="auto"/>
        <w:ind w:left="567" w:right="567"/>
        <w:contextualSpacing/>
        <w:jc w:val="both"/>
        <w:rPr>
          <w:rFonts w:ascii="Palatino Linotype" w:hAnsi="Palatino Linotype"/>
          <w:i/>
        </w:rPr>
      </w:pPr>
      <w:r>
        <w:rPr>
          <w:rFonts w:ascii="Palatino Linotype" w:hAnsi="Palatino Linotype"/>
          <w:b/>
          <w:i/>
        </w:rPr>
        <w:t>VIII. Aprobar, modificar o revocar la clasificación de la información</w:t>
      </w:r>
      <w:r>
        <w:rPr>
          <w:rFonts w:ascii="Palatino Linotype" w:hAnsi="Palatino Linotype"/>
          <w:i/>
        </w:rPr>
        <w:t>…”</w:t>
      </w:r>
    </w:p>
    <w:p w:rsidR="00631A67" w:rsidRDefault="00631A67" w:rsidP="00631A67">
      <w:pPr>
        <w:spacing w:after="0" w:line="240" w:lineRule="auto"/>
        <w:ind w:left="567" w:right="567"/>
        <w:contextualSpacing/>
        <w:jc w:val="both"/>
        <w:rPr>
          <w:rFonts w:ascii="Palatino Linotype" w:hAnsi="Palatino Linotype"/>
          <w:b/>
          <w:i/>
        </w:rPr>
      </w:pPr>
    </w:p>
    <w:p w:rsidR="00631A67" w:rsidRDefault="00631A67" w:rsidP="00631A67">
      <w:pPr>
        <w:spacing w:after="0" w:line="240" w:lineRule="auto"/>
        <w:ind w:left="567" w:right="567"/>
        <w:contextualSpacing/>
        <w:jc w:val="both"/>
        <w:rPr>
          <w:rFonts w:ascii="Palatino Linotype" w:hAnsi="Palatino Linotype"/>
          <w:i/>
        </w:rPr>
      </w:pPr>
      <w:r>
        <w:rPr>
          <w:rFonts w:ascii="Palatino Linotype" w:hAnsi="Palatino Linotype"/>
          <w:i/>
        </w:rPr>
        <w:lastRenderedPageBreak/>
        <w:t>“</w:t>
      </w:r>
      <w:r>
        <w:rPr>
          <w:rFonts w:ascii="Palatino Linotype" w:hAnsi="Palatino Linotype"/>
          <w:b/>
          <w:i/>
        </w:rPr>
        <w:t>Artículo 53.</w:t>
      </w:r>
      <w:r>
        <w:rPr>
          <w:rFonts w:ascii="Palatino Linotype" w:hAnsi="Palatino Linotype"/>
          <w:i/>
        </w:rPr>
        <w:t xml:space="preserve"> Las </w:t>
      </w:r>
      <w:r>
        <w:rPr>
          <w:rFonts w:ascii="Palatino Linotype" w:hAnsi="Palatino Linotype"/>
          <w:b/>
          <w:i/>
        </w:rPr>
        <w:t>Unidades de Transparencia</w:t>
      </w:r>
      <w:r>
        <w:rPr>
          <w:rFonts w:ascii="Palatino Linotype" w:hAnsi="Palatino Linotype"/>
          <w:i/>
        </w:rPr>
        <w:t xml:space="preserve"> tendrán las siguientes </w:t>
      </w:r>
      <w:r>
        <w:rPr>
          <w:rFonts w:ascii="Palatino Linotype" w:hAnsi="Palatino Linotype"/>
          <w:b/>
          <w:i/>
        </w:rPr>
        <w:t>funciones</w:t>
      </w:r>
      <w:r>
        <w:rPr>
          <w:rFonts w:ascii="Palatino Linotype" w:hAnsi="Palatino Linotype"/>
          <w:i/>
        </w:rPr>
        <w:t>:</w:t>
      </w:r>
    </w:p>
    <w:p w:rsidR="00631A67" w:rsidRDefault="00631A67" w:rsidP="00631A67">
      <w:pPr>
        <w:spacing w:after="0" w:line="240" w:lineRule="auto"/>
        <w:ind w:left="567" w:right="567"/>
        <w:contextualSpacing/>
        <w:jc w:val="both"/>
        <w:rPr>
          <w:rFonts w:ascii="Palatino Linotype" w:hAnsi="Palatino Linotype"/>
          <w:i/>
        </w:rPr>
      </w:pPr>
      <w:r>
        <w:rPr>
          <w:rFonts w:ascii="Palatino Linotype" w:hAnsi="Palatino Linotype"/>
          <w:b/>
          <w:i/>
        </w:rPr>
        <w:t>X. Presentar ante el Comité, el proyecto de clasificación de información</w:t>
      </w:r>
      <w:r>
        <w:rPr>
          <w:rFonts w:ascii="Palatino Linotype" w:hAnsi="Palatino Linotype"/>
          <w:i/>
        </w:rPr>
        <w:t xml:space="preserve">…” </w:t>
      </w:r>
    </w:p>
    <w:p w:rsidR="00631A67" w:rsidRDefault="00631A67" w:rsidP="00631A67">
      <w:pPr>
        <w:spacing w:after="0" w:line="240" w:lineRule="auto"/>
        <w:ind w:left="567" w:right="567"/>
        <w:contextualSpacing/>
        <w:jc w:val="both"/>
        <w:rPr>
          <w:rFonts w:ascii="Palatino Linotype" w:hAnsi="Palatino Linotype"/>
          <w:i/>
        </w:rPr>
      </w:pPr>
    </w:p>
    <w:p w:rsidR="00631A67" w:rsidRDefault="00631A67" w:rsidP="00631A67">
      <w:pPr>
        <w:spacing w:after="0" w:line="240" w:lineRule="auto"/>
        <w:ind w:left="567" w:right="567"/>
        <w:contextualSpacing/>
        <w:jc w:val="both"/>
        <w:rPr>
          <w:rFonts w:ascii="Palatino Linotype" w:hAnsi="Palatino Linotype"/>
          <w:i/>
        </w:rPr>
      </w:pPr>
      <w:r>
        <w:rPr>
          <w:rFonts w:ascii="Palatino Linotype" w:hAnsi="Palatino Linotype"/>
          <w:b/>
          <w:i/>
        </w:rPr>
        <w:t>“Artículo 59.</w:t>
      </w:r>
      <w:r>
        <w:rPr>
          <w:rFonts w:ascii="Palatino Linotype" w:hAnsi="Palatino Linotype"/>
          <w:i/>
        </w:rPr>
        <w:t xml:space="preserve"> Los </w:t>
      </w:r>
      <w:r>
        <w:rPr>
          <w:rFonts w:ascii="Palatino Linotype" w:hAnsi="Palatino Linotype"/>
          <w:b/>
          <w:i/>
        </w:rPr>
        <w:t>servidores públicos habilitados</w:t>
      </w:r>
      <w:r>
        <w:rPr>
          <w:rFonts w:ascii="Palatino Linotype" w:hAnsi="Palatino Linotype"/>
          <w:i/>
        </w:rPr>
        <w:t xml:space="preserve"> tendrán las </w:t>
      </w:r>
      <w:r>
        <w:rPr>
          <w:rFonts w:ascii="Palatino Linotype" w:hAnsi="Palatino Linotype"/>
          <w:b/>
          <w:i/>
        </w:rPr>
        <w:t>funciones</w:t>
      </w:r>
      <w:r>
        <w:rPr>
          <w:rFonts w:ascii="Palatino Linotype" w:hAnsi="Palatino Linotype"/>
          <w:i/>
        </w:rPr>
        <w:t xml:space="preserve"> siguientes:</w:t>
      </w:r>
    </w:p>
    <w:p w:rsidR="00631A67" w:rsidRDefault="00631A67" w:rsidP="00631A67">
      <w:pPr>
        <w:spacing w:after="0" w:line="240" w:lineRule="auto"/>
        <w:ind w:left="567" w:right="567"/>
        <w:contextualSpacing/>
        <w:jc w:val="both"/>
        <w:rPr>
          <w:rFonts w:ascii="Palatino Linotype" w:hAnsi="Palatino Linotype"/>
        </w:rPr>
      </w:pPr>
      <w:r>
        <w:rPr>
          <w:rFonts w:ascii="Palatino Linotype" w:hAnsi="Palatino Linotype"/>
          <w:b/>
          <w:i/>
        </w:rPr>
        <w:t>V. Integrar y presentar al responsable de la Unidad de Transparencia la propuesta de clasificación de información</w:t>
      </w:r>
      <w:r>
        <w:rPr>
          <w:rFonts w:ascii="Palatino Linotype" w:hAnsi="Palatino Linotype"/>
          <w:i/>
        </w:rPr>
        <w:t>, la cual tendrá los fundamentos y argumentos en que se basa dicha propuesta…”</w:t>
      </w:r>
    </w:p>
    <w:p w:rsidR="00631A67" w:rsidRPr="00F168E6" w:rsidRDefault="00631A67" w:rsidP="00631A67">
      <w:pPr>
        <w:spacing w:after="0" w:line="240" w:lineRule="auto"/>
        <w:ind w:left="567" w:right="567"/>
        <w:contextualSpacing/>
        <w:jc w:val="right"/>
        <w:rPr>
          <w:rFonts w:ascii="Palatino Linotype" w:hAnsi="Palatino Linotype"/>
        </w:rPr>
      </w:pPr>
      <w:r>
        <w:rPr>
          <w:rFonts w:ascii="Palatino Linotype" w:hAnsi="Palatino Linotype"/>
        </w:rPr>
        <w:t>(Énfasis añadido)</w:t>
      </w:r>
    </w:p>
    <w:p w:rsidR="00631A67" w:rsidRDefault="00631A67" w:rsidP="00631A67">
      <w:pPr>
        <w:spacing w:after="0" w:line="360" w:lineRule="auto"/>
        <w:contextualSpacing/>
        <w:jc w:val="both"/>
        <w:rPr>
          <w:rFonts w:ascii="Palatino Linotype" w:hAnsi="Palatino Linotype" w:cs="Arial"/>
        </w:rPr>
      </w:pPr>
    </w:p>
    <w:p w:rsidR="00631A67" w:rsidRPr="00EA3340" w:rsidRDefault="00631A67" w:rsidP="00631A67">
      <w:pPr>
        <w:spacing w:after="0" w:line="360" w:lineRule="auto"/>
        <w:contextualSpacing/>
        <w:jc w:val="both"/>
        <w:rPr>
          <w:rFonts w:ascii="Palatino Linotype" w:hAnsi="Palatino Linotype" w:cs="Arial"/>
          <w:sz w:val="24"/>
        </w:rPr>
      </w:pPr>
      <w:r w:rsidRPr="00EA3340">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31A67" w:rsidRPr="00EA3340" w:rsidRDefault="00631A67" w:rsidP="00631A67">
      <w:pPr>
        <w:spacing w:after="0" w:line="360" w:lineRule="auto"/>
        <w:contextualSpacing/>
        <w:jc w:val="both"/>
        <w:rPr>
          <w:rFonts w:ascii="Palatino Linotype" w:hAnsi="Palatino Linotype" w:cs="Arial"/>
          <w:sz w:val="24"/>
        </w:rPr>
      </w:pPr>
    </w:p>
    <w:p w:rsidR="00631A67" w:rsidRDefault="00631A67" w:rsidP="00631A67">
      <w:pPr>
        <w:spacing w:after="0" w:line="360" w:lineRule="auto"/>
        <w:jc w:val="both"/>
        <w:rPr>
          <w:rFonts w:ascii="Palatino Linotype" w:hAnsi="Palatino Linotype" w:cs="Arial"/>
          <w:sz w:val="24"/>
        </w:rPr>
      </w:pPr>
      <w:r w:rsidRPr="00EA3340">
        <w:rPr>
          <w:rFonts w:ascii="Palatino Linotype" w:hAnsi="Palatino Linotype" w:cs="Arial"/>
          <w:sz w:val="24"/>
        </w:rPr>
        <w:t>Para lo cual a su vez en el caso de información de carácter confidencial se debe atender a lo que señala el artículo 149</w:t>
      </w:r>
      <w:r>
        <w:rPr>
          <w:rFonts w:ascii="Palatino Linotype" w:hAnsi="Palatino Linotype" w:cs="Arial"/>
          <w:sz w:val="24"/>
        </w:rPr>
        <w:t>,</w:t>
      </w:r>
      <w:r w:rsidRPr="00EA3340">
        <w:rPr>
          <w:rFonts w:ascii="Palatino Linotype" w:hAnsi="Palatino Linotype" w:cs="Arial"/>
          <w:sz w:val="24"/>
        </w:rPr>
        <w:t xml:space="preserve"> de la Ley de Transparencia Local vigente, que se lee como sigue:</w:t>
      </w:r>
    </w:p>
    <w:p w:rsidR="00631A67" w:rsidRPr="00EA3340" w:rsidRDefault="00631A67" w:rsidP="00631A67">
      <w:pPr>
        <w:spacing w:after="0" w:line="360" w:lineRule="auto"/>
        <w:jc w:val="both"/>
        <w:rPr>
          <w:rFonts w:ascii="Palatino Linotype" w:hAnsi="Palatino Linotype"/>
          <w:sz w:val="24"/>
        </w:rPr>
      </w:pPr>
    </w:p>
    <w:p w:rsidR="00631A67" w:rsidRDefault="00631A67" w:rsidP="00631A67">
      <w:pPr>
        <w:spacing w:after="0" w:line="240" w:lineRule="auto"/>
        <w:ind w:left="567" w:right="567"/>
        <w:jc w:val="both"/>
        <w:rPr>
          <w:rFonts w:ascii="Palatino Linotype" w:hAnsi="Palatino Linotype"/>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w:t>
      </w:r>
    </w:p>
    <w:p w:rsidR="00631A67" w:rsidRDefault="00631A67" w:rsidP="00631A67">
      <w:pPr>
        <w:spacing w:after="0" w:line="360" w:lineRule="auto"/>
        <w:ind w:right="49"/>
        <w:contextualSpacing/>
        <w:jc w:val="both"/>
        <w:rPr>
          <w:rFonts w:ascii="Palatino Linotype" w:hAnsi="Palatino Linotype" w:cs="Arial"/>
          <w:sz w:val="24"/>
          <w:szCs w:val="24"/>
          <w:lang w:eastAsia="es-CO"/>
        </w:rPr>
      </w:pPr>
    </w:p>
    <w:p w:rsidR="00631A67" w:rsidRDefault="00631A67" w:rsidP="00631A67">
      <w:pPr>
        <w:spacing w:after="0" w:line="360" w:lineRule="auto"/>
        <w:ind w:right="49"/>
        <w:contextualSpacing/>
        <w:jc w:val="both"/>
        <w:rPr>
          <w:rFonts w:ascii="Palatino Linotype" w:hAnsi="Palatino Linotype" w:cs="Arial"/>
          <w:sz w:val="24"/>
          <w:szCs w:val="24"/>
          <w:lang w:eastAsia="es-CO"/>
        </w:rPr>
      </w:pPr>
      <w:r w:rsidRPr="00EA3340">
        <w:rPr>
          <w:rFonts w:ascii="Palatino Linotype" w:hAnsi="Palatino Linotype" w:cs="Arial"/>
          <w:sz w:val="24"/>
          <w:szCs w:val="24"/>
          <w:lang w:eastAsia="es-CO"/>
        </w:rPr>
        <w:t xml:space="preserve">Es decir, el Sujeto Obligado a través de su Comité de Transparencia, deberá elaborar acuerdo que contenga un razonamiento lógico con el que se demuestre que la </w:t>
      </w:r>
      <w:r w:rsidRPr="00EA3340">
        <w:rPr>
          <w:rFonts w:ascii="Palatino Linotype" w:hAnsi="Palatino Linotype" w:cs="Arial"/>
          <w:sz w:val="24"/>
          <w:szCs w:val="24"/>
          <w:lang w:eastAsia="es-CO"/>
        </w:rPr>
        <w:lastRenderedPageBreak/>
        <w:t>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31A67" w:rsidRPr="00EA3340" w:rsidRDefault="00631A67" w:rsidP="00631A67">
      <w:pPr>
        <w:spacing w:after="0" w:line="360" w:lineRule="auto"/>
        <w:ind w:right="49"/>
        <w:contextualSpacing/>
        <w:jc w:val="both"/>
        <w:rPr>
          <w:rFonts w:ascii="Palatino Linotype" w:hAnsi="Palatino Linotype" w:cs="Arial"/>
          <w:sz w:val="24"/>
          <w:szCs w:val="24"/>
          <w:lang w:eastAsia="es-CO"/>
        </w:rPr>
      </w:pPr>
    </w:p>
    <w:p w:rsidR="00631A67" w:rsidRDefault="00631A67" w:rsidP="00631A67">
      <w:pPr>
        <w:pStyle w:val="Prrafodelista"/>
        <w:shd w:val="clear" w:color="auto" w:fill="FFFFFF"/>
        <w:spacing w:line="360" w:lineRule="auto"/>
        <w:ind w:left="0"/>
        <w:contextualSpacing/>
        <w:jc w:val="both"/>
        <w:rPr>
          <w:rFonts w:ascii="Palatino Linotype" w:hAnsi="Palatino Linotype" w:cs="Arial"/>
        </w:rPr>
      </w:pPr>
      <w:r w:rsidRPr="00EA3340">
        <w:rPr>
          <w:rFonts w:ascii="Palatino Linotype" w:hAnsi="Palatino Linotype" w:cs="Arial"/>
        </w:rPr>
        <w:t>En el caso específico, las pólizas</w:t>
      </w:r>
      <w:r>
        <w:rPr>
          <w:rFonts w:ascii="Palatino Linotype" w:hAnsi="Palatino Linotype" w:cs="Arial"/>
        </w:rPr>
        <w:t>,</w:t>
      </w:r>
      <w:r w:rsidRPr="00EA3340">
        <w:rPr>
          <w:rFonts w:ascii="Palatino Linotype" w:hAnsi="Palatino Linotype" w:cs="Arial"/>
        </w:rPr>
        <w:t xml:space="preserve"> cheques, </w:t>
      </w:r>
      <w:r>
        <w:rPr>
          <w:rFonts w:ascii="Palatino Linotype" w:hAnsi="Palatino Linotype" w:cs="Arial"/>
        </w:rPr>
        <w:t xml:space="preserve">facturas, </w:t>
      </w:r>
      <w:r w:rsidRPr="00EA3340">
        <w:rPr>
          <w:rFonts w:ascii="Palatino Linotype" w:hAnsi="Palatino Linotype" w:cs="Arial"/>
        </w:rPr>
        <w:t xml:space="preserve">si bien tienen el carácter </w:t>
      </w:r>
      <w:r w:rsidRPr="00EA3340">
        <w:rPr>
          <w:rFonts w:ascii="Palatino Linotype" w:hAnsi="Palatino Linotype"/>
        </w:rPr>
        <w:t xml:space="preserve">información pública en razón de que se trata de documentos que se encuentran en posesión del Sujeto Obligado, derivado del ejercicio de sus atribuciones, </w:t>
      </w:r>
      <w:r w:rsidRPr="00EA3340">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3340">
        <w:rPr>
          <w:rFonts w:ascii="Palatino Linotype" w:hAnsi="Palatino Linotype" w:cs="Arial"/>
          <w:b/>
        </w:rPr>
        <w:t>Registro Federal de Contribuyentes</w:t>
      </w:r>
      <w:r w:rsidRPr="00EA3340">
        <w:rPr>
          <w:rFonts w:ascii="Palatino Linotype" w:hAnsi="Palatino Linotype" w:cs="Arial"/>
        </w:rPr>
        <w:t xml:space="preserve"> (RFC), la </w:t>
      </w:r>
      <w:r w:rsidRPr="00EA3340">
        <w:rPr>
          <w:rFonts w:ascii="Palatino Linotype" w:hAnsi="Palatino Linotype" w:cs="Arial"/>
          <w:b/>
        </w:rPr>
        <w:t>Clave Única de Registro de Población</w:t>
      </w:r>
      <w:r w:rsidRPr="00EA3340">
        <w:rPr>
          <w:rFonts w:ascii="Palatino Linotype" w:hAnsi="Palatino Linotype" w:cs="Arial"/>
        </w:rPr>
        <w:t xml:space="preserve"> (CURP), la </w:t>
      </w:r>
      <w:r w:rsidRPr="00EA3340">
        <w:rPr>
          <w:rFonts w:ascii="Palatino Linotype" w:hAnsi="Palatino Linotype" w:cs="Arial"/>
          <w:b/>
        </w:rPr>
        <w:t>Clave de cualquier tipo de seguridad social</w:t>
      </w:r>
      <w:r w:rsidRPr="00EA3340">
        <w:rPr>
          <w:rFonts w:ascii="Palatino Linotype" w:hAnsi="Palatino Linotype" w:cs="Arial"/>
        </w:rPr>
        <w:t xml:space="preserve"> (ISSEMYM, u otros), así como las </w:t>
      </w:r>
      <w:r w:rsidRPr="00EA3340">
        <w:rPr>
          <w:rFonts w:ascii="Palatino Linotype" w:hAnsi="Palatino Linotype" w:cs="Arial"/>
          <w:b/>
        </w:rPr>
        <w:t xml:space="preserve">firmas </w:t>
      </w:r>
      <w:r w:rsidRPr="00EA3340">
        <w:rPr>
          <w:rFonts w:ascii="Palatino Linotype" w:hAnsi="Palatino Linotype" w:cs="Arial"/>
        </w:rPr>
        <w:t xml:space="preserve">de los interesados como </w:t>
      </w:r>
      <w:r w:rsidRPr="00EA3340">
        <w:rPr>
          <w:rFonts w:ascii="Palatino Linotype" w:hAnsi="Palatino Linotype"/>
          <w:lang w:eastAsia="es-MX"/>
        </w:rPr>
        <w:t xml:space="preserve">el número de </w:t>
      </w:r>
      <w:r w:rsidRPr="00EA3340">
        <w:rPr>
          <w:rFonts w:ascii="Palatino Linotype" w:hAnsi="Palatino Linotype"/>
          <w:b/>
          <w:lang w:eastAsia="es-MX"/>
        </w:rPr>
        <w:t>cuenta bancaria</w:t>
      </w:r>
      <w:r w:rsidRPr="00EA3340">
        <w:rPr>
          <w:rFonts w:ascii="Palatino Linotype" w:eastAsia="Calibri" w:hAnsi="Palatino Linotype" w:cs="Arial"/>
          <w:color w:val="000000" w:themeColor="text1"/>
          <w:lang w:eastAsia="es-MX"/>
        </w:rPr>
        <w:t xml:space="preserve">, </w:t>
      </w:r>
      <w:r w:rsidRPr="00EA3340">
        <w:rPr>
          <w:rFonts w:ascii="Palatino Linotype" w:eastAsia="Calibri" w:hAnsi="Palatino Linotype" w:cs="Arial"/>
          <w:b/>
          <w:color w:val="000000" w:themeColor="text1"/>
          <w:lang w:eastAsia="es-MX"/>
        </w:rPr>
        <w:t>Cadenas Originales del Sellos Digitales</w:t>
      </w:r>
      <w:r w:rsidRPr="00EA3340">
        <w:rPr>
          <w:rFonts w:ascii="Palatino Linotype" w:eastAsia="Calibri" w:hAnsi="Palatino Linotype" w:cs="Arial"/>
          <w:color w:val="000000" w:themeColor="text1"/>
          <w:lang w:eastAsia="es-MX"/>
        </w:rPr>
        <w:t xml:space="preserve"> y los </w:t>
      </w:r>
      <w:r w:rsidRPr="00EA3340">
        <w:rPr>
          <w:rFonts w:ascii="Palatino Linotype" w:eastAsia="Calibri" w:hAnsi="Palatino Linotype" w:cs="Arial"/>
          <w:b/>
          <w:color w:val="000000" w:themeColor="text1"/>
          <w:lang w:eastAsia="es-MX"/>
        </w:rPr>
        <w:t>Códigos Bidimensionales</w:t>
      </w:r>
      <w:r w:rsidRPr="00EA3340">
        <w:rPr>
          <w:rFonts w:ascii="Palatino Linotype" w:eastAsia="Calibri" w:hAnsi="Palatino Linotype" w:cs="Arial"/>
          <w:color w:val="000000" w:themeColor="text1"/>
          <w:lang w:eastAsia="es-MX"/>
        </w:rPr>
        <w:t xml:space="preserve">, también denominados </w:t>
      </w:r>
      <w:r w:rsidRPr="00EA3340">
        <w:rPr>
          <w:rFonts w:ascii="Palatino Linotype" w:eastAsia="Calibri" w:hAnsi="Palatino Linotype" w:cs="Arial"/>
          <w:b/>
          <w:color w:val="000000" w:themeColor="text1"/>
          <w:lang w:eastAsia="es-MX"/>
        </w:rPr>
        <w:t>Códigos QR</w:t>
      </w:r>
      <w:r w:rsidRPr="00EA3340">
        <w:rPr>
          <w:rFonts w:ascii="Palatino Linotype" w:eastAsia="Calibri" w:hAnsi="Palatino Linotype" w:cs="Arial"/>
          <w:color w:val="000000" w:themeColor="text1"/>
          <w:lang w:eastAsia="es-MX"/>
        </w:rPr>
        <w:t xml:space="preserve">, estos son datos susceptibles de clasificarse como confidenciales mediante una versión pública que deje a la vista los datos que ofrezcan la información requerida </w:t>
      </w:r>
      <w:r w:rsidRPr="00EA3340">
        <w:rPr>
          <w:rFonts w:ascii="Palatino Linotype" w:hAnsi="Palatino Linotype" w:cs="Arial"/>
        </w:rPr>
        <w:t xml:space="preserve">y </w:t>
      </w:r>
      <w:r w:rsidRPr="00EA3340">
        <w:rPr>
          <w:rFonts w:ascii="Palatino Linotype" w:eastAsia="Calibri" w:hAnsi="Palatino Linotype" w:cs="Arial"/>
          <w:lang w:eastAsia="es-MX"/>
        </w:rPr>
        <w:lastRenderedPageBreak/>
        <w:t xml:space="preserve">aquellos </w:t>
      </w:r>
      <w:r w:rsidRPr="00EA3340">
        <w:rPr>
          <w:rFonts w:ascii="Palatino Linotype" w:eastAsia="Calibri" w:hAnsi="Palatino Linotype" w:cs="Arial"/>
          <w:b/>
          <w:lang w:eastAsia="es-MX"/>
        </w:rPr>
        <w:t>datos personales concernientes a la vida privada de las personas</w:t>
      </w:r>
      <w:r w:rsidRPr="00EA3340">
        <w:rPr>
          <w:rFonts w:ascii="Palatino Linotype" w:eastAsia="Calibri" w:hAnsi="Palatino Linotype" w:cs="Arial"/>
          <w:lang w:eastAsia="es-MX"/>
        </w:rPr>
        <w:t xml:space="preserve"> </w:t>
      </w:r>
      <w:r w:rsidRPr="00EA3340">
        <w:rPr>
          <w:rFonts w:ascii="Palatino Linotype" w:hAnsi="Palatino Linotype" w:cs="Arial"/>
        </w:rPr>
        <w:t>que pudieran contener los citados documentos.</w:t>
      </w:r>
    </w:p>
    <w:p w:rsidR="00631A67" w:rsidRPr="00EA3340" w:rsidRDefault="00631A67" w:rsidP="00631A67">
      <w:pPr>
        <w:pStyle w:val="Prrafodelista"/>
        <w:shd w:val="clear" w:color="auto" w:fill="FFFFFF"/>
        <w:spacing w:line="360" w:lineRule="auto"/>
        <w:ind w:left="0"/>
        <w:contextualSpacing/>
        <w:jc w:val="both"/>
        <w:rPr>
          <w:rFonts w:ascii="Palatino Linotype" w:hAnsi="Palatino Linotype" w:cs="Arial"/>
        </w:rPr>
      </w:pPr>
    </w:p>
    <w:p w:rsidR="00631A67" w:rsidRDefault="00631A67" w:rsidP="00631A67">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Por cuanto hace al Registro Federal de Contribuyentes de las personas físicas, constituye un dato personal, pues se genera con caracteres alfanuméricos a partir del nombre y la fecha de nacimiento de cada p</w:t>
      </w:r>
      <w:r>
        <w:rPr>
          <w:rFonts w:ascii="Palatino Linotype" w:hAnsi="Palatino Linotype" w:cs="Arial"/>
          <w:sz w:val="24"/>
          <w:szCs w:val="24"/>
          <w:lang w:eastAsia="es-MX"/>
        </w:rPr>
        <w:t>ersona, y finalmente la homoclav</w:t>
      </w:r>
      <w:r w:rsidRPr="00EA3340">
        <w:rPr>
          <w:rFonts w:ascii="Palatino Linotype" w:hAnsi="Palatino Linotype" w:cs="Arial"/>
          <w:sz w:val="24"/>
          <w:szCs w:val="24"/>
          <w:lang w:eastAsia="es-MX"/>
        </w:rPr>
        <w:t>e, por lo que para su obtención es necesario acreditar ante la autoridad fiscal previamente la identidad de la persona, su fecha de nacimiento, entre otros aspectos.</w:t>
      </w:r>
    </w:p>
    <w:p w:rsidR="00631A67" w:rsidRPr="00EA3340" w:rsidRDefault="00631A67" w:rsidP="00631A67">
      <w:pPr>
        <w:spacing w:after="0" w:line="360" w:lineRule="auto"/>
        <w:jc w:val="both"/>
        <w:rPr>
          <w:rFonts w:ascii="Palatino Linotype" w:hAnsi="Palatino Linotype" w:cs="Arial"/>
          <w:sz w:val="24"/>
          <w:szCs w:val="24"/>
        </w:rPr>
      </w:pPr>
    </w:p>
    <w:p w:rsidR="00631A67" w:rsidRDefault="00631A67" w:rsidP="00631A67">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31A67" w:rsidRPr="00EA3340" w:rsidRDefault="00631A67" w:rsidP="00631A67">
      <w:pPr>
        <w:spacing w:after="0" w:line="360" w:lineRule="auto"/>
        <w:jc w:val="both"/>
        <w:rPr>
          <w:rFonts w:ascii="Palatino Linotype" w:hAnsi="Palatino Linotype" w:cs="Arial"/>
          <w:sz w:val="24"/>
          <w:szCs w:val="24"/>
          <w:lang w:eastAsia="es-MX"/>
        </w:rPr>
      </w:pPr>
    </w:p>
    <w:p w:rsidR="00631A67" w:rsidRDefault="00631A67" w:rsidP="00631A67">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Lo anterior es compartido por el Instituto </w:t>
      </w:r>
      <w:r w:rsidRPr="00EA3340">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EA3340">
        <w:rPr>
          <w:rFonts w:ascii="Palatino Linotype" w:hAnsi="Palatino Linotype" w:cs="Arial"/>
          <w:sz w:val="24"/>
          <w:szCs w:val="24"/>
          <w:lang w:eastAsia="es-MX"/>
        </w:rPr>
        <w:t>el cual es del tenor literal siguiente:</w:t>
      </w:r>
    </w:p>
    <w:p w:rsidR="00631A67" w:rsidRPr="00EA3340" w:rsidRDefault="00631A67" w:rsidP="00631A67">
      <w:pPr>
        <w:spacing w:after="0" w:line="360" w:lineRule="auto"/>
        <w:jc w:val="both"/>
        <w:rPr>
          <w:rFonts w:ascii="Palatino Linotype" w:hAnsi="Palatino Linotype" w:cs="Arial"/>
          <w:sz w:val="24"/>
          <w:szCs w:val="24"/>
          <w:lang w:eastAsia="es-MX"/>
        </w:rPr>
      </w:pPr>
    </w:p>
    <w:p w:rsidR="00631A67" w:rsidRDefault="00631A67" w:rsidP="00631A67">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
          <w:bCs/>
          <w:i/>
        </w:rPr>
        <w:t>“Registro Federal de Contribuyentes (RFC) de personas físicas</w:t>
      </w:r>
      <w:r>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631A67" w:rsidRDefault="00631A67" w:rsidP="00631A67">
      <w:pPr>
        <w:pStyle w:val="Sinespaciado"/>
        <w:spacing w:line="360" w:lineRule="auto"/>
        <w:jc w:val="both"/>
        <w:rPr>
          <w:rFonts w:ascii="Palatino Linotype" w:hAnsi="Palatino Linotype" w:cs="Arial"/>
          <w:lang w:eastAsia="es-MX"/>
        </w:rPr>
      </w:pPr>
    </w:p>
    <w:p w:rsidR="00631A67" w:rsidRDefault="00631A67" w:rsidP="00631A67">
      <w:pPr>
        <w:pStyle w:val="Sinespaciado"/>
        <w:spacing w:line="360" w:lineRule="auto"/>
        <w:jc w:val="both"/>
        <w:rPr>
          <w:rFonts w:ascii="Palatino Linotype" w:hAnsi="Palatino Linotype" w:cs="Arial"/>
          <w:lang w:eastAsia="es-MX"/>
        </w:rPr>
      </w:pPr>
      <w:r>
        <w:rPr>
          <w:rFonts w:ascii="Palatino Linotype" w:hAnsi="Palatino Linotype" w:cs="Arial"/>
          <w:lang w:eastAsia="es-MX"/>
        </w:rPr>
        <w:t xml:space="preserve">Así, el Registro Federal de Contribuyentes, RFC, se vincula al nombre de su titular y permite identificar la edad de la persona, su fecha de nacimiento, así como su homoclave, la cual es única e irrepetible y determina la identificación de dicha persona </w:t>
      </w:r>
      <w:r>
        <w:rPr>
          <w:rFonts w:ascii="Palatino Linotype" w:hAnsi="Palatino Linotype" w:cs="Arial"/>
          <w:lang w:eastAsia="es-MX"/>
        </w:rPr>
        <w:lastRenderedPageBreak/>
        <w:t>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631A67" w:rsidRDefault="00631A67" w:rsidP="00631A67">
      <w:pPr>
        <w:pStyle w:val="Sinespaciado"/>
        <w:spacing w:line="360" w:lineRule="auto"/>
        <w:jc w:val="both"/>
        <w:rPr>
          <w:rFonts w:ascii="Palatino Linotype" w:hAnsi="Palatino Linotype" w:cs="Arial"/>
          <w:sz w:val="22"/>
          <w:szCs w:val="22"/>
          <w:lang w:eastAsia="es-MX"/>
        </w:rPr>
      </w:pPr>
    </w:p>
    <w:p w:rsidR="00631A67" w:rsidRDefault="00631A67" w:rsidP="00631A67">
      <w:pPr>
        <w:pStyle w:val="Sinespaciado"/>
        <w:spacing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631A67" w:rsidRDefault="00631A67" w:rsidP="00631A67">
      <w:pPr>
        <w:pStyle w:val="Sinespaciado"/>
        <w:spacing w:line="360" w:lineRule="auto"/>
        <w:jc w:val="both"/>
        <w:rPr>
          <w:rFonts w:ascii="Palatino Linotype" w:eastAsia="Calibri" w:hAnsi="Palatino Linotype" w:cs="Arial"/>
          <w:lang w:eastAsia="es-MX"/>
        </w:rPr>
      </w:pPr>
    </w:p>
    <w:p w:rsidR="00631A67" w:rsidRDefault="00631A67" w:rsidP="00631A67">
      <w:pPr>
        <w:spacing w:after="0" w:line="360" w:lineRule="auto"/>
        <w:jc w:val="both"/>
        <w:rPr>
          <w:rFonts w:ascii="Palatino Linotype" w:hAnsi="Palatino Linotype" w:cs="Arial"/>
          <w:sz w:val="24"/>
        </w:rPr>
      </w:pPr>
      <w:r w:rsidRPr="00EA3340">
        <w:rPr>
          <w:rFonts w:ascii="Palatino Linotype" w:hAnsi="Palatino Linotype" w:cs="Arial"/>
          <w:sz w:val="24"/>
        </w:rPr>
        <w:t xml:space="preserve">Argumento que es compartido por el </w:t>
      </w:r>
      <w:r w:rsidRPr="00EA3340">
        <w:rPr>
          <w:rFonts w:ascii="Palatino Linotype" w:hAnsi="Palatino Linotype" w:cs="Arial"/>
          <w:sz w:val="24"/>
          <w:lang w:eastAsia="es-MX"/>
        </w:rPr>
        <w:t xml:space="preserve">Instituto </w:t>
      </w:r>
      <w:r w:rsidRPr="00EA3340">
        <w:rPr>
          <w:rFonts w:ascii="Palatino Linotype" w:hAnsi="Palatino Linotype" w:cs="Arial"/>
          <w:bCs/>
          <w:sz w:val="24"/>
          <w:shd w:val="clear" w:color="auto" w:fill="FFFFFF"/>
        </w:rPr>
        <w:t>Nacional de Transparencia, Acceso a la Información y Protección de Datos Personales, INAI</w:t>
      </w:r>
      <w:r w:rsidRPr="00EA3340">
        <w:rPr>
          <w:rStyle w:val="Textoennegrita"/>
          <w:rFonts w:ascii="Palatino Linotype" w:hAnsi="Palatino Linotype" w:cs="Arial"/>
          <w:sz w:val="24"/>
        </w:rPr>
        <w:t xml:space="preserve">, conforme al </w:t>
      </w:r>
      <w:r w:rsidRPr="00EA3340">
        <w:rPr>
          <w:rFonts w:ascii="Palatino Linotype" w:hAnsi="Palatino Linotype" w:cs="Arial"/>
          <w:sz w:val="24"/>
        </w:rPr>
        <w:t>c</w:t>
      </w:r>
      <w:r>
        <w:rPr>
          <w:rFonts w:ascii="Palatino Linotype" w:hAnsi="Palatino Linotype" w:cs="Arial"/>
          <w:sz w:val="24"/>
        </w:rPr>
        <w:t>riterio 18/17, el cual refiere:</w:t>
      </w:r>
    </w:p>
    <w:p w:rsidR="00631A67" w:rsidRPr="00EA3340" w:rsidRDefault="00631A67" w:rsidP="00631A67">
      <w:pPr>
        <w:spacing w:after="0" w:line="360" w:lineRule="auto"/>
        <w:jc w:val="both"/>
        <w:rPr>
          <w:rFonts w:ascii="Palatino Linotype" w:hAnsi="Palatino Linotype" w:cs="Arial"/>
          <w:sz w:val="24"/>
        </w:rPr>
      </w:pPr>
    </w:p>
    <w:p w:rsidR="00631A67" w:rsidRDefault="00631A67" w:rsidP="00631A67">
      <w:pPr>
        <w:autoSpaceDE w:val="0"/>
        <w:autoSpaceDN w:val="0"/>
        <w:adjustRightInd w:val="0"/>
        <w:spacing w:after="0" w:line="240" w:lineRule="auto"/>
        <w:ind w:left="567" w:right="567"/>
        <w:jc w:val="both"/>
        <w:rPr>
          <w:rFonts w:ascii="Palatino Linotype" w:hAnsi="Palatino Linotype" w:cs="Arial"/>
          <w:bCs/>
          <w:i/>
          <w:lang w:eastAsia="es-MX"/>
        </w:rPr>
      </w:pPr>
      <w:r>
        <w:rPr>
          <w:rFonts w:ascii="Palatino Linotype" w:hAnsi="Palatino Linotype" w:cs="Arial"/>
          <w:b/>
          <w:bCs/>
          <w:i/>
          <w:lang w:eastAsia="es-MX"/>
        </w:rPr>
        <w:t xml:space="preserve">“Clave Única de Registro de Población (CURP). </w:t>
      </w:r>
      <w:r>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31A67" w:rsidRDefault="00631A67" w:rsidP="00631A67">
      <w:pPr>
        <w:autoSpaceDE w:val="0"/>
        <w:autoSpaceDN w:val="0"/>
        <w:adjustRightInd w:val="0"/>
        <w:spacing w:after="0" w:line="360" w:lineRule="auto"/>
        <w:jc w:val="both"/>
        <w:rPr>
          <w:rFonts w:ascii="Palatino Linotype" w:hAnsi="Palatino Linotype" w:cs="Arial"/>
          <w:sz w:val="24"/>
        </w:rPr>
      </w:pPr>
    </w:p>
    <w:p w:rsidR="00631A67" w:rsidRDefault="00631A67" w:rsidP="00631A67">
      <w:pPr>
        <w:autoSpaceDE w:val="0"/>
        <w:autoSpaceDN w:val="0"/>
        <w:adjustRightInd w:val="0"/>
        <w:spacing w:after="0" w:line="360" w:lineRule="auto"/>
        <w:jc w:val="both"/>
        <w:rPr>
          <w:rFonts w:ascii="Palatino Linotype" w:hAnsi="Palatino Linotype" w:cs="Arial"/>
          <w:sz w:val="24"/>
        </w:rPr>
      </w:pPr>
      <w:r w:rsidRPr="00EA3340">
        <w:rPr>
          <w:rFonts w:ascii="Palatino Linotype" w:hAnsi="Palatino Linotype" w:cs="Arial"/>
          <w:sz w:val="24"/>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31A67" w:rsidRPr="00EA3340" w:rsidRDefault="00631A67" w:rsidP="00631A67">
      <w:pPr>
        <w:autoSpaceDE w:val="0"/>
        <w:autoSpaceDN w:val="0"/>
        <w:adjustRightInd w:val="0"/>
        <w:spacing w:after="0" w:line="360" w:lineRule="auto"/>
        <w:jc w:val="both"/>
        <w:rPr>
          <w:rFonts w:ascii="Palatino Linotype" w:hAnsi="Palatino Linotype" w:cs="Arial"/>
          <w:sz w:val="24"/>
        </w:rPr>
      </w:pPr>
    </w:p>
    <w:p w:rsidR="00631A67" w:rsidRDefault="00631A67" w:rsidP="00631A67">
      <w:pPr>
        <w:shd w:val="clear" w:color="auto" w:fill="FFFFFF"/>
        <w:spacing w:after="0" w:line="360" w:lineRule="auto"/>
        <w:jc w:val="both"/>
        <w:rPr>
          <w:rFonts w:ascii="Palatino Linotype" w:hAnsi="Palatino Linotype"/>
          <w:sz w:val="24"/>
          <w:lang w:eastAsia="es-MX"/>
        </w:rPr>
      </w:pPr>
      <w:r w:rsidRPr="00EA3340">
        <w:rPr>
          <w:rFonts w:ascii="Palatino Linotype" w:hAnsi="Palatino Linotype"/>
          <w:sz w:val="24"/>
          <w:lang w:eastAsia="es-MX"/>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del artículo 143 de la Ley de la Materia vigente en la Entidad</w:t>
      </w:r>
      <w:r w:rsidRPr="00EA3340">
        <w:rPr>
          <w:rStyle w:val="Refdenotaalpie"/>
          <w:rFonts w:ascii="Palatino Linotype" w:hAnsi="Palatino Linotype"/>
          <w:lang w:eastAsia="es-MX"/>
        </w:rPr>
        <w:footnoteReference w:id="2"/>
      </w:r>
      <w:r w:rsidRPr="00EA3340">
        <w:rPr>
          <w:rFonts w:ascii="Palatino Linotype" w:hAnsi="Palatino Linotype"/>
          <w:sz w:val="24"/>
          <w:lang w:eastAsia="es-MX"/>
        </w:rPr>
        <w:t>; en razón de que con su difusión se estaría poniendo en riesgo la seguridad de su titular.</w:t>
      </w:r>
    </w:p>
    <w:p w:rsidR="00631A67" w:rsidRPr="00EA3340" w:rsidRDefault="00631A67" w:rsidP="00631A67">
      <w:pPr>
        <w:shd w:val="clear" w:color="auto" w:fill="FFFFFF"/>
        <w:spacing w:after="0" w:line="360" w:lineRule="auto"/>
        <w:jc w:val="both"/>
        <w:rPr>
          <w:sz w:val="24"/>
          <w:lang w:eastAsia="es-MX"/>
        </w:rPr>
      </w:pPr>
    </w:p>
    <w:p w:rsidR="00631A67" w:rsidRDefault="00631A67" w:rsidP="00631A67">
      <w:pPr>
        <w:shd w:val="clear" w:color="auto" w:fill="FFFFFF"/>
        <w:spacing w:after="0" w:line="360" w:lineRule="auto"/>
        <w:ind w:right="51"/>
        <w:jc w:val="both"/>
        <w:rPr>
          <w:rFonts w:ascii="Palatino Linotype" w:hAnsi="Palatino Linotype"/>
          <w:sz w:val="24"/>
          <w:lang w:eastAsia="es-MX"/>
        </w:rPr>
      </w:pPr>
      <w:r w:rsidRPr="00EA3340">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631A67" w:rsidRPr="00F168E6" w:rsidRDefault="00631A67" w:rsidP="00631A67">
      <w:pPr>
        <w:shd w:val="clear" w:color="auto" w:fill="FFFFFF"/>
        <w:spacing w:after="0" w:line="360" w:lineRule="auto"/>
        <w:ind w:right="51"/>
        <w:jc w:val="both"/>
        <w:rPr>
          <w:rFonts w:ascii="Palatino Linotype" w:hAnsi="Palatino Linotype"/>
          <w:sz w:val="24"/>
          <w:lang w:eastAsia="es-MX"/>
        </w:rPr>
      </w:pPr>
    </w:p>
    <w:p w:rsidR="00631A67" w:rsidRDefault="00631A67" w:rsidP="00631A67">
      <w:pPr>
        <w:shd w:val="clear" w:color="auto" w:fill="FFFFFF"/>
        <w:spacing w:after="0" w:line="240" w:lineRule="auto"/>
        <w:ind w:left="567" w:right="567"/>
        <w:jc w:val="both"/>
        <w:rPr>
          <w:rFonts w:ascii="Palatino Linotype" w:hAnsi="Palatino Linotype"/>
          <w:i/>
          <w:iCs/>
          <w:lang w:eastAsia="es-MX"/>
        </w:rPr>
      </w:pP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xml:space="preserve"> El número de cuenta bancaria y/o CLABE interbancaria de particulares es </w:t>
      </w:r>
      <w:r w:rsidRPr="00177943">
        <w:rPr>
          <w:rFonts w:ascii="Palatino Linotype" w:hAnsi="Palatino Linotype"/>
          <w:i/>
          <w:iCs/>
          <w:lang w:eastAsia="es-MX"/>
        </w:rPr>
        <w:lastRenderedPageBreak/>
        <w:t>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31A67" w:rsidRPr="00BF6BFA" w:rsidRDefault="00631A67" w:rsidP="00631A67">
      <w:pPr>
        <w:pStyle w:val="Sinespaciado"/>
        <w:rPr>
          <w:sz w:val="2"/>
        </w:rPr>
      </w:pPr>
    </w:p>
    <w:p w:rsidR="00631A67" w:rsidRDefault="00631A67" w:rsidP="00631A67">
      <w:pPr>
        <w:spacing w:after="0" w:line="360" w:lineRule="auto"/>
        <w:contextualSpacing/>
        <w:jc w:val="both"/>
        <w:rPr>
          <w:rFonts w:ascii="Palatino Linotype" w:hAnsi="Palatino Linotype" w:cs="Arial"/>
          <w:sz w:val="24"/>
        </w:rPr>
      </w:pPr>
    </w:p>
    <w:p w:rsidR="00631A67" w:rsidRDefault="00631A67" w:rsidP="00631A67">
      <w:pPr>
        <w:spacing w:after="0" w:line="360" w:lineRule="auto"/>
        <w:contextualSpacing/>
        <w:jc w:val="both"/>
        <w:rPr>
          <w:rFonts w:ascii="Palatino Linotype" w:hAnsi="Palatino Linotype" w:cs="Arial"/>
          <w:sz w:val="24"/>
        </w:rPr>
      </w:pPr>
      <w:r w:rsidRPr="00EA3340">
        <w:rPr>
          <w:rFonts w:ascii="Palatino Linotype" w:hAnsi="Palatino Linotype" w:cs="Arial"/>
          <w:sz w:val="24"/>
        </w:rPr>
        <w:t>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rPr>
        <w:footnoteReference w:id="3"/>
      </w:r>
    </w:p>
    <w:p w:rsidR="00631A67" w:rsidRPr="00EA3340" w:rsidRDefault="00631A67" w:rsidP="00631A67">
      <w:pPr>
        <w:spacing w:after="0" w:line="360" w:lineRule="auto"/>
        <w:contextualSpacing/>
        <w:jc w:val="both"/>
        <w:rPr>
          <w:rFonts w:ascii="Palatino Linotype" w:hAnsi="Palatino Linotype" w:cs="Arial"/>
          <w:sz w:val="24"/>
        </w:rPr>
      </w:pPr>
    </w:p>
    <w:p w:rsidR="00631A67" w:rsidRPr="00EA3340" w:rsidRDefault="00631A67" w:rsidP="00631A67">
      <w:pPr>
        <w:spacing w:after="0" w:line="360" w:lineRule="auto"/>
        <w:contextualSpacing/>
        <w:jc w:val="both"/>
        <w:rPr>
          <w:rFonts w:ascii="Palatino Linotype" w:hAnsi="Palatino Linotype" w:cs="Arial"/>
          <w:sz w:val="24"/>
        </w:rPr>
      </w:pPr>
      <w:r w:rsidRPr="00EA3340">
        <w:rPr>
          <w:rFonts w:ascii="Palatino Linotype" w:hAnsi="Palatino Linotype" w:cs="Arial"/>
          <w:sz w:val="24"/>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631A67" w:rsidRPr="00EA3340" w:rsidRDefault="00631A67" w:rsidP="00631A67">
      <w:pPr>
        <w:spacing w:after="0" w:line="360" w:lineRule="auto"/>
        <w:contextualSpacing/>
        <w:jc w:val="both"/>
        <w:rPr>
          <w:rFonts w:ascii="Palatino Linotype" w:hAnsi="Palatino Linotype" w:cs="Arial"/>
          <w:sz w:val="24"/>
        </w:rPr>
      </w:pPr>
    </w:p>
    <w:p w:rsidR="00631A67" w:rsidRPr="00EA3340" w:rsidRDefault="00631A67" w:rsidP="00631A67">
      <w:pPr>
        <w:spacing w:after="0" w:line="360" w:lineRule="auto"/>
        <w:contextualSpacing/>
        <w:jc w:val="both"/>
        <w:rPr>
          <w:rFonts w:ascii="Palatino Linotype" w:hAnsi="Palatino Linotype" w:cs="Arial"/>
          <w:sz w:val="24"/>
        </w:rPr>
      </w:pPr>
      <w:r w:rsidRPr="00EA3340">
        <w:rPr>
          <w:rFonts w:ascii="Palatino Linotype" w:hAnsi="Palatino Linotype" w:cs="Arial"/>
          <w:sz w:val="24"/>
        </w:rPr>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rsidR="00631A67" w:rsidRPr="00EA3340" w:rsidRDefault="00631A67" w:rsidP="00631A67">
      <w:pPr>
        <w:spacing w:after="0" w:line="360" w:lineRule="auto"/>
        <w:contextualSpacing/>
        <w:jc w:val="both"/>
        <w:rPr>
          <w:rFonts w:ascii="Palatino Linotype" w:hAnsi="Palatino Linotype" w:cs="Arial"/>
          <w:sz w:val="24"/>
        </w:rPr>
      </w:pPr>
    </w:p>
    <w:p w:rsidR="00631A67" w:rsidRDefault="00631A67" w:rsidP="00631A67">
      <w:pPr>
        <w:autoSpaceDE w:val="0"/>
        <w:autoSpaceDN w:val="0"/>
        <w:adjustRightInd w:val="0"/>
        <w:spacing w:after="0" w:line="360" w:lineRule="auto"/>
        <w:contextualSpacing/>
        <w:jc w:val="both"/>
        <w:rPr>
          <w:rFonts w:ascii="Palatino Linotype" w:hAnsi="Palatino Linotype" w:cs="Arial"/>
          <w:sz w:val="24"/>
          <w:shd w:val="clear" w:color="auto" w:fill="FFFFFF"/>
        </w:rPr>
      </w:pPr>
      <w:r w:rsidRPr="00EA3340">
        <w:rPr>
          <w:rFonts w:ascii="Palatino Linotype" w:hAnsi="Palatino Linotype" w:cs="Arial"/>
          <w:sz w:val="24"/>
        </w:rPr>
        <w:t xml:space="preserve">Al respecto, se destaca que la versión pública que elabore el Sujeto Obligado debe cumplir con las formalidades exigidas en la Ley, por lo que </w:t>
      </w:r>
      <w:r w:rsidRPr="00EA3340">
        <w:rPr>
          <w:rFonts w:ascii="Palatino Linotype" w:hAnsi="Palatino Linotype" w:cs="Arial"/>
          <w:sz w:val="24"/>
          <w:lang w:val="es-ES_tradnl"/>
        </w:rPr>
        <w:t xml:space="preserve">para tal efecto emitirá el </w:t>
      </w:r>
      <w:r w:rsidRPr="00EA3340">
        <w:rPr>
          <w:rFonts w:ascii="Palatino Linotype" w:hAnsi="Palatino Linotype" w:cs="Arial"/>
          <w:sz w:val="24"/>
          <w:lang w:eastAsia="es-MX"/>
        </w:rPr>
        <w:t xml:space="preserve">Acuerdo del Comité de Transparencia en términos de la </w:t>
      </w:r>
      <w:r w:rsidRPr="00EA3340">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3340">
        <w:rPr>
          <w:rFonts w:ascii="Palatino Linotype" w:hAnsi="Palatino Linotype" w:cs="Arial"/>
          <w:sz w:val="24"/>
          <w:shd w:val="clear" w:color="auto" w:fill="FFFFFF"/>
        </w:rPr>
        <w:t>.</w:t>
      </w:r>
    </w:p>
    <w:p w:rsidR="00631A67" w:rsidRPr="00EA3340" w:rsidRDefault="00631A67" w:rsidP="00631A67">
      <w:pPr>
        <w:autoSpaceDE w:val="0"/>
        <w:autoSpaceDN w:val="0"/>
        <w:adjustRightInd w:val="0"/>
        <w:spacing w:after="0" w:line="360" w:lineRule="auto"/>
        <w:contextualSpacing/>
        <w:jc w:val="both"/>
        <w:rPr>
          <w:rFonts w:ascii="Palatino Linotype" w:hAnsi="Palatino Linotype" w:cs="Arial"/>
          <w:sz w:val="24"/>
          <w:shd w:val="clear" w:color="auto" w:fill="FFFFFF"/>
        </w:rPr>
      </w:pPr>
    </w:p>
    <w:p w:rsidR="00631A67" w:rsidRPr="00BF6BFA" w:rsidRDefault="00631A67" w:rsidP="00631A67">
      <w:pPr>
        <w:pStyle w:val="Sinespaciado"/>
        <w:rPr>
          <w:sz w:val="6"/>
          <w:shd w:val="clear" w:color="auto" w:fill="FFFFFF"/>
        </w:rPr>
      </w:pPr>
    </w:p>
    <w:p w:rsidR="00631A67" w:rsidRDefault="00631A67" w:rsidP="00631A67">
      <w:pPr>
        <w:autoSpaceDE w:val="0"/>
        <w:autoSpaceDN w:val="0"/>
        <w:adjustRightInd w:val="0"/>
        <w:spacing w:after="0" w:line="360" w:lineRule="auto"/>
        <w:contextualSpacing/>
        <w:jc w:val="both"/>
        <w:rPr>
          <w:rFonts w:ascii="Palatino Linotype" w:hAnsi="Palatino Linotype" w:cs="Arial"/>
          <w:sz w:val="24"/>
        </w:rPr>
      </w:pPr>
      <w:r w:rsidRPr="00EA3340">
        <w:rPr>
          <w:rFonts w:ascii="Palatino Linotype" w:hAnsi="Palatino Linotype" w:cs="Arial"/>
          <w:sz w:val="24"/>
        </w:rPr>
        <w:lastRenderedPageBreak/>
        <w:t>Efectivamente, cuando se clasifica información como confidencial es importante someterlo al Comité de Transparencia, quien debe confirmar, modificar o revocar la clasificación.</w:t>
      </w:r>
    </w:p>
    <w:p w:rsidR="00631A67" w:rsidRPr="00EA3340" w:rsidRDefault="00631A67" w:rsidP="00631A67">
      <w:pPr>
        <w:autoSpaceDE w:val="0"/>
        <w:autoSpaceDN w:val="0"/>
        <w:adjustRightInd w:val="0"/>
        <w:spacing w:after="0" w:line="360" w:lineRule="auto"/>
        <w:contextualSpacing/>
        <w:jc w:val="both"/>
        <w:rPr>
          <w:rFonts w:ascii="Palatino Linotype" w:hAnsi="Palatino Linotype" w:cs="Arial"/>
          <w:sz w:val="24"/>
        </w:rPr>
      </w:pPr>
    </w:p>
    <w:p w:rsidR="00631A67" w:rsidRDefault="00631A67" w:rsidP="00631A67">
      <w:pPr>
        <w:shd w:val="clear" w:color="auto" w:fill="FFFFFF"/>
        <w:spacing w:after="0" w:line="360" w:lineRule="auto"/>
        <w:ind w:right="51"/>
        <w:contextualSpacing/>
        <w:jc w:val="both"/>
        <w:rPr>
          <w:rFonts w:ascii="Palatino Linotype" w:hAnsi="Palatino Linotype"/>
          <w:sz w:val="24"/>
          <w:lang w:eastAsia="es-MX"/>
        </w:rPr>
      </w:pPr>
      <w:r w:rsidRPr="00EA3340">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EA3340">
        <w:rPr>
          <w:rFonts w:ascii="Palatino Linotype" w:hAnsi="Palatino Linotype"/>
          <w:bCs/>
          <w:sz w:val="24"/>
          <w:lang w:eastAsia="es-MX"/>
        </w:rPr>
        <w:t>Sujeto Obligado</w:t>
      </w:r>
      <w:r w:rsidRPr="00EA3340">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A3340">
        <w:rPr>
          <w:rFonts w:ascii="Palatino Linotype" w:hAnsi="Palatino Linotype"/>
          <w:bCs/>
          <w:sz w:val="24"/>
          <w:lang w:eastAsia="es-MX"/>
        </w:rPr>
        <w:t>Recurrente</w:t>
      </w:r>
      <w:r w:rsidRPr="00EA3340">
        <w:rPr>
          <w:rFonts w:ascii="Palatino Linotype" w:hAnsi="Palatino Linotype"/>
          <w:sz w:val="24"/>
          <w:lang w:eastAsia="es-MX"/>
        </w:rPr>
        <w:t>.</w:t>
      </w:r>
    </w:p>
    <w:p w:rsidR="00631A67" w:rsidRDefault="00631A67" w:rsidP="00631A67">
      <w:pPr>
        <w:shd w:val="clear" w:color="auto" w:fill="FFFFFF"/>
        <w:spacing w:after="0" w:line="360" w:lineRule="auto"/>
        <w:ind w:right="51"/>
        <w:contextualSpacing/>
        <w:jc w:val="both"/>
        <w:rPr>
          <w:rFonts w:ascii="Palatino Linotype" w:hAnsi="Palatino Linotype"/>
          <w:sz w:val="24"/>
          <w:lang w:eastAsia="es-MX"/>
        </w:rPr>
      </w:pPr>
    </w:p>
    <w:p w:rsidR="00631A67" w:rsidRDefault="00631A67" w:rsidP="00631A67">
      <w:pPr>
        <w:shd w:val="clear" w:color="auto" w:fill="FFFFFF"/>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631A67" w:rsidRPr="00C24C91" w:rsidRDefault="00631A67" w:rsidP="00631A67">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lastRenderedPageBreak/>
        <w:t xml:space="preserve">En mérito de lo expuesto en líneas anteriores, resultan fundados los motivos y/o razones de inconformidad hechos valer por </w:t>
      </w:r>
      <w:r w:rsidRPr="00C24C91">
        <w:rPr>
          <w:rFonts w:ascii="Palatino Linotype" w:hAnsi="Palatino Linotype" w:cs="Arial"/>
          <w:b/>
          <w:sz w:val="24"/>
          <w:szCs w:val="24"/>
        </w:rPr>
        <w:t xml:space="preserve">La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Pr>
          <w:rFonts w:ascii="Palatino Linotype" w:hAnsi="Palatino Linotype" w:cs="Arial"/>
          <w:b/>
          <w:sz w:val="24"/>
          <w:szCs w:val="24"/>
        </w:rPr>
        <w:t>00361/VACHASO/IP/2019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rsidR="00631A67" w:rsidRDefault="00631A67" w:rsidP="00631A67">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rsidR="00631A67" w:rsidRDefault="00631A67" w:rsidP="00631A67">
      <w:pPr>
        <w:spacing w:after="0" w:line="360" w:lineRule="auto"/>
        <w:ind w:right="-234" w:firstLine="567"/>
        <w:jc w:val="center"/>
        <w:rPr>
          <w:rFonts w:ascii="Palatino Linotype" w:hAnsi="Palatino Linotype" w:cs="Arial"/>
        </w:rPr>
      </w:pPr>
    </w:p>
    <w:p w:rsidR="00631A67" w:rsidRPr="004C510E" w:rsidRDefault="00631A67" w:rsidP="00631A67">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rsidR="00631A67" w:rsidRPr="004C510E" w:rsidRDefault="00631A67" w:rsidP="00631A67">
      <w:pPr>
        <w:spacing w:after="0" w:line="360" w:lineRule="auto"/>
        <w:ind w:right="-234" w:firstLine="567"/>
        <w:jc w:val="center"/>
        <w:rPr>
          <w:rFonts w:ascii="Palatino Linotype" w:hAnsi="Palatino Linotype"/>
          <w:b/>
          <w:sz w:val="24"/>
          <w:szCs w:val="24"/>
          <w:lang w:val="pt-BR"/>
        </w:rPr>
      </w:pPr>
    </w:p>
    <w:p w:rsidR="00631A67" w:rsidRDefault="00631A67" w:rsidP="00631A67">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631A67" w:rsidRDefault="00631A67" w:rsidP="00631A67">
      <w:pPr>
        <w:pStyle w:val="Prrafodelista"/>
        <w:autoSpaceDE w:val="0"/>
        <w:autoSpaceDN w:val="0"/>
        <w:adjustRightInd w:val="0"/>
        <w:spacing w:before="240" w:after="160" w:line="360" w:lineRule="auto"/>
        <w:ind w:left="0"/>
        <w:jc w:val="both"/>
        <w:rPr>
          <w:rFonts w:ascii="Palatino Linotype" w:hAnsi="Palatino Linotype"/>
        </w:rPr>
      </w:pPr>
    </w:p>
    <w:p w:rsidR="00631A67" w:rsidRPr="00117DBE" w:rsidRDefault="00631A67" w:rsidP="00631A67">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Pr>
          <w:rFonts w:ascii="Palatino Linotype" w:hAnsi="Palatino Linotype" w:cs="Arial"/>
          <w:b/>
          <w:sz w:val="24"/>
          <w:szCs w:val="24"/>
        </w:rPr>
        <w:t>00361/VACHASO/IP/2019</w:t>
      </w:r>
      <w:r w:rsidRPr="00117DBE">
        <w:rPr>
          <w:rFonts w:ascii="Palatino Linotype" w:hAnsi="Palatino Linotype" w:cs="Arial"/>
          <w:b/>
          <w:sz w:val="24"/>
          <w:szCs w:val="24"/>
        </w:rPr>
        <w:t>,</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presente resolución haga entrega a </w:t>
      </w:r>
      <w:r w:rsidRPr="00117DBE">
        <w:rPr>
          <w:rFonts w:ascii="Palatino Linotype" w:eastAsia="Times New Roman" w:hAnsi="Palatino Linotype" w:cs="Arial"/>
          <w:b/>
          <w:sz w:val="24"/>
          <w:szCs w:val="24"/>
        </w:rPr>
        <w:t>LA RECURRENTE</w:t>
      </w:r>
      <w:r w:rsidRPr="00117DBE">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de ser procedente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de lo siguiente:</w:t>
      </w:r>
    </w:p>
    <w:p w:rsidR="00631A67" w:rsidRDefault="00631A67" w:rsidP="00631A67">
      <w:pPr>
        <w:pStyle w:val="Prrafodelista"/>
        <w:numPr>
          <w:ilvl w:val="0"/>
          <w:numId w:val="28"/>
        </w:numPr>
        <w:spacing w:before="240" w:line="360" w:lineRule="auto"/>
        <w:jc w:val="both"/>
        <w:rPr>
          <w:rFonts w:ascii="Palatino Linotype" w:hAnsi="Palatino Linotype" w:cs="Arial"/>
          <w:i/>
        </w:rPr>
      </w:pPr>
      <w:r>
        <w:rPr>
          <w:rFonts w:ascii="Palatino Linotype" w:hAnsi="Palatino Linotype" w:cs="Arial"/>
          <w:i/>
        </w:rPr>
        <w:t xml:space="preserve">El o los documentos </w:t>
      </w:r>
      <w:r w:rsidR="003C561D">
        <w:rPr>
          <w:rFonts w:ascii="Palatino Linotype" w:hAnsi="Palatino Linotype" w:cs="Arial"/>
          <w:i/>
        </w:rPr>
        <w:t xml:space="preserve">en </w:t>
      </w:r>
      <w:r>
        <w:rPr>
          <w:rFonts w:ascii="Palatino Linotype" w:hAnsi="Palatino Linotype" w:cs="Arial"/>
          <w:i/>
        </w:rPr>
        <w:t xml:space="preserve">donde consten los gastos realizados con motivo de los eventos del día del maestro, día del niño y día de la madre, </w:t>
      </w:r>
      <w:r w:rsidR="003C561D">
        <w:rPr>
          <w:rFonts w:ascii="Palatino Linotype" w:hAnsi="Palatino Linotype" w:cs="Arial"/>
          <w:i/>
        </w:rPr>
        <w:t xml:space="preserve">todos ellos correspondientes al </w:t>
      </w:r>
      <w:r>
        <w:rPr>
          <w:rFonts w:ascii="Palatino Linotype" w:hAnsi="Palatino Linotype" w:cs="Arial"/>
          <w:i/>
        </w:rPr>
        <w:t xml:space="preserve"> ejercicio fiscal dos mil diecinueve. </w:t>
      </w:r>
    </w:p>
    <w:p w:rsidR="00631A67" w:rsidRPr="00314C89" w:rsidRDefault="00631A67" w:rsidP="00631A67">
      <w:pPr>
        <w:spacing w:before="240" w:line="360" w:lineRule="auto"/>
        <w:ind w:left="360"/>
        <w:jc w:val="both"/>
        <w:rPr>
          <w:rFonts w:ascii="Palatino Linotype" w:hAnsi="Palatino Linotype" w:cs="Arial"/>
          <w:i/>
        </w:rPr>
      </w:pPr>
      <w:r w:rsidRPr="00314C89">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7E6B1F">
        <w:rPr>
          <w:rFonts w:ascii="Palatino Linotype" w:hAnsi="Palatino Linotype" w:cs="Arial"/>
          <w:i/>
        </w:rPr>
        <w:t>nen y se ponga a disposición de La R</w:t>
      </w:r>
      <w:r w:rsidRPr="00314C89">
        <w:rPr>
          <w:rFonts w:ascii="Palatino Linotype" w:hAnsi="Palatino Linotype" w:cs="Arial"/>
          <w:i/>
        </w:rPr>
        <w:t xml:space="preserve">ecurrente. </w:t>
      </w:r>
    </w:p>
    <w:p w:rsidR="00631A67" w:rsidRDefault="00631A67" w:rsidP="00631A67">
      <w:pPr>
        <w:autoSpaceDE w:val="0"/>
        <w:autoSpaceDN w:val="0"/>
        <w:adjustRightInd w:val="0"/>
        <w:spacing w:before="240" w:line="360" w:lineRule="auto"/>
        <w:jc w:val="both"/>
        <w:rPr>
          <w:rFonts w:ascii="Palatino Linotype" w:hAnsi="Palatino Linotype" w:cs="Arial"/>
          <w:b/>
          <w:sz w:val="24"/>
          <w:szCs w:val="24"/>
        </w:rPr>
      </w:pPr>
    </w:p>
    <w:p w:rsidR="00631A67" w:rsidRPr="00D05C83" w:rsidRDefault="00631A67" w:rsidP="00631A6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31A67" w:rsidRPr="00D05C83" w:rsidRDefault="00631A67" w:rsidP="00631A67">
      <w:pPr>
        <w:autoSpaceDE w:val="0"/>
        <w:autoSpaceDN w:val="0"/>
        <w:adjustRightInd w:val="0"/>
        <w:spacing w:before="240" w:line="360" w:lineRule="auto"/>
        <w:jc w:val="both"/>
        <w:rPr>
          <w:rFonts w:ascii="Palatino Linotype" w:hAnsi="Palatino Linotype" w:cs="Arial"/>
          <w:sz w:val="24"/>
          <w:szCs w:val="24"/>
        </w:rPr>
      </w:pPr>
    </w:p>
    <w:p w:rsidR="00631A67" w:rsidRDefault="00631A67" w:rsidP="00631A6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Pr>
          <w:rFonts w:ascii="Palatino Linotype" w:hAnsi="Palatino Linotype" w:cs="Arial"/>
          <w:b/>
          <w:sz w:val="24"/>
          <w:szCs w:val="24"/>
        </w:rPr>
        <w:t xml:space="preserve"> LA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631A67" w:rsidRPr="00D05C83" w:rsidRDefault="00631A67" w:rsidP="00631A67">
      <w:pPr>
        <w:autoSpaceDE w:val="0"/>
        <w:autoSpaceDN w:val="0"/>
        <w:adjustRightInd w:val="0"/>
        <w:spacing w:before="240" w:line="360" w:lineRule="auto"/>
        <w:jc w:val="both"/>
        <w:rPr>
          <w:rFonts w:ascii="Palatino Linotype" w:hAnsi="Palatino Linotype" w:cs="Arial"/>
          <w:sz w:val="24"/>
          <w:szCs w:val="24"/>
        </w:rPr>
      </w:pPr>
    </w:p>
    <w:p w:rsidR="00631A67" w:rsidRDefault="00631A67" w:rsidP="00631A67">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631A67" w:rsidRDefault="00631A67" w:rsidP="00631A67">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36064" behindDoc="0" locked="0" layoutInCell="1" allowOverlap="1" wp14:anchorId="1D636FD6" wp14:editId="0AC63525">
                <wp:simplePos x="0" y="0"/>
                <wp:positionH relativeFrom="column">
                  <wp:posOffset>-346710</wp:posOffset>
                </wp:positionH>
                <wp:positionV relativeFrom="paragraph">
                  <wp:posOffset>3142614</wp:posOffset>
                </wp:positionV>
                <wp:extent cx="6667500" cy="3114675"/>
                <wp:effectExtent l="0" t="0" r="19050" b="28575"/>
                <wp:wrapNone/>
                <wp:docPr id="17" name="Conector recto 17"/>
                <wp:cNvGraphicFramePr/>
                <a:graphic xmlns:a="http://schemas.openxmlformats.org/drawingml/2006/main">
                  <a:graphicData uri="http://schemas.microsoft.com/office/word/2010/wordprocessingShape">
                    <wps:wsp>
                      <wps:cNvCnPr/>
                      <wps:spPr>
                        <a:xfrm>
                          <a:off x="0" y="0"/>
                          <a:ext cx="6667500" cy="311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AA932" id="Conector recto 1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7.3pt,247.45pt" to="497.7pt,4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" strokecolor="#5b9bd5 [3204]" strokeweight=".5pt">
                <v:stroke joinstyle="miter"/>
              </v:line>
            </w:pict>
          </mc:Fallback>
        </mc:AlternateContent>
      </w:r>
      <w:r w:rsidRPr="00C91103">
        <w:rPr>
          <w:rFonts w:ascii="Palatino Linotype" w:hAnsi="Palatino Linotype" w:cs="Arial"/>
          <w:noProof/>
          <w:sz w:val="24"/>
          <w:szCs w:val="24"/>
          <w:lang w:eastAsia="es-MX"/>
        </w:rPr>
        <w:t xml:space="preserve"> </w: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w:t>
      </w:r>
      <w:r>
        <w:rPr>
          <w:rFonts w:ascii="Palatino Linotype" w:hAnsi="Palatino Linotype" w:cs="Arial"/>
          <w:sz w:val="24"/>
          <w:szCs w:val="24"/>
        </w:rPr>
        <w:t xml:space="preserve">LA TRIGÉSIMA </w:t>
      </w:r>
      <w:r w:rsidR="006C2443">
        <w:rPr>
          <w:rFonts w:ascii="Palatino Linotype" w:hAnsi="Palatino Linotype" w:cs="Arial"/>
          <w:sz w:val="24"/>
          <w:szCs w:val="24"/>
        </w:rPr>
        <w:t xml:space="preserve">PRIMERA </w:t>
      </w:r>
      <w:r w:rsidRPr="006C6A05">
        <w:rPr>
          <w:rFonts w:ascii="Palatino Linotype" w:hAnsi="Palatino Linotype" w:cs="Arial"/>
          <w:sz w:val="24"/>
          <w:szCs w:val="24"/>
        </w:rPr>
        <w:t xml:space="preserve">SESIÓN ORDINARIA CELEBRADA EL </w:t>
      </w:r>
      <w:r w:rsidR="006C2443">
        <w:rPr>
          <w:rFonts w:ascii="Palatino Linotype" w:hAnsi="Palatino Linotype" w:cs="Arial"/>
          <w:sz w:val="24"/>
          <w:szCs w:val="24"/>
        </w:rPr>
        <w:t>VEINTIOCHO</w:t>
      </w:r>
      <w:r>
        <w:rPr>
          <w:rFonts w:ascii="Palatino Linotype" w:hAnsi="Palatino Linotype" w:cs="Arial"/>
          <w:sz w:val="24"/>
          <w:szCs w:val="24"/>
        </w:rPr>
        <w:t xml:space="preserve"> DE AGOSTO  DE                                 DOS MIL DIECINUEVE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rsidR="00631A67" w:rsidRDefault="00631A67" w:rsidP="00631A6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rsidR="00631A67" w:rsidRDefault="00631A67" w:rsidP="00631A67">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70F17C18" wp14:editId="7B3292A3">
                <wp:simplePos x="0" y="0"/>
                <wp:positionH relativeFrom="page">
                  <wp:posOffset>2600325</wp:posOffset>
                </wp:positionH>
                <wp:positionV relativeFrom="paragraph">
                  <wp:posOffset>411480</wp:posOffset>
                </wp:positionV>
                <wp:extent cx="2551430" cy="971550"/>
                <wp:effectExtent l="0" t="0" r="20320" b="19050"/>
                <wp:wrapNone/>
                <wp:docPr id="26" name="Cuadro de texto 2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1A67" w:rsidRPr="00EF2FC0" w:rsidRDefault="00631A67" w:rsidP="00631A67">
                            <w:pPr>
                              <w:jc w:val="center"/>
                              <w:rPr>
                                <w:rFonts w:ascii="Palatino Linotype" w:hAnsi="Palatino Linotype"/>
                              </w:rPr>
                            </w:pPr>
                            <w:r w:rsidRPr="00EF2FC0">
                              <w:rPr>
                                <w:rFonts w:ascii="Palatino Linotype" w:hAnsi="Palatino Linotype"/>
                                <w:b/>
                              </w:rPr>
                              <w:t>Zulema Martínez Sánchez</w:t>
                            </w:r>
                          </w:p>
                          <w:p w:rsidR="00631A67" w:rsidRDefault="00631A67" w:rsidP="00631A67">
                            <w:pPr>
                              <w:jc w:val="center"/>
                              <w:rPr>
                                <w:rFonts w:ascii="Palatino Linotype" w:hAnsi="Palatino Linotype"/>
                              </w:rPr>
                            </w:pPr>
                            <w:r>
                              <w:rPr>
                                <w:rFonts w:ascii="Palatino Linotype" w:hAnsi="Palatino Linotype"/>
                              </w:rPr>
                              <w:t>Comisionada Presidenta</w:t>
                            </w:r>
                          </w:p>
                          <w:p w:rsidR="00631A67" w:rsidRDefault="00631A67" w:rsidP="00631A67">
                            <w:pPr>
                              <w:jc w:val="center"/>
                              <w:rPr>
                                <w:rFonts w:ascii="Palatino Linotype" w:hAnsi="Palatino Linotype"/>
                                <w:b/>
                              </w:rPr>
                            </w:pPr>
                            <w:r>
                              <w:rPr>
                                <w:rFonts w:ascii="Palatino Linotype" w:hAnsi="Palatino Linotype"/>
                                <w:b/>
                              </w:rPr>
                              <w:t>(Rúbrica).</w:t>
                            </w:r>
                          </w:p>
                          <w:p w:rsidR="00631A67" w:rsidRPr="00016AF3" w:rsidRDefault="00631A67" w:rsidP="00631A6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17C18" id="_x0000_t202" coordsize="21600,21600" o:spt="202" path="m,l,21600r21600,l21600,xe">
                <v:stroke joinstyle="miter"/>
                <v:path gradientshapeok="t" o:connecttype="rect"/>
              </v:shapetype>
              <v:shape id="Cuadro de texto 26" o:spid="_x0000_s1026" type="#_x0000_t202" style="position:absolute;left:0;text-align:left;margin-left:204.75pt;margin-top:32.4pt;width:200.9pt;height:76.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NMkwIAALs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" fillcolor="white [3201]" strokecolor="white [3212]" strokeweight=".5pt">
                <v:textbox>
                  <w:txbxContent>
                    <w:p w:rsidR="00631A67" w:rsidRPr="00EF2FC0" w:rsidRDefault="00631A67" w:rsidP="00631A67">
                      <w:pPr>
                        <w:jc w:val="center"/>
                        <w:rPr>
                          <w:rFonts w:ascii="Palatino Linotype" w:hAnsi="Palatino Linotype"/>
                        </w:rPr>
                      </w:pPr>
                      <w:r w:rsidRPr="00EF2FC0">
                        <w:rPr>
                          <w:rFonts w:ascii="Palatino Linotype" w:hAnsi="Palatino Linotype"/>
                          <w:b/>
                        </w:rPr>
                        <w:t>Zulema Martínez Sánchez</w:t>
                      </w:r>
                    </w:p>
                    <w:p w:rsidR="00631A67" w:rsidRDefault="00631A67" w:rsidP="00631A67">
                      <w:pPr>
                        <w:jc w:val="center"/>
                        <w:rPr>
                          <w:rFonts w:ascii="Palatino Linotype" w:hAnsi="Palatino Linotype"/>
                        </w:rPr>
                      </w:pPr>
                      <w:r>
                        <w:rPr>
                          <w:rFonts w:ascii="Palatino Linotype" w:hAnsi="Palatino Linotype"/>
                        </w:rPr>
                        <w:t>Comisionada Presidenta</w:t>
                      </w:r>
                    </w:p>
                    <w:p w:rsidR="00631A67" w:rsidRDefault="00631A67" w:rsidP="00631A67">
                      <w:pPr>
                        <w:jc w:val="center"/>
                        <w:rPr>
                          <w:rFonts w:ascii="Palatino Linotype" w:hAnsi="Palatino Linotype"/>
                          <w:b/>
                        </w:rPr>
                      </w:pPr>
                      <w:r>
                        <w:rPr>
                          <w:rFonts w:ascii="Palatino Linotype" w:hAnsi="Palatino Linotype"/>
                          <w:b/>
                        </w:rPr>
                        <w:t>(Rúbrica).</w:t>
                      </w:r>
                    </w:p>
                    <w:p w:rsidR="00631A67" w:rsidRPr="00016AF3" w:rsidRDefault="00631A67" w:rsidP="00631A67">
                      <w:pPr>
                        <w:jc w:val="center"/>
                        <w:rPr>
                          <w:rFonts w:ascii="Palatino Linotype" w:hAnsi="Palatino Linotype"/>
                          <w:b/>
                        </w:rPr>
                      </w:pPr>
                    </w:p>
                  </w:txbxContent>
                </v:textbox>
                <w10:wrap anchorx="page"/>
              </v:shape>
            </w:pict>
          </mc:Fallback>
        </mc:AlternateContent>
      </w:r>
    </w:p>
    <w:p w:rsidR="00631A67" w:rsidRDefault="00631A67" w:rsidP="00631A67">
      <w:pPr>
        <w:autoSpaceDE w:val="0"/>
        <w:autoSpaceDN w:val="0"/>
        <w:adjustRightInd w:val="0"/>
        <w:spacing w:before="240" w:line="480" w:lineRule="auto"/>
        <w:jc w:val="both"/>
        <w:rPr>
          <w:rFonts w:ascii="Palatino Linotype" w:hAnsi="Palatino Linotype" w:cs="Arial"/>
          <w:sz w:val="24"/>
          <w:szCs w:val="24"/>
        </w:rPr>
      </w:pPr>
    </w:p>
    <w:p w:rsidR="00631A67" w:rsidRDefault="00F20DE7" w:rsidP="00631A67">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2992" behindDoc="0" locked="0" layoutInCell="1" allowOverlap="1" wp14:anchorId="5E306309" wp14:editId="015438CC">
                <wp:simplePos x="0" y="0"/>
                <wp:positionH relativeFrom="margin">
                  <wp:posOffset>1289685</wp:posOffset>
                </wp:positionH>
                <wp:positionV relativeFrom="paragraph">
                  <wp:posOffset>3479165</wp:posOffset>
                </wp:positionV>
                <wp:extent cx="3152775" cy="9144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1A67" w:rsidRPr="007F6133" w:rsidRDefault="00631A67" w:rsidP="00631A67">
                            <w:pPr>
                              <w:jc w:val="center"/>
                              <w:rPr>
                                <w:rFonts w:ascii="Palatino Linotype" w:hAnsi="Palatino Linotype"/>
                                <w:b/>
                              </w:rPr>
                            </w:pPr>
                            <w:r>
                              <w:rPr>
                                <w:rFonts w:ascii="Palatino Linotype" w:hAnsi="Palatino Linotype"/>
                                <w:b/>
                              </w:rPr>
                              <w:t xml:space="preserve">Alexis Tapia Ramírez </w:t>
                            </w:r>
                          </w:p>
                          <w:p w:rsidR="00631A67" w:rsidRDefault="00631A67" w:rsidP="00631A6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31A67" w:rsidRDefault="00631A67" w:rsidP="00631A67">
                            <w:pPr>
                              <w:jc w:val="center"/>
                              <w:rPr>
                                <w:rFonts w:ascii="Palatino Linotype" w:hAnsi="Palatino Linotype"/>
                                <w:b/>
                              </w:rPr>
                            </w:pPr>
                            <w:r>
                              <w:rPr>
                                <w:rFonts w:ascii="Palatino Linotype" w:hAnsi="Palatino Linotype"/>
                                <w:b/>
                              </w:rPr>
                              <w:t>(Rúbrica).</w:t>
                            </w:r>
                          </w:p>
                          <w:p w:rsidR="00631A67" w:rsidRDefault="00631A67" w:rsidP="00631A67">
                            <w:pPr>
                              <w:jc w:val="center"/>
                              <w:rPr>
                                <w:rFonts w:ascii="Palatino Linotype" w:hAnsi="Palatino Linotype"/>
                              </w:rPr>
                            </w:pPr>
                          </w:p>
                          <w:p w:rsidR="00631A67" w:rsidRPr="00EF2FC0" w:rsidRDefault="00631A67" w:rsidP="00631A67">
                            <w:pPr>
                              <w:jc w:val="center"/>
                              <w:rPr>
                                <w:rFonts w:ascii="Palatino Linotype" w:hAnsi="Palatino Linotype"/>
                              </w:rPr>
                            </w:pPr>
                          </w:p>
                          <w:p w:rsidR="00631A67" w:rsidRDefault="00631A67" w:rsidP="00631A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06309" id="_x0000_t202" coordsize="21600,21600" o:spt="202" path="m,l,21600r21600,l21600,xe">
                <v:stroke joinstyle="miter"/>
                <v:path gradientshapeok="t" o:connecttype="rect"/>
              </v:shapetype>
              <v:shape id="Cuadro de texto 27" o:spid="_x0000_s1027" type="#_x0000_t202" style="position:absolute;left:0;text-align:left;margin-left:101.55pt;margin-top:273.95pt;width:248.25pt;height:1in;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" fillcolor="white [3201]" strokecolor="white [3212]" strokeweight=".5pt">
                <v:textbox>
                  <w:txbxContent>
                    <w:p w:rsidR="00631A67" w:rsidRPr="007F6133" w:rsidRDefault="00631A67" w:rsidP="00631A67">
                      <w:pPr>
                        <w:jc w:val="center"/>
                        <w:rPr>
                          <w:rFonts w:ascii="Palatino Linotype" w:hAnsi="Palatino Linotype"/>
                          <w:b/>
                        </w:rPr>
                      </w:pPr>
                      <w:r>
                        <w:rPr>
                          <w:rFonts w:ascii="Palatino Linotype" w:hAnsi="Palatino Linotype"/>
                          <w:b/>
                        </w:rPr>
                        <w:t xml:space="preserve">Alexis Tapia Ramírez </w:t>
                      </w:r>
                    </w:p>
                    <w:p w:rsidR="00631A67" w:rsidRDefault="00631A67" w:rsidP="00631A6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31A67" w:rsidRDefault="00631A67" w:rsidP="00631A67">
                      <w:pPr>
                        <w:jc w:val="center"/>
                        <w:rPr>
                          <w:rFonts w:ascii="Palatino Linotype" w:hAnsi="Palatino Linotype"/>
                          <w:b/>
                        </w:rPr>
                      </w:pPr>
                      <w:r>
                        <w:rPr>
                          <w:rFonts w:ascii="Palatino Linotype" w:hAnsi="Palatino Linotype"/>
                          <w:b/>
                        </w:rPr>
                        <w:t>(Rúbrica).</w:t>
                      </w:r>
                    </w:p>
                    <w:p w:rsidR="00631A67" w:rsidRDefault="00631A67" w:rsidP="00631A67">
                      <w:pPr>
                        <w:jc w:val="center"/>
                        <w:rPr>
                          <w:rFonts w:ascii="Palatino Linotype" w:hAnsi="Palatino Linotype"/>
                        </w:rPr>
                      </w:pPr>
                    </w:p>
                    <w:p w:rsidR="00631A67" w:rsidRPr="00EF2FC0" w:rsidRDefault="00631A67" w:rsidP="00631A67">
                      <w:pPr>
                        <w:jc w:val="center"/>
                        <w:rPr>
                          <w:rFonts w:ascii="Palatino Linotype" w:hAnsi="Palatino Linotype"/>
                        </w:rPr>
                      </w:pPr>
                    </w:p>
                    <w:p w:rsidR="00631A67" w:rsidRDefault="00631A67" w:rsidP="00631A67"/>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30944" behindDoc="0" locked="0" layoutInCell="1" allowOverlap="1" wp14:anchorId="1713AC80" wp14:editId="68CD5B6D">
                <wp:simplePos x="0" y="0"/>
                <wp:positionH relativeFrom="margin">
                  <wp:posOffset>-333375</wp:posOffset>
                </wp:positionH>
                <wp:positionV relativeFrom="paragraph">
                  <wp:posOffset>326390</wp:posOffset>
                </wp:positionV>
                <wp:extent cx="2486025" cy="895350"/>
                <wp:effectExtent l="0" t="0" r="28575" b="19050"/>
                <wp:wrapNone/>
                <wp:docPr id="28" name="Cuadro de texto 2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1A67" w:rsidRPr="00EF2FC0" w:rsidRDefault="00631A67" w:rsidP="00631A67">
                            <w:pPr>
                              <w:jc w:val="center"/>
                              <w:rPr>
                                <w:rFonts w:ascii="Palatino Linotype" w:hAnsi="Palatino Linotype"/>
                                <w:b/>
                              </w:rPr>
                            </w:pPr>
                            <w:r w:rsidRPr="00EF2FC0">
                              <w:rPr>
                                <w:rFonts w:ascii="Palatino Linotype" w:hAnsi="Palatino Linotype"/>
                                <w:b/>
                              </w:rPr>
                              <w:t>Eva Abaid Yapur</w:t>
                            </w:r>
                          </w:p>
                          <w:p w:rsidR="00631A67" w:rsidRPr="00EF2FC0" w:rsidRDefault="00631A67" w:rsidP="00631A67">
                            <w:pPr>
                              <w:jc w:val="center"/>
                              <w:rPr>
                                <w:rFonts w:ascii="Palatino Linotype" w:hAnsi="Palatino Linotype"/>
                              </w:rPr>
                            </w:pPr>
                            <w:r w:rsidRPr="00EF2FC0">
                              <w:rPr>
                                <w:rFonts w:ascii="Palatino Linotype" w:hAnsi="Palatino Linotype"/>
                              </w:rPr>
                              <w:t>Comisionada</w:t>
                            </w:r>
                          </w:p>
                          <w:p w:rsidR="00631A67" w:rsidRDefault="00631A67" w:rsidP="00631A67">
                            <w:pPr>
                              <w:jc w:val="center"/>
                              <w:rPr>
                                <w:rFonts w:ascii="Palatino Linotype" w:hAnsi="Palatino Linotype"/>
                                <w:b/>
                              </w:rPr>
                            </w:pPr>
                            <w:r>
                              <w:rPr>
                                <w:rFonts w:ascii="Palatino Linotype" w:hAnsi="Palatino Linotype"/>
                                <w:b/>
                              </w:rPr>
                              <w:t>(Rúbrica).</w:t>
                            </w:r>
                          </w:p>
                          <w:p w:rsidR="00631A67" w:rsidRDefault="00631A67" w:rsidP="00631A6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3AC80" id="Cuadro de texto 28" o:spid="_x0000_s1028" type="#_x0000_t202" style="position:absolute;left:0;text-align:left;margin-left:-26.25pt;margin-top:25.7pt;width:195.75pt;height:7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r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" fillcolor="white [3201]" strokecolor="white [3212]" strokeweight=".5pt">
                <v:textbox>
                  <w:txbxContent>
                    <w:p w:rsidR="00631A67" w:rsidRPr="00EF2FC0" w:rsidRDefault="00631A67" w:rsidP="00631A67">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631A67" w:rsidRPr="00EF2FC0" w:rsidRDefault="00631A67" w:rsidP="00631A67">
                      <w:pPr>
                        <w:jc w:val="center"/>
                        <w:rPr>
                          <w:rFonts w:ascii="Palatino Linotype" w:hAnsi="Palatino Linotype"/>
                        </w:rPr>
                      </w:pPr>
                      <w:r w:rsidRPr="00EF2FC0">
                        <w:rPr>
                          <w:rFonts w:ascii="Palatino Linotype" w:hAnsi="Palatino Linotype"/>
                        </w:rPr>
                        <w:t>Comisionada</w:t>
                      </w:r>
                    </w:p>
                    <w:p w:rsidR="00631A67" w:rsidRDefault="00631A67" w:rsidP="00631A67">
                      <w:pPr>
                        <w:jc w:val="center"/>
                        <w:rPr>
                          <w:rFonts w:ascii="Palatino Linotype" w:hAnsi="Palatino Linotype"/>
                          <w:b/>
                        </w:rPr>
                      </w:pPr>
                      <w:r>
                        <w:rPr>
                          <w:rFonts w:ascii="Palatino Linotype" w:hAnsi="Palatino Linotype"/>
                          <w:b/>
                        </w:rPr>
                        <w:t>(Rúbrica).</w:t>
                      </w:r>
                    </w:p>
                    <w:p w:rsidR="00631A67" w:rsidRDefault="00631A67" w:rsidP="00631A67">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31968" behindDoc="0" locked="0" layoutInCell="1" allowOverlap="1" wp14:anchorId="29396164" wp14:editId="195A13FE">
                <wp:simplePos x="0" y="0"/>
                <wp:positionH relativeFrom="margin">
                  <wp:posOffset>3558540</wp:posOffset>
                </wp:positionH>
                <wp:positionV relativeFrom="paragraph">
                  <wp:posOffset>355600</wp:posOffset>
                </wp:positionV>
                <wp:extent cx="2543175" cy="9429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1A67" w:rsidRPr="00EF2FC0" w:rsidRDefault="00631A67" w:rsidP="00631A67">
                            <w:pPr>
                              <w:jc w:val="center"/>
                              <w:rPr>
                                <w:rFonts w:ascii="Palatino Linotype" w:hAnsi="Palatino Linotype"/>
                              </w:rPr>
                            </w:pPr>
                            <w:r>
                              <w:rPr>
                                <w:rFonts w:ascii="Palatino Linotype" w:hAnsi="Palatino Linotype"/>
                                <w:b/>
                              </w:rPr>
                              <w:t>José Guadalupe Luna Hernández</w:t>
                            </w:r>
                          </w:p>
                          <w:p w:rsidR="00631A67" w:rsidRDefault="00631A67" w:rsidP="00631A67">
                            <w:pPr>
                              <w:jc w:val="center"/>
                              <w:rPr>
                                <w:rFonts w:ascii="Palatino Linotype" w:hAnsi="Palatino Linotype"/>
                              </w:rPr>
                            </w:pPr>
                            <w:r w:rsidRPr="00EF2FC0">
                              <w:rPr>
                                <w:rFonts w:ascii="Palatino Linotype" w:hAnsi="Palatino Linotype"/>
                              </w:rPr>
                              <w:t>Comisionado</w:t>
                            </w:r>
                          </w:p>
                          <w:p w:rsidR="00631A67" w:rsidRPr="009234AD" w:rsidRDefault="00631A67" w:rsidP="00631A6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96164" id="Cuadro de texto 29" o:spid="_x0000_s1029" type="#_x0000_t202" style="position:absolute;left:0;text-align:left;margin-left:280.2pt;margin-top:28pt;width:200.25pt;height:74.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" fillcolor="white [3201]" strokecolor="white [3212]" strokeweight=".5pt">
                <v:textbox>
                  <w:txbxContent>
                    <w:p w:rsidR="00631A67" w:rsidRPr="00EF2FC0" w:rsidRDefault="00631A67" w:rsidP="00631A67">
                      <w:pPr>
                        <w:jc w:val="center"/>
                        <w:rPr>
                          <w:rFonts w:ascii="Palatino Linotype" w:hAnsi="Palatino Linotype"/>
                        </w:rPr>
                      </w:pPr>
                      <w:r>
                        <w:rPr>
                          <w:rFonts w:ascii="Palatino Linotype" w:hAnsi="Palatino Linotype"/>
                          <w:b/>
                        </w:rPr>
                        <w:t>José Guadalupe Luna Hernández</w:t>
                      </w:r>
                    </w:p>
                    <w:p w:rsidR="00631A67" w:rsidRDefault="00631A67" w:rsidP="00631A67">
                      <w:pPr>
                        <w:jc w:val="center"/>
                        <w:rPr>
                          <w:rFonts w:ascii="Palatino Linotype" w:hAnsi="Palatino Linotype"/>
                        </w:rPr>
                      </w:pPr>
                      <w:r w:rsidRPr="00EF2FC0">
                        <w:rPr>
                          <w:rFonts w:ascii="Palatino Linotype" w:hAnsi="Palatino Linotype"/>
                        </w:rPr>
                        <w:t>Comisionado</w:t>
                      </w:r>
                    </w:p>
                    <w:p w:rsidR="00631A67" w:rsidRPr="009234AD" w:rsidRDefault="00631A67" w:rsidP="00631A6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34016" behindDoc="0" locked="0" layoutInCell="1" allowOverlap="1" wp14:anchorId="2FBDC8DF" wp14:editId="1ECFE56F">
                <wp:simplePos x="0" y="0"/>
                <wp:positionH relativeFrom="margin">
                  <wp:posOffset>3577590</wp:posOffset>
                </wp:positionH>
                <wp:positionV relativeFrom="paragraph">
                  <wp:posOffset>2440940</wp:posOffset>
                </wp:positionV>
                <wp:extent cx="2543175" cy="937895"/>
                <wp:effectExtent l="0" t="0" r="28575" b="14605"/>
                <wp:wrapNone/>
                <wp:docPr id="30" name="Cuadro de texto 3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1A67" w:rsidRPr="00EF2FC0" w:rsidRDefault="00631A67" w:rsidP="00631A67">
                            <w:pPr>
                              <w:jc w:val="center"/>
                              <w:rPr>
                                <w:rFonts w:ascii="Palatino Linotype" w:hAnsi="Palatino Linotype"/>
                              </w:rPr>
                            </w:pPr>
                            <w:r>
                              <w:rPr>
                                <w:rFonts w:ascii="Palatino Linotype" w:hAnsi="Palatino Linotype"/>
                                <w:b/>
                              </w:rPr>
                              <w:t>Luis Gustavo Parra Noriega</w:t>
                            </w:r>
                          </w:p>
                          <w:p w:rsidR="00631A67" w:rsidRDefault="00631A67" w:rsidP="00631A67">
                            <w:pPr>
                              <w:jc w:val="center"/>
                              <w:rPr>
                                <w:rFonts w:ascii="Palatino Linotype" w:hAnsi="Palatino Linotype"/>
                              </w:rPr>
                            </w:pPr>
                            <w:r w:rsidRPr="00EF2FC0">
                              <w:rPr>
                                <w:rFonts w:ascii="Palatino Linotype" w:hAnsi="Palatino Linotype"/>
                              </w:rPr>
                              <w:t>Comisionado</w:t>
                            </w:r>
                          </w:p>
                          <w:p w:rsidR="00631A67" w:rsidRPr="00F55D03" w:rsidRDefault="00631A67" w:rsidP="00631A67">
                            <w:pPr>
                              <w:jc w:val="center"/>
                              <w:rPr>
                                <w:rFonts w:ascii="Palatino Linotype" w:hAnsi="Palatino Linotype"/>
                                <w:b/>
                              </w:rPr>
                            </w:pPr>
                            <w:r>
                              <w:rPr>
                                <w:rFonts w:ascii="Palatino Linotype" w:hAnsi="Palatino Linotype"/>
                                <w:b/>
                              </w:rPr>
                              <w:t>(Rúbrica).</w:t>
                            </w:r>
                          </w:p>
                          <w:p w:rsidR="00631A67" w:rsidRDefault="00631A67" w:rsidP="00631A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DC8DF" id="Cuadro de texto 30" o:spid="_x0000_s1030" type="#_x0000_t202" style="position:absolute;left:0;text-align:left;margin-left:281.7pt;margin-top:192.2pt;width:200.25pt;height:73.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vj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" fillcolor="white [3201]" strokecolor="white [3212]" strokeweight=".5pt">
                <v:textbox>
                  <w:txbxContent>
                    <w:p w:rsidR="00631A67" w:rsidRPr="00EF2FC0" w:rsidRDefault="00631A67" w:rsidP="00631A67">
                      <w:pPr>
                        <w:jc w:val="center"/>
                        <w:rPr>
                          <w:rFonts w:ascii="Palatino Linotype" w:hAnsi="Palatino Linotype"/>
                        </w:rPr>
                      </w:pPr>
                      <w:r>
                        <w:rPr>
                          <w:rFonts w:ascii="Palatino Linotype" w:hAnsi="Palatino Linotype"/>
                          <w:b/>
                        </w:rPr>
                        <w:t>Luis Gustavo Parra Noriega</w:t>
                      </w:r>
                    </w:p>
                    <w:p w:rsidR="00631A67" w:rsidRDefault="00631A67" w:rsidP="00631A67">
                      <w:pPr>
                        <w:jc w:val="center"/>
                        <w:rPr>
                          <w:rFonts w:ascii="Palatino Linotype" w:hAnsi="Palatino Linotype"/>
                        </w:rPr>
                      </w:pPr>
                      <w:r w:rsidRPr="00EF2FC0">
                        <w:rPr>
                          <w:rFonts w:ascii="Palatino Linotype" w:hAnsi="Palatino Linotype"/>
                        </w:rPr>
                        <w:t>Comisionado</w:t>
                      </w:r>
                    </w:p>
                    <w:p w:rsidR="00631A67" w:rsidRPr="00F55D03" w:rsidRDefault="00631A67" w:rsidP="00631A67">
                      <w:pPr>
                        <w:jc w:val="center"/>
                        <w:rPr>
                          <w:rFonts w:ascii="Palatino Linotype" w:hAnsi="Palatino Linotype"/>
                          <w:b/>
                        </w:rPr>
                      </w:pPr>
                      <w:r>
                        <w:rPr>
                          <w:rFonts w:ascii="Palatino Linotype" w:hAnsi="Palatino Linotype"/>
                          <w:b/>
                        </w:rPr>
                        <w:t>(Rúbrica).</w:t>
                      </w:r>
                    </w:p>
                    <w:p w:rsidR="00631A67" w:rsidRDefault="00631A67" w:rsidP="00631A67"/>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35040" behindDoc="0" locked="0" layoutInCell="1" allowOverlap="1" wp14:anchorId="28A1A5AC" wp14:editId="5C5D82DC">
                <wp:simplePos x="0" y="0"/>
                <wp:positionH relativeFrom="margin">
                  <wp:posOffset>-299085</wp:posOffset>
                </wp:positionH>
                <wp:positionV relativeFrom="paragraph">
                  <wp:posOffset>2440940</wp:posOffset>
                </wp:positionV>
                <wp:extent cx="2486025" cy="937895"/>
                <wp:effectExtent l="0" t="0" r="9525" b="0"/>
                <wp:wrapNone/>
                <wp:docPr id="31" name="Cuadro de texto 3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1A67" w:rsidRPr="00EF2FC0" w:rsidRDefault="00631A67" w:rsidP="00631A67">
                            <w:pPr>
                              <w:jc w:val="center"/>
                              <w:rPr>
                                <w:rFonts w:ascii="Palatino Linotype" w:hAnsi="Palatino Linotype"/>
                              </w:rPr>
                            </w:pPr>
                            <w:r w:rsidRPr="00EF2FC0">
                              <w:rPr>
                                <w:rFonts w:ascii="Palatino Linotype" w:hAnsi="Palatino Linotype"/>
                                <w:b/>
                              </w:rPr>
                              <w:t>Javier Martínez Cruz</w:t>
                            </w:r>
                          </w:p>
                          <w:p w:rsidR="00631A67" w:rsidRDefault="00631A67" w:rsidP="00631A67">
                            <w:pPr>
                              <w:jc w:val="center"/>
                              <w:rPr>
                                <w:rFonts w:ascii="Palatino Linotype" w:hAnsi="Palatino Linotype"/>
                              </w:rPr>
                            </w:pPr>
                            <w:r w:rsidRPr="00EF2FC0">
                              <w:rPr>
                                <w:rFonts w:ascii="Palatino Linotype" w:hAnsi="Palatino Linotype"/>
                              </w:rPr>
                              <w:t>Comisionado</w:t>
                            </w:r>
                          </w:p>
                          <w:p w:rsidR="00631A67" w:rsidRPr="00F55D03" w:rsidRDefault="00631A67" w:rsidP="00631A67">
                            <w:pPr>
                              <w:jc w:val="center"/>
                              <w:rPr>
                                <w:rFonts w:ascii="Palatino Linotype" w:hAnsi="Palatino Linotype"/>
                                <w:b/>
                              </w:rPr>
                            </w:pPr>
                            <w:r>
                              <w:rPr>
                                <w:rFonts w:ascii="Palatino Linotype" w:hAnsi="Palatino Linotype"/>
                                <w:b/>
                              </w:rPr>
                              <w:t>(Rúbrica).</w:t>
                            </w:r>
                          </w:p>
                          <w:p w:rsidR="00631A67" w:rsidRDefault="00631A67" w:rsidP="00631A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1A5AC" id="Cuadro de texto 31" o:spid="_x0000_s1031" type="#_x0000_t202" style="position:absolute;left:0;text-align:left;margin-left:-23.55pt;margin-top:192.2pt;width:195.75pt;height:73.8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Bnkg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" fillcolor="white [3201]" stroked="f" strokeweight=".5pt">
                <v:textbox>
                  <w:txbxContent>
                    <w:p w:rsidR="00631A67" w:rsidRPr="00EF2FC0" w:rsidRDefault="00631A67" w:rsidP="00631A67">
                      <w:pPr>
                        <w:jc w:val="center"/>
                        <w:rPr>
                          <w:rFonts w:ascii="Palatino Linotype" w:hAnsi="Palatino Linotype"/>
                        </w:rPr>
                      </w:pPr>
                      <w:r w:rsidRPr="00EF2FC0">
                        <w:rPr>
                          <w:rFonts w:ascii="Palatino Linotype" w:hAnsi="Palatino Linotype"/>
                          <w:b/>
                        </w:rPr>
                        <w:t>Javier Martínez Cruz</w:t>
                      </w:r>
                    </w:p>
                    <w:p w:rsidR="00631A67" w:rsidRDefault="00631A67" w:rsidP="00631A67">
                      <w:pPr>
                        <w:jc w:val="center"/>
                        <w:rPr>
                          <w:rFonts w:ascii="Palatino Linotype" w:hAnsi="Palatino Linotype"/>
                        </w:rPr>
                      </w:pPr>
                      <w:r w:rsidRPr="00EF2FC0">
                        <w:rPr>
                          <w:rFonts w:ascii="Palatino Linotype" w:hAnsi="Palatino Linotype"/>
                        </w:rPr>
                        <w:t>Comisionado</w:t>
                      </w:r>
                    </w:p>
                    <w:p w:rsidR="00631A67" w:rsidRPr="00F55D03" w:rsidRDefault="00631A67" w:rsidP="00631A67">
                      <w:pPr>
                        <w:jc w:val="center"/>
                        <w:rPr>
                          <w:rFonts w:ascii="Palatino Linotype" w:hAnsi="Palatino Linotype"/>
                          <w:b/>
                        </w:rPr>
                      </w:pPr>
                      <w:r>
                        <w:rPr>
                          <w:rFonts w:ascii="Palatino Linotype" w:hAnsi="Palatino Linotype"/>
                          <w:b/>
                        </w:rPr>
                        <w:t>(Rúbrica).</w:t>
                      </w:r>
                    </w:p>
                    <w:p w:rsidR="00631A67" w:rsidRDefault="00631A67" w:rsidP="00631A67"/>
                  </w:txbxContent>
                </v:textbox>
                <w10:wrap anchorx="margin"/>
              </v:shape>
            </w:pict>
          </mc:Fallback>
        </mc:AlternateContent>
      </w:r>
    </w:p>
    <w:p w:rsidR="00631A67" w:rsidRDefault="00631A67" w:rsidP="00631A67">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rsidR="00631A67" w:rsidRPr="00D54B7D" w:rsidRDefault="00631A67" w:rsidP="00631A67">
      <w:pPr>
        <w:spacing w:before="240" w:line="480" w:lineRule="auto"/>
        <w:jc w:val="both"/>
        <w:rPr>
          <w:rFonts w:ascii="Palatino Linotype" w:hAnsi="Palatino Linotype"/>
        </w:rPr>
      </w:pPr>
    </w:p>
    <w:p w:rsidR="00631A67" w:rsidRDefault="00631A67" w:rsidP="00631A67">
      <w:pPr>
        <w:spacing w:before="240" w:line="480" w:lineRule="auto"/>
        <w:rPr>
          <w:rFonts w:ascii="Palatino Linotype" w:hAnsi="Palatino Linotype"/>
          <w:b/>
        </w:rPr>
      </w:pPr>
    </w:p>
    <w:p w:rsidR="00631A67" w:rsidRDefault="00631A67" w:rsidP="00631A67">
      <w:pPr>
        <w:spacing w:before="240" w:line="480" w:lineRule="auto"/>
        <w:rPr>
          <w:rFonts w:ascii="Palatino Linotype" w:hAnsi="Palatino Linotype"/>
          <w:b/>
        </w:rPr>
      </w:pPr>
    </w:p>
    <w:p w:rsidR="00631A67" w:rsidRDefault="00631A67" w:rsidP="00631A67">
      <w:pPr>
        <w:spacing w:before="240" w:line="480" w:lineRule="auto"/>
        <w:rPr>
          <w:rFonts w:ascii="Palatino Linotype" w:hAnsi="Palatino Linotype"/>
          <w:b/>
        </w:rPr>
      </w:pPr>
    </w:p>
    <w:p w:rsidR="00631A67" w:rsidRDefault="00631A67" w:rsidP="00631A67">
      <w:pPr>
        <w:spacing w:before="240" w:line="480" w:lineRule="auto"/>
        <w:rPr>
          <w:rFonts w:ascii="Palatino Linotype" w:hAnsi="Palatino Linotype"/>
          <w:b/>
        </w:rPr>
      </w:pPr>
    </w:p>
    <w:p w:rsidR="00631A67" w:rsidRDefault="00631A67" w:rsidP="00631A67">
      <w:pPr>
        <w:spacing w:before="240" w:line="480" w:lineRule="auto"/>
        <w:rPr>
          <w:rFonts w:ascii="Palatino Linotype" w:hAnsi="Palatino Linotype"/>
          <w:b/>
        </w:rPr>
      </w:pPr>
    </w:p>
    <w:p w:rsidR="00F90847" w:rsidRDefault="00F90847" w:rsidP="00631A67">
      <w:pPr>
        <w:tabs>
          <w:tab w:val="left" w:pos="5415"/>
        </w:tabs>
        <w:spacing w:before="240" w:line="360" w:lineRule="auto"/>
        <w:ind w:right="51"/>
        <w:jc w:val="both"/>
        <w:rPr>
          <w:rFonts w:ascii="Palatino Linotype" w:hAnsi="Palatino Linotype" w:cs="Arial"/>
          <w:sz w:val="16"/>
          <w:szCs w:val="16"/>
        </w:rPr>
      </w:pPr>
    </w:p>
    <w:p w:rsidR="00F20DE7" w:rsidRDefault="00F20DE7" w:rsidP="00631A67">
      <w:pPr>
        <w:tabs>
          <w:tab w:val="left" w:pos="5415"/>
        </w:tabs>
        <w:spacing w:before="240" w:line="360" w:lineRule="auto"/>
        <w:ind w:right="51"/>
        <w:jc w:val="both"/>
        <w:rPr>
          <w:rFonts w:ascii="Palatino Linotype" w:hAnsi="Palatino Linotype" w:cs="Arial"/>
          <w:sz w:val="16"/>
          <w:szCs w:val="16"/>
        </w:rPr>
      </w:pPr>
    </w:p>
    <w:p w:rsidR="00631A67" w:rsidRDefault="00631A67" w:rsidP="00631A67">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C2443">
        <w:rPr>
          <w:rFonts w:ascii="Palatino Linotype" w:hAnsi="Palatino Linotype" w:cs="Arial"/>
          <w:sz w:val="16"/>
          <w:szCs w:val="16"/>
        </w:rPr>
        <w:t>veintiocho de agosto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6C2443">
        <w:rPr>
          <w:rFonts w:ascii="Palatino Linotype" w:hAnsi="Palatino Linotype" w:cs="Arial"/>
          <w:bCs/>
          <w:sz w:val="16"/>
          <w:szCs w:val="16"/>
          <w:lang w:eastAsia="es-MX"/>
        </w:rPr>
        <w:t>05525</w:t>
      </w:r>
      <w:r>
        <w:rPr>
          <w:rFonts w:ascii="Palatino Linotype" w:hAnsi="Palatino Linotype" w:cs="Arial"/>
          <w:bCs/>
          <w:sz w:val="16"/>
          <w:szCs w:val="16"/>
          <w:lang w:eastAsia="es-MX"/>
        </w:rPr>
        <w:t xml:space="preserve">/INFOEM/IP/RR/2019.   </w:t>
      </w:r>
    </w:p>
    <w:p w:rsidR="00C231A5" w:rsidRPr="00F20DE7" w:rsidRDefault="00F20DE7" w:rsidP="00227F59">
      <w:pPr>
        <w:spacing w:after="0" w:line="360" w:lineRule="auto"/>
        <w:jc w:val="both"/>
        <w:rPr>
          <w:rFonts w:ascii="Palatino Linotype" w:hAnsi="Palatino Linotype" w:cs="Arial"/>
          <w:sz w:val="16"/>
          <w:szCs w:val="16"/>
        </w:rPr>
      </w:pPr>
      <w:r w:rsidRPr="00F20DE7">
        <w:rPr>
          <w:rFonts w:ascii="Palatino Linotype" w:hAnsi="Palatino Linotype" w:cs="Arial"/>
          <w:sz w:val="16"/>
          <w:szCs w:val="16"/>
        </w:rPr>
        <w:t>OSAM/JCMA</w:t>
      </w:r>
    </w:p>
    <w:sectPr w:rsidR="00C231A5" w:rsidRPr="00F20DE7"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8AF" w:rsidRDefault="00F678AF" w:rsidP="006168E4">
      <w:pPr>
        <w:spacing w:after="0" w:line="240" w:lineRule="auto"/>
      </w:pPr>
      <w:r>
        <w:separator/>
      </w:r>
    </w:p>
  </w:endnote>
  <w:endnote w:type="continuationSeparator" w:id="0">
    <w:p w:rsidR="00F678AF" w:rsidRDefault="00F678A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2E" w:rsidRPr="000B69FA" w:rsidRDefault="005C6C2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591D">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591D">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2E" w:rsidRPr="000B69FA" w:rsidRDefault="005C6C2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D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D8E">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8AF" w:rsidRDefault="00F678AF" w:rsidP="006168E4">
      <w:pPr>
        <w:spacing w:after="0" w:line="240" w:lineRule="auto"/>
      </w:pPr>
      <w:r>
        <w:separator/>
      </w:r>
    </w:p>
  </w:footnote>
  <w:footnote w:type="continuationSeparator" w:id="0">
    <w:p w:rsidR="00F678AF" w:rsidRDefault="00F678AF" w:rsidP="006168E4">
      <w:pPr>
        <w:spacing w:after="0" w:line="240" w:lineRule="auto"/>
      </w:pPr>
      <w:r>
        <w:continuationSeparator/>
      </w:r>
    </w:p>
  </w:footnote>
  <w:footnote w:id="1">
    <w:p w:rsidR="005C6C2E" w:rsidRPr="000E3E73" w:rsidRDefault="005C6C2E" w:rsidP="00F83D71">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5C6C2E" w:rsidRPr="000E3E73" w:rsidRDefault="005C6C2E" w:rsidP="00F83D71">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31A67" w:rsidRPr="00F168E6" w:rsidRDefault="00631A67" w:rsidP="00631A67">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rsidR="00631A67" w:rsidRPr="00F168E6" w:rsidRDefault="00631A67" w:rsidP="00631A67">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rsidR="00631A67" w:rsidRPr="00F168E6" w:rsidRDefault="00631A67" w:rsidP="00631A67">
      <w:pPr>
        <w:pStyle w:val="Textonotapie"/>
        <w:jc w:val="both"/>
        <w:rPr>
          <w:rFonts w:ascii="Palatino Linotype" w:hAnsi="Palatino Linotype"/>
          <w:i/>
          <w:sz w:val="18"/>
          <w:szCs w:val="18"/>
        </w:rPr>
      </w:pPr>
      <w:r w:rsidRPr="00F168E6">
        <w:rPr>
          <w:rFonts w:ascii="Palatino Linotype" w:hAnsi="Palatino Linotype"/>
          <w:i/>
          <w:sz w:val="18"/>
          <w:szCs w:val="18"/>
        </w:rPr>
        <w:t>…</w:t>
      </w:r>
    </w:p>
    <w:p w:rsidR="00631A67" w:rsidRPr="0081629D" w:rsidRDefault="00631A67" w:rsidP="00631A67">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3">
    <w:p w:rsidR="00631A67" w:rsidRPr="00F168E6" w:rsidRDefault="00631A67" w:rsidP="00631A67">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rsidR="00631A67" w:rsidRPr="00F168E6" w:rsidRDefault="00631A67" w:rsidP="00631A6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rsidR="00631A67" w:rsidRPr="00F168E6" w:rsidRDefault="00631A67" w:rsidP="00631A6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631A67" w:rsidRPr="00F168E6" w:rsidRDefault="00631A67" w:rsidP="00631A6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rsidR="00631A67" w:rsidRPr="00F168E6" w:rsidRDefault="00631A67" w:rsidP="00631A6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rsidR="00631A67" w:rsidRPr="00F168E6" w:rsidRDefault="00631A67" w:rsidP="00631A6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rsidR="00631A67" w:rsidRPr="00F168E6" w:rsidRDefault="00631A67" w:rsidP="00631A6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631A67" w:rsidRDefault="00631A67" w:rsidP="00631A6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2E" w:rsidRDefault="005C6C2E">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5C6C2E" w:rsidTr="009D13C9">
      <w:trPr>
        <w:trHeight w:val="227"/>
      </w:trPr>
      <w:tc>
        <w:tcPr>
          <w:tcW w:w="5529" w:type="dxa"/>
          <w:hideMark/>
        </w:tcPr>
        <w:p w:rsidR="005C6C2E" w:rsidRDefault="005C6C2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C6C2E" w:rsidRPr="00B4142F" w:rsidRDefault="005C6C2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05525/INFOEM/IP/RR/2019</w:t>
          </w:r>
        </w:p>
      </w:tc>
    </w:tr>
    <w:tr w:rsidR="005C6C2E" w:rsidTr="009D13C9">
      <w:trPr>
        <w:trHeight w:val="242"/>
      </w:trPr>
      <w:tc>
        <w:tcPr>
          <w:tcW w:w="5529" w:type="dxa"/>
          <w:hideMark/>
        </w:tcPr>
        <w:p w:rsidR="005C6C2E" w:rsidRDefault="005C6C2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C6C2E" w:rsidRPr="00F06FED" w:rsidRDefault="005C6C2E" w:rsidP="00A32C01">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5C6C2E" w:rsidTr="009D13C9">
      <w:trPr>
        <w:trHeight w:val="342"/>
      </w:trPr>
      <w:tc>
        <w:tcPr>
          <w:tcW w:w="5529" w:type="dxa"/>
          <w:hideMark/>
        </w:tcPr>
        <w:p w:rsidR="005C6C2E" w:rsidRDefault="005C6C2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C6C2E" w:rsidRDefault="005C6C2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5C6C2E" w:rsidRDefault="005C6C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C6C2E" w:rsidTr="009D13C9">
      <w:trPr>
        <w:trHeight w:val="227"/>
      </w:trPr>
      <w:tc>
        <w:tcPr>
          <w:tcW w:w="5529" w:type="dxa"/>
          <w:hideMark/>
        </w:tcPr>
        <w:p w:rsidR="005C6C2E" w:rsidRDefault="005C6C2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C6C2E" w:rsidRPr="00B4142F" w:rsidRDefault="005C6C2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05525/INFOEM/IP/RR/2019</w:t>
          </w:r>
        </w:p>
      </w:tc>
    </w:tr>
    <w:tr w:rsidR="005C6C2E" w:rsidTr="009D13C9">
      <w:trPr>
        <w:trHeight w:val="196"/>
      </w:trPr>
      <w:tc>
        <w:tcPr>
          <w:tcW w:w="5529" w:type="dxa"/>
          <w:hideMark/>
        </w:tcPr>
        <w:p w:rsidR="005C6C2E" w:rsidRDefault="005C6C2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C6C2E" w:rsidRPr="00F06FED" w:rsidRDefault="004C0D8E" w:rsidP="00CC0C5F">
          <w:pPr>
            <w:spacing w:after="120" w:line="256" w:lineRule="auto"/>
            <w:ind w:left="639" w:right="214"/>
            <w:jc w:val="both"/>
            <w:rPr>
              <w:rFonts w:ascii="Palatino Linotype" w:hAnsi="Palatino Linotype" w:cs="Arial"/>
            </w:rPr>
          </w:pPr>
          <w:r>
            <w:rPr>
              <w:rFonts w:ascii="Palatino Linotype" w:hAnsi="Palatino Linotype" w:cs="Arial"/>
            </w:rPr>
            <w:t>xxxxxxxxxxxxx</w:t>
          </w:r>
          <w:r w:rsidR="005C6C2E">
            <w:rPr>
              <w:rFonts w:ascii="Palatino Linotype" w:hAnsi="Palatino Linotype" w:cs="Arial"/>
            </w:rPr>
            <w:t xml:space="preserve"> </w:t>
          </w:r>
        </w:p>
      </w:tc>
    </w:tr>
    <w:tr w:rsidR="005C6C2E" w:rsidTr="009D13C9">
      <w:trPr>
        <w:trHeight w:val="242"/>
      </w:trPr>
      <w:tc>
        <w:tcPr>
          <w:tcW w:w="5529" w:type="dxa"/>
          <w:hideMark/>
        </w:tcPr>
        <w:p w:rsidR="005C6C2E" w:rsidRDefault="005C6C2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C6C2E" w:rsidRDefault="005C6C2E" w:rsidP="00A32C0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Valle de Chalco Solidaridad </w:t>
          </w:r>
        </w:p>
      </w:tc>
    </w:tr>
    <w:tr w:rsidR="005C6C2E" w:rsidTr="009D13C9">
      <w:trPr>
        <w:trHeight w:val="342"/>
      </w:trPr>
      <w:tc>
        <w:tcPr>
          <w:tcW w:w="5529" w:type="dxa"/>
          <w:hideMark/>
        </w:tcPr>
        <w:p w:rsidR="005C6C2E" w:rsidRDefault="005C6C2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C6C2E" w:rsidRDefault="005C6C2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5C6C2E" w:rsidRDefault="005C6C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E37"/>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A33BEE"/>
    <w:multiLevelType w:val="hybridMultilevel"/>
    <w:tmpl w:val="AF82B44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CA05E9"/>
    <w:multiLevelType w:val="hybridMultilevel"/>
    <w:tmpl w:val="F09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C13746D"/>
    <w:multiLevelType w:val="hybridMultilevel"/>
    <w:tmpl w:val="A1FA8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8"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0" w15:restartNumberingAfterBreak="0">
    <w:nsid w:val="170C4EF4"/>
    <w:multiLevelType w:val="hybridMultilevel"/>
    <w:tmpl w:val="3FB0AD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FA0E32"/>
    <w:multiLevelType w:val="hybridMultilevel"/>
    <w:tmpl w:val="7BB6864A"/>
    <w:lvl w:ilvl="0" w:tplc="1AE62E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25777B61"/>
    <w:multiLevelType w:val="hybridMultilevel"/>
    <w:tmpl w:val="4468B65C"/>
    <w:lvl w:ilvl="0" w:tplc="C6424DF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7133729"/>
    <w:multiLevelType w:val="hybridMultilevel"/>
    <w:tmpl w:val="993651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AD23F5"/>
    <w:multiLevelType w:val="hybridMultilevel"/>
    <w:tmpl w:val="70AAB624"/>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6"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1935EE"/>
    <w:multiLevelType w:val="hybridMultilevel"/>
    <w:tmpl w:val="AF68DA04"/>
    <w:lvl w:ilvl="0" w:tplc="D85861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0A6FCC"/>
    <w:multiLevelType w:val="hybridMultilevel"/>
    <w:tmpl w:val="BE1E37C4"/>
    <w:lvl w:ilvl="0" w:tplc="234C9208">
      <w:start w:val="1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5C0159D"/>
    <w:multiLevelType w:val="hybridMultilevel"/>
    <w:tmpl w:val="957E9FE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48077343"/>
    <w:multiLevelType w:val="hybridMultilevel"/>
    <w:tmpl w:val="7B2A5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3D3BD9"/>
    <w:multiLevelType w:val="hybridMultilevel"/>
    <w:tmpl w:val="D54C5166"/>
    <w:lvl w:ilvl="0" w:tplc="E26AA17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7"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3E5DE9"/>
    <w:multiLevelType w:val="hybridMultilevel"/>
    <w:tmpl w:val="0EF2C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652F1C"/>
    <w:multiLevelType w:val="hybridMultilevel"/>
    <w:tmpl w:val="EC8EC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AD5CD4"/>
    <w:multiLevelType w:val="hybridMultilevel"/>
    <w:tmpl w:val="F4FC19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223EE3"/>
    <w:multiLevelType w:val="hybridMultilevel"/>
    <w:tmpl w:val="097C3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6"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7"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9964CB"/>
    <w:multiLevelType w:val="hybridMultilevel"/>
    <w:tmpl w:val="F38A8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8D1199"/>
    <w:multiLevelType w:val="hybridMultilevel"/>
    <w:tmpl w:val="F08821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160B85"/>
    <w:multiLevelType w:val="hybridMultilevel"/>
    <w:tmpl w:val="B100CDEC"/>
    <w:lvl w:ilvl="0" w:tplc="7400B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600E64"/>
    <w:multiLevelType w:val="hybridMultilevel"/>
    <w:tmpl w:val="A724B0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CA5847"/>
    <w:multiLevelType w:val="hybridMultilevel"/>
    <w:tmpl w:val="DD2443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39"/>
  </w:num>
  <w:num w:numId="3">
    <w:abstractNumId w:val="11"/>
  </w:num>
  <w:num w:numId="4">
    <w:abstractNumId w:val="26"/>
  </w:num>
  <w:num w:numId="5">
    <w:abstractNumId w:val="6"/>
  </w:num>
  <w:num w:numId="6">
    <w:abstractNumId w:val="43"/>
  </w:num>
  <w:num w:numId="7">
    <w:abstractNumId w:val="14"/>
  </w:num>
  <w:num w:numId="8">
    <w:abstractNumId w:val="2"/>
  </w:num>
  <w:num w:numId="9">
    <w:abstractNumId w:val="4"/>
  </w:num>
  <w:num w:numId="10">
    <w:abstractNumId w:val="8"/>
  </w:num>
  <w:num w:numId="11">
    <w:abstractNumId w:val="13"/>
  </w:num>
  <w:num w:numId="12">
    <w:abstractNumId w:val="40"/>
  </w:num>
  <w:num w:numId="13">
    <w:abstractNumId w:val="34"/>
  </w:num>
  <w:num w:numId="14">
    <w:abstractNumId w:val="44"/>
  </w:num>
  <w:num w:numId="15">
    <w:abstractNumId w:val="24"/>
  </w:num>
  <w:num w:numId="16">
    <w:abstractNumId w:val="21"/>
  </w:num>
  <w:num w:numId="17">
    <w:abstractNumId w:val="20"/>
  </w:num>
  <w:num w:numId="18">
    <w:abstractNumId w:val="3"/>
  </w:num>
  <w:num w:numId="19">
    <w:abstractNumId w:val="22"/>
  </w:num>
  <w:num w:numId="20">
    <w:abstractNumId w:val="16"/>
  </w:num>
  <w:num w:numId="21">
    <w:abstractNumId w:val="38"/>
  </w:num>
  <w:num w:numId="22">
    <w:abstractNumId w:val="27"/>
  </w:num>
  <w:num w:numId="23">
    <w:abstractNumId w:val="32"/>
  </w:num>
  <w:num w:numId="24">
    <w:abstractNumId w:val="31"/>
  </w:num>
  <w:num w:numId="25">
    <w:abstractNumId w:val="0"/>
  </w:num>
  <w:num w:numId="26">
    <w:abstractNumId w:val="15"/>
  </w:num>
  <w:num w:numId="27">
    <w:abstractNumId w:val="42"/>
  </w:num>
  <w:num w:numId="28">
    <w:abstractNumId w:val="30"/>
  </w:num>
  <w:num w:numId="29">
    <w:abstractNumId w:val="29"/>
  </w:num>
  <w:num w:numId="30">
    <w:abstractNumId w:val="5"/>
  </w:num>
  <w:num w:numId="31">
    <w:abstractNumId w:val="19"/>
  </w:num>
  <w:num w:numId="32">
    <w:abstractNumId w:val="12"/>
  </w:num>
  <w:num w:numId="33">
    <w:abstractNumId w:val="9"/>
  </w:num>
  <w:num w:numId="34">
    <w:abstractNumId w:val="7"/>
  </w:num>
  <w:num w:numId="35">
    <w:abstractNumId w:val="1"/>
  </w:num>
  <w:num w:numId="36">
    <w:abstractNumId w:val="35"/>
  </w:num>
  <w:num w:numId="37">
    <w:abstractNumId w:val="36"/>
  </w:num>
  <w:num w:numId="38">
    <w:abstractNumId w:val="25"/>
  </w:num>
  <w:num w:numId="39">
    <w:abstractNumId w:val="10"/>
  </w:num>
  <w:num w:numId="40">
    <w:abstractNumId w:val="37"/>
  </w:num>
  <w:num w:numId="41">
    <w:abstractNumId w:val="23"/>
  </w:num>
  <w:num w:numId="42">
    <w:abstractNumId w:val="41"/>
  </w:num>
  <w:num w:numId="43">
    <w:abstractNumId w:val="17"/>
  </w:num>
  <w:num w:numId="44">
    <w:abstractNumId w:val="18"/>
  </w:num>
  <w:num w:numId="45">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07C1D"/>
    <w:rsid w:val="00010D4E"/>
    <w:rsid w:val="00014EAA"/>
    <w:rsid w:val="00020494"/>
    <w:rsid w:val="00021E20"/>
    <w:rsid w:val="00023826"/>
    <w:rsid w:val="00023CB8"/>
    <w:rsid w:val="000306A7"/>
    <w:rsid w:val="00034D62"/>
    <w:rsid w:val="000351DA"/>
    <w:rsid w:val="00040E32"/>
    <w:rsid w:val="00044C3D"/>
    <w:rsid w:val="00045379"/>
    <w:rsid w:val="000502C3"/>
    <w:rsid w:val="00055224"/>
    <w:rsid w:val="00061821"/>
    <w:rsid w:val="000623F9"/>
    <w:rsid w:val="00063103"/>
    <w:rsid w:val="00063A10"/>
    <w:rsid w:val="000662F8"/>
    <w:rsid w:val="00067A42"/>
    <w:rsid w:val="00073E78"/>
    <w:rsid w:val="00082F87"/>
    <w:rsid w:val="00083C84"/>
    <w:rsid w:val="00091133"/>
    <w:rsid w:val="00091552"/>
    <w:rsid w:val="00091C3A"/>
    <w:rsid w:val="0009353F"/>
    <w:rsid w:val="000A2007"/>
    <w:rsid w:val="000A3486"/>
    <w:rsid w:val="000A4D69"/>
    <w:rsid w:val="000A6DB3"/>
    <w:rsid w:val="000A79DA"/>
    <w:rsid w:val="000B27BB"/>
    <w:rsid w:val="000B4B51"/>
    <w:rsid w:val="000B4DD3"/>
    <w:rsid w:val="000B7158"/>
    <w:rsid w:val="000C2C70"/>
    <w:rsid w:val="000C2E63"/>
    <w:rsid w:val="000C481D"/>
    <w:rsid w:val="000C5B8B"/>
    <w:rsid w:val="000C749D"/>
    <w:rsid w:val="000D1B55"/>
    <w:rsid w:val="000D3C75"/>
    <w:rsid w:val="000D4933"/>
    <w:rsid w:val="000D65CB"/>
    <w:rsid w:val="000E39D0"/>
    <w:rsid w:val="000E645F"/>
    <w:rsid w:val="000E67AB"/>
    <w:rsid w:val="000E686B"/>
    <w:rsid w:val="000F0147"/>
    <w:rsid w:val="000F76B5"/>
    <w:rsid w:val="001063E9"/>
    <w:rsid w:val="001118B0"/>
    <w:rsid w:val="00111DCD"/>
    <w:rsid w:val="00114CF9"/>
    <w:rsid w:val="0011531C"/>
    <w:rsid w:val="00116F10"/>
    <w:rsid w:val="001174D9"/>
    <w:rsid w:val="00124855"/>
    <w:rsid w:val="001254F5"/>
    <w:rsid w:val="00134396"/>
    <w:rsid w:val="00136FAD"/>
    <w:rsid w:val="00137A38"/>
    <w:rsid w:val="00146F0A"/>
    <w:rsid w:val="00152C2B"/>
    <w:rsid w:val="00170404"/>
    <w:rsid w:val="001705C5"/>
    <w:rsid w:val="00175897"/>
    <w:rsid w:val="00180B9F"/>
    <w:rsid w:val="00181CC5"/>
    <w:rsid w:val="00181F81"/>
    <w:rsid w:val="0018246F"/>
    <w:rsid w:val="001832A9"/>
    <w:rsid w:val="00185470"/>
    <w:rsid w:val="00191993"/>
    <w:rsid w:val="00193610"/>
    <w:rsid w:val="00193784"/>
    <w:rsid w:val="001A02EC"/>
    <w:rsid w:val="001A577E"/>
    <w:rsid w:val="001A7C9B"/>
    <w:rsid w:val="001B05B9"/>
    <w:rsid w:val="001B7B88"/>
    <w:rsid w:val="001C2DAF"/>
    <w:rsid w:val="001C602B"/>
    <w:rsid w:val="001C64FA"/>
    <w:rsid w:val="001C7319"/>
    <w:rsid w:val="001C7D87"/>
    <w:rsid w:val="001D13AE"/>
    <w:rsid w:val="001D3E87"/>
    <w:rsid w:val="001D4251"/>
    <w:rsid w:val="001D5FF7"/>
    <w:rsid w:val="001E1C1E"/>
    <w:rsid w:val="001F7F1E"/>
    <w:rsid w:val="002003D0"/>
    <w:rsid w:val="0021501E"/>
    <w:rsid w:val="00217581"/>
    <w:rsid w:val="002205C0"/>
    <w:rsid w:val="00227F59"/>
    <w:rsid w:val="00230A8C"/>
    <w:rsid w:val="0023373D"/>
    <w:rsid w:val="0023423C"/>
    <w:rsid w:val="002359AA"/>
    <w:rsid w:val="002447B6"/>
    <w:rsid w:val="002519BD"/>
    <w:rsid w:val="002577FE"/>
    <w:rsid w:val="00260AE5"/>
    <w:rsid w:val="00271F67"/>
    <w:rsid w:val="00271FCD"/>
    <w:rsid w:val="00273D0E"/>
    <w:rsid w:val="00277E17"/>
    <w:rsid w:val="0028644D"/>
    <w:rsid w:val="002866D0"/>
    <w:rsid w:val="00290821"/>
    <w:rsid w:val="00292E78"/>
    <w:rsid w:val="00293D01"/>
    <w:rsid w:val="002A2034"/>
    <w:rsid w:val="002A24F4"/>
    <w:rsid w:val="002A2CA3"/>
    <w:rsid w:val="002A38BF"/>
    <w:rsid w:val="002A597E"/>
    <w:rsid w:val="002B04B2"/>
    <w:rsid w:val="002B4AA3"/>
    <w:rsid w:val="002B5DBD"/>
    <w:rsid w:val="002B7079"/>
    <w:rsid w:val="002C72D2"/>
    <w:rsid w:val="002D1022"/>
    <w:rsid w:val="002D40AD"/>
    <w:rsid w:val="002D74FA"/>
    <w:rsid w:val="002D765E"/>
    <w:rsid w:val="002E0E8A"/>
    <w:rsid w:val="002E2004"/>
    <w:rsid w:val="002E2D7B"/>
    <w:rsid w:val="002E2F7A"/>
    <w:rsid w:val="002E39E8"/>
    <w:rsid w:val="002E5E6A"/>
    <w:rsid w:val="002F3441"/>
    <w:rsid w:val="002F37BE"/>
    <w:rsid w:val="002F3876"/>
    <w:rsid w:val="00300D0B"/>
    <w:rsid w:val="00306096"/>
    <w:rsid w:val="003079CE"/>
    <w:rsid w:val="0031645D"/>
    <w:rsid w:val="003171E6"/>
    <w:rsid w:val="00320A67"/>
    <w:rsid w:val="00323B36"/>
    <w:rsid w:val="003272FB"/>
    <w:rsid w:val="003305DD"/>
    <w:rsid w:val="00333818"/>
    <w:rsid w:val="0033416B"/>
    <w:rsid w:val="00337369"/>
    <w:rsid w:val="00342306"/>
    <w:rsid w:val="00346F03"/>
    <w:rsid w:val="00350373"/>
    <w:rsid w:val="003548D2"/>
    <w:rsid w:val="003618F7"/>
    <w:rsid w:val="00361B9C"/>
    <w:rsid w:val="003623F6"/>
    <w:rsid w:val="00363CAF"/>
    <w:rsid w:val="0036704C"/>
    <w:rsid w:val="00371692"/>
    <w:rsid w:val="00373B11"/>
    <w:rsid w:val="00376CEC"/>
    <w:rsid w:val="003778E6"/>
    <w:rsid w:val="00380758"/>
    <w:rsid w:val="00380977"/>
    <w:rsid w:val="0038550B"/>
    <w:rsid w:val="00386AF8"/>
    <w:rsid w:val="00394A1E"/>
    <w:rsid w:val="003A05A5"/>
    <w:rsid w:val="003A2EEF"/>
    <w:rsid w:val="003A3D6D"/>
    <w:rsid w:val="003A61F9"/>
    <w:rsid w:val="003A7599"/>
    <w:rsid w:val="003B1E88"/>
    <w:rsid w:val="003B2147"/>
    <w:rsid w:val="003B3B68"/>
    <w:rsid w:val="003C4316"/>
    <w:rsid w:val="003C561D"/>
    <w:rsid w:val="003D0B57"/>
    <w:rsid w:val="003D3618"/>
    <w:rsid w:val="003D37F9"/>
    <w:rsid w:val="003E16E1"/>
    <w:rsid w:val="003F0674"/>
    <w:rsid w:val="003F09FC"/>
    <w:rsid w:val="003F1484"/>
    <w:rsid w:val="003F2DD2"/>
    <w:rsid w:val="004012CF"/>
    <w:rsid w:val="0040203E"/>
    <w:rsid w:val="00402870"/>
    <w:rsid w:val="00402FF3"/>
    <w:rsid w:val="004069EB"/>
    <w:rsid w:val="004122D0"/>
    <w:rsid w:val="004145C8"/>
    <w:rsid w:val="00417AD1"/>
    <w:rsid w:val="00423026"/>
    <w:rsid w:val="00423213"/>
    <w:rsid w:val="0042416D"/>
    <w:rsid w:val="00430F5C"/>
    <w:rsid w:val="00435090"/>
    <w:rsid w:val="00444953"/>
    <w:rsid w:val="004516EB"/>
    <w:rsid w:val="004529B6"/>
    <w:rsid w:val="00452BDD"/>
    <w:rsid w:val="00453DBD"/>
    <w:rsid w:val="00454A2B"/>
    <w:rsid w:val="00454CE6"/>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3436"/>
    <w:rsid w:val="004934D4"/>
    <w:rsid w:val="004944E3"/>
    <w:rsid w:val="00495DD7"/>
    <w:rsid w:val="00496402"/>
    <w:rsid w:val="004967E2"/>
    <w:rsid w:val="004A290F"/>
    <w:rsid w:val="004A3C1C"/>
    <w:rsid w:val="004A452C"/>
    <w:rsid w:val="004A5A05"/>
    <w:rsid w:val="004A5FFD"/>
    <w:rsid w:val="004A7314"/>
    <w:rsid w:val="004A7CE2"/>
    <w:rsid w:val="004B6D1A"/>
    <w:rsid w:val="004B7511"/>
    <w:rsid w:val="004B76C2"/>
    <w:rsid w:val="004B7B62"/>
    <w:rsid w:val="004C0D8E"/>
    <w:rsid w:val="004C45E9"/>
    <w:rsid w:val="004C521C"/>
    <w:rsid w:val="004D08EB"/>
    <w:rsid w:val="004D50FB"/>
    <w:rsid w:val="004E2371"/>
    <w:rsid w:val="004E6BE9"/>
    <w:rsid w:val="004F6DBA"/>
    <w:rsid w:val="00503655"/>
    <w:rsid w:val="00506AAD"/>
    <w:rsid w:val="00506DB8"/>
    <w:rsid w:val="00515090"/>
    <w:rsid w:val="005162F6"/>
    <w:rsid w:val="00516F8D"/>
    <w:rsid w:val="00521E57"/>
    <w:rsid w:val="005305EA"/>
    <w:rsid w:val="00532AC4"/>
    <w:rsid w:val="00533C6A"/>
    <w:rsid w:val="005371E7"/>
    <w:rsid w:val="00540538"/>
    <w:rsid w:val="00542867"/>
    <w:rsid w:val="005477D9"/>
    <w:rsid w:val="005508B2"/>
    <w:rsid w:val="005520FE"/>
    <w:rsid w:val="005536B1"/>
    <w:rsid w:val="00556513"/>
    <w:rsid w:val="00557338"/>
    <w:rsid w:val="005608CD"/>
    <w:rsid w:val="00562653"/>
    <w:rsid w:val="005640CF"/>
    <w:rsid w:val="00564C8A"/>
    <w:rsid w:val="005727A8"/>
    <w:rsid w:val="005733EB"/>
    <w:rsid w:val="005750DD"/>
    <w:rsid w:val="00580802"/>
    <w:rsid w:val="00581A22"/>
    <w:rsid w:val="00586737"/>
    <w:rsid w:val="005932A0"/>
    <w:rsid w:val="00593E91"/>
    <w:rsid w:val="005A0B49"/>
    <w:rsid w:val="005A6D57"/>
    <w:rsid w:val="005B01EA"/>
    <w:rsid w:val="005B3FF5"/>
    <w:rsid w:val="005B509F"/>
    <w:rsid w:val="005B5B70"/>
    <w:rsid w:val="005B5F05"/>
    <w:rsid w:val="005C6609"/>
    <w:rsid w:val="005C6982"/>
    <w:rsid w:val="005C6C2E"/>
    <w:rsid w:val="005D2B59"/>
    <w:rsid w:val="005D2E59"/>
    <w:rsid w:val="005D362F"/>
    <w:rsid w:val="005D370F"/>
    <w:rsid w:val="005E4D7C"/>
    <w:rsid w:val="005F048E"/>
    <w:rsid w:val="005F57F0"/>
    <w:rsid w:val="00601A5A"/>
    <w:rsid w:val="0061042F"/>
    <w:rsid w:val="0061433D"/>
    <w:rsid w:val="006168E4"/>
    <w:rsid w:val="00621E5E"/>
    <w:rsid w:val="00622AE3"/>
    <w:rsid w:val="00624252"/>
    <w:rsid w:val="00624425"/>
    <w:rsid w:val="00624503"/>
    <w:rsid w:val="0063029E"/>
    <w:rsid w:val="006304AB"/>
    <w:rsid w:val="00631A67"/>
    <w:rsid w:val="0063426D"/>
    <w:rsid w:val="00634F96"/>
    <w:rsid w:val="00636D80"/>
    <w:rsid w:val="00637512"/>
    <w:rsid w:val="00640EE4"/>
    <w:rsid w:val="00642B4D"/>
    <w:rsid w:val="006466F5"/>
    <w:rsid w:val="00651379"/>
    <w:rsid w:val="0065642B"/>
    <w:rsid w:val="00661753"/>
    <w:rsid w:val="00662191"/>
    <w:rsid w:val="006664AA"/>
    <w:rsid w:val="006845C0"/>
    <w:rsid w:val="006848B7"/>
    <w:rsid w:val="006850F5"/>
    <w:rsid w:val="006869DC"/>
    <w:rsid w:val="0069447E"/>
    <w:rsid w:val="00694C79"/>
    <w:rsid w:val="006A033F"/>
    <w:rsid w:val="006A07AF"/>
    <w:rsid w:val="006A6A8E"/>
    <w:rsid w:val="006B1953"/>
    <w:rsid w:val="006B1BF1"/>
    <w:rsid w:val="006B26E3"/>
    <w:rsid w:val="006B7444"/>
    <w:rsid w:val="006C2443"/>
    <w:rsid w:val="006C5CD4"/>
    <w:rsid w:val="006C7D03"/>
    <w:rsid w:val="006D23FC"/>
    <w:rsid w:val="006D5ADD"/>
    <w:rsid w:val="006E37C4"/>
    <w:rsid w:val="006E67CA"/>
    <w:rsid w:val="006F54CD"/>
    <w:rsid w:val="006F5932"/>
    <w:rsid w:val="00701033"/>
    <w:rsid w:val="0070215D"/>
    <w:rsid w:val="0070403B"/>
    <w:rsid w:val="00705C36"/>
    <w:rsid w:val="00710271"/>
    <w:rsid w:val="00711299"/>
    <w:rsid w:val="007201C1"/>
    <w:rsid w:val="007304A4"/>
    <w:rsid w:val="007310D8"/>
    <w:rsid w:val="007339FB"/>
    <w:rsid w:val="00743FD7"/>
    <w:rsid w:val="00744EEF"/>
    <w:rsid w:val="007464AD"/>
    <w:rsid w:val="007470CA"/>
    <w:rsid w:val="00754227"/>
    <w:rsid w:val="00754CAE"/>
    <w:rsid w:val="00755CD6"/>
    <w:rsid w:val="00761036"/>
    <w:rsid w:val="00767173"/>
    <w:rsid w:val="00770088"/>
    <w:rsid w:val="00783681"/>
    <w:rsid w:val="007851D5"/>
    <w:rsid w:val="0078653F"/>
    <w:rsid w:val="00787E31"/>
    <w:rsid w:val="00790C66"/>
    <w:rsid w:val="0079486A"/>
    <w:rsid w:val="00794F80"/>
    <w:rsid w:val="00796211"/>
    <w:rsid w:val="00796C4D"/>
    <w:rsid w:val="007A1C9E"/>
    <w:rsid w:val="007A616E"/>
    <w:rsid w:val="007B21BF"/>
    <w:rsid w:val="007B2C77"/>
    <w:rsid w:val="007B450B"/>
    <w:rsid w:val="007B76DB"/>
    <w:rsid w:val="007C42DE"/>
    <w:rsid w:val="007C495E"/>
    <w:rsid w:val="007C7D16"/>
    <w:rsid w:val="007D1325"/>
    <w:rsid w:val="007D1A27"/>
    <w:rsid w:val="007D1B24"/>
    <w:rsid w:val="007D1F15"/>
    <w:rsid w:val="007D25B1"/>
    <w:rsid w:val="007D2878"/>
    <w:rsid w:val="007D6140"/>
    <w:rsid w:val="007D6A4E"/>
    <w:rsid w:val="007E6B1F"/>
    <w:rsid w:val="007E737A"/>
    <w:rsid w:val="007E7BAB"/>
    <w:rsid w:val="007E7DCE"/>
    <w:rsid w:val="007F1AF8"/>
    <w:rsid w:val="007F20AC"/>
    <w:rsid w:val="00801EBC"/>
    <w:rsid w:val="00802C56"/>
    <w:rsid w:val="00807BCD"/>
    <w:rsid w:val="00811205"/>
    <w:rsid w:val="00812C48"/>
    <w:rsid w:val="008146F9"/>
    <w:rsid w:val="00821B08"/>
    <w:rsid w:val="00824DCD"/>
    <w:rsid w:val="00837B55"/>
    <w:rsid w:val="0084290F"/>
    <w:rsid w:val="00844569"/>
    <w:rsid w:val="00847078"/>
    <w:rsid w:val="008478FD"/>
    <w:rsid w:val="00847D23"/>
    <w:rsid w:val="00850403"/>
    <w:rsid w:val="00851634"/>
    <w:rsid w:val="00852E38"/>
    <w:rsid w:val="00853CE7"/>
    <w:rsid w:val="00856A9B"/>
    <w:rsid w:val="00863327"/>
    <w:rsid w:val="00867EB9"/>
    <w:rsid w:val="00870F44"/>
    <w:rsid w:val="00873296"/>
    <w:rsid w:val="00875E61"/>
    <w:rsid w:val="00881283"/>
    <w:rsid w:val="0088205F"/>
    <w:rsid w:val="00884054"/>
    <w:rsid w:val="00893BE5"/>
    <w:rsid w:val="00895089"/>
    <w:rsid w:val="008951ED"/>
    <w:rsid w:val="008A0101"/>
    <w:rsid w:val="008A53C2"/>
    <w:rsid w:val="008A75BE"/>
    <w:rsid w:val="008A7AAB"/>
    <w:rsid w:val="008B6B48"/>
    <w:rsid w:val="008C32A8"/>
    <w:rsid w:val="008C3901"/>
    <w:rsid w:val="008C55A3"/>
    <w:rsid w:val="008C73FC"/>
    <w:rsid w:val="008E066E"/>
    <w:rsid w:val="008E6375"/>
    <w:rsid w:val="008F4C65"/>
    <w:rsid w:val="008F66C9"/>
    <w:rsid w:val="00901F9A"/>
    <w:rsid w:val="009036E0"/>
    <w:rsid w:val="00905422"/>
    <w:rsid w:val="009117C3"/>
    <w:rsid w:val="00913133"/>
    <w:rsid w:val="00920B73"/>
    <w:rsid w:val="00921DB9"/>
    <w:rsid w:val="0092403D"/>
    <w:rsid w:val="00925B45"/>
    <w:rsid w:val="00926862"/>
    <w:rsid w:val="009379F7"/>
    <w:rsid w:val="009402DB"/>
    <w:rsid w:val="009449B8"/>
    <w:rsid w:val="00944DC9"/>
    <w:rsid w:val="00953F89"/>
    <w:rsid w:val="00954875"/>
    <w:rsid w:val="009611E0"/>
    <w:rsid w:val="009652C5"/>
    <w:rsid w:val="00965F78"/>
    <w:rsid w:val="00965FEE"/>
    <w:rsid w:val="0096643B"/>
    <w:rsid w:val="00967F52"/>
    <w:rsid w:val="009706B5"/>
    <w:rsid w:val="00972A76"/>
    <w:rsid w:val="00972BDF"/>
    <w:rsid w:val="00977870"/>
    <w:rsid w:val="0098121B"/>
    <w:rsid w:val="0098182D"/>
    <w:rsid w:val="00981F55"/>
    <w:rsid w:val="009859A3"/>
    <w:rsid w:val="00992F0F"/>
    <w:rsid w:val="009A3A7E"/>
    <w:rsid w:val="009A5242"/>
    <w:rsid w:val="009A686F"/>
    <w:rsid w:val="009B2EA6"/>
    <w:rsid w:val="009B33A8"/>
    <w:rsid w:val="009B3487"/>
    <w:rsid w:val="009B7C61"/>
    <w:rsid w:val="009C3793"/>
    <w:rsid w:val="009C443E"/>
    <w:rsid w:val="009D13C9"/>
    <w:rsid w:val="009D591D"/>
    <w:rsid w:val="009E1411"/>
    <w:rsid w:val="009E4423"/>
    <w:rsid w:val="009E52F2"/>
    <w:rsid w:val="009F1CD4"/>
    <w:rsid w:val="009F1DF2"/>
    <w:rsid w:val="009F34E7"/>
    <w:rsid w:val="009F3C1F"/>
    <w:rsid w:val="009F614E"/>
    <w:rsid w:val="009F762B"/>
    <w:rsid w:val="00A02047"/>
    <w:rsid w:val="00A035A9"/>
    <w:rsid w:val="00A036BE"/>
    <w:rsid w:val="00A10223"/>
    <w:rsid w:val="00A12205"/>
    <w:rsid w:val="00A2265E"/>
    <w:rsid w:val="00A32C01"/>
    <w:rsid w:val="00A43A7B"/>
    <w:rsid w:val="00A44EA9"/>
    <w:rsid w:val="00A453DC"/>
    <w:rsid w:val="00A46D30"/>
    <w:rsid w:val="00A57431"/>
    <w:rsid w:val="00A62168"/>
    <w:rsid w:val="00A625E2"/>
    <w:rsid w:val="00A72465"/>
    <w:rsid w:val="00A80C92"/>
    <w:rsid w:val="00A82461"/>
    <w:rsid w:val="00A84C2C"/>
    <w:rsid w:val="00A851D8"/>
    <w:rsid w:val="00A85639"/>
    <w:rsid w:val="00A953BA"/>
    <w:rsid w:val="00AA0AAD"/>
    <w:rsid w:val="00AA265E"/>
    <w:rsid w:val="00AA5D62"/>
    <w:rsid w:val="00AB3710"/>
    <w:rsid w:val="00AB4B0F"/>
    <w:rsid w:val="00AB4CA1"/>
    <w:rsid w:val="00AB6C3B"/>
    <w:rsid w:val="00AD6F8E"/>
    <w:rsid w:val="00AE008F"/>
    <w:rsid w:val="00AF0D2E"/>
    <w:rsid w:val="00AF5B42"/>
    <w:rsid w:val="00B05D82"/>
    <w:rsid w:val="00B07B2A"/>
    <w:rsid w:val="00B07C06"/>
    <w:rsid w:val="00B1031A"/>
    <w:rsid w:val="00B11E08"/>
    <w:rsid w:val="00B13200"/>
    <w:rsid w:val="00B25117"/>
    <w:rsid w:val="00B32CD3"/>
    <w:rsid w:val="00B35A93"/>
    <w:rsid w:val="00B3672D"/>
    <w:rsid w:val="00B4745C"/>
    <w:rsid w:val="00B705D9"/>
    <w:rsid w:val="00B70884"/>
    <w:rsid w:val="00B721EE"/>
    <w:rsid w:val="00B73F2E"/>
    <w:rsid w:val="00B75C81"/>
    <w:rsid w:val="00B76FE1"/>
    <w:rsid w:val="00B819EE"/>
    <w:rsid w:val="00B9223B"/>
    <w:rsid w:val="00B95BA8"/>
    <w:rsid w:val="00BA0296"/>
    <w:rsid w:val="00BA0CC7"/>
    <w:rsid w:val="00BA1575"/>
    <w:rsid w:val="00BA4B26"/>
    <w:rsid w:val="00BA4D1F"/>
    <w:rsid w:val="00BA7AD1"/>
    <w:rsid w:val="00BB1627"/>
    <w:rsid w:val="00BB2250"/>
    <w:rsid w:val="00BB5EFE"/>
    <w:rsid w:val="00BB7227"/>
    <w:rsid w:val="00BC0FDD"/>
    <w:rsid w:val="00BC22E0"/>
    <w:rsid w:val="00BC3829"/>
    <w:rsid w:val="00BC4099"/>
    <w:rsid w:val="00BC5094"/>
    <w:rsid w:val="00BC65D9"/>
    <w:rsid w:val="00BC6C48"/>
    <w:rsid w:val="00BD008D"/>
    <w:rsid w:val="00BD38F5"/>
    <w:rsid w:val="00BD4625"/>
    <w:rsid w:val="00BD5D9D"/>
    <w:rsid w:val="00BE22C1"/>
    <w:rsid w:val="00BE28ED"/>
    <w:rsid w:val="00BE2A38"/>
    <w:rsid w:val="00BE4AA0"/>
    <w:rsid w:val="00BF066C"/>
    <w:rsid w:val="00BF3348"/>
    <w:rsid w:val="00C00242"/>
    <w:rsid w:val="00C07032"/>
    <w:rsid w:val="00C110C1"/>
    <w:rsid w:val="00C11ACA"/>
    <w:rsid w:val="00C1294B"/>
    <w:rsid w:val="00C1447B"/>
    <w:rsid w:val="00C20568"/>
    <w:rsid w:val="00C231A5"/>
    <w:rsid w:val="00C25084"/>
    <w:rsid w:val="00C4044D"/>
    <w:rsid w:val="00C45924"/>
    <w:rsid w:val="00C50DDC"/>
    <w:rsid w:val="00C50ED9"/>
    <w:rsid w:val="00C52F21"/>
    <w:rsid w:val="00C676F8"/>
    <w:rsid w:val="00C71CD1"/>
    <w:rsid w:val="00C725B9"/>
    <w:rsid w:val="00C73143"/>
    <w:rsid w:val="00C766FA"/>
    <w:rsid w:val="00C76FD5"/>
    <w:rsid w:val="00C77685"/>
    <w:rsid w:val="00C77815"/>
    <w:rsid w:val="00C83445"/>
    <w:rsid w:val="00C85378"/>
    <w:rsid w:val="00C90E74"/>
    <w:rsid w:val="00C9107A"/>
    <w:rsid w:val="00C91901"/>
    <w:rsid w:val="00C9229F"/>
    <w:rsid w:val="00C9297C"/>
    <w:rsid w:val="00CA6250"/>
    <w:rsid w:val="00CA6FDA"/>
    <w:rsid w:val="00CB3B6F"/>
    <w:rsid w:val="00CC0C5F"/>
    <w:rsid w:val="00CC2F3D"/>
    <w:rsid w:val="00CC3202"/>
    <w:rsid w:val="00CC5FF3"/>
    <w:rsid w:val="00CE2ADF"/>
    <w:rsid w:val="00CF15C0"/>
    <w:rsid w:val="00CF1D7D"/>
    <w:rsid w:val="00CF3499"/>
    <w:rsid w:val="00CF457E"/>
    <w:rsid w:val="00CF45D3"/>
    <w:rsid w:val="00CF6B6C"/>
    <w:rsid w:val="00CF7486"/>
    <w:rsid w:val="00D038C9"/>
    <w:rsid w:val="00D042BB"/>
    <w:rsid w:val="00D06CA0"/>
    <w:rsid w:val="00D105A2"/>
    <w:rsid w:val="00D1647E"/>
    <w:rsid w:val="00D167BA"/>
    <w:rsid w:val="00D17789"/>
    <w:rsid w:val="00D2126F"/>
    <w:rsid w:val="00D21565"/>
    <w:rsid w:val="00D2737E"/>
    <w:rsid w:val="00D274A9"/>
    <w:rsid w:val="00D3030D"/>
    <w:rsid w:val="00D32644"/>
    <w:rsid w:val="00D33619"/>
    <w:rsid w:val="00D34778"/>
    <w:rsid w:val="00D52AC7"/>
    <w:rsid w:val="00D54CA9"/>
    <w:rsid w:val="00D561AF"/>
    <w:rsid w:val="00D62231"/>
    <w:rsid w:val="00D6340F"/>
    <w:rsid w:val="00D6712B"/>
    <w:rsid w:val="00D72D16"/>
    <w:rsid w:val="00D76E3A"/>
    <w:rsid w:val="00D8195B"/>
    <w:rsid w:val="00D8619F"/>
    <w:rsid w:val="00D86764"/>
    <w:rsid w:val="00D9068B"/>
    <w:rsid w:val="00D94D1A"/>
    <w:rsid w:val="00D95482"/>
    <w:rsid w:val="00D957A8"/>
    <w:rsid w:val="00DA2659"/>
    <w:rsid w:val="00DA6C6D"/>
    <w:rsid w:val="00DB0A0E"/>
    <w:rsid w:val="00DB5C0A"/>
    <w:rsid w:val="00DC2553"/>
    <w:rsid w:val="00DC2A81"/>
    <w:rsid w:val="00DC5958"/>
    <w:rsid w:val="00DD13E2"/>
    <w:rsid w:val="00DD4099"/>
    <w:rsid w:val="00DD7AEF"/>
    <w:rsid w:val="00DE070A"/>
    <w:rsid w:val="00DE0F1F"/>
    <w:rsid w:val="00DE3CF8"/>
    <w:rsid w:val="00DE7C31"/>
    <w:rsid w:val="00DF003C"/>
    <w:rsid w:val="00DF0587"/>
    <w:rsid w:val="00DF4501"/>
    <w:rsid w:val="00DF62D4"/>
    <w:rsid w:val="00DF6E00"/>
    <w:rsid w:val="00DF78AE"/>
    <w:rsid w:val="00E033F4"/>
    <w:rsid w:val="00E11E2E"/>
    <w:rsid w:val="00E230A9"/>
    <w:rsid w:val="00E24546"/>
    <w:rsid w:val="00E24AFD"/>
    <w:rsid w:val="00E26592"/>
    <w:rsid w:val="00E315DE"/>
    <w:rsid w:val="00E371EC"/>
    <w:rsid w:val="00E41007"/>
    <w:rsid w:val="00E47F19"/>
    <w:rsid w:val="00E52114"/>
    <w:rsid w:val="00E524CA"/>
    <w:rsid w:val="00E5601A"/>
    <w:rsid w:val="00E56347"/>
    <w:rsid w:val="00E60993"/>
    <w:rsid w:val="00E663D2"/>
    <w:rsid w:val="00E67D79"/>
    <w:rsid w:val="00E72AE3"/>
    <w:rsid w:val="00E73B51"/>
    <w:rsid w:val="00E80324"/>
    <w:rsid w:val="00E82FCC"/>
    <w:rsid w:val="00E84ABE"/>
    <w:rsid w:val="00E86724"/>
    <w:rsid w:val="00E9634E"/>
    <w:rsid w:val="00EA1F89"/>
    <w:rsid w:val="00EB117B"/>
    <w:rsid w:val="00EB40D6"/>
    <w:rsid w:val="00EB5F75"/>
    <w:rsid w:val="00EB79CD"/>
    <w:rsid w:val="00EC14B7"/>
    <w:rsid w:val="00ED06E5"/>
    <w:rsid w:val="00ED52EE"/>
    <w:rsid w:val="00EE0F2E"/>
    <w:rsid w:val="00EE2A41"/>
    <w:rsid w:val="00EF0767"/>
    <w:rsid w:val="00EF09FB"/>
    <w:rsid w:val="00F02923"/>
    <w:rsid w:val="00F0351B"/>
    <w:rsid w:val="00F06472"/>
    <w:rsid w:val="00F15B0A"/>
    <w:rsid w:val="00F20DE7"/>
    <w:rsid w:val="00F22566"/>
    <w:rsid w:val="00F22963"/>
    <w:rsid w:val="00F2656C"/>
    <w:rsid w:val="00F34FC2"/>
    <w:rsid w:val="00F403EA"/>
    <w:rsid w:val="00F41168"/>
    <w:rsid w:val="00F42753"/>
    <w:rsid w:val="00F510DB"/>
    <w:rsid w:val="00F511D0"/>
    <w:rsid w:val="00F61F77"/>
    <w:rsid w:val="00F6471D"/>
    <w:rsid w:val="00F678AF"/>
    <w:rsid w:val="00F7053D"/>
    <w:rsid w:val="00F727B0"/>
    <w:rsid w:val="00F815D1"/>
    <w:rsid w:val="00F83D71"/>
    <w:rsid w:val="00F87463"/>
    <w:rsid w:val="00F90847"/>
    <w:rsid w:val="00F92B23"/>
    <w:rsid w:val="00F93BE2"/>
    <w:rsid w:val="00F96254"/>
    <w:rsid w:val="00FA0189"/>
    <w:rsid w:val="00FA2545"/>
    <w:rsid w:val="00FA7CD6"/>
    <w:rsid w:val="00FB1679"/>
    <w:rsid w:val="00FB27A2"/>
    <w:rsid w:val="00FB4AAD"/>
    <w:rsid w:val="00FB4E3D"/>
    <w:rsid w:val="00FB5F2A"/>
    <w:rsid w:val="00FC1FDF"/>
    <w:rsid w:val="00FC2F29"/>
    <w:rsid w:val="00FC348B"/>
    <w:rsid w:val="00FC4F9B"/>
    <w:rsid w:val="00FC59F0"/>
    <w:rsid w:val="00FC5C3F"/>
    <w:rsid w:val="00FD1E03"/>
    <w:rsid w:val="00FD4599"/>
    <w:rsid w:val="00FD4784"/>
    <w:rsid w:val="00FD4B54"/>
    <w:rsid w:val="00FD65FE"/>
    <w:rsid w:val="00FD6CBF"/>
    <w:rsid w:val="00FE1330"/>
    <w:rsid w:val="00FF1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1"/>
    <w:qFormat/>
    <w:rsid w:val="0063029E"/>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067A42"/>
    <w:rPr>
      <w:color w:val="605E5C"/>
      <w:shd w:val="clear" w:color="auto" w:fill="E1DFDD"/>
    </w:rPr>
  </w:style>
  <w:style w:type="character" w:customStyle="1" w:styleId="Ttulo1Car">
    <w:name w:val="Título 1 Car"/>
    <w:basedOn w:val="Fuentedeprrafopredeter"/>
    <w:link w:val="Ttulo1"/>
    <w:uiPriority w:val="1"/>
    <w:rsid w:val="0063029E"/>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63029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3029E"/>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731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4095165">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EF8F-F249-4241-BCC7-4E1563EB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6139</Words>
  <Characters>33765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2019-08-05T14:27:00Z</cp:lastPrinted>
  <dcterms:created xsi:type="dcterms:W3CDTF">2019-09-04T17:16:00Z</dcterms:created>
  <dcterms:modified xsi:type="dcterms:W3CDTF">2019-09-04T17:16:00Z</dcterms:modified>
</cp:coreProperties>
</file>