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6F132E" w:rsidRDefault="00B06D8A" w:rsidP="00B06D8A">
      <w:pPr>
        <w:spacing w:line="360" w:lineRule="auto"/>
        <w:jc w:val="both"/>
        <w:rPr>
          <w:rFonts w:ascii="Palatino Linotype" w:hAnsi="Palatino Linotype"/>
        </w:rPr>
      </w:pPr>
      <w:bookmarkStart w:id="0" w:name="_GoBack"/>
      <w:bookmarkEnd w:id="0"/>
      <w:r w:rsidRPr="006F132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800D3">
        <w:rPr>
          <w:rFonts w:ascii="Palatino Linotype" w:hAnsi="Palatino Linotype"/>
        </w:rPr>
        <w:t>veinti</w:t>
      </w:r>
      <w:r w:rsidR="00C77F72">
        <w:rPr>
          <w:rFonts w:ascii="Palatino Linotype" w:hAnsi="Palatino Linotype"/>
        </w:rPr>
        <w:t>ocho</w:t>
      </w:r>
      <w:r w:rsidR="000B6DC0" w:rsidRPr="006F132E">
        <w:rPr>
          <w:rFonts w:ascii="Palatino Linotype" w:hAnsi="Palatino Linotype"/>
        </w:rPr>
        <w:t xml:space="preserve"> de agosto</w:t>
      </w:r>
      <w:r w:rsidRPr="006F132E">
        <w:rPr>
          <w:rFonts w:ascii="Palatino Linotype" w:hAnsi="Palatino Linotype"/>
        </w:rPr>
        <w:t xml:space="preserve"> de dos mil diecinueve.</w:t>
      </w:r>
    </w:p>
    <w:p w:rsidR="00B06D8A" w:rsidRPr="006F132E" w:rsidRDefault="00B06D8A" w:rsidP="00B06D8A">
      <w:pPr>
        <w:spacing w:line="360" w:lineRule="auto"/>
        <w:jc w:val="both"/>
        <w:rPr>
          <w:rFonts w:ascii="Palatino Linotype" w:hAnsi="Palatino Linotype"/>
        </w:rPr>
      </w:pPr>
    </w:p>
    <w:p w:rsidR="00B06D8A" w:rsidRPr="006F132E" w:rsidRDefault="00B06D8A" w:rsidP="00B06D8A">
      <w:pPr>
        <w:spacing w:line="360" w:lineRule="auto"/>
        <w:jc w:val="both"/>
        <w:rPr>
          <w:rFonts w:ascii="Palatino Linotype" w:hAnsi="Palatino Linotype"/>
        </w:rPr>
      </w:pPr>
      <w:r w:rsidRPr="006F132E">
        <w:rPr>
          <w:rFonts w:ascii="Palatino Linotype" w:hAnsi="Palatino Linotype"/>
        </w:rPr>
        <w:t xml:space="preserve">VISTO el expediente formado con motivo del recurso de revisión </w:t>
      </w:r>
      <w:r w:rsidR="00C77F72" w:rsidRPr="00C77F72">
        <w:rPr>
          <w:rFonts w:ascii="Palatino Linotype" w:hAnsi="Palatino Linotype"/>
          <w:b/>
        </w:rPr>
        <w:t>04542/INFOEM/IP/RR/2019</w:t>
      </w:r>
      <w:r w:rsidRPr="006F132E">
        <w:rPr>
          <w:rFonts w:ascii="Palatino Linotype" w:hAnsi="Palatino Linotype"/>
        </w:rPr>
        <w:t xml:space="preserve">, promovido por </w:t>
      </w:r>
      <w:r w:rsidR="00CA414E">
        <w:rPr>
          <w:rFonts w:ascii="Palatino Linotype" w:hAnsi="Palatino Linotype"/>
        </w:rPr>
        <w:t xml:space="preserve">una persona que </w:t>
      </w:r>
      <w:r w:rsidR="00BE0B01" w:rsidRPr="006F132E">
        <w:rPr>
          <w:rFonts w:ascii="Palatino Linotype" w:hAnsi="Palatino Linotype"/>
        </w:rPr>
        <w:t>e</w:t>
      </w:r>
      <w:r w:rsidRPr="006F132E">
        <w:rPr>
          <w:rFonts w:ascii="Palatino Linotype" w:hAnsi="Palatino Linotype"/>
        </w:rPr>
        <w:t xml:space="preserve">n lo sucesivo </w:t>
      </w:r>
      <w:r w:rsidR="00502572">
        <w:rPr>
          <w:rFonts w:ascii="Palatino Linotype" w:hAnsi="Palatino Linotype"/>
          <w:b/>
        </w:rPr>
        <w:t>EL</w:t>
      </w:r>
      <w:r w:rsidR="00DC71D1" w:rsidRPr="006F132E">
        <w:rPr>
          <w:rFonts w:ascii="Palatino Linotype" w:hAnsi="Palatino Linotype"/>
          <w:b/>
        </w:rPr>
        <w:t xml:space="preserve"> RECURRENTE</w:t>
      </w:r>
      <w:r w:rsidRPr="006F132E">
        <w:rPr>
          <w:rFonts w:ascii="Palatino Linotype" w:hAnsi="Palatino Linotype"/>
          <w:b/>
        </w:rPr>
        <w:t>,</w:t>
      </w:r>
      <w:r w:rsidRPr="006F132E">
        <w:rPr>
          <w:rFonts w:ascii="Palatino Linotype" w:hAnsi="Palatino Linotype"/>
        </w:rPr>
        <w:t xml:space="preserve"> en contra de la respuesta emitida por el</w:t>
      </w:r>
      <w:r w:rsidRPr="006F132E">
        <w:rPr>
          <w:rFonts w:ascii="Palatino Linotype" w:hAnsi="Palatino Linotype"/>
          <w:b/>
        </w:rPr>
        <w:t xml:space="preserve"> </w:t>
      </w:r>
      <w:r w:rsidR="00CA414E" w:rsidRPr="00CA414E">
        <w:rPr>
          <w:rFonts w:ascii="Palatino Linotype" w:hAnsi="Palatino Linotype"/>
          <w:b/>
        </w:rPr>
        <w:t>Organismo Público Descentralizado para la Prestación de Los Servicios de Agua Potable Alcantarillado y Saneamiento del Municipio de Zumpango</w:t>
      </w:r>
      <w:r w:rsidRPr="006F132E">
        <w:rPr>
          <w:rFonts w:ascii="Palatino Linotype" w:hAnsi="Palatino Linotype"/>
        </w:rPr>
        <w:t xml:space="preserve">, en lo sucesivo </w:t>
      </w:r>
      <w:r w:rsidRPr="006F132E">
        <w:rPr>
          <w:rFonts w:ascii="Palatino Linotype" w:hAnsi="Palatino Linotype"/>
          <w:b/>
        </w:rPr>
        <w:t>EL SUJETO OBLIGADO</w:t>
      </w:r>
      <w:r w:rsidRPr="006F132E">
        <w:rPr>
          <w:rFonts w:ascii="Palatino Linotype" w:hAnsi="Palatino Linotype"/>
        </w:rPr>
        <w:t xml:space="preserve">, se procede a dictar la presente resolución con base en lo que se expone: </w:t>
      </w:r>
    </w:p>
    <w:p w:rsidR="00B06D8A" w:rsidRPr="006F132E" w:rsidRDefault="00B06D8A" w:rsidP="00B06D8A">
      <w:pPr>
        <w:tabs>
          <w:tab w:val="left" w:pos="9072"/>
        </w:tabs>
        <w:spacing w:line="360" w:lineRule="auto"/>
        <w:jc w:val="both"/>
        <w:rPr>
          <w:rFonts w:ascii="Palatino Linotype" w:hAnsi="Palatino Linotype"/>
        </w:rPr>
      </w:pPr>
    </w:p>
    <w:p w:rsidR="00B06D8A" w:rsidRPr="006F132E" w:rsidRDefault="00B06D8A" w:rsidP="00B06D8A">
      <w:pPr>
        <w:spacing w:line="360" w:lineRule="auto"/>
        <w:jc w:val="center"/>
        <w:rPr>
          <w:rFonts w:ascii="Palatino Linotype" w:hAnsi="Palatino Linotype"/>
          <w:b/>
          <w:bCs/>
          <w:spacing w:val="60"/>
          <w:sz w:val="28"/>
        </w:rPr>
      </w:pPr>
      <w:r w:rsidRPr="006F132E">
        <w:rPr>
          <w:rFonts w:ascii="Palatino Linotype" w:hAnsi="Palatino Linotype"/>
          <w:b/>
          <w:bCs/>
          <w:spacing w:val="60"/>
          <w:sz w:val="28"/>
        </w:rPr>
        <w:t>RESULTANDO</w:t>
      </w:r>
    </w:p>
    <w:p w:rsidR="00B06D8A" w:rsidRPr="006F132E" w:rsidRDefault="00B06D8A" w:rsidP="00B06D8A">
      <w:pPr>
        <w:spacing w:line="360" w:lineRule="auto"/>
        <w:jc w:val="center"/>
        <w:rPr>
          <w:rFonts w:ascii="Palatino Linotype" w:hAnsi="Palatino Linotype"/>
          <w:b/>
          <w:bCs/>
          <w:spacing w:val="60"/>
        </w:rPr>
      </w:pPr>
    </w:p>
    <w:p w:rsidR="00B06D8A" w:rsidRPr="006F132E" w:rsidRDefault="00B06D8A" w:rsidP="00B06D8A">
      <w:pPr>
        <w:pStyle w:val="Prrafodelista"/>
        <w:numPr>
          <w:ilvl w:val="0"/>
          <w:numId w:val="2"/>
        </w:numPr>
        <w:spacing w:line="360" w:lineRule="auto"/>
        <w:ind w:left="0" w:firstLine="0"/>
        <w:jc w:val="both"/>
        <w:rPr>
          <w:rFonts w:ascii="Palatino Linotype" w:hAnsi="Palatino Linotype" w:cs="Arial"/>
        </w:rPr>
      </w:pPr>
      <w:r w:rsidRPr="006F132E">
        <w:rPr>
          <w:rFonts w:ascii="Palatino Linotype" w:hAnsi="Palatino Linotype"/>
        </w:rPr>
        <w:t xml:space="preserve">En fecha </w:t>
      </w:r>
      <w:r w:rsidR="00DC71D1" w:rsidRPr="006F132E">
        <w:rPr>
          <w:rFonts w:ascii="Palatino Linotype" w:hAnsi="Palatino Linotype"/>
        </w:rPr>
        <w:t>veinti</w:t>
      </w:r>
      <w:r w:rsidR="00C77F72">
        <w:rPr>
          <w:rFonts w:ascii="Palatino Linotype" w:hAnsi="Palatino Linotype"/>
        </w:rPr>
        <w:t xml:space="preserve">cuatro </w:t>
      </w:r>
      <w:r w:rsidR="00BE0B01" w:rsidRPr="006F132E">
        <w:rPr>
          <w:rFonts w:ascii="Palatino Linotype" w:hAnsi="Palatino Linotype"/>
        </w:rPr>
        <w:t>de abril</w:t>
      </w:r>
      <w:r w:rsidRPr="006F132E">
        <w:rPr>
          <w:rFonts w:ascii="Palatino Linotype" w:hAnsi="Palatino Linotype"/>
        </w:rPr>
        <w:t xml:space="preserve"> de dos mil diecinueve, </w:t>
      </w:r>
      <w:r w:rsidR="00502572">
        <w:rPr>
          <w:rFonts w:ascii="Palatino Linotype" w:hAnsi="Palatino Linotype"/>
          <w:b/>
        </w:rPr>
        <w:t>EL</w:t>
      </w:r>
      <w:r w:rsidR="00DC71D1" w:rsidRPr="006F132E">
        <w:rPr>
          <w:rFonts w:ascii="Palatino Linotype" w:hAnsi="Palatino Linotype"/>
          <w:b/>
        </w:rPr>
        <w:t xml:space="preserve"> RECURRENTE</w:t>
      </w:r>
      <w:r w:rsidRPr="006F132E">
        <w:rPr>
          <w:rFonts w:ascii="Palatino Linotype" w:hAnsi="Palatino Linotype"/>
        </w:rPr>
        <w:t xml:space="preserve"> presentó a través del Sistema de </w:t>
      </w:r>
      <w:r w:rsidRPr="006F132E">
        <w:rPr>
          <w:rFonts w:ascii="Palatino Linotype" w:hAnsi="Palatino Linotype" w:cs="Arial"/>
        </w:rPr>
        <w:t>Acceso</w:t>
      </w:r>
      <w:r w:rsidRPr="006F132E">
        <w:rPr>
          <w:rFonts w:ascii="Palatino Linotype" w:hAnsi="Palatino Linotype"/>
        </w:rPr>
        <w:t xml:space="preserve"> a la Información Mexiquense, en lo subsecuente </w:t>
      </w:r>
      <w:r w:rsidRPr="006F132E">
        <w:rPr>
          <w:rFonts w:ascii="Palatino Linotype" w:hAnsi="Palatino Linotype"/>
          <w:b/>
        </w:rPr>
        <w:t>EL SAIMEX</w:t>
      </w:r>
      <w:r w:rsidRPr="006F132E">
        <w:rPr>
          <w:rFonts w:ascii="Palatino Linotype" w:hAnsi="Palatino Linotype"/>
        </w:rPr>
        <w:t xml:space="preserve">, ante </w:t>
      </w:r>
      <w:r w:rsidRPr="006F132E">
        <w:rPr>
          <w:rFonts w:ascii="Palatino Linotype" w:hAnsi="Palatino Linotype"/>
          <w:b/>
        </w:rPr>
        <w:t>EL SUJETO OBLIGADO</w:t>
      </w:r>
      <w:r w:rsidRPr="006F132E">
        <w:rPr>
          <w:rFonts w:ascii="Palatino Linotype" w:hAnsi="Palatino Linotype"/>
        </w:rPr>
        <w:t xml:space="preserve">, la solicitud de acceso a información pública, a la que se le asignó el número </w:t>
      </w:r>
      <w:r w:rsidR="00C77F72" w:rsidRPr="00C77F72">
        <w:rPr>
          <w:rFonts w:ascii="Palatino Linotype" w:hAnsi="Palatino Linotype"/>
          <w:b/>
          <w:bCs/>
        </w:rPr>
        <w:t>00045/OASZUMPANG/IP/2019</w:t>
      </w:r>
      <w:r w:rsidRPr="006F132E">
        <w:rPr>
          <w:rFonts w:ascii="Palatino Linotype" w:hAnsi="Palatino Linotype"/>
          <w:b/>
          <w:bCs/>
        </w:rPr>
        <w:t>,</w:t>
      </w:r>
      <w:r w:rsidRPr="006F132E">
        <w:rPr>
          <w:rFonts w:ascii="Palatino Linotype" w:hAnsi="Palatino Linotype"/>
        </w:rPr>
        <w:t xml:space="preserve"> mediante la cual solicitó, vía </w:t>
      </w:r>
      <w:r w:rsidRPr="006F132E">
        <w:rPr>
          <w:rFonts w:ascii="Palatino Linotype" w:hAnsi="Palatino Linotype"/>
          <w:b/>
        </w:rPr>
        <w:t>SAIMEX</w:t>
      </w:r>
      <w:r w:rsidRPr="006F132E">
        <w:rPr>
          <w:rFonts w:ascii="Palatino Linotype" w:hAnsi="Palatino Linotype"/>
        </w:rPr>
        <w:t xml:space="preserve">, lo </w:t>
      </w:r>
      <w:r w:rsidRPr="006F132E">
        <w:rPr>
          <w:rFonts w:ascii="Palatino Linotype" w:hAnsi="Palatino Linotype" w:cs="Arial"/>
        </w:rPr>
        <w:t>siguiente</w:t>
      </w:r>
      <w:r w:rsidRPr="006F132E">
        <w:rPr>
          <w:rFonts w:ascii="Palatino Linotype" w:hAnsi="Palatino Linotype"/>
        </w:rPr>
        <w:t>:</w:t>
      </w:r>
    </w:p>
    <w:p w:rsidR="00B06D8A" w:rsidRPr="006F132E" w:rsidRDefault="00B06D8A" w:rsidP="00B06D8A">
      <w:pPr>
        <w:pStyle w:val="Prrafodelista"/>
        <w:spacing w:line="360" w:lineRule="auto"/>
        <w:ind w:left="851" w:right="899"/>
        <w:jc w:val="both"/>
        <w:rPr>
          <w:rFonts w:ascii="Palatino Linotype" w:hAnsi="Palatino Linotype" w:cs="Arial"/>
          <w:i/>
        </w:rPr>
      </w:pPr>
    </w:p>
    <w:p w:rsidR="00B06D8A" w:rsidRPr="006F132E" w:rsidRDefault="00B06D8A" w:rsidP="00B06D8A">
      <w:pPr>
        <w:pStyle w:val="Prrafodelista"/>
        <w:ind w:left="709" w:right="757"/>
        <w:jc w:val="both"/>
        <w:rPr>
          <w:rFonts w:ascii="Palatino Linotype" w:hAnsi="Palatino Linotype" w:cs="Arial"/>
          <w:i/>
          <w:sz w:val="22"/>
        </w:rPr>
      </w:pPr>
      <w:r w:rsidRPr="006F132E">
        <w:rPr>
          <w:rFonts w:ascii="Palatino Linotype" w:hAnsi="Palatino Linotype" w:cs="Arial"/>
          <w:i/>
          <w:sz w:val="22"/>
        </w:rPr>
        <w:t>“</w:t>
      </w:r>
      <w:r w:rsidR="00C77F72" w:rsidRPr="00C77F72">
        <w:rPr>
          <w:rFonts w:ascii="Palatino Linotype" w:hAnsi="Palatino Linotype" w:cs="Arial"/>
          <w:i/>
          <w:sz w:val="22"/>
        </w:rPr>
        <w:t xml:space="preserve">Solicito </w:t>
      </w:r>
      <w:proofErr w:type="spellStart"/>
      <w:r w:rsidR="00C77F72" w:rsidRPr="00C77F72">
        <w:rPr>
          <w:rFonts w:ascii="Palatino Linotype" w:hAnsi="Palatino Linotype" w:cs="Arial"/>
          <w:i/>
          <w:sz w:val="22"/>
        </w:rPr>
        <w:t>Pbrm</w:t>
      </w:r>
      <w:proofErr w:type="spellEnd"/>
      <w:r w:rsidR="00C77F72" w:rsidRPr="00C77F72">
        <w:rPr>
          <w:rFonts w:ascii="Palatino Linotype" w:hAnsi="Palatino Linotype" w:cs="Arial"/>
          <w:i/>
          <w:sz w:val="22"/>
        </w:rPr>
        <w:t xml:space="preserve"> Anual, </w:t>
      </w:r>
      <w:proofErr w:type="spellStart"/>
      <w:r w:rsidR="00C77F72" w:rsidRPr="00C77F72">
        <w:rPr>
          <w:rFonts w:ascii="Palatino Linotype" w:hAnsi="Palatino Linotype" w:cs="Arial"/>
          <w:i/>
          <w:sz w:val="22"/>
        </w:rPr>
        <w:t>Pbrm</w:t>
      </w:r>
      <w:proofErr w:type="spellEnd"/>
      <w:r w:rsidR="00C77F72" w:rsidRPr="00C77F72">
        <w:rPr>
          <w:rFonts w:ascii="Palatino Linotype" w:hAnsi="Palatino Linotype" w:cs="Arial"/>
          <w:i/>
          <w:sz w:val="22"/>
        </w:rPr>
        <w:t xml:space="preserve"> Trimestral, fichas </w:t>
      </w:r>
      <w:proofErr w:type="spellStart"/>
      <w:r w:rsidR="00C77F72" w:rsidRPr="00C77F72">
        <w:rPr>
          <w:rFonts w:ascii="Palatino Linotype" w:hAnsi="Palatino Linotype" w:cs="Arial"/>
          <w:i/>
          <w:sz w:val="22"/>
        </w:rPr>
        <w:t>tecnicas</w:t>
      </w:r>
      <w:proofErr w:type="spellEnd"/>
      <w:r w:rsidR="00C77F72" w:rsidRPr="00C77F72">
        <w:rPr>
          <w:rFonts w:ascii="Palatino Linotype" w:hAnsi="Palatino Linotype" w:cs="Arial"/>
          <w:i/>
          <w:sz w:val="22"/>
        </w:rPr>
        <w:t xml:space="preserve"> de indicadores de desempeño de la Dirección General, así como la evidencia que garantiza el cumplimiento de sus metas e indicadores del área, solicito las actas de sesiones de consejo ordinarias y extraordinarias de 2016, con los anexos correspondientes, solicito manuales de </w:t>
      </w:r>
      <w:r w:rsidR="00C77F72" w:rsidRPr="00C77F72">
        <w:rPr>
          <w:rFonts w:ascii="Palatino Linotype" w:hAnsi="Palatino Linotype" w:cs="Arial"/>
          <w:i/>
          <w:sz w:val="22"/>
        </w:rPr>
        <w:lastRenderedPageBreak/>
        <w:t xml:space="preserve">organización, procedimientos, reglamento interno y organigrama vigente con su acta sesión de consejo donde se aprueba y la gaceta de gobierno donde es publicada dicha información para que esta pueda ser </w:t>
      </w:r>
      <w:proofErr w:type="spellStart"/>
      <w:r w:rsidR="00C77F72" w:rsidRPr="00C77F72">
        <w:rPr>
          <w:rFonts w:ascii="Palatino Linotype" w:hAnsi="Palatino Linotype" w:cs="Arial"/>
          <w:i/>
          <w:sz w:val="22"/>
        </w:rPr>
        <w:t>valida</w:t>
      </w:r>
      <w:proofErr w:type="spellEnd"/>
      <w:r w:rsidR="00C77F72" w:rsidRPr="00C77F72">
        <w:rPr>
          <w:rFonts w:ascii="Palatino Linotype" w:hAnsi="Palatino Linotype" w:cs="Arial"/>
          <w:i/>
          <w:sz w:val="22"/>
        </w:rPr>
        <w:t xml:space="preserve">, solicito el estado financiero de ingresos y egreso del 01 de enero de 2019 al 31 de marzo de 2019, por partida contable, por área desglosado mensualmente, solicito las listas de asistencia de todos los empleados del organismo del 1 de enero de 2019 al 15 de abril de 2019, </w:t>
      </w:r>
      <w:proofErr w:type="spellStart"/>
      <w:r w:rsidR="00C77F72" w:rsidRPr="00C77F72">
        <w:rPr>
          <w:rFonts w:ascii="Palatino Linotype" w:hAnsi="Palatino Linotype" w:cs="Arial"/>
          <w:i/>
          <w:sz w:val="22"/>
        </w:rPr>
        <w:t>asi</w:t>
      </w:r>
      <w:proofErr w:type="spellEnd"/>
      <w:r w:rsidR="00C77F72" w:rsidRPr="00C77F72">
        <w:rPr>
          <w:rFonts w:ascii="Palatino Linotype" w:hAnsi="Palatino Linotype" w:cs="Arial"/>
          <w:i/>
          <w:sz w:val="22"/>
        </w:rPr>
        <w:t xml:space="preserve"> como los justificantes del porque no hubo registro en caso de no haberlo o su descuento correspondiente incluyendo directores y </w:t>
      </w:r>
      <w:proofErr w:type="spellStart"/>
      <w:r w:rsidR="00C77F72" w:rsidRPr="00C77F72">
        <w:rPr>
          <w:rFonts w:ascii="Palatino Linotype" w:hAnsi="Palatino Linotype" w:cs="Arial"/>
          <w:i/>
          <w:sz w:val="22"/>
        </w:rPr>
        <w:t>encaso</w:t>
      </w:r>
      <w:proofErr w:type="spellEnd"/>
      <w:r w:rsidR="00C77F72" w:rsidRPr="00C77F72">
        <w:rPr>
          <w:rFonts w:ascii="Palatino Linotype" w:hAnsi="Palatino Linotype" w:cs="Arial"/>
          <w:i/>
          <w:sz w:val="22"/>
        </w:rPr>
        <w:t xml:space="preserve"> de no haber registro de estos, solicito el fundamento legal del </w:t>
      </w:r>
      <w:proofErr w:type="spellStart"/>
      <w:r w:rsidR="00C77F72" w:rsidRPr="00C77F72">
        <w:rPr>
          <w:rFonts w:ascii="Palatino Linotype" w:hAnsi="Palatino Linotype" w:cs="Arial"/>
          <w:i/>
          <w:sz w:val="22"/>
        </w:rPr>
        <w:t>por que</w:t>
      </w:r>
      <w:proofErr w:type="spellEnd"/>
      <w:r w:rsidR="00C77F72" w:rsidRPr="00C77F72">
        <w:rPr>
          <w:rFonts w:ascii="Palatino Linotype" w:hAnsi="Palatino Linotype" w:cs="Arial"/>
          <w:i/>
          <w:sz w:val="22"/>
        </w:rPr>
        <w:t xml:space="preserve"> no lo hacen así como indicar en que apartado del sus normas internas lo marcan</w:t>
      </w:r>
      <w:r w:rsidRPr="006F132E">
        <w:rPr>
          <w:rFonts w:ascii="Palatino Linotype" w:hAnsi="Palatino Linotype" w:cs="Arial"/>
          <w:i/>
          <w:sz w:val="22"/>
        </w:rPr>
        <w:t xml:space="preserve">” </w:t>
      </w:r>
      <w:r w:rsidRPr="006F132E">
        <w:rPr>
          <w:rFonts w:ascii="Palatino Linotype" w:hAnsi="Palatino Linotype"/>
          <w:sz w:val="22"/>
        </w:rPr>
        <w:t>(Sic)</w:t>
      </w:r>
    </w:p>
    <w:p w:rsidR="00760BDD" w:rsidRPr="006F132E" w:rsidRDefault="00760BDD" w:rsidP="00B06D8A">
      <w:pPr>
        <w:spacing w:line="360" w:lineRule="auto"/>
        <w:ind w:right="709"/>
        <w:jc w:val="both"/>
        <w:rPr>
          <w:rFonts w:ascii="Palatino Linotype" w:hAnsi="Palatino Linotype"/>
        </w:rPr>
      </w:pPr>
    </w:p>
    <w:p w:rsidR="00B06D8A" w:rsidRPr="006F132E" w:rsidRDefault="00B06D8A" w:rsidP="00B06D8A">
      <w:pPr>
        <w:pStyle w:val="Prrafodelista"/>
        <w:numPr>
          <w:ilvl w:val="0"/>
          <w:numId w:val="2"/>
        </w:numPr>
        <w:spacing w:line="360" w:lineRule="auto"/>
        <w:ind w:left="0" w:firstLine="0"/>
        <w:jc w:val="both"/>
        <w:rPr>
          <w:rFonts w:ascii="Palatino Linotype" w:hAnsi="Palatino Linotype" w:cs="Arial"/>
        </w:rPr>
      </w:pPr>
      <w:r w:rsidRPr="006F132E">
        <w:rPr>
          <w:rFonts w:ascii="Palatino Linotype" w:hAnsi="Palatino Linotype" w:cs="Arial"/>
        </w:rPr>
        <w:t xml:space="preserve">De las constancias que obran en el expediente electrónico del </w:t>
      </w:r>
      <w:r w:rsidRPr="006F132E">
        <w:rPr>
          <w:rFonts w:ascii="Palatino Linotype" w:hAnsi="Palatino Linotype" w:cs="Arial"/>
          <w:b/>
        </w:rPr>
        <w:t>SAIMEX</w:t>
      </w:r>
      <w:r w:rsidRPr="006F132E">
        <w:rPr>
          <w:rFonts w:ascii="Palatino Linotype" w:hAnsi="Palatino Linotype" w:cs="Arial"/>
        </w:rPr>
        <w:t xml:space="preserve">, se advierte que, en el apartado de requerimientos de conformidad con el artículo 162 de Ley de la materia, el Titular de la Unidad de Transporte turnó la solicitud de </w:t>
      </w:r>
      <w:r w:rsidR="00760BDD" w:rsidRPr="006F132E">
        <w:rPr>
          <w:rFonts w:ascii="Palatino Linotype" w:hAnsi="Palatino Linotype" w:cs="Arial"/>
        </w:rPr>
        <w:t>información a</w:t>
      </w:r>
      <w:r w:rsidR="00F21FCF">
        <w:rPr>
          <w:rFonts w:ascii="Palatino Linotype" w:hAnsi="Palatino Linotype" w:cs="Arial"/>
        </w:rPr>
        <w:t xml:space="preserve"> las Titulares de la </w:t>
      </w:r>
      <w:r w:rsidR="00F21FCF" w:rsidRPr="00F21FCF">
        <w:rPr>
          <w:rFonts w:ascii="Palatino Linotype" w:hAnsi="Palatino Linotype" w:cs="Arial"/>
        </w:rPr>
        <w:t>D</w:t>
      </w:r>
      <w:r w:rsidR="00F21FCF">
        <w:rPr>
          <w:rFonts w:ascii="Palatino Linotype" w:hAnsi="Palatino Linotype" w:cs="Arial"/>
        </w:rPr>
        <w:t>irección de Finanzas</w:t>
      </w:r>
      <w:r w:rsidRPr="006F132E">
        <w:rPr>
          <w:rFonts w:ascii="Palatino Linotype" w:hAnsi="Palatino Linotype" w:cs="Arial"/>
        </w:rPr>
        <w:t xml:space="preserve">, </w:t>
      </w:r>
      <w:r w:rsidR="00F21FCF" w:rsidRPr="00F21FCF">
        <w:rPr>
          <w:rFonts w:ascii="Palatino Linotype" w:hAnsi="Palatino Linotype" w:cs="Arial"/>
        </w:rPr>
        <w:t>Direc</w:t>
      </w:r>
      <w:r w:rsidR="00F21FCF">
        <w:rPr>
          <w:rFonts w:ascii="Palatino Linotype" w:hAnsi="Palatino Linotype" w:cs="Arial"/>
        </w:rPr>
        <w:t>ción d</w:t>
      </w:r>
      <w:r w:rsidR="00F21FCF" w:rsidRPr="00F21FCF">
        <w:rPr>
          <w:rFonts w:ascii="Palatino Linotype" w:hAnsi="Palatino Linotype" w:cs="Arial"/>
        </w:rPr>
        <w:t>e Administración</w:t>
      </w:r>
      <w:r w:rsidR="00F21FCF">
        <w:rPr>
          <w:rFonts w:ascii="Palatino Linotype" w:hAnsi="Palatino Linotype" w:cs="Arial"/>
        </w:rPr>
        <w:t xml:space="preserve"> y </w:t>
      </w:r>
      <w:r w:rsidR="00584889">
        <w:rPr>
          <w:rFonts w:ascii="Palatino Linotype" w:hAnsi="Palatino Linotype" w:cs="Arial"/>
        </w:rPr>
        <w:t>Dirección</w:t>
      </w:r>
      <w:r w:rsidR="00F21FCF">
        <w:rPr>
          <w:rFonts w:ascii="Palatino Linotype" w:hAnsi="Palatino Linotype" w:cs="Arial"/>
        </w:rPr>
        <w:t xml:space="preserve"> </w:t>
      </w:r>
      <w:r w:rsidR="00584889">
        <w:rPr>
          <w:rFonts w:ascii="Palatino Linotype" w:hAnsi="Palatino Linotype" w:cs="Arial"/>
        </w:rPr>
        <w:t>Jurídica</w:t>
      </w:r>
      <w:r w:rsidR="00F21FCF">
        <w:rPr>
          <w:rFonts w:ascii="Palatino Linotype" w:hAnsi="Palatino Linotype" w:cs="Arial"/>
        </w:rPr>
        <w:t xml:space="preserve">, </w:t>
      </w:r>
      <w:r w:rsidR="00584889">
        <w:rPr>
          <w:rFonts w:ascii="Palatino Linotype" w:hAnsi="Palatino Linotype" w:cs="Arial"/>
        </w:rPr>
        <w:t>así</w:t>
      </w:r>
      <w:r w:rsidR="00F21FCF">
        <w:rPr>
          <w:rFonts w:ascii="Palatino Linotype" w:hAnsi="Palatino Linotype" w:cs="Arial"/>
        </w:rPr>
        <w:t xml:space="preserve"> como a una servidora pública de quien se </w:t>
      </w:r>
      <w:r w:rsidR="00584889">
        <w:rPr>
          <w:rFonts w:ascii="Palatino Linotype" w:hAnsi="Palatino Linotype" w:cs="Arial"/>
        </w:rPr>
        <w:t>desconoce</w:t>
      </w:r>
      <w:r w:rsidR="00F21FCF">
        <w:rPr>
          <w:rFonts w:ascii="Palatino Linotype" w:hAnsi="Palatino Linotype" w:cs="Arial"/>
        </w:rPr>
        <w:t xml:space="preserve"> el cargo que</w:t>
      </w:r>
      <w:r w:rsidR="00584889">
        <w:rPr>
          <w:rFonts w:ascii="Palatino Linotype" w:hAnsi="Palatino Linotype" w:cs="Arial"/>
        </w:rPr>
        <w:t xml:space="preserve"> desempeña dentro del Organismo, a través de los</w:t>
      </w:r>
      <w:r w:rsidRPr="006F132E">
        <w:rPr>
          <w:rFonts w:ascii="Palatino Linotype" w:hAnsi="Palatino Linotype" w:cs="Arial"/>
        </w:rPr>
        <w:t xml:space="preserve"> turno</w:t>
      </w:r>
      <w:r w:rsidR="00584889">
        <w:rPr>
          <w:rFonts w:ascii="Palatino Linotype" w:hAnsi="Palatino Linotype" w:cs="Arial"/>
        </w:rPr>
        <w:t>s</w:t>
      </w:r>
      <w:r w:rsidRPr="006F132E">
        <w:rPr>
          <w:rFonts w:ascii="Palatino Linotype" w:hAnsi="Palatino Linotype" w:cs="Arial"/>
        </w:rPr>
        <w:t xml:space="preserve"> con número</w:t>
      </w:r>
      <w:r w:rsidR="00584889">
        <w:rPr>
          <w:rFonts w:ascii="Palatino Linotype" w:hAnsi="Palatino Linotype" w:cs="Arial"/>
        </w:rPr>
        <w:t>s</w:t>
      </w:r>
      <w:r w:rsidRPr="006F132E">
        <w:rPr>
          <w:rFonts w:ascii="Palatino Linotype" w:hAnsi="Palatino Linotype" w:cs="Arial"/>
        </w:rPr>
        <w:t xml:space="preserve"> de folio </w:t>
      </w:r>
      <w:r w:rsidR="00584889" w:rsidRPr="00584889">
        <w:rPr>
          <w:rFonts w:ascii="Palatino Linotype" w:hAnsi="Palatino Linotype" w:cs="Arial"/>
          <w:b/>
          <w:bCs/>
        </w:rPr>
        <w:t>00045/OASZUMPANG/IP/2019/TSP/0001</w:t>
      </w:r>
      <w:r w:rsidR="00584889">
        <w:rPr>
          <w:rFonts w:ascii="Palatino Linotype" w:hAnsi="Palatino Linotype" w:cs="Arial"/>
          <w:b/>
          <w:bCs/>
        </w:rPr>
        <w:t xml:space="preserve">, </w:t>
      </w:r>
      <w:r w:rsidR="00584889" w:rsidRPr="00584889">
        <w:rPr>
          <w:rFonts w:ascii="Palatino Linotype" w:hAnsi="Palatino Linotype" w:cs="Arial"/>
          <w:b/>
          <w:bCs/>
        </w:rPr>
        <w:t>00045/OASZUMPANG/IP/2019/TSP/000</w:t>
      </w:r>
      <w:r w:rsidR="00584889">
        <w:rPr>
          <w:rFonts w:ascii="Palatino Linotype" w:hAnsi="Palatino Linotype" w:cs="Arial"/>
          <w:b/>
          <w:bCs/>
        </w:rPr>
        <w:t xml:space="preserve">2, </w:t>
      </w:r>
      <w:r w:rsidR="00584889" w:rsidRPr="00584889">
        <w:rPr>
          <w:rFonts w:ascii="Palatino Linotype" w:hAnsi="Palatino Linotype" w:cs="Arial"/>
          <w:b/>
          <w:bCs/>
        </w:rPr>
        <w:t>00045/OASZUMPANG/IP/2019/TSP/000</w:t>
      </w:r>
      <w:r w:rsidR="00584889">
        <w:rPr>
          <w:rFonts w:ascii="Palatino Linotype" w:hAnsi="Palatino Linotype" w:cs="Arial"/>
          <w:b/>
          <w:bCs/>
        </w:rPr>
        <w:t xml:space="preserve">3, </w:t>
      </w:r>
      <w:r w:rsidR="00584889" w:rsidRPr="00584889">
        <w:rPr>
          <w:rFonts w:ascii="Palatino Linotype" w:hAnsi="Palatino Linotype" w:cs="Arial"/>
          <w:b/>
          <w:bCs/>
        </w:rPr>
        <w:t>00045/OASZUMPANG/IP/2019/TSP/000</w:t>
      </w:r>
      <w:r w:rsidR="00584889">
        <w:rPr>
          <w:rFonts w:ascii="Palatino Linotype" w:hAnsi="Palatino Linotype" w:cs="Arial"/>
          <w:b/>
          <w:bCs/>
        </w:rPr>
        <w:t xml:space="preserve">4 </w:t>
      </w:r>
      <w:r w:rsidR="00584889" w:rsidRPr="00584889">
        <w:rPr>
          <w:rFonts w:ascii="Palatino Linotype" w:hAnsi="Palatino Linotype" w:cs="Arial"/>
          <w:bCs/>
        </w:rPr>
        <w:t>y</w:t>
      </w:r>
      <w:r w:rsidR="00584889">
        <w:rPr>
          <w:rFonts w:ascii="Palatino Linotype" w:hAnsi="Palatino Linotype" w:cs="Arial"/>
          <w:b/>
          <w:bCs/>
        </w:rPr>
        <w:t xml:space="preserve"> </w:t>
      </w:r>
      <w:r w:rsidR="00584889" w:rsidRPr="00584889">
        <w:rPr>
          <w:rFonts w:ascii="Palatino Linotype" w:hAnsi="Palatino Linotype" w:cs="Arial"/>
          <w:b/>
          <w:bCs/>
        </w:rPr>
        <w:t>00045/OASZUMPANG/IP/2019/TSP/000</w:t>
      </w:r>
      <w:r w:rsidR="00584889">
        <w:rPr>
          <w:rFonts w:ascii="Palatino Linotype" w:hAnsi="Palatino Linotype" w:cs="Arial"/>
          <w:b/>
          <w:bCs/>
        </w:rPr>
        <w:t xml:space="preserve">5, </w:t>
      </w:r>
      <w:r w:rsidRPr="006F132E">
        <w:rPr>
          <w:rFonts w:ascii="Palatino Linotype" w:hAnsi="Palatino Linotype" w:cs="Arial"/>
        </w:rPr>
        <w:t>tal como se aprecia en la siguiente imagen:</w:t>
      </w:r>
    </w:p>
    <w:p w:rsidR="00B06D8A" w:rsidRPr="006F132E" w:rsidRDefault="004263A7" w:rsidP="00B06D8A">
      <w:pPr>
        <w:pStyle w:val="Prrafodelista"/>
        <w:spacing w:line="360" w:lineRule="auto"/>
        <w:ind w:left="0"/>
        <w:rPr>
          <w:rFonts w:ascii="Palatino Linotype" w:hAnsi="Palatino Linotype"/>
          <w:lang w:eastAsia="es-MX"/>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38736</wp:posOffset>
                </wp:positionV>
                <wp:extent cx="5753100" cy="17145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53100" cy="17145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538B7"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8pt,3.05pt" to="854.8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" strokecolor="#5b9bd5 [3204]" strokeweight="1.5pt">
                <v:stroke joinstyle="miter"/>
                <w10:wrap anchorx="margin"/>
              </v:line>
            </w:pict>
          </mc:Fallback>
        </mc:AlternateContent>
      </w:r>
    </w:p>
    <w:p w:rsidR="00B06D8A" w:rsidRPr="006F132E" w:rsidRDefault="00D6338B" w:rsidP="00B06D8A">
      <w:pPr>
        <w:pStyle w:val="Prrafodelista"/>
        <w:spacing w:line="360" w:lineRule="auto"/>
        <w:ind w:left="0"/>
        <w:jc w:val="center"/>
        <w:rPr>
          <w:rFonts w:ascii="Palatino Linotype" w:hAnsi="Palatino Linotype" w:cs="Arial"/>
        </w:rPr>
      </w:pPr>
      <w:r>
        <w:rPr>
          <w:noProof/>
          <w:lang w:eastAsia="es-MX"/>
        </w:rPr>
        <w:lastRenderedPageBreak/>
        <w:drawing>
          <wp:inline distT="0" distB="0" distL="0" distR="0" wp14:anchorId="37CE5E62" wp14:editId="5CE12015">
            <wp:extent cx="5503545" cy="4528868"/>
            <wp:effectExtent l="0" t="0" r="190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4018"/>
                    <a:stretch/>
                  </pic:blipFill>
                  <pic:spPr bwMode="auto">
                    <a:xfrm>
                      <a:off x="0" y="0"/>
                      <a:ext cx="5503545" cy="4528868"/>
                    </a:xfrm>
                    <a:prstGeom prst="rect">
                      <a:avLst/>
                    </a:prstGeom>
                    <a:ln>
                      <a:noFill/>
                    </a:ln>
                    <a:extLst>
                      <a:ext uri="{53640926-AAD7-44D8-BBD7-CCE9431645EC}">
                        <a14:shadowObscured xmlns:a14="http://schemas.microsoft.com/office/drawing/2010/main"/>
                      </a:ext>
                    </a:extLst>
                  </pic:spPr>
                </pic:pic>
              </a:graphicData>
            </a:graphic>
          </wp:inline>
        </w:drawing>
      </w:r>
      <w:r w:rsidR="00B06D8A" w:rsidRPr="006F132E">
        <w:rPr>
          <w:rFonts w:ascii="Palatino Linotype" w:hAnsi="Palatino Linotype"/>
          <w:lang w:eastAsia="es-MX"/>
        </w:rPr>
        <w:t xml:space="preserve">  </w:t>
      </w:r>
    </w:p>
    <w:p w:rsidR="00B06D8A" w:rsidRPr="006F132E" w:rsidRDefault="00B06D8A" w:rsidP="00B06D8A">
      <w:pPr>
        <w:spacing w:line="360" w:lineRule="auto"/>
        <w:jc w:val="both"/>
        <w:rPr>
          <w:rFonts w:ascii="Palatino Linotype" w:hAnsi="Palatino Linotype" w:cs="Arial"/>
        </w:rPr>
      </w:pPr>
    </w:p>
    <w:p w:rsidR="00B06D8A" w:rsidRPr="006F132E" w:rsidRDefault="00B06D8A" w:rsidP="00B06D8A">
      <w:pPr>
        <w:pStyle w:val="Prrafodelista"/>
        <w:spacing w:line="360" w:lineRule="auto"/>
        <w:ind w:left="0"/>
        <w:jc w:val="both"/>
        <w:rPr>
          <w:rFonts w:ascii="Palatino Linotype" w:hAnsi="Palatino Linotype" w:cs="Arial"/>
        </w:rPr>
      </w:pPr>
      <w:r w:rsidRPr="006F132E">
        <w:rPr>
          <w:rFonts w:ascii="Palatino Linotype" w:hAnsi="Palatino Linotype" w:cs="Arial"/>
        </w:rPr>
        <w:t xml:space="preserve">Dicho requerimiento, cabe señalar que fue atendido, tal y como se ilustra con la imagen inserta: </w:t>
      </w:r>
    </w:p>
    <w:p w:rsidR="00B06D8A" w:rsidRPr="006F132E" w:rsidRDefault="000154A2" w:rsidP="00B06D8A">
      <w:pPr>
        <w:pStyle w:val="Prrafodelista"/>
        <w:spacing w:line="360" w:lineRule="auto"/>
        <w:ind w:left="0"/>
        <w:jc w:val="both"/>
        <w:rPr>
          <w:rFonts w:ascii="Palatino Linotype" w:hAnsi="Palatino Linotype" w:cs="Arial"/>
        </w:rPr>
      </w:pPr>
      <w:r>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3C1AA50" wp14:editId="17AFA68B">
                <wp:simplePos x="0" y="0"/>
                <wp:positionH relativeFrom="margin">
                  <wp:align>right</wp:align>
                </wp:positionH>
                <wp:positionV relativeFrom="paragraph">
                  <wp:posOffset>15241</wp:posOffset>
                </wp:positionV>
                <wp:extent cx="5762625" cy="15049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762625" cy="1504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C8222" id="Conector recto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5pt,1.2pt" to="856.3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" strokecolor="#5b9bd5 [3204]" strokeweight="1.5pt">
                <v:stroke joinstyle="miter"/>
                <w10:wrap anchorx="margin"/>
              </v:line>
            </w:pict>
          </mc:Fallback>
        </mc:AlternateContent>
      </w:r>
    </w:p>
    <w:p w:rsidR="00B06D8A" w:rsidRPr="006F132E" w:rsidRDefault="004263A7" w:rsidP="00933E22">
      <w:pPr>
        <w:pStyle w:val="Prrafodelista"/>
        <w:spacing w:line="360" w:lineRule="auto"/>
        <w:ind w:left="0"/>
        <w:jc w:val="center"/>
        <w:rPr>
          <w:rFonts w:ascii="Palatino Linotype" w:hAnsi="Palatino Linotype" w:cs="Arial"/>
        </w:rPr>
      </w:pPr>
      <w:r>
        <w:rPr>
          <w:noProof/>
          <w:lang w:eastAsia="es-MX"/>
        </w:rPr>
        <w:lastRenderedPageBreak/>
        <w:drawing>
          <wp:inline distT="0" distB="0" distL="0" distR="0" wp14:anchorId="4A1228A6" wp14:editId="5E9BFCA7">
            <wp:extent cx="5791835" cy="67532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753225"/>
                    </a:xfrm>
                    <a:prstGeom prst="rect">
                      <a:avLst/>
                    </a:prstGeom>
                  </pic:spPr>
                </pic:pic>
              </a:graphicData>
            </a:graphic>
          </wp:inline>
        </w:drawing>
      </w:r>
    </w:p>
    <w:p w:rsidR="00B06D8A" w:rsidRPr="006F132E" w:rsidRDefault="00B06D8A" w:rsidP="00B06D8A">
      <w:pPr>
        <w:pStyle w:val="Prrafodelista"/>
        <w:numPr>
          <w:ilvl w:val="0"/>
          <w:numId w:val="2"/>
        </w:numPr>
        <w:spacing w:line="360" w:lineRule="auto"/>
        <w:ind w:left="0" w:firstLine="0"/>
        <w:jc w:val="both"/>
        <w:rPr>
          <w:rFonts w:ascii="Palatino Linotype" w:hAnsi="Palatino Linotype" w:cs="Arial"/>
        </w:rPr>
      </w:pPr>
      <w:r w:rsidRPr="006F132E">
        <w:rPr>
          <w:rFonts w:ascii="Palatino Linotype" w:hAnsi="Palatino Linotype" w:cs="Arial"/>
        </w:rPr>
        <w:t xml:space="preserve">Del expediente electrónico del </w:t>
      </w:r>
      <w:r w:rsidRPr="006F132E">
        <w:rPr>
          <w:rFonts w:ascii="Palatino Linotype" w:hAnsi="Palatino Linotype" w:cs="Arial"/>
          <w:b/>
        </w:rPr>
        <w:t>SAIMEX,</w:t>
      </w:r>
      <w:r w:rsidRPr="006F132E">
        <w:rPr>
          <w:rFonts w:ascii="Palatino Linotype" w:hAnsi="Palatino Linotype" w:cs="Arial"/>
        </w:rPr>
        <w:t xml:space="preserve"> se advierte que en fecha </w:t>
      </w:r>
      <w:r w:rsidR="00F135A7" w:rsidRPr="006F132E">
        <w:rPr>
          <w:rFonts w:ascii="Palatino Linotype" w:hAnsi="Palatino Linotype" w:cs="Arial"/>
        </w:rPr>
        <w:t>catorce</w:t>
      </w:r>
      <w:r w:rsidR="008158A6" w:rsidRPr="006F132E">
        <w:rPr>
          <w:rFonts w:ascii="Palatino Linotype" w:hAnsi="Palatino Linotype" w:cs="Arial"/>
        </w:rPr>
        <w:t xml:space="preserve"> de mayo </w:t>
      </w:r>
      <w:r w:rsidRPr="006F132E">
        <w:rPr>
          <w:rFonts w:ascii="Palatino Linotype" w:hAnsi="Palatino Linotype" w:cs="Arial"/>
        </w:rPr>
        <w:t xml:space="preserve">de dos mil diecinueve, </w:t>
      </w:r>
      <w:r w:rsidRPr="006F132E">
        <w:rPr>
          <w:rFonts w:ascii="Palatino Linotype" w:hAnsi="Palatino Linotype" w:cs="Arial"/>
          <w:b/>
        </w:rPr>
        <w:t>EL SUJETO OBLIGADO</w:t>
      </w:r>
      <w:r w:rsidRPr="006F132E">
        <w:rPr>
          <w:rFonts w:ascii="Palatino Linotype" w:hAnsi="Palatino Linotype" w:cs="Arial"/>
        </w:rPr>
        <w:t xml:space="preserve"> a manera de respuesta a la solicitud de acceso a la información pública requerida por </w:t>
      </w:r>
      <w:r w:rsidR="00150B55">
        <w:rPr>
          <w:rFonts w:ascii="Palatino Linotype" w:hAnsi="Palatino Linotype" w:cs="Arial"/>
          <w:b/>
        </w:rPr>
        <w:t>EL</w:t>
      </w:r>
      <w:r w:rsidR="00DC71D1" w:rsidRPr="006F132E">
        <w:rPr>
          <w:rFonts w:ascii="Palatino Linotype" w:hAnsi="Palatino Linotype" w:cs="Arial"/>
          <w:b/>
        </w:rPr>
        <w:t xml:space="preserve"> RECURRENTE</w:t>
      </w:r>
      <w:r w:rsidRPr="006F132E">
        <w:rPr>
          <w:rFonts w:ascii="Palatino Linotype" w:hAnsi="Palatino Linotype" w:cs="Arial"/>
        </w:rPr>
        <w:t>, se pronunció en estos términos:</w:t>
      </w:r>
    </w:p>
    <w:p w:rsidR="00B06D8A" w:rsidRPr="006F132E" w:rsidRDefault="00B06D8A" w:rsidP="00B06D8A">
      <w:pPr>
        <w:pStyle w:val="Prrafodelista"/>
        <w:ind w:right="757"/>
        <w:jc w:val="right"/>
        <w:rPr>
          <w:rFonts w:ascii="Palatino Linotype" w:hAnsi="Palatino Linotype" w:cs="Arial"/>
          <w:i/>
        </w:rPr>
      </w:pPr>
    </w:p>
    <w:p w:rsidR="00150B55" w:rsidRPr="00150B55" w:rsidRDefault="00B06D8A" w:rsidP="00150B55">
      <w:pPr>
        <w:pStyle w:val="Prrafodelista"/>
        <w:ind w:right="757"/>
        <w:jc w:val="right"/>
        <w:rPr>
          <w:rFonts w:ascii="Palatino Linotype" w:hAnsi="Palatino Linotype" w:cs="Arial"/>
          <w:i/>
          <w:sz w:val="22"/>
        </w:rPr>
      </w:pPr>
      <w:r w:rsidRPr="006F132E">
        <w:rPr>
          <w:rFonts w:ascii="Palatino Linotype" w:hAnsi="Palatino Linotype" w:cs="Arial"/>
          <w:i/>
          <w:sz w:val="22"/>
        </w:rPr>
        <w:t>“</w:t>
      </w:r>
      <w:r w:rsidR="00150B55" w:rsidRPr="00150B55">
        <w:rPr>
          <w:rFonts w:ascii="Palatino Linotype" w:hAnsi="Palatino Linotype" w:cs="Arial"/>
          <w:i/>
          <w:sz w:val="22"/>
        </w:rPr>
        <w:t>o Descentralizado para la Prestación de Los Servicios de Agua Potable Alcantarillado y Saneamiento del Municipio de Zumpango, México a 16 de Mayo de 2019</w:t>
      </w:r>
    </w:p>
    <w:p w:rsidR="00150B55" w:rsidRDefault="00150B55" w:rsidP="00150B55">
      <w:pPr>
        <w:pStyle w:val="Prrafodelista"/>
        <w:ind w:right="757"/>
        <w:jc w:val="right"/>
        <w:rPr>
          <w:rFonts w:ascii="Palatino Linotype" w:hAnsi="Palatino Linotype" w:cs="Arial"/>
          <w:i/>
          <w:sz w:val="22"/>
        </w:rPr>
      </w:pPr>
      <w:r w:rsidRPr="00150B55">
        <w:rPr>
          <w:rFonts w:ascii="Palatino Linotype" w:hAnsi="Palatino Linotype" w:cs="Arial"/>
          <w:i/>
          <w:sz w:val="22"/>
        </w:rPr>
        <w:t xml:space="preserve">Nombre del solicitante: </w:t>
      </w:r>
      <w:r w:rsidR="00CC2D23" w:rsidRPr="00CC2D23">
        <w:rPr>
          <w:rFonts w:ascii="Palatino Linotype" w:hAnsi="Palatino Linotype" w:cs="Arial"/>
          <w:b/>
          <w:i/>
          <w:sz w:val="22"/>
        </w:rPr>
        <w:t>X XX X</w:t>
      </w:r>
    </w:p>
    <w:p w:rsidR="00150B55" w:rsidRDefault="00150B55" w:rsidP="00150B55">
      <w:pPr>
        <w:pStyle w:val="Prrafodelista"/>
        <w:ind w:right="757"/>
        <w:jc w:val="right"/>
        <w:rPr>
          <w:rFonts w:ascii="Palatino Linotype" w:hAnsi="Palatino Linotype" w:cs="Arial"/>
          <w:i/>
          <w:sz w:val="22"/>
        </w:rPr>
      </w:pPr>
      <w:r w:rsidRPr="00150B55">
        <w:rPr>
          <w:rFonts w:ascii="Palatino Linotype" w:hAnsi="Palatino Linotype" w:cs="Arial"/>
          <w:i/>
          <w:sz w:val="22"/>
        </w:rPr>
        <w:t>Folio de la solicitud: 00045/OASZUMPANG/IP/2019</w:t>
      </w:r>
    </w:p>
    <w:p w:rsidR="00150B55" w:rsidRPr="00150B55" w:rsidRDefault="00150B55" w:rsidP="00150B55">
      <w:pPr>
        <w:pStyle w:val="Prrafodelista"/>
        <w:ind w:right="757"/>
        <w:jc w:val="right"/>
        <w:rPr>
          <w:rFonts w:ascii="Palatino Linotype" w:hAnsi="Palatino Linotype" w:cs="Arial"/>
          <w:i/>
          <w:sz w:val="22"/>
        </w:rPr>
      </w:pPr>
    </w:p>
    <w:p w:rsidR="00150B55" w:rsidRDefault="00150B55" w:rsidP="00150B55">
      <w:pPr>
        <w:pStyle w:val="Prrafodelista"/>
        <w:ind w:right="757"/>
        <w:jc w:val="both"/>
        <w:rPr>
          <w:rFonts w:ascii="Palatino Linotype" w:hAnsi="Palatino Linotype" w:cs="Arial"/>
          <w:i/>
          <w:sz w:val="22"/>
        </w:rPr>
      </w:pPr>
      <w:r w:rsidRPr="00150B5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50B55" w:rsidRPr="00150B55" w:rsidRDefault="00150B55" w:rsidP="00150B55">
      <w:pPr>
        <w:pStyle w:val="Prrafodelista"/>
        <w:ind w:right="757"/>
        <w:jc w:val="both"/>
        <w:rPr>
          <w:rFonts w:ascii="Palatino Linotype" w:hAnsi="Palatino Linotype" w:cs="Arial"/>
          <w:i/>
          <w:sz w:val="22"/>
        </w:rPr>
      </w:pPr>
    </w:p>
    <w:p w:rsidR="00150B55" w:rsidRPr="00150B55" w:rsidRDefault="00150B55" w:rsidP="00150B55">
      <w:pPr>
        <w:pStyle w:val="Prrafodelista"/>
        <w:ind w:right="757"/>
        <w:jc w:val="both"/>
        <w:rPr>
          <w:rFonts w:ascii="Palatino Linotype" w:hAnsi="Palatino Linotype" w:cs="Arial"/>
          <w:i/>
          <w:sz w:val="22"/>
        </w:rPr>
      </w:pPr>
      <w:r w:rsidRPr="00150B55">
        <w:rPr>
          <w:rFonts w:ascii="Palatino Linotype" w:hAnsi="Palatino Linotype" w:cs="Arial"/>
          <w:i/>
          <w:sz w:val="22"/>
        </w:rPr>
        <w:t>Derivado de la solicitud con número de</w:t>
      </w:r>
      <w:r>
        <w:rPr>
          <w:rFonts w:ascii="Palatino Linotype" w:hAnsi="Palatino Linotype" w:cs="Arial"/>
          <w:i/>
          <w:sz w:val="22"/>
        </w:rPr>
        <w:t xml:space="preserve"> folio</w:t>
      </w:r>
      <w:r>
        <w:rPr>
          <w:rFonts w:ascii="Palatino Linotype" w:hAnsi="Palatino Linotype" w:cs="Arial"/>
          <w:i/>
          <w:sz w:val="22"/>
        </w:rPr>
        <w:tab/>
        <w:t xml:space="preserve">00045/OASZUMPANG/IP/2019 </w:t>
      </w:r>
      <w:r w:rsidRPr="00150B55">
        <w:rPr>
          <w:rFonts w:ascii="Palatino Linotype" w:hAnsi="Palatino Linotype" w:cs="Arial"/>
          <w:i/>
          <w:sz w:val="22"/>
        </w:rPr>
        <w:t xml:space="preserve">entrego información solicitada, no sin antes mencionar que se para el caso del manual de organización y el manual de procedimientos del </w:t>
      </w:r>
      <w:proofErr w:type="spellStart"/>
      <w:r w:rsidRPr="00150B55">
        <w:rPr>
          <w:rFonts w:ascii="Palatino Linotype" w:hAnsi="Palatino Linotype" w:cs="Arial"/>
          <w:i/>
          <w:sz w:val="22"/>
        </w:rPr>
        <w:t>ODAPAZ</w:t>
      </w:r>
      <w:proofErr w:type="spellEnd"/>
      <w:r w:rsidRPr="00150B55">
        <w:rPr>
          <w:rFonts w:ascii="Palatino Linotype" w:hAnsi="Palatino Linotype" w:cs="Arial"/>
          <w:i/>
          <w:sz w:val="22"/>
        </w:rPr>
        <w:t xml:space="preserve"> </w:t>
      </w:r>
      <w:proofErr w:type="spellStart"/>
      <w:r w:rsidRPr="00150B55">
        <w:rPr>
          <w:rFonts w:ascii="Palatino Linotype" w:hAnsi="Palatino Linotype" w:cs="Arial"/>
          <w:i/>
          <w:sz w:val="22"/>
        </w:rPr>
        <w:t>aun</w:t>
      </w:r>
      <w:proofErr w:type="spellEnd"/>
      <w:r w:rsidRPr="00150B55">
        <w:rPr>
          <w:rFonts w:ascii="Palatino Linotype" w:hAnsi="Palatino Linotype" w:cs="Arial"/>
          <w:i/>
          <w:sz w:val="22"/>
        </w:rPr>
        <w:t xml:space="preserve"> no se encuentran aprobados para esta administración 2019-2021 por lo que se emite oficio de respuesta donde se estipula donde podrá consultar dichos manuales, que al no estar aprobados los de esta administración se encuentran vigentes los de la anterior administración, mismos que cuentan con lo que usted solicita para otorgarles validez, por lo anterior el reglamento interno de esta administración 2019-2021 ya se encuentra público en el mismo link que refiere dicho oficio para su consulta, así mismo informo a usted que se entrega adicional mente oficio por parte de la Dirección de Administración en donde solicita la reserva de información, misma que refiere la solicitud, y que fue revisada por el comité de transparencia y llegando al acuerdo de reserva de la información por contener datos personales, se adjunta acta de sesión de comité, acuerdo y la prueba de daño correspondiente para dar cumplimiento a lo citado en el Artículo I, Párrafo segundo y tercero de la Constitución Política de los Estados Unidos Mexicanos, Título Sexto Capítulo I, Articulo 113, de la Ley General de Transparencia y Acceso a la Información Pública, en lo citado en el Artículo 45,46,47 párrafos I,II,III, 49 fracción II, VIII, 122, 132 Fracciones II, 140 fracción IV Y 141 de la Ley de Transparencia y Acceso a la Información Pública del Estado de México y Municipios, y en lo establecido en el Artículo 5, 6, 7, 94 fracción de la Ley de protección de datos personales del estado de México y Municipios</w:t>
      </w:r>
    </w:p>
    <w:p w:rsidR="00150B55" w:rsidRDefault="00150B55" w:rsidP="00150B55">
      <w:pPr>
        <w:pStyle w:val="Prrafodelista"/>
        <w:ind w:right="757"/>
        <w:jc w:val="both"/>
        <w:rPr>
          <w:rFonts w:ascii="Palatino Linotype" w:hAnsi="Palatino Linotype" w:cs="Arial"/>
          <w:i/>
          <w:sz w:val="22"/>
        </w:rPr>
      </w:pPr>
    </w:p>
    <w:p w:rsidR="00150B55" w:rsidRPr="00150B55" w:rsidRDefault="00150B55" w:rsidP="00150B55">
      <w:pPr>
        <w:pStyle w:val="Prrafodelista"/>
        <w:ind w:right="757"/>
        <w:jc w:val="both"/>
        <w:rPr>
          <w:rFonts w:ascii="Palatino Linotype" w:hAnsi="Palatino Linotype" w:cs="Arial"/>
          <w:i/>
          <w:sz w:val="22"/>
        </w:rPr>
      </w:pPr>
      <w:r w:rsidRPr="00150B55">
        <w:rPr>
          <w:rFonts w:ascii="Palatino Linotype" w:hAnsi="Palatino Linotype" w:cs="Arial"/>
          <w:i/>
          <w:sz w:val="22"/>
        </w:rPr>
        <w:t>ATENTAMENTE</w:t>
      </w:r>
    </w:p>
    <w:p w:rsidR="00B06D8A" w:rsidRPr="006F132E" w:rsidRDefault="00150B55" w:rsidP="00150B55">
      <w:pPr>
        <w:pStyle w:val="Prrafodelista"/>
        <w:ind w:right="757"/>
        <w:jc w:val="both"/>
        <w:rPr>
          <w:rFonts w:ascii="Palatino Linotype" w:hAnsi="Palatino Linotype" w:cs="Arial"/>
          <w:sz w:val="22"/>
        </w:rPr>
      </w:pPr>
      <w:r w:rsidRPr="00150B55">
        <w:rPr>
          <w:rFonts w:ascii="Palatino Linotype" w:hAnsi="Palatino Linotype" w:cs="Arial"/>
          <w:i/>
          <w:sz w:val="22"/>
        </w:rPr>
        <w:t>LIC. MAURICIO MORQUECHO ALVAREZ</w:t>
      </w:r>
      <w:r w:rsidR="00B06D8A" w:rsidRPr="006F132E">
        <w:rPr>
          <w:rFonts w:ascii="Palatino Linotype" w:hAnsi="Palatino Linotype" w:cs="Arial"/>
          <w:i/>
          <w:sz w:val="22"/>
        </w:rPr>
        <w:t xml:space="preserve">” </w:t>
      </w:r>
      <w:r w:rsidR="00B06D8A" w:rsidRPr="006F132E">
        <w:rPr>
          <w:rFonts w:ascii="Palatino Linotype" w:hAnsi="Palatino Linotype" w:cs="Arial"/>
          <w:sz w:val="22"/>
        </w:rPr>
        <w:t>(Sic)</w:t>
      </w:r>
    </w:p>
    <w:p w:rsidR="00B06D8A" w:rsidRPr="006F132E" w:rsidRDefault="00B06D8A" w:rsidP="00B06D8A">
      <w:pPr>
        <w:spacing w:line="360" w:lineRule="auto"/>
        <w:rPr>
          <w:rFonts w:ascii="Palatino Linotype" w:hAnsi="Palatino Linotype"/>
        </w:rPr>
      </w:pPr>
    </w:p>
    <w:p w:rsidR="00150B55" w:rsidRDefault="00B06D8A" w:rsidP="00150B55">
      <w:pPr>
        <w:spacing w:line="360" w:lineRule="auto"/>
        <w:jc w:val="both"/>
        <w:rPr>
          <w:rFonts w:ascii="Palatino Linotype" w:hAnsi="Palatino Linotype"/>
        </w:rPr>
      </w:pPr>
      <w:r w:rsidRPr="006F132E">
        <w:rPr>
          <w:rFonts w:ascii="Palatino Linotype" w:hAnsi="Palatino Linotype"/>
        </w:rPr>
        <w:t xml:space="preserve">Adjuntando a su respuesta </w:t>
      </w:r>
      <w:r w:rsidR="00BC1CA8" w:rsidRPr="006F132E">
        <w:rPr>
          <w:rFonts w:ascii="Palatino Linotype" w:hAnsi="Palatino Linotype"/>
        </w:rPr>
        <w:t>los</w:t>
      </w:r>
      <w:r w:rsidRPr="006F132E">
        <w:rPr>
          <w:rFonts w:ascii="Palatino Linotype" w:hAnsi="Palatino Linotype"/>
        </w:rPr>
        <w:t xml:space="preserve"> archivo</w:t>
      </w:r>
      <w:r w:rsidR="00BC1CA8" w:rsidRPr="006F132E">
        <w:rPr>
          <w:rFonts w:ascii="Palatino Linotype" w:hAnsi="Palatino Linotype"/>
        </w:rPr>
        <w:t>s</w:t>
      </w:r>
      <w:r w:rsidRPr="006F132E">
        <w:rPr>
          <w:rFonts w:ascii="Palatino Linotype" w:hAnsi="Palatino Linotype"/>
        </w:rPr>
        <w:t xml:space="preserve"> electrónico</w:t>
      </w:r>
      <w:r w:rsidR="00BC1CA8" w:rsidRPr="006F132E">
        <w:rPr>
          <w:rFonts w:ascii="Palatino Linotype" w:hAnsi="Palatino Linotype"/>
        </w:rPr>
        <w:t>s</w:t>
      </w:r>
      <w:r w:rsidRPr="006F132E">
        <w:rPr>
          <w:rFonts w:ascii="Palatino Linotype" w:hAnsi="Palatino Linotype"/>
        </w:rPr>
        <w:t xml:space="preserve"> </w:t>
      </w:r>
      <w:r w:rsidR="00150B55">
        <w:rPr>
          <w:rFonts w:ascii="Palatino Linotype" w:hAnsi="Palatino Linotype"/>
        </w:rPr>
        <w:t>que a continuación se describen</w:t>
      </w:r>
    </w:p>
    <w:p w:rsidR="00150B55" w:rsidRDefault="00150B55" w:rsidP="00150B55">
      <w:pPr>
        <w:spacing w:line="360" w:lineRule="auto"/>
        <w:jc w:val="both"/>
        <w:rPr>
          <w:rFonts w:ascii="Palatino Linotype" w:hAnsi="Palatino Linotype"/>
        </w:rPr>
      </w:pPr>
    </w:p>
    <w:p w:rsidR="00150B55" w:rsidRPr="00EC773A" w:rsidRDefault="00150B55" w:rsidP="00150B55">
      <w:pPr>
        <w:spacing w:line="360" w:lineRule="auto"/>
        <w:jc w:val="both"/>
        <w:rPr>
          <w:rFonts w:ascii="Palatino Linotype" w:hAnsi="Palatino Linotype"/>
        </w:rPr>
      </w:pPr>
      <w:r w:rsidRPr="00150B55">
        <w:rPr>
          <w:rFonts w:ascii="Palatino Linotype" w:hAnsi="Palatino Linotype"/>
          <w:b/>
        </w:rPr>
        <w:t>AVANCE PRESUPUE</w:t>
      </w:r>
      <w:r>
        <w:rPr>
          <w:rFonts w:ascii="Palatino Linotype" w:hAnsi="Palatino Linotype"/>
          <w:b/>
        </w:rPr>
        <w:t xml:space="preserve">STAL DE </w:t>
      </w:r>
      <w:proofErr w:type="spellStart"/>
      <w:r>
        <w:rPr>
          <w:rFonts w:ascii="Palatino Linotype" w:hAnsi="Palatino Linotype"/>
          <w:b/>
        </w:rPr>
        <w:t>DE</w:t>
      </w:r>
      <w:proofErr w:type="spellEnd"/>
      <w:r>
        <w:rPr>
          <w:rFonts w:ascii="Palatino Linotype" w:hAnsi="Palatino Linotype"/>
          <w:b/>
        </w:rPr>
        <w:t xml:space="preserve"> EGRESOS FEBRERO.pdf: </w:t>
      </w:r>
      <w:r w:rsidR="00EC773A">
        <w:rPr>
          <w:rFonts w:ascii="Palatino Linotype" w:hAnsi="Palatino Linotype"/>
        </w:rPr>
        <w:t>Consistente en el formato Estado de Avance Presupuestal de Egresos correspondiente al periodo del uno de enero al veintiocho de febrero de 2019.</w:t>
      </w:r>
    </w:p>
    <w:p w:rsidR="00933E22" w:rsidRDefault="00933E22" w:rsidP="00EC773A">
      <w:pPr>
        <w:spacing w:line="360" w:lineRule="auto"/>
        <w:jc w:val="both"/>
        <w:rPr>
          <w:rFonts w:ascii="Palatino Linotype" w:hAnsi="Palatino Linotype"/>
          <w:b/>
        </w:rPr>
      </w:pPr>
    </w:p>
    <w:p w:rsidR="00EC773A" w:rsidRPr="00EC773A" w:rsidRDefault="00150B55" w:rsidP="00EC773A">
      <w:pPr>
        <w:spacing w:line="360" w:lineRule="auto"/>
        <w:jc w:val="both"/>
        <w:rPr>
          <w:rFonts w:ascii="Palatino Linotype" w:hAnsi="Palatino Linotype"/>
        </w:rPr>
      </w:pPr>
      <w:r w:rsidRPr="00150B55">
        <w:rPr>
          <w:rFonts w:ascii="Palatino Linotype" w:hAnsi="Palatino Linotype"/>
          <w:b/>
        </w:rPr>
        <w:t xml:space="preserve">AVANCE PRESUPUESTAL DE </w:t>
      </w:r>
      <w:proofErr w:type="spellStart"/>
      <w:r w:rsidRPr="00150B55">
        <w:rPr>
          <w:rFonts w:ascii="Palatino Linotype" w:hAnsi="Palatino Linotype"/>
          <w:b/>
        </w:rPr>
        <w:t>DE</w:t>
      </w:r>
      <w:proofErr w:type="spellEnd"/>
      <w:r w:rsidRPr="00150B55">
        <w:rPr>
          <w:rFonts w:ascii="Palatino Linotype" w:hAnsi="Palatino Linotype"/>
          <w:b/>
        </w:rPr>
        <w:t xml:space="preserve"> INGRESOS.pdf</w:t>
      </w:r>
      <w:r w:rsidR="00EC773A">
        <w:rPr>
          <w:rFonts w:ascii="Palatino Linotype" w:hAnsi="Palatino Linotype"/>
          <w:b/>
        </w:rPr>
        <w:t xml:space="preserve">: </w:t>
      </w:r>
      <w:r w:rsidR="00EC773A">
        <w:rPr>
          <w:rFonts w:ascii="Palatino Linotype" w:hAnsi="Palatino Linotype"/>
        </w:rPr>
        <w:t>Consistente en el formato del OSFEM correspondiente Estado de Avance Presupuestal de Ingresos correspondiente al periodo del uno de enero al veintiocho de febrero de 2019.</w:t>
      </w:r>
    </w:p>
    <w:p w:rsidR="00150B55" w:rsidRPr="00150B55" w:rsidRDefault="00150B55" w:rsidP="00150B55">
      <w:pPr>
        <w:spacing w:line="360" w:lineRule="auto"/>
        <w:jc w:val="both"/>
        <w:rPr>
          <w:rFonts w:ascii="Palatino Linotype" w:hAnsi="Palatino Linotype"/>
          <w:b/>
        </w:rPr>
      </w:pPr>
      <w:r w:rsidRPr="00150B55">
        <w:rPr>
          <w:rFonts w:ascii="Palatino Linotype" w:hAnsi="Palatino Linotype"/>
          <w:b/>
        </w:rPr>
        <w:t xml:space="preserve"> </w:t>
      </w:r>
    </w:p>
    <w:p w:rsidR="00EC773A" w:rsidRPr="00EC773A" w:rsidRDefault="00150B55" w:rsidP="00EC773A">
      <w:pPr>
        <w:spacing w:line="360" w:lineRule="auto"/>
        <w:jc w:val="both"/>
        <w:rPr>
          <w:rFonts w:ascii="Palatino Linotype" w:hAnsi="Palatino Linotype"/>
        </w:rPr>
      </w:pPr>
      <w:r w:rsidRPr="00150B55">
        <w:rPr>
          <w:rFonts w:ascii="Palatino Linotype" w:hAnsi="Palatino Linotype"/>
          <w:b/>
        </w:rPr>
        <w:t>AVANCE PRESU</w:t>
      </w:r>
      <w:r w:rsidR="00EC773A">
        <w:rPr>
          <w:rFonts w:ascii="Palatino Linotype" w:hAnsi="Palatino Linotype"/>
          <w:b/>
        </w:rPr>
        <w:t xml:space="preserve">PUESTAL DE </w:t>
      </w:r>
      <w:proofErr w:type="spellStart"/>
      <w:r w:rsidR="00EC773A">
        <w:rPr>
          <w:rFonts w:ascii="Palatino Linotype" w:hAnsi="Palatino Linotype"/>
          <w:b/>
        </w:rPr>
        <w:t>DE</w:t>
      </w:r>
      <w:proofErr w:type="spellEnd"/>
      <w:r w:rsidR="00EC773A">
        <w:rPr>
          <w:rFonts w:ascii="Palatino Linotype" w:hAnsi="Palatino Linotype"/>
          <w:b/>
        </w:rPr>
        <w:t xml:space="preserve"> EGRESOS ENERO.pdf: </w:t>
      </w:r>
      <w:r w:rsidR="00EC773A">
        <w:rPr>
          <w:rFonts w:ascii="Palatino Linotype" w:hAnsi="Palatino Linotype"/>
        </w:rPr>
        <w:t>Consistente en el formato Estado de Avance Presupuestal de Egresos correspondiente al mes de enero de 2019.</w:t>
      </w:r>
    </w:p>
    <w:p w:rsidR="00150B55" w:rsidRPr="00150B55" w:rsidRDefault="00150B55" w:rsidP="00150B55">
      <w:pPr>
        <w:spacing w:line="360" w:lineRule="auto"/>
        <w:jc w:val="both"/>
        <w:rPr>
          <w:rFonts w:ascii="Palatino Linotype" w:hAnsi="Palatino Linotype"/>
          <w:b/>
        </w:rPr>
      </w:pPr>
    </w:p>
    <w:p w:rsidR="00EC773A" w:rsidRPr="00EC773A" w:rsidRDefault="00150B55" w:rsidP="00EC773A">
      <w:pPr>
        <w:spacing w:line="360" w:lineRule="auto"/>
        <w:jc w:val="both"/>
        <w:rPr>
          <w:rFonts w:ascii="Palatino Linotype" w:hAnsi="Palatino Linotype"/>
        </w:rPr>
      </w:pPr>
      <w:r w:rsidRPr="00150B55">
        <w:rPr>
          <w:rFonts w:ascii="Palatino Linotype" w:hAnsi="Palatino Linotype"/>
          <w:b/>
        </w:rPr>
        <w:t>AVANCE PRESU</w:t>
      </w:r>
      <w:r w:rsidR="00EC773A">
        <w:rPr>
          <w:rFonts w:ascii="Palatino Linotype" w:hAnsi="Palatino Linotype"/>
          <w:b/>
        </w:rPr>
        <w:t xml:space="preserve">PUESTAL DE </w:t>
      </w:r>
      <w:proofErr w:type="spellStart"/>
      <w:r w:rsidR="00EC773A">
        <w:rPr>
          <w:rFonts w:ascii="Palatino Linotype" w:hAnsi="Palatino Linotype"/>
          <w:b/>
        </w:rPr>
        <w:t>DE</w:t>
      </w:r>
      <w:proofErr w:type="spellEnd"/>
      <w:r w:rsidR="00EC773A">
        <w:rPr>
          <w:rFonts w:ascii="Palatino Linotype" w:hAnsi="Palatino Linotype"/>
          <w:b/>
        </w:rPr>
        <w:t xml:space="preserve"> EGRESOS MARZO.pdf: </w:t>
      </w:r>
      <w:r w:rsidR="00EC773A">
        <w:rPr>
          <w:rFonts w:ascii="Palatino Linotype" w:hAnsi="Palatino Linotype"/>
        </w:rPr>
        <w:t>Consistente en el formato Estado de Avance Presupuestal de Egresos correspondiente al periodo del uno de enero al treinta y uno de marzo de 2019.</w:t>
      </w:r>
    </w:p>
    <w:p w:rsidR="00150B55" w:rsidRPr="00150B55" w:rsidRDefault="00150B55" w:rsidP="00150B55">
      <w:pPr>
        <w:spacing w:line="360" w:lineRule="auto"/>
        <w:jc w:val="both"/>
        <w:rPr>
          <w:rFonts w:ascii="Palatino Linotype" w:hAnsi="Palatino Linotype"/>
          <w:b/>
        </w:rPr>
      </w:pPr>
    </w:p>
    <w:p w:rsidR="00150B55" w:rsidRDefault="00EC773A" w:rsidP="00150B55">
      <w:pPr>
        <w:spacing w:line="360" w:lineRule="auto"/>
        <w:jc w:val="both"/>
        <w:rPr>
          <w:rFonts w:ascii="Palatino Linotype" w:hAnsi="Palatino Linotype"/>
        </w:rPr>
      </w:pPr>
      <w:r>
        <w:rPr>
          <w:rFonts w:ascii="Palatino Linotype" w:hAnsi="Palatino Linotype"/>
          <w:b/>
        </w:rPr>
        <w:t xml:space="preserve">EXP 45 IP PRUEBA DE DAÑO.PDF: </w:t>
      </w:r>
      <w:r>
        <w:rPr>
          <w:rFonts w:ascii="Palatino Linotype" w:hAnsi="Palatino Linotype"/>
        </w:rPr>
        <w:t xml:space="preserve">Documento denominado </w:t>
      </w:r>
      <w:r>
        <w:rPr>
          <w:rFonts w:ascii="Palatino Linotype" w:hAnsi="Palatino Linotype"/>
          <w:i/>
        </w:rPr>
        <w:t xml:space="preserve">Prueba de Daño, </w:t>
      </w:r>
      <w:r>
        <w:rPr>
          <w:rFonts w:ascii="Palatino Linotype" w:hAnsi="Palatino Linotype"/>
        </w:rPr>
        <w:t xml:space="preserve">del </w:t>
      </w:r>
      <w:r w:rsidRPr="00EC773A">
        <w:rPr>
          <w:rFonts w:ascii="Palatino Linotype" w:hAnsi="Palatino Linotype"/>
        </w:rPr>
        <w:t>O.D.A.P.A.Z./ADMON/PD/0001/2019</w:t>
      </w:r>
      <w:r>
        <w:rPr>
          <w:rFonts w:ascii="Palatino Linotype" w:hAnsi="Palatino Linotype"/>
        </w:rPr>
        <w:t>, mediante el cual se pretende sustentar la clasificación de los nombres, horarios y registros de asistencia del personal adscrito al Organismo, como información reservada.</w:t>
      </w:r>
    </w:p>
    <w:p w:rsidR="00EC773A" w:rsidRPr="00EC773A" w:rsidRDefault="00EC773A" w:rsidP="00150B55">
      <w:pPr>
        <w:spacing w:line="360" w:lineRule="auto"/>
        <w:jc w:val="both"/>
        <w:rPr>
          <w:rFonts w:ascii="Palatino Linotype" w:hAnsi="Palatino Linotype"/>
        </w:rPr>
      </w:pPr>
    </w:p>
    <w:p w:rsidR="00150B55" w:rsidRDefault="005E5118" w:rsidP="00150B55">
      <w:pPr>
        <w:spacing w:line="360" w:lineRule="auto"/>
        <w:jc w:val="both"/>
        <w:rPr>
          <w:rFonts w:ascii="Palatino Linotype" w:hAnsi="Palatino Linotype"/>
        </w:rPr>
      </w:pPr>
      <w:r>
        <w:rPr>
          <w:rFonts w:ascii="Palatino Linotype" w:hAnsi="Palatino Linotype"/>
          <w:b/>
        </w:rPr>
        <w:t xml:space="preserve">EXP SOL 45 IP OFICIO.PDF: </w:t>
      </w:r>
      <w:r>
        <w:rPr>
          <w:rFonts w:ascii="Palatino Linotype" w:hAnsi="Palatino Linotype"/>
        </w:rPr>
        <w:t xml:space="preserve">Consistente en el oficio </w:t>
      </w:r>
      <w:r w:rsidRPr="005E5118">
        <w:rPr>
          <w:rFonts w:ascii="Palatino Linotype" w:hAnsi="Palatino Linotype"/>
        </w:rPr>
        <w:t>O.D.A.P.A.Z._ADMON_063_2019</w:t>
      </w:r>
      <w:r>
        <w:rPr>
          <w:rFonts w:ascii="Palatino Linotype" w:hAnsi="Palatino Linotype"/>
        </w:rPr>
        <w:t xml:space="preserve"> mediante el cual la Directora de Administración informó a la Titular de la Unidad que la información requerida encuadraba en los supuestos de clasificación de la información como reservada por lo que remitía anexo el documento descrito en el párrafo que antecede.</w:t>
      </w:r>
    </w:p>
    <w:p w:rsidR="005E5118" w:rsidRPr="005E5118" w:rsidRDefault="005E5118" w:rsidP="00150B55">
      <w:pPr>
        <w:spacing w:line="360" w:lineRule="auto"/>
        <w:jc w:val="both"/>
        <w:rPr>
          <w:rFonts w:ascii="Palatino Linotype" w:hAnsi="Palatino Linotype"/>
        </w:rPr>
      </w:pPr>
    </w:p>
    <w:p w:rsidR="00150B55" w:rsidRDefault="00150B55" w:rsidP="00F07E8E">
      <w:pPr>
        <w:spacing w:line="360" w:lineRule="auto"/>
        <w:jc w:val="both"/>
        <w:rPr>
          <w:rFonts w:ascii="Palatino Linotype" w:hAnsi="Palatino Linotype"/>
          <w:b/>
        </w:rPr>
      </w:pPr>
      <w:r w:rsidRPr="00150B55">
        <w:rPr>
          <w:rFonts w:ascii="Palatino Linotype" w:hAnsi="Palatino Linotype"/>
          <w:b/>
        </w:rPr>
        <w:t xml:space="preserve">ACTA DE PRIMERA SESIÓN ORDINARIA ODAPAZ ORGANIGRAMA.pdf </w:t>
      </w:r>
      <w:r w:rsidR="00B94D13">
        <w:rPr>
          <w:rFonts w:ascii="Palatino Linotype" w:hAnsi="Palatino Linotype"/>
        </w:rPr>
        <w:t xml:space="preserve">Consistente en el acta de fecha uno de enero de la presente anualidad de la </w:t>
      </w:r>
      <w:r w:rsidR="00B94D13" w:rsidRPr="00B94D13">
        <w:rPr>
          <w:rFonts w:ascii="Palatino Linotype" w:hAnsi="Palatino Linotype"/>
        </w:rPr>
        <w:t xml:space="preserve">Primera Sesión Ordinaria </w:t>
      </w:r>
      <w:r w:rsidR="00B94D13">
        <w:rPr>
          <w:rFonts w:ascii="Palatino Linotype" w:hAnsi="Palatino Linotype"/>
        </w:rPr>
        <w:t>d</w:t>
      </w:r>
      <w:r w:rsidR="00B94D13" w:rsidRPr="00B94D13">
        <w:rPr>
          <w:rFonts w:ascii="Palatino Linotype" w:hAnsi="Palatino Linotype"/>
        </w:rPr>
        <w:t xml:space="preserve">el Consejo Directivo </w:t>
      </w:r>
      <w:r w:rsidR="00B94D13">
        <w:rPr>
          <w:rFonts w:ascii="Palatino Linotype" w:hAnsi="Palatino Linotype"/>
        </w:rPr>
        <w:t>d</w:t>
      </w:r>
      <w:r w:rsidR="00B94D13" w:rsidRPr="00B94D13">
        <w:rPr>
          <w:rFonts w:ascii="Palatino Linotype" w:hAnsi="Palatino Linotype"/>
        </w:rPr>
        <w:t xml:space="preserve">el Organismo Público Descentralizado </w:t>
      </w:r>
      <w:r w:rsidR="00B94D13">
        <w:rPr>
          <w:rFonts w:ascii="Palatino Linotype" w:hAnsi="Palatino Linotype"/>
        </w:rPr>
        <w:t>p</w:t>
      </w:r>
      <w:r w:rsidR="00B94D13" w:rsidRPr="00B94D13">
        <w:rPr>
          <w:rFonts w:ascii="Palatino Linotype" w:hAnsi="Palatino Linotype"/>
        </w:rPr>
        <w:t xml:space="preserve">ara </w:t>
      </w:r>
      <w:r w:rsidR="00B94D13">
        <w:rPr>
          <w:rFonts w:ascii="Palatino Linotype" w:hAnsi="Palatino Linotype"/>
        </w:rPr>
        <w:t>l</w:t>
      </w:r>
      <w:r w:rsidR="00B94D13" w:rsidRPr="00B94D13">
        <w:rPr>
          <w:rFonts w:ascii="Palatino Linotype" w:hAnsi="Palatino Linotype"/>
        </w:rPr>
        <w:t xml:space="preserve">a Prestación </w:t>
      </w:r>
      <w:r w:rsidR="00B94D13">
        <w:rPr>
          <w:rFonts w:ascii="Palatino Linotype" w:hAnsi="Palatino Linotype"/>
        </w:rPr>
        <w:t>de l</w:t>
      </w:r>
      <w:r w:rsidR="00B94D13" w:rsidRPr="00B94D13">
        <w:rPr>
          <w:rFonts w:ascii="Palatino Linotype" w:hAnsi="Palatino Linotype"/>
        </w:rPr>
        <w:t xml:space="preserve">os Servicios </w:t>
      </w:r>
      <w:r w:rsidR="00B94D13">
        <w:rPr>
          <w:rFonts w:ascii="Palatino Linotype" w:hAnsi="Palatino Linotype"/>
        </w:rPr>
        <w:t>d</w:t>
      </w:r>
      <w:r w:rsidR="00B94D13" w:rsidRPr="00B94D13">
        <w:rPr>
          <w:rFonts w:ascii="Palatino Linotype" w:hAnsi="Palatino Linotype"/>
        </w:rPr>
        <w:t xml:space="preserve">e Agua Potable Alcantarillado </w:t>
      </w:r>
      <w:r w:rsidR="00B94D13">
        <w:rPr>
          <w:rFonts w:ascii="Palatino Linotype" w:hAnsi="Palatino Linotype"/>
        </w:rPr>
        <w:t>y</w:t>
      </w:r>
      <w:r w:rsidR="00B94D13" w:rsidRPr="00B94D13">
        <w:rPr>
          <w:rFonts w:ascii="Palatino Linotype" w:hAnsi="Palatino Linotype"/>
        </w:rPr>
        <w:t xml:space="preserve"> Saneamiento Municipio </w:t>
      </w:r>
      <w:r w:rsidR="00B94D13">
        <w:rPr>
          <w:rFonts w:ascii="Palatino Linotype" w:hAnsi="Palatino Linotype"/>
        </w:rPr>
        <w:t>d</w:t>
      </w:r>
      <w:r w:rsidR="00B94D13" w:rsidRPr="00B94D13">
        <w:rPr>
          <w:rFonts w:ascii="Palatino Linotype" w:hAnsi="Palatino Linotype"/>
        </w:rPr>
        <w:t xml:space="preserve">e Zumpango, Estado </w:t>
      </w:r>
      <w:r w:rsidR="00B94D13">
        <w:rPr>
          <w:rFonts w:ascii="Palatino Linotype" w:hAnsi="Palatino Linotype"/>
        </w:rPr>
        <w:t>d</w:t>
      </w:r>
      <w:r w:rsidR="00B94D13" w:rsidRPr="00B94D13">
        <w:rPr>
          <w:rFonts w:ascii="Palatino Linotype" w:hAnsi="Palatino Linotype"/>
        </w:rPr>
        <w:t>e México, Administración 2019-2021</w:t>
      </w:r>
      <w:r w:rsidR="00F07E8E">
        <w:rPr>
          <w:rFonts w:ascii="Palatino Linotype" w:hAnsi="Palatino Linotype"/>
        </w:rPr>
        <w:t xml:space="preserve">, a través de la cual se aprobó entre otras cosas, </w:t>
      </w:r>
      <w:r w:rsidR="00F07E8E" w:rsidRPr="00F07E8E">
        <w:rPr>
          <w:rFonts w:ascii="Palatino Linotype" w:hAnsi="Palatino Linotype"/>
        </w:rPr>
        <w:t>aprobación de la</w:t>
      </w:r>
      <w:r w:rsidR="00F07E8E">
        <w:rPr>
          <w:rFonts w:ascii="Palatino Linotype" w:hAnsi="Palatino Linotype"/>
        </w:rPr>
        <w:t xml:space="preserve"> </w:t>
      </w:r>
      <w:r w:rsidR="00F07E8E" w:rsidRPr="00F07E8E">
        <w:rPr>
          <w:rFonts w:ascii="Palatino Linotype" w:hAnsi="Palatino Linotype"/>
        </w:rPr>
        <w:t>estructura orgánica</w:t>
      </w:r>
      <w:r w:rsidR="00F07E8E">
        <w:rPr>
          <w:rFonts w:ascii="Palatino Linotype" w:hAnsi="Palatino Linotype"/>
        </w:rPr>
        <w:t xml:space="preserve"> del ODAPAZ.</w:t>
      </w:r>
    </w:p>
    <w:p w:rsidR="00B94D13" w:rsidRPr="00150B55" w:rsidRDefault="00B94D13" w:rsidP="00150B55">
      <w:pPr>
        <w:spacing w:line="360" w:lineRule="auto"/>
        <w:jc w:val="both"/>
        <w:rPr>
          <w:rFonts w:ascii="Palatino Linotype" w:hAnsi="Palatino Linotype"/>
          <w:b/>
        </w:rPr>
      </w:pPr>
    </w:p>
    <w:p w:rsidR="00150B55" w:rsidRPr="00B94D13" w:rsidRDefault="00150B55" w:rsidP="00150B55">
      <w:pPr>
        <w:spacing w:line="360" w:lineRule="auto"/>
        <w:jc w:val="both"/>
        <w:rPr>
          <w:rFonts w:ascii="Palatino Linotype" w:hAnsi="Palatino Linotype"/>
          <w:b/>
        </w:rPr>
      </w:pPr>
      <w:r w:rsidRPr="00150B55">
        <w:rPr>
          <w:rFonts w:ascii="Palatino Linotype" w:hAnsi="Palatino Linotype"/>
          <w:b/>
        </w:rPr>
        <w:t>SEGUNDA SESION ORDINARIA APROBACIÓN MANUAL PRO</w:t>
      </w:r>
      <w:r w:rsidR="00B94D13">
        <w:rPr>
          <w:rFonts w:ascii="Palatino Linotype" w:hAnsi="Palatino Linotype"/>
          <w:b/>
        </w:rPr>
        <w:t xml:space="preserve">C. Y MANUAL DE ORGANIZACIÓN.pdf: </w:t>
      </w:r>
      <w:r w:rsidR="00B94D13">
        <w:rPr>
          <w:rFonts w:ascii="Palatino Linotype" w:hAnsi="Palatino Linotype"/>
        </w:rPr>
        <w:t>Consistente en el acta de fecha tres de febrero de la presente anualidad de la Segunda S</w:t>
      </w:r>
      <w:r w:rsidR="00B94D13" w:rsidRPr="00B94D13">
        <w:rPr>
          <w:rFonts w:ascii="Palatino Linotype" w:hAnsi="Palatino Linotype"/>
        </w:rPr>
        <w:t>esión ordinaria del Consejo Directivo del Organismo Público Descentralizado para la prestación de los servicios de agua potable, alcantarillado y saneamiento del Municipio de Zumpango</w:t>
      </w:r>
      <w:r w:rsidR="00B94D13">
        <w:rPr>
          <w:rFonts w:ascii="Palatino Linotype" w:hAnsi="Palatino Linotype"/>
        </w:rPr>
        <w:t xml:space="preserve">, mediante el cual se aprobó </w:t>
      </w:r>
      <w:r w:rsidR="00B94D13" w:rsidRPr="00B94D13">
        <w:rPr>
          <w:rFonts w:ascii="Palatino Linotype" w:hAnsi="Palatino Linotype"/>
        </w:rPr>
        <w:t>Manual de Organización y el Manual de Procedimientos</w:t>
      </w:r>
      <w:r w:rsidR="00B94D13">
        <w:rPr>
          <w:rFonts w:ascii="Palatino Linotype" w:hAnsi="Palatino Linotype"/>
        </w:rPr>
        <w:t xml:space="preserve"> del Organismo.</w:t>
      </w:r>
    </w:p>
    <w:p w:rsidR="00B94D13" w:rsidRPr="00B94D13" w:rsidRDefault="00B94D13" w:rsidP="00150B55">
      <w:pPr>
        <w:spacing w:line="360" w:lineRule="auto"/>
        <w:jc w:val="both"/>
        <w:rPr>
          <w:rFonts w:ascii="Palatino Linotype" w:hAnsi="Palatino Linotype"/>
        </w:rPr>
      </w:pPr>
    </w:p>
    <w:p w:rsidR="00DD56F7" w:rsidRDefault="00150B55" w:rsidP="00150B55">
      <w:pPr>
        <w:spacing w:line="360" w:lineRule="auto"/>
        <w:jc w:val="both"/>
        <w:rPr>
          <w:rFonts w:ascii="Palatino Linotype" w:hAnsi="Palatino Linotype"/>
        </w:rPr>
      </w:pPr>
      <w:r w:rsidRPr="00150B55">
        <w:rPr>
          <w:rFonts w:ascii="Palatino Linotype" w:hAnsi="Palatino Linotype"/>
          <w:b/>
        </w:rPr>
        <w:t>ACTA DE CUARTA SESIÓN EXTRAORDINARIA ODAPAZ REGLAMENTO.pdf</w:t>
      </w:r>
      <w:r w:rsidR="00F07E8E">
        <w:rPr>
          <w:rFonts w:ascii="Palatino Linotype" w:hAnsi="Palatino Linotype"/>
        </w:rPr>
        <w:t xml:space="preserve">: Consistente en el acta de fecha </w:t>
      </w:r>
      <w:r w:rsidR="00DD56F7">
        <w:rPr>
          <w:rFonts w:ascii="Palatino Linotype" w:hAnsi="Palatino Linotype"/>
        </w:rPr>
        <w:t xml:space="preserve">veinte de enero del presente año </w:t>
      </w:r>
      <w:r w:rsidR="00F07E8E">
        <w:rPr>
          <w:rFonts w:ascii="Palatino Linotype" w:hAnsi="Palatino Linotype"/>
        </w:rPr>
        <w:t xml:space="preserve">de la </w:t>
      </w:r>
      <w:r w:rsidR="00DD56F7">
        <w:rPr>
          <w:rFonts w:ascii="Palatino Linotype" w:hAnsi="Palatino Linotype"/>
        </w:rPr>
        <w:t>Cuarta</w:t>
      </w:r>
      <w:r w:rsidR="00F07E8E">
        <w:rPr>
          <w:rFonts w:ascii="Palatino Linotype" w:hAnsi="Palatino Linotype"/>
        </w:rPr>
        <w:t xml:space="preserve"> S</w:t>
      </w:r>
      <w:r w:rsidR="00F07E8E" w:rsidRPr="00B94D13">
        <w:rPr>
          <w:rFonts w:ascii="Palatino Linotype" w:hAnsi="Palatino Linotype"/>
        </w:rPr>
        <w:t>esión</w:t>
      </w:r>
      <w:r w:rsidR="00DD56F7">
        <w:rPr>
          <w:rFonts w:ascii="Palatino Linotype" w:hAnsi="Palatino Linotype"/>
        </w:rPr>
        <w:t xml:space="preserve"> Extra</w:t>
      </w:r>
      <w:r w:rsidR="00F07E8E" w:rsidRPr="00B94D13">
        <w:rPr>
          <w:rFonts w:ascii="Palatino Linotype" w:hAnsi="Palatino Linotype"/>
        </w:rPr>
        <w:t>ordinaria del Consejo Directivo del Organismo Público Descentralizado para la prestación de los servicios de agua potable, alcantarillado y saneamiento del Municipio de Zumpango</w:t>
      </w:r>
      <w:r w:rsidR="00F07E8E">
        <w:rPr>
          <w:rFonts w:ascii="Palatino Linotype" w:hAnsi="Palatino Linotype"/>
        </w:rPr>
        <w:t xml:space="preserve">, mediante el cual se aprobó </w:t>
      </w:r>
      <w:r w:rsidR="00DD56F7" w:rsidRPr="00DD56F7">
        <w:rPr>
          <w:rFonts w:ascii="Palatino Linotype" w:hAnsi="Palatino Linotype"/>
        </w:rPr>
        <w:t>Reglamento Interior del Organismo Público Descentralizado para la Prestación de los Servicios de Agua Potable, Alcantarillado y Saneamiento del Municipio de Zumpango, para el ejercicio fiscal 2019</w:t>
      </w:r>
      <w:r w:rsidR="00DD56F7">
        <w:rPr>
          <w:rFonts w:ascii="Palatino Linotype" w:hAnsi="Palatino Linotype"/>
        </w:rPr>
        <w:t>.</w:t>
      </w:r>
    </w:p>
    <w:p w:rsidR="00150B55" w:rsidRPr="00F07E8E" w:rsidRDefault="00150B55" w:rsidP="00150B55">
      <w:pPr>
        <w:spacing w:line="360" w:lineRule="auto"/>
        <w:jc w:val="both"/>
        <w:rPr>
          <w:rFonts w:ascii="Palatino Linotype" w:hAnsi="Palatino Linotype"/>
        </w:rPr>
      </w:pPr>
      <w:r w:rsidRPr="00150B55">
        <w:rPr>
          <w:rFonts w:ascii="Palatino Linotype" w:hAnsi="Palatino Linotype"/>
          <w:b/>
        </w:rPr>
        <w:t xml:space="preserve"> </w:t>
      </w:r>
    </w:p>
    <w:p w:rsidR="00150B55" w:rsidRPr="00DD56F7" w:rsidRDefault="00DD56F7" w:rsidP="00150B55">
      <w:pPr>
        <w:spacing w:line="360" w:lineRule="auto"/>
        <w:jc w:val="both"/>
        <w:rPr>
          <w:rFonts w:ascii="Palatino Linotype" w:hAnsi="Palatino Linotype"/>
        </w:rPr>
      </w:pPr>
      <w:r>
        <w:rPr>
          <w:rFonts w:ascii="Palatino Linotype" w:hAnsi="Palatino Linotype"/>
          <w:b/>
        </w:rPr>
        <w:t xml:space="preserve">Decima Sesión.pdf: </w:t>
      </w:r>
      <w:r w:rsidR="00972A40" w:rsidRPr="00972A40">
        <w:rPr>
          <w:rFonts w:ascii="Palatino Linotype" w:hAnsi="Palatino Linotype"/>
        </w:rPr>
        <w:t xml:space="preserve">Acta de la </w:t>
      </w:r>
      <w:r w:rsidRPr="00DD56F7">
        <w:rPr>
          <w:rFonts w:ascii="Palatino Linotype" w:hAnsi="Palatino Linotype"/>
        </w:rPr>
        <w:t xml:space="preserve">Décima </w:t>
      </w:r>
      <w:r w:rsidR="00972A40" w:rsidRPr="00DD56F7">
        <w:rPr>
          <w:rFonts w:ascii="Palatino Linotype" w:hAnsi="Palatino Linotype"/>
        </w:rPr>
        <w:t xml:space="preserve">Sesión Extraordinaria </w:t>
      </w:r>
      <w:r w:rsidRPr="00DD56F7">
        <w:rPr>
          <w:rFonts w:ascii="Palatino Linotype" w:hAnsi="Palatino Linotype"/>
        </w:rPr>
        <w:t xml:space="preserve">del Comité de la Unidad de Transparencia y Acceso a </w:t>
      </w:r>
      <w:r w:rsidR="00972A40">
        <w:rPr>
          <w:rFonts w:ascii="Palatino Linotype" w:hAnsi="Palatino Linotype"/>
        </w:rPr>
        <w:t>l</w:t>
      </w:r>
      <w:r w:rsidRPr="00DD56F7">
        <w:rPr>
          <w:rFonts w:ascii="Palatino Linotype" w:hAnsi="Palatino Linotype"/>
        </w:rPr>
        <w:t>a Información Pública del Organismo Público Descentralizado para la Prestación de los Servicios de Agua Potable, Alcantarillado y Saneamiento del Municipio de Zumpango, (ODAPAZ)</w:t>
      </w:r>
      <w:r w:rsidR="00972A40">
        <w:rPr>
          <w:rFonts w:ascii="Palatino Linotype" w:hAnsi="Palatino Linotype"/>
        </w:rPr>
        <w:t xml:space="preserve">, mediante la cual se determinó clasificar </w:t>
      </w:r>
      <w:r w:rsidR="00972A40" w:rsidRPr="00972A40">
        <w:rPr>
          <w:rFonts w:ascii="Palatino Linotype" w:hAnsi="Palatino Linotype"/>
        </w:rPr>
        <w:t>los nombres, horarios y registros de asistencia del personal adscrito al Organismo, como información reservada</w:t>
      </w:r>
      <w:r w:rsidR="00972A40">
        <w:rPr>
          <w:rFonts w:ascii="Palatino Linotype" w:hAnsi="Palatino Linotype"/>
        </w:rPr>
        <w:t>.</w:t>
      </w:r>
    </w:p>
    <w:p w:rsidR="00DD56F7" w:rsidRPr="00150B55" w:rsidRDefault="00DD56F7" w:rsidP="00150B55">
      <w:pPr>
        <w:spacing w:line="360" w:lineRule="auto"/>
        <w:jc w:val="both"/>
        <w:rPr>
          <w:rFonts w:ascii="Palatino Linotype" w:hAnsi="Palatino Linotype"/>
          <w:b/>
        </w:rPr>
      </w:pPr>
    </w:p>
    <w:p w:rsidR="00150B55" w:rsidRDefault="00972A40" w:rsidP="00150B55">
      <w:pPr>
        <w:spacing w:line="360" w:lineRule="auto"/>
        <w:jc w:val="both"/>
        <w:rPr>
          <w:rFonts w:ascii="Palatino Linotype" w:hAnsi="Palatino Linotype"/>
        </w:rPr>
      </w:pPr>
      <w:r>
        <w:rPr>
          <w:rFonts w:ascii="Palatino Linotype" w:hAnsi="Palatino Linotype"/>
          <w:b/>
        </w:rPr>
        <w:t xml:space="preserve">Solicitud 45.pdf: </w:t>
      </w:r>
      <w:r w:rsidR="00E95B6A" w:rsidRPr="00E95B6A">
        <w:rPr>
          <w:rFonts w:ascii="Palatino Linotype" w:hAnsi="Palatino Linotype"/>
        </w:rPr>
        <w:t>Ofici</w:t>
      </w:r>
      <w:r w:rsidR="00E95B6A">
        <w:rPr>
          <w:rFonts w:ascii="Palatino Linotype" w:hAnsi="Palatino Linotype"/>
        </w:rPr>
        <w:t xml:space="preserve">o número </w:t>
      </w:r>
      <w:r w:rsidR="00E95B6A" w:rsidRPr="00E95B6A">
        <w:rPr>
          <w:rFonts w:ascii="Palatino Linotype" w:hAnsi="Palatino Linotype"/>
        </w:rPr>
        <w:t>O.D.A.P.A.Z/UTAIP/0032/20</w:t>
      </w:r>
      <w:r w:rsidR="00E95B6A">
        <w:rPr>
          <w:rFonts w:ascii="Palatino Linotype" w:hAnsi="Palatino Linotype"/>
        </w:rPr>
        <w:t>1</w:t>
      </w:r>
      <w:r w:rsidR="00E95B6A" w:rsidRPr="00E95B6A">
        <w:rPr>
          <w:rFonts w:ascii="Palatino Linotype" w:hAnsi="Palatino Linotype"/>
        </w:rPr>
        <w:t>9</w:t>
      </w:r>
      <w:r w:rsidR="00E95B6A">
        <w:rPr>
          <w:rFonts w:ascii="Palatino Linotype" w:hAnsi="Palatino Linotype"/>
        </w:rPr>
        <w:t xml:space="preserve"> por medio del cual el Titular de la Unidad de Transparencia da respuesta a la solicitud del particular.</w:t>
      </w:r>
    </w:p>
    <w:p w:rsidR="00E95B6A" w:rsidRPr="00150B55" w:rsidRDefault="00E95B6A" w:rsidP="00150B55">
      <w:pPr>
        <w:spacing w:line="360" w:lineRule="auto"/>
        <w:jc w:val="both"/>
        <w:rPr>
          <w:rFonts w:ascii="Palatino Linotype" w:hAnsi="Palatino Linotype"/>
          <w:b/>
        </w:rPr>
      </w:pPr>
    </w:p>
    <w:p w:rsidR="00150B55" w:rsidRDefault="00E95B6A" w:rsidP="00150B55">
      <w:pPr>
        <w:spacing w:line="360" w:lineRule="auto"/>
        <w:jc w:val="both"/>
        <w:rPr>
          <w:rFonts w:ascii="Palatino Linotype" w:hAnsi="Palatino Linotype"/>
        </w:rPr>
      </w:pPr>
      <w:r>
        <w:rPr>
          <w:rFonts w:ascii="Palatino Linotype" w:hAnsi="Palatino Linotype"/>
          <w:b/>
        </w:rPr>
        <w:t xml:space="preserve">Gaceta Municipal.pdf: </w:t>
      </w:r>
      <w:r>
        <w:rPr>
          <w:rFonts w:ascii="Palatino Linotype" w:hAnsi="Palatino Linotype"/>
        </w:rPr>
        <w:t>Publicación de la Gaceta Municipal número 91 de fecha seis de junio del año dos mil dieciocho a través de la cual se publicó el Manual de Organización, Manual de Procedimientos, Código de Ética y Reglamento Interior del ODAPAZ.</w:t>
      </w:r>
    </w:p>
    <w:p w:rsidR="00E95B6A" w:rsidRPr="00E95B6A" w:rsidRDefault="00E95B6A" w:rsidP="00150B55">
      <w:pPr>
        <w:spacing w:line="360" w:lineRule="auto"/>
        <w:jc w:val="both"/>
        <w:rPr>
          <w:rFonts w:ascii="Palatino Linotype" w:hAnsi="Palatino Linotype"/>
        </w:rPr>
      </w:pPr>
    </w:p>
    <w:p w:rsidR="00933E22" w:rsidRDefault="00986960" w:rsidP="00150B55">
      <w:pPr>
        <w:spacing w:line="360" w:lineRule="auto"/>
        <w:jc w:val="both"/>
        <w:rPr>
          <w:rFonts w:ascii="Palatino Linotype" w:hAnsi="Palatino Linotype"/>
        </w:rPr>
      </w:pPr>
      <w:r>
        <w:rPr>
          <w:rFonts w:ascii="Palatino Linotype" w:hAnsi="Palatino Linotype"/>
          <w:b/>
        </w:rPr>
        <w:t xml:space="preserve">Acuerdo 7.pdf: </w:t>
      </w:r>
      <w:r w:rsidRPr="00986960">
        <w:rPr>
          <w:rFonts w:ascii="Palatino Linotype" w:hAnsi="Palatino Linotype"/>
        </w:rPr>
        <w:t>Acuerdo del Comité de Trasparencia del</w:t>
      </w:r>
      <w:r>
        <w:rPr>
          <w:rFonts w:ascii="Palatino Linotype" w:hAnsi="Palatino Linotype"/>
          <w:b/>
        </w:rPr>
        <w:t xml:space="preserve"> </w:t>
      </w:r>
      <w:r w:rsidRPr="00986960">
        <w:rPr>
          <w:rFonts w:ascii="Palatino Linotype" w:hAnsi="Palatino Linotype"/>
          <w:b/>
        </w:rPr>
        <w:t xml:space="preserve">SUJETO OBLIGADO </w:t>
      </w:r>
      <w:r>
        <w:rPr>
          <w:rFonts w:ascii="Palatino Linotype" w:hAnsi="Palatino Linotype"/>
        </w:rPr>
        <w:t>mediante el cual clasificó la información descrita en los documentos anteriores como información reservada por un periodo de 5 años.</w:t>
      </w:r>
    </w:p>
    <w:p w:rsidR="00150B55" w:rsidRPr="00986960" w:rsidRDefault="00986960" w:rsidP="00150B55">
      <w:pPr>
        <w:spacing w:line="360" w:lineRule="auto"/>
        <w:jc w:val="both"/>
        <w:rPr>
          <w:rFonts w:ascii="Palatino Linotype" w:hAnsi="Palatino Linotype"/>
        </w:rPr>
      </w:pPr>
      <w:r>
        <w:rPr>
          <w:rFonts w:ascii="Palatino Linotype" w:hAnsi="Palatino Linotype"/>
          <w:b/>
        </w:rPr>
        <w:t xml:space="preserve">Organigrama.pdf: </w:t>
      </w:r>
      <w:r w:rsidRPr="00986960">
        <w:rPr>
          <w:rFonts w:ascii="Palatino Linotype" w:hAnsi="Palatino Linotype"/>
        </w:rPr>
        <w:t xml:space="preserve">Consistente en un documento donde consta la Estructura Orgánica del Organismo Público Descentralizado para la Prestación de </w:t>
      </w:r>
      <w:r>
        <w:rPr>
          <w:rFonts w:ascii="Palatino Linotype" w:hAnsi="Palatino Linotype"/>
        </w:rPr>
        <w:t>l</w:t>
      </w:r>
      <w:r w:rsidRPr="00986960">
        <w:rPr>
          <w:rFonts w:ascii="Palatino Linotype" w:hAnsi="Palatino Linotype"/>
        </w:rPr>
        <w:t>os Servicios de Agua Potable Alcantarillado y Saneamiento del Municipio de Zumpango</w:t>
      </w:r>
      <w:r>
        <w:rPr>
          <w:rFonts w:ascii="Palatino Linotype" w:hAnsi="Palatino Linotype"/>
        </w:rPr>
        <w:t>.</w:t>
      </w:r>
    </w:p>
    <w:p w:rsidR="00986960" w:rsidRPr="00150B55" w:rsidRDefault="00986960" w:rsidP="00150B55">
      <w:pPr>
        <w:spacing w:line="360" w:lineRule="auto"/>
        <w:jc w:val="both"/>
        <w:rPr>
          <w:rFonts w:ascii="Palatino Linotype" w:hAnsi="Palatino Linotype"/>
          <w:b/>
        </w:rPr>
      </w:pPr>
    </w:p>
    <w:p w:rsidR="00150B55" w:rsidRPr="00995944" w:rsidRDefault="00150B55" w:rsidP="00150B55">
      <w:pPr>
        <w:spacing w:line="360" w:lineRule="auto"/>
        <w:jc w:val="both"/>
        <w:rPr>
          <w:rFonts w:ascii="Palatino Linotype" w:hAnsi="Palatino Linotype"/>
        </w:rPr>
      </w:pPr>
      <w:r w:rsidRPr="00150B55">
        <w:rPr>
          <w:rFonts w:ascii="Palatino Linotype" w:hAnsi="Palatino Linotype"/>
          <w:b/>
        </w:rPr>
        <w:t>Actas Ordinarias y Extraordinarias</w:t>
      </w:r>
      <w:r w:rsidR="00955531">
        <w:rPr>
          <w:rFonts w:ascii="Palatino Linotype" w:hAnsi="Palatino Linotype"/>
          <w:b/>
        </w:rPr>
        <w:t xml:space="preserve"> del Consejo Directivo 2016.zip: </w:t>
      </w:r>
      <w:r w:rsidR="00955531" w:rsidRPr="00995944">
        <w:rPr>
          <w:rFonts w:ascii="Palatino Linotype" w:hAnsi="Palatino Linotype"/>
        </w:rPr>
        <w:t xml:space="preserve">Actas de la Primera, Segunda, </w:t>
      </w:r>
      <w:r w:rsidR="00995944">
        <w:rPr>
          <w:rFonts w:ascii="Palatino Linotype" w:hAnsi="Palatino Linotype"/>
        </w:rPr>
        <w:t xml:space="preserve">Cuarta, Quinta, Sexta, Octava y Décima </w:t>
      </w:r>
      <w:r w:rsidR="00955531" w:rsidRPr="00995944">
        <w:rPr>
          <w:rFonts w:ascii="Palatino Linotype" w:hAnsi="Palatino Linotype"/>
        </w:rPr>
        <w:t xml:space="preserve">sesiones Ordinarias </w:t>
      </w:r>
      <w:r w:rsidR="00995944" w:rsidRPr="00995944">
        <w:rPr>
          <w:rFonts w:ascii="Palatino Linotype" w:hAnsi="Palatino Linotype"/>
        </w:rPr>
        <w:t>del Consejo Directivo</w:t>
      </w:r>
      <w:r w:rsidR="00995944">
        <w:rPr>
          <w:rFonts w:ascii="Palatino Linotype" w:hAnsi="Palatino Linotype"/>
        </w:rPr>
        <w:t xml:space="preserve">, así como la Primera, Segunda, Quinta, Sexta, Séptima y Octava sesión </w:t>
      </w:r>
      <w:r w:rsidR="00557669">
        <w:rPr>
          <w:rFonts w:ascii="Palatino Linotype" w:hAnsi="Palatino Linotype"/>
        </w:rPr>
        <w:t xml:space="preserve">Extraordinaria </w:t>
      </w:r>
    </w:p>
    <w:p w:rsidR="00995944" w:rsidRPr="00150B55" w:rsidRDefault="00995944" w:rsidP="00150B55">
      <w:pPr>
        <w:spacing w:line="360" w:lineRule="auto"/>
        <w:jc w:val="both"/>
        <w:rPr>
          <w:rFonts w:ascii="Palatino Linotype" w:hAnsi="Palatino Linotype"/>
          <w:b/>
        </w:rPr>
      </w:pPr>
    </w:p>
    <w:p w:rsidR="00B8043B" w:rsidRDefault="00150B55" w:rsidP="00150B55">
      <w:pPr>
        <w:spacing w:line="360" w:lineRule="auto"/>
        <w:jc w:val="both"/>
        <w:rPr>
          <w:rFonts w:ascii="Palatino Linotype" w:hAnsi="Palatino Linotype"/>
        </w:rPr>
      </w:pPr>
      <w:proofErr w:type="spellStart"/>
      <w:r w:rsidRPr="00150B55">
        <w:rPr>
          <w:rFonts w:ascii="Palatino Linotype" w:hAnsi="Palatino Linotype"/>
          <w:b/>
        </w:rPr>
        <w:t>PbRM</w:t>
      </w:r>
      <w:proofErr w:type="spellEnd"/>
      <w:r w:rsidRPr="00150B55">
        <w:rPr>
          <w:rFonts w:ascii="Palatino Linotype" w:hAnsi="Palatino Linotype"/>
          <w:b/>
        </w:rPr>
        <w:t xml:space="preserve"> y Evidencias.zip</w:t>
      </w:r>
      <w:r w:rsidR="00557669">
        <w:rPr>
          <w:rFonts w:ascii="Palatino Linotype" w:hAnsi="Palatino Linotype"/>
          <w:b/>
        </w:rPr>
        <w:t xml:space="preserve">: </w:t>
      </w:r>
      <w:r w:rsidR="00557669">
        <w:rPr>
          <w:rFonts w:ascii="Palatino Linotype" w:hAnsi="Palatino Linotype"/>
        </w:rPr>
        <w:t>Consistente en varios documentos como lo son oficios, formatos e imágenes</w:t>
      </w:r>
      <w:r w:rsidR="002B79F4">
        <w:rPr>
          <w:rFonts w:ascii="Palatino Linotype" w:hAnsi="Palatino Linotype"/>
        </w:rPr>
        <w:t xml:space="preserve"> que se relacionas de la siguiente forma</w:t>
      </w:r>
      <w:r w:rsidR="00B8043B">
        <w:rPr>
          <w:rFonts w:ascii="Palatino Linotype" w:hAnsi="Palatino Linotype"/>
        </w:rPr>
        <w:t xml:space="preserve">: </w:t>
      </w:r>
      <w:r w:rsidR="00557669">
        <w:rPr>
          <w:rFonts w:ascii="Palatino Linotype" w:hAnsi="Palatino Linotype"/>
        </w:rPr>
        <w:t xml:space="preserve"> </w:t>
      </w:r>
    </w:p>
    <w:p w:rsidR="00150B55" w:rsidRPr="007D67D9" w:rsidRDefault="00557669" w:rsidP="00B8043B">
      <w:pPr>
        <w:pStyle w:val="Prrafodelista"/>
        <w:numPr>
          <w:ilvl w:val="0"/>
          <w:numId w:val="21"/>
        </w:numPr>
        <w:spacing w:line="360" w:lineRule="auto"/>
        <w:jc w:val="both"/>
        <w:rPr>
          <w:rFonts w:ascii="Palatino Linotype" w:hAnsi="Palatino Linotype"/>
          <w:sz w:val="22"/>
        </w:rPr>
      </w:pPr>
      <w:r w:rsidRPr="007D67D9">
        <w:rPr>
          <w:rFonts w:ascii="Palatino Linotype" w:hAnsi="Palatino Linotype"/>
          <w:sz w:val="22"/>
        </w:rPr>
        <w:t>una relación de acuerdos de consejo tomados durante el primer trimestre de la presente anualidad.</w:t>
      </w:r>
    </w:p>
    <w:p w:rsidR="00B8043B" w:rsidRPr="007D67D9" w:rsidRDefault="00B8043B" w:rsidP="00B8043B">
      <w:pPr>
        <w:pStyle w:val="Prrafodelista"/>
        <w:numPr>
          <w:ilvl w:val="0"/>
          <w:numId w:val="21"/>
        </w:numPr>
        <w:spacing w:line="360" w:lineRule="auto"/>
        <w:jc w:val="both"/>
        <w:rPr>
          <w:rFonts w:ascii="Palatino Linotype" w:hAnsi="Palatino Linotype"/>
          <w:sz w:val="22"/>
        </w:rPr>
      </w:pPr>
      <w:r w:rsidRPr="007D67D9">
        <w:rPr>
          <w:rFonts w:ascii="Palatino Linotype" w:hAnsi="Palatino Linotype"/>
          <w:sz w:val="22"/>
        </w:rPr>
        <w:t>Formatos PbRM-08c</w:t>
      </w:r>
      <w:r w:rsidRPr="007D67D9">
        <w:rPr>
          <w:rFonts w:ascii="Palatino Linotype" w:hAnsi="Palatino Linotype"/>
          <w:i/>
          <w:sz w:val="22"/>
        </w:rPr>
        <w:t xml:space="preserve"> Avance Trimestral de Metas de Actividad por Proyecto</w:t>
      </w:r>
      <w:r w:rsidRPr="007D67D9">
        <w:rPr>
          <w:rFonts w:ascii="Palatino Linotype" w:hAnsi="Palatino Linotype"/>
          <w:sz w:val="22"/>
        </w:rPr>
        <w:t xml:space="preserve"> y </w:t>
      </w:r>
      <w:proofErr w:type="spellStart"/>
      <w:r w:rsidRPr="007D67D9">
        <w:rPr>
          <w:rFonts w:ascii="Palatino Linotype" w:hAnsi="Palatino Linotype"/>
          <w:sz w:val="22"/>
        </w:rPr>
        <w:t>PbRm</w:t>
      </w:r>
      <w:proofErr w:type="spellEnd"/>
      <w:r w:rsidRPr="007D67D9">
        <w:rPr>
          <w:rFonts w:ascii="Palatino Linotype" w:hAnsi="Palatino Linotype"/>
          <w:sz w:val="22"/>
        </w:rPr>
        <w:t xml:space="preserve"> -</w:t>
      </w:r>
      <w:proofErr w:type="spellStart"/>
      <w:r w:rsidRPr="007D67D9">
        <w:rPr>
          <w:rFonts w:ascii="Palatino Linotype" w:hAnsi="Palatino Linotype"/>
          <w:sz w:val="22"/>
        </w:rPr>
        <w:t>08b</w:t>
      </w:r>
      <w:proofErr w:type="spellEnd"/>
      <w:r w:rsidRPr="007D67D9">
        <w:rPr>
          <w:rFonts w:ascii="Palatino Linotype" w:hAnsi="Palatino Linotype"/>
          <w:sz w:val="22"/>
        </w:rPr>
        <w:t xml:space="preserve"> </w:t>
      </w:r>
      <w:r w:rsidRPr="007D67D9">
        <w:rPr>
          <w:rFonts w:ascii="Palatino Linotype" w:hAnsi="Palatino Linotype"/>
          <w:i/>
          <w:sz w:val="22"/>
        </w:rPr>
        <w:t xml:space="preserve">Ficha Técnica de Seguimiento de Indicadores 2019 de Gestión o Estratégico¸ </w:t>
      </w:r>
      <w:r w:rsidRPr="007D67D9">
        <w:rPr>
          <w:rFonts w:ascii="Palatino Linotype" w:hAnsi="Palatino Linotype"/>
          <w:sz w:val="22"/>
        </w:rPr>
        <w:t>trimestre enero a marzo.</w:t>
      </w:r>
    </w:p>
    <w:p w:rsidR="002B79F4" w:rsidRPr="007D67D9" w:rsidRDefault="00B8043B" w:rsidP="002B79F4">
      <w:pPr>
        <w:pStyle w:val="Prrafodelista"/>
        <w:numPr>
          <w:ilvl w:val="0"/>
          <w:numId w:val="21"/>
        </w:numPr>
        <w:spacing w:line="360" w:lineRule="auto"/>
        <w:jc w:val="both"/>
        <w:rPr>
          <w:rFonts w:ascii="Palatino Linotype" w:hAnsi="Palatino Linotype"/>
          <w:i/>
          <w:sz w:val="22"/>
        </w:rPr>
      </w:pPr>
      <w:r w:rsidRPr="007D67D9">
        <w:rPr>
          <w:rFonts w:ascii="Palatino Linotype" w:hAnsi="Palatino Linotype"/>
          <w:sz w:val="22"/>
        </w:rPr>
        <w:t>Formatos PbRM-01</w:t>
      </w:r>
      <w:r w:rsidR="002B79F4" w:rsidRPr="007D67D9">
        <w:rPr>
          <w:rFonts w:ascii="Palatino Linotype" w:hAnsi="Palatino Linotype"/>
          <w:sz w:val="22"/>
        </w:rPr>
        <w:t>a</w:t>
      </w:r>
      <w:r w:rsidRPr="007D67D9">
        <w:rPr>
          <w:rFonts w:ascii="Palatino Linotype" w:hAnsi="Palatino Linotype"/>
          <w:sz w:val="22"/>
        </w:rPr>
        <w:t xml:space="preserve"> </w:t>
      </w:r>
      <w:r w:rsidRPr="007D67D9">
        <w:rPr>
          <w:rFonts w:ascii="Palatino Linotype" w:hAnsi="Palatino Linotype"/>
          <w:i/>
          <w:sz w:val="22"/>
        </w:rPr>
        <w:t>Programa Anual Dimensión Administrativa del Gasto</w:t>
      </w:r>
      <w:r w:rsidR="00FD1990" w:rsidRPr="007D67D9">
        <w:rPr>
          <w:rFonts w:ascii="Palatino Linotype" w:hAnsi="Palatino Linotype"/>
          <w:i/>
          <w:sz w:val="22"/>
        </w:rPr>
        <w:t>,</w:t>
      </w:r>
      <w:r w:rsidRPr="007D67D9">
        <w:rPr>
          <w:rFonts w:ascii="Palatino Linotype" w:hAnsi="Palatino Linotype"/>
          <w:i/>
          <w:sz w:val="22"/>
        </w:rPr>
        <w:t xml:space="preserve"> </w:t>
      </w:r>
      <w:r w:rsidRPr="007D67D9">
        <w:rPr>
          <w:rFonts w:ascii="Palatino Linotype" w:hAnsi="Palatino Linotype"/>
          <w:sz w:val="22"/>
        </w:rPr>
        <w:t xml:space="preserve">PbRM-01b </w:t>
      </w:r>
      <w:r w:rsidRPr="007D67D9">
        <w:rPr>
          <w:rFonts w:ascii="Palatino Linotype" w:hAnsi="Palatino Linotype"/>
          <w:i/>
          <w:sz w:val="22"/>
        </w:rPr>
        <w:t>Programa Anual descripción del Programa Presupuestario</w:t>
      </w:r>
      <w:r w:rsidR="00FD1990" w:rsidRPr="007D67D9">
        <w:rPr>
          <w:rFonts w:ascii="Palatino Linotype" w:hAnsi="Palatino Linotype"/>
          <w:i/>
          <w:sz w:val="22"/>
        </w:rPr>
        <w:t xml:space="preserve">, </w:t>
      </w:r>
      <w:r w:rsidR="00FD1990" w:rsidRPr="007D67D9">
        <w:rPr>
          <w:rFonts w:ascii="Palatino Linotype" w:hAnsi="Palatino Linotype"/>
          <w:sz w:val="22"/>
        </w:rPr>
        <w:t xml:space="preserve">PbRM-01c </w:t>
      </w:r>
      <w:r w:rsidR="00FD1990" w:rsidRPr="007D67D9">
        <w:rPr>
          <w:rFonts w:ascii="Palatino Linotype" w:hAnsi="Palatino Linotype"/>
          <w:i/>
          <w:sz w:val="22"/>
        </w:rPr>
        <w:t xml:space="preserve">Programa Anual de Metas de actividad por </w:t>
      </w:r>
      <w:r w:rsidR="002B79F4" w:rsidRPr="007D67D9">
        <w:rPr>
          <w:rFonts w:ascii="Palatino Linotype" w:hAnsi="Palatino Linotype"/>
          <w:i/>
          <w:sz w:val="22"/>
        </w:rPr>
        <w:t>proyecto</w:t>
      </w:r>
      <w:r w:rsidR="00FD1990" w:rsidRPr="007D67D9">
        <w:rPr>
          <w:rFonts w:ascii="Palatino Linotype" w:hAnsi="Palatino Linotype"/>
          <w:sz w:val="22"/>
        </w:rPr>
        <w:t xml:space="preserve">, PbRM-02a </w:t>
      </w:r>
      <w:r w:rsidR="00FD1990" w:rsidRPr="007D67D9">
        <w:rPr>
          <w:rFonts w:ascii="Palatino Linotype" w:hAnsi="Palatino Linotype"/>
          <w:i/>
          <w:sz w:val="22"/>
        </w:rPr>
        <w:t>Calendarización de metas de actividad por proyecto</w:t>
      </w:r>
      <w:r w:rsidR="00FD1990" w:rsidRPr="007D67D9">
        <w:rPr>
          <w:rFonts w:ascii="Palatino Linotype" w:hAnsi="Palatino Linotype"/>
          <w:sz w:val="22"/>
        </w:rPr>
        <w:t xml:space="preserve">, </w:t>
      </w:r>
      <w:proofErr w:type="spellStart"/>
      <w:r w:rsidR="00FD1990" w:rsidRPr="007D67D9">
        <w:rPr>
          <w:rFonts w:ascii="Palatino Linotype" w:hAnsi="Palatino Linotype"/>
          <w:sz w:val="22"/>
        </w:rPr>
        <w:t>PbRm</w:t>
      </w:r>
      <w:proofErr w:type="spellEnd"/>
      <w:r w:rsidR="00FD1990" w:rsidRPr="007D67D9">
        <w:rPr>
          <w:rFonts w:ascii="Palatino Linotype" w:hAnsi="Palatino Linotype"/>
          <w:sz w:val="22"/>
        </w:rPr>
        <w:t xml:space="preserve"> -</w:t>
      </w:r>
      <w:proofErr w:type="spellStart"/>
      <w:r w:rsidR="00FD1990" w:rsidRPr="007D67D9">
        <w:rPr>
          <w:rFonts w:ascii="Palatino Linotype" w:hAnsi="Palatino Linotype"/>
          <w:sz w:val="22"/>
        </w:rPr>
        <w:t>01d</w:t>
      </w:r>
      <w:proofErr w:type="spellEnd"/>
      <w:r w:rsidR="00FD1990" w:rsidRPr="007D67D9">
        <w:rPr>
          <w:rFonts w:ascii="Palatino Linotype" w:hAnsi="Palatino Linotype"/>
          <w:sz w:val="22"/>
        </w:rPr>
        <w:t xml:space="preserve"> </w:t>
      </w:r>
      <w:r w:rsidR="00FD1990" w:rsidRPr="007D67D9">
        <w:rPr>
          <w:rFonts w:ascii="Palatino Linotype" w:hAnsi="Palatino Linotype"/>
          <w:i/>
          <w:sz w:val="22"/>
        </w:rPr>
        <w:t>Ficha Técnica de Diseño de Indicadores Estratégicos  o de Gestión 2019</w:t>
      </w:r>
      <w:r w:rsidR="004813AC" w:rsidRPr="007D67D9">
        <w:rPr>
          <w:rFonts w:ascii="Palatino Linotype" w:hAnsi="Palatino Linotype"/>
          <w:i/>
          <w:sz w:val="22"/>
        </w:rPr>
        <w:t>.</w:t>
      </w:r>
    </w:p>
    <w:p w:rsidR="002B79F4" w:rsidRPr="007D67D9" w:rsidRDefault="002B79F4" w:rsidP="002B79F4">
      <w:pPr>
        <w:pStyle w:val="Prrafodelista"/>
        <w:numPr>
          <w:ilvl w:val="0"/>
          <w:numId w:val="21"/>
        </w:numPr>
        <w:spacing w:line="360" w:lineRule="auto"/>
        <w:jc w:val="both"/>
        <w:rPr>
          <w:rFonts w:ascii="Palatino Linotype" w:hAnsi="Palatino Linotype"/>
          <w:sz w:val="22"/>
        </w:rPr>
      </w:pPr>
      <w:r w:rsidRPr="007D67D9">
        <w:rPr>
          <w:rFonts w:ascii="Palatino Linotype" w:hAnsi="Palatino Linotype"/>
          <w:sz w:val="22"/>
        </w:rPr>
        <w:t>Una relación de oficios recibidos en los meses de enero a marzo del presente año.</w:t>
      </w:r>
    </w:p>
    <w:p w:rsidR="004813AC" w:rsidRPr="007D67D9" w:rsidRDefault="004813AC" w:rsidP="002B79F4">
      <w:pPr>
        <w:pStyle w:val="Prrafodelista"/>
        <w:numPr>
          <w:ilvl w:val="0"/>
          <w:numId w:val="21"/>
        </w:numPr>
        <w:spacing w:line="360" w:lineRule="auto"/>
        <w:jc w:val="both"/>
        <w:rPr>
          <w:rFonts w:ascii="Palatino Linotype" w:hAnsi="Palatino Linotype"/>
          <w:sz w:val="22"/>
        </w:rPr>
      </w:pPr>
      <w:r w:rsidRPr="007D67D9">
        <w:rPr>
          <w:rFonts w:ascii="Palatino Linotype" w:hAnsi="Palatino Linotype"/>
          <w:sz w:val="22"/>
        </w:rPr>
        <w:t xml:space="preserve">Oficio O.D.A.P.A.Z./DG/0104/2019 </w:t>
      </w:r>
      <w:r w:rsidR="002B79F4" w:rsidRPr="007D67D9">
        <w:rPr>
          <w:rFonts w:ascii="Palatino Linotype" w:hAnsi="Palatino Linotype"/>
          <w:sz w:val="22"/>
        </w:rPr>
        <w:t>mediante el cual se informa acerca de la descripción de las políticas públicas programadas y alcanzadas durante el primer trimestre del año.</w:t>
      </w:r>
    </w:p>
    <w:p w:rsidR="002B79F4" w:rsidRPr="007D67D9" w:rsidRDefault="002B79F4" w:rsidP="002B79F4">
      <w:pPr>
        <w:pStyle w:val="Prrafodelista"/>
        <w:numPr>
          <w:ilvl w:val="0"/>
          <w:numId w:val="21"/>
        </w:numPr>
        <w:spacing w:line="360" w:lineRule="auto"/>
        <w:jc w:val="both"/>
        <w:rPr>
          <w:rFonts w:ascii="Palatino Linotype" w:hAnsi="Palatino Linotype"/>
          <w:sz w:val="22"/>
        </w:rPr>
      </w:pPr>
      <w:r w:rsidRPr="007D67D9">
        <w:rPr>
          <w:rFonts w:ascii="Palatino Linotype" w:hAnsi="Palatino Linotype"/>
          <w:sz w:val="22"/>
        </w:rPr>
        <w:t>Infografía del mantenimiento integral al Pozo de San Pedro de la Laguna</w:t>
      </w:r>
    </w:p>
    <w:p w:rsidR="002B79F4" w:rsidRPr="007D67D9" w:rsidRDefault="002B79F4" w:rsidP="002B79F4">
      <w:pPr>
        <w:pStyle w:val="Prrafodelista"/>
        <w:numPr>
          <w:ilvl w:val="0"/>
          <w:numId w:val="21"/>
        </w:numPr>
        <w:spacing w:line="360" w:lineRule="auto"/>
        <w:jc w:val="both"/>
        <w:rPr>
          <w:rFonts w:ascii="Palatino Linotype" w:hAnsi="Palatino Linotype"/>
          <w:sz w:val="22"/>
        </w:rPr>
      </w:pPr>
      <w:r w:rsidRPr="007D67D9">
        <w:rPr>
          <w:rFonts w:ascii="Palatino Linotype" w:hAnsi="Palatino Linotype"/>
          <w:sz w:val="22"/>
        </w:rPr>
        <w:t>Circulares emitidas por el Director General del ODAPAZ</w:t>
      </w:r>
    </w:p>
    <w:p w:rsidR="002B79F4" w:rsidRPr="007D67D9" w:rsidRDefault="002B79F4" w:rsidP="002B79F4">
      <w:pPr>
        <w:pStyle w:val="Prrafodelista"/>
        <w:numPr>
          <w:ilvl w:val="0"/>
          <w:numId w:val="21"/>
        </w:numPr>
        <w:spacing w:line="360" w:lineRule="auto"/>
        <w:jc w:val="both"/>
        <w:rPr>
          <w:rFonts w:ascii="Palatino Linotype" w:hAnsi="Palatino Linotype"/>
          <w:sz w:val="22"/>
        </w:rPr>
      </w:pPr>
      <w:r w:rsidRPr="007D67D9">
        <w:rPr>
          <w:rFonts w:ascii="Palatino Linotype" w:hAnsi="Palatino Linotype"/>
          <w:sz w:val="22"/>
        </w:rPr>
        <w:t xml:space="preserve">Publicidad de la campaña de regularización </w:t>
      </w:r>
    </w:p>
    <w:p w:rsidR="002B79F4" w:rsidRPr="007D67D9" w:rsidRDefault="002B79F4" w:rsidP="002B79F4">
      <w:pPr>
        <w:pStyle w:val="Prrafodelista"/>
        <w:numPr>
          <w:ilvl w:val="0"/>
          <w:numId w:val="21"/>
        </w:numPr>
        <w:spacing w:line="360" w:lineRule="auto"/>
        <w:jc w:val="both"/>
        <w:rPr>
          <w:rFonts w:ascii="Palatino Linotype" w:hAnsi="Palatino Linotype"/>
          <w:sz w:val="22"/>
        </w:rPr>
      </w:pPr>
      <w:r w:rsidRPr="007D67D9">
        <w:rPr>
          <w:rFonts w:ascii="Palatino Linotype" w:hAnsi="Palatino Linotype"/>
          <w:sz w:val="22"/>
        </w:rPr>
        <w:t>PbRM-08c</w:t>
      </w:r>
      <w:r w:rsidRPr="007D67D9">
        <w:rPr>
          <w:rFonts w:ascii="Palatino Linotype" w:hAnsi="Palatino Linotype"/>
          <w:i/>
          <w:sz w:val="22"/>
        </w:rPr>
        <w:t xml:space="preserve"> Avance Trimestral de Metas de Actividad por Proyecto </w:t>
      </w:r>
      <w:r w:rsidRPr="007D67D9">
        <w:rPr>
          <w:rFonts w:ascii="Palatino Linotype" w:hAnsi="Palatino Linotype"/>
          <w:sz w:val="22"/>
        </w:rPr>
        <w:t>trimestre enero a marzo.</w:t>
      </w:r>
    </w:p>
    <w:p w:rsidR="00557669" w:rsidRDefault="00557669" w:rsidP="00150B55">
      <w:pPr>
        <w:spacing w:line="360" w:lineRule="auto"/>
        <w:jc w:val="both"/>
        <w:rPr>
          <w:rFonts w:ascii="Palatino Linotype" w:hAnsi="Palatino Linotype"/>
        </w:rPr>
      </w:pPr>
    </w:p>
    <w:p w:rsidR="00B06D8A" w:rsidRPr="006F132E" w:rsidRDefault="00B06D8A" w:rsidP="00B06D8A">
      <w:pPr>
        <w:pStyle w:val="Prrafodelista"/>
        <w:numPr>
          <w:ilvl w:val="0"/>
          <w:numId w:val="2"/>
        </w:numPr>
        <w:spacing w:line="360" w:lineRule="auto"/>
        <w:ind w:left="0" w:firstLine="0"/>
        <w:jc w:val="both"/>
        <w:rPr>
          <w:rFonts w:ascii="Palatino Linotype" w:hAnsi="Palatino Linotype" w:cs="Arial"/>
        </w:rPr>
      </w:pPr>
      <w:r w:rsidRPr="006F132E">
        <w:rPr>
          <w:rFonts w:ascii="Palatino Linotype" w:hAnsi="Palatino Linotype"/>
        </w:rPr>
        <w:t xml:space="preserve">Inconforme con la </w:t>
      </w:r>
      <w:r w:rsidRPr="006F132E">
        <w:rPr>
          <w:rFonts w:ascii="Palatino Linotype" w:hAnsi="Palatino Linotype" w:cs="Arial"/>
        </w:rPr>
        <w:t xml:space="preserve">respuesta </w:t>
      </w:r>
      <w:r w:rsidRPr="006F132E">
        <w:rPr>
          <w:rFonts w:ascii="Palatino Linotype" w:hAnsi="Palatino Linotype"/>
        </w:rPr>
        <w:t xml:space="preserve">del </w:t>
      </w:r>
      <w:r w:rsidRPr="006F132E">
        <w:rPr>
          <w:rFonts w:ascii="Palatino Linotype" w:hAnsi="Palatino Linotype"/>
          <w:b/>
        </w:rPr>
        <w:t>SUJETO OBLIGADO</w:t>
      </w:r>
      <w:r w:rsidRPr="006F132E">
        <w:rPr>
          <w:rFonts w:ascii="Palatino Linotype" w:hAnsi="Palatino Linotype"/>
        </w:rPr>
        <w:t xml:space="preserve">, el </w:t>
      </w:r>
      <w:proofErr w:type="spellStart"/>
      <w:r w:rsidR="007D67D9">
        <w:rPr>
          <w:rFonts w:ascii="Palatino Linotype" w:hAnsi="Palatino Linotype"/>
        </w:rPr>
        <w:t>veintitres</w:t>
      </w:r>
      <w:proofErr w:type="spellEnd"/>
      <w:r w:rsidR="0050631D" w:rsidRPr="006F132E">
        <w:rPr>
          <w:rFonts w:ascii="Palatino Linotype" w:hAnsi="Palatino Linotype"/>
        </w:rPr>
        <w:t xml:space="preserve"> de mayo </w:t>
      </w:r>
      <w:r w:rsidRPr="006F132E">
        <w:rPr>
          <w:rFonts w:ascii="Palatino Linotype" w:hAnsi="Palatino Linotype"/>
        </w:rPr>
        <w:t xml:space="preserve">de dos mil diecinueve, </w:t>
      </w:r>
      <w:r w:rsidR="00DC71D1" w:rsidRPr="006F132E">
        <w:rPr>
          <w:rFonts w:ascii="Palatino Linotype" w:hAnsi="Palatino Linotype"/>
          <w:b/>
        </w:rPr>
        <w:t>LA RECURRENTE</w:t>
      </w:r>
      <w:r w:rsidRPr="006F132E">
        <w:rPr>
          <w:rFonts w:ascii="Palatino Linotype" w:hAnsi="Palatino Linotype"/>
        </w:rPr>
        <w:t xml:space="preserve"> interpuso el recurso de revisión objeto del presente estudio, el cual fue registrado en </w:t>
      </w:r>
      <w:r w:rsidRPr="006F132E">
        <w:rPr>
          <w:rFonts w:ascii="Palatino Linotype" w:hAnsi="Palatino Linotype"/>
          <w:b/>
        </w:rPr>
        <w:t>EL SAIMEX</w:t>
      </w:r>
      <w:r w:rsidRPr="006F132E">
        <w:rPr>
          <w:rFonts w:ascii="Palatino Linotype" w:hAnsi="Palatino Linotype"/>
        </w:rPr>
        <w:t xml:space="preserve"> y se le asignó el número de expediente </w:t>
      </w:r>
      <w:r w:rsidRPr="006F132E">
        <w:rPr>
          <w:rFonts w:ascii="Palatino Linotype" w:hAnsi="Palatino Linotype" w:cs="Arial"/>
          <w:b/>
          <w:bCs/>
        </w:rPr>
        <w:t>0</w:t>
      </w:r>
      <w:r w:rsidR="00F135A7" w:rsidRPr="006F132E">
        <w:rPr>
          <w:rFonts w:ascii="Palatino Linotype" w:hAnsi="Palatino Linotype" w:cs="Arial"/>
          <w:b/>
          <w:bCs/>
        </w:rPr>
        <w:t>4</w:t>
      </w:r>
      <w:r w:rsidR="007D67D9">
        <w:rPr>
          <w:rFonts w:ascii="Palatino Linotype" w:hAnsi="Palatino Linotype" w:cs="Arial"/>
          <w:b/>
          <w:bCs/>
        </w:rPr>
        <w:t>542</w:t>
      </w:r>
      <w:r w:rsidRPr="006F132E">
        <w:rPr>
          <w:rFonts w:ascii="Palatino Linotype" w:hAnsi="Palatino Linotype" w:cs="Arial"/>
          <w:b/>
          <w:bCs/>
        </w:rPr>
        <w:t>/INFOEM/IP/RR/2019</w:t>
      </w:r>
      <w:r w:rsidRPr="006F132E">
        <w:rPr>
          <w:rFonts w:ascii="Palatino Linotype" w:hAnsi="Palatino Linotype" w:cs="Arial"/>
        </w:rPr>
        <w:t>, en el que señaló como acto impugnado lo siguiente:</w:t>
      </w:r>
    </w:p>
    <w:p w:rsidR="00B06D8A" w:rsidRPr="006F132E" w:rsidRDefault="00B06D8A" w:rsidP="00B06D8A">
      <w:pPr>
        <w:pStyle w:val="Prrafodelista"/>
        <w:spacing w:line="360" w:lineRule="auto"/>
        <w:ind w:left="0"/>
        <w:jc w:val="both"/>
        <w:rPr>
          <w:rFonts w:ascii="Palatino Linotype" w:hAnsi="Palatino Linotype" w:cs="Arial"/>
        </w:rPr>
      </w:pPr>
    </w:p>
    <w:p w:rsidR="00B06D8A" w:rsidRPr="006F132E" w:rsidRDefault="006917E8" w:rsidP="006917E8">
      <w:pPr>
        <w:spacing w:line="360" w:lineRule="auto"/>
        <w:ind w:left="709" w:right="757"/>
        <w:jc w:val="both"/>
        <w:rPr>
          <w:rFonts w:ascii="Palatino Linotype" w:hAnsi="Palatino Linotype"/>
          <w:i/>
          <w:color w:val="000000"/>
          <w:sz w:val="22"/>
        </w:rPr>
      </w:pPr>
      <w:r w:rsidRPr="006F132E">
        <w:rPr>
          <w:rFonts w:ascii="Palatino Linotype" w:hAnsi="Palatino Linotype"/>
          <w:i/>
          <w:color w:val="000000"/>
          <w:sz w:val="22"/>
        </w:rPr>
        <w:t>“</w:t>
      </w:r>
      <w:r w:rsidR="007D67D9" w:rsidRPr="007D67D9">
        <w:rPr>
          <w:rFonts w:ascii="Palatino Linotype" w:hAnsi="Palatino Linotype"/>
          <w:i/>
          <w:color w:val="000000"/>
          <w:sz w:val="22"/>
        </w:rPr>
        <w:t>Violación a la Protección de Datos Personales</w:t>
      </w:r>
      <w:r w:rsidRPr="006F132E">
        <w:rPr>
          <w:rFonts w:ascii="Palatino Linotype" w:hAnsi="Palatino Linotype"/>
          <w:i/>
          <w:color w:val="000000"/>
          <w:sz w:val="22"/>
        </w:rPr>
        <w:t>”</w:t>
      </w:r>
    </w:p>
    <w:p w:rsidR="006917E8" w:rsidRPr="006F132E" w:rsidRDefault="006917E8" w:rsidP="006917E8">
      <w:pPr>
        <w:spacing w:line="360" w:lineRule="auto"/>
        <w:ind w:right="757"/>
        <w:jc w:val="both"/>
        <w:rPr>
          <w:rFonts w:ascii="Palatino Linotype" w:hAnsi="Palatino Linotype" w:cs="Arial"/>
          <w:spacing w:val="-6"/>
          <w:lang w:eastAsia="es-MX"/>
        </w:rPr>
      </w:pPr>
    </w:p>
    <w:p w:rsidR="00B06D8A" w:rsidRPr="006F132E" w:rsidRDefault="00B06D8A" w:rsidP="00B06D8A">
      <w:pPr>
        <w:ind w:right="757"/>
        <w:jc w:val="both"/>
        <w:rPr>
          <w:rFonts w:ascii="Palatino Linotype" w:hAnsi="Palatino Linotype" w:cs="Arial"/>
        </w:rPr>
      </w:pPr>
      <w:r w:rsidRPr="006F132E">
        <w:rPr>
          <w:rFonts w:ascii="Palatino Linotype" w:hAnsi="Palatino Linotype" w:cs="Arial"/>
          <w:spacing w:val="-6"/>
          <w:lang w:eastAsia="es-MX"/>
        </w:rPr>
        <w:t xml:space="preserve">Asimismo, manifestó como </w:t>
      </w:r>
      <w:r w:rsidRPr="006F132E">
        <w:rPr>
          <w:rFonts w:ascii="Palatino Linotype" w:hAnsi="Palatino Linotype" w:cs="Arial"/>
        </w:rPr>
        <w:t>razones o motivos de inconformidad:</w:t>
      </w:r>
    </w:p>
    <w:p w:rsidR="00B06D8A" w:rsidRPr="006F132E" w:rsidRDefault="00B06D8A" w:rsidP="00B06D8A">
      <w:pPr>
        <w:pStyle w:val="Prrafodelista"/>
        <w:ind w:left="709" w:right="757"/>
        <w:jc w:val="both"/>
        <w:rPr>
          <w:rFonts w:ascii="Palatino Linotype" w:hAnsi="Palatino Linotype" w:cs="Arial"/>
          <w:i/>
          <w:spacing w:val="-6"/>
          <w:lang w:eastAsia="es-MX"/>
        </w:rPr>
      </w:pPr>
    </w:p>
    <w:p w:rsidR="00F135A7" w:rsidRPr="006F132E" w:rsidRDefault="00B06D8A" w:rsidP="00B06D8A">
      <w:pPr>
        <w:pStyle w:val="Prrafodelista"/>
        <w:ind w:left="709" w:right="757"/>
        <w:jc w:val="both"/>
        <w:rPr>
          <w:rFonts w:ascii="Palatino Linotype" w:hAnsi="Palatino Linotype" w:cs="Arial"/>
          <w:i/>
          <w:spacing w:val="-6"/>
          <w:sz w:val="22"/>
          <w:lang w:eastAsia="es-MX"/>
        </w:rPr>
      </w:pPr>
      <w:r w:rsidRPr="006F132E">
        <w:rPr>
          <w:rFonts w:ascii="Palatino Linotype" w:hAnsi="Palatino Linotype" w:cs="Arial"/>
          <w:i/>
          <w:spacing w:val="-6"/>
          <w:sz w:val="22"/>
          <w:lang w:eastAsia="es-MX"/>
        </w:rPr>
        <w:t>“</w:t>
      </w:r>
      <w:r w:rsidR="007D67D9" w:rsidRPr="007D67D9">
        <w:rPr>
          <w:rFonts w:ascii="Palatino Linotype" w:hAnsi="Palatino Linotype" w:cs="Arial"/>
          <w:i/>
          <w:spacing w:val="-6"/>
          <w:sz w:val="22"/>
          <w:lang w:eastAsia="es-MX"/>
        </w:rPr>
        <w:t xml:space="preserve">Derivado de la respuesta entregada por parte de ODAPAZ, encuentro que se </w:t>
      </w:r>
      <w:proofErr w:type="spellStart"/>
      <w:r w:rsidR="007D67D9" w:rsidRPr="007D67D9">
        <w:rPr>
          <w:rFonts w:ascii="Palatino Linotype" w:hAnsi="Palatino Linotype" w:cs="Arial"/>
          <w:i/>
          <w:spacing w:val="-6"/>
          <w:sz w:val="22"/>
          <w:lang w:eastAsia="es-MX"/>
        </w:rPr>
        <w:t>esta</w:t>
      </w:r>
      <w:proofErr w:type="spellEnd"/>
      <w:r w:rsidR="007D67D9" w:rsidRPr="007D67D9">
        <w:rPr>
          <w:rFonts w:ascii="Palatino Linotype" w:hAnsi="Palatino Linotype" w:cs="Arial"/>
          <w:i/>
          <w:spacing w:val="-6"/>
          <w:sz w:val="22"/>
          <w:lang w:eastAsia="es-MX"/>
        </w:rPr>
        <w:t xml:space="preserve"> violando los datos personales de los ciudadanos, ya que en los archivos adjuntos con formato .ZIP dentro de este se contienen archivos .PDF específicamente a tres documentos que tienen como referencia al nombre OFICIOS RECIBIDOS, donde dentro de estos archivos se encuentran nombres de los solicitantes de apoyos de los servicios que presta el ODAPAZ, así como direcciones, y números de teléfonos de los ciudadanos solicitantes, por lo que solicito el aviso de privacidad del </w:t>
      </w:r>
      <w:proofErr w:type="spellStart"/>
      <w:r w:rsidR="007D67D9" w:rsidRPr="007D67D9">
        <w:rPr>
          <w:rFonts w:ascii="Palatino Linotype" w:hAnsi="Palatino Linotype" w:cs="Arial"/>
          <w:i/>
          <w:spacing w:val="-6"/>
          <w:sz w:val="22"/>
          <w:lang w:eastAsia="es-MX"/>
        </w:rPr>
        <w:t>ODAPAZ</w:t>
      </w:r>
      <w:proofErr w:type="spellEnd"/>
      <w:r w:rsidR="007D67D9" w:rsidRPr="007D67D9">
        <w:rPr>
          <w:rFonts w:ascii="Palatino Linotype" w:hAnsi="Palatino Linotype" w:cs="Arial"/>
          <w:i/>
          <w:spacing w:val="-6"/>
          <w:sz w:val="22"/>
          <w:lang w:eastAsia="es-MX"/>
        </w:rPr>
        <w:t xml:space="preserve">, la </w:t>
      </w:r>
      <w:proofErr w:type="spellStart"/>
      <w:r w:rsidR="007D67D9" w:rsidRPr="007D67D9">
        <w:rPr>
          <w:rFonts w:ascii="Palatino Linotype" w:hAnsi="Palatino Linotype" w:cs="Arial"/>
          <w:i/>
          <w:spacing w:val="-6"/>
          <w:sz w:val="22"/>
          <w:lang w:eastAsia="es-MX"/>
        </w:rPr>
        <w:t>destitucion</w:t>
      </w:r>
      <w:proofErr w:type="spellEnd"/>
      <w:r w:rsidR="007D67D9" w:rsidRPr="007D67D9">
        <w:rPr>
          <w:rFonts w:ascii="Palatino Linotype" w:hAnsi="Palatino Linotype" w:cs="Arial"/>
          <w:i/>
          <w:spacing w:val="-6"/>
          <w:sz w:val="22"/>
          <w:lang w:eastAsia="es-MX"/>
        </w:rPr>
        <w:t xml:space="preserve"> del titular de la unidad de transparencia, el encargado de </w:t>
      </w:r>
      <w:proofErr w:type="spellStart"/>
      <w:r w:rsidR="007D67D9" w:rsidRPr="007D67D9">
        <w:rPr>
          <w:rFonts w:ascii="Palatino Linotype" w:hAnsi="Palatino Linotype" w:cs="Arial"/>
          <w:i/>
          <w:spacing w:val="-6"/>
          <w:sz w:val="22"/>
          <w:lang w:eastAsia="es-MX"/>
        </w:rPr>
        <w:t>proteccion</w:t>
      </w:r>
      <w:proofErr w:type="spellEnd"/>
      <w:r w:rsidR="007D67D9" w:rsidRPr="007D67D9">
        <w:rPr>
          <w:rFonts w:ascii="Palatino Linotype" w:hAnsi="Palatino Linotype" w:cs="Arial"/>
          <w:i/>
          <w:spacing w:val="-6"/>
          <w:sz w:val="22"/>
          <w:lang w:eastAsia="es-MX"/>
        </w:rPr>
        <w:t xml:space="preserve"> de datos personales, y del responsable de la administración de la información, así como la multa pertinente al Director General del ODAPAZ. </w:t>
      </w:r>
      <w:proofErr w:type="gramStart"/>
      <w:r w:rsidR="007D67D9" w:rsidRPr="007D67D9">
        <w:rPr>
          <w:rFonts w:ascii="Palatino Linotype" w:hAnsi="Palatino Linotype" w:cs="Arial"/>
          <w:i/>
          <w:spacing w:val="-6"/>
          <w:sz w:val="22"/>
          <w:lang w:eastAsia="es-MX"/>
        </w:rPr>
        <w:t>ya</w:t>
      </w:r>
      <w:proofErr w:type="gramEnd"/>
      <w:r w:rsidR="007D67D9" w:rsidRPr="007D67D9">
        <w:rPr>
          <w:rFonts w:ascii="Palatino Linotype" w:hAnsi="Palatino Linotype" w:cs="Arial"/>
          <w:i/>
          <w:spacing w:val="-6"/>
          <w:sz w:val="22"/>
          <w:lang w:eastAsia="es-MX"/>
        </w:rPr>
        <w:t xml:space="preserve"> que no cuenta con el conocimiento para la administración, de este Organismo. </w:t>
      </w:r>
      <w:proofErr w:type="gramStart"/>
      <w:r w:rsidR="007D67D9" w:rsidRPr="007D67D9">
        <w:rPr>
          <w:rFonts w:ascii="Palatino Linotype" w:hAnsi="Palatino Linotype" w:cs="Arial"/>
          <w:i/>
          <w:spacing w:val="-6"/>
          <w:sz w:val="22"/>
          <w:lang w:eastAsia="es-MX"/>
        </w:rPr>
        <w:t>así</w:t>
      </w:r>
      <w:proofErr w:type="gramEnd"/>
      <w:r w:rsidR="007D67D9" w:rsidRPr="007D67D9">
        <w:rPr>
          <w:rFonts w:ascii="Palatino Linotype" w:hAnsi="Palatino Linotype" w:cs="Arial"/>
          <w:i/>
          <w:spacing w:val="-6"/>
          <w:sz w:val="22"/>
          <w:lang w:eastAsia="es-MX"/>
        </w:rPr>
        <w:t xml:space="preserve"> mismo se espera la Intervención de las Áreas Indicadas por parte del INFOEM ya que se </w:t>
      </w:r>
      <w:proofErr w:type="spellStart"/>
      <w:r w:rsidR="007D67D9" w:rsidRPr="007D67D9">
        <w:rPr>
          <w:rFonts w:ascii="Palatino Linotype" w:hAnsi="Palatino Linotype" w:cs="Arial"/>
          <w:i/>
          <w:spacing w:val="-6"/>
          <w:sz w:val="22"/>
          <w:lang w:eastAsia="es-MX"/>
        </w:rPr>
        <w:t>estan</w:t>
      </w:r>
      <w:proofErr w:type="spellEnd"/>
      <w:r w:rsidR="007D67D9" w:rsidRPr="007D67D9">
        <w:rPr>
          <w:rFonts w:ascii="Palatino Linotype" w:hAnsi="Palatino Linotype" w:cs="Arial"/>
          <w:i/>
          <w:spacing w:val="-6"/>
          <w:sz w:val="22"/>
          <w:lang w:eastAsia="es-MX"/>
        </w:rPr>
        <w:t xml:space="preserve"> violando las normas establecidas en cuestión de protección de datos personales</w:t>
      </w:r>
      <w:r w:rsidR="00F135A7" w:rsidRPr="006F132E">
        <w:rPr>
          <w:rFonts w:ascii="Palatino Linotype" w:hAnsi="Palatino Linotype" w:cs="Arial"/>
          <w:i/>
          <w:spacing w:val="-6"/>
          <w:sz w:val="22"/>
          <w:lang w:eastAsia="es-MX"/>
        </w:rPr>
        <w:t>.</w:t>
      </w:r>
      <w:r w:rsidRPr="006F132E">
        <w:rPr>
          <w:rFonts w:ascii="Palatino Linotype" w:hAnsi="Palatino Linotype" w:cs="Arial"/>
          <w:i/>
          <w:spacing w:val="-6"/>
          <w:sz w:val="22"/>
          <w:lang w:eastAsia="es-MX"/>
        </w:rPr>
        <w:t>”</w:t>
      </w:r>
    </w:p>
    <w:p w:rsidR="00933E22" w:rsidRDefault="00933E22" w:rsidP="00B57156">
      <w:pPr>
        <w:spacing w:line="360" w:lineRule="auto"/>
        <w:ind w:right="49"/>
        <w:jc w:val="both"/>
        <w:rPr>
          <w:rFonts w:ascii="Palatino Linotype" w:hAnsi="Palatino Linotype" w:cs="Arial"/>
          <w:i/>
          <w:spacing w:val="-6"/>
          <w:lang w:eastAsia="es-MX"/>
        </w:rPr>
      </w:pPr>
    </w:p>
    <w:p w:rsidR="00B06D8A" w:rsidRPr="006F132E" w:rsidRDefault="00F135A7" w:rsidP="00B57156">
      <w:pPr>
        <w:spacing w:line="360" w:lineRule="auto"/>
        <w:ind w:right="49"/>
        <w:jc w:val="both"/>
        <w:rPr>
          <w:rFonts w:ascii="Palatino Linotype" w:hAnsi="Palatino Linotype" w:cs="Arial"/>
        </w:rPr>
      </w:pPr>
      <w:r w:rsidRPr="006F132E">
        <w:rPr>
          <w:rFonts w:ascii="Palatino Linotype" w:hAnsi="Palatino Linotype" w:cs="Arial"/>
          <w:spacing w:val="-6"/>
          <w:lang w:eastAsia="es-MX"/>
        </w:rPr>
        <w:t xml:space="preserve">Adjunto a su escrito de interposición, remitió </w:t>
      </w:r>
      <w:r w:rsidR="00B57156">
        <w:rPr>
          <w:rFonts w:ascii="Palatino Linotype" w:hAnsi="Palatino Linotype" w:cs="Arial"/>
          <w:spacing w:val="-6"/>
          <w:lang w:eastAsia="es-MX"/>
        </w:rPr>
        <w:t>los</w:t>
      </w:r>
      <w:r w:rsidR="00B57156" w:rsidRPr="006F132E">
        <w:rPr>
          <w:rFonts w:ascii="Palatino Linotype" w:hAnsi="Palatino Linotype" w:cs="Arial"/>
          <w:spacing w:val="-6"/>
          <w:lang w:eastAsia="es-MX"/>
        </w:rPr>
        <w:t xml:space="preserve"> archivos electrónicos</w:t>
      </w:r>
      <w:r w:rsidRPr="006F132E">
        <w:rPr>
          <w:rFonts w:ascii="Palatino Linotype" w:hAnsi="Palatino Linotype" w:cs="Arial"/>
          <w:spacing w:val="-6"/>
          <w:lang w:eastAsia="es-MX"/>
        </w:rPr>
        <w:t xml:space="preserve"> </w:t>
      </w:r>
      <w:r w:rsidR="00B57156" w:rsidRPr="00B57156">
        <w:rPr>
          <w:rFonts w:ascii="Palatino Linotype" w:hAnsi="Palatino Linotype" w:cs="Arial"/>
          <w:b/>
          <w:spacing w:val="-6"/>
          <w:lang w:eastAsia="es-MX"/>
        </w:rPr>
        <w:t xml:space="preserve">OFICIOS RECIBIDOS FEBRERO </w:t>
      </w:r>
      <w:proofErr w:type="spellStart"/>
      <w:r w:rsidR="00B57156" w:rsidRPr="00B57156">
        <w:rPr>
          <w:rFonts w:ascii="Palatino Linotype" w:hAnsi="Palatino Linotype" w:cs="Arial"/>
          <w:b/>
          <w:spacing w:val="-6"/>
          <w:lang w:eastAsia="es-MX"/>
        </w:rPr>
        <w:t>ODAPAZ</w:t>
      </w:r>
      <w:proofErr w:type="spellEnd"/>
      <w:r w:rsidR="00B57156" w:rsidRPr="00B57156">
        <w:rPr>
          <w:rFonts w:ascii="Palatino Linotype" w:hAnsi="Palatino Linotype" w:cs="Arial"/>
          <w:b/>
          <w:spacing w:val="-6"/>
          <w:lang w:eastAsia="es-MX"/>
        </w:rPr>
        <w:t xml:space="preserve"> 2019 (1).</w:t>
      </w:r>
      <w:proofErr w:type="spellStart"/>
      <w:r w:rsidR="00B57156" w:rsidRPr="00B57156">
        <w:rPr>
          <w:rFonts w:ascii="Palatino Linotype" w:hAnsi="Palatino Linotype" w:cs="Arial"/>
          <w:b/>
          <w:spacing w:val="-6"/>
          <w:lang w:eastAsia="es-MX"/>
        </w:rPr>
        <w:t>pdf</w:t>
      </w:r>
      <w:proofErr w:type="spellEnd"/>
      <w:r w:rsidR="00B57156">
        <w:rPr>
          <w:rFonts w:ascii="Palatino Linotype" w:hAnsi="Palatino Linotype" w:cs="Arial"/>
          <w:b/>
          <w:spacing w:val="-6"/>
          <w:lang w:eastAsia="es-MX"/>
        </w:rPr>
        <w:t xml:space="preserve">, </w:t>
      </w:r>
      <w:r w:rsidR="00B57156" w:rsidRPr="00B57156">
        <w:rPr>
          <w:rFonts w:ascii="Palatino Linotype" w:hAnsi="Palatino Linotype" w:cs="Arial"/>
          <w:b/>
          <w:spacing w:val="-6"/>
          <w:lang w:eastAsia="es-MX"/>
        </w:rPr>
        <w:t>OFICIOS RECIBIDOS ENERO ODAPAZ 2019 (1).pdf</w:t>
      </w:r>
      <w:r w:rsidR="00B57156">
        <w:rPr>
          <w:rFonts w:ascii="Palatino Linotype" w:hAnsi="Palatino Linotype" w:cs="Arial"/>
          <w:b/>
          <w:spacing w:val="-6"/>
          <w:lang w:eastAsia="es-MX"/>
        </w:rPr>
        <w:t xml:space="preserve"> </w:t>
      </w:r>
      <w:r w:rsidR="00B57156">
        <w:rPr>
          <w:rFonts w:ascii="Palatino Linotype" w:hAnsi="Palatino Linotype" w:cs="Arial"/>
          <w:spacing w:val="-6"/>
          <w:lang w:eastAsia="es-MX"/>
        </w:rPr>
        <w:t xml:space="preserve">y </w:t>
      </w:r>
      <w:r w:rsidR="00B57156" w:rsidRPr="00B57156">
        <w:rPr>
          <w:rFonts w:ascii="Palatino Linotype" w:hAnsi="Palatino Linotype" w:cs="Arial"/>
          <w:b/>
          <w:spacing w:val="-6"/>
          <w:lang w:eastAsia="es-MX"/>
        </w:rPr>
        <w:t xml:space="preserve">OFICIOS RECIBIDOS MARZO </w:t>
      </w:r>
      <w:proofErr w:type="spellStart"/>
      <w:r w:rsidR="00B57156" w:rsidRPr="00B57156">
        <w:rPr>
          <w:rFonts w:ascii="Palatino Linotype" w:hAnsi="Palatino Linotype" w:cs="Arial"/>
          <w:b/>
          <w:spacing w:val="-6"/>
          <w:lang w:eastAsia="es-MX"/>
        </w:rPr>
        <w:t>ODAPAZ</w:t>
      </w:r>
      <w:proofErr w:type="spellEnd"/>
      <w:r w:rsidR="00B57156" w:rsidRPr="00B57156">
        <w:rPr>
          <w:rFonts w:ascii="Palatino Linotype" w:hAnsi="Palatino Linotype" w:cs="Arial"/>
          <w:b/>
          <w:spacing w:val="-6"/>
          <w:lang w:eastAsia="es-MX"/>
        </w:rPr>
        <w:t xml:space="preserve"> 2019 (1).</w:t>
      </w:r>
      <w:proofErr w:type="spellStart"/>
      <w:r w:rsidR="00B57156" w:rsidRPr="00B57156">
        <w:rPr>
          <w:rFonts w:ascii="Palatino Linotype" w:hAnsi="Palatino Linotype" w:cs="Arial"/>
          <w:b/>
          <w:spacing w:val="-6"/>
          <w:lang w:eastAsia="es-MX"/>
        </w:rPr>
        <w:t>pdf</w:t>
      </w:r>
      <w:proofErr w:type="spellEnd"/>
      <w:r w:rsidRPr="006F132E">
        <w:rPr>
          <w:rFonts w:ascii="Palatino Linotype" w:hAnsi="Palatino Linotype" w:cs="Arial"/>
          <w:b/>
          <w:i/>
          <w:spacing w:val="-6"/>
          <w:lang w:eastAsia="es-MX"/>
        </w:rPr>
        <w:t xml:space="preserve">, </w:t>
      </w:r>
      <w:r w:rsidRPr="006F132E">
        <w:rPr>
          <w:rFonts w:ascii="Palatino Linotype" w:hAnsi="Palatino Linotype" w:cs="Arial"/>
          <w:spacing w:val="-6"/>
          <w:lang w:eastAsia="es-MX"/>
        </w:rPr>
        <w:t xml:space="preserve">el cual </w:t>
      </w:r>
      <w:r w:rsidR="007005BE" w:rsidRPr="006F132E">
        <w:rPr>
          <w:rFonts w:ascii="Palatino Linotype" w:hAnsi="Palatino Linotype" w:cs="Arial"/>
          <w:spacing w:val="-6"/>
          <w:lang w:eastAsia="es-MX"/>
        </w:rPr>
        <w:t xml:space="preserve">contiene los </w:t>
      </w:r>
      <w:r w:rsidR="00B57156">
        <w:rPr>
          <w:rFonts w:ascii="Palatino Linotype" w:hAnsi="Palatino Linotype" w:cs="Arial"/>
          <w:spacing w:val="-6"/>
          <w:lang w:eastAsia="es-MX"/>
        </w:rPr>
        <w:t xml:space="preserve">documentos descritos por el </w:t>
      </w:r>
      <w:r w:rsidR="00B57156">
        <w:rPr>
          <w:rFonts w:ascii="Palatino Linotype" w:hAnsi="Palatino Linotype" w:cs="Arial"/>
          <w:b/>
          <w:spacing w:val="-6"/>
          <w:lang w:eastAsia="es-MX"/>
        </w:rPr>
        <w:t xml:space="preserve">RECURRENTE </w:t>
      </w:r>
      <w:r w:rsidR="00B57156">
        <w:rPr>
          <w:rFonts w:ascii="Palatino Linotype" w:hAnsi="Palatino Linotype" w:cs="Arial"/>
          <w:spacing w:val="-6"/>
          <w:lang w:eastAsia="es-MX"/>
        </w:rPr>
        <w:t>y</w:t>
      </w:r>
      <w:r w:rsidR="00B57156">
        <w:rPr>
          <w:rFonts w:ascii="Palatino Linotype" w:hAnsi="Palatino Linotype" w:cs="Arial"/>
          <w:b/>
          <w:spacing w:val="-6"/>
          <w:lang w:eastAsia="es-MX"/>
        </w:rPr>
        <w:t xml:space="preserve"> </w:t>
      </w:r>
      <w:r w:rsidR="00B57156">
        <w:rPr>
          <w:rFonts w:ascii="Palatino Linotype" w:hAnsi="Palatino Linotype" w:cs="Arial"/>
          <w:spacing w:val="-6"/>
          <w:lang w:eastAsia="es-MX"/>
        </w:rPr>
        <w:t>que le fueron proporcionados en respuesta a su solicitud</w:t>
      </w:r>
      <w:r w:rsidR="007005BE" w:rsidRPr="006F132E">
        <w:rPr>
          <w:rFonts w:ascii="Palatino Linotype" w:hAnsi="Palatino Linotype" w:cs="Arial"/>
          <w:spacing w:val="-6"/>
          <w:lang w:eastAsia="es-MX"/>
        </w:rPr>
        <w:t>.</w:t>
      </w:r>
    </w:p>
    <w:p w:rsidR="00B06D8A" w:rsidRPr="006F132E" w:rsidRDefault="00B06D8A" w:rsidP="00B06D8A">
      <w:pPr>
        <w:spacing w:line="360" w:lineRule="auto"/>
        <w:ind w:right="49"/>
        <w:rPr>
          <w:rFonts w:ascii="Palatino Linotype" w:hAnsi="Palatino Linotype" w:cs="Arial"/>
          <w:spacing w:val="-6"/>
          <w:lang w:eastAsia="es-MX"/>
        </w:rPr>
      </w:pPr>
    </w:p>
    <w:p w:rsidR="00B06D8A" w:rsidRPr="006F132E" w:rsidRDefault="00B06D8A" w:rsidP="00B06D8A">
      <w:pPr>
        <w:pStyle w:val="Prrafodelista"/>
        <w:numPr>
          <w:ilvl w:val="0"/>
          <w:numId w:val="2"/>
        </w:numPr>
        <w:spacing w:line="360" w:lineRule="auto"/>
        <w:ind w:left="0" w:firstLine="0"/>
        <w:jc w:val="both"/>
        <w:rPr>
          <w:rFonts w:ascii="Palatino Linotype" w:hAnsi="Palatino Linotype" w:cs="Arial"/>
        </w:rPr>
      </w:pPr>
      <w:r w:rsidRPr="006F132E">
        <w:rPr>
          <w:rFonts w:ascii="Palatino Linotype" w:hAnsi="Palatino Linotype" w:cs="Arial"/>
        </w:rPr>
        <w:t xml:space="preserve">El recurso de que se trata se envió electrónicamente al Instituto de </w:t>
      </w:r>
      <w:r w:rsidRPr="006F132E">
        <w:rPr>
          <w:rFonts w:ascii="Palatino Linotype" w:eastAsia="Arial Unicode MS" w:hAnsi="Palatino Linotype" w:cs="Arial"/>
        </w:rPr>
        <w:t>Transparencia</w:t>
      </w:r>
      <w:r w:rsidRPr="006F132E">
        <w:rPr>
          <w:rFonts w:ascii="Palatino Linotype" w:hAnsi="Palatino Linotype" w:cs="Arial"/>
        </w:rPr>
        <w:t xml:space="preserve">, Acceso a la Información Pública y Protección de Datos Personales del Estado de México y Municipios en fecha </w:t>
      </w:r>
      <w:r w:rsidR="004E5D2D">
        <w:rPr>
          <w:rFonts w:ascii="Palatino Linotype" w:hAnsi="Palatino Linotype" w:cs="Arial"/>
        </w:rPr>
        <w:t>veintitrés de may</w:t>
      </w:r>
      <w:r w:rsidR="0050631D" w:rsidRPr="006F132E">
        <w:rPr>
          <w:rFonts w:ascii="Palatino Linotype" w:hAnsi="Palatino Linotype" w:cs="Arial"/>
        </w:rPr>
        <w:t>o</w:t>
      </w:r>
      <w:r w:rsidRPr="006F132E">
        <w:rPr>
          <w:rFonts w:ascii="Palatino Linotype" w:hAnsi="Palatino Linotype" w:cs="Arial"/>
        </w:rPr>
        <w:t xml:space="preserve"> del presente año y con fundamento en el artículo 185, fracción I de la </w:t>
      </w:r>
      <w:r w:rsidRPr="006F132E">
        <w:rPr>
          <w:rFonts w:ascii="Palatino Linotype" w:hAnsi="Palatino Linotype"/>
        </w:rPr>
        <w:t>Ley de Transparencia y Acceso a la Información Pública del Estado de México y Municipios</w:t>
      </w:r>
      <w:r w:rsidRPr="006F132E">
        <w:rPr>
          <w:rFonts w:ascii="Palatino Linotype" w:hAnsi="Palatino Linotype" w:cs="Arial"/>
        </w:rPr>
        <w:t>, se turnó, a través del</w:t>
      </w:r>
      <w:r w:rsidRPr="006F132E">
        <w:rPr>
          <w:rFonts w:ascii="Palatino Linotype" w:eastAsia="Arial Unicode MS" w:hAnsi="Palatino Linotype" w:cs="Arial"/>
        </w:rPr>
        <w:t xml:space="preserve"> </w:t>
      </w:r>
      <w:r w:rsidRPr="006F132E">
        <w:rPr>
          <w:rFonts w:ascii="Palatino Linotype" w:eastAsia="Arial Unicode MS" w:hAnsi="Palatino Linotype" w:cs="Arial"/>
          <w:b/>
        </w:rPr>
        <w:t>SAIMEX</w:t>
      </w:r>
      <w:r w:rsidRPr="006F132E">
        <w:rPr>
          <w:rFonts w:ascii="Palatino Linotype" w:hAnsi="Palatino Linotype"/>
        </w:rPr>
        <w:t xml:space="preserve">, a la </w:t>
      </w:r>
      <w:r w:rsidRPr="006F132E">
        <w:rPr>
          <w:rFonts w:ascii="Palatino Linotype" w:hAnsi="Palatino Linotype" w:cs="Arial"/>
        </w:rPr>
        <w:t xml:space="preserve">Comisionada </w:t>
      </w:r>
      <w:r w:rsidRPr="006F132E">
        <w:rPr>
          <w:rFonts w:ascii="Palatino Linotype" w:hAnsi="Palatino Linotype" w:cs="Arial"/>
          <w:b/>
        </w:rPr>
        <w:t>EVA ABAID YAPUR</w:t>
      </w:r>
      <w:r w:rsidRPr="006F132E">
        <w:rPr>
          <w:rFonts w:ascii="Palatino Linotype" w:hAnsi="Palatino Linotype" w:cs="Arial"/>
        </w:rPr>
        <w:t>, a efecto de que decretara su admisión o desechamiento.</w:t>
      </w:r>
    </w:p>
    <w:p w:rsidR="00B06D8A" w:rsidRPr="006F132E" w:rsidRDefault="00B06D8A" w:rsidP="00B06D8A">
      <w:pPr>
        <w:pStyle w:val="Prrafodelista"/>
        <w:spacing w:line="360" w:lineRule="auto"/>
        <w:ind w:left="0"/>
        <w:jc w:val="both"/>
        <w:rPr>
          <w:rFonts w:ascii="Palatino Linotype" w:hAnsi="Palatino Linotype" w:cs="Arial"/>
        </w:rPr>
      </w:pPr>
    </w:p>
    <w:p w:rsidR="00B06D8A" w:rsidRDefault="00B06D8A" w:rsidP="00B06D8A">
      <w:pPr>
        <w:pStyle w:val="Prrafodelista"/>
        <w:numPr>
          <w:ilvl w:val="0"/>
          <w:numId w:val="2"/>
        </w:numPr>
        <w:spacing w:line="360" w:lineRule="auto"/>
        <w:ind w:left="0" w:firstLine="0"/>
        <w:jc w:val="both"/>
        <w:rPr>
          <w:rFonts w:ascii="Palatino Linotype" w:hAnsi="Palatino Linotype" w:cs="Arial"/>
        </w:rPr>
      </w:pPr>
      <w:r w:rsidRPr="006F132E">
        <w:rPr>
          <w:rFonts w:ascii="Palatino Linotype" w:hAnsi="Palatino Linotype" w:cs="Arial"/>
        </w:rPr>
        <w:t xml:space="preserve">En fecha </w:t>
      </w:r>
      <w:r w:rsidR="007005BE" w:rsidRPr="006F132E">
        <w:rPr>
          <w:rFonts w:ascii="Palatino Linotype" w:hAnsi="Palatino Linotype" w:cs="Arial"/>
        </w:rPr>
        <w:t>veinti</w:t>
      </w:r>
      <w:r w:rsidR="004E5D2D">
        <w:rPr>
          <w:rFonts w:ascii="Palatino Linotype" w:hAnsi="Palatino Linotype" w:cs="Arial"/>
        </w:rPr>
        <w:t>nueve</w:t>
      </w:r>
      <w:r w:rsidR="0050631D" w:rsidRPr="006F132E">
        <w:rPr>
          <w:rFonts w:ascii="Palatino Linotype" w:hAnsi="Palatino Linotype" w:cs="Arial"/>
        </w:rPr>
        <w:t xml:space="preserve"> de mayo</w:t>
      </w:r>
      <w:r w:rsidRPr="006F132E">
        <w:rPr>
          <w:rFonts w:ascii="Palatino Linotype" w:hAnsi="Palatino Linotype" w:cs="Arial"/>
        </w:rPr>
        <w:t xml:space="preserve"> de dos mi diecinueve, atento a lo dispuesto en el artículo 185, fracciones I, II y IV de la </w:t>
      </w:r>
      <w:r w:rsidRPr="006F132E">
        <w:rPr>
          <w:rFonts w:ascii="Palatino Linotype" w:hAnsi="Palatino Linotype"/>
        </w:rPr>
        <w:t>Ley de Transparencia y Acceso a la Información Pública del Estado de México y Municipios, se a</w:t>
      </w:r>
      <w:r w:rsidRPr="006F132E">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4E5D2D">
        <w:rPr>
          <w:rFonts w:ascii="Palatino Linotype" w:hAnsi="Palatino Linotype" w:cs="Arial"/>
          <w:b/>
        </w:rPr>
        <w:t>EL</w:t>
      </w:r>
      <w:r w:rsidR="00DC71D1" w:rsidRPr="006F132E">
        <w:rPr>
          <w:rFonts w:ascii="Palatino Linotype" w:hAnsi="Palatino Linotype" w:cs="Arial"/>
          <w:b/>
        </w:rPr>
        <w:t xml:space="preserve"> RECURRENTE</w:t>
      </w:r>
      <w:r w:rsidRPr="006F132E">
        <w:rPr>
          <w:rFonts w:ascii="Palatino Linotype" w:hAnsi="Palatino Linotype" w:cs="Arial"/>
        </w:rPr>
        <w:t xml:space="preserve"> realizara manifestaciones y alegatos, así como ofreciera las pruebas que a su derecho conviniera y, en el caso del</w:t>
      </w:r>
      <w:r w:rsidRPr="006F132E">
        <w:rPr>
          <w:rFonts w:ascii="Palatino Linotype" w:hAnsi="Palatino Linotype" w:cs="Arial"/>
          <w:b/>
        </w:rPr>
        <w:t xml:space="preserve"> SUJETO OBLIGADO</w:t>
      </w:r>
      <w:r w:rsidRPr="006F132E">
        <w:rPr>
          <w:rFonts w:ascii="Palatino Linotype" w:hAnsi="Palatino Linotype" w:cs="Arial"/>
        </w:rPr>
        <w:t xml:space="preserve"> exhibiera el Informe Justificado. </w:t>
      </w:r>
    </w:p>
    <w:p w:rsidR="00933E22" w:rsidRPr="00933E22" w:rsidRDefault="00933E22" w:rsidP="00933E22">
      <w:pPr>
        <w:pStyle w:val="Prrafodelista"/>
        <w:spacing w:line="360" w:lineRule="auto"/>
        <w:ind w:left="0"/>
        <w:jc w:val="both"/>
        <w:rPr>
          <w:rFonts w:ascii="Palatino Linotype" w:hAnsi="Palatino Linotype" w:cs="Arial"/>
        </w:rPr>
      </w:pPr>
    </w:p>
    <w:p w:rsidR="00B06D8A" w:rsidRDefault="00B06D8A" w:rsidP="004E5D2D">
      <w:pPr>
        <w:pStyle w:val="Prrafodelista"/>
        <w:numPr>
          <w:ilvl w:val="0"/>
          <w:numId w:val="2"/>
        </w:numPr>
        <w:spacing w:line="360" w:lineRule="auto"/>
        <w:ind w:left="0" w:firstLine="0"/>
        <w:jc w:val="both"/>
        <w:rPr>
          <w:rFonts w:ascii="Palatino Linotype" w:hAnsi="Palatino Linotype" w:cs="Arial"/>
        </w:rPr>
      </w:pPr>
      <w:r w:rsidRPr="006F132E">
        <w:rPr>
          <w:rFonts w:ascii="Palatino Linotype" w:hAnsi="Palatino Linotype" w:cs="Arial"/>
        </w:rPr>
        <w:t xml:space="preserve">De las constancias que obran en el </w:t>
      </w:r>
      <w:r w:rsidRPr="006F132E">
        <w:rPr>
          <w:rFonts w:ascii="Palatino Linotype" w:hAnsi="Palatino Linotype" w:cs="Arial"/>
          <w:b/>
        </w:rPr>
        <w:t>SAIMEX</w:t>
      </w:r>
      <w:r w:rsidRPr="006F132E">
        <w:rPr>
          <w:rFonts w:ascii="Palatino Linotype" w:hAnsi="Palatino Linotype" w:cs="Arial"/>
        </w:rPr>
        <w:t>, se advierte que</w:t>
      </w:r>
      <w:r w:rsidRPr="006F132E">
        <w:rPr>
          <w:rFonts w:ascii="Palatino Linotype" w:hAnsi="Palatino Linotype" w:cs="Arial"/>
          <w:b/>
        </w:rPr>
        <w:t xml:space="preserve"> </w:t>
      </w:r>
      <w:r w:rsidR="004E5D2D">
        <w:rPr>
          <w:rFonts w:ascii="Palatino Linotype" w:hAnsi="Palatino Linotype" w:cs="Arial"/>
          <w:b/>
        </w:rPr>
        <w:t xml:space="preserve">EL </w:t>
      </w:r>
      <w:r w:rsidR="00DC71D1" w:rsidRPr="006F132E">
        <w:rPr>
          <w:rFonts w:ascii="Palatino Linotype" w:hAnsi="Palatino Linotype" w:cs="Arial"/>
          <w:b/>
        </w:rPr>
        <w:t xml:space="preserve"> RECURRENTE</w:t>
      </w:r>
      <w:r w:rsidRPr="006F132E">
        <w:rPr>
          <w:rFonts w:ascii="Palatino Linotype" w:hAnsi="Palatino Linotype" w:cs="Arial"/>
          <w:b/>
        </w:rPr>
        <w:t xml:space="preserve"> </w:t>
      </w:r>
      <w:r w:rsidR="004E5D2D">
        <w:rPr>
          <w:rFonts w:ascii="Palatino Linotype" w:hAnsi="Palatino Linotype" w:cs="Arial"/>
        </w:rPr>
        <w:t xml:space="preserve">en fecha tres de junio </w:t>
      </w:r>
      <w:r w:rsidRPr="006F132E">
        <w:rPr>
          <w:rFonts w:ascii="Palatino Linotype" w:hAnsi="Palatino Linotype" w:cs="Arial"/>
        </w:rPr>
        <w:t xml:space="preserve">ofreció los medios de prueba que a su derecho </w:t>
      </w:r>
      <w:r w:rsidR="004E5D2D">
        <w:rPr>
          <w:rFonts w:ascii="Palatino Linotype" w:hAnsi="Palatino Linotype" w:cs="Arial"/>
        </w:rPr>
        <w:t xml:space="preserve">creyó convenientes, manifestando al momento de remitir los mismos documentos que adjuntara a su interposición del recurso de revisión </w:t>
      </w:r>
      <w:r w:rsidR="004E5D2D" w:rsidRPr="004E5D2D">
        <w:rPr>
          <w:rFonts w:ascii="Palatino Linotype" w:hAnsi="Palatino Linotype" w:cs="Arial"/>
          <w:i/>
        </w:rPr>
        <w:t>Evidencia de la Violación a los Datos personales de los ciudadanos</w:t>
      </w:r>
      <w:r w:rsidRPr="006F132E">
        <w:rPr>
          <w:rFonts w:ascii="Palatino Linotype" w:hAnsi="Palatino Linotype" w:cs="Arial"/>
        </w:rPr>
        <w:t xml:space="preserve">; mientras que por su parte, </w:t>
      </w:r>
      <w:r w:rsidRPr="006F132E">
        <w:rPr>
          <w:rFonts w:ascii="Palatino Linotype" w:hAnsi="Palatino Linotype" w:cs="Arial"/>
          <w:b/>
        </w:rPr>
        <w:t>EL SUJETO OBLIGADO</w:t>
      </w:r>
      <w:r w:rsidRPr="006F132E">
        <w:rPr>
          <w:rFonts w:ascii="Palatino Linotype" w:hAnsi="Palatino Linotype" w:cs="Arial"/>
        </w:rPr>
        <w:t xml:space="preserve"> </w:t>
      </w:r>
      <w:r w:rsidR="004E5D2D">
        <w:rPr>
          <w:rFonts w:ascii="Palatino Linotype" w:hAnsi="Palatino Linotype" w:cs="Arial"/>
        </w:rPr>
        <w:t>no rindió su Informe Justificado.</w:t>
      </w:r>
    </w:p>
    <w:p w:rsidR="004E5D2D" w:rsidRPr="006F132E" w:rsidRDefault="004E5D2D" w:rsidP="004E5D2D">
      <w:pPr>
        <w:pStyle w:val="Prrafodelista"/>
        <w:spacing w:line="360" w:lineRule="auto"/>
        <w:ind w:left="0"/>
        <w:jc w:val="both"/>
        <w:rPr>
          <w:rFonts w:ascii="Palatino Linotype" w:hAnsi="Palatino Linotype" w:cs="Arial"/>
        </w:rPr>
      </w:pPr>
    </w:p>
    <w:p w:rsidR="00B06D8A" w:rsidRDefault="00933E22" w:rsidP="00B06D8A">
      <w:pPr>
        <w:pStyle w:val="Prrafodelista"/>
        <w:numPr>
          <w:ilvl w:val="0"/>
          <w:numId w:val="2"/>
        </w:numPr>
        <w:spacing w:line="360" w:lineRule="auto"/>
        <w:ind w:left="0" w:firstLine="0"/>
        <w:jc w:val="both"/>
        <w:rPr>
          <w:rFonts w:ascii="Palatino Linotype" w:hAnsi="Palatino Linotype"/>
        </w:rPr>
      </w:pPr>
      <w:r>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1769744</wp:posOffset>
                </wp:positionV>
                <wp:extent cx="5848350" cy="9620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84835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8ECA9"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5pt,139.35pt" to="459.45pt,2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" strokecolor="#5b9bd5 [3204]" strokeweight=".5pt">
                <v:stroke joinstyle="miter"/>
              </v:line>
            </w:pict>
          </mc:Fallback>
        </mc:AlternateContent>
      </w:r>
      <w:r w:rsidR="00B06D8A" w:rsidRPr="006F132E">
        <w:rPr>
          <w:rFonts w:ascii="Palatino Linotype" w:hAnsi="Palatino Linotype" w:cs="Arial"/>
        </w:rPr>
        <w:t xml:space="preserve">Transcurrido el plazo señalado en el párrafo anterior y, una vez analizado el estado procesal que guardaba el expediente, en fecha </w:t>
      </w:r>
      <w:r w:rsidR="004E5D2D">
        <w:rPr>
          <w:rFonts w:ascii="Palatino Linotype" w:hAnsi="Palatino Linotype" w:cs="Arial"/>
        </w:rPr>
        <w:t>veinte de junio</w:t>
      </w:r>
      <w:r w:rsidR="00B06D8A" w:rsidRPr="006F132E">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33E22" w:rsidRPr="00933E22" w:rsidRDefault="00933E22" w:rsidP="00933E22">
      <w:pPr>
        <w:pStyle w:val="Prrafodelista"/>
        <w:spacing w:line="360" w:lineRule="auto"/>
        <w:ind w:left="0"/>
        <w:jc w:val="both"/>
        <w:rPr>
          <w:rFonts w:ascii="Palatino Linotype" w:hAnsi="Palatino Linotype"/>
        </w:rPr>
      </w:pPr>
    </w:p>
    <w:p w:rsidR="00B06D8A" w:rsidRPr="006F132E" w:rsidRDefault="00B06D8A" w:rsidP="00B06D8A">
      <w:pPr>
        <w:pStyle w:val="Prrafodelista"/>
        <w:numPr>
          <w:ilvl w:val="0"/>
          <w:numId w:val="2"/>
        </w:numPr>
        <w:spacing w:line="360" w:lineRule="auto"/>
        <w:ind w:left="0" w:firstLine="0"/>
        <w:jc w:val="both"/>
        <w:rPr>
          <w:rFonts w:ascii="Palatino Linotype" w:hAnsi="Palatino Linotype"/>
        </w:rPr>
      </w:pPr>
      <w:r w:rsidRPr="006F132E">
        <w:rPr>
          <w:rFonts w:ascii="Palatino Linotype" w:hAnsi="Palatino Linotype"/>
        </w:rPr>
        <w:t xml:space="preserve">En fecha </w:t>
      </w:r>
      <w:r w:rsidR="004E5D2D">
        <w:rPr>
          <w:rFonts w:ascii="Palatino Linotype" w:hAnsi="Palatino Linotype"/>
        </w:rPr>
        <w:t>nueve de junio</w:t>
      </w:r>
      <w:r w:rsidRPr="006F132E">
        <w:rPr>
          <w:rFonts w:ascii="Palatino Linotype" w:hAnsi="Palatino Linotype"/>
        </w:rPr>
        <w:t xml:space="preserv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6F132E">
        <w:rPr>
          <w:rFonts w:ascii="Palatino Linotype" w:hAnsi="Palatino Linotype" w:cs="Arial"/>
        </w:rPr>
        <w:t>y</w:t>
      </w:r>
    </w:p>
    <w:p w:rsidR="00B06D8A" w:rsidRPr="00933E22" w:rsidRDefault="00B06D8A" w:rsidP="00B06D8A">
      <w:pPr>
        <w:pStyle w:val="Prrafodelista"/>
        <w:spacing w:line="360" w:lineRule="auto"/>
        <w:ind w:left="0"/>
        <w:jc w:val="both"/>
        <w:rPr>
          <w:rFonts w:ascii="Palatino Linotype" w:hAnsi="Palatino Linotype"/>
          <w:sz w:val="20"/>
          <w:szCs w:val="20"/>
        </w:rPr>
      </w:pPr>
    </w:p>
    <w:p w:rsidR="00B06D8A" w:rsidRPr="006F132E" w:rsidRDefault="00B06D8A" w:rsidP="00B06D8A">
      <w:pPr>
        <w:spacing w:line="360" w:lineRule="auto"/>
        <w:jc w:val="center"/>
        <w:rPr>
          <w:rFonts w:ascii="Palatino Linotype" w:hAnsi="Palatino Linotype"/>
          <w:b/>
          <w:bCs/>
          <w:spacing w:val="60"/>
          <w:sz w:val="28"/>
        </w:rPr>
      </w:pPr>
      <w:r w:rsidRPr="006F132E">
        <w:rPr>
          <w:rFonts w:ascii="Palatino Linotype" w:hAnsi="Palatino Linotype"/>
          <w:b/>
          <w:bCs/>
          <w:spacing w:val="60"/>
          <w:sz w:val="28"/>
        </w:rPr>
        <w:t>CONSIDERANDO</w:t>
      </w:r>
    </w:p>
    <w:p w:rsidR="00B06D8A" w:rsidRPr="00933E22" w:rsidRDefault="00B06D8A" w:rsidP="00B06D8A">
      <w:pPr>
        <w:spacing w:line="360" w:lineRule="auto"/>
        <w:jc w:val="center"/>
        <w:rPr>
          <w:rFonts w:ascii="Palatino Linotype" w:hAnsi="Palatino Linotype"/>
          <w:b/>
          <w:bCs/>
          <w:spacing w:val="60"/>
          <w:sz w:val="20"/>
          <w:szCs w:val="20"/>
        </w:rPr>
      </w:pPr>
    </w:p>
    <w:p w:rsidR="00B06D8A" w:rsidRPr="006F132E"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6F132E">
        <w:rPr>
          <w:rFonts w:ascii="Palatino Linotype" w:hAnsi="Palatino Linotype"/>
          <w:b/>
        </w:rPr>
        <w:t>Competencia</w:t>
      </w:r>
      <w:r w:rsidRPr="006F132E">
        <w:rPr>
          <w:rFonts w:ascii="Palatino Linotype" w:hAnsi="Palatino Linotype"/>
        </w:rPr>
        <w:t>.</w:t>
      </w:r>
      <w:r w:rsidRPr="006F132E">
        <w:rPr>
          <w:rFonts w:ascii="Palatino Linotype" w:hAnsi="Palatino Linotype"/>
          <w:b/>
        </w:rPr>
        <w:t xml:space="preserve"> </w:t>
      </w:r>
      <w:r w:rsidRPr="006F132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26302A">
        <w:rPr>
          <w:rFonts w:ascii="Palatino Linotype" w:hAnsi="Palatino Linotype"/>
        </w:rPr>
        <w:t xml:space="preserve"> vigésimo tercero y vigésimo cuarto,</w:t>
      </w:r>
      <w:r w:rsidRPr="006F132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F132E">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6F132E"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6F132E"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6F132E">
        <w:rPr>
          <w:rFonts w:ascii="Palatino Linotype" w:hAnsi="Palatino Linotype" w:cs="Arial"/>
          <w:b/>
        </w:rPr>
        <w:t>Interés.</w:t>
      </w:r>
      <w:r w:rsidRPr="006F132E">
        <w:rPr>
          <w:rFonts w:ascii="Palatino Linotype" w:hAnsi="Palatino Linotype" w:cs="Arial"/>
        </w:rPr>
        <w:t xml:space="preserve"> El recurso de revisión fue interpuesto por parte legítima en atención a que fue presentado por </w:t>
      </w:r>
      <w:r w:rsidR="0026302A">
        <w:rPr>
          <w:rFonts w:ascii="Palatino Linotype" w:hAnsi="Palatino Linotype" w:cs="Arial"/>
          <w:b/>
        </w:rPr>
        <w:t>EL</w:t>
      </w:r>
      <w:r w:rsidR="00DC71D1" w:rsidRPr="006F132E">
        <w:rPr>
          <w:rFonts w:ascii="Palatino Linotype" w:hAnsi="Palatino Linotype" w:cs="Arial"/>
          <w:b/>
        </w:rPr>
        <w:t xml:space="preserve"> RECURRENTE</w:t>
      </w:r>
      <w:r w:rsidRPr="006F132E">
        <w:rPr>
          <w:rFonts w:ascii="Palatino Linotype" w:hAnsi="Palatino Linotype" w:cs="Arial"/>
          <w:snapToGrid w:val="0"/>
        </w:rPr>
        <w:t xml:space="preserve">, quien es la misma persona que formuló la </w:t>
      </w:r>
      <w:r w:rsidRPr="006F132E">
        <w:rPr>
          <w:rFonts w:ascii="Palatino Linotype" w:hAnsi="Palatino Linotype" w:cs="Arial"/>
        </w:rPr>
        <w:t>solicitud</w:t>
      </w:r>
      <w:r w:rsidRPr="006F132E">
        <w:rPr>
          <w:rFonts w:ascii="Palatino Linotype" w:hAnsi="Palatino Linotype" w:cs="Arial"/>
          <w:snapToGrid w:val="0"/>
        </w:rPr>
        <w:t xml:space="preserve"> de información pública número </w:t>
      </w:r>
      <w:r w:rsidR="0026302A" w:rsidRPr="0026302A">
        <w:rPr>
          <w:rFonts w:ascii="Palatino Linotype" w:hAnsi="Palatino Linotype" w:cs="Arial"/>
          <w:b/>
          <w:bCs/>
          <w:snapToGrid w:val="0"/>
        </w:rPr>
        <w:t>00045/OASZUMPANG/IP/2019</w:t>
      </w:r>
      <w:r w:rsidR="007A6AF3" w:rsidRPr="006F132E">
        <w:rPr>
          <w:rFonts w:ascii="Palatino Linotype" w:hAnsi="Palatino Linotype" w:cs="Arial"/>
          <w:b/>
          <w:bCs/>
          <w:snapToGrid w:val="0"/>
        </w:rPr>
        <w:t xml:space="preserve"> </w:t>
      </w:r>
      <w:r w:rsidRPr="006F132E">
        <w:rPr>
          <w:rFonts w:ascii="Palatino Linotype" w:hAnsi="Palatino Linotype" w:cs="Arial"/>
          <w:snapToGrid w:val="0"/>
        </w:rPr>
        <w:t>al</w:t>
      </w:r>
      <w:r w:rsidRPr="006F132E">
        <w:rPr>
          <w:rFonts w:ascii="Palatino Linotype" w:hAnsi="Palatino Linotype" w:cs="Arial"/>
          <w:b/>
          <w:snapToGrid w:val="0"/>
        </w:rPr>
        <w:t xml:space="preserve"> SUJETO OBLIGADO</w:t>
      </w:r>
      <w:r w:rsidRPr="006F132E">
        <w:rPr>
          <w:rFonts w:ascii="Palatino Linotype" w:hAnsi="Palatino Linotype" w:cs="Arial"/>
        </w:rPr>
        <w:t>.</w:t>
      </w:r>
    </w:p>
    <w:p w:rsidR="00B06D8A" w:rsidRPr="006F132E"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6F132E"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6F132E">
        <w:rPr>
          <w:rFonts w:ascii="Palatino Linotype" w:hAnsi="Palatino Linotype" w:cs="Arial"/>
          <w:b/>
        </w:rPr>
        <w:t xml:space="preserve">Oportunidad. </w:t>
      </w:r>
      <w:r w:rsidRPr="006F132E">
        <w:rPr>
          <w:rFonts w:ascii="Palatino Linotype" w:hAnsi="Palatino Linotype" w:cs="Arial"/>
        </w:rPr>
        <w:t xml:space="preserve">El recurso de revisión fue interpuesto dentro del plazo de quince días hábiles contados a partir del día siguiente a aquel en que </w:t>
      </w:r>
      <w:r w:rsidR="00DC71D1" w:rsidRPr="006F132E">
        <w:rPr>
          <w:rFonts w:ascii="Palatino Linotype" w:hAnsi="Palatino Linotype" w:cs="Arial"/>
          <w:b/>
        </w:rPr>
        <w:t>LA RECURRENTE</w:t>
      </w:r>
      <w:r w:rsidRPr="006F132E">
        <w:rPr>
          <w:rFonts w:ascii="Palatino Linotype" w:hAnsi="Palatino Linotype" w:cs="Arial"/>
          <w:b/>
        </w:rPr>
        <w:t xml:space="preserve"> </w:t>
      </w:r>
      <w:r w:rsidRPr="006F132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6F132E"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6F132E" w:rsidRDefault="00B06D8A" w:rsidP="00B06D8A">
      <w:pPr>
        <w:ind w:left="709" w:right="757"/>
        <w:jc w:val="both"/>
        <w:rPr>
          <w:rFonts w:ascii="Palatino Linotype" w:hAnsi="Palatino Linotype" w:cs="Arial"/>
          <w:i/>
          <w:sz w:val="22"/>
        </w:rPr>
      </w:pPr>
      <w:r w:rsidRPr="006F132E">
        <w:rPr>
          <w:rFonts w:ascii="Palatino Linotype" w:hAnsi="Palatino Linotype" w:cs="Arial"/>
          <w:i/>
          <w:sz w:val="22"/>
        </w:rPr>
        <w:t>“</w:t>
      </w:r>
      <w:r w:rsidRPr="006F132E">
        <w:rPr>
          <w:rFonts w:ascii="Palatino Linotype" w:hAnsi="Palatino Linotype" w:cs="Arial"/>
          <w:b/>
          <w:i/>
          <w:sz w:val="22"/>
        </w:rPr>
        <w:t>Artículo 178.</w:t>
      </w:r>
      <w:r w:rsidRPr="006F132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6F132E" w:rsidRDefault="00B06D8A" w:rsidP="00B06D8A">
      <w:pPr>
        <w:ind w:left="709" w:right="757"/>
        <w:jc w:val="both"/>
        <w:rPr>
          <w:rFonts w:ascii="Palatino Linotype" w:hAnsi="Palatino Linotype" w:cs="Arial"/>
          <w:i/>
          <w:sz w:val="22"/>
        </w:rPr>
      </w:pPr>
    </w:p>
    <w:p w:rsidR="00B06D8A" w:rsidRPr="006F132E" w:rsidRDefault="00B06D8A" w:rsidP="00B06D8A">
      <w:pPr>
        <w:ind w:left="709" w:right="757"/>
        <w:jc w:val="both"/>
        <w:rPr>
          <w:rFonts w:ascii="Palatino Linotype" w:hAnsi="Palatino Linotype" w:cs="Arial"/>
          <w:i/>
          <w:sz w:val="22"/>
        </w:rPr>
      </w:pPr>
      <w:r w:rsidRPr="006F132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6F132E" w:rsidRDefault="00B06D8A" w:rsidP="00B06D8A">
      <w:pPr>
        <w:ind w:left="709" w:right="757"/>
        <w:jc w:val="both"/>
        <w:rPr>
          <w:rFonts w:ascii="Palatino Linotype" w:hAnsi="Palatino Linotype" w:cs="Arial"/>
          <w:i/>
          <w:sz w:val="22"/>
        </w:rPr>
      </w:pPr>
    </w:p>
    <w:p w:rsidR="00B06D8A" w:rsidRPr="006F132E" w:rsidRDefault="00B06D8A" w:rsidP="00B06D8A">
      <w:pPr>
        <w:ind w:left="709" w:right="757"/>
        <w:jc w:val="both"/>
        <w:rPr>
          <w:rFonts w:ascii="Palatino Linotype" w:hAnsi="Palatino Linotype" w:cs="Arial"/>
          <w:i/>
          <w:sz w:val="22"/>
        </w:rPr>
      </w:pPr>
      <w:r w:rsidRPr="006F132E">
        <w:rPr>
          <w:rFonts w:ascii="Palatino Linotype" w:hAnsi="Palatino Linotype" w:cs="Arial"/>
          <w:i/>
          <w:sz w:val="22"/>
        </w:rPr>
        <w:t xml:space="preserve">En el caso de que se interponga ante la Unidad de Transparencia, ésta deberá remitir el recurso de revisión al Instituto a más tardar al día </w:t>
      </w:r>
      <w:r w:rsidRPr="006F132E">
        <w:rPr>
          <w:rFonts w:ascii="Palatino Linotype" w:hAnsi="Palatino Linotype" w:cs="Arial"/>
          <w:i/>
          <w:sz w:val="22"/>
          <w:lang w:eastAsia="es-MX"/>
        </w:rPr>
        <w:t>siguiente</w:t>
      </w:r>
      <w:r w:rsidRPr="006F132E">
        <w:rPr>
          <w:rFonts w:ascii="Palatino Linotype" w:hAnsi="Palatino Linotype" w:cs="Arial"/>
          <w:i/>
          <w:sz w:val="22"/>
        </w:rPr>
        <w:t xml:space="preserve"> de haberlo recibido.”</w:t>
      </w:r>
    </w:p>
    <w:p w:rsidR="00B06D8A" w:rsidRPr="006F132E" w:rsidRDefault="00B06D8A" w:rsidP="00B06D8A">
      <w:pPr>
        <w:spacing w:line="360" w:lineRule="auto"/>
        <w:ind w:left="709" w:right="709"/>
        <w:jc w:val="both"/>
        <w:rPr>
          <w:rFonts w:ascii="Palatino Linotype" w:hAnsi="Palatino Linotype" w:cs="Arial"/>
          <w:i/>
        </w:rPr>
      </w:pPr>
    </w:p>
    <w:p w:rsidR="00B06D8A" w:rsidRPr="006F132E" w:rsidRDefault="00B06D8A" w:rsidP="00B06D8A">
      <w:pPr>
        <w:spacing w:line="360" w:lineRule="auto"/>
        <w:jc w:val="both"/>
        <w:rPr>
          <w:rFonts w:ascii="Palatino Linotype" w:hAnsi="Palatino Linotype" w:cs="Arial"/>
        </w:rPr>
      </w:pPr>
      <w:r w:rsidRPr="006F132E">
        <w:rPr>
          <w:rFonts w:ascii="Palatino Linotype" w:hAnsi="Palatino Linotype" w:cs="Arial"/>
        </w:rPr>
        <w:t xml:space="preserve">En esa tesitura, atendiendo a que </w:t>
      </w:r>
      <w:r w:rsidRPr="006F132E">
        <w:rPr>
          <w:rFonts w:ascii="Palatino Linotype" w:hAnsi="Palatino Linotype" w:cs="Arial"/>
          <w:b/>
        </w:rPr>
        <w:t>EL SUJETO OBLIGADO</w:t>
      </w:r>
      <w:r w:rsidRPr="006F132E">
        <w:rPr>
          <w:rFonts w:ascii="Palatino Linotype" w:hAnsi="Palatino Linotype" w:cs="Arial"/>
        </w:rPr>
        <w:t xml:space="preserve"> notificó la respuesta a la solicitud de información pública el día</w:t>
      </w:r>
      <w:r w:rsidRPr="006F132E">
        <w:rPr>
          <w:rFonts w:ascii="Palatino Linotype" w:hAnsi="Palatino Linotype" w:cs="Arial"/>
          <w:b/>
        </w:rPr>
        <w:t xml:space="preserve"> </w:t>
      </w:r>
      <w:r w:rsidR="0026302A">
        <w:rPr>
          <w:rFonts w:ascii="Palatino Linotype" w:hAnsi="Palatino Linotype" w:cs="Arial"/>
          <w:b/>
        </w:rPr>
        <w:t>dieciséis</w:t>
      </w:r>
      <w:r w:rsidR="0026302A" w:rsidRPr="006F132E">
        <w:rPr>
          <w:rFonts w:ascii="Palatino Linotype" w:hAnsi="Palatino Linotype" w:cs="Arial"/>
          <w:b/>
        </w:rPr>
        <w:t xml:space="preserve"> </w:t>
      </w:r>
      <w:r w:rsidR="007A6AF3" w:rsidRPr="006F132E">
        <w:rPr>
          <w:rFonts w:ascii="Palatino Linotype" w:hAnsi="Palatino Linotype" w:cs="Arial"/>
          <w:b/>
        </w:rPr>
        <w:t>de mayo</w:t>
      </w:r>
      <w:r w:rsidRPr="006F132E">
        <w:rPr>
          <w:rFonts w:ascii="Palatino Linotype" w:hAnsi="Palatino Linotype" w:cs="Arial"/>
          <w:b/>
        </w:rPr>
        <w:t xml:space="preserve"> de dos mil diecinueve</w:t>
      </w:r>
      <w:r w:rsidRPr="006F132E">
        <w:rPr>
          <w:rFonts w:ascii="Palatino Linotype" w:hAnsi="Palatino Linotype" w:cs="Arial"/>
        </w:rPr>
        <w:t xml:space="preserve">; el plazo de quince días hábiles que el artículo 178 de la Ley de la materia otorga a </w:t>
      </w:r>
      <w:r w:rsidR="00DC71D1" w:rsidRPr="006F132E">
        <w:rPr>
          <w:rFonts w:ascii="Palatino Linotype" w:hAnsi="Palatino Linotype" w:cs="Arial"/>
          <w:b/>
        </w:rPr>
        <w:t>LA RECURRENTE</w:t>
      </w:r>
      <w:r w:rsidRPr="006F132E">
        <w:rPr>
          <w:rFonts w:ascii="Palatino Linotype" w:hAnsi="Palatino Linotype" w:cs="Arial"/>
        </w:rPr>
        <w:t xml:space="preserve"> para presentar el recurso de revisión, transcurrió del </w:t>
      </w:r>
      <w:r w:rsidR="0026302A">
        <w:rPr>
          <w:rFonts w:ascii="Palatino Linotype" w:hAnsi="Palatino Linotype" w:cs="Arial"/>
          <w:b/>
        </w:rPr>
        <w:t>diecisiete</w:t>
      </w:r>
      <w:r w:rsidR="0061338B" w:rsidRPr="006F132E">
        <w:rPr>
          <w:rFonts w:ascii="Palatino Linotype" w:hAnsi="Palatino Linotype" w:cs="Arial"/>
          <w:b/>
        </w:rPr>
        <w:t xml:space="preserve"> de mayo al </w:t>
      </w:r>
      <w:r w:rsidR="0026302A">
        <w:rPr>
          <w:rFonts w:ascii="Palatino Linotype" w:hAnsi="Palatino Linotype" w:cs="Arial"/>
          <w:b/>
        </w:rPr>
        <w:t>seis</w:t>
      </w:r>
      <w:r w:rsidR="0061338B" w:rsidRPr="006F132E">
        <w:rPr>
          <w:rFonts w:ascii="Palatino Linotype" w:hAnsi="Palatino Linotype" w:cs="Arial"/>
          <w:b/>
        </w:rPr>
        <w:t xml:space="preserve"> de junio</w:t>
      </w:r>
      <w:r w:rsidR="007A6AF3" w:rsidRPr="006F132E">
        <w:rPr>
          <w:rFonts w:ascii="Palatino Linotype" w:hAnsi="Palatino Linotype" w:cs="Arial"/>
          <w:b/>
        </w:rPr>
        <w:t xml:space="preserve"> de</w:t>
      </w:r>
      <w:r w:rsidRPr="006F132E">
        <w:rPr>
          <w:rFonts w:ascii="Palatino Linotype" w:hAnsi="Palatino Linotype" w:cs="Arial"/>
          <w:b/>
        </w:rPr>
        <w:t xml:space="preserve"> dos mil diecinueve</w:t>
      </w:r>
      <w:r w:rsidRPr="006F132E">
        <w:rPr>
          <w:rFonts w:ascii="Palatino Linotype" w:hAnsi="Palatino Linotype" w:cs="Arial"/>
        </w:rPr>
        <w:t xml:space="preserve">, sin contemplar en el cómputo los días </w:t>
      </w:r>
      <w:r w:rsidR="007A6AF3" w:rsidRPr="006F132E">
        <w:rPr>
          <w:rFonts w:ascii="Palatino Linotype" w:hAnsi="Palatino Linotype" w:cs="Arial"/>
        </w:rPr>
        <w:t>dieciocho, diecinueve, veinticinco y veintiséis de mayo</w:t>
      </w:r>
      <w:r w:rsidR="0061338B" w:rsidRPr="006F132E">
        <w:rPr>
          <w:rFonts w:ascii="Palatino Linotype" w:hAnsi="Palatino Linotype" w:cs="Arial"/>
        </w:rPr>
        <w:t>;</w:t>
      </w:r>
      <w:r w:rsidR="007A6AF3" w:rsidRPr="006F132E">
        <w:rPr>
          <w:rFonts w:ascii="Palatino Linotype" w:hAnsi="Palatino Linotype" w:cs="Arial"/>
        </w:rPr>
        <w:t xml:space="preserve"> </w:t>
      </w:r>
      <w:r w:rsidR="0061338B" w:rsidRPr="006F132E">
        <w:rPr>
          <w:rFonts w:ascii="Palatino Linotype" w:hAnsi="Palatino Linotype" w:cs="Arial"/>
        </w:rPr>
        <w:t xml:space="preserve">así como, el uno y dos de junio </w:t>
      </w:r>
      <w:r w:rsidRPr="006F132E">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6F132E">
        <w:rPr>
          <w:rFonts w:ascii="Palatino Linotype" w:hAnsi="Palatino Linotype" w:cs="Arial"/>
        </w:rPr>
        <w:t>o y Municipios</w:t>
      </w:r>
      <w:r w:rsidRPr="006F132E">
        <w:rPr>
          <w:rFonts w:ascii="Palatino Linotype" w:hAnsi="Palatino Linotype" w:cs="Arial"/>
        </w:rPr>
        <w:t>.</w:t>
      </w:r>
    </w:p>
    <w:p w:rsidR="00B06D8A" w:rsidRPr="006F132E" w:rsidRDefault="00B06D8A" w:rsidP="00B06D8A">
      <w:pPr>
        <w:spacing w:line="360" w:lineRule="auto"/>
        <w:jc w:val="both"/>
        <w:rPr>
          <w:rFonts w:ascii="Palatino Linotype" w:hAnsi="Palatino Linotype" w:cs="Arial"/>
        </w:rPr>
      </w:pPr>
    </w:p>
    <w:p w:rsidR="00B06D8A" w:rsidRPr="006F132E" w:rsidRDefault="00B06D8A" w:rsidP="00B06D8A">
      <w:pPr>
        <w:spacing w:line="360" w:lineRule="auto"/>
        <w:jc w:val="both"/>
        <w:rPr>
          <w:rFonts w:ascii="Palatino Linotype" w:hAnsi="Palatino Linotype" w:cs="Arial"/>
          <w:b/>
          <w:u w:val="single"/>
        </w:rPr>
      </w:pPr>
      <w:r w:rsidRPr="006F132E">
        <w:rPr>
          <w:rFonts w:ascii="Palatino Linotype" w:hAnsi="Palatino Linotype" w:cs="Arial"/>
        </w:rPr>
        <w:t>En ese tenor, si el recurso de revisión que nos ocupa, se interpuso el</w:t>
      </w:r>
      <w:r w:rsidRPr="006F132E">
        <w:rPr>
          <w:rFonts w:ascii="Palatino Linotype" w:hAnsi="Palatino Linotype" w:cs="Arial"/>
          <w:b/>
        </w:rPr>
        <w:t xml:space="preserve"> </w:t>
      </w:r>
      <w:proofErr w:type="spellStart"/>
      <w:r w:rsidR="0026302A">
        <w:rPr>
          <w:rFonts w:ascii="Palatino Linotype" w:hAnsi="Palatino Linotype" w:cs="Arial"/>
          <w:b/>
          <w:u w:val="single"/>
        </w:rPr>
        <w:t>veintitres</w:t>
      </w:r>
      <w:proofErr w:type="spellEnd"/>
      <w:r w:rsidR="0061338B" w:rsidRPr="006F132E">
        <w:rPr>
          <w:rFonts w:ascii="Palatino Linotype" w:hAnsi="Palatino Linotype" w:cs="Arial"/>
          <w:b/>
          <w:u w:val="single"/>
        </w:rPr>
        <w:t xml:space="preserve"> </w:t>
      </w:r>
      <w:r w:rsidR="007A6AF3" w:rsidRPr="006F132E">
        <w:rPr>
          <w:rFonts w:ascii="Palatino Linotype" w:hAnsi="Palatino Linotype" w:cs="Arial"/>
          <w:b/>
          <w:u w:val="single"/>
        </w:rPr>
        <w:t>de mayo de</w:t>
      </w:r>
      <w:r w:rsidRPr="006F132E">
        <w:rPr>
          <w:rFonts w:ascii="Palatino Linotype" w:hAnsi="Palatino Linotype" w:cs="Arial"/>
          <w:b/>
          <w:u w:val="single"/>
        </w:rPr>
        <w:t xml:space="preserve"> dos mil diecinueve</w:t>
      </w:r>
      <w:r w:rsidRPr="006F132E">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6F132E"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5B60E0" w:rsidRPr="005B60E0" w:rsidRDefault="00B06D8A" w:rsidP="005B60E0">
      <w:pPr>
        <w:pStyle w:val="Prrafodelista"/>
        <w:numPr>
          <w:ilvl w:val="0"/>
          <w:numId w:val="4"/>
        </w:numPr>
        <w:spacing w:line="360" w:lineRule="auto"/>
        <w:ind w:left="0" w:firstLine="0"/>
        <w:jc w:val="both"/>
        <w:rPr>
          <w:rFonts w:ascii="Palatino Linotype" w:hAnsi="Palatino Linotype"/>
        </w:rPr>
      </w:pPr>
      <w:r w:rsidRPr="006F132E">
        <w:rPr>
          <w:rFonts w:ascii="Palatino Linotype" w:hAnsi="Palatino Linotype" w:cs="Arial"/>
          <w:b/>
        </w:rPr>
        <w:t xml:space="preserve"> Procedibilidad. </w:t>
      </w:r>
      <w:r w:rsidR="005B60E0" w:rsidRPr="005B60E0">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5B60E0" w:rsidRDefault="005B60E0" w:rsidP="005B60E0">
      <w:pPr>
        <w:spacing w:line="360" w:lineRule="auto"/>
        <w:jc w:val="both"/>
        <w:rPr>
          <w:rFonts w:ascii="Palatino Linotype" w:hAnsi="Palatino Linotype" w:cs="Arial"/>
        </w:rPr>
      </w:pPr>
    </w:p>
    <w:p w:rsidR="005B60E0" w:rsidRDefault="005B60E0" w:rsidP="005B60E0">
      <w:pPr>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Artículo 180. </w:t>
      </w:r>
      <w:r>
        <w:rPr>
          <w:rFonts w:ascii="Palatino Linotype" w:hAnsi="Palatino Linotype"/>
          <w:i/>
          <w:iCs/>
          <w:color w:val="212121"/>
          <w:sz w:val="22"/>
          <w:szCs w:val="22"/>
          <w:bdr w:val="none" w:sz="0" w:space="0" w:color="auto" w:frame="1"/>
          <w:lang w:eastAsia="es-MX"/>
        </w:rPr>
        <w:t>El recurso de revisión contendrá:</w:t>
      </w:r>
    </w:p>
    <w:p w:rsidR="005B60E0" w:rsidRDefault="005B60E0" w:rsidP="005B60E0">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 </w:t>
      </w:r>
      <w:r>
        <w:rPr>
          <w:rFonts w:ascii="Palatino Linotype" w:hAnsi="Palatino Linotype"/>
          <w:i/>
          <w:iCs/>
          <w:color w:val="212121"/>
          <w:sz w:val="22"/>
          <w:szCs w:val="22"/>
          <w:bdr w:val="none" w:sz="0" w:space="0" w:color="auto" w:frame="1"/>
          <w:lang w:eastAsia="es-MX"/>
        </w:rPr>
        <w:t>El sujeto obligado ante la cual se presentó la solicitud;</w:t>
      </w:r>
    </w:p>
    <w:p w:rsidR="005B60E0" w:rsidRDefault="005B60E0" w:rsidP="005B60E0">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 El nombre del solicitante que recurre </w:t>
      </w:r>
      <w:r>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5B60E0" w:rsidRDefault="005B60E0" w:rsidP="005B60E0">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III. </w:t>
      </w:r>
      <w:r>
        <w:rPr>
          <w:rFonts w:ascii="Palatino Linotype" w:hAnsi="Palatino Linotype"/>
          <w:i/>
          <w:iCs/>
          <w:color w:val="212121"/>
          <w:sz w:val="22"/>
          <w:szCs w:val="22"/>
          <w:bdr w:val="none" w:sz="0" w:space="0" w:color="auto" w:frame="1"/>
          <w:lang w:eastAsia="es-MX"/>
        </w:rPr>
        <w:t>El número de folio de respuesta de la solicitud de acceso;</w:t>
      </w:r>
    </w:p>
    <w:p w:rsidR="005B60E0" w:rsidRDefault="005B60E0" w:rsidP="005B60E0">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IV. </w:t>
      </w:r>
      <w:r>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5B60E0" w:rsidRDefault="005B60E0" w:rsidP="005B60E0">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 </w:t>
      </w:r>
      <w:r>
        <w:rPr>
          <w:rFonts w:ascii="Palatino Linotype" w:hAnsi="Palatino Linotype"/>
          <w:i/>
          <w:iCs/>
          <w:color w:val="212121"/>
          <w:sz w:val="22"/>
          <w:szCs w:val="22"/>
          <w:bdr w:val="none" w:sz="0" w:space="0" w:color="auto" w:frame="1"/>
          <w:lang w:eastAsia="es-MX"/>
        </w:rPr>
        <w:t>El acto que se recurre;</w:t>
      </w:r>
    </w:p>
    <w:p w:rsidR="005B60E0" w:rsidRDefault="005B60E0" w:rsidP="005B60E0">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 </w:t>
      </w:r>
      <w:r>
        <w:rPr>
          <w:rFonts w:ascii="Palatino Linotype" w:hAnsi="Palatino Linotype"/>
          <w:i/>
          <w:iCs/>
          <w:color w:val="212121"/>
          <w:sz w:val="22"/>
          <w:szCs w:val="22"/>
          <w:bdr w:val="none" w:sz="0" w:space="0" w:color="auto" w:frame="1"/>
          <w:lang w:eastAsia="es-MX"/>
        </w:rPr>
        <w:t>Las razones o motivos de inconformidad;</w:t>
      </w:r>
    </w:p>
    <w:p w:rsidR="005B60E0" w:rsidRDefault="005B60E0" w:rsidP="005B60E0">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 </w:t>
      </w:r>
      <w:r>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5B60E0" w:rsidRDefault="005B60E0" w:rsidP="005B60E0">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VIII. </w:t>
      </w:r>
      <w:r>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5B60E0" w:rsidRDefault="005B60E0" w:rsidP="005B60E0">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5B60E0" w:rsidRDefault="005B60E0" w:rsidP="005B60E0">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5B60E0" w:rsidRDefault="005B60E0" w:rsidP="005B60E0">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Pr>
          <w:rFonts w:ascii="Palatino Linotype" w:hAnsi="Palatino Linotype"/>
          <w:i/>
          <w:iCs/>
          <w:color w:val="212121"/>
          <w:sz w:val="22"/>
          <w:szCs w:val="22"/>
          <w:bdr w:val="none" w:sz="0" w:space="0" w:color="auto" w:frame="1"/>
          <w:lang w:eastAsia="es-MX"/>
        </w:rPr>
        <w:t>, IV, VII y VIII.</w:t>
      </w:r>
    </w:p>
    <w:p w:rsidR="005B60E0" w:rsidRDefault="005B60E0" w:rsidP="005B60E0">
      <w:pPr>
        <w:shd w:val="clear" w:color="auto" w:fill="FFFFFF"/>
        <w:ind w:left="709" w:right="814"/>
        <w:jc w:val="both"/>
        <w:rPr>
          <w:rFonts w:ascii="Palatino Linotype" w:hAnsi="Palatino Linotype"/>
          <w:color w:val="212121"/>
          <w:sz w:val="22"/>
          <w:szCs w:val="22"/>
          <w:bdr w:val="none" w:sz="0" w:space="0" w:color="auto" w:frame="1"/>
          <w:lang w:eastAsia="es-MX"/>
        </w:rPr>
      </w:pPr>
    </w:p>
    <w:p w:rsidR="005B60E0" w:rsidRDefault="005B60E0" w:rsidP="005B60E0">
      <w:pPr>
        <w:shd w:val="clear" w:color="auto" w:fill="FFFFFF"/>
        <w:ind w:left="709"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5B60E0" w:rsidRDefault="005B60E0" w:rsidP="005B60E0">
      <w:pPr>
        <w:shd w:val="clear" w:color="auto" w:fill="FFFFFF"/>
        <w:spacing w:line="360" w:lineRule="auto"/>
        <w:ind w:left="851" w:right="902"/>
        <w:jc w:val="both"/>
        <w:rPr>
          <w:color w:val="212121"/>
          <w:lang w:eastAsia="es-MX"/>
        </w:rPr>
      </w:pPr>
    </w:p>
    <w:p w:rsidR="005B60E0" w:rsidRDefault="005B60E0" w:rsidP="005B60E0">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Pr>
          <w:rFonts w:ascii="Palatino Linotype" w:hAnsi="Palatino Linotype"/>
          <w:color w:val="212121"/>
          <w:bdr w:val="none" w:sz="0" w:space="0" w:color="auto" w:frame="1"/>
          <w:lang w:eastAsia="es-MX"/>
        </w:rPr>
        <w:br/>
        <w:t>del expediente electrónico del </w:t>
      </w:r>
      <w:r>
        <w:rPr>
          <w:rFonts w:ascii="Palatino Linotype" w:hAnsi="Palatino Linotype"/>
          <w:b/>
          <w:bCs/>
          <w:color w:val="212121"/>
          <w:bdr w:val="none" w:sz="0" w:space="0" w:color="auto" w:frame="1"/>
          <w:lang w:eastAsia="es-MX"/>
        </w:rPr>
        <w:t xml:space="preserve">SAIMEX, </w:t>
      </w:r>
      <w:r>
        <w:rPr>
          <w:rFonts w:ascii="Palatino Linotype" w:hAnsi="Palatino Linotype"/>
          <w:color w:val="212121"/>
          <w:bdr w:val="none" w:sz="0" w:space="0" w:color="auto" w:frame="1"/>
          <w:lang w:eastAsia="es-MX"/>
        </w:rPr>
        <w:t>se desprende que la parte solicitante y ahora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en ejercicio de su derecho de acceso a la información pública, se registró como persona física,  sin embargo utilizó una serie de puntos, ya que indicó como nombre </w:t>
      </w:r>
      <w:r>
        <w:rPr>
          <w:rFonts w:ascii="Palatino Linotype" w:hAnsi="Palatino Linotype"/>
          <w:b/>
          <w:bCs/>
          <w:color w:val="212121"/>
          <w:bdr w:val="none" w:sz="0" w:space="0" w:color="auto" w:frame="1"/>
          <w:lang w:eastAsia="es-MX"/>
        </w:rPr>
        <w:t>“</w:t>
      </w:r>
      <w:r w:rsidR="00CC2D23" w:rsidRPr="00CC2D23">
        <w:rPr>
          <w:rFonts w:ascii="Palatino Linotype" w:hAnsi="Palatino Linotype"/>
          <w:b/>
          <w:bCs/>
          <w:color w:val="212121"/>
          <w:bdr w:val="none" w:sz="0" w:space="0" w:color="auto" w:frame="1"/>
          <w:lang w:eastAsia="es-MX"/>
        </w:rPr>
        <w:t>X XX X</w:t>
      </w:r>
      <w:r>
        <w:rPr>
          <w:rFonts w:ascii="Palatino Linotype" w:hAnsi="Palatino Linotype"/>
          <w:color w:val="212121"/>
          <w:bdr w:val="none" w:sz="0" w:space="0" w:color="auto" w:frame="1"/>
          <w:lang w:eastAsia="es-MX"/>
        </w:rPr>
        <w:t>”, cubriendo los requisitos de nombre y apellido paterno y apellido materno; por lo que, no se tiene certeza sobre su identidad, lo que en estricto sentido, provoca que no se colmen los requisitos establecidos en el citado artículo 180 de la Ley de Transparencia.</w:t>
      </w:r>
    </w:p>
    <w:p w:rsidR="005B60E0" w:rsidRDefault="005B60E0" w:rsidP="005B60E0">
      <w:pPr>
        <w:shd w:val="clear" w:color="auto" w:fill="FFFFFF"/>
        <w:spacing w:line="360" w:lineRule="auto"/>
        <w:jc w:val="both"/>
        <w:rPr>
          <w:color w:val="212121"/>
          <w:lang w:eastAsia="es-MX"/>
        </w:rPr>
      </w:pPr>
    </w:p>
    <w:p w:rsidR="005B60E0" w:rsidRDefault="005B60E0" w:rsidP="005B60E0">
      <w:pPr>
        <w:shd w:val="clear" w:color="auto" w:fill="FFFFFF"/>
        <w:spacing w:line="360" w:lineRule="auto"/>
        <w:jc w:val="both"/>
        <w:rPr>
          <w:rFonts w:ascii="Palatino Linotype" w:hAnsi="Palatino Linotype"/>
          <w:color w:val="000000"/>
          <w:bdr w:val="none" w:sz="0" w:space="0" w:color="auto" w:frame="1"/>
          <w:lang w:eastAsia="es-MX"/>
        </w:rPr>
      </w:pPr>
      <w:r>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Pr>
          <w:rFonts w:ascii="Palatino Linotype" w:hAnsi="Palatino Linotype"/>
          <w:color w:val="000000"/>
          <w:bdr w:val="none" w:sz="0" w:space="0" w:color="auto" w:frame="1"/>
          <w:lang w:eastAsia="es-MX"/>
        </w:rPr>
        <w:t>sin necesidad de acreditar interés alguno o justificar su utilización, de lo que se infiere que para el </w:t>
      </w:r>
      <w:r>
        <w:rPr>
          <w:rFonts w:ascii="Palatino Linotype" w:hAnsi="Palatino Linotype"/>
          <w:color w:val="212121"/>
          <w:bdr w:val="none" w:sz="0" w:space="0" w:color="auto" w:frame="1"/>
          <w:lang w:eastAsia="es-MX"/>
        </w:rPr>
        <w:t>ejercicio</w:t>
      </w:r>
      <w:r>
        <w:rPr>
          <w:rFonts w:ascii="Palatino Linotype" w:hAnsi="Palatino Linotype"/>
          <w:color w:val="000000"/>
          <w:bdr w:val="none" w:sz="0" w:space="0" w:color="auto" w:frame="1"/>
          <w:lang w:eastAsia="es-MX"/>
        </w:rPr>
        <w:t> del derecho de acceso a la información pública, </w:t>
      </w:r>
      <w:r>
        <w:rPr>
          <w:rFonts w:ascii="Palatino Linotype" w:hAnsi="Palatino Linotype"/>
          <w:b/>
          <w:bCs/>
          <w:color w:val="000000"/>
          <w:bdr w:val="none" w:sz="0" w:space="0" w:color="auto" w:frame="1"/>
          <w:lang w:eastAsia="es-MX"/>
        </w:rPr>
        <w:t>el nombre no es un requisito </w:t>
      </w:r>
      <w:r>
        <w:rPr>
          <w:rFonts w:ascii="Palatino Linotype" w:hAnsi="Palatino Linotype"/>
          <w:b/>
          <w:bCs/>
          <w:i/>
          <w:iCs/>
          <w:color w:val="000000"/>
          <w:bdr w:val="none" w:sz="0" w:space="0" w:color="auto" w:frame="1"/>
          <w:lang w:eastAsia="es-MX"/>
        </w:rPr>
        <w:t>sine qua non</w:t>
      </w:r>
      <w:r>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B60E0" w:rsidRDefault="005B60E0" w:rsidP="005B60E0">
      <w:pPr>
        <w:shd w:val="clear" w:color="auto" w:fill="FFFFFF"/>
        <w:spacing w:line="360" w:lineRule="auto"/>
        <w:jc w:val="both"/>
        <w:rPr>
          <w:color w:val="212121"/>
          <w:lang w:eastAsia="es-MX"/>
        </w:rPr>
      </w:pPr>
    </w:p>
    <w:p w:rsidR="005B60E0" w:rsidRDefault="005B60E0" w:rsidP="005B60E0">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Correlativo a ello, cabe mencionar que los artículos 6, Apartado A, fracciones I, III, V y VI de la Constitución Política de los Estados Unidos Mexicanos y 5 párrafos vigésimo</w:t>
      </w:r>
      <w:r w:rsidR="00933E22">
        <w:rPr>
          <w:rFonts w:ascii="Palatino Linotype" w:hAnsi="Palatino Linotype"/>
          <w:color w:val="212121"/>
          <w:bdr w:val="none" w:sz="0" w:space="0" w:color="auto" w:frame="1"/>
          <w:lang w:eastAsia="es-MX"/>
        </w:rPr>
        <w:t xml:space="preserve"> segundo</w:t>
      </w:r>
      <w:r>
        <w:rPr>
          <w:rFonts w:ascii="Palatino Linotype" w:hAnsi="Palatino Linotype"/>
          <w:color w:val="212121"/>
          <w:bdr w:val="none" w:sz="0" w:space="0" w:color="auto" w:frame="1"/>
          <w:lang w:eastAsia="es-MX"/>
        </w:rPr>
        <w:t xml:space="preserve">, vigésimo </w:t>
      </w:r>
      <w:r w:rsidR="00933E22">
        <w:rPr>
          <w:rFonts w:ascii="Palatino Linotype" w:hAnsi="Palatino Linotype"/>
          <w:color w:val="212121"/>
          <w:bdr w:val="none" w:sz="0" w:space="0" w:color="auto" w:frame="1"/>
          <w:lang w:eastAsia="es-MX"/>
        </w:rPr>
        <w:t xml:space="preserve">tercero </w:t>
      </w:r>
      <w:r>
        <w:rPr>
          <w:rFonts w:ascii="Palatino Linotype" w:hAnsi="Palatino Linotype"/>
          <w:color w:val="212121"/>
          <w:bdr w:val="none" w:sz="0" w:space="0" w:color="auto" w:frame="1"/>
          <w:lang w:eastAsia="es-MX"/>
        </w:rPr>
        <w:t xml:space="preserve">y vigésimo </w:t>
      </w:r>
      <w:r w:rsidR="00933E22">
        <w:rPr>
          <w:rFonts w:ascii="Palatino Linotype" w:hAnsi="Palatino Linotype"/>
          <w:color w:val="212121"/>
          <w:bdr w:val="none" w:sz="0" w:space="0" w:color="auto" w:frame="1"/>
          <w:lang w:eastAsia="es-MX"/>
        </w:rPr>
        <w:t xml:space="preserve">cuarto, </w:t>
      </w:r>
      <w:r>
        <w:rPr>
          <w:rFonts w:ascii="Palatino Linotype" w:hAnsi="Palatino Linotype"/>
          <w:color w:val="212121"/>
          <w:bdr w:val="none" w:sz="0" w:space="0" w:color="auto" w:frame="1"/>
          <w:lang w:eastAsia="es-MX"/>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B60E0" w:rsidRDefault="005B60E0" w:rsidP="005B60E0">
      <w:pPr>
        <w:shd w:val="clear" w:color="auto" w:fill="FFFFFF"/>
        <w:spacing w:line="360" w:lineRule="auto"/>
        <w:jc w:val="both"/>
        <w:rPr>
          <w:rFonts w:ascii="Palatino Linotype" w:hAnsi="Palatino Linotype"/>
          <w:color w:val="212121"/>
          <w:bdr w:val="none" w:sz="0" w:space="0" w:color="auto" w:frame="1"/>
          <w:lang w:eastAsia="es-MX"/>
        </w:rPr>
      </w:pPr>
    </w:p>
    <w:p w:rsidR="005B60E0" w:rsidRDefault="005B60E0" w:rsidP="005B60E0">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Constitución Política de los Estados Unidos Mexicanos</w:t>
      </w:r>
    </w:p>
    <w:p w:rsidR="005B60E0" w:rsidRDefault="005B60E0" w:rsidP="005B60E0">
      <w:pPr>
        <w:shd w:val="clear" w:color="auto" w:fill="FFFFFF"/>
        <w:ind w:left="851" w:right="814"/>
        <w:jc w:val="center"/>
        <w:rPr>
          <w:color w:val="21212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6o.</w:t>
      </w:r>
      <w:r>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bCs/>
          <w:i/>
          <w:iCs/>
          <w:color w:val="212121"/>
          <w:sz w:val="22"/>
          <w:szCs w:val="22"/>
          <w:bdr w:val="none" w:sz="0" w:space="0" w:color="auto" w:frame="1"/>
          <w:lang w:eastAsia="es-MX"/>
        </w:rPr>
        <w:t>El derecho a la información será garantizado por el Estado.</w:t>
      </w:r>
    </w:p>
    <w:p w:rsidR="005B60E0" w:rsidRDefault="005B60E0" w:rsidP="005B60E0">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color w:val="212121"/>
          <w:sz w:val="22"/>
          <w:szCs w:val="22"/>
          <w:bdr w:val="none" w:sz="0" w:space="0" w:color="auto" w:frame="1"/>
          <w:lang w:eastAsia="es-MX"/>
        </w:rPr>
        <w:t>.</w:t>
      </w:r>
    </w:p>
    <w:p w:rsidR="005B60E0" w:rsidRDefault="005B60E0" w:rsidP="005B60E0">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5B60E0" w:rsidRDefault="005B60E0" w:rsidP="005B60E0">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B60E0" w:rsidRPr="00933E22" w:rsidRDefault="005B60E0" w:rsidP="00933E22">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A.</w:t>
      </w:r>
      <w:r>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5B60E0" w:rsidRDefault="005B60E0" w:rsidP="005B60E0">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B60E0" w:rsidRDefault="005B60E0" w:rsidP="005B60E0">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B60E0" w:rsidRDefault="005B60E0" w:rsidP="005B60E0">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5B60E0" w:rsidRDefault="005B60E0" w:rsidP="005B60E0">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B60E0" w:rsidRDefault="005B60E0" w:rsidP="005B60E0">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B60E0" w:rsidRDefault="005B60E0" w:rsidP="005B60E0">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Pr>
          <w:rFonts w:ascii="Palatino Linotype" w:hAnsi="Palatino Linotype"/>
          <w:i/>
          <w:iCs/>
          <w:color w:val="212121"/>
          <w:sz w:val="22"/>
          <w:szCs w:val="22"/>
          <w:bdr w:val="none" w:sz="0" w:space="0" w:color="auto" w:frame="1"/>
          <w:lang w:eastAsia="es-MX"/>
        </w:rPr>
        <w:t>.”</w:t>
      </w:r>
    </w:p>
    <w:p w:rsidR="005B60E0" w:rsidRDefault="005B60E0" w:rsidP="005B60E0">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B60E0" w:rsidRDefault="005B60E0" w:rsidP="005B60E0">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5B60E0" w:rsidRDefault="005B60E0" w:rsidP="00933E22">
      <w:pPr>
        <w:shd w:val="clear" w:color="auto" w:fill="FFFFFF"/>
        <w:ind w:right="814"/>
        <w:rPr>
          <w:rFonts w:ascii="Palatino Linotype" w:hAnsi="Palatino Linotype"/>
          <w:b/>
          <w:bCs/>
          <w:i/>
          <w:iCs/>
          <w:color w:val="212121"/>
          <w:sz w:val="22"/>
          <w:szCs w:val="22"/>
          <w:bdr w:val="none" w:sz="0" w:space="0" w:color="auto" w:frame="1"/>
          <w:lang w:eastAsia="es-MX"/>
        </w:rPr>
      </w:pPr>
    </w:p>
    <w:p w:rsidR="005B60E0" w:rsidRDefault="005B60E0" w:rsidP="005B60E0">
      <w:pPr>
        <w:shd w:val="clear" w:color="auto" w:fill="FFFFFF"/>
        <w:ind w:left="851" w:right="814"/>
        <w:jc w:val="center"/>
        <w:rPr>
          <w:color w:val="212121"/>
          <w:lang w:eastAsia="es-MX"/>
        </w:rPr>
      </w:pPr>
      <w:r>
        <w:rPr>
          <w:rFonts w:ascii="Palatino Linotype" w:hAnsi="Palatino Linotype"/>
          <w:b/>
          <w:bCs/>
          <w:i/>
          <w:iCs/>
          <w:color w:val="212121"/>
          <w:sz w:val="22"/>
          <w:szCs w:val="22"/>
          <w:bdr w:val="none" w:sz="0" w:space="0" w:color="auto" w:frame="1"/>
          <w:lang w:eastAsia="es-MX"/>
        </w:rPr>
        <w:t>Constitución Política del Estado Libre y Soberano de México</w:t>
      </w:r>
    </w:p>
    <w:p w:rsidR="005B60E0" w:rsidRDefault="005B60E0" w:rsidP="005B60E0">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5. </w:t>
      </w:r>
      <w:r>
        <w:rPr>
          <w:rFonts w:ascii="Palatino Linotype" w:hAnsi="Palatino Linotype"/>
          <w:i/>
          <w:iCs/>
          <w:color w:val="212121"/>
          <w:sz w:val="22"/>
          <w:szCs w:val="22"/>
          <w:bdr w:val="none" w:sz="0" w:space="0" w:color="auto" w:frame="1"/>
          <w:lang w:eastAsia="es-MX"/>
        </w:rPr>
        <w:t>…</w:t>
      </w:r>
    </w:p>
    <w:p w:rsidR="005B60E0" w:rsidRDefault="005B60E0" w:rsidP="005B60E0">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B60E0" w:rsidRDefault="005B60E0" w:rsidP="005B60E0">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El derecho a la información será garantizado por el Estado</w:t>
      </w:r>
      <w:r>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5B60E0" w:rsidRDefault="005B60E0" w:rsidP="005B60E0">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B60E0" w:rsidRDefault="005B60E0" w:rsidP="005B60E0">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Este derecho se regirá por los principios y bases siguientes:</w:t>
      </w:r>
    </w:p>
    <w:p w:rsidR="005B60E0" w:rsidRDefault="005B60E0" w:rsidP="005B60E0">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B60E0" w:rsidRDefault="005B60E0" w:rsidP="005B60E0">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B60E0" w:rsidRDefault="005B60E0" w:rsidP="005B60E0">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Pr>
          <w:rFonts w:ascii="Palatino Linotype" w:hAnsi="Palatino Linotype"/>
          <w:i/>
          <w:iCs/>
          <w:color w:val="212121"/>
          <w:sz w:val="22"/>
          <w:szCs w:val="22"/>
          <w:bdr w:val="none" w:sz="0" w:space="0" w:color="auto" w:frame="1"/>
          <w:lang w:eastAsia="es-MX"/>
        </w:rPr>
        <w:t>”</w:t>
      </w:r>
    </w:p>
    <w:p w:rsidR="005B60E0" w:rsidRDefault="005B60E0" w:rsidP="005B60E0">
      <w:pPr>
        <w:shd w:val="clear" w:color="auto" w:fill="FFFFFF"/>
        <w:ind w:left="851" w:right="814"/>
        <w:jc w:val="both"/>
        <w:rPr>
          <w:rFonts w:ascii="Palatino Linotype" w:hAnsi="Palatino Linotype"/>
          <w:color w:val="212121"/>
          <w:sz w:val="22"/>
          <w:szCs w:val="22"/>
          <w:bdr w:val="none" w:sz="0" w:space="0" w:color="auto" w:frame="1"/>
          <w:lang w:eastAsia="es-MX"/>
        </w:rPr>
      </w:pPr>
    </w:p>
    <w:p w:rsidR="005B60E0" w:rsidRDefault="005B60E0" w:rsidP="005B60E0">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5B60E0" w:rsidRDefault="005B60E0" w:rsidP="005B60E0">
      <w:pPr>
        <w:shd w:val="clear" w:color="auto" w:fill="FFFFFF"/>
        <w:spacing w:line="360" w:lineRule="auto"/>
        <w:ind w:left="851" w:right="899"/>
        <w:jc w:val="both"/>
        <w:rPr>
          <w:color w:val="212121"/>
          <w:lang w:eastAsia="es-MX"/>
        </w:rPr>
      </w:pPr>
    </w:p>
    <w:p w:rsidR="005B60E0" w:rsidRPr="00933E22" w:rsidRDefault="005B60E0" w:rsidP="00933E22">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5B60E0" w:rsidRDefault="005B60E0" w:rsidP="005B60E0">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1o</w:t>
      </w:r>
      <w:r>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B60E0" w:rsidRDefault="005B60E0" w:rsidP="005B60E0">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Las normas relativas a los derechos humanos se interpretarán</w:t>
      </w:r>
      <w:r>
        <w:rPr>
          <w:rFonts w:ascii="Palatino Linotype" w:hAnsi="Palatino Linotype"/>
          <w:i/>
          <w:iCs/>
          <w:color w:val="212121"/>
          <w:sz w:val="22"/>
          <w:szCs w:val="22"/>
          <w:bdr w:val="none" w:sz="0" w:space="0" w:color="auto" w:frame="1"/>
          <w:lang w:eastAsia="es-MX"/>
        </w:rPr>
        <w:t> de conformidad con esta Constitución y con los tratados internacionales de la </w:t>
      </w:r>
      <w:r>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5B60E0" w:rsidRDefault="005B60E0" w:rsidP="005B60E0">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B60E0" w:rsidRDefault="005B60E0" w:rsidP="005B60E0">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5B60E0" w:rsidRDefault="005B60E0" w:rsidP="005B60E0">
      <w:pPr>
        <w:shd w:val="clear" w:color="auto" w:fill="FFFFFF"/>
        <w:ind w:left="851" w:right="814"/>
        <w:jc w:val="both"/>
        <w:rPr>
          <w:rFonts w:ascii="Palatino Linotype" w:hAnsi="Palatino Linotype"/>
          <w:color w:val="212121"/>
          <w:sz w:val="22"/>
          <w:szCs w:val="22"/>
          <w:bdr w:val="none" w:sz="0" w:space="0" w:color="auto" w:frame="1"/>
          <w:lang w:eastAsia="es-MX"/>
        </w:rPr>
      </w:pPr>
    </w:p>
    <w:p w:rsidR="005B60E0" w:rsidRDefault="005B60E0" w:rsidP="005B60E0">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5B60E0" w:rsidRDefault="005B60E0" w:rsidP="005B60E0">
      <w:pPr>
        <w:shd w:val="clear" w:color="auto" w:fill="FFFFFF"/>
        <w:spacing w:line="360" w:lineRule="auto"/>
        <w:ind w:left="851" w:right="899"/>
        <w:jc w:val="both"/>
        <w:rPr>
          <w:color w:val="212121"/>
          <w:lang w:eastAsia="es-MX"/>
        </w:rPr>
      </w:pPr>
    </w:p>
    <w:p w:rsidR="005B60E0" w:rsidRDefault="005B60E0" w:rsidP="005B60E0">
      <w:pPr>
        <w:shd w:val="clear" w:color="auto" w:fill="FFFFFF"/>
        <w:spacing w:line="360" w:lineRule="auto"/>
        <w:jc w:val="both"/>
        <w:rPr>
          <w:color w:val="212121"/>
          <w:lang w:eastAsia="es-MX"/>
        </w:rPr>
      </w:pPr>
      <w:r>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B60E0" w:rsidRDefault="005B60E0" w:rsidP="005B60E0">
      <w:pPr>
        <w:shd w:val="clear" w:color="auto" w:fill="FFFFFF"/>
        <w:spacing w:line="360" w:lineRule="auto"/>
        <w:jc w:val="both"/>
        <w:rPr>
          <w:rFonts w:ascii="Palatino Linotype" w:hAnsi="Palatino Linotype"/>
          <w:color w:val="212121"/>
          <w:bdr w:val="none" w:sz="0" w:space="0" w:color="auto" w:frame="1"/>
          <w:lang w:eastAsia="es-MX"/>
        </w:rPr>
      </w:pPr>
    </w:p>
    <w:p w:rsidR="005B60E0" w:rsidRDefault="005B60E0" w:rsidP="005B60E0">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B60E0" w:rsidRDefault="005B60E0" w:rsidP="005B60E0">
      <w:pPr>
        <w:shd w:val="clear" w:color="auto" w:fill="FFFFFF"/>
        <w:spacing w:line="360" w:lineRule="auto"/>
        <w:jc w:val="both"/>
        <w:rPr>
          <w:color w:val="212121"/>
          <w:lang w:eastAsia="es-MX"/>
        </w:rPr>
      </w:pPr>
    </w:p>
    <w:p w:rsidR="005B60E0" w:rsidRDefault="005B60E0" w:rsidP="005B60E0">
      <w:pPr>
        <w:shd w:val="clear" w:color="auto" w:fill="FFFFFF"/>
        <w:ind w:left="709" w:right="814"/>
        <w:jc w:val="both"/>
        <w:rPr>
          <w:color w:val="212121"/>
          <w:lang w:eastAsia="es-MX"/>
        </w:rPr>
      </w:pPr>
      <w:r>
        <w:rPr>
          <w:rFonts w:ascii="Palatino Linotype" w:hAnsi="Palatino Linotype"/>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B60E0" w:rsidRDefault="005B60E0" w:rsidP="005B60E0">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B60E0" w:rsidRDefault="005B60E0" w:rsidP="005B60E0">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Resoluciones</w:t>
      </w:r>
    </w:p>
    <w:p w:rsidR="005B60E0" w:rsidRPr="00775CA1" w:rsidRDefault="005B60E0" w:rsidP="005B60E0">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 RDA 5275/13</w:t>
      </w:r>
      <w:r>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5B60E0" w:rsidRDefault="005B60E0" w:rsidP="005B60E0">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2937/13</w:t>
      </w:r>
      <w:r>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Pr>
          <w:rFonts w:ascii="Palatino Linotype" w:hAnsi="Palatino Linotype"/>
          <w:i/>
          <w:iCs/>
          <w:color w:val="212121"/>
          <w:sz w:val="22"/>
          <w:szCs w:val="22"/>
          <w:bdr w:val="none" w:sz="0" w:space="0" w:color="auto" w:frame="1"/>
          <w:lang w:eastAsia="es-MX"/>
        </w:rPr>
        <w:t>Laveaga</w:t>
      </w:r>
      <w:proofErr w:type="spellEnd"/>
      <w:r>
        <w:rPr>
          <w:rFonts w:ascii="Palatino Linotype" w:hAnsi="Palatino Linotype"/>
          <w:i/>
          <w:iCs/>
          <w:color w:val="212121"/>
          <w:sz w:val="22"/>
          <w:szCs w:val="22"/>
          <w:bdr w:val="none" w:sz="0" w:space="0" w:color="auto" w:frame="1"/>
          <w:lang w:eastAsia="es-MX"/>
        </w:rPr>
        <w:t xml:space="preserve"> Rendón.</w:t>
      </w:r>
    </w:p>
    <w:p w:rsidR="005B60E0" w:rsidRDefault="005B60E0" w:rsidP="005B60E0">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3609/12</w:t>
      </w:r>
      <w:r>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Pr>
          <w:rFonts w:ascii="Palatino Linotype" w:hAnsi="Palatino Linotype"/>
          <w:i/>
          <w:iCs/>
          <w:color w:val="212121"/>
          <w:sz w:val="22"/>
          <w:szCs w:val="22"/>
          <w:bdr w:val="none" w:sz="0" w:space="0" w:color="auto" w:frame="1"/>
          <w:lang w:eastAsia="es-MX"/>
        </w:rPr>
        <w:t>Arzt</w:t>
      </w:r>
      <w:proofErr w:type="spellEnd"/>
      <w:r>
        <w:rPr>
          <w:rFonts w:ascii="Palatino Linotype" w:hAnsi="Palatino Linotype"/>
          <w:i/>
          <w:iCs/>
          <w:color w:val="212121"/>
          <w:sz w:val="22"/>
          <w:szCs w:val="22"/>
          <w:bdr w:val="none" w:sz="0" w:space="0" w:color="auto" w:frame="1"/>
          <w:lang w:eastAsia="es-MX"/>
        </w:rPr>
        <w:t xml:space="preserve"> Colunga.</w:t>
      </w:r>
    </w:p>
    <w:p w:rsidR="005B60E0" w:rsidRDefault="005B60E0" w:rsidP="005B60E0">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3361/12</w:t>
      </w:r>
      <w:r>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5B60E0" w:rsidRDefault="005B60E0" w:rsidP="005B60E0">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0563/12</w:t>
      </w:r>
      <w:r>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Pr>
          <w:rFonts w:ascii="Palatino Linotype" w:hAnsi="Palatino Linotype"/>
          <w:i/>
          <w:iCs/>
          <w:color w:val="212121"/>
          <w:sz w:val="22"/>
          <w:szCs w:val="22"/>
          <w:bdr w:val="none" w:sz="0" w:space="0" w:color="auto" w:frame="1"/>
          <w:lang w:eastAsia="es-MX"/>
        </w:rPr>
        <w:t>Peschard</w:t>
      </w:r>
      <w:proofErr w:type="spellEnd"/>
      <w:r>
        <w:rPr>
          <w:rFonts w:ascii="Palatino Linotype" w:hAnsi="Palatino Linotype"/>
          <w:i/>
          <w:iCs/>
          <w:color w:val="212121"/>
          <w:sz w:val="22"/>
          <w:szCs w:val="22"/>
          <w:bdr w:val="none" w:sz="0" w:space="0" w:color="auto" w:frame="1"/>
          <w:lang w:eastAsia="es-MX"/>
        </w:rPr>
        <w:t xml:space="preserve"> Mariscal.” (SIC)</w:t>
      </w:r>
    </w:p>
    <w:p w:rsidR="005B60E0" w:rsidRDefault="005B60E0" w:rsidP="005B60E0">
      <w:pPr>
        <w:shd w:val="clear" w:color="auto" w:fill="FFFFFF"/>
        <w:spacing w:line="360" w:lineRule="auto"/>
        <w:ind w:left="851" w:right="899"/>
        <w:jc w:val="both"/>
        <w:rPr>
          <w:color w:val="212121"/>
          <w:lang w:eastAsia="es-MX"/>
        </w:rPr>
      </w:pPr>
    </w:p>
    <w:p w:rsidR="005B60E0" w:rsidRDefault="005B60E0" w:rsidP="005B60E0">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 la hoy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5B60E0" w:rsidRDefault="005B60E0" w:rsidP="005B60E0">
      <w:pPr>
        <w:shd w:val="clear" w:color="auto" w:fill="FFFFFF"/>
        <w:spacing w:line="360" w:lineRule="auto"/>
        <w:jc w:val="both"/>
        <w:rPr>
          <w:color w:val="212121"/>
          <w:lang w:eastAsia="es-MX"/>
        </w:rPr>
      </w:pPr>
    </w:p>
    <w:p w:rsidR="005B60E0" w:rsidRDefault="005B60E0" w:rsidP="005B60E0">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5B60E0" w:rsidRDefault="005B60E0" w:rsidP="005B60E0">
      <w:pPr>
        <w:shd w:val="clear" w:color="auto" w:fill="FFFFFF"/>
        <w:spacing w:line="360" w:lineRule="auto"/>
        <w:jc w:val="both"/>
        <w:rPr>
          <w:color w:val="212121"/>
          <w:lang w:eastAsia="es-MX"/>
        </w:rPr>
      </w:pPr>
    </w:p>
    <w:p w:rsidR="005B60E0" w:rsidRDefault="005B60E0" w:rsidP="005B60E0">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w:t>
      </w:r>
      <w:r w:rsidR="00933E22">
        <w:rPr>
          <w:rFonts w:ascii="Palatino Linotype" w:hAnsi="Palatino Linotype"/>
          <w:color w:val="212121"/>
          <w:bdr w:val="none" w:sz="0" w:space="0" w:color="auto" w:frame="1"/>
          <w:lang w:eastAsia="es-MX"/>
        </w:rPr>
        <w:t xml:space="preserve">cuarto </w:t>
      </w:r>
      <w:r>
        <w:rPr>
          <w:rFonts w:ascii="Palatino Linotype" w:hAnsi="Palatino Linotype"/>
          <w:color w:val="212121"/>
          <w:bdr w:val="none" w:sz="0" w:space="0" w:color="auto" w:frame="1"/>
          <w:lang w:eastAsia="es-MX"/>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color w:val="212121"/>
          <w:bdr w:val="none" w:sz="0" w:space="0" w:color="auto" w:frame="1"/>
          <w:lang w:eastAsia="es-MX"/>
        </w:rPr>
        <w:t>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es la misma persona que realizó la solicitud de acceso a la información pública que ahora se impugna.</w:t>
      </w:r>
    </w:p>
    <w:p w:rsidR="005B60E0" w:rsidRDefault="005B60E0" w:rsidP="005B60E0">
      <w:pPr>
        <w:shd w:val="clear" w:color="auto" w:fill="FFFFFF"/>
        <w:spacing w:line="360" w:lineRule="auto"/>
        <w:jc w:val="both"/>
        <w:rPr>
          <w:color w:val="212121"/>
          <w:lang w:eastAsia="es-MX"/>
        </w:rPr>
      </w:pPr>
    </w:p>
    <w:p w:rsidR="005B60E0" w:rsidRDefault="005B60E0" w:rsidP="00896D51">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En adición a lo anterior, el propio artículo 180 en su último párrafo establece que cuando el recurso se interponga de manera electrónica no será indispensable que contenga determinados requisitos, entre ellos, el nombre de </w:t>
      </w:r>
      <w:r>
        <w:rPr>
          <w:rFonts w:ascii="Palatino Linotype" w:hAnsi="Palatino Linotype"/>
          <w:b/>
          <w:color w:val="212121"/>
          <w:bdr w:val="none" w:sz="0" w:space="0" w:color="auto" w:frame="1"/>
          <w:lang w:eastAsia="es-MX"/>
        </w:rPr>
        <w:t>LA</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por lo que en el presente caso, al haber sido presentado el recurso de revisión vía </w:t>
      </w:r>
      <w:r>
        <w:rPr>
          <w:rFonts w:ascii="Palatino Linotype" w:hAnsi="Palatino Linotype"/>
          <w:b/>
          <w:bCs/>
          <w:color w:val="212121"/>
          <w:bdr w:val="none" w:sz="0" w:space="0" w:color="auto" w:frame="1"/>
          <w:lang w:eastAsia="es-MX"/>
        </w:rPr>
        <w:t>SAIMEX</w:t>
      </w:r>
      <w:r>
        <w:rPr>
          <w:rFonts w:ascii="Palatino Linotype" w:hAnsi="Palatino Linotype"/>
          <w:color w:val="212121"/>
          <w:bdr w:val="none" w:sz="0" w:space="0" w:color="auto" w:frame="1"/>
          <w:lang w:eastAsia="es-MX"/>
        </w:rPr>
        <w:t>, dicho requisito resulta innecesario.</w:t>
      </w:r>
    </w:p>
    <w:p w:rsidR="005B60E0" w:rsidRDefault="005B60E0" w:rsidP="00896D51">
      <w:pPr>
        <w:shd w:val="clear" w:color="auto" w:fill="FFFFFF"/>
        <w:spacing w:line="360" w:lineRule="auto"/>
        <w:jc w:val="both"/>
        <w:rPr>
          <w:color w:val="212121"/>
          <w:lang w:eastAsia="es-MX"/>
        </w:rPr>
      </w:pPr>
    </w:p>
    <w:p w:rsidR="000154A2" w:rsidRPr="000154A2" w:rsidRDefault="000154A2" w:rsidP="000154A2">
      <w:pPr>
        <w:pStyle w:val="Prrafodelista"/>
        <w:numPr>
          <w:ilvl w:val="0"/>
          <w:numId w:val="4"/>
        </w:numPr>
        <w:spacing w:line="360" w:lineRule="auto"/>
        <w:ind w:left="0" w:firstLine="0"/>
        <w:jc w:val="both"/>
        <w:rPr>
          <w:rFonts w:ascii="Palatino Linotype" w:hAnsi="Palatino Linotype"/>
        </w:rPr>
      </w:pPr>
      <w:r w:rsidRPr="000154A2">
        <w:rPr>
          <w:rFonts w:ascii="Palatino Linotype" w:hAnsi="Palatino Linotype" w:cs="Arial"/>
          <w:b/>
          <w:color w:val="000000" w:themeColor="text1"/>
        </w:rPr>
        <w:t xml:space="preserve">Procedencia del recurso. </w:t>
      </w:r>
      <w:r w:rsidRPr="000154A2">
        <w:rPr>
          <w:rFonts w:ascii="Palatino Linotype" w:hAnsi="Palatino Linotype" w:cs="Arial"/>
        </w:rPr>
        <w:t>Del análisis efectuado al expediente electrónico, se advierte que se actualiza</w:t>
      </w:r>
      <w:r>
        <w:rPr>
          <w:rFonts w:ascii="Palatino Linotype" w:hAnsi="Palatino Linotype" w:cs="Arial"/>
        </w:rPr>
        <w:t>n</w:t>
      </w:r>
      <w:r w:rsidRPr="000154A2">
        <w:rPr>
          <w:rFonts w:ascii="Palatino Linotype" w:hAnsi="Palatino Linotype" w:cs="Arial"/>
        </w:rPr>
        <w:t xml:space="preserve"> la</w:t>
      </w:r>
      <w:r>
        <w:rPr>
          <w:rFonts w:ascii="Palatino Linotype" w:hAnsi="Palatino Linotype" w:cs="Arial"/>
        </w:rPr>
        <w:t>s</w:t>
      </w:r>
      <w:r w:rsidRPr="000154A2">
        <w:rPr>
          <w:rFonts w:ascii="Palatino Linotype" w:hAnsi="Palatino Linotype" w:cs="Arial"/>
        </w:rPr>
        <w:t xml:space="preserve"> hipótesis prevista</w:t>
      </w:r>
      <w:r>
        <w:rPr>
          <w:rFonts w:ascii="Palatino Linotype" w:hAnsi="Palatino Linotype" w:cs="Arial"/>
        </w:rPr>
        <w:t>s</w:t>
      </w:r>
      <w:r w:rsidRPr="000154A2">
        <w:rPr>
          <w:rFonts w:ascii="Palatino Linotype" w:hAnsi="Palatino Linotype" w:cs="Arial"/>
        </w:rPr>
        <w:t xml:space="preserve"> en el artículo 191 fracción III </w:t>
      </w:r>
      <w:r>
        <w:rPr>
          <w:rFonts w:ascii="Palatino Linotype" w:hAnsi="Palatino Linotype" w:cs="Arial"/>
        </w:rPr>
        <w:t xml:space="preserve">y VII </w:t>
      </w:r>
      <w:r w:rsidRPr="000154A2">
        <w:rPr>
          <w:rFonts w:ascii="Palatino Linotype" w:hAnsi="Palatino Linotype" w:cs="Arial"/>
        </w:rPr>
        <w:t>de la Ley de Transparencia y Acceso a la Información Pública del Estado de México y Municipios en vigor, que a la letra dice:</w:t>
      </w:r>
    </w:p>
    <w:p w:rsidR="000154A2" w:rsidRPr="008E1692" w:rsidRDefault="000154A2" w:rsidP="000154A2">
      <w:pPr>
        <w:pStyle w:val="Prrafodelista"/>
        <w:widowControl w:val="0"/>
        <w:autoSpaceDE w:val="0"/>
        <w:autoSpaceDN w:val="0"/>
        <w:adjustRightInd w:val="0"/>
        <w:spacing w:line="360" w:lineRule="auto"/>
        <w:ind w:left="0" w:right="49"/>
        <w:jc w:val="both"/>
        <w:rPr>
          <w:rFonts w:ascii="Palatino Linotype" w:hAnsi="Palatino Linotype" w:cs="Arial"/>
        </w:rPr>
      </w:pPr>
    </w:p>
    <w:p w:rsidR="000154A2" w:rsidRPr="008E1692" w:rsidRDefault="000154A2" w:rsidP="000154A2">
      <w:pPr>
        <w:ind w:left="709" w:right="709"/>
        <w:jc w:val="both"/>
        <w:rPr>
          <w:rFonts w:ascii="Palatino Linotype" w:hAnsi="Palatino Linotype" w:cs="Arial"/>
          <w:i/>
        </w:rPr>
      </w:pPr>
      <w:r w:rsidRPr="008E1692">
        <w:rPr>
          <w:rFonts w:ascii="Palatino Linotype" w:hAnsi="Palatino Linotype" w:cs="Arial"/>
          <w:i/>
        </w:rPr>
        <w:t>“</w:t>
      </w:r>
      <w:r w:rsidRPr="008E1692">
        <w:rPr>
          <w:rFonts w:ascii="Palatino Linotype" w:hAnsi="Palatino Linotype" w:cs="Arial"/>
          <w:b/>
          <w:i/>
        </w:rPr>
        <w:t>Artículo 191</w:t>
      </w:r>
      <w:r w:rsidRPr="008E1692">
        <w:rPr>
          <w:rFonts w:ascii="Palatino Linotype" w:hAnsi="Palatino Linotype" w:cs="Arial"/>
          <w:i/>
        </w:rPr>
        <w:t>. El recurso será desechado por improcedente cuando:</w:t>
      </w:r>
    </w:p>
    <w:p w:rsidR="000154A2" w:rsidRPr="008E1692" w:rsidRDefault="000154A2" w:rsidP="000154A2">
      <w:pPr>
        <w:ind w:left="709" w:right="709"/>
        <w:jc w:val="both"/>
        <w:rPr>
          <w:rFonts w:ascii="Palatino Linotype" w:hAnsi="Palatino Linotype" w:cs="Arial"/>
          <w:i/>
        </w:rPr>
      </w:pPr>
    </w:p>
    <w:p w:rsidR="000154A2" w:rsidRPr="008E1692" w:rsidRDefault="000154A2" w:rsidP="000154A2">
      <w:pPr>
        <w:ind w:left="709" w:right="709"/>
        <w:jc w:val="both"/>
        <w:rPr>
          <w:rFonts w:ascii="Palatino Linotype" w:hAnsi="Palatino Linotype" w:cs="Arial"/>
          <w:i/>
        </w:rPr>
      </w:pPr>
      <w:r w:rsidRPr="008E1692">
        <w:rPr>
          <w:rFonts w:ascii="Palatino Linotype" w:hAnsi="Palatino Linotype" w:cs="Arial"/>
          <w:b/>
          <w:i/>
        </w:rPr>
        <w:t>III.</w:t>
      </w:r>
      <w:r w:rsidRPr="008E1692">
        <w:rPr>
          <w:rFonts w:ascii="Palatino Linotype" w:hAnsi="Palatino Linotype" w:cs="Arial"/>
          <w:b/>
          <w:i/>
        </w:rPr>
        <w:tab/>
      </w:r>
      <w:r w:rsidRPr="008E1692">
        <w:rPr>
          <w:rFonts w:ascii="Palatino Linotype" w:hAnsi="Palatino Linotype" w:cs="Arial"/>
          <w:b/>
          <w:i/>
          <w:u w:val="single"/>
        </w:rPr>
        <w:t>No actualice alguno de los supuestos previstos en la presente Ley</w:t>
      </w:r>
      <w:r w:rsidRPr="008E1692">
        <w:rPr>
          <w:rFonts w:ascii="Palatino Linotype" w:hAnsi="Palatino Linotype" w:cs="Arial"/>
          <w:i/>
        </w:rPr>
        <w:t>;</w:t>
      </w:r>
    </w:p>
    <w:p w:rsidR="000154A2" w:rsidRDefault="000154A2" w:rsidP="000154A2">
      <w:pPr>
        <w:ind w:left="709" w:right="709"/>
        <w:jc w:val="both"/>
        <w:rPr>
          <w:rFonts w:ascii="Palatino Linotype" w:hAnsi="Palatino Linotype" w:cs="Arial"/>
          <w:i/>
        </w:rPr>
      </w:pPr>
      <w:r>
        <w:rPr>
          <w:rFonts w:ascii="Palatino Linotype" w:hAnsi="Palatino Linotype" w:cs="Arial"/>
          <w:i/>
        </w:rPr>
        <w:t>…</w:t>
      </w:r>
    </w:p>
    <w:p w:rsidR="000154A2" w:rsidRPr="000154A2" w:rsidRDefault="000154A2" w:rsidP="000154A2">
      <w:pPr>
        <w:ind w:left="709" w:right="709"/>
        <w:jc w:val="both"/>
        <w:rPr>
          <w:rFonts w:ascii="Palatino Linotype" w:hAnsi="Palatino Linotype" w:cs="Arial"/>
          <w:b/>
          <w:i/>
        </w:rPr>
      </w:pPr>
      <w:r w:rsidRPr="000154A2">
        <w:rPr>
          <w:rFonts w:ascii="Palatino Linotype" w:hAnsi="Palatino Linotype" w:cs="Arial"/>
          <w:b/>
          <w:i/>
        </w:rPr>
        <w:t>VII. El recurrente amplíe su solicitud en el recurso de revisión, únicamente respecto de los nuevos contenidos.</w:t>
      </w:r>
    </w:p>
    <w:p w:rsidR="000154A2" w:rsidRPr="008E1692" w:rsidRDefault="000154A2" w:rsidP="000154A2">
      <w:pPr>
        <w:ind w:left="709" w:right="709"/>
        <w:jc w:val="both"/>
        <w:rPr>
          <w:rFonts w:ascii="Palatino Linotype" w:hAnsi="Palatino Linotype" w:cs="Arial"/>
          <w:i/>
        </w:rPr>
      </w:pPr>
      <w:r>
        <w:rPr>
          <w:rFonts w:ascii="Palatino Linotype" w:hAnsi="Palatino Linotype" w:cs="Arial"/>
          <w:i/>
        </w:rPr>
        <w:t>…</w:t>
      </w:r>
    </w:p>
    <w:p w:rsidR="000154A2" w:rsidRPr="008E1692" w:rsidRDefault="000154A2" w:rsidP="000154A2">
      <w:pPr>
        <w:ind w:left="709" w:right="709"/>
        <w:jc w:val="both"/>
        <w:rPr>
          <w:rFonts w:ascii="Palatino Linotype" w:hAnsi="Palatino Linotype" w:cs="Arial"/>
          <w:i/>
        </w:rPr>
      </w:pPr>
    </w:p>
    <w:p w:rsidR="000154A2" w:rsidRPr="008E1692" w:rsidRDefault="000154A2" w:rsidP="000154A2">
      <w:pPr>
        <w:ind w:left="709" w:right="709"/>
        <w:jc w:val="both"/>
        <w:rPr>
          <w:rFonts w:ascii="Palatino Linotype" w:hAnsi="Palatino Linotype" w:cs="Arial"/>
        </w:rPr>
      </w:pPr>
      <w:r w:rsidRPr="008E1692">
        <w:rPr>
          <w:rFonts w:ascii="Palatino Linotype" w:hAnsi="Palatino Linotype" w:cs="Arial"/>
        </w:rPr>
        <w:t>(Énfasis añadido)</w:t>
      </w:r>
    </w:p>
    <w:p w:rsidR="000154A2" w:rsidRPr="000154A2" w:rsidRDefault="000154A2" w:rsidP="000154A2">
      <w:pPr>
        <w:spacing w:line="360" w:lineRule="auto"/>
        <w:jc w:val="both"/>
        <w:rPr>
          <w:rFonts w:ascii="Palatino Linotype" w:hAnsi="Palatino Linotype"/>
        </w:rPr>
      </w:pPr>
    </w:p>
    <w:p w:rsidR="00896D51" w:rsidRDefault="000154A2" w:rsidP="00896D51">
      <w:pPr>
        <w:pStyle w:val="Prrafodelista"/>
        <w:spacing w:line="360" w:lineRule="auto"/>
        <w:ind w:left="0"/>
        <w:jc w:val="both"/>
        <w:rPr>
          <w:rFonts w:ascii="Palatino Linotype" w:hAnsi="Palatino Linotype" w:cs="Arial"/>
          <w:b/>
        </w:rPr>
      </w:pPr>
      <w:r w:rsidRPr="000154A2">
        <w:rPr>
          <w:rFonts w:ascii="Palatino Linotype" w:hAnsi="Palatino Linotype"/>
        </w:rPr>
        <w:t>Para efecto de ilustrar lo anterior,</w:t>
      </w:r>
      <w:r>
        <w:rPr>
          <w:rFonts w:ascii="Palatino Linotype" w:hAnsi="Palatino Linotype"/>
        </w:rPr>
        <w:t xml:space="preserve"> t</w:t>
      </w:r>
      <w:r w:rsidRPr="00896D51">
        <w:rPr>
          <w:rFonts w:ascii="Palatino Linotype" w:hAnsi="Palatino Linotype"/>
        </w:rPr>
        <w:t xml:space="preserve">al y como quedó asentado en el resultando primero del presente ocurso, el entonces solicitante, requirió al </w:t>
      </w:r>
      <w:r w:rsidRPr="00896D51">
        <w:rPr>
          <w:rFonts w:ascii="Palatino Linotype" w:hAnsi="Palatino Linotype"/>
          <w:b/>
        </w:rPr>
        <w:t xml:space="preserve">SUJETO OBLIGADO </w:t>
      </w:r>
      <w:r>
        <w:rPr>
          <w:rFonts w:ascii="Palatino Linotype" w:hAnsi="Palatino Linotype"/>
        </w:rPr>
        <w:t>la información que a continuación se desagrega:</w:t>
      </w:r>
    </w:p>
    <w:p w:rsidR="000154A2" w:rsidRDefault="000154A2" w:rsidP="00896D51">
      <w:pPr>
        <w:pStyle w:val="Prrafodelista"/>
        <w:spacing w:line="360" w:lineRule="auto"/>
        <w:ind w:left="0"/>
        <w:jc w:val="both"/>
        <w:rPr>
          <w:rFonts w:ascii="Palatino Linotype" w:hAnsi="Palatino Linotype" w:cs="Arial"/>
          <w:b/>
        </w:rPr>
      </w:pPr>
    </w:p>
    <w:p w:rsidR="00896D51" w:rsidRPr="008262C5" w:rsidRDefault="008262C5" w:rsidP="00896D51">
      <w:pPr>
        <w:pStyle w:val="Prrafodelista"/>
        <w:numPr>
          <w:ilvl w:val="0"/>
          <w:numId w:val="22"/>
        </w:numPr>
        <w:spacing w:line="360" w:lineRule="auto"/>
        <w:jc w:val="both"/>
        <w:rPr>
          <w:rFonts w:ascii="Palatino Linotype" w:hAnsi="Palatino Linotype" w:cs="Arial"/>
        </w:rPr>
      </w:pPr>
      <w:r w:rsidRPr="008262C5">
        <w:rPr>
          <w:rFonts w:ascii="Palatino Linotype" w:hAnsi="Palatino Linotype" w:cs="Arial"/>
        </w:rPr>
        <w:t xml:space="preserve">Formatos </w:t>
      </w:r>
      <w:proofErr w:type="spellStart"/>
      <w:r w:rsidR="00896D51" w:rsidRPr="008262C5">
        <w:rPr>
          <w:rFonts w:ascii="Palatino Linotype" w:hAnsi="Palatino Linotype" w:cs="Arial"/>
        </w:rPr>
        <w:t>Pbrm</w:t>
      </w:r>
      <w:proofErr w:type="spellEnd"/>
      <w:r w:rsidR="00896D51" w:rsidRPr="008262C5">
        <w:rPr>
          <w:rFonts w:ascii="Palatino Linotype" w:hAnsi="Palatino Linotype" w:cs="Arial"/>
        </w:rPr>
        <w:t xml:space="preserve"> Anual</w:t>
      </w:r>
    </w:p>
    <w:p w:rsidR="00896D51" w:rsidRPr="008262C5" w:rsidRDefault="008262C5" w:rsidP="00896D51">
      <w:pPr>
        <w:pStyle w:val="Prrafodelista"/>
        <w:numPr>
          <w:ilvl w:val="0"/>
          <w:numId w:val="22"/>
        </w:numPr>
        <w:spacing w:line="360" w:lineRule="auto"/>
        <w:jc w:val="both"/>
        <w:rPr>
          <w:rFonts w:ascii="Palatino Linotype" w:hAnsi="Palatino Linotype" w:cs="Arial"/>
        </w:rPr>
      </w:pPr>
      <w:r w:rsidRPr="008262C5">
        <w:rPr>
          <w:rFonts w:ascii="Palatino Linotype" w:hAnsi="Palatino Linotype" w:cs="Arial"/>
        </w:rPr>
        <w:t xml:space="preserve">Formatos </w:t>
      </w:r>
      <w:proofErr w:type="spellStart"/>
      <w:r w:rsidR="00896D51" w:rsidRPr="008262C5">
        <w:rPr>
          <w:rFonts w:ascii="Palatino Linotype" w:hAnsi="Palatino Linotype" w:cs="Arial"/>
        </w:rPr>
        <w:t>Pbrm</w:t>
      </w:r>
      <w:proofErr w:type="spellEnd"/>
      <w:r w:rsidR="00896D51" w:rsidRPr="008262C5">
        <w:rPr>
          <w:rFonts w:ascii="Palatino Linotype" w:hAnsi="Palatino Linotype" w:cs="Arial"/>
        </w:rPr>
        <w:t xml:space="preserve"> Trimestral</w:t>
      </w:r>
      <w:r w:rsidRPr="008262C5">
        <w:rPr>
          <w:rFonts w:ascii="Palatino Linotype" w:hAnsi="Palatino Linotype" w:cs="Arial"/>
        </w:rPr>
        <w:t>es</w:t>
      </w:r>
    </w:p>
    <w:p w:rsidR="00896D51" w:rsidRPr="008262C5" w:rsidRDefault="00896D51" w:rsidP="00896D51">
      <w:pPr>
        <w:pStyle w:val="Prrafodelista"/>
        <w:numPr>
          <w:ilvl w:val="0"/>
          <w:numId w:val="22"/>
        </w:numPr>
        <w:spacing w:line="360" w:lineRule="auto"/>
        <w:jc w:val="both"/>
        <w:rPr>
          <w:rFonts w:ascii="Palatino Linotype" w:hAnsi="Palatino Linotype" w:cs="Arial"/>
        </w:rPr>
      </w:pPr>
      <w:r w:rsidRPr="008262C5">
        <w:rPr>
          <w:rFonts w:ascii="Palatino Linotype" w:hAnsi="Palatino Linotype" w:cs="Arial"/>
        </w:rPr>
        <w:t xml:space="preserve">Fichas </w:t>
      </w:r>
      <w:r w:rsidR="008262C5" w:rsidRPr="008262C5">
        <w:rPr>
          <w:rFonts w:ascii="Palatino Linotype" w:hAnsi="Palatino Linotype" w:cs="Arial"/>
        </w:rPr>
        <w:t>técnicas</w:t>
      </w:r>
      <w:r w:rsidRPr="008262C5">
        <w:rPr>
          <w:rFonts w:ascii="Palatino Linotype" w:hAnsi="Palatino Linotype" w:cs="Arial"/>
        </w:rPr>
        <w:t xml:space="preserve"> de indicadores de desempeño de la Dirección General, así como la evidencia que garantiza el cumplimiento de sus metas e indicadores del área</w:t>
      </w:r>
    </w:p>
    <w:p w:rsidR="00896D51" w:rsidRPr="008262C5" w:rsidRDefault="00896D51" w:rsidP="00896D51">
      <w:pPr>
        <w:pStyle w:val="Prrafodelista"/>
        <w:numPr>
          <w:ilvl w:val="0"/>
          <w:numId w:val="22"/>
        </w:numPr>
        <w:spacing w:line="360" w:lineRule="auto"/>
        <w:jc w:val="both"/>
        <w:rPr>
          <w:rFonts w:ascii="Palatino Linotype" w:hAnsi="Palatino Linotype" w:cs="Arial"/>
        </w:rPr>
      </w:pPr>
      <w:r w:rsidRPr="008262C5">
        <w:rPr>
          <w:rFonts w:ascii="Palatino Linotype" w:hAnsi="Palatino Linotype" w:cs="Arial"/>
        </w:rPr>
        <w:t>Actas de sesiones de consejo ordinarias y extraordinarias de 2016, con los anexos correspondientes</w:t>
      </w:r>
    </w:p>
    <w:p w:rsidR="00896D51" w:rsidRPr="008262C5" w:rsidRDefault="00896D51" w:rsidP="00896D51">
      <w:pPr>
        <w:pStyle w:val="Prrafodelista"/>
        <w:numPr>
          <w:ilvl w:val="0"/>
          <w:numId w:val="22"/>
        </w:numPr>
        <w:spacing w:line="360" w:lineRule="auto"/>
        <w:jc w:val="both"/>
        <w:rPr>
          <w:rFonts w:ascii="Palatino Linotype" w:hAnsi="Palatino Linotype" w:cs="Arial"/>
        </w:rPr>
      </w:pPr>
      <w:r w:rsidRPr="008262C5">
        <w:rPr>
          <w:rFonts w:ascii="Palatino Linotype" w:hAnsi="Palatino Linotype" w:cs="Arial"/>
        </w:rPr>
        <w:t xml:space="preserve">Manuales de organización, procedimientos, reglamento interno y organigrama vigente con su acta sesión de consejo donde se aprueba y la gaceta de gobierno donde es publicada dicha información </w:t>
      </w:r>
    </w:p>
    <w:p w:rsidR="008262C5" w:rsidRPr="008262C5" w:rsidRDefault="00896D51" w:rsidP="00896D51">
      <w:pPr>
        <w:pStyle w:val="Prrafodelista"/>
        <w:numPr>
          <w:ilvl w:val="0"/>
          <w:numId w:val="22"/>
        </w:numPr>
        <w:spacing w:line="360" w:lineRule="auto"/>
        <w:jc w:val="both"/>
        <w:rPr>
          <w:rFonts w:ascii="Palatino Linotype" w:hAnsi="Palatino Linotype" w:cs="Arial"/>
        </w:rPr>
      </w:pPr>
      <w:r w:rsidRPr="008262C5">
        <w:rPr>
          <w:rFonts w:ascii="Palatino Linotype" w:hAnsi="Palatino Linotype" w:cs="Arial"/>
        </w:rPr>
        <w:t>El estado financiero de ingresos y egresos del 01 de enero de 2019 al 31 de marzo de 2019,</w:t>
      </w:r>
    </w:p>
    <w:p w:rsidR="008262C5" w:rsidRPr="008262C5" w:rsidRDefault="008262C5" w:rsidP="008262C5">
      <w:pPr>
        <w:pStyle w:val="Prrafodelista"/>
        <w:numPr>
          <w:ilvl w:val="1"/>
          <w:numId w:val="22"/>
        </w:numPr>
        <w:spacing w:line="360" w:lineRule="auto"/>
        <w:jc w:val="both"/>
        <w:rPr>
          <w:rFonts w:ascii="Palatino Linotype" w:hAnsi="Palatino Linotype" w:cs="Arial"/>
        </w:rPr>
      </w:pPr>
      <w:r w:rsidRPr="008262C5">
        <w:rPr>
          <w:rFonts w:ascii="Palatino Linotype" w:hAnsi="Palatino Linotype" w:cs="Arial"/>
        </w:rPr>
        <w:t>P</w:t>
      </w:r>
      <w:r w:rsidR="00896D51" w:rsidRPr="008262C5">
        <w:rPr>
          <w:rFonts w:ascii="Palatino Linotype" w:hAnsi="Palatino Linotype" w:cs="Arial"/>
        </w:rPr>
        <w:t>artida contable</w:t>
      </w:r>
    </w:p>
    <w:p w:rsidR="008262C5" w:rsidRPr="008262C5" w:rsidRDefault="008262C5" w:rsidP="008262C5">
      <w:pPr>
        <w:pStyle w:val="Prrafodelista"/>
        <w:numPr>
          <w:ilvl w:val="1"/>
          <w:numId w:val="22"/>
        </w:numPr>
        <w:spacing w:line="360" w:lineRule="auto"/>
        <w:jc w:val="both"/>
        <w:rPr>
          <w:rFonts w:ascii="Palatino Linotype" w:hAnsi="Palatino Linotype" w:cs="Arial"/>
        </w:rPr>
      </w:pPr>
      <w:r w:rsidRPr="008262C5">
        <w:rPr>
          <w:rFonts w:ascii="Palatino Linotype" w:hAnsi="Palatino Linotype" w:cs="Arial"/>
        </w:rPr>
        <w:t>Á</w:t>
      </w:r>
      <w:r w:rsidR="00896D51" w:rsidRPr="008262C5">
        <w:rPr>
          <w:rFonts w:ascii="Palatino Linotype" w:hAnsi="Palatino Linotype" w:cs="Arial"/>
        </w:rPr>
        <w:t>rea</w:t>
      </w:r>
    </w:p>
    <w:p w:rsidR="008262C5" w:rsidRPr="008262C5" w:rsidRDefault="008262C5" w:rsidP="008262C5">
      <w:pPr>
        <w:pStyle w:val="Prrafodelista"/>
        <w:numPr>
          <w:ilvl w:val="0"/>
          <w:numId w:val="23"/>
        </w:numPr>
        <w:spacing w:line="360" w:lineRule="auto"/>
        <w:jc w:val="both"/>
        <w:rPr>
          <w:rFonts w:ascii="Palatino Linotype" w:hAnsi="Palatino Linotype" w:cs="Arial"/>
        </w:rPr>
      </w:pPr>
      <w:r w:rsidRPr="008262C5">
        <w:rPr>
          <w:rFonts w:ascii="Palatino Linotype" w:hAnsi="Palatino Linotype" w:cs="Arial"/>
        </w:rPr>
        <w:t>L</w:t>
      </w:r>
      <w:r w:rsidR="00896D51" w:rsidRPr="008262C5">
        <w:rPr>
          <w:rFonts w:ascii="Palatino Linotype" w:hAnsi="Palatino Linotype" w:cs="Arial"/>
        </w:rPr>
        <w:t>istas de asistencia de todos los empleados del organismo del 1 de enero de 2019 al 15 de abril de 2019,</w:t>
      </w:r>
    </w:p>
    <w:p w:rsidR="008262C5" w:rsidRPr="008262C5" w:rsidRDefault="008262C5" w:rsidP="008262C5">
      <w:pPr>
        <w:pStyle w:val="Prrafodelista"/>
        <w:numPr>
          <w:ilvl w:val="1"/>
          <w:numId w:val="22"/>
        </w:numPr>
        <w:spacing w:line="360" w:lineRule="auto"/>
        <w:jc w:val="both"/>
        <w:rPr>
          <w:rFonts w:ascii="Palatino Linotype" w:hAnsi="Palatino Linotype" w:cs="Arial"/>
        </w:rPr>
      </w:pPr>
      <w:r w:rsidRPr="008262C5">
        <w:rPr>
          <w:rFonts w:ascii="Palatino Linotype" w:hAnsi="Palatino Linotype" w:cs="Arial"/>
        </w:rPr>
        <w:t>J</w:t>
      </w:r>
      <w:r w:rsidR="00896D51" w:rsidRPr="008262C5">
        <w:rPr>
          <w:rFonts w:ascii="Palatino Linotype" w:hAnsi="Palatino Linotype" w:cs="Arial"/>
        </w:rPr>
        <w:t>ustificantes de</w:t>
      </w:r>
      <w:r w:rsidRPr="008262C5">
        <w:rPr>
          <w:rFonts w:ascii="Palatino Linotype" w:hAnsi="Palatino Linotype" w:cs="Arial"/>
        </w:rPr>
        <w:t xml:space="preserve"> las inasistencias de ser el caso</w:t>
      </w:r>
    </w:p>
    <w:p w:rsidR="008262C5" w:rsidRPr="008262C5" w:rsidRDefault="008262C5" w:rsidP="008262C5">
      <w:pPr>
        <w:pStyle w:val="Prrafodelista"/>
        <w:numPr>
          <w:ilvl w:val="1"/>
          <w:numId w:val="22"/>
        </w:numPr>
        <w:spacing w:line="360" w:lineRule="auto"/>
        <w:jc w:val="both"/>
        <w:rPr>
          <w:rFonts w:ascii="Palatino Linotype" w:hAnsi="Palatino Linotype" w:cs="Arial"/>
        </w:rPr>
      </w:pPr>
      <w:r w:rsidRPr="008262C5">
        <w:rPr>
          <w:rFonts w:ascii="Palatino Linotype" w:hAnsi="Palatino Linotype" w:cs="Arial"/>
        </w:rPr>
        <w:t>D</w:t>
      </w:r>
      <w:r w:rsidR="00896D51" w:rsidRPr="008262C5">
        <w:rPr>
          <w:rFonts w:ascii="Palatino Linotype" w:hAnsi="Palatino Linotype" w:cs="Arial"/>
        </w:rPr>
        <w:t>escuento</w:t>
      </w:r>
      <w:r w:rsidRPr="008262C5">
        <w:rPr>
          <w:rFonts w:ascii="Palatino Linotype" w:hAnsi="Palatino Linotype" w:cs="Arial"/>
        </w:rPr>
        <w:t>s por inasistencias</w:t>
      </w:r>
    </w:p>
    <w:p w:rsidR="00896D51" w:rsidRPr="008262C5" w:rsidRDefault="008262C5" w:rsidP="008262C5">
      <w:pPr>
        <w:pStyle w:val="Prrafodelista"/>
        <w:numPr>
          <w:ilvl w:val="1"/>
          <w:numId w:val="22"/>
        </w:numPr>
        <w:spacing w:line="360" w:lineRule="auto"/>
        <w:jc w:val="both"/>
        <w:rPr>
          <w:rFonts w:ascii="Palatino Linotype" w:hAnsi="Palatino Linotype" w:cs="Arial"/>
        </w:rPr>
      </w:pPr>
      <w:r w:rsidRPr="008262C5">
        <w:rPr>
          <w:rFonts w:ascii="Palatino Linotype" w:hAnsi="Palatino Linotype" w:cs="Arial"/>
        </w:rPr>
        <w:t>Justificación para el caso de no aplicar descuentos por inasistencias</w:t>
      </w:r>
    </w:p>
    <w:p w:rsidR="00896D51" w:rsidRDefault="00896D51" w:rsidP="00896D51">
      <w:pPr>
        <w:pStyle w:val="Prrafodelista"/>
        <w:spacing w:line="360" w:lineRule="auto"/>
        <w:ind w:left="0"/>
        <w:jc w:val="both"/>
        <w:rPr>
          <w:rFonts w:ascii="Palatino Linotype" w:hAnsi="Palatino Linotype" w:cs="Arial"/>
        </w:rPr>
      </w:pPr>
    </w:p>
    <w:p w:rsidR="00DC2B38" w:rsidRDefault="008262C5" w:rsidP="00DC2B3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1B629F">
        <w:rPr>
          <w:rFonts w:ascii="Palatino Linotype" w:hAnsi="Palatino Linotype" w:cs="Arial"/>
        </w:rPr>
        <w:t xml:space="preserve">En ese tenor, </w:t>
      </w:r>
      <w:r w:rsidRPr="001B629F">
        <w:rPr>
          <w:rFonts w:ascii="Palatino Linotype" w:hAnsi="Palatino Linotype" w:cs="Arial"/>
          <w:b/>
        </w:rPr>
        <w:t>EL SUJETO OBLIGADO</w:t>
      </w:r>
      <w:r w:rsidRPr="001B629F">
        <w:rPr>
          <w:rFonts w:ascii="Palatino Linotype" w:hAnsi="Palatino Linotype" w:cs="Arial"/>
        </w:rPr>
        <w:t xml:space="preserve"> </w:t>
      </w:r>
      <w:r>
        <w:rPr>
          <w:rFonts w:ascii="Palatino Linotype" w:hAnsi="Palatino Linotype" w:cs="Arial"/>
        </w:rPr>
        <w:t xml:space="preserve">remitió a través de su respuesta, los documentos con los que pretendió colmar el derecho de acceso a la información del ciudadano, realizando manifestaciones y pronunciamientos </w:t>
      </w:r>
      <w:r w:rsidRPr="001B629F">
        <w:rPr>
          <w:rFonts w:ascii="Palatino Linotype" w:hAnsi="Palatino Linotype" w:cs="Arial"/>
        </w:rPr>
        <w:t>atendi</w:t>
      </w:r>
      <w:r w:rsidR="004F5846">
        <w:rPr>
          <w:rFonts w:ascii="Palatino Linotype" w:hAnsi="Palatino Linotype" w:cs="Arial"/>
        </w:rPr>
        <w:t>en</w:t>
      </w:r>
      <w:r w:rsidRPr="001B629F">
        <w:rPr>
          <w:rFonts w:ascii="Palatino Linotype" w:hAnsi="Palatino Linotype" w:cs="Arial"/>
        </w:rPr>
        <w:t xml:space="preserve">do el requerimiento </w:t>
      </w:r>
      <w:r w:rsidR="004F5846">
        <w:rPr>
          <w:rFonts w:ascii="Palatino Linotype" w:hAnsi="Palatino Linotype" w:cs="Arial"/>
        </w:rPr>
        <w:t>d</w:t>
      </w:r>
      <w:r>
        <w:rPr>
          <w:rFonts w:ascii="Palatino Linotype" w:hAnsi="Palatino Linotype" w:cs="Arial"/>
        </w:rPr>
        <w:t>el</w:t>
      </w:r>
      <w:r w:rsidRPr="001B629F">
        <w:rPr>
          <w:rFonts w:ascii="Palatino Linotype" w:hAnsi="Palatino Linotype" w:cs="Arial"/>
        </w:rPr>
        <w:t xml:space="preserve"> hoy </w:t>
      </w:r>
      <w:r w:rsidRPr="001B629F">
        <w:rPr>
          <w:rFonts w:ascii="Palatino Linotype" w:hAnsi="Palatino Linotype" w:cs="Arial"/>
          <w:b/>
        </w:rPr>
        <w:t>RECURRENTE</w:t>
      </w:r>
      <w:r w:rsidR="004F5846">
        <w:rPr>
          <w:rFonts w:ascii="Palatino Linotype" w:hAnsi="Palatino Linotype" w:cs="Arial"/>
          <w:b/>
        </w:rPr>
        <w:t>.</w:t>
      </w:r>
      <w:r w:rsidRPr="001B629F">
        <w:rPr>
          <w:rFonts w:ascii="Palatino Linotype" w:hAnsi="Palatino Linotype" w:cs="Arial"/>
        </w:rPr>
        <w:t xml:space="preserve"> </w:t>
      </w:r>
    </w:p>
    <w:p w:rsidR="00A767F8" w:rsidRDefault="0024630B" w:rsidP="00DC2B3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Inconforme con la respuesta proporcionada, </w:t>
      </w:r>
      <w:r>
        <w:rPr>
          <w:rFonts w:ascii="Palatino Linotype" w:hAnsi="Palatino Linotype" w:cs="Arial"/>
          <w:b/>
        </w:rPr>
        <w:t>EL RECURRENTE</w:t>
      </w:r>
      <w:r>
        <w:rPr>
          <w:rFonts w:ascii="Palatino Linotype" w:hAnsi="Palatino Linotype" w:cs="Arial"/>
        </w:rPr>
        <w:t xml:space="preserve"> procedió a interponer el recurso de revisión que nos ocupa, vertiendo sus manifestaciones respecto a tres documentos proporcionados por </w:t>
      </w:r>
      <w:r>
        <w:rPr>
          <w:rFonts w:ascii="Palatino Linotype" w:hAnsi="Palatino Linotype" w:cs="Arial"/>
          <w:b/>
        </w:rPr>
        <w:t xml:space="preserve">EL SUJETO OBLIGADO, </w:t>
      </w:r>
      <w:r w:rsidRPr="0024630B">
        <w:rPr>
          <w:rFonts w:ascii="Palatino Linotype" w:hAnsi="Palatino Linotype" w:cs="Arial"/>
        </w:rPr>
        <w:t xml:space="preserve">mismos que se encuentran descritos en </w:t>
      </w:r>
      <w:r>
        <w:rPr>
          <w:rFonts w:ascii="Palatino Linotype" w:hAnsi="Palatino Linotype" w:cs="Arial"/>
        </w:rPr>
        <w:t xml:space="preserve">el resultando III y que trata de un listado de oficios recibidos por el ODAPAS donde se </w:t>
      </w:r>
      <w:r w:rsidR="007F545C">
        <w:rPr>
          <w:rFonts w:ascii="Palatino Linotype" w:hAnsi="Palatino Linotype" w:cs="Arial"/>
        </w:rPr>
        <w:t>advierten los siguientes rubros:</w:t>
      </w:r>
    </w:p>
    <w:p w:rsidR="007F545C" w:rsidRDefault="007F545C" w:rsidP="00DC2B3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729"/>
      </w:tblGrid>
      <w:tr w:rsidR="007F545C" w:rsidRPr="007F545C" w:rsidTr="007F545C">
        <w:tc>
          <w:tcPr>
            <w:tcW w:w="5382"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sz w:val="22"/>
              </w:rPr>
            </w:pPr>
            <w:r w:rsidRPr="007F545C">
              <w:rPr>
                <w:rFonts w:ascii="Palatino Linotype" w:hAnsi="Palatino Linotype" w:cs="Arial"/>
                <w:sz w:val="22"/>
              </w:rPr>
              <w:t>Consecutivo</w:t>
            </w:r>
          </w:p>
        </w:tc>
        <w:tc>
          <w:tcPr>
            <w:tcW w:w="3729"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sz w:val="22"/>
              </w:rPr>
            </w:pPr>
            <w:r w:rsidRPr="007F545C">
              <w:rPr>
                <w:rFonts w:ascii="Palatino Linotype" w:hAnsi="Palatino Linotype" w:cs="Arial"/>
                <w:sz w:val="22"/>
              </w:rPr>
              <w:t>Fecha de ingreso</w:t>
            </w:r>
          </w:p>
        </w:tc>
      </w:tr>
      <w:tr w:rsidR="007F545C" w:rsidRPr="007F545C" w:rsidTr="007F545C">
        <w:tc>
          <w:tcPr>
            <w:tcW w:w="5382"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sz w:val="22"/>
              </w:rPr>
            </w:pPr>
            <w:r w:rsidRPr="007F545C">
              <w:rPr>
                <w:rFonts w:ascii="Palatino Linotype" w:hAnsi="Palatino Linotype" w:cs="Arial"/>
                <w:sz w:val="22"/>
              </w:rPr>
              <w:t>Número de oficio</w:t>
            </w:r>
          </w:p>
        </w:tc>
        <w:tc>
          <w:tcPr>
            <w:tcW w:w="3729"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sz w:val="22"/>
              </w:rPr>
            </w:pPr>
            <w:r w:rsidRPr="007F545C">
              <w:rPr>
                <w:rFonts w:ascii="Palatino Linotype" w:hAnsi="Palatino Linotype" w:cs="Arial"/>
                <w:sz w:val="22"/>
              </w:rPr>
              <w:t>Dependencia quien envía</w:t>
            </w:r>
          </w:p>
        </w:tc>
      </w:tr>
      <w:tr w:rsidR="007F545C" w:rsidRPr="007F545C" w:rsidTr="007F545C">
        <w:tc>
          <w:tcPr>
            <w:tcW w:w="5382"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sz w:val="22"/>
              </w:rPr>
            </w:pPr>
            <w:r w:rsidRPr="007F545C">
              <w:rPr>
                <w:rFonts w:ascii="Palatino Linotype" w:hAnsi="Palatino Linotype" w:cs="Arial"/>
                <w:sz w:val="22"/>
              </w:rPr>
              <w:t>Área</w:t>
            </w:r>
          </w:p>
        </w:tc>
        <w:tc>
          <w:tcPr>
            <w:tcW w:w="3729"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sz w:val="22"/>
              </w:rPr>
            </w:pPr>
            <w:r w:rsidRPr="007F545C">
              <w:rPr>
                <w:rFonts w:ascii="Palatino Linotype" w:hAnsi="Palatino Linotype" w:cs="Arial"/>
                <w:sz w:val="22"/>
              </w:rPr>
              <w:t>Asunto</w:t>
            </w:r>
          </w:p>
        </w:tc>
      </w:tr>
      <w:tr w:rsidR="007F545C" w:rsidRPr="007F545C" w:rsidTr="007F545C">
        <w:tc>
          <w:tcPr>
            <w:tcW w:w="5382"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b/>
                <w:sz w:val="22"/>
              </w:rPr>
            </w:pPr>
            <w:r w:rsidRPr="007F545C">
              <w:rPr>
                <w:rFonts w:ascii="Palatino Linotype" w:hAnsi="Palatino Linotype" w:cs="Arial"/>
                <w:b/>
                <w:sz w:val="22"/>
              </w:rPr>
              <w:t>Teléfono</w:t>
            </w:r>
          </w:p>
        </w:tc>
        <w:tc>
          <w:tcPr>
            <w:tcW w:w="3729"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sz w:val="22"/>
              </w:rPr>
            </w:pPr>
            <w:r w:rsidRPr="007F545C">
              <w:rPr>
                <w:rFonts w:ascii="Palatino Linotype" w:hAnsi="Palatino Linotype" w:cs="Arial"/>
                <w:sz w:val="22"/>
              </w:rPr>
              <w:t>Petición</w:t>
            </w:r>
          </w:p>
        </w:tc>
      </w:tr>
      <w:tr w:rsidR="007F545C" w:rsidRPr="007F545C" w:rsidTr="007F545C">
        <w:tc>
          <w:tcPr>
            <w:tcW w:w="5382"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sz w:val="22"/>
              </w:rPr>
            </w:pPr>
            <w:r w:rsidRPr="007F545C">
              <w:rPr>
                <w:rFonts w:ascii="Palatino Linotype" w:hAnsi="Palatino Linotype" w:cs="Arial"/>
                <w:sz w:val="22"/>
              </w:rPr>
              <w:t>Organización territorial del Bando Municipal</w:t>
            </w:r>
          </w:p>
        </w:tc>
        <w:tc>
          <w:tcPr>
            <w:tcW w:w="3729"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sz w:val="22"/>
              </w:rPr>
            </w:pPr>
            <w:r w:rsidRPr="007F545C">
              <w:rPr>
                <w:rFonts w:ascii="Palatino Linotype" w:hAnsi="Palatino Linotype" w:cs="Arial"/>
                <w:sz w:val="22"/>
              </w:rPr>
              <w:t>Observaciones</w:t>
            </w:r>
          </w:p>
        </w:tc>
      </w:tr>
      <w:tr w:rsidR="007F545C" w:rsidRPr="007F545C" w:rsidTr="007F545C">
        <w:tc>
          <w:tcPr>
            <w:tcW w:w="5382"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sz w:val="22"/>
              </w:rPr>
            </w:pPr>
            <w:r w:rsidRPr="007F545C">
              <w:rPr>
                <w:rFonts w:ascii="Palatino Linotype" w:hAnsi="Palatino Linotype" w:cs="Arial"/>
                <w:sz w:val="22"/>
              </w:rPr>
              <w:t>Status de Dirección General</w:t>
            </w:r>
          </w:p>
        </w:tc>
        <w:tc>
          <w:tcPr>
            <w:tcW w:w="3729" w:type="dxa"/>
            <w:vAlign w:val="center"/>
          </w:tcPr>
          <w:p w:rsidR="007F545C" w:rsidRPr="007F545C" w:rsidRDefault="007F545C" w:rsidP="007F545C">
            <w:pPr>
              <w:pStyle w:val="Prrafodelista"/>
              <w:widowControl w:val="0"/>
              <w:numPr>
                <w:ilvl w:val="0"/>
                <w:numId w:val="23"/>
              </w:numPr>
              <w:tabs>
                <w:tab w:val="left" w:pos="1701"/>
              </w:tabs>
              <w:autoSpaceDE w:val="0"/>
              <w:autoSpaceDN w:val="0"/>
              <w:adjustRightInd w:val="0"/>
              <w:spacing w:line="360" w:lineRule="auto"/>
              <w:jc w:val="both"/>
              <w:rPr>
                <w:rFonts w:ascii="Palatino Linotype" w:hAnsi="Palatino Linotype" w:cs="Arial"/>
                <w:sz w:val="22"/>
              </w:rPr>
            </w:pPr>
            <w:r w:rsidRPr="007F545C">
              <w:rPr>
                <w:rFonts w:ascii="Palatino Linotype" w:hAnsi="Palatino Linotype" w:cs="Arial"/>
                <w:sz w:val="22"/>
              </w:rPr>
              <w:t>Status/Operatividad</w:t>
            </w:r>
          </w:p>
        </w:tc>
      </w:tr>
    </w:tbl>
    <w:p w:rsidR="007F545C" w:rsidRDefault="007F545C" w:rsidP="00DC2B3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EE476E" w:rsidRDefault="00EE476E" w:rsidP="00DC2B3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Resaltando que en dicho documento se dejaron datos visibles de particulares consistentes en números de teléfono, nombres y domicilios; por lo que, </w:t>
      </w:r>
      <w:r w:rsidRPr="00EE476E">
        <w:rPr>
          <w:rFonts w:ascii="Palatino Linotype" w:hAnsi="Palatino Linotype" w:cs="Arial"/>
        </w:rPr>
        <w:t xml:space="preserve"> solicit</w:t>
      </w:r>
      <w:r>
        <w:rPr>
          <w:rFonts w:ascii="Palatino Linotype" w:hAnsi="Palatino Linotype" w:cs="Arial"/>
        </w:rPr>
        <w:t xml:space="preserve">ó se le proporcionara </w:t>
      </w:r>
      <w:r w:rsidRPr="00EE476E">
        <w:rPr>
          <w:rFonts w:ascii="Palatino Linotype" w:hAnsi="Palatino Linotype" w:cs="Arial"/>
        </w:rPr>
        <w:t>el aviso de privacidad del ODAPAZ,</w:t>
      </w:r>
      <w:r>
        <w:rPr>
          <w:rFonts w:ascii="Palatino Linotype" w:hAnsi="Palatino Linotype" w:cs="Arial"/>
        </w:rPr>
        <w:t xml:space="preserve"> así como </w:t>
      </w:r>
      <w:r w:rsidRPr="00EE476E">
        <w:rPr>
          <w:rFonts w:ascii="Palatino Linotype" w:hAnsi="Palatino Linotype" w:cs="Arial"/>
        </w:rPr>
        <w:t xml:space="preserve">la </w:t>
      </w:r>
      <w:r>
        <w:rPr>
          <w:rFonts w:ascii="Palatino Linotype" w:hAnsi="Palatino Linotype" w:cs="Arial"/>
        </w:rPr>
        <w:t>D</w:t>
      </w:r>
      <w:r w:rsidRPr="00EE476E">
        <w:rPr>
          <w:rFonts w:ascii="Palatino Linotype" w:hAnsi="Palatino Linotype" w:cs="Arial"/>
        </w:rPr>
        <w:t>estitución</w:t>
      </w:r>
      <w:r>
        <w:rPr>
          <w:rFonts w:ascii="Palatino Linotype" w:hAnsi="Palatino Linotype" w:cs="Arial"/>
        </w:rPr>
        <w:t xml:space="preserve"> del T</w:t>
      </w:r>
      <w:r w:rsidRPr="00EE476E">
        <w:rPr>
          <w:rFonts w:ascii="Palatino Linotype" w:hAnsi="Palatino Linotype" w:cs="Arial"/>
        </w:rPr>
        <w:t xml:space="preserve">itular de la </w:t>
      </w:r>
      <w:r>
        <w:rPr>
          <w:rFonts w:ascii="Palatino Linotype" w:hAnsi="Palatino Linotype" w:cs="Arial"/>
        </w:rPr>
        <w:t>Unidad de T</w:t>
      </w:r>
      <w:r w:rsidRPr="00EE476E">
        <w:rPr>
          <w:rFonts w:ascii="Palatino Linotype" w:hAnsi="Palatino Linotype" w:cs="Arial"/>
        </w:rPr>
        <w:t xml:space="preserve">ransparencia, </w:t>
      </w:r>
      <w:r>
        <w:rPr>
          <w:rFonts w:ascii="Palatino Linotype" w:hAnsi="Palatino Linotype" w:cs="Arial"/>
        </w:rPr>
        <w:t>d</w:t>
      </w:r>
      <w:r w:rsidRPr="00EE476E">
        <w:rPr>
          <w:rFonts w:ascii="Palatino Linotype" w:hAnsi="Palatino Linotype" w:cs="Arial"/>
        </w:rPr>
        <w:t xml:space="preserve">el </w:t>
      </w:r>
      <w:r>
        <w:rPr>
          <w:rFonts w:ascii="Palatino Linotype" w:hAnsi="Palatino Linotype" w:cs="Arial"/>
        </w:rPr>
        <w:t>E</w:t>
      </w:r>
      <w:r w:rsidRPr="00EE476E">
        <w:rPr>
          <w:rFonts w:ascii="Palatino Linotype" w:hAnsi="Palatino Linotype" w:cs="Arial"/>
        </w:rPr>
        <w:t xml:space="preserve">ncargado de </w:t>
      </w:r>
      <w:r>
        <w:rPr>
          <w:rFonts w:ascii="Palatino Linotype" w:hAnsi="Palatino Linotype" w:cs="Arial"/>
        </w:rPr>
        <w:t>P</w:t>
      </w:r>
      <w:r w:rsidRPr="00EE476E">
        <w:rPr>
          <w:rFonts w:ascii="Palatino Linotype" w:hAnsi="Palatino Linotype" w:cs="Arial"/>
        </w:rPr>
        <w:t xml:space="preserve">rotección de Datos Personales, y del </w:t>
      </w:r>
      <w:r>
        <w:rPr>
          <w:rFonts w:ascii="Palatino Linotype" w:hAnsi="Palatino Linotype" w:cs="Arial"/>
        </w:rPr>
        <w:t>servidor público habilitado que proporcionó la información.</w:t>
      </w:r>
    </w:p>
    <w:p w:rsidR="00EE476E" w:rsidRDefault="00EE476E" w:rsidP="00DC2B3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A767F8" w:rsidRDefault="00EE476E" w:rsidP="00DC2B3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 igual forma pidió se multara a</w:t>
      </w:r>
      <w:r w:rsidRPr="00EE476E">
        <w:rPr>
          <w:rFonts w:ascii="Palatino Linotype" w:hAnsi="Palatino Linotype" w:cs="Arial"/>
        </w:rPr>
        <w:t>l Director General del ODAPAZ</w:t>
      </w:r>
      <w:r>
        <w:rPr>
          <w:rFonts w:ascii="Palatino Linotype" w:hAnsi="Palatino Linotype" w:cs="Arial"/>
        </w:rPr>
        <w:t xml:space="preserve"> y la intervención de este Instituto en virtud de las probables violaciones a la </w:t>
      </w:r>
      <w:r w:rsidRPr="00EE476E">
        <w:rPr>
          <w:rFonts w:ascii="Palatino Linotype" w:hAnsi="Palatino Linotype" w:cs="Arial"/>
        </w:rPr>
        <w:t xml:space="preserve">protección de </w:t>
      </w:r>
      <w:r>
        <w:rPr>
          <w:rFonts w:ascii="Palatino Linotype" w:hAnsi="Palatino Linotype" w:cs="Arial"/>
        </w:rPr>
        <w:t xml:space="preserve">los </w:t>
      </w:r>
      <w:r w:rsidRPr="00EE476E">
        <w:rPr>
          <w:rFonts w:ascii="Palatino Linotype" w:hAnsi="Palatino Linotype" w:cs="Arial"/>
        </w:rPr>
        <w:t>datos personales</w:t>
      </w:r>
      <w:r>
        <w:rPr>
          <w:rFonts w:ascii="Palatino Linotype" w:hAnsi="Palatino Linotype" w:cs="Arial"/>
        </w:rPr>
        <w:t>.</w:t>
      </w:r>
    </w:p>
    <w:p w:rsidR="00933E22" w:rsidRDefault="00933E22" w:rsidP="00DC2B3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6E0E48" w:rsidRPr="00DC2B38" w:rsidRDefault="00B06D8A" w:rsidP="00DC2B3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6F132E">
        <w:rPr>
          <w:rFonts w:ascii="Palatino Linotype" w:hAnsi="Palatino Linotype" w:cs="Arial"/>
        </w:rPr>
        <w:t xml:space="preserve">Establecido lo anterior, esta Ponencia Resolutora advierte que </w:t>
      </w:r>
      <w:r w:rsidRPr="006F132E">
        <w:rPr>
          <w:rFonts w:ascii="Palatino Linotype" w:hAnsi="Palatino Linotype"/>
        </w:rPr>
        <w:t xml:space="preserve">resultan </w:t>
      </w:r>
      <w:r w:rsidR="00F728B1" w:rsidRPr="006F132E">
        <w:rPr>
          <w:rFonts w:ascii="Palatino Linotype" w:hAnsi="Palatino Linotype"/>
          <w:b/>
        </w:rPr>
        <w:t>parcialmente f</w:t>
      </w:r>
      <w:r w:rsidRPr="006F132E">
        <w:rPr>
          <w:rFonts w:ascii="Palatino Linotype" w:hAnsi="Palatino Linotype"/>
          <w:b/>
        </w:rPr>
        <w:t xml:space="preserve">undadas </w:t>
      </w:r>
      <w:r w:rsidRPr="006F132E">
        <w:rPr>
          <w:rFonts w:ascii="Palatino Linotype" w:hAnsi="Palatino Linotype" w:cs="Arial"/>
        </w:rPr>
        <w:t xml:space="preserve">las </w:t>
      </w:r>
      <w:r w:rsidRPr="006F132E">
        <w:rPr>
          <w:rFonts w:ascii="Palatino Linotype" w:hAnsi="Palatino Linotype"/>
        </w:rPr>
        <w:t>razones</w:t>
      </w:r>
      <w:r w:rsidRPr="006F132E">
        <w:rPr>
          <w:rFonts w:ascii="Palatino Linotype" w:hAnsi="Palatino Linotype" w:cs="Arial"/>
        </w:rPr>
        <w:t xml:space="preserve"> o motivos de </w:t>
      </w:r>
      <w:r w:rsidRPr="006F132E">
        <w:rPr>
          <w:rFonts w:ascii="Palatino Linotype" w:hAnsi="Palatino Linotype"/>
        </w:rPr>
        <w:t xml:space="preserve">inconformidad expuestas por </w:t>
      </w:r>
      <w:r w:rsidR="004A36FC" w:rsidRPr="006F132E">
        <w:rPr>
          <w:rFonts w:ascii="Palatino Linotype" w:hAnsi="Palatino Linotype" w:cs="Arial"/>
          <w:b/>
        </w:rPr>
        <w:t>EL</w:t>
      </w:r>
      <w:r w:rsidR="00DC71D1" w:rsidRPr="006F132E">
        <w:rPr>
          <w:rFonts w:ascii="Palatino Linotype" w:hAnsi="Palatino Linotype" w:cs="Arial"/>
          <w:b/>
        </w:rPr>
        <w:t xml:space="preserve"> RECURRENTE</w:t>
      </w:r>
      <w:r w:rsidR="0082518B">
        <w:rPr>
          <w:rFonts w:ascii="Palatino Linotype" w:hAnsi="Palatino Linotype" w:cs="Arial"/>
          <w:b/>
        </w:rPr>
        <w:t xml:space="preserve">, </w:t>
      </w:r>
      <w:r w:rsidR="0082518B">
        <w:rPr>
          <w:rFonts w:ascii="Palatino Linotype" w:hAnsi="Palatino Linotype"/>
        </w:rPr>
        <w:t xml:space="preserve">pero </w:t>
      </w:r>
      <w:r w:rsidR="0082518B" w:rsidRPr="0082518B">
        <w:rPr>
          <w:rFonts w:ascii="Palatino Linotype" w:hAnsi="Palatino Linotype"/>
          <w:b/>
        </w:rPr>
        <w:t>inatendibles</w:t>
      </w:r>
      <w:r w:rsidRPr="006F132E">
        <w:rPr>
          <w:rFonts w:ascii="Palatino Linotype" w:hAnsi="Palatino Linotype"/>
        </w:rPr>
        <w:t>, de conformidad con los argumentos</w:t>
      </w:r>
      <w:r w:rsidR="006E0E48" w:rsidRPr="006F132E">
        <w:rPr>
          <w:rFonts w:ascii="Palatino Linotype" w:hAnsi="Palatino Linotype"/>
        </w:rPr>
        <w:t xml:space="preserve"> que a continuación se exponen. </w:t>
      </w:r>
    </w:p>
    <w:p w:rsidR="006E0E48" w:rsidRPr="006F132E" w:rsidRDefault="006E0E48" w:rsidP="006E0E48">
      <w:pPr>
        <w:spacing w:line="360" w:lineRule="auto"/>
        <w:jc w:val="both"/>
        <w:rPr>
          <w:rFonts w:ascii="Palatino Linotype" w:hAnsi="Palatino Linotype"/>
        </w:rPr>
      </w:pPr>
    </w:p>
    <w:p w:rsidR="00F67890" w:rsidRDefault="00F45410" w:rsidP="00F67890">
      <w:pPr>
        <w:spacing w:line="360" w:lineRule="auto"/>
        <w:ind w:right="-93"/>
        <w:jc w:val="both"/>
        <w:rPr>
          <w:rFonts w:ascii="Palatino Linotype" w:hAnsi="Palatino Linotype" w:cs="Arial"/>
          <w:lang w:eastAsia="es-MX"/>
        </w:rPr>
      </w:pPr>
      <w:r w:rsidRPr="006F132E">
        <w:rPr>
          <w:rFonts w:ascii="Palatino Linotype" w:hAnsi="Palatino Linotype"/>
        </w:rPr>
        <w:t xml:space="preserve">En </w:t>
      </w:r>
      <w:r w:rsidR="004A36FC" w:rsidRPr="006F132E">
        <w:rPr>
          <w:rFonts w:ascii="Palatino Linotype" w:hAnsi="Palatino Linotype"/>
        </w:rPr>
        <w:t>primer término</w:t>
      </w:r>
      <w:r w:rsidR="0082518B">
        <w:rPr>
          <w:rFonts w:ascii="Palatino Linotype" w:hAnsi="Palatino Linotype"/>
        </w:rPr>
        <w:t>,</w:t>
      </w:r>
      <w:r w:rsidR="004A36FC" w:rsidRPr="006F132E">
        <w:rPr>
          <w:rFonts w:ascii="Palatino Linotype" w:hAnsi="Palatino Linotype"/>
        </w:rPr>
        <w:t xml:space="preserve"> es de señalarse que por cuanto hace al</w:t>
      </w:r>
      <w:r w:rsidR="0082518B">
        <w:rPr>
          <w:rFonts w:ascii="Palatino Linotype" w:hAnsi="Palatino Linotype"/>
        </w:rPr>
        <w:t xml:space="preserve"> señalamiento de que se dejaron datos visibles susceptibles de ser clasificados como </w:t>
      </w:r>
      <w:r w:rsidR="00F056A1">
        <w:rPr>
          <w:rFonts w:ascii="Palatino Linotype" w:hAnsi="Palatino Linotype"/>
        </w:rPr>
        <w:t xml:space="preserve">información </w:t>
      </w:r>
      <w:r w:rsidR="00F67890">
        <w:rPr>
          <w:rFonts w:ascii="Palatino Linotype" w:hAnsi="Palatino Linotype"/>
        </w:rPr>
        <w:t>confidencial; p</w:t>
      </w:r>
      <w:r w:rsidR="00F67890" w:rsidRPr="00EB79B1">
        <w:rPr>
          <w:rFonts w:ascii="Palatino Linotype" w:hAnsi="Palatino Linotype" w:cs="Arial"/>
          <w:lang w:eastAsia="es-MX"/>
        </w:rPr>
        <w:t>or lo que respecta al domicilio de una persona física (domicilio particular), conforme a lo dispuesto por el artículo 2.17 del Código Civil del Estado de México, éste “</w:t>
      </w:r>
      <w:r w:rsidR="00F67890" w:rsidRPr="00EB79B1">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sidR="00F67890" w:rsidRPr="00EB79B1">
        <w:rPr>
          <w:rFonts w:ascii="Palatino Linotype" w:hAnsi="Palatino Linotype" w:cs="Arial"/>
          <w:lang w:eastAsia="es-MX"/>
        </w:rPr>
        <w:t>”</w:t>
      </w:r>
    </w:p>
    <w:p w:rsidR="00342962" w:rsidRDefault="00342962" w:rsidP="00F67890">
      <w:pPr>
        <w:spacing w:line="360" w:lineRule="auto"/>
        <w:ind w:right="-93"/>
        <w:jc w:val="both"/>
        <w:rPr>
          <w:rFonts w:ascii="Palatino Linotype" w:hAnsi="Palatino Linotype" w:cs="Arial"/>
          <w:lang w:eastAsia="es-MX"/>
        </w:rPr>
      </w:pPr>
    </w:p>
    <w:p w:rsidR="00342962" w:rsidRDefault="00342962" w:rsidP="00342962">
      <w:pPr>
        <w:spacing w:line="360" w:lineRule="auto"/>
        <w:ind w:right="-93"/>
        <w:jc w:val="both"/>
        <w:rPr>
          <w:rFonts w:ascii="Palatino Linotype" w:hAnsi="Palatino Linotype" w:cs="Arial"/>
          <w:lang w:eastAsia="es-MX"/>
        </w:rPr>
      </w:pPr>
      <w:r>
        <w:rPr>
          <w:rFonts w:ascii="Palatino Linotype" w:hAnsi="Palatino Linotype" w:cs="Arial"/>
          <w:lang w:eastAsia="es-MX"/>
        </w:rPr>
        <w:t xml:space="preserve">Por su parte, el </w:t>
      </w:r>
      <w:r w:rsidRPr="00342962">
        <w:rPr>
          <w:rFonts w:ascii="Palatino Linotype" w:hAnsi="Palatino Linotype" w:cs="Arial"/>
          <w:lang w:eastAsia="es-MX"/>
        </w:rPr>
        <w:t>Instituto Nacional de Estadística y Geografía</w:t>
      </w:r>
      <w:r>
        <w:rPr>
          <w:rFonts w:ascii="Palatino Linotype" w:hAnsi="Palatino Linotype" w:cs="Arial"/>
          <w:lang w:eastAsia="es-MX"/>
        </w:rPr>
        <w:t xml:space="preserve">, define como </w:t>
      </w:r>
      <w:r w:rsidRPr="00342962">
        <w:rPr>
          <w:rFonts w:ascii="Palatino Linotype" w:hAnsi="Palatino Linotype" w:cs="Arial"/>
          <w:lang w:eastAsia="es-MX"/>
        </w:rPr>
        <w:t>Domicilio geográfico</w:t>
      </w:r>
      <w:r>
        <w:rPr>
          <w:rFonts w:ascii="Palatino Linotype" w:hAnsi="Palatino Linotype" w:cs="Arial"/>
          <w:lang w:eastAsia="es-MX"/>
        </w:rPr>
        <w:t>,</w:t>
      </w:r>
      <w:r w:rsidRPr="00342962">
        <w:rPr>
          <w:rFonts w:ascii="Palatino Linotype" w:hAnsi="Palatino Linotype" w:cs="Arial"/>
          <w:lang w:eastAsia="es-MX"/>
        </w:rPr>
        <w:t xml:space="preserve"> el espacio al interior de una localidad o referido a una vía de</w:t>
      </w:r>
      <w:r>
        <w:rPr>
          <w:rFonts w:ascii="Palatino Linotype" w:hAnsi="Palatino Linotype" w:cs="Arial"/>
          <w:lang w:eastAsia="es-MX"/>
        </w:rPr>
        <w:t xml:space="preserve"> </w:t>
      </w:r>
      <w:r w:rsidRPr="00342962">
        <w:rPr>
          <w:rFonts w:ascii="Palatino Linotype" w:hAnsi="Palatino Linotype" w:cs="Arial"/>
          <w:lang w:eastAsia="es-MX"/>
        </w:rPr>
        <w:t>comunicación que ocupa un inmueble (edificación o terreno) donde pueden establecerse una o</w:t>
      </w:r>
      <w:r>
        <w:rPr>
          <w:rFonts w:ascii="Palatino Linotype" w:hAnsi="Palatino Linotype" w:cs="Arial"/>
          <w:lang w:eastAsia="es-MX"/>
        </w:rPr>
        <w:t xml:space="preserve"> </w:t>
      </w:r>
      <w:r w:rsidRPr="00342962">
        <w:rPr>
          <w:rFonts w:ascii="Palatino Linotype" w:hAnsi="Palatino Linotype" w:cs="Arial"/>
          <w:lang w:eastAsia="es-MX"/>
        </w:rPr>
        <w:t>más personas o unidades económicas, a fin de dar cumplimiento a sus obligaciones o</w:t>
      </w:r>
      <w:r>
        <w:rPr>
          <w:rFonts w:ascii="Palatino Linotype" w:hAnsi="Palatino Linotype" w:cs="Arial"/>
          <w:lang w:eastAsia="es-MX"/>
        </w:rPr>
        <w:t xml:space="preserve"> </w:t>
      </w:r>
      <w:r w:rsidRPr="00342962">
        <w:rPr>
          <w:rFonts w:ascii="Palatino Linotype" w:hAnsi="Palatino Linotype" w:cs="Arial"/>
          <w:lang w:eastAsia="es-MX"/>
        </w:rPr>
        <w:t>derechos.</w:t>
      </w:r>
      <w:r>
        <w:rPr>
          <w:rFonts w:ascii="Palatino Linotype" w:hAnsi="Palatino Linotype" w:cs="Arial"/>
          <w:lang w:eastAsia="es-MX"/>
        </w:rPr>
        <w:t xml:space="preserve"> </w:t>
      </w:r>
      <w:r w:rsidRPr="00342962">
        <w:rPr>
          <w:rFonts w:ascii="Palatino Linotype" w:hAnsi="Palatino Linotype" w:cs="Arial"/>
          <w:lang w:eastAsia="es-MX"/>
        </w:rPr>
        <w:t>El domicilio geográfico deberá comprender atributos del ámbito urbano-rural, y deberá aplicarse</w:t>
      </w:r>
      <w:r>
        <w:rPr>
          <w:rFonts w:ascii="Palatino Linotype" w:hAnsi="Palatino Linotype" w:cs="Arial"/>
          <w:lang w:eastAsia="es-MX"/>
        </w:rPr>
        <w:t xml:space="preserve"> </w:t>
      </w:r>
      <w:r w:rsidRPr="00342962">
        <w:rPr>
          <w:rFonts w:ascii="Palatino Linotype" w:hAnsi="Palatino Linotype" w:cs="Arial"/>
          <w:lang w:eastAsia="es-MX"/>
        </w:rPr>
        <w:t>para el concepto de un lugar localizable espacialmente, donde alguien o algo se considere</w:t>
      </w:r>
      <w:r>
        <w:rPr>
          <w:rFonts w:ascii="Palatino Linotype" w:hAnsi="Palatino Linotype" w:cs="Arial"/>
          <w:lang w:eastAsia="es-MX"/>
        </w:rPr>
        <w:t xml:space="preserve"> </w:t>
      </w:r>
      <w:r w:rsidRPr="00342962">
        <w:rPr>
          <w:rFonts w:ascii="Palatino Linotype" w:hAnsi="Palatino Linotype" w:cs="Arial"/>
          <w:lang w:eastAsia="es-MX"/>
        </w:rPr>
        <w:t>establecido</w:t>
      </w:r>
      <w:r>
        <w:rPr>
          <w:rFonts w:ascii="Palatino Linotype" w:hAnsi="Palatino Linotype" w:cs="Arial"/>
          <w:lang w:eastAsia="es-MX"/>
        </w:rPr>
        <w:t>:</w:t>
      </w:r>
    </w:p>
    <w:p w:rsidR="00342962" w:rsidRDefault="00342962" w:rsidP="00342962">
      <w:pPr>
        <w:spacing w:line="360" w:lineRule="auto"/>
        <w:ind w:right="-93"/>
        <w:jc w:val="both"/>
        <w:rPr>
          <w:rFonts w:ascii="Palatino Linotype" w:hAnsi="Palatino Linotype" w:cs="Arial"/>
          <w:lang w:eastAsia="es-MX"/>
        </w:rPr>
      </w:pPr>
    </w:p>
    <w:p w:rsidR="00342962" w:rsidRPr="00933E22" w:rsidRDefault="00342962" w:rsidP="00342962">
      <w:pPr>
        <w:spacing w:line="360" w:lineRule="auto"/>
        <w:ind w:right="-93"/>
        <w:jc w:val="both"/>
        <w:rPr>
          <w:rFonts w:ascii="Palatino Linotype" w:hAnsi="Palatino Linotype"/>
        </w:rPr>
      </w:pPr>
      <w:r w:rsidRPr="00933E22">
        <w:rPr>
          <w:rFonts w:ascii="Palatino Linotype" w:hAnsi="Palatino Linotype"/>
        </w:rPr>
        <w:t>Los componentes que integran el Domicilio Geográfico son:</w:t>
      </w:r>
    </w:p>
    <w:p w:rsidR="00342962" w:rsidRPr="00933E22" w:rsidRDefault="00342962" w:rsidP="00342962">
      <w:pPr>
        <w:spacing w:line="360" w:lineRule="auto"/>
        <w:ind w:right="-93"/>
        <w:jc w:val="both"/>
        <w:rPr>
          <w:rFonts w:ascii="Palatino Linotype" w:hAnsi="Palatino Linoty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3399"/>
        <w:gridCol w:w="3866"/>
      </w:tblGrid>
      <w:tr w:rsidR="00342962" w:rsidRPr="00933E22" w:rsidTr="00342962">
        <w:trPr>
          <w:jc w:val="center"/>
        </w:trPr>
        <w:tc>
          <w:tcPr>
            <w:tcW w:w="1838" w:type="dxa"/>
            <w:vAlign w:val="center"/>
          </w:tcPr>
          <w:p w:rsidR="00342962" w:rsidRPr="00933E22" w:rsidRDefault="00342962" w:rsidP="00342962">
            <w:pPr>
              <w:spacing w:line="360" w:lineRule="auto"/>
              <w:ind w:right="-93"/>
              <w:jc w:val="center"/>
              <w:rPr>
                <w:rFonts w:ascii="Palatino Linotype" w:hAnsi="Palatino Linotype"/>
                <w:b/>
                <w:sz w:val="22"/>
              </w:rPr>
            </w:pPr>
            <w:r w:rsidRPr="00933E22">
              <w:rPr>
                <w:rFonts w:ascii="Palatino Linotype" w:hAnsi="Palatino Linotype"/>
                <w:b/>
                <w:sz w:val="22"/>
              </w:rPr>
              <w:t>ESPACIALES</w:t>
            </w:r>
          </w:p>
        </w:tc>
        <w:tc>
          <w:tcPr>
            <w:tcW w:w="3402" w:type="dxa"/>
            <w:vAlign w:val="center"/>
          </w:tcPr>
          <w:p w:rsidR="00342962" w:rsidRPr="00933E22" w:rsidRDefault="00342962" w:rsidP="00342962">
            <w:pPr>
              <w:spacing w:line="360" w:lineRule="auto"/>
              <w:ind w:right="-93"/>
              <w:jc w:val="center"/>
              <w:rPr>
                <w:rFonts w:ascii="Palatino Linotype" w:hAnsi="Palatino Linotype"/>
                <w:b/>
                <w:sz w:val="22"/>
              </w:rPr>
            </w:pPr>
            <w:r w:rsidRPr="00933E22">
              <w:rPr>
                <w:rFonts w:ascii="Palatino Linotype" w:hAnsi="Palatino Linotype"/>
                <w:b/>
                <w:sz w:val="22"/>
              </w:rPr>
              <w:t>DE REFERENCIA</w:t>
            </w:r>
          </w:p>
        </w:tc>
        <w:tc>
          <w:tcPr>
            <w:tcW w:w="3871" w:type="dxa"/>
            <w:vAlign w:val="center"/>
          </w:tcPr>
          <w:p w:rsidR="00342962" w:rsidRPr="00933E22" w:rsidRDefault="00342962" w:rsidP="00342962">
            <w:pPr>
              <w:spacing w:line="360" w:lineRule="auto"/>
              <w:ind w:right="-93"/>
              <w:jc w:val="center"/>
              <w:rPr>
                <w:rFonts w:ascii="Palatino Linotype" w:hAnsi="Palatino Linotype"/>
                <w:b/>
                <w:sz w:val="22"/>
              </w:rPr>
            </w:pPr>
            <w:r w:rsidRPr="00933E22">
              <w:rPr>
                <w:rFonts w:ascii="Palatino Linotype" w:hAnsi="Palatino Linotype"/>
                <w:b/>
                <w:sz w:val="22"/>
              </w:rPr>
              <w:t>GEOESTADÍSTICOS</w:t>
            </w:r>
          </w:p>
        </w:tc>
      </w:tr>
      <w:tr w:rsidR="00342962" w:rsidRPr="00933E22" w:rsidTr="00342962">
        <w:trPr>
          <w:jc w:val="center"/>
        </w:trPr>
        <w:tc>
          <w:tcPr>
            <w:tcW w:w="1838" w:type="dxa"/>
            <w:vAlign w:val="center"/>
          </w:tcPr>
          <w:p w:rsidR="00342962" w:rsidRPr="00933E22" w:rsidRDefault="00342962" w:rsidP="00342962">
            <w:pPr>
              <w:pStyle w:val="Prrafodelista"/>
              <w:numPr>
                <w:ilvl w:val="0"/>
                <w:numId w:val="24"/>
              </w:numPr>
              <w:spacing w:line="360" w:lineRule="auto"/>
              <w:ind w:right="-93"/>
              <w:jc w:val="both"/>
              <w:rPr>
                <w:rFonts w:ascii="Palatino Linotype" w:hAnsi="Palatino Linotype"/>
                <w:sz w:val="22"/>
              </w:rPr>
            </w:pPr>
            <w:r w:rsidRPr="00933E22">
              <w:rPr>
                <w:rFonts w:ascii="Palatino Linotype" w:hAnsi="Palatino Linotype"/>
                <w:sz w:val="22"/>
              </w:rPr>
              <w:t>Vialidad</w:t>
            </w:r>
          </w:p>
        </w:tc>
        <w:tc>
          <w:tcPr>
            <w:tcW w:w="3402" w:type="dxa"/>
            <w:vAlign w:val="center"/>
          </w:tcPr>
          <w:p w:rsidR="00342962" w:rsidRPr="00933E22" w:rsidRDefault="00342962" w:rsidP="00342962">
            <w:pPr>
              <w:pStyle w:val="Prrafodelista"/>
              <w:numPr>
                <w:ilvl w:val="0"/>
                <w:numId w:val="24"/>
              </w:numPr>
              <w:spacing w:line="360" w:lineRule="auto"/>
              <w:ind w:right="-93"/>
              <w:jc w:val="both"/>
              <w:rPr>
                <w:rFonts w:ascii="Palatino Linotype" w:hAnsi="Palatino Linotype"/>
                <w:sz w:val="22"/>
              </w:rPr>
            </w:pPr>
            <w:r w:rsidRPr="00933E22">
              <w:rPr>
                <w:rFonts w:ascii="Palatino Linotype" w:hAnsi="Palatino Linotype"/>
                <w:sz w:val="22"/>
              </w:rPr>
              <w:t>Número Exterior</w:t>
            </w:r>
          </w:p>
        </w:tc>
        <w:tc>
          <w:tcPr>
            <w:tcW w:w="3871" w:type="dxa"/>
            <w:vAlign w:val="center"/>
          </w:tcPr>
          <w:p w:rsidR="00342962" w:rsidRPr="00933E22" w:rsidRDefault="00342962" w:rsidP="00342962">
            <w:pPr>
              <w:pStyle w:val="Prrafodelista"/>
              <w:numPr>
                <w:ilvl w:val="0"/>
                <w:numId w:val="24"/>
              </w:numPr>
              <w:spacing w:line="360" w:lineRule="auto"/>
              <w:ind w:right="-93"/>
              <w:jc w:val="both"/>
              <w:rPr>
                <w:rFonts w:ascii="Palatino Linotype" w:hAnsi="Palatino Linotype"/>
                <w:sz w:val="22"/>
              </w:rPr>
            </w:pPr>
            <w:r w:rsidRPr="00933E22">
              <w:rPr>
                <w:rFonts w:ascii="Palatino Linotype" w:hAnsi="Palatino Linotype"/>
                <w:sz w:val="22"/>
              </w:rPr>
              <w:t xml:space="preserve">Área </w:t>
            </w:r>
            <w:proofErr w:type="spellStart"/>
            <w:r w:rsidRPr="00933E22">
              <w:rPr>
                <w:rFonts w:ascii="Palatino Linotype" w:hAnsi="Palatino Linotype"/>
                <w:sz w:val="22"/>
              </w:rPr>
              <w:t>Geoestadística</w:t>
            </w:r>
            <w:proofErr w:type="spellEnd"/>
            <w:r w:rsidRPr="00933E22">
              <w:rPr>
                <w:rFonts w:ascii="Palatino Linotype" w:hAnsi="Palatino Linotype"/>
                <w:sz w:val="22"/>
              </w:rPr>
              <w:t xml:space="preserve"> Estatal</w:t>
            </w:r>
          </w:p>
        </w:tc>
      </w:tr>
      <w:tr w:rsidR="00342962" w:rsidRPr="00933E22" w:rsidTr="00342962">
        <w:trPr>
          <w:jc w:val="center"/>
        </w:trPr>
        <w:tc>
          <w:tcPr>
            <w:tcW w:w="1838" w:type="dxa"/>
            <w:vAlign w:val="center"/>
          </w:tcPr>
          <w:p w:rsidR="00342962" w:rsidRPr="00933E22" w:rsidRDefault="00342962" w:rsidP="00342962">
            <w:pPr>
              <w:pStyle w:val="Prrafodelista"/>
              <w:numPr>
                <w:ilvl w:val="0"/>
                <w:numId w:val="24"/>
              </w:numPr>
              <w:spacing w:line="360" w:lineRule="auto"/>
              <w:ind w:right="-93"/>
              <w:jc w:val="both"/>
              <w:rPr>
                <w:rFonts w:ascii="Palatino Linotype" w:hAnsi="Palatino Linotype"/>
                <w:sz w:val="22"/>
              </w:rPr>
            </w:pPr>
            <w:r w:rsidRPr="00933E22">
              <w:rPr>
                <w:rFonts w:ascii="Palatino Linotype" w:hAnsi="Palatino Linotype"/>
                <w:sz w:val="22"/>
              </w:rPr>
              <w:t>Carretera</w:t>
            </w:r>
          </w:p>
        </w:tc>
        <w:tc>
          <w:tcPr>
            <w:tcW w:w="3402" w:type="dxa"/>
            <w:vAlign w:val="center"/>
          </w:tcPr>
          <w:p w:rsidR="00342962" w:rsidRPr="00933E22" w:rsidRDefault="00342962" w:rsidP="00342962">
            <w:pPr>
              <w:pStyle w:val="Prrafodelista"/>
              <w:numPr>
                <w:ilvl w:val="0"/>
                <w:numId w:val="24"/>
              </w:numPr>
              <w:spacing w:line="360" w:lineRule="auto"/>
              <w:ind w:right="-93"/>
              <w:jc w:val="both"/>
              <w:rPr>
                <w:rFonts w:ascii="Palatino Linotype" w:hAnsi="Palatino Linotype"/>
                <w:sz w:val="22"/>
              </w:rPr>
            </w:pPr>
            <w:r w:rsidRPr="00933E22">
              <w:rPr>
                <w:rFonts w:ascii="Palatino Linotype" w:hAnsi="Palatino Linotype"/>
                <w:sz w:val="22"/>
              </w:rPr>
              <w:t>Número Interior</w:t>
            </w:r>
          </w:p>
        </w:tc>
        <w:tc>
          <w:tcPr>
            <w:tcW w:w="3871" w:type="dxa"/>
            <w:vAlign w:val="center"/>
          </w:tcPr>
          <w:p w:rsidR="00342962" w:rsidRPr="00933E22" w:rsidRDefault="00342962" w:rsidP="00342962">
            <w:pPr>
              <w:pStyle w:val="Prrafodelista"/>
              <w:numPr>
                <w:ilvl w:val="0"/>
                <w:numId w:val="24"/>
              </w:numPr>
              <w:spacing w:line="360" w:lineRule="auto"/>
              <w:ind w:right="-93"/>
              <w:jc w:val="both"/>
              <w:rPr>
                <w:rFonts w:ascii="Palatino Linotype" w:hAnsi="Palatino Linotype"/>
                <w:sz w:val="22"/>
              </w:rPr>
            </w:pPr>
            <w:r w:rsidRPr="00933E22">
              <w:rPr>
                <w:rFonts w:ascii="Palatino Linotype" w:hAnsi="Palatino Linotype"/>
                <w:sz w:val="22"/>
              </w:rPr>
              <w:t xml:space="preserve">Área </w:t>
            </w:r>
            <w:proofErr w:type="spellStart"/>
            <w:r w:rsidRPr="00933E22">
              <w:rPr>
                <w:rFonts w:ascii="Palatino Linotype" w:hAnsi="Palatino Linotype"/>
                <w:sz w:val="22"/>
              </w:rPr>
              <w:t>Geoestadística</w:t>
            </w:r>
            <w:proofErr w:type="spellEnd"/>
            <w:r w:rsidRPr="00933E22">
              <w:rPr>
                <w:rFonts w:ascii="Palatino Linotype" w:hAnsi="Palatino Linotype"/>
                <w:sz w:val="22"/>
              </w:rPr>
              <w:t xml:space="preserve"> Municipal</w:t>
            </w:r>
          </w:p>
        </w:tc>
      </w:tr>
      <w:tr w:rsidR="00342962" w:rsidRPr="00933E22" w:rsidTr="00342962">
        <w:trPr>
          <w:jc w:val="center"/>
        </w:trPr>
        <w:tc>
          <w:tcPr>
            <w:tcW w:w="1838" w:type="dxa"/>
            <w:vAlign w:val="center"/>
          </w:tcPr>
          <w:p w:rsidR="00342962" w:rsidRPr="00933E22" w:rsidRDefault="00342962" w:rsidP="00342962">
            <w:pPr>
              <w:pStyle w:val="Prrafodelista"/>
              <w:numPr>
                <w:ilvl w:val="0"/>
                <w:numId w:val="24"/>
              </w:numPr>
              <w:spacing w:line="360" w:lineRule="auto"/>
              <w:ind w:right="-93"/>
              <w:jc w:val="both"/>
              <w:rPr>
                <w:rFonts w:ascii="Palatino Linotype" w:hAnsi="Palatino Linotype"/>
                <w:sz w:val="22"/>
              </w:rPr>
            </w:pPr>
            <w:r w:rsidRPr="00933E22">
              <w:rPr>
                <w:rFonts w:ascii="Palatino Linotype" w:hAnsi="Palatino Linotype"/>
                <w:sz w:val="22"/>
              </w:rPr>
              <w:t>Camino</w:t>
            </w:r>
          </w:p>
        </w:tc>
        <w:tc>
          <w:tcPr>
            <w:tcW w:w="3402" w:type="dxa"/>
            <w:vAlign w:val="center"/>
          </w:tcPr>
          <w:p w:rsidR="00342962" w:rsidRPr="00933E22" w:rsidRDefault="00342962" w:rsidP="00342962">
            <w:pPr>
              <w:pStyle w:val="Prrafodelista"/>
              <w:numPr>
                <w:ilvl w:val="0"/>
                <w:numId w:val="24"/>
              </w:numPr>
              <w:spacing w:line="360" w:lineRule="auto"/>
              <w:ind w:right="-93"/>
              <w:jc w:val="both"/>
              <w:rPr>
                <w:rFonts w:ascii="Palatino Linotype" w:hAnsi="Palatino Linotype"/>
                <w:sz w:val="22"/>
              </w:rPr>
            </w:pPr>
            <w:r w:rsidRPr="00933E22">
              <w:rPr>
                <w:rFonts w:ascii="Palatino Linotype" w:hAnsi="Palatino Linotype"/>
                <w:sz w:val="22"/>
              </w:rPr>
              <w:t>Asentamiento Humano</w:t>
            </w:r>
          </w:p>
        </w:tc>
        <w:tc>
          <w:tcPr>
            <w:tcW w:w="3871" w:type="dxa"/>
            <w:vAlign w:val="center"/>
          </w:tcPr>
          <w:p w:rsidR="00342962" w:rsidRPr="00933E22" w:rsidRDefault="00342962" w:rsidP="00342962">
            <w:pPr>
              <w:pStyle w:val="Prrafodelista"/>
              <w:numPr>
                <w:ilvl w:val="0"/>
                <w:numId w:val="24"/>
              </w:numPr>
              <w:spacing w:line="360" w:lineRule="auto"/>
              <w:ind w:right="-93"/>
              <w:jc w:val="both"/>
              <w:rPr>
                <w:rFonts w:ascii="Palatino Linotype" w:hAnsi="Palatino Linotype"/>
                <w:sz w:val="22"/>
              </w:rPr>
            </w:pPr>
            <w:r w:rsidRPr="00933E22">
              <w:rPr>
                <w:rFonts w:ascii="Palatino Linotype" w:hAnsi="Palatino Linotype"/>
                <w:sz w:val="22"/>
              </w:rPr>
              <w:t>Localidad</w:t>
            </w:r>
          </w:p>
        </w:tc>
      </w:tr>
      <w:tr w:rsidR="00342962" w:rsidRPr="00933E22" w:rsidTr="00342962">
        <w:trPr>
          <w:jc w:val="center"/>
        </w:trPr>
        <w:tc>
          <w:tcPr>
            <w:tcW w:w="1838" w:type="dxa"/>
            <w:vAlign w:val="center"/>
          </w:tcPr>
          <w:p w:rsidR="00342962" w:rsidRPr="00933E22" w:rsidRDefault="00342962" w:rsidP="00342962">
            <w:pPr>
              <w:pStyle w:val="Prrafodelista"/>
              <w:spacing w:line="360" w:lineRule="auto"/>
              <w:ind w:right="-93"/>
              <w:jc w:val="both"/>
              <w:rPr>
                <w:rFonts w:ascii="Palatino Linotype" w:hAnsi="Palatino Linotype"/>
                <w:sz w:val="22"/>
              </w:rPr>
            </w:pPr>
          </w:p>
        </w:tc>
        <w:tc>
          <w:tcPr>
            <w:tcW w:w="3402" w:type="dxa"/>
            <w:vAlign w:val="center"/>
          </w:tcPr>
          <w:p w:rsidR="00342962" w:rsidRPr="00933E22" w:rsidRDefault="00342962" w:rsidP="00342962">
            <w:pPr>
              <w:pStyle w:val="Prrafodelista"/>
              <w:numPr>
                <w:ilvl w:val="0"/>
                <w:numId w:val="24"/>
              </w:numPr>
              <w:spacing w:line="360" w:lineRule="auto"/>
              <w:ind w:right="-93"/>
              <w:jc w:val="both"/>
              <w:rPr>
                <w:rFonts w:ascii="Palatino Linotype" w:hAnsi="Palatino Linotype"/>
                <w:sz w:val="22"/>
              </w:rPr>
            </w:pPr>
            <w:r w:rsidRPr="00933E22">
              <w:rPr>
                <w:rFonts w:ascii="Palatino Linotype" w:hAnsi="Palatino Linotype"/>
                <w:sz w:val="22"/>
              </w:rPr>
              <w:t>Código Postal</w:t>
            </w:r>
          </w:p>
        </w:tc>
        <w:tc>
          <w:tcPr>
            <w:tcW w:w="3871" w:type="dxa"/>
            <w:vAlign w:val="center"/>
          </w:tcPr>
          <w:p w:rsidR="00342962" w:rsidRPr="00933E22" w:rsidRDefault="00342962" w:rsidP="00342962">
            <w:pPr>
              <w:pStyle w:val="Prrafodelista"/>
              <w:spacing w:line="360" w:lineRule="auto"/>
              <w:ind w:right="-93"/>
              <w:jc w:val="both"/>
              <w:rPr>
                <w:rFonts w:ascii="Palatino Linotype" w:hAnsi="Palatino Linotype"/>
                <w:sz w:val="22"/>
              </w:rPr>
            </w:pPr>
          </w:p>
        </w:tc>
      </w:tr>
      <w:tr w:rsidR="00342962" w:rsidRPr="00933E22" w:rsidTr="00342962">
        <w:trPr>
          <w:jc w:val="center"/>
        </w:trPr>
        <w:tc>
          <w:tcPr>
            <w:tcW w:w="1838" w:type="dxa"/>
            <w:vAlign w:val="center"/>
          </w:tcPr>
          <w:p w:rsidR="00342962" w:rsidRPr="00933E22" w:rsidRDefault="00342962" w:rsidP="00342962">
            <w:pPr>
              <w:pStyle w:val="Prrafodelista"/>
              <w:spacing w:line="360" w:lineRule="auto"/>
              <w:ind w:right="-93"/>
              <w:jc w:val="both"/>
              <w:rPr>
                <w:rFonts w:ascii="Palatino Linotype" w:hAnsi="Palatino Linotype"/>
                <w:sz w:val="22"/>
              </w:rPr>
            </w:pPr>
          </w:p>
        </w:tc>
        <w:tc>
          <w:tcPr>
            <w:tcW w:w="3402" w:type="dxa"/>
            <w:vAlign w:val="center"/>
          </w:tcPr>
          <w:p w:rsidR="00342962" w:rsidRPr="00933E22" w:rsidRDefault="00342962" w:rsidP="00342962">
            <w:pPr>
              <w:pStyle w:val="Prrafodelista"/>
              <w:numPr>
                <w:ilvl w:val="0"/>
                <w:numId w:val="24"/>
              </w:numPr>
              <w:spacing w:line="360" w:lineRule="auto"/>
              <w:ind w:right="-93"/>
              <w:jc w:val="both"/>
              <w:rPr>
                <w:rFonts w:ascii="Palatino Linotype" w:hAnsi="Palatino Linotype" w:cs="Arial"/>
                <w:sz w:val="22"/>
                <w:lang w:eastAsia="es-MX"/>
              </w:rPr>
            </w:pPr>
            <w:r w:rsidRPr="00933E22">
              <w:rPr>
                <w:rFonts w:ascii="Palatino Linotype" w:hAnsi="Palatino Linotype"/>
                <w:sz w:val="22"/>
              </w:rPr>
              <w:t>Descripción de Ubicación</w:t>
            </w:r>
          </w:p>
        </w:tc>
        <w:tc>
          <w:tcPr>
            <w:tcW w:w="3871" w:type="dxa"/>
            <w:vAlign w:val="center"/>
          </w:tcPr>
          <w:p w:rsidR="00342962" w:rsidRPr="00933E22" w:rsidRDefault="00342962" w:rsidP="00342962">
            <w:pPr>
              <w:pStyle w:val="Prrafodelista"/>
              <w:spacing w:line="360" w:lineRule="auto"/>
              <w:ind w:right="-93"/>
              <w:jc w:val="both"/>
              <w:rPr>
                <w:rFonts w:ascii="Palatino Linotype" w:hAnsi="Palatino Linotype"/>
                <w:sz w:val="22"/>
              </w:rPr>
            </w:pPr>
          </w:p>
        </w:tc>
      </w:tr>
    </w:tbl>
    <w:p w:rsidR="00F67890" w:rsidRPr="00EB79B1" w:rsidRDefault="00F67890" w:rsidP="00F67890">
      <w:pPr>
        <w:spacing w:line="360" w:lineRule="auto"/>
        <w:ind w:right="-93"/>
        <w:jc w:val="both"/>
        <w:rPr>
          <w:rFonts w:ascii="Palatino Linotype" w:hAnsi="Palatino Linotype" w:cs="Arial"/>
          <w:lang w:eastAsia="es-MX"/>
        </w:rPr>
      </w:pPr>
    </w:p>
    <w:p w:rsidR="00F67890" w:rsidRPr="00EB79B1" w:rsidRDefault="00F67890" w:rsidP="00F67890">
      <w:pPr>
        <w:spacing w:line="360" w:lineRule="auto"/>
        <w:ind w:right="-93"/>
        <w:jc w:val="both"/>
        <w:rPr>
          <w:rFonts w:ascii="Palatino Linotype" w:hAnsi="Palatino Linotype" w:cs="Arial"/>
          <w:lang w:eastAsia="es-MX"/>
        </w:rPr>
      </w:pPr>
      <w:r w:rsidRPr="00EB79B1">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F056A1" w:rsidRDefault="00F056A1" w:rsidP="00DC31DD">
      <w:pPr>
        <w:spacing w:line="360" w:lineRule="auto"/>
        <w:jc w:val="both"/>
        <w:rPr>
          <w:rFonts w:ascii="Palatino Linotype" w:hAnsi="Palatino Linotype"/>
        </w:rPr>
      </w:pPr>
    </w:p>
    <w:p w:rsidR="00F056A1" w:rsidRDefault="00763C6A" w:rsidP="00A10D50">
      <w:pPr>
        <w:spacing w:line="360" w:lineRule="auto"/>
        <w:jc w:val="both"/>
        <w:rPr>
          <w:rFonts w:ascii="Palatino Linotype" w:hAnsi="Palatino Linotype"/>
        </w:rPr>
      </w:pPr>
      <w:r>
        <w:rPr>
          <w:rFonts w:ascii="Palatino Linotype" w:hAnsi="Palatino Linotype"/>
        </w:rPr>
        <w:t>Ahora bien, por cuanto hace al número telefónico de particulares, este es</w:t>
      </w:r>
      <w:r w:rsidRPr="00763C6A">
        <w:rPr>
          <w:rFonts w:ascii="Palatino Linotype" w:hAnsi="Palatino Linotype"/>
        </w:rPr>
        <w:t xml:space="preserve"> una secuencia de dígitos </w:t>
      </w:r>
      <w:r>
        <w:rPr>
          <w:rFonts w:ascii="Palatino Linotype" w:hAnsi="Palatino Linotype"/>
        </w:rPr>
        <w:t xml:space="preserve">determinada para una sola </w:t>
      </w:r>
      <w:r w:rsidRPr="00763C6A">
        <w:rPr>
          <w:rFonts w:ascii="Palatino Linotype" w:hAnsi="Palatino Linotype"/>
        </w:rPr>
        <w:t>línea telefónica dentro de una Red Telefónica Conmutada (RTC).</w:t>
      </w:r>
      <w:r>
        <w:rPr>
          <w:rFonts w:ascii="Palatino Linotype" w:hAnsi="Palatino Linotype"/>
        </w:rPr>
        <w:t xml:space="preserve"> </w:t>
      </w:r>
      <w:r w:rsidRPr="00763C6A">
        <w:rPr>
          <w:rFonts w:ascii="Palatino Linotype" w:hAnsi="Palatino Linotype"/>
        </w:rPr>
        <w:t xml:space="preserve">Los números de teléfono están </w:t>
      </w:r>
      <w:r>
        <w:rPr>
          <w:rFonts w:ascii="Palatino Linotype" w:hAnsi="Palatino Linotype"/>
        </w:rPr>
        <w:t>se encuentran</w:t>
      </w:r>
      <w:r w:rsidRPr="00763C6A">
        <w:rPr>
          <w:rFonts w:ascii="Palatino Linotype" w:hAnsi="Palatino Linotype"/>
        </w:rPr>
        <w:t xml:space="preserve"> asignados a líneas que tienen conectados dispositivos distintos de un teléfono, tales como faxes y módems</w:t>
      </w:r>
      <w:r>
        <w:rPr>
          <w:rFonts w:ascii="Palatino Linotype" w:hAnsi="Palatino Linotype"/>
        </w:rPr>
        <w:t xml:space="preserve"> de una persona, tan es así que se </w:t>
      </w:r>
      <w:r w:rsidR="00A10D50">
        <w:rPr>
          <w:rFonts w:ascii="Palatino Linotype" w:hAnsi="Palatino Linotype"/>
        </w:rPr>
        <w:t>encuentran</w:t>
      </w:r>
      <w:r>
        <w:rPr>
          <w:rFonts w:ascii="Palatino Linotype" w:hAnsi="Palatino Linotype"/>
        </w:rPr>
        <w:t xml:space="preserve"> relacionados con el concepto de </w:t>
      </w:r>
      <w:r w:rsidR="00A10D50">
        <w:rPr>
          <w:rFonts w:ascii="Palatino Linotype" w:hAnsi="Palatino Linotype"/>
        </w:rPr>
        <w:t>portabilidad</w:t>
      </w:r>
      <w:r>
        <w:rPr>
          <w:rFonts w:ascii="Palatino Linotype" w:hAnsi="Palatino Linotype"/>
        </w:rPr>
        <w:t xml:space="preserve"> contenido en la Ley </w:t>
      </w:r>
      <w:r w:rsidR="00A10D50">
        <w:rPr>
          <w:rFonts w:ascii="Palatino Linotype" w:hAnsi="Palatino Linotype"/>
        </w:rPr>
        <w:t>Federal de Telecomunicaciones y Radiodifusión, como el d</w:t>
      </w:r>
      <w:r w:rsidR="00A10D50" w:rsidRPr="00A10D50">
        <w:rPr>
          <w:rFonts w:ascii="Palatino Linotype" w:hAnsi="Palatino Linotype"/>
        </w:rPr>
        <w:t>erecho de los usuarios de conservar el mismo número telefónico al</w:t>
      </w:r>
      <w:r w:rsidR="00A10D50">
        <w:rPr>
          <w:rFonts w:ascii="Palatino Linotype" w:hAnsi="Palatino Linotype"/>
        </w:rPr>
        <w:t xml:space="preserve"> </w:t>
      </w:r>
      <w:r w:rsidR="00A10D50" w:rsidRPr="00A10D50">
        <w:rPr>
          <w:rFonts w:ascii="Palatino Linotype" w:hAnsi="Palatino Linotype"/>
        </w:rPr>
        <w:t>cambiarse de concesionario o prestador de servicio;</w:t>
      </w:r>
      <w:r w:rsidR="00A10D50">
        <w:rPr>
          <w:rFonts w:ascii="Palatino Linotype" w:hAnsi="Palatino Linotype"/>
        </w:rPr>
        <w:t xml:space="preserve"> coligiendo que trata de un dato</w:t>
      </w:r>
      <w:r w:rsidR="008E7B9D">
        <w:rPr>
          <w:rFonts w:ascii="Palatino Linotype" w:hAnsi="Palatino Linotype"/>
        </w:rPr>
        <w:t xml:space="preserve"> personal que atañe únicamente a su titular.</w:t>
      </w:r>
    </w:p>
    <w:p w:rsidR="00A10D50" w:rsidRDefault="00A10D50" w:rsidP="00A10D50">
      <w:pPr>
        <w:spacing w:line="360" w:lineRule="auto"/>
        <w:jc w:val="both"/>
        <w:rPr>
          <w:rFonts w:ascii="Palatino Linotype" w:hAnsi="Palatino Linotype"/>
        </w:rPr>
      </w:pPr>
    </w:p>
    <w:p w:rsidR="008E7B9D" w:rsidRDefault="00A10D50" w:rsidP="008E7B9D">
      <w:pPr>
        <w:spacing w:line="360" w:lineRule="auto"/>
        <w:jc w:val="both"/>
        <w:rPr>
          <w:rFonts w:ascii="Palatino Linotype" w:hAnsi="Palatino Linotype"/>
        </w:rPr>
      </w:pPr>
      <w:r>
        <w:rPr>
          <w:rFonts w:ascii="Palatino Linotype" w:hAnsi="Palatino Linotype"/>
        </w:rPr>
        <w:t>Por último el nombre de una persona, por su propia naturaleza es un dato que identifica a su titular y entonces lo procedente es analizar si, la ley permite su publicidad y difusión.</w:t>
      </w:r>
    </w:p>
    <w:p w:rsidR="008E7B9D" w:rsidRDefault="008E7B9D" w:rsidP="008E7B9D">
      <w:pPr>
        <w:spacing w:line="360" w:lineRule="auto"/>
        <w:jc w:val="both"/>
        <w:rPr>
          <w:rFonts w:ascii="Palatino Linotype" w:hAnsi="Palatino Linotype"/>
        </w:rPr>
      </w:pPr>
    </w:p>
    <w:p w:rsidR="008E7B9D" w:rsidRPr="008E7B9D" w:rsidRDefault="008E7B9D" w:rsidP="008E7B9D">
      <w:pPr>
        <w:spacing w:line="360" w:lineRule="auto"/>
        <w:jc w:val="both"/>
        <w:rPr>
          <w:rFonts w:ascii="Palatino Linotype" w:hAnsi="Palatino Linotype"/>
        </w:rPr>
      </w:pPr>
      <w:r>
        <w:rPr>
          <w:rFonts w:ascii="Palatino Linotype" w:hAnsi="Palatino Linotype"/>
        </w:rPr>
        <w:t>En este sentido, es importante señalar que las personas de las que se dejaron visibles los datos descritos con anterioridad</w:t>
      </w:r>
      <w:r>
        <w:rPr>
          <w:rFonts w:ascii="Palatino Linotype" w:eastAsia="Calibri" w:hAnsi="Palatino Linotype" w:cs="Arial"/>
        </w:rPr>
        <w:t xml:space="preserve"> no les </w:t>
      </w:r>
      <w:proofErr w:type="gramStart"/>
      <w:r>
        <w:rPr>
          <w:rFonts w:ascii="Palatino Linotype" w:eastAsia="Calibri" w:hAnsi="Palatino Linotype" w:cs="Arial"/>
        </w:rPr>
        <w:t>reviste</w:t>
      </w:r>
      <w:proofErr w:type="gramEnd"/>
      <w:r>
        <w:rPr>
          <w:rFonts w:ascii="Palatino Linotype" w:eastAsia="Calibri" w:hAnsi="Palatino Linotype" w:cs="Arial"/>
        </w:rPr>
        <w:t xml:space="preserve"> el carácter de Sujetos Obligados, pues conforme al artículo 23 de la Ley de Transparencia y Acceso a la Información Pública, los Sujetos Obligados son los siguientes:</w:t>
      </w:r>
    </w:p>
    <w:p w:rsidR="008E7B9D" w:rsidRDefault="008E7B9D" w:rsidP="008E7B9D">
      <w:pPr>
        <w:spacing w:line="360" w:lineRule="auto"/>
        <w:ind w:right="49"/>
        <w:jc w:val="both"/>
        <w:rPr>
          <w:rFonts w:ascii="Palatino Linotype" w:eastAsia="Calibri" w:hAnsi="Palatino Linotype" w:cs="Arial"/>
        </w:rPr>
      </w:pPr>
    </w:p>
    <w:p w:rsidR="008E7B9D" w:rsidRPr="00CB63A8" w:rsidRDefault="008E7B9D" w:rsidP="008E7B9D">
      <w:pPr>
        <w:ind w:left="709" w:right="757"/>
        <w:jc w:val="both"/>
        <w:rPr>
          <w:rFonts w:ascii="Palatino Linotype" w:eastAsia="Calibri" w:hAnsi="Palatino Linotype" w:cs="Arial"/>
          <w:i/>
          <w:sz w:val="22"/>
        </w:rPr>
      </w:pPr>
      <w:r w:rsidRPr="00A37BF2">
        <w:rPr>
          <w:rFonts w:ascii="Palatino Linotype" w:eastAsia="Calibri" w:hAnsi="Palatino Linotype" w:cs="Arial"/>
          <w:b/>
          <w:i/>
          <w:sz w:val="22"/>
        </w:rPr>
        <w:t>Artículo 23</w:t>
      </w:r>
      <w:r w:rsidRPr="00CB63A8">
        <w:rPr>
          <w:rFonts w:ascii="Palatino Linotype" w:eastAsia="Calibri" w:hAnsi="Palatino Linotype" w:cs="Arial"/>
          <w:i/>
          <w:sz w:val="22"/>
        </w:rPr>
        <w:t>. Son sujetos obligados a transparentar y permitir el acceso a su información y proteger los datos personales que</w:t>
      </w:r>
      <w:r>
        <w:rPr>
          <w:rFonts w:ascii="Palatino Linotype" w:eastAsia="Calibri" w:hAnsi="Palatino Linotype" w:cs="Arial"/>
          <w:i/>
          <w:sz w:val="22"/>
        </w:rPr>
        <w:t xml:space="preserve"> </w:t>
      </w:r>
      <w:r w:rsidRPr="00CB63A8">
        <w:rPr>
          <w:rFonts w:ascii="Palatino Linotype" w:eastAsia="Calibri" w:hAnsi="Palatino Linotype" w:cs="Arial"/>
          <w:i/>
          <w:sz w:val="22"/>
        </w:rPr>
        <w:t>obren en su poder:</w:t>
      </w:r>
    </w:p>
    <w:p w:rsidR="008E7B9D" w:rsidRDefault="008E7B9D" w:rsidP="008E7B9D">
      <w:pPr>
        <w:ind w:left="709" w:right="757"/>
        <w:jc w:val="both"/>
        <w:rPr>
          <w:rFonts w:ascii="Palatino Linotype" w:eastAsia="Calibri" w:hAnsi="Palatino Linotype" w:cs="Arial"/>
          <w:i/>
          <w:sz w:val="22"/>
        </w:rPr>
      </w:pPr>
    </w:p>
    <w:p w:rsidR="008E7B9D" w:rsidRDefault="008E7B9D" w:rsidP="008E7B9D">
      <w:pPr>
        <w:ind w:left="709" w:right="757"/>
        <w:jc w:val="both"/>
        <w:rPr>
          <w:rFonts w:ascii="Palatino Linotype" w:eastAsia="Calibri" w:hAnsi="Palatino Linotype" w:cs="Arial"/>
          <w:i/>
          <w:sz w:val="22"/>
        </w:rPr>
      </w:pPr>
      <w:r w:rsidRPr="002B7268">
        <w:rPr>
          <w:rFonts w:ascii="Palatino Linotype" w:eastAsia="Calibri" w:hAnsi="Palatino Linotype" w:cs="Arial"/>
          <w:b/>
          <w:i/>
          <w:sz w:val="22"/>
        </w:rPr>
        <w:t>I</w:t>
      </w:r>
      <w:r w:rsidRPr="00CB63A8">
        <w:rPr>
          <w:rFonts w:ascii="Palatino Linotype" w:eastAsia="Calibri" w:hAnsi="Palatino Linotype" w:cs="Arial"/>
          <w:i/>
          <w:sz w:val="22"/>
        </w:rPr>
        <w:t>. El Poder Ejecutivo del Estado de México, las dependencias, organismos auxiliares, órganos, entidades, fideicomisos y</w:t>
      </w:r>
      <w:r>
        <w:rPr>
          <w:rFonts w:ascii="Palatino Linotype" w:eastAsia="Calibri" w:hAnsi="Palatino Linotype" w:cs="Arial"/>
          <w:i/>
          <w:sz w:val="22"/>
        </w:rPr>
        <w:t xml:space="preserve"> </w:t>
      </w:r>
      <w:r w:rsidRPr="00CB63A8">
        <w:rPr>
          <w:rFonts w:ascii="Palatino Linotype" w:eastAsia="Calibri" w:hAnsi="Palatino Linotype" w:cs="Arial"/>
          <w:i/>
          <w:sz w:val="22"/>
        </w:rPr>
        <w:t>fondos públicos, así como la Procuraduría General de Justicia;</w:t>
      </w:r>
    </w:p>
    <w:p w:rsidR="008E7B9D" w:rsidRPr="00CB63A8" w:rsidRDefault="008E7B9D" w:rsidP="008E7B9D">
      <w:pPr>
        <w:ind w:left="709" w:right="757"/>
        <w:jc w:val="both"/>
        <w:rPr>
          <w:rFonts w:ascii="Palatino Linotype" w:eastAsia="Calibri" w:hAnsi="Palatino Linotype" w:cs="Arial"/>
          <w:i/>
          <w:sz w:val="22"/>
        </w:rPr>
      </w:pPr>
      <w:r w:rsidRPr="002B7268">
        <w:rPr>
          <w:rFonts w:ascii="Palatino Linotype" w:eastAsia="Calibri" w:hAnsi="Palatino Linotype" w:cs="Arial"/>
          <w:b/>
          <w:i/>
          <w:sz w:val="22"/>
        </w:rPr>
        <w:t>II</w:t>
      </w:r>
      <w:r w:rsidRPr="00CB63A8">
        <w:rPr>
          <w:rFonts w:ascii="Palatino Linotype" w:eastAsia="Calibri" w:hAnsi="Palatino Linotype" w:cs="Arial"/>
          <w:i/>
          <w:sz w:val="22"/>
        </w:rPr>
        <w:t>. El Poder Legislativo del Estado, los organismos, órganos y entidades de la Legislatura y sus dependencias;</w:t>
      </w:r>
    </w:p>
    <w:p w:rsidR="008E7B9D" w:rsidRPr="00CB63A8" w:rsidRDefault="008E7B9D" w:rsidP="008E7B9D">
      <w:pPr>
        <w:ind w:left="709" w:right="757"/>
        <w:jc w:val="both"/>
        <w:rPr>
          <w:rFonts w:ascii="Palatino Linotype" w:eastAsia="Calibri" w:hAnsi="Palatino Linotype" w:cs="Arial"/>
          <w:i/>
          <w:sz w:val="22"/>
        </w:rPr>
      </w:pPr>
      <w:r w:rsidRPr="002B7268">
        <w:rPr>
          <w:rFonts w:ascii="Palatino Linotype" w:eastAsia="Calibri" w:hAnsi="Palatino Linotype" w:cs="Arial"/>
          <w:b/>
          <w:i/>
          <w:sz w:val="22"/>
        </w:rPr>
        <w:t>III</w:t>
      </w:r>
      <w:r w:rsidRPr="00CB63A8">
        <w:rPr>
          <w:rFonts w:ascii="Palatino Linotype" w:eastAsia="Calibri" w:hAnsi="Palatino Linotype" w:cs="Arial"/>
          <w:i/>
          <w:sz w:val="22"/>
        </w:rPr>
        <w:t>. El Poder Judicial, sus organismos, órganos y entidades, así como el Consejo de la Judicatura del Estado;</w:t>
      </w:r>
    </w:p>
    <w:p w:rsidR="008E7B9D" w:rsidRPr="00CB63A8" w:rsidRDefault="008E7B9D" w:rsidP="008E7B9D">
      <w:pPr>
        <w:ind w:left="709" w:right="757"/>
        <w:jc w:val="both"/>
        <w:rPr>
          <w:rFonts w:ascii="Palatino Linotype" w:eastAsia="Calibri" w:hAnsi="Palatino Linotype" w:cs="Arial"/>
          <w:i/>
          <w:sz w:val="22"/>
        </w:rPr>
      </w:pPr>
      <w:r w:rsidRPr="002B7268">
        <w:rPr>
          <w:rFonts w:ascii="Palatino Linotype" w:eastAsia="Calibri" w:hAnsi="Palatino Linotype" w:cs="Arial"/>
          <w:b/>
          <w:i/>
          <w:sz w:val="22"/>
        </w:rPr>
        <w:t>IV</w:t>
      </w:r>
      <w:r w:rsidRPr="00CB63A8">
        <w:rPr>
          <w:rFonts w:ascii="Palatino Linotype" w:eastAsia="Calibri" w:hAnsi="Palatino Linotype" w:cs="Arial"/>
          <w:i/>
          <w:sz w:val="22"/>
        </w:rPr>
        <w:t>. Los ayuntamientos y las dependencias, organismos, órganos y entidades de la administración municipal;</w:t>
      </w:r>
    </w:p>
    <w:p w:rsidR="008E7B9D" w:rsidRPr="00CB63A8" w:rsidRDefault="008E7B9D" w:rsidP="008E7B9D">
      <w:pPr>
        <w:ind w:left="709" w:right="757"/>
        <w:jc w:val="both"/>
        <w:rPr>
          <w:rFonts w:ascii="Palatino Linotype" w:eastAsia="Calibri" w:hAnsi="Palatino Linotype" w:cs="Arial"/>
          <w:i/>
          <w:sz w:val="22"/>
        </w:rPr>
      </w:pPr>
      <w:r w:rsidRPr="002B7268">
        <w:rPr>
          <w:rFonts w:ascii="Palatino Linotype" w:eastAsia="Calibri" w:hAnsi="Palatino Linotype" w:cs="Arial"/>
          <w:b/>
          <w:i/>
          <w:sz w:val="22"/>
        </w:rPr>
        <w:t>V</w:t>
      </w:r>
      <w:r w:rsidRPr="00CB63A8">
        <w:rPr>
          <w:rFonts w:ascii="Palatino Linotype" w:eastAsia="Calibri" w:hAnsi="Palatino Linotype" w:cs="Arial"/>
          <w:i/>
          <w:sz w:val="22"/>
        </w:rPr>
        <w:t>. Los órganos autónomos;</w:t>
      </w:r>
    </w:p>
    <w:p w:rsidR="008E7B9D" w:rsidRPr="00CB63A8" w:rsidRDefault="008E7B9D" w:rsidP="008E7B9D">
      <w:pPr>
        <w:ind w:left="709" w:right="757"/>
        <w:jc w:val="both"/>
        <w:rPr>
          <w:rFonts w:ascii="Palatino Linotype" w:eastAsia="Calibri" w:hAnsi="Palatino Linotype" w:cs="Arial"/>
          <w:i/>
          <w:sz w:val="22"/>
        </w:rPr>
      </w:pPr>
      <w:r w:rsidRPr="002B7268">
        <w:rPr>
          <w:rFonts w:ascii="Palatino Linotype" w:eastAsia="Calibri" w:hAnsi="Palatino Linotype" w:cs="Arial"/>
          <w:b/>
          <w:i/>
          <w:sz w:val="22"/>
        </w:rPr>
        <w:t>VI</w:t>
      </w:r>
      <w:r w:rsidRPr="00CB63A8">
        <w:rPr>
          <w:rFonts w:ascii="Palatino Linotype" w:eastAsia="Calibri" w:hAnsi="Palatino Linotype" w:cs="Arial"/>
          <w:i/>
          <w:sz w:val="22"/>
        </w:rPr>
        <w:t>. Los tribunales administrativos y autoridades jurisdiccionales en materia laboral;</w:t>
      </w:r>
    </w:p>
    <w:p w:rsidR="008E7B9D" w:rsidRPr="00CB63A8" w:rsidRDefault="008E7B9D" w:rsidP="008E7B9D">
      <w:pPr>
        <w:ind w:left="709" w:right="757"/>
        <w:jc w:val="both"/>
        <w:rPr>
          <w:rFonts w:ascii="Palatino Linotype" w:eastAsia="Calibri" w:hAnsi="Palatino Linotype" w:cs="Arial"/>
          <w:i/>
          <w:sz w:val="22"/>
        </w:rPr>
      </w:pPr>
      <w:r w:rsidRPr="002B7268">
        <w:rPr>
          <w:rFonts w:ascii="Palatino Linotype" w:eastAsia="Calibri" w:hAnsi="Palatino Linotype" w:cs="Arial"/>
          <w:b/>
          <w:i/>
          <w:sz w:val="22"/>
        </w:rPr>
        <w:t>VII</w:t>
      </w:r>
      <w:r w:rsidRPr="00CB63A8">
        <w:rPr>
          <w:rFonts w:ascii="Palatino Linotype" w:eastAsia="Calibri" w:hAnsi="Palatino Linotype" w:cs="Arial"/>
          <w:i/>
          <w:sz w:val="22"/>
        </w:rPr>
        <w:t>. Los partidos políticos y agrupaciones políticas, en lo</w:t>
      </w:r>
      <w:r>
        <w:rPr>
          <w:rFonts w:ascii="Palatino Linotype" w:eastAsia="Calibri" w:hAnsi="Palatino Linotype" w:cs="Arial"/>
          <w:i/>
          <w:sz w:val="22"/>
        </w:rPr>
        <w:t xml:space="preserve">s términos de las disposiciones </w:t>
      </w:r>
      <w:r w:rsidRPr="00CB63A8">
        <w:rPr>
          <w:rFonts w:ascii="Palatino Linotype" w:eastAsia="Calibri" w:hAnsi="Palatino Linotype" w:cs="Arial"/>
          <w:i/>
          <w:sz w:val="22"/>
        </w:rPr>
        <w:t>aplicables;</w:t>
      </w:r>
    </w:p>
    <w:p w:rsidR="008E7B9D" w:rsidRPr="00CB63A8" w:rsidRDefault="008E7B9D" w:rsidP="008E7B9D">
      <w:pPr>
        <w:ind w:left="709" w:right="757"/>
        <w:jc w:val="both"/>
        <w:rPr>
          <w:rFonts w:ascii="Palatino Linotype" w:eastAsia="Calibri" w:hAnsi="Palatino Linotype" w:cs="Arial"/>
          <w:i/>
          <w:sz w:val="22"/>
        </w:rPr>
      </w:pPr>
      <w:r w:rsidRPr="002B7268">
        <w:rPr>
          <w:rFonts w:ascii="Palatino Linotype" w:eastAsia="Calibri" w:hAnsi="Palatino Linotype" w:cs="Arial"/>
          <w:b/>
          <w:i/>
          <w:sz w:val="22"/>
        </w:rPr>
        <w:t>VIII</w:t>
      </w:r>
      <w:r w:rsidRPr="00CB63A8">
        <w:rPr>
          <w:rFonts w:ascii="Palatino Linotype" w:eastAsia="Calibri" w:hAnsi="Palatino Linotype" w:cs="Arial"/>
          <w:i/>
          <w:sz w:val="22"/>
        </w:rPr>
        <w:t>. Los fideicomisos y fondos públicos que cuenten con financiamiento público, parcial o total, o con participación de</w:t>
      </w:r>
      <w:r>
        <w:rPr>
          <w:rFonts w:ascii="Palatino Linotype" w:eastAsia="Calibri" w:hAnsi="Palatino Linotype" w:cs="Arial"/>
          <w:i/>
          <w:sz w:val="22"/>
        </w:rPr>
        <w:t xml:space="preserve"> </w:t>
      </w:r>
      <w:r w:rsidRPr="00CB63A8">
        <w:rPr>
          <w:rFonts w:ascii="Palatino Linotype" w:eastAsia="Calibri" w:hAnsi="Palatino Linotype" w:cs="Arial"/>
          <w:i/>
          <w:sz w:val="22"/>
        </w:rPr>
        <w:t>entidades de gobierno;</w:t>
      </w:r>
    </w:p>
    <w:p w:rsidR="008E7B9D" w:rsidRPr="00CB63A8" w:rsidRDefault="008E7B9D" w:rsidP="008E7B9D">
      <w:pPr>
        <w:ind w:left="709" w:right="757"/>
        <w:jc w:val="both"/>
        <w:rPr>
          <w:rFonts w:ascii="Palatino Linotype" w:eastAsia="Calibri" w:hAnsi="Palatino Linotype" w:cs="Arial"/>
          <w:i/>
          <w:sz w:val="22"/>
        </w:rPr>
      </w:pPr>
      <w:r w:rsidRPr="002B7268">
        <w:rPr>
          <w:rFonts w:ascii="Palatino Linotype" w:eastAsia="Calibri" w:hAnsi="Palatino Linotype" w:cs="Arial"/>
          <w:b/>
          <w:i/>
          <w:sz w:val="22"/>
        </w:rPr>
        <w:t>IX</w:t>
      </w:r>
      <w:r w:rsidRPr="00CB63A8">
        <w:rPr>
          <w:rFonts w:ascii="Palatino Linotype" w:eastAsia="Calibri" w:hAnsi="Palatino Linotype" w:cs="Arial"/>
          <w:i/>
          <w:sz w:val="22"/>
        </w:rPr>
        <w:t>. Los sindicatos que reciban y/o ejerzan recursos públicos en el ámbito estatal y municipal;</w:t>
      </w:r>
    </w:p>
    <w:p w:rsidR="008E7B9D" w:rsidRPr="00CB63A8" w:rsidRDefault="008E7B9D" w:rsidP="008E7B9D">
      <w:pPr>
        <w:ind w:left="709" w:right="757"/>
        <w:jc w:val="both"/>
        <w:rPr>
          <w:rFonts w:ascii="Palatino Linotype" w:eastAsia="Calibri" w:hAnsi="Palatino Linotype" w:cs="Arial"/>
          <w:i/>
          <w:sz w:val="22"/>
        </w:rPr>
      </w:pPr>
      <w:r w:rsidRPr="002B7268">
        <w:rPr>
          <w:rFonts w:ascii="Palatino Linotype" w:eastAsia="Calibri" w:hAnsi="Palatino Linotype" w:cs="Arial"/>
          <w:b/>
          <w:i/>
          <w:sz w:val="22"/>
        </w:rPr>
        <w:t>X</w:t>
      </w:r>
      <w:r w:rsidRPr="00CB63A8">
        <w:rPr>
          <w:rFonts w:ascii="Palatino Linotype" w:eastAsia="Calibri" w:hAnsi="Palatino Linotype" w:cs="Arial"/>
          <w:i/>
          <w:sz w:val="22"/>
        </w:rPr>
        <w:t>. Cualquier persona física o jurídico colectiva que reciba y ejerza recursos públicos en el ámbito estatal o municipal; y</w:t>
      </w:r>
    </w:p>
    <w:p w:rsidR="008E7B9D" w:rsidRPr="00CB63A8" w:rsidRDefault="008E7B9D" w:rsidP="008E7B9D">
      <w:pPr>
        <w:ind w:left="709" w:right="757"/>
        <w:jc w:val="both"/>
        <w:rPr>
          <w:rFonts w:ascii="Palatino Linotype" w:eastAsia="Calibri" w:hAnsi="Palatino Linotype" w:cs="Arial"/>
          <w:i/>
          <w:sz w:val="22"/>
        </w:rPr>
      </w:pPr>
      <w:r w:rsidRPr="002B7268">
        <w:rPr>
          <w:rFonts w:ascii="Palatino Linotype" w:eastAsia="Calibri" w:hAnsi="Palatino Linotype" w:cs="Arial"/>
          <w:b/>
          <w:i/>
          <w:sz w:val="22"/>
        </w:rPr>
        <w:t>XI</w:t>
      </w:r>
      <w:r w:rsidRPr="00CB63A8">
        <w:rPr>
          <w:rFonts w:ascii="Palatino Linotype" w:eastAsia="Calibri" w:hAnsi="Palatino Linotype" w:cs="Arial"/>
          <w:i/>
          <w:sz w:val="22"/>
        </w:rPr>
        <w:t>. Cualquier otra autoridad, entidad, órgano u organismo de los poderes estatal o municipal, que reciba recursos públicos.</w:t>
      </w:r>
    </w:p>
    <w:p w:rsidR="008E7B9D" w:rsidRDefault="008E7B9D" w:rsidP="008E7B9D">
      <w:pPr>
        <w:ind w:left="709" w:right="757"/>
        <w:jc w:val="both"/>
        <w:rPr>
          <w:rFonts w:ascii="Palatino Linotype" w:eastAsia="Calibri" w:hAnsi="Palatino Linotype" w:cs="Arial"/>
          <w:i/>
          <w:sz w:val="22"/>
        </w:rPr>
      </w:pPr>
    </w:p>
    <w:p w:rsidR="008E7B9D" w:rsidRDefault="008E7B9D" w:rsidP="008E7B9D">
      <w:pPr>
        <w:ind w:left="709" w:right="757"/>
        <w:jc w:val="both"/>
        <w:rPr>
          <w:rFonts w:ascii="Palatino Linotype" w:eastAsia="Calibri" w:hAnsi="Palatino Linotype" w:cs="Arial"/>
          <w:i/>
          <w:sz w:val="22"/>
        </w:rPr>
      </w:pPr>
      <w:r w:rsidRPr="00CB63A8">
        <w:rPr>
          <w:rFonts w:ascii="Palatino Linotype" w:eastAsia="Calibri" w:hAnsi="Palatino Linotype" w:cs="Arial"/>
          <w:i/>
          <w:sz w:val="22"/>
        </w:rPr>
        <w:t>Los sujetos obligados deberán hacer pública toda aquella información relativa a los montos y las personas a quienes</w:t>
      </w:r>
      <w:r>
        <w:rPr>
          <w:rFonts w:ascii="Palatino Linotype" w:eastAsia="Calibri" w:hAnsi="Palatino Linotype" w:cs="Arial"/>
          <w:i/>
          <w:sz w:val="22"/>
        </w:rPr>
        <w:t xml:space="preserve"> </w:t>
      </w:r>
      <w:r w:rsidRPr="00CB63A8">
        <w:rPr>
          <w:rFonts w:ascii="Palatino Linotype" w:eastAsia="Calibri" w:hAnsi="Palatino Linotype" w:cs="Arial"/>
          <w:i/>
          <w:sz w:val="22"/>
        </w:rPr>
        <w:t>entreguen, por cualquier motivo, recursos públicos, así como los informes que dichas personas les entreguen sobre el uso y</w:t>
      </w:r>
      <w:r>
        <w:rPr>
          <w:rFonts w:ascii="Palatino Linotype" w:eastAsia="Calibri" w:hAnsi="Palatino Linotype" w:cs="Arial"/>
          <w:i/>
          <w:sz w:val="22"/>
        </w:rPr>
        <w:t xml:space="preserve"> </w:t>
      </w:r>
      <w:r w:rsidRPr="00CB63A8">
        <w:rPr>
          <w:rFonts w:ascii="Palatino Linotype" w:eastAsia="Calibri" w:hAnsi="Palatino Linotype" w:cs="Arial"/>
          <w:i/>
          <w:sz w:val="22"/>
        </w:rPr>
        <w:t>destino de dichos recursos.</w:t>
      </w:r>
    </w:p>
    <w:p w:rsidR="008E7B9D" w:rsidRPr="00CB63A8" w:rsidRDefault="008E7B9D" w:rsidP="008E7B9D">
      <w:pPr>
        <w:ind w:left="709" w:right="757"/>
        <w:jc w:val="both"/>
        <w:rPr>
          <w:rFonts w:ascii="Palatino Linotype" w:eastAsia="Calibri" w:hAnsi="Palatino Linotype" w:cs="Arial"/>
          <w:i/>
          <w:sz w:val="22"/>
        </w:rPr>
      </w:pPr>
    </w:p>
    <w:p w:rsidR="008E7B9D" w:rsidRPr="00CB63A8" w:rsidRDefault="008E7B9D" w:rsidP="008E7B9D">
      <w:pPr>
        <w:ind w:left="709" w:right="757"/>
        <w:jc w:val="both"/>
        <w:rPr>
          <w:rFonts w:ascii="Palatino Linotype" w:eastAsia="Calibri" w:hAnsi="Palatino Linotype" w:cs="Arial"/>
          <w:i/>
          <w:sz w:val="22"/>
        </w:rPr>
      </w:pPr>
      <w:r w:rsidRPr="00CB63A8">
        <w:rPr>
          <w:rFonts w:ascii="Palatino Linotype" w:eastAsia="Calibri" w:hAnsi="Palatino Linotype" w:cs="Arial"/>
          <w:i/>
          <w:sz w:val="22"/>
        </w:rPr>
        <w:t xml:space="preserve">Los servidores públicos deberán transparentar sus acciones así como garantizar y </w:t>
      </w:r>
      <w:r>
        <w:rPr>
          <w:rFonts w:ascii="Palatino Linotype" w:eastAsia="Calibri" w:hAnsi="Palatino Linotype" w:cs="Arial"/>
          <w:i/>
          <w:sz w:val="22"/>
        </w:rPr>
        <w:t xml:space="preserve"> </w:t>
      </w:r>
      <w:r w:rsidRPr="00CB63A8">
        <w:rPr>
          <w:rFonts w:ascii="Palatino Linotype" w:eastAsia="Calibri" w:hAnsi="Palatino Linotype" w:cs="Arial"/>
          <w:i/>
          <w:sz w:val="22"/>
        </w:rPr>
        <w:t>respetar el derecho de acceso a la</w:t>
      </w:r>
      <w:r>
        <w:rPr>
          <w:rFonts w:ascii="Palatino Linotype" w:eastAsia="Calibri" w:hAnsi="Palatino Linotype" w:cs="Arial"/>
          <w:i/>
          <w:sz w:val="22"/>
        </w:rPr>
        <w:t xml:space="preserve"> </w:t>
      </w:r>
      <w:r w:rsidRPr="00CB63A8">
        <w:rPr>
          <w:rFonts w:ascii="Palatino Linotype" w:eastAsia="Calibri" w:hAnsi="Palatino Linotype" w:cs="Arial"/>
          <w:i/>
          <w:sz w:val="22"/>
        </w:rPr>
        <w:t>información pública.</w:t>
      </w:r>
    </w:p>
    <w:p w:rsidR="008E7B9D" w:rsidRDefault="008E7B9D" w:rsidP="008E7B9D">
      <w:pPr>
        <w:spacing w:line="360" w:lineRule="auto"/>
        <w:ind w:right="49"/>
        <w:jc w:val="both"/>
        <w:rPr>
          <w:rFonts w:ascii="Palatino Linotype" w:hAnsi="Palatino Linotype" w:cs="Arial"/>
        </w:rPr>
      </w:pPr>
    </w:p>
    <w:p w:rsidR="008E7B9D" w:rsidRPr="008E33B0" w:rsidRDefault="008E7B9D" w:rsidP="008E7B9D">
      <w:pPr>
        <w:spacing w:line="360" w:lineRule="auto"/>
        <w:ind w:right="49"/>
        <w:jc w:val="both"/>
        <w:rPr>
          <w:rFonts w:ascii="Palatino Linotype" w:hAnsi="Palatino Linotype" w:cs="Arial"/>
        </w:rPr>
      </w:pPr>
      <w:r>
        <w:rPr>
          <w:rFonts w:ascii="Palatino Linotype" w:hAnsi="Palatino Linotype" w:cs="Arial"/>
        </w:rPr>
        <w:t>En este sentido, los particulares referidos en el li</w:t>
      </w:r>
      <w:r w:rsidR="00502572">
        <w:rPr>
          <w:rFonts w:ascii="Palatino Linotype" w:hAnsi="Palatino Linotype" w:cs="Arial"/>
        </w:rPr>
        <w:t>s</w:t>
      </w:r>
      <w:r>
        <w:rPr>
          <w:rFonts w:ascii="Palatino Linotype" w:hAnsi="Palatino Linotype" w:cs="Arial"/>
        </w:rPr>
        <w:t xml:space="preserve">tado de oficios recibidos, no corresponden ni encuadran en alguno de los supuestos anteriormente enlistados, por lo tanto no se encuentran obligados a transparentar su información, aunado ello, </w:t>
      </w:r>
      <w:r>
        <w:rPr>
          <w:rFonts w:ascii="Palatino Linotype" w:hAnsi="Palatino Linotype" w:cs="Arial"/>
          <w:lang w:eastAsia="es-MX"/>
        </w:rPr>
        <w:t>a</w:t>
      </w:r>
      <w:r w:rsidRPr="008E33B0">
        <w:rPr>
          <w:rFonts w:ascii="Palatino Linotype" w:hAnsi="Palatino Linotype" w:cs="Arial"/>
          <w:lang w:eastAsia="es-MX"/>
        </w:rPr>
        <w:t xml:space="preserve"> los documentos </w:t>
      </w:r>
      <w:r>
        <w:rPr>
          <w:rFonts w:ascii="Palatino Linotype" w:hAnsi="Palatino Linotype" w:cs="Arial"/>
          <w:lang w:eastAsia="es-MX"/>
        </w:rPr>
        <w:t>que hace referencia</w:t>
      </w:r>
      <w:r w:rsidRPr="008E33B0">
        <w:rPr>
          <w:rFonts w:ascii="Palatino Linotype" w:hAnsi="Palatino Linotype" w:cs="Arial"/>
          <w:lang w:eastAsia="es-MX"/>
        </w:rPr>
        <w:t>, no les reviste la calidad de públic</w:t>
      </w:r>
      <w:r>
        <w:rPr>
          <w:rFonts w:ascii="Palatino Linotype" w:hAnsi="Palatino Linotype" w:cs="Arial"/>
          <w:lang w:eastAsia="es-MX"/>
        </w:rPr>
        <w:t>o</w:t>
      </w:r>
      <w:r w:rsidRPr="008E33B0">
        <w:rPr>
          <w:rFonts w:ascii="Palatino Linotype" w:hAnsi="Palatino Linotype" w:cs="Arial"/>
          <w:lang w:eastAsia="es-MX"/>
        </w:rPr>
        <w:t>s, en razón de que no s</w:t>
      </w:r>
      <w:r>
        <w:rPr>
          <w:rFonts w:ascii="Palatino Linotype" w:hAnsi="Palatino Linotype" w:cs="Arial"/>
          <w:lang w:eastAsia="es-MX"/>
        </w:rPr>
        <w:t xml:space="preserve">e trata de información que refleje el actuar de </w:t>
      </w:r>
      <w:r w:rsidRPr="008E33B0">
        <w:rPr>
          <w:rFonts w:ascii="Palatino Linotype" w:hAnsi="Palatino Linotype" w:cs="Arial"/>
          <w:lang w:eastAsia="es-MX"/>
        </w:rPr>
        <w:t xml:space="preserve">un servidor público en ejercicio de sus funciones, no representan actos de autoridad, y </w:t>
      </w:r>
      <w:r>
        <w:rPr>
          <w:rFonts w:ascii="Palatino Linotype" w:hAnsi="Palatino Linotype" w:cs="Arial"/>
          <w:lang w:eastAsia="es-MX"/>
        </w:rPr>
        <w:t>los</w:t>
      </w:r>
      <w:r w:rsidRPr="008E33B0">
        <w:rPr>
          <w:rFonts w:ascii="Palatino Linotype" w:hAnsi="Palatino Linotype" w:cs="Arial"/>
          <w:lang w:eastAsia="es-MX"/>
        </w:rPr>
        <w:t xml:space="preserve"> particulares </w:t>
      </w:r>
      <w:r>
        <w:rPr>
          <w:rFonts w:ascii="Palatino Linotype" w:hAnsi="Palatino Linotype" w:cs="Arial"/>
          <w:lang w:eastAsia="es-MX"/>
        </w:rPr>
        <w:t>de quienes se refiere no</w:t>
      </w:r>
      <w:r w:rsidRPr="008E33B0">
        <w:rPr>
          <w:rFonts w:ascii="Palatino Linotype" w:hAnsi="Palatino Linotype" w:cs="Arial"/>
          <w:lang w:eastAsia="es-MX"/>
        </w:rPr>
        <w:t xml:space="preserve"> recib</w:t>
      </w:r>
      <w:r>
        <w:rPr>
          <w:rFonts w:ascii="Palatino Linotype" w:hAnsi="Palatino Linotype" w:cs="Arial"/>
          <w:lang w:eastAsia="es-MX"/>
        </w:rPr>
        <w:t>e</w:t>
      </w:r>
      <w:r w:rsidRPr="008E33B0">
        <w:rPr>
          <w:rFonts w:ascii="Palatino Linotype" w:hAnsi="Palatino Linotype" w:cs="Arial"/>
          <w:lang w:eastAsia="es-MX"/>
        </w:rPr>
        <w:t xml:space="preserve">n </w:t>
      </w:r>
      <w:r>
        <w:rPr>
          <w:rFonts w:ascii="Palatino Linotype" w:hAnsi="Palatino Linotype" w:cs="Arial"/>
          <w:lang w:eastAsia="es-MX"/>
        </w:rPr>
        <w:t>ni</w:t>
      </w:r>
      <w:r w:rsidRPr="008E33B0">
        <w:rPr>
          <w:rFonts w:ascii="Palatino Linotype" w:hAnsi="Palatino Linotype" w:cs="Arial"/>
          <w:lang w:eastAsia="es-MX"/>
        </w:rPr>
        <w:t xml:space="preserve"> ejer</w:t>
      </w:r>
      <w:r>
        <w:rPr>
          <w:rFonts w:ascii="Palatino Linotype" w:hAnsi="Palatino Linotype" w:cs="Arial"/>
          <w:lang w:eastAsia="es-MX"/>
        </w:rPr>
        <w:t>cen</w:t>
      </w:r>
      <w:r w:rsidRPr="008E33B0">
        <w:rPr>
          <w:rFonts w:ascii="Palatino Linotype" w:hAnsi="Palatino Linotype" w:cs="Arial"/>
          <w:lang w:eastAsia="es-MX"/>
        </w:rPr>
        <w:t xml:space="preserve"> recursos públicos en el ámbito estatal o municipal, por lo tanto, son susceptibles de ser clasificadas como información confidencial en términos del artículo 4</w:t>
      </w:r>
      <w:r>
        <w:rPr>
          <w:rFonts w:ascii="Palatino Linotype" w:hAnsi="Palatino Linotype" w:cs="Arial"/>
          <w:lang w:eastAsia="es-MX"/>
        </w:rPr>
        <w:t>,</w:t>
      </w:r>
      <w:r w:rsidRPr="008E33B0">
        <w:rPr>
          <w:rFonts w:ascii="Palatino Linotype" w:hAnsi="Palatino Linotype" w:cs="Arial"/>
          <w:lang w:eastAsia="es-MX"/>
        </w:rPr>
        <w:t xml:space="preserve"> fracción  XI</w:t>
      </w:r>
      <w:r>
        <w:rPr>
          <w:rFonts w:ascii="Palatino Linotype" w:hAnsi="Palatino Linotype" w:cs="Arial"/>
          <w:lang w:eastAsia="es-MX"/>
        </w:rPr>
        <w:t xml:space="preserve"> de la </w:t>
      </w:r>
      <w:r w:rsidRPr="00F34E3D">
        <w:rPr>
          <w:rFonts w:ascii="Palatino Linotype" w:hAnsi="Palatino Linotype" w:cs="Arial"/>
          <w:lang w:eastAsia="es-MX"/>
        </w:rPr>
        <w:t>Ley de Protección de Datos</w:t>
      </w:r>
      <w:r>
        <w:rPr>
          <w:rFonts w:ascii="Palatino Linotype" w:hAnsi="Palatino Linotype" w:cs="Arial"/>
          <w:lang w:eastAsia="es-MX"/>
        </w:rPr>
        <w:t xml:space="preserve"> </w:t>
      </w:r>
      <w:r w:rsidRPr="00F34E3D">
        <w:rPr>
          <w:rFonts w:ascii="Palatino Linotype" w:hAnsi="Palatino Linotype" w:cs="Arial"/>
          <w:lang w:eastAsia="es-MX"/>
        </w:rPr>
        <w:t>Personales en Posesión de Sujetos</w:t>
      </w:r>
      <w:r>
        <w:rPr>
          <w:rFonts w:ascii="Palatino Linotype" w:hAnsi="Palatino Linotype" w:cs="Arial"/>
          <w:lang w:eastAsia="es-MX"/>
        </w:rPr>
        <w:t xml:space="preserve"> </w:t>
      </w:r>
      <w:r w:rsidRPr="00F34E3D">
        <w:rPr>
          <w:rFonts w:ascii="Palatino Linotype" w:hAnsi="Palatino Linotype" w:cs="Arial"/>
          <w:lang w:eastAsia="es-MX"/>
        </w:rPr>
        <w:t>Obligados del Estado de México y</w:t>
      </w:r>
      <w:r>
        <w:rPr>
          <w:rFonts w:ascii="Palatino Linotype" w:hAnsi="Palatino Linotype" w:cs="Arial"/>
          <w:lang w:eastAsia="es-MX"/>
        </w:rPr>
        <w:t xml:space="preserve"> </w:t>
      </w:r>
      <w:r w:rsidRPr="00F34E3D">
        <w:rPr>
          <w:rFonts w:ascii="Palatino Linotype" w:hAnsi="Palatino Linotype" w:cs="Arial"/>
          <w:lang w:eastAsia="es-MX"/>
        </w:rPr>
        <w:t>Municipios.</w:t>
      </w:r>
    </w:p>
    <w:p w:rsidR="008E7B9D" w:rsidRPr="008E33B0" w:rsidRDefault="008E7B9D" w:rsidP="008E7B9D">
      <w:pPr>
        <w:spacing w:line="360" w:lineRule="auto"/>
        <w:jc w:val="both"/>
        <w:rPr>
          <w:rFonts w:ascii="Palatino Linotype" w:hAnsi="Palatino Linotype" w:cs="Arial"/>
          <w:lang w:eastAsia="es-MX"/>
        </w:rPr>
      </w:pPr>
    </w:p>
    <w:p w:rsidR="008E7B9D" w:rsidRDefault="008E7B9D" w:rsidP="008E7B9D">
      <w:pPr>
        <w:ind w:left="709" w:right="757"/>
        <w:jc w:val="both"/>
        <w:rPr>
          <w:rFonts w:ascii="Palatino Linotype" w:hAnsi="Palatino Linotype" w:cs="Arial"/>
          <w:i/>
          <w:sz w:val="22"/>
          <w:lang w:eastAsia="es-MX"/>
        </w:rPr>
      </w:pPr>
      <w:r w:rsidRPr="008E33B0">
        <w:rPr>
          <w:rFonts w:ascii="Palatino Linotype" w:hAnsi="Palatino Linotype" w:cs="Arial"/>
          <w:i/>
          <w:sz w:val="22"/>
          <w:lang w:eastAsia="es-MX"/>
        </w:rPr>
        <w:t xml:space="preserve">XI. </w:t>
      </w:r>
      <w:r w:rsidRPr="008E33B0">
        <w:rPr>
          <w:rFonts w:ascii="Palatino Linotype" w:hAnsi="Palatino Linotype" w:cs="Arial"/>
          <w:b/>
          <w:i/>
          <w:sz w:val="22"/>
          <w:lang w:eastAsia="es-MX"/>
        </w:rPr>
        <w:t>Datos personales</w:t>
      </w:r>
      <w:r w:rsidRPr="008E33B0">
        <w:rPr>
          <w:rFonts w:ascii="Palatino Linotype" w:hAnsi="Palatino Linotype" w:cs="Arial"/>
          <w:i/>
          <w:sz w:val="22"/>
          <w:lang w:eastAsia="es-MX"/>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8E7B9D" w:rsidRDefault="008E7B9D" w:rsidP="008E7B9D">
      <w:pPr>
        <w:ind w:left="709" w:right="757"/>
        <w:jc w:val="both"/>
        <w:rPr>
          <w:rFonts w:ascii="Palatino Linotype" w:hAnsi="Palatino Linotype" w:cs="Arial"/>
          <w:i/>
          <w:sz w:val="22"/>
          <w:lang w:eastAsia="es-MX"/>
        </w:rPr>
      </w:pPr>
    </w:p>
    <w:p w:rsidR="008E7B9D" w:rsidRPr="008E33B0" w:rsidRDefault="008E7B9D" w:rsidP="008E7B9D">
      <w:pPr>
        <w:ind w:left="709" w:right="757"/>
        <w:jc w:val="both"/>
        <w:rPr>
          <w:rFonts w:ascii="Palatino Linotype" w:hAnsi="Palatino Linotype" w:cs="Arial"/>
          <w:i/>
          <w:sz w:val="22"/>
          <w:lang w:eastAsia="es-MX"/>
        </w:rPr>
      </w:pPr>
      <w:r w:rsidRPr="008E33B0">
        <w:rPr>
          <w:rFonts w:ascii="Palatino Linotype" w:hAnsi="Palatino Linotype" w:cs="Arial"/>
          <w:i/>
          <w:sz w:val="22"/>
          <w:lang w:eastAsia="es-MX"/>
        </w:rPr>
        <w:t xml:space="preserve">XXI. </w:t>
      </w:r>
      <w:r w:rsidRPr="008E33B0">
        <w:rPr>
          <w:rFonts w:ascii="Palatino Linotype" w:hAnsi="Palatino Linotype" w:cs="Arial"/>
          <w:b/>
          <w:i/>
          <w:sz w:val="22"/>
          <w:lang w:eastAsia="es-MX"/>
        </w:rPr>
        <w:t>Información confidencial</w:t>
      </w:r>
      <w:r w:rsidRPr="008E33B0">
        <w:rPr>
          <w:rFonts w:ascii="Palatino Linotype" w:hAnsi="Palatino Linotype" w:cs="Arial"/>
          <w:i/>
          <w:sz w:val="22"/>
          <w:lang w:eastAsia="es-MX"/>
        </w:rPr>
        <w:t xml:space="preserve">: Se considera como información confidencial los secretos bancario, fiduciario, industrial, </w:t>
      </w:r>
      <w:r w:rsidRPr="00C026C0">
        <w:rPr>
          <w:rFonts w:ascii="Palatino Linotype" w:hAnsi="Palatino Linotype" w:cs="Arial"/>
          <w:i/>
          <w:sz w:val="22"/>
          <w:lang w:eastAsia="es-MX"/>
        </w:rPr>
        <w:t>comercial</w:t>
      </w:r>
      <w:r w:rsidRPr="008E33B0">
        <w:rPr>
          <w:rFonts w:ascii="Palatino Linotype" w:hAnsi="Palatino Linotype" w:cs="Arial"/>
          <w:i/>
          <w:sz w:val="22"/>
          <w:lang w:eastAsia="es-MX"/>
        </w:rPr>
        <w:t xml:space="preserve">, fiscal, bursátil y postal, </w:t>
      </w:r>
      <w:r w:rsidRPr="008E33B0">
        <w:rPr>
          <w:rFonts w:ascii="Palatino Linotype" w:hAnsi="Palatino Linotype" w:cs="Arial"/>
          <w:b/>
          <w:i/>
          <w:sz w:val="22"/>
          <w:lang w:eastAsia="es-MX"/>
        </w:rPr>
        <w:t>cuya titularidad corresponda a particulares</w:t>
      </w:r>
      <w:r w:rsidRPr="008E33B0">
        <w:rPr>
          <w:rFonts w:ascii="Palatino Linotype" w:hAnsi="Palatino Linotype" w:cs="Arial"/>
          <w:i/>
          <w:sz w:val="22"/>
          <w:lang w:eastAsia="es-MX"/>
        </w:rPr>
        <w:t>, sujetos de derecho internacional o a sujetos obligados cuando no involucren el ejercicio de recursos públicos</w:t>
      </w:r>
    </w:p>
    <w:p w:rsidR="008E7B9D" w:rsidRPr="008E33B0" w:rsidRDefault="008E7B9D" w:rsidP="000154A2">
      <w:pPr>
        <w:spacing w:line="360" w:lineRule="auto"/>
        <w:ind w:left="709" w:right="757"/>
        <w:jc w:val="both"/>
        <w:rPr>
          <w:rFonts w:ascii="Palatino Linotype" w:hAnsi="Palatino Linotype" w:cs="Arial"/>
          <w:i/>
          <w:sz w:val="22"/>
          <w:lang w:eastAsia="es-MX"/>
        </w:rPr>
      </w:pPr>
    </w:p>
    <w:p w:rsidR="008E7B9D" w:rsidRDefault="008E7B9D" w:rsidP="000154A2">
      <w:pPr>
        <w:spacing w:line="360" w:lineRule="auto"/>
        <w:jc w:val="both"/>
        <w:rPr>
          <w:rFonts w:ascii="Palatino Linotype" w:hAnsi="Palatino Linotype" w:cs="Arial"/>
        </w:rPr>
      </w:pPr>
      <w:r w:rsidRPr="008E33B0">
        <w:rPr>
          <w:rFonts w:ascii="Palatino Linotype" w:hAnsi="Palatino Linotype" w:cs="Arial"/>
          <w:lang w:eastAsia="es-MX"/>
        </w:rPr>
        <w:t xml:space="preserve">Entonces, no </w:t>
      </w:r>
      <w:r>
        <w:rPr>
          <w:rFonts w:ascii="Palatino Linotype" w:hAnsi="Palatino Linotype" w:cs="Arial"/>
          <w:lang w:eastAsia="es-MX"/>
        </w:rPr>
        <w:t>es</w:t>
      </w:r>
      <w:r w:rsidRPr="008E33B0">
        <w:rPr>
          <w:rFonts w:ascii="Palatino Linotype" w:hAnsi="Palatino Linotype" w:cs="Arial"/>
          <w:lang w:eastAsia="es-MX"/>
        </w:rPr>
        <w:t xml:space="preserve"> procede</w:t>
      </w:r>
      <w:r>
        <w:rPr>
          <w:rFonts w:ascii="Palatino Linotype" w:hAnsi="Palatino Linotype" w:cs="Arial"/>
          <w:lang w:eastAsia="es-MX"/>
        </w:rPr>
        <w:t>nte</w:t>
      </w:r>
      <w:r w:rsidRPr="008E33B0">
        <w:rPr>
          <w:rFonts w:ascii="Palatino Linotype" w:hAnsi="Palatino Linotype" w:cs="Arial"/>
          <w:lang w:eastAsia="es-MX"/>
        </w:rPr>
        <w:t xml:space="preserve"> la divulgación de la información</w:t>
      </w:r>
      <w:r>
        <w:rPr>
          <w:rFonts w:ascii="Palatino Linotype" w:hAnsi="Palatino Linotype" w:cs="Arial"/>
          <w:lang w:eastAsia="es-MX"/>
        </w:rPr>
        <w:t xml:space="preserve"> </w:t>
      </w:r>
      <w:r w:rsidRPr="008E33B0">
        <w:rPr>
          <w:rFonts w:ascii="Palatino Linotype" w:hAnsi="Palatino Linotype" w:cs="Arial"/>
          <w:lang w:eastAsia="es-MX"/>
        </w:rPr>
        <w:t xml:space="preserve">y en consecuencia lo correcto es que hubiese </w:t>
      </w:r>
      <w:r>
        <w:rPr>
          <w:rFonts w:ascii="Palatino Linotype" w:hAnsi="Palatino Linotype" w:cs="Arial"/>
          <w:lang w:eastAsia="es-MX"/>
        </w:rPr>
        <w:t xml:space="preserve">protegido la misma clasificándola como información confidencial </w:t>
      </w:r>
      <w:r>
        <w:rPr>
          <w:rFonts w:ascii="Palatino Linotype" w:hAnsi="Palatino Linotype" w:cs="Arial"/>
        </w:rPr>
        <w:t>conforme al artículo 131 y 143 de la Ley de la materia.</w:t>
      </w:r>
    </w:p>
    <w:p w:rsidR="008E7B9D" w:rsidRDefault="008E7B9D" w:rsidP="008E7B9D">
      <w:pPr>
        <w:spacing w:line="360" w:lineRule="auto"/>
        <w:jc w:val="both"/>
        <w:rPr>
          <w:rFonts w:ascii="Palatino Linotype" w:hAnsi="Palatino Linotype" w:cs="Arial"/>
        </w:rPr>
      </w:pPr>
    </w:p>
    <w:p w:rsidR="008E7B9D" w:rsidRPr="000C63B2" w:rsidRDefault="008E7B9D" w:rsidP="008E7B9D">
      <w:pPr>
        <w:spacing w:line="240" w:lineRule="atLeast"/>
        <w:ind w:left="709" w:right="902"/>
        <w:jc w:val="both"/>
        <w:rPr>
          <w:rFonts w:ascii="Palatino Linotype" w:hAnsi="Palatino Linotype" w:cs="Arial"/>
          <w:i/>
          <w:sz w:val="22"/>
          <w:lang w:eastAsia="es-MX"/>
        </w:rPr>
      </w:pPr>
      <w:r>
        <w:rPr>
          <w:rFonts w:ascii="Palatino Linotype" w:hAnsi="Palatino Linotype" w:cs="Arial"/>
          <w:b/>
          <w:i/>
          <w:sz w:val="22"/>
          <w:lang w:eastAsia="es-MX"/>
        </w:rPr>
        <w:t>“</w:t>
      </w:r>
      <w:r w:rsidRPr="000C63B2">
        <w:rPr>
          <w:rFonts w:ascii="Palatino Linotype" w:hAnsi="Palatino Linotype" w:cs="Arial"/>
          <w:b/>
          <w:i/>
          <w:sz w:val="22"/>
          <w:lang w:eastAsia="es-MX"/>
        </w:rPr>
        <w:t>Artículo 130</w:t>
      </w:r>
      <w:r w:rsidRPr="000C63B2">
        <w:rPr>
          <w:rFonts w:ascii="Palatino Linotype" w:hAnsi="Palatino Linotype" w:cs="Arial"/>
          <w:i/>
          <w:sz w:val="22"/>
          <w:lang w:eastAsia="es-MX"/>
        </w:rPr>
        <w:t>. Los sujetos obligados deberán aplicar, de manera restrictiva y limitada, las excepciones al derecho de acceso a la información y solo podrán invocarlas cuando acrediten su procedencia, sin ampliar las excepciones o supuestos de reserva o confidencialidad previstos en la Ley General y la presente Ley, aduciendo analogía o mayoría de razón.</w:t>
      </w:r>
    </w:p>
    <w:p w:rsidR="008E7B9D" w:rsidRPr="000C63B2" w:rsidRDefault="008E7B9D" w:rsidP="008E7B9D">
      <w:pPr>
        <w:spacing w:line="240" w:lineRule="atLeast"/>
        <w:ind w:left="709" w:right="902"/>
        <w:jc w:val="both"/>
        <w:rPr>
          <w:rFonts w:ascii="Palatino Linotype" w:hAnsi="Palatino Linotype" w:cs="Arial"/>
          <w:i/>
          <w:sz w:val="22"/>
          <w:lang w:eastAsia="es-MX"/>
        </w:rPr>
      </w:pPr>
    </w:p>
    <w:p w:rsidR="008E7B9D" w:rsidRPr="000C63B2" w:rsidRDefault="008E7B9D" w:rsidP="008E7B9D">
      <w:pPr>
        <w:spacing w:line="240" w:lineRule="atLeast"/>
        <w:ind w:left="709" w:right="902"/>
        <w:jc w:val="both"/>
        <w:rPr>
          <w:rFonts w:ascii="Palatino Linotype" w:hAnsi="Palatino Linotype" w:cs="Arial"/>
          <w:i/>
          <w:sz w:val="22"/>
        </w:rPr>
      </w:pPr>
      <w:r w:rsidRPr="000C63B2">
        <w:rPr>
          <w:rFonts w:ascii="Palatino Linotype" w:hAnsi="Palatino Linotype" w:cs="Arial"/>
          <w:b/>
          <w:i/>
          <w:sz w:val="22"/>
        </w:rPr>
        <w:t>Artículo 143. Para los efectos de esta Ley se considera información confidencial</w:t>
      </w:r>
      <w:r w:rsidRPr="000C63B2">
        <w:rPr>
          <w:rFonts w:ascii="Palatino Linotype" w:hAnsi="Palatino Linotype" w:cs="Arial"/>
          <w:i/>
          <w:sz w:val="22"/>
        </w:rPr>
        <w:t>, la clasificada como tal, de manera</w:t>
      </w:r>
      <w:r>
        <w:rPr>
          <w:rFonts w:ascii="Palatino Linotype" w:hAnsi="Palatino Linotype" w:cs="Arial"/>
          <w:i/>
          <w:sz w:val="22"/>
        </w:rPr>
        <w:t xml:space="preserve"> </w:t>
      </w:r>
      <w:r w:rsidRPr="000C63B2">
        <w:rPr>
          <w:rFonts w:ascii="Palatino Linotype" w:hAnsi="Palatino Linotype" w:cs="Arial"/>
          <w:i/>
          <w:sz w:val="22"/>
        </w:rPr>
        <w:t>Permanente, por su naturaleza, cuando:</w:t>
      </w:r>
    </w:p>
    <w:p w:rsidR="008E7B9D" w:rsidRDefault="008E7B9D" w:rsidP="008E7B9D">
      <w:pPr>
        <w:spacing w:line="240" w:lineRule="atLeast"/>
        <w:ind w:left="709" w:right="902"/>
        <w:jc w:val="both"/>
        <w:rPr>
          <w:rFonts w:ascii="Palatino Linotype" w:hAnsi="Palatino Linotype" w:cs="Arial"/>
          <w:b/>
          <w:i/>
          <w:sz w:val="22"/>
        </w:rPr>
      </w:pPr>
    </w:p>
    <w:p w:rsidR="008E7B9D" w:rsidRPr="000C63B2" w:rsidRDefault="008E7B9D" w:rsidP="008E7B9D">
      <w:pPr>
        <w:spacing w:line="240" w:lineRule="atLeast"/>
        <w:ind w:left="709" w:right="902"/>
        <w:jc w:val="both"/>
        <w:rPr>
          <w:rFonts w:ascii="Palatino Linotype" w:hAnsi="Palatino Linotype" w:cs="Arial"/>
          <w:b/>
          <w:i/>
          <w:sz w:val="22"/>
        </w:rPr>
      </w:pPr>
      <w:r w:rsidRPr="000C63B2">
        <w:rPr>
          <w:rFonts w:ascii="Palatino Linotype" w:hAnsi="Palatino Linotype" w:cs="Arial"/>
          <w:b/>
          <w:i/>
          <w:sz w:val="22"/>
        </w:rPr>
        <w:t xml:space="preserve">I. Se refiera a la información privada y los datos personales concernientes a una persona física o </w:t>
      </w:r>
      <w:proofErr w:type="gramStart"/>
      <w:r w:rsidRPr="000C63B2">
        <w:rPr>
          <w:rFonts w:ascii="Palatino Linotype" w:hAnsi="Palatino Linotype" w:cs="Arial"/>
          <w:b/>
          <w:i/>
          <w:sz w:val="22"/>
        </w:rPr>
        <w:t>jurídico</w:t>
      </w:r>
      <w:proofErr w:type="gramEnd"/>
      <w:r w:rsidRPr="000C63B2">
        <w:rPr>
          <w:rFonts w:ascii="Palatino Linotype" w:hAnsi="Palatino Linotype" w:cs="Arial"/>
          <w:b/>
          <w:i/>
          <w:sz w:val="22"/>
        </w:rPr>
        <w:t xml:space="preserve"> colectiva identificada o identificable;</w:t>
      </w:r>
    </w:p>
    <w:p w:rsidR="008E7B9D" w:rsidRPr="000C63B2" w:rsidRDefault="008E7B9D" w:rsidP="008E7B9D">
      <w:pPr>
        <w:spacing w:line="240" w:lineRule="atLeast"/>
        <w:ind w:left="709" w:right="902"/>
        <w:jc w:val="both"/>
        <w:rPr>
          <w:rFonts w:ascii="Palatino Linotype" w:hAnsi="Palatino Linotype" w:cs="Arial"/>
          <w:i/>
          <w:sz w:val="22"/>
        </w:rPr>
      </w:pPr>
      <w:r w:rsidRPr="000C63B2">
        <w:rPr>
          <w:rFonts w:ascii="Palatino Linotype" w:hAnsi="Palatino Linotype" w:cs="Arial"/>
          <w:i/>
          <w:sz w:val="22"/>
        </w:rPr>
        <w:t>II. Los secretos bancario, fiduciario, industrial, comercial, fiscal, bursátil y postal, cuya titularidad corresponda a particulares, sujetos de derecho internacional o a sujetos obligados cuando no involucren el ejercicio de recursos públicos; y</w:t>
      </w:r>
    </w:p>
    <w:p w:rsidR="008E7B9D" w:rsidRPr="000C63B2" w:rsidRDefault="008E7B9D" w:rsidP="008E7B9D">
      <w:pPr>
        <w:spacing w:line="240" w:lineRule="atLeast"/>
        <w:ind w:left="709" w:right="902"/>
        <w:jc w:val="both"/>
        <w:rPr>
          <w:rFonts w:ascii="Palatino Linotype" w:hAnsi="Palatino Linotype" w:cs="Arial"/>
          <w:i/>
          <w:sz w:val="22"/>
        </w:rPr>
      </w:pPr>
      <w:r w:rsidRPr="000C63B2">
        <w:rPr>
          <w:rFonts w:ascii="Palatino Linotype" w:hAnsi="Palatino Linotype" w:cs="Arial"/>
          <w:i/>
          <w:sz w:val="22"/>
        </w:rPr>
        <w:t>III. La que presenten los particulares a los sujetos obligados, de conformidad con lo dispuesto por las leyes o los tratados internacionales.</w:t>
      </w:r>
    </w:p>
    <w:p w:rsidR="008E7B9D" w:rsidRDefault="008E7B9D" w:rsidP="008E7B9D">
      <w:pPr>
        <w:spacing w:line="240" w:lineRule="atLeast"/>
        <w:ind w:left="709" w:right="902"/>
        <w:jc w:val="both"/>
        <w:rPr>
          <w:rFonts w:ascii="Palatino Linotype" w:hAnsi="Palatino Linotype" w:cs="Arial"/>
          <w:i/>
          <w:sz w:val="22"/>
        </w:rPr>
      </w:pPr>
    </w:p>
    <w:p w:rsidR="008E7B9D" w:rsidRDefault="008E7B9D" w:rsidP="008E7B9D">
      <w:pPr>
        <w:spacing w:line="240" w:lineRule="atLeast"/>
        <w:ind w:left="709" w:right="902"/>
        <w:jc w:val="both"/>
        <w:rPr>
          <w:rFonts w:ascii="Palatino Linotype" w:hAnsi="Palatino Linotype" w:cs="Arial"/>
          <w:i/>
          <w:sz w:val="22"/>
        </w:rPr>
      </w:pPr>
      <w:r w:rsidRPr="000C63B2">
        <w:rPr>
          <w:rFonts w:ascii="Palatino Linotype" w:hAnsi="Palatino Linotype" w:cs="Arial"/>
          <w:i/>
          <w:sz w:val="22"/>
        </w:rPr>
        <w:t>La información confidencial no estará́ sujeta a temporalidad alguna y solo podrán tener acceso a ella los titulares de la misma, sus representantes y los servidores públicos facultados para ello</w:t>
      </w:r>
      <w:r>
        <w:rPr>
          <w:rFonts w:ascii="Palatino Linotype" w:hAnsi="Palatino Linotype" w:cs="Arial"/>
          <w:i/>
          <w:sz w:val="22"/>
        </w:rPr>
        <w:t>…”</w:t>
      </w:r>
    </w:p>
    <w:p w:rsidR="000154A2" w:rsidRPr="000C63B2" w:rsidRDefault="000154A2" w:rsidP="000154A2">
      <w:pPr>
        <w:spacing w:line="360" w:lineRule="auto"/>
        <w:ind w:left="709" w:right="902"/>
        <w:jc w:val="both"/>
        <w:rPr>
          <w:rFonts w:ascii="Palatino Linotype" w:hAnsi="Palatino Linotype" w:cs="Arial"/>
          <w:i/>
          <w:sz w:val="22"/>
        </w:rPr>
      </w:pPr>
    </w:p>
    <w:p w:rsidR="00785126" w:rsidRPr="00785126" w:rsidRDefault="008E7B9D" w:rsidP="000154A2">
      <w:pPr>
        <w:spacing w:line="360" w:lineRule="auto"/>
        <w:jc w:val="both"/>
        <w:rPr>
          <w:rFonts w:ascii="Palatino Linotype" w:hAnsi="Palatino Linotype" w:cs="Arial"/>
          <w:szCs w:val="23"/>
        </w:rPr>
      </w:pPr>
      <w:r>
        <w:rPr>
          <w:rFonts w:ascii="Palatino Linotype" w:hAnsi="Palatino Linotype"/>
        </w:rPr>
        <w:t xml:space="preserve">Sin embargo, aquí cabe pronunciarse respecto a la inconformidad del ciudadano en el que se advierte que </w:t>
      </w:r>
      <w:r w:rsidR="00785126" w:rsidRPr="00304437">
        <w:rPr>
          <w:rFonts w:ascii="Palatino Linotype" w:hAnsi="Palatino Linotype" w:cs="Arial"/>
          <w:szCs w:val="23"/>
        </w:rPr>
        <w:t>el motivo de disenso del particular lo constituye</w:t>
      </w:r>
      <w:r w:rsidR="00785126">
        <w:rPr>
          <w:rFonts w:ascii="Palatino Linotype" w:hAnsi="Palatino Linotype" w:cs="Arial"/>
          <w:szCs w:val="23"/>
        </w:rPr>
        <w:t xml:space="preserve"> la violación a la protección de los datos personales que se dejaron visibles en</w:t>
      </w:r>
      <w:r w:rsidR="00785126" w:rsidRPr="00304437">
        <w:rPr>
          <w:rFonts w:ascii="Palatino Linotype" w:hAnsi="Palatino Linotype" w:cs="Arial"/>
          <w:szCs w:val="23"/>
        </w:rPr>
        <w:t xml:space="preserve"> la información que le fue entregada, </w:t>
      </w:r>
      <w:r w:rsidR="00785126">
        <w:rPr>
          <w:rFonts w:ascii="Palatino Linotype" w:hAnsi="Palatino Linotype" w:cs="Arial"/>
          <w:szCs w:val="23"/>
        </w:rPr>
        <w:t>empero sin argumentar que no se le haya sido colmado su requerimiento, sino realizando a través del medio de impugnación una denuncia en contra de los responsables de la difusión de la información y solicitando les sean aplicadas las sanciones que correspondan.</w:t>
      </w:r>
    </w:p>
    <w:p w:rsidR="00785126" w:rsidRPr="00304437" w:rsidRDefault="00785126" w:rsidP="00785126">
      <w:pPr>
        <w:pStyle w:val="Prrafodelista"/>
        <w:spacing w:line="360" w:lineRule="auto"/>
        <w:ind w:left="0" w:right="49"/>
        <w:jc w:val="both"/>
        <w:rPr>
          <w:rFonts w:ascii="Palatino Linotype" w:hAnsi="Palatino Linotype" w:cs="Arial"/>
          <w:szCs w:val="23"/>
        </w:rPr>
      </w:pPr>
    </w:p>
    <w:p w:rsidR="00785126" w:rsidRPr="00304437" w:rsidRDefault="00785126" w:rsidP="00785126">
      <w:pPr>
        <w:spacing w:line="360" w:lineRule="auto"/>
        <w:jc w:val="both"/>
        <w:rPr>
          <w:rFonts w:ascii="Palatino Linotype" w:hAnsi="Palatino Linotype" w:cs="Arial"/>
        </w:rPr>
      </w:pPr>
      <w:r w:rsidRPr="00304437">
        <w:rPr>
          <w:rFonts w:ascii="Palatino Linotype" w:hAnsi="Palatino Linotype" w:cs="Arial"/>
        </w:rPr>
        <w:t>Por ello, resulta conveniente destacar que de conformidad con la Ley de Transparencia y Acceso a la Información Pública del Estado de México y Municipios, el derecho de impugnar la respuesta de un Sujeto Obligado surge en el momento en que el particular considera que no fueron satisfechos los extremos de su solicitud, con el objeto de que el Instituto de Transparencia revise las actuaciones de la autoridad y examine la solicitud con la respuesta otorgada para determinar lo que en derecho proceda, tal y como se señala en los diversos 176, 177 y 179 de la citada Ley que a continuación se transcriben:</w:t>
      </w:r>
    </w:p>
    <w:p w:rsidR="00785126" w:rsidRPr="00304437" w:rsidRDefault="00785126" w:rsidP="00785126">
      <w:pPr>
        <w:spacing w:line="360" w:lineRule="auto"/>
        <w:jc w:val="both"/>
        <w:rPr>
          <w:rFonts w:ascii="Palatino Linotype" w:hAnsi="Palatino Linotype" w:cs="Arial"/>
        </w:rPr>
      </w:pPr>
      <w:r w:rsidRPr="00304437">
        <w:rPr>
          <w:rFonts w:ascii="Palatino Linotype" w:hAnsi="Palatino Linotype" w:cs="Arial"/>
        </w:rPr>
        <w:t xml:space="preserve"> </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b/>
          <w:i/>
          <w:sz w:val="22"/>
          <w:szCs w:val="22"/>
        </w:rPr>
        <w:t xml:space="preserve">Artículo 176. </w:t>
      </w:r>
      <w:r w:rsidRPr="00304437">
        <w:rPr>
          <w:rFonts w:ascii="Palatino Linotype" w:hAnsi="Palatino Linotype" w:cs="Arial"/>
          <w:i/>
          <w:sz w:val="22"/>
          <w:szCs w:val="22"/>
        </w:rPr>
        <w:t>El recurso de revisión es la garantía secundaria mediante la cual se pretende reparar cualquier posible afectación al derecho de acceso a la información pública en términos del presente y del siguiente Capítulo.</w:t>
      </w:r>
    </w:p>
    <w:p w:rsidR="00785126" w:rsidRPr="00304437" w:rsidRDefault="00785126" w:rsidP="00785126">
      <w:pPr>
        <w:ind w:left="709" w:right="757"/>
        <w:contextualSpacing/>
        <w:jc w:val="both"/>
        <w:rPr>
          <w:rFonts w:ascii="Palatino Linotype" w:hAnsi="Palatino Linotype" w:cs="Arial"/>
          <w:i/>
          <w:sz w:val="22"/>
          <w:szCs w:val="22"/>
        </w:rPr>
      </w:pP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b/>
          <w:i/>
          <w:sz w:val="22"/>
          <w:szCs w:val="22"/>
        </w:rPr>
        <w:t xml:space="preserve">Artículo 177. </w:t>
      </w:r>
      <w:r w:rsidRPr="00304437">
        <w:rPr>
          <w:rFonts w:ascii="Palatino Linotype" w:hAnsi="Palatino Linotype" w:cs="Arial"/>
          <w:i/>
          <w:sz w:val="22"/>
          <w:szCs w:val="22"/>
        </w:rPr>
        <w:t>En las respuestas a las solicitudes de acceso a la información pública, las unidades de transparencia deberán informar a los interesados el derecho y plazo que tienen para promover recurso de revisión.</w:t>
      </w:r>
    </w:p>
    <w:p w:rsidR="00785126" w:rsidRPr="00304437" w:rsidRDefault="00785126" w:rsidP="00785126">
      <w:pPr>
        <w:ind w:left="709" w:right="757"/>
        <w:contextualSpacing/>
        <w:jc w:val="both"/>
        <w:rPr>
          <w:rFonts w:ascii="Palatino Linotype" w:hAnsi="Palatino Linotype" w:cs="Arial"/>
          <w:i/>
          <w:sz w:val="22"/>
          <w:szCs w:val="22"/>
        </w:rPr>
      </w:pP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b/>
          <w:i/>
          <w:sz w:val="22"/>
          <w:szCs w:val="22"/>
        </w:rPr>
        <w:t xml:space="preserve">Artículo 179. </w:t>
      </w:r>
      <w:r w:rsidRPr="00304437">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I. La negativa a la información solicitada;</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II. La clasificación de la información;</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III. La declaración de inexistencia de la información;</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IV. La declaración de incompetencia por el sujeto obligado;</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V. La entrega de información incompleta;</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VI. La entrega de información que no corresponda con lo solicitado;</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VII. La falta de respuesta a una solicitud de acceso a la información;</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VIII. La notificación, entrega o puesta a disposición de información en una modalidad o formato distinto al solicitado;</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IX. La entrega o puesta a disposición de información en un formato incomprensible y/o no accesible para el solicitante;</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X. Los costos o tiempos de entrega de la información;</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XI. La falta de trámite a una solicitud;</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XII. La negativa a permitir la consulta directa de la información;</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XIII. La falta, deficiencia o insuficiencia de la fundamentación y/o motivación en la respuesta; y</w:t>
      </w: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XIV. La orientación a un trámite específico.</w:t>
      </w:r>
    </w:p>
    <w:p w:rsidR="00785126" w:rsidRPr="00304437" w:rsidRDefault="00785126" w:rsidP="00785126">
      <w:pPr>
        <w:ind w:left="709" w:right="757"/>
        <w:contextualSpacing/>
        <w:jc w:val="both"/>
        <w:rPr>
          <w:rFonts w:ascii="Palatino Linotype" w:hAnsi="Palatino Linotype" w:cs="Arial"/>
          <w:i/>
          <w:sz w:val="22"/>
          <w:szCs w:val="22"/>
        </w:rPr>
      </w:pPr>
    </w:p>
    <w:p w:rsidR="00785126" w:rsidRPr="00304437" w:rsidRDefault="00785126" w:rsidP="00785126">
      <w:pPr>
        <w:ind w:left="709" w:right="757"/>
        <w:contextualSpacing/>
        <w:jc w:val="both"/>
        <w:rPr>
          <w:rFonts w:ascii="Palatino Linotype" w:hAnsi="Palatino Linotype" w:cs="Arial"/>
          <w:i/>
          <w:sz w:val="22"/>
          <w:szCs w:val="22"/>
        </w:rPr>
      </w:pPr>
      <w:r w:rsidRPr="00304437">
        <w:rPr>
          <w:rFonts w:ascii="Palatino Linotype" w:hAnsi="Palatino Linotype" w:cs="Arial"/>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785126" w:rsidRPr="00304437" w:rsidRDefault="00785126" w:rsidP="00785126">
      <w:pPr>
        <w:spacing w:line="360" w:lineRule="auto"/>
        <w:rPr>
          <w:lang w:eastAsia="es-MX"/>
        </w:rPr>
      </w:pPr>
    </w:p>
    <w:p w:rsidR="00785126" w:rsidRPr="00304437" w:rsidRDefault="00785126" w:rsidP="00785126">
      <w:pPr>
        <w:spacing w:line="360" w:lineRule="auto"/>
        <w:jc w:val="both"/>
        <w:rPr>
          <w:rFonts w:ascii="Palatino Linotype" w:hAnsi="Palatino Linotype" w:cs="Arial"/>
        </w:rPr>
      </w:pPr>
      <w:r w:rsidRPr="00304437">
        <w:rPr>
          <w:rFonts w:ascii="Palatino Linotype" w:hAnsi="Palatino Linotype" w:cs="Arial"/>
        </w:rPr>
        <w:t xml:space="preserve">Por todo lo anterior, las manifestaciones por parte del particular en el recurso de revisión interpuesto ante este Instituto del acto impugnado y los motivos de inconformidad son requisitos esenciales para la procedencia del citado recurso; sin la existencia de </w:t>
      </w:r>
      <w:r>
        <w:rPr>
          <w:rFonts w:ascii="Palatino Linotype" w:hAnsi="Palatino Linotype" w:cs="Arial"/>
        </w:rPr>
        <w:t>é</w:t>
      </w:r>
      <w:r w:rsidRPr="00304437">
        <w:rPr>
          <w:rFonts w:ascii="Palatino Linotype" w:hAnsi="Palatino Linotype" w:cs="Arial"/>
        </w:rPr>
        <w:t>stos, el recurso que al respecto se presentare deberá declararse improcedente y desecharse en consecuencia.</w:t>
      </w:r>
    </w:p>
    <w:p w:rsidR="00785126" w:rsidRPr="00304437" w:rsidRDefault="00785126" w:rsidP="00785126">
      <w:pPr>
        <w:spacing w:line="360" w:lineRule="auto"/>
        <w:jc w:val="both"/>
        <w:rPr>
          <w:rFonts w:ascii="Palatino Linotype" w:hAnsi="Palatino Linotype" w:cs="Arial"/>
        </w:rPr>
      </w:pPr>
    </w:p>
    <w:p w:rsidR="00785126" w:rsidRPr="00304437" w:rsidRDefault="00785126" w:rsidP="00785126">
      <w:pPr>
        <w:spacing w:line="360" w:lineRule="auto"/>
        <w:jc w:val="both"/>
        <w:rPr>
          <w:rFonts w:ascii="Palatino Linotype" w:eastAsia="Arial Unicode MS" w:hAnsi="Palatino Linotype" w:cs="Arial"/>
        </w:rPr>
      </w:pPr>
      <w:r w:rsidRPr="00304437">
        <w:rPr>
          <w:rFonts w:ascii="Palatino Linotype" w:eastAsia="Arial Unicode MS" w:hAnsi="Palatino Linotype" w:cs="Arial"/>
        </w:rPr>
        <w:t>Asimismo, es menester destacar que la legislación adjetiva establece medios de impugnación o recursos a través de los cuales los particulares o las personas que se consideran afectados en la emisión de un acto de autoridad, tienen la posibilidad de impugnar aquél, con el objeto de que la misma autoridad que emitió el acto, o bien, un órgano superior, realice un nuevo análisis del caso a efecto de determinar la legalidad o ilegalidad del acto que se combate.</w:t>
      </w:r>
    </w:p>
    <w:p w:rsidR="00785126" w:rsidRPr="00304437" w:rsidRDefault="00785126" w:rsidP="00785126">
      <w:pPr>
        <w:spacing w:line="360" w:lineRule="auto"/>
        <w:jc w:val="both"/>
        <w:rPr>
          <w:rFonts w:ascii="Palatino Linotype" w:eastAsia="Arial Unicode MS" w:hAnsi="Palatino Linotype" w:cs="Arial"/>
        </w:rPr>
      </w:pPr>
    </w:p>
    <w:p w:rsidR="00785126" w:rsidRPr="00304437" w:rsidRDefault="00785126" w:rsidP="00785126">
      <w:pPr>
        <w:spacing w:line="360" w:lineRule="auto"/>
        <w:jc w:val="both"/>
        <w:rPr>
          <w:rFonts w:ascii="Palatino Linotype" w:eastAsia="Arial Unicode MS" w:hAnsi="Palatino Linotype" w:cs="Arial"/>
        </w:rPr>
      </w:pPr>
      <w:r w:rsidRPr="00304437">
        <w:rPr>
          <w:rFonts w:ascii="Palatino Linotype" w:eastAsia="Arial Unicode MS" w:hAnsi="Palatino Linotype" w:cs="Arial"/>
        </w:rPr>
        <w:t>También</w:t>
      </w:r>
      <w:r>
        <w:rPr>
          <w:rFonts w:ascii="Palatino Linotype" w:eastAsia="Arial Unicode MS" w:hAnsi="Palatino Linotype" w:cs="Arial"/>
        </w:rPr>
        <w:t>,</w:t>
      </w:r>
      <w:r w:rsidRPr="00304437">
        <w:rPr>
          <w:rFonts w:ascii="Palatino Linotype" w:eastAsia="Arial Unicode MS" w:hAnsi="Palatino Linotype" w:cs="Arial"/>
        </w:rPr>
        <w:t xml:space="preserve"> es necesario precisar que los medios de impugnación constituyen recursos legales</w:t>
      </w:r>
      <w:r>
        <w:rPr>
          <w:rFonts w:ascii="Palatino Linotype" w:eastAsia="Arial Unicode MS" w:hAnsi="Palatino Linotype" w:cs="Arial"/>
        </w:rPr>
        <w:t>,</w:t>
      </w:r>
      <w:r w:rsidRPr="00304437">
        <w:rPr>
          <w:rFonts w:ascii="Palatino Linotype" w:eastAsia="Arial Unicode MS" w:hAnsi="Palatino Linotype" w:cs="Arial"/>
        </w:rPr>
        <w:t xml:space="preserve"> a través de los cuales</w:t>
      </w:r>
      <w:r>
        <w:rPr>
          <w:rFonts w:ascii="Palatino Linotype" w:eastAsia="Arial Unicode MS" w:hAnsi="Palatino Linotype" w:cs="Arial"/>
        </w:rPr>
        <w:t>,</w:t>
      </w:r>
      <w:r w:rsidRPr="00304437">
        <w:rPr>
          <w:rFonts w:ascii="Palatino Linotype" w:eastAsia="Arial Unicode MS" w:hAnsi="Palatino Linotype" w:cs="Arial"/>
        </w:rPr>
        <w:t xml:space="preserve"> se corrigen los errores cometidos tanto en el curso del procedimiento, como en el dictado de la resolución.</w:t>
      </w:r>
    </w:p>
    <w:p w:rsidR="00785126" w:rsidRPr="00304437" w:rsidRDefault="00785126" w:rsidP="00785126">
      <w:pPr>
        <w:spacing w:line="360" w:lineRule="auto"/>
        <w:jc w:val="both"/>
        <w:rPr>
          <w:rFonts w:ascii="Palatino Linotype" w:eastAsia="Arial Unicode MS" w:hAnsi="Palatino Linotype" w:cs="Arial"/>
        </w:rPr>
      </w:pPr>
    </w:p>
    <w:p w:rsidR="00785126" w:rsidRPr="00304437" w:rsidRDefault="00785126" w:rsidP="00785126">
      <w:pPr>
        <w:spacing w:line="360" w:lineRule="auto"/>
        <w:jc w:val="both"/>
        <w:rPr>
          <w:rFonts w:ascii="Palatino Linotype" w:eastAsia="Arial Unicode MS" w:hAnsi="Palatino Linotype" w:cs="Arial"/>
        </w:rPr>
      </w:pPr>
      <w:r w:rsidRPr="00304437">
        <w:rPr>
          <w:rFonts w:ascii="Palatino Linotype" w:eastAsia="Arial Unicode MS" w:hAnsi="Palatino Linotype" w:cs="Arial"/>
        </w:rPr>
        <w:t xml:space="preserve">Conforme a los argumentos expuestos, se aduce que la finalidad de un recurso o medio de impugnación consiste en que ya sea la misma autoridad que emite el acto, un superior o distinta autoridad, estudie la legalidad de la resolución que se impugna con el objeto de confirmar, revocar o modificar éste; por ende, para lograr este objetivo es indispensable que </w:t>
      </w:r>
      <w:r w:rsidRPr="00777A4E">
        <w:rPr>
          <w:rFonts w:ascii="Palatino Linotype" w:eastAsia="Arial Unicode MS" w:hAnsi="Palatino Linotype" w:cs="Arial"/>
          <w:b/>
        </w:rPr>
        <w:t>EL RECURRENTE</w:t>
      </w:r>
      <w:r w:rsidRPr="00304437">
        <w:rPr>
          <w:rFonts w:ascii="Palatino Linotype" w:eastAsia="Arial Unicode MS" w:hAnsi="Palatino Linotype" w:cs="Arial"/>
        </w:rPr>
        <w:t>, señale la causa, motivo o circunstancia por la que considera que el acto que impugna le causa perjuicio o lesión a sus intereses.</w:t>
      </w:r>
    </w:p>
    <w:p w:rsidR="00785126" w:rsidRPr="00304437" w:rsidRDefault="00785126" w:rsidP="00785126">
      <w:pPr>
        <w:spacing w:line="360" w:lineRule="auto"/>
        <w:jc w:val="both"/>
        <w:rPr>
          <w:rFonts w:ascii="Palatino Linotype" w:eastAsia="Arial Unicode MS" w:hAnsi="Palatino Linotype" w:cs="Arial"/>
        </w:rPr>
      </w:pPr>
    </w:p>
    <w:p w:rsidR="00785126" w:rsidRDefault="00785126" w:rsidP="00785126">
      <w:pPr>
        <w:spacing w:line="360" w:lineRule="auto"/>
        <w:jc w:val="both"/>
        <w:rPr>
          <w:rFonts w:ascii="Palatino Linotype" w:eastAsia="Arial Unicode MS" w:hAnsi="Palatino Linotype" w:cs="Arial"/>
        </w:rPr>
      </w:pPr>
      <w:r w:rsidRPr="00304437">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Pr="00777A4E">
        <w:rPr>
          <w:rFonts w:ascii="Palatino Linotype" w:eastAsia="Arial Unicode MS" w:hAnsi="Palatino Linotype" w:cs="Arial"/>
          <w:b/>
        </w:rPr>
        <w:t>EL RECURRENTE</w:t>
      </w:r>
      <w:r w:rsidRPr="00304437">
        <w:rPr>
          <w:rFonts w:ascii="Palatino Linotype" w:eastAsia="Arial Unicode MS" w:hAnsi="Palatino Linotype" w:cs="Arial"/>
          <w:b/>
        </w:rPr>
        <w:t xml:space="preserve"> </w:t>
      </w:r>
      <w:r w:rsidRPr="00304437">
        <w:rPr>
          <w:rFonts w:ascii="Palatino Linotype" w:eastAsia="Arial Unicode MS" w:hAnsi="Palatino Linotype" w:cs="Arial"/>
        </w:rPr>
        <w:t>le causa el acto que impugna; pero, esa lesión o perjuicio se ha de relacionar y derivar necesariamente del acto de donde deriva la resolución combatida.</w:t>
      </w:r>
    </w:p>
    <w:p w:rsidR="00873AF2" w:rsidRPr="00304437" w:rsidRDefault="00873AF2" w:rsidP="00785126">
      <w:pPr>
        <w:spacing w:line="360" w:lineRule="auto"/>
        <w:jc w:val="both"/>
        <w:rPr>
          <w:rFonts w:ascii="Palatino Linotype" w:eastAsia="Arial Unicode MS" w:hAnsi="Palatino Linotype" w:cs="Arial"/>
        </w:rPr>
      </w:pPr>
    </w:p>
    <w:p w:rsidR="00785126" w:rsidRDefault="00785126" w:rsidP="00785126">
      <w:pPr>
        <w:spacing w:line="360" w:lineRule="auto"/>
        <w:jc w:val="both"/>
        <w:rPr>
          <w:rFonts w:ascii="Palatino Linotype" w:hAnsi="Palatino Linotype" w:cs="Arial"/>
          <w:lang w:eastAsia="es-MX"/>
        </w:rPr>
      </w:pPr>
      <w:r w:rsidRPr="00304437">
        <w:rPr>
          <w:rFonts w:ascii="Palatino Linotype" w:hAnsi="Palatino Linotype" w:cs="Arial"/>
        </w:rPr>
        <w:t xml:space="preserve">Siendo así, que en sus razones o motivos de inconformidad </w:t>
      </w:r>
      <w:r w:rsidRPr="00304437">
        <w:rPr>
          <w:rFonts w:ascii="Palatino Linotype" w:hAnsi="Palatino Linotype" w:cs="Arial"/>
          <w:b/>
          <w:color w:val="000000"/>
          <w:lang w:eastAsia="es-MX"/>
        </w:rPr>
        <w:t xml:space="preserve">EL RECURRENTE </w:t>
      </w:r>
      <w:r w:rsidR="00873AF2">
        <w:rPr>
          <w:rFonts w:ascii="Palatino Linotype" w:hAnsi="Palatino Linotype" w:cs="Arial"/>
          <w:color w:val="000000"/>
          <w:lang w:eastAsia="es-MX"/>
        </w:rPr>
        <w:t xml:space="preserve">realiza una denuncia respecto a la omisión de proteger datos personales por parte del </w:t>
      </w:r>
      <w:r w:rsidR="00873AF2">
        <w:rPr>
          <w:rFonts w:ascii="Palatino Linotype" w:hAnsi="Palatino Linotype" w:cs="Arial"/>
          <w:b/>
          <w:color w:val="000000"/>
          <w:lang w:eastAsia="es-MX"/>
        </w:rPr>
        <w:t>SUJETO OBLIGADO</w:t>
      </w:r>
      <w:r w:rsidRPr="00304437">
        <w:rPr>
          <w:rFonts w:ascii="Palatino Linotype" w:hAnsi="Palatino Linotype" w:cs="Arial"/>
        </w:rPr>
        <w:t xml:space="preserve">; sin embargo, </w:t>
      </w:r>
      <w:r w:rsidRPr="00304437">
        <w:rPr>
          <w:rFonts w:ascii="Palatino Linotype" w:hAnsi="Palatino Linotype" w:cs="Arial"/>
          <w:lang w:eastAsia="es-MX"/>
        </w:rPr>
        <w:t xml:space="preserve">este Instituto no está facultado para pronunciarse </w:t>
      </w:r>
      <w:r w:rsidR="00873AF2">
        <w:rPr>
          <w:rFonts w:ascii="Palatino Linotype" w:hAnsi="Palatino Linotype" w:cs="Arial"/>
          <w:lang w:eastAsia="es-MX"/>
        </w:rPr>
        <w:t>al respecto</w:t>
      </w:r>
      <w:r w:rsidRPr="00304437">
        <w:rPr>
          <w:rFonts w:ascii="Palatino Linotype" w:hAnsi="Palatino Linotype" w:cs="Arial"/>
          <w:lang w:eastAsia="es-MX"/>
        </w:rPr>
        <w:t xml:space="preserve">, en virtud de que no existe precepto legal alguno en la Ley de la Materia que permita que, vía recurso de revisión, se </w:t>
      </w:r>
      <w:r w:rsidR="00873AF2">
        <w:rPr>
          <w:rFonts w:ascii="Palatino Linotype" w:hAnsi="Palatino Linotype" w:cs="Arial"/>
          <w:lang w:eastAsia="es-MX"/>
        </w:rPr>
        <w:t>dé tramite a las denuncias presentadas e imponer las sanciones que a derecho procedan.</w:t>
      </w:r>
    </w:p>
    <w:p w:rsidR="00873AF2" w:rsidRDefault="00873AF2" w:rsidP="00785126">
      <w:pPr>
        <w:spacing w:line="360" w:lineRule="auto"/>
        <w:jc w:val="both"/>
        <w:rPr>
          <w:rFonts w:ascii="Palatino Linotype" w:hAnsi="Palatino Linotype" w:cs="Arial"/>
          <w:lang w:eastAsia="es-MX"/>
        </w:rPr>
      </w:pPr>
    </w:p>
    <w:p w:rsidR="00444ED1" w:rsidRDefault="00444ED1" w:rsidP="00444ED1">
      <w:pPr>
        <w:spacing w:line="360" w:lineRule="auto"/>
        <w:jc w:val="both"/>
        <w:rPr>
          <w:rFonts w:ascii="Palatino Linotype" w:hAnsi="Palatino Linotype"/>
        </w:rPr>
      </w:pPr>
      <w:r>
        <w:rPr>
          <w:rFonts w:ascii="Palatino Linotype" w:hAnsi="Palatino Linotype"/>
        </w:rPr>
        <w:t>Lo anterior, resulta de que como ya fue citado, el a</w:t>
      </w:r>
      <w:r w:rsidRPr="00444ED1">
        <w:rPr>
          <w:rFonts w:ascii="Palatino Linotype" w:hAnsi="Palatino Linotype"/>
        </w:rPr>
        <w:t>rtículo 176</w:t>
      </w:r>
      <w:r>
        <w:rPr>
          <w:rFonts w:ascii="Palatino Linotype" w:hAnsi="Palatino Linotype"/>
        </w:rPr>
        <w:t xml:space="preserve"> de la Ley de Transparencia local, dispone que e</w:t>
      </w:r>
      <w:r w:rsidRPr="00444ED1">
        <w:rPr>
          <w:rFonts w:ascii="Palatino Linotype" w:hAnsi="Palatino Linotype"/>
        </w:rPr>
        <w:t>l recurso de revisión es la garantía secundaria mediante la cual se pretende reparar cualquier posible</w:t>
      </w:r>
      <w:r>
        <w:rPr>
          <w:rFonts w:ascii="Palatino Linotype" w:hAnsi="Palatino Linotype"/>
        </w:rPr>
        <w:t xml:space="preserve"> </w:t>
      </w:r>
      <w:r w:rsidRPr="00444ED1">
        <w:rPr>
          <w:rFonts w:ascii="Palatino Linotype" w:hAnsi="Palatino Linotype"/>
        </w:rPr>
        <w:t>afectación al derecho de acceso a la información pública en términos del Capítulo</w:t>
      </w:r>
      <w:r>
        <w:rPr>
          <w:rFonts w:ascii="Palatino Linotype" w:hAnsi="Palatino Linotype"/>
        </w:rPr>
        <w:t xml:space="preserve"> I y II del Título Octavo de la ley; cuya terminación de éste será al momento de que se emita la resolución correspondiente que </w:t>
      </w:r>
      <w:r w:rsidRPr="00444ED1">
        <w:rPr>
          <w:rFonts w:ascii="Palatino Linotype" w:hAnsi="Palatino Linotype"/>
        </w:rPr>
        <w:t>podrán:</w:t>
      </w:r>
    </w:p>
    <w:p w:rsidR="00444ED1" w:rsidRPr="00444ED1" w:rsidRDefault="00444ED1" w:rsidP="00444ED1">
      <w:pPr>
        <w:spacing w:line="360" w:lineRule="auto"/>
        <w:jc w:val="both"/>
        <w:rPr>
          <w:rFonts w:ascii="Palatino Linotype" w:hAnsi="Palatino Linotype"/>
        </w:rPr>
      </w:pPr>
    </w:p>
    <w:p w:rsidR="00444ED1" w:rsidRPr="00444ED1" w:rsidRDefault="00444ED1" w:rsidP="00444ED1">
      <w:pPr>
        <w:spacing w:line="360" w:lineRule="auto"/>
        <w:jc w:val="both"/>
        <w:rPr>
          <w:rFonts w:ascii="Palatino Linotype" w:hAnsi="Palatino Linotype"/>
        </w:rPr>
      </w:pPr>
      <w:r w:rsidRPr="00444ED1">
        <w:rPr>
          <w:rFonts w:ascii="Palatino Linotype" w:hAnsi="Palatino Linotype"/>
        </w:rPr>
        <w:t>I. Desechar o sobreseer el recurso;</w:t>
      </w:r>
    </w:p>
    <w:p w:rsidR="00444ED1" w:rsidRPr="00444ED1" w:rsidRDefault="00444ED1" w:rsidP="00444ED1">
      <w:pPr>
        <w:spacing w:line="360" w:lineRule="auto"/>
        <w:jc w:val="both"/>
        <w:rPr>
          <w:rFonts w:ascii="Palatino Linotype" w:hAnsi="Palatino Linotype"/>
        </w:rPr>
      </w:pPr>
      <w:r w:rsidRPr="00444ED1">
        <w:rPr>
          <w:rFonts w:ascii="Palatino Linotype" w:hAnsi="Palatino Linotype"/>
        </w:rPr>
        <w:t>II. Confirmar la respuesta del sujeto obligado;</w:t>
      </w:r>
    </w:p>
    <w:p w:rsidR="00444ED1" w:rsidRPr="00444ED1" w:rsidRDefault="00444ED1" w:rsidP="00444ED1">
      <w:pPr>
        <w:spacing w:line="360" w:lineRule="auto"/>
        <w:jc w:val="both"/>
        <w:rPr>
          <w:rFonts w:ascii="Palatino Linotype" w:hAnsi="Palatino Linotype"/>
        </w:rPr>
      </w:pPr>
      <w:r w:rsidRPr="00444ED1">
        <w:rPr>
          <w:rFonts w:ascii="Palatino Linotype" w:hAnsi="Palatino Linotype"/>
        </w:rPr>
        <w:t>III. Revocar o modificar la respuesta del sujeto obligado; y</w:t>
      </w:r>
    </w:p>
    <w:p w:rsidR="00444ED1" w:rsidRDefault="00444ED1" w:rsidP="00444ED1">
      <w:pPr>
        <w:spacing w:line="360" w:lineRule="auto"/>
        <w:jc w:val="both"/>
        <w:rPr>
          <w:rFonts w:ascii="Palatino Linotype" w:hAnsi="Palatino Linotype"/>
        </w:rPr>
      </w:pPr>
      <w:r w:rsidRPr="00444ED1">
        <w:rPr>
          <w:rFonts w:ascii="Palatino Linotype" w:hAnsi="Palatino Linotype"/>
        </w:rPr>
        <w:t>IV. Ordenar la entrega de la información.</w:t>
      </w:r>
    </w:p>
    <w:p w:rsidR="00444ED1" w:rsidRDefault="00444ED1" w:rsidP="00444ED1">
      <w:pPr>
        <w:spacing w:line="360" w:lineRule="auto"/>
        <w:jc w:val="both"/>
        <w:rPr>
          <w:rFonts w:ascii="Palatino Linotype" w:hAnsi="Palatino Linotype"/>
        </w:rPr>
      </w:pPr>
    </w:p>
    <w:p w:rsidR="008E7B9D" w:rsidRDefault="00444ED1" w:rsidP="00DC31DD">
      <w:pPr>
        <w:spacing w:line="360" w:lineRule="auto"/>
        <w:jc w:val="both"/>
        <w:rPr>
          <w:rFonts w:ascii="Palatino Linotype" w:hAnsi="Palatino Linotype"/>
        </w:rPr>
      </w:pPr>
      <w:r>
        <w:rPr>
          <w:rFonts w:ascii="Palatino Linotype" w:hAnsi="Palatino Linotype"/>
        </w:rPr>
        <w:t>Por lo tanto, no se advierte como parte del sentido de las resoluciones del Instituto para el recurso de revisión contemple el inicio de un procedimiento de responsabilidad administrativa, la aplicación de una sanción o destitución de un servidor público ajeno el Instituto.</w:t>
      </w:r>
    </w:p>
    <w:p w:rsidR="001A4877" w:rsidRDefault="001A4877" w:rsidP="001A4877">
      <w:pPr>
        <w:spacing w:line="360" w:lineRule="auto"/>
        <w:jc w:val="both"/>
        <w:rPr>
          <w:rFonts w:ascii="Palatino Linotype" w:hAnsi="Palatino Linotype"/>
        </w:rPr>
      </w:pPr>
      <w:r>
        <w:rPr>
          <w:rFonts w:ascii="Palatino Linotype" w:hAnsi="Palatino Linotype"/>
        </w:rPr>
        <w:t>Ahora bien, por cuanto hace a las denuncias, es menester señalar que c</w:t>
      </w:r>
      <w:r w:rsidRPr="001A4877">
        <w:rPr>
          <w:rFonts w:ascii="Palatino Linotype" w:hAnsi="Palatino Linotype"/>
        </w:rPr>
        <w:t xml:space="preserve">omo parte de la información difundida sobre los trámites que </w:t>
      </w:r>
      <w:r>
        <w:rPr>
          <w:rFonts w:ascii="Palatino Linotype" w:hAnsi="Palatino Linotype"/>
        </w:rPr>
        <w:t>el Instituto ofrece</w:t>
      </w:r>
      <w:r w:rsidRPr="001A4877">
        <w:rPr>
          <w:rFonts w:ascii="Palatino Linotype" w:hAnsi="Palatino Linotype"/>
        </w:rPr>
        <w:t>, deberá incluirse la denuncia ciudadana por</w:t>
      </w:r>
      <w:r>
        <w:rPr>
          <w:rFonts w:ascii="Palatino Linotype" w:hAnsi="Palatino Linotype"/>
        </w:rPr>
        <w:t xml:space="preserve"> </w:t>
      </w:r>
      <w:r w:rsidRPr="001A4877">
        <w:rPr>
          <w:rFonts w:ascii="Palatino Linotype" w:hAnsi="Palatino Linotype"/>
        </w:rPr>
        <w:t xml:space="preserve">incumplimiento a las obligaciones de transparencia. </w:t>
      </w:r>
    </w:p>
    <w:p w:rsidR="001A4877" w:rsidRDefault="001A4877" w:rsidP="001A4877">
      <w:pPr>
        <w:spacing w:line="360" w:lineRule="auto"/>
        <w:jc w:val="both"/>
        <w:rPr>
          <w:rFonts w:ascii="Palatino Linotype" w:hAnsi="Palatino Linotype"/>
        </w:rPr>
      </w:pPr>
    </w:p>
    <w:p w:rsidR="00763C6A" w:rsidRDefault="001A4877" w:rsidP="001A4877">
      <w:pPr>
        <w:spacing w:line="360" w:lineRule="auto"/>
        <w:jc w:val="both"/>
        <w:rPr>
          <w:rFonts w:ascii="Palatino Linotype" w:hAnsi="Palatino Linotype"/>
        </w:rPr>
      </w:pPr>
      <w:r w:rsidRPr="001A4877">
        <w:rPr>
          <w:rFonts w:ascii="Palatino Linotype" w:hAnsi="Palatino Linotype"/>
        </w:rPr>
        <w:t xml:space="preserve">Asimismo, los </w:t>
      </w:r>
      <w:r w:rsidR="00D41BEC" w:rsidRPr="001A4877">
        <w:rPr>
          <w:rFonts w:ascii="Palatino Linotype" w:hAnsi="Palatino Linotype"/>
        </w:rPr>
        <w:t xml:space="preserve">Sujetos Obligados </w:t>
      </w:r>
      <w:r w:rsidRPr="001A4877">
        <w:rPr>
          <w:rFonts w:ascii="Palatino Linotype" w:hAnsi="Palatino Linotype"/>
        </w:rPr>
        <w:t>publicarán una leyenda visible en la</w:t>
      </w:r>
      <w:r>
        <w:rPr>
          <w:rFonts w:ascii="Palatino Linotype" w:hAnsi="Palatino Linotype"/>
        </w:rPr>
        <w:t xml:space="preserve"> </w:t>
      </w:r>
      <w:r w:rsidRPr="001A4877">
        <w:rPr>
          <w:rFonts w:ascii="Palatino Linotype" w:hAnsi="Palatino Linotype"/>
        </w:rPr>
        <w:t>sección de transparencia de su portal de Internet, mediante la cual se informe a los usuarios sobre el procedimiento para</w:t>
      </w:r>
      <w:r>
        <w:rPr>
          <w:rFonts w:ascii="Palatino Linotype" w:hAnsi="Palatino Linotype"/>
        </w:rPr>
        <w:t xml:space="preserve"> </w:t>
      </w:r>
      <w:r w:rsidRPr="001A4877">
        <w:rPr>
          <w:rFonts w:ascii="Palatino Linotype" w:hAnsi="Palatino Linotype"/>
        </w:rPr>
        <w:t>presentar una denuncia.</w:t>
      </w:r>
    </w:p>
    <w:p w:rsidR="00D41BEC" w:rsidRDefault="00D41BEC" w:rsidP="001A4877">
      <w:pPr>
        <w:spacing w:line="360" w:lineRule="auto"/>
        <w:jc w:val="both"/>
        <w:rPr>
          <w:rFonts w:ascii="Palatino Linotype" w:hAnsi="Palatino Linotype"/>
        </w:rPr>
      </w:pPr>
    </w:p>
    <w:p w:rsidR="00212AB6" w:rsidRDefault="00D41BEC" w:rsidP="00212AB6">
      <w:pPr>
        <w:spacing w:line="360" w:lineRule="auto"/>
        <w:jc w:val="both"/>
        <w:rPr>
          <w:rFonts w:ascii="Palatino Linotype" w:hAnsi="Palatino Linotype"/>
        </w:rPr>
      </w:pPr>
      <w:r>
        <w:rPr>
          <w:rFonts w:ascii="Palatino Linotype" w:hAnsi="Palatino Linotype"/>
        </w:rPr>
        <w:t xml:space="preserve">La denuncia, se encuentra contemplada por la Ley de Transparencia y Acceso a la Información </w:t>
      </w:r>
      <w:r w:rsidR="00212AB6">
        <w:rPr>
          <w:rFonts w:ascii="Palatino Linotype" w:hAnsi="Palatino Linotype"/>
        </w:rPr>
        <w:t xml:space="preserve">Pública </w:t>
      </w:r>
      <w:r>
        <w:rPr>
          <w:rFonts w:ascii="Palatino Linotype" w:hAnsi="Palatino Linotype"/>
        </w:rPr>
        <w:t xml:space="preserve">del Estado de México </w:t>
      </w:r>
      <w:r w:rsidR="00212AB6">
        <w:rPr>
          <w:rFonts w:ascii="Palatino Linotype" w:hAnsi="Palatino Linotype"/>
        </w:rPr>
        <w:t xml:space="preserve">y Municipios en el </w:t>
      </w:r>
      <w:r w:rsidR="00212AB6" w:rsidRPr="00212AB6">
        <w:rPr>
          <w:rFonts w:ascii="Palatino Linotype" w:hAnsi="Palatino Linotype"/>
          <w:i/>
        </w:rPr>
        <w:t>Capítulo VI, Del Incumplimiento a las Obligaciones de Transparencia</w:t>
      </w:r>
      <w:r w:rsidR="00212AB6">
        <w:rPr>
          <w:rFonts w:ascii="Palatino Linotype" w:hAnsi="Palatino Linotype"/>
          <w:i/>
        </w:rPr>
        <w:t xml:space="preserve"> </w:t>
      </w:r>
      <w:r w:rsidR="00212AB6">
        <w:rPr>
          <w:rFonts w:ascii="Palatino Linotype" w:hAnsi="Palatino Linotype"/>
        </w:rPr>
        <w:t>en el que si bien es cierto señala que c</w:t>
      </w:r>
      <w:r w:rsidR="00212AB6" w:rsidRPr="00212AB6">
        <w:rPr>
          <w:rFonts w:ascii="Palatino Linotype" w:hAnsi="Palatino Linotype"/>
        </w:rPr>
        <w:t>ualquier persona podrá denunciar ante el Instituto la falta de publicación de las obligaciones de</w:t>
      </w:r>
      <w:r w:rsidR="00212AB6">
        <w:rPr>
          <w:rFonts w:ascii="Palatino Linotype" w:hAnsi="Palatino Linotype"/>
        </w:rPr>
        <w:t xml:space="preserve"> </w:t>
      </w:r>
      <w:r w:rsidR="00212AB6" w:rsidRPr="00212AB6">
        <w:rPr>
          <w:rFonts w:ascii="Palatino Linotype" w:hAnsi="Palatino Linotype"/>
        </w:rPr>
        <w:t>transparencia previstas en la presente Ley y demás disposiciones jurídicas aplicables, en sus respectivos ámbitos de</w:t>
      </w:r>
      <w:r w:rsidR="00212AB6">
        <w:rPr>
          <w:rFonts w:ascii="Palatino Linotype" w:hAnsi="Palatino Linotype"/>
        </w:rPr>
        <w:t xml:space="preserve"> competencia, también lo es que no se establece ninguna limitante al fondo de las denuncias, pues en su caso será el Instituto quien determine las competencias de las áreas que lo integran para que puedan actuar al respecto.</w:t>
      </w:r>
    </w:p>
    <w:p w:rsidR="00212AB6" w:rsidRDefault="00212AB6" w:rsidP="00212AB6">
      <w:pPr>
        <w:spacing w:line="360" w:lineRule="auto"/>
        <w:jc w:val="both"/>
        <w:rPr>
          <w:rFonts w:ascii="Palatino Linotype" w:hAnsi="Palatino Linotype"/>
        </w:rPr>
      </w:pPr>
    </w:p>
    <w:p w:rsidR="00B0141A" w:rsidRDefault="00B0141A" w:rsidP="00B0141A">
      <w:pPr>
        <w:ind w:left="709" w:right="757"/>
        <w:jc w:val="both"/>
        <w:rPr>
          <w:rFonts w:ascii="Palatino Linotype" w:hAnsi="Palatino Linotype"/>
          <w:i/>
          <w:sz w:val="22"/>
        </w:rPr>
      </w:pPr>
      <w:r>
        <w:rPr>
          <w:rFonts w:ascii="Palatino Linotype" w:hAnsi="Palatino Linotype"/>
          <w:b/>
          <w:i/>
          <w:sz w:val="22"/>
        </w:rPr>
        <w:t>“</w:t>
      </w:r>
      <w:r w:rsidRPr="00B0141A">
        <w:rPr>
          <w:rFonts w:ascii="Palatino Linotype" w:hAnsi="Palatino Linotype"/>
          <w:b/>
          <w:i/>
          <w:sz w:val="22"/>
        </w:rPr>
        <w:t>Artículo 114</w:t>
      </w:r>
      <w:r w:rsidRPr="00B0141A">
        <w:rPr>
          <w:rFonts w:ascii="Palatino Linotype" w:hAnsi="Palatino Linotype"/>
          <w:i/>
          <w:sz w:val="22"/>
        </w:rPr>
        <w:t>. La denuncia podrá presentarse de la forma siguiente:</w:t>
      </w:r>
    </w:p>
    <w:p w:rsidR="00B0141A" w:rsidRPr="00B0141A" w:rsidRDefault="00B0141A" w:rsidP="00B0141A">
      <w:pPr>
        <w:ind w:left="709" w:right="757"/>
        <w:jc w:val="both"/>
        <w:rPr>
          <w:rFonts w:ascii="Palatino Linotype" w:hAnsi="Palatino Linotype"/>
          <w:i/>
          <w:sz w:val="22"/>
        </w:rPr>
      </w:pPr>
    </w:p>
    <w:p w:rsidR="00B0141A" w:rsidRPr="00B0141A" w:rsidRDefault="00B0141A" w:rsidP="00B0141A">
      <w:pPr>
        <w:ind w:left="709" w:right="757"/>
        <w:jc w:val="both"/>
        <w:rPr>
          <w:rFonts w:ascii="Palatino Linotype" w:hAnsi="Palatino Linotype"/>
          <w:i/>
          <w:sz w:val="22"/>
        </w:rPr>
      </w:pPr>
      <w:r w:rsidRPr="00B0141A">
        <w:rPr>
          <w:rFonts w:ascii="Palatino Linotype" w:hAnsi="Palatino Linotype"/>
          <w:b/>
          <w:i/>
          <w:sz w:val="22"/>
        </w:rPr>
        <w:t>I. Por medio electrónico</w:t>
      </w:r>
      <w:r w:rsidRPr="00B0141A">
        <w:rPr>
          <w:rFonts w:ascii="Palatino Linotype" w:hAnsi="Palatino Linotype"/>
          <w:i/>
          <w:sz w:val="22"/>
        </w:rPr>
        <w:t>: A través del sitio o plataforma electrónica respectiva que se habilite, o por correo electrónico,</w:t>
      </w:r>
      <w:r>
        <w:rPr>
          <w:rFonts w:ascii="Palatino Linotype" w:hAnsi="Palatino Linotype"/>
          <w:i/>
          <w:sz w:val="22"/>
        </w:rPr>
        <w:t xml:space="preserve"> </w:t>
      </w:r>
      <w:r w:rsidRPr="00B0141A">
        <w:rPr>
          <w:rFonts w:ascii="Palatino Linotype" w:hAnsi="Palatino Linotype"/>
          <w:i/>
          <w:sz w:val="22"/>
        </w:rPr>
        <w:t>dirigido a la dirección electrónica que al efecto se establezca; y</w:t>
      </w:r>
    </w:p>
    <w:p w:rsidR="00B0141A" w:rsidRPr="00B0141A" w:rsidRDefault="00B0141A" w:rsidP="00B0141A">
      <w:pPr>
        <w:ind w:left="709" w:right="757"/>
        <w:jc w:val="both"/>
        <w:rPr>
          <w:rFonts w:ascii="Palatino Linotype" w:hAnsi="Palatino Linotype"/>
          <w:i/>
          <w:sz w:val="22"/>
        </w:rPr>
      </w:pPr>
      <w:r w:rsidRPr="00B0141A">
        <w:rPr>
          <w:rFonts w:ascii="Palatino Linotype" w:hAnsi="Palatino Linotype"/>
          <w:b/>
          <w:i/>
          <w:sz w:val="22"/>
        </w:rPr>
        <w:t>II. Por escrito</w:t>
      </w:r>
      <w:r w:rsidRPr="00B0141A">
        <w:rPr>
          <w:rFonts w:ascii="Palatino Linotype" w:hAnsi="Palatino Linotype"/>
          <w:i/>
          <w:sz w:val="22"/>
        </w:rPr>
        <w:t>: presentado físicamente, ante la Unidad de Transparencia del Instituto.</w:t>
      </w:r>
    </w:p>
    <w:p w:rsidR="00B0141A" w:rsidRDefault="00B0141A" w:rsidP="00B0141A">
      <w:pPr>
        <w:ind w:left="709" w:right="757"/>
        <w:jc w:val="both"/>
        <w:rPr>
          <w:rFonts w:ascii="Palatino Linotype" w:hAnsi="Palatino Linotype"/>
          <w:i/>
          <w:sz w:val="22"/>
        </w:rPr>
      </w:pPr>
    </w:p>
    <w:p w:rsidR="00212AB6" w:rsidRPr="00B0141A" w:rsidRDefault="00B0141A" w:rsidP="00B0141A">
      <w:pPr>
        <w:ind w:left="709" w:right="757"/>
        <w:jc w:val="both"/>
        <w:rPr>
          <w:rFonts w:ascii="Palatino Linotype" w:hAnsi="Palatino Linotype"/>
          <w:i/>
          <w:sz w:val="22"/>
        </w:rPr>
      </w:pPr>
      <w:r w:rsidRPr="00B0141A">
        <w:rPr>
          <w:rFonts w:ascii="Palatino Linotype" w:hAnsi="Palatino Linotype"/>
          <w:b/>
          <w:i/>
          <w:sz w:val="22"/>
        </w:rPr>
        <w:t>Artículo 115. El Instituto pondrá a disposición de los particulares el formato de denuncia correspondiente</w:t>
      </w:r>
      <w:r w:rsidRPr="00B0141A">
        <w:rPr>
          <w:rFonts w:ascii="Palatino Linotype" w:hAnsi="Palatino Linotype"/>
          <w:i/>
          <w:sz w:val="22"/>
        </w:rPr>
        <w:t>, a efecto de que</w:t>
      </w:r>
      <w:r>
        <w:rPr>
          <w:rFonts w:ascii="Palatino Linotype" w:hAnsi="Palatino Linotype"/>
          <w:i/>
          <w:sz w:val="22"/>
        </w:rPr>
        <w:t xml:space="preserve"> </w:t>
      </w:r>
      <w:r w:rsidRPr="00B0141A">
        <w:rPr>
          <w:rFonts w:ascii="Palatino Linotype" w:hAnsi="Palatino Linotype"/>
          <w:i/>
          <w:sz w:val="22"/>
        </w:rPr>
        <w:t>estos, si así lo deciden, puedan utilizarlos. Asimismo, los particulares podrán optar por un escrito libre, conforme a lo</w:t>
      </w:r>
      <w:r>
        <w:rPr>
          <w:rFonts w:ascii="Palatino Linotype" w:hAnsi="Palatino Linotype"/>
          <w:i/>
          <w:sz w:val="22"/>
        </w:rPr>
        <w:t xml:space="preserve"> </w:t>
      </w:r>
      <w:r w:rsidRPr="00B0141A">
        <w:rPr>
          <w:rFonts w:ascii="Palatino Linotype" w:hAnsi="Palatino Linotype"/>
          <w:i/>
          <w:sz w:val="22"/>
        </w:rPr>
        <w:t>previsto en esta Ley.</w:t>
      </w:r>
      <w:r>
        <w:rPr>
          <w:rFonts w:ascii="Palatino Linotype" w:hAnsi="Palatino Linotype"/>
          <w:i/>
          <w:sz w:val="22"/>
        </w:rPr>
        <w:t>”</w:t>
      </w:r>
      <w:r w:rsidR="00212AB6" w:rsidRPr="00B0141A">
        <w:rPr>
          <w:rFonts w:ascii="Palatino Linotype" w:hAnsi="Palatino Linotype"/>
          <w:i/>
          <w:sz w:val="22"/>
        </w:rPr>
        <w:t xml:space="preserve"> </w:t>
      </w:r>
    </w:p>
    <w:p w:rsidR="00D41BEC" w:rsidRPr="00212AB6" w:rsidRDefault="00D41BEC" w:rsidP="001A4877">
      <w:pPr>
        <w:spacing w:line="360" w:lineRule="auto"/>
        <w:jc w:val="both"/>
        <w:rPr>
          <w:rFonts w:ascii="Palatino Linotype" w:hAnsi="Palatino Linotype"/>
          <w:i/>
        </w:rPr>
      </w:pPr>
    </w:p>
    <w:p w:rsidR="00B0141A" w:rsidRDefault="00B0141A" w:rsidP="00B0141A">
      <w:pPr>
        <w:spacing w:line="360" w:lineRule="auto"/>
        <w:jc w:val="both"/>
        <w:rPr>
          <w:rFonts w:ascii="Palatino Linotype" w:hAnsi="Palatino Linotype" w:cs="Arial"/>
        </w:rPr>
      </w:pPr>
      <w:r>
        <w:rPr>
          <w:rFonts w:ascii="Palatino Linotype" w:hAnsi="Palatino Linotype"/>
        </w:rPr>
        <w:t xml:space="preserve">No obstante, </w:t>
      </w:r>
      <w:r w:rsidRPr="00304437">
        <w:rPr>
          <w:rFonts w:ascii="Palatino Linotype" w:hAnsi="Palatino Linotype" w:cs="Arial"/>
        </w:rPr>
        <w:t>no se obvia puntualizar que</w:t>
      </w:r>
      <w:r w:rsidRPr="00304437">
        <w:rPr>
          <w:rFonts w:ascii="Palatino Linotype" w:eastAsia="Calibri" w:hAnsi="Palatino Linotype" w:cs="Bookman Old Style,Bold"/>
          <w:bCs/>
          <w:color w:val="0D0D0D"/>
          <w:lang w:eastAsia="en-US"/>
        </w:rPr>
        <w:t xml:space="preserve">, </w:t>
      </w:r>
      <w:r w:rsidRPr="00304437">
        <w:rPr>
          <w:rFonts w:ascii="Palatino Linotype" w:eastAsia="Calibri" w:hAnsi="Palatino Linotype" w:cs="Arial"/>
          <w:b/>
          <w:bCs/>
          <w:color w:val="000000"/>
          <w:lang w:eastAsia="es-MX"/>
        </w:rPr>
        <w:t>EL SUJETO OBLIGADO</w:t>
      </w:r>
      <w:r w:rsidRPr="00304437">
        <w:rPr>
          <w:rFonts w:ascii="Palatino Linotype" w:eastAsia="Calibri" w:hAnsi="Palatino Linotype" w:cs="Bookman Old Style,Bold"/>
          <w:bCs/>
          <w:color w:val="0D0D0D"/>
          <w:lang w:eastAsia="en-US"/>
        </w:rPr>
        <w:t xml:space="preserve"> al </w:t>
      </w:r>
      <w:r>
        <w:rPr>
          <w:rFonts w:ascii="Palatino Linotype" w:eastAsia="Calibri" w:hAnsi="Palatino Linotype" w:cs="Bookman Old Style,Bold"/>
          <w:bCs/>
          <w:color w:val="0D0D0D"/>
          <w:lang w:eastAsia="en-US"/>
        </w:rPr>
        <w:t xml:space="preserve">no haber protegido datos personales de particulares </w:t>
      </w:r>
      <w:r w:rsidRPr="00304437">
        <w:rPr>
          <w:rFonts w:ascii="Palatino Linotype" w:eastAsia="Calibri" w:hAnsi="Palatino Linotype" w:cs="Bookman Old Style,Bold"/>
          <w:bCs/>
          <w:color w:val="0D0D0D"/>
          <w:lang w:eastAsia="en-US"/>
        </w:rPr>
        <w:t>susceptibles de ser testados</w:t>
      </w:r>
      <w:r>
        <w:rPr>
          <w:rFonts w:ascii="Palatino Linotype" w:eastAsia="Calibri" w:hAnsi="Palatino Linotype" w:cs="Bookman Old Style,Bold"/>
          <w:bCs/>
          <w:color w:val="0D0D0D"/>
          <w:lang w:eastAsia="en-US"/>
        </w:rPr>
        <w:t xml:space="preserve"> y haberlos difundido mediante la </w:t>
      </w:r>
      <w:r w:rsidRPr="00304437">
        <w:rPr>
          <w:rFonts w:ascii="Palatino Linotype" w:eastAsia="Calibri" w:hAnsi="Palatino Linotype" w:cs="Bookman Old Style,Bold"/>
          <w:bCs/>
          <w:color w:val="0D0D0D"/>
          <w:lang w:eastAsia="en-US"/>
        </w:rPr>
        <w:t xml:space="preserve">respuesta otorgada al </w:t>
      </w:r>
      <w:r>
        <w:rPr>
          <w:rFonts w:ascii="Palatino Linotype" w:eastAsia="Calibri" w:hAnsi="Palatino Linotype" w:cs="Bookman Old Style,Bold"/>
          <w:b/>
          <w:bCs/>
          <w:color w:val="0D0D0D"/>
          <w:lang w:eastAsia="en-US"/>
        </w:rPr>
        <w:t>RECURRENTE</w:t>
      </w:r>
      <w:r w:rsidRPr="00304437">
        <w:rPr>
          <w:rFonts w:ascii="Palatino Linotype" w:hAnsi="Palatino Linotype" w:cs="Arial"/>
        </w:rPr>
        <w:t>; es así que</w:t>
      </w:r>
      <w:r>
        <w:rPr>
          <w:rFonts w:ascii="Palatino Linotype" w:hAnsi="Palatino Linotype" w:cs="Arial"/>
        </w:rPr>
        <w:t>,</w:t>
      </w:r>
      <w:r w:rsidRPr="00304437">
        <w:rPr>
          <w:rFonts w:ascii="Palatino Linotype" w:hAnsi="Palatino Linotype" w:cs="Arial"/>
        </w:rPr>
        <w:t xml:space="preserve"> resulta dable de conformidad con lo establecido en el artículo 190 de la Ley de Transparencia y Acceso a la Información Pública del Estado de México y Municipios, </w:t>
      </w:r>
      <w:r w:rsidRPr="00502572">
        <w:rPr>
          <w:rFonts w:ascii="Palatino Linotype" w:hAnsi="Palatino Linotype" w:cs="Arial"/>
          <w:b/>
        </w:rPr>
        <w:t>dar vista</w:t>
      </w:r>
      <w:r w:rsidRPr="00304437">
        <w:rPr>
          <w:rFonts w:ascii="Palatino Linotype" w:hAnsi="Palatino Linotype" w:cs="Arial"/>
        </w:rPr>
        <w:t xml:space="preserve"> al Titular de la Contraloría Interna y Órgano de Control y Vigilancia de este Instituto, a fin de que en el ámbito de sus atribuciones, determine lo conducente.</w:t>
      </w:r>
    </w:p>
    <w:p w:rsidR="00CD79C4" w:rsidRDefault="00CD79C4" w:rsidP="00CD79C4">
      <w:pPr>
        <w:spacing w:line="360" w:lineRule="auto"/>
        <w:jc w:val="both"/>
        <w:rPr>
          <w:rFonts w:ascii="Palatino Linotype" w:hAnsi="Palatino Linotype" w:cs="Arial"/>
        </w:rPr>
      </w:pPr>
    </w:p>
    <w:p w:rsidR="00B0141A" w:rsidRPr="00CD79C4" w:rsidRDefault="00CD79C4" w:rsidP="00CD79C4">
      <w:pPr>
        <w:ind w:left="709" w:right="757"/>
        <w:jc w:val="both"/>
        <w:rPr>
          <w:rFonts w:ascii="Palatino Linotype" w:hAnsi="Palatino Linotype" w:cs="Arial"/>
          <w:i/>
          <w:sz w:val="22"/>
        </w:rPr>
      </w:pPr>
      <w:r>
        <w:rPr>
          <w:rFonts w:ascii="Palatino Linotype" w:hAnsi="Palatino Linotype" w:cs="Arial"/>
          <w:i/>
          <w:sz w:val="22"/>
        </w:rPr>
        <w:t>“</w:t>
      </w:r>
      <w:r w:rsidRPr="00CD79C4">
        <w:rPr>
          <w:rFonts w:ascii="Palatino Linotype" w:hAnsi="Palatino Linotype" w:cs="Arial"/>
          <w:b/>
          <w:i/>
          <w:sz w:val="22"/>
        </w:rPr>
        <w:t>Artículo 190</w:t>
      </w:r>
      <w:r w:rsidRPr="00CD79C4">
        <w:rPr>
          <w:rFonts w:ascii="Palatino Linotype" w:hAnsi="Palatino Linotype" w:cs="Arial"/>
          <w:i/>
          <w:sz w:val="22"/>
        </w:rPr>
        <w:t xml:space="preserve">. Cuando el Instituto determine durante la sustanciación del recurso de revisión que </w:t>
      </w:r>
      <w:r w:rsidRPr="00CD79C4">
        <w:rPr>
          <w:rFonts w:ascii="Palatino Linotype" w:hAnsi="Palatino Linotype" w:cs="Arial"/>
          <w:b/>
          <w:i/>
          <w:sz w:val="22"/>
        </w:rPr>
        <w:t>pudo haberse incurrido en una probable responsabilidad por el incumplimiento a las obligaciones previstas en esta Ley</w:t>
      </w:r>
      <w:r w:rsidRPr="00CD79C4">
        <w:rPr>
          <w:rFonts w:ascii="Palatino Linotype" w:hAnsi="Palatino Linotype" w:cs="Arial"/>
          <w:i/>
          <w:sz w:val="22"/>
        </w:rPr>
        <w:t xml:space="preserve"> y las demás disposiciones</w:t>
      </w:r>
      <w:r>
        <w:rPr>
          <w:rFonts w:ascii="Palatino Linotype" w:hAnsi="Palatino Linotype" w:cs="Arial"/>
          <w:i/>
          <w:sz w:val="22"/>
        </w:rPr>
        <w:t xml:space="preserve"> </w:t>
      </w:r>
      <w:r w:rsidRPr="00CD79C4">
        <w:rPr>
          <w:rFonts w:ascii="Palatino Linotype" w:hAnsi="Palatino Linotype" w:cs="Arial"/>
          <w:i/>
          <w:sz w:val="22"/>
        </w:rPr>
        <w:t xml:space="preserve">jurídicas aplicables en la materia, </w:t>
      </w:r>
      <w:r w:rsidRPr="00CD79C4">
        <w:rPr>
          <w:rFonts w:ascii="Palatino Linotype" w:hAnsi="Palatino Linotype" w:cs="Arial"/>
          <w:b/>
          <w:i/>
          <w:sz w:val="22"/>
        </w:rPr>
        <w:t>deberá hacerlo del conocimiento del órgano de control interno de la instancia competente</w:t>
      </w:r>
      <w:r>
        <w:rPr>
          <w:rFonts w:ascii="Palatino Linotype" w:hAnsi="Palatino Linotype" w:cs="Arial"/>
          <w:i/>
          <w:sz w:val="22"/>
        </w:rPr>
        <w:t xml:space="preserve"> </w:t>
      </w:r>
      <w:r w:rsidRPr="00CD79C4">
        <w:rPr>
          <w:rFonts w:ascii="Palatino Linotype" w:hAnsi="Palatino Linotype" w:cs="Arial"/>
          <w:i/>
          <w:sz w:val="22"/>
        </w:rPr>
        <w:t>para que éste inicie, en su caso, el procedimiento de responsabilidad respectivo, cuyo resultado deberá de ser informado al</w:t>
      </w:r>
      <w:r>
        <w:rPr>
          <w:rFonts w:ascii="Palatino Linotype" w:hAnsi="Palatino Linotype" w:cs="Arial"/>
          <w:i/>
          <w:sz w:val="22"/>
        </w:rPr>
        <w:t xml:space="preserve"> </w:t>
      </w:r>
      <w:r w:rsidRPr="00CD79C4">
        <w:rPr>
          <w:rFonts w:ascii="Palatino Linotype" w:hAnsi="Palatino Linotype" w:cs="Arial"/>
          <w:i/>
          <w:sz w:val="22"/>
        </w:rPr>
        <w:t>Instituto.</w:t>
      </w:r>
    </w:p>
    <w:p w:rsidR="00D41BEC" w:rsidRDefault="00D41BEC" w:rsidP="001A4877">
      <w:pPr>
        <w:spacing w:line="360" w:lineRule="auto"/>
        <w:jc w:val="both"/>
        <w:rPr>
          <w:rFonts w:ascii="Palatino Linotype" w:hAnsi="Palatino Linotype"/>
        </w:rPr>
      </w:pPr>
    </w:p>
    <w:p w:rsidR="00B0141A" w:rsidRPr="00304437" w:rsidRDefault="00CD79C4" w:rsidP="00B0141A">
      <w:pPr>
        <w:pStyle w:val="Prrafodelista"/>
        <w:spacing w:line="360" w:lineRule="auto"/>
        <w:ind w:left="0" w:right="49"/>
        <w:jc w:val="both"/>
        <w:rPr>
          <w:rFonts w:ascii="Palatino Linotype" w:hAnsi="Palatino Linotype" w:cs="Arial"/>
        </w:rPr>
      </w:pPr>
      <w:r w:rsidRPr="00502572">
        <w:rPr>
          <w:rFonts w:ascii="Palatino Linotype" w:hAnsi="Palatino Linotype"/>
        </w:rPr>
        <w:t>Por otra parte,</w:t>
      </w:r>
      <w:r w:rsidR="00B0141A" w:rsidRPr="00502572">
        <w:rPr>
          <w:rFonts w:ascii="Palatino Linotype" w:hAnsi="Palatino Linotype" w:cs="Arial"/>
          <w:szCs w:val="23"/>
        </w:rPr>
        <w:t xml:space="preserve"> no se omite señalar que </w:t>
      </w:r>
      <w:r w:rsidR="00B0141A" w:rsidRPr="00502572">
        <w:rPr>
          <w:rFonts w:ascii="Palatino Linotype" w:hAnsi="Palatino Linotype" w:cs="Arial"/>
          <w:b/>
          <w:szCs w:val="23"/>
        </w:rPr>
        <w:t>EL RECURRENTE</w:t>
      </w:r>
      <w:r w:rsidR="00B0141A" w:rsidRPr="00502572">
        <w:rPr>
          <w:rFonts w:ascii="Palatino Linotype" w:hAnsi="Palatino Linotype" w:cs="Arial"/>
          <w:szCs w:val="23"/>
        </w:rPr>
        <w:t xml:space="preserve"> en el ejercicio de su derecho</w:t>
      </w:r>
      <w:r w:rsidR="00B0141A" w:rsidRPr="00304437">
        <w:rPr>
          <w:rFonts w:ascii="Palatino Linotype" w:hAnsi="Palatino Linotype" w:cs="Arial"/>
          <w:szCs w:val="23"/>
        </w:rPr>
        <w:t xml:space="preserve"> a impugnar la respuesta del </w:t>
      </w:r>
      <w:r w:rsidR="00B0141A" w:rsidRPr="00304437">
        <w:rPr>
          <w:rFonts w:ascii="Palatino Linotype" w:hAnsi="Palatino Linotype" w:cs="Arial"/>
          <w:b/>
          <w:szCs w:val="23"/>
        </w:rPr>
        <w:t>SUJETO OBLIGADO</w:t>
      </w:r>
      <w:r w:rsidR="00B0141A" w:rsidRPr="00304437">
        <w:rPr>
          <w:rFonts w:ascii="Palatino Linotype" w:hAnsi="Palatino Linotype" w:cs="Arial"/>
          <w:szCs w:val="23"/>
        </w:rPr>
        <w:t xml:space="preserve"> mediante la interposición del recurso de revisión, se advierte que solicita </w:t>
      </w:r>
      <w:r>
        <w:rPr>
          <w:rFonts w:ascii="Palatino Linotype" w:hAnsi="Palatino Linotype" w:cs="Arial"/>
          <w:szCs w:val="23"/>
        </w:rPr>
        <w:t>el aviso de privacidad del Organismo</w:t>
      </w:r>
      <w:r w:rsidR="00B0141A" w:rsidRPr="00304437">
        <w:rPr>
          <w:rFonts w:ascii="Palatino Linotype" w:hAnsi="Palatino Linotype"/>
        </w:rPr>
        <w:t>, lo cual no forma parte de la solicitud de información, por lo tanto, se trata de una nueva solicitud de acceso a la información pública que no fue requerida inicialmente; p</w:t>
      </w:r>
      <w:r w:rsidR="00B0141A" w:rsidRPr="00304437">
        <w:rPr>
          <w:rFonts w:ascii="Palatino Linotype" w:hAnsi="Palatino Linotype" w:cs="Arial"/>
        </w:rPr>
        <w:t xml:space="preserve">or lo que, de acuerdo al contenido tanto de la solicitud de información como del escrito de interposición del recurso, resulta claro que </w:t>
      </w:r>
      <w:r w:rsidR="00B0141A" w:rsidRPr="00304437">
        <w:rPr>
          <w:rFonts w:ascii="Palatino Linotype" w:hAnsi="Palatino Linotype" w:cs="Arial"/>
          <w:b/>
        </w:rPr>
        <w:t>EL RECURRENTE,</w:t>
      </w:r>
      <w:r w:rsidR="00B0141A" w:rsidRPr="00304437">
        <w:rPr>
          <w:rFonts w:ascii="Palatino Linotype" w:hAnsi="Palatino Linotype" w:cs="Arial"/>
        </w:rPr>
        <w:t xml:space="preserve"> pretende ampliar los alcances de la solicitud de información. </w:t>
      </w:r>
    </w:p>
    <w:p w:rsidR="00B0141A" w:rsidRPr="00304437" w:rsidRDefault="00B0141A" w:rsidP="00B0141A">
      <w:pPr>
        <w:pStyle w:val="Prrafodelista"/>
        <w:spacing w:line="360" w:lineRule="auto"/>
        <w:ind w:left="0" w:right="49"/>
        <w:jc w:val="both"/>
        <w:rPr>
          <w:rFonts w:ascii="Palatino Linotype" w:hAnsi="Palatino Linotype" w:cs="Arial"/>
        </w:rPr>
      </w:pPr>
    </w:p>
    <w:p w:rsidR="00B0141A" w:rsidRPr="00304437" w:rsidRDefault="00B0141A" w:rsidP="00B0141A">
      <w:pPr>
        <w:pStyle w:val="Prrafodelista"/>
        <w:spacing w:line="360" w:lineRule="auto"/>
        <w:ind w:left="0" w:right="49"/>
        <w:jc w:val="both"/>
        <w:rPr>
          <w:rFonts w:ascii="Palatino Linotype" w:hAnsi="Palatino Linotype"/>
        </w:rPr>
      </w:pPr>
      <w:r w:rsidRPr="00304437">
        <w:rPr>
          <w:rFonts w:ascii="Palatino Linotype" w:hAnsi="Palatino Linotype" w:cs="Arial"/>
        </w:rPr>
        <w:t>Siendo así que, en términos del artículo 36, fracción II  de la de la Ley de Transparencia y Acceso a la Información Pública del Estado de México y Municipios,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rsidR="00B0141A" w:rsidRPr="00304437" w:rsidRDefault="00B0141A" w:rsidP="00B0141A">
      <w:pPr>
        <w:spacing w:line="360" w:lineRule="auto"/>
        <w:jc w:val="both"/>
        <w:rPr>
          <w:rFonts w:ascii="Palatino Linotype" w:hAnsi="Palatino Linotype" w:cs="Arial"/>
        </w:rPr>
      </w:pPr>
    </w:p>
    <w:p w:rsidR="00B0141A" w:rsidRPr="00304437" w:rsidRDefault="00B0141A" w:rsidP="00B0141A">
      <w:pPr>
        <w:spacing w:line="360" w:lineRule="auto"/>
        <w:jc w:val="both"/>
        <w:rPr>
          <w:rFonts w:ascii="Palatino Linotype" w:hAnsi="Palatino Linotype" w:cs="Arial"/>
        </w:rPr>
      </w:pPr>
      <w:r w:rsidRPr="00304437">
        <w:rPr>
          <w:rFonts w:ascii="Palatino Linotype" w:hAnsi="Palatino Linotype" w:cs="Arial"/>
        </w:rPr>
        <w:t xml:space="preserve">En efecto, </w:t>
      </w:r>
      <w:r w:rsidRPr="00304437">
        <w:rPr>
          <w:rFonts w:ascii="Palatino Linotype" w:hAnsi="Palatino Linotype" w:cs="Arial"/>
          <w:b/>
        </w:rPr>
        <w:t>EL RECURRENTE</w:t>
      </w:r>
      <w:r w:rsidRPr="00304437">
        <w:rPr>
          <w:rFonts w:ascii="Palatino Linotype" w:hAnsi="Palatino Linotype" w:cs="Arial"/>
        </w:rPr>
        <w:t xml:space="preserve"> al momento de la interposición del recurso amplía su solicitud y se excede dentro de su inconformidad respecto a lo requerido originalmente en la solicitud de información, siendo el caso que pretende ampliar lo solicitado de origen, </w:t>
      </w:r>
      <w:r>
        <w:rPr>
          <w:rFonts w:ascii="Palatino Linotype" w:hAnsi="Palatino Linotype" w:cs="Arial"/>
        </w:rPr>
        <w:t>actualizándose con ello,</w:t>
      </w:r>
      <w:r w:rsidRPr="00304437">
        <w:rPr>
          <w:rFonts w:ascii="Palatino Linotype" w:hAnsi="Palatino Linotype" w:cs="Arial"/>
        </w:rPr>
        <w:t xml:space="preserve"> lo que en la teoría jurídica se le denomina como </w:t>
      </w:r>
      <w:r w:rsidRPr="00304437">
        <w:rPr>
          <w:rFonts w:ascii="Palatino Linotype" w:hAnsi="Palatino Linotype" w:cs="Arial"/>
          <w:i/>
        </w:rPr>
        <w:t xml:space="preserve">plus </w:t>
      </w:r>
      <w:proofErr w:type="spellStart"/>
      <w:r w:rsidRPr="00304437">
        <w:rPr>
          <w:rFonts w:ascii="Palatino Linotype" w:hAnsi="Palatino Linotype" w:cs="Arial"/>
          <w:i/>
        </w:rPr>
        <w:t>petitio</w:t>
      </w:r>
      <w:proofErr w:type="spellEnd"/>
      <w:r w:rsidRPr="00304437">
        <w:rPr>
          <w:rFonts w:ascii="Palatino Linotype" w:hAnsi="Palatino Linotype" w:cs="Arial"/>
        </w:rPr>
        <w:t>.</w:t>
      </w:r>
    </w:p>
    <w:p w:rsidR="00B0141A" w:rsidRPr="00304437" w:rsidRDefault="00B0141A" w:rsidP="00B0141A">
      <w:pPr>
        <w:spacing w:line="360" w:lineRule="auto"/>
        <w:jc w:val="both"/>
        <w:rPr>
          <w:rFonts w:ascii="Palatino Linotype" w:hAnsi="Palatino Linotype" w:cs="Arial"/>
        </w:rPr>
      </w:pPr>
    </w:p>
    <w:p w:rsidR="00B0141A" w:rsidRPr="00304437" w:rsidRDefault="00B0141A" w:rsidP="00B0141A">
      <w:pPr>
        <w:spacing w:line="360" w:lineRule="auto"/>
        <w:jc w:val="both"/>
        <w:rPr>
          <w:rFonts w:ascii="Palatino Linotype" w:hAnsi="Palatino Linotype" w:cs="Arial"/>
        </w:rPr>
      </w:pPr>
      <w:r w:rsidRPr="00304437">
        <w:rPr>
          <w:rFonts w:ascii="Palatino Linotype" w:hAnsi="Palatino Linotype" w:cs="Arial"/>
        </w:rPr>
        <w:t>Sirve de apoyo a lo anterior por analogía, la Jurisprudencia No. 29 visible a foja 19 del Apéndice al Semanario Judicial de la Federación 1917-1995, Torno VI, Materia Común, Primera Parte, Tesis de la Suprema Corte de Justicia, que enseña:</w:t>
      </w:r>
    </w:p>
    <w:p w:rsidR="00B0141A" w:rsidRPr="00304437" w:rsidRDefault="00B0141A" w:rsidP="00B0141A">
      <w:pPr>
        <w:spacing w:line="360" w:lineRule="auto"/>
        <w:jc w:val="both"/>
        <w:rPr>
          <w:rFonts w:ascii="Palatino Linotype" w:hAnsi="Palatino Linotype" w:cs="Arial"/>
        </w:rPr>
      </w:pPr>
    </w:p>
    <w:p w:rsidR="00B0141A" w:rsidRPr="00304437" w:rsidRDefault="00B0141A" w:rsidP="00B0141A">
      <w:pPr>
        <w:ind w:left="709" w:right="757"/>
        <w:jc w:val="both"/>
        <w:rPr>
          <w:rFonts w:ascii="Palatino Linotype" w:hAnsi="Palatino Linotype" w:cs="Arial"/>
          <w:b/>
          <w:sz w:val="22"/>
        </w:rPr>
      </w:pPr>
      <w:r w:rsidRPr="00304437">
        <w:rPr>
          <w:rFonts w:ascii="Palatino Linotype" w:hAnsi="Palatino Linotype" w:cs="Arial"/>
          <w:b/>
          <w:sz w:val="22"/>
        </w:rPr>
        <w:t>"</w:t>
      </w:r>
      <w:r w:rsidRPr="00304437">
        <w:rPr>
          <w:rFonts w:ascii="Palatino Linotype" w:hAnsi="Palatino Linotype" w:cs="Arial"/>
          <w:b/>
          <w:i/>
          <w:sz w:val="22"/>
        </w:rPr>
        <w:t>AGRAVIOS EN LA REVISION. DEBEN ESTAR EN RELACION DIRECTA CON LOS FUNDAMENTOS Y CONSIDERACIONES DE LA SENTENCIA</w:t>
      </w:r>
      <w:r w:rsidRPr="00304437">
        <w:rPr>
          <w:rFonts w:ascii="Palatino Linotype" w:hAnsi="Palatino Linotype" w:cs="Arial"/>
          <w:i/>
          <w:sz w:val="22"/>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304437">
        <w:rPr>
          <w:rFonts w:ascii="Palatino Linotype" w:hAnsi="Palatino Linotype" w:cs="Arial"/>
          <w:b/>
          <w:sz w:val="22"/>
        </w:rPr>
        <w:t>"</w:t>
      </w:r>
    </w:p>
    <w:p w:rsidR="00B0141A" w:rsidRPr="00304437" w:rsidRDefault="00B0141A" w:rsidP="00B0141A">
      <w:pPr>
        <w:spacing w:line="360" w:lineRule="auto"/>
        <w:ind w:left="709" w:right="757"/>
        <w:jc w:val="both"/>
        <w:rPr>
          <w:rFonts w:ascii="Palatino Linotype" w:hAnsi="Palatino Linotype" w:cs="Arial"/>
          <w:sz w:val="22"/>
        </w:rPr>
      </w:pPr>
    </w:p>
    <w:p w:rsidR="00B0141A" w:rsidRPr="00304437" w:rsidRDefault="00B0141A" w:rsidP="00B0141A">
      <w:pPr>
        <w:spacing w:line="360" w:lineRule="auto"/>
        <w:jc w:val="both"/>
        <w:rPr>
          <w:rFonts w:ascii="Palatino Linotype" w:hAnsi="Palatino Linotype" w:cs="Arial"/>
        </w:rPr>
      </w:pPr>
      <w:r w:rsidRPr="00304437">
        <w:rPr>
          <w:rFonts w:ascii="Palatino Linotype" w:hAnsi="Palatino Linotype" w:cs="Arial"/>
        </w:rPr>
        <w:t>Asimismo, resulta aplicable por analogía en el presente asunto, el fallo emitido por el Segundo Tribunal Colegiado del Cuarto Circuito, recaído en el amparo directo 277/88, que establece:</w:t>
      </w:r>
    </w:p>
    <w:p w:rsidR="00B0141A" w:rsidRPr="00304437" w:rsidRDefault="00B0141A" w:rsidP="00B0141A">
      <w:pPr>
        <w:spacing w:line="360" w:lineRule="auto"/>
        <w:jc w:val="both"/>
        <w:rPr>
          <w:rFonts w:ascii="Palatino Linotype" w:hAnsi="Palatino Linotype" w:cs="Arial"/>
        </w:rPr>
      </w:pPr>
    </w:p>
    <w:p w:rsidR="00B0141A" w:rsidRPr="00304437" w:rsidRDefault="00B0141A" w:rsidP="00B0141A">
      <w:pPr>
        <w:ind w:left="709" w:right="757"/>
        <w:jc w:val="both"/>
        <w:rPr>
          <w:rFonts w:ascii="Palatino Linotype" w:hAnsi="Palatino Linotype" w:cs="Arial"/>
          <w:b/>
          <w:sz w:val="22"/>
        </w:rPr>
      </w:pPr>
      <w:r w:rsidRPr="00304437">
        <w:rPr>
          <w:rFonts w:ascii="Palatino Linotype" w:hAnsi="Palatino Linotype" w:cs="Arial"/>
          <w:b/>
          <w:sz w:val="22"/>
        </w:rPr>
        <w:t>“</w:t>
      </w:r>
      <w:r w:rsidRPr="00304437">
        <w:rPr>
          <w:rFonts w:ascii="Palatino Linotype" w:hAnsi="Palatino Linotype" w:cs="Arial"/>
          <w:b/>
          <w:i/>
          <w:sz w:val="22"/>
        </w:rPr>
        <w:t>JUICIO DE NULIDAD LITIS EN EL. Interpretación de los artículos 215 y 237 DEL CÓDIGO FISCAL DE LA FEDERACIÓN.-</w:t>
      </w:r>
      <w:r w:rsidRPr="00304437">
        <w:rPr>
          <w:rFonts w:ascii="Palatino Linotype" w:hAnsi="Palatino Linotype" w:cs="Arial"/>
          <w:i/>
          <w:sz w:val="22"/>
        </w:rPr>
        <w:t xml:space="preserve">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w:t>
      </w:r>
      <w:r w:rsidRPr="003073D7">
        <w:rPr>
          <w:rFonts w:ascii="Palatino Linotype" w:hAnsi="Palatino Linotype" w:cs="Arial"/>
          <w:b/>
          <w:i/>
          <w:sz w:val="22"/>
        </w:rPr>
        <w:t>examinarán todos y cada uno de los puntos controvertidos, del acto impugnado</w:t>
      </w:r>
      <w:r w:rsidRPr="00304437">
        <w:rPr>
          <w:rFonts w:ascii="Palatino Linotype" w:hAnsi="Palatino Linotype" w:cs="Arial"/>
          <w:i/>
          <w:sz w:val="22"/>
        </w:rPr>
        <w:t xml:space="preserve">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304437">
        <w:rPr>
          <w:rFonts w:ascii="Palatino Linotype" w:hAnsi="Palatino Linotype" w:cs="Arial"/>
          <w:b/>
          <w:sz w:val="22"/>
        </w:rPr>
        <w:t>”</w:t>
      </w:r>
    </w:p>
    <w:p w:rsidR="00933E22" w:rsidRDefault="00933E22" w:rsidP="00B0141A">
      <w:pPr>
        <w:spacing w:line="360" w:lineRule="auto"/>
        <w:jc w:val="both"/>
        <w:rPr>
          <w:rFonts w:ascii="Palatino Linotype" w:hAnsi="Palatino Linotype" w:cs="Arial"/>
          <w:b/>
          <w:sz w:val="22"/>
        </w:rPr>
      </w:pPr>
      <w:r>
        <w:rPr>
          <w:rFonts w:ascii="Palatino Linotype" w:hAnsi="Palatino Linotype" w:cs="Arial"/>
          <w:b/>
          <w:noProof/>
          <w:sz w:val="22"/>
          <w:lang w:eastAsia="es-MX"/>
        </w:rPr>
        <mc:AlternateContent>
          <mc:Choice Requires="wps">
            <w:drawing>
              <wp:anchor distT="0" distB="0" distL="114300" distR="114300" simplePos="0" relativeHeight="251663360" behindDoc="0" locked="0" layoutInCell="1" allowOverlap="1">
                <wp:simplePos x="0" y="0"/>
                <wp:positionH relativeFrom="column">
                  <wp:posOffset>62865</wp:posOffset>
                </wp:positionH>
                <wp:positionV relativeFrom="paragraph">
                  <wp:posOffset>47625</wp:posOffset>
                </wp:positionV>
                <wp:extent cx="5715000" cy="8096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5715000"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E275F"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5pt,3.75pt" to="454.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" strokecolor="#5b9bd5 [3204]" strokeweight=".5pt">
                <v:stroke joinstyle="miter"/>
              </v:line>
            </w:pict>
          </mc:Fallback>
        </mc:AlternateContent>
      </w:r>
    </w:p>
    <w:p w:rsidR="00B0141A" w:rsidRPr="00304437" w:rsidRDefault="00B0141A" w:rsidP="00B0141A">
      <w:pPr>
        <w:spacing w:line="360" w:lineRule="auto"/>
        <w:jc w:val="both"/>
        <w:rPr>
          <w:rFonts w:ascii="Palatino Linotype" w:hAnsi="Palatino Linotype" w:cs="Arial"/>
        </w:rPr>
      </w:pPr>
      <w:r w:rsidRPr="00304437">
        <w:rPr>
          <w:rFonts w:ascii="Palatino Linotype" w:hAnsi="Palatino Linotype" w:cs="Arial"/>
        </w:rPr>
        <w:t xml:space="preserve">Por lo anterior, se establece que el recurso de revisión presentado por </w:t>
      </w:r>
      <w:r w:rsidRPr="00304437">
        <w:rPr>
          <w:rFonts w:ascii="Palatino Linotype" w:hAnsi="Palatino Linotype" w:cs="Arial"/>
          <w:b/>
        </w:rPr>
        <w:t>EL RECURRENTE</w:t>
      </w:r>
      <w:r w:rsidRPr="00304437">
        <w:rPr>
          <w:rFonts w:ascii="Palatino Linotype" w:hAnsi="Palatino Linotype" w:cs="Arial"/>
        </w:rPr>
        <w:t xml:space="preserve"> no debe variar el fondo de la </w:t>
      </w:r>
      <w:proofErr w:type="spellStart"/>
      <w:r w:rsidRPr="00304437">
        <w:rPr>
          <w:rFonts w:ascii="Palatino Linotype" w:hAnsi="Palatino Linotype" w:cs="Arial"/>
        </w:rPr>
        <w:t>litis</w:t>
      </w:r>
      <w:proofErr w:type="spellEnd"/>
      <w:r w:rsidRPr="00304437">
        <w:rPr>
          <w:rFonts w:ascii="Palatino Linotype" w:hAnsi="Palatino Linotype" w:cs="Arial"/>
        </w:rPr>
        <w:t>, de tal manera que los argumentos planteados como inconformidad respecto de los puntos materia del presente análisis, resultan notoriamente improcedentes, pues este Órgano Garante se encuentra imposibilitado para satisfacer requerimientos que no fueron formulados en tiempo y forma.</w:t>
      </w:r>
    </w:p>
    <w:p w:rsidR="00B0141A" w:rsidRPr="00304437" w:rsidRDefault="00B0141A" w:rsidP="00B0141A">
      <w:pPr>
        <w:spacing w:line="360" w:lineRule="auto"/>
        <w:jc w:val="both"/>
        <w:rPr>
          <w:rFonts w:ascii="Palatino Linotype" w:hAnsi="Palatino Linotype" w:cs="Arial"/>
        </w:rPr>
      </w:pPr>
    </w:p>
    <w:p w:rsidR="00B0141A" w:rsidRPr="00304437" w:rsidRDefault="00B0141A" w:rsidP="00B0141A">
      <w:pPr>
        <w:shd w:val="clear" w:color="auto" w:fill="FFFFFF"/>
        <w:spacing w:line="360" w:lineRule="auto"/>
        <w:jc w:val="both"/>
        <w:rPr>
          <w:rFonts w:ascii="Palatino Linotype" w:hAnsi="Palatino Linotype" w:cs="Arial"/>
        </w:rPr>
      </w:pPr>
      <w:r w:rsidRPr="00304437">
        <w:rPr>
          <w:rFonts w:ascii="Palatino Linotype" w:hAnsi="Palatino Linotype" w:cs="Arial"/>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B0141A" w:rsidRPr="00304437" w:rsidRDefault="00B0141A" w:rsidP="00B0141A">
      <w:pPr>
        <w:shd w:val="clear" w:color="auto" w:fill="FFFFFF"/>
        <w:spacing w:line="360" w:lineRule="auto"/>
        <w:jc w:val="both"/>
        <w:rPr>
          <w:rFonts w:ascii="Palatino Linotype" w:hAnsi="Palatino Linotype" w:cs="Arial"/>
        </w:rPr>
      </w:pPr>
    </w:p>
    <w:p w:rsidR="00B0141A" w:rsidRPr="003073D7" w:rsidRDefault="00B0141A" w:rsidP="00B0141A">
      <w:pPr>
        <w:shd w:val="clear" w:color="auto" w:fill="FFFFFF"/>
        <w:ind w:left="709" w:right="757"/>
        <w:jc w:val="both"/>
        <w:rPr>
          <w:rFonts w:ascii="Palatino Linotype" w:hAnsi="Palatino Linotype" w:cs="Arial"/>
          <w:sz w:val="22"/>
          <w:szCs w:val="22"/>
        </w:rPr>
      </w:pPr>
      <w:r w:rsidRPr="003073D7">
        <w:rPr>
          <w:rFonts w:ascii="Palatino Linotype" w:hAnsi="Palatino Linotype" w:cs="Arial"/>
          <w:b/>
          <w:bCs/>
          <w:i/>
          <w:iCs/>
          <w:sz w:val="22"/>
          <w:szCs w:val="22"/>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B0141A" w:rsidRPr="003073D7" w:rsidRDefault="00B0141A" w:rsidP="00B0141A">
      <w:pPr>
        <w:shd w:val="clear" w:color="auto" w:fill="FFFFFF"/>
        <w:ind w:left="709" w:right="757"/>
        <w:jc w:val="both"/>
        <w:rPr>
          <w:rFonts w:ascii="Palatino Linotype" w:hAnsi="Palatino Linotype" w:cs="Arial"/>
          <w:b/>
          <w:i/>
          <w:iCs/>
          <w:sz w:val="22"/>
          <w:szCs w:val="22"/>
        </w:rPr>
      </w:pPr>
      <w:r w:rsidRPr="003073D7">
        <w:rPr>
          <w:rFonts w:ascii="Palatino Linotype" w:hAnsi="Palatino Linotype" w:cs="Arial"/>
          <w:i/>
          <w:iCs/>
          <w:sz w:val="22"/>
          <w:szCs w:val="22"/>
        </w:rPr>
        <w:b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3073D7">
        <w:rPr>
          <w:rFonts w:ascii="Palatino Linotype" w:hAnsi="Palatino Linotype" w:cs="Arial"/>
          <w:i/>
          <w:iCs/>
          <w:sz w:val="22"/>
          <w:szCs w:val="22"/>
        </w:rPr>
        <w:br/>
        <w:t>OCTAVO TRIBUNAL COLEGIADO EN MATERIA ADMINISTRATIVA DEL PRIMER CIRCUITO.</w:t>
      </w:r>
      <w:r w:rsidRPr="003073D7">
        <w:rPr>
          <w:rFonts w:ascii="Palatino Linotype" w:hAnsi="Palatino Linotype" w:cs="Arial"/>
          <w:b/>
          <w:i/>
          <w:iCs/>
          <w:sz w:val="22"/>
          <w:szCs w:val="22"/>
        </w:rPr>
        <w:t>”</w:t>
      </w:r>
    </w:p>
    <w:p w:rsidR="00B0141A" w:rsidRPr="00304437" w:rsidRDefault="00B0141A" w:rsidP="00B0141A">
      <w:pPr>
        <w:shd w:val="clear" w:color="auto" w:fill="FFFFFF"/>
        <w:spacing w:line="360" w:lineRule="auto"/>
        <w:ind w:left="851" w:right="616"/>
        <w:jc w:val="both"/>
        <w:rPr>
          <w:rFonts w:ascii="Palatino Linotype" w:hAnsi="Palatino Linotype" w:cs="Arial"/>
          <w:b/>
        </w:rPr>
      </w:pPr>
    </w:p>
    <w:p w:rsidR="00B0141A" w:rsidRPr="00304437" w:rsidRDefault="00B0141A" w:rsidP="00B0141A">
      <w:pPr>
        <w:shd w:val="clear" w:color="auto" w:fill="FFFFFF"/>
        <w:spacing w:line="360" w:lineRule="auto"/>
        <w:jc w:val="both"/>
        <w:rPr>
          <w:rFonts w:ascii="Palatino Linotype" w:hAnsi="Palatino Linotype" w:cs="Arial"/>
        </w:rPr>
      </w:pPr>
      <w:r w:rsidRPr="00304437">
        <w:rPr>
          <w:rFonts w:ascii="Palatino Linotype" w:hAnsi="Palatino Linotype" w:cs="Arial"/>
        </w:rPr>
        <w:t xml:space="preserve">Asimismo, ha sido criterio del Instituto Nacional de Transparencia, Acceso a la Información y Protección de Datos Personales bajo el número 27/10, que </w:t>
      </w:r>
      <w:r w:rsidRPr="00304437">
        <w:rPr>
          <w:rFonts w:ascii="Palatino Linotype" w:hAnsi="Palatino Linotype" w:cs="Arial"/>
          <w:bCs/>
          <w:i/>
        </w:rPr>
        <w:t>resulta improcedente ampliar las solicitudes de información pública</w:t>
      </w:r>
      <w:r w:rsidRPr="00304437">
        <w:rPr>
          <w:rFonts w:ascii="Palatino Linotype" w:hAnsi="Palatino Linotype" w:cs="Arial"/>
          <w:i/>
        </w:rPr>
        <w:t xml:space="preserve"> o de datos personales a través de la interposición del recurso de revisión</w:t>
      </w:r>
      <w:r w:rsidRPr="00304437">
        <w:rPr>
          <w:rFonts w:ascii="Palatino Linotype" w:hAnsi="Palatino Linotype" w:cs="Arial"/>
        </w:rPr>
        <w:t xml:space="preserve">, como se estima acontece en el presente asunto, al aumentar datos a la solicitud inicial, </w:t>
      </w:r>
      <w:r w:rsidRPr="00304437">
        <w:rPr>
          <w:rFonts w:ascii="Palatino Linotype" w:hAnsi="Palatino Linotype" w:cs="Arial"/>
          <w:b/>
          <w:bCs/>
        </w:rPr>
        <w:t>por lo que se insiste no se puede entrar al estudio de la información novedosa</w:t>
      </w:r>
      <w:r w:rsidRPr="00304437">
        <w:rPr>
          <w:rFonts w:ascii="Palatino Linotype" w:hAnsi="Palatino Linotype" w:cs="Arial"/>
        </w:rPr>
        <w:t>, criterio que es de la literalidad siguiente:</w:t>
      </w:r>
    </w:p>
    <w:p w:rsidR="00B0141A" w:rsidRPr="00304437" w:rsidRDefault="00B0141A" w:rsidP="00B0141A">
      <w:pPr>
        <w:shd w:val="clear" w:color="auto" w:fill="FFFFFF"/>
        <w:spacing w:line="360" w:lineRule="auto"/>
        <w:jc w:val="both"/>
        <w:rPr>
          <w:rFonts w:ascii="Palatino Linotype" w:hAnsi="Palatino Linotype" w:cs="Arial"/>
        </w:rPr>
      </w:pPr>
    </w:p>
    <w:p w:rsidR="00B0141A" w:rsidRDefault="00B0141A" w:rsidP="00B0141A">
      <w:pPr>
        <w:shd w:val="clear" w:color="auto" w:fill="FFFFFF"/>
        <w:ind w:left="709" w:right="757"/>
        <w:jc w:val="both"/>
        <w:rPr>
          <w:rFonts w:ascii="Palatino Linotype" w:hAnsi="Palatino Linotype" w:cs="Arial"/>
          <w:i/>
          <w:iCs/>
          <w:sz w:val="22"/>
        </w:rPr>
      </w:pPr>
      <w:r w:rsidRPr="00AC6850">
        <w:rPr>
          <w:rFonts w:ascii="Palatino Linotype" w:hAnsi="Palatino Linotype" w:cs="Arial"/>
          <w:b/>
          <w:bCs/>
          <w:i/>
          <w:iCs/>
          <w:sz w:val="22"/>
        </w:rPr>
        <w:t>“Es improcedente ampliar las solicitudes de acceso a información pública o datos personales, a través de la interposición del recurso de revisión.</w:t>
      </w:r>
      <w:r w:rsidRPr="00AC6850">
        <w:rPr>
          <w:rFonts w:ascii="Palatino Linotype" w:hAnsi="Palatino Linotype" w:cs="Arial"/>
          <w:i/>
          <w:iCs/>
          <w:sz w:val="22"/>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AC6850" w:rsidRPr="00AC6850" w:rsidRDefault="00AC6850" w:rsidP="00B0141A">
      <w:pPr>
        <w:shd w:val="clear" w:color="auto" w:fill="FFFFFF"/>
        <w:ind w:left="709" w:right="757"/>
        <w:jc w:val="both"/>
        <w:rPr>
          <w:rFonts w:ascii="Palatino Linotype" w:hAnsi="Palatino Linotype" w:cs="Arial"/>
          <w:sz w:val="22"/>
        </w:rPr>
      </w:pPr>
    </w:p>
    <w:p w:rsidR="00B0141A" w:rsidRPr="00AC6850" w:rsidRDefault="00B0141A" w:rsidP="00B0141A">
      <w:pPr>
        <w:shd w:val="clear" w:color="auto" w:fill="FFFFFF"/>
        <w:ind w:left="709" w:right="757"/>
        <w:jc w:val="both"/>
        <w:rPr>
          <w:rFonts w:ascii="Palatino Linotype" w:hAnsi="Palatino Linotype" w:cs="Arial"/>
          <w:b/>
          <w:i/>
          <w:iCs/>
          <w:sz w:val="22"/>
        </w:rPr>
      </w:pPr>
      <w:r w:rsidRPr="00AC6850">
        <w:rPr>
          <w:rFonts w:ascii="Palatino Linotype" w:hAnsi="Palatino Linotype" w:cs="Arial"/>
          <w:i/>
          <w:iCs/>
          <w:sz w:val="22"/>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AC6850">
        <w:rPr>
          <w:rFonts w:ascii="Palatino Linotype" w:hAnsi="Palatino Linotype" w:cs="Arial"/>
          <w:i/>
          <w:iCs/>
          <w:sz w:val="22"/>
        </w:rPr>
        <w:t>Marván</w:t>
      </w:r>
      <w:proofErr w:type="spellEnd"/>
      <w:r w:rsidRPr="00AC6850">
        <w:rPr>
          <w:rFonts w:ascii="Palatino Linotype" w:hAnsi="Palatino Linotype" w:cs="Arial"/>
          <w:i/>
          <w:iCs/>
          <w:sz w:val="22"/>
        </w:rPr>
        <w:t xml:space="preserve"> </w:t>
      </w:r>
      <w:proofErr w:type="spellStart"/>
      <w:r w:rsidRPr="00AC6850">
        <w:rPr>
          <w:rFonts w:ascii="Palatino Linotype" w:hAnsi="Palatino Linotype" w:cs="Arial"/>
          <w:i/>
          <w:iCs/>
          <w:sz w:val="22"/>
        </w:rPr>
        <w:t>Laborde1523</w:t>
      </w:r>
      <w:proofErr w:type="spellEnd"/>
      <w:r w:rsidRPr="00AC6850">
        <w:rPr>
          <w:rFonts w:ascii="Palatino Linotype" w:hAnsi="Palatino Linotype" w:cs="Arial"/>
          <w:i/>
          <w:iCs/>
          <w:sz w:val="22"/>
        </w:rPr>
        <w:t xml:space="preserve"> 1006/10 Instituto Mexicano del Seguro Social – Sigrid </w:t>
      </w:r>
      <w:proofErr w:type="spellStart"/>
      <w:r w:rsidRPr="00AC6850">
        <w:rPr>
          <w:rFonts w:ascii="Palatino Linotype" w:hAnsi="Palatino Linotype" w:cs="Arial"/>
          <w:i/>
          <w:iCs/>
          <w:sz w:val="22"/>
        </w:rPr>
        <w:t>Arzt</w:t>
      </w:r>
      <w:proofErr w:type="spellEnd"/>
      <w:r w:rsidRPr="00AC6850">
        <w:rPr>
          <w:rFonts w:ascii="Palatino Linotype" w:hAnsi="Palatino Linotype" w:cs="Arial"/>
          <w:i/>
          <w:iCs/>
          <w:sz w:val="22"/>
        </w:rPr>
        <w:t xml:space="preserve"> Colunga 1378/10 Instituto de Seguridad y Servicios Sociales de los Trabajadores del Estado – María Elena Pérez-Jaén Zermeño.</w:t>
      </w:r>
      <w:r w:rsidRPr="00AC6850">
        <w:rPr>
          <w:rFonts w:ascii="Palatino Linotype" w:hAnsi="Palatino Linotype" w:cs="Arial"/>
          <w:b/>
          <w:i/>
          <w:iCs/>
          <w:sz w:val="22"/>
        </w:rPr>
        <w:t>”</w:t>
      </w:r>
    </w:p>
    <w:p w:rsidR="00B0141A" w:rsidRPr="00304437" w:rsidRDefault="00B0141A" w:rsidP="00AC6850">
      <w:pPr>
        <w:shd w:val="clear" w:color="auto" w:fill="FFFFFF"/>
        <w:spacing w:line="360" w:lineRule="auto"/>
        <w:ind w:left="709" w:right="757"/>
        <w:jc w:val="both"/>
        <w:rPr>
          <w:rFonts w:ascii="Palatino Linotype" w:hAnsi="Palatino Linotype" w:cs="Arial"/>
          <w:b/>
          <w:i/>
          <w:iCs/>
        </w:rPr>
      </w:pPr>
    </w:p>
    <w:p w:rsidR="00B0141A" w:rsidRPr="003073D7" w:rsidRDefault="00AC6850" w:rsidP="00AC6850">
      <w:pPr>
        <w:spacing w:line="360" w:lineRule="auto"/>
        <w:jc w:val="both"/>
        <w:rPr>
          <w:rFonts w:ascii="Palatino Linotype" w:hAnsi="Palatino Linotype" w:cs="Arial"/>
        </w:rPr>
      </w:pPr>
      <w:r>
        <w:rPr>
          <w:rFonts w:ascii="Palatino Linotype" w:hAnsi="Palatino Linotype" w:cs="Arial"/>
        </w:rPr>
        <w:t xml:space="preserve">De lo anteriormente expuesto, se concluye que al haberse actualizado las hipótesis previstas en </w:t>
      </w:r>
      <w:r w:rsidRPr="00304437">
        <w:rPr>
          <w:rFonts w:ascii="Palatino Linotype" w:hAnsi="Palatino Linotype" w:cs="Arial"/>
        </w:rPr>
        <w:t>el artículo 191 fracci</w:t>
      </w:r>
      <w:r w:rsidR="00E23459">
        <w:rPr>
          <w:rFonts w:ascii="Palatino Linotype" w:hAnsi="Palatino Linotype" w:cs="Arial"/>
        </w:rPr>
        <w:t>ones III</w:t>
      </w:r>
      <w:r w:rsidRPr="00304437">
        <w:rPr>
          <w:rFonts w:ascii="Palatino Linotype" w:hAnsi="Palatino Linotype" w:cs="Arial"/>
        </w:rPr>
        <w:t xml:space="preserve"> y VII de la Ley de Transparencia y Acceso a la Información Pública del Estado de México y Municipios</w:t>
      </w:r>
      <w:r>
        <w:rPr>
          <w:rFonts w:ascii="Palatino Linotype" w:hAnsi="Palatino Linotype" w:cs="Arial"/>
        </w:rPr>
        <w:t xml:space="preserve">, por lo que </w:t>
      </w:r>
      <w:r w:rsidR="00B0141A" w:rsidRPr="00304437">
        <w:rPr>
          <w:rFonts w:ascii="Palatino Linotype" w:hAnsi="Palatino Linotype" w:cs="Arial"/>
        </w:rPr>
        <w:t xml:space="preserve">en consecuencia, resulta procedente </w:t>
      </w:r>
      <w:r w:rsidR="00B0141A" w:rsidRPr="00304437">
        <w:rPr>
          <w:rFonts w:ascii="Palatino Linotype" w:hAnsi="Palatino Linotype" w:cs="Arial"/>
          <w:b/>
        </w:rPr>
        <w:t>DESECHAR</w:t>
      </w:r>
      <w:r w:rsidR="00B0141A" w:rsidRPr="00304437">
        <w:rPr>
          <w:rFonts w:ascii="Palatino Linotype" w:hAnsi="Palatino Linotype" w:cs="Arial"/>
        </w:rPr>
        <w:t xml:space="preserve"> el presente recurso de </w:t>
      </w:r>
      <w:r w:rsidR="00B0141A" w:rsidRPr="00AC6850">
        <w:rPr>
          <w:rFonts w:ascii="Palatino Linotype" w:hAnsi="Palatino Linotype" w:cs="Arial"/>
        </w:rPr>
        <w:t>revisión,</w:t>
      </w:r>
      <w:r w:rsidRPr="00AC6850">
        <w:rPr>
          <w:rFonts w:ascii="Palatino Linotype" w:hAnsi="Palatino Linotype" w:cs="Arial"/>
        </w:rPr>
        <w:t xml:space="preserve"> </w:t>
      </w:r>
      <w:r w:rsidR="00B0141A" w:rsidRPr="00AC6850">
        <w:rPr>
          <w:rFonts w:ascii="Palatino Linotype" w:hAnsi="Palatino Linotype"/>
          <w:lang w:eastAsia="es-ES_tradnl"/>
        </w:rPr>
        <w:t xml:space="preserve">dejando a salvo los derechos del </w:t>
      </w:r>
      <w:r w:rsidR="00B0141A" w:rsidRPr="00AC6850">
        <w:rPr>
          <w:rFonts w:ascii="Palatino Linotype" w:hAnsi="Palatino Linotype"/>
          <w:b/>
          <w:lang w:eastAsia="es-ES_tradnl"/>
        </w:rPr>
        <w:t>RECURRENTE</w:t>
      </w:r>
      <w:r w:rsidR="00B0141A" w:rsidRPr="00AC6850">
        <w:rPr>
          <w:rFonts w:ascii="Palatino Linotype" w:hAnsi="Palatino Linotype"/>
          <w:lang w:eastAsia="es-ES_tradnl"/>
        </w:rPr>
        <w:t>, a fin de que pueda formular las solicitudes de acceso a la información que a su derecho convenga.</w:t>
      </w:r>
      <w:r w:rsidR="00B0141A">
        <w:rPr>
          <w:rFonts w:ascii="Palatino Linotype" w:hAnsi="Palatino Linotype"/>
          <w:lang w:eastAsia="es-ES_tradnl"/>
        </w:rPr>
        <w:t xml:space="preserve"> </w:t>
      </w:r>
    </w:p>
    <w:p w:rsidR="001A4877" w:rsidRDefault="001A4877" w:rsidP="001A4877">
      <w:pPr>
        <w:spacing w:line="360" w:lineRule="auto"/>
        <w:jc w:val="both"/>
        <w:rPr>
          <w:rFonts w:ascii="Palatino Linotype" w:hAnsi="Palatino Linotype"/>
        </w:rPr>
      </w:pPr>
    </w:p>
    <w:p w:rsidR="00B06D8A" w:rsidRPr="006F132E" w:rsidRDefault="00B06D8A" w:rsidP="00502CD3">
      <w:pPr>
        <w:spacing w:line="360" w:lineRule="auto"/>
        <w:jc w:val="both"/>
        <w:rPr>
          <w:rFonts w:ascii="Palatino Linotype" w:eastAsia="Calibri" w:hAnsi="Palatino Linotype" w:cs="Arial"/>
        </w:rPr>
      </w:pPr>
      <w:r w:rsidRPr="006F132E">
        <w:rPr>
          <w:rFonts w:ascii="Palatino Linotype" w:eastAsia="Calibri" w:hAnsi="Palatino Linotype" w:cs="Arial"/>
        </w:rPr>
        <w:t>Así, con fundamento en lo prescrito en los artículos 5, párrafos vigésimo segundo,</w:t>
      </w:r>
      <w:r w:rsidR="00E23459">
        <w:rPr>
          <w:rFonts w:ascii="Palatino Linotype" w:eastAsia="Calibri" w:hAnsi="Palatino Linotype" w:cs="Arial"/>
        </w:rPr>
        <w:t xml:space="preserve"> </w:t>
      </w:r>
      <w:r w:rsidR="00E23459" w:rsidRPr="006F132E">
        <w:rPr>
          <w:rFonts w:ascii="Palatino Linotype" w:eastAsia="Calibri" w:hAnsi="Palatino Linotype" w:cs="Arial"/>
        </w:rPr>
        <w:t>vigésimo</w:t>
      </w:r>
      <w:r w:rsidR="00E23459">
        <w:rPr>
          <w:rFonts w:ascii="Palatino Linotype" w:eastAsia="Calibri" w:hAnsi="Palatino Linotype" w:cs="Arial"/>
        </w:rPr>
        <w:t xml:space="preserve"> tercero y </w:t>
      </w:r>
      <w:r w:rsidR="00E23459" w:rsidRPr="006F132E">
        <w:rPr>
          <w:rFonts w:ascii="Palatino Linotype" w:eastAsia="Calibri" w:hAnsi="Palatino Linotype" w:cs="Arial"/>
        </w:rPr>
        <w:t xml:space="preserve">vigésimo </w:t>
      </w:r>
      <w:r w:rsidR="00E23459">
        <w:rPr>
          <w:rFonts w:ascii="Palatino Linotype" w:eastAsia="Calibri" w:hAnsi="Palatino Linotype" w:cs="Arial"/>
        </w:rPr>
        <w:t>cuarto</w:t>
      </w:r>
      <w:r w:rsidRPr="006F132E">
        <w:rPr>
          <w:rFonts w:ascii="Palatino Linotype" w:eastAsia="Calibri" w:hAnsi="Palatino Linotype" w:cs="Arial"/>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C211C4" w:rsidRDefault="00C211C4" w:rsidP="00502CD3">
      <w:pPr>
        <w:spacing w:line="360" w:lineRule="auto"/>
        <w:jc w:val="center"/>
        <w:rPr>
          <w:rFonts w:ascii="Palatino Linotype" w:eastAsia="Calibri" w:hAnsi="Palatino Linotype" w:cs="Arial"/>
          <w:b/>
          <w:sz w:val="28"/>
        </w:rPr>
      </w:pPr>
    </w:p>
    <w:p w:rsidR="00B06D8A" w:rsidRPr="00C800D3" w:rsidRDefault="00B06D8A" w:rsidP="00502CD3">
      <w:pPr>
        <w:spacing w:line="360" w:lineRule="auto"/>
        <w:jc w:val="center"/>
        <w:rPr>
          <w:rFonts w:ascii="Palatino Linotype" w:eastAsia="Calibri" w:hAnsi="Palatino Linotype" w:cs="Arial"/>
          <w:b/>
          <w:sz w:val="28"/>
        </w:rPr>
      </w:pPr>
      <w:r w:rsidRPr="00C800D3">
        <w:rPr>
          <w:rFonts w:ascii="Palatino Linotype" w:eastAsia="Calibri" w:hAnsi="Palatino Linotype" w:cs="Arial"/>
          <w:b/>
          <w:sz w:val="28"/>
        </w:rPr>
        <w:t>R E S U E L V E</w:t>
      </w:r>
    </w:p>
    <w:p w:rsidR="00B06D8A" w:rsidRPr="006F132E" w:rsidRDefault="00B06D8A" w:rsidP="00502CD3">
      <w:pPr>
        <w:spacing w:line="360" w:lineRule="auto"/>
        <w:jc w:val="center"/>
        <w:rPr>
          <w:rFonts w:ascii="Palatino Linotype" w:eastAsia="Calibri" w:hAnsi="Palatino Linotype" w:cs="Arial"/>
          <w:b/>
        </w:rPr>
      </w:pPr>
    </w:p>
    <w:p w:rsidR="00C211C4" w:rsidRDefault="00C211C4" w:rsidP="00C211C4">
      <w:pPr>
        <w:pStyle w:val="Prrafodelista"/>
        <w:widowControl w:val="0"/>
        <w:numPr>
          <w:ilvl w:val="0"/>
          <w:numId w:val="25"/>
        </w:numPr>
        <w:autoSpaceDE w:val="0"/>
        <w:autoSpaceDN w:val="0"/>
        <w:adjustRightInd w:val="0"/>
        <w:spacing w:line="360" w:lineRule="auto"/>
        <w:ind w:left="0" w:firstLine="0"/>
        <w:contextualSpacing w:val="0"/>
        <w:jc w:val="both"/>
        <w:rPr>
          <w:rFonts w:ascii="Palatino Linotype" w:hAnsi="Palatino Linotype" w:cs="Arial"/>
          <w:bCs/>
        </w:rPr>
      </w:pPr>
      <w:r w:rsidRPr="00304437">
        <w:rPr>
          <w:rFonts w:ascii="Palatino Linotype" w:hAnsi="Palatino Linotype" w:cs="Arial"/>
          <w:bCs/>
        </w:rPr>
        <w:t xml:space="preserve">Se </w:t>
      </w:r>
      <w:r w:rsidRPr="00304437">
        <w:rPr>
          <w:rFonts w:ascii="Palatino Linotype" w:hAnsi="Palatino Linotype" w:cs="Arial"/>
          <w:b/>
          <w:bCs/>
        </w:rPr>
        <w:t>DESECHA</w:t>
      </w:r>
      <w:r w:rsidRPr="00304437">
        <w:rPr>
          <w:rFonts w:ascii="Palatino Linotype" w:hAnsi="Palatino Linotype" w:cs="Arial"/>
          <w:bCs/>
        </w:rPr>
        <w:t xml:space="preserve"> por </w:t>
      </w:r>
      <w:r w:rsidRPr="00304437">
        <w:rPr>
          <w:rFonts w:ascii="Palatino Linotype" w:hAnsi="Palatino Linotype" w:cs="Arial"/>
        </w:rPr>
        <w:t>improcedente</w:t>
      </w:r>
      <w:r w:rsidRPr="00304437">
        <w:rPr>
          <w:rFonts w:ascii="Palatino Linotype" w:hAnsi="Palatino Linotype" w:cs="Arial"/>
          <w:bCs/>
        </w:rPr>
        <w:t xml:space="preserve"> el presente recurso de revisión en términos del Considerando </w:t>
      </w:r>
      <w:r>
        <w:rPr>
          <w:rFonts w:ascii="Palatino Linotype" w:hAnsi="Palatino Linotype" w:cs="Arial"/>
          <w:b/>
          <w:bCs/>
        </w:rPr>
        <w:t>QUINTO</w:t>
      </w:r>
      <w:r w:rsidRPr="00304437">
        <w:rPr>
          <w:rFonts w:ascii="Palatino Linotype" w:hAnsi="Palatino Linotype" w:cs="Arial"/>
          <w:bCs/>
        </w:rPr>
        <w:t xml:space="preserve"> de la presente resolución.</w:t>
      </w:r>
    </w:p>
    <w:p w:rsidR="00C211C4" w:rsidRPr="00304437" w:rsidRDefault="00C211C4" w:rsidP="00C211C4">
      <w:pPr>
        <w:pStyle w:val="Prrafodelista"/>
        <w:widowControl w:val="0"/>
        <w:autoSpaceDE w:val="0"/>
        <w:autoSpaceDN w:val="0"/>
        <w:adjustRightInd w:val="0"/>
        <w:spacing w:line="360" w:lineRule="auto"/>
        <w:ind w:left="0"/>
        <w:contextualSpacing w:val="0"/>
        <w:jc w:val="both"/>
        <w:rPr>
          <w:rFonts w:ascii="Palatino Linotype" w:hAnsi="Palatino Linotype" w:cs="Arial"/>
          <w:bCs/>
        </w:rPr>
      </w:pPr>
    </w:p>
    <w:p w:rsidR="00C211C4" w:rsidRPr="00304437" w:rsidRDefault="00C211C4" w:rsidP="00C211C4">
      <w:pPr>
        <w:pStyle w:val="Prrafodelista"/>
        <w:widowControl w:val="0"/>
        <w:numPr>
          <w:ilvl w:val="0"/>
          <w:numId w:val="25"/>
        </w:numPr>
        <w:autoSpaceDE w:val="0"/>
        <w:autoSpaceDN w:val="0"/>
        <w:adjustRightInd w:val="0"/>
        <w:spacing w:line="360" w:lineRule="auto"/>
        <w:ind w:left="0" w:firstLine="0"/>
        <w:contextualSpacing w:val="0"/>
        <w:jc w:val="both"/>
        <w:rPr>
          <w:rFonts w:ascii="Palatino Linotype" w:hAnsi="Palatino Linotype" w:cs="Arial"/>
        </w:rPr>
      </w:pPr>
      <w:r w:rsidRPr="00304437">
        <w:rPr>
          <w:rFonts w:ascii="Palatino Linotype" w:hAnsi="Palatino Linotype" w:cs="Arial"/>
          <w:b/>
        </w:rPr>
        <w:t>Notifíquese</w:t>
      </w:r>
      <w:r w:rsidRPr="00304437">
        <w:rPr>
          <w:rFonts w:ascii="Palatino Linotype" w:hAnsi="Palatino Linotype" w:cs="Arial"/>
        </w:rPr>
        <w:t xml:space="preserve">, </w:t>
      </w:r>
      <w:r w:rsidRPr="00536E17">
        <w:rPr>
          <w:rFonts w:ascii="Palatino Linotype" w:hAnsi="Palatino Linotype" w:cs="Arial"/>
          <w:color w:val="000000" w:themeColor="text1"/>
        </w:rPr>
        <w:t xml:space="preserve">la </w:t>
      </w:r>
      <w:r w:rsidRPr="00536E17">
        <w:rPr>
          <w:rFonts w:ascii="Palatino Linotype" w:hAnsi="Palatino Linotype" w:cs="Arial"/>
        </w:rPr>
        <w:t>presente</w:t>
      </w:r>
      <w:r w:rsidRPr="00304437">
        <w:rPr>
          <w:rFonts w:ascii="Palatino Linotype" w:hAnsi="Palatino Linotype" w:cs="Arial"/>
        </w:rPr>
        <w:t xml:space="preserve"> resolución al Titular de la Unidad de Transparencia del </w:t>
      </w:r>
      <w:r w:rsidRPr="00304437">
        <w:rPr>
          <w:rFonts w:ascii="Palatino Linotype" w:hAnsi="Palatino Linotype" w:cs="Arial"/>
          <w:b/>
        </w:rPr>
        <w:t>SUJETO OBLIGADO</w:t>
      </w:r>
      <w:r w:rsidRPr="00304437">
        <w:rPr>
          <w:rFonts w:ascii="Palatino Linotype" w:hAnsi="Palatino Linotype" w:cs="Arial"/>
        </w:rPr>
        <w:t>, para su conocimiento.</w:t>
      </w:r>
    </w:p>
    <w:p w:rsidR="00C211C4" w:rsidRDefault="00C211C4" w:rsidP="00C211C4">
      <w:pPr>
        <w:pStyle w:val="Prrafodelista"/>
        <w:widowControl w:val="0"/>
        <w:numPr>
          <w:ilvl w:val="0"/>
          <w:numId w:val="25"/>
        </w:numPr>
        <w:autoSpaceDE w:val="0"/>
        <w:autoSpaceDN w:val="0"/>
        <w:adjustRightInd w:val="0"/>
        <w:spacing w:line="360" w:lineRule="auto"/>
        <w:ind w:left="0" w:firstLine="0"/>
        <w:contextualSpacing w:val="0"/>
        <w:jc w:val="both"/>
        <w:rPr>
          <w:rFonts w:ascii="Palatino Linotype" w:hAnsi="Palatino Linotype"/>
          <w:lang w:eastAsia="es-ES_tradnl"/>
        </w:rPr>
      </w:pPr>
      <w:r w:rsidRPr="00304437">
        <w:rPr>
          <w:rFonts w:ascii="Palatino Linotype" w:hAnsi="Palatino Linotype"/>
          <w:b/>
          <w:lang w:eastAsia="es-ES_tradnl"/>
        </w:rPr>
        <w:t>Notifíquese</w:t>
      </w:r>
      <w:r w:rsidRPr="00304437">
        <w:rPr>
          <w:rFonts w:ascii="Palatino Linotype" w:hAnsi="Palatino Linotype"/>
          <w:lang w:eastAsia="es-ES_tradnl"/>
        </w:rPr>
        <w:t xml:space="preserve"> al</w:t>
      </w:r>
      <w:r w:rsidRPr="00304437">
        <w:rPr>
          <w:rFonts w:ascii="Palatino Linotype" w:hAnsi="Palatino Linotype"/>
          <w:b/>
          <w:lang w:eastAsia="es-ES_tradnl"/>
        </w:rPr>
        <w:t xml:space="preserve"> RECURRENTE</w:t>
      </w:r>
      <w:r w:rsidRPr="00304437">
        <w:rPr>
          <w:rFonts w:ascii="Palatino Linotype" w:hAnsi="Palatino Linotype"/>
          <w:lang w:eastAsia="es-ES_tradnl"/>
        </w:rPr>
        <w:t xml:space="preserve">, la </w:t>
      </w:r>
      <w:r w:rsidRPr="00304437">
        <w:rPr>
          <w:rFonts w:ascii="Palatino Linotype" w:hAnsi="Palatino Linotype" w:cs="Arial"/>
        </w:rPr>
        <w:t>presente</w:t>
      </w:r>
      <w:r w:rsidRPr="00304437">
        <w:rPr>
          <w:rFonts w:ascii="Palatino Linotype" w:hAnsi="Palatino Linotype"/>
          <w:lang w:eastAsia="es-ES_tradnl"/>
        </w:rPr>
        <w:t xml:space="preserve"> resolución</w:t>
      </w:r>
      <w:r>
        <w:rPr>
          <w:rFonts w:ascii="Palatino Linotype" w:hAnsi="Palatino Linotype"/>
          <w:lang w:eastAsia="es-ES_tradnl"/>
        </w:rPr>
        <w:t>.</w:t>
      </w:r>
    </w:p>
    <w:p w:rsidR="00C211C4" w:rsidRPr="00C211C4" w:rsidRDefault="00C211C4" w:rsidP="00C211C4">
      <w:pPr>
        <w:pStyle w:val="Prrafodelista"/>
        <w:rPr>
          <w:rFonts w:ascii="Palatino Linotype" w:hAnsi="Palatino Linotype"/>
          <w:lang w:eastAsia="es-ES_tradnl"/>
        </w:rPr>
      </w:pPr>
    </w:p>
    <w:p w:rsidR="00502572" w:rsidRDefault="00C211C4" w:rsidP="00502572">
      <w:pPr>
        <w:pStyle w:val="Prrafodelista"/>
        <w:widowControl w:val="0"/>
        <w:numPr>
          <w:ilvl w:val="0"/>
          <w:numId w:val="25"/>
        </w:numPr>
        <w:autoSpaceDE w:val="0"/>
        <w:autoSpaceDN w:val="0"/>
        <w:adjustRightInd w:val="0"/>
        <w:spacing w:line="360" w:lineRule="auto"/>
        <w:ind w:left="0" w:firstLine="0"/>
        <w:contextualSpacing w:val="0"/>
        <w:jc w:val="both"/>
        <w:rPr>
          <w:rFonts w:ascii="Palatino Linotype" w:hAnsi="Palatino Linotype"/>
          <w:lang w:eastAsia="es-ES_tradnl"/>
        </w:rPr>
      </w:pPr>
      <w:r>
        <w:rPr>
          <w:rFonts w:ascii="Palatino Linotype" w:hAnsi="Palatino Linotype"/>
          <w:b/>
          <w:lang w:eastAsia="es-ES_tradnl"/>
        </w:rPr>
        <w:t>Hágase del conocimiento</w:t>
      </w:r>
      <w:r w:rsidRPr="00304437">
        <w:rPr>
          <w:rFonts w:ascii="Palatino Linotype" w:hAnsi="Palatino Linotype"/>
          <w:lang w:eastAsia="es-ES_tradnl"/>
        </w:rPr>
        <w:t>,</w:t>
      </w:r>
      <w:r>
        <w:rPr>
          <w:rFonts w:ascii="Palatino Linotype" w:hAnsi="Palatino Linotype"/>
          <w:lang w:eastAsia="es-ES_tradnl"/>
        </w:rPr>
        <w:t xml:space="preserve"> al </w:t>
      </w:r>
      <w:r>
        <w:rPr>
          <w:rFonts w:ascii="Palatino Linotype" w:hAnsi="Palatino Linotype"/>
          <w:b/>
          <w:lang w:eastAsia="es-ES_tradnl"/>
        </w:rPr>
        <w:t>RECURRENTE</w:t>
      </w:r>
      <w:r w:rsidRPr="00304437">
        <w:rPr>
          <w:rFonts w:ascii="Palatino Linotype"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502572" w:rsidRPr="00502572" w:rsidRDefault="00502572" w:rsidP="00502572">
      <w:pPr>
        <w:pStyle w:val="Prrafodelista"/>
        <w:rPr>
          <w:rFonts w:ascii="Palatino Linotype" w:hAnsi="Palatino Linotype" w:cs="Arial"/>
          <w:b/>
          <w:sz w:val="28"/>
        </w:rPr>
      </w:pPr>
    </w:p>
    <w:p w:rsidR="00502572" w:rsidRPr="00502572" w:rsidRDefault="00502572" w:rsidP="00502572">
      <w:pPr>
        <w:pStyle w:val="Prrafodelista"/>
        <w:widowControl w:val="0"/>
        <w:numPr>
          <w:ilvl w:val="0"/>
          <w:numId w:val="25"/>
        </w:numPr>
        <w:autoSpaceDE w:val="0"/>
        <w:autoSpaceDN w:val="0"/>
        <w:adjustRightInd w:val="0"/>
        <w:spacing w:line="360" w:lineRule="auto"/>
        <w:ind w:left="0" w:firstLine="0"/>
        <w:contextualSpacing w:val="0"/>
        <w:jc w:val="both"/>
        <w:rPr>
          <w:rFonts w:ascii="Palatino Linotype" w:hAnsi="Palatino Linotype"/>
          <w:lang w:eastAsia="es-ES_tradnl"/>
        </w:rPr>
      </w:pPr>
      <w:r w:rsidRPr="00502572">
        <w:rPr>
          <w:rFonts w:ascii="Palatino Linotype" w:hAnsi="Palatino Linotype" w:cs="Arial"/>
          <w:b/>
        </w:rPr>
        <w:t>Gírese</w:t>
      </w:r>
      <w:r w:rsidRPr="00502572">
        <w:rPr>
          <w:rFonts w:ascii="Palatino Linotype" w:hAnsi="Palatino Linotype" w:cs="Arial"/>
        </w:rPr>
        <w:t xml:space="preserv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02572">
        <w:rPr>
          <w:rFonts w:ascii="Palatino Linotype" w:hAnsi="Palatino Linotype" w:cs="Arial"/>
          <w:b/>
        </w:rPr>
        <w:t>QUINTO</w:t>
      </w:r>
      <w:r w:rsidRPr="00502572">
        <w:rPr>
          <w:rFonts w:ascii="Palatino Linotype" w:hAnsi="Palatino Linotype" w:cs="Arial"/>
        </w:rPr>
        <w:t xml:space="preserve"> de la presente resolución.</w:t>
      </w:r>
    </w:p>
    <w:p w:rsidR="00C211C4" w:rsidRPr="00304437" w:rsidRDefault="00C211C4" w:rsidP="00C211C4">
      <w:pPr>
        <w:pStyle w:val="Prrafodelista"/>
        <w:rPr>
          <w:rFonts w:ascii="Palatino Linotype" w:hAnsi="Palatino Linotype" w:cs="Arial"/>
          <w:b/>
        </w:rPr>
      </w:pPr>
    </w:p>
    <w:p w:rsidR="00C211C4" w:rsidRPr="00444E6E" w:rsidRDefault="00C211C4" w:rsidP="00C211C4">
      <w:pPr>
        <w:pStyle w:val="Prrafodelista"/>
        <w:widowControl w:val="0"/>
        <w:autoSpaceDE w:val="0"/>
        <w:autoSpaceDN w:val="0"/>
        <w:adjustRightInd w:val="0"/>
        <w:spacing w:line="360" w:lineRule="auto"/>
        <w:ind w:left="0"/>
        <w:jc w:val="both"/>
        <w:rPr>
          <w:rFonts w:ascii="Palatino Linotype" w:hAnsi="Palatino Linotype"/>
          <w:lang w:eastAsia="es-ES_tradnl"/>
        </w:rPr>
      </w:pPr>
      <w:r w:rsidRPr="00536E17">
        <w:rPr>
          <w:rFonts w:ascii="Palatino Linotype" w:hAnsi="Palatino Linotype"/>
          <w:lang w:eastAsia="es-ES_tradnl"/>
        </w:rPr>
        <w:t xml:space="preserve">Se dejan a salvo los derechos del </w:t>
      </w:r>
      <w:r w:rsidRPr="00536E17">
        <w:rPr>
          <w:rFonts w:ascii="Palatino Linotype" w:hAnsi="Palatino Linotype"/>
          <w:b/>
          <w:lang w:eastAsia="es-ES_tradnl"/>
        </w:rPr>
        <w:t>RECURRENTE</w:t>
      </w:r>
      <w:r w:rsidRPr="00536E17">
        <w:rPr>
          <w:rFonts w:ascii="Palatino Linotype" w:hAnsi="Palatino Linotype"/>
          <w:lang w:eastAsia="es-ES_tradnl"/>
        </w:rPr>
        <w:t xml:space="preserve">, a fin de que pueda formular las solicitudes de acceso a la información </w:t>
      </w:r>
      <w:r w:rsidR="000154A2">
        <w:rPr>
          <w:rFonts w:ascii="Palatino Linotype" w:hAnsi="Palatino Linotype"/>
          <w:lang w:eastAsia="es-ES_tradnl"/>
        </w:rPr>
        <w:t xml:space="preserve">e interponer las denuncias </w:t>
      </w:r>
      <w:r w:rsidRPr="00536E17">
        <w:rPr>
          <w:rFonts w:ascii="Palatino Linotype" w:hAnsi="Palatino Linotype"/>
          <w:lang w:eastAsia="es-ES_tradnl"/>
        </w:rPr>
        <w:t>que a su derecho convengan.</w:t>
      </w:r>
    </w:p>
    <w:p w:rsidR="00933E22" w:rsidRPr="00013EE5" w:rsidRDefault="00933E22" w:rsidP="00933E22">
      <w:pPr>
        <w:spacing w:before="360" w:line="360" w:lineRule="auto"/>
        <w:jc w:val="both"/>
        <w:rPr>
          <w:rFonts w:ascii="Palatino Linotype" w:hAnsi="Palatino Linotype" w:cs="Arial"/>
        </w:rPr>
      </w:pPr>
      <w:r w:rsidRPr="00ED2101">
        <w:rPr>
          <w:rFonts w:ascii="Palatino Linotype" w:hAnsi="Palatino Linotype" w:cs="Arial"/>
        </w:rPr>
        <w:t xml:space="preserve">ASÍ LO RESUELVE, POR </w:t>
      </w:r>
      <w:r w:rsidR="00A81890">
        <w:rPr>
          <w:rFonts w:ascii="Palatino Linotype" w:hAnsi="Palatino Linotype" w:cs="Arial"/>
        </w:rPr>
        <w:t xml:space="preserve">MAYORÍA </w:t>
      </w:r>
      <w:r w:rsidRPr="00ED2101">
        <w:rPr>
          <w:rFonts w:ascii="Palatino Linotype" w:hAnsi="Palatino Linotype" w:cs="Arial"/>
        </w:rPr>
        <w:t>DE VOTOS EL PLENO DEL</w:t>
      </w:r>
      <w:r w:rsidRPr="00ED2101">
        <w:rPr>
          <w:rFonts w:ascii="Palatino Linotype" w:eastAsia="Arial Unicode MS" w:hAnsi="Palatino Linotype" w:cs="Arial"/>
        </w:rPr>
        <w:t xml:space="preserve"> INSTITUTO DE </w:t>
      </w:r>
      <w:r w:rsidRPr="00ED2101">
        <w:rPr>
          <w:rFonts w:ascii="Palatino Linotype" w:hAnsi="Palatino Linotype"/>
          <w:lang w:eastAsia="en-US"/>
        </w:rPr>
        <w:t>TRANSPARENCIA</w:t>
      </w:r>
      <w:r w:rsidRPr="00ED2101">
        <w:rPr>
          <w:rFonts w:ascii="Palatino Linotype" w:eastAsia="Arial Unicode MS" w:hAnsi="Palatino Linotype" w:cs="Arial"/>
        </w:rPr>
        <w:t>, ACCESO A LA INFORMACIÓN PÚBLICA Y PROTECCIÓN DE DATOS PERSONALES DEL ESTADO DE MÉXICO Y MUNICIPIOS</w:t>
      </w:r>
      <w:r w:rsidRPr="00ED2101">
        <w:rPr>
          <w:rFonts w:ascii="Palatino Linotype" w:hAnsi="Palatino Linotype" w:cs="Arial"/>
        </w:rPr>
        <w:t>, CONFORMADO POR LOS COMISIONADOS ZULEMA MARTÍNEZ SÁNCHEZ</w:t>
      </w:r>
      <w:r>
        <w:rPr>
          <w:rFonts w:ascii="Palatino Linotype" w:hAnsi="Palatino Linotype" w:cs="Arial"/>
        </w:rPr>
        <w:t xml:space="preserve"> EMITIENDO VOTO PARTICULAR</w:t>
      </w:r>
      <w:r w:rsidRPr="00ED2101">
        <w:rPr>
          <w:rFonts w:ascii="Palatino Linotype" w:hAnsi="Palatino Linotype" w:cs="Arial"/>
        </w:rPr>
        <w:t>; EVA ABAID YAPUR; JOSÉ GUADALUPE LUNA HERNÁNDEZ; JAVIER MARTÍNEZ CRUZ</w:t>
      </w:r>
      <w:r>
        <w:rPr>
          <w:rFonts w:ascii="Palatino Linotype" w:hAnsi="Palatino Linotype" w:cs="Arial"/>
        </w:rPr>
        <w:t xml:space="preserve"> </w:t>
      </w:r>
      <w:r w:rsidR="00A81890">
        <w:rPr>
          <w:rFonts w:ascii="Palatino Linotype" w:hAnsi="Palatino Linotype" w:cs="Arial"/>
        </w:rPr>
        <w:t xml:space="preserve">EMITIENDO VOTO EN CONTRA (DISIDENTE) </w:t>
      </w:r>
      <w:r w:rsidRPr="00ED2101">
        <w:rPr>
          <w:rFonts w:ascii="Palatino Linotype" w:hAnsi="Palatino Linotype" w:cs="Arial"/>
        </w:rPr>
        <w:t>Y LUIS GUSTAVO PARRA NORIEGA; EN</w:t>
      </w:r>
      <w:r w:rsidRPr="00ED2101">
        <w:rPr>
          <w:rFonts w:ascii="Palatino Linotype" w:hAnsi="Palatino Linotype" w:cs="Arial"/>
          <w:shd w:val="clear" w:color="auto" w:fill="FFFFFF" w:themeFill="background1"/>
        </w:rPr>
        <w:t xml:space="preserve"> LA TRI</w:t>
      </w:r>
      <w:r w:rsidRPr="00ED2101">
        <w:rPr>
          <w:rFonts w:ascii="Palatino Linotype" w:hAnsi="Palatino Linotype" w:cs="Arial"/>
        </w:rPr>
        <w:t>GÉSIMA PRIMERA SESIÓN ORDINARIA CELEBRADA EL DÍA</w:t>
      </w:r>
      <w:r w:rsidRPr="00ED2101">
        <w:t xml:space="preserve"> </w:t>
      </w:r>
      <w:r w:rsidRPr="00ED2101">
        <w:rPr>
          <w:rFonts w:ascii="Palatino Linotype" w:hAnsi="Palatino Linotype" w:cs="Arial"/>
        </w:rPr>
        <w:t>VEINTIOCHO DE AGOSTO DE DOS MIL DIECINUEVE, ANTE EL SECRETARIO TÉCNICO DEL PLENO, ALEXIS TAPIA RAMÍREZ.</w:t>
      </w:r>
    </w:p>
    <w:p w:rsidR="00B06D8A" w:rsidRPr="006F132E" w:rsidRDefault="00B06D8A" w:rsidP="00B06D8A">
      <w:pPr>
        <w:spacing w:line="360" w:lineRule="auto"/>
        <w:jc w:val="both"/>
        <w:rPr>
          <w:rFonts w:ascii="Palatino Linotype" w:eastAsia="Calibri" w:hAnsi="Palatino Linotype" w:cs="Arial"/>
        </w:rPr>
      </w:pPr>
    </w:p>
    <w:tbl>
      <w:tblPr>
        <w:tblW w:w="10365" w:type="dxa"/>
        <w:jc w:val="center"/>
        <w:tblLayout w:type="fixed"/>
        <w:tblLook w:val="04A0" w:firstRow="1" w:lastRow="0" w:firstColumn="1" w:lastColumn="0" w:noHBand="0" w:noVBand="1"/>
      </w:tblPr>
      <w:tblGrid>
        <w:gridCol w:w="5182"/>
        <w:gridCol w:w="5183"/>
      </w:tblGrid>
      <w:tr w:rsidR="00B06D8A" w:rsidRPr="006F132E" w:rsidTr="00B06D8A">
        <w:trPr>
          <w:jc w:val="center"/>
        </w:trPr>
        <w:tc>
          <w:tcPr>
            <w:tcW w:w="10365" w:type="dxa"/>
            <w:gridSpan w:val="2"/>
          </w:tcPr>
          <w:p w:rsidR="00B06D8A" w:rsidRDefault="00B06D8A">
            <w:pPr>
              <w:spacing w:line="276" w:lineRule="auto"/>
              <w:rPr>
                <w:rFonts w:ascii="Palatino Linotype" w:hAnsi="Palatino Linotype" w:cs="Arial"/>
                <w:b/>
              </w:rPr>
            </w:pPr>
          </w:p>
          <w:p w:rsidR="00933E22" w:rsidRPr="006F132E" w:rsidRDefault="00933E22">
            <w:pPr>
              <w:spacing w:line="276" w:lineRule="auto"/>
              <w:rPr>
                <w:rFonts w:ascii="Palatino Linotype" w:hAnsi="Palatino Linotype" w:cs="Arial"/>
                <w:b/>
              </w:rPr>
            </w:pPr>
          </w:p>
          <w:p w:rsidR="00B06D8A" w:rsidRPr="006F132E" w:rsidRDefault="00B06D8A">
            <w:pPr>
              <w:spacing w:line="276" w:lineRule="auto"/>
              <w:jc w:val="center"/>
              <w:rPr>
                <w:rFonts w:ascii="Palatino Linotype" w:hAnsi="Palatino Linotype" w:cs="Arial"/>
                <w:b/>
              </w:rPr>
            </w:pPr>
            <w:r w:rsidRPr="006F132E">
              <w:rPr>
                <w:rFonts w:ascii="Palatino Linotype" w:hAnsi="Palatino Linotype" w:cs="Arial"/>
                <w:b/>
              </w:rPr>
              <w:t>Zulema Martínez Sánchez</w:t>
            </w:r>
          </w:p>
          <w:p w:rsidR="00B06D8A" w:rsidRPr="006F132E" w:rsidRDefault="00B06D8A">
            <w:pPr>
              <w:spacing w:line="276" w:lineRule="auto"/>
              <w:jc w:val="center"/>
              <w:rPr>
                <w:rFonts w:ascii="Palatino Linotype" w:hAnsi="Palatino Linotype" w:cs="Arial"/>
                <w:b/>
              </w:rPr>
            </w:pPr>
            <w:r w:rsidRPr="006F132E">
              <w:rPr>
                <w:rFonts w:ascii="Palatino Linotype" w:hAnsi="Palatino Linotype" w:cs="Arial"/>
              </w:rPr>
              <w:t>Comisionada Presidenta</w:t>
            </w:r>
          </w:p>
          <w:p w:rsidR="00B06D8A" w:rsidRPr="006F132E" w:rsidRDefault="00B06D8A">
            <w:pPr>
              <w:spacing w:line="276" w:lineRule="auto"/>
              <w:jc w:val="center"/>
              <w:rPr>
                <w:rFonts w:ascii="Palatino Linotype" w:hAnsi="Palatino Linotype" w:cs="Arial"/>
                <w:b/>
              </w:rPr>
            </w:pPr>
            <w:r w:rsidRPr="006F132E">
              <w:rPr>
                <w:rFonts w:ascii="Palatino Linotype" w:hAnsi="Palatino Linotype" w:cs="Arial"/>
                <w:b/>
              </w:rPr>
              <w:t xml:space="preserve">(RÚBRICA) </w:t>
            </w:r>
          </w:p>
        </w:tc>
      </w:tr>
      <w:tr w:rsidR="00B06D8A" w:rsidRPr="006F132E" w:rsidTr="00B06D8A">
        <w:trPr>
          <w:jc w:val="center"/>
        </w:trPr>
        <w:tc>
          <w:tcPr>
            <w:tcW w:w="5182" w:type="dxa"/>
          </w:tcPr>
          <w:p w:rsidR="00B06D8A" w:rsidRDefault="00B06D8A">
            <w:pPr>
              <w:spacing w:line="276" w:lineRule="auto"/>
              <w:jc w:val="center"/>
              <w:rPr>
                <w:rFonts w:ascii="Palatino Linotype" w:hAnsi="Palatino Linotype" w:cs="Arial"/>
                <w:b/>
              </w:rPr>
            </w:pPr>
          </w:p>
          <w:p w:rsidR="00C800D3" w:rsidRDefault="00C800D3">
            <w:pPr>
              <w:spacing w:line="276" w:lineRule="auto"/>
              <w:jc w:val="center"/>
              <w:rPr>
                <w:rFonts w:ascii="Palatino Linotype" w:hAnsi="Palatino Linotype" w:cs="Arial"/>
                <w:b/>
              </w:rPr>
            </w:pPr>
          </w:p>
          <w:p w:rsidR="00C800D3" w:rsidRPr="006F132E" w:rsidRDefault="00C800D3">
            <w:pPr>
              <w:spacing w:line="276" w:lineRule="auto"/>
              <w:jc w:val="center"/>
              <w:rPr>
                <w:rFonts w:ascii="Palatino Linotype" w:hAnsi="Palatino Linotype" w:cs="Arial"/>
                <w:b/>
              </w:rPr>
            </w:pPr>
          </w:p>
          <w:p w:rsidR="00B06D8A" w:rsidRPr="006F132E" w:rsidRDefault="00B06D8A">
            <w:pPr>
              <w:spacing w:line="276" w:lineRule="auto"/>
              <w:jc w:val="center"/>
              <w:rPr>
                <w:rFonts w:ascii="Palatino Linotype" w:hAnsi="Palatino Linotype" w:cs="Arial"/>
                <w:b/>
              </w:rPr>
            </w:pPr>
            <w:r w:rsidRPr="006F132E">
              <w:rPr>
                <w:rFonts w:ascii="Palatino Linotype" w:hAnsi="Palatino Linotype" w:cs="Arial"/>
                <w:b/>
              </w:rPr>
              <w:t>Eva Abaid Yapur</w:t>
            </w:r>
          </w:p>
          <w:p w:rsidR="00B06D8A" w:rsidRPr="006F132E" w:rsidRDefault="00B06D8A">
            <w:pPr>
              <w:spacing w:line="276" w:lineRule="auto"/>
              <w:jc w:val="center"/>
              <w:rPr>
                <w:rFonts w:ascii="Palatino Linotype" w:hAnsi="Palatino Linotype" w:cs="Arial"/>
              </w:rPr>
            </w:pPr>
            <w:r w:rsidRPr="006F132E">
              <w:rPr>
                <w:rFonts w:ascii="Palatino Linotype" w:hAnsi="Palatino Linotype" w:cs="Arial"/>
              </w:rPr>
              <w:t>Comisionada</w:t>
            </w:r>
          </w:p>
          <w:p w:rsidR="00B06D8A" w:rsidRPr="006F132E" w:rsidRDefault="00B06D8A" w:rsidP="00502CD3">
            <w:pPr>
              <w:spacing w:line="276" w:lineRule="auto"/>
              <w:jc w:val="center"/>
              <w:rPr>
                <w:rFonts w:ascii="Palatino Linotype" w:hAnsi="Palatino Linotype" w:cs="Arial"/>
                <w:b/>
              </w:rPr>
            </w:pPr>
            <w:r w:rsidRPr="006F132E">
              <w:rPr>
                <w:rFonts w:ascii="Palatino Linotype" w:hAnsi="Palatino Linotype" w:cs="Arial"/>
                <w:b/>
              </w:rPr>
              <w:t>(RÚBRICA)</w:t>
            </w:r>
          </w:p>
        </w:tc>
        <w:tc>
          <w:tcPr>
            <w:tcW w:w="5183" w:type="dxa"/>
          </w:tcPr>
          <w:p w:rsidR="00B06D8A" w:rsidRDefault="00B06D8A">
            <w:pPr>
              <w:spacing w:line="276" w:lineRule="auto"/>
              <w:jc w:val="center"/>
              <w:rPr>
                <w:rFonts w:ascii="Palatino Linotype" w:hAnsi="Palatino Linotype" w:cs="Arial"/>
                <w:b/>
              </w:rPr>
            </w:pPr>
          </w:p>
          <w:p w:rsidR="00C800D3" w:rsidRDefault="00C800D3">
            <w:pPr>
              <w:spacing w:line="276" w:lineRule="auto"/>
              <w:jc w:val="center"/>
              <w:rPr>
                <w:rFonts w:ascii="Palatino Linotype" w:hAnsi="Palatino Linotype" w:cs="Arial"/>
                <w:b/>
              </w:rPr>
            </w:pPr>
          </w:p>
          <w:p w:rsidR="00C800D3" w:rsidRPr="006F132E" w:rsidRDefault="00C800D3">
            <w:pPr>
              <w:spacing w:line="276" w:lineRule="auto"/>
              <w:jc w:val="center"/>
              <w:rPr>
                <w:rFonts w:ascii="Palatino Linotype" w:hAnsi="Palatino Linotype" w:cs="Arial"/>
                <w:b/>
              </w:rPr>
            </w:pPr>
          </w:p>
          <w:p w:rsidR="00B06D8A" w:rsidRPr="006F132E" w:rsidRDefault="00B06D8A">
            <w:pPr>
              <w:spacing w:line="276" w:lineRule="auto"/>
              <w:jc w:val="center"/>
              <w:rPr>
                <w:rFonts w:ascii="Palatino Linotype" w:hAnsi="Palatino Linotype" w:cs="Arial"/>
                <w:b/>
              </w:rPr>
            </w:pPr>
            <w:r w:rsidRPr="006F132E">
              <w:rPr>
                <w:rFonts w:ascii="Palatino Linotype" w:hAnsi="Palatino Linotype" w:cs="Arial"/>
                <w:b/>
              </w:rPr>
              <w:t>José Guadalupe Luna Hernández</w:t>
            </w:r>
          </w:p>
          <w:p w:rsidR="00B06D8A" w:rsidRPr="006F132E" w:rsidRDefault="00B06D8A">
            <w:pPr>
              <w:spacing w:line="276" w:lineRule="auto"/>
              <w:jc w:val="center"/>
              <w:rPr>
                <w:rFonts w:ascii="Palatino Linotype" w:hAnsi="Palatino Linotype" w:cs="Arial"/>
              </w:rPr>
            </w:pPr>
            <w:r w:rsidRPr="006F132E">
              <w:rPr>
                <w:rFonts w:ascii="Palatino Linotype" w:hAnsi="Palatino Linotype" w:cs="Arial"/>
              </w:rPr>
              <w:t>Comisionado</w:t>
            </w:r>
          </w:p>
          <w:p w:rsidR="00B06D8A" w:rsidRPr="006F132E" w:rsidRDefault="00B06D8A" w:rsidP="00502CD3">
            <w:pPr>
              <w:spacing w:line="276" w:lineRule="auto"/>
              <w:jc w:val="center"/>
              <w:rPr>
                <w:rFonts w:ascii="Palatino Linotype" w:hAnsi="Palatino Linotype" w:cs="Arial"/>
                <w:b/>
              </w:rPr>
            </w:pPr>
            <w:r w:rsidRPr="006F132E">
              <w:rPr>
                <w:rFonts w:ascii="Palatino Linotype" w:hAnsi="Palatino Linotype" w:cs="Arial"/>
                <w:b/>
              </w:rPr>
              <w:t>(RÚBRICA)</w:t>
            </w:r>
          </w:p>
        </w:tc>
      </w:tr>
      <w:tr w:rsidR="00B06D8A" w:rsidRPr="006F132E" w:rsidTr="00B06D8A">
        <w:trPr>
          <w:jc w:val="center"/>
        </w:trPr>
        <w:tc>
          <w:tcPr>
            <w:tcW w:w="5182" w:type="dxa"/>
          </w:tcPr>
          <w:p w:rsidR="00B06D8A" w:rsidRDefault="00B06D8A">
            <w:pPr>
              <w:spacing w:line="276" w:lineRule="auto"/>
              <w:jc w:val="center"/>
              <w:rPr>
                <w:rFonts w:ascii="Palatino Linotype" w:hAnsi="Palatino Linotype" w:cs="Arial"/>
                <w:b/>
              </w:rPr>
            </w:pPr>
          </w:p>
          <w:p w:rsidR="00C800D3" w:rsidRDefault="00C800D3">
            <w:pPr>
              <w:spacing w:line="276" w:lineRule="auto"/>
              <w:jc w:val="center"/>
              <w:rPr>
                <w:rFonts w:ascii="Palatino Linotype" w:hAnsi="Palatino Linotype" w:cs="Arial"/>
                <w:b/>
              </w:rPr>
            </w:pPr>
          </w:p>
          <w:p w:rsidR="00B06D8A" w:rsidRPr="006F132E" w:rsidRDefault="00B06D8A" w:rsidP="00933E22">
            <w:pPr>
              <w:spacing w:line="276" w:lineRule="auto"/>
              <w:rPr>
                <w:rFonts w:ascii="Palatino Linotype" w:hAnsi="Palatino Linotype" w:cs="Arial"/>
                <w:b/>
              </w:rPr>
            </w:pPr>
          </w:p>
          <w:p w:rsidR="00B06D8A" w:rsidRPr="006F132E" w:rsidRDefault="00B06D8A">
            <w:pPr>
              <w:spacing w:line="276" w:lineRule="auto"/>
              <w:jc w:val="center"/>
              <w:rPr>
                <w:rFonts w:ascii="Palatino Linotype" w:hAnsi="Palatino Linotype" w:cs="Arial"/>
                <w:b/>
              </w:rPr>
            </w:pPr>
            <w:r w:rsidRPr="006F132E">
              <w:rPr>
                <w:rFonts w:ascii="Palatino Linotype" w:hAnsi="Palatino Linotype" w:cs="Arial"/>
                <w:b/>
              </w:rPr>
              <w:t>Javier Martínez Cruz</w:t>
            </w:r>
          </w:p>
          <w:p w:rsidR="00B06D8A" w:rsidRPr="006F132E" w:rsidRDefault="00B06D8A">
            <w:pPr>
              <w:spacing w:line="276" w:lineRule="auto"/>
              <w:jc w:val="center"/>
              <w:rPr>
                <w:rFonts w:ascii="Palatino Linotype" w:hAnsi="Palatino Linotype" w:cs="Arial"/>
              </w:rPr>
            </w:pPr>
            <w:r w:rsidRPr="006F132E">
              <w:rPr>
                <w:rFonts w:ascii="Palatino Linotype" w:hAnsi="Palatino Linotype" w:cs="Arial"/>
              </w:rPr>
              <w:t>Comisionado</w:t>
            </w:r>
          </w:p>
          <w:p w:rsidR="00B06D8A" w:rsidRPr="006F132E" w:rsidRDefault="00B06D8A">
            <w:pPr>
              <w:spacing w:line="276" w:lineRule="auto"/>
              <w:jc w:val="center"/>
              <w:rPr>
                <w:rFonts w:ascii="Palatino Linotype" w:hAnsi="Palatino Linotype" w:cs="Arial"/>
                <w:b/>
              </w:rPr>
            </w:pPr>
            <w:r w:rsidRPr="006F132E">
              <w:rPr>
                <w:rFonts w:ascii="Palatino Linotype" w:hAnsi="Palatino Linotype" w:cs="Arial"/>
                <w:b/>
              </w:rPr>
              <w:t>(RÚBRICA)</w:t>
            </w:r>
          </w:p>
          <w:p w:rsidR="00B06D8A" w:rsidRDefault="00B06D8A">
            <w:pPr>
              <w:spacing w:line="276" w:lineRule="auto"/>
              <w:rPr>
                <w:rFonts w:ascii="Palatino Linotype" w:hAnsi="Palatino Linotype" w:cs="Arial"/>
                <w:b/>
              </w:rPr>
            </w:pPr>
          </w:p>
          <w:p w:rsidR="001105F3" w:rsidRPr="006F132E" w:rsidRDefault="001105F3">
            <w:pPr>
              <w:spacing w:line="276" w:lineRule="auto"/>
              <w:rPr>
                <w:rFonts w:ascii="Palatino Linotype" w:hAnsi="Palatino Linotype" w:cs="Arial"/>
                <w:b/>
              </w:rPr>
            </w:pPr>
          </w:p>
        </w:tc>
        <w:tc>
          <w:tcPr>
            <w:tcW w:w="5183" w:type="dxa"/>
          </w:tcPr>
          <w:p w:rsidR="00B06D8A" w:rsidRPr="006F132E" w:rsidRDefault="00B06D8A">
            <w:pPr>
              <w:spacing w:line="276" w:lineRule="auto"/>
              <w:rPr>
                <w:rFonts w:ascii="Palatino Linotype" w:hAnsi="Palatino Linotype" w:cs="Arial"/>
                <w:b/>
              </w:rPr>
            </w:pPr>
          </w:p>
          <w:p w:rsidR="00B06D8A" w:rsidRDefault="00B06D8A" w:rsidP="00C800D3">
            <w:pPr>
              <w:spacing w:line="276" w:lineRule="auto"/>
              <w:jc w:val="center"/>
              <w:rPr>
                <w:rFonts w:ascii="Palatino Linotype" w:hAnsi="Palatino Linotype" w:cs="Arial"/>
                <w:b/>
              </w:rPr>
            </w:pPr>
          </w:p>
          <w:p w:rsidR="00C800D3" w:rsidRPr="006F132E" w:rsidRDefault="00C800D3" w:rsidP="00933E22">
            <w:pPr>
              <w:spacing w:line="276" w:lineRule="auto"/>
              <w:rPr>
                <w:rFonts w:ascii="Palatino Linotype" w:hAnsi="Palatino Linotype" w:cs="Arial"/>
                <w:b/>
              </w:rPr>
            </w:pPr>
          </w:p>
          <w:p w:rsidR="00B06D8A" w:rsidRPr="006F132E" w:rsidRDefault="00B06D8A">
            <w:pPr>
              <w:spacing w:line="276" w:lineRule="auto"/>
              <w:jc w:val="center"/>
              <w:rPr>
                <w:rFonts w:ascii="Palatino Linotype" w:hAnsi="Palatino Linotype" w:cs="Arial"/>
                <w:b/>
              </w:rPr>
            </w:pPr>
            <w:r w:rsidRPr="006F132E">
              <w:rPr>
                <w:rFonts w:ascii="Palatino Linotype" w:hAnsi="Palatino Linotype" w:cs="Arial"/>
                <w:b/>
              </w:rPr>
              <w:t xml:space="preserve">Luis Gustavo Parra Noriega </w:t>
            </w:r>
          </w:p>
          <w:p w:rsidR="00B06D8A" w:rsidRPr="006F132E" w:rsidRDefault="00B06D8A">
            <w:pPr>
              <w:spacing w:line="276" w:lineRule="auto"/>
              <w:jc w:val="center"/>
              <w:rPr>
                <w:rFonts w:ascii="Palatino Linotype" w:hAnsi="Palatino Linotype" w:cs="Arial"/>
              </w:rPr>
            </w:pPr>
            <w:r w:rsidRPr="006F132E">
              <w:rPr>
                <w:rFonts w:ascii="Palatino Linotype" w:hAnsi="Palatino Linotype" w:cs="Arial"/>
              </w:rPr>
              <w:t>Comisionado</w:t>
            </w:r>
          </w:p>
          <w:p w:rsidR="00B06D8A" w:rsidRPr="006F132E" w:rsidRDefault="00B06D8A">
            <w:pPr>
              <w:spacing w:line="276" w:lineRule="auto"/>
              <w:jc w:val="center"/>
              <w:rPr>
                <w:rFonts w:ascii="Palatino Linotype" w:hAnsi="Palatino Linotype" w:cs="Arial"/>
                <w:b/>
              </w:rPr>
            </w:pPr>
            <w:r w:rsidRPr="006F132E">
              <w:rPr>
                <w:rFonts w:ascii="Palatino Linotype" w:hAnsi="Palatino Linotype" w:cs="Arial"/>
                <w:b/>
              </w:rPr>
              <w:t>(RÚBRICA)</w:t>
            </w:r>
          </w:p>
          <w:p w:rsidR="00B06D8A" w:rsidRDefault="00B06D8A" w:rsidP="00502CD3">
            <w:pPr>
              <w:spacing w:line="276" w:lineRule="auto"/>
              <w:rPr>
                <w:rFonts w:ascii="Palatino Linotype" w:hAnsi="Palatino Linotype" w:cs="Arial"/>
                <w:b/>
              </w:rPr>
            </w:pPr>
          </w:p>
          <w:p w:rsidR="00C800D3" w:rsidRPr="006F132E" w:rsidRDefault="00C800D3" w:rsidP="00502CD3">
            <w:pPr>
              <w:spacing w:line="276" w:lineRule="auto"/>
              <w:rPr>
                <w:rFonts w:ascii="Palatino Linotype" w:hAnsi="Palatino Linotype" w:cs="Arial"/>
                <w:b/>
              </w:rPr>
            </w:pPr>
          </w:p>
        </w:tc>
      </w:tr>
      <w:tr w:rsidR="00B06D8A" w:rsidRPr="006F132E" w:rsidTr="00B06D8A">
        <w:trPr>
          <w:jc w:val="center"/>
        </w:trPr>
        <w:tc>
          <w:tcPr>
            <w:tcW w:w="10365" w:type="dxa"/>
            <w:gridSpan w:val="2"/>
          </w:tcPr>
          <w:p w:rsidR="00B06D8A" w:rsidRPr="006F132E" w:rsidRDefault="00B06D8A">
            <w:pPr>
              <w:spacing w:line="276" w:lineRule="auto"/>
              <w:jc w:val="center"/>
              <w:rPr>
                <w:rFonts w:ascii="Palatino Linotype" w:hAnsi="Palatino Linotype" w:cs="Arial"/>
                <w:b/>
              </w:rPr>
            </w:pPr>
            <w:r w:rsidRPr="006F132E">
              <w:rPr>
                <w:rFonts w:ascii="Palatino Linotype" w:hAnsi="Palatino Linotype" w:cs="Arial"/>
                <w:b/>
              </w:rPr>
              <w:t>Alexis Tapia Ramírez</w:t>
            </w:r>
          </w:p>
          <w:p w:rsidR="00B06D8A" w:rsidRPr="006F132E" w:rsidRDefault="00B06D8A">
            <w:pPr>
              <w:spacing w:line="276" w:lineRule="auto"/>
              <w:jc w:val="center"/>
              <w:rPr>
                <w:rFonts w:ascii="Palatino Linotype" w:hAnsi="Palatino Linotype" w:cs="Arial"/>
              </w:rPr>
            </w:pPr>
            <w:r w:rsidRPr="006F132E">
              <w:rPr>
                <w:rFonts w:ascii="Palatino Linotype" w:hAnsi="Palatino Linotype" w:cs="Arial"/>
              </w:rPr>
              <w:t>Secretario Técnico del Pleno</w:t>
            </w:r>
          </w:p>
          <w:p w:rsidR="00C800D3" w:rsidRDefault="00B06D8A" w:rsidP="00933E22">
            <w:pPr>
              <w:spacing w:line="276" w:lineRule="auto"/>
              <w:jc w:val="center"/>
              <w:rPr>
                <w:rFonts w:ascii="Palatino Linotype" w:hAnsi="Palatino Linotype" w:cs="Arial"/>
                <w:b/>
              </w:rPr>
            </w:pPr>
            <w:r w:rsidRPr="006F132E">
              <w:rPr>
                <w:rFonts w:ascii="Palatino Linotype" w:hAnsi="Palatino Linotype" w:cs="Arial"/>
                <w:b/>
              </w:rPr>
              <w:t>(RÚBRICA)</w:t>
            </w:r>
          </w:p>
          <w:p w:rsidR="00933E22" w:rsidRPr="00933E22" w:rsidRDefault="00933E22" w:rsidP="00933E22">
            <w:pPr>
              <w:spacing w:line="276" w:lineRule="auto"/>
              <w:jc w:val="center"/>
              <w:rPr>
                <w:rFonts w:ascii="Palatino Linotype" w:hAnsi="Palatino Linotype" w:cs="Arial"/>
                <w:b/>
              </w:rPr>
            </w:pPr>
          </w:p>
        </w:tc>
      </w:tr>
    </w:tbl>
    <w:p w:rsidR="00B06D8A" w:rsidRPr="001105F3" w:rsidRDefault="00B06D8A" w:rsidP="00B06D8A">
      <w:pPr>
        <w:jc w:val="both"/>
        <w:rPr>
          <w:rFonts w:ascii="Palatino Linotype" w:hAnsi="Palatino Linotype" w:cs="Arial"/>
          <w:sz w:val="22"/>
        </w:rPr>
      </w:pPr>
      <w:r w:rsidRPr="001105F3">
        <w:rPr>
          <w:rFonts w:ascii="Palatino Linotype" w:hAnsi="Palatino Linotype" w:cs="Arial"/>
          <w:sz w:val="22"/>
        </w:rPr>
        <w:t xml:space="preserve">Esta hoja corresponde a la resolución de fecha </w:t>
      </w:r>
      <w:r w:rsidR="000154A2" w:rsidRPr="001105F3">
        <w:rPr>
          <w:rFonts w:ascii="Palatino Linotype" w:hAnsi="Palatino Linotype" w:cs="Arial"/>
          <w:sz w:val="22"/>
        </w:rPr>
        <w:t>veintiocho</w:t>
      </w:r>
      <w:r w:rsidR="00C800D3" w:rsidRPr="001105F3">
        <w:rPr>
          <w:rFonts w:ascii="Palatino Linotype" w:hAnsi="Palatino Linotype" w:cs="Arial"/>
          <w:sz w:val="22"/>
        </w:rPr>
        <w:t xml:space="preserve"> de agosto</w:t>
      </w:r>
      <w:r w:rsidRPr="001105F3">
        <w:rPr>
          <w:rFonts w:ascii="Palatino Linotype" w:hAnsi="Palatino Linotype" w:cs="Arial"/>
          <w:sz w:val="22"/>
        </w:rPr>
        <w:t xml:space="preserve"> de dos mil diecinueve, emitida en el recurso de revisión número 0</w:t>
      </w:r>
      <w:r w:rsidR="00C800D3" w:rsidRPr="001105F3">
        <w:rPr>
          <w:rFonts w:ascii="Palatino Linotype" w:hAnsi="Palatino Linotype" w:cs="Arial"/>
          <w:sz w:val="22"/>
        </w:rPr>
        <w:t>4</w:t>
      </w:r>
      <w:r w:rsidR="000154A2" w:rsidRPr="001105F3">
        <w:rPr>
          <w:rFonts w:ascii="Palatino Linotype" w:hAnsi="Palatino Linotype" w:cs="Arial"/>
          <w:sz w:val="22"/>
        </w:rPr>
        <w:t>542</w:t>
      </w:r>
      <w:r w:rsidRPr="001105F3">
        <w:rPr>
          <w:rFonts w:ascii="Palatino Linotype" w:hAnsi="Palatino Linotype" w:cs="Arial"/>
          <w:sz w:val="22"/>
        </w:rPr>
        <w:t xml:space="preserve">/INFOEM/IP/RR/2019.  </w:t>
      </w:r>
    </w:p>
    <w:p w:rsidR="006E2A57" w:rsidRPr="001105F3" w:rsidRDefault="00C800D3" w:rsidP="00502CD3">
      <w:pPr>
        <w:jc w:val="both"/>
        <w:rPr>
          <w:rFonts w:ascii="Palatino Linotype" w:hAnsi="Palatino Linotype"/>
          <w:sz w:val="22"/>
        </w:rPr>
      </w:pPr>
      <w:r w:rsidRPr="001105F3">
        <w:rPr>
          <w:rFonts w:ascii="Palatino Linotype" w:hAnsi="Palatino Linotype" w:cs="Arial"/>
          <w:sz w:val="22"/>
        </w:rPr>
        <w:t>YSM/ATU</w:t>
      </w:r>
    </w:p>
    <w:sectPr w:rsidR="006E2A57" w:rsidRPr="001105F3" w:rsidSect="00CA414E">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D55" w:rsidRDefault="005C6D55" w:rsidP="00502CD3">
      <w:r>
        <w:separator/>
      </w:r>
    </w:p>
  </w:endnote>
  <w:endnote w:type="continuationSeparator" w:id="0">
    <w:p w:rsidR="005C6D55" w:rsidRDefault="005C6D55"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D41BEC" w:rsidRDefault="00D41BEC">
            <w:pPr>
              <w:pStyle w:val="Piedepgina"/>
              <w:jc w:val="right"/>
            </w:pPr>
            <w:r>
              <w:rPr>
                <w:lang w:val="es-ES"/>
              </w:rPr>
              <w:t xml:space="preserve">Página </w:t>
            </w:r>
            <w:r>
              <w:rPr>
                <w:b/>
                <w:bCs/>
              </w:rPr>
              <w:fldChar w:fldCharType="begin"/>
            </w:r>
            <w:r>
              <w:rPr>
                <w:b/>
                <w:bCs/>
              </w:rPr>
              <w:instrText>PAGE</w:instrText>
            </w:r>
            <w:r>
              <w:rPr>
                <w:b/>
                <w:bCs/>
              </w:rPr>
              <w:fldChar w:fldCharType="separate"/>
            </w:r>
            <w:r w:rsidR="00CC2D23">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C2D23">
              <w:rPr>
                <w:b/>
                <w:bCs/>
                <w:noProof/>
              </w:rPr>
              <w:t>43</w:t>
            </w:r>
            <w:r>
              <w:rPr>
                <w:b/>
                <w:bCs/>
              </w:rPr>
              <w:fldChar w:fldCharType="end"/>
            </w:r>
          </w:p>
        </w:sdtContent>
      </w:sdt>
    </w:sdtContent>
  </w:sdt>
  <w:p w:rsidR="00D41BEC" w:rsidRDefault="00D41B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653303"/>
      <w:docPartObj>
        <w:docPartGallery w:val="Page Numbers (Bottom of Page)"/>
        <w:docPartUnique/>
      </w:docPartObj>
    </w:sdtPr>
    <w:sdtEndPr/>
    <w:sdtContent>
      <w:sdt>
        <w:sdtPr>
          <w:id w:val="165446508"/>
          <w:docPartObj>
            <w:docPartGallery w:val="Page Numbers (Top of Page)"/>
            <w:docPartUnique/>
          </w:docPartObj>
        </w:sdtPr>
        <w:sdtEndPr/>
        <w:sdtContent>
          <w:p w:rsidR="00502572" w:rsidRDefault="00502572">
            <w:pPr>
              <w:pStyle w:val="Piedepgina"/>
              <w:jc w:val="right"/>
            </w:pPr>
            <w:r>
              <w:rPr>
                <w:lang w:val="es-ES"/>
              </w:rPr>
              <w:t xml:space="preserve">Página </w:t>
            </w:r>
            <w:r>
              <w:rPr>
                <w:b/>
                <w:bCs/>
              </w:rPr>
              <w:fldChar w:fldCharType="begin"/>
            </w:r>
            <w:r>
              <w:rPr>
                <w:b/>
                <w:bCs/>
              </w:rPr>
              <w:instrText>PAGE</w:instrText>
            </w:r>
            <w:r>
              <w:rPr>
                <w:b/>
                <w:bCs/>
              </w:rPr>
              <w:fldChar w:fldCharType="separate"/>
            </w:r>
            <w:r w:rsidR="00CC2D2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C2D23">
              <w:rPr>
                <w:b/>
                <w:bCs/>
                <w:noProof/>
              </w:rPr>
              <w:t>43</w:t>
            </w:r>
            <w:r>
              <w:rPr>
                <w:b/>
                <w:bCs/>
              </w:rPr>
              <w:fldChar w:fldCharType="end"/>
            </w:r>
          </w:p>
        </w:sdtContent>
      </w:sdt>
    </w:sdtContent>
  </w:sdt>
  <w:p w:rsidR="00502572" w:rsidRDefault="005025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D55" w:rsidRDefault="005C6D55" w:rsidP="00502CD3">
      <w:r>
        <w:separator/>
      </w:r>
    </w:p>
  </w:footnote>
  <w:footnote w:type="continuationSeparator" w:id="0">
    <w:p w:rsidR="005C6D55" w:rsidRDefault="005C6D55"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7" w:type="dxa"/>
      <w:tblLayout w:type="fixed"/>
      <w:tblLook w:val="04A0" w:firstRow="1" w:lastRow="0" w:firstColumn="1" w:lastColumn="0" w:noHBand="0" w:noVBand="1"/>
    </w:tblPr>
    <w:tblGrid>
      <w:gridCol w:w="3539"/>
      <w:gridCol w:w="2268"/>
      <w:gridCol w:w="3260"/>
    </w:tblGrid>
    <w:tr w:rsidR="00D41BEC" w:rsidRPr="008F2CCC" w:rsidTr="00CA414E">
      <w:tc>
        <w:tcPr>
          <w:tcW w:w="3539" w:type="dxa"/>
          <w:vMerge w:val="restart"/>
        </w:tcPr>
        <w:p w:rsidR="00D41BEC" w:rsidRPr="008F2CCC" w:rsidRDefault="00D41BEC" w:rsidP="00502CD3">
          <w:pPr>
            <w:rPr>
              <w:rFonts w:ascii="Palatino Linotype" w:hAnsi="Palatino Linotype"/>
              <w:b/>
              <w:sz w:val="22"/>
              <w:szCs w:val="22"/>
              <w:lang w:val="es-ES_tradnl"/>
            </w:rPr>
          </w:pPr>
        </w:p>
      </w:tc>
      <w:tc>
        <w:tcPr>
          <w:tcW w:w="2268" w:type="dxa"/>
          <w:shd w:val="clear" w:color="auto" w:fill="auto"/>
          <w:vAlign w:val="center"/>
        </w:tcPr>
        <w:p w:rsidR="00D41BEC" w:rsidRPr="00933E22" w:rsidRDefault="00D41BEC" w:rsidP="00CA414E">
          <w:pPr>
            <w:ind w:right="-959"/>
            <w:jc w:val="both"/>
            <w:rPr>
              <w:rFonts w:ascii="Palatino Linotype" w:hAnsi="Palatino Linotype"/>
              <w:b/>
              <w:sz w:val="22"/>
              <w:szCs w:val="22"/>
              <w:lang w:val="es-ES_tradnl"/>
            </w:rPr>
          </w:pPr>
          <w:r w:rsidRPr="00933E22">
            <w:rPr>
              <w:rFonts w:ascii="Palatino Linotype" w:hAnsi="Palatino Linotype"/>
              <w:b/>
              <w:sz w:val="22"/>
              <w:szCs w:val="22"/>
              <w:lang w:val="es-ES_tradnl"/>
            </w:rPr>
            <w:t>Recurso de revisión:</w:t>
          </w:r>
        </w:p>
      </w:tc>
      <w:tc>
        <w:tcPr>
          <w:tcW w:w="3260" w:type="dxa"/>
          <w:shd w:val="clear" w:color="auto" w:fill="auto"/>
          <w:vAlign w:val="center"/>
        </w:tcPr>
        <w:p w:rsidR="00D41BEC" w:rsidRPr="00933E22" w:rsidRDefault="00D41BEC" w:rsidP="00CA414E">
          <w:pPr>
            <w:ind w:left="34" w:right="-107"/>
            <w:jc w:val="both"/>
            <w:rPr>
              <w:rFonts w:ascii="Palatino Linotype" w:hAnsi="Palatino Linotype"/>
              <w:b/>
              <w:sz w:val="22"/>
              <w:szCs w:val="22"/>
              <w:lang w:val="es-ES_tradnl"/>
            </w:rPr>
          </w:pPr>
          <w:r w:rsidRPr="00933E22">
            <w:rPr>
              <w:rFonts w:ascii="Palatino Linotype" w:hAnsi="Palatino Linotype"/>
              <w:b/>
              <w:sz w:val="22"/>
              <w:szCs w:val="22"/>
              <w:lang w:val="es-ES_tradnl"/>
            </w:rPr>
            <w:t>04542/INFOEM/IP/RR/2019</w:t>
          </w:r>
        </w:p>
      </w:tc>
    </w:tr>
    <w:tr w:rsidR="00D41BEC" w:rsidRPr="008F2CCC" w:rsidTr="00CA414E">
      <w:trPr>
        <w:trHeight w:val="228"/>
      </w:trPr>
      <w:tc>
        <w:tcPr>
          <w:tcW w:w="3539" w:type="dxa"/>
          <w:vMerge/>
        </w:tcPr>
        <w:p w:rsidR="00D41BEC" w:rsidRPr="008F2CCC" w:rsidRDefault="00D41BEC" w:rsidP="00CA414E">
          <w:pPr>
            <w:rPr>
              <w:rFonts w:ascii="Palatino Linotype" w:hAnsi="Palatino Linotype"/>
              <w:b/>
              <w:sz w:val="22"/>
              <w:szCs w:val="22"/>
              <w:lang w:val="es-ES_tradnl"/>
            </w:rPr>
          </w:pPr>
        </w:p>
      </w:tc>
      <w:tc>
        <w:tcPr>
          <w:tcW w:w="2268" w:type="dxa"/>
          <w:shd w:val="clear" w:color="auto" w:fill="auto"/>
          <w:vAlign w:val="center"/>
        </w:tcPr>
        <w:p w:rsidR="00D41BEC" w:rsidRPr="00933E22" w:rsidRDefault="00D41BEC" w:rsidP="00CA414E">
          <w:pPr>
            <w:ind w:right="-959"/>
            <w:jc w:val="both"/>
            <w:rPr>
              <w:rFonts w:ascii="Palatino Linotype" w:hAnsi="Palatino Linotype"/>
              <w:b/>
              <w:sz w:val="22"/>
              <w:szCs w:val="22"/>
              <w:lang w:val="es-ES_tradnl"/>
            </w:rPr>
          </w:pPr>
          <w:r w:rsidRPr="00933E22">
            <w:rPr>
              <w:rFonts w:ascii="Palatino Linotype" w:hAnsi="Palatino Linotype"/>
              <w:b/>
              <w:sz w:val="22"/>
              <w:szCs w:val="22"/>
              <w:lang w:val="es-ES_tradnl"/>
            </w:rPr>
            <w:t>Sujeto Obligado:</w:t>
          </w:r>
        </w:p>
      </w:tc>
      <w:tc>
        <w:tcPr>
          <w:tcW w:w="3260" w:type="dxa"/>
          <w:shd w:val="clear" w:color="auto" w:fill="auto"/>
          <w:vAlign w:val="center"/>
        </w:tcPr>
        <w:p w:rsidR="00D41BEC" w:rsidRPr="00933E22" w:rsidRDefault="00D41BEC" w:rsidP="00CA414E">
          <w:pPr>
            <w:ind w:left="34" w:right="-107"/>
            <w:jc w:val="both"/>
            <w:rPr>
              <w:rFonts w:ascii="Palatino Linotype" w:hAnsi="Palatino Linotype"/>
              <w:b/>
              <w:sz w:val="22"/>
              <w:szCs w:val="22"/>
            </w:rPr>
          </w:pPr>
          <w:r w:rsidRPr="00933E22">
            <w:rPr>
              <w:rFonts w:ascii="Palatino Linotype" w:hAnsi="Palatino Linotype"/>
              <w:b/>
              <w:sz w:val="22"/>
              <w:szCs w:val="22"/>
            </w:rPr>
            <w:t>Organismo Público Descentralizado para la Prestación de Los Servicios de Agua Potable Alcantarillado y Saneamiento del Municipio de Zumpango</w:t>
          </w:r>
        </w:p>
      </w:tc>
    </w:tr>
    <w:tr w:rsidR="00D41BEC" w:rsidRPr="008F2CCC" w:rsidTr="00CA414E">
      <w:tc>
        <w:tcPr>
          <w:tcW w:w="3539" w:type="dxa"/>
          <w:vMerge/>
        </w:tcPr>
        <w:p w:rsidR="00D41BEC" w:rsidRPr="008F2CCC" w:rsidRDefault="00D41BEC" w:rsidP="00CA414E">
          <w:pPr>
            <w:rPr>
              <w:rFonts w:ascii="Palatino Linotype" w:hAnsi="Palatino Linotype"/>
              <w:b/>
              <w:sz w:val="22"/>
              <w:szCs w:val="22"/>
              <w:lang w:val="es-ES_tradnl"/>
            </w:rPr>
          </w:pPr>
        </w:p>
      </w:tc>
      <w:tc>
        <w:tcPr>
          <w:tcW w:w="2268" w:type="dxa"/>
          <w:shd w:val="clear" w:color="auto" w:fill="auto"/>
          <w:vAlign w:val="center"/>
        </w:tcPr>
        <w:p w:rsidR="00D41BEC" w:rsidRPr="00933E22" w:rsidRDefault="00D41BEC" w:rsidP="00CA414E">
          <w:pPr>
            <w:ind w:right="-959"/>
            <w:jc w:val="both"/>
            <w:rPr>
              <w:rFonts w:ascii="Palatino Linotype" w:hAnsi="Palatino Linotype"/>
              <w:b/>
              <w:sz w:val="22"/>
              <w:szCs w:val="22"/>
              <w:lang w:val="es-ES_tradnl"/>
            </w:rPr>
          </w:pPr>
          <w:r w:rsidRPr="00933E22">
            <w:rPr>
              <w:rFonts w:ascii="Palatino Linotype" w:hAnsi="Palatino Linotype"/>
              <w:b/>
              <w:sz w:val="22"/>
              <w:szCs w:val="22"/>
              <w:lang w:val="es-ES_tradnl"/>
            </w:rPr>
            <w:t>Comisionada ponente:</w:t>
          </w:r>
        </w:p>
      </w:tc>
      <w:tc>
        <w:tcPr>
          <w:tcW w:w="3260" w:type="dxa"/>
          <w:shd w:val="clear" w:color="auto" w:fill="auto"/>
          <w:vAlign w:val="center"/>
        </w:tcPr>
        <w:p w:rsidR="00D41BEC" w:rsidRPr="00933E22" w:rsidRDefault="00D41BEC" w:rsidP="00CA414E">
          <w:pPr>
            <w:ind w:left="34" w:right="-107"/>
            <w:jc w:val="both"/>
            <w:rPr>
              <w:rFonts w:ascii="Palatino Linotype" w:hAnsi="Palatino Linotype"/>
              <w:b/>
              <w:sz w:val="22"/>
              <w:szCs w:val="22"/>
              <w:lang w:val="es-ES_tradnl"/>
            </w:rPr>
          </w:pPr>
          <w:r w:rsidRPr="00933E22">
            <w:rPr>
              <w:rFonts w:ascii="Palatino Linotype" w:hAnsi="Palatino Linotype"/>
              <w:b/>
              <w:sz w:val="22"/>
              <w:szCs w:val="22"/>
              <w:lang w:val="es-ES_tradnl"/>
            </w:rPr>
            <w:t>Eva Abaid Yapur</w:t>
          </w:r>
        </w:p>
      </w:tc>
    </w:tr>
  </w:tbl>
  <w:p w:rsidR="00D41BEC" w:rsidRDefault="00D41BEC"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7" w:type="dxa"/>
      <w:tblLayout w:type="fixed"/>
      <w:tblLook w:val="04A0" w:firstRow="1" w:lastRow="0" w:firstColumn="1" w:lastColumn="0" w:noHBand="0" w:noVBand="1"/>
    </w:tblPr>
    <w:tblGrid>
      <w:gridCol w:w="3539"/>
      <w:gridCol w:w="2268"/>
      <w:gridCol w:w="3260"/>
    </w:tblGrid>
    <w:tr w:rsidR="00D41BEC" w:rsidRPr="00933E22" w:rsidTr="00CA414E">
      <w:tc>
        <w:tcPr>
          <w:tcW w:w="3539" w:type="dxa"/>
          <w:vMerge w:val="restart"/>
        </w:tcPr>
        <w:p w:rsidR="00D41BEC" w:rsidRPr="00933E22" w:rsidRDefault="00D41BEC" w:rsidP="00CA414E">
          <w:pPr>
            <w:rPr>
              <w:rFonts w:ascii="Palatino Linotype" w:hAnsi="Palatino Linotype"/>
              <w:b/>
              <w:sz w:val="22"/>
              <w:szCs w:val="22"/>
              <w:lang w:val="es-ES_tradnl"/>
            </w:rPr>
          </w:pPr>
        </w:p>
      </w:tc>
      <w:tc>
        <w:tcPr>
          <w:tcW w:w="2268" w:type="dxa"/>
          <w:shd w:val="clear" w:color="auto" w:fill="auto"/>
          <w:vAlign w:val="center"/>
        </w:tcPr>
        <w:p w:rsidR="00D41BEC" w:rsidRPr="00933E22" w:rsidRDefault="00D41BEC" w:rsidP="00CA414E">
          <w:pPr>
            <w:ind w:right="-959"/>
            <w:jc w:val="both"/>
            <w:rPr>
              <w:rFonts w:ascii="Palatino Linotype" w:hAnsi="Palatino Linotype"/>
              <w:b/>
              <w:sz w:val="22"/>
              <w:szCs w:val="22"/>
              <w:lang w:val="es-ES_tradnl"/>
            </w:rPr>
          </w:pPr>
          <w:r w:rsidRPr="00933E22">
            <w:rPr>
              <w:rFonts w:ascii="Palatino Linotype" w:hAnsi="Palatino Linotype"/>
              <w:b/>
              <w:sz w:val="22"/>
              <w:szCs w:val="22"/>
              <w:lang w:val="es-ES_tradnl"/>
            </w:rPr>
            <w:t>Recurso de revisión:</w:t>
          </w:r>
        </w:p>
      </w:tc>
      <w:tc>
        <w:tcPr>
          <w:tcW w:w="3260" w:type="dxa"/>
          <w:shd w:val="clear" w:color="auto" w:fill="auto"/>
          <w:vAlign w:val="center"/>
        </w:tcPr>
        <w:p w:rsidR="00D41BEC" w:rsidRPr="00933E22" w:rsidRDefault="00D41BEC" w:rsidP="00CA414E">
          <w:pPr>
            <w:ind w:left="34" w:right="-107"/>
            <w:jc w:val="both"/>
            <w:rPr>
              <w:rFonts w:ascii="Palatino Linotype" w:hAnsi="Palatino Linotype"/>
              <w:b/>
              <w:sz w:val="22"/>
              <w:szCs w:val="22"/>
              <w:lang w:val="es-ES_tradnl"/>
            </w:rPr>
          </w:pPr>
          <w:r w:rsidRPr="00933E22">
            <w:rPr>
              <w:rFonts w:ascii="Palatino Linotype" w:hAnsi="Palatino Linotype"/>
              <w:b/>
              <w:sz w:val="22"/>
              <w:szCs w:val="22"/>
              <w:lang w:val="es-ES_tradnl"/>
            </w:rPr>
            <w:t>04542/INFOEM/IP/RR/2019</w:t>
          </w:r>
        </w:p>
      </w:tc>
    </w:tr>
    <w:tr w:rsidR="00D41BEC" w:rsidRPr="00933E22" w:rsidTr="00CA414E">
      <w:tc>
        <w:tcPr>
          <w:tcW w:w="3539" w:type="dxa"/>
          <w:vMerge/>
        </w:tcPr>
        <w:p w:rsidR="00D41BEC" w:rsidRPr="00933E22" w:rsidRDefault="00D41BEC" w:rsidP="00CA414E">
          <w:pPr>
            <w:rPr>
              <w:rFonts w:ascii="Palatino Linotype" w:hAnsi="Palatino Linotype"/>
              <w:b/>
              <w:sz w:val="22"/>
              <w:szCs w:val="22"/>
              <w:lang w:val="es-ES_tradnl"/>
            </w:rPr>
          </w:pPr>
        </w:p>
      </w:tc>
      <w:tc>
        <w:tcPr>
          <w:tcW w:w="2268" w:type="dxa"/>
          <w:shd w:val="clear" w:color="auto" w:fill="auto"/>
          <w:vAlign w:val="center"/>
        </w:tcPr>
        <w:p w:rsidR="00D41BEC" w:rsidRPr="00933E22" w:rsidRDefault="00D41BEC" w:rsidP="00CA414E">
          <w:pPr>
            <w:ind w:right="-959"/>
            <w:jc w:val="both"/>
            <w:rPr>
              <w:rFonts w:ascii="Palatino Linotype" w:hAnsi="Palatino Linotype"/>
              <w:b/>
              <w:sz w:val="22"/>
              <w:szCs w:val="22"/>
              <w:lang w:val="es-ES_tradnl"/>
            </w:rPr>
          </w:pPr>
          <w:r w:rsidRPr="00933E22">
            <w:rPr>
              <w:rFonts w:ascii="Palatino Linotype" w:hAnsi="Palatino Linotype"/>
              <w:b/>
              <w:sz w:val="22"/>
              <w:szCs w:val="22"/>
              <w:lang w:val="es-ES_tradnl"/>
            </w:rPr>
            <w:t>Recurrente:</w:t>
          </w:r>
        </w:p>
      </w:tc>
      <w:tc>
        <w:tcPr>
          <w:tcW w:w="3260" w:type="dxa"/>
          <w:shd w:val="clear" w:color="auto" w:fill="auto"/>
          <w:vAlign w:val="center"/>
        </w:tcPr>
        <w:p w:rsidR="00D41BEC" w:rsidRPr="00933E22" w:rsidRDefault="00CC2D23" w:rsidP="00CA414E">
          <w:pPr>
            <w:ind w:left="34" w:right="-107"/>
            <w:jc w:val="both"/>
            <w:rPr>
              <w:rFonts w:ascii="Palatino Linotype" w:hAnsi="Palatino Linotype"/>
              <w:b/>
              <w:sz w:val="22"/>
              <w:szCs w:val="22"/>
              <w:lang w:val="es-ES_tradnl"/>
            </w:rPr>
          </w:pPr>
          <w:r w:rsidRPr="00CC2D23">
            <w:rPr>
              <w:rFonts w:ascii="Palatino Linotype" w:hAnsi="Palatino Linotype"/>
              <w:b/>
              <w:sz w:val="22"/>
              <w:szCs w:val="22"/>
              <w:lang w:val="es-ES_tradnl"/>
            </w:rPr>
            <w:t>X XX X</w:t>
          </w:r>
        </w:p>
      </w:tc>
    </w:tr>
    <w:tr w:rsidR="00D41BEC" w:rsidRPr="00933E22" w:rsidTr="00CA414E">
      <w:trPr>
        <w:trHeight w:val="228"/>
      </w:trPr>
      <w:tc>
        <w:tcPr>
          <w:tcW w:w="3539" w:type="dxa"/>
          <w:vMerge/>
        </w:tcPr>
        <w:p w:rsidR="00D41BEC" w:rsidRPr="00933E22" w:rsidRDefault="00D41BEC" w:rsidP="00CA414E">
          <w:pPr>
            <w:rPr>
              <w:rFonts w:ascii="Palatino Linotype" w:hAnsi="Palatino Linotype"/>
              <w:b/>
              <w:sz w:val="22"/>
              <w:szCs w:val="22"/>
              <w:lang w:val="es-ES_tradnl"/>
            </w:rPr>
          </w:pPr>
        </w:p>
      </w:tc>
      <w:tc>
        <w:tcPr>
          <w:tcW w:w="2268" w:type="dxa"/>
          <w:shd w:val="clear" w:color="auto" w:fill="auto"/>
          <w:vAlign w:val="center"/>
        </w:tcPr>
        <w:p w:rsidR="00D41BEC" w:rsidRPr="00933E22" w:rsidRDefault="00D41BEC" w:rsidP="00CA414E">
          <w:pPr>
            <w:ind w:right="-959"/>
            <w:jc w:val="both"/>
            <w:rPr>
              <w:rFonts w:ascii="Palatino Linotype" w:hAnsi="Palatino Linotype"/>
              <w:b/>
              <w:sz w:val="22"/>
              <w:szCs w:val="22"/>
              <w:lang w:val="es-ES_tradnl"/>
            </w:rPr>
          </w:pPr>
          <w:r w:rsidRPr="00933E22">
            <w:rPr>
              <w:rFonts w:ascii="Palatino Linotype" w:hAnsi="Palatino Linotype"/>
              <w:b/>
              <w:sz w:val="22"/>
              <w:szCs w:val="22"/>
              <w:lang w:val="es-ES_tradnl"/>
            </w:rPr>
            <w:t>Sujeto Obligado:</w:t>
          </w:r>
        </w:p>
      </w:tc>
      <w:tc>
        <w:tcPr>
          <w:tcW w:w="3260" w:type="dxa"/>
          <w:shd w:val="clear" w:color="auto" w:fill="auto"/>
          <w:vAlign w:val="center"/>
        </w:tcPr>
        <w:p w:rsidR="00D41BEC" w:rsidRPr="00933E22" w:rsidRDefault="00D41BEC" w:rsidP="00CA414E">
          <w:pPr>
            <w:ind w:left="34" w:right="-107"/>
            <w:jc w:val="both"/>
            <w:rPr>
              <w:rFonts w:ascii="Palatino Linotype" w:hAnsi="Palatino Linotype"/>
              <w:b/>
              <w:sz w:val="22"/>
              <w:szCs w:val="22"/>
            </w:rPr>
          </w:pPr>
          <w:r w:rsidRPr="00933E22">
            <w:rPr>
              <w:rFonts w:ascii="Palatino Linotype" w:hAnsi="Palatino Linotype"/>
              <w:b/>
              <w:sz w:val="22"/>
              <w:szCs w:val="22"/>
            </w:rPr>
            <w:t>Organismo Público Descentralizado para la Prestación de Los Servicios de Agua Potable Alcantarillado y Saneamiento del Municipio de Zumpango</w:t>
          </w:r>
        </w:p>
      </w:tc>
    </w:tr>
    <w:tr w:rsidR="00D41BEC" w:rsidRPr="00933E22" w:rsidTr="00CA414E">
      <w:tc>
        <w:tcPr>
          <w:tcW w:w="3539" w:type="dxa"/>
          <w:vMerge/>
        </w:tcPr>
        <w:p w:rsidR="00D41BEC" w:rsidRPr="00933E22" w:rsidRDefault="00D41BEC" w:rsidP="00CA414E">
          <w:pPr>
            <w:rPr>
              <w:rFonts w:ascii="Palatino Linotype" w:hAnsi="Palatino Linotype"/>
              <w:b/>
              <w:sz w:val="22"/>
              <w:szCs w:val="22"/>
              <w:lang w:val="es-ES_tradnl"/>
            </w:rPr>
          </w:pPr>
        </w:p>
      </w:tc>
      <w:tc>
        <w:tcPr>
          <w:tcW w:w="2268" w:type="dxa"/>
          <w:shd w:val="clear" w:color="auto" w:fill="auto"/>
          <w:vAlign w:val="center"/>
        </w:tcPr>
        <w:p w:rsidR="00D41BEC" w:rsidRPr="00933E22" w:rsidRDefault="00D41BEC" w:rsidP="00CA414E">
          <w:pPr>
            <w:ind w:right="-959"/>
            <w:jc w:val="both"/>
            <w:rPr>
              <w:rFonts w:ascii="Palatino Linotype" w:hAnsi="Palatino Linotype"/>
              <w:b/>
              <w:sz w:val="22"/>
              <w:szCs w:val="22"/>
              <w:lang w:val="es-ES_tradnl"/>
            </w:rPr>
          </w:pPr>
          <w:r w:rsidRPr="00933E22">
            <w:rPr>
              <w:rFonts w:ascii="Palatino Linotype" w:hAnsi="Palatino Linotype"/>
              <w:b/>
              <w:sz w:val="22"/>
              <w:szCs w:val="22"/>
              <w:lang w:val="es-ES_tradnl"/>
            </w:rPr>
            <w:t>Comisionada ponente:</w:t>
          </w:r>
        </w:p>
      </w:tc>
      <w:tc>
        <w:tcPr>
          <w:tcW w:w="3260" w:type="dxa"/>
          <w:shd w:val="clear" w:color="auto" w:fill="auto"/>
          <w:vAlign w:val="center"/>
        </w:tcPr>
        <w:p w:rsidR="00D41BEC" w:rsidRPr="00933E22" w:rsidRDefault="00D41BEC" w:rsidP="00CA414E">
          <w:pPr>
            <w:ind w:left="34" w:right="-107"/>
            <w:jc w:val="both"/>
            <w:rPr>
              <w:rFonts w:ascii="Palatino Linotype" w:hAnsi="Palatino Linotype"/>
              <w:b/>
              <w:sz w:val="22"/>
              <w:szCs w:val="22"/>
              <w:lang w:val="es-ES_tradnl"/>
            </w:rPr>
          </w:pPr>
          <w:r w:rsidRPr="00933E22">
            <w:rPr>
              <w:rFonts w:ascii="Palatino Linotype" w:hAnsi="Palatino Linotype"/>
              <w:b/>
              <w:sz w:val="22"/>
              <w:szCs w:val="22"/>
              <w:lang w:val="es-ES_tradnl"/>
            </w:rPr>
            <w:t>Eva Abaid Yapur</w:t>
          </w:r>
        </w:p>
      </w:tc>
    </w:tr>
  </w:tbl>
  <w:p w:rsidR="00D41BEC" w:rsidRPr="00933E22" w:rsidRDefault="00D41BEC">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6944"/>
    <w:multiLevelType w:val="hybridMultilevel"/>
    <w:tmpl w:val="0B6A37C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DC2089"/>
    <w:multiLevelType w:val="hybridMultilevel"/>
    <w:tmpl w:val="B28E676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004CA3"/>
    <w:multiLevelType w:val="hybridMultilevel"/>
    <w:tmpl w:val="4D5AD3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4">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0D60510"/>
    <w:multiLevelType w:val="hybridMultilevel"/>
    <w:tmpl w:val="5F3E488E"/>
    <w:lvl w:ilvl="0" w:tplc="7F764BDA">
      <w:start w:val="1"/>
      <w:numFmt w:val="ordinalText"/>
      <w:suff w:val="space"/>
      <w:lvlText w:val="%1."/>
      <w:lvlJc w:val="left"/>
      <w:pPr>
        <w:ind w:left="19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10"/>
  </w:num>
  <w:num w:numId="8">
    <w:abstractNumId w:val="10"/>
  </w:num>
  <w:num w:numId="9">
    <w:abstractNumId w:val="12"/>
  </w:num>
  <w:num w:numId="10">
    <w:abstractNumId w:val="1"/>
  </w:num>
  <w:num w:numId="11">
    <w:abstractNumId w:val="15"/>
  </w:num>
  <w:num w:numId="12">
    <w:abstractNumId w:val="2"/>
  </w:num>
  <w:num w:numId="13">
    <w:abstractNumId w:val="6"/>
  </w:num>
  <w:num w:numId="14">
    <w:abstractNumId w:val="9"/>
  </w:num>
  <w:num w:numId="15">
    <w:abstractNumId w:val="8"/>
  </w:num>
  <w:num w:numId="16">
    <w:abstractNumId w:val="19"/>
  </w:num>
  <w:num w:numId="17">
    <w:abstractNumId w:val="16"/>
  </w:num>
  <w:num w:numId="18">
    <w:abstractNumId w:val="13"/>
  </w:num>
  <w:num w:numId="19">
    <w:abstractNumId w:val="5"/>
  </w:num>
  <w:num w:numId="20">
    <w:abstractNumId w:val="11"/>
  </w:num>
  <w:num w:numId="21">
    <w:abstractNumId w:val="0"/>
  </w:num>
  <w:num w:numId="22">
    <w:abstractNumId w:val="3"/>
  </w:num>
  <w:num w:numId="23">
    <w:abstractNumId w:val="7"/>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154A2"/>
    <w:rsid w:val="00031655"/>
    <w:rsid w:val="0003698F"/>
    <w:rsid w:val="00042D5F"/>
    <w:rsid w:val="000A7B2F"/>
    <w:rsid w:val="000B6DC0"/>
    <w:rsid w:val="0010394A"/>
    <w:rsid w:val="001076CD"/>
    <w:rsid w:val="001105F3"/>
    <w:rsid w:val="00150B55"/>
    <w:rsid w:val="00185F65"/>
    <w:rsid w:val="001A4877"/>
    <w:rsid w:val="001B6042"/>
    <w:rsid w:val="00212AB6"/>
    <w:rsid w:val="002165D0"/>
    <w:rsid w:val="0024630B"/>
    <w:rsid w:val="0026302A"/>
    <w:rsid w:val="00290BE6"/>
    <w:rsid w:val="002B79F4"/>
    <w:rsid w:val="002D2666"/>
    <w:rsid w:val="00313A03"/>
    <w:rsid w:val="00342962"/>
    <w:rsid w:val="003A0DD9"/>
    <w:rsid w:val="003B09B3"/>
    <w:rsid w:val="003F5028"/>
    <w:rsid w:val="0042005F"/>
    <w:rsid w:val="004263A7"/>
    <w:rsid w:val="00444ED1"/>
    <w:rsid w:val="004813AC"/>
    <w:rsid w:val="00497CE4"/>
    <w:rsid w:val="004A36FC"/>
    <w:rsid w:val="004D4953"/>
    <w:rsid w:val="004E5D2D"/>
    <w:rsid w:val="004F5846"/>
    <w:rsid w:val="00502572"/>
    <w:rsid w:val="00502CD3"/>
    <w:rsid w:val="0050631D"/>
    <w:rsid w:val="00557669"/>
    <w:rsid w:val="00584889"/>
    <w:rsid w:val="005B0A9B"/>
    <w:rsid w:val="005B3156"/>
    <w:rsid w:val="005B60E0"/>
    <w:rsid w:val="005C6D55"/>
    <w:rsid w:val="005E5118"/>
    <w:rsid w:val="0061338B"/>
    <w:rsid w:val="00657793"/>
    <w:rsid w:val="0066258F"/>
    <w:rsid w:val="006775B1"/>
    <w:rsid w:val="006917E8"/>
    <w:rsid w:val="006E0E48"/>
    <w:rsid w:val="006E2A57"/>
    <w:rsid w:val="006F132E"/>
    <w:rsid w:val="007005BE"/>
    <w:rsid w:val="00760BDD"/>
    <w:rsid w:val="00763C6A"/>
    <w:rsid w:val="00785126"/>
    <w:rsid w:val="007A1E49"/>
    <w:rsid w:val="007A6AF3"/>
    <w:rsid w:val="007D67D9"/>
    <w:rsid w:val="007F545C"/>
    <w:rsid w:val="008158A6"/>
    <w:rsid w:val="0082518B"/>
    <w:rsid w:val="00826285"/>
    <w:rsid w:val="008262C5"/>
    <w:rsid w:val="00873AF2"/>
    <w:rsid w:val="00895E02"/>
    <w:rsid w:val="00896D51"/>
    <w:rsid w:val="008E7B9D"/>
    <w:rsid w:val="00933E22"/>
    <w:rsid w:val="0093695A"/>
    <w:rsid w:val="00955531"/>
    <w:rsid w:val="00972A40"/>
    <w:rsid w:val="00986960"/>
    <w:rsid w:val="00995944"/>
    <w:rsid w:val="009B59A0"/>
    <w:rsid w:val="00A10D50"/>
    <w:rsid w:val="00A55A3A"/>
    <w:rsid w:val="00A767F8"/>
    <w:rsid w:val="00A8048E"/>
    <w:rsid w:val="00A81890"/>
    <w:rsid w:val="00A94700"/>
    <w:rsid w:val="00AC6850"/>
    <w:rsid w:val="00B0141A"/>
    <w:rsid w:val="00B06D8A"/>
    <w:rsid w:val="00B07BB3"/>
    <w:rsid w:val="00B12677"/>
    <w:rsid w:val="00B1455F"/>
    <w:rsid w:val="00B558F9"/>
    <w:rsid w:val="00B57156"/>
    <w:rsid w:val="00B57900"/>
    <w:rsid w:val="00B67434"/>
    <w:rsid w:val="00B75CE5"/>
    <w:rsid w:val="00B8043B"/>
    <w:rsid w:val="00B94D13"/>
    <w:rsid w:val="00BC1CA8"/>
    <w:rsid w:val="00BE0B01"/>
    <w:rsid w:val="00C17FD3"/>
    <w:rsid w:val="00C211C4"/>
    <w:rsid w:val="00C61610"/>
    <w:rsid w:val="00C77F72"/>
    <w:rsid w:val="00C800D3"/>
    <w:rsid w:val="00C80812"/>
    <w:rsid w:val="00CA22EC"/>
    <w:rsid w:val="00CA414E"/>
    <w:rsid w:val="00CC2D23"/>
    <w:rsid w:val="00CD79C4"/>
    <w:rsid w:val="00D41BEC"/>
    <w:rsid w:val="00D6338B"/>
    <w:rsid w:val="00D705CC"/>
    <w:rsid w:val="00DB1CBF"/>
    <w:rsid w:val="00DC2B38"/>
    <w:rsid w:val="00DC31DD"/>
    <w:rsid w:val="00DC71D1"/>
    <w:rsid w:val="00DD286B"/>
    <w:rsid w:val="00DD520B"/>
    <w:rsid w:val="00DD56F7"/>
    <w:rsid w:val="00DE3DEA"/>
    <w:rsid w:val="00E215FB"/>
    <w:rsid w:val="00E23459"/>
    <w:rsid w:val="00E25A03"/>
    <w:rsid w:val="00E325F8"/>
    <w:rsid w:val="00E95B6A"/>
    <w:rsid w:val="00EB6B1D"/>
    <w:rsid w:val="00EC30F4"/>
    <w:rsid w:val="00EC773A"/>
    <w:rsid w:val="00EE476E"/>
    <w:rsid w:val="00EF0C92"/>
    <w:rsid w:val="00F02D9B"/>
    <w:rsid w:val="00F056A1"/>
    <w:rsid w:val="00F07E8E"/>
    <w:rsid w:val="00F135A7"/>
    <w:rsid w:val="00F21FCF"/>
    <w:rsid w:val="00F45410"/>
    <w:rsid w:val="00F67890"/>
    <w:rsid w:val="00F728B1"/>
    <w:rsid w:val="00FB7347"/>
    <w:rsid w:val="00FD1990"/>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4FCA326-5009-479C-B1D6-383DD1B9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semiHidden/>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uiPriority w:val="99"/>
    <w:semiHidden/>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7A47-2BC0-48DC-ADB0-DF43F793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9842</Words>
  <Characters>54133</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2019-08-30T18:17:00Z</cp:lastPrinted>
  <dcterms:created xsi:type="dcterms:W3CDTF">2019-08-23T01:53:00Z</dcterms:created>
  <dcterms:modified xsi:type="dcterms:W3CDTF">2019-09-17T22:38:00Z</dcterms:modified>
</cp:coreProperties>
</file>