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bookmarkStart w:id="0" w:name="_GoBack"/>
      <w:bookmarkEnd w:id="0"/>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5F66F4">
        <w:rPr>
          <w:rFonts w:ascii="Palatino Linotype" w:hAnsi="Palatino Linotype" w:cs="Arial"/>
          <w:b/>
          <w:sz w:val="24"/>
          <w:szCs w:val="24"/>
        </w:rPr>
        <w:t>2215</w:t>
      </w:r>
      <w:r w:rsidR="009C41CC" w:rsidRPr="00B10C1A">
        <w:rPr>
          <w:rFonts w:ascii="Palatino Linotype" w:hAnsi="Palatino Linotype" w:cs="Arial"/>
          <w:b/>
          <w:sz w:val="24"/>
          <w:szCs w:val="24"/>
        </w:rPr>
        <w:t>/INFOEM/IP/RR/201</w:t>
      </w:r>
      <w:r w:rsidR="00955879">
        <w:rPr>
          <w:rFonts w:ascii="Palatino Linotype" w:hAnsi="Palatino Linotype" w:cs="Arial"/>
          <w:b/>
          <w:sz w:val="24"/>
          <w:szCs w:val="24"/>
        </w:rPr>
        <w:t>9</w:t>
      </w:r>
      <w:r w:rsidR="00380D7A">
        <w:rPr>
          <w:rFonts w:ascii="Palatino Linotype" w:hAnsi="Palatino Linotype" w:cs="Arial"/>
          <w:b/>
          <w:sz w:val="24"/>
          <w:szCs w:val="24"/>
        </w:rPr>
        <w:t>.</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w:t>
      </w:r>
      <w:r w:rsidR="00955879">
        <w:rPr>
          <w:rFonts w:ascii="Palatino Linotype" w:hAnsi="Palatino Linotype" w:cs="Arial"/>
          <w:sz w:val="24"/>
          <w:szCs w:val="24"/>
        </w:rPr>
        <w:t xml:space="preserve"> </w:t>
      </w:r>
      <w:r w:rsidRPr="00B10C1A">
        <w:rPr>
          <w:rFonts w:ascii="Palatino Linotype" w:hAnsi="Palatino Linotype" w:cs="Arial"/>
          <w:sz w:val="24"/>
          <w:szCs w:val="24"/>
        </w:rPr>
        <w:t>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810627" w:rsidRDefault="00810627" w:rsidP="0046491C">
      <w:pPr>
        <w:pStyle w:val="TtulodeTDC"/>
        <w:rPr>
          <w:rFonts w:cs="Arial"/>
          <w:b w:val="0"/>
          <w:szCs w:val="24"/>
        </w:rPr>
      </w:pPr>
    </w:p>
    <w:p w:rsidR="00007504" w:rsidRPr="00810627" w:rsidRDefault="0046491C" w:rsidP="0046491C">
      <w:pPr>
        <w:pStyle w:val="TtulodeTDC"/>
        <w:rPr>
          <w:rFonts w:cs="Arial"/>
          <w:szCs w:val="24"/>
        </w:rPr>
      </w:pPr>
      <w:r w:rsidRPr="00810627">
        <w:rPr>
          <w:rFonts w:cs="Arial"/>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46491C" w:rsidRPr="00810627" w:rsidRDefault="0046491C" w:rsidP="00007504">
          <w:pPr>
            <w:spacing w:after="0" w:line="360" w:lineRule="auto"/>
            <w:jc w:val="both"/>
            <w:rPr>
              <w:rFonts w:ascii="Palatino Linotype" w:hAnsi="Palatino Linotype"/>
              <w:sz w:val="24"/>
              <w:szCs w:val="24"/>
            </w:rPr>
          </w:pPr>
        </w:p>
        <w:p w:rsidR="00810627" w:rsidRPr="00810627" w:rsidRDefault="0046491C">
          <w:pPr>
            <w:pStyle w:val="TDC1"/>
            <w:rPr>
              <w:rFonts w:ascii="Palatino Linotype" w:eastAsiaTheme="minorEastAsia" w:hAnsi="Palatino Linotype"/>
              <w:noProof/>
              <w:sz w:val="24"/>
              <w:szCs w:val="24"/>
              <w:lang w:eastAsia="es-MX"/>
            </w:rPr>
          </w:pPr>
          <w:r w:rsidRPr="00810627">
            <w:rPr>
              <w:rFonts w:ascii="Palatino Linotype" w:hAnsi="Palatino Linotype"/>
              <w:sz w:val="24"/>
              <w:szCs w:val="24"/>
            </w:rPr>
            <w:fldChar w:fldCharType="begin"/>
          </w:r>
          <w:r w:rsidRPr="00810627">
            <w:rPr>
              <w:rFonts w:ascii="Palatino Linotype" w:hAnsi="Palatino Linotype"/>
              <w:sz w:val="24"/>
              <w:szCs w:val="24"/>
            </w:rPr>
            <w:instrText xml:space="preserve"> TOC \o "1-3" \h \z \u </w:instrText>
          </w:r>
          <w:r w:rsidRPr="00810627">
            <w:rPr>
              <w:rFonts w:ascii="Palatino Linotype" w:hAnsi="Palatino Linotype"/>
              <w:sz w:val="24"/>
              <w:szCs w:val="24"/>
            </w:rPr>
            <w:fldChar w:fldCharType="separate"/>
          </w:r>
          <w:hyperlink w:anchor="_Toc8153015" w:history="1">
            <w:r w:rsidR="00810627" w:rsidRPr="00810627">
              <w:rPr>
                <w:rStyle w:val="Hipervnculo"/>
                <w:rFonts w:ascii="Palatino Linotype" w:hAnsi="Palatino Linotype"/>
                <w:noProof/>
                <w:sz w:val="24"/>
                <w:szCs w:val="24"/>
              </w:rPr>
              <w:t>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Consideraciones Generales.</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_Toc8153015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FF7265">
              <w:rPr>
                <w:rFonts w:ascii="Palatino Linotype" w:hAnsi="Palatino Linotype"/>
                <w:noProof/>
                <w:webHidden/>
                <w:sz w:val="24"/>
                <w:szCs w:val="24"/>
              </w:rPr>
              <w:t>2</w:t>
            </w:r>
            <w:r w:rsidR="00810627" w:rsidRPr="00810627">
              <w:rPr>
                <w:rFonts w:ascii="Palatino Linotype" w:hAnsi="Palatino Linotype"/>
                <w:noProof/>
                <w:webHidden/>
                <w:sz w:val="24"/>
                <w:szCs w:val="24"/>
              </w:rPr>
              <w:fldChar w:fldCharType="end"/>
            </w:r>
          </w:hyperlink>
        </w:p>
        <w:p w:rsidR="00810627" w:rsidRPr="00810627" w:rsidRDefault="00F978CA">
          <w:pPr>
            <w:pStyle w:val="TDC1"/>
            <w:rPr>
              <w:rFonts w:ascii="Palatino Linotype" w:eastAsiaTheme="minorEastAsia" w:hAnsi="Palatino Linotype"/>
              <w:noProof/>
              <w:sz w:val="24"/>
              <w:szCs w:val="24"/>
              <w:lang w:eastAsia="es-MX"/>
            </w:rPr>
          </w:pPr>
          <w:hyperlink w:anchor="_Toc8153016" w:history="1">
            <w:r w:rsidR="00810627" w:rsidRPr="00810627">
              <w:rPr>
                <w:rStyle w:val="Hipervnculo"/>
                <w:rFonts w:ascii="Palatino Linotype" w:hAnsi="Palatino Linotype"/>
                <w:noProof/>
                <w:sz w:val="24"/>
                <w:szCs w:val="24"/>
              </w:rPr>
              <w:t>II.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De los requerimientos planteados en el recurso de revisión.</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_Toc8153016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FF7265">
              <w:rPr>
                <w:rFonts w:ascii="Palatino Linotype" w:hAnsi="Palatino Linotype"/>
                <w:noProof/>
                <w:webHidden/>
                <w:sz w:val="24"/>
                <w:szCs w:val="24"/>
              </w:rPr>
              <w:t>3</w:t>
            </w:r>
            <w:r w:rsidR="00810627" w:rsidRPr="00810627">
              <w:rPr>
                <w:rFonts w:ascii="Palatino Linotype" w:hAnsi="Palatino Linotype"/>
                <w:noProof/>
                <w:webHidden/>
                <w:sz w:val="24"/>
                <w:szCs w:val="24"/>
              </w:rPr>
              <w:fldChar w:fldCharType="end"/>
            </w:r>
          </w:hyperlink>
        </w:p>
        <w:p w:rsidR="00810627" w:rsidRPr="00810627" w:rsidRDefault="00F978CA">
          <w:pPr>
            <w:pStyle w:val="TDC1"/>
            <w:rPr>
              <w:rFonts w:ascii="Palatino Linotype" w:eastAsiaTheme="minorEastAsia" w:hAnsi="Palatino Linotype"/>
              <w:noProof/>
              <w:sz w:val="24"/>
              <w:szCs w:val="24"/>
              <w:lang w:eastAsia="es-MX"/>
            </w:rPr>
          </w:pPr>
          <w:hyperlink w:anchor="_Toc8153017" w:history="1">
            <w:r w:rsidR="00810627" w:rsidRPr="00810627">
              <w:rPr>
                <w:rStyle w:val="Hipervnculo"/>
                <w:rFonts w:ascii="Palatino Linotype" w:hAnsi="Palatino Linotype"/>
                <w:noProof/>
                <w:sz w:val="24"/>
                <w:szCs w:val="24"/>
              </w:rPr>
              <w:t>III.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Los actos consentidos no deben invocarse en el derecho fundamental de acceder a la información pública gubernamental.</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_Toc8153017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FF7265">
              <w:rPr>
                <w:rFonts w:ascii="Palatino Linotype" w:hAnsi="Palatino Linotype"/>
                <w:noProof/>
                <w:webHidden/>
                <w:sz w:val="24"/>
                <w:szCs w:val="24"/>
              </w:rPr>
              <w:t>5</w:t>
            </w:r>
            <w:r w:rsidR="00810627" w:rsidRPr="00810627">
              <w:rPr>
                <w:rFonts w:ascii="Palatino Linotype" w:hAnsi="Palatino Linotype"/>
                <w:noProof/>
                <w:webHidden/>
                <w:sz w:val="24"/>
                <w:szCs w:val="24"/>
              </w:rPr>
              <w:fldChar w:fldCharType="end"/>
            </w:r>
          </w:hyperlink>
        </w:p>
        <w:p w:rsidR="00810627" w:rsidRPr="00810627" w:rsidRDefault="00F978CA">
          <w:pPr>
            <w:pStyle w:val="TDC1"/>
            <w:rPr>
              <w:rFonts w:ascii="Palatino Linotype" w:eastAsiaTheme="minorEastAsia" w:hAnsi="Palatino Linotype"/>
              <w:noProof/>
              <w:sz w:val="24"/>
              <w:szCs w:val="24"/>
              <w:lang w:eastAsia="es-MX"/>
            </w:rPr>
          </w:pPr>
          <w:hyperlink w:anchor="_Toc8153018" w:history="1">
            <w:r w:rsidR="00810627" w:rsidRPr="00810627">
              <w:rPr>
                <w:rStyle w:val="Hipervnculo"/>
                <w:rFonts w:ascii="Palatino Linotype" w:hAnsi="Palatino Linotype"/>
                <w:noProof/>
                <w:sz w:val="24"/>
                <w:szCs w:val="24"/>
              </w:rPr>
              <w:t>IV.</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Conclusión</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_Toc8153018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FF7265">
              <w:rPr>
                <w:rFonts w:ascii="Palatino Linotype" w:hAnsi="Palatino Linotype"/>
                <w:noProof/>
                <w:webHidden/>
                <w:sz w:val="24"/>
                <w:szCs w:val="24"/>
              </w:rPr>
              <w:t>14</w:t>
            </w:r>
            <w:r w:rsidR="00810627" w:rsidRPr="00810627">
              <w:rPr>
                <w:rFonts w:ascii="Palatino Linotype" w:hAnsi="Palatino Linotype"/>
                <w:noProof/>
                <w:webHidden/>
                <w:sz w:val="24"/>
                <w:szCs w:val="24"/>
              </w:rPr>
              <w:fldChar w:fldCharType="end"/>
            </w:r>
          </w:hyperlink>
        </w:p>
        <w:p w:rsidR="0046491C" w:rsidRPr="003B3FC7" w:rsidRDefault="0046491C" w:rsidP="0046491C">
          <w:pPr>
            <w:rPr>
              <w:rFonts w:ascii="Palatino Linotype" w:hAnsi="Palatino Linotype"/>
              <w:sz w:val="24"/>
              <w:szCs w:val="24"/>
            </w:rPr>
          </w:pPr>
          <w:r w:rsidRPr="00810627">
            <w:rPr>
              <w:rFonts w:ascii="Palatino Linotype" w:hAnsi="Palatino Linotype"/>
              <w:b/>
              <w:bCs/>
              <w:sz w:val="24"/>
              <w:szCs w:val="24"/>
              <w:lang w:val="es-ES"/>
            </w:rPr>
            <w:fldChar w:fldCharType="end"/>
          </w:r>
        </w:p>
      </w:sdtContent>
    </w:sdt>
    <w:p w:rsidR="0046491C" w:rsidRDefault="0046491C" w:rsidP="0046491C">
      <w:pPr>
        <w:pStyle w:val="Ttulo1"/>
        <w:numPr>
          <w:ilvl w:val="0"/>
          <w:numId w:val="12"/>
        </w:numPr>
        <w:rPr>
          <w:szCs w:val="24"/>
        </w:rPr>
      </w:pPr>
      <w:bookmarkStart w:id="1" w:name="_Toc8153015"/>
      <w:r w:rsidRPr="00B10C1A">
        <w:rPr>
          <w:szCs w:val="24"/>
        </w:rPr>
        <w:t>Consideraciones Generales.</w:t>
      </w:r>
      <w:bookmarkEnd w:id="1"/>
    </w:p>
    <w:p w:rsidR="00573B20" w:rsidRPr="00573B20" w:rsidRDefault="00573B20" w:rsidP="00573B20"/>
    <w:p w:rsidR="0082270E" w:rsidRPr="00E62C6A" w:rsidRDefault="0046491C" w:rsidP="009558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E46E0C">
        <w:rPr>
          <w:rFonts w:ascii="Palatino Linotype" w:hAnsi="Palatino Linotype" w:cs="Arial"/>
          <w:sz w:val="24"/>
          <w:szCs w:val="24"/>
        </w:rPr>
        <w:t>vigésima</w:t>
      </w:r>
      <w:r w:rsidR="00955879">
        <w:rPr>
          <w:rFonts w:ascii="Palatino Linotype" w:hAnsi="Palatino Linotype" w:cs="Arial"/>
          <w:sz w:val="24"/>
          <w:szCs w:val="24"/>
        </w:rPr>
        <w:t xml:space="preserve"> </w:t>
      </w:r>
      <w:r w:rsidR="00BE4D5E">
        <w:rPr>
          <w:rFonts w:ascii="Palatino Linotype" w:hAnsi="Palatino Linotype" w:cs="Arial"/>
          <w:sz w:val="24"/>
          <w:szCs w:val="24"/>
        </w:rPr>
        <w:t>segunda</w:t>
      </w:r>
      <w:r w:rsidR="00380D7A">
        <w:rPr>
          <w:rFonts w:ascii="Palatino Linotype" w:hAnsi="Palatino Linotype" w:cs="Arial"/>
          <w:sz w:val="24"/>
          <w:szCs w:val="24"/>
        </w:rPr>
        <w:t xml:space="preserve"> </w:t>
      </w:r>
      <w:r w:rsidR="00955879">
        <w:rPr>
          <w:rFonts w:ascii="Palatino Linotype" w:hAnsi="Palatino Linotype" w:cs="Arial"/>
          <w:sz w:val="24"/>
          <w:szCs w:val="24"/>
        </w:rPr>
        <w:t xml:space="preserve">sesión ordinaria de fecha </w:t>
      </w:r>
      <w:r w:rsidR="00BE4D5E">
        <w:rPr>
          <w:rFonts w:ascii="Palatino Linotype" w:hAnsi="Palatino Linotype" w:cs="Arial"/>
          <w:sz w:val="24"/>
          <w:szCs w:val="24"/>
        </w:rPr>
        <w:t>doce</w:t>
      </w:r>
      <w:r w:rsidR="00044B99">
        <w:rPr>
          <w:rFonts w:ascii="Palatino Linotype" w:hAnsi="Palatino Linotype" w:cs="Arial"/>
          <w:sz w:val="24"/>
          <w:szCs w:val="24"/>
        </w:rPr>
        <w:t xml:space="preserve"> </w:t>
      </w:r>
      <w:r w:rsidR="00410C93" w:rsidRPr="00B10C1A">
        <w:rPr>
          <w:rFonts w:ascii="Palatino Linotype" w:hAnsi="Palatino Linotype" w:cs="Arial"/>
          <w:sz w:val="24"/>
          <w:szCs w:val="24"/>
        </w:rPr>
        <w:t>(</w:t>
      </w:r>
      <w:r w:rsidR="00BE4D5E">
        <w:rPr>
          <w:rFonts w:ascii="Palatino Linotype" w:hAnsi="Palatino Linotype" w:cs="Arial"/>
          <w:sz w:val="24"/>
          <w:szCs w:val="24"/>
        </w:rPr>
        <w:t>12</w:t>
      </w:r>
      <w:r w:rsidRPr="00B10C1A">
        <w:rPr>
          <w:rFonts w:ascii="Palatino Linotype" w:hAnsi="Palatino Linotype" w:cs="Arial"/>
          <w:sz w:val="24"/>
          <w:szCs w:val="24"/>
        </w:rPr>
        <w:t xml:space="preserve">) de </w:t>
      </w:r>
      <w:r w:rsidR="00380D7A">
        <w:rPr>
          <w:rFonts w:ascii="Palatino Linotype" w:hAnsi="Palatino Linotype" w:cs="Arial"/>
          <w:sz w:val="24"/>
          <w:szCs w:val="24"/>
        </w:rPr>
        <w:t>junio</w:t>
      </w:r>
      <w:r w:rsidR="00410C93" w:rsidRPr="00B10C1A">
        <w:rPr>
          <w:rFonts w:ascii="Palatino Linotype" w:hAnsi="Palatino Linotype" w:cs="Arial"/>
          <w:sz w:val="24"/>
          <w:szCs w:val="24"/>
        </w:rPr>
        <w:t xml:space="preserve"> de dos mil dieci</w:t>
      </w:r>
      <w:r w:rsidR="00137288">
        <w:rPr>
          <w:rFonts w:ascii="Palatino Linotype" w:hAnsi="Palatino Linotype" w:cs="Arial"/>
          <w:sz w:val="24"/>
          <w:szCs w:val="24"/>
        </w:rPr>
        <w:t>nueve</w:t>
      </w:r>
      <w:r w:rsidR="0082270E" w:rsidRPr="00B10C1A">
        <w:rPr>
          <w:rFonts w:ascii="Palatino Linotype" w:hAnsi="Palatino Linotype" w:cs="Arial"/>
          <w:sz w:val="24"/>
          <w:szCs w:val="24"/>
        </w:rPr>
        <w:t xml:space="preserve">, en </w:t>
      </w:r>
      <w:r w:rsidR="00BE4D5E">
        <w:rPr>
          <w:rFonts w:ascii="Palatino Linotype" w:hAnsi="Palatino Linotype" w:cs="Arial"/>
          <w:sz w:val="24"/>
          <w:szCs w:val="24"/>
        </w:rPr>
        <w:t>el</w:t>
      </w:r>
      <w:r w:rsidR="00770B87" w:rsidRPr="00B10C1A">
        <w:rPr>
          <w:rFonts w:ascii="Palatino Linotype" w:hAnsi="Palatino Linotype" w:cs="Arial"/>
          <w:sz w:val="24"/>
          <w:szCs w:val="24"/>
        </w:rPr>
        <w:t xml:space="preserve">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w:t>
      </w:r>
      <w:r w:rsidR="00380D7A">
        <w:rPr>
          <w:rFonts w:ascii="Palatino Linotype" w:hAnsi="Palatino Linotype" w:cs="Arial"/>
          <w:sz w:val="24"/>
          <w:szCs w:val="24"/>
        </w:rPr>
        <w:t>a</w:t>
      </w:r>
      <w:r w:rsidRPr="00B10C1A">
        <w:rPr>
          <w:rFonts w:ascii="Palatino Linotype" w:hAnsi="Palatino Linotype" w:cs="Arial"/>
          <w:sz w:val="24"/>
          <w:szCs w:val="24"/>
        </w:rPr>
        <w:t xml:space="preserve"> respuesta de</w:t>
      </w:r>
      <w:r w:rsidR="00810627">
        <w:rPr>
          <w:rFonts w:ascii="Palatino Linotype" w:hAnsi="Palatino Linotype" w:cs="Arial"/>
          <w:sz w:val="24"/>
          <w:szCs w:val="24"/>
        </w:rPr>
        <w:t xml:space="preserve">l </w:t>
      </w:r>
      <w:r w:rsidR="005F66F4">
        <w:rPr>
          <w:rFonts w:ascii="Palatino Linotype" w:hAnsi="Palatino Linotype" w:cs="Arial"/>
          <w:b/>
          <w:sz w:val="24"/>
          <w:szCs w:val="24"/>
        </w:rPr>
        <w:t>Ayuntamiento de Zumpango</w:t>
      </w:r>
      <w:r w:rsidR="00810627">
        <w:rPr>
          <w:rFonts w:ascii="Palatino Linotype" w:hAnsi="Palatino Linotype" w:cs="Arial"/>
          <w:b/>
          <w:sz w:val="24"/>
          <w:szCs w:val="24"/>
        </w:rPr>
        <w:t xml:space="preserve"> </w:t>
      </w:r>
      <w:r w:rsidRPr="00955879">
        <w:rPr>
          <w:rFonts w:ascii="Palatino Linotype" w:hAnsi="Palatino Linotype" w:cs="Arial"/>
          <w:sz w:val="24"/>
          <w:szCs w:val="24"/>
        </w:rPr>
        <w:t>procedimiento a</w:t>
      </w:r>
      <w:r w:rsidR="00380D7A">
        <w:rPr>
          <w:rFonts w:ascii="Palatino Linotype" w:hAnsi="Palatino Linotype" w:cs="Arial"/>
          <w:sz w:val="24"/>
          <w:szCs w:val="24"/>
        </w:rPr>
        <w:t>l</w:t>
      </w:r>
      <w:r w:rsidR="00902248" w:rsidRPr="00955879">
        <w:rPr>
          <w:rFonts w:ascii="Palatino Linotype" w:hAnsi="Palatino Linotype" w:cs="Arial"/>
          <w:sz w:val="24"/>
          <w:szCs w:val="24"/>
        </w:rPr>
        <w:t xml:space="preserve"> que se le asignó </w:t>
      </w:r>
      <w:r w:rsidR="00BE4D5E">
        <w:rPr>
          <w:rFonts w:ascii="Palatino Linotype" w:hAnsi="Palatino Linotype" w:cs="Arial"/>
          <w:sz w:val="24"/>
          <w:szCs w:val="24"/>
        </w:rPr>
        <w:t>el</w:t>
      </w:r>
      <w:r w:rsidR="00380D7A">
        <w:rPr>
          <w:rFonts w:ascii="Palatino Linotype" w:hAnsi="Palatino Linotype" w:cs="Arial"/>
          <w:sz w:val="24"/>
          <w:szCs w:val="24"/>
        </w:rPr>
        <w:t xml:space="preserve"> número de</w:t>
      </w:r>
      <w:r w:rsidRPr="00955879">
        <w:rPr>
          <w:rFonts w:ascii="Palatino Linotype" w:hAnsi="Palatino Linotype" w:cs="Arial"/>
          <w:sz w:val="24"/>
          <w:szCs w:val="24"/>
        </w:rPr>
        <w:t xml:space="preserve"> expediente </w:t>
      </w:r>
      <w:r w:rsidR="00380D7A" w:rsidRPr="00227EE3">
        <w:rPr>
          <w:rFonts w:ascii="Palatino Linotype" w:hAnsi="Palatino Linotype" w:cs="Arial"/>
          <w:b/>
        </w:rPr>
        <w:t>0</w:t>
      </w:r>
      <w:r w:rsidR="005F66F4">
        <w:rPr>
          <w:rFonts w:ascii="Palatino Linotype" w:hAnsi="Palatino Linotype" w:cs="Arial"/>
          <w:b/>
        </w:rPr>
        <w:t>2215</w:t>
      </w:r>
      <w:r w:rsidR="00380D7A" w:rsidRPr="00227EE3">
        <w:rPr>
          <w:rFonts w:ascii="Palatino Linotype" w:hAnsi="Palatino Linotype" w:cs="Arial"/>
          <w:b/>
        </w:rPr>
        <w:t>/INFOEM/IP/RR/201</w:t>
      </w:r>
      <w:r w:rsidR="00380D7A">
        <w:rPr>
          <w:rFonts w:ascii="Palatino Linotype" w:hAnsi="Palatino Linotype" w:cs="Arial"/>
          <w:b/>
        </w:rPr>
        <w:t>9</w:t>
      </w:r>
      <w:r w:rsidR="00BE4D5E">
        <w:rPr>
          <w:rFonts w:ascii="Palatino Linotype" w:hAnsi="Palatino Linotype" w:cs="Arial"/>
        </w:rPr>
        <w:t>.</w:t>
      </w:r>
    </w:p>
    <w:p w:rsidR="00E62C6A" w:rsidRPr="00BE4D5E" w:rsidRDefault="00E62C6A" w:rsidP="00E62C6A">
      <w:pPr>
        <w:pStyle w:val="Prrafodelista"/>
        <w:spacing w:after="0" w:line="360" w:lineRule="auto"/>
        <w:ind w:left="426"/>
        <w:jc w:val="both"/>
        <w:rPr>
          <w:rFonts w:ascii="Palatino Linotype" w:hAnsi="Palatino Linotype" w:cs="Arial"/>
          <w:sz w:val="24"/>
          <w:szCs w:val="24"/>
        </w:rPr>
      </w:pPr>
    </w:p>
    <w:p w:rsidR="00AF3716" w:rsidRPr="00E46E0C" w:rsidRDefault="0085533E" w:rsidP="00BA5C93">
      <w:pPr>
        <w:pStyle w:val="Prrafodelista"/>
        <w:numPr>
          <w:ilvl w:val="0"/>
          <w:numId w:val="1"/>
        </w:numPr>
        <w:spacing w:after="0" w:line="360" w:lineRule="auto"/>
        <w:ind w:left="426"/>
        <w:jc w:val="both"/>
        <w:rPr>
          <w:rFonts w:ascii="Palatino Linotype" w:hAnsi="Palatino Linotype" w:cs="Arial"/>
          <w:b/>
          <w:i/>
          <w:sz w:val="24"/>
          <w:szCs w:val="24"/>
        </w:rPr>
      </w:pPr>
      <w:r w:rsidRPr="00BA5C93">
        <w:rPr>
          <w:rFonts w:ascii="Palatino Linotype" w:eastAsia="Times New Roman" w:hAnsi="Palatino Linotype" w:cs="Arial"/>
          <w:sz w:val="24"/>
          <w:szCs w:val="24"/>
          <w:lang w:val="es-ES_tradnl"/>
        </w:rPr>
        <w:t>La</w:t>
      </w:r>
      <w:r w:rsidRPr="00BA5C93">
        <w:rPr>
          <w:rFonts w:ascii="Palatino Linotype" w:hAnsi="Palatino Linotype" w:cs="Arial"/>
          <w:sz w:val="24"/>
          <w:szCs w:val="24"/>
        </w:rPr>
        <w:t xml:space="preserve"> resolución </w:t>
      </w:r>
      <w:r w:rsidR="00044B99" w:rsidRPr="00BA5C93">
        <w:rPr>
          <w:rFonts w:ascii="Palatino Linotype" w:hAnsi="Palatino Linotype" w:cs="Arial"/>
          <w:sz w:val="24"/>
          <w:szCs w:val="24"/>
        </w:rPr>
        <w:t xml:space="preserve"> </w:t>
      </w:r>
      <w:r w:rsidR="00BA5C93" w:rsidRPr="00BA5C93">
        <w:rPr>
          <w:rFonts w:ascii="Palatino Linotype" w:hAnsi="Palatino Linotype" w:cs="Arial"/>
          <w:sz w:val="24"/>
          <w:szCs w:val="24"/>
        </w:rPr>
        <w:t xml:space="preserve">determina </w:t>
      </w:r>
      <w:r w:rsidR="00380D7A">
        <w:rPr>
          <w:rFonts w:ascii="Palatino Linotype" w:hAnsi="Palatino Linotype" w:cs="Arial"/>
          <w:sz w:val="24"/>
          <w:szCs w:val="24"/>
        </w:rPr>
        <w:t xml:space="preserve">modificar </w:t>
      </w:r>
      <w:r w:rsidR="00E46E0C">
        <w:rPr>
          <w:rFonts w:ascii="Palatino Linotype" w:hAnsi="Palatino Linotype" w:cs="Arial"/>
          <w:sz w:val="24"/>
          <w:szCs w:val="24"/>
        </w:rPr>
        <w:t>la respuesta</w:t>
      </w:r>
      <w:r w:rsidR="00BE4D5E">
        <w:rPr>
          <w:rFonts w:ascii="Palatino Linotype" w:hAnsi="Palatino Linotype" w:cs="Arial"/>
          <w:sz w:val="24"/>
          <w:szCs w:val="24"/>
        </w:rPr>
        <w:t xml:space="preserve"> y</w:t>
      </w:r>
      <w:r w:rsidR="00E46E0C">
        <w:rPr>
          <w:rFonts w:ascii="Palatino Linotype" w:hAnsi="Palatino Linotype" w:cs="Arial"/>
          <w:sz w:val="24"/>
          <w:szCs w:val="24"/>
        </w:rPr>
        <w:t xml:space="preserve"> ordena al Sujeto Obligado </w:t>
      </w:r>
      <w:r w:rsidR="005F66F4">
        <w:rPr>
          <w:rFonts w:ascii="Palatino Linotype" w:hAnsi="Palatino Linotype" w:cs="Arial"/>
          <w:sz w:val="24"/>
          <w:szCs w:val="24"/>
        </w:rPr>
        <w:t xml:space="preserve">haga entrega al Recurrente, a través del SAIMEX, en términos del Considerando Cuarto previa búsqueda exhaustiva y razonable en versión pública en caso de ser procedente de lo siguiente: </w:t>
      </w:r>
    </w:p>
    <w:p w:rsidR="00E46E0C" w:rsidRPr="00E46E0C" w:rsidRDefault="00E46E0C" w:rsidP="00E46E0C">
      <w:pPr>
        <w:pStyle w:val="Prrafodelista"/>
        <w:rPr>
          <w:rFonts w:ascii="Palatino Linotype" w:hAnsi="Palatino Linotype" w:cs="Arial"/>
          <w:b/>
          <w:i/>
          <w:sz w:val="24"/>
          <w:szCs w:val="24"/>
        </w:rPr>
      </w:pPr>
    </w:p>
    <w:p w:rsidR="005F66F4" w:rsidRPr="005F66F4" w:rsidRDefault="005F66F4" w:rsidP="005F66F4">
      <w:pPr>
        <w:pStyle w:val="Prrafodelista"/>
        <w:spacing w:line="276" w:lineRule="auto"/>
        <w:ind w:left="851" w:right="616"/>
        <w:jc w:val="both"/>
        <w:rPr>
          <w:rFonts w:ascii="Palatino Linotype" w:hAnsi="Palatino Linotype" w:cs="Arial"/>
          <w:i/>
        </w:rPr>
      </w:pPr>
      <w:r w:rsidRPr="005F66F4">
        <w:rPr>
          <w:rFonts w:ascii="Palatino Linotype" w:hAnsi="Palatino Linotype" w:cs="Arial"/>
          <w:i/>
        </w:rPr>
        <w:lastRenderedPageBreak/>
        <w:t>1.</w:t>
      </w:r>
      <w:r w:rsidRPr="005F66F4">
        <w:rPr>
          <w:rFonts w:ascii="Palatino Linotype" w:hAnsi="Palatino Linotype" w:cs="Arial"/>
          <w:i/>
        </w:rPr>
        <w:tab/>
        <w:t>Estado analítico de deuda del 1 de enero de 2011 al 8 de marzo de 2019.</w:t>
      </w:r>
    </w:p>
    <w:p w:rsidR="00E46E0C" w:rsidRDefault="005F66F4" w:rsidP="005F66F4">
      <w:pPr>
        <w:pStyle w:val="Prrafodelista"/>
        <w:spacing w:line="276" w:lineRule="auto"/>
        <w:ind w:left="851" w:right="616"/>
        <w:jc w:val="both"/>
        <w:rPr>
          <w:rFonts w:ascii="Palatino Linotype" w:hAnsi="Palatino Linotype" w:cs="Arial"/>
          <w:i/>
        </w:rPr>
      </w:pPr>
      <w:r w:rsidRPr="005F66F4">
        <w:rPr>
          <w:rFonts w:ascii="Palatino Linotype" w:hAnsi="Palatino Linotype" w:cs="Arial"/>
          <w:i/>
        </w:rPr>
        <w:t>2.</w:t>
      </w:r>
      <w:r w:rsidRPr="005F66F4">
        <w:rPr>
          <w:rFonts w:ascii="Palatino Linotype" w:hAnsi="Palatino Linotype" w:cs="Arial"/>
          <w:i/>
        </w:rPr>
        <w:tab/>
        <w:t>Documento o documentos en donde conste el soporte que ampare la deuda</w:t>
      </w:r>
      <w:r w:rsidR="000F1C38" w:rsidRPr="000F1C38">
        <w:rPr>
          <w:rFonts w:ascii="Palatino Linotype" w:hAnsi="Palatino Linotype"/>
          <w:i/>
        </w:rPr>
        <w:t>.</w:t>
      </w:r>
      <w:r w:rsidR="00E46E0C" w:rsidRPr="005539E5">
        <w:rPr>
          <w:rFonts w:ascii="Palatino Linotype" w:hAnsi="Palatino Linotype" w:cs="Arial"/>
          <w:i/>
        </w:rPr>
        <w:t>”</w:t>
      </w:r>
    </w:p>
    <w:p w:rsidR="00E62C6A" w:rsidRPr="005539E5" w:rsidRDefault="00E62C6A" w:rsidP="005F66F4">
      <w:pPr>
        <w:pStyle w:val="Prrafodelista"/>
        <w:spacing w:line="276" w:lineRule="auto"/>
        <w:ind w:left="851" w:right="616"/>
        <w:jc w:val="both"/>
        <w:rPr>
          <w:rFonts w:ascii="Palatino Linotype" w:hAnsi="Palatino Linotype" w:cs="Arial"/>
          <w:i/>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0F1C38">
        <w:rPr>
          <w:rFonts w:ascii="Palatino Linotype" w:hAnsi="Palatino Linotype" w:cs="Arial"/>
          <w:sz w:val="24"/>
          <w:szCs w:val="24"/>
        </w:rPr>
        <w:t xml:space="preserve"> son distintos los</w:t>
      </w:r>
      <w:r w:rsidR="00302274" w:rsidRPr="00B10C1A">
        <w:rPr>
          <w:rFonts w:ascii="Palatino Linotype" w:hAnsi="Palatino Linotype" w:cs="Arial"/>
          <w:sz w:val="24"/>
          <w:szCs w:val="24"/>
        </w:rPr>
        <w:t xml:space="preserve"> sentido</w:t>
      </w:r>
      <w:r w:rsidR="000F1C38">
        <w:rPr>
          <w:rFonts w:ascii="Palatino Linotype" w:hAnsi="Palatino Linotype" w:cs="Arial"/>
          <w:sz w:val="24"/>
          <w:szCs w:val="24"/>
        </w:rPr>
        <w:t>s</w:t>
      </w:r>
      <w:r w:rsidR="00302274" w:rsidRPr="00B10C1A">
        <w:rPr>
          <w:rFonts w:ascii="Palatino Linotype" w:hAnsi="Palatino Linotype" w:cs="Arial"/>
          <w:sz w:val="24"/>
          <w:szCs w:val="24"/>
        </w:rPr>
        <w:t xml:space="preserve"> de la resolución</w:t>
      </w:r>
      <w:r w:rsidRPr="00B10C1A">
        <w:rPr>
          <w:rFonts w:ascii="Palatino Linotype" w:hAnsi="Palatino Linotype" w:cs="Arial"/>
          <w:sz w:val="24"/>
          <w:szCs w:val="24"/>
        </w:rPr>
        <w:t>, lo cual he manifestado en diversas ocasiones señalando que no deben invocarse en el derecho de acceso a la información pública.</w:t>
      </w:r>
    </w:p>
    <w:p w:rsidR="00FA799E" w:rsidRPr="00FA799E" w:rsidRDefault="00FA799E" w:rsidP="00FA799E">
      <w:pPr>
        <w:pStyle w:val="Prrafodelista"/>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w:t>
      </w:r>
      <w:r w:rsidR="00FA799E">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46491C" w:rsidRDefault="0046491C" w:rsidP="0046491C">
      <w:pPr>
        <w:pStyle w:val="Ttulo1"/>
        <w:numPr>
          <w:ilvl w:val="0"/>
          <w:numId w:val="12"/>
        </w:numPr>
        <w:rPr>
          <w:szCs w:val="24"/>
        </w:rPr>
      </w:pPr>
      <w:bookmarkStart w:id="2" w:name="_Toc8153016"/>
      <w:r w:rsidRPr="00B10C1A">
        <w:rPr>
          <w:szCs w:val="24"/>
        </w:rPr>
        <w:t>De los requerimientos planteados en el recurso de revisión.</w:t>
      </w:r>
      <w:bookmarkEnd w:id="2"/>
    </w:p>
    <w:p w:rsidR="00573B20" w:rsidRPr="00573B20" w:rsidRDefault="00573B20" w:rsidP="00573B20"/>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w:t>
      </w:r>
      <w:r w:rsidR="00573B20">
        <w:rPr>
          <w:rFonts w:ascii="Palatino Linotype" w:hAnsi="Palatino Linotype" w:cs="Arial"/>
          <w:sz w:val="24"/>
          <w:szCs w:val="24"/>
        </w:rPr>
        <w:t>s</w:t>
      </w:r>
      <w:r w:rsidR="0046491C" w:rsidRPr="00B10C1A">
        <w:rPr>
          <w:rFonts w:ascii="Palatino Linotype" w:hAnsi="Palatino Linotype" w:cs="Arial"/>
          <w:sz w:val="24"/>
          <w:szCs w:val="24"/>
        </w:rPr>
        <w:t xml:space="preserve"> solicitud</w:t>
      </w:r>
      <w:r w:rsidR="00573B20">
        <w:rPr>
          <w:rFonts w:ascii="Palatino Linotype" w:hAnsi="Palatino Linotype" w:cs="Arial"/>
          <w:sz w:val="24"/>
          <w:szCs w:val="24"/>
        </w:rPr>
        <w:t>es</w:t>
      </w:r>
      <w:r w:rsidR="0046491C" w:rsidRPr="00B10C1A">
        <w:rPr>
          <w:rFonts w:ascii="Palatino Linotype" w:hAnsi="Palatino Linotype" w:cs="Arial"/>
          <w:sz w:val="24"/>
          <w:szCs w:val="24"/>
        </w:rPr>
        <w:t xml:space="preserve">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731C92" w:rsidP="00BE4D5E">
      <w:pPr>
        <w:pStyle w:val="Prrafodelista"/>
        <w:spacing w:before="100" w:beforeAutospacing="1" w:after="100" w:afterAutospacing="1"/>
        <w:ind w:left="851" w:right="851"/>
        <w:jc w:val="both"/>
        <w:rPr>
          <w:rFonts w:ascii="Palatino Linotype" w:hAnsi="Palatino Linotype" w:cs="Arial"/>
          <w:i/>
        </w:rPr>
      </w:pPr>
      <w:r>
        <w:rPr>
          <w:rFonts w:ascii="Palatino Linotype" w:hAnsi="Palatino Linotype" w:cs="Arial"/>
          <w:i/>
        </w:rPr>
        <w:t>“</w:t>
      </w:r>
      <w:r w:rsidR="005F66F4" w:rsidRPr="005F66F4">
        <w:rPr>
          <w:rFonts w:ascii="Palatino Linotype" w:hAnsi="Palatino Linotype" w:cs="Arial"/>
          <w:i/>
        </w:rPr>
        <w:t>solicito la deuda del ayuntamiento de zumpango a mayor grado de detalle, así como la documentación que la ampare de todas las administraciones anteriores</w:t>
      </w:r>
      <w:r w:rsidR="00573B20" w:rsidRPr="00573B20">
        <w:rPr>
          <w:rFonts w:ascii="Palatino Linotype" w:hAnsi="Palatino Linotype" w:cs="Arial"/>
          <w:i/>
        </w:rPr>
        <w:t>.</w:t>
      </w:r>
      <w:r w:rsidR="00573B20">
        <w:rPr>
          <w:rFonts w:ascii="Palatino Linotype" w:hAnsi="Palatino Linotype" w:cs="Arial"/>
          <w:i/>
        </w:rPr>
        <w:t xml:space="preserve">” </w:t>
      </w:r>
    </w:p>
    <w:p w:rsidR="00AF3716" w:rsidRDefault="00AF3716" w:rsidP="007A23D1">
      <w:pPr>
        <w:pStyle w:val="Prrafodelista"/>
        <w:spacing w:before="100" w:beforeAutospacing="1" w:after="100" w:afterAutospacing="1"/>
        <w:ind w:left="851" w:right="851"/>
        <w:jc w:val="both"/>
        <w:rPr>
          <w:rFonts w:ascii="Palatino Linotype" w:hAnsi="Palatino Linotype" w:cs="Arial"/>
          <w:i/>
        </w:rPr>
      </w:pPr>
    </w:p>
    <w:p w:rsidR="002006FF" w:rsidRDefault="00BA5C93" w:rsidP="00117841">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A consideración del particular, </w:t>
      </w:r>
      <w:r w:rsidR="002006FF" w:rsidRPr="00B10C1A">
        <w:rPr>
          <w:rFonts w:ascii="Palatino Linotype" w:hAnsi="Palatino Linotype" w:cs="Arial"/>
          <w:sz w:val="24"/>
          <w:szCs w:val="24"/>
          <w:lang w:eastAsia="es-MX"/>
        </w:rPr>
        <w:t xml:space="preserve">el </w:t>
      </w:r>
      <w:r w:rsidR="00FA799E">
        <w:rPr>
          <w:rFonts w:ascii="Palatino Linotype" w:hAnsi="Palatino Linotype" w:cs="Arial"/>
          <w:sz w:val="24"/>
          <w:szCs w:val="24"/>
          <w:lang w:eastAsia="es-MX"/>
        </w:rPr>
        <w:t>Sujeto Obligado</w:t>
      </w:r>
      <w:r w:rsidR="002006FF" w:rsidRPr="00B10C1A">
        <w:rPr>
          <w:rFonts w:ascii="Palatino Linotype" w:hAnsi="Palatino Linotype" w:cs="Arial"/>
          <w:b/>
          <w:sz w:val="24"/>
          <w:szCs w:val="24"/>
          <w:lang w:eastAsia="es-MX"/>
        </w:rPr>
        <w:t xml:space="preserve"> </w:t>
      </w:r>
      <w:r w:rsidR="002006FF" w:rsidRPr="00B10C1A">
        <w:rPr>
          <w:rFonts w:ascii="Palatino Linotype" w:hAnsi="Palatino Linotype" w:cs="Arial"/>
          <w:sz w:val="24"/>
          <w:szCs w:val="24"/>
          <w:lang w:eastAsia="es-MX"/>
        </w:rPr>
        <w:t xml:space="preserve">respondió </w:t>
      </w:r>
      <w:r w:rsidR="00A95990">
        <w:rPr>
          <w:rFonts w:ascii="Palatino Linotype" w:hAnsi="Palatino Linotype" w:cs="Arial"/>
          <w:sz w:val="24"/>
          <w:szCs w:val="24"/>
          <w:lang w:eastAsia="es-MX"/>
        </w:rPr>
        <w:t xml:space="preserve">parcialmente </w:t>
      </w:r>
      <w:r w:rsidR="007A23D1" w:rsidRPr="00B10C1A">
        <w:rPr>
          <w:rFonts w:ascii="Palatino Linotype" w:hAnsi="Palatino Linotype" w:cs="Arial"/>
          <w:sz w:val="24"/>
          <w:szCs w:val="24"/>
          <w:lang w:eastAsia="es-MX"/>
        </w:rPr>
        <w:t>al</w:t>
      </w:r>
      <w:r w:rsidR="002006FF" w:rsidRPr="00B10C1A">
        <w:rPr>
          <w:rFonts w:ascii="Palatino Linotype" w:hAnsi="Palatino Linotype" w:cs="Arial"/>
          <w:sz w:val="24"/>
          <w:szCs w:val="24"/>
          <w:lang w:eastAsia="es-MX"/>
        </w:rPr>
        <w:t xml:space="preserve"> requerimiento planteado, </w:t>
      </w:r>
      <w:r w:rsidR="00A95990">
        <w:rPr>
          <w:rFonts w:ascii="Palatino Linotype" w:hAnsi="Palatino Linotype" w:cs="Arial"/>
          <w:sz w:val="24"/>
          <w:szCs w:val="24"/>
          <w:lang w:eastAsia="es-MX"/>
        </w:rPr>
        <w:t>motivo por el cual, el Recurrente al momento de</w:t>
      </w:r>
      <w:r w:rsidR="004472A9" w:rsidRPr="00B10C1A">
        <w:rPr>
          <w:rFonts w:ascii="Palatino Linotype" w:hAnsi="Palatino Linotype" w:cs="Arial"/>
          <w:sz w:val="24"/>
          <w:szCs w:val="24"/>
          <w:lang w:eastAsia="es-MX"/>
        </w:rPr>
        <w:t xml:space="preserve"> 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C823E4">
        <w:rPr>
          <w:rFonts w:ascii="Palatino Linotype" w:hAnsi="Palatino Linotype" w:cs="Arial"/>
          <w:sz w:val="24"/>
          <w:szCs w:val="24"/>
          <w:lang w:eastAsia="es-MX"/>
        </w:rPr>
        <w:t>que el Titular de la Unidad de Transparencia entregó información incompleta.</w:t>
      </w:r>
      <w:r w:rsidR="00731C92">
        <w:rPr>
          <w:rFonts w:ascii="Palatino Linotype" w:hAnsi="Palatino Linotype" w:cs="Arial"/>
          <w:sz w:val="24"/>
          <w:szCs w:val="24"/>
          <w:lang w:eastAsia="es-MX"/>
        </w:rPr>
        <w:t xml:space="preserve"> </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lastRenderedPageBreak/>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5F66F4" w:rsidRPr="005F66F4" w:rsidRDefault="005F66F4" w:rsidP="005F66F4">
      <w:pPr>
        <w:spacing w:before="240" w:after="240" w:line="360" w:lineRule="auto"/>
        <w:ind w:left="851" w:right="616"/>
        <w:jc w:val="both"/>
        <w:rPr>
          <w:rFonts w:ascii="Palatino Linotype" w:hAnsi="Palatino Linotype"/>
          <w:i/>
        </w:rPr>
      </w:pPr>
      <w:r w:rsidRPr="005F66F4">
        <w:rPr>
          <w:rFonts w:ascii="Palatino Linotype" w:hAnsi="Palatino Linotype"/>
          <w:i/>
        </w:rPr>
        <w:t>“</w:t>
      </w:r>
      <w:r w:rsidRPr="005F66F4">
        <w:rPr>
          <w:rFonts w:ascii="Palatino Linotype" w:hAnsi="Palatino Linotype"/>
          <w:b/>
          <w:i/>
        </w:rPr>
        <w:t>REVISIÓN EN AMPARO. LOS RESOLUTIVOS NO COMBATIDOS DEBEN DECLARARSE FIRMES</w:t>
      </w:r>
      <w:r w:rsidRPr="005F66F4">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F66F4" w:rsidRPr="005F66F4" w:rsidRDefault="005F66F4" w:rsidP="005F66F4">
      <w:pPr>
        <w:spacing w:before="240" w:after="240" w:line="360" w:lineRule="auto"/>
        <w:ind w:left="851" w:right="616"/>
        <w:jc w:val="both"/>
        <w:rPr>
          <w:rFonts w:ascii="Palatino Linotype" w:hAnsi="Palatino Linotype"/>
          <w:i/>
        </w:rPr>
      </w:pPr>
      <w:r w:rsidRPr="005F66F4">
        <w:rPr>
          <w:rFonts w:ascii="Palatino Linotype" w:hAnsi="Palatino Linotype"/>
          <w:i/>
        </w:rPr>
        <w:t>(Énfasis añadido)</w:t>
      </w:r>
    </w:p>
    <w:p w:rsidR="008253DA" w:rsidRDefault="005F66F4" w:rsidP="005F66F4">
      <w:pPr>
        <w:spacing w:before="240" w:after="240" w:line="360" w:lineRule="auto"/>
        <w:ind w:left="851" w:right="616"/>
        <w:jc w:val="both"/>
        <w:rPr>
          <w:rFonts w:ascii="Palatino Linotype" w:hAnsi="Palatino Linotype"/>
          <w:i/>
        </w:rPr>
      </w:pPr>
      <w:r w:rsidRPr="005F66F4">
        <w:rPr>
          <w:rFonts w:ascii="Palatino Linotype" w:hAnsi="Palatino Linotype"/>
          <w:i/>
        </w:rPr>
        <w:t>Consecuentemente, la parte de la respuesta que no fue impugnada debe declararse consentida por el recurrente, toda vez que no realizó manifestaciones de disenso, por lo que, no pueden producirse efectos jurídicos tendentes a revocar, confirmar o modificar el acto reclamado ya que se in</w:t>
      </w:r>
      <w:r>
        <w:rPr>
          <w:rFonts w:ascii="Palatino Linotype" w:hAnsi="Palatino Linotype"/>
          <w:i/>
        </w:rPr>
        <w:t>fiere su consentimiento</w:t>
      </w:r>
      <w:r w:rsidRPr="005F66F4">
        <w:rPr>
          <w:rFonts w:ascii="Palatino Linotype" w:hAnsi="Palatino Linotype"/>
          <w:i/>
        </w:rPr>
        <w:t>.</w:t>
      </w:r>
      <w:r w:rsidR="00C823E4" w:rsidRPr="00C823E4">
        <w:rPr>
          <w:rFonts w:ascii="Palatino Linotype" w:hAnsi="Palatino Linotype"/>
          <w:i/>
        </w:rPr>
        <w:t>”</w:t>
      </w:r>
    </w:p>
    <w:p w:rsidR="0046491C" w:rsidRPr="00E62C6A" w:rsidRDefault="0046491C" w:rsidP="008253DA">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B10C1A">
        <w:rPr>
          <w:rFonts w:ascii="Palatino Linotype" w:eastAsia="Calibri" w:hAnsi="Palatino Linotype" w:cs="Times New Roman"/>
          <w:sz w:val="24"/>
          <w:szCs w:val="24"/>
          <w:lang w:val="es-ES" w:eastAsia="es-ES"/>
        </w:rPr>
        <w:t xml:space="preserve"> Por lo que la mayoría consideró que </w:t>
      </w:r>
      <w:r w:rsidRPr="00B10C1A">
        <w:rPr>
          <w:rFonts w:ascii="Palatino Linotype" w:eastAsia="Calibri" w:hAnsi="Palatino Linotype" w:cs="Times New Roman"/>
          <w:sz w:val="24"/>
          <w:szCs w:val="24"/>
          <w:lang w:val="es-ES" w:eastAsia="es-ES"/>
        </w:rPr>
        <w:lastRenderedPageBreak/>
        <w:t>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00857D4E">
        <w:rPr>
          <w:rFonts w:ascii="Palatino Linotype" w:eastAsia="Calibri" w:hAnsi="Palatino Linotype" w:cs="Times New Roman"/>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w:t>
      </w:r>
      <w:r w:rsidR="00857D4E">
        <w:rPr>
          <w:rFonts w:ascii="Palatino Linotype" w:eastAsia="Calibri" w:hAnsi="Palatino Linotype" w:cs="Times New Roman"/>
          <w:sz w:val="24"/>
          <w:szCs w:val="24"/>
          <w:lang w:val="es-ES" w:eastAsia="es-ES"/>
        </w:rPr>
        <w:t>confirmada</w:t>
      </w:r>
      <w:r w:rsidRPr="00B10C1A">
        <w:rPr>
          <w:rFonts w:ascii="Palatino Linotype" w:eastAsia="Calibri" w:hAnsi="Palatino Linotype" w:cs="Times New Roman"/>
          <w:sz w:val="24"/>
          <w:szCs w:val="24"/>
          <w:lang w:val="es-ES" w:eastAsia="es-ES"/>
        </w:rPr>
        <w:t>, sin embargo, en el derecho de acceso a la información, considero, es innecesario señalar la figura de actos consentidos.</w:t>
      </w:r>
    </w:p>
    <w:p w:rsidR="00E62C6A" w:rsidRPr="00B10C1A" w:rsidRDefault="00E62C6A" w:rsidP="00E62C6A">
      <w:pPr>
        <w:pStyle w:val="Prrafodelista"/>
        <w:spacing w:after="0" w:line="360" w:lineRule="auto"/>
        <w:ind w:left="426"/>
        <w:jc w:val="both"/>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3" w:name="_Toc8153017"/>
      <w:r w:rsidRPr="00B10C1A">
        <w:rPr>
          <w:szCs w:val="24"/>
        </w:rPr>
        <w:t>Los actos consentidos no deben invocarse en el derecho fundamental de acceder a la información pública gubernamental.</w:t>
      </w:r>
      <w:bookmarkEnd w:id="3"/>
    </w:p>
    <w:p w:rsidR="0046491C" w:rsidRDefault="0046491C" w:rsidP="0046491C">
      <w:pPr>
        <w:pStyle w:val="Prrafodelista"/>
        <w:spacing w:after="0" w:line="360" w:lineRule="auto"/>
        <w:ind w:left="1080"/>
        <w:jc w:val="both"/>
        <w:rPr>
          <w:rFonts w:ascii="Palatino Linotype" w:hAnsi="Palatino Linotype" w:cs="Arial"/>
          <w:b/>
          <w:sz w:val="24"/>
          <w:szCs w:val="24"/>
        </w:rPr>
      </w:pPr>
    </w:p>
    <w:p w:rsidR="00E62C6A" w:rsidRPr="00B10C1A" w:rsidRDefault="00E62C6A"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w:t>
      </w:r>
      <w:r w:rsidRPr="00B10C1A">
        <w:rPr>
          <w:rFonts w:ascii="Palatino Linotype" w:hAnsi="Palatino Linotype" w:cs="Arial"/>
          <w:sz w:val="24"/>
          <w:szCs w:val="24"/>
        </w:rPr>
        <w:lastRenderedPageBreak/>
        <w:t>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A95990" w:rsidRPr="00A95990" w:rsidRDefault="00A95990" w:rsidP="00A95990">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A95990" w:rsidRPr="00A95990" w:rsidRDefault="00A95990" w:rsidP="00A95990">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Default="00EB3B6B" w:rsidP="00EB3B6B">
      <w:pPr>
        <w:pStyle w:val="Prrafodelista"/>
        <w:rPr>
          <w:rFonts w:ascii="Palatino Linotype" w:hAnsi="Palatino Linotype" w:cs="Arial"/>
          <w:sz w:val="24"/>
          <w:szCs w:val="24"/>
        </w:rPr>
      </w:pPr>
    </w:p>
    <w:p w:rsidR="00E62C6A" w:rsidRPr="00B10C1A" w:rsidRDefault="00E62C6A" w:rsidP="00EB3B6B">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A97D8B" w:rsidRDefault="00A97D8B" w:rsidP="00A97D8B">
      <w:pPr>
        <w:pStyle w:val="Prrafodelista"/>
        <w:rPr>
          <w:rFonts w:ascii="Palatino Linotype" w:hAnsi="Palatino Linotype" w:cs="Arial"/>
          <w:sz w:val="24"/>
          <w:szCs w:val="24"/>
        </w:rPr>
      </w:pPr>
    </w:p>
    <w:p w:rsidR="00E62C6A" w:rsidRPr="00A97D8B" w:rsidRDefault="00E62C6A" w:rsidP="00A97D8B">
      <w:pPr>
        <w:pStyle w:val="Prrafodelista"/>
        <w:rPr>
          <w:rFonts w:ascii="Palatino Linotype" w:hAnsi="Palatino Linotype" w:cs="Arial"/>
          <w:sz w:val="24"/>
          <w:szCs w:val="24"/>
        </w:rPr>
      </w:pPr>
    </w:p>
    <w:p w:rsidR="0046491C"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w:t>
      </w:r>
      <w:r w:rsidRPr="00B10C1A">
        <w:rPr>
          <w:rFonts w:ascii="Palatino Linotype" w:hAnsi="Palatino Linotype" w:cs="Arial"/>
          <w:sz w:val="24"/>
          <w:szCs w:val="24"/>
        </w:rPr>
        <w:lastRenderedPageBreak/>
        <w:t xml:space="preserve">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A95990" w:rsidRDefault="00A95990" w:rsidP="0046491C">
      <w:pPr>
        <w:pStyle w:val="Prrafodelista"/>
        <w:spacing w:after="0" w:line="360" w:lineRule="auto"/>
        <w:ind w:left="426"/>
        <w:jc w:val="both"/>
        <w:rPr>
          <w:rFonts w:ascii="Palatino Linotype" w:hAnsi="Palatino Linotype" w:cs="Arial"/>
          <w:sz w:val="24"/>
          <w:szCs w:val="24"/>
        </w:rPr>
      </w:pPr>
    </w:p>
    <w:p w:rsidR="00E62C6A" w:rsidRPr="00B10C1A" w:rsidRDefault="00E62C6A"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Default="0046491C" w:rsidP="0046491C">
      <w:pPr>
        <w:pStyle w:val="Prrafodelista"/>
        <w:spacing w:after="0" w:line="360" w:lineRule="auto"/>
        <w:jc w:val="both"/>
        <w:rPr>
          <w:rFonts w:ascii="Palatino Linotype" w:hAnsi="Palatino Linotype" w:cs="Arial"/>
          <w:sz w:val="24"/>
          <w:szCs w:val="24"/>
        </w:rPr>
      </w:pPr>
    </w:p>
    <w:p w:rsidR="00E62C6A" w:rsidRPr="00B10C1A" w:rsidRDefault="00E62C6A"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w:t>
      </w:r>
      <w:r w:rsidRPr="00B10C1A">
        <w:rPr>
          <w:rFonts w:ascii="Palatino Linotype" w:hAnsi="Palatino Linotype" w:cs="Arial"/>
          <w:sz w:val="24"/>
          <w:szCs w:val="24"/>
        </w:rPr>
        <w:lastRenderedPageBreak/>
        <w:t>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Default="0046491C" w:rsidP="0046491C">
      <w:pPr>
        <w:pStyle w:val="Prrafodelista"/>
        <w:spacing w:line="360" w:lineRule="auto"/>
        <w:jc w:val="both"/>
        <w:rPr>
          <w:rFonts w:ascii="Palatino Linotype" w:hAnsi="Palatino Linotype" w:cs="Arial"/>
          <w:sz w:val="24"/>
          <w:szCs w:val="24"/>
        </w:rPr>
      </w:pPr>
    </w:p>
    <w:p w:rsidR="00E62C6A" w:rsidRPr="00B10C1A" w:rsidRDefault="00E62C6A" w:rsidP="0046491C">
      <w:pPr>
        <w:pStyle w:val="Prrafodelista"/>
        <w:spacing w:line="360" w:lineRule="auto"/>
        <w:jc w:val="both"/>
        <w:rPr>
          <w:rFonts w:ascii="Palatino Linotype" w:hAnsi="Palatino Linotype" w:cs="Arial"/>
          <w:sz w:val="24"/>
          <w:szCs w:val="24"/>
        </w:rPr>
      </w:pPr>
    </w:p>
    <w:p w:rsidR="00007504"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criterio que propicia una riesgosa afectación al derecho de acceso a la información.</w:t>
      </w:r>
    </w:p>
    <w:p w:rsidR="005F66F4" w:rsidRPr="005F66F4" w:rsidRDefault="005F66F4" w:rsidP="005F66F4">
      <w:pPr>
        <w:pStyle w:val="Prrafodelista"/>
        <w:rPr>
          <w:rFonts w:ascii="Palatino Linotype" w:hAnsi="Palatino Linotype" w:cs="Arial"/>
          <w:sz w:val="24"/>
          <w:szCs w:val="24"/>
        </w:rPr>
      </w:pPr>
    </w:p>
    <w:p w:rsidR="00573B20" w:rsidRPr="00573B20" w:rsidRDefault="00573B20" w:rsidP="00573B20">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w:t>
      </w:r>
      <w:r w:rsidRPr="00B10C1A">
        <w:rPr>
          <w:rFonts w:ascii="Palatino Linotype" w:hAnsi="Palatino Linotype" w:cs="Arial"/>
          <w:sz w:val="24"/>
          <w:szCs w:val="24"/>
        </w:rPr>
        <w:lastRenderedPageBreak/>
        <w:t xml:space="preserve">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w:t>
      </w:r>
      <w:r w:rsidRPr="00B10C1A">
        <w:rPr>
          <w:rFonts w:ascii="Palatino Linotype" w:hAnsi="Palatino Linotype" w:cs="Arial"/>
          <w:sz w:val="24"/>
          <w:szCs w:val="24"/>
        </w:rPr>
        <w:lastRenderedPageBreak/>
        <w:t>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Default="0046491C" w:rsidP="0046491C">
      <w:pPr>
        <w:pStyle w:val="Prrafodelista"/>
        <w:spacing w:after="0" w:line="360" w:lineRule="auto"/>
        <w:ind w:left="426"/>
        <w:jc w:val="both"/>
        <w:rPr>
          <w:rFonts w:ascii="Palatino Linotype" w:hAnsi="Palatino Linotype" w:cs="Arial"/>
          <w:sz w:val="24"/>
          <w:szCs w:val="24"/>
        </w:rPr>
      </w:pPr>
    </w:p>
    <w:p w:rsidR="00E62C6A" w:rsidRPr="00B10C1A" w:rsidRDefault="00E62C6A"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A97D8B">
        <w:rPr>
          <w:rFonts w:ascii="Palatino Linotype" w:hAnsi="Palatino Linotype" w:cs="Arial"/>
          <w:sz w:val="24"/>
          <w:szCs w:val="24"/>
        </w:rPr>
        <w:t>Sujetos Obligados</w:t>
      </w:r>
      <w:r w:rsidRPr="00B10C1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w:t>
      </w:r>
      <w:r w:rsidRPr="00B10C1A">
        <w:rPr>
          <w:rFonts w:ascii="Palatino Linotype" w:hAnsi="Palatino Linotype" w:cs="Arial"/>
          <w:sz w:val="24"/>
          <w:szCs w:val="24"/>
        </w:rPr>
        <w:lastRenderedPageBreak/>
        <w:t xml:space="preserve">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C823E4" w:rsidRPr="00B10C1A" w:rsidRDefault="00C823E4" w:rsidP="00C823E4">
      <w:pPr>
        <w:pStyle w:val="Prrafodelista"/>
        <w:spacing w:after="0" w:line="360" w:lineRule="auto"/>
        <w:ind w:left="426"/>
        <w:jc w:val="both"/>
        <w:rPr>
          <w:rFonts w:ascii="Palatino Linotype" w:hAnsi="Palatino Linotype" w:cs="Arial"/>
          <w:sz w:val="24"/>
          <w:szCs w:val="24"/>
        </w:rPr>
      </w:pPr>
    </w:p>
    <w:p w:rsidR="005F66F4" w:rsidRDefault="005F66F4" w:rsidP="00D33AF9">
      <w:pPr>
        <w:spacing w:after="0" w:line="240" w:lineRule="auto"/>
        <w:ind w:left="1134" w:right="618"/>
        <w:jc w:val="both"/>
        <w:rPr>
          <w:rFonts w:ascii="Palatino Linotype" w:hAnsi="Palatino Linotype" w:cs="Arial"/>
          <w:i/>
          <w:sz w:val="24"/>
          <w:szCs w:val="24"/>
        </w:rPr>
      </w:pP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B10C1A">
        <w:rPr>
          <w:rStyle w:val="Refdenotaalpie"/>
          <w:rFonts w:ascii="Palatino Linotype" w:hAnsi="Palatino Linotype" w:cs="Arial"/>
          <w:i/>
        </w:rPr>
        <w:footnoteReference w:id="5"/>
      </w:r>
    </w:p>
    <w:p w:rsidR="0046491C" w:rsidRDefault="0046491C" w:rsidP="0046491C">
      <w:pPr>
        <w:spacing w:after="0" w:line="360" w:lineRule="auto"/>
        <w:jc w:val="both"/>
        <w:rPr>
          <w:rFonts w:ascii="Palatino Linotype" w:hAnsi="Palatino Linotype" w:cs="Arial"/>
          <w:sz w:val="24"/>
          <w:szCs w:val="24"/>
        </w:rPr>
      </w:pPr>
    </w:p>
    <w:p w:rsidR="005F66F4" w:rsidRPr="00B10C1A" w:rsidRDefault="005F66F4"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Default="0046491C" w:rsidP="0046491C">
      <w:pPr>
        <w:pStyle w:val="Prrafodelista"/>
        <w:spacing w:after="0" w:line="360" w:lineRule="auto"/>
        <w:ind w:left="426"/>
        <w:jc w:val="both"/>
        <w:rPr>
          <w:rFonts w:ascii="Palatino Linotype" w:hAnsi="Palatino Linotype" w:cs="Arial"/>
          <w:sz w:val="24"/>
          <w:szCs w:val="24"/>
        </w:rPr>
      </w:pPr>
    </w:p>
    <w:p w:rsidR="00E62C6A" w:rsidRPr="00B10C1A" w:rsidRDefault="00E62C6A" w:rsidP="0046491C">
      <w:pPr>
        <w:pStyle w:val="Prrafodelista"/>
        <w:spacing w:after="0" w:line="360" w:lineRule="auto"/>
        <w:ind w:left="426"/>
        <w:jc w:val="both"/>
        <w:rPr>
          <w:rFonts w:ascii="Palatino Linotype" w:hAnsi="Palatino Linotype" w:cs="Arial"/>
          <w:sz w:val="24"/>
          <w:szCs w:val="24"/>
        </w:rPr>
      </w:pPr>
    </w:p>
    <w:p w:rsidR="0046491C"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E62C6A" w:rsidRDefault="00E62C6A" w:rsidP="00E62C6A">
      <w:pPr>
        <w:pStyle w:val="Prrafodelista"/>
        <w:spacing w:after="0" w:line="360" w:lineRule="auto"/>
        <w:ind w:left="426"/>
        <w:jc w:val="both"/>
        <w:rPr>
          <w:rFonts w:ascii="Palatino Linotype" w:hAnsi="Palatino Linotype" w:cs="Arial"/>
          <w:sz w:val="24"/>
          <w:szCs w:val="24"/>
        </w:rPr>
      </w:pPr>
    </w:p>
    <w:p w:rsidR="00E62C6A" w:rsidRDefault="00E62C6A" w:rsidP="00E62C6A">
      <w:pPr>
        <w:pStyle w:val="Prrafodelista"/>
        <w:spacing w:after="0" w:line="360" w:lineRule="auto"/>
        <w:ind w:left="426"/>
        <w:jc w:val="both"/>
        <w:rPr>
          <w:rFonts w:ascii="Palatino Linotype" w:hAnsi="Palatino Linotype" w:cs="Arial"/>
          <w:sz w:val="24"/>
          <w:szCs w:val="24"/>
        </w:rPr>
      </w:pPr>
    </w:p>
    <w:p w:rsidR="00E62C6A" w:rsidRDefault="00E62C6A" w:rsidP="00E62C6A">
      <w:pPr>
        <w:pStyle w:val="Prrafodelista"/>
        <w:spacing w:after="0" w:line="360" w:lineRule="auto"/>
        <w:ind w:left="426"/>
        <w:jc w:val="both"/>
        <w:rPr>
          <w:rFonts w:ascii="Palatino Linotype" w:hAnsi="Palatino Linotype" w:cs="Arial"/>
          <w:sz w:val="24"/>
          <w:szCs w:val="24"/>
        </w:rPr>
      </w:pPr>
    </w:p>
    <w:p w:rsidR="00E62C6A" w:rsidRDefault="00E62C6A" w:rsidP="00E62C6A">
      <w:pPr>
        <w:pStyle w:val="Prrafodelista"/>
        <w:spacing w:after="0" w:line="360" w:lineRule="auto"/>
        <w:ind w:left="426"/>
        <w:jc w:val="both"/>
        <w:rPr>
          <w:rFonts w:ascii="Palatino Linotype" w:hAnsi="Palatino Linotype" w:cs="Arial"/>
          <w:sz w:val="24"/>
          <w:szCs w:val="24"/>
        </w:rPr>
      </w:pPr>
    </w:p>
    <w:p w:rsidR="00A97D8B" w:rsidRDefault="00A97D8B" w:rsidP="003B3FC7">
      <w:pPr>
        <w:pStyle w:val="Ttulo1"/>
        <w:numPr>
          <w:ilvl w:val="0"/>
          <w:numId w:val="12"/>
        </w:numPr>
        <w:rPr>
          <w:b w:val="0"/>
          <w:color w:val="000000" w:themeColor="text1"/>
          <w:szCs w:val="24"/>
        </w:rPr>
      </w:pPr>
      <w:bookmarkStart w:id="4" w:name="_Toc485633205"/>
      <w:bookmarkStart w:id="5" w:name="_Toc517097953"/>
      <w:bookmarkStart w:id="6" w:name="_Toc8153018"/>
      <w:r w:rsidRPr="00E20DC1">
        <w:rPr>
          <w:color w:val="000000" w:themeColor="text1"/>
          <w:szCs w:val="24"/>
        </w:rPr>
        <w:lastRenderedPageBreak/>
        <w:t>Conclusión</w:t>
      </w:r>
      <w:bookmarkEnd w:id="4"/>
      <w:bookmarkEnd w:id="5"/>
      <w:bookmarkEnd w:id="6"/>
    </w:p>
    <w:p w:rsidR="00A97D8B" w:rsidRDefault="00A97D8B" w:rsidP="00A97D8B"/>
    <w:p w:rsidR="00E62C6A" w:rsidRPr="001A3406" w:rsidRDefault="00E62C6A" w:rsidP="00A97D8B"/>
    <w:p w:rsidR="00145D32" w:rsidRPr="00A8499A" w:rsidRDefault="00301086" w:rsidP="00A8499A">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A8499A">
        <w:rPr>
          <w:rFonts w:ascii="Palatino Linotype" w:hAnsi="Palatino Linotype" w:cs="Arial"/>
          <w:sz w:val="24"/>
          <w:szCs w:val="24"/>
        </w:rPr>
        <w:t>erecho, en lugar de vulnerarlo. A</w:t>
      </w:r>
      <w:r w:rsidR="00A97D8B" w:rsidRPr="00A8499A">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45D32" w:rsidRPr="00B10C1A" w:rsidRDefault="00145D32" w:rsidP="00145D32">
      <w:pPr>
        <w:pStyle w:val="Prrafodelista"/>
        <w:ind w:left="0"/>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hAnsi="Palatino Linotype"/>
          <w:sz w:val="24"/>
          <w:szCs w:val="24"/>
        </w:rPr>
      </w:pPr>
    </w:p>
    <w:p w:rsidR="00573B20" w:rsidRDefault="00573B20" w:rsidP="00232B6D">
      <w:pPr>
        <w:spacing w:after="0" w:line="360" w:lineRule="auto"/>
        <w:contextualSpacing/>
        <w:jc w:val="both"/>
        <w:rPr>
          <w:rFonts w:ascii="Palatino Linotype" w:hAnsi="Palatino Linotype"/>
          <w:sz w:val="24"/>
          <w:szCs w:val="24"/>
        </w:rPr>
      </w:pPr>
    </w:p>
    <w:p w:rsidR="00573B20" w:rsidRPr="00B10C1A" w:rsidRDefault="00573B20" w:rsidP="00232B6D">
      <w:pPr>
        <w:spacing w:after="0" w:line="360" w:lineRule="auto"/>
        <w:contextualSpacing/>
        <w:jc w:val="both"/>
        <w:rPr>
          <w:rFonts w:ascii="Palatino Linotype" w:hAnsi="Palatino Linotype"/>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C823E4" w:rsidRDefault="00C823E4" w:rsidP="00D33AF9">
      <w:pPr>
        <w:jc w:val="center"/>
        <w:rPr>
          <w:rFonts w:ascii="Palatino Linotype" w:hAnsi="Palatino Linotype"/>
          <w:b/>
          <w:sz w:val="24"/>
          <w:szCs w:val="24"/>
        </w:rPr>
      </w:pPr>
    </w:p>
    <w:p w:rsidR="00D40BEA" w:rsidRDefault="00D40BEA" w:rsidP="00D33AF9">
      <w:pPr>
        <w:jc w:val="center"/>
        <w:rPr>
          <w:rFonts w:ascii="Palatino Linotype" w:hAnsi="Palatino Linotype"/>
          <w:b/>
          <w:sz w:val="24"/>
          <w:szCs w:val="24"/>
        </w:rPr>
      </w:pPr>
    </w:p>
    <w:p w:rsidR="00232B6D" w:rsidRDefault="00232B6D" w:rsidP="00D33AF9">
      <w:pPr>
        <w:jc w:val="center"/>
        <w:rPr>
          <w:rFonts w:ascii="Palatino Linotype" w:hAnsi="Palatino Linotype"/>
          <w:b/>
          <w:sz w:val="24"/>
          <w:szCs w:val="24"/>
        </w:rPr>
      </w:pPr>
    </w:p>
    <w:p w:rsidR="00A8499A" w:rsidRDefault="00A8499A" w:rsidP="00D33AF9">
      <w:pPr>
        <w:jc w:val="center"/>
        <w:rPr>
          <w:rFonts w:ascii="Palatino Linotype" w:hAnsi="Palatino Linotype"/>
          <w:b/>
          <w:sz w:val="24"/>
          <w:szCs w:val="24"/>
        </w:rPr>
      </w:pPr>
    </w:p>
    <w:p w:rsidR="00D02E7A" w:rsidRDefault="00D40BEA" w:rsidP="00E67B8D">
      <w:pPr>
        <w:rPr>
          <w:rFonts w:ascii="Palatino Linotype" w:hAnsi="Palatino Linotype"/>
          <w:sz w:val="20"/>
          <w:szCs w:val="20"/>
        </w:rPr>
      </w:pPr>
      <w:r>
        <w:rPr>
          <w:rFonts w:ascii="Palatino Linotype" w:hAnsi="Palatino Linotype"/>
          <w:sz w:val="20"/>
          <w:szCs w:val="20"/>
        </w:rPr>
        <w:t>JGLH</w:t>
      </w:r>
      <w:r w:rsidR="00EB3B6B" w:rsidRPr="00B10C1A">
        <w:rPr>
          <w:rFonts w:ascii="Palatino Linotype" w:hAnsi="Palatino Linotype"/>
          <w:sz w:val="20"/>
          <w:szCs w:val="20"/>
        </w:rPr>
        <w:t>/SEV</w:t>
      </w:r>
    </w:p>
    <w:sectPr w:rsidR="00D02E7A"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8CA" w:rsidRDefault="00F978CA" w:rsidP="00E706DA">
      <w:pPr>
        <w:spacing w:after="0" w:line="240" w:lineRule="auto"/>
      </w:pPr>
      <w:r>
        <w:separator/>
      </w:r>
    </w:p>
  </w:endnote>
  <w:endnote w:type="continuationSeparator" w:id="0">
    <w:p w:rsidR="00F978CA" w:rsidRDefault="00F978C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F2110">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F2110">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8CA" w:rsidRDefault="00F978CA" w:rsidP="00E706DA">
      <w:pPr>
        <w:spacing w:after="0" w:line="240" w:lineRule="auto"/>
      </w:pPr>
      <w:r>
        <w:separator/>
      </w:r>
    </w:p>
  </w:footnote>
  <w:footnote w:type="continuationSeparator" w:id="0">
    <w:p w:rsidR="00F978CA" w:rsidRDefault="00F978CA"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9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9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9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35F7E"/>
    <w:multiLevelType w:val="hybridMultilevel"/>
    <w:tmpl w:val="36444B1E"/>
    <w:lvl w:ilvl="0" w:tplc="27B489D0">
      <w:start w:val="3"/>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A57E60"/>
    <w:multiLevelType w:val="hybridMultilevel"/>
    <w:tmpl w:val="7B0CF046"/>
    <w:lvl w:ilvl="0" w:tplc="1A80222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4" w15:restartNumberingAfterBreak="0">
    <w:nsid w:val="787146B9"/>
    <w:multiLevelType w:val="hybridMultilevel"/>
    <w:tmpl w:val="1F52F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1A1014"/>
    <w:multiLevelType w:val="hybridMultilevel"/>
    <w:tmpl w:val="F5C2D132"/>
    <w:lvl w:ilvl="0" w:tplc="4B427A7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5"/>
  </w:num>
  <w:num w:numId="2">
    <w:abstractNumId w:val="2"/>
  </w:num>
  <w:num w:numId="3">
    <w:abstractNumId w:val="6"/>
  </w:num>
  <w:num w:numId="4">
    <w:abstractNumId w:val="11"/>
  </w:num>
  <w:num w:numId="5">
    <w:abstractNumId w:val="14"/>
  </w:num>
  <w:num w:numId="6">
    <w:abstractNumId w:val="16"/>
  </w:num>
  <w:num w:numId="7">
    <w:abstractNumId w:val="19"/>
  </w:num>
  <w:num w:numId="8">
    <w:abstractNumId w:val="17"/>
  </w:num>
  <w:num w:numId="9">
    <w:abstractNumId w:val="22"/>
  </w:num>
  <w:num w:numId="10">
    <w:abstractNumId w:val="4"/>
  </w:num>
  <w:num w:numId="11">
    <w:abstractNumId w:val="21"/>
  </w:num>
  <w:num w:numId="12">
    <w:abstractNumId w:val="8"/>
  </w:num>
  <w:num w:numId="13">
    <w:abstractNumId w:val="12"/>
  </w:num>
  <w:num w:numId="14">
    <w:abstractNumId w:val="7"/>
  </w:num>
  <w:num w:numId="15">
    <w:abstractNumId w:val="1"/>
  </w:num>
  <w:num w:numId="16">
    <w:abstractNumId w:val="20"/>
  </w:num>
  <w:num w:numId="17">
    <w:abstractNumId w:val="3"/>
  </w:num>
  <w:num w:numId="18">
    <w:abstractNumId w:val="25"/>
  </w:num>
  <w:num w:numId="19">
    <w:abstractNumId w:val="18"/>
  </w:num>
  <w:num w:numId="20">
    <w:abstractNumId w:val="23"/>
  </w:num>
  <w:num w:numId="21">
    <w:abstractNumId w:val="9"/>
  </w:num>
  <w:num w:numId="22">
    <w:abstractNumId w:val="5"/>
  </w:num>
  <w:num w:numId="23">
    <w:abstractNumId w:val="0"/>
  </w:num>
  <w:num w:numId="24">
    <w:abstractNumId w:val="13"/>
  </w:num>
  <w:num w:numId="25">
    <w:abstractNumId w:val="24"/>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44B99"/>
    <w:rsid w:val="00073466"/>
    <w:rsid w:val="00073F0D"/>
    <w:rsid w:val="000951B4"/>
    <w:rsid w:val="0009696B"/>
    <w:rsid w:val="00097F15"/>
    <w:rsid w:val="000A620C"/>
    <w:rsid w:val="000A72BC"/>
    <w:rsid w:val="000A7B66"/>
    <w:rsid w:val="000F0579"/>
    <w:rsid w:val="000F1C38"/>
    <w:rsid w:val="000F6CBB"/>
    <w:rsid w:val="00106DB8"/>
    <w:rsid w:val="00117841"/>
    <w:rsid w:val="00122625"/>
    <w:rsid w:val="00127BDE"/>
    <w:rsid w:val="00137288"/>
    <w:rsid w:val="00145D32"/>
    <w:rsid w:val="00150050"/>
    <w:rsid w:val="00172CB0"/>
    <w:rsid w:val="001D3F34"/>
    <w:rsid w:val="001D6B24"/>
    <w:rsid w:val="002006FF"/>
    <w:rsid w:val="002036ED"/>
    <w:rsid w:val="00232B6D"/>
    <w:rsid w:val="00232CA3"/>
    <w:rsid w:val="002620E9"/>
    <w:rsid w:val="00281310"/>
    <w:rsid w:val="002B1625"/>
    <w:rsid w:val="002D0298"/>
    <w:rsid w:val="002E7894"/>
    <w:rsid w:val="003007A7"/>
    <w:rsid w:val="00301086"/>
    <w:rsid w:val="00302274"/>
    <w:rsid w:val="0031646F"/>
    <w:rsid w:val="003605A5"/>
    <w:rsid w:val="003747A5"/>
    <w:rsid w:val="00380D7A"/>
    <w:rsid w:val="003B3FC7"/>
    <w:rsid w:val="003B44CB"/>
    <w:rsid w:val="003C4797"/>
    <w:rsid w:val="003D6E63"/>
    <w:rsid w:val="00410C93"/>
    <w:rsid w:val="0043522D"/>
    <w:rsid w:val="00441939"/>
    <w:rsid w:val="004472A9"/>
    <w:rsid w:val="0045568A"/>
    <w:rsid w:val="00456B87"/>
    <w:rsid w:val="0046491C"/>
    <w:rsid w:val="00476094"/>
    <w:rsid w:val="004A6FD9"/>
    <w:rsid w:val="004D7218"/>
    <w:rsid w:val="004F2110"/>
    <w:rsid w:val="00511A5B"/>
    <w:rsid w:val="00547195"/>
    <w:rsid w:val="005474BE"/>
    <w:rsid w:val="00556CD4"/>
    <w:rsid w:val="005646BF"/>
    <w:rsid w:val="00570595"/>
    <w:rsid w:val="00573B20"/>
    <w:rsid w:val="005833D9"/>
    <w:rsid w:val="005A2A1E"/>
    <w:rsid w:val="005A3267"/>
    <w:rsid w:val="005C24FF"/>
    <w:rsid w:val="005C2977"/>
    <w:rsid w:val="005D7E6E"/>
    <w:rsid w:val="005E124F"/>
    <w:rsid w:val="005F5DBB"/>
    <w:rsid w:val="005F66F4"/>
    <w:rsid w:val="00602B26"/>
    <w:rsid w:val="00606E42"/>
    <w:rsid w:val="0061457D"/>
    <w:rsid w:val="00616E9B"/>
    <w:rsid w:val="00634736"/>
    <w:rsid w:val="006728FD"/>
    <w:rsid w:val="006773D4"/>
    <w:rsid w:val="006D7989"/>
    <w:rsid w:val="00717C0D"/>
    <w:rsid w:val="0072136B"/>
    <w:rsid w:val="00731C92"/>
    <w:rsid w:val="00754C1A"/>
    <w:rsid w:val="00770016"/>
    <w:rsid w:val="00770B87"/>
    <w:rsid w:val="00781055"/>
    <w:rsid w:val="00782DE6"/>
    <w:rsid w:val="00784420"/>
    <w:rsid w:val="00790E37"/>
    <w:rsid w:val="00794A84"/>
    <w:rsid w:val="007A0940"/>
    <w:rsid w:val="007A23D1"/>
    <w:rsid w:val="007D1B95"/>
    <w:rsid w:val="00810627"/>
    <w:rsid w:val="0082270E"/>
    <w:rsid w:val="008253DA"/>
    <w:rsid w:val="008275ED"/>
    <w:rsid w:val="00840B54"/>
    <w:rsid w:val="00850252"/>
    <w:rsid w:val="0085533E"/>
    <w:rsid w:val="00856FA1"/>
    <w:rsid w:val="00857D4E"/>
    <w:rsid w:val="00864971"/>
    <w:rsid w:val="008822B3"/>
    <w:rsid w:val="008B03B6"/>
    <w:rsid w:val="008C13C7"/>
    <w:rsid w:val="008D7AF8"/>
    <w:rsid w:val="008F3E81"/>
    <w:rsid w:val="008F735D"/>
    <w:rsid w:val="008F7578"/>
    <w:rsid w:val="00900E75"/>
    <w:rsid w:val="00902248"/>
    <w:rsid w:val="00920A6F"/>
    <w:rsid w:val="00926781"/>
    <w:rsid w:val="00955879"/>
    <w:rsid w:val="00957232"/>
    <w:rsid w:val="0097278E"/>
    <w:rsid w:val="00996597"/>
    <w:rsid w:val="009C3135"/>
    <w:rsid w:val="009C41CC"/>
    <w:rsid w:val="009E7FFA"/>
    <w:rsid w:val="00A6310D"/>
    <w:rsid w:val="00A63717"/>
    <w:rsid w:val="00A8499A"/>
    <w:rsid w:val="00A95990"/>
    <w:rsid w:val="00A97D8B"/>
    <w:rsid w:val="00AB023D"/>
    <w:rsid w:val="00AB138F"/>
    <w:rsid w:val="00AC381E"/>
    <w:rsid w:val="00AD5651"/>
    <w:rsid w:val="00AE1193"/>
    <w:rsid w:val="00AF3716"/>
    <w:rsid w:val="00B10A66"/>
    <w:rsid w:val="00B10C1A"/>
    <w:rsid w:val="00B27292"/>
    <w:rsid w:val="00B4109D"/>
    <w:rsid w:val="00B46F4B"/>
    <w:rsid w:val="00BA3A9C"/>
    <w:rsid w:val="00BA5C93"/>
    <w:rsid w:val="00BC5B58"/>
    <w:rsid w:val="00BC7B0C"/>
    <w:rsid w:val="00BE3B45"/>
    <w:rsid w:val="00BE4D5E"/>
    <w:rsid w:val="00C03D41"/>
    <w:rsid w:val="00C128C9"/>
    <w:rsid w:val="00C526F2"/>
    <w:rsid w:val="00C576C5"/>
    <w:rsid w:val="00C823E4"/>
    <w:rsid w:val="00C91180"/>
    <w:rsid w:val="00CE0823"/>
    <w:rsid w:val="00CE60A9"/>
    <w:rsid w:val="00D01FF9"/>
    <w:rsid w:val="00D02E7A"/>
    <w:rsid w:val="00D10627"/>
    <w:rsid w:val="00D12DE7"/>
    <w:rsid w:val="00D26449"/>
    <w:rsid w:val="00D33AF9"/>
    <w:rsid w:val="00D35510"/>
    <w:rsid w:val="00D40BEA"/>
    <w:rsid w:val="00D4185C"/>
    <w:rsid w:val="00D72985"/>
    <w:rsid w:val="00D73077"/>
    <w:rsid w:val="00D7508B"/>
    <w:rsid w:val="00DB4794"/>
    <w:rsid w:val="00DF6F7E"/>
    <w:rsid w:val="00E46E0C"/>
    <w:rsid w:val="00E62C6A"/>
    <w:rsid w:val="00E67B8D"/>
    <w:rsid w:val="00E702DD"/>
    <w:rsid w:val="00E706DA"/>
    <w:rsid w:val="00E83E93"/>
    <w:rsid w:val="00EA4F61"/>
    <w:rsid w:val="00EB0906"/>
    <w:rsid w:val="00EB3B6B"/>
    <w:rsid w:val="00ED4A1D"/>
    <w:rsid w:val="00F130BF"/>
    <w:rsid w:val="00F21D90"/>
    <w:rsid w:val="00F53A7A"/>
    <w:rsid w:val="00F64B90"/>
    <w:rsid w:val="00F65F7E"/>
    <w:rsid w:val="00F857BC"/>
    <w:rsid w:val="00F978CA"/>
    <w:rsid w:val="00FA799E"/>
    <w:rsid w:val="00FC3471"/>
    <w:rsid w:val="00FF72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2833</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2019-06-17T19:02:00Z</cp:lastPrinted>
  <dcterms:created xsi:type="dcterms:W3CDTF">2019-07-09T17:35:00Z</dcterms:created>
  <dcterms:modified xsi:type="dcterms:W3CDTF">2019-07-09T17:35:00Z</dcterms:modified>
</cp:coreProperties>
</file>