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3A11F7C0" w14:textId="77777777" w:rsidTr="00846603">
        <w:trPr>
          <w:trHeight w:val="144"/>
        </w:trPr>
        <w:tc>
          <w:tcPr>
            <w:tcW w:w="2869" w:type="dxa"/>
          </w:tcPr>
          <w:p w14:paraId="55A36255" w14:textId="77777777" w:rsidR="00264223" w:rsidRPr="00985849" w:rsidRDefault="00264223" w:rsidP="00544E9C">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8002ED7" w14:textId="77777777" w:rsidR="00264223" w:rsidRPr="00985849" w:rsidRDefault="00A9024A" w:rsidP="009E76B5">
            <w:pPr>
              <w:tabs>
                <w:tab w:val="right" w:pos="8838"/>
              </w:tabs>
              <w:spacing w:line="360" w:lineRule="auto"/>
              <w:ind w:left="-28" w:right="17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0</w:t>
            </w:r>
            <w:r w:rsidR="003C721D">
              <w:rPr>
                <w:rFonts w:ascii="Palatino Linotype" w:eastAsia="Calibri" w:hAnsi="Palatino Linotype" w:cs="Tahoma"/>
                <w:bCs/>
                <w:sz w:val="22"/>
                <w:szCs w:val="22"/>
                <w:lang w:eastAsia="en-US"/>
              </w:rPr>
              <w:t>1</w:t>
            </w:r>
            <w:r w:rsidR="009E76B5">
              <w:rPr>
                <w:rFonts w:ascii="Palatino Linotype" w:eastAsia="Calibri" w:hAnsi="Palatino Linotype" w:cs="Tahoma"/>
                <w:bCs/>
                <w:sz w:val="22"/>
                <w:szCs w:val="22"/>
                <w:lang w:eastAsia="en-US"/>
              </w:rPr>
              <w:t>22</w:t>
            </w:r>
            <w:r w:rsidR="003C721D">
              <w:rPr>
                <w:rFonts w:ascii="Palatino Linotype" w:eastAsia="Calibri" w:hAnsi="Palatino Linotype" w:cs="Tahoma"/>
                <w:bCs/>
                <w:sz w:val="22"/>
                <w:szCs w:val="22"/>
                <w:lang w:eastAsia="en-US"/>
              </w:rPr>
              <w:t>6/INFOEM/IP/RR/2019</w:t>
            </w:r>
          </w:p>
        </w:tc>
      </w:tr>
      <w:tr w:rsidR="00264223" w:rsidRPr="00985849" w14:paraId="27A77E96" w14:textId="77777777" w:rsidTr="00846603">
        <w:trPr>
          <w:trHeight w:val="144"/>
        </w:trPr>
        <w:tc>
          <w:tcPr>
            <w:tcW w:w="2869" w:type="dxa"/>
          </w:tcPr>
          <w:p w14:paraId="5E5A4E26" w14:textId="77777777" w:rsidR="00264223" w:rsidRPr="00985849" w:rsidRDefault="00264223" w:rsidP="00544E9C">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4974F9FF" w14:textId="6D61E9AA" w:rsidR="00264223" w:rsidRPr="00985849" w:rsidRDefault="00F50B09" w:rsidP="00544E9C">
            <w:pPr>
              <w:tabs>
                <w:tab w:val="right" w:pos="8838"/>
              </w:tabs>
              <w:spacing w:line="360" w:lineRule="auto"/>
              <w:ind w:right="171"/>
              <w:jc w:val="both"/>
              <w:rPr>
                <w:rFonts w:ascii="Palatino Linotype" w:eastAsia="Calibri" w:hAnsi="Palatino Linotype" w:cs="Tahoma"/>
                <w:sz w:val="22"/>
                <w:szCs w:val="22"/>
                <w:lang w:val="es-MX" w:eastAsia="en-US"/>
              </w:rPr>
            </w:pPr>
            <w:r w:rsidRPr="00F50B09">
              <w:rPr>
                <w:rFonts w:ascii="Palatino Linotype" w:eastAsia="Calibri" w:hAnsi="Palatino Linotype" w:cs="Tahoma"/>
                <w:sz w:val="22"/>
                <w:szCs w:val="22"/>
                <w:highlight w:val="black"/>
                <w:lang w:val="es-MX" w:eastAsia="en-US"/>
              </w:rPr>
              <w:t>XXXXXXXXXXXXXXXXXXX</w:t>
            </w:r>
          </w:p>
        </w:tc>
      </w:tr>
      <w:tr w:rsidR="00264223" w:rsidRPr="00985849" w14:paraId="08DB5455" w14:textId="77777777" w:rsidTr="00846603">
        <w:trPr>
          <w:trHeight w:val="283"/>
        </w:trPr>
        <w:tc>
          <w:tcPr>
            <w:tcW w:w="2869" w:type="dxa"/>
          </w:tcPr>
          <w:p w14:paraId="5FAFF6E3" w14:textId="77777777" w:rsidR="00264223" w:rsidRPr="00985849" w:rsidRDefault="00956793" w:rsidP="00544E9C">
            <w:pPr>
              <w:tabs>
                <w:tab w:val="right" w:pos="8838"/>
              </w:tabs>
              <w:spacing w:line="360"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264223" w:rsidRPr="00985849">
              <w:rPr>
                <w:rFonts w:ascii="Palatino Linotype" w:eastAsia="Calibri" w:hAnsi="Palatino Linotype" w:cs="Tahoma"/>
                <w:b/>
                <w:sz w:val="22"/>
                <w:szCs w:val="22"/>
                <w:lang w:val="es-MX" w:eastAsia="en-US"/>
              </w:rPr>
              <w:t>:</w:t>
            </w:r>
          </w:p>
        </w:tc>
        <w:tc>
          <w:tcPr>
            <w:tcW w:w="3539" w:type="dxa"/>
          </w:tcPr>
          <w:p w14:paraId="7C9F5DB8" w14:textId="77777777" w:rsidR="00264223" w:rsidRPr="00985849" w:rsidRDefault="009E76B5" w:rsidP="00544E9C">
            <w:pPr>
              <w:tabs>
                <w:tab w:val="right" w:pos="8838"/>
              </w:tabs>
              <w:spacing w:line="360" w:lineRule="auto"/>
              <w:ind w:right="171"/>
              <w:jc w:val="both"/>
              <w:rPr>
                <w:rFonts w:ascii="Palatino Linotype" w:eastAsia="Calibri" w:hAnsi="Palatino Linotype" w:cs="Tahoma"/>
                <w:b/>
                <w:sz w:val="22"/>
                <w:szCs w:val="22"/>
                <w:lang w:val="es-MX" w:eastAsia="en-US"/>
              </w:rPr>
            </w:pPr>
            <w:r w:rsidRPr="009E76B5">
              <w:rPr>
                <w:rFonts w:ascii="Palatino Linotype" w:eastAsia="Calibri" w:hAnsi="Palatino Linotype" w:cs="Tahoma"/>
                <w:sz w:val="22"/>
                <w:szCs w:val="22"/>
                <w:lang w:val="es-MX" w:eastAsia="en-US"/>
              </w:rPr>
              <w:t>Ayuntamiento de Atizapán de Zaragoza</w:t>
            </w:r>
          </w:p>
        </w:tc>
      </w:tr>
      <w:tr w:rsidR="00264223" w:rsidRPr="00985849" w14:paraId="7C8F22F2" w14:textId="77777777" w:rsidTr="00846603">
        <w:trPr>
          <w:trHeight w:val="283"/>
        </w:trPr>
        <w:tc>
          <w:tcPr>
            <w:tcW w:w="2869" w:type="dxa"/>
          </w:tcPr>
          <w:p w14:paraId="613EF75A" w14:textId="77777777" w:rsidR="00264223" w:rsidRPr="00985849" w:rsidRDefault="00264223" w:rsidP="00544E9C">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47A4138F" w14:textId="77777777" w:rsidR="00264223" w:rsidRPr="00985849" w:rsidRDefault="00264223" w:rsidP="00544E9C">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1A3CA17E" w14:textId="77777777" w:rsidR="00B6258B" w:rsidRPr="00985849" w:rsidRDefault="00B6258B" w:rsidP="00544E9C">
      <w:pPr>
        <w:spacing w:line="360" w:lineRule="auto"/>
        <w:jc w:val="both"/>
        <w:rPr>
          <w:rFonts w:ascii="Palatino Linotype" w:hAnsi="Palatino Linotype" w:cs="Tahoma"/>
          <w:bCs/>
          <w:sz w:val="22"/>
          <w:szCs w:val="22"/>
        </w:rPr>
      </w:pPr>
    </w:p>
    <w:p w14:paraId="230C10C1" w14:textId="77777777" w:rsidR="003C721D" w:rsidRDefault="003C721D" w:rsidP="00544E9C">
      <w:pPr>
        <w:spacing w:line="360" w:lineRule="auto"/>
        <w:jc w:val="both"/>
        <w:rPr>
          <w:rFonts w:ascii="Palatino Linotype" w:hAnsi="Palatino Linotype" w:cs="Tahoma"/>
          <w:bCs/>
          <w:sz w:val="22"/>
          <w:szCs w:val="22"/>
        </w:rPr>
      </w:pPr>
    </w:p>
    <w:p w14:paraId="20EB7583" w14:textId="77777777" w:rsidR="0074285B" w:rsidRPr="00985849" w:rsidRDefault="00D22B6A" w:rsidP="00544E9C">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E76B5">
        <w:rPr>
          <w:rFonts w:ascii="Palatino Linotype" w:hAnsi="Palatino Linotype" w:cs="Tahoma"/>
          <w:bCs/>
          <w:sz w:val="22"/>
          <w:szCs w:val="22"/>
        </w:rPr>
        <w:t xml:space="preserve">catorce </w:t>
      </w:r>
      <w:r w:rsidR="003C721D">
        <w:rPr>
          <w:rFonts w:ascii="Palatino Linotype" w:hAnsi="Palatino Linotype" w:cs="Tahoma"/>
          <w:bCs/>
          <w:sz w:val="22"/>
          <w:szCs w:val="22"/>
        </w:rPr>
        <w:t xml:space="preserve">de mayo </w:t>
      </w:r>
      <w:r w:rsidRPr="00985849">
        <w:rPr>
          <w:rFonts w:ascii="Palatino Linotype" w:hAnsi="Palatino Linotype" w:cs="Tahoma"/>
          <w:bCs/>
          <w:sz w:val="22"/>
          <w:szCs w:val="22"/>
        </w:rPr>
        <w:t>de dos mil dieci</w:t>
      </w:r>
      <w:r w:rsidR="00D7242C">
        <w:rPr>
          <w:rFonts w:ascii="Palatino Linotype" w:hAnsi="Palatino Linotype" w:cs="Tahoma"/>
          <w:bCs/>
          <w:sz w:val="22"/>
          <w:szCs w:val="22"/>
        </w:rPr>
        <w:t>nueve</w:t>
      </w:r>
      <w:r w:rsidRPr="00985849">
        <w:rPr>
          <w:rFonts w:ascii="Palatino Linotype" w:hAnsi="Palatino Linotype" w:cs="Tahoma"/>
          <w:bCs/>
          <w:sz w:val="22"/>
          <w:szCs w:val="22"/>
        </w:rPr>
        <w:t>.</w:t>
      </w:r>
    </w:p>
    <w:p w14:paraId="0407DB51" w14:textId="77777777" w:rsidR="00492DCA" w:rsidRPr="00985849" w:rsidRDefault="00492DCA" w:rsidP="00544E9C">
      <w:pPr>
        <w:spacing w:line="360" w:lineRule="auto"/>
        <w:jc w:val="both"/>
        <w:rPr>
          <w:rFonts w:ascii="Palatino Linotype" w:hAnsi="Palatino Linotype"/>
          <w:noProof/>
          <w:sz w:val="22"/>
          <w:szCs w:val="22"/>
          <w:lang w:val="es-ES"/>
        </w:rPr>
      </w:pPr>
    </w:p>
    <w:p w14:paraId="3C7552CC" w14:textId="2D46EB7A" w:rsidR="00400FDE" w:rsidRPr="00985849" w:rsidRDefault="00575DE3" w:rsidP="00544E9C">
      <w:pPr>
        <w:spacing w:line="360" w:lineRule="auto"/>
        <w:jc w:val="both"/>
        <w:rPr>
          <w:rFonts w:ascii="Palatino Linotype" w:hAnsi="Palatino Linotype" w:cs="Tahoma"/>
          <w:bCs/>
          <w:sz w:val="22"/>
          <w:szCs w:val="22"/>
        </w:rPr>
      </w:pPr>
      <w:r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 xml:space="preserve">con motivo del Recurso de Revisión </w:t>
      </w:r>
      <w:r w:rsidR="00A9024A" w:rsidRPr="00985849">
        <w:rPr>
          <w:rFonts w:ascii="Palatino Linotype" w:hAnsi="Palatino Linotype" w:cs="Tahoma"/>
          <w:b/>
          <w:bCs/>
          <w:color w:val="0D0D0D" w:themeColor="text1" w:themeTint="F2"/>
          <w:sz w:val="22"/>
          <w:szCs w:val="22"/>
        </w:rPr>
        <w:t>0</w:t>
      </w:r>
      <w:r w:rsidR="003C721D">
        <w:rPr>
          <w:rFonts w:ascii="Palatino Linotype" w:hAnsi="Palatino Linotype" w:cs="Tahoma"/>
          <w:b/>
          <w:bCs/>
          <w:color w:val="0D0D0D" w:themeColor="text1" w:themeTint="F2"/>
          <w:sz w:val="22"/>
          <w:szCs w:val="22"/>
        </w:rPr>
        <w:t>1</w:t>
      </w:r>
      <w:r w:rsidR="009E76B5">
        <w:rPr>
          <w:rFonts w:ascii="Palatino Linotype" w:hAnsi="Palatino Linotype" w:cs="Tahoma"/>
          <w:b/>
          <w:bCs/>
          <w:color w:val="0D0D0D" w:themeColor="text1" w:themeTint="F2"/>
          <w:sz w:val="22"/>
          <w:szCs w:val="22"/>
        </w:rPr>
        <w:t>22</w:t>
      </w:r>
      <w:r w:rsidR="003C721D">
        <w:rPr>
          <w:rFonts w:ascii="Palatino Linotype" w:hAnsi="Palatino Linotype" w:cs="Tahoma"/>
          <w:b/>
          <w:bCs/>
          <w:color w:val="0D0D0D" w:themeColor="text1" w:themeTint="F2"/>
          <w:sz w:val="22"/>
          <w:szCs w:val="22"/>
        </w:rPr>
        <w:t>6</w:t>
      </w:r>
      <w:r w:rsidR="006C1B1D" w:rsidRPr="00985849">
        <w:rPr>
          <w:rFonts w:ascii="Palatino Linotype" w:hAnsi="Palatino Linotype" w:cs="Tahoma"/>
          <w:b/>
          <w:bCs/>
          <w:color w:val="0D0D0D" w:themeColor="text1" w:themeTint="F2"/>
          <w:sz w:val="22"/>
          <w:szCs w:val="22"/>
        </w:rPr>
        <w:t>/</w:t>
      </w:r>
      <w:r w:rsidR="002A0FB8" w:rsidRPr="00985849">
        <w:rPr>
          <w:rFonts w:ascii="Palatino Linotype" w:hAnsi="Palatino Linotype" w:cs="Tahoma"/>
          <w:b/>
          <w:bCs/>
          <w:color w:val="0D0D0D" w:themeColor="text1" w:themeTint="F2"/>
          <w:sz w:val="22"/>
          <w:szCs w:val="22"/>
        </w:rPr>
        <w:t>INFOEM</w:t>
      </w:r>
      <w:r w:rsidR="006C1B1D" w:rsidRPr="00985849">
        <w:rPr>
          <w:rFonts w:ascii="Palatino Linotype" w:hAnsi="Palatino Linotype" w:cs="Tahoma"/>
          <w:b/>
          <w:bCs/>
          <w:color w:val="0D0D0D" w:themeColor="text1" w:themeTint="F2"/>
          <w:sz w:val="22"/>
          <w:szCs w:val="22"/>
        </w:rPr>
        <w:t>/IP/</w:t>
      </w:r>
      <w:r w:rsidR="00524EEE">
        <w:rPr>
          <w:rFonts w:ascii="Palatino Linotype" w:hAnsi="Palatino Linotype" w:cs="Tahoma"/>
          <w:b/>
          <w:bCs/>
          <w:color w:val="0D0D0D" w:themeColor="text1" w:themeTint="F2"/>
          <w:sz w:val="22"/>
          <w:szCs w:val="22"/>
        </w:rPr>
        <w:t>RR/</w:t>
      </w:r>
      <w:r w:rsidR="006C1B1D" w:rsidRPr="00985849">
        <w:rPr>
          <w:rFonts w:ascii="Palatino Linotype" w:hAnsi="Palatino Linotype" w:cs="Tahoma"/>
          <w:b/>
          <w:bCs/>
          <w:color w:val="0D0D0D" w:themeColor="text1" w:themeTint="F2"/>
          <w:sz w:val="22"/>
          <w:szCs w:val="22"/>
        </w:rPr>
        <w:t>201</w:t>
      </w:r>
      <w:r w:rsidR="003C721D">
        <w:rPr>
          <w:rFonts w:ascii="Palatino Linotype" w:hAnsi="Palatino Linotype" w:cs="Tahoma"/>
          <w:b/>
          <w:bCs/>
          <w:color w:val="0D0D0D" w:themeColor="text1" w:themeTint="F2"/>
          <w:sz w:val="22"/>
          <w:szCs w:val="22"/>
        </w:rPr>
        <w:t>9</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bookmarkStart w:id="0" w:name="_GoBack"/>
      <w:bookmarkEnd w:id="0"/>
      <w:r w:rsidR="00F50B09" w:rsidRPr="00F50B09">
        <w:rPr>
          <w:rFonts w:ascii="Palatino Linotype" w:hAnsi="Palatino Linotype" w:cs="Tahoma"/>
          <w:b/>
          <w:bCs/>
          <w:color w:val="0D0D0D" w:themeColor="text1" w:themeTint="F2"/>
          <w:sz w:val="22"/>
          <w:szCs w:val="22"/>
          <w:highlight w:val="black"/>
        </w:rPr>
        <w:t>XXXXXXXXXXXXXXX</w:t>
      </w:r>
      <w:r w:rsidR="000A238F" w:rsidRPr="00985849">
        <w:rPr>
          <w:rFonts w:ascii="Palatino Linotype" w:hAnsi="Palatino Linotype" w:cs="Tahoma"/>
          <w:bCs/>
          <w:color w:val="0D0D0D" w:themeColor="text1" w:themeTint="F2"/>
          <w:sz w:val="22"/>
          <w:szCs w:val="22"/>
        </w:rPr>
        <w:t xml:space="preserve">, en lo sucesivo </w:t>
      </w:r>
      <w:r w:rsidR="00D7242C">
        <w:rPr>
          <w:rFonts w:ascii="Palatino Linotype" w:hAnsi="Palatino Linotype" w:cs="Tahoma"/>
          <w:bCs/>
          <w:color w:val="0D0D0D" w:themeColor="text1" w:themeTint="F2"/>
          <w:sz w:val="22"/>
          <w:szCs w:val="22"/>
        </w:rPr>
        <w:t xml:space="preserve">Recurrente </w:t>
      </w:r>
      <w:r w:rsidR="00867F9D">
        <w:rPr>
          <w:rFonts w:ascii="Palatino Linotype" w:hAnsi="Palatino Linotype" w:cs="Tahoma"/>
          <w:bCs/>
          <w:color w:val="0D0D0D" w:themeColor="text1" w:themeTint="F2"/>
          <w:sz w:val="22"/>
          <w:szCs w:val="22"/>
        </w:rPr>
        <w:t xml:space="preserve">o </w:t>
      </w:r>
      <w:r w:rsidR="00D7242C">
        <w:rPr>
          <w:rFonts w:ascii="Palatino Linotype" w:hAnsi="Palatino Linotype" w:cs="Tahoma"/>
          <w:bCs/>
          <w:color w:val="0D0D0D" w:themeColor="text1" w:themeTint="F2"/>
          <w:sz w:val="22"/>
          <w:szCs w:val="22"/>
        </w:rPr>
        <w:t>P</w:t>
      </w:r>
      <w:r w:rsidR="00D7242C" w:rsidRPr="00985849">
        <w:rPr>
          <w:rFonts w:ascii="Palatino Linotype" w:hAnsi="Palatino Linotype" w:cs="Tahoma"/>
          <w:bCs/>
          <w:color w:val="0D0D0D" w:themeColor="text1" w:themeTint="F2"/>
          <w:sz w:val="22"/>
          <w:szCs w:val="22"/>
        </w:rPr>
        <w:t>articular</w:t>
      </w:r>
      <w:r w:rsidR="000A238F" w:rsidRPr="00985849">
        <w:rPr>
          <w:rFonts w:ascii="Palatino Linotype" w:hAnsi="Palatino Linotype" w:cs="Tahoma"/>
          <w:bCs/>
          <w:color w:val="0D0D0D" w:themeColor="text1" w:themeTint="F2"/>
          <w:sz w:val="22"/>
          <w:szCs w:val="22"/>
        </w:rPr>
        <w:t>,</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respuesta del </w:t>
      </w:r>
      <w:r w:rsidR="00956793">
        <w:rPr>
          <w:rFonts w:ascii="Palatino Linotype" w:hAnsi="Palatino Linotype" w:cs="Tahoma"/>
          <w:bCs/>
          <w:color w:val="0D0D0D" w:themeColor="text1" w:themeTint="F2"/>
          <w:sz w:val="22"/>
          <w:szCs w:val="22"/>
        </w:rPr>
        <w:t>Sujeto Obligado</w:t>
      </w:r>
      <w:r w:rsidR="003C5742">
        <w:rPr>
          <w:rFonts w:ascii="Palatino Linotype" w:hAnsi="Palatino Linotype" w:cs="Tahoma"/>
          <w:bCs/>
          <w:color w:val="0D0D0D" w:themeColor="text1" w:themeTint="F2"/>
          <w:sz w:val="22"/>
          <w:szCs w:val="22"/>
        </w:rPr>
        <w:t>,</w:t>
      </w:r>
      <w:r w:rsidR="002A0FB8" w:rsidRPr="00985849">
        <w:rPr>
          <w:rFonts w:ascii="Palatino Linotype" w:hAnsi="Palatino Linotype" w:cs="Tahoma"/>
          <w:bCs/>
          <w:color w:val="0D0D0D" w:themeColor="text1" w:themeTint="F2"/>
          <w:sz w:val="22"/>
          <w:szCs w:val="22"/>
        </w:rPr>
        <w:t xml:space="preserve"> </w:t>
      </w:r>
      <w:r w:rsidR="009E76B5" w:rsidRPr="009E76B5">
        <w:rPr>
          <w:rFonts w:ascii="Palatino Linotype" w:hAnsi="Palatino Linotype" w:cs="Tahoma"/>
          <w:b/>
          <w:bCs/>
          <w:color w:val="0D0D0D" w:themeColor="text1" w:themeTint="F2"/>
          <w:sz w:val="22"/>
          <w:szCs w:val="22"/>
        </w:rPr>
        <w:t>Ayuntamiento de Atizapán de Zaragoza</w:t>
      </w:r>
      <w:r w:rsidR="00DC1594" w:rsidRPr="00867F9D">
        <w:rPr>
          <w:rFonts w:ascii="Palatino Linotype" w:hAnsi="Palatino Linotype" w:cs="Tahoma"/>
          <w:b/>
          <w:bCs/>
          <w:color w:val="0D0D0D" w:themeColor="text1" w:themeTint="F2"/>
          <w:sz w:val="22"/>
          <w:szCs w:val="22"/>
        </w:rPr>
        <w:t>,</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7BF62191" w14:textId="77777777" w:rsidR="00634CEB" w:rsidRPr="00985849" w:rsidRDefault="00634CEB" w:rsidP="00544E9C">
      <w:pPr>
        <w:tabs>
          <w:tab w:val="center" w:pos="4522"/>
          <w:tab w:val="left" w:pos="7245"/>
          <w:tab w:val="right" w:pos="9044"/>
        </w:tabs>
        <w:spacing w:line="360" w:lineRule="auto"/>
        <w:rPr>
          <w:rFonts w:ascii="Palatino Linotype" w:hAnsi="Palatino Linotype" w:cs="Tahoma"/>
          <w:b/>
          <w:sz w:val="22"/>
          <w:szCs w:val="22"/>
        </w:rPr>
      </w:pPr>
    </w:p>
    <w:p w14:paraId="2C72A021" w14:textId="77777777" w:rsidR="00B31222" w:rsidRPr="00985849" w:rsidRDefault="00B31222" w:rsidP="00544E9C">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4475CD8E" w14:textId="77777777" w:rsidR="00683CB5" w:rsidRPr="00985849" w:rsidRDefault="00683CB5" w:rsidP="00544E9C">
      <w:pPr>
        <w:tabs>
          <w:tab w:val="center" w:pos="4522"/>
          <w:tab w:val="left" w:pos="7245"/>
          <w:tab w:val="right" w:pos="9044"/>
        </w:tabs>
        <w:spacing w:line="360" w:lineRule="auto"/>
        <w:rPr>
          <w:rFonts w:ascii="Palatino Linotype" w:hAnsi="Palatino Linotype" w:cs="Tahoma"/>
          <w:b/>
          <w:sz w:val="22"/>
          <w:szCs w:val="22"/>
        </w:rPr>
      </w:pPr>
    </w:p>
    <w:p w14:paraId="765BA9EF" w14:textId="77777777" w:rsidR="00DC1594" w:rsidRPr="00985849" w:rsidRDefault="00B31222" w:rsidP="00544E9C">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35931E80" w14:textId="77777777" w:rsidR="00DC1594" w:rsidRPr="00985849" w:rsidRDefault="00DC1594" w:rsidP="00544E9C">
      <w:pPr>
        <w:pStyle w:val="Prrafodelista"/>
        <w:tabs>
          <w:tab w:val="left" w:pos="1050"/>
        </w:tabs>
        <w:spacing w:line="360" w:lineRule="auto"/>
        <w:ind w:left="0"/>
        <w:contextualSpacing w:val="0"/>
        <w:jc w:val="both"/>
        <w:rPr>
          <w:rFonts w:ascii="Palatino Linotype" w:hAnsi="Palatino Linotype" w:cs="Tahoma"/>
          <w:szCs w:val="22"/>
        </w:rPr>
      </w:pPr>
    </w:p>
    <w:p w14:paraId="6805E4E5" w14:textId="77777777" w:rsidR="00637179" w:rsidRPr="00985849" w:rsidRDefault="00AA417B" w:rsidP="00544E9C">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A9024A" w:rsidRPr="00985849">
        <w:rPr>
          <w:rFonts w:ascii="Palatino Linotype" w:hAnsi="Palatino Linotype" w:cs="Tahoma"/>
          <w:szCs w:val="22"/>
        </w:rPr>
        <w:t xml:space="preserve"> </w:t>
      </w:r>
      <w:r w:rsidR="009E76B5">
        <w:rPr>
          <w:rFonts w:ascii="Palatino Linotype" w:hAnsi="Palatino Linotype" w:cs="Tahoma"/>
          <w:szCs w:val="22"/>
        </w:rPr>
        <w:t xml:space="preserve">siete de febrero </w:t>
      </w:r>
      <w:r w:rsidR="00935574">
        <w:rPr>
          <w:rFonts w:ascii="Palatino Linotype" w:hAnsi="Palatino Linotype" w:cs="Tahoma"/>
          <w:szCs w:val="22"/>
        </w:rPr>
        <w:t>de dos mil diecinueve</w:t>
      </w:r>
      <w:r w:rsidR="00B31222" w:rsidRPr="00985849">
        <w:rPr>
          <w:rFonts w:ascii="Palatino Linotype" w:hAnsi="Palatino Linotype" w:cs="Tahoma"/>
          <w:szCs w:val="22"/>
        </w:rPr>
        <w:t xml:space="preserve">, </w:t>
      </w:r>
      <w:r w:rsidR="00E573C6" w:rsidRPr="00985849">
        <w:rPr>
          <w:rFonts w:ascii="Palatino Linotype" w:hAnsi="Palatino Linotype" w:cs="Tahoma"/>
          <w:szCs w:val="22"/>
        </w:rPr>
        <w:t>el</w:t>
      </w:r>
      <w:r w:rsidR="00D44288">
        <w:rPr>
          <w:rFonts w:ascii="Palatino Linotype" w:hAnsi="Palatino Linotype" w:cs="Tahoma"/>
          <w:szCs w:val="22"/>
        </w:rPr>
        <w:t xml:space="preserve"> P</w:t>
      </w:r>
      <w:r w:rsidR="00EA68DA" w:rsidRPr="00985849">
        <w:rPr>
          <w:rFonts w:ascii="Palatino Linotype" w:hAnsi="Palatino Linotype" w:cs="Tahoma"/>
          <w:szCs w:val="22"/>
        </w:rPr>
        <w:t xml:space="preserve">articular presentó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w:t>
      </w:r>
      <w:r w:rsidR="009E76B5" w:rsidRPr="009E76B5">
        <w:rPr>
          <w:rFonts w:ascii="Palatino Linotype" w:hAnsi="Palatino Linotype" w:cs="Tahoma"/>
          <w:szCs w:val="22"/>
        </w:rPr>
        <w:t>Ayuntamiento de Atizapán de Zaragoza</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 cual requirió</w:t>
      </w:r>
      <w:r w:rsidR="00B31222" w:rsidRPr="00985849">
        <w:rPr>
          <w:rFonts w:ascii="Palatino Linotype" w:hAnsi="Palatino Linotype" w:cs="Tahoma"/>
          <w:szCs w:val="22"/>
        </w:rPr>
        <w:t>:</w:t>
      </w:r>
    </w:p>
    <w:p w14:paraId="452B2193" w14:textId="77777777" w:rsidR="00634CEB" w:rsidRPr="00985849" w:rsidRDefault="00634CEB" w:rsidP="00544E9C">
      <w:pPr>
        <w:pStyle w:val="Prrafodelista"/>
        <w:tabs>
          <w:tab w:val="left" w:pos="567"/>
        </w:tabs>
        <w:spacing w:line="360" w:lineRule="auto"/>
        <w:ind w:left="0"/>
        <w:contextualSpacing w:val="0"/>
        <w:jc w:val="both"/>
        <w:rPr>
          <w:rFonts w:ascii="Palatino Linotype" w:hAnsi="Palatino Linotype" w:cs="Tahoma"/>
          <w:szCs w:val="22"/>
        </w:rPr>
      </w:pPr>
    </w:p>
    <w:p w14:paraId="22B3CBF6" w14:textId="77777777" w:rsidR="00C55151" w:rsidRPr="00652A39" w:rsidRDefault="00D7242C" w:rsidP="00544E9C">
      <w:pPr>
        <w:tabs>
          <w:tab w:val="left" w:pos="4667"/>
        </w:tabs>
        <w:spacing w:line="360" w:lineRule="auto"/>
        <w:ind w:left="567" w:right="567"/>
        <w:jc w:val="both"/>
        <w:rPr>
          <w:rFonts w:ascii="Palatino Linotype" w:hAnsi="Palatino Linotype" w:cs="Tahoma"/>
          <w:bCs/>
          <w:i/>
        </w:rPr>
      </w:pPr>
      <w:r w:rsidRPr="00652A39">
        <w:rPr>
          <w:rFonts w:ascii="Palatino Linotype" w:hAnsi="Palatino Linotype" w:cs="Tahoma"/>
          <w:bCs/>
          <w:i/>
        </w:rPr>
        <w:t>“</w:t>
      </w:r>
      <w:r w:rsidR="009E76B5" w:rsidRPr="00652A39">
        <w:rPr>
          <w:rFonts w:ascii="Palatino Linotype" w:hAnsi="Palatino Linotype" w:cs="Tahoma"/>
          <w:bCs/>
          <w:i/>
        </w:rPr>
        <w:t>SOLICITO TODA LA NÓMINA CLASIFICADA POR DIRECCIONES GENERALE O BIEN POR ÁREAS DE ADSCRIPCIÓN QUE INTEGRE NOMBRE COMPLETO, CARGO O PUESTO INCLUYENDO TODOS LO MIEMBROS DEL CABILDO DEL AYUNTAMIENTO DE ATIZAPAN DE ZARAGOZA.</w:t>
      </w:r>
      <w:r w:rsidRPr="00652A39">
        <w:rPr>
          <w:rFonts w:ascii="Palatino Linotype" w:hAnsi="Palatino Linotype" w:cs="Tahoma"/>
          <w:bCs/>
          <w:i/>
        </w:rPr>
        <w:t>”</w:t>
      </w:r>
      <w:r w:rsidR="00A9024A" w:rsidRPr="00652A39">
        <w:rPr>
          <w:rFonts w:ascii="Palatino Linotype" w:hAnsi="Palatino Linotype" w:cs="Tahoma"/>
          <w:b/>
          <w:bCs/>
          <w:i/>
        </w:rPr>
        <w:t xml:space="preserve"> </w:t>
      </w:r>
      <w:r w:rsidR="00C55151" w:rsidRPr="00652A39">
        <w:rPr>
          <w:rFonts w:ascii="Palatino Linotype" w:hAnsi="Palatino Linotype" w:cs="Tahoma"/>
          <w:bCs/>
          <w:i/>
        </w:rPr>
        <w:t>(Sic.)</w:t>
      </w:r>
    </w:p>
    <w:p w14:paraId="66A461C0" w14:textId="77777777" w:rsidR="00D7242C" w:rsidRDefault="00D7242C" w:rsidP="00544E9C">
      <w:pPr>
        <w:tabs>
          <w:tab w:val="left" w:pos="4667"/>
        </w:tabs>
        <w:spacing w:line="360" w:lineRule="auto"/>
        <w:ind w:left="567" w:right="567"/>
        <w:jc w:val="both"/>
        <w:rPr>
          <w:rFonts w:ascii="Palatino Linotype" w:hAnsi="Palatino Linotype" w:cs="Tahoma"/>
          <w:b/>
          <w:bCs/>
          <w:sz w:val="22"/>
          <w:szCs w:val="22"/>
        </w:rPr>
      </w:pPr>
    </w:p>
    <w:p w14:paraId="4B46E43B" w14:textId="77777777" w:rsidR="007A2F67" w:rsidRPr="00985849" w:rsidRDefault="000C27CA" w:rsidP="00544E9C">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MODALIDAD DE ENTREGA</w:t>
      </w:r>
    </w:p>
    <w:p w14:paraId="79AE9155" w14:textId="77777777" w:rsidR="00492DCA" w:rsidRDefault="00026EBB" w:rsidP="00544E9C">
      <w:pPr>
        <w:tabs>
          <w:tab w:val="left" w:pos="4667"/>
        </w:tabs>
        <w:spacing w:line="360" w:lineRule="auto"/>
        <w:ind w:left="567" w:right="567"/>
        <w:jc w:val="both"/>
        <w:rPr>
          <w:rFonts w:ascii="Palatino Linotype" w:hAnsi="Palatino Linotype" w:cs="Tahoma"/>
          <w:bCs/>
          <w:i/>
        </w:rPr>
      </w:pPr>
      <w:r w:rsidRPr="00A900D6">
        <w:rPr>
          <w:rFonts w:ascii="Palatino Linotype" w:hAnsi="Palatino Linotype" w:cs="Tahoma"/>
          <w:bCs/>
          <w:i/>
        </w:rPr>
        <w:t>A través del SAIMEX</w:t>
      </w:r>
      <w:r w:rsidR="00EA68DA" w:rsidRPr="00A900D6">
        <w:rPr>
          <w:rFonts w:ascii="Palatino Linotype" w:hAnsi="Palatino Linotype" w:cs="Tahoma"/>
          <w:bCs/>
          <w:i/>
        </w:rPr>
        <w:t>.</w:t>
      </w:r>
    </w:p>
    <w:p w14:paraId="390A6B48" w14:textId="77777777" w:rsidR="00254C39" w:rsidRPr="0065231B" w:rsidRDefault="00254C39" w:rsidP="00254C39">
      <w:pPr>
        <w:spacing w:line="360" w:lineRule="auto"/>
        <w:rPr>
          <w:rFonts w:ascii="Palatino Linotype" w:hAnsi="Palatino Linotype" w:cs="Tahoma"/>
          <w:b/>
          <w:sz w:val="22"/>
          <w:szCs w:val="22"/>
        </w:rPr>
      </w:pPr>
      <w:r w:rsidRPr="0065231B">
        <w:rPr>
          <w:rFonts w:ascii="Palatino Linotype" w:hAnsi="Palatino Linotype" w:cs="Tahoma"/>
          <w:b/>
          <w:bCs/>
          <w:sz w:val="22"/>
          <w:szCs w:val="22"/>
        </w:rPr>
        <w:lastRenderedPageBreak/>
        <w:t>II.</w:t>
      </w:r>
      <w:r w:rsidRPr="0065231B">
        <w:rPr>
          <w:rFonts w:ascii="Palatino Linotype" w:hAnsi="Palatino Linotype" w:cs="Tahoma"/>
          <w:bCs/>
          <w:sz w:val="22"/>
          <w:szCs w:val="22"/>
        </w:rPr>
        <w:t xml:space="preserve">  </w:t>
      </w:r>
      <w:r w:rsidRPr="0065231B">
        <w:rPr>
          <w:rFonts w:ascii="Palatino Linotype" w:hAnsi="Palatino Linotype" w:cs="Tahoma"/>
          <w:b/>
          <w:sz w:val="22"/>
          <w:szCs w:val="22"/>
        </w:rPr>
        <w:t>Respuesta del Sujeto Obligado.</w:t>
      </w:r>
    </w:p>
    <w:p w14:paraId="5FC2774E" w14:textId="77777777" w:rsidR="00492DCA" w:rsidRPr="00A900D6" w:rsidRDefault="00492DCA" w:rsidP="00544E9C">
      <w:pPr>
        <w:spacing w:line="360" w:lineRule="auto"/>
        <w:rPr>
          <w:rFonts w:ascii="Palatino Linotype" w:hAnsi="Palatino Linotype" w:cs="Tahoma"/>
          <w:bCs/>
          <w:i/>
          <w:sz w:val="22"/>
          <w:szCs w:val="22"/>
        </w:rPr>
      </w:pPr>
    </w:p>
    <w:p w14:paraId="4267D67C" w14:textId="77777777" w:rsidR="00935574" w:rsidRPr="003121BB" w:rsidRDefault="00935574" w:rsidP="00544E9C">
      <w:pPr>
        <w:autoSpaceDE w:val="0"/>
        <w:autoSpaceDN w:val="0"/>
        <w:adjustRightInd w:val="0"/>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w:t>
      </w:r>
      <w:r w:rsidR="00971405">
        <w:rPr>
          <w:rFonts w:ascii="Palatino Linotype" w:hAnsi="Palatino Linotype" w:cs="Tahoma"/>
          <w:sz w:val="22"/>
          <w:szCs w:val="22"/>
        </w:rPr>
        <w:t xml:space="preserve">veintiocho </w:t>
      </w:r>
      <w:r>
        <w:rPr>
          <w:rFonts w:ascii="Palatino Linotype" w:hAnsi="Palatino Linotype" w:cs="Tahoma"/>
          <w:sz w:val="22"/>
          <w:szCs w:val="22"/>
        </w:rPr>
        <w:t xml:space="preserve">de febrero de </w:t>
      </w:r>
      <w:r w:rsidRPr="003121BB">
        <w:rPr>
          <w:rFonts w:ascii="Palatino Linotype" w:hAnsi="Palatino Linotype" w:cs="Tahoma"/>
          <w:sz w:val="22"/>
          <w:szCs w:val="22"/>
        </w:rPr>
        <w:t>dos mil dieci</w:t>
      </w:r>
      <w:r>
        <w:rPr>
          <w:rFonts w:ascii="Palatino Linotype" w:hAnsi="Palatino Linotype" w:cs="Tahoma"/>
          <w:sz w:val="22"/>
          <w:szCs w:val="22"/>
        </w:rPr>
        <w:t>nueve</w:t>
      </w:r>
      <w:r w:rsidRPr="003121BB">
        <w:rPr>
          <w:rFonts w:ascii="Palatino Linotype" w:hAnsi="Palatino Linotype" w:cs="Tahoma"/>
          <w:sz w:val="22"/>
          <w:szCs w:val="22"/>
        </w:rPr>
        <w:t xml:space="preserve">, el Sujeto Obligado dio respuesta a la solicitud de acceso a la información a través del Sistema de Acceso a la Información Mexiquense (SAIMEX) en los siguientes términos: </w:t>
      </w:r>
    </w:p>
    <w:p w14:paraId="249C2326" w14:textId="77777777" w:rsidR="00935574" w:rsidRPr="003121BB" w:rsidRDefault="00935574" w:rsidP="00544E9C">
      <w:pPr>
        <w:autoSpaceDE w:val="0"/>
        <w:autoSpaceDN w:val="0"/>
        <w:adjustRightInd w:val="0"/>
        <w:spacing w:line="360" w:lineRule="auto"/>
        <w:ind w:left="567" w:right="539"/>
        <w:jc w:val="both"/>
        <w:rPr>
          <w:rFonts w:ascii="Palatino Linotype" w:hAnsi="Palatino Linotype" w:cs="Tahoma"/>
          <w:szCs w:val="22"/>
        </w:rPr>
      </w:pPr>
    </w:p>
    <w:p w14:paraId="14FD22F4" w14:textId="77777777" w:rsidR="00935574" w:rsidRPr="00A900D6" w:rsidRDefault="00935574" w:rsidP="00544E9C">
      <w:pPr>
        <w:autoSpaceDE w:val="0"/>
        <w:autoSpaceDN w:val="0"/>
        <w:adjustRightInd w:val="0"/>
        <w:spacing w:line="360" w:lineRule="auto"/>
        <w:ind w:left="567" w:right="539"/>
        <w:jc w:val="both"/>
        <w:rPr>
          <w:rFonts w:ascii="Palatino Linotype" w:hAnsi="Palatino Linotype" w:cs="Tahoma"/>
          <w:i/>
          <w:szCs w:val="22"/>
        </w:rPr>
      </w:pPr>
      <w:r w:rsidRPr="00A900D6">
        <w:rPr>
          <w:rFonts w:ascii="Palatino Linotype" w:hAnsi="Palatino Linotype" w:cs="Tahoma"/>
          <w:i/>
          <w:szCs w:val="22"/>
        </w:rPr>
        <w:t>“…</w:t>
      </w:r>
    </w:p>
    <w:p w14:paraId="4E329C51" w14:textId="77777777" w:rsidR="00971405" w:rsidRDefault="00971405" w:rsidP="00544E9C">
      <w:pPr>
        <w:autoSpaceDE w:val="0"/>
        <w:autoSpaceDN w:val="0"/>
        <w:adjustRightInd w:val="0"/>
        <w:spacing w:line="360" w:lineRule="auto"/>
        <w:ind w:left="567" w:right="539"/>
        <w:jc w:val="both"/>
        <w:rPr>
          <w:rFonts w:ascii="Palatino Linotype" w:hAnsi="Palatino Linotype" w:cs="Tahoma"/>
          <w:i/>
          <w:szCs w:val="22"/>
        </w:rPr>
      </w:pPr>
      <w:r w:rsidRPr="00971405">
        <w:rPr>
          <w:rFonts w:ascii="Palatino Linotype" w:hAnsi="Palatino Linotype" w:cs="Tahoma"/>
          <w:i/>
          <w:szCs w:val="22"/>
        </w:rPr>
        <w:t>En relación a su solicitud de información con número de folio 00142/ATIZARA/IP/2019.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w:t>
      </w:r>
      <w:r>
        <w:rPr>
          <w:rFonts w:ascii="Palatino Linotype" w:hAnsi="Palatino Linotype" w:cs="Tahoma"/>
          <w:i/>
          <w:szCs w:val="22"/>
        </w:rPr>
        <w:t>N Y DESARROLLO DE PERSONAL.</w:t>
      </w:r>
    </w:p>
    <w:p w14:paraId="06A3B9AE" w14:textId="77777777" w:rsidR="00935574" w:rsidRPr="00A900D6" w:rsidRDefault="00935574" w:rsidP="00544E9C">
      <w:pPr>
        <w:autoSpaceDE w:val="0"/>
        <w:autoSpaceDN w:val="0"/>
        <w:adjustRightInd w:val="0"/>
        <w:spacing w:line="360" w:lineRule="auto"/>
        <w:ind w:left="567" w:right="539"/>
        <w:jc w:val="both"/>
        <w:rPr>
          <w:rFonts w:ascii="Palatino Linotype" w:hAnsi="Palatino Linotype" w:cs="Tahoma"/>
          <w:i/>
          <w:szCs w:val="22"/>
        </w:rPr>
      </w:pPr>
      <w:r w:rsidRPr="00A900D6">
        <w:rPr>
          <w:rFonts w:ascii="Palatino Linotype" w:hAnsi="Palatino Linotype" w:cs="Tahoma"/>
          <w:i/>
          <w:szCs w:val="22"/>
        </w:rPr>
        <w:t>…”</w:t>
      </w:r>
    </w:p>
    <w:p w14:paraId="5216EB0D" w14:textId="77777777" w:rsidR="00971405" w:rsidRPr="0065231B" w:rsidRDefault="00971405" w:rsidP="00971405">
      <w:pPr>
        <w:autoSpaceDE w:val="0"/>
        <w:autoSpaceDN w:val="0"/>
        <w:adjustRightInd w:val="0"/>
        <w:spacing w:line="360" w:lineRule="auto"/>
        <w:jc w:val="both"/>
        <w:rPr>
          <w:rFonts w:ascii="Palatino Linotype" w:hAnsi="Palatino Linotype" w:cs="Tahoma"/>
          <w:sz w:val="22"/>
          <w:szCs w:val="22"/>
        </w:rPr>
      </w:pPr>
    </w:p>
    <w:p w14:paraId="54443D52" w14:textId="77777777" w:rsidR="00971405" w:rsidRDefault="00971405" w:rsidP="00971405">
      <w:pPr>
        <w:autoSpaceDE w:val="0"/>
        <w:autoSpaceDN w:val="0"/>
        <w:adjustRightInd w:val="0"/>
        <w:spacing w:line="360" w:lineRule="auto"/>
        <w:jc w:val="both"/>
        <w:rPr>
          <w:rFonts w:ascii="Palatino Linotype" w:hAnsi="Palatino Linotype" w:cs="Tahoma"/>
          <w:sz w:val="22"/>
          <w:szCs w:val="22"/>
        </w:rPr>
      </w:pPr>
      <w:r w:rsidRPr="0065231B">
        <w:rPr>
          <w:rFonts w:ascii="Palatino Linotype" w:hAnsi="Palatino Linotype" w:cs="Tahoma"/>
          <w:sz w:val="22"/>
          <w:szCs w:val="22"/>
        </w:rPr>
        <w:t xml:space="preserve">De igual manera, el Sujeto Obligado en la respuesta adjuntó </w:t>
      </w:r>
      <w:r>
        <w:rPr>
          <w:rFonts w:ascii="Palatino Linotype" w:hAnsi="Palatino Linotype" w:cs="Tahoma"/>
          <w:sz w:val="22"/>
          <w:szCs w:val="22"/>
        </w:rPr>
        <w:t xml:space="preserve">tres </w:t>
      </w:r>
      <w:r w:rsidRPr="0065231B">
        <w:rPr>
          <w:rFonts w:ascii="Palatino Linotype" w:hAnsi="Palatino Linotype" w:cs="Tahoma"/>
          <w:sz w:val="22"/>
          <w:szCs w:val="22"/>
        </w:rPr>
        <w:t>archivo</w:t>
      </w:r>
      <w:r>
        <w:rPr>
          <w:rFonts w:ascii="Palatino Linotype" w:hAnsi="Palatino Linotype" w:cs="Tahoma"/>
          <w:sz w:val="22"/>
          <w:szCs w:val="22"/>
        </w:rPr>
        <w:t>s</w:t>
      </w:r>
      <w:r w:rsidRPr="0065231B">
        <w:rPr>
          <w:rFonts w:ascii="Palatino Linotype" w:hAnsi="Palatino Linotype" w:cs="Tahoma"/>
          <w:sz w:val="22"/>
          <w:szCs w:val="22"/>
        </w:rPr>
        <w:t xml:space="preserve"> electrónico</w:t>
      </w:r>
      <w:r>
        <w:rPr>
          <w:rFonts w:ascii="Palatino Linotype" w:hAnsi="Palatino Linotype" w:cs="Tahoma"/>
          <w:sz w:val="22"/>
          <w:szCs w:val="22"/>
        </w:rPr>
        <w:t>s</w:t>
      </w:r>
      <w:r w:rsidRPr="0065231B">
        <w:rPr>
          <w:rFonts w:ascii="Palatino Linotype" w:hAnsi="Palatino Linotype" w:cs="Tahoma"/>
          <w:sz w:val="22"/>
          <w:szCs w:val="22"/>
        </w:rPr>
        <w:t xml:space="preserve"> denominado</w:t>
      </w:r>
      <w:r>
        <w:rPr>
          <w:rFonts w:ascii="Palatino Linotype" w:hAnsi="Palatino Linotype" w:cs="Tahoma"/>
          <w:sz w:val="22"/>
          <w:szCs w:val="22"/>
        </w:rPr>
        <w:t>s:</w:t>
      </w:r>
    </w:p>
    <w:p w14:paraId="58F14655" w14:textId="77777777" w:rsidR="00971405" w:rsidRPr="00971405" w:rsidRDefault="00971405" w:rsidP="00971405">
      <w:pPr>
        <w:pStyle w:val="Prrafodelista"/>
        <w:numPr>
          <w:ilvl w:val="0"/>
          <w:numId w:val="37"/>
        </w:numPr>
        <w:autoSpaceDE w:val="0"/>
        <w:autoSpaceDN w:val="0"/>
        <w:adjustRightInd w:val="0"/>
        <w:spacing w:line="360" w:lineRule="auto"/>
        <w:jc w:val="both"/>
        <w:rPr>
          <w:rFonts w:ascii="Palatino Linotype" w:hAnsi="Palatino Linotype" w:cs="Tahoma"/>
          <w:szCs w:val="22"/>
        </w:rPr>
      </w:pPr>
      <w:r w:rsidRPr="00971405">
        <w:rPr>
          <w:rFonts w:ascii="Palatino Linotype" w:hAnsi="Palatino Linotype" w:cs="Tahoma"/>
          <w:szCs w:val="22"/>
        </w:rPr>
        <w:t xml:space="preserve">Respuesta RH 00142.pdf </w:t>
      </w:r>
    </w:p>
    <w:p w14:paraId="3B241906" w14:textId="77777777" w:rsidR="00971405" w:rsidRPr="00971405" w:rsidRDefault="00971405" w:rsidP="00971405">
      <w:pPr>
        <w:pStyle w:val="Prrafodelista"/>
        <w:numPr>
          <w:ilvl w:val="0"/>
          <w:numId w:val="37"/>
        </w:numPr>
        <w:autoSpaceDE w:val="0"/>
        <w:autoSpaceDN w:val="0"/>
        <w:adjustRightInd w:val="0"/>
        <w:spacing w:line="360" w:lineRule="auto"/>
        <w:jc w:val="both"/>
        <w:rPr>
          <w:rFonts w:ascii="Palatino Linotype" w:hAnsi="Palatino Linotype" w:cs="Tahoma"/>
          <w:szCs w:val="22"/>
        </w:rPr>
      </w:pPr>
      <w:r w:rsidRPr="00971405">
        <w:rPr>
          <w:rFonts w:ascii="Palatino Linotype" w:hAnsi="Palatino Linotype" w:cs="Tahoma"/>
          <w:szCs w:val="22"/>
        </w:rPr>
        <w:t xml:space="preserve">00142_ATIZARA_IP_2019.pdf </w:t>
      </w:r>
    </w:p>
    <w:p w14:paraId="72E0D577" w14:textId="77777777" w:rsidR="00971405" w:rsidRPr="00971405" w:rsidRDefault="00971405" w:rsidP="00971405">
      <w:pPr>
        <w:pStyle w:val="Prrafodelista"/>
        <w:numPr>
          <w:ilvl w:val="0"/>
          <w:numId w:val="37"/>
        </w:numPr>
        <w:autoSpaceDE w:val="0"/>
        <w:autoSpaceDN w:val="0"/>
        <w:adjustRightInd w:val="0"/>
        <w:spacing w:line="360" w:lineRule="auto"/>
        <w:jc w:val="both"/>
        <w:rPr>
          <w:rFonts w:ascii="Palatino Linotype" w:hAnsi="Palatino Linotype" w:cs="Tahoma"/>
          <w:szCs w:val="22"/>
        </w:rPr>
      </w:pPr>
      <w:r w:rsidRPr="00971405">
        <w:rPr>
          <w:rFonts w:ascii="Palatino Linotype" w:hAnsi="Palatino Linotype" w:cs="Tahoma"/>
          <w:szCs w:val="22"/>
        </w:rPr>
        <w:t>Acuerdo Info Reservada Nomina Seguridad Publica.pdf</w:t>
      </w:r>
    </w:p>
    <w:p w14:paraId="366A31B7" w14:textId="77777777" w:rsidR="00971405" w:rsidRDefault="00971405" w:rsidP="00971405">
      <w:pPr>
        <w:autoSpaceDE w:val="0"/>
        <w:autoSpaceDN w:val="0"/>
        <w:adjustRightInd w:val="0"/>
        <w:spacing w:line="360" w:lineRule="auto"/>
        <w:jc w:val="both"/>
        <w:rPr>
          <w:rFonts w:ascii="Palatino Linotype" w:hAnsi="Palatino Linotype" w:cs="Tahoma"/>
          <w:b/>
          <w:sz w:val="22"/>
          <w:szCs w:val="22"/>
        </w:rPr>
      </w:pPr>
    </w:p>
    <w:p w14:paraId="2301FA25" w14:textId="77777777" w:rsidR="00971405" w:rsidRPr="0065231B" w:rsidRDefault="00971405" w:rsidP="0097140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que respecta al primer archivo, corresponde al Memorandum 74, signado por la Subdirectora de Recursos Humanos </w:t>
      </w:r>
      <w:r w:rsidRPr="0065231B">
        <w:rPr>
          <w:rFonts w:ascii="Palatino Linotype" w:hAnsi="Palatino Linotype" w:cs="Tahoma"/>
          <w:sz w:val="22"/>
          <w:szCs w:val="22"/>
        </w:rPr>
        <w:t>del Sujeto Obligado, mismo que en su parte medular señala lo siguiente:</w:t>
      </w:r>
    </w:p>
    <w:p w14:paraId="1DE62DEB" w14:textId="77777777" w:rsidR="00971405" w:rsidRPr="0065231B" w:rsidRDefault="00971405" w:rsidP="00971405">
      <w:pPr>
        <w:autoSpaceDE w:val="0"/>
        <w:autoSpaceDN w:val="0"/>
        <w:adjustRightInd w:val="0"/>
        <w:spacing w:line="360" w:lineRule="auto"/>
        <w:jc w:val="both"/>
        <w:rPr>
          <w:rFonts w:ascii="Palatino Linotype" w:hAnsi="Palatino Linotype" w:cs="Tahoma"/>
          <w:sz w:val="22"/>
          <w:szCs w:val="22"/>
        </w:rPr>
      </w:pPr>
    </w:p>
    <w:p w14:paraId="227C46FF" w14:textId="77777777" w:rsidR="00971405" w:rsidRDefault="00971405" w:rsidP="00971405">
      <w:pPr>
        <w:autoSpaceDE w:val="0"/>
        <w:autoSpaceDN w:val="0"/>
        <w:adjustRightInd w:val="0"/>
        <w:spacing w:line="360" w:lineRule="auto"/>
        <w:ind w:left="567" w:right="539"/>
        <w:jc w:val="both"/>
        <w:rPr>
          <w:rFonts w:ascii="Palatino Linotype" w:hAnsi="Palatino Linotype" w:cs="Tahoma"/>
          <w:i/>
          <w:sz w:val="22"/>
          <w:szCs w:val="22"/>
        </w:rPr>
      </w:pPr>
      <w:r w:rsidRPr="0065231B">
        <w:rPr>
          <w:rFonts w:ascii="Palatino Linotype" w:hAnsi="Palatino Linotype" w:cs="Tahoma"/>
          <w:i/>
          <w:sz w:val="22"/>
          <w:szCs w:val="22"/>
        </w:rPr>
        <w:t>“…</w:t>
      </w:r>
    </w:p>
    <w:p w14:paraId="14BC6813" w14:textId="77777777" w:rsidR="00971405" w:rsidRDefault="00971405" w:rsidP="00971405">
      <w:pPr>
        <w:autoSpaceDE w:val="0"/>
        <w:autoSpaceDN w:val="0"/>
        <w:adjustRightInd w:val="0"/>
        <w:spacing w:line="360" w:lineRule="auto"/>
        <w:ind w:left="567" w:right="539"/>
        <w:jc w:val="both"/>
        <w:rPr>
          <w:rFonts w:ascii="Palatino Linotype" w:hAnsi="Palatino Linotype" w:cs="Tahoma"/>
          <w:i/>
          <w:sz w:val="22"/>
          <w:szCs w:val="22"/>
        </w:rPr>
      </w:pPr>
      <w:r>
        <w:rPr>
          <w:rFonts w:ascii="Palatino Linotype" w:hAnsi="Palatino Linotype" w:cs="Tahoma"/>
          <w:i/>
          <w:sz w:val="22"/>
          <w:szCs w:val="22"/>
        </w:rPr>
        <w:t xml:space="preserve">Con fundamento en el artículo 59 fracción II de la Ley de Transparencia y Acceso a la Información Pública del Estado de México y Municipios, sirva encontrar anexo archivo en </w:t>
      </w:r>
      <w:r>
        <w:rPr>
          <w:rFonts w:ascii="Palatino Linotype" w:hAnsi="Palatino Linotype" w:cs="Tahoma"/>
          <w:i/>
          <w:sz w:val="22"/>
          <w:szCs w:val="22"/>
        </w:rPr>
        <w:lastRenderedPageBreak/>
        <w:t>formato PDF de nombre 00142_ATIZARA_IP_2019.pdf, en el cual encontrará la información que solicita.</w:t>
      </w:r>
    </w:p>
    <w:p w14:paraId="1AF166AA" w14:textId="77777777" w:rsidR="00971405" w:rsidRDefault="00971405" w:rsidP="00971405">
      <w:pPr>
        <w:autoSpaceDE w:val="0"/>
        <w:autoSpaceDN w:val="0"/>
        <w:adjustRightInd w:val="0"/>
        <w:spacing w:line="360" w:lineRule="auto"/>
        <w:ind w:left="567" w:right="539"/>
        <w:jc w:val="both"/>
        <w:rPr>
          <w:rFonts w:ascii="Palatino Linotype" w:hAnsi="Palatino Linotype" w:cs="Tahoma"/>
          <w:i/>
          <w:sz w:val="22"/>
          <w:szCs w:val="22"/>
        </w:rPr>
      </w:pPr>
    </w:p>
    <w:p w14:paraId="39FC3F5B" w14:textId="77777777" w:rsidR="00971405" w:rsidRDefault="00971405" w:rsidP="00971405">
      <w:pPr>
        <w:autoSpaceDE w:val="0"/>
        <w:autoSpaceDN w:val="0"/>
        <w:adjustRightInd w:val="0"/>
        <w:spacing w:line="360" w:lineRule="auto"/>
        <w:ind w:left="567" w:right="539"/>
        <w:jc w:val="both"/>
        <w:rPr>
          <w:rFonts w:ascii="Palatino Linotype" w:hAnsi="Palatino Linotype" w:cs="Tahoma"/>
          <w:i/>
          <w:sz w:val="22"/>
          <w:szCs w:val="22"/>
        </w:rPr>
      </w:pPr>
      <w:r>
        <w:rPr>
          <w:rFonts w:ascii="Palatino Linotype" w:hAnsi="Palatino Linotype" w:cs="Tahoma"/>
          <w:i/>
          <w:sz w:val="22"/>
          <w:szCs w:val="22"/>
        </w:rPr>
        <w:t>En cuanto al personal de confianza adscrito a la Dirección de seguridad Pública y Tránsito Municipal, no omito mencionar que mediante el Acuerdo número CIR/27/03/XLIII/25/05/2018, donde el Comité de Transparencia de Atizapán de Zaragoza, Estado de México, clasifica la información en su modalidad de reservada la relativa a la nómina del personal adscrito a la dependencia de la Dirección de Seguridad Pública y tránsito Municipal, o cualquier información que permita su identificación por un periodo de 5 (cinco) años</w:t>
      </w:r>
    </w:p>
    <w:p w14:paraId="1D17575C" w14:textId="77777777" w:rsidR="00971405" w:rsidRPr="0065231B" w:rsidRDefault="00971405" w:rsidP="00971405">
      <w:pPr>
        <w:autoSpaceDE w:val="0"/>
        <w:autoSpaceDN w:val="0"/>
        <w:adjustRightInd w:val="0"/>
        <w:spacing w:line="360" w:lineRule="auto"/>
        <w:ind w:left="567" w:right="539"/>
        <w:jc w:val="both"/>
        <w:rPr>
          <w:rFonts w:ascii="Palatino Linotype" w:hAnsi="Palatino Linotype" w:cs="Tahoma"/>
          <w:i/>
          <w:sz w:val="22"/>
          <w:szCs w:val="22"/>
        </w:rPr>
      </w:pPr>
      <w:r>
        <w:rPr>
          <w:rFonts w:ascii="Palatino Linotype" w:hAnsi="Palatino Linotype" w:cs="Tahoma"/>
          <w:i/>
          <w:sz w:val="22"/>
          <w:szCs w:val="22"/>
        </w:rPr>
        <w:t>…”</w:t>
      </w:r>
    </w:p>
    <w:p w14:paraId="237F1AF9" w14:textId="77777777" w:rsidR="00935574" w:rsidRDefault="00935574" w:rsidP="00544E9C">
      <w:pPr>
        <w:autoSpaceDE w:val="0"/>
        <w:autoSpaceDN w:val="0"/>
        <w:adjustRightInd w:val="0"/>
        <w:spacing w:line="360" w:lineRule="auto"/>
        <w:ind w:right="539"/>
        <w:jc w:val="both"/>
        <w:rPr>
          <w:rFonts w:ascii="Palatino Linotype" w:hAnsi="Palatino Linotype" w:cs="Tahoma"/>
          <w:sz w:val="22"/>
          <w:szCs w:val="22"/>
        </w:rPr>
      </w:pPr>
    </w:p>
    <w:p w14:paraId="5E3A7EEC" w14:textId="77777777" w:rsidR="00971405" w:rsidRPr="00310E01" w:rsidRDefault="00971405" w:rsidP="00971405">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Por lo que respecta al archivo identificado como </w:t>
      </w:r>
      <w:r w:rsidRPr="00310E01">
        <w:rPr>
          <w:rFonts w:ascii="Palatino Linotype" w:hAnsi="Palatino Linotype" w:cs="Tahoma"/>
          <w:b/>
          <w:sz w:val="22"/>
          <w:szCs w:val="22"/>
        </w:rPr>
        <w:t>00142_ATIZARA_IP_2019.pdf</w:t>
      </w:r>
      <w:r>
        <w:rPr>
          <w:rFonts w:ascii="Palatino Linotype" w:hAnsi="Palatino Linotype" w:cs="Tahoma"/>
          <w:sz w:val="22"/>
          <w:szCs w:val="22"/>
        </w:rPr>
        <w:t>, corresponde a un Listado de Personal</w:t>
      </w:r>
      <w:r w:rsidR="00310E01">
        <w:rPr>
          <w:rFonts w:ascii="Palatino Linotype" w:hAnsi="Palatino Linotype" w:cs="Tahoma"/>
          <w:sz w:val="22"/>
          <w:szCs w:val="22"/>
        </w:rPr>
        <w:t xml:space="preserve"> del Ayuntamiento de Atizapán de Zaragoza</w:t>
      </w:r>
      <w:r>
        <w:rPr>
          <w:rFonts w:ascii="Palatino Linotype" w:hAnsi="Palatino Linotype" w:cs="Tahoma"/>
          <w:sz w:val="22"/>
          <w:szCs w:val="22"/>
        </w:rPr>
        <w:t xml:space="preserve"> correspondiente a</w:t>
      </w:r>
      <w:r w:rsidR="00310E01">
        <w:rPr>
          <w:rFonts w:ascii="Palatino Linotype" w:hAnsi="Palatino Linotype" w:cs="Tahoma"/>
          <w:sz w:val="22"/>
          <w:szCs w:val="22"/>
        </w:rPr>
        <w:t xml:space="preserve"> la primera quincena de febrero y por último el archivo identificado como </w:t>
      </w:r>
      <w:r w:rsidR="00310E01" w:rsidRPr="00310E01">
        <w:rPr>
          <w:rFonts w:ascii="Palatino Linotype" w:hAnsi="Palatino Linotype" w:cs="Tahoma"/>
          <w:b/>
          <w:sz w:val="22"/>
          <w:szCs w:val="22"/>
        </w:rPr>
        <w:t>Acuerdo Info Reservada Nomina Seguridad Publica.pdf</w:t>
      </w:r>
      <w:r w:rsidR="00310E01">
        <w:rPr>
          <w:rFonts w:ascii="Palatino Linotype" w:hAnsi="Palatino Linotype" w:cs="Tahoma"/>
          <w:b/>
          <w:sz w:val="22"/>
          <w:szCs w:val="22"/>
        </w:rPr>
        <w:t xml:space="preserve">, </w:t>
      </w:r>
      <w:r w:rsidR="00310E01">
        <w:rPr>
          <w:rFonts w:ascii="Palatino Linotype" w:hAnsi="Palatino Linotype" w:cs="Tahoma"/>
          <w:sz w:val="22"/>
          <w:szCs w:val="22"/>
        </w:rPr>
        <w:t xml:space="preserve">corresponde al Acuerdo </w:t>
      </w:r>
      <w:r w:rsidR="00310E01" w:rsidRPr="00310E01">
        <w:rPr>
          <w:rFonts w:ascii="Palatino Linotype" w:hAnsi="Palatino Linotype" w:cs="Tahoma"/>
          <w:sz w:val="22"/>
          <w:szCs w:val="22"/>
        </w:rPr>
        <w:t>CIR/27/03/XLIII/25/05/2018</w:t>
      </w:r>
      <w:r w:rsidR="00310E01">
        <w:rPr>
          <w:rFonts w:ascii="Palatino Linotype" w:hAnsi="Palatino Linotype" w:cs="Tahoma"/>
          <w:sz w:val="22"/>
          <w:szCs w:val="22"/>
        </w:rPr>
        <w:t xml:space="preserve"> del Comité de Transparencia de Atizapán de Zaragoza, Estado de México, expedido en la Cuadragésima Tercera Sesión de carácter ordinaria de fecha 25 de mayo de 2018.</w:t>
      </w:r>
    </w:p>
    <w:p w14:paraId="052413FB" w14:textId="77777777" w:rsidR="00971405" w:rsidRDefault="00971405" w:rsidP="00544E9C">
      <w:pPr>
        <w:autoSpaceDE w:val="0"/>
        <w:autoSpaceDN w:val="0"/>
        <w:adjustRightInd w:val="0"/>
        <w:spacing w:line="360" w:lineRule="auto"/>
        <w:ind w:right="539"/>
        <w:jc w:val="both"/>
        <w:rPr>
          <w:rFonts w:ascii="Palatino Linotype" w:hAnsi="Palatino Linotype" w:cs="Tahoma"/>
          <w:i/>
          <w:szCs w:val="22"/>
        </w:rPr>
      </w:pPr>
    </w:p>
    <w:p w14:paraId="541F3B68" w14:textId="77777777" w:rsidR="00587F23" w:rsidRPr="00985849" w:rsidRDefault="00D95C7A" w:rsidP="00544E9C">
      <w:pPr>
        <w:autoSpaceDE w:val="0"/>
        <w:autoSpaceDN w:val="0"/>
        <w:adjustRightInd w:val="0"/>
        <w:spacing w:line="360" w:lineRule="auto"/>
        <w:ind w:right="539"/>
        <w:jc w:val="both"/>
        <w:rPr>
          <w:rFonts w:ascii="Palatino Linotype" w:hAnsi="Palatino Linotype" w:cs="Tahoma"/>
          <w:b/>
          <w:sz w:val="22"/>
          <w:szCs w:val="22"/>
        </w:rPr>
      </w:pPr>
      <w:r w:rsidRPr="00985849">
        <w:rPr>
          <w:rFonts w:ascii="Palatino Linotype" w:hAnsi="Palatino Linotype" w:cs="Tahoma"/>
          <w:b/>
          <w:sz w:val="22"/>
          <w:szCs w:val="22"/>
        </w:rPr>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C459A9" w:rsidRPr="00985849">
        <w:rPr>
          <w:rFonts w:ascii="Palatino Linotype" w:hAnsi="Palatino Linotype" w:cs="Tahoma"/>
          <w:b/>
          <w:sz w:val="22"/>
          <w:szCs w:val="22"/>
        </w:rPr>
        <w:t xml:space="preserve"> del Recurso de R</w:t>
      </w:r>
      <w:r w:rsidR="00C25238" w:rsidRPr="00985849">
        <w:rPr>
          <w:rFonts w:ascii="Palatino Linotype" w:hAnsi="Palatino Linotype" w:cs="Tahoma"/>
          <w:b/>
          <w:sz w:val="22"/>
          <w:szCs w:val="22"/>
        </w:rPr>
        <w:t xml:space="preserve">evisión. </w:t>
      </w:r>
    </w:p>
    <w:p w14:paraId="4D36D999" w14:textId="77777777" w:rsidR="00587F23" w:rsidRPr="00985849" w:rsidRDefault="00587F23" w:rsidP="00544E9C">
      <w:pPr>
        <w:autoSpaceDE w:val="0"/>
        <w:autoSpaceDN w:val="0"/>
        <w:adjustRightInd w:val="0"/>
        <w:spacing w:line="360" w:lineRule="auto"/>
        <w:jc w:val="both"/>
        <w:rPr>
          <w:rFonts w:ascii="Palatino Linotype" w:hAnsi="Palatino Linotype" w:cs="Tahoma"/>
          <w:b/>
          <w:sz w:val="22"/>
          <w:szCs w:val="22"/>
        </w:rPr>
      </w:pPr>
    </w:p>
    <w:p w14:paraId="4C46B419" w14:textId="77777777" w:rsidR="00264223" w:rsidRPr="00985849" w:rsidRDefault="006C1B1D" w:rsidP="00544E9C">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A9024A" w:rsidRPr="00985849">
        <w:rPr>
          <w:rFonts w:ascii="Palatino Linotype" w:hAnsi="Palatino Linotype" w:cs="Tahoma"/>
          <w:sz w:val="22"/>
          <w:szCs w:val="22"/>
        </w:rPr>
        <w:t xml:space="preserve">fecha </w:t>
      </w:r>
      <w:r w:rsidR="00310E01">
        <w:rPr>
          <w:rFonts w:ascii="Palatino Linotype" w:hAnsi="Palatino Linotype" w:cs="Tahoma"/>
          <w:sz w:val="22"/>
          <w:szCs w:val="22"/>
        </w:rPr>
        <w:t xml:space="preserve">cuatro de marzo </w:t>
      </w:r>
      <w:r w:rsidR="00935574">
        <w:rPr>
          <w:rFonts w:ascii="Palatino Linotype" w:hAnsi="Palatino Linotype" w:cs="Tahoma"/>
          <w:sz w:val="22"/>
          <w:szCs w:val="22"/>
        </w:rPr>
        <w:t>de dos mil diecinueve</w:t>
      </w:r>
      <w:r w:rsidR="00C25238" w:rsidRPr="00985849">
        <w:rPr>
          <w:rFonts w:ascii="Palatino Linotype" w:hAnsi="Palatino Linotype" w:cs="Tahoma"/>
          <w:sz w:val="22"/>
          <w:szCs w:val="22"/>
        </w:rPr>
        <w:t xml:space="preserve">, se recibió 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Pr="00985849">
        <w:rPr>
          <w:rFonts w:ascii="Palatino Linotype" w:hAnsi="Palatino Linotype" w:cs="Tahoma"/>
          <w:sz w:val="22"/>
          <w:szCs w:val="22"/>
        </w:rPr>
        <w:t>, el Recurso de R</w:t>
      </w:r>
      <w:r w:rsidR="00C25238"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 xml:space="preserve">el </w:t>
      </w:r>
      <w:r w:rsidR="00D7242C" w:rsidRPr="00985849">
        <w:rPr>
          <w:rFonts w:ascii="Palatino Linotype" w:hAnsi="Palatino Linotype" w:cs="Tahoma"/>
          <w:sz w:val="22"/>
          <w:szCs w:val="22"/>
        </w:rPr>
        <w:t>Particular</w:t>
      </w:r>
      <w:r w:rsidR="00C25238" w:rsidRPr="00985849">
        <w:rPr>
          <w:rFonts w:ascii="Palatino Linotype" w:hAnsi="Palatino Linotype" w:cs="Tahoma"/>
          <w:sz w:val="22"/>
          <w:szCs w:val="22"/>
        </w:rPr>
        <w:t xml:space="preserve">, en contra de la respuesta </w:t>
      </w:r>
      <w:r w:rsidR="00587F23" w:rsidRPr="00985849">
        <w:rPr>
          <w:rFonts w:ascii="Palatino Linotype" w:hAnsi="Palatino Linotype" w:cs="Tahoma"/>
          <w:sz w:val="22"/>
          <w:szCs w:val="22"/>
        </w:rPr>
        <w:t xml:space="preserve">del </w:t>
      </w:r>
      <w:r w:rsidR="00956793">
        <w:rPr>
          <w:rFonts w:ascii="Palatino Linotype" w:hAnsi="Palatino Linotype" w:cs="Tahoma"/>
          <w:sz w:val="22"/>
          <w:szCs w:val="22"/>
        </w:rPr>
        <w:t>Sujeto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14:paraId="4F78040A" w14:textId="77777777" w:rsidR="00264223" w:rsidRDefault="00264223" w:rsidP="00544E9C">
      <w:pPr>
        <w:autoSpaceDE w:val="0"/>
        <w:autoSpaceDN w:val="0"/>
        <w:adjustRightInd w:val="0"/>
        <w:spacing w:line="360" w:lineRule="auto"/>
        <w:jc w:val="both"/>
        <w:rPr>
          <w:rFonts w:ascii="Palatino Linotype" w:hAnsi="Palatino Linotype" w:cs="Tahoma"/>
          <w:sz w:val="22"/>
          <w:szCs w:val="22"/>
        </w:rPr>
      </w:pPr>
    </w:p>
    <w:p w14:paraId="3D5F1062" w14:textId="77777777" w:rsidR="0058624E" w:rsidRPr="00985849" w:rsidRDefault="0058624E" w:rsidP="00544E9C">
      <w:pPr>
        <w:autoSpaceDE w:val="0"/>
        <w:autoSpaceDN w:val="0"/>
        <w:adjustRightInd w:val="0"/>
        <w:spacing w:line="360" w:lineRule="auto"/>
        <w:jc w:val="both"/>
        <w:rPr>
          <w:rFonts w:ascii="Palatino Linotype" w:hAnsi="Palatino Linotype" w:cs="Tahoma"/>
          <w:sz w:val="22"/>
          <w:szCs w:val="22"/>
        </w:rPr>
      </w:pPr>
    </w:p>
    <w:p w14:paraId="4A3FCF1F" w14:textId="77777777" w:rsidR="00C25238" w:rsidRPr="00985849" w:rsidRDefault="00C25238" w:rsidP="00544E9C">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lastRenderedPageBreak/>
        <w:t>ACTO IMPUGNADO</w:t>
      </w:r>
    </w:p>
    <w:p w14:paraId="0CF9A9CA" w14:textId="77777777" w:rsidR="00CD3A5D" w:rsidRPr="00935574" w:rsidRDefault="00310E01" w:rsidP="00544E9C">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310E01">
        <w:rPr>
          <w:rFonts w:ascii="Palatino Linotype" w:hAnsi="Palatino Linotype" w:cs="Tahoma"/>
          <w:i/>
        </w:rPr>
        <w:t>RESPUESTA DE LA AUTORIDAD</w:t>
      </w:r>
      <w:r w:rsidR="00B727C5" w:rsidRPr="00935574">
        <w:rPr>
          <w:rFonts w:ascii="Palatino Linotype" w:hAnsi="Palatino Linotype" w:cs="Tahoma"/>
          <w:i/>
        </w:rPr>
        <w:t>”</w:t>
      </w:r>
    </w:p>
    <w:p w14:paraId="60F34F78" w14:textId="77777777" w:rsidR="000313A7" w:rsidRPr="00985849" w:rsidRDefault="000313A7" w:rsidP="00544E9C">
      <w:pPr>
        <w:autoSpaceDE w:val="0"/>
        <w:autoSpaceDN w:val="0"/>
        <w:adjustRightInd w:val="0"/>
        <w:spacing w:line="360" w:lineRule="auto"/>
        <w:ind w:left="567" w:right="567"/>
        <w:jc w:val="both"/>
        <w:rPr>
          <w:rFonts w:ascii="Palatino Linotype" w:hAnsi="Palatino Linotype" w:cs="Tahoma"/>
          <w:sz w:val="22"/>
          <w:szCs w:val="22"/>
        </w:rPr>
      </w:pPr>
    </w:p>
    <w:p w14:paraId="713CAB6C" w14:textId="77777777" w:rsidR="00C25238" w:rsidRPr="00985849" w:rsidRDefault="00C25238" w:rsidP="00544E9C">
      <w:pPr>
        <w:autoSpaceDE w:val="0"/>
        <w:autoSpaceDN w:val="0"/>
        <w:adjustRightInd w:val="0"/>
        <w:spacing w:line="360" w:lineRule="auto"/>
        <w:ind w:left="567" w:right="567"/>
        <w:jc w:val="both"/>
        <w:rPr>
          <w:rFonts w:ascii="Palatino Linotype" w:hAnsi="Palatino Linotype" w:cs="Tahoma"/>
          <w:b/>
          <w:sz w:val="22"/>
          <w:szCs w:val="22"/>
        </w:rPr>
      </w:pPr>
      <w:r w:rsidRPr="00985849">
        <w:rPr>
          <w:rFonts w:ascii="Palatino Linotype" w:hAnsi="Palatino Linotype" w:cs="Tahoma"/>
          <w:b/>
          <w:sz w:val="22"/>
          <w:szCs w:val="22"/>
        </w:rPr>
        <w:t>RAZONES O MOTIVOS DE LA INCONFORMIDAD</w:t>
      </w:r>
    </w:p>
    <w:p w14:paraId="3F893F9A" w14:textId="77777777" w:rsidR="00264223" w:rsidRPr="00935574" w:rsidRDefault="00310E01" w:rsidP="00544E9C">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310E01">
        <w:rPr>
          <w:rFonts w:ascii="Palatino Linotype" w:hAnsi="Palatino Linotype" w:cs="Tahoma"/>
          <w:i/>
        </w:rPr>
        <w:t>SE NIEGAN A OTORGAR LA INFORMACIÓN SOLICITADA</w:t>
      </w:r>
      <w:r w:rsidR="00B727C5" w:rsidRPr="00935574">
        <w:rPr>
          <w:rFonts w:ascii="Palatino Linotype" w:hAnsi="Palatino Linotype" w:cs="Tahoma"/>
          <w:i/>
        </w:rPr>
        <w:t>”</w:t>
      </w:r>
      <w:r w:rsidR="006C1B1D" w:rsidRPr="00935574">
        <w:rPr>
          <w:rFonts w:ascii="Palatino Linotype" w:hAnsi="Palatino Linotype" w:cs="Tahoma"/>
          <w:i/>
        </w:rPr>
        <w:t xml:space="preserve"> (Sic.)</w:t>
      </w:r>
    </w:p>
    <w:p w14:paraId="0F59CA0B" w14:textId="77777777" w:rsidR="00D7242C" w:rsidRDefault="00D7242C" w:rsidP="00544E9C">
      <w:pPr>
        <w:spacing w:line="360" w:lineRule="auto"/>
        <w:jc w:val="both"/>
        <w:rPr>
          <w:rFonts w:ascii="Palatino Linotype" w:hAnsi="Palatino Linotype" w:cs="Tahoma"/>
          <w:b/>
          <w:sz w:val="22"/>
          <w:szCs w:val="22"/>
        </w:rPr>
      </w:pPr>
    </w:p>
    <w:p w14:paraId="02A8CC56" w14:textId="77777777" w:rsidR="00B31222" w:rsidRDefault="0096693C" w:rsidP="00544E9C">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20B3A588" w14:textId="77777777" w:rsidR="00D7242C" w:rsidRDefault="00D7242C" w:rsidP="00544E9C">
      <w:pPr>
        <w:spacing w:line="360" w:lineRule="auto"/>
        <w:jc w:val="both"/>
        <w:rPr>
          <w:rFonts w:ascii="Palatino Linotype" w:eastAsia="Batang" w:hAnsi="Palatino Linotype" w:cs="Tahoma"/>
          <w:b/>
          <w:bCs/>
          <w:sz w:val="22"/>
          <w:szCs w:val="22"/>
        </w:rPr>
      </w:pPr>
    </w:p>
    <w:p w14:paraId="26E22548" w14:textId="77777777" w:rsidR="00B31222" w:rsidRPr="00985849" w:rsidRDefault="00A90F9B" w:rsidP="00544E9C">
      <w:pPr>
        <w:spacing w:line="360" w:lineRule="auto"/>
        <w:jc w:val="both"/>
        <w:rPr>
          <w:rFonts w:ascii="Palatino Linotype" w:eastAsia="Batang" w:hAnsi="Palatino Linotype" w:cs="Tahoma"/>
          <w:bCs/>
          <w:sz w:val="22"/>
          <w:szCs w:val="22"/>
        </w:rPr>
      </w:pPr>
      <w:r w:rsidRPr="00985849">
        <w:rPr>
          <w:rFonts w:ascii="Palatino Linotype" w:eastAsia="Batang" w:hAnsi="Palatino Linotype" w:cs="Tahoma"/>
          <w:b/>
          <w:bCs/>
          <w:sz w:val="22"/>
          <w:szCs w:val="22"/>
        </w:rPr>
        <w:t xml:space="preserve">a) </w:t>
      </w:r>
      <w:r w:rsidR="00B31222" w:rsidRPr="00985849">
        <w:rPr>
          <w:rFonts w:ascii="Palatino Linotype" w:eastAsia="Batang" w:hAnsi="Palatino Linotype" w:cs="Tahoma"/>
          <w:b/>
          <w:bCs/>
          <w:sz w:val="22"/>
          <w:szCs w:val="22"/>
        </w:rPr>
        <w:t xml:space="preserve">Turno del </w:t>
      </w:r>
      <w:r w:rsidR="00C459A9"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rPr>
        <w:t>.</w:t>
      </w:r>
      <w:r w:rsidR="00A9024A" w:rsidRPr="00985849">
        <w:rPr>
          <w:rFonts w:ascii="Palatino Linotype" w:eastAsia="Batang" w:hAnsi="Palatino Linotype" w:cs="Tahoma"/>
          <w:b/>
          <w:bCs/>
          <w:sz w:val="22"/>
          <w:szCs w:val="22"/>
        </w:rPr>
        <w:t xml:space="preserve"> </w:t>
      </w:r>
      <w:r w:rsidR="00E573C6" w:rsidRPr="00985849">
        <w:rPr>
          <w:rFonts w:ascii="Palatino Linotype" w:eastAsia="Batang" w:hAnsi="Palatino Linotype" w:cs="Tahoma"/>
          <w:bCs/>
          <w:sz w:val="22"/>
          <w:szCs w:val="22"/>
        </w:rPr>
        <w:t>Con fecha</w:t>
      </w:r>
      <w:r w:rsidR="00A9024A" w:rsidRPr="00985849">
        <w:rPr>
          <w:rFonts w:ascii="Palatino Linotype" w:eastAsia="Batang" w:hAnsi="Palatino Linotype" w:cs="Tahoma"/>
          <w:bCs/>
          <w:sz w:val="22"/>
          <w:szCs w:val="22"/>
        </w:rPr>
        <w:t xml:space="preserve"> </w:t>
      </w:r>
      <w:r w:rsidR="00310E01">
        <w:rPr>
          <w:rFonts w:ascii="Palatino Linotype" w:eastAsia="Batang" w:hAnsi="Palatino Linotype" w:cs="Tahoma"/>
          <w:bCs/>
          <w:sz w:val="22"/>
          <w:szCs w:val="22"/>
        </w:rPr>
        <w:t xml:space="preserve">cuatro de marzo </w:t>
      </w:r>
      <w:r w:rsidR="00935574">
        <w:rPr>
          <w:rFonts w:ascii="Palatino Linotype" w:eastAsia="Batang" w:hAnsi="Palatino Linotype" w:cs="Tahoma"/>
          <w:bCs/>
          <w:sz w:val="22"/>
          <w:szCs w:val="22"/>
        </w:rPr>
        <w:t>de dos mil diecinueve</w:t>
      </w:r>
      <w:r w:rsidR="00B31222" w:rsidRPr="00985849">
        <w:rPr>
          <w:rFonts w:ascii="Palatino Linotype" w:eastAsia="Batang" w:hAnsi="Palatino Linotype" w:cs="Tahoma"/>
          <w:bCs/>
          <w:sz w:val="22"/>
          <w:szCs w:val="22"/>
        </w:rPr>
        <w:t>, e</w:t>
      </w:r>
      <w:r w:rsidR="001F78D9" w:rsidRPr="00985849">
        <w:rPr>
          <w:rFonts w:ascii="Palatino Linotype" w:eastAsia="Batang" w:hAnsi="Palatino Linotype" w:cs="Tahoma"/>
          <w:bCs/>
          <w:sz w:val="22"/>
          <w:szCs w:val="22"/>
        </w:rPr>
        <w:t>l</w:t>
      </w:r>
      <w:r w:rsidR="00A9024A" w:rsidRPr="00985849">
        <w:rPr>
          <w:rFonts w:ascii="Palatino Linotype" w:eastAsia="Batang" w:hAnsi="Palatino Linotype" w:cs="Tahoma"/>
          <w:bCs/>
          <w:sz w:val="22"/>
          <w:szCs w:val="22"/>
        </w:rPr>
        <w:t xml:space="preserve"> </w:t>
      </w:r>
      <w:r w:rsidR="001F78D9" w:rsidRPr="00985849">
        <w:rPr>
          <w:rFonts w:ascii="Palatino Linotype" w:hAnsi="Palatino Linotype" w:cs="Tahoma"/>
          <w:sz w:val="22"/>
          <w:szCs w:val="22"/>
          <w:lang w:val="es-ES"/>
        </w:rPr>
        <w:t>Sistema de Acceso a la Información Mexiquense (SAIMEX),</w:t>
      </w:r>
      <w:r w:rsidR="00B31222" w:rsidRPr="00985849">
        <w:rPr>
          <w:rFonts w:ascii="Palatino Linotype" w:eastAsia="Batang" w:hAnsi="Palatino Linotype" w:cs="Tahoma"/>
          <w:bCs/>
          <w:sz w:val="22"/>
          <w:szCs w:val="22"/>
        </w:rPr>
        <w:t xml:space="preserve"> asignó el número de expediente </w:t>
      </w:r>
      <w:r w:rsidR="00A9024A" w:rsidRPr="00985849">
        <w:rPr>
          <w:rFonts w:ascii="Palatino Linotype" w:eastAsia="Batang" w:hAnsi="Palatino Linotype" w:cs="Tahoma"/>
          <w:b/>
          <w:bCs/>
          <w:sz w:val="22"/>
          <w:szCs w:val="22"/>
        </w:rPr>
        <w:t>0</w:t>
      </w:r>
      <w:r w:rsidR="00935574">
        <w:rPr>
          <w:rFonts w:ascii="Palatino Linotype" w:eastAsia="Batang" w:hAnsi="Palatino Linotype" w:cs="Tahoma"/>
          <w:b/>
          <w:bCs/>
          <w:sz w:val="22"/>
          <w:szCs w:val="22"/>
        </w:rPr>
        <w:t>1</w:t>
      </w:r>
      <w:r w:rsidR="00310E01">
        <w:rPr>
          <w:rFonts w:ascii="Palatino Linotype" w:eastAsia="Batang" w:hAnsi="Palatino Linotype" w:cs="Tahoma"/>
          <w:b/>
          <w:bCs/>
          <w:sz w:val="22"/>
          <w:szCs w:val="22"/>
        </w:rPr>
        <w:t>22</w:t>
      </w:r>
      <w:r w:rsidR="00935574">
        <w:rPr>
          <w:rFonts w:ascii="Palatino Linotype" w:eastAsia="Batang" w:hAnsi="Palatino Linotype" w:cs="Tahoma"/>
          <w:b/>
          <w:bCs/>
          <w:sz w:val="22"/>
          <w:szCs w:val="22"/>
        </w:rPr>
        <w:t>6</w:t>
      </w:r>
      <w:r w:rsidR="000313A7" w:rsidRPr="00985849">
        <w:rPr>
          <w:rFonts w:ascii="Palatino Linotype" w:eastAsia="Batang" w:hAnsi="Palatino Linotype" w:cs="Tahoma"/>
          <w:b/>
          <w:bCs/>
          <w:sz w:val="22"/>
          <w:szCs w:val="22"/>
        </w:rPr>
        <w:t>/INFOEM/IP/RR/201</w:t>
      </w:r>
      <w:r w:rsidR="00935574">
        <w:rPr>
          <w:rFonts w:ascii="Palatino Linotype" w:eastAsia="Batang" w:hAnsi="Palatino Linotype" w:cs="Tahoma"/>
          <w:b/>
          <w:bCs/>
          <w:sz w:val="22"/>
          <w:szCs w:val="22"/>
        </w:rPr>
        <w:t>9</w:t>
      </w:r>
      <w:r w:rsidR="001F78D9" w:rsidRPr="00985849">
        <w:rPr>
          <w:rFonts w:ascii="Palatino Linotype" w:eastAsia="Batang" w:hAnsi="Palatino Linotype" w:cs="Tahoma"/>
          <w:b/>
          <w:bCs/>
          <w:sz w:val="22"/>
          <w:szCs w:val="22"/>
        </w:rPr>
        <w:t>,</w:t>
      </w:r>
      <w:r w:rsidR="00E70503"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Cs/>
          <w:sz w:val="22"/>
          <w:szCs w:val="22"/>
        </w:rPr>
        <w:t xml:space="preserve">al </w:t>
      </w:r>
      <w:r w:rsidR="00C459A9" w:rsidRPr="00985849">
        <w:rPr>
          <w:rFonts w:ascii="Palatino Linotype" w:eastAsia="Batang" w:hAnsi="Palatino Linotype" w:cs="Tahoma"/>
          <w:bCs/>
          <w:sz w:val="22"/>
          <w:szCs w:val="22"/>
        </w:rPr>
        <w:t xml:space="preserve">medio de impugnación </w:t>
      </w:r>
      <w:r w:rsidR="00A854FF" w:rsidRPr="00985849">
        <w:rPr>
          <w:rFonts w:ascii="Palatino Linotype" w:eastAsia="Batang" w:hAnsi="Palatino Linotype" w:cs="Tahoma"/>
          <w:bCs/>
          <w:sz w:val="22"/>
          <w:szCs w:val="22"/>
        </w:rPr>
        <w:t>que nos ocupa</w:t>
      </w:r>
      <w:r w:rsidR="00B31222" w:rsidRPr="00985849">
        <w:rPr>
          <w:rFonts w:ascii="Palatino Linotype" w:eastAsia="Batang" w:hAnsi="Palatino Linotype" w:cs="Tahoma"/>
          <w:bCs/>
          <w:sz w:val="22"/>
          <w:szCs w:val="22"/>
        </w:rPr>
        <w:t xml:space="preserve">, con base en el sistema aprobado por el Pleno de este </w:t>
      </w:r>
      <w:r w:rsidR="00A854FF" w:rsidRPr="00985849">
        <w:rPr>
          <w:rFonts w:ascii="Palatino Linotype" w:eastAsia="Batang" w:hAnsi="Palatino Linotype" w:cs="Tahoma"/>
          <w:bCs/>
          <w:sz w:val="22"/>
          <w:szCs w:val="22"/>
        </w:rPr>
        <w:t>Órgano Garante y</w:t>
      </w:r>
      <w:r w:rsidR="00B31222" w:rsidRPr="00985849">
        <w:rPr>
          <w:rFonts w:ascii="Palatino Linotype" w:eastAsia="Batang" w:hAnsi="Palatino Linotype" w:cs="Tahoma"/>
          <w:bCs/>
          <w:sz w:val="22"/>
          <w:szCs w:val="22"/>
        </w:rPr>
        <w:t xml:space="preserve"> lo turnó a</w:t>
      </w:r>
      <w:r w:rsidR="00625DFB" w:rsidRPr="00985849">
        <w:rPr>
          <w:rFonts w:ascii="Palatino Linotype" w:eastAsia="Batang" w:hAnsi="Palatino Linotype" w:cs="Tahoma"/>
          <w:bCs/>
          <w:sz w:val="22"/>
          <w:szCs w:val="22"/>
        </w:rPr>
        <w:t>l Comisionado Ponente</w:t>
      </w:r>
      <w:r w:rsidR="00A9024A" w:rsidRPr="00985849">
        <w:rPr>
          <w:rFonts w:ascii="Palatino Linotype" w:eastAsia="Batang" w:hAnsi="Palatino Linotype" w:cs="Tahoma"/>
          <w:bCs/>
          <w:sz w:val="22"/>
          <w:szCs w:val="22"/>
        </w:rPr>
        <w:t xml:space="preserve"> </w:t>
      </w:r>
      <w:r w:rsidR="00A854FF" w:rsidRPr="00985849">
        <w:rPr>
          <w:rFonts w:ascii="Palatino Linotype" w:eastAsia="Batang" w:hAnsi="Palatino Linotype" w:cs="Tahoma"/>
          <w:b/>
          <w:bCs/>
          <w:sz w:val="22"/>
          <w:szCs w:val="22"/>
        </w:rPr>
        <w:t>Luis Gustavo Parra Noriega</w:t>
      </w:r>
      <w:r w:rsidR="00B31222" w:rsidRPr="00985849">
        <w:rPr>
          <w:rFonts w:ascii="Palatino Linotype" w:eastAsia="Batang" w:hAnsi="Palatino Linotype" w:cs="Tahoma"/>
          <w:bCs/>
          <w:sz w:val="22"/>
          <w:szCs w:val="22"/>
        </w:rPr>
        <w:t xml:space="preserve">, para los efectos del artículo </w:t>
      </w:r>
      <w:r w:rsidR="00625DFB" w:rsidRPr="00985849">
        <w:rPr>
          <w:rFonts w:ascii="Palatino Linotype" w:eastAsia="Batang" w:hAnsi="Palatino Linotype" w:cs="Tahoma"/>
          <w:bCs/>
          <w:sz w:val="22"/>
          <w:szCs w:val="22"/>
        </w:rPr>
        <w:t>185</w:t>
      </w:r>
      <w:r w:rsidR="00B31222" w:rsidRPr="00985849">
        <w:rPr>
          <w:rFonts w:ascii="Palatino Linotype" w:eastAsia="Batang" w:hAnsi="Palatino Linotype" w:cs="Tahoma"/>
          <w:bCs/>
          <w:sz w:val="22"/>
          <w:szCs w:val="22"/>
        </w:rPr>
        <w:t>, fracción I</w:t>
      </w:r>
      <w:r w:rsidR="00B73823">
        <w:rPr>
          <w:rFonts w:ascii="Palatino Linotype" w:eastAsia="Batang" w:hAnsi="Palatino Linotype" w:cs="Tahoma"/>
          <w:bCs/>
          <w:sz w:val="22"/>
          <w:szCs w:val="22"/>
        </w:rPr>
        <w:t>,</w:t>
      </w:r>
      <w:r w:rsidR="00B31222" w:rsidRPr="00985849">
        <w:rPr>
          <w:rFonts w:ascii="Palatino Linotype" w:eastAsia="Batang" w:hAnsi="Palatino Linotype" w:cs="Tahoma"/>
          <w:bCs/>
          <w:sz w:val="22"/>
          <w:szCs w:val="22"/>
        </w:rPr>
        <w:t xml:space="preserve"> de la </w:t>
      </w:r>
      <w:r w:rsidR="00625DFB" w:rsidRPr="00985849">
        <w:rPr>
          <w:rFonts w:ascii="Palatino Linotype" w:eastAsia="Batang" w:hAnsi="Palatino Linotype" w:cs="Tahoma"/>
          <w:bCs/>
          <w:sz w:val="22"/>
          <w:szCs w:val="22"/>
        </w:rPr>
        <w:t>Ley de Transparencia y Acceso a la Información Pública del Estado de México y Municipios</w:t>
      </w:r>
      <w:r w:rsidR="00B31222" w:rsidRPr="00985849">
        <w:rPr>
          <w:rFonts w:ascii="Palatino Linotype" w:eastAsia="Batang" w:hAnsi="Palatino Linotype" w:cs="Tahoma"/>
          <w:bCs/>
          <w:sz w:val="22"/>
          <w:szCs w:val="22"/>
        </w:rPr>
        <w:t>.</w:t>
      </w:r>
    </w:p>
    <w:p w14:paraId="4CBD0197" w14:textId="77777777" w:rsidR="00B31222" w:rsidRPr="00985849" w:rsidRDefault="00B31222" w:rsidP="00544E9C">
      <w:pPr>
        <w:spacing w:line="360" w:lineRule="auto"/>
        <w:jc w:val="both"/>
        <w:rPr>
          <w:rFonts w:ascii="Palatino Linotype" w:eastAsia="Batang" w:hAnsi="Palatino Linotype" w:cs="Tahoma"/>
          <w:b/>
          <w:bCs/>
          <w:sz w:val="22"/>
          <w:szCs w:val="22"/>
        </w:rPr>
      </w:pPr>
    </w:p>
    <w:p w14:paraId="09F2CDCF" w14:textId="77777777" w:rsidR="0038239F" w:rsidRDefault="00625DFB" w:rsidP="00544E9C">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b</w:t>
      </w:r>
      <w:r w:rsidR="009F46DC"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
          <w:bCs/>
          <w:sz w:val="22"/>
          <w:szCs w:val="22"/>
        </w:rPr>
        <w:t xml:space="preserve">Admisión del </w:t>
      </w:r>
      <w:r w:rsidR="00C459A9" w:rsidRPr="00985849">
        <w:rPr>
          <w:rFonts w:ascii="Palatino Linotype" w:hAnsi="Palatino Linotype" w:cs="Tahoma"/>
          <w:b/>
          <w:sz w:val="22"/>
          <w:szCs w:val="22"/>
        </w:rPr>
        <w:t>Recurso de Revisión</w:t>
      </w:r>
      <w:r w:rsidR="00B31222" w:rsidRPr="00985849">
        <w:rPr>
          <w:rFonts w:ascii="Palatino Linotype" w:eastAsia="Batang" w:hAnsi="Palatino Linotype" w:cs="Tahoma"/>
          <w:b/>
          <w:bCs/>
          <w:sz w:val="22"/>
          <w:szCs w:val="22"/>
          <w:lang w:val="es-ES_tradnl"/>
        </w:rPr>
        <w:t xml:space="preserve">. </w:t>
      </w:r>
      <w:r w:rsidR="00E573C6" w:rsidRPr="00985849">
        <w:rPr>
          <w:rFonts w:ascii="Palatino Linotype" w:eastAsia="Batang" w:hAnsi="Palatino Linotype" w:cs="Tahoma"/>
          <w:bCs/>
          <w:sz w:val="22"/>
          <w:szCs w:val="22"/>
          <w:lang w:val="es-ES_tradnl"/>
        </w:rPr>
        <w:t>Con fecha</w:t>
      </w:r>
      <w:r w:rsidR="00A9024A" w:rsidRPr="00985849">
        <w:rPr>
          <w:rFonts w:ascii="Palatino Linotype" w:eastAsia="Batang" w:hAnsi="Palatino Linotype" w:cs="Tahoma"/>
          <w:bCs/>
          <w:sz w:val="22"/>
          <w:szCs w:val="22"/>
          <w:lang w:val="es-ES_tradnl"/>
        </w:rPr>
        <w:t xml:space="preserve"> </w:t>
      </w:r>
      <w:r w:rsidR="00B05344">
        <w:rPr>
          <w:rFonts w:ascii="Palatino Linotype" w:eastAsia="Batang" w:hAnsi="Palatino Linotype" w:cs="Tahoma"/>
          <w:bCs/>
          <w:sz w:val="22"/>
          <w:szCs w:val="22"/>
          <w:lang w:val="es-ES_tradnl"/>
        </w:rPr>
        <w:t xml:space="preserve">ocho </w:t>
      </w:r>
      <w:r w:rsidR="008C0D86">
        <w:rPr>
          <w:rFonts w:ascii="Palatino Linotype" w:eastAsia="Batang" w:hAnsi="Palatino Linotype" w:cs="Tahoma"/>
          <w:bCs/>
          <w:sz w:val="22"/>
          <w:szCs w:val="22"/>
          <w:lang w:val="es-ES_tradnl"/>
        </w:rPr>
        <w:t xml:space="preserve">de marzo de dos mil </w:t>
      </w:r>
      <w:r w:rsidR="00986C9A">
        <w:rPr>
          <w:rFonts w:ascii="Palatino Linotype" w:eastAsia="Batang" w:hAnsi="Palatino Linotype" w:cs="Tahoma"/>
          <w:bCs/>
          <w:sz w:val="22"/>
          <w:szCs w:val="22"/>
          <w:lang w:val="es-ES_tradnl"/>
        </w:rPr>
        <w:t>diecinueve</w:t>
      </w:r>
      <w:r w:rsidR="00B31222" w:rsidRPr="00985849">
        <w:rPr>
          <w:rFonts w:ascii="Palatino Linotype" w:eastAsia="Batang" w:hAnsi="Palatino Linotype" w:cs="Tahoma"/>
          <w:bCs/>
          <w:sz w:val="22"/>
          <w:szCs w:val="22"/>
          <w:lang w:val="es-ES_tradnl"/>
        </w:rPr>
        <w:t xml:space="preserve">, </w:t>
      </w:r>
      <w:r w:rsidR="009F46DC" w:rsidRPr="00985849">
        <w:rPr>
          <w:rFonts w:ascii="Palatino Linotype" w:hAnsi="Palatino Linotype" w:cs="Tahoma"/>
          <w:sz w:val="22"/>
          <w:szCs w:val="22"/>
        </w:rPr>
        <w:t>se</w:t>
      </w:r>
      <w:r w:rsidR="00A9024A" w:rsidRPr="00985849">
        <w:rPr>
          <w:rFonts w:ascii="Palatino Linotype" w:hAnsi="Palatino Linotype" w:cs="Tahoma"/>
          <w:sz w:val="22"/>
          <w:szCs w:val="22"/>
        </w:rPr>
        <w:t xml:space="preserve"> </w:t>
      </w:r>
      <w:r w:rsidR="009F46DC" w:rsidRPr="00985849">
        <w:rPr>
          <w:rFonts w:ascii="Palatino Linotype" w:eastAsia="Calibri" w:hAnsi="Palatino Linotype" w:cs="Tahoma"/>
          <w:b/>
          <w:sz w:val="22"/>
          <w:szCs w:val="22"/>
          <w:lang w:eastAsia="en-US"/>
        </w:rPr>
        <w:t>acordó la admisión</w:t>
      </w:r>
      <w:r w:rsidR="009F46DC" w:rsidRPr="00985849">
        <w:rPr>
          <w:rFonts w:ascii="Palatino Linotype" w:eastAsia="Calibri" w:hAnsi="Palatino Linotype" w:cs="Tahoma"/>
          <w:sz w:val="22"/>
          <w:szCs w:val="22"/>
          <w:lang w:eastAsia="en-US"/>
        </w:rPr>
        <w:t xml:space="preserve"> de</w:t>
      </w:r>
      <w:r w:rsidR="00C459A9" w:rsidRPr="00985849">
        <w:rPr>
          <w:rFonts w:ascii="Palatino Linotype" w:hAnsi="Palatino Linotype" w:cs="Tahoma"/>
          <w:sz w:val="22"/>
          <w:szCs w:val="22"/>
        </w:rPr>
        <w:t>l Recurso de R</w:t>
      </w:r>
      <w:r w:rsidR="009F46DC"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w:t>
      </w:r>
      <w:r w:rsidR="00E70503" w:rsidRPr="00985849">
        <w:rPr>
          <w:rFonts w:ascii="Palatino Linotype" w:hAnsi="Palatino Linotype" w:cs="Tahoma"/>
          <w:sz w:val="22"/>
          <w:szCs w:val="22"/>
        </w:rPr>
        <w:t xml:space="preserve"> </w:t>
      </w:r>
      <w:r w:rsidR="001F78D9" w:rsidRPr="00985849">
        <w:rPr>
          <w:rFonts w:ascii="Palatino Linotype" w:hAnsi="Palatino Linotype" w:cs="Tahoma"/>
          <w:sz w:val="22"/>
          <w:szCs w:val="22"/>
        </w:rPr>
        <w:t>R</w:t>
      </w:r>
      <w:r w:rsidR="009F46DC" w:rsidRPr="00985849">
        <w:rPr>
          <w:rFonts w:ascii="Palatino Linotype" w:hAnsi="Palatino Linotype" w:cs="Tahoma"/>
          <w:sz w:val="22"/>
          <w:szCs w:val="22"/>
        </w:rPr>
        <w:t xml:space="preserve">ecurrente en contra </w:t>
      </w:r>
      <w:r w:rsidRPr="00985849">
        <w:rPr>
          <w:rFonts w:ascii="Palatino Linotype" w:hAnsi="Palatino Linotype" w:cs="Tahoma"/>
          <w:sz w:val="22"/>
          <w:szCs w:val="22"/>
        </w:rPr>
        <w:t xml:space="preserve">del </w:t>
      </w:r>
      <w:r w:rsidRPr="00985849">
        <w:rPr>
          <w:rFonts w:ascii="Palatino Linotype" w:hAnsi="Palatino Linotype" w:cs="Tahoma"/>
          <w:b/>
          <w:sz w:val="22"/>
          <w:szCs w:val="22"/>
        </w:rPr>
        <w:t xml:space="preserve">Ayuntamiento de </w:t>
      </w:r>
      <w:r w:rsidR="00B05344">
        <w:rPr>
          <w:rFonts w:ascii="Palatino Linotype" w:hAnsi="Palatino Linotype" w:cs="Tahoma"/>
          <w:b/>
          <w:sz w:val="22"/>
          <w:szCs w:val="22"/>
        </w:rPr>
        <w:t>Atizapán de Zaragoza</w:t>
      </w:r>
      <w:r w:rsidR="009F46DC" w:rsidRPr="00985849">
        <w:rPr>
          <w:rFonts w:ascii="Palatino Linotype" w:hAnsi="Palatino Linotype" w:cs="Tahoma"/>
          <w:sz w:val="22"/>
          <w:szCs w:val="22"/>
        </w:rPr>
        <w:t xml:space="preserve">, </w:t>
      </w:r>
      <w:r w:rsidR="00E573C6" w:rsidRPr="00985849">
        <w:rPr>
          <w:rFonts w:ascii="Palatino Linotype" w:hAnsi="Palatino Linotype" w:cs="Tahoma"/>
          <w:bCs/>
          <w:sz w:val="22"/>
          <w:szCs w:val="22"/>
          <w:lang w:val="es-ES"/>
        </w:rPr>
        <w:t xml:space="preserve">la </w:t>
      </w:r>
      <w:r w:rsidR="00E573C6" w:rsidRPr="00D44288">
        <w:rPr>
          <w:rFonts w:ascii="Palatino Linotype" w:hAnsi="Palatino Linotype" w:cs="Tahoma"/>
          <w:bCs/>
          <w:sz w:val="22"/>
          <w:szCs w:val="22"/>
          <w:lang w:val="es-ES"/>
        </w:rPr>
        <w:t>integración del expediente y su puesta a disposición</w:t>
      </w:r>
      <w:r w:rsidR="00E573C6" w:rsidRPr="00985849">
        <w:rPr>
          <w:rFonts w:ascii="Palatino Linotype" w:hAnsi="Palatino Linotype" w:cs="Tahoma"/>
          <w:b/>
          <w:bCs/>
          <w:sz w:val="22"/>
          <w:szCs w:val="22"/>
          <w:lang w:val="es-ES"/>
        </w:rPr>
        <w:t xml:space="preserve"> </w:t>
      </w:r>
      <w:r w:rsidR="00E573C6" w:rsidRPr="00985849">
        <w:rPr>
          <w:rFonts w:ascii="Palatino Linotype" w:hAnsi="Palatino Linotype" w:cs="Tahoma"/>
          <w:bCs/>
          <w:sz w:val="22"/>
          <w:szCs w:val="22"/>
          <w:lang w:val="es-ES"/>
        </w:rPr>
        <w:t>de las partes, en términos del artículo 185, fracciones I y II</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Pr>
          <w:rFonts w:ascii="Palatino Linotype" w:hAnsi="Palatino Linotype" w:cs="Tahoma"/>
          <w:bCs/>
          <w:sz w:val="22"/>
          <w:szCs w:val="22"/>
        </w:rPr>
        <w:t xml:space="preserve"> (SAIMEX)</w:t>
      </w:r>
      <w:r w:rsidR="00E573C6"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985849">
        <w:rPr>
          <w:rFonts w:ascii="Palatino Linotype" w:hAnsi="Palatino Linotype" w:cs="Tahoma"/>
          <w:bCs/>
          <w:sz w:val="22"/>
          <w:szCs w:val="22"/>
          <w:lang w:val="es-ES"/>
        </w:rPr>
        <w:t>en términos del artículo 185, fracción IV</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w:t>
      </w:r>
      <w:r w:rsidR="00681656" w:rsidRPr="00985849">
        <w:rPr>
          <w:rFonts w:ascii="Palatino Linotype" w:hAnsi="Palatino Linotype" w:cs="Tahoma"/>
          <w:bCs/>
          <w:sz w:val="22"/>
          <w:szCs w:val="22"/>
        </w:rPr>
        <w:t>.</w:t>
      </w:r>
    </w:p>
    <w:p w14:paraId="42CE2A68" w14:textId="77777777" w:rsidR="0038239F" w:rsidRDefault="0038239F" w:rsidP="00544E9C">
      <w:pPr>
        <w:spacing w:line="360" w:lineRule="auto"/>
        <w:jc w:val="both"/>
        <w:rPr>
          <w:rFonts w:ascii="Palatino Linotype" w:hAnsi="Palatino Linotype" w:cs="Tahoma"/>
          <w:bCs/>
          <w:sz w:val="22"/>
          <w:szCs w:val="22"/>
        </w:rPr>
      </w:pPr>
    </w:p>
    <w:p w14:paraId="7A3DB810" w14:textId="77777777" w:rsidR="00045AB8" w:rsidRDefault="0038239F" w:rsidP="00017AC4">
      <w:pPr>
        <w:spacing w:line="360" w:lineRule="auto"/>
        <w:jc w:val="both"/>
        <w:rPr>
          <w:rFonts w:ascii="Palatino Linotype" w:hAnsi="Palatino Linotype" w:cs="Tahoma"/>
          <w:bCs/>
          <w:sz w:val="22"/>
          <w:szCs w:val="22"/>
        </w:rPr>
      </w:pPr>
      <w:r w:rsidRPr="00C91795">
        <w:rPr>
          <w:rFonts w:ascii="Palatino Linotype" w:hAnsi="Palatino Linotype" w:cs="Tahoma"/>
          <w:b/>
          <w:bCs/>
          <w:sz w:val="22"/>
          <w:szCs w:val="22"/>
        </w:rPr>
        <w:lastRenderedPageBreak/>
        <w:t xml:space="preserve">c) </w:t>
      </w:r>
      <w:r w:rsidRPr="00A50EAF">
        <w:rPr>
          <w:rFonts w:ascii="Palatino Linotype" w:hAnsi="Palatino Linotype" w:cs="Tahoma"/>
          <w:b/>
          <w:bCs/>
          <w:sz w:val="22"/>
          <w:szCs w:val="22"/>
        </w:rPr>
        <w:t>Informe Justificado.</w:t>
      </w:r>
      <w:r w:rsidRPr="00A50EAF">
        <w:rPr>
          <w:rFonts w:ascii="Palatino Linotype" w:hAnsi="Palatino Linotype" w:cs="Tahoma"/>
          <w:bCs/>
          <w:sz w:val="22"/>
          <w:szCs w:val="22"/>
        </w:rPr>
        <w:t xml:space="preserve"> </w:t>
      </w:r>
      <w:r w:rsidRPr="00A50EAF">
        <w:rPr>
          <w:rFonts w:ascii="Palatino Linotype" w:hAnsi="Palatino Linotype" w:cs="Tahoma"/>
          <w:bCs/>
          <w:sz w:val="22"/>
          <w:szCs w:val="22"/>
          <w:lang w:val="es-ES_tradnl"/>
        </w:rPr>
        <w:t xml:space="preserve">El </w:t>
      </w:r>
      <w:r w:rsidR="00B05344">
        <w:rPr>
          <w:rFonts w:ascii="Palatino Linotype" w:hAnsi="Palatino Linotype" w:cs="Tahoma"/>
          <w:bCs/>
          <w:sz w:val="22"/>
          <w:szCs w:val="22"/>
          <w:lang w:val="es-ES_tradnl"/>
        </w:rPr>
        <w:t xml:space="preserve">trece </w:t>
      </w:r>
      <w:r w:rsidR="008C0D86">
        <w:rPr>
          <w:rFonts w:ascii="Palatino Linotype" w:hAnsi="Palatino Linotype" w:cs="Tahoma"/>
          <w:bCs/>
          <w:sz w:val="22"/>
          <w:szCs w:val="22"/>
          <w:lang w:val="es-ES_tradnl"/>
        </w:rPr>
        <w:t>de marzo de dos mil diecinueve</w:t>
      </w:r>
      <w:r w:rsidRPr="00A50EAF">
        <w:rPr>
          <w:rFonts w:ascii="Palatino Linotype" w:hAnsi="Palatino Linotype" w:cs="Tahoma"/>
          <w:bCs/>
          <w:sz w:val="22"/>
          <w:szCs w:val="22"/>
          <w:lang w:val="es-ES_tradnl"/>
        </w:rPr>
        <w:t xml:space="preserve">, se recibió a través del </w:t>
      </w:r>
      <w:r w:rsidRPr="00A50EAF">
        <w:rPr>
          <w:rFonts w:ascii="Palatino Linotype" w:hAnsi="Palatino Linotype" w:cs="Tahoma"/>
          <w:bCs/>
          <w:sz w:val="22"/>
          <w:szCs w:val="22"/>
          <w:lang w:val="es-ES"/>
        </w:rPr>
        <w:t>Sistema de Acceso a la Información Mexiquense (SAIMEX)</w:t>
      </w:r>
      <w:r w:rsidRPr="00A50EAF">
        <w:rPr>
          <w:rFonts w:ascii="Palatino Linotype" w:hAnsi="Palatino Linotype" w:cs="Tahoma"/>
          <w:bCs/>
          <w:sz w:val="22"/>
          <w:szCs w:val="22"/>
          <w:lang w:val="es-ES_tradnl"/>
        </w:rPr>
        <w:t xml:space="preserve">, </w:t>
      </w:r>
      <w:r w:rsidRPr="00A50EAF">
        <w:rPr>
          <w:rFonts w:ascii="Palatino Linotype" w:hAnsi="Palatino Linotype" w:cs="Tahoma"/>
          <w:bCs/>
          <w:iCs/>
          <w:sz w:val="22"/>
          <w:szCs w:val="22"/>
          <w:lang w:val="es-ES"/>
        </w:rPr>
        <w:t xml:space="preserve">el Informe Justificado respecto del Recurso de Revisión </w:t>
      </w:r>
      <w:r w:rsidRPr="00A50EAF">
        <w:rPr>
          <w:rFonts w:ascii="Palatino Linotype" w:hAnsi="Palatino Linotype" w:cs="Tahoma"/>
          <w:b/>
          <w:bCs/>
          <w:iCs/>
          <w:sz w:val="22"/>
          <w:szCs w:val="22"/>
          <w:lang w:val="es-ES"/>
        </w:rPr>
        <w:t>0</w:t>
      </w:r>
      <w:r w:rsidR="00FC1AF3">
        <w:rPr>
          <w:rFonts w:ascii="Palatino Linotype" w:hAnsi="Palatino Linotype" w:cs="Tahoma"/>
          <w:b/>
          <w:bCs/>
          <w:iCs/>
          <w:sz w:val="22"/>
          <w:szCs w:val="22"/>
          <w:lang w:val="es-ES"/>
        </w:rPr>
        <w:t>1</w:t>
      </w:r>
      <w:r w:rsidR="00017AC4">
        <w:rPr>
          <w:rFonts w:ascii="Palatino Linotype" w:hAnsi="Palatino Linotype" w:cs="Tahoma"/>
          <w:b/>
          <w:bCs/>
          <w:iCs/>
          <w:sz w:val="22"/>
          <w:szCs w:val="22"/>
          <w:lang w:val="es-ES"/>
        </w:rPr>
        <w:t>22</w:t>
      </w:r>
      <w:r w:rsidR="00FC1AF3">
        <w:rPr>
          <w:rFonts w:ascii="Palatino Linotype" w:hAnsi="Palatino Linotype" w:cs="Tahoma"/>
          <w:b/>
          <w:bCs/>
          <w:iCs/>
          <w:sz w:val="22"/>
          <w:szCs w:val="22"/>
          <w:lang w:val="es-ES"/>
        </w:rPr>
        <w:t>6/INFOEM/IP/RR/2019</w:t>
      </w:r>
      <w:r w:rsidRPr="00A50EAF">
        <w:rPr>
          <w:rFonts w:ascii="Palatino Linotype" w:hAnsi="Palatino Linotype" w:cs="Tahoma"/>
          <w:b/>
          <w:bCs/>
          <w:iCs/>
          <w:sz w:val="22"/>
          <w:szCs w:val="22"/>
          <w:lang w:val="es-ES"/>
        </w:rPr>
        <w:t xml:space="preserve">, </w:t>
      </w:r>
      <w:r w:rsidRPr="00A50EAF">
        <w:rPr>
          <w:rFonts w:ascii="Palatino Linotype" w:hAnsi="Palatino Linotype" w:cs="Tahoma"/>
          <w:bCs/>
          <w:iCs/>
          <w:sz w:val="22"/>
          <w:szCs w:val="22"/>
          <w:lang w:val="es-ES"/>
        </w:rPr>
        <w:t xml:space="preserve">emitido por la Unidad de Transparencia del Ayuntamiento de </w:t>
      </w:r>
      <w:r w:rsidR="00017AC4">
        <w:rPr>
          <w:rFonts w:ascii="Palatino Linotype" w:hAnsi="Palatino Linotype" w:cs="Tahoma"/>
          <w:bCs/>
          <w:iCs/>
          <w:sz w:val="22"/>
          <w:szCs w:val="22"/>
          <w:lang w:val="es-ES"/>
        </w:rPr>
        <w:t>Atizapán de Zaragoza</w:t>
      </w:r>
      <w:r w:rsidRPr="00A50EAF">
        <w:rPr>
          <w:rFonts w:ascii="Palatino Linotype" w:hAnsi="Palatino Linotype" w:cs="Tahoma"/>
          <w:bCs/>
          <w:sz w:val="22"/>
          <w:szCs w:val="22"/>
          <w:lang w:val="es-ES"/>
        </w:rPr>
        <w:t>,</w:t>
      </w:r>
      <w:r>
        <w:rPr>
          <w:rFonts w:ascii="Palatino Linotype" w:hAnsi="Palatino Linotype" w:cs="Tahoma"/>
          <w:bCs/>
          <w:sz w:val="22"/>
          <w:szCs w:val="22"/>
          <w:lang w:val="es-ES"/>
        </w:rPr>
        <w:t xml:space="preserve"> </w:t>
      </w:r>
      <w:r w:rsidR="00045AB8">
        <w:rPr>
          <w:rFonts w:ascii="Palatino Linotype" w:hAnsi="Palatino Linotype" w:cs="Tahoma"/>
          <w:bCs/>
          <w:sz w:val="22"/>
          <w:szCs w:val="22"/>
          <w:lang w:val="es-ES"/>
        </w:rPr>
        <w:t xml:space="preserve">en el que </w:t>
      </w:r>
      <w:r w:rsidR="00045AB8">
        <w:rPr>
          <w:rFonts w:ascii="Palatino Linotype" w:hAnsi="Palatino Linotype" w:cs="Tahoma"/>
          <w:bCs/>
          <w:sz w:val="22"/>
          <w:szCs w:val="22"/>
        </w:rPr>
        <w:t>señala lo siguiente:</w:t>
      </w:r>
    </w:p>
    <w:p w14:paraId="2CCB2750" w14:textId="77777777" w:rsidR="00045AB8" w:rsidRPr="0058624E" w:rsidRDefault="00045AB8" w:rsidP="00544E9C">
      <w:pPr>
        <w:autoSpaceDE w:val="0"/>
        <w:autoSpaceDN w:val="0"/>
        <w:adjustRightInd w:val="0"/>
        <w:spacing w:line="360" w:lineRule="auto"/>
        <w:ind w:left="567" w:right="539"/>
        <w:jc w:val="both"/>
        <w:rPr>
          <w:rFonts w:ascii="Palatino Linotype" w:hAnsi="Palatino Linotype" w:cs="Tahoma"/>
          <w:sz w:val="4"/>
          <w:szCs w:val="24"/>
        </w:rPr>
      </w:pPr>
    </w:p>
    <w:p w14:paraId="08AFF850" w14:textId="77777777" w:rsidR="00045AB8" w:rsidRPr="0058624E" w:rsidRDefault="00045AB8" w:rsidP="00544E9C">
      <w:pPr>
        <w:autoSpaceDE w:val="0"/>
        <w:autoSpaceDN w:val="0"/>
        <w:adjustRightInd w:val="0"/>
        <w:spacing w:line="360" w:lineRule="auto"/>
        <w:ind w:left="567" w:right="539"/>
        <w:jc w:val="both"/>
        <w:rPr>
          <w:rFonts w:ascii="Palatino Linotype" w:hAnsi="Palatino Linotype" w:cs="Tahoma"/>
          <w:i/>
          <w:sz w:val="21"/>
          <w:szCs w:val="21"/>
        </w:rPr>
      </w:pPr>
      <w:r w:rsidRPr="0058624E">
        <w:rPr>
          <w:rFonts w:ascii="Palatino Linotype" w:hAnsi="Palatino Linotype" w:cs="Tahoma"/>
          <w:i/>
          <w:sz w:val="21"/>
          <w:szCs w:val="21"/>
        </w:rPr>
        <w:t>“…</w:t>
      </w:r>
    </w:p>
    <w:p w14:paraId="61D5DD24" w14:textId="77777777" w:rsidR="00045AB8" w:rsidRPr="0058624E" w:rsidRDefault="00017AC4" w:rsidP="00544E9C">
      <w:pPr>
        <w:autoSpaceDE w:val="0"/>
        <w:autoSpaceDN w:val="0"/>
        <w:adjustRightInd w:val="0"/>
        <w:spacing w:line="360" w:lineRule="auto"/>
        <w:ind w:left="567" w:right="539"/>
        <w:jc w:val="both"/>
        <w:rPr>
          <w:rFonts w:ascii="Palatino Linotype" w:hAnsi="Palatino Linotype" w:cs="Tahoma"/>
          <w:i/>
          <w:sz w:val="21"/>
          <w:szCs w:val="21"/>
        </w:rPr>
      </w:pPr>
      <w:r w:rsidRPr="0058624E">
        <w:rPr>
          <w:rFonts w:ascii="Palatino Linotype" w:hAnsi="Palatino Linotype" w:cs="Tahoma"/>
          <w:i/>
          <w:sz w:val="21"/>
          <w:szCs w:val="21"/>
        </w:rPr>
        <w:t>Manifiesto que se dio cabal cumplimiento a lo solicitado, atendiendo punto por punto a lo requerido, y de conformidad en los artículos 12 y 59 fracción II de la Ley de Transparencia y Acceso a la Información Pública del estado de México y Municipios el cual nos refiere que la información será entregada tal y como obra en nuestros archivos, y que el hecho de proporcionar la información no comprende el procesamiento de la misma , ni presentarla conforme al interés del solicitante; tampoco se estará obligado a generarla, resumirla, efectuar cálculos y/o practicar investigaciones.</w:t>
      </w:r>
    </w:p>
    <w:p w14:paraId="6491A43D" w14:textId="77777777" w:rsidR="00017AC4" w:rsidRPr="0058624E" w:rsidRDefault="00017AC4" w:rsidP="00544E9C">
      <w:pPr>
        <w:autoSpaceDE w:val="0"/>
        <w:autoSpaceDN w:val="0"/>
        <w:adjustRightInd w:val="0"/>
        <w:spacing w:line="360" w:lineRule="auto"/>
        <w:ind w:left="567" w:right="539"/>
        <w:jc w:val="both"/>
        <w:rPr>
          <w:rFonts w:ascii="Palatino Linotype" w:hAnsi="Palatino Linotype" w:cs="Tahoma"/>
          <w:i/>
          <w:sz w:val="14"/>
          <w:szCs w:val="21"/>
        </w:rPr>
      </w:pPr>
    </w:p>
    <w:p w14:paraId="4256A328" w14:textId="77777777" w:rsidR="00017AC4" w:rsidRPr="0058624E" w:rsidRDefault="00017AC4" w:rsidP="00544E9C">
      <w:pPr>
        <w:autoSpaceDE w:val="0"/>
        <w:autoSpaceDN w:val="0"/>
        <w:adjustRightInd w:val="0"/>
        <w:spacing w:line="360" w:lineRule="auto"/>
        <w:ind w:left="567" w:right="539"/>
        <w:jc w:val="both"/>
        <w:rPr>
          <w:rFonts w:ascii="Palatino Linotype" w:hAnsi="Palatino Linotype" w:cs="Tahoma"/>
          <w:i/>
          <w:sz w:val="21"/>
          <w:szCs w:val="21"/>
        </w:rPr>
      </w:pPr>
      <w:r w:rsidRPr="0058624E">
        <w:rPr>
          <w:rFonts w:ascii="Palatino Linotype" w:hAnsi="Palatino Linotype" w:cs="Tahoma"/>
          <w:i/>
          <w:sz w:val="21"/>
          <w:szCs w:val="21"/>
        </w:rPr>
        <w:t xml:space="preserve">Dicho lo anterior, ratifico la respuesta dada a la solicitud 00142/ATIZARA/IP/2019, en la cual se dio cumplimiento cabal a lo solicitado mediante el archivo en formato PDF de nombre 00142_ATIZARA_IP_2019.pdf. En cuanto al personal de confianza adscrito a la Dirección de Seguridad Pública y tránsito Municipal, no omito mencionar que el Acuerdo CIR/27/03/XLIII/25/05/2018, donde el Comité de transparencia de Atizapán de Zaragoza, Estado de México, </w:t>
      </w:r>
      <w:r w:rsidRPr="0058624E">
        <w:rPr>
          <w:rFonts w:ascii="Palatino Linotype" w:hAnsi="Palatino Linotype" w:cs="Tahoma"/>
          <w:b/>
          <w:i/>
          <w:sz w:val="21"/>
          <w:szCs w:val="21"/>
        </w:rPr>
        <w:t xml:space="preserve">clasifica la información en su modalidad de reservada la relativa a la nómina del personal adscrito a la dependencia de la Dirección de Seguridad Pública y tránsito municipal, </w:t>
      </w:r>
      <w:r w:rsidRPr="0058624E">
        <w:rPr>
          <w:rFonts w:ascii="Palatino Linotype" w:hAnsi="Palatino Linotype" w:cs="Tahoma"/>
          <w:i/>
          <w:sz w:val="21"/>
          <w:szCs w:val="21"/>
        </w:rPr>
        <w:t>o cualquier información que permita su identificación por un periodo de 5 (cinco) años.</w:t>
      </w:r>
    </w:p>
    <w:p w14:paraId="10BE1E0F" w14:textId="77777777" w:rsidR="00017AC4" w:rsidRPr="0058624E" w:rsidRDefault="00017AC4" w:rsidP="00544E9C">
      <w:pPr>
        <w:autoSpaceDE w:val="0"/>
        <w:autoSpaceDN w:val="0"/>
        <w:adjustRightInd w:val="0"/>
        <w:spacing w:line="360" w:lineRule="auto"/>
        <w:ind w:left="567" w:right="539"/>
        <w:jc w:val="both"/>
        <w:rPr>
          <w:rFonts w:ascii="Palatino Linotype" w:hAnsi="Palatino Linotype" w:cs="Tahoma"/>
          <w:i/>
          <w:sz w:val="21"/>
          <w:szCs w:val="21"/>
        </w:rPr>
      </w:pPr>
      <w:r w:rsidRPr="0058624E">
        <w:rPr>
          <w:rFonts w:ascii="Palatino Linotype" w:hAnsi="Palatino Linotype" w:cs="Tahoma"/>
          <w:i/>
          <w:sz w:val="21"/>
          <w:szCs w:val="21"/>
        </w:rPr>
        <w:t>…”</w:t>
      </w:r>
    </w:p>
    <w:p w14:paraId="6893E7D5" w14:textId="77777777" w:rsidR="00FD4AB4" w:rsidRPr="0058624E" w:rsidRDefault="00FD4AB4" w:rsidP="00544E9C">
      <w:pPr>
        <w:spacing w:line="360" w:lineRule="auto"/>
        <w:jc w:val="both"/>
        <w:rPr>
          <w:rFonts w:ascii="Palatino Linotype" w:hAnsi="Palatino Linotype" w:cs="Tahoma"/>
          <w:bCs/>
          <w:sz w:val="6"/>
          <w:szCs w:val="22"/>
        </w:rPr>
      </w:pPr>
    </w:p>
    <w:p w14:paraId="0D31D409" w14:textId="77777777" w:rsidR="00FD4AB4" w:rsidRPr="003121BB" w:rsidRDefault="00FD4AB4" w:rsidP="00544E9C">
      <w:pPr>
        <w:spacing w:line="360" w:lineRule="auto"/>
        <w:jc w:val="both"/>
        <w:rPr>
          <w:rFonts w:ascii="Palatino Linotype" w:hAnsi="Palatino Linotype" w:cs="Tahoma"/>
          <w:bCs/>
          <w:iCs/>
          <w:sz w:val="22"/>
          <w:szCs w:val="22"/>
        </w:rPr>
      </w:pPr>
      <w:r>
        <w:rPr>
          <w:rFonts w:ascii="Palatino Linotype" w:hAnsi="Palatino Linotype" w:cs="Tahoma"/>
          <w:b/>
          <w:sz w:val="22"/>
          <w:szCs w:val="22"/>
        </w:rPr>
        <w:t xml:space="preserve">d) </w:t>
      </w:r>
      <w:r w:rsidRPr="003121BB">
        <w:rPr>
          <w:rFonts w:ascii="Palatino Linotype" w:hAnsi="Palatino Linotype" w:cs="Tahoma"/>
          <w:b/>
          <w:sz w:val="22"/>
          <w:szCs w:val="22"/>
        </w:rPr>
        <w:t xml:space="preserve">Vista de Informe Justificado: </w:t>
      </w:r>
      <w:r w:rsidRPr="003121BB">
        <w:rPr>
          <w:rFonts w:ascii="Palatino Linotype" w:hAnsi="Palatino Linotype" w:cs="Tahoma"/>
          <w:sz w:val="22"/>
          <w:szCs w:val="22"/>
        </w:rPr>
        <w:t xml:space="preserve">El </w:t>
      </w:r>
      <w:r>
        <w:rPr>
          <w:rFonts w:ascii="Palatino Linotype" w:hAnsi="Palatino Linotype" w:cs="Tahoma"/>
          <w:sz w:val="22"/>
          <w:szCs w:val="22"/>
        </w:rPr>
        <w:t>cuatro de abril</w:t>
      </w:r>
      <w:r w:rsidRPr="003121BB">
        <w:rPr>
          <w:rFonts w:ascii="Palatino Linotype" w:hAnsi="Palatino Linotype" w:cs="Tahoma"/>
          <w:sz w:val="22"/>
          <w:szCs w:val="22"/>
        </w:rPr>
        <w:t xml:space="preserve"> </w:t>
      </w:r>
      <w:r>
        <w:rPr>
          <w:rFonts w:ascii="Palatino Linotype" w:hAnsi="Palatino Linotype" w:cs="Tahoma"/>
          <w:sz w:val="22"/>
          <w:szCs w:val="22"/>
        </w:rPr>
        <w:t>de</w:t>
      </w:r>
      <w:r w:rsidRPr="003121BB">
        <w:rPr>
          <w:rFonts w:ascii="Palatino Linotype" w:hAnsi="Palatino Linotype" w:cs="Tahoma"/>
          <w:sz w:val="22"/>
          <w:szCs w:val="22"/>
        </w:rPr>
        <w:t xml:space="preserve"> dos mil diecinueve, 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Pr="003121BB">
        <w:rPr>
          <w:rFonts w:ascii="Palatino Linotype" w:hAnsi="Palatino Linotype" w:cs="Tahoma"/>
          <w:bCs/>
          <w:iCs/>
          <w:sz w:val="22"/>
          <w:szCs w:val="22"/>
          <w:lang w:val="es-ES_tradnl"/>
        </w:rPr>
        <w:t>, el Recurrente omitió realizar manifestación alguna que a su derecho conviniera y asistiera</w:t>
      </w:r>
      <w:r w:rsidRPr="003121BB">
        <w:rPr>
          <w:rFonts w:ascii="Palatino Linotype" w:hAnsi="Palatino Linotype" w:cs="Tahoma"/>
          <w:bCs/>
          <w:iCs/>
          <w:sz w:val="22"/>
          <w:szCs w:val="22"/>
        </w:rPr>
        <w:t>.</w:t>
      </w:r>
    </w:p>
    <w:p w14:paraId="4BA02833" w14:textId="77777777" w:rsidR="00FD4AB4" w:rsidRDefault="00FD4AB4" w:rsidP="00544E9C">
      <w:pPr>
        <w:spacing w:line="360" w:lineRule="auto"/>
        <w:jc w:val="both"/>
        <w:rPr>
          <w:rFonts w:ascii="Palatino Linotype" w:hAnsi="Palatino Linotype" w:cs="Tahoma"/>
          <w:bCs/>
          <w:iCs/>
          <w:sz w:val="22"/>
          <w:szCs w:val="22"/>
        </w:rPr>
      </w:pPr>
    </w:p>
    <w:p w14:paraId="5A32F894" w14:textId="77777777" w:rsidR="00FD4AB4" w:rsidRDefault="00FD4AB4" w:rsidP="00544E9C">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e) Ampliación de plazo: </w:t>
      </w:r>
      <w:r>
        <w:rPr>
          <w:rFonts w:ascii="Palatino Linotype" w:hAnsi="Palatino Linotype" w:cs="Tahoma"/>
          <w:sz w:val="22"/>
          <w:szCs w:val="22"/>
        </w:rPr>
        <w:t>C</w:t>
      </w:r>
      <w:r w:rsidRPr="00281F48">
        <w:rPr>
          <w:rFonts w:ascii="Palatino Linotype" w:hAnsi="Palatino Linotype" w:cs="Tahoma"/>
          <w:sz w:val="22"/>
          <w:szCs w:val="22"/>
        </w:rPr>
        <w:t>on fundamento en el artículo 181, párrafo tercero, de la Ley de Transparencia y</w:t>
      </w:r>
      <w:r>
        <w:rPr>
          <w:rFonts w:ascii="Palatino Linotype" w:hAnsi="Palatino Linotype" w:cs="Tahoma"/>
          <w:sz w:val="22"/>
          <w:szCs w:val="22"/>
        </w:rPr>
        <w:t xml:space="preserve"> </w:t>
      </w:r>
      <w:r w:rsidRPr="00281F48">
        <w:rPr>
          <w:rFonts w:ascii="Palatino Linotype" w:hAnsi="Palatino Linotype" w:cs="Tahoma"/>
          <w:sz w:val="22"/>
          <w:szCs w:val="22"/>
        </w:rPr>
        <w:t>Acceso a la Información Pública del Estado de México y Municipios,</w:t>
      </w:r>
      <w:r w:rsidR="00017AC4">
        <w:rPr>
          <w:rFonts w:ascii="Palatino Linotype" w:hAnsi="Palatino Linotype" w:cs="Tahoma"/>
          <w:sz w:val="22"/>
          <w:szCs w:val="22"/>
        </w:rPr>
        <w:t xml:space="preserve"> el veintiséis d</w:t>
      </w:r>
      <w:r>
        <w:rPr>
          <w:rFonts w:ascii="Palatino Linotype" w:hAnsi="Palatino Linotype" w:cs="Tahoma"/>
          <w:sz w:val="22"/>
          <w:szCs w:val="22"/>
        </w:rPr>
        <w:t>e abril de dos mil diecinueve,</w:t>
      </w:r>
      <w:r w:rsidRPr="00281F48">
        <w:rPr>
          <w:rFonts w:ascii="Palatino Linotype" w:hAnsi="Palatino Linotype" w:cs="Tahoma"/>
          <w:sz w:val="22"/>
          <w:szCs w:val="22"/>
        </w:rPr>
        <w:t xml:space="preserve"> se</w:t>
      </w:r>
      <w:r>
        <w:rPr>
          <w:rFonts w:ascii="Palatino Linotype" w:hAnsi="Palatino Linotype" w:cs="Tahoma"/>
          <w:sz w:val="22"/>
          <w:szCs w:val="22"/>
        </w:rPr>
        <w:t xml:space="preserve"> notificó a las partes a través del Sistema de Acceso a la Información Mexiquense (SAIMEX), el Acuerdo de Ampliación de plazo </w:t>
      </w:r>
      <w:r w:rsidRPr="00281F48">
        <w:rPr>
          <w:rFonts w:ascii="Palatino Linotype" w:hAnsi="Palatino Linotype" w:cs="Tahoma"/>
          <w:sz w:val="22"/>
          <w:szCs w:val="22"/>
        </w:rPr>
        <w:t xml:space="preserve"> </w:t>
      </w:r>
      <w:r>
        <w:rPr>
          <w:rFonts w:ascii="Palatino Linotype" w:hAnsi="Palatino Linotype" w:cs="Tahoma"/>
          <w:sz w:val="22"/>
          <w:szCs w:val="22"/>
        </w:rPr>
        <w:t>para resolver el Recurso de Revisión materia de la presente resolución; ello</w:t>
      </w:r>
      <w:r w:rsidRPr="00281F48">
        <w:rPr>
          <w:rFonts w:ascii="Palatino Linotype" w:hAnsi="Palatino Linotype" w:cs="Tahoma"/>
          <w:sz w:val="22"/>
          <w:szCs w:val="22"/>
        </w:rPr>
        <w:t xml:space="preserve"> con el</w:t>
      </w:r>
      <w:r>
        <w:rPr>
          <w:rFonts w:ascii="Palatino Linotype" w:hAnsi="Palatino Linotype" w:cs="Tahoma"/>
          <w:sz w:val="22"/>
          <w:szCs w:val="22"/>
        </w:rPr>
        <w:t xml:space="preserve"> </w:t>
      </w:r>
      <w:r w:rsidRPr="00281F48">
        <w:rPr>
          <w:rFonts w:ascii="Palatino Linotype" w:hAnsi="Palatino Linotype" w:cs="Tahoma"/>
          <w:sz w:val="22"/>
          <w:szCs w:val="22"/>
        </w:rPr>
        <w:t xml:space="preserve">fin de contar con los elementos suficientes para </w:t>
      </w:r>
      <w:r>
        <w:rPr>
          <w:rFonts w:ascii="Palatino Linotype" w:hAnsi="Palatino Linotype" w:cs="Tahoma"/>
          <w:sz w:val="22"/>
          <w:szCs w:val="22"/>
        </w:rPr>
        <w:t>generar</w:t>
      </w:r>
      <w:r w:rsidRPr="00281F48">
        <w:rPr>
          <w:rFonts w:ascii="Palatino Linotype" w:hAnsi="Palatino Linotype" w:cs="Tahoma"/>
          <w:sz w:val="22"/>
          <w:szCs w:val="22"/>
        </w:rPr>
        <w:t xml:space="preserve"> la</w:t>
      </w:r>
      <w:r>
        <w:rPr>
          <w:rFonts w:ascii="Palatino Linotype" w:hAnsi="Palatino Linotype" w:cs="Tahoma"/>
          <w:sz w:val="22"/>
          <w:szCs w:val="22"/>
        </w:rPr>
        <w:t xml:space="preserve"> </w:t>
      </w:r>
      <w:r w:rsidRPr="00281F48">
        <w:rPr>
          <w:rFonts w:ascii="Palatino Linotype" w:hAnsi="Palatino Linotype" w:cs="Tahoma"/>
          <w:sz w:val="22"/>
          <w:szCs w:val="22"/>
        </w:rPr>
        <w:t xml:space="preserve">resolución que en derecho corresponda, </w:t>
      </w:r>
      <w:r>
        <w:rPr>
          <w:rFonts w:ascii="Palatino Linotype" w:hAnsi="Palatino Linotype" w:cs="Tahoma"/>
          <w:sz w:val="22"/>
          <w:szCs w:val="22"/>
        </w:rPr>
        <w:t>así como, en su caso, allegarse de mayores elementos, a partir de que se otorgó al particular tiempo para presentar manifestaciones con relación al Informe Justificado del Sujeto Obligado.</w:t>
      </w:r>
    </w:p>
    <w:p w14:paraId="70772D9D" w14:textId="77777777" w:rsidR="00045AB8" w:rsidRDefault="00045AB8" w:rsidP="00544E9C">
      <w:pPr>
        <w:spacing w:line="360" w:lineRule="auto"/>
        <w:jc w:val="both"/>
        <w:rPr>
          <w:rFonts w:ascii="Palatino Linotype" w:hAnsi="Palatino Linotype" w:cs="Tahoma"/>
          <w:bCs/>
          <w:sz w:val="22"/>
          <w:szCs w:val="22"/>
        </w:rPr>
      </w:pPr>
    </w:p>
    <w:p w14:paraId="271DD6CC" w14:textId="77777777" w:rsidR="00B31222" w:rsidRPr="00985849" w:rsidRDefault="00FD4AB4" w:rsidP="00544E9C">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B31222" w:rsidRPr="00985849">
        <w:rPr>
          <w:rFonts w:ascii="Palatino Linotype" w:hAnsi="Palatino Linotype" w:cs="Tahoma"/>
          <w:b/>
          <w:sz w:val="22"/>
          <w:szCs w:val="22"/>
        </w:rPr>
        <w:t>) 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w:t>
      </w:r>
      <w:r w:rsidR="00017AC4">
        <w:rPr>
          <w:rFonts w:ascii="Palatino Linotype" w:hAnsi="Palatino Linotype" w:cs="Tahoma"/>
          <w:sz w:val="22"/>
          <w:szCs w:val="22"/>
        </w:rPr>
        <w:t>dos de mayo</w:t>
      </w:r>
      <w:r w:rsidR="00C24299">
        <w:rPr>
          <w:rFonts w:ascii="Palatino Linotype" w:hAnsi="Palatino Linotype" w:cs="Tahoma"/>
          <w:sz w:val="22"/>
          <w:szCs w:val="22"/>
        </w:rPr>
        <w:t xml:space="preserve"> </w:t>
      </w:r>
      <w:r w:rsidR="00B31222" w:rsidRPr="00985849">
        <w:rPr>
          <w:rFonts w:ascii="Palatino Linotype" w:hAnsi="Palatino Linotype" w:cs="Tahoma"/>
          <w:sz w:val="22"/>
          <w:szCs w:val="22"/>
        </w:rPr>
        <w:t>de dos mil dieci</w:t>
      </w:r>
      <w:r w:rsidR="00245AD5">
        <w:rPr>
          <w:rFonts w:ascii="Palatino Linotype" w:hAnsi="Palatino Linotype" w:cs="Tahoma"/>
          <w:sz w:val="22"/>
          <w:szCs w:val="22"/>
        </w:rPr>
        <w:t>nueve</w:t>
      </w:r>
      <w:r w:rsidR="00B31222" w:rsidRPr="00985849">
        <w:rPr>
          <w:rFonts w:ascii="Palatino Linotype" w:hAnsi="Palatino Linotype" w:cs="Tahoma"/>
          <w:sz w:val="22"/>
          <w:szCs w:val="22"/>
        </w:rPr>
        <w:t>, al no existir diligencias pendientes por desahogar, se emitió el acuerdo por medio del cual se declaró 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de Transparencia y Acceso a la 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3EC62634" w14:textId="77777777" w:rsidR="00B31222" w:rsidRPr="00985849" w:rsidRDefault="00B31222" w:rsidP="00544E9C">
      <w:pPr>
        <w:spacing w:line="360" w:lineRule="auto"/>
        <w:jc w:val="both"/>
        <w:rPr>
          <w:rFonts w:ascii="Palatino Linotype" w:hAnsi="Palatino Linotype" w:cs="Tahoma"/>
          <w:b/>
          <w:sz w:val="22"/>
          <w:szCs w:val="22"/>
        </w:rPr>
      </w:pPr>
    </w:p>
    <w:p w14:paraId="52B4676A" w14:textId="77777777" w:rsidR="004F2D88" w:rsidRPr="00985849" w:rsidRDefault="004F2D88" w:rsidP="00544E9C">
      <w:pPr>
        <w:spacing w:line="360" w:lineRule="auto"/>
        <w:jc w:val="both"/>
        <w:rPr>
          <w:rFonts w:ascii="Palatino Linotype" w:hAnsi="Palatino Linotype" w:cs="Tahoma"/>
          <w:color w:val="000000"/>
          <w:sz w:val="22"/>
          <w:szCs w:val="22"/>
        </w:rPr>
      </w:pPr>
      <w:r w:rsidRPr="00985849">
        <w:rPr>
          <w:rFonts w:ascii="Palatino Linotype" w:hAnsi="Palatino Linotype" w:cs="Tahoma"/>
          <w:color w:val="000000"/>
          <w:sz w:val="22"/>
          <w:szCs w:val="22"/>
        </w:rPr>
        <w:t xml:space="preserve">En </w:t>
      </w:r>
      <w:r w:rsidR="00367F82" w:rsidRPr="00985849">
        <w:rPr>
          <w:rFonts w:ascii="Palatino Linotype" w:hAnsi="Palatino Linotype" w:cs="Tahoma"/>
          <w:color w:val="000000"/>
          <w:sz w:val="22"/>
          <w:szCs w:val="22"/>
        </w:rPr>
        <w:t>razón de que fue debidamente su</w:t>
      </w:r>
      <w:r w:rsidRPr="00985849">
        <w:rPr>
          <w:rFonts w:ascii="Palatino Linotype" w:hAnsi="Palatino Linotype" w:cs="Tahoma"/>
          <w:color w:val="000000"/>
          <w:sz w:val="22"/>
          <w:szCs w:val="22"/>
        </w:rPr>
        <w:t xml:space="preserve">stanciado el expediente </w:t>
      </w:r>
      <w:r w:rsidR="00367F82" w:rsidRPr="00985849">
        <w:rPr>
          <w:rFonts w:ascii="Palatino Linotype" w:hAnsi="Palatino Linotype" w:cs="Tahoma"/>
          <w:color w:val="000000"/>
          <w:sz w:val="22"/>
          <w:szCs w:val="22"/>
        </w:rPr>
        <w:t xml:space="preserve">electrónico </w:t>
      </w:r>
      <w:r w:rsidRPr="00985849">
        <w:rPr>
          <w:rFonts w:ascii="Palatino Linotype" w:hAnsi="Palatino Linotype" w:cs="Tahoma"/>
          <w:color w:val="000000"/>
          <w:sz w:val="22"/>
          <w:szCs w:val="22"/>
        </w:rPr>
        <w:t>y no exist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dilige</w:t>
      </w:r>
      <w:r w:rsidR="00367F82" w:rsidRPr="00985849">
        <w:rPr>
          <w:rFonts w:ascii="Palatino Linotype" w:hAnsi="Palatino Linotype" w:cs="Tahoma"/>
          <w:color w:val="000000"/>
          <w:sz w:val="22"/>
          <w:szCs w:val="22"/>
        </w:rPr>
        <w:t xml:space="preserve">ncia pendiente de desahogo, se </w:t>
      </w:r>
      <w:r w:rsidRPr="00985849">
        <w:rPr>
          <w:rFonts w:ascii="Palatino Linotype" w:hAnsi="Palatino Linotype" w:cs="Tahoma"/>
          <w:color w:val="000000"/>
          <w:sz w:val="22"/>
          <w:szCs w:val="22"/>
        </w:rPr>
        <w:t>emit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la resolución que conforme a Derecho proceda, de acuerdo a l</w:t>
      </w:r>
      <w:r w:rsidR="009A620E" w:rsidRPr="00985849">
        <w:rPr>
          <w:rFonts w:ascii="Palatino Linotype" w:hAnsi="Palatino Linotype" w:cs="Tahoma"/>
          <w:color w:val="000000"/>
          <w:sz w:val="22"/>
          <w:szCs w:val="22"/>
        </w:rPr>
        <w:t>o</w:t>
      </w:r>
      <w:r w:rsidRPr="00985849">
        <w:rPr>
          <w:rFonts w:ascii="Palatino Linotype" w:hAnsi="Palatino Linotype" w:cs="Tahoma"/>
          <w:color w:val="000000"/>
          <w:sz w:val="22"/>
          <w:szCs w:val="22"/>
        </w:rPr>
        <w:t xml:space="preserve">s siguientes: </w:t>
      </w:r>
    </w:p>
    <w:p w14:paraId="6DF03522" w14:textId="77777777" w:rsidR="00264223" w:rsidRPr="00985849" w:rsidRDefault="00264223" w:rsidP="00544E9C">
      <w:pPr>
        <w:spacing w:line="360" w:lineRule="auto"/>
        <w:jc w:val="center"/>
        <w:rPr>
          <w:rFonts w:ascii="Palatino Linotype" w:hAnsi="Palatino Linotype" w:cs="Tahoma"/>
          <w:b/>
          <w:sz w:val="22"/>
          <w:szCs w:val="22"/>
        </w:rPr>
      </w:pPr>
    </w:p>
    <w:p w14:paraId="33333B36" w14:textId="77777777" w:rsidR="00264223" w:rsidRPr="00985849" w:rsidRDefault="009A620E" w:rsidP="00544E9C">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020C269B" w14:textId="77777777" w:rsidR="0068366C" w:rsidRDefault="0068366C" w:rsidP="00544E9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3D5ED64" w14:textId="77777777" w:rsidR="00B64641" w:rsidRPr="00985849" w:rsidRDefault="0096693C" w:rsidP="00544E9C">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1100DD0A" w14:textId="77777777" w:rsidR="00B727C5" w:rsidRPr="00985849" w:rsidRDefault="00B727C5" w:rsidP="00544E9C">
      <w:pPr>
        <w:autoSpaceDE w:val="0"/>
        <w:autoSpaceDN w:val="0"/>
        <w:adjustRightInd w:val="0"/>
        <w:spacing w:line="360" w:lineRule="auto"/>
        <w:jc w:val="both"/>
        <w:rPr>
          <w:rFonts w:ascii="Palatino Linotype" w:hAnsi="Palatino Linotype" w:cs="Tahoma"/>
          <w:sz w:val="22"/>
          <w:szCs w:val="22"/>
          <w:lang w:val="es-ES"/>
        </w:rPr>
      </w:pPr>
    </w:p>
    <w:p w14:paraId="692C7596" w14:textId="77777777" w:rsidR="004F2D88" w:rsidRPr="00985849" w:rsidRDefault="009C4081" w:rsidP="00544E9C">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985849">
        <w:rPr>
          <w:rFonts w:ascii="Palatino Linotype" w:hAnsi="Palatino Linotype" w:cs="Tahoma"/>
          <w:sz w:val="22"/>
          <w:szCs w:val="22"/>
          <w:shd w:val="clear" w:color="auto" w:fill="FFFFFF"/>
        </w:rPr>
        <w:lastRenderedPageBreak/>
        <w:t>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9A7FB18" w14:textId="77777777" w:rsidR="00E70503" w:rsidRDefault="00E70503" w:rsidP="00544E9C">
      <w:pPr>
        <w:spacing w:line="360" w:lineRule="auto"/>
        <w:jc w:val="both"/>
        <w:rPr>
          <w:rFonts w:ascii="Palatino Linotype" w:eastAsia="Calibri" w:hAnsi="Palatino Linotype" w:cs="Tahoma"/>
          <w:bCs/>
          <w:color w:val="000000"/>
          <w:sz w:val="22"/>
          <w:szCs w:val="22"/>
          <w:lang w:val="es-ES" w:eastAsia="es-ES_tradnl"/>
        </w:rPr>
      </w:pPr>
    </w:p>
    <w:p w14:paraId="6C58AE5E" w14:textId="77777777" w:rsidR="00D90C9D" w:rsidRPr="00985849" w:rsidRDefault="0096693C" w:rsidP="00544E9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009C4081" w:rsidRPr="00985849">
        <w:rPr>
          <w:rFonts w:ascii="Palatino Linotype" w:eastAsia="Calibri" w:hAnsi="Palatino Linotype" w:cs="Tahoma"/>
          <w:b/>
          <w:color w:val="000000"/>
          <w:sz w:val="22"/>
          <w:szCs w:val="22"/>
          <w:lang w:val="es-ES" w:eastAsia="es-MX"/>
        </w:rPr>
        <w:t>. Causales de improcedencia y sobreseimiento.</w:t>
      </w:r>
    </w:p>
    <w:p w14:paraId="21264682" w14:textId="77777777" w:rsidR="009C4081" w:rsidRPr="00985849" w:rsidRDefault="009C4081"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46BB487" w14:textId="77777777" w:rsidR="00CF4012" w:rsidRPr="00985849" w:rsidRDefault="00FE5410"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Previo al análisis de fondo del asunto que no ocupa, e</w:t>
      </w:r>
      <w:r w:rsidR="00683CB5" w:rsidRPr="00985849">
        <w:rPr>
          <w:rFonts w:ascii="Palatino Linotype" w:eastAsia="Calibri" w:hAnsi="Palatino Linotype" w:cs="Tahoma"/>
          <w:color w:val="000000"/>
          <w:sz w:val="22"/>
          <w:szCs w:val="22"/>
          <w:lang w:val="es-ES" w:eastAsia="es-MX"/>
        </w:rPr>
        <w:t>ste Instituto realiza</w:t>
      </w:r>
      <w:r w:rsidRPr="00985849">
        <w:rPr>
          <w:rFonts w:ascii="Palatino Linotype" w:eastAsia="Calibri" w:hAnsi="Palatino Linotype" w:cs="Tahoma"/>
          <w:color w:val="000000"/>
          <w:sz w:val="22"/>
          <w:szCs w:val="22"/>
          <w:lang w:val="es-ES" w:eastAsia="es-MX"/>
        </w:rPr>
        <w:t>rá</w:t>
      </w:r>
      <w:r w:rsidR="00683CB5" w:rsidRPr="0098584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2F98DF0" w14:textId="77777777" w:rsidR="00683CB5" w:rsidRPr="00985849" w:rsidRDefault="00683CB5"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AC7036E" w14:textId="77777777" w:rsidR="00E14282" w:rsidRPr="00985849" w:rsidRDefault="00FE5410" w:rsidP="00544E9C">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eastAsia="Calibri" w:hAnsi="Palatino Linotype" w:cs="Tahoma"/>
          <w:color w:val="000000"/>
          <w:sz w:val="22"/>
          <w:szCs w:val="22"/>
          <w:lang w:val="es-ES" w:eastAsia="es-MX"/>
        </w:rPr>
        <w:t>No obstante, e</w:t>
      </w:r>
      <w:r w:rsidR="00CF4012" w:rsidRPr="0098584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985849">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 respuesta no </w:t>
      </w:r>
      <w:r w:rsidR="00CF4012" w:rsidRPr="00985849">
        <w:rPr>
          <w:rFonts w:ascii="Palatino Linotype" w:hAnsi="Palatino Linotype" w:cs="Tahoma"/>
          <w:sz w:val="22"/>
          <w:szCs w:val="22"/>
          <w:lang w:val="es-ES"/>
        </w:rPr>
        <w:lastRenderedPageBreak/>
        <w:t>formó parte del agravio; ni se realizó una consulta o ampliación a los alcances del requerimiento informativo.</w:t>
      </w:r>
    </w:p>
    <w:p w14:paraId="3FDB8B99" w14:textId="77777777" w:rsidR="00CF4012" w:rsidRDefault="00CF4012" w:rsidP="00544E9C">
      <w:pPr>
        <w:autoSpaceDE w:val="0"/>
        <w:autoSpaceDN w:val="0"/>
        <w:adjustRightInd w:val="0"/>
        <w:spacing w:line="360" w:lineRule="auto"/>
        <w:jc w:val="both"/>
        <w:rPr>
          <w:rFonts w:ascii="Palatino Linotype" w:hAnsi="Palatino Linotype" w:cs="Tahoma"/>
          <w:sz w:val="22"/>
          <w:szCs w:val="22"/>
          <w:lang w:val="es-ES"/>
        </w:rPr>
      </w:pPr>
    </w:p>
    <w:p w14:paraId="64873124" w14:textId="77777777" w:rsidR="00C54A6C" w:rsidRPr="00D25AA8" w:rsidRDefault="00C54A6C" w:rsidP="00C54A6C">
      <w:pPr>
        <w:spacing w:line="360" w:lineRule="auto"/>
        <w:jc w:val="both"/>
        <w:rPr>
          <w:rFonts w:ascii="Palatino Linotype" w:eastAsia="Calibri" w:hAnsi="Palatino Linotype" w:cs="Tahoma"/>
          <w:b/>
          <w:sz w:val="22"/>
          <w:szCs w:val="22"/>
          <w:lang w:val="es-ES" w:eastAsia="es-ES_tradnl"/>
        </w:rPr>
      </w:pPr>
      <w:r w:rsidRPr="00D25AA8">
        <w:rPr>
          <w:rFonts w:ascii="Palatino Linotype" w:eastAsia="Calibri" w:hAnsi="Palatino Linotype" w:cs="Tahoma"/>
          <w:b/>
          <w:sz w:val="22"/>
          <w:szCs w:val="22"/>
          <w:lang w:val="es-ES" w:eastAsia="es-ES_tradnl"/>
        </w:rPr>
        <w:t>Causales de sobreseimiento.</w:t>
      </w:r>
    </w:p>
    <w:p w14:paraId="317513A3" w14:textId="77777777" w:rsidR="00C54A6C" w:rsidRPr="00D25AA8" w:rsidRDefault="00C54A6C" w:rsidP="00C54A6C">
      <w:pPr>
        <w:spacing w:line="360" w:lineRule="auto"/>
        <w:jc w:val="both"/>
        <w:rPr>
          <w:rFonts w:ascii="Palatino Linotype" w:eastAsia="Calibri" w:hAnsi="Palatino Linotype" w:cs="Tahoma"/>
          <w:sz w:val="22"/>
          <w:szCs w:val="22"/>
          <w:lang w:val="es-ES" w:eastAsia="es-ES_tradnl"/>
        </w:rPr>
      </w:pPr>
    </w:p>
    <w:p w14:paraId="737F1AB8" w14:textId="77777777" w:rsidR="00C54A6C" w:rsidRPr="00D25AA8" w:rsidRDefault="00C54A6C" w:rsidP="00C54A6C">
      <w:pPr>
        <w:spacing w:line="360" w:lineRule="auto"/>
        <w:jc w:val="both"/>
        <w:rPr>
          <w:rFonts w:ascii="Palatino Linotype" w:hAnsi="Palatino Linotype" w:cs="Tahoma"/>
          <w:sz w:val="22"/>
          <w:szCs w:val="22"/>
          <w:lang w:val="es-ES"/>
        </w:rPr>
      </w:pPr>
      <w:r w:rsidRPr="00D25AA8">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D25AA8">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D25AA8">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6E31021F" w14:textId="77777777" w:rsidR="00C54A6C" w:rsidRPr="00D25AA8" w:rsidRDefault="00C54A6C" w:rsidP="00C54A6C">
      <w:pPr>
        <w:spacing w:line="360" w:lineRule="auto"/>
        <w:jc w:val="both"/>
        <w:rPr>
          <w:rFonts w:ascii="Palatino Linotype" w:hAnsi="Palatino Linotype" w:cs="Tahoma"/>
          <w:sz w:val="22"/>
          <w:szCs w:val="22"/>
          <w:lang w:val="es-ES"/>
        </w:rPr>
      </w:pPr>
    </w:p>
    <w:p w14:paraId="692B5413" w14:textId="77777777" w:rsidR="00C54A6C" w:rsidRPr="00D25AA8" w:rsidRDefault="00C54A6C" w:rsidP="00C54A6C">
      <w:pPr>
        <w:spacing w:line="360" w:lineRule="auto"/>
        <w:jc w:val="both"/>
        <w:rPr>
          <w:rFonts w:ascii="Palatino Linotype" w:eastAsia="Calibri" w:hAnsi="Palatino Linotype" w:cs="Tahoma"/>
          <w:sz w:val="22"/>
          <w:szCs w:val="22"/>
          <w:lang w:val="es-ES" w:eastAsia="es-ES_tradnl"/>
        </w:rPr>
      </w:pPr>
      <w:r w:rsidRPr="00D25AA8">
        <w:rPr>
          <w:rFonts w:ascii="Palatino Linotype" w:eastAsia="Calibri" w:hAnsi="Palatino Linotype" w:cs="Tahoma"/>
          <w:bCs/>
          <w:sz w:val="22"/>
          <w:szCs w:val="22"/>
          <w:lang w:val="es-ES" w:eastAsia="es-ES_tradnl"/>
        </w:rPr>
        <w:t xml:space="preserve">Por tales motivos, </w:t>
      </w:r>
      <w:r w:rsidRPr="00D25AA8">
        <w:rPr>
          <w:rFonts w:ascii="Palatino Linotype" w:eastAsia="Calibri" w:hAnsi="Palatino Linotype" w:cs="Tahoma"/>
          <w:sz w:val="22"/>
          <w:szCs w:val="22"/>
          <w:lang w:val="es-ES" w:eastAsia="es-ES_tradnl"/>
        </w:rPr>
        <w:t xml:space="preserve">se considera procedente entrar al fondo del presente asunto. </w:t>
      </w:r>
    </w:p>
    <w:p w14:paraId="3E453DA3" w14:textId="77777777" w:rsidR="00C54A6C" w:rsidRPr="00985849" w:rsidRDefault="00C54A6C" w:rsidP="00544E9C">
      <w:pPr>
        <w:autoSpaceDE w:val="0"/>
        <w:autoSpaceDN w:val="0"/>
        <w:adjustRightInd w:val="0"/>
        <w:spacing w:line="360" w:lineRule="auto"/>
        <w:jc w:val="both"/>
        <w:rPr>
          <w:rFonts w:ascii="Palatino Linotype" w:hAnsi="Palatino Linotype" w:cs="Tahoma"/>
          <w:sz w:val="22"/>
          <w:szCs w:val="22"/>
          <w:lang w:val="es-ES"/>
        </w:rPr>
      </w:pPr>
    </w:p>
    <w:p w14:paraId="015A5CCD" w14:textId="77777777" w:rsidR="0025469C" w:rsidRPr="00985849" w:rsidRDefault="0096693C" w:rsidP="00544E9C">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02A6DC00" w14:textId="77777777" w:rsidR="0025469C" w:rsidRPr="00985849" w:rsidRDefault="0025469C" w:rsidP="00544E9C">
      <w:pPr>
        <w:tabs>
          <w:tab w:val="left" w:pos="4962"/>
        </w:tabs>
        <w:spacing w:line="360" w:lineRule="auto"/>
        <w:jc w:val="both"/>
        <w:rPr>
          <w:rFonts w:ascii="Palatino Linotype" w:eastAsia="Calibri" w:hAnsi="Palatino Linotype" w:cs="Tahoma"/>
          <w:b/>
          <w:iCs/>
          <w:sz w:val="22"/>
          <w:szCs w:val="22"/>
          <w:lang w:val="es-ES" w:eastAsia="es-ES_tradnl"/>
        </w:rPr>
      </w:pPr>
    </w:p>
    <w:p w14:paraId="56528FF7" w14:textId="04A0B70D" w:rsidR="00C8285C" w:rsidRDefault="007477D6" w:rsidP="00544E9C">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C</w:t>
      </w:r>
      <w:r w:rsidR="00C8285C" w:rsidRPr="00C8285C">
        <w:rPr>
          <w:rFonts w:ascii="Palatino Linotype" w:eastAsia="Calibri" w:hAnsi="Palatino Linotype" w:cs="Tahoma"/>
          <w:iCs/>
          <w:sz w:val="22"/>
          <w:szCs w:val="22"/>
          <w:lang w:val="es-ES" w:eastAsia="es-ES_tradnl"/>
        </w:rPr>
        <w:t xml:space="preserve">on el objeto de ilustrar la controversia planteada, resulta conveniente precisar la solicitud de información y la respuesta, para verificar los agravios del </w:t>
      </w:r>
      <w:r w:rsidR="00553A1A" w:rsidRPr="00C8285C">
        <w:rPr>
          <w:rFonts w:ascii="Palatino Linotype" w:eastAsia="Calibri" w:hAnsi="Palatino Linotype" w:cs="Tahoma"/>
          <w:iCs/>
          <w:sz w:val="22"/>
          <w:szCs w:val="22"/>
          <w:lang w:val="es-ES" w:eastAsia="es-ES_tradnl"/>
        </w:rPr>
        <w:t>Recurrente</w:t>
      </w:r>
      <w:r w:rsidR="00C8285C" w:rsidRPr="00C8285C">
        <w:rPr>
          <w:rFonts w:ascii="Palatino Linotype" w:eastAsia="Calibri" w:hAnsi="Palatino Linotype" w:cs="Tahoma"/>
          <w:iCs/>
          <w:sz w:val="22"/>
          <w:szCs w:val="22"/>
          <w:lang w:val="es-ES" w:eastAsia="es-ES_tradnl"/>
        </w:rPr>
        <w:t>, por lo que en primer plano enunciaremos lo que solicito</w:t>
      </w:r>
      <w:r w:rsidR="00F56532">
        <w:rPr>
          <w:rFonts w:ascii="Palatino Linotype" w:eastAsia="Calibri" w:hAnsi="Palatino Linotype" w:cs="Tahoma"/>
          <w:iCs/>
          <w:sz w:val="22"/>
          <w:szCs w:val="22"/>
          <w:lang w:val="es-ES" w:eastAsia="es-ES_tradnl"/>
        </w:rPr>
        <w:t xml:space="preserve"> es decir </w:t>
      </w:r>
      <w:r w:rsidR="00A51D2E" w:rsidRPr="00F56532">
        <w:rPr>
          <w:rFonts w:ascii="Palatino Linotype" w:eastAsia="Calibri" w:hAnsi="Palatino Linotype" w:cs="Tahoma"/>
          <w:iCs/>
          <w:sz w:val="22"/>
          <w:szCs w:val="22"/>
          <w:lang w:val="es-ES" w:eastAsia="es-ES_tradnl"/>
        </w:rPr>
        <w:t>la nómina clasificada por Direcciones Generale</w:t>
      </w:r>
      <w:r w:rsidR="00A51D2E">
        <w:rPr>
          <w:rFonts w:ascii="Palatino Linotype" w:eastAsia="Calibri" w:hAnsi="Palatino Linotype" w:cs="Tahoma"/>
          <w:iCs/>
          <w:sz w:val="22"/>
          <w:szCs w:val="22"/>
          <w:lang w:val="es-ES" w:eastAsia="es-ES_tradnl"/>
        </w:rPr>
        <w:t xml:space="preserve">s </w:t>
      </w:r>
      <w:r w:rsidR="00A51D2E" w:rsidRPr="00F56532">
        <w:rPr>
          <w:rFonts w:ascii="Palatino Linotype" w:eastAsia="Calibri" w:hAnsi="Palatino Linotype" w:cs="Tahoma"/>
          <w:iCs/>
          <w:sz w:val="22"/>
          <w:szCs w:val="22"/>
          <w:lang w:val="es-ES" w:eastAsia="es-ES_tradnl"/>
        </w:rPr>
        <w:t>o bien por áreas de adscripción que integre nombre completo, cargo o puesto incluyendo todos lo</w:t>
      </w:r>
      <w:r w:rsidR="00A51D2E">
        <w:rPr>
          <w:rFonts w:ascii="Palatino Linotype" w:eastAsia="Calibri" w:hAnsi="Palatino Linotype" w:cs="Tahoma"/>
          <w:iCs/>
          <w:sz w:val="22"/>
          <w:szCs w:val="22"/>
          <w:lang w:val="es-ES" w:eastAsia="es-ES_tradnl"/>
        </w:rPr>
        <w:t>s</w:t>
      </w:r>
      <w:r w:rsidR="00A51D2E" w:rsidRPr="00F56532">
        <w:rPr>
          <w:rFonts w:ascii="Palatino Linotype" w:eastAsia="Calibri" w:hAnsi="Palatino Linotype" w:cs="Tahoma"/>
          <w:iCs/>
          <w:sz w:val="22"/>
          <w:szCs w:val="22"/>
          <w:lang w:val="es-ES" w:eastAsia="es-ES_tradnl"/>
        </w:rPr>
        <w:t xml:space="preserve"> miembros del cabildo del Ayuntamiento de Atizapán de Zaragoza</w:t>
      </w:r>
      <w:r w:rsidR="00A51D2E">
        <w:rPr>
          <w:rFonts w:ascii="Palatino Linotype" w:eastAsia="Calibri" w:hAnsi="Palatino Linotype" w:cs="Tahoma"/>
          <w:iCs/>
          <w:sz w:val="22"/>
          <w:szCs w:val="22"/>
          <w:lang w:val="es-ES" w:eastAsia="es-ES_tradnl"/>
        </w:rPr>
        <w:t>.</w:t>
      </w:r>
    </w:p>
    <w:p w14:paraId="3869E343" w14:textId="77777777" w:rsidR="00A7008F" w:rsidRDefault="00A7008F" w:rsidP="00544E9C">
      <w:pPr>
        <w:tabs>
          <w:tab w:val="left" w:pos="4962"/>
        </w:tabs>
        <w:spacing w:line="360" w:lineRule="auto"/>
        <w:jc w:val="both"/>
        <w:rPr>
          <w:rFonts w:ascii="Palatino Linotype" w:eastAsia="Calibri" w:hAnsi="Palatino Linotype" w:cs="Tahoma"/>
          <w:iCs/>
          <w:sz w:val="22"/>
          <w:szCs w:val="22"/>
          <w:lang w:val="es-ES" w:eastAsia="es-ES_tradnl"/>
        </w:rPr>
      </w:pPr>
    </w:p>
    <w:p w14:paraId="51405B7A" w14:textId="77777777" w:rsidR="001C5FA4" w:rsidRDefault="00C8285C" w:rsidP="00544E9C">
      <w:pPr>
        <w:tabs>
          <w:tab w:val="left" w:pos="4962"/>
        </w:tabs>
        <w:spacing w:line="360" w:lineRule="auto"/>
        <w:jc w:val="both"/>
        <w:rPr>
          <w:rFonts w:ascii="Palatino Linotype" w:eastAsia="Calibri" w:hAnsi="Palatino Linotype" w:cs="Tahoma"/>
          <w:iCs/>
          <w:sz w:val="22"/>
          <w:szCs w:val="22"/>
          <w:lang w:val="es-ES" w:eastAsia="es-ES_tradnl"/>
        </w:rPr>
      </w:pPr>
      <w:r w:rsidRPr="00C8285C">
        <w:rPr>
          <w:rFonts w:ascii="Palatino Linotype" w:eastAsia="Calibri" w:hAnsi="Palatino Linotype" w:cs="Tahoma"/>
          <w:iCs/>
          <w:sz w:val="22"/>
          <w:szCs w:val="22"/>
          <w:lang w:val="es-ES" w:eastAsia="es-ES_tradnl"/>
        </w:rPr>
        <w:t xml:space="preserve">En respuesta, el Ayuntamiento de </w:t>
      </w:r>
      <w:r w:rsidR="001C5FA4">
        <w:rPr>
          <w:rFonts w:ascii="Palatino Linotype" w:eastAsia="Calibri" w:hAnsi="Palatino Linotype" w:cs="Tahoma"/>
          <w:iCs/>
          <w:sz w:val="22"/>
          <w:szCs w:val="22"/>
          <w:lang w:val="es-ES" w:eastAsia="es-ES_tradnl"/>
        </w:rPr>
        <w:t>Atizapán de Zaragoza</w:t>
      </w:r>
      <w:r w:rsidRPr="00C8285C">
        <w:rPr>
          <w:rFonts w:ascii="Palatino Linotype" w:eastAsia="Calibri" w:hAnsi="Palatino Linotype" w:cs="Tahoma"/>
          <w:iCs/>
          <w:sz w:val="22"/>
          <w:szCs w:val="22"/>
          <w:lang w:val="es-ES" w:eastAsia="es-ES_tradnl"/>
        </w:rPr>
        <w:t>,</w:t>
      </w:r>
      <w:r w:rsidR="001C5FA4" w:rsidRPr="001C5FA4">
        <w:rPr>
          <w:rFonts w:ascii="Palatino Linotype" w:eastAsia="Calibri" w:hAnsi="Palatino Linotype" w:cs="Tahoma"/>
          <w:iCs/>
          <w:sz w:val="22"/>
          <w:szCs w:val="22"/>
          <w:lang w:val="es-ES" w:eastAsia="es-ES_tradnl"/>
        </w:rPr>
        <w:t xml:space="preserve"> remitió </w:t>
      </w:r>
      <w:r w:rsidR="001C5FA4">
        <w:rPr>
          <w:rFonts w:ascii="Palatino Linotype" w:eastAsia="Calibri" w:hAnsi="Palatino Linotype" w:cs="Tahoma"/>
          <w:iCs/>
          <w:sz w:val="22"/>
          <w:szCs w:val="22"/>
          <w:lang w:val="es-ES" w:eastAsia="es-ES_tradnl"/>
        </w:rPr>
        <w:t>un Listado de Personal</w:t>
      </w:r>
      <w:r w:rsidR="001C5FA4" w:rsidRPr="001C5FA4">
        <w:rPr>
          <w:rFonts w:ascii="Palatino Linotype" w:eastAsia="Calibri" w:hAnsi="Palatino Linotype" w:cs="Tahoma"/>
          <w:iCs/>
          <w:sz w:val="22"/>
          <w:szCs w:val="22"/>
          <w:lang w:val="es-ES" w:eastAsia="es-ES_tradnl"/>
        </w:rPr>
        <w:t xml:space="preserve"> correspondiente a la primera quincena de febrero</w:t>
      </w:r>
      <w:r w:rsidRPr="00C8285C">
        <w:rPr>
          <w:rFonts w:ascii="Palatino Linotype" w:eastAsia="Calibri" w:hAnsi="Palatino Linotype" w:cs="Tahoma"/>
          <w:iCs/>
          <w:sz w:val="22"/>
          <w:szCs w:val="22"/>
          <w:lang w:val="es-ES" w:eastAsia="es-ES_tradnl"/>
        </w:rPr>
        <w:t xml:space="preserve"> </w:t>
      </w:r>
      <w:r w:rsidR="001C5FA4">
        <w:rPr>
          <w:rFonts w:ascii="Palatino Linotype" w:eastAsia="Calibri" w:hAnsi="Palatino Linotype" w:cs="Tahoma"/>
          <w:iCs/>
          <w:sz w:val="22"/>
          <w:szCs w:val="22"/>
          <w:lang w:val="es-ES" w:eastAsia="es-ES_tradnl"/>
        </w:rPr>
        <w:t>y el Acuerdo de Clasificación como información reservada la correspondiente a los servidores públicos de la Dirección de Seguridad Pública y Tránsito.</w:t>
      </w:r>
    </w:p>
    <w:p w14:paraId="2D0244DE" w14:textId="77777777" w:rsidR="001C5FA4" w:rsidRDefault="001C5FA4" w:rsidP="00544E9C">
      <w:pPr>
        <w:tabs>
          <w:tab w:val="left" w:pos="4962"/>
        </w:tabs>
        <w:spacing w:line="360" w:lineRule="auto"/>
        <w:jc w:val="both"/>
        <w:rPr>
          <w:rFonts w:ascii="Palatino Linotype" w:eastAsia="Calibri" w:hAnsi="Palatino Linotype" w:cs="Tahoma"/>
          <w:iCs/>
          <w:sz w:val="22"/>
          <w:szCs w:val="22"/>
          <w:lang w:val="es-ES" w:eastAsia="es-ES_tradnl"/>
        </w:rPr>
      </w:pPr>
    </w:p>
    <w:p w14:paraId="4B18C18E" w14:textId="77777777" w:rsidR="001C5FA4" w:rsidRPr="0065231B" w:rsidRDefault="00C8285C" w:rsidP="001C5FA4">
      <w:pPr>
        <w:tabs>
          <w:tab w:val="left" w:pos="4962"/>
        </w:tabs>
        <w:spacing w:line="360" w:lineRule="auto"/>
        <w:jc w:val="both"/>
        <w:rPr>
          <w:rFonts w:ascii="Palatino Linotype" w:eastAsia="Calibri" w:hAnsi="Palatino Linotype" w:cs="Tahoma"/>
          <w:iCs/>
          <w:sz w:val="22"/>
          <w:szCs w:val="22"/>
          <w:lang w:val="es-ES" w:eastAsia="es-ES_tradnl"/>
        </w:rPr>
      </w:pPr>
      <w:r w:rsidRPr="00C8285C">
        <w:rPr>
          <w:rFonts w:ascii="Palatino Linotype" w:eastAsia="Calibri" w:hAnsi="Palatino Linotype" w:cs="Tahoma"/>
          <w:iCs/>
          <w:sz w:val="22"/>
          <w:szCs w:val="22"/>
          <w:lang w:val="es-ES" w:eastAsia="es-ES_tradnl"/>
        </w:rPr>
        <w:t xml:space="preserve">Inconforme con lo previo, el </w:t>
      </w:r>
      <w:r w:rsidR="001C5FA4" w:rsidRPr="00C8285C">
        <w:rPr>
          <w:rFonts w:ascii="Palatino Linotype" w:eastAsia="Calibri" w:hAnsi="Palatino Linotype" w:cs="Tahoma"/>
          <w:iCs/>
          <w:sz w:val="22"/>
          <w:szCs w:val="22"/>
          <w:lang w:val="es-ES" w:eastAsia="es-ES_tradnl"/>
        </w:rPr>
        <w:t xml:space="preserve">Particular </w:t>
      </w:r>
      <w:r w:rsidRPr="00C8285C">
        <w:rPr>
          <w:rFonts w:ascii="Palatino Linotype" w:eastAsia="Calibri" w:hAnsi="Palatino Linotype" w:cs="Tahoma"/>
          <w:iCs/>
          <w:sz w:val="22"/>
          <w:szCs w:val="22"/>
          <w:lang w:val="es-ES" w:eastAsia="es-ES_tradnl"/>
        </w:rPr>
        <w:t xml:space="preserve">interpuso </w:t>
      </w:r>
      <w:r w:rsidR="00543F13" w:rsidRPr="00C8285C">
        <w:rPr>
          <w:rFonts w:ascii="Palatino Linotype" w:eastAsia="Calibri" w:hAnsi="Palatino Linotype" w:cs="Tahoma"/>
          <w:iCs/>
          <w:sz w:val="22"/>
          <w:szCs w:val="22"/>
          <w:lang w:val="es-ES" w:eastAsia="es-ES_tradnl"/>
        </w:rPr>
        <w:t xml:space="preserve">Recurso </w:t>
      </w:r>
      <w:r w:rsidRPr="00C8285C">
        <w:rPr>
          <w:rFonts w:ascii="Palatino Linotype" w:eastAsia="Calibri" w:hAnsi="Palatino Linotype" w:cs="Tahoma"/>
          <w:iCs/>
          <w:sz w:val="22"/>
          <w:szCs w:val="22"/>
          <w:lang w:val="es-ES" w:eastAsia="es-ES_tradnl"/>
        </w:rPr>
        <w:t xml:space="preserve">de </w:t>
      </w:r>
      <w:r w:rsidR="00543F13" w:rsidRPr="00C8285C">
        <w:rPr>
          <w:rFonts w:ascii="Palatino Linotype" w:eastAsia="Calibri" w:hAnsi="Palatino Linotype" w:cs="Tahoma"/>
          <w:iCs/>
          <w:sz w:val="22"/>
          <w:szCs w:val="22"/>
          <w:lang w:val="es-ES" w:eastAsia="es-ES_tradnl"/>
        </w:rPr>
        <w:t>Revisión</w:t>
      </w:r>
      <w:r w:rsidRPr="00C8285C">
        <w:rPr>
          <w:rFonts w:ascii="Palatino Linotype" w:eastAsia="Calibri" w:hAnsi="Palatino Linotype" w:cs="Tahoma"/>
          <w:iCs/>
          <w:sz w:val="22"/>
          <w:szCs w:val="22"/>
          <w:lang w:val="es-ES" w:eastAsia="es-ES_tradnl"/>
        </w:rPr>
        <w:t>, al considerar que</w:t>
      </w:r>
      <w:r w:rsidR="009048A8">
        <w:rPr>
          <w:rFonts w:ascii="Palatino Linotype" w:eastAsia="Calibri" w:hAnsi="Palatino Linotype" w:cs="Tahoma"/>
          <w:iCs/>
          <w:sz w:val="22"/>
          <w:szCs w:val="22"/>
          <w:lang w:val="es-ES" w:eastAsia="es-ES_tradnl"/>
        </w:rPr>
        <w:t xml:space="preserve"> le </w:t>
      </w:r>
      <w:r w:rsidR="001C5FA4">
        <w:rPr>
          <w:rFonts w:ascii="Palatino Linotype" w:eastAsia="Calibri" w:hAnsi="Palatino Linotype" w:cs="Tahoma"/>
          <w:iCs/>
          <w:sz w:val="22"/>
          <w:szCs w:val="22"/>
          <w:lang w:val="es-ES" w:eastAsia="es-ES_tradnl"/>
        </w:rPr>
        <w:t xml:space="preserve">niegan la </w:t>
      </w:r>
      <w:r w:rsidR="009048A8">
        <w:rPr>
          <w:rFonts w:ascii="Palatino Linotype" w:eastAsia="Calibri" w:hAnsi="Palatino Linotype" w:cs="Tahoma"/>
          <w:iCs/>
          <w:sz w:val="22"/>
          <w:szCs w:val="22"/>
          <w:lang w:val="es-ES" w:eastAsia="es-ES_tradnl"/>
        </w:rPr>
        <w:t xml:space="preserve">información </w:t>
      </w:r>
      <w:r w:rsidR="00685C12">
        <w:rPr>
          <w:rFonts w:ascii="Palatino Linotype" w:eastAsia="Calibri" w:hAnsi="Palatino Linotype" w:cs="Tahoma"/>
          <w:iCs/>
          <w:sz w:val="22"/>
          <w:szCs w:val="22"/>
          <w:lang w:val="es-ES" w:eastAsia="es-ES_tradnl"/>
        </w:rPr>
        <w:t>solicitada, por lo que</w:t>
      </w:r>
      <w:r w:rsidR="00543F13" w:rsidRPr="00393CA3">
        <w:rPr>
          <w:rFonts w:ascii="Palatino Linotype" w:eastAsia="Calibri" w:hAnsi="Palatino Linotype" w:cs="Tahoma"/>
          <w:iCs/>
          <w:sz w:val="22"/>
          <w:szCs w:val="22"/>
          <w:lang w:eastAsia="es-ES_tradnl"/>
        </w:rPr>
        <w:t xml:space="preserve">, </w:t>
      </w:r>
      <w:r w:rsidR="00685C12">
        <w:rPr>
          <w:rFonts w:ascii="Palatino Linotype" w:eastAsia="Calibri" w:hAnsi="Palatino Linotype" w:cs="Tahoma"/>
          <w:iCs/>
          <w:sz w:val="22"/>
          <w:szCs w:val="22"/>
          <w:lang w:eastAsia="es-ES_tradnl"/>
        </w:rPr>
        <w:t xml:space="preserve">resulta procedente </w:t>
      </w:r>
      <w:r w:rsidR="00543F13" w:rsidRPr="00393CA3">
        <w:rPr>
          <w:rFonts w:ascii="Palatino Linotype" w:eastAsia="Calibri" w:hAnsi="Palatino Linotype" w:cs="Tahoma"/>
          <w:iCs/>
          <w:sz w:val="22"/>
          <w:szCs w:val="22"/>
          <w:lang w:eastAsia="es-ES_tradnl"/>
        </w:rPr>
        <w:t xml:space="preserve">analizar la legalidad de la respuesta emitida por el Ayuntamiento de </w:t>
      </w:r>
      <w:r w:rsidR="001C5FA4">
        <w:rPr>
          <w:rFonts w:ascii="Palatino Linotype" w:eastAsia="Calibri" w:hAnsi="Palatino Linotype" w:cs="Tahoma"/>
          <w:iCs/>
          <w:sz w:val="22"/>
          <w:szCs w:val="22"/>
          <w:lang w:eastAsia="es-ES_tradnl"/>
        </w:rPr>
        <w:t>Atizapán de Zaragoza</w:t>
      </w:r>
      <w:r w:rsidR="00E67E50">
        <w:rPr>
          <w:rFonts w:ascii="Palatino Linotype" w:eastAsia="Calibri" w:hAnsi="Palatino Linotype" w:cs="Tahoma"/>
          <w:iCs/>
          <w:sz w:val="22"/>
          <w:szCs w:val="22"/>
          <w:lang w:eastAsia="es-ES_tradnl"/>
        </w:rPr>
        <w:t xml:space="preserve"> </w:t>
      </w:r>
      <w:r w:rsidR="00543F13" w:rsidRPr="00393CA3">
        <w:rPr>
          <w:rFonts w:ascii="Palatino Linotype" w:eastAsia="Calibri" w:hAnsi="Palatino Linotype" w:cs="Tahoma"/>
          <w:iCs/>
          <w:sz w:val="22"/>
          <w:szCs w:val="22"/>
          <w:lang w:eastAsia="es-ES_tradnl"/>
        </w:rPr>
        <w:t xml:space="preserve">a la luz de los agravios manifestados por el ahora </w:t>
      </w:r>
      <w:r w:rsidR="006A0F75" w:rsidRPr="00393CA3">
        <w:rPr>
          <w:rFonts w:ascii="Palatino Linotype" w:eastAsia="Calibri" w:hAnsi="Palatino Linotype" w:cs="Tahoma"/>
          <w:iCs/>
          <w:sz w:val="22"/>
          <w:szCs w:val="22"/>
          <w:lang w:eastAsia="es-ES_tradnl"/>
        </w:rPr>
        <w:t>Recurrente</w:t>
      </w:r>
      <w:r w:rsidR="00543F13" w:rsidRPr="00393CA3">
        <w:rPr>
          <w:rFonts w:ascii="Palatino Linotype" w:eastAsia="Calibri" w:hAnsi="Palatino Linotype" w:cs="Tahoma"/>
          <w:iCs/>
          <w:sz w:val="22"/>
          <w:szCs w:val="22"/>
          <w:lang w:eastAsia="es-ES_tradnl"/>
        </w:rPr>
        <w:t xml:space="preserve">, </w:t>
      </w:r>
      <w:r w:rsidR="00685C12">
        <w:rPr>
          <w:rFonts w:ascii="Palatino Linotype" w:eastAsia="Calibri" w:hAnsi="Palatino Linotype" w:cs="Tahoma"/>
          <w:iCs/>
          <w:sz w:val="22"/>
          <w:szCs w:val="22"/>
          <w:lang w:val="es-ES" w:eastAsia="es-ES_tradnl"/>
        </w:rPr>
        <w:t xml:space="preserve">de acuerdo al </w:t>
      </w:r>
      <w:r w:rsidR="001C5FA4" w:rsidRPr="0065231B">
        <w:rPr>
          <w:rFonts w:ascii="Palatino Linotype" w:eastAsia="Calibri" w:hAnsi="Palatino Linotype" w:cs="Tahoma"/>
          <w:iCs/>
          <w:sz w:val="22"/>
          <w:szCs w:val="22"/>
          <w:lang w:val="es-ES" w:eastAsia="es-ES_tradnl"/>
        </w:rPr>
        <w:t xml:space="preserve">supuesto previsto en el artículo 179, fracción </w:t>
      </w:r>
      <w:r w:rsidR="00685C12">
        <w:rPr>
          <w:rFonts w:ascii="Palatino Linotype" w:eastAsia="Calibri" w:hAnsi="Palatino Linotype" w:cs="Tahoma"/>
          <w:iCs/>
          <w:sz w:val="22"/>
          <w:szCs w:val="22"/>
          <w:lang w:val="es-ES" w:eastAsia="es-ES_tradnl"/>
        </w:rPr>
        <w:t>I</w:t>
      </w:r>
      <w:r w:rsidR="001C5FA4" w:rsidRPr="0065231B">
        <w:rPr>
          <w:rFonts w:ascii="Palatino Linotype" w:eastAsia="Calibri" w:hAnsi="Palatino Linotype" w:cs="Tahoma"/>
          <w:iCs/>
          <w:sz w:val="22"/>
          <w:szCs w:val="22"/>
          <w:lang w:val="es-ES" w:eastAsia="es-ES_tradnl"/>
        </w:rPr>
        <w:t>, de la Ley de Transparencia y Acceso a la Información Pública del Estado de México y Municipios; correspondiente a -</w:t>
      </w:r>
      <w:r w:rsidR="001C5FA4" w:rsidRPr="0065231B">
        <w:rPr>
          <w:rFonts w:ascii="Palatino Linotype" w:eastAsia="Calibri" w:hAnsi="Palatino Linotype" w:cs="Tahoma"/>
          <w:b/>
          <w:iCs/>
          <w:sz w:val="22"/>
          <w:szCs w:val="22"/>
          <w:lang w:val="es-ES" w:eastAsia="es-ES_tradnl"/>
        </w:rPr>
        <w:t xml:space="preserve">La </w:t>
      </w:r>
      <w:r w:rsidR="00685C12">
        <w:rPr>
          <w:rFonts w:ascii="Palatino Linotype" w:eastAsia="Calibri" w:hAnsi="Palatino Linotype" w:cs="Tahoma"/>
          <w:b/>
          <w:iCs/>
          <w:sz w:val="22"/>
          <w:szCs w:val="22"/>
          <w:lang w:val="es-ES" w:eastAsia="es-ES_tradnl"/>
        </w:rPr>
        <w:t>negativo a la información solicitada</w:t>
      </w:r>
      <w:r w:rsidR="001C5FA4" w:rsidRPr="0065231B">
        <w:rPr>
          <w:rFonts w:ascii="Palatino Linotype" w:eastAsia="Calibri" w:hAnsi="Palatino Linotype" w:cs="Tahoma"/>
          <w:b/>
          <w:iCs/>
          <w:sz w:val="22"/>
          <w:szCs w:val="22"/>
          <w:lang w:val="es-ES" w:eastAsia="es-ES_tradnl"/>
        </w:rPr>
        <w:t>-.</w:t>
      </w:r>
    </w:p>
    <w:p w14:paraId="0FC63450" w14:textId="77777777" w:rsidR="00543F13" w:rsidRPr="00393CA3" w:rsidRDefault="00543F13" w:rsidP="00544E9C">
      <w:pPr>
        <w:spacing w:line="360" w:lineRule="auto"/>
        <w:jc w:val="both"/>
        <w:rPr>
          <w:rFonts w:ascii="Palatino Linotype" w:hAnsi="Palatino Linotype" w:cs="Tahoma"/>
          <w:sz w:val="22"/>
          <w:szCs w:val="22"/>
        </w:rPr>
      </w:pPr>
    </w:p>
    <w:p w14:paraId="41D19EBB" w14:textId="77777777" w:rsidR="00B37CF8" w:rsidRPr="00985849" w:rsidRDefault="00B37CF8" w:rsidP="00544E9C">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21C33238" w14:textId="77777777" w:rsidR="00B37CF8" w:rsidRPr="00985849" w:rsidRDefault="00B37CF8" w:rsidP="00544E9C">
      <w:pPr>
        <w:spacing w:line="360" w:lineRule="auto"/>
        <w:ind w:right="-93"/>
        <w:jc w:val="both"/>
        <w:rPr>
          <w:rFonts w:ascii="Palatino Linotype" w:hAnsi="Palatino Linotype" w:cs="Tahoma"/>
          <w:b/>
          <w:sz w:val="22"/>
          <w:szCs w:val="22"/>
        </w:rPr>
      </w:pPr>
    </w:p>
    <w:p w14:paraId="586A505B" w14:textId="77777777" w:rsidR="00B37CF8" w:rsidRPr="00985849" w:rsidRDefault="00B37CF8" w:rsidP="00544E9C">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998DE0" w14:textId="77777777" w:rsidR="00632E78" w:rsidRDefault="00632E78" w:rsidP="00544E9C">
      <w:pPr>
        <w:spacing w:line="360" w:lineRule="auto"/>
        <w:jc w:val="both"/>
        <w:rPr>
          <w:rFonts w:ascii="Palatino Linotype" w:hAnsi="Palatino Linotype" w:cs="Tahoma"/>
          <w:sz w:val="22"/>
          <w:szCs w:val="22"/>
        </w:rPr>
      </w:pPr>
    </w:p>
    <w:p w14:paraId="7AE4838B" w14:textId="77777777" w:rsidR="00B37CF8" w:rsidRPr="00985849" w:rsidRDefault="00B37CF8" w:rsidP="00544E9C">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B975C0B" w14:textId="77777777" w:rsidR="00B37CF8" w:rsidRPr="00985849" w:rsidRDefault="00B37CF8" w:rsidP="00544E9C">
      <w:pPr>
        <w:spacing w:line="360" w:lineRule="auto"/>
        <w:jc w:val="both"/>
        <w:rPr>
          <w:rFonts w:ascii="Palatino Linotype" w:hAnsi="Palatino Linotype" w:cs="Tahoma"/>
          <w:sz w:val="22"/>
          <w:szCs w:val="22"/>
        </w:rPr>
      </w:pPr>
    </w:p>
    <w:p w14:paraId="68B2CA44" w14:textId="77777777" w:rsidR="00B37CF8" w:rsidRPr="00985849" w:rsidRDefault="00B37CF8" w:rsidP="00544E9C">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E067C5A" w14:textId="77777777" w:rsidR="00B37CF8" w:rsidRPr="00985849" w:rsidRDefault="00B37CF8" w:rsidP="00544E9C">
      <w:pPr>
        <w:spacing w:line="360" w:lineRule="auto"/>
        <w:jc w:val="both"/>
        <w:rPr>
          <w:rFonts w:ascii="Palatino Linotype" w:hAnsi="Palatino Linotype" w:cs="Tahoma"/>
          <w:sz w:val="22"/>
          <w:szCs w:val="22"/>
        </w:rPr>
      </w:pPr>
    </w:p>
    <w:p w14:paraId="49DD66E1" w14:textId="77777777" w:rsidR="00B37CF8" w:rsidRPr="00985849" w:rsidRDefault="00B37CF8" w:rsidP="00544E9C">
      <w:pPr>
        <w:spacing w:line="360" w:lineRule="auto"/>
        <w:jc w:val="both"/>
        <w:rPr>
          <w:rFonts w:ascii="Palatino Linotype" w:hAnsi="Palatino Linotype" w:cs="Tahoma"/>
          <w:sz w:val="22"/>
          <w:szCs w:val="22"/>
        </w:rPr>
      </w:pPr>
      <w:r w:rsidRPr="00985849">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DC0ABF1" w14:textId="77777777" w:rsidR="00B37CF8" w:rsidRPr="00985849" w:rsidRDefault="00B37CF8" w:rsidP="00544E9C">
      <w:pPr>
        <w:spacing w:line="360" w:lineRule="auto"/>
        <w:jc w:val="both"/>
        <w:rPr>
          <w:rFonts w:ascii="Palatino Linotype" w:hAnsi="Palatino Linotype" w:cs="Tahoma"/>
          <w:sz w:val="22"/>
          <w:szCs w:val="22"/>
        </w:rPr>
      </w:pPr>
    </w:p>
    <w:p w14:paraId="73910D19" w14:textId="77777777" w:rsidR="00B37CF8" w:rsidRPr="00985849" w:rsidRDefault="00B37CF8" w:rsidP="00544E9C">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EB05C0A" w14:textId="77777777" w:rsidR="00B37CF8" w:rsidRPr="00985849" w:rsidRDefault="00B37CF8" w:rsidP="00544E9C">
      <w:pPr>
        <w:spacing w:line="360" w:lineRule="auto"/>
        <w:jc w:val="both"/>
        <w:rPr>
          <w:rFonts w:ascii="Palatino Linotype" w:hAnsi="Palatino Linotype" w:cs="Tahoma"/>
          <w:sz w:val="22"/>
          <w:szCs w:val="22"/>
        </w:rPr>
      </w:pPr>
    </w:p>
    <w:p w14:paraId="6EC7AB18" w14:textId="77777777" w:rsidR="00B37CF8" w:rsidRPr="00985849" w:rsidRDefault="00B37CF8" w:rsidP="00544E9C">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7CFBB226" w14:textId="77777777" w:rsidR="00632E78" w:rsidRDefault="00632E78" w:rsidP="00544E9C">
      <w:pPr>
        <w:spacing w:line="360" w:lineRule="auto"/>
        <w:jc w:val="both"/>
        <w:rPr>
          <w:rFonts w:ascii="Palatino Linotype" w:hAnsi="Palatino Linotype" w:cs="Tahoma"/>
          <w:sz w:val="22"/>
          <w:szCs w:val="22"/>
        </w:rPr>
      </w:pPr>
    </w:p>
    <w:p w14:paraId="5EEE5483" w14:textId="77777777" w:rsidR="00B37CF8" w:rsidRPr="00985849" w:rsidRDefault="00B37CF8" w:rsidP="00544E9C">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782D1767" w14:textId="77777777" w:rsidR="00B37CF8" w:rsidRPr="00985849" w:rsidRDefault="00B37CF8" w:rsidP="00544E9C">
      <w:pPr>
        <w:spacing w:line="360" w:lineRule="auto"/>
        <w:jc w:val="both"/>
        <w:rPr>
          <w:rFonts w:ascii="Palatino Linotype" w:hAnsi="Palatino Linotype" w:cs="Tahoma"/>
          <w:sz w:val="22"/>
          <w:szCs w:val="22"/>
        </w:rPr>
      </w:pPr>
    </w:p>
    <w:p w14:paraId="74E7C73F" w14:textId="77777777" w:rsidR="00B37CF8" w:rsidRPr="00985849" w:rsidRDefault="00B37CF8" w:rsidP="00544E9C">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7AD3AD66" w14:textId="77777777" w:rsidR="00B37CF8" w:rsidRPr="00985849" w:rsidRDefault="00B37CF8" w:rsidP="00544E9C">
      <w:pPr>
        <w:spacing w:line="360" w:lineRule="auto"/>
        <w:jc w:val="both"/>
        <w:rPr>
          <w:rFonts w:ascii="Palatino Linotype" w:hAnsi="Palatino Linotype" w:cs="Tahoma"/>
          <w:sz w:val="22"/>
          <w:szCs w:val="22"/>
        </w:rPr>
      </w:pPr>
    </w:p>
    <w:p w14:paraId="25B02974" w14:textId="77777777" w:rsidR="00B37CF8" w:rsidRDefault="00B37CF8" w:rsidP="00544E9C">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sidR="00956793">
        <w:rPr>
          <w:rFonts w:ascii="Palatino Linotype" w:hAnsi="Palatino Linotype" w:cs="Tahoma"/>
          <w:sz w:val="22"/>
          <w:szCs w:val="22"/>
        </w:rPr>
        <w:t>Obligado</w:t>
      </w:r>
      <w:r w:rsidRPr="00985849">
        <w:rPr>
          <w:rFonts w:ascii="Palatino Linotype" w:hAnsi="Palatino Linotype" w:cs="Tahoma"/>
          <w:sz w:val="22"/>
          <w:szCs w:val="22"/>
        </w:rPr>
        <w:t>s.</w:t>
      </w:r>
    </w:p>
    <w:p w14:paraId="7233034E" w14:textId="77777777" w:rsidR="00685C12" w:rsidRPr="00985849" w:rsidRDefault="00685C12" w:rsidP="00544E9C">
      <w:pPr>
        <w:spacing w:line="360" w:lineRule="auto"/>
        <w:jc w:val="both"/>
        <w:rPr>
          <w:rFonts w:ascii="Palatino Linotype" w:hAnsi="Palatino Linotype" w:cs="Tahoma"/>
          <w:sz w:val="22"/>
          <w:szCs w:val="22"/>
        </w:rPr>
      </w:pPr>
    </w:p>
    <w:p w14:paraId="2A12C212" w14:textId="77777777" w:rsidR="00237D0D" w:rsidRPr="00985849" w:rsidRDefault="00B37CF8" w:rsidP="00544E9C">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lastRenderedPageBreak/>
        <w:t>QUINTO</w:t>
      </w:r>
      <w:r w:rsidR="009617D3" w:rsidRPr="00985849">
        <w:rPr>
          <w:rFonts w:ascii="Palatino Linotype" w:hAnsi="Palatino Linotype" w:cs="Tahoma"/>
          <w:b/>
          <w:sz w:val="22"/>
          <w:szCs w:val="22"/>
          <w:lang w:val="es-ES"/>
        </w:rPr>
        <w:t>. Estudio de Fondo.</w:t>
      </w:r>
    </w:p>
    <w:p w14:paraId="2CABF466" w14:textId="77777777" w:rsidR="00264223" w:rsidRPr="00985849" w:rsidRDefault="00264223" w:rsidP="00544E9C">
      <w:pPr>
        <w:spacing w:line="360" w:lineRule="auto"/>
        <w:ind w:right="-93"/>
        <w:jc w:val="both"/>
        <w:rPr>
          <w:rFonts w:ascii="Palatino Linotype" w:hAnsi="Palatino Linotype" w:cs="Tahoma"/>
          <w:b/>
          <w:sz w:val="22"/>
          <w:szCs w:val="22"/>
          <w:lang w:val="es-ES"/>
        </w:rPr>
      </w:pPr>
    </w:p>
    <w:p w14:paraId="5BCBA7F2" w14:textId="77777777" w:rsidR="006A0F75" w:rsidRPr="00393CA3" w:rsidRDefault="006A0F75" w:rsidP="00544E9C">
      <w:pPr>
        <w:spacing w:line="360" w:lineRule="auto"/>
        <w:jc w:val="both"/>
        <w:rPr>
          <w:rFonts w:ascii="Palatino Linotype" w:hAnsi="Palatino Linotype" w:cs="Tahoma"/>
          <w:sz w:val="22"/>
          <w:szCs w:val="22"/>
        </w:rPr>
      </w:pPr>
      <w:r w:rsidRPr="00393CA3">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2EF6E647" w14:textId="77777777" w:rsidR="006A0F75" w:rsidRPr="00393CA3" w:rsidRDefault="006A0F75" w:rsidP="00544E9C">
      <w:pPr>
        <w:spacing w:line="360" w:lineRule="auto"/>
        <w:jc w:val="both"/>
        <w:rPr>
          <w:rFonts w:ascii="Palatino Linotype" w:hAnsi="Palatino Linotype" w:cs="Tahoma"/>
          <w:sz w:val="22"/>
          <w:szCs w:val="22"/>
        </w:rPr>
      </w:pPr>
    </w:p>
    <w:p w14:paraId="50ECF2D4" w14:textId="77777777" w:rsidR="006A0F75" w:rsidRDefault="006A0F75" w:rsidP="00544E9C">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En ese contexto, en principio se debe señalar que se omite el estudio de la naturaleza jurídica de la información pública solicitada, en virtud de que el Ayuntamiento de </w:t>
      </w:r>
      <w:r w:rsidR="003509D0">
        <w:rPr>
          <w:rFonts w:ascii="Palatino Linotype" w:hAnsi="Palatino Linotype" w:cs="Tahoma"/>
          <w:sz w:val="22"/>
          <w:szCs w:val="22"/>
        </w:rPr>
        <w:t>Atizapán de Zaragoza</w:t>
      </w:r>
      <w:r w:rsidRPr="00393CA3">
        <w:rPr>
          <w:rFonts w:ascii="Palatino Linotype" w:hAnsi="Palatino Linotype" w:cs="Tahoma"/>
          <w:sz w:val="22"/>
          <w:szCs w:val="22"/>
        </w:rPr>
        <w:t>, mediante respuesta</w:t>
      </w:r>
      <w:r>
        <w:rPr>
          <w:rFonts w:ascii="Palatino Linotype" w:hAnsi="Palatino Linotype" w:cs="Tahoma"/>
          <w:sz w:val="22"/>
          <w:szCs w:val="22"/>
        </w:rPr>
        <w:t xml:space="preserve"> se pronunció respecto de la información</w:t>
      </w:r>
      <w:r w:rsidRPr="00393CA3">
        <w:rPr>
          <w:rFonts w:ascii="Palatino Linotype" w:hAnsi="Palatino Linotype" w:cs="Tahoma"/>
          <w:sz w:val="22"/>
          <w:szCs w:val="22"/>
        </w:rPr>
        <w:t>;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D2CA255" w14:textId="77777777" w:rsidR="006A0F75" w:rsidRPr="00393CA3" w:rsidRDefault="006A0F75" w:rsidP="00544E9C">
      <w:pPr>
        <w:spacing w:line="360" w:lineRule="auto"/>
        <w:jc w:val="both"/>
        <w:rPr>
          <w:rFonts w:ascii="Palatino Linotype" w:hAnsi="Palatino Linotype" w:cs="Tahoma"/>
          <w:sz w:val="22"/>
          <w:szCs w:val="22"/>
        </w:rPr>
      </w:pPr>
    </w:p>
    <w:p w14:paraId="245C5F43" w14:textId="77777777" w:rsidR="006A0F75" w:rsidRPr="006A0F75" w:rsidRDefault="006A0F75" w:rsidP="00544E9C">
      <w:pPr>
        <w:spacing w:line="360" w:lineRule="auto"/>
        <w:ind w:right="-93"/>
        <w:jc w:val="both"/>
        <w:rPr>
          <w:rFonts w:ascii="Palatino Linotype" w:eastAsia="Calibri" w:hAnsi="Palatino Linotype" w:cs="Tahoma"/>
          <w:bCs/>
          <w:sz w:val="22"/>
          <w:szCs w:val="22"/>
          <w:lang w:eastAsia="en-US"/>
        </w:rPr>
      </w:pPr>
      <w:r w:rsidRPr="006A0F75">
        <w:rPr>
          <w:rFonts w:ascii="Palatino Linotype" w:eastAsia="Calibri" w:hAnsi="Palatino Linotype" w:cs="Tahoma"/>
          <w:bCs/>
          <w:sz w:val="22"/>
          <w:szCs w:val="22"/>
          <w:lang w:eastAsia="en-US"/>
        </w:rPr>
        <w:t>En ese orden de ideas, es importante señalar que, el artículo 4</w:t>
      </w:r>
      <w:r w:rsidR="00A7008F">
        <w:rPr>
          <w:rFonts w:ascii="Palatino Linotype" w:eastAsia="Calibri" w:hAnsi="Palatino Linotype" w:cs="Tahoma"/>
          <w:bCs/>
          <w:sz w:val="22"/>
          <w:szCs w:val="22"/>
          <w:lang w:eastAsia="en-US"/>
        </w:rPr>
        <w:t>°</w:t>
      </w:r>
      <w:r w:rsidRPr="006A0F75">
        <w:rPr>
          <w:rFonts w:ascii="Palatino Linotype" w:eastAsia="Calibri" w:hAnsi="Palatino Linotype" w:cs="Tahoma"/>
          <w:bCs/>
          <w:sz w:val="22"/>
          <w:szCs w:val="22"/>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6BF52A7" w14:textId="77777777" w:rsidR="006A0F75" w:rsidRPr="006A0F75" w:rsidRDefault="006A0F75" w:rsidP="00544E9C">
      <w:pPr>
        <w:spacing w:line="360" w:lineRule="auto"/>
        <w:ind w:right="-93"/>
        <w:jc w:val="both"/>
        <w:rPr>
          <w:rFonts w:ascii="Palatino Linotype" w:eastAsia="Calibri" w:hAnsi="Palatino Linotype" w:cs="Tahoma"/>
          <w:bCs/>
          <w:sz w:val="22"/>
          <w:szCs w:val="22"/>
          <w:lang w:eastAsia="en-US"/>
        </w:rPr>
      </w:pPr>
    </w:p>
    <w:p w14:paraId="74D284D1" w14:textId="77777777" w:rsidR="006A0F75" w:rsidRPr="006A0F75" w:rsidRDefault="006A0F75" w:rsidP="00544E9C">
      <w:pPr>
        <w:spacing w:line="360" w:lineRule="auto"/>
        <w:ind w:right="-93"/>
        <w:jc w:val="both"/>
        <w:rPr>
          <w:rFonts w:ascii="Palatino Linotype" w:eastAsia="Calibri" w:hAnsi="Palatino Linotype" w:cs="Tahoma"/>
          <w:bCs/>
          <w:sz w:val="22"/>
          <w:szCs w:val="22"/>
          <w:lang w:eastAsia="en-US"/>
        </w:rPr>
      </w:pPr>
      <w:r w:rsidRPr="006A0F75">
        <w:rPr>
          <w:rFonts w:ascii="Palatino Linotype" w:eastAsia="Calibri" w:hAnsi="Palatino Linotype"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4B3E2FF3" w14:textId="77777777" w:rsidR="006A0F75" w:rsidRPr="006A0F75" w:rsidRDefault="006A0F75" w:rsidP="00544E9C">
      <w:pPr>
        <w:spacing w:line="360" w:lineRule="auto"/>
        <w:ind w:right="-93"/>
        <w:jc w:val="both"/>
        <w:rPr>
          <w:rFonts w:ascii="Palatino Linotype" w:eastAsia="Calibri" w:hAnsi="Palatino Linotype" w:cs="Tahoma"/>
          <w:bCs/>
          <w:sz w:val="22"/>
          <w:szCs w:val="22"/>
          <w:lang w:eastAsia="en-US"/>
        </w:rPr>
      </w:pPr>
    </w:p>
    <w:p w14:paraId="2BC25804" w14:textId="77777777" w:rsidR="006A0F75" w:rsidRPr="006A0F75" w:rsidRDefault="006A0F75" w:rsidP="00544E9C">
      <w:pPr>
        <w:spacing w:line="360" w:lineRule="auto"/>
        <w:ind w:right="-93"/>
        <w:jc w:val="both"/>
        <w:rPr>
          <w:rFonts w:ascii="Palatino Linotype" w:eastAsia="Calibri" w:hAnsi="Palatino Linotype" w:cs="Tahoma"/>
          <w:bCs/>
          <w:sz w:val="22"/>
          <w:szCs w:val="22"/>
          <w:lang w:eastAsia="en-US"/>
        </w:rPr>
      </w:pPr>
      <w:r w:rsidRPr="006A0F75">
        <w:rPr>
          <w:rFonts w:ascii="Palatino Linotype" w:eastAsia="Calibri" w:hAnsi="Palatino Linotype" w:cs="Tahoma"/>
          <w:bCs/>
          <w:sz w:val="22"/>
          <w:szCs w:val="22"/>
          <w:lang w:eastAsia="en-US"/>
        </w:rPr>
        <w:t>En síntesis,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9B76A04" w14:textId="77777777" w:rsidR="006A0F75" w:rsidRPr="006A0F75" w:rsidRDefault="006A0F75" w:rsidP="00544E9C">
      <w:pPr>
        <w:spacing w:line="360" w:lineRule="auto"/>
        <w:ind w:right="-93"/>
        <w:jc w:val="both"/>
        <w:rPr>
          <w:rFonts w:ascii="Palatino Linotype" w:eastAsia="Calibri" w:hAnsi="Palatino Linotype" w:cs="Tahoma"/>
          <w:bCs/>
          <w:sz w:val="22"/>
          <w:szCs w:val="22"/>
          <w:lang w:eastAsia="en-US"/>
        </w:rPr>
      </w:pPr>
    </w:p>
    <w:p w14:paraId="6C6B101D" w14:textId="77777777" w:rsidR="006A0F75" w:rsidRPr="006A0F75" w:rsidRDefault="006A0F75" w:rsidP="00544E9C">
      <w:pPr>
        <w:spacing w:line="360" w:lineRule="auto"/>
        <w:ind w:right="-93"/>
        <w:jc w:val="both"/>
        <w:rPr>
          <w:rFonts w:ascii="Palatino Linotype" w:eastAsia="Calibri" w:hAnsi="Palatino Linotype" w:cs="Tahoma"/>
          <w:bCs/>
          <w:sz w:val="22"/>
          <w:szCs w:val="22"/>
          <w:lang w:eastAsia="en-US"/>
        </w:rPr>
      </w:pPr>
      <w:r w:rsidRPr="006A0F75">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56219E" w14:textId="77777777" w:rsidR="006A0F75" w:rsidRPr="006A0F75" w:rsidRDefault="006A0F75" w:rsidP="00544E9C">
      <w:pPr>
        <w:spacing w:line="360" w:lineRule="auto"/>
        <w:ind w:right="-93"/>
        <w:jc w:val="both"/>
        <w:rPr>
          <w:rFonts w:ascii="Palatino Linotype" w:eastAsia="Calibri" w:hAnsi="Palatino Linotype" w:cs="Tahoma"/>
          <w:bCs/>
          <w:sz w:val="22"/>
          <w:szCs w:val="22"/>
          <w:lang w:eastAsia="en-US"/>
        </w:rPr>
      </w:pPr>
    </w:p>
    <w:p w14:paraId="1D54989F" w14:textId="1839C746" w:rsidR="003509D0" w:rsidRPr="007477D6" w:rsidRDefault="006A0F75" w:rsidP="00544E9C">
      <w:pPr>
        <w:spacing w:line="360" w:lineRule="auto"/>
        <w:ind w:right="-93"/>
        <w:jc w:val="both"/>
        <w:rPr>
          <w:rFonts w:ascii="Palatino Linotype" w:eastAsia="Calibri" w:hAnsi="Palatino Linotype" w:cs="Tahoma"/>
          <w:bCs/>
          <w:sz w:val="22"/>
          <w:szCs w:val="22"/>
          <w:lang w:eastAsia="en-US"/>
        </w:rPr>
      </w:pPr>
      <w:r w:rsidRPr="006A0F75">
        <w:rPr>
          <w:rFonts w:ascii="Palatino Linotype" w:eastAsia="Calibri" w:hAnsi="Palatino Linotype" w:cs="Tahoma"/>
          <w:bCs/>
          <w:sz w:val="22"/>
          <w:szCs w:val="22"/>
          <w:lang w:eastAsia="en-US"/>
        </w:rPr>
        <w:t xml:space="preserve">Conforme a lo precisado y atento a la solicitud del Particular referente a la </w:t>
      </w:r>
      <w:r w:rsidR="003509D0" w:rsidRPr="003509D0">
        <w:rPr>
          <w:rFonts w:ascii="Palatino Linotype" w:eastAsia="Calibri" w:hAnsi="Palatino Linotype" w:cs="Tahoma"/>
          <w:bCs/>
          <w:sz w:val="22"/>
          <w:szCs w:val="22"/>
          <w:lang w:eastAsia="en-US"/>
        </w:rPr>
        <w:t>nómina clasificada por Direcciones Generales o bien por áreas de adscripción que integre nombre completo, cargo o puesto incluyendo todos los miembros del cabildo del Ayunt</w:t>
      </w:r>
      <w:r w:rsidR="003509D0">
        <w:rPr>
          <w:rFonts w:ascii="Palatino Linotype" w:eastAsia="Calibri" w:hAnsi="Palatino Linotype" w:cs="Tahoma"/>
          <w:bCs/>
          <w:sz w:val="22"/>
          <w:szCs w:val="22"/>
          <w:lang w:eastAsia="en-US"/>
        </w:rPr>
        <w:t>amiento de Atizapán de Zaragoza</w:t>
      </w:r>
      <w:r w:rsidRPr="006A0F75">
        <w:rPr>
          <w:rFonts w:ascii="Palatino Linotype" w:eastAsia="Calibri" w:hAnsi="Palatino Linotype" w:cs="Tahoma"/>
          <w:bCs/>
          <w:sz w:val="22"/>
          <w:szCs w:val="22"/>
          <w:lang w:eastAsia="en-US"/>
        </w:rPr>
        <w:t>, el Sujeto Obligado en respuesta</w:t>
      </w:r>
      <w:r w:rsidRPr="006A0F75">
        <w:rPr>
          <w:rFonts w:ascii="Palatino Linotype" w:hAnsi="Palatino Linotype"/>
          <w:sz w:val="22"/>
          <w:szCs w:val="22"/>
        </w:rPr>
        <w:t xml:space="preserve"> </w:t>
      </w:r>
      <w:r w:rsidR="003509D0" w:rsidRPr="003509D0">
        <w:rPr>
          <w:rFonts w:ascii="Palatino Linotype" w:hAnsi="Palatino Linotype"/>
          <w:sz w:val="22"/>
          <w:szCs w:val="22"/>
        </w:rPr>
        <w:t>remitió un Listado de Personal correspondiente a la primera quincena de febrero y el Acuerdo de Clasificación como información reservada la correspondiente a los servidores públicos de la Dirección de Seguridad Pública y Tránsito.</w:t>
      </w:r>
    </w:p>
    <w:p w14:paraId="516FC6A8" w14:textId="77777777" w:rsidR="006A0F75" w:rsidRPr="006A0F75" w:rsidRDefault="006A0F75" w:rsidP="00544E9C">
      <w:pPr>
        <w:spacing w:line="360" w:lineRule="auto"/>
        <w:ind w:right="-93"/>
        <w:jc w:val="both"/>
        <w:rPr>
          <w:rFonts w:ascii="Palatino Linotype" w:eastAsia="Calibri" w:hAnsi="Palatino Linotype" w:cs="Tahoma"/>
          <w:bCs/>
          <w:sz w:val="22"/>
          <w:szCs w:val="22"/>
          <w:lang w:eastAsia="en-US"/>
        </w:rPr>
      </w:pPr>
    </w:p>
    <w:p w14:paraId="4824EC07" w14:textId="77777777" w:rsidR="00915C1F" w:rsidRDefault="00EC762B" w:rsidP="00544E9C">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 xml:space="preserve">Aunado a lo anterior, es necesario contextualizar la solicitud de información, para lo cual, resulta necesario precisar </w:t>
      </w:r>
      <w:r w:rsidR="00915C1F">
        <w:rPr>
          <w:rFonts w:ascii="Palatino Linotype" w:eastAsia="Calibri" w:hAnsi="Palatino Linotype" w:cs="Tahoma"/>
          <w:bCs/>
          <w:sz w:val="22"/>
          <w:szCs w:val="22"/>
          <w:lang w:eastAsia="en-US"/>
        </w:rPr>
        <w:t xml:space="preserve">lo que </w:t>
      </w:r>
      <w:r w:rsidR="00CB0D06">
        <w:rPr>
          <w:rFonts w:ascii="Palatino Linotype" w:eastAsia="Calibri" w:hAnsi="Palatino Linotype" w:cs="Tahoma"/>
          <w:bCs/>
          <w:sz w:val="22"/>
          <w:szCs w:val="22"/>
          <w:lang w:eastAsia="en-US"/>
        </w:rPr>
        <w:t>puede entenderse por nómina:</w:t>
      </w:r>
    </w:p>
    <w:p w14:paraId="4B7FAFF2" w14:textId="77777777" w:rsidR="00915C1F" w:rsidRPr="00915C1F" w:rsidRDefault="00915C1F" w:rsidP="00544E9C">
      <w:pPr>
        <w:spacing w:line="360" w:lineRule="auto"/>
        <w:ind w:right="-93"/>
        <w:jc w:val="both"/>
        <w:rPr>
          <w:rFonts w:ascii="Palatino Linotype" w:eastAsia="Calibri" w:hAnsi="Palatino Linotype" w:cs="Tahoma"/>
          <w:b/>
          <w:bCs/>
          <w:szCs w:val="22"/>
          <w:lang w:eastAsia="en-US"/>
        </w:rPr>
      </w:pPr>
    </w:p>
    <w:p w14:paraId="7C8DA3DD" w14:textId="77777777" w:rsidR="00EC762B" w:rsidRPr="0081054F" w:rsidRDefault="00915C1F" w:rsidP="00544E9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Al respecto, </w:t>
      </w:r>
      <w:r w:rsidR="00EC762B" w:rsidRPr="0081054F">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8" w:history="1">
        <w:r w:rsidR="00EC762B" w:rsidRPr="00DB11C3">
          <w:rPr>
            <w:rStyle w:val="Hipervnculo"/>
            <w:rFonts w:ascii="Palatino Linotype" w:eastAsia="Calibri" w:hAnsi="Palatino Linotype" w:cs="Tahoma"/>
            <w:bCs/>
            <w:sz w:val="22"/>
            <w:szCs w:val="22"/>
            <w:lang w:eastAsia="en-US"/>
          </w:rPr>
          <w:t>http://www.transparenciapresupuestaria.gob.mx/es/PTP/Glosario</w:t>
        </w:r>
      </w:hyperlink>
      <w:r w:rsidR="00EC762B" w:rsidRPr="0081054F">
        <w:rPr>
          <w:rFonts w:ascii="Palatino Linotype" w:eastAsia="Calibri" w:hAnsi="Palatino Linotype" w:cs="Tahoma"/>
          <w:bCs/>
          <w:sz w:val="22"/>
          <w:szCs w:val="22"/>
          <w:lang w:eastAsia="en-US"/>
        </w:rPr>
        <w:t xml:space="preserve">, consultada el </w:t>
      </w:r>
      <w:r w:rsidR="003509D0">
        <w:rPr>
          <w:rFonts w:ascii="Palatino Linotype" w:eastAsia="Calibri" w:hAnsi="Palatino Linotype" w:cs="Tahoma"/>
          <w:bCs/>
          <w:sz w:val="22"/>
          <w:szCs w:val="22"/>
          <w:lang w:eastAsia="en-US"/>
        </w:rPr>
        <w:t xml:space="preserve">siete de mayo </w:t>
      </w:r>
      <w:r w:rsidR="00EC762B" w:rsidRPr="0081054F">
        <w:rPr>
          <w:rFonts w:ascii="Palatino Linotype" w:eastAsia="Calibri" w:hAnsi="Palatino Linotype" w:cs="Tahoma"/>
          <w:bCs/>
          <w:sz w:val="22"/>
          <w:szCs w:val="22"/>
          <w:lang w:eastAsia="en-US"/>
        </w:rPr>
        <w:t>de dos mil dieci</w:t>
      </w:r>
      <w:r w:rsidR="00402C98">
        <w:rPr>
          <w:rFonts w:ascii="Palatino Linotype" w:eastAsia="Calibri" w:hAnsi="Palatino Linotype" w:cs="Tahoma"/>
          <w:bCs/>
          <w:sz w:val="22"/>
          <w:szCs w:val="22"/>
          <w:lang w:eastAsia="en-US"/>
        </w:rPr>
        <w:t>nueve</w:t>
      </w:r>
      <w:r w:rsidR="00EC762B" w:rsidRPr="0081054F">
        <w:rPr>
          <w:rFonts w:ascii="Palatino Linotype" w:eastAsia="Calibri" w:hAnsi="Palatino Linotype" w:cs="Tahoma"/>
          <w:bCs/>
          <w:sz w:val="22"/>
          <w:szCs w:val="22"/>
          <w:lang w:eastAsia="en-US"/>
        </w:rPr>
        <w:t xml:space="preserve">, a las </w:t>
      </w:r>
      <w:r w:rsidR="003509D0">
        <w:rPr>
          <w:rFonts w:ascii="Palatino Linotype" w:eastAsia="Calibri" w:hAnsi="Palatino Linotype" w:cs="Tahoma"/>
          <w:bCs/>
          <w:sz w:val="22"/>
          <w:szCs w:val="22"/>
          <w:lang w:eastAsia="en-US"/>
        </w:rPr>
        <w:t>doce</w:t>
      </w:r>
      <w:r w:rsidR="00EC762B">
        <w:rPr>
          <w:rFonts w:ascii="Palatino Linotype" w:eastAsia="Calibri" w:hAnsi="Palatino Linotype" w:cs="Tahoma"/>
          <w:bCs/>
          <w:sz w:val="22"/>
          <w:szCs w:val="22"/>
          <w:lang w:eastAsia="en-US"/>
        </w:rPr>
        <w:t xml:space="preserve"> </w:t>
      </w:r>
      <w:r w:rsidR="00EC762B" w:rsidRPr="0081054F">
        <w:rPr>
          <w:rFonts w:ascii="Palatino Linotype" w:eastAsia="Calibri" w:hAnsi="Palatino Linotype" w:cs="Tahoma"/>
          <w:bCs/>
          <w:sz w:val="22"/>
          <w:szCs w:val="22"/>
          <w:lang w:eastAsia="en-US"/>
        </w:rPr>
        <w:t>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0D44407" w14:textId="77777777" w:rsidR="00EC762B" w:rsidRPr="0081054F" w:rsidRDefault="00EC762B" w:rsidP="00544E9C">
      <w:pPr>
        <w:spacing w:line="360" w:lineRule="auto"/>
        <w:ind w:right="-93"/>
        <w:jc w:val="both"/>
        <w:rPr>
          <w:rFonts w:ascii="Palatino Linotype" w:eastAsia="Calibri" w:hAnsi="Palatino Linotype" w:cs="Tahoma"/>
          <w:bCs/>
          <w:sz w:val="22"/>
          <w:szCs w:val="22"/>
          <w:lang w:eastAsia="en-US"/>
        </w:rPr>
      </w:pPr>
    </w:p>
    <w:p w14:paraId="4A42AC5D" w14:textId="77777777" w:rsidR="00EC762B" w:rsidRPr="0081054F" w:rsidRDefault="00EC762B" w:rsidP="00544E9C">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DB11C3">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81054F">
        <w:rPr>
          <w:rFonts w:ascii="Palatino Linotype" w:eastAsia="Calibri" w:hAnsi="Palatino Linotype" w:cs="Tahoma"/>
          <w:bCs/>
          <w:sz w:val="22"/>
          <w:szCs w:val="22"/>
          <w:lang w:eastAsia="en-US"/>
        </w:rPr>
        <w:t xml:space="preserve">, consultada el </w:t>
      </w:r>
      <w:r w:rsidR="003509D0">
        <w:rPr>
          <w:rFonts w:ascii="Palatino Linotype" w:eastAsia="Calibri" w:hAnsi="Palatino Linotype" w:cs="Tahoma"/>
          <w:bCs/>
          <w:sz w:val="22"/>
          <w:szCs w:val="22"/>
          <w:lang w:eastAsia="en-US"/>
        </w:rPr>
        <w:t xml:space="preserve">siete de mayo </w:t>
      </w:r>
      <w:r w:rsidRPr="0081054F">
        <w:rPr>
          <w:rFonts w:ascii="Palatino Linotype" w:eastAsia="Calibri" w:hAnsi="Palatino Linotype" w:cs="Tahoma"/>
          <w:bCs/>
          <w:sz w:val="22"/>
          <w:szCs w:val="22"/>
          <w:lang w:eastAsia="en-US"/>
        </w:rPr>
        <w:t>de dos mil dieci</w:t>
      </w:r>
      <w:r w:rsidR="00402C98">
        <w:rPr>
          <w:rFonts w:ascii="Palatino Linotype" w:eastAsia="Calibri" w:hAnsi="Palatino Linotype" w:cs="Tahoma"/>
          <w:bCs/>
          <w:sz w:val="22"/>
          <w:szCs w:val="22"/>
          <w:lang w:eastAsia="en-US"/>
        </w:rPr>
        <w:t>nueve</w:t>
      </w:r>
      <w:r w:rsidRPr="0081054F">
        <w:rPr>
          <w:rFonts w:ascii="Palatino Linotype" w:eastAsia="Calibri" w:hAnsi="Palatino Linotype" w:cs="Tahoma"/>
          <w:bCs/>
          <w:sz w:val="22"/>
          <w:szCs w:val="22"/>
          <w:lang w:eastAsia="en-US"/>
        </w:rPr>
        <w:t xml:space="preserve">, a las </w:t>
      </w:r>
      <w:r w:rsidR="003509D0">
        <w:rPr>
          <w:rFonts w:ascii="Palatino Linotype" w:eastAsia="Calibri" w:hAnsi="Palatino Linotype" w:cs="Tahoma"/>
          <w:bCs/>
          <w:sz w:val="22"/>
          <w:szCs w:val="22"/>
          <w:lang w:eastAsia="en-US"/>
        </w:rPr>
        <w:t>doce</w:t>
      </w:r>
      <w:r w:rsidRPr="0081054F">
        <w:rPr>
          <w:rFonts w:ascii="Palatino Linotype" w:eastAsia="Calibri" w:hAnsi="Palatino Linotype" w:cs="Tahoma"/>
          <w:bCs/>
          <w:sz w:val="22"/>
          <w:szCs w:val="22"/>
          <w:lang w:eastAsia="en-US"/>
        </w:rPr>
        <w:t xml:space="preserve"> horas con treinta minutos), establece que la Nómina es un listado general de los trabajadores de una institución, en el cual se asientan las percepciones brutas, deducciones y alcance neto de las mismas.</w:t>
      </w:r>
    </w:p>
    <w:p w14:paraId="7ADB543B" w14:textId="77777777" w:rsidR="00EC762B" w:rsidRPr="0081054F" w:rsidRDefault="00EC762B" w:rsidP="00544E9C">
      <w:pPr>
        <w:spacing w:line="360" w:lineRule="auto"/>
        <w:ind w:right="-93"/>
        <w:jc w:val="both"/>
        <w:rPr>
          <w:rFonts w:ascii="Palatino Linotype" w:eastAsia="Calibri" w:hAnsi="Palatino Linotype" w:cs="Tahoma"/>
          <w:bCs/>
          <w:sz w:val="22"/>
          <w:szCs w:val="22"/>
          <w:lang w:eastAsia="en-US"/>
        </w:rPr>
      </w:pPr>
    </w:p>
    <w:p w14:paraId="4B3B6394" w14:textId="77777777" w:rsidR="00EC762B" w:rsidRPr="0081054F" w:rsidRDefault="00EC762B" w:rsidP="00544E9C">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Conforme a lo anterior, se puede advertir que la nómina se puede referir a lo siguiente:</w:t>
      </w:r>
    </w:p>
    <w:p w14:paraId="40680041" w14:textId="77777777" w:rsidR="00EC762B" w:rsidRPr="0081054F" w:rsidRDefault="00EC762B" w:rsidP="00544E9C">
      <w:pPr>
        <w:spacing w:line="360" w:lineRule="auto"/>
        <w:ind w:right="-93"/>
        <w:jc w:val="both"/>
        <w:rPr>
          <w:rFonts w:ascii="Palatino Linotype" w:eastAsia="Calibri" w:hAnsi="Palatino Linotype" w:cs="Tahoma"/>
          <w:bCs/>
          <w:sz w:val="22"/>
          <w:szCs w:val="22"/>
          <w:lang w:eastAsia="en-US"/>
        </w:rPr>
      </w:pPr>
    </w:p>
    <w:p w14:paraId="70DE8F22" w14:textId="77777777" w:rsidR="00EC762B" w:rsidRDefault="00EC762B" w:rsidP="00544E9C">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w:t>
      </w:r>
      <w:r w:rsidRPr="0081054F">
        <w:rPr>
          <w:rFonts w:ascii="Palatino Linotype" w:eastAsia="Calibri" w:hAnsi="Palatino Linotype" w:cs="Tahoma"/>
          <w:bCs/>
          <w:sz w:val="22"/>
          <w:szCs w:val="22"/>
          <w:lang w:eastAsia="en-US"/>
        </w:rPr>
        <w:tab/>
        <w:t>Relación de trabajadores con las percepciones monetarias de cada uno.</w:t>
      </w:r>
    </w:p>
    <w:p w14:paraId="2525FD2B" w14:textId="77777777" w:rsidR="00EC762B" w:rsidRDefault="00EC762B" w:rsidP="00544E9C">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w:t>
      </w:r>
      <w:r w:rsidRPr="0081054F">
        <w:rPr>
          <w:rFonts w:ascii="Palatino Linotype" w:eastAsia="Calibri" w:hAnsi="Palatino Linotype" w:cs="Tahoma"/>
          <w:bCs/>
          <w:sz w:val="22"/>
          <w:szCs w:val="22"/>
          <w:lang w:eastAsia="en-US"/>
        </w:rPr>
        <w:tab/>
        <w:t>Recibo individual que contiene las prestaciones y deducciones de un trabajador.</w:t>
      </w:r>
    </w:p>
    <w:p w14:paraId="3D6E312A" w14:textId="77777777" w:rsidR="00EC762B" w:rsidRPr="0081054F" w:rsidRDefault="00EC762B" w:rsidP="00544E9C">
      <w:pPr>
        <w:spacing w:line="360" w:lineRule="auto"/>
        <w:ind w:left="705" w:right="-93" w:hanging="705"/>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III.</w:t>
      </w:r>
      <w:r w:rsidRPr="0081054F">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4760EA3B" w14:textId="77777777" w:rsidR="00EC762B" w:rsidRPr="0081054F" w:rsidRDefault="00EC762B" w:rsidP="00544E9C">
      <w:pPr>
        <w:spacing w:line="360" w:lineRule="auto"/>
        <w:ind w:right="-93"/>
        <w:jc w:val="both"/>
        <w:rPr>
          <w:rFonts w:ascii="Palatino Linotype" w:eastAsia="Calibri" w:hAnsi="Palatino Linotype" w:cs="Tahoma"/>
          <w:bCs/>
          <w:sz w:val="22"/>
          <w:szCs w:val="22"/>
          <w:lang w:eastAsia="en-US"/>
        </w:rPr>
      </w:pPr>
    </w:p>
    <w:p w14:paraId="6C06A855" w14:textId="6F6B5CF2" w:rsidR="00EC762B" w:rsidRPr="00E549B6" w:rsidRDefault="00EC762B" w:rsidP="00544E9C">
      <w:pPr>
        <w:spacing w:line="360" w:lineRule="auto"/>
        <w:ind w:right="-93"/>
        <w:jc w:val="both"/>
        <w:rPr>
          <w:rFonts w:ascii="Palatino Linotype" w:eastAsia="Calibri" w:hAnsi="Palatino Linotype" w:cs="Tahoma"/>
          <w:b/>
          <w:bCs/>
          <w:sz w:val="22"/>
          <w:szCs w:val="22"/>
          <w:lang w:eastAsia="en-US"/>
        </w:rPr>
      </w:pPr>
      <w:r w:rsidRPr="0081054F">
        <w:rPr>
          <w:rFonts w:ascii="Palatino Linotype" w:eastAsia="Calibri" w:hAnsi="Palatino Linotype" w:cs="Tahoma"/>
          <w:bCs/>
          <w:sz w:val="22"/>
          <w:szCs w:val="22"/>
          <w:lang w:eastAsia="en-US"/>
        </w:rPr>
        <w:t xml:space="preserve">En ese contexto, cabe recordar que el </w:t>
      </w:r>
      <w:r w:rsidR="006B6983" w:rsidRPr="0081054F">
        <w:rPr>
          <w:rFonts w:ascii="Palatino Linotype" w:eastAsia="Calibri" w:hAnsi="Palatino Linotype" w:cs="Tahoma"/>
          <w:bCs/>
          <w:sz w:val="22"/>
          <w:szCs w:val="22"/>
          <w:lang w:eastAsia="en-US"/>
        </w:rPr>
        <w:t xml:space="preserve">Particular </w:t>
      </w:r>
      <w:r w:rsidRPr="0081054F">
        <w:rPr>
          <w:rFonts w:ascii="Palatino Linotype" w:eastAsia="Calibri" w:hAnsi="Palatino Linotype" w:cs="Tahoma"/>
          <w:bCs/>
          <w:sz w:val="22"/>
          <w:szCs w:val="22"/>
          <w:lang w:eastAsia="en-US"/>
        </w:rPr>
        <w:t xml:space="preserve">solicitó </w:t>
      </w:r>
      <w:r w:rsidR="00843BE7">
        <w:rPr>
          <w:rFonts w:ascii="Palatino Linotype" w:eastAsia="Calibri" w:hAnsi="Palatino Linotype" w:cs="Tahoma"/>
          <w:bCs/>
          <w:sz w:val="22"/>
          <w:szCs w:val="22"/>
          <w:lang w:eastAsia="en-US"/>
        </w:rPr>
        <w:t xml:space="preserve">la nómina </w:t>
      </w:r>
      <w:r w:rsidR="00402C98">
        <w:rPr>
          <w:rFonts w:ascii="Palatino Linotype" w:eastAsia="Calibri" w:hAnsi="Palatino Linotype" w:cs="Tahoma"/>
          <w:bCs/>
          <w:sz w:val="22"/>
          <w:szCs w:val="22"/>
          <w:lang w:eastAsia="en-US"/>
        </w:rPr>
        <w:t>de</w:t>
      </w:r>
      <w:r w:rsidR="00402C98" w:rsidRPr="00402C98">
        <w:rPr>
          <w:rFonts w:ascii="Palatino Linotype" w:eastAsia="Calibri" w:hAnsi="Palatino Linotype" w:cs="Tahoma"/>
          <w:bCs/>
          <w:sz w:val="22"/>
          <w:szCs w:val="22"/>
          <w:lang w:eastAsia="en-US"/>
        </w:rPr>
        <w:t xml:space="preserve"> todos los servidores públicos del Ayuntamiento de </w:t>
      </w:r>
      <w:r w:rsidR="006B6983">
        <w:rPr>
          <w:rFonts w:ascii="Palatino Linotype" w:eastAsia="Calibri" w:hAnsi="Palatino Linotype" w:cs="Tahoma"/>
          <w:bCs/>
          <w:sz w:val="22"/>
          <w:szCs w:val="22"/>
          <w:lang w:eastAsia="en-US"/>
        </w:rPr>
        <w:t>Atizapán de Zaragoza</w:t>
      </w:r>
      <w:r w:rsidRPr="0081054F">
        <w:rPr>
          <w:rFonts w:ascii="Palatino Linotype" w:eastAsia="Calibri" w:hAnsi="Palatino Linotype" w:cs="Tahoma"/>
          <w:bCs/>
          <w:sz w:val="22"/>
          <w:szCs w:val="22"/>
          <w:lang w:eastAsia="en-US"/>
        </w:rPr>
        <w:t>; por lo que, se adv</w:t>
      </w:r>
      <w:r w:rsidR="00402C98">
        <w:rPr>
          <w:rFonts w:ascii="Palatino Linotype" w:eastAsia="Calibri" w:hAnsi="Palatino Linotype" w:cs="Tahoma"/>
          <w:bCs/>
          <w:sz w:val="22"/>
          <w:szCs w:val="22"/>
          <w:lang w:eastAsia="en-US"/>
        </w:rPr>
        <w:t>ierte</w:t>
      </w:r>
      <w:r w:rsidRPr="0081054F">
        <w:rPr>
          <w:rFonts w:ascii="Palatino Linotype" w:eastAsia="Calibri" w:hAnsi="Palatino Linotype" w:cs="Tahoma"/>
          <w:bCs/>
          <w:sz w:val="22"/>
          <w:szCs w:val="22"/>
          <w:lang w:eastAsia="en-US"/>
        </w:rPr>
        <w:t xml:space="preserve"> que su pretensión es obtener el documento, que contenga las percepciones que reciben los servidores públicos que laboran en el Ayuntamiento de </w:t>
      </w:r>
      <w:r w:rsidR="006B6983">
        <w:rPr>
          <w:rFonts w:ascii="Palatino Linotype" w:eastAsia="Calibri" w:hAnsi="Palatino Linotype" w:cs="Tahoma"/>
          <w:bCs/>
          <w:sz w:val="22"/>
          <w:szCs w:val="22"/>
          <w:lang w:eastAsia="en-US"/>
        </w:rPr>
        <w:t>Atizapán de Zaragoza</w:t>
      </w:r>
      <w:r w:rsidRPr="0081054F">
        <w:rPr>
          <w:rFonts w:ascii="Palatino Linotype" w:eastAsia="Calibri" w:hAnsi="Palatino Linotype" w:cs="Tahoma"/>
          <w:bCs/>
          <w:sz w:val="22"/>
          <w:szCs w:val="22"/>
          <w:lang w:eastAsia="en-US"/>
        </w:rPr>
        <w:t xml:space="preserve">; </w:t>
      </w:r>
      <w:r w:rsidR="00ED4CB6">
        <w:rPr>
          <w:rFonts w:ascii="Palatino Linotype" w:eastAsia="Calibri" w:hAnsi="Palatino Linotype" w:cs="Tahoma"/>
          <w:bCs/>
          <w:sz w:val="22"/>
          <w:szCs w:val="22"/>
          <w:lang w:eastAsia="en-US"/>
        </w:rPr>
        <w:t xml:space="preserve">por lo que el documento enviado </w:t>
      </w:r>
      <w:r w:rsidR="00ED4CB6">
        <w:rPr>
          <w:rFonts w:ascii="Palatino Linotype" w:eastAsia="Calibri" w:hAnsi="Palatino Linotype" w:cs="Tahoma"/>
          <w:bCs/>
          <w:sz w:val="22"/>
          <w:szCs w:val="22"/>
          <w:lang w:eastAsia="en-US"/>
        </w:rPr>
        <w:lastRenderedPageBreak/>
        <w:t xml:space="preserve">en respuesta por el Sujeto Obligado no satisface el derecho de acceso a la información del Particular, ya </w:t>
      </w:r>
      <w:r w:rsidR="007B4EE8">
        <w:rPr>
          <w:rFonts w:ascii="Palatino Linotype" w:eastAsia="Calibri" w:hAnsi="Palatino Linotype" w:cs="Tahoma"/>
          <w:bCs/>
          <w:sz w:val="22"/>
          <w:szCs w:val="22"/>
          <w:lang w:eastAsia="en-US"/>
        </w:rPr>
        <w:t>que s</w:t>
      </w:r>
      <w:r w:rsidR="00E549B6">
        <w:rPr>
          <w:rFonts w:ascii="Palatino Linotype" w:eastAsia="Calibri" w:hAnsi="Palatino Linotype" w:cs="Tahoma"/>
          <w:bCs/>
          <w:sz w:val="22"/>
          <w:szCs w:val="22"/>
          <w:lang w:eastAsia="en-US"/>
        </w:rPr>
        <w:t>ó</w:t>
      </w:r>
      <w:r w:rsidR="007B4EE8">
        <w:rPr>
          <w:rFonts w:ascii="Palatino Linotype" w:eastAsia="Calibri" w:hAnsi="Palatino Linotype" w:cs="Tahoma"/>
          <w:bCs/>
          <w:sz w:val="22"/>
          <w:szCs w:val="22"/>
          <w:lang w:eastAsia="en-US"/>
        </w:rPr>
        <w:t xml:space="preserve">lo es un listado que </w:t>
      </w:r>
      <w:r w:rsidR="007B4EE8" w:rsidRPr="00E549B6">
        <w:rPr>
          <w:rFonts w:ascii="Palatino Linotype" w:eastAsia="Calibri" w:hAnsi="Palatino Linotype" w:cs="Tahoma"/>
          <w:b/>
          <w:bCs/>
          <w:sz w:val="22"/>
          <w:szCs w:val="22"/>
          <w:lang w:eastAsia="en-US"/>
        </w:rPr>
        <w:t>no contiene las percepciones de los servidores públicos del Ayuntamiento</w:t>
      </w:r>
      <w:r w:rsidRPr="00E549B6">
        <w:rPr>
          <w:rFonts w:ascii="Palatino Linotype" w:eastAsia="Calibri" w:hAnsi="Palatino Linotype" w:cs="Tahoma"/>
          <w:b/>
          <w:bCs/>
          <w:sz w:val="22"/>
          <w:szCs w:val="22"/>
          <w:lang w:eastAsia="en-US"/>
        </w:rPr>
        <w:t>.</w:t>
      </w:r>
    </w:p>
    <w:p w14:paraId="5674A8FB" w14:textId="77777777" w:rsidR="00EC762B" w:rsidRPr="00985849" w:rsidRDefault="00EC762B" w:rsidP="00544E9C">
      <w:pPr>
        <w:spacing w:line="360" w:lineRule="auto"/>
        <w:ind w:right="-93"/>
        <w:jc w:val="both"/>
        <w:rPr>
          <w:rFonts w:ascii="Palatino Linotype" w:eastAsia="Calibri" w:hAnsi="Palatino Linotype" w:cs="Tahoma"/>
          <w:bCs/>
          <w:sz w:val="22"/>
          <w:szCs w:val="22"/>
          <w:lang w:eastAsia="en-US"/>
        </w:rPr>
      </w:pPr>
    </w:p>
    <w:p w14:paraId="548398CC" w14:textId="77777777" w:rsidR="00EC762B" w:rsidRPr="00985849" w:rsidRDefault="00EC762B" w:rsidP="00544E9C">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Ahora bien, respecto al tema, resulta necesario traer a colación </w:t>
      </w:r>
      <w:r>
        <w:rPr>
          <w:rFonts w:ascii="Palatino Linotype" w:eastAsia="Calibri" w:hAnsi="Palatino Linotype" w:cs="Tahoma"/>
          <w:bCs/>
          <w:sz w:val="22"/>
          <w:szCs w:val="22"/>
          <w:lang w:eastAsia="en-US"/>
        </w:rPr>
        <w:t xml:space="preserve">que </w:t>
      </w:r>
      <w:r w:rsidRPr="00985849">
        <w:rPr>
          <w:rFonts w:ascii="Palatino Linotype" w:eastAsia="Calibri" w:hAnsi="Palatino Linotype" w:cs="Tahoma"/>
          <w:bCs/>
          <w:sz w:val="22"/>
          <w:szCs w:val="22"/>
          <w:lang w:eastAsia="en-US"/>
        </w:rPr>
        <w:t>el artículo 147 de la Constitución Política del Estado Libre y Soberano de México, establece que los trabajadores al servicio del Estado</w:t>
      </w:r>
      <w:r>
        <w:rPr>
          <w:rFonts w:ascii="Palatino Linotype" w:eastAsia="Calibri" w:hAnsi="Palatino Linotype" w:cs="Tahoma"/>
          <w:bCs/>
          <w:sz w:val="22"/>
          <w:szCs w:val="22"/>
          <w:lang w:eastAsia="en-US"/>
        </w:rPr>
        <w:t xml:space="preserve"> y </w:t>
      </w:r>
      <w:r w:rsidRPr="00985849">
        <w:rPr>
          <w:rFonts w:ascii="Palatino Linotype" w:eastAsia="Calibri" w:hAnsi="Palatino Linotype" w:cs="Tahoma"/>
          <w:bCs/>
          <w:sz w:val="22"/>
          <w:szCs w:val="22"/>
          <w:lang w:eastAsia="en-US"/>
        </w:rPr>
        <w:t xml:space="preserve">los miembros de los Ayuntamientos, recibirán una remuneración adecuada e irrenunciable por el desempeño de su empleo, cargo o comisión, que será determinada en el presupuesto de egresos que corresponda. </w:t>
      </w:r>
    </w:p>
    <w:p w14:paraId="5789AE5D" w14:textId="77777777" w:rsidR="00EC762B" w:rsidRPr="00985849" w:rsidRDefault="00EC762B" w:rsidP="00544E9C">
      <w:pPr>
        <w:spacing w:line="360" w:lineRule="auto"/>
        <w:ind w:right="-93"/>
        <w:jc w:val="both"/>
        <w:rPr>
          <w:rFonts w:ascii="Palatino Linotype" w:eastAsia="Calibri" w:hAnsi="Palatino Linotype" w:cs="Tahoma"/>
          <w:bCs/>
          <w:sz w:val="22"/>
          <w:szCs w:val="22"/>
          <w:lang w:eastAsia="en-US"/>
        </w:rPr>
      </w:pPr>
    </w:p>
    <w:p w14:paraId="57F300F9" w14:textId="77777777" w:rsidR="00EC762B" w:rsidRPr="00985849" w:rsidRDefault="00EC762B" w:rsidP="00544E9C">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0792C79" w14:textId="77777777" w:rsidR="00EC762B" w:rsidRDefault="00EC762B" w:rsidP="00544E9C">
      <w:pPr>
        <w:spacing w:line="360" w:lineRule="auto"/>
        <w:ind w:right="-93"/>
        <w:jc w:val="both"/>
        <w:rPr>
          <w:rFonts w:ascii="Palatino Linotype" w:eastAsia="Calibri" w:hAnsi="Palatino Linotype" w:cs="Tahoma"/>
          <w:bCs/>
          <w:sz w:val="22"/>
          <w:szCs w:val="22"/>
          <w:lang w:eastAsia="en-US"/>
        </w:rPr>
      </w:pPr>
    </w:p>
    <w:p w14:paraId="63ABD387" w14:textId="77777777" w:rsidR="00EC762B" w:rsidRDefault="00EC762B" w:rsidP="00544E9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igual forma</w:t>
      </w:r>
      <w:r w:rsidR="0099611B">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establece los documentos que tiene la obligación de conservar el Sujeto Obligado, entre los que se encuentran los recibos de pagos: </w:t>
      </w:r>
    </w:p>
    <w:p w14:paraId="51DEDD60" w14:textId="77777777" w:rsidR="00EC762B" w:rsidRDefault="00EC762B" w:rsidP="00544E9C">
      <w:pPr>
        <w:tabs>
          <w:tab w:val="left" w:pos="4962"/>
        </w:tabs>
        <w:spacing w:line="360" w:lineRule="auto"/>
        <w:ind w:left="567" w:right="539"/>
        <w:jc w:val="both"/>
        <w:rPr>
          <w:rFonts w:ascii="Palatino Linotype" w:hAnsi="Palatino Linotype" w:cs="Tahoma"/>
        </w:rPr>
      </w:pPr>
    </w:p>
    <w:p w14:paraId="6DDF84F6" w14:textId="77777777" w:rsidR="00EC762B" w:rsidRPr="009E76B5" w:rsidRDefault="00EC762B" w:rsidP="00544E9C">
      <w:pPr>
        <w:tabs>
          <w:tab w:val="left" w:pos="4962"/>
        </w:tabs>
        <w:spacing w:line="360" w:lineRule="auto"/>
        <w:ind w:left="567" w:right="567"/>
        <w:jc w:val="both"/>
        <w:rPr>
          <w:rFonts w:ascii="Palatino Linotype" w:hAnsi="Palatino Linotype" w:cs="Tahoma"/>
          <w:i/>
        </w:rPr>
      </w:pPr>
      <w:r w:rsidRPr="009E76B5">
        <w:rPr>
          <w:rFonts w:ascii="Palatino Linotype" w:hAnsi="Palatino Linotype" w:cs="Tahoma"/>
          <w:i/>
        </w:rPr>
        <w:t>ARTÍCULO 220 K.- La institución o dependencia pública tiene la obligación de conservar y exhibir en el proceso los documentos que a continuación se precisan:</w:t>
      </w:r>
    </w:p>
    <w:p w14:paraId="32FCD072" w14:textId="77777777" w:rsidR="00EC762B" w:rsidRPr="009E76B5" w:rsidRDefault="00EC762B" w:rsidP="00544E9C">
      <w:pPr>
        <w:tabs>
          <w:tab w:val="left" w:pos="4962"/>
        </w:tabs>
        <w:spacing w:line="360" w:lineRule="auto"/>
        <w:ind w:left="567" w:right="567"/>
        <w:jc w:val="both"/>
        <w:rPr>
          <w:rFonts w:ascii="Palatino Linotype" w:hAnsi="Palatino Linotype" w:cs="Tahoma"/>
          <w:i/>
        </w:rPr>
      </w:pPr>
      <w:r w:rsidRPr="009E76B5">
        <w:rPr>
          <w:rFonts w:ascii="Palatino Linotype" w:hAnsi="Palatino Linotype" w:cs="Tahoma"/>
          <w:i/>
        </w:rPr>
        <w:t>I. Contratos, Nombramientos o Formato Único de Movimientos de Personal, cuando no exista Convenio de condiciones generales de trabajo aplicable;</w:t>
      </w:r>
    </w:p>
    <w:p w14:paraId="27D581A7" w14:textId="77777777" w:rsidR="00EC762B" w:rsidRPr="009E76B5" w:rsidRDefault="00EC762B" w:rsidP="00544E9C">
      <w:pPr>
        <w:tabs>
          <w:tab w:val="left" w:pos="4962"/>
        </w:tabs>
        <w:spacing w:line="360" w:lineRule="auto"/>
        <w:ind w:left="567" w:right="567"/>
        <w:jc w:val="both"/>
        <w:rPr>
          <w:rFonts w:ascii="Palatino Linotype" w:hAnsi="Palatino Linotype" w:cs="Tahoma"/>
          <w:b/>
          <w:i/>
          <w:u w:val="single"/>
        </w:rPr>
      </w:pPr>
      <w:r w:rsidRPr="009E76B5">
        <w:rPr>
          <w:rFonts w:ascii="Palatino Linotype" w:hAnsi="Palatino Linotype" w:cs="Tahoma"/>
          <w:b/>
          <w:i/>
          <w:u w:val="single"/>
        </w:rPr>
        <w:t>II. Recibos de pagos de salarios o las constancias documentales del pago de salario cuando sea por depósito o mediante información electrónica;</w:t>
      </w:r>
    </w:p>
    <w:p w14:paraId="44DBAE26" w14:textId="77777777" w:rsidR="00EC762B" w:rsidRPr="009E76B5" w:rsidRDefault="00EC762B" w:rsidP="00544E9C">
      <w:pPr>
        <w:tabs>
          <w:tab w:val="left" w:pos="4962"/>
        </w:tabs>
        <w:spacing w:line="360" w:lineRule="auto"/>
        <w:ind w:left="567" w:right="567"/>
        <w:jc w:val="both"/>
        <w:rPr>
          <w:rFonts w:ascii="Palatino Linotype" w:hAnsi="Palatino Linotype" w:cs="Tahoma"/>
          <w:i/>
        </w:rPr>
      </w:pPr>
      <w:r w:rsidRPr="009E76B5">
        <w:rPr>
          <w:rFonts w:ascii="Palatino Linotype" w:hAnsi="Palatino Linotype" w:cs="Tahoma"/>
          <w:i/>
        </w:rPr>
        <w:t>III. Controles de asistencia o la información magnética o electrónica de asistencia de los servidores públicos;</w:t>
      </w:r>
    </w:p>
    <w:p w14:paraId="3AB4B069" w14:textId="77777777" w:rsidR="00EC762B" w:rsidRPr="009E76B5" w:rsidRDefault="00EC762B" w:rsidP="00544E9C">
      <w:pPr>
        <w:tabs>
          <w:tab w:val="left" w:pos="4962"/>
        </w:tabs>
        <w:spacing w:line="360" w:lineRule="auto"/>
        <w:ind w:left="567" w:right="567"/>
        <w:jc w:val="both"/>
        <w:rPr>
          <w:rFonts w:ascii="Palatino Linotype" w:hAnsi="Palatino Linotype" w:cs="Tahoma"/>
          <w:i/>
        </w:rPr>
      </w:pPr>
      <w:r w:rsidRPr="009E76B5">
        <w:rPr>
          <w:rFonts w:ascii="Palatino Linotype" w:hAnsi="Palatino Linotype" w:cs="Tahoma"/>
          <w:b/>
          <w:i/>
          <w:u w:val="single"/>
        </w:rPr>
        <w:lastRenderedPageBreak/>
        <w:t>IV. Recibos o las constancias de depósito o del medio de información magnética o electrónica que sean utilizadas para el pago de salarios, prima vacacional, aguinaldo y demás prestaciones establecidas en la presente ley;</w:t>
      </w:r>
      <w:r w:rsidRPr="009E76B5">
        <w:rPr>
          <w:rFonts w:ascii="Palatino Linotype" w:hAnsi="Palatino Linotype" w:cs="Tahoma"/>
          <w:i/>
        </w:rPr>
        <w:t xml:space="preserve"> y</w:t>
      </w:r>
    </w:p>
    <w:p w14:paraId="40E0865C" w14:textId="77777777" w:rsidR="00EC762B" w:rsidRPr="009E76B5" w:rsidRDefault="00EC762B" w:rsidP="00544E9C">
      <w:pPr>
        <w:tabs>
          <w:tab w:val="left" w:pos="4962"/>
        </w:tabs>
        <w:spacing w:line="360" w:lineRule="auto"/>
        <w:ind w:left="567" w:right="567"/>
        <w:jc w:val="both"/>
        <w:rPr>
          <w:rFonts w:ascii="Palatino Linotype" w:hAnsi="Palatino Linotype" w:cs="Tahoma"/>
          <w:i/>
        </w:rPr>
      </w:pPr>
      <w:r w:rsidRPr="009E76B5">
        <w:rPr>
          <w:rFonts w:ascii="Palatino Linotype" w:hAnsi="Palatino Linotype" w:cs="Tahoma"/>
          <w:i/>
        </w:rPr>
        <w:t>V. Los demás que señalen las leyes.</w:t>
      </w:r>
    </w:p>
    <w:p w14:paraId="008F4594" w14:textId="77777777" w:rsidR="007B1FA5" w:rsidRPr="009E76B5" w:rsidRDefault="007B1FA5" w:rsidP="00544E9C">
      <w:pPr>
        <w:tabs>
          <w:tab w:val="left" w:pos="4962"/>
        </w:tabs>
        <w:spacing w:line="360" w:lineRule="auto"/>
        <w:ind w:left="567" w:right="567"/>
        <w:jc w:val="both"/>
        <w:rPr>
          <w:rFonts w:ascii="Palatino Linotype" w:hAnsi="Palatino Linotype" w:cs="Tahoma"/>
          <w:i/>
        </w:rPr>
      </w:pPr>
      <w:r w:rsidRPr="009E76B5">
        <w:rPr>
          <w:rFonts w:ascii="Palatino Linotype" w:hAnsi="Palatino Linotype" w:cs="Tahoma"/>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E76B5">
        <w:rPr>
          <w:rFonts w:ascii="Palatino Linotype" w:hAnsi="Palatino Linotype" w:cs="Tahoma"/>
          <w:i/>
        </w:rPr>
        <w:cr/>
        <w:t>…”</w:t>
      </w:r>
    </w:p>
    <w:p w14:paraId="136CDD31" w14:textId="77777777" w:rsidR="00915C1F" w:rsidRDefault="00915C1F" w:rsidP="00544E9C">
      <w:pPr>
        <w:tabs>
          <w:tab w:val="left" w:pos="4962"/>
        </w:tabs>
        <w:spacing w:line="360" w:lineRule="auto"/>
        <w:ind w:left="567" w:right="567"/>
        <w:jc w:val="both"/>
        <w:rPr>
          <w:rFonts w:ascii="Palatino Linotype" w:hAnsi="Palatino Linotype" w:cs="Tahoma"/>
        </w:rPr>
      </w:pPr>
    </w:p>
    <w:p w14:paraId="526E4A89" w14:textId="77777777" w:rsidR="007B1FA5" w:rsidRDefault="007B1FA5" w:rsidP="00544E9C">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Del anterior p</w:t>
      </w:r>
      <w:r w:rsidRPr="007B1FA5">
        <w:rPr>
          <w:rFonts w:ascii="Palatino Linotype" w:eastAsia="Calibri" w:hAnsi="Palatino Linotype" w:cs="Tahoma"/>
          <w:bCs/>
          <w:sz w:val="22"/>
          <w:szCs w:val="22"/>
          <w:lang w:eastAsia="en-US"/>
        </w:rPr>
        <w:t>recepto legal,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C2E55C7" w14:textId="77777777" w:rsidR="007B1FA5" w:rsidRDefault="007B1FA5" w:rsidP="00544E9C">
      <w:pPr>
        <w:spacing w:line="360" w:lineRule="auto"/>
        <w:ind w:right="-91"/>
        <w:jc w:val="both"/>
        <w:rPr>
          <w:rFonts w:ascii="Palatino Linotype" w:eastAsia="Calibri" w:hAnsi="Palatino Linotype" w:cs="Tahoma"/>
          <w:bCs/>
          <w:sz w:val="22"/>
          <w:szCs w:val="22"/>
          <w:lang w:eastAsia="en-US"/>
        </w:rPr>
      </w:pPr>
    </w:p>
    <w:p w14:paraId="489D99F2" w14:textId="77777777" w:rsidR="006A3E93" w:rsidRDefault="006A3E93" w:rsidP="00544E9C">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w:t>
      </w:r>
      <w:r w:rsidRPr="006A3E93">
        <w:rPr>
          <w:rFonts w:ascii="Palatino Linotype" w:eastAsia="Calibri" w:hAnsi="Palatino Linotype" w:cs="Tahoma"/>
          <w:bCs/>
          <w:sz w:val="22"/>
          <w:szCs w:val="22"/>
          <w:lang w:eastAsia="en-US"/>
        </w:rPr>
        <w:t xml:space="preserve">es necesario señalar </w:t>
      </w:r>
      <w:r w:rsidR="00ED7318">
        <w:rPr>
          <w:rFonts w:ascii="Palatino Linotype" w:eastAsia="Calibri" w:hAnsi="Palatino Linotype" w:cs="Tahoma"/>
          <w:bCs/>
          <w:sz w:val="22"/>
          <w:szCs w:val="22"/>
          <w:lang w:eastAsia="en-US"/>
        </w:rPr>
        <w:t>que, e</w:t>
      </w:r>
      <w:r w:rsidRPr="006A3E93">
        <w:rPr>
          <w:rFonts w:ascii="Palatino Linotype" w:eastAsia="Calibri" w:hAnsi="Palatino Linotype" w:cs="Tahoma"/>
          <w:bCs/>
          <w:sz w:val="22"/>
          <w:szCs w:val="22"/>
          <w:lang w:eastAsia="en-US"/>
        </w:rPr>
        <w:t>l Órgano Superior de Fiscalización</w:t>
      </w:r>
      <w:r w:rsidR="00C34BF0">
        <w:rPr>
          <w:rFonts w:ascii="Palatino Linotype" w:eastAsia="Calibri" w:hAnsi="Palatino Linotype" w:cs="Tahoma"/>
          <w:bCs/>
          <w:sz w:val="22"/>
          <w:szCs w:val="22"/>
          <w:lang w:eastAsia="en-US"/>
        </w:rPr>
        <w:t xml:space="preserve"> del Estado de México (OSFEM)</w:t>
      </w:r>
      <w:r w:rsidRPr="006A3E93">
        <w:rPr>
          <w:rFonts w:ascii="Palatino Linotype" w:eastAsia="Calibri" w:hAnsi="Palatino Linotype" w:cs="Tahoma"/>
          <w:bCs/>
          <w:sz w:val="22"/>
          <w:szCs w:val="22"/>
          <w:lang w:eastAsia="en-US"/>
        </w:rPr>
        <w:t xml:space="preserve"> emite anualmente los Lineamientos para </w:t>
      </w:r>
      <w:r>
        <w:rPr>
          <w:rFonts w:ascii="Palatino Linotype" w:eastAsia="Calibri" w:hAnsi="Palatino Linotype" w:cs="Tahoma"/>
          <w:bCs/>
          <w:sz w:val="22"/>
          <w:szCs w:val="22"/>
          <w:lang w:eastAsia="en-US"/>
        </w:rPr>
        <w:t>la elaboración y presentación del Informe Mensual Municipal, los cuales tienen como objetivo establecer las especificaciones necesarias que las entidades fiscalizables deben cumplir para la elaboración y presentación de los informes mensuales</w:t>
      </w:r>
      <w:r w:rsidR="00ED7318">
        <w:rPr>
          <w:rFonts w:ascii="Palatino Linotype" w:eastAsia="Calibri" w:hAnsi="Palatino Linotype" w:cs="Tahoma"/>
          <w:bCs/>
          <w:sz w:val="22"/>
          <w:szCs w:val="22"/>
          <w:lang w:eastAsia="en-US"/>
        </w:rPr>
        <w:t>.</w:t>
      </w:r>
    </w:p>
    <w:p w14:paraId="6127AD0F" w14:textId="77777777" w:rsidR="00ED7318" w:rsidRPr="006A3E93" w:rsidRDefault="00ED7318" w:rsidP="00544E9C">
      <w:pPr>
        <w:spacing w:line="360" w:lineRule="auto"/>
        <w:ind w:right="-93"/>
        <w:jc w:val="both"/>
        <w:rPr>
          <w:rFonts w:ascii="Palatino Linotype" w:eastAsia="Calibri" w:hAnsi="Palatino Linotype" w:cs="Tahoma"/>
          <w:bCs/>
          <w:i/>
          <w:sz w:val="22"/>
          <w:szCs w:val="22"/>
          <w:lang w:eastAsia="en-US"/>
        </w:rPr>
      </w:pPr>
    </w:p>
    <w:p w14:paraId="4A26F19D" w14:textId="77777777" w:rsidR="00ED7318" w:rsidRDefault="006A3E93" w:rsidP="00544E9C">
      <w:pPr>
        <w:spacing w:line="360" w:lineRule="auto"/>
        <w:ind w:right="-93"/>
        <w:jc w:val="both"/>
        <w:rPr>
          <w:rFonts w:ascii="Palatino Linotype" w:eastAsia="Calibri" w:hAnsi="Palatino Linotype" w:cs="Tahoma"/>
          <w:bCs/>
          <w:sz w:val="22"/>
          <w:szCs w:val="22"/>
          <w:lang w:eastAsia="en-US"/>
        </w:rPr>
      </w:pPr>
      <w:r w:rsidRPr="006A3E93">
        <w:rPr>
          <w:rFonts w:ascii="Palatino Linotype" w:eastAsia="Calibri" w:hAnsi="Palatino Linotype" w:cs="Tahoma"/>
          <w:bCs/>
          <w:sz w:val="22"/>
          <w:szCs w:val="22"/>
          <w:lang w:eastAsia="en-US"/>
        </w:rPr>
        <w:t xml:space="preserve">Estos </w:t>
      </w:r>
      <w:r w:rsidR="00ED7318" w:rsidRPr="006A3E93">
        <w:rPr>
          <w:rFonts w:ascii="Palatino Linotype" w:eastAsia="Calibri" w:hAnsi="Palatino Linotype" w:cs="Tahoma"/>
          <w:bCs/>
          <w:sz w:val="22"/>
          <w:szCs w:val="22"/>
          <w:lang w:eastAsia="en-US"/>
        </w:rPr>
        <w:t xml:space="preserve">Lineamientos </w:t>
      </w:r>
      <w:r w:rsidRPr="006A3E93">
        <w:rPr>
          <w:rFonts w:ascii="Palatino Linotype" w:eastAsia="Calibri" w:hAnsi="Palatino Linotype" w:cs="Tahoma"/>
          <w:bCs/>
          <w:sz w:val="22"/>
          <w:szCs w:val="22"/>
          <w:lang w:eastAsia="en-US"/>
        </w:rPr>
        <w:t xml:space="preserve">son de observancia general para todos los servidores públicos de las entidades fiscalizables que desempeñen un empleo, cargo o comisión, de cualquier naturaleza en la administración pública municipal y que manejen recursos públicos como lo son los </w:t>
      </w:r>
      <w:r w:rsidR="00ED7318" w:rsidRPr="006A3E93">
        <w:rPr>
          <w:rFonts w:ascii="Palatino Linotype" w:eastAsia="Calibri" w:hAnsi="Palatino Linotype" w:cs="Tahoma"/>
          <w:bCs/>
          <w:sz w:val="22"/>
          <w:szCs w:val="22"/>
          <w:lang w:eastAsia="en-US"/>
        </w:rPr>
        <w:lastRenderedPageBreak/>
        <w:t>Municipios</w:t>
      </w:r>
      <w:r w:rsidRPr="006A3E93">
        <w:rPr>
          <w:rFonts w:ascii="Palatino Linotype" w:eastAsia="Calibri" w:hAnsi="Palatino Linotype" w:cs="Tahoma"/>
          <w:bCs/>
          <w:sz w:val="22"/>
          <w:szCs w:val="22"/>
          <w:lang w:eastAsia="en-US"/>
        </w:rPr>
        <w:t xml:space="preserve">; en atención a ello, el informe mensual deberá ser presentado al Órgano Superior </w:t>
      </w:r>
      <w:r w:rsidRPr="00663A0B">
        <w:rPr>
          <w:rFonts w:ascii="Palatino Linotype" w:eastAsia="Calibri" w:hAnsi="Palatino Linotype" w:cs="Tahoma"/>
          <w:bCs/>
          <w:sz w:val="22"/>
          <w:szCs w:val="22"/>
          <w:lang w:eastAsia="en-US"/>
        </w:rPr>
        <w:t xml:space="preserve">de Fiscalización </w:t>
      </w:r>
      <w:r w:rsidR="0099611B" w:rsidRPr="00663A0B">
        <w:rPr>
          <w:rFonts w:ascii="Palatino Linotype" w:eastAsia="Calibri" w:hAnsi="Palatino Linotype" w:cs="Tahoma"/>
          <w:bCs/>
          <w:sz w:val="22"/>
          <w:szCs w:val="22"/>
          <w:lang w:eastAsia="en-US"/>
        </w:rPr>
        <w:t xml:space="preserve"> </w:t>
      </w:r>
      <w:r w:rsidRPr="00663A0B">
        <w:rPr>
          <w:rFonts w:ascii="Palatino Linotype" w:eastAsia="Calibri" w:hAnsi="Palatino Linotype" w:cs="Tahoma"/>
          <w:bCs/>
          <w:sz w:val="22"/>
          <w:szCs w:val="22"/>
          <w:lang w:eastAsia="en-US"/>
        </w:rPr>
        <w:t xml:space="preserve">dentro de los </w:t>
      </w:r>
      <w:r w:rsidR="000E4FBE" w:rsidRPr="00663A0B">
        <w:rPr>
          <w:rFonts w:ascii="Palatino Linotype" w:eastAsia="Calibri" w:hAnsi="Palatino Linotype" w:cs="Tahoma"/>
          <w:bCs/>
          <w:sz w:val="22"/>
          <w:szCs w:val="22"/>
          <w:lang w:eastAsia="en-US"/>
        </w:rPr>
        <w:t xml:space="preserve">veinte </w:t>
      </w:r>
      <w:r w:rsidRPr="00663A0B">
        <w:rPr>
          <w:rFonts w:ascii="Palatino Linotype" w:eastAsia="Calibri" w:hAnsi="Palatino Linotype" w:cs="Tahoma"/>
          <w:bCs/>
          <w:sz w:val="22"/>
          <w:szCs w:val="22"/>
          <w:lang w:eastAsia="en-US"/>
        </w:rPr>
        <w:t xml:space="preserve">días posteriores al término del mes correspondiente </w:t>
      </w:r>
      <w:r w:rsidR="00ED7318" w:rsidRPr="00663A0B">
        <w:rPr>
          <w:rFonts w:ascii="Palatino Linotype" w:eastAsia="Calibri" w:hAnsi="Palatino Linotype" w:cs="Tahoma"/>
          <w:bCs/>
          <w:sz w:val="22"/>
          <w:szCs w:val="22"/>
          <w:lang w:eastAsia="en-US"/>
        </w:rPr>
        <w:t xml:space="preserve">tal y como lo señala </w:t>
      </w:r>
      <w:r w:rsidRPr="00663A0B">
        <w:rPr>
          <w:rFonts w:ascii="Palatino Linotype" w:eastAsia="Calibri" w:hAnsi="Palatino Linotype" w:cs="Tahoma"/>
          <w:bCs/>
          <w:sz w:val="22"/>
          <w:szCs w:val="22"/>
          <w:lang w:eastAsia="en-US"/>
        </w:rPr>
        <w:t>el artículo 32 de la Ley de Fiscalización Superior del Estado de México</w:t>
      </w:r>
      <w:r w:rsidR="00ED7318" w:rsidRPr="00663A0B">
        <w:rPr>
          <w:rFonts w:ascii="Palatino Linotype" w:eastAsia="Calibri" w:hAnsi="Palatino Linotype" w:cs="Tahoma"/>
          <w:bCs/>
          <w:sz w:val="22"/>
          <w:szCs w:val="22"/>
          <w:lang w:eastAsia="en-US"/>
        </w:rPr>
        <w:t>.</w:t>
      </w:r>
    </w:p>
    <w:p w14:paraId="530FF3B8" w14:textId="77777777" w:rsidR="00ED7318" w:rsidRDefault="00ED7318" w:rsidP="00544E9C">
      <w:pPr>
        <w:spacing w:line="360" w:lineRule="auto"/>
        <w:ind w:right="-93"/>
        <w:jc w:val="both"/>
        <w:rPr>
          <w:rFonts w:ascii="Palatino Linotype" w:eastAsia="Calibri" w:hAnsi="Palatino Linotype" w:cs="Tahoma"/>
          <w:bCs/>
          <w:sz w:val="22"/>
          <w:szCs w:val="22"/>
          <w:lang w:eastAsia="en-US"/>
        </w:rPr>
      </w:pPr>
    </w:p>
    <w:p w14:paraId="2605B1F6" w14:textId="77777777" w:rsidR="00C174BC" w:rsidRDefault="00C174BC" w:rsidP="00544E9C">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eastAsia="en-US"/>
        </w:rPr>
        <w:t xml:space="preserve">Ahora bien, en los Lineamientos </w:t>
      </w:r>
      <w:r>
        <w:rPr>
          <w:rFonts w:ascii="Palatino Linotype" w:eastAsia="Calibri" w:hAnsi="Palatino Linotype" w:cs="Tahoma"/>
          <w:bCs/>
          <w:sz w:val="22"/>
          <w:szCs w:val="22"/>
          <w:lang w:eastAsia="en-US"/>
        </w:rPr>
        <w:t>en cita</w:t>
      </w:r>
      <w:r w:rsidRPr="00A50EAF">
        <w:rPr>
          <w:rFonts w:ascii="Palatino Linotype" w:eastAsia="Calibri" w:hAnsi="Palatino Linotype" w:cs="Tahoma"/>
          <w:bCs/>
          <w:sz w:val="22"/>
          <w:szCs w:val="22"/>
          <w:lang w:eastAsia="en-US"/>
        </w:rPr>
        <w:t xml:space="preserve">, se advierte el análisis que nos ocupa, específicamente el Disco 4, relativo a la información de nómina, </w:t>
      </w:r>
      <w:r>
        <w:rPr>
          <w:rFonts w:ascii="Palatino Linotype" w:eastAsia="Calibri" w:hAnsi="Palatino Linotype" w:cs="Tahoma"/>
          <w:bCs/>
          <w:sz w:val="22"/>
          <w:szCs w:val="22"/>
          <w:lang w:eastAsia="en-US"/>
        </w:rPr>
        <w:t>el cual describe cómo debe llevarse a cabo</w:t>
      </w:r>
      <w:r w:rsidRPr="00A50EAF">
        <w:rPr>
          <w:rFonts w:ascii="Palatino Linotype" w:eastAsia="Calibri" w:hAnsi="Palatino Linotype" w:cs="Tahoma"/>
          <w:bCs/>
          <w:sz w:val="22"/>
          <w:szCs w:val="22"/>
          <w:lang w:val="es-ES" w:eastAsia="en-US"/>
        </w:rPr>
        <w:t xml:space="preserve"> la presentación de la Información a la Nómina</w:t>
      </w:r>
      <w:r w:rsidR="00B074A5">
        <w:rPr>
          <w:rFonts w:ascii="Palatino Linotype" w:eastAsia="Calibri" w:hAnsi="Palatino Linotype" w:cs="Tahoma"/>
          <w:bCs/>
          <w:sz w:val="22"/>
          <w:szCs w:val="22"/>
          <w:lang w:val="es-ES" w:eastAsia="en-US"/>
        </w:rPr>
        <w:t xml:space="preserve"> por parte de los Ayuntamientos</w:t>
      </w:r>
      <w:r w:rsidRPr="00A50EAF">
        <w:rPr>
          <w:rFonts w:ascii="Palatino Linotype" w:eastAsia="Calibri" w:hAnsi="Palatino Linotype" w:cs="Tahoma"/>
          <w:bCs/>
          <w:sz w:val="22"/>
          <w:szCs w:val="22"/>
          <w:lang w:val="es-ES" w:eastAsia="en-US"/>
        </w:rPr>
        <w:t xml:space="preserve"> tal y como se muestra en las siguientes imágenes: </w:t>
      </w:r>
    </w:p>
    <w:p w14:paraId="4388F538" w14:textId="77777777" w:rsidR="007B1FA5" w:rsidRDefault="00D4447D" w:rsidP="00544E9C">
      <w:pPr>
        <w:spacing w:line="360" w:lineRule="auto"/>
        <w:ind w:right="-93"/>
        <w:jc w:val="center"/>
        <w:rPr>
          <w:rFonts w:ascii="Palatino Linotype" w:eastAsia="Calibri" w:hAnsi="Palatino Linotype" w:cs="Tahoma"/>
          <w:bCs/>
          <w:sz w:val="22"/>
          <w:szCs w:val="22"/>
          <w:lang w:val="es-ES" w:eastAsia="en-US"/>
        </w:rPr>
      </w:pPr>
      <w:r>
        <w:rPr>
          <w:noProof/>
          <w:lang w:eastAsia="es-MX"/>
        </w:rPr>
        <w:drawing>
          <wp:inline distT="0" distB="0" distL="0" distR="0" wp14:anchorId="083E0B00" wp14:editId="4F38AF41">
            <wp:extent cx="3858605" cy="509587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55" t="8559" r="32974" b="11445"/>
                    <a:stretch/>
                  </pic:blipFill>
                  <pic:spPr bwMode="auto">
                    <a:xfrm>
                      <a:off x="0" y="0"/>
                      <a:ext cx="3886338" cy="5132501"/>
                    </a:xfrm>
                    <a:prstGeom prst="rect">
                      <a:avLst/>
                    </a:prstGeom>
                    <a:ln>
                      <a:noFill/>
                    </a:ln>
                    <a:extLst>
                      <a:ext uri="{53640926-AAD7-44D8-BBD7-CCE9431645EC}">
                        <a14:shadowObscured xmlns:a14="http://schemas.microsoft.com/office/drawing/2010/main"/>
                      </a:ext>
                    </a:extLst>
                  </pic:spPr>
                </pic:pic>
              </a:graphicData>
            </a:graphic>
          </wp:inline>
        </w:drawing>
      </w:r>
    </w:p>
    <w:p w14:paraId="783450CA" w14:textId="77777777" w:rsidR="007B1FA5" w:rsidRPr="00A50EAF" w:rsidRDefault="00D4447D" w:rsidP="00544E9C">
      <w:pPr>
        <w:spacing w:line="360" w:lineRule="auto"/>
        <w:ind w:right="-93"/>
        <w:jc w:val="center"/>
        <w:rPr>
          <w:rFonts w:ascii="Palatino Linotype" w:eastAsia="Calibri" w:hAnsi="Palatino Linotype" w:cs="Tahoma"/>
          <w:bCs/>
          <w:sz w:val="22"/>
          <w:szCs w:val="22"/>
          <w:lang w:val="es-ES" w:eastAsia="en-US"/>
        </w:rPr>
      </w:pPr>
      <w:r>
        <w:rPr>
          <w:noProof/>
          <w:lang w:eastAsia="es-MX"/>
        </w:rPr>
        <w:lastRenderedPageBreak/>
        <w:drawing>
          <wp:inline distT="0" distB="0" distL="0" distR="0" wp14:anchorId="4CA8298D" wp14:editId="6A4EF75D">
            <wp:extent cx="4529263" cy="3595990"/>
            <wp:effectExtent l="0" t="0" r="508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956" t="9216" r="33531" b="43478"/>
                    <a:stretch/>
                  </pic:blipFill>
                  <pic:spPr bwMode="auto">
                    <a:xfrm>
                      <a:off x="0" y="0"/>
                      <a:ext cx="4585609" cy="3640726"/>
                    </a:xfrm>
                    <a:prstGeom prst="rect">
                      <a:avLst/>
                    </a:prstGeom>
                    <a:ln>
                      <a:noFill/>
                    </a:ln>
                    <a:extLst>
                      <a:ext uri="{53640926-AAD7-44D8-BBD7-CCE9431645EC}">
                        <a14:shadowObscured xmlns:a14="http://schemas.microsoft.com/office/drawing/2010/main"/>
                      </a:ext>
                    </a:extLst>
                  </pic:spPr>
                </pic:pic>
              </a:graphicData>
            </a:graphic>
          </wp:inline>
        </w:drawing>
      </w:r>
      <w:r w:rsidR="007B1FA5">
        <w:rPr>
          <w:noProof/>
          <w:lang w:eastAsia="es-MX"/>
        </w:rPr>
        <w:drawing>
          <wp:inline distT="0" distB="0" distL="0" distR="0" wp14:anchorId="72748F43" wp14:editId="7CA8ED6E">
            <wp:extent cx="4955107" cy="385961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953" t="13010" r="22871" b="10583"/>
                    <a:stretch/>
                  </pic:blipFill>
                  <pic:spPr bwMode="auto">
                    <a:xfrm>
                      <a:off x="0" y="0"/>
                      <a:ext cx="5000736" cy="3895159"/>
                    </a:xfrm>
                    <a:prstGeom prst="rect">
                      <a:avLst/>
                    </a:prstGeom>
                    <a:ln>
                      <a:noFill/>
                    </a:ln>
                    <a:extLst>
                      <a:ext uri="{53640926-AAD7-44D8-BBD7-CCE9431645EC}">
                        <a14:shadowObscured xmlns:a14="http://schemas.microsoft.com/office/drawing/2010/main"/>
                      </a:ext>
                    </a:extLst>
                  </pic:spPr>
                </pic:pic>
              </a:graphicData>
            </a:graphic>
          </wp:inline>
        </w:drawing>
      </w:r>
    </w:p>
    <w:p w14:paraId="0A0C415C" w14:textId="77777777" w:rsidR="00C174BC" w:rsidRDefault="00C174BC" w:rsidP="00544E9C">
      <w:pPr>
        <w:spacing w:line="360" w:lineRule="auto"/>
        <w:ind w:right="-93"/>
        <w:jc w:val="both"/>
        <w:rPr>
          <w:rFonts w:ascii="Palatino Linotype" w:eastAsia="Calibri" w:hAnsi="Palatino Linotype" w:cs="Tahoma"/>
          <w:bCs/>
          <w:sz w:val="22"/>
          <w:szCs w:val="22"/>
          <w:lang w:eastAsia="en-US"/>
        </w:rPr>
      </w:pPr>
    </w:p>
    <w:p w14:paraId="13341029" w14:textId="77777777" w:rsidR="00124A72" w:rsidRPr="00544E9C" w:rsidRDefault="00D4447D" w:rsidP="00544E9C">
      <w:pPr>
        <w:spacing w:line="360" w:lineRule="auto"/>
        <w:ind w:right="-91"/>
        <w:jc w:val="both"/>
        <w:rPr>
          <w:rFonts w:ascii="Palatino Linotype" w:eastAsia="Calibri" w:hAnsi="Palatino Linotype" w:cs="Tahoma"/>
          <w:bCs/>
          <w:sz w:val="22"/>
          <w:szCs w:val="22"/>
          <w:lang w:eastAsia="en-US"/>
        </w:rPr>
      </w:pPr>
      <w:r w:rsidRPr="00D4447D">
        <w:rPr>
          <w:rFonts w:ascii="Palatino Linotype" w:eastAsia="Calibri" w:hAnsi="Palatino Linotype" w:cs="Tahoma"/>
          <w:bCs/>
          <w:sz w:val="22"/>
          <w:szCs w:val="22"/>
          <w:lang w:val="es-ES" w:eastAsia="en-US"/>
        </w:rPr>
        <w:t xml:space="preserve">Atento a lo anterior, resulta claro que existe fuente obligacional que constriñe al Sujeto Obligado, para entregar los informes mensuales al OSFEM de conformidad con el artículo 32 de la Ley de Fiscalización Superior del Estado de México, en los cuales se incluye lo referente a la nómina general, que comprende la información relativa al pago de las remuneraciones de </w:t>
      </w:r>
      <w:r w:rsidRPr="00544E9C">
        <w:rPr>
          <w:rFonts w:ascii="Palatino Linotype" w:eastAsia="Calibri" w:hAnsi="Palatino Linotype" w:cs="Tahoma"/>
          <w:bCs/>
          <w:sz w:val="22"/>
          <w:szCs w:val="22"/>
          <w:lang w:eastAsia="en-US"/>
        </w:rPr>
        <w:t>cada uno de los servidores públicos correspondiente a un periodo determinado; en consecuencia, la información solicitada; por el Recurrente debe obrar en los archivos del Sujeto Obligado.</w:t>
      </w:r>
    </w:p>
    <w:p w14:paraId="4F5CAF0A" w14:textId="77777777" w:rsidR="00D4447D" w:rsidRPr="00544E9C" w:rsidRDefault="00D4447D" w:rsidP="00544E9C">
      <w:pPr>
        <w:spacing w:line="360" w:lineRule="auto"/>
        <w:ind w:right="-91"/>
        <w:jc w:val="both"/>
        <w:rPr>
          <w:rFonts w:ascii="Palatino Linotype" w:eastAsia="Calibri" w:hAnsi="Palatino Linotype" w:cs="Tahoma"/>
          <w:bCs/>
          <w:sz w:val="22"/>
          <w:szCs w:val="22"/>
          <w:lang w:eastAsia="en-US"/>
        </w:rPr>
      </w:pPr>
    </w:p>
    <w:p w14:paraId="31B3EAAD" w14:textId="3111E42A" w:rsidR="00544E9C" w:rsidRPr="00544E9C" w:rsidRDefault="00E815C4" w:rsidP="00544E9C">
      <w:pPr>
        <w:spacing w:line="360" w:lineRule="auto"/>
        <w:ind w:right="-91"/>
        <w:jc w:val="both"/>
        <w:rPr>
          <w:rFonts w:ascii="Palatino Linotype" w:eastAsia="Calibri" w:hAnsi="Palatino Linotype" w:cs="Tahoma"/>
          <w:bCs/>
          <w:sz w:val="22"/>
          <w:szCs w:val="22"/>
          <w:lang w:eastAsia="en-US"/>
        </w:rPr>
      </w:pPr>
      <w:r w:rsidRPr="00544E9C">
        <w:rPr>
          <w:rFonts w:ascii="Palatino Linotype" w:eastAsia="Calibri" w:hAnsi="Palatino Linotype" w:cs="Tahoma"/>
          <w:bCs/>
          <w:sz w:val="22"/>
          <w:szCs w:val="22"/>
          <w:lang w:eastAsia="en-US"/>
        </w:rPr>
        <w:t xml:space="preserve">En este sentido, de acuerdo a la naturaleza de la información solicitada se concluye que </w:t>
      </w:r>
      <w:r w:rsidR="00170512">
        <w:rPr>
          <w:rFonts w:ascii="Palatino Linotype" w:eastAsia="Calibri" w:hAnsi="Palatino Linotype" w:cs="Tahoma"/>
          <w:bCs/>
          <w:sz w:val="22"/>
          <w:szCs w:val="22"/>
          <w:lang w:eastAsia="en-US"/>
        </w:rPr>
        <w:t>e</w:t>
      </w:r>
      <w:r w:rsidRPr="00544E9C">
        <w:rPr>
          <w:rFonts w:ascii="Palatino Linotype" w:eastAsia="Calibri" w:hAnsi="Palatino Linotype" w:cs="Tahoma"/>
          <w:bCs/>
          <w:sz w:val="22"/>
          <w:szCs w:val="22"/>
          <w:lang w:eastAsia="en-US"/>
        </w:rPr>
        <w:t>sta</w:t>
      </w:r>
      <w:r w:rsidRPr="00E815C4">
        <w:rPr>
          <w:rFonts w:ascii="Palatino Linotype" w:hAnsi="Palatino Linotype" w:cs="Arial"/>
          <w:sz w:val="22"/>
          <w:szCs w:val="22"/>
          <w:lang w:val="es-ES"/>
        </w:rPr>
        <w:t xml:space="preserve"> es de</w:t>
      </w:r>
      <w:r w:rsidRPr="00E815C4">
        <w:rPr>
          <w:rFonts w:ascii="Palatino Linotype" w:hAnsi="Palatino Linotype" w:cs="Arial"/>
          <w:bCs/>
          <w:sz w:val="22"/>
          <w:szCs w:val="22"/>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E815C4">
        <w:rPr>
          <w:rFonts w:ascii="Palatino Linotype" w:hAnsi="Palatino Linotype" w:cs="Arial"/>
          <w:sz w:val="22"/>
          <w:szCs w:val="22"/>
          <w:lang w:val="es-ES"/>
        </w:rPr>
        <w:t xml:space="preserve"> </w:t>
      </w:r>
      <w:r w:rsidRPr="00E815C4">
        <w:rPr>
          <w:rFonts w:ascii="Palatino Linotype" w:hAnsi="Palatino Linotype" w:cs="Arial"/>
          <w:bCs/>
          <w:sz w:val="22"/>
          <w:szCs w:val="22"/>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w:t>
      </w:r>
      <w:r w:rsidRPr="00544E9C">
        <w:rPr>
          <w:rFonts w:ascii="Palatino Linotype" w:eastAsia="Calibri" w:hAnsi="Palatino Linotype" w:cs="Tahoma"/>
          <w:bCs/>
          <w:sz w:val="22"/>
          <w:szCs w:val="22"/>
          <w:lang w:eastAsia="en-US"/>
        </w:rPr>
        <w:t>nombres de las personas a quienes se entreguen recursos públicos y con ello transparentar la forma, términos, causas y finalidad en la disposición de esos recursos.</w:t>
      </w:r>
    </w:p>
    <w:p w14:paraId="5E3EB2BB" w14:textId="77777777" w:rsidR="00544E9C" w:rsidRPr="00544E9C" w:rsidRDefault="00544E9C" w:rsidP="00544E9C">
      <w:pPr>
        <w:spacing w:line="360" w:lineRule="auto"/>
        <w:ind w:right="-91"/>
        <w:jc w:val="both"/>
        <w:rPr>
          <w:rFonts w:ascii="Palatino Linotype" w:eastAsia="Calibri" w:hAnsi="Palatino Linotype" w:cs="Tahoma"/>
          <w:bCs/>
          <w:sz w:val="22"/>
          <w:szCs w:val="22"/>
          <w:lang w:eastAsia="en-US"/>
        </w:rPr>
      </w:pPr>
    </w:p>
    <w:p w14:paraId="265B9F81" w14:textId="77777777" w:rsidR="006B6983" w:rsidRDefault="00E815C4" w:rsidP="00544E9C">
      <w:pPr>
        <w:spacing w:line="360" w:lineRule="auto"/>
        <w:ind w:right="-91"/>
        <w:jc w:val="both"/>
        <w:rPr>
          <w:rFonts w:ascii="Palatino Linotype" w:eastAsia="Calibri" w:hAnsi="Palatino Linotype" w:cs="Tahoma"/>
          <w:bCs/>
          <w:sz w:val="22"/>
          <w:szCs w:val="22"/>
          <w:lang w:eastAsia="en-US"/>
        </w:rPr>
      </w:pPr>
      <w:r w:rsidRPr="00544E9C">
        <w:rPr>
          <w:rFonts w:ascii="Palatino Linotype" w:eastAsia="Calibri" w:hAnsi="Palatino Linotype" w:cs="Tahoma"/>
          <w:bCs/>
          <w:sz w:val="22"/>
          <w:szCs w:val="22"/>
          <w:lang w:eastAsia="en-US"/>
        </w:rPr>
        <w:t xml:space="preserve">No pasa desapercibido que en respuesta el Sujeto Obligado </w:t>
      </w:r>
      <w:r w:rsidR="006B6983">
        <w:rPr>
          <w:rFonts w:ascii="Palatino Linotype" w:eastAsia="Calibri" w:hAnsi="Palatino Linotype" w:cs="Tahoma"/>
          <w:bCs/>
          <w:sz w:val="22"/>
          <w:szCs w:val="22"/>
          <w:lang w:eastAsia="en-US"/>
        </w:rPr>
        <w:t>únicamente envió un listado de personal, pero el mismo no da cuenta de las percepciones de los servidores públicos adscritos al Ayuntamiento, además de que en el mismo se señala que es de la primera quincena de febrero, por lo que atendiendo a la fecha de la solicitud de información</w:t>
      </w:r>
      <w:r w:rsidR="00323160">
        <w:rPr>
          <w:rFonts w:ascii="Palatino Linotype" w:eastAsia="Calibri" w:hAnsi="Palatino Linotype" w:cs="Tahoma"/>
          <w:bCs/>
          <w:sz w:val="22"/>
          <w:szCs w:val="22"/>
          <w:lang w:eastAsia="en-US"/>
        </w:rPr>
        <w:t>,</w:t>
      </w:r>
      <w:r w:rsidR="006B6983">
        <w:rPr>
          <w:rFonts w:ascii="Palatino Linotype" w:eastAsia="Calibri" w:hAnsi="Palatino Linotype" w:cs="Tahoma"/>
          <w:bCs/>
          <w:sz w:val="22"/>
          <w:szCs w:val="22"/>
          <w:lang w:eastAsia="en-US"/>
        </w:rPr>
        <w:t xml:space="preserve"> la nómina que </w:t>
      </w:r>
      <w:r w:rsidR="00323160">
        <w:rPr>
          <w:rFonts w:ascii="Palatino Linotype" w:eastAsia="Calibri" w:hAnsi="Palatino Linotype" w:cs="Tahoma"/>
          <w:bCs/>
          <w:sz w:val="22"/>
          <w:szCs w:val="22"/>
          <w:lang w:eastAsia="en-US"/>
        </w:rPr>
        <w:t xml:space="preserve">da cuenta de lo que </w:t>
      </w:r>
      <w:r w:rsidR="006B6983">
        <w:rPr>
          <w:rFonts w:ascii="Palatino Linotype" w:eastAsia="Calibri" w:hAnsi="Palatino Linotype" w:cs="Tahoma"/>
          <w:bCs/>
          <w:sz w:val="22"/>
          <w:szCs w:val="22"/>
          <w:lang w:eastAsia="en-US"/>
        </w:rPr>
        <w:t>quiere conocer el Particular es de la segunda quincena</w:t>
      </w:r>
      <w:r w:rsidR="00323160">
        <w:rPr>
          <w:rFonts w:ascii="Palatino Linotype" w:eastAsia="Calibri" w:hAnsi="Palatino Linotype" w:cs="Tahoma"/>
          <w:bCs/>
          <w:sz w:val="22"/>
          <w:szCs w:val="22"/>
          <w:lang w:eastAsia="en-US"/>
        </w:rPr>
        <w:t xml:space="preserve"> del mes de enero de dos mil diecinueve.</w:t>
      </w:r>
    </w:p>
    <w:p w14:paraId="2402DD19" w14:textId="77777777" w:rsidR="00544E9C" w:rsidRPr="00544E9C" w:rsidRDefault="00544E9C" w:rsidP="00544E9C">
      <w:pPr>
        <w:spacing w:line="360" w:lineRule="auto"/>
        <w:ind w:right="-91"/>
        <w:jc w:val="both"/>
        <w:rPr>
          <w:rFonts w:ascii="Palatino Linotype" w:eastAsia="Calibri" w:hAnsi="Palatino Linotype" w:cs="Tahoma"/>
          <w:bCs/>
          <w:sz w:val="22"/>
          <w:szCs w:val="22"/>
          <w:lang w:eastAsia="en-US"/>
        </w:rPr>
      </w:pPr>
    </w:p>
    <w:p w14:paraId="1CE8DBA1" w14:textId="77777777" w:rsidR="00544E9C" w:rsidRPr="00544E9C" w:rsidRDefault="00544E9C" w:rsidP="00544E9C">
      <w:pPr>
        <w:spacing w:line="360" w:lineRule="auto"/>
        <w:ind w:right="-91"/>
        <w:jc w:val="both"/>
        <w:rPr>
          <w:rFonts w:ascii="Palatino Linotype" w:eastAsia="Calibri" w:hAnsi="Palatino Linotype" w:cs="Tahoma"/>
          <w:bCs/>
          <w:sz w:val="22"/>
          <w:szCs w:val="22"/>
          <w:lang w:eastAsia="en-US"/>
        </w:rPr>
      </w:pPr>
    </w:p>
    <w:p w14:paraId="0D2D8FE3" w14:textId="77777777" w:rsidR="00C174BC" w:rsidRPr="00954F1B" w:rsidRDefault="00C174BC" w:rsidP="00544E9C">
      <w:pPr>
        <w:pStyle w:val="Prrafodelista"/>
        <w:numPr>
          <w:ilvl w:val="0"/>
          <w:numId w:val="32"/>
        </w:numPr>
        <w:spacing w:line="360" w:lineRule="auto"/>
        <w:ind w:right="-93"/>
        <w:jc w:val="both"/>
        <w:rPr>
          <w:rFonts w:ascii="Palatino Linotype" w:eastAsia="Calibri" w:hAnsi="Palatino Linotype" w:cs="Tahoma"/>
          <w:b/>
          <w:bCs/>
          <w:szCs w:val="22"/>
          <w:lang w:val="es-ES_tradnl" w:eastAsia="en-US"/>
        </w:rPr>
      </w:pPr>
      <w:r w:rsidRPr="00954F1B">
        <w:rPr>
          <w:rFonts w:ascii="Palatino Linotype" w:eastAsia="Calibri" w:hAnsi="Palatino Linotype" w:cs="Tahoma"/>
          <w:b/>
          <w:bCs/>
          <w:szCs w:val="22"/>
          <w:lang w:val="es-ES_tradnl" w:eastAsia="en-US"/>
        </w:rPr>
        <w:t>Información sobre el personal de seguridad pública.</w:t>
      </w:r>
    </w:p>
    <w:p w14:paraId="27F5BAE7" w14:textId="77777777" w:rsidR="00954F1B" w:rsidRPr="00BC1085" w:rsidRDefault="00954F1B" w:rsidP="00544E9C">
      <w:pPr>
        <w:spacing w:line="360" w:lineRule="auto"/>
        <w:ind w:right="-93"/>
        <w:jc w:val="both"/>
        <w:rPr>
          <w:rFonts w:ascii="Palatino Linotype" w:eastAsia="Calibri" w:hAnsi="Palatino Linotype" w:cs="Tahoma"/>
          <w:b/>
          <w:bCs/>
          <w:sz w:val="22"/>
          <w:szCs w:val="22"/>
          <w:lang w:val="es-ES_tradnl" w:eastAsia="en-US"/>
        </w:rPr>
      </w:pPr>
    </w:p>
    <w:p w14:paraId="190FF5AE" w14:textId="326EDCEB" w:rsidR="008421AB" w:rsidRPr="008421AB" w:rsidRDefault="00C174BC" w:rsidP="008421AB">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Finalmente, no pasa desapercibido que el </w:t>
      </w:r>
      <w:r w:rsidR="00E14C3E" w:rsidRPr="00A50EAF">
        <w:rPr>
          <w:rFonts w:ascii="Palatino Linotype" w:eastAsia="Calibri" w:hAnsi="Palatino Linotype" w:cs="Tahoma"/>
          <w:bCs/>
          <w:sz w:val="22"/>
          <w:szCs w:val="22"/>
          <w:lang w:eastAsia="en-US"/>
        </w:rPr>
        <w:t xml:space="preserve">Particular </w:t>
      </w:r>
      <w:r w:rsidR="00781A0C">
        <w:rPr>
          <w:rFonts w:ascii="Palatino Linotype" w:eastAsia="Calibri" w:hAnsi="Palatino Linotype" w:cs="Tahoma"/>
          <w:bCs/>
          <w:sz w:val="22"/>
          <w:szCs w:val="22"/>
          <w:lang w:eastAsia="en-US"/>
        </w:rPr>
        <w:t>al solicitar</w:t>
      </w:r>
      <w:r w:rsidR="00E14C3E">
        <w:rPr>
          <w:rFonts w:ascii="Palatino Linotype" w:eastAsia="Calibri" w:hAnsi="Palatino Linotype" w:cs="Tahoma"/>
          <w:bCs/>
          <w:sz w:val="22"/>
          <w:szCs w:val="22"/>
          <w:lang w:eastAsia="en-US"/>
        </w:rPr>
        <w:t xml:space="preserve"> la nómina de todo el personal, </w:t>
      </w:r>
      <w:r w:rsidR="00954F1B">
        <w:rPr>
          <w:rFonts w:ascii="Palatino Linotype" w:eastAsia="Calibri" w:hAnsi="Palatino Linotype" w:cs="Tahoma"/>
          <w:bCs/>
          <w:sz w:val="22"/>
          <w:szCs w:val="22"/>
          <w:lang w:eastAsia="en-US"/>
        </w:rPr>
        <w:t xml:space="preserve">dentro de los que se encuentran los </w:t>
      </w:r>
      <w:r w:rsidRPr="00A50EAF">
        <w:rPr>
          <w:rFonts w:ascii="Palatino Linotype" w:eastAsia="Calibri" w:hAnsi="Palatino Linotype" w:cs="Tahoma"/>
          <w:bCs/>
          <w:sz w:val="22"/>
          <w:szCs w:val="22"/>
          <w:lang w:eastAsia="en-US"/>
        </w:rPr>
        <w:t xml:space="preserve">policías, </w:t>
      </w:r>
      <w:r w:rsidR="00781A0C">
        <w:rPr>
          <w:rFonts w:ascii="Palatino Linotype" w:eastAsia="Calibri" w:hAnsi="Palatino Linotype" w:cs="Tahoma"/>
          <w:bCs/>
          <w:sz w:val="22"/>
          <w:szCs w:val="22"/>
          <w:lang w:eastAsia="en-US"/>
        </w:rPr>
        <w:t>el Sujeto Obligado, remitió un Acuerdo de Clasificación</w:t>
      </w:r>
      <w:r w:rsidR="00A546C5">
        <w:rPr>
          <w:rFonts w:ascii="Palatino Linotype" w:eastAsia="Calibri" w:hAnsi="Palatino Linotype" w:cs="Tahoma"/>
          <w:bCs/>
          <w:sz w:val="22"/>
          <w:szCs w:val="22"/>
          <w:lang w:eastAsia="en-US"/>
        </w:rPr>
        <w:t>; sin embargo</w:t>
      </w:r>
      <w:r w:rsidR="008421AB" w:rsidRPr="008421AB">
        <w:rPr>
          <w:rFonts w:ascii="Palatino Linotype" w:eastAsia="Calibri" w:hAnsi="Palatino Linotype" w:cs="Tahoma"/>
          <w:bCs/>
          <w:sz w:val="22"/>
          <w:szCs w:val="22"/>
          <w:lang w:eastAsia="en-US"/>
        </w:rPr>
        <w:t xml:space="preserve">, </w:t>
      </w:r>
      <w:r w:rsidR="00DD0061">
        <w:rPr>
          <w:rFonts w:ascii="Palatino Linotype" w:eastAsia="Calibri" w:hAnsi="Palatino Linotype" w:cs="Tahoma"/>
          <w:bCs/>
          <w:sz w:val="22"/>
          <w:szCs w:val="22"/>
          <w:lang w:eastAsia="en-US"/>
        </w:rPr>
        <w:t>se advirtió</w:t>
      </w:r>
      <w:r w:rsidR="008421AB" w:rsidRPr="008421AB">
        <w:rPr>
          <w:rFonts w:ascii="Palatino Linotype" w:eastAsia="Calibri" w:hAnsi="Palatino Linotype" w:cs="Tahoma"/>
          <w:bCs/>
          <w:sz w:val="22"/>
          <w:szCs w:val="22"/>
          <w:lang w:eastAsia="en-US"/>
        </w:rPr>
        <w:t xml:space="preserve"> la evidente ausencia del análisis caso por caso que establece tanto la Ley de la Materia como Lineamientos Generales en Materia de Clasificación y Desclasificación de la Información, así como para la El</w:t>
      </w:r>
      <w:r w:rsidR="008421AB">
        <w:rPr>
          <w:rFonts w:ascii="Palatino Linotype" w:eastAsia="Calibri" w:hAnsi="Palatino Linotype" w:cs="Tahoma"/>
          <w:bCs/>
          <w:sz w:val="22"/>
          <w:szCs w:val="22"/>
          <w:lang w:eastAsia="en-US"/>
        </w:rPr>
        <w:t>aboración de Versiones Públicas</w:t>
      </w:r>
      <w:r w:rsidR="008421AB" w:rsidRPr="008421AB">
        <w:rPr>
          <w:rFonts w:ascii="Palatino Linotype" w:eastAsia="Calibri" w:hAnsi="Palatino Linotype" w:cs="Tahoma"/>
          <w:bCs/>
          <w:sz w:val="22"/>
          <w:szCs w:val="22"/>
          <w:lang w:eastAsia="en-US"/>
        </w:rPr>
        <w:t>.</w:t>
      </w:r>
    </w:p>
    <w:p w14:paraId="1450CBD0" w14:textId="77777777" w:rsidR="008421AB" w:rsidRDefault="008421AB" w:rsidP="008421AB">
      <w:pPr>
        <w:spacing w:line="360" w:lineRule="auto"/>
        <w:ind w:right="-93"/>
        <w:jc w:val="both"/>
        <w:rPr>
          <w:rFonts w:ascii="Palatino Linotype" w:eastAsia="Calibri" w:hAnsi="Palatino Linotype" w:cs="Tahoma"/>
          <w:bCs/>
          <w:sz w:val="22"/>
          <w:szCs w:val="22"/>
          <w:lang w:eastAsia="en-US"/>
        </w:rPr>
      </w:pPr>
    </w:p>
    <w:p w14:paraId="7AA7957E" w14:textId="77777777" w:rsidR="00781A0C" w:rsidRDefault="008421AB" w:rsidP="00544E9C">
      <w:pPr>
        <w:spacing w:line="360" w:lineRule="auto"/>
        <w:ind w:right="-93"/>
        <w:jc w:val="both"/>
        <w:rPr>
          <w:rFonts w:ascii="Palatino Linotype" w:eastAsia="Calibri" w:hAnsi="Palatino Linotype" w:cs="Tahoma"/>
          <w:bCs/>
          <w:sz w:val="22"/>
          <w:szCs w:val="22"/>
          <w:lang w:eastAsia="en-US"/>
        </w:rPr>
      </w:pPr>
      <w:r w:rsidRPr="008421AB">
        <w:rPr>
          <w:rFonts w:ascii="Palatino Linotype" w:eastAsia="Calibri" w:hAnsi="Palatino Linotype" w:cs="Tahoma"/>
          <w:bCs/>
          <w:sz w:val="22"/>
          <w:szCs w:val="22"/>
          <w:lang w:eastAsia="en-US"/>
        </w:rPr>
        <w:t>Lo anterior es así en virtud de que la normativa aplicable no establece que una vez emitido un acuerdo de clasificación, los sujetos obligados adopten un acuerdo de clasificación para atender todas las solicitudes de información que les sean presentadas, lo que resulta contrario a lo perseguido en la Ley de la Materia al acotar un análisis caso por caso, por lo que el hecho de que el Sujeto Obligado notificara un acuerdo general hace violatorio el derecho de acceso a la información.</w:t>
      </w:r>
      <w:r w:rsidR="00781A0C">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Aunado lo anterior, sirve de sustento </w:t>
      </w:r>
      <w:r w:rsidR="00781A0C">
        <w:rPr>
          <w:rFonts w:ascii="Palatino Linotype" w:eastAsia="Calibri" w:hAnsi="Palatino Linotype" w:cs="Tahoma"/>
          <w:bCs/>
          <w:sz w:val="22"/>
          <w:szCs w:val="22"/>
          <w:lang w:eastAsia="en-US"/>
        </w:rPr>
        <w:t>el artículo 132 de la Ley de Transparencia y Acceso a la Información Pública del Estado de México y Municipios que establece lo siguiente:</w:t>
      </w:r>
    </w:p>
    <w:p w14:paraId="0A1F060D" w14:textId="77777777" w:rsidR="00781A0C" w:rsidRDefault="00781A0C" w:rsidP="00544E9C">
      <w:pPr>
        <w:spacing w:line="360" w:lineRule="auto"/>
        <w:ind w:right="-93"/>
        <w:jc w:val="both"/>
        <w:rPr>
          <w:rFonts w:ascii="Palatino Linotype" w:eastAsia="Calibri" w:hAnsi="Palatino Linotype" w:cs="Tahoma"/>
          <w:bCs/>
          <w:sz w:val="22"/>
          <w:szCs w:val="22"/>
          <w:lang w:eastAsia="en-US"/>
        </w:rPr>
      </w:pPr>
    </w:p>
    <w:p w14:paraId="6337DD30" w14:textId="77777777" w:rsidR="00781A0C" w:rsidRPr="00781A0C" w:rsidRDefault="00781A0C" w:rsidP="00781A0C">
      <w:pPr>
        <w:spacing w:line="360" w:lineRule="auto"/>
        <w:ind w:left="567" w:right="539"/>
        <w:jc w:val="both"/>
        <w:rPr>
          <w:rFonts w:ascii="Palatino Linotype" w:eastAsia="Calibri" w:hAnsi="Palatino Linotype" w:cs="Tahoma"/>
          <w:bCs/>
          <w:i/>
          <w:sz w:val="22"/>
          <w:szCs w:val="22"/>
          <w:lang w:eastAsia="en-US"/>
        </w:rPr>
      </w:pPr>
      <w:r w:rsidRPr="00781A0C">
        <w:rPr>
          <w:rFonts w:ascii="Palatino Linotype" w:eastAsia="Calibri" w:hAnsi="Palatino Linotype" w:cs="Tahoma"/>
          <w:b/>
          <w:bCs/>
          <w:i/>
          <w:sz w:val="22"/>
          <w:szCs w:val="22"/>
          <w:lang w:eastAsia="en-US"/>
        </w:rPr>
        <w:t>Artículo 132</w:t>
      </w:r>
      <w:r w:rsidRPr="00781A0C">
        <w:rPr>
          <w:rFonts w:ascii="Palatino Linotype" w:eastAsia="Calibri" w:hAnsi="Palatino Linotype" w:cs="Tahoma"/>
          <w:bCs/>
          <w:i/>
          <w:sz w:val="22"/>
          <w:szCs w:val="22"/>
          <w:lang w:eastAsia="en-US"/>
        </w:rPr>
        <w:t>. La clasificación de la información se llevará a cabo en el momento en que:</w:t>
      </w:r>
    </w:p>
    <w:p w14:paraId="712D6AAD" w14:textId="77777777" w:rsidR="00781A0C" w:rsidRPr="00781A0C" w:rsidRDefault="00781A0C" w:rsidP="00781A0C">
      <w:pPr>
        <w:spacing w:line="360" w:lineRule="auto"/>
        <w:ind w:left="567" w:right="539"/>
        <w:jc w:val="both"/>
        <w:rPr>
          <w:rFonts w:ascii="Palatino Linotype" w:eastAsia="Calibri" w:hAnsi="Palatino Linotype" w:cs="Tahoma"/>
          <w:bCs/>
          <w:i/>
          <w:sz w:val="22"/>
          <w:szCs w:val="22"/>
          <w:lang w:eastAsia="en-US"/>
        </w:rPr>
      </w:pPr>
      <w:r w:rsidRPr="00781A0C">
        <w:rPr>
          <w:rFonts w:ascii="Palatino Linotype" w:eastAsia="Calibri" w:hAnsi="Palatino Linotype" w:cs="Tahoma"/>
          <w:b/>
          <w:bCs/>
          <w:i/>
          <w:sz w:val="22"/>
          <w:szCs w:val="22"/>
          <w:lang w:eastAsia="en-US"/>
        </w:rPr>
        <w:t>I.</w:t>
      </w:r>
      <w:r w:rsidRPr="00781A0C">
        <w:rPr>
          <w:rFonts w:ascii="Palatino Linotype" w:eastAsia="Calibri" w:hAnsi="Palatino Linotype" w:cs="Tahoma"/>
          <w:bCs/>
          <w:i/>
          <w:sz w:val="22"/>
          <w:szCs w:val="22"/>
          <w:lang w:eastAsia="en-US"/>
        </w:rPr>
        <w:t xml:space="preserve"> Se reciba una solicitud de acceso a la información;</w:t>
      </w:r>
    </w:p>
    <w:p w14:paraId="766272CB" w14:textId="77777777" w:rsidR="00781A0C" w:rsidRPr="00781A0C" w:rsidRDefault="00781A0C" w:rsidP="00781A0C">
      <w:pPr>
        <w:spacing w:line="360" w:lineRule="auto"/>
        <w:ind w:left="567" w:right="539"/>
        <w:jc w:val="both"/>
        <w:rPr>
          <w:rFonts w:ascii="Palatino Linotype" w:eastAsia="Calibri" w:hAnsi="Palatino Linotype" w:cs="Tahoma"/>
          <w:bCs/>
          <w:i/>
          <w:sz w:val="22"/>
          <w:szCs w:val="22"/>
          <w:lang w:eastAsia="en-US"/>
        </w:rPr>
      </w:pPr>
      <w:r w:rsidRPr="00781A0C">
        <w:rPr>
          <w:rFonts w:ascii="Palatino Linotype" w:eastAsia="Calibri" w:hAnsi="Palatino Linotype" w:cs="Tahoma"/>
          <w:b/>
          <w:bCs/>
          <w:i/>
          <w:sz w:val="22"/>
          <w:szCs w:val="22"/>
          <w:lang w:eastAsia="en-US"/>
        </w:rPr>
        <w:t>II.</w:t>
      </w:r>
      <w:r w:rsidRPr="00781A0C">
        <w:rPr>
          <w:rFonts w:ascii="Palatino Linotype" w:eastAsia="Calibri" w:hAnsi="Palatino Linotype" w:cs="Tahoma"/>
          <w:bCs/>
          <w:i/>
          <w:sz w:val="22"/>
          <w:szCs w:val="22"/>
          <w:lang w:eastAsia="en-US"/>
        </w:rPr>
        <w:t xml:space="preserve"> Se determine mediante resolución de autoridad competente; o</w:t>
      </w:r>
    </w:p>
    <w:p w14:paraId="39DAD101" w14:textId="77777777" w:rsidR="00781A0C" w:rsidRPr="00781A0C" w:rsidRDefault="00781A0C" w:rsidP="00781A0C">
      <w:pPr>
        <w:spacing w:line="360" w:lineRule="auto"/>
        <w:ind w:left="567" w:right="539"/>
        <w:jc w:val="both"/>
        <w:rPr>
          <w:rFonts w:ascii="Palatino Linotype" w:eastAsia="Calibri" w:hAnsi="Palatino Linotype" w:cs="Tahoma"/>
          <w:bCs/>
          <w:i/>
          <w:sz w:val="22"/>
          <w:szCs w:val="22"/>
          <w:lang w:eastAsia="en-US"/>
        </w:rPr>
      </w:pPr>
      <w:r w:rsidRPr="00781A0C">
        <w:rPr>
          <w:rFonts w:ascii="Palatino Linotype" w:eastAsia="Calibri" w:hAnsi="Palatino Linotype" w:cs="Tahoma"/>
          <w:b/>
          <w:bCs/>
          <w:i/>
          <w:sz w:val="22"/>
          <w:szCs w:val="22"/>
          <w:lang w:eastAsia="en-US"/>
        </w:rPr>
        <w:t>III.</w:t>
      </w:r>
      <w:r w:rsidRPr="00781A0C">
        <w:rPr>
          <w:rFonts w:ascii="Palatino Linotype" w:eastAsia="Calibri" w:hAnsi="Palatino Linotype" w:cs="Tahoma"/>
          <w:bCs/>
          <w:i/>
          <w:sz w:val="22"/>
          <w:szCs w:val="22"/>
          <w:lang w:eastAsia="en-US"/>
        </w:rPr>
        <w:t xml:space="preserve"> Se generen versiones públicas para dar cumplimiento a las obligaciones de transparencia previstas en esta Ley.</w:t>
      </w:r>
    </w:p>
    <w:p w14:paraId="1A90E590" w14:textId="77777777" w:rsidR="00781A0C" w:rsidRPr="00781A0C" w:rsidRDefault="00781A0C" w:rsidP="00781A0C">
      <w:pPr>
        <w:spacing w:line="360" w:lineRule="auto"/>
        <w:ind w:left="567" w:right="539"/>
        <w:jc w:val="both"/>
        <w:rPr>
          <w:rFonts w:ascii="Palatino Linotype" w:eastAsia="Calibri" w:hAnsi="Palatino Linotype" w:cs="Tahoma"/>
          <w:bCs/>
          <w:i/>
          <w:sz w:val="22"/>
          <w:szCs w:val="22"/>
          <w:lang w:eastAsia="en-US"/>
        </w:rPr>
      </w:pPr>
      <w:r w:rsidRPr="00781A0C">
        <w:rPr>
          <w:rFonts w:ascii="Palatino Linotype" w:eastAsia="Calibri" w:hAnsi="Palatino Linotype" w:cs="Tahoma"/>
          <w:bCs/>
          <w:i/>
          <w:sz w:val="22"/>
          <w:szCs w:val="22"/>
          <w:lang w:eastAsia="en-US"/>
        </w:rPr>
        <w:t>Tratándose de información reservada, los titulares de las áreas deberán revisar la clasificación al momento de la recepción de una solicitud, para verificar si subsisten las causas que le dieron origen.</w:t>
      </w:r>
    </w:p>
    <w:p w14:paraId="43C382C1" w14:textId="77777777" w:rsidR="00781A0C" w:rsidRDefault="00781A0C" w:rsidP="00781A0C">
      <w:pPr>
        <w:spacing w:line="360" w:lineRule="auto"/>
        <w:ind w:right="-93"/>
        <w:jc w:val="both"/>
        <w:rPr>
          <w:rFonts w:ascii="Palatino Linotype" w:eastAsia="Calibri" w:hAnsi="Palatino Linotype" w:cs="Tahoma"/>
          <w:bCs/>
          <w:sz w:val="22"/>
          <w:szCs w:val="22"/>
          <w:lang w:eastAsia="en-US"/>
        </w:rPr>
      </w:pPr>
    </w:p>
    <w:p w14:paraId="3E7BFDDB" w14:textId="77777777" w:rsidR="00781A0C" w:rsidRDefault="00781A0C" w:rsidP="00544E9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w:t>
      </w:r>
      <w:r w:rsidR="00C174BC" w:rsidRPr="00A50EAF">
        <w:rPr>
          <w:rFonts w:ascii="Palatino Linotype" w:eastAsia="Calibri" w:hAnsi="Palatino Linotype" w:cs="Tahoma"/>
          <w:bCs/>
          <w:sz w:val="22"/>
          <w:szCs w:val="22"/>
          <w:lang w:eastAsia="en-US"/>
        </w:rPr>
        <w:t xml:space="preserve">e tal suerte que para atender la </w:t>
      </w:r>
      <w:r>
        <w:rPr>
          <w:rFonts w:ascii="Palatino Linotype" w:eastAsia="Calibri" w:hAnsi="Palatino Linotype" w:cs="Tahoma"/>
          <w:bCs/>
          <w:sz w:val="22"/>
          <w:szCs w:val="22"/>
          <w:lang w:eastAsia="en-US"/>
        </w:rPr>
        <w:t xml:space="preserve">presente </w:t>
      </w:r>
      <w:r w:rsidR="00C174BC" w:rsidRPr="00A50EAF">
        <w:rPr>
          <w:rFonts w:ascii="Palatino Linotype" w:eastAsia="Calibri" w:hAnsi="Palatino Linotype" w:cs="Tahoma"/>
          <w:bCs/>
          <w:sz w:val="22"/>
          <w:szCs w:val="22"/>
          <w:lang w:eastAsia="en-US"/>
        </w:rPr>
        <w:t xml:space="preserve">solicitud de acceso a la información que nos ocupa, </w:t>
      </w:r>
      <w:r>
        <w:rPr>
          <w:rFonts w:ascii="Palatino Linotype" w:eastAsia="Calibri" w:hAnsi="Palatino Linotype" w:cs="Tahoma"/>
          <w:bCs/>
          <w:sz w:val="22"/>
          <w:szCs w:val="22"/>
          <w:lang w:eastAsia="en-US"/>
        </w:rPr>
        <w:t>el Sujeto Obligado debe realizar el respectivo acuerdo de clasificación por la nueva solicitud de acceso a la información ingresada, ya que el acuerdo de clasificación enviado en respuesta atiende diversa solicitud de información.</w:t>
      </w:r>
    </w:p>
    <w:p w14:paraId="35C688EF" w14:textId="77777777" w:rsidR="00781A0C" w:rsidRDefault="00781A0C" w:rsidP="00544E9C">
      <w:pPr>
        <w:spacing w:line="360" w:lineRule="auto"/>
        <w:ind w:right="-93"/>
        <w:jc w:val="both"/>
        <w:rPr>
          <w:rFonts w:ascii="Palatino Linotype" w:eastAsia="Calibri" w:hAnsi="Palatino Linotype" w:cs="Tahoma"/>
          <w:bCs/>
          <w:sz w:val="22"/>
          <w:szCs w:val="22"/>
          <w:lang w:eastAsia="en-US"/>
        </w:rPr>
      </w:pPr>
    </w:p>
    <w:p w14:paraId="1C801284" w14:textId="77777777" w:rsidR="00C174BC" w:rsidRPr="00A50EAF" w:rsidRDefault="00781A0C" w:rsidP="00544E9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w:t>
      </w:r>
      <w:r w:rsidR="00C174BC" w:rsidRPr="00A50EAF">
        <w:rPr>
          <w:rFonts w:ascii="Palatino Linotype" w:eastAsia="Calibri" w:hAnsi="Palatino Linotype" w:cs="Tahoma"/>
          <w:bCs/>
          <w:sz w:val="22"/>
          <w:szCs w:val="22"/>
          <w:lang w:eastAsia="en-US"/>
        </w:rPr>
        <w:t>es necesario ordenar la entrega de la información del personal de seguridad pública</w:t>
      </w:r>
      <w:r w:rsidR="00E940E7">
        <w:rPr>
          <w:rFonts w:ascii="Palatino Linotype" w:eastAsia="Calibri" w:hAnsi="Palatino Linotype" w:cs="Tahoma"/>
          <w:bCs/>
          <w:sz w:val="22"/>
          <w:szCs w:val="22"/>
          <w:lang w:eastAsia="en-US"/>
        </w:rPr>
        <w:t xml:space="preserve"> de acuerdo a las consideraciones que a continuación se exponen.</w:t>
      </w:r>
    </w:p>
    <w:p w14:paraId="785315AF" w14:textId="77777777" w:rsidR="00C174BC" w:rsidRPr="00A50EAF" w:rsidRDefault="00C174BC" w:rsidP="00544E9C">
      <w:pPr>
        <w:spacing w:line="360" w:lineRule="auto"/>
        <w:ind w:right="-93"/>
        <w:jc w:val="both"/>
        <w:rPr>
          <w:rFonts w:ascii="Palatino Linotype" w:eastAsia="Calibri" w:hAnsi="Palatino Linotype" w:cs="Tahoma"/>
          <w:bCs/>
          <w:sz w:val="22"/>
          <w:szCs w:val="22"/>
          <w:lang w:eastAsia="en-US"/>
        </w:rPr>
      </w:pPr>
    </w:p>
    <w:p w14:paraId="2673E292" w14:textId="335F941A" w:rsidR="006123D3" w:rsidRDefault="00DD0061" w:rsidP="00544E9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w:t>
      </w:r>
      <w:r w:rsidR="00EC0E96">
        <w:rPr>
          <w:rFonts w:ascii="Palatino Linotype" w:eastAsia="Calibri" w:hAnsi="Palatino Linotype" w:cs="Tahoma"/>
          <w:bCs/>
          <w:sz w:val="22"/>
          <w:szCs w:val="22"/>
          <w:lang w:eastAsia="en-US"/>
        </w:rPr>
        <w:t xml:space="preserve">e llevó a cabo la búsqueda </w:t>
      </w:r>
      <w:r w:rsidR="00954F1B">
        <w:rPr>
          <w:rFonts w:ascii="Palatino Linotype" w:eastAsia="Calibri" w:hAnsi="Palatino Linotype" w:cs="Tahoma"/>
          <w:bCs/>
          <w:sz w:val="22"/>
          <w:szCs w:val="22"/>
          <w:lang w:eastAsia="en-US"/>
        </w:rPr>
        <w:t xml:space="preserve">en </w:t>
      </w:r>
      <w:r w:rsidR="00C174BC" w:rsidRPr="00A50EAF">
        <w:rPr>
          <w:rFonts w:ascii="Palatino Linotype" w:eastAsia="Calibri" w:hAnsi="Palatino Linotype" w:cs="Tahoma"/>
          <w:bCs/>
          <w:sz w:val="22"/>
          <w:szCs w:val="22"/>
          <w:lang w:eastAsia="en-US"/>
        </w:rPr>
        <w:t xml:space="preserve">el Bando Municipal </w:t>
      </w:r>
      <w:r w:rsidR="00465A54">
        <w:rPr>
          <w:rFonts w:ascii="Palatino Linotype" w:eastAsia="Calibri" w:hAnsi="Palatino Linotype" w:cs="Tahoma"/>
          <w:bCs/>
          <w:sz w:val="22"/>
          <w:szCs w:val="22"/>
          <w:lang w:eastAsia="en-US"/>
        </w:rPr>
        <w:t>dos mil diecinueve</w:t>
      </w:r>
      <w:r w:rsidR="00EC0E96">
        <w:rPr>
          <w:rFonts w:ascii="Palatino Linotype" w:eastAsia="Calibri" w:hAnsi="Palatino Linotype" w:cs="Tahoma"/>
          <w:bCs/>
          <w:sz w:val="22"/>
          <w:szCs w:val="22"/>
          <w:lang w:eastAsia="en-US"/>
        </w:rPr>
        <w:t xml:space="preserve"> del Ayuntamiento de </w:t>
      </w:r>
      <w:r w:rsidR="00781A0C">
        <w:rPr>
          <w:rFonts w:ascii="Palatino Linotype" w:eastAsia="Calibri" w:hAnsi="Palatino Linotype" w:cs="Tahoma"/>
          <w:bCs/>
          <w:sz w:val="22"/>
          <w:szCs w:val="22"/>
          <w:lang w:eastAsia="en-US"/>
        </w:rPr>
        <w:t>Atizapán de Zaragoza</w:t>
      </w:r>
      <w:r w:rsidR="00FF1A14">
        <w:rPr>
          <w:rFonts w:ascii="Palatino Linotype" w:eastAsia="Calibri" w:hAnsi="Palatino Linotype" w:cs="Tahoma"/>
          <w:bCs/>
          <w:sz w:val="22"/>
          <w:szCs w:val="22"/>
          <w:lang w:eastAsia="en-US"/>
        </w:rPr>
        <w:t xml:space="preserve">, en cuyo artículo </w:t>
      </w:r>
      <w:r w:rsidR="00781A0C">
        <w:rPr>
          <w:rFonts w:ascii="Palatino Linotype" w:eastAsia="Calibri" w:hAnsi="Palatino Linotype" w:cs="Tahoma"/>
          <w:bCs/>
          <w:sz w:val="22"/>
          <w:szCs w:val="22"/>
          <w:lang w:eastAsia="en-US"/>
        </w:rPr>
        <w:t>29</w:t>
      </w:r>
      <w:r w:rsidR="007E2F34">
        <w:rPr>
          <w:rFonts w:ascii="Palatino Linotype" w:eastAsia="Calibri" w:hAnsi="Palatino Linotype" w:cs="Tahoma"/>
          <w:bCs/>
          <w:sz w:val="22"/>
          <w:szCs w:val="22"/>
          <w:lang w:eastAsia="en-US"/>
        </w:rPr>
        <w:t xml:space="preserve"> </w:t>
      </w:r>
      <w:r w:rsidR="00AA7AAE">
        <w:rPr>
          <w:rFonts w:ascii="Palatino Linotype" w:eastAsia="Calibri" w:hAnsi="Palatino Linotype" w:cs="Tahoma"/>
          <w:bCs/>
          <w:sz w:val="22"/>
          <w:szCs w:val="22"/>
          <w:lang w:eastAsia="en-US"/>
        </w:rPr>
        <w:t xml:space="preserve">referente a la </w:t>
      </w:r>
      <w:r w:rsidR="0082015A">
        <w:rPr>
          <w:rFonts w:ascii="Palatino Linotype" w:eastAsia="Calibri" w:hAnsi="Palatino Linotype" w:cs="Tahoma"/>
          <w:bCs/>
          <w:sz w:val="22"/>
          <w:szCs w:val="22"/>
          <w:lang w:eastAsia="en-US"/>
        </w:rPr>
        <w:t xml:space="preserve">estructura orgánica de la Administración Pública Municipal, dentro de las dependencias municipales centralizadas </w:t>
      </w:r>
      <w:r w:rsidR="00465A54">
        <w:rPr>
          <w:rFonts w:ascii="Palatino Linotype" w:eastAsia="Calibri" w:hAnsi="Palatino Linotype" w:cs="Tahoma"/>
          <w:bCs/>
          <w:sz w:val="22"/>
          <w:szCs w:val="22"/>
          <w:lang w:eastAsia="en-US"/>
        </w:rPr>
        <w:t>se encuentra la Dirección de Seguridad Pública y Tránsito</w:t>
      </w:r>
      <w:r w:rsidR="0082015A">
        <w:rPr>
          <w:rFonts w:ascii="Palatino Linotype" w:eastAsia="Calibri" w:hAnsi="Palatino Linotype" w:cs="Tahoma"/>
          <w:bCs/>
          <w:sz w:val="22"/>
          <w:szCs w:val="22"/>
          <w:lang w:eastAsia="en-US"/>
        </w:rPr>
        <w:t xml:space="preserve"> Municipal</w:t>
      </w:r>
      <w:r w:rsidR="00465A54">
        <w:rPr>
          <w:rFonts w:ascii="Palatino Linotype" w:eastAsia="Calibri" w:hAnsi="Palatino Linotype" w:cs="Tahoma"/>
          <w:bCs/>
          <w:sz w:val="22"/>
          <w:szCs w:val="22"/>
          <w:lang w:eastAsia="en-US"/>
        </w:rPr>
        <w:t>.</w:t>
      </w:r>
    </w:p>
    <w:p w14:paraId="46C7C897" w14:textId="77777777" w:rsidR="00AA7AAE" w:rsidRDefault="00AA7AAE" w:rsidP="00544E9C">
      <w:pPr>
        <w:spacing w:line="360" w:lineRule="auto"/>
        <w:ind w:right="-93"/>
        <w:jc w:val="both"/>
        <w:rPr>
          <w:rFonts w:ascii="Palatino Linotype" w:eastAsia="Calibri" w:hAnsi="Palatino Linotype" w:cs="Tahoma"/>
          <w:bCs/>
          <w:sz w:val="22"/>
          <w:szCs w:val="22"/>
          <w:lang w:eastAsia="en-US"/>
        </w:rPr>
      </w:pPr>
    </w:p>
    <w:p w14:paraId="7967229E" w14:textId="77777777" w:rsidR="00AA7AAE" w:rsidRDefault="00AA7AAE" w:rsidP="0082015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w:t>
      </w:r>
      <w:r w:rsidR="006123D3">
        <w:rPr>
          <w:rFonts w:ascii="Palatino Linotype" w:eastAsia="Calibri" w:hAnsi="Palatino Linotype" w:cs="Tahoma"/>
          <w:bCs/>
          <w:sz w:val="22"/>
          <w:szCs w:val="22"/>
          <w:lang w:eastAsia="en-US"/>
        </w:rPr>
        <w:t xml:space="preserve">l artículo </w:t>
      </w:r>
      <w:r w:rsidR="0082015A">
        <w:rPr>
          <w:rFonts w:ascii="Palatino Linotype" w:eastAsia="Calibri" w:hAnsi="Palatino Linotype" w:cs="Tahoma"/>
          <w:bCs/>
          <w:sz w:val="22"/>
          <w:szCs w:val="22"/>
          <w:lang w:eastAsia="en-US"/>
        </w:rPr>
        <w:t>41 y 42</w:t>
      </w:r>
      <w:r w:rsidR="006123D3">
        <w:rPr>
          <w:rFonts w:ascii="Palatino Linotype" w:eastAsia="Calibri" w:hAnsi="Palatino Linotype" w:cs="Tahoma"/>
          <w:bCs/>
          <w:sz w:val="22"/>
          <w:szCs w:val="22"/>
          <w:lang w:eastAsia="en-US"/>
        </w:rPr>
        <w:t xml:space="preserve"> del </w:t>
      </w:r>
      <w:r>
        <w:rPr>
          <w:rFonts w:ascii="Palatino Linotype" w:eastAsia="Calibri" w:hAnsi="Palatino Linotype" w:cs="Tahoma"/>
          <w:bCs/>
          <w:sz w:val="22"/>
          <w:szCs w:val="22"/>
          <w:lang w:eastAsia="en-US"/>
        </w:rPr>
        <w:t xml:space="preserve">mismo </w:t>
      </w:r>
      <w:r w:rsidR="006123D3">
        <w:rPr>
          <w:rFonts w:ascii="Palatino Linotype" w:eastAsia="Calibri" w:hAnsi="Palatino Linotype" w:cs="Tahoma"/>
          <w:bCs/>
          <w:sz w:val="22"/>
          <w:szCs w:val="22"/>
          <w:lang w:eastAsia="en-US"/>
        </w:rPr>
        <w:t>Bando,</w:t>
      </w:r>
      <w:r>
        <w:rPr>
          <w:rFonts w:ascii="Palatino Linotype" w:eastAsia="Calibri" w:hAnsi="Palatino Linotype" w:cs="Tahoma"/>
          <w:bCs/>
          <w:sz w:val="22"/>
          <w:szCs w:val="22"/>
          <w:lang w:eastAsia="en-US"/>
        </w:rPr>
        <w:t xml:space="preserve"> señala a l</w:t>
      </w:r>
      <w:r w:rsidRPr="00AA7AAE">
        <w:rPr>
          <w:rFonts w:ascii="Palatino Linotype" w:eastAsia="Calibri" w:hAnsi="Palatino Linotype" w:cs="Tahoma"/>
          <w:bCs/>
          <w:sz w:val="22"/>
          <w:szCs w:val="22"/>
          <w:lang w:eastAsia="en-US"/>
        </w:rPr>
        <w:t xml:space="preserve">a </w:t>
      </w:r>
      <w:r w:rsidR="00465A54">
        <w:rPr>
          <w:rFonts w:ascii="Palatino Linotype" w:eastAsia="Calibri" w:hAnsi="Palatino Linotype" w:cs="Tahoma"/>
          <w:bCs/>
          <w:sz w:val="22"/>
          <w:szCs w:val="22"/>
          <w:lang w:eastAsia="en-US"/>
        </w:rPr>
        <w:t xml:space="preserve">Dirección </w:t>
      </w:r>
      <w:r w:rsidRPr="00AA7AAE">
        <w:rPr>
          <w:rFonts w:ascii="Palatino Linotype" w:eastAsia="Calibri" w:hAnsi="Palatino Linotype" w:cs="Tahoma"/>
          <w:bCs/>
          <w:sz w:val="22"/>
          <w:szCs w:val="22"/>
          <w:lang w:eastAsia="en-US"/>
        </w:rPr>
        <w:t>de Seguridad</w:t>
      </w:r>
      <w:r>
        <w:rPr>
          <w:rFonts w:ascii="Palatino Linotype" w:eastAsia="Calibri" w:hAnsi="Palatino Linotype" w:cs="Tahoma"/>
          <w:bCs/>
          <w:sz w:val="22"/>
          <w:szCs w:val="22"/>
          <w:lang w:eastAsia="en-US"/>
        </w:rPr>
        <w:t xml:space="preserve"> </w:t>
      </w:r>
      <w:r w:rsidRPr="00AA7AAE">
        <w:rPr>
          <w:rFonts w:ascii="Palatino Linotype" w:eastAsia="Calibri" w:hAnsi="Palatino Linotype" w:cs="Tahoma"/>
          <w:bCs/>
          <w:sz w:val="22"/>
          <w:szCs w:val="22"/>
          <w:lang w:eastAsia="en-US"/>
        </w:rPr>
        <w:t xml:space="preserve">Pública y Tránsito Municipal, como </w:t>
      </w:r>
      <w:r w:rsidR="00465A54">
        <w:rPr>
          <w:rFonts w:ascii="Palatino Linotype" w:eastAsia="Calibri" w:hAnsi="Palatino Linotype" w:cs="Tahoma"/>
          <w:bCs/>
          <w:sz w:val="22"/>
          <w:szCs w:val="22"/>
          <w:lang w:eastAsia="en-US"/>
        </w:rPr>
        <w:t xml:space="preserve">la responsable </w:t>
      </w:r>
      <w:r w:rsidR="0082015A">
        <w:rPr>
          <w:rFonts w:ascii="Palatino Linotype" w:eastAsia="Calibri" w:hAnsi="Palatino Linotype" w:cs="Tahoma"/>
          <w:bCs/>
          <w:sz w:val="22"/>
          <w:szCs w:val="22"/>
          <w:lang w:eastAsia="en-US"/>
        </w:rPr>
        <w:t xml:space="preserve">de </w:t>
      </w:r>
      <w:r w:rsidR="0082015A" w:rsidRPr="0082015A">
        <w:rPr>
          <w:rFonts w:ascii="Palatino Linotype" w:eastAsia="Calibri" w:hAnsi="Palatino Linotype" w:cs="Tahoma"/>
          <w:bCs/>
          <w:sz w:val="22"/>
          <w:szCs w:val="22"/>
          <w:lang w:eastAsia="en-US"/>
        </w:rPr>
        <w:t>la prevención de los delitos y de las infracciones a las</w:t>
      </w:r>
      <w:r w:rsidR="0082015A">
        <w:rPr>
          <w:rFonts w:ascii="Palatino Linotype" w:eastAsia="Calibri" w:hAnsi="Palatino Linotype" w:cs="Tahoma"/>
          <w:bCs/>
          <w:sz w:val="22"/>
          <w:szCs w:val="22"/>
          <w:lang w:eastAsia="en-US"/>
        </w:rPr>
        <w:t xml:space="preserve"> </w:t>
      </w:r>
      <w:r w:rsidR="0082015A" w:rsidRPr="0082015A">
        <w:rPr>
          <w:rFonts w:ascii="Palatino Linotype" w:eastAsia="Calibri" w:hAnsi="Palatino Linotype" w:cs="Tahoma"/>
          <w:bCs/>
          <w:sz w:val="22"/>
          <w:szCs w:val="22"/>
          <w:lang w:eastAsia="en-US"/>
        </w:rPr>
        <w:t>disposicio</w:t>
      </w:r>
      <w:r w:rsidR="0082015A">
        <w:rPr>
          <w:rFonts w:ascii="Palatino Linotype" w:eastAsia="Calibri" w:hAnsi="Palatino Linotype" w:cs="Tahoma"/>
          <w:bCs/>
          <w:sz w:val="22"/>
          <w:szCs w:val="22"/>
          <w:lang w:eastAsia="en-US"/>
        </w:rPr>
        <w:t xml:space="preserve">nes administrativas municipales y cuyo objetivo es </w:t>
      </w:r>
      <w:r w:rsidR="0082015A" w:rsidRPr="0082015A">
        <w:rPr>
          <w:rFonts w:ascii="Palatino Linotype" w:eastAsia="Calibri" w:hAnsi="Palatino Linotype" w:cs="Tahoma"/>
          <w:bCs/>
          <w:sz w:val="22"/>
          <w:szCs w:val="22"/>
          <w:lang w:eastAsia="en-US"/>
        </w:rPr>
        <w:t>la</w:t>
      </w:r>
      <w:r w:rsidR="0082015A">
        <w:rPr>
          <w:rFonts w:ascii="Palatino Linotype" w:eastAsia="Calibri" w:hAnsi="Palatino Linotype" w:cs="Tahoma"/>
          <w:bCs/>
          <w:sz w:val="22"/>
          <w:szCs w:val="22"/>
          <w:lang w:eastAsia="en-US"/>
        </w:rPr>
        <w:t xml:space="preserve"> </w:t>
      </w:r>
      <w:r w:rsidR="0082015A" w:rsidRPr="0082015A">
        <w:rPr>
          <w:rFonts w:ascii="Palatino Linotype" w:eastAsia="Calibri" w:hAnsi="Palatino Linotype" w:cs="Tahoma"/>
          <w:bCs/>
          <w:sz w:val="22"/>
          <w:szCs w:val="22"/>
          <w:lang w:eastAsia="en-US"/>
        </w:rPr>
        <w:t>prevención de los delitos, la investigación y persecución para hacerla afectiva,</w:t>
      </w:r>
      <w:r w:rsidR="0082015A">
        <w:rPr>
          <w:rFonts w:ascii="Palatino Linotype" w:eastAsia="Calibri" w:hAnsi="Palatino Linotype" w:cs="Tahoma"/>
          <w:bCs/>
          <w:sz w:val="22"/>
          <w:szCs w:val="22"/>
          <w:lang w:eastAsia="en-US"/>
        </w:rPr>
        <w:t xml:space="preserve"> </w:t>
      </w:r>
      <w:r w:rsidR="0082015A" w:rsidRPr="0082015A">
        <w:rPr>
          <w:rFonts w:ascii="Palatino Linotype" w:eastAsia="Calibri" w:hAnsi="Palatino Linotype" w:cs="Tahoma"/>
          <w:bCs/>
          <w:sz w:val="22"/>
          <w:szCs w:val="22"/>
          <w:lang w:eastAsia="en-US"/>
        </w:rPr>
        <w:t>así como la sanción de las infracciones administrativas, en los términos de la</w:t>
      </w:r>
      <w:r w:rsidR="0082015A">
        <w:rPr>
          <w:rFonts w:ascii="Palatino Linotype" w:eastAsia="Calibri" w:hAnsi="Palatino Linotype" w:cs="Tahoma"/>
          <w:bCs/>
          <w:sz w:val="22"/>
          <w:szCs w:val="22"/>
          <w:lang w:eastAsia="en-US"/>
        </w:rPr>
        <w:t xml:space="preserve"> </w:t>
      </w:r>
      <w:r w:rsidR="0082015A" w:rsidRPr="0082015A">
        <w:rPr>
          <w:rFonts w:ascii="Palatino Linotype" w:eastAsia="Calibri" w:hAnsi="Palatino Linotype" w:cs="Tahoma"/>
          <w:bCs/>
          <w:sz w:val="22"/>
          <w:szCs w:val="22"/>
          <w:lang w:eastAsia="en-US"/>
        </w:rPr>
        <w:t>ley, en las respectivas competencias que la Constitución señala</w:t>
      </w:r>
      <w:r w:rsidR="0082015A">
        <w:rPr>
          <w:rFonts w:ascii="Palatino Linotype" w:eastAsia="Calibri" w:hAnsi="Palatino Linotype" w:cs="Tahoma"/>
          <w:bCs/>
          <w:sz w:val="22"/>
          <w:szCs w:val="22"/>
          <w:lang w:eastAsia="en-US"/>
        </w:rPr>
        <w:t>.</w:t>
      </w:r>
    </w:p>
    <w:p w14:paraId="04A7F878" w14:textId="77777777" w:rsidR="00465A54" w:rsidRDefault="00465A54" w:rsidP="00544E9C">
      <w:pPr>
        <w:spacing w:line="360" w:lineRule="auto"/>
        <w:ind w:right="-93"/>
        <w:jc w:val="both"/>
        <w:rPr>
          <w:rFonts w:ascii="Palatino Linotype" w:eastAsia="Calibri" w:hAnsi="Palatino Linotype" w:cs="Tahoma"/>
          <w:bCs/>
          <w:sz w:val="22"/>
          <w:szCs w:val="22"/>
          <w:lang w:eastAsia="en-US"/>
        </w:rPr>
      </w:pPr>
    </w:p>
    <w:p w14:paraId="3AF3CAD1" w14:textId="77777777" w:rsidR="00C174BC" w:rsidRPr="0068213E"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eastAsia="Calibri" w:hAnsi="Palatino Linotype" w:cs="Tahoma"/>
          <w:bCs/>
          <w:sz w:val="22"/>
          <w:szCs w:val="22"/>
          <w:lang w:eastAsia="en-US"/>
        </w:rPr>
        <w:t xml:space="preserve">Bajo este orden de ideas y toda vez que los policías que constituyen los elementos operativos del Ayuntamiento, que llevan a cabo acciones de prevención del delito y combate a la delincuencia, derivado de los altos índices de criminalidad que aquejan a la Nación y a la Entidad, ha sido necesario ampliar la protección de su integridad, salud y vida. En efecto, </w:t>
      </w:r>
      <w:r w:rsidRPr="00A50EAF">
        <w:rPr>
          <w:rFonts w:ascii="Palatino Linotype" w:hAnsi="Palatino Linotype" w:cs="Tahoma"/>
          <w:sz w:val="22"/>
          <w:szCs w:val="22"/>
          <w:lang w:val="es-ES"/>
        </w:rPr>
        <w:t xml:space="preserve">el artículo 81, fracción III, de la Ley de Seguridad del Estado de México, señala que se considerada reservada la información relativa a los servidores públicos integrantes de las </w:t>
      </w:r>
      <w:r w:rsidRPr="00A50EAF">
        <w:rPr>
          <w:rFonts w:ascii="Palatino Linotype" w:hAnsi="Palatino Linotype" w:cs="Tahoma"/>
          <w:sz w:val="22"/>
          <w:szCs w:val="22"/>
          <w:lang w:val="es-ES"/>
        </w:rPr>
        <w:lastRenderedPageBreak/>
        <w:t>instituciones de seguridad pública, cuya revelación pueda poner en riesgo su vida e integridad física con motivo de sus funciones.</w:t>
      </w:r>
    </w:p>
    <w:p w14:paraId="35B888BF" w14:textId="77777777" w:rsidR="00C174BC" w:rsidRPr="00A50EAF" w:rsidRDefault="00C174BC" w:rsidP="00544E9C">
      <w:pPr>
        <w:tabs>
          <w:tab w:val="left" w:pos="4962"/>
        </w:tabs>
        <w:spacing w:line="360" w:lineRule="auto"/>
        <w:jc w:val="both"/>
        <w:rPr>
          <w:rFonts w:ascii="Palatino Linotype" w:eastAsia="Calibri" w:hAnsi="Palatino Linotype" w:cs="Tahoma"/>
          <w:bCs/>
          <w:sz w:val="22"/>
          <w:szCs w:val="22"/>
          <w:lang w:eastAsia="en-US"/>
        </w:rPr>
      </w:pPr>
    </w:p>
    <w:p w14:paraId="0362D28B"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eastAsia="Calibri" w:hAnsi="Palatino Linotype" w:cs="Tahoma"/>
          <w:bCs/>
          <w:sz w:val="22"/>
          <w:szCs w:val="22"/>
          <w:lang w:eastAsia="en-US"/>
        </w:rPr>
        <w:t>En este contexto</w:t>
      </w:r>
      <w:r w:rsidRPr="00A50EAF">
        <w:rPr>
          <w:rFonts w:ascii="Palatino Linotype" w:hAnsi="Palatino Linotype" w:cs="Tahoma"/>
          <w:sz w:val="22"/>
          <w:szCs w:val="22"/>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0133D918"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3D1C22D8"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A mayor abundamiento, el Vigésimo Tercero de los Lineamientos generales en materia de clasificación y desclasificación de la información, así como para la elaboración de versiones públicas, determina </w:t>
      </w:r>
      <w:bookmarkStart w:id="1" w:name="_Hlk530085510"/>
      <w:r w:rsidRPr="00A50EAF">
        <w:rPr>
          <w:rFonts w:ascii="Palatino Linotype" w:hAnsi="Palatino Linotype" w:cs="Tahoma"/>
          <w:sz w:val="22"/>
          <w:szCs w:val="22"/>
          <w:lang w:val="es-ES"/>
        </w:rPr>
        <w:t>que para clasificar la información como reservada, será necesario acreditar un vínculo, entre la persona física y la información que pueda poner en riesgo su vida, seguridad o salud.</w:t>
      </w:r>
    </w:p>
    <w:bookmarkEnd w:id="1"/>
    <w:p w14:paraId="7B7189FD"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4DC7AC31" w14:textId="77777777" w:rsidR="00C174BC" w:rsidRPr="00BC1085" w:rsidRDefault="00C174BC" w:rsidP="00544E9C">
      <w:pPr>
        <w:tabs>
          <w:tab w:val="left" w:pos="4962"/>
        </w:tabs>
        <w:spacing w:line="360" w:lineRule="auto"/>
        <w:jc w:val="both"/>
        <w:rPr>
          <w:rFonts w:ascii="Palatino Linotype" w:hAnsi="Palatino Linotype" w:cs="Tahoma"/>
          <w:b/>
          <w:sz w:val="22"/>
          <w:szCs w:val="22"/>
          <w:lang w:val="es-ES"/>
        </w:rPr>
      </w:pPr>
      <w:r w:rsidRPr="00A50EAF">
        <w:rPr>
          <w:rFonts w:ascii="Palatino Linotype" w:hAnsi="Palatino Linotype" w:cs="Tahoma"/>
          <w:sz w:val="22"/>
          <w:szCs w:val="22"/>
          <w:lang w:val="es-E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A50EAF">
        <w:rPr>
          <w:rFonts w:ascii="Palatino Linotype" w:hAnsi="Palatino Linotype" w:cs="Tahoma"/>
          <w:b/>
          <w:sz w:val="22"/>
          <w:szCs w:val="22"/>
          <w:lang w:val="es-ES"/>
        </w:rPr>
        <w:t>la reserva de la relación de los nombres</w:t>
      </w:r>
      <w:r w:rsidRPr="00BC1085">
        <w:rPr>
          <w:rFonts w:ascii="Palatino Linotype" w:hAnsi="Palatino Linotype" w:cs="Tahoma"/>
          <w:b/>
          <w:sz w:val="22"/>
          <w:szCs w:val="22"/>
          <w:lang w:val="es-ES"/>
        </w:rPr>
        <w:t xml:space="preserve">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0025A241"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3ECE51E8"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Hasta aquí, se advierte lo siguiente:</w:t>
      </w:r>
    </w:p>
    <w:p w14:paraId="0C291743"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1F6E2F5F" w14:textId="77777777" w:rsidR="00C174BC" w:rsidRPr="00A50EAF" w:rsidRDefault="00C174BC" w:rsidP="00544E9C">
      <w:pPr>
        <w:pStyle w:val="Prrafodelista"/>
        <w:numPr>
          <w:ilvl w:val="0"/>
          <w:numId w:val="30"/>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 xml:space="preserve">Que la información relativa a los </w:t>
      </w:r>
      <w:r w:rsidRPr="00BC1085">
        <w:rPr>
          <w:rFonts w:ascii="Palatino Linotype" w:hAnsi="Palatino Linotype" w:cs="Tahoma"/>
          <w:b/>
          <w:szCs w:val="22"/>
          <w:lang w:val="es-ES"/>
        </w:rPr>
        <w:t>nombres de servidores públicos integrantes de las instituciones de seguridad pública</w:t>
      </w:r>
      <w:r w:rsidRPr="00A50EAF">
        <w:rPr>
          <w:rFonts w:ascii="Palatino Linotype" w:hAnsi="Palatino Linotype" w:cs="Tahoma"/>
          <w:szCs w:val="22"/>
          <w:lang w:val="es-ES"/>
        </w:rPr>
        <w:t>, cuya revelación pueda poner en riesgo su vida e integridad física con motivo de sus funciones, es reservada.</w:t>
      </w:r>
    </w:p>
    <w:p w14:paraId="611C14AB"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0D51D711" w14:textId="77777777" w:rsidR="00C174BC" w:rsidRPr="00A50EAF" w:rsidRDefault="00C174BC" w:rsidP="00544E9C">
      <w:pPr>
        <w:pStyle w:val="Prrafodelista"/>
        <w:numPr>
          <w:ilvl w:val="0"/>
          <w:numId w:val="30"/>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17B44CB8"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7AEFE264" w14:textId="43867AC8" w:rsidR="00C174BC" w:rsidRPr="00A50EAF"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Por tanto, considerando que la información pretendida por el Particular se refiere a integrantes de las instituciones de seguridad pública y que el nombre de</w:t>
      </w:r>
      <w:r w:rsidR="00A41434">
        <w:rPr>
          <w:rFonts w:ascii="Palatino Linotype" w:hAnsi="Palatino Linotype" w:cs="Tahoma"/>
          <w:sz w:val="22"/>
          <w:szCs w:val="22"/>
          <w:lang w:val="es-ES"/>
        </w:rPr>
        <w:t xml:space="preserve"> elementos operativos y de</w:t>
      </w:r>
      <w:r w:rsidRPr="00A50EAF">
        <w:rPr>
          <w:rFonts w:ascii="Palatino Linotype" w:hAnsi="Palatino Linotype" w:cs="Tahoma"/>
          <w:sz w:val="22"/>
          <w:szCs w:val="22"/>
          <w:lang w:val="es-ES"/>
        </w:rPr>
        <w:t xml:space="preserve"> policías es susceptible de clasificarse, lo restante es acreditar que el conocer el nombre de un servidor público relacionado con funciones de seguridad pública, pone en riesgo la vida, seguridad o salud de este.</w:t>
      </w:r>
    </w:p>
    <w:p w14:paraId="5FCD1554"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59B83339"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Si bien es cierto que tanto el nombre, como los cargos y funciones de los servidores públicos </w:t>
      </w:r>
      <w:r w:rsidR="0069188E">
        <w:rPr>
          <w:rFonts w:ascii="Palatino Linotype" w:hAnsi="Palatino Linotype" w:cs="Tahoma"/>
          <w:sz w:val="22"/>
          <w:szCs w:val="22"/>
          <w:lang w:val="es-ES"/>
        </w:rPr>
        <w:t>son información</w:t>
      </w:r>
      <w:r w:rsidRPr="00A50EAF">
        <w:rPr>
          <w:rFonts w:ascii="Palatino Linotype" w:hAnsi="Palatino Linotype" w:cs="Tahoma"/>
          <w:sz w:val="22"/>
          <w:szCs w:val="22"/>
          <w:lang w:val="es-ES"/>
        </w:rPr>
        <w:t xml:space="preserve">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0A91E747"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1A6252E8"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si se </w:t>
      </w:r>
      <w:r>
        <w:rPr>
          <w:rFonts w:ascii="Palatino Linotype" w:hAnsi="Palatino Linotype" w:cs="Tahoma"/>
          <w:sz w:val="22"/>
          <w:szCs w:val="22"/>
          <w:lang w:val="es-ES"/>
        </w:rPr>
        <w:t>toma</w:t>
      </w:r>
      <w:r w:rsidRPr="00A50EAF">
        <w:rPr>
          <w:rFonts w:ascii="Palatino Linotype" w:hAnsi="Palatino Linotype" w:cs="Tahoma"/>
          <w:sz w:val="22"/>
          <w:szCs w:val="22"/>
          <w:lang w:val="es-ES"/>
        </w:rPr>
        <w:t xml:space="preserve"> en cuenta que los servidores públicos dedicados a funciones de seguridad pública en el Ayuntamiento de </w:t>
      </w:r>
      <w:r w:rsidR="00ED4CB6">
        <w:rPr>
          <w:rFonts w:ascii="Palatino Linotype" w:hAnsi="Palatino Linotype" w:cs="Tahoma"/>
          <w:sz w:val="22"/>
          <w:szCs w:val="22"/>
          <w:lang w:val="es-ES"/>
        </w:rPr>
        <w:t>Atizapán de Zaragoza</w:t>
      </w:r>
      <w:r w:rsidR="0078336F">
        <w:rPr>
          <w:rFonts w:ascii="Palatino Linotype" w:hAnsi="Palatino Linotype" w:cs="Tahoma"/>
          <w:sz w:val="22"/>
          <w:szCs w:val="22"/>
          <w:lang w:val="es-ES"/>
        </w:rPr>
        <w:t xml:space="preserve"> </w:t>
      </w:r>
      <w:r w:rsidRPr="00A50EAF">
        <w:rPr>
          <w:rFonts w:ascii="Palatino Linotype" w:hAnsi="Palatino Linotype" w:cs="Tahoma"/>
          <w:sz w:val="22"/>
          <w:szCs w:val="22"/>
          <w:lang w:val="es-ES"/>
        </w:rPr>
        <w:t xml:space="preserve">operan con los recursos del propio </w:t>
      </w:r>
      <w:r w:rsidR="00780A99">
        <w:rPr>
          <w:rFonts w:ascii="Palatino Linotype" w:hAnsi="Palatino Linotype" w:cs="Tahoma"/>
          <w:sz w:val="22"/>
          <w:szCs w:val="22"/>
          <w:lang w:val="es-ES"/>
        </w:rPr>
        <w:t>Mun</w:t>
      </w:r>
      <w:r w:rsidR="00FB64C5">
        <w:rPr>
          <w:rFonts w:ascii="Palatino Linotype" w:hAnsi="Palatino Linotype" w:cs="Tahoma"/>
          <w:sz w:val="22"/>
          <w:szCs w:val="22"/>
          <w:lang w:val="es-ES"/>
        </w:rPr>
        <w:t>i</w:t>
      </w:r>
      <w:r w:rsidR="00780A99">
        <w:rPr>
          <w:rFonts w:ascii="Palatino Linotype" w:hAnsi="Palatino Linotype" w:cs="Tahoma"/>
          <w:sz w:val="22"/>
          <w:szCs w:val="22"/>
          <w:lang w:val="es-ES"/>
        </w:rPr>
        <w:t>cipio</w:t>
      </w:r>
      <w:r w:rsidRPr="00A50EAF">
        <w:rPr>
          <w:rFonts w:ascii="Palatino Linotype" w:hAnsi="Palatino Linotype" w:cs="Tahoma"/>
          <w:sz w:val="22"/>
          <w:szCs w:val="22"/>
          <w:lang w:val="es-ES"/>
        </w:rPr>
        <w:t xml:space="preserve"> para combatir la delincuencia y que esta última ha escalado en gran medida </w:t>
      </w:r>
      <w:r w:rsidRPr="00A50EAF">
        <w:rPr>
          <w:rFonts w:ascii="Palatino Linotype" w:hAnsi="Palatino Linotype" w:cs="Tahoma"/>
          <w:sz w:val="22"/>
          <w:szCs w:val="22"/>
          <w:lang w:val="es-ES"/>
        </w:rPr>
        <w:lastRenderedPageBreak/>
        <w:t xml:space="preserve">durante los últimos años en la Entidad, </w:t>
      </w:r>
      <w:r>
        <w:rPr>
          <w:rFonts w:ascii="Palatino Linotype" w:hAnsi="Palatino Linotype" w:cs="Tahoma"/>
          <w:sz w:val="22"/>
          <w:szCs w:val="22"/>
          <w:lang w:val="es-ES"/>
        </w:rPr>
        <w:t>con</w:t>
      </w:r>
      <w:r w:rsidRPr="00A50EAF">
        <w:rPr>
          <w:rFonts w:ascii="Palatino Linotype" w:hAnsi="Palatino Linotype" w:cs="Tahoma"/>
          <w:sz w:val="22"/>
          <w:szCs w:val="22"/>
          <w:lang w:val="es-ES"/>
        </w:rPr>
        <w:t xml:space="preserve"> el homicidio uno de los más exacerbados; resulta un escenario riesgoso para quienes ejercen la función policial, que ciertamente </w:t>
      </w:r>
      <w:r>
        <w:rPr>
          <w:rFonts w:ascii="Palatino Linotype" w:hAnsi="Palatino Linotype" w:cs="Tahoma"/>
          <w:sz w:val="22"/>
          <w:szCs w:val="22"/>
          <w:lang w:val="es-ES"/>
        </w:rPr>
        <w:t xml:space="preserve">puede poner </w:t>
      </w:r>
      <w:r w:rsidRPr="00A50EAF">
        <w:rPr>
          <w:rFonts w:ascii="Palatino Linotype" w:hAnsi="Palatino Linotype" w:cs="Tahoma"/>
          <w:sz w:val="22"/>
          <w:szCs w:val="22"/>
          <w:lang w:val="es-ES"/>
        </w:rPr>
        <w:t>en riesgo su vida, seguridad y salud.</w:t>
      </w:r>
    </w:p>
    <w:p w14:paraId="49134607"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037259C8"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al no realizar funciones operativas, no actualiza el supuesto de clasificación analizado, por lo que la información de estos servidores es de naturaleza pública</w:t>
      </w:r>
      <w:r>
        <w:rPr>
          <w:rFonts w:ascii="Palatino Linotype" w:hAnsi="Palatino Linotype" w:cs="Tahoma"/>
          <w:sz w:val="22"/>
          <w:szCs w:val="22"/>
          <w:lang w:val="es-ES"/>
        </w:rPr>
        <w:t xml:space="preserve"> y debe entregarse.</w:t>
      </w:r>
    </w:p>
    <w:p w14:paraId="54EAFBF6" w14:textId="77777777" w:rsidR="00C174BC" w:rsidRPr="00A50EAF" w:rsidRDefault="00C174BC" w:rsidP="00544E9C">
      <w:pPr>
        <w:tabs>
          <w:tab w:val="left" w:pos="4962"/>
        </w:tabs>
        <w:spacing w:line="360" w:lineRule="auto"/>
        <w:jc w:val="both"/>
        <w:rPr>
          <w:rFonts w:ascii="Palatino Linotype" w:hAnsi="Palatino Linotype" w:cs="Tahoma"/>
          <w:sz w:val="22"/>
          <w:szCs w:val="22"/>
          <w:lang w:val="es-ES"/>
        </w:rPr>
      </w:pPr>
    </w:p>
    <w:p w14:paraId="55D0EFF2" w14:textId="77777777" w:rsidR="00C174BC"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si bien el nombre de los policías del Ayuntamiento </w:t>
      </w:r>
      <w:r>
        <w:rPr>
          <w:rFonts w:ascii="Palatino Linotype" w:hAnsi="Palatino Linotype" w:cs="Tahoma"/>
          <w:sz w:val="22"/>
          <w:szCs w:val="22"/>
          <w:lang w:val="es-ES"/>
        </w:rPr>
        <w:t xml:space="preserve">actualiza el supuesto de reserva establecido en el artículo 140, fracción IV, de 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r w:rsidRPr="00976201">
        <w:rPr>
          <w:rFonts w:ascii="Palatino Linotype" w:hAnsi="Palatino Linotype" w:cs="Tahoma"/>
          <w:sz w:val="22"/>
          <w:szCs w:val="22"/>
          <w:lang w:val="es-ES"/>
        </w:rPr>
        <w:t xml:space="preserve"> </w:t>
      </w:r>
      <w:r w:rsidRPr="00846056">
        <w:rPr>
          <w:rFonts w:ascii="Palatino Linotype" w:hAnsi="Palatino Linotype" w:cs="Tahoma"/>
          <w:sz w:val="22"/>
          <w:szCs w:val="22"/>
          <w:lang w:val="es-ES"/>
        </w:rPr>
        <w:t>lo cierto es que el cargo y las percepciones de los servidores públicos son de carácter público, tal como lo señala el artículo 92</w:t>
      </w:r>
      <w:r>
        <w:rPr>
          <w:rFonts w:ascii="Palatino Linotype" w:hAnsi="Palatino Linotype" w:cs="Tahoma"/>
          <w:sz w:val="22"/>
          <w:szCs w:val="22"/>
          <w:lang w:val="es-ES"/>
        </w:rPr>
        <w:t>, fracción VIII,</w:t>
      </w:r>
      <w:r w:rsidRPr="00846056">
        <w:rPr>
          <w:rFonts w:ascii="Palatino Linotype" w:hAnsi="Palatino Linotype" w:cs="Tahoma"/>
          <w:sz w:val="22"/>
          <w:szCs w:val="22"/>
          <w:lang w:val="es-ES"/>
        </w:rPr>
        <w:t xml:space="preserve"> de la Ley en cita.</w:t>
      </w:r>
    </w:p>
    <w:p w14:paraId="4B92001D" w14:textId="77777777" w:rsidR="00C174BC" w:rsidRDefault="00C174BC" w:rsidP="00544E9C">
      <w:pPr>
        <w:tabs>
          <w:tab w:val="left" w:pos="4962"/>
        </w:tabs>
        <w:spacing w:line="360" w:lineRule="auto"/>
        <w:jc w:val="both"/>
        <w:rPr>
          <w:rFonts w:ascii="Palatino Linotype" w:hAnsi="Palatino Linotype" w:cs="Tahoma"/>
          <w:sz w:val="22"/>
          <w:szCs w:val="22"/>
          <w:lang w:val="es-ES"/>
        </w:rPr>
      </w:pPr>
    </w:p>
    <w:p w14:paraId="3B1B3346" w14:textId="19F39CDB" w:rsidR="00C174BC" w:rsidRPr="00A50EAF" w:rsidRDefault="00C174BC" w:rsidP="00544E9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En ese sentido, el Sujeto Obligado debe proporcionar la nómina del personal de seguridad pública, en versión pública, testando el nombre de los </w:t>
      </w:r>
      <w:r w:rsidR="00035E44">
        <w:rPr>
          <w:rFonts w:ascii="Palatino Linotype" w:hAnsi="Palatino Linotype" w:cs="Tahoma"/>
          <w:sz w:val="22"/>
          <w:szCs w:val="22"/>
          <w:lang w:val="es-ES"/>
        </w:rPr>
        <w:t>servidores públicos</w:t>
      </w:r>
      <w:r>
        <w:rPr>
          <w:rFonts w:ascii="Palatino Linotype" w:hAnsi="Palatino Linotype" w:cs="Tahoma"/>
          <w:sz w:val="22"/>
          <w:szCs w:val="22"/>
          <w:lang w:val="es-ES"/>
        </w:rPr>
        <w:t xml:space="preserve"> con funciones operativas</w:t>
      </w:r>
      <w:r w:rsidRPr="00A50EAF">
        <w:rPr>
          <w:rFonts w:ascii="Palatino Linotype" w:hAnsi="Palatino Linotype" w:cs="Tahoma"/>
          <w:sz w:val="22"/>
          <w:szCs w:val="22"/>
          <w:lang w:val="es-ES"/>
        </w:rPr>
        <w:t xml:space="preserve"> y proporciona</w:t>
      </w:r>
      <w:r w:rsidR="00035E44">
        <w:rPr>
          <w:rFonts w:ascii="Palatino Linotype" w:hAnsi="Palatino Linotype" w:cs="Tahoma"/>
          <w:sz w:val="22"/>
          <w:szCs w:val="22"/>
          <w:lang w:val="es-ES"/>
        </w:rPr>
        <w:t>r</w:t>
      </w:r>
      <w:r w:rsidRPr="00A50EAF">
        <w:rPr>
          <w:rFonts w:ascii="Palatino Linotype" w:hAnsi="Palatino Linotype" w:cs="Tahoma"/>
          <w:sz w:val="22"/>
          <w:szCs w:val="22"/>
          <w:lang w:val="es-ES"/>
        </w:rPr>
        <w:t xml:space="preserve"> todo lo relat</w:t>
      </w:r>
      <w:r>
        <w:rPr>
          <w:rFonts w:ascii="Palatino Linotype" w:hAnsi="Palatino Linotype" w:cs="Tahoma"/>
          <w:sz w:val="22"/>
          <w:szCs w:val="22"/>
          <w:lang w:val="es-ES"/>
        </w:rPr>
        <w:t>ivo al cargo y sus percepciones, con la precisión de que el nombre del personal administrativo que no realice funciones operativas es público y procede su entrega</w:t>
      </w:r>
      <w:r w:rsidRPr="00A50EAF">
        <w:rPr>
          <w:rFonts w:ascii="Palatino Linotype" w:hAnsi="Palatino Linotype" w:cs="Tahoma"/>
          <w:sz w:val="22"/>
          <w:szCs w:val="22"/>
          <w:lang w:val="es-ES"/>
        </w:rPr>
        <w:t>.</w:t>
      </w:r>
    </w:p>
    <w:p w14:paraId="1D8ADCFF" w14:textId="77777777" w:rsidR="00C174BC" w:rsidRPr="00A50EAF" w:rsidRDefault="00C174BC" w:rsidP="00544E9C">
      <w:pPr>
        <w:spacing w:line="360" w:lineRule="auto"/>
        <w:ind w:right="-93"/>
        <w:jc w:val="both"/>
        <w:rPr>
          <w:rFonts w:ascii="Palatino Linotype" w:eastAsia="Calibri" w:hAnsi="Palatino Linotype" w:cs="Tahoma"/>
          <w:bCs/>
          <w:sz w:val="22"/>
          <w:szCs w:val="22"/>
          <w:lang w:eastAsia="en-US"/>
        </w:rPr>
      </w:pPr>
    </w:p>
    <w:p w14:paraId="734CF0EF" w14:textId="77777777" w:rsidR="00C174BC" w:rsidRPr="0068213E" w:rsidRDefault="00C174BC" w:rsidP="00544E9C">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lastRenderedPageBreak/>
        <w:t xml:space="preserve">SextO. </w:t>
      </w:r>
      <w:r w:rsidR="000167B5">
        <w:rPr>
          <w:rFonts w:ascii="Palatino Linotype" w:hAnsi="Palatino Linotype" w:cs="Tahoma"/>
          <w:b/>
          <w:sz w:val="22"/>
          <w:szCs w:val="22"/>
        </w:rPr>
        <w:t>D</w:t>
      </w:r>
      <w:r w:rsidRPr="0068213E">
        <w:rPr>
          <w:rFonts w:ascii="Palatino Linotype" w:hAnsi="Palatino Linotype" w:cs="Tahoma"/>
          <w:b/>
          <w:sz w:val="22"/>
          <w:szCs w:val="22"/>
        </w:rPr>
        <w:t>e la versión pública.</w:t>
      </w:r>
    </w:p>
    <w:p w14:paraId="69C3F9E8" w14:textId="77777777" w:rsidR="00C174BC" w:rsidRDefault="00C174BC" w:rsidP="00544E9C">
      <w:pPr>
        <w:tabs>
          <w:tab w:val="left" w:pos="4962"/>
        </w:tabs>
        <w:spacing w:line="360" w:lineRule="auto"/>
        <w:jc w:val="both"/>
        <w:rPr>
          <w:rFonts w:ascii="Palatino Linotype" w:hAnsi="Palatino Linotype" w:cs="Tahoma"/>
          <w:b/>
          <w:caps/>
          <w:sz w:val="22"/>
          <w:szCs w:val="22"/>
        </w:rPr>
      </w:pPr>
    </w:p>
    <w:p w14:paraId="1E572781" w14:textId="77777777" w:rsidR="00C174BC" w:rsidRDefault="00C174BC" w:rsidP="00544E9C">
      <w:pPr>
        <w:tabs>
          <w:tab w:val="left" w:pos="4962"/>
        </w:tabs>
        <w:spacing w:line="360" w:lineRule="auto"/>
        <w:jc w:val="both"/>
        <w:rPr>
          <w:rFonts w:ascii="Palatino Linotype" w:hAnsi="Palatino Linotype" w:cs="Tahoma"/>
          <w:sz w:val="22"/>
          <w:szCs w:val="22"/>
          <w:lang w:val="es-ES"/>
        </w:rPr>
      </w:pPr>
      <w:r w:rsidRPr="00BC1085">
        <w:rPr>
          <w:rFonts w:ascii="Palatino Linotype" w:hAnsi="Palatino Linotype" w:cs="Tahoma"/>
          <w:sz w:val="22"/>
          <w:szCs w:val="22"/>
        </w:rPr>
        <w:t xml:space="preserve">Como se </w:t>
      </w:r>
      <w:r>
        <w:rPr>
          <w:rFonts w:ascii="Palatino Linotype" w:hAnsi="Palatino Linotype" w:cs="Tahoma"/>
          <w:sz w:val="22"/>
          <w:szCs w:val="22"/>
        </w:rPr>
        <w:t xml:space="preserve">precisó en el considerando anterior, en </w:t>
      </w:r>
      <w:r w:rsidR="00562B52">
        <w:rPr>
          <w:rFonts w:ascii="Palatino Linotype" w:hAnsi="Palatino Linotype" w:cs="Tahoma"/>
          <w:sz w:val="22"/>
          <w:szCs w:val="22"/>
        </w:rPr>
        <w:t xml:space="preserve">la </w:t>
      </w:r>
      <w:r w:rsidR="0078336F">
        <w:rPr>
          <w:rFonts w:ascii="Palatino Linotype" w:hAnsi="Palatino Linotype" w:cs="Tahoma"/>
          <w:sz w:val="22"/>
          <w:szCs w:val="22"/>
        </w:rPr>
        <w:t xml:space="preserve"> nómina</w:t>
      </w:r>
      <w:r>
        <w:rPr>
          <w:rFonts w:ascii="Palatino Linotype" w:hAnsi="Palatino Linotype" w:cs="Tahoma"/>
          <w:sz w:val="22"/>
          <w:szCs w:val="22"/>
        </w:rPr>
        <w:t xml:space="preserve"> que se entregue</w:t>
      </w:r>
      <w:r w:rsidR="0078336F">
        <w:rPr>
          <w:rFonts w:ascii="Palatino Linotype" w:hAnsi="Palatino Linotype" w:cs="Tahoma"/>
          <w:sz w:val="22"/>
          <w:szCs w:val="22"/>
        </w:rPr>
        <w:t>n</w:t>
      </w:r>
      <w:r w:rsidR="00562B52">
        <w:rPr>
          <w:rFonts w:ascii="Palatino Linotype" w:hAnsi="Palatino Linotype" w:cs="Tahoma"/>
          <w:sz w:val="22"/>
          <w:szCs w:val="22"/>
        </w:rPr>
        <w:t xml:space="preserve"> </w:t>
      </w:r>
      <w:r>
        <w:rPr>
          <w:rFonts w:ascii="Palatino Linotype" w:hAnsi="Palatino Linotype" w:cs="Tahoma"/>
          <w:sz w:val="22"/>
          <w:szCs w:val="22"/>
        </w:rPr>
        <w:t>deberá eliminarse el nombre de los elementos de seguridad con funciones operativas de conformidad con lo previsto en el artículo 140, fracción IV</w:t>
      </w:r>
      <w:r w:rsidR="00B13DFA">
        <w:rPr>
          <w:rFonts w:ascii="Palatino Linotype" w:hAnsi="Palatino Linotype" w:cs="Tahoma"/>
          <w:sz w:val="22"/>
          <w:szCs w:val="22"/>
        </w:rPr>
        <w:t>,</w:t>
      </w:r>
      <w:r>
        <w:rPr>
          <w:rFonts w:ascii="Palatino Linotype" w:hAnsi="Palatino Linotype" w:cs="Tahoma"/>
          <w:sz w:val="22"/>
          <w:szCs w:val="22"/>
        </w:rPr>
        <w:t xml:space="preserve"> de la </w:t>
      </w:r>
      <w:r>
        <w:rPr>
          <w:rFonts w:ascii="Palatino Linotype" w:hAnsi="Palatino Linotype" w:cs="Tahoma"/>
          <w:sz w:val="22"/>
          <w:szCs w:val="22"/>
          <w:lang w:val="es-ES"/>
        </w:rPr>
        <w:t xml:space="preserve">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 esta clasificación deberá ser aprobada por el Comité de Transparencia del Ayuntamiento en donde se funde y motive la eliminación de la información y se precise el periodo de reserva de la misma, de conformidad con lo establecido en los artículos 125, 128, 129 y 132, fracción I de la Ley en cita.</w:t>
      </w:r>
    </w:p>
    <w:p w14:paraId="10933AC3" w14:textId="77777777" w:rsidR="00C174BC" w:rsidRDefault="00C174BC" w:rsidP="00544E9C">
      <w:pPr>
        <w:tabs>
          <w:tab w:val="left" w:pos="4962"/>
        </w:tabs>
        <w:spacing w:line="360" w:lineRule="auto"/>
        <w:jc w:val="both"/>
        <w:rPr>
          <w:rFonts w:ascii="Palatino Linotype" w:hAnsi="Palatino Linotype" w:cs="Tahoma"/>
          <w:sz w:val="22"/>
          <w:szCs w:val="22"/>
          <w:lang w:val="es-ES"/>
        </w:rPr>
      </w:pPr>
    </w:p>
    <w:p w14:paraId="7B41F579" w14:textId="77777777" w:rsidR="00C174BC" w:rsidRPr="00BC1085" w:rsidRDefault="00C174BC" w:rsidP="00544E9C">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Adicional a lo anterior, del análisis que se realizó de la nómina, se advierte que en la misma se consignan diversos datos personales relacionados con la vida privada de los servidores públicos, por lo que conviene analizar la naturaleza de </w:t>
      </w:r>
      <w:r w:rsidR="00B13DFA">
        <w:rPr>
          <w:rFonts w:ascii="Palatino Linotype" w:hAnsi="Palatino Linotype" w:cs="Tahoma"/>
          <w:sz w:val="22"/>
          <w:szCs w:val="22"/>
          <w:lang w:val="es-ES"/>
        </w:rPr>
        <w:t>estos</w:t>
      </w:r>
      <w:r>
        <w:rPr>
          <w:rFonts w:ascii="Palatino Linotype" w:hAnsi="Palatino Linotype" w:cs="Tahoma"/>
          <w:sz w:val="22"/>
          <w:szCs w:val="22"/>
          <w:lang w:val="es-ES"/>
        </w:rPr>
        <w:t>.</w:t>
      </w:r>
    </w:p>
    <w:p w14:paraId="2C730A5C"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5461385F" w14:textId="77777777" w:rsidR="00C174BC" w:rsidRPr="00A50EAF" w:rsidRDefault="00C174BC" w:rsidP="00544E9C">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30BC8342" w14:textId="77777777" w:rsidR="00C174BC" w:rsidRPr="00A50EAF" w:rsidRDefault="00C174BC" w:rsidP="00544E9C">
      <w:pPr>
        <w:spacing w:line="360" w:lineRule="auto"/>
        <w:ind w:right="-93"/>
        <w:jc w:val="both"/>
        <w:rPr>
          <w:rFonts w:ascii="Palatino Linotype" w:hAnsi="Palatino Linotype" w:cs="Tahoma"/>
          <w:sz w:val="22"/>
          <w:szCs w:val="22"/>
        </w:rPr>
      </w:pPr>
    </w:p>
    <w:p w14:paraId="4B044049"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A50EAF">
        <w:rPr>
          <w:rFonts w:ascii="Palatino Linotype" w:hAnsi="Palatino Linotype" w:cs="Tahoma"/>
          <w:bCs/>
          <w:iCs/>
          <w:sz w:val="22"/>
          <w:szCs w:val="22"/>
        </w:rPr>
        <w:lastRenderedPageBreak/>
        <w:t>por razones de seguridad nacional, disposiciones de orden público, seguridad y salud públicas o para proteger los derechos de terceros.</w:t>
      </w:r>
    </w:p>
    <w:p w14:paraId="7D230B08"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446B1BEE"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C1B5433"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1F7A0118"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688C405"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67D4C689"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8D163FD"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43F5C22B"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626BC9E"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571EE0CC" w14:textId="77777777" w:rsidR="00C174BC" w:rsidRPr="00A50EAF" w:rsidRDefault="00C174BC" w:rsidP="00544E9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w:t>
      </w:r>
      <w:r w:rsidRPr="00A50EAF">
        <w:rPr>
          <w:rFonts w:ascii="Palatino Linotype" w:hAnsi="Palatino Linotype" w:cs="Tahoma"/>
          <w:bCs/>
          <w:iCs/>
          <w:sz w:val="22"/>
          <w:szCs w:val="22"/>
          <w:lang w:val="es-ES"/>
        </w:rPr>
        <w:lastRenderedPageBreak/>
        <w:t>iv) por razones de seguridad nacional y salubridad general o v) para proteger los derechos de terceros o cuando se transmita entre sujetos obligados en términos de los tratados y los acuerdos interinstitucionales.</w:t>
      </w:r>
    </w:p>
    <w:p w14:paraId="56A2E56C"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42484EFB" w14:textId="77777777" w:rsidR="00C174BC" w:rsidRPr="00A50EAF" w:rsidRDefault="00C174BC" w:rsidP="00544E9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B0AB87D" w14:textId="77777777" w:rsidR="00C174BC" w:rsidRPr="00A50EAF" w:rsidRDefault="00C174BC" w:rsidP="00544E9C">
      <w:pPr>
        <w:spacing w:line="360" w:lineRule="auto"/>
        <w:ind w:right="-93"/>
        <w:jc w:val="both"/>
        <w:rPr>
          <w:rFonts w:ascii="Palatino Linotype" w:hAnsi="Palatino Linotype" w:cs="Tahoma"/>
          <w:bCs/>
          <w:iCs/>
          <w:sz w:val="22"/>
          <w:szCs w:val="22"/>
          <w:lang w:val="es-ES"/>
        </w:rPr>
      </w:pPr>
    </w:p>
    <w:p w14:paraId="1554944A" w14:textId="77777777" w:rsidR="00C174BC" w:rsidRPr="00A50EAF" w:rsidRDefault="00C174BC" w:rsidP="00544E9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68C99E8A" w14:textId="77777777" w:rsidR="00C174BC" w:rsidRPr="00A50EAF" w:rsidRDefault="00C174BC" w:rsidP="00544E9C">
      <w:pPr>
        <w:spacing w:line="360" w:lineRule="auto"/>
        <w:ind w:right="-93"/>
        <w:jc w:val="both"/>
        <w:rPr>
          <w:rFonts w:ascii="Palatino Linotype" w:hAnsi="Palatino Linotype" w:cs="Tahoma"/>
          <w:bCs/>
          <w:iCs/>
          <w:sz w:val="22"/>
          <w:szCs w:val="22"/>
          <w:lang w:val="es-ES"/>
        </w:rPr>
      </w:pPr>
    </w:p>
    <w:p w14:paraId="19D41529" w14:textId="77777777" w:rsidR="00C174BC" w:rsidRPr="00A50EAF" w:rsidRDefault="00C174BC" w:rsidP="00544E9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783C977D"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478C8F32"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65E4382"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1950C3F8"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4A7AD0BE"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64A6E615"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A50EAF">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14:paraId="71D5A465"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2C109EB2"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4A4CAA3"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10FE9CFE"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2D98495"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3DC00678"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tal suerte, las instituciones públicas tienen la doble responsabilidad, por un </w:t>
      </w:r>
      <w:r w:rsidR="000F5E9D" w:rsidRPr="00A50EAF">
        <w:rPr>
          <w:rFonts w:ascii="Palatino Linotype" w:hAnsi="Palatino Linotype" w:cs="Tahoma"/>
          <w:bCs/>
          <w:iCs/>
          <w:sz w:val="22"/>
          <w:szCs w:val="22"/>
        </w:rPr>
        <w:t>lado,</w:t>
      </w:r>
      <w:r w:rsidRPr="00A50EAF">
        <w:rPr>
          <w:rFonts w:ascii="Palatino Linotype" w:hAnsi="Palatino Linotype" w:cs="Tahoma"/>
          <w:bCs/>
          <w:iCs/>
          <w:sz w:val="22"/>
          <w:szCs w:val="22"/>
        </w:rPr>
        <w:t xml:space="preserve"> de proteger los datos personales y por otro, darles publicidad cuando la relevancia de esos datos sea de interés público.</w:t>
      </w:r>
    </w:p>
    <w:p w14:paraId="0AC5083B"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43D982B8"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w:t>
      </w:r>
      <w:r w:rsidRPr="00A50EAF">
        <w:rPr>
          <w:rFonts w:ascii="Palatino Linotype" w:hAnsi="Palatino Linotype" w:cs="Tahoma"/>
          <w:bCs/>
          <w:iCs/>
          <w:sz w:val="22"/>
          <w:szCs w:val="22"/>
        </w:rPr>
        <w:lastRenderedPageBreak/>
        <w:t>información que necesariamente está vinculada con datos personales, que pierden la protección en beneficio del interés público (no por eso dejan de ser datos personales, sólo que no están protegidos en la confidencialidad).</w:t>
      </w:r>
    </w:p>
    <w:p w14:paraId="0A78AB08"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524611BF"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5239CEF"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224860C8"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DB597F8"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4A93F197"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w:t>
      </w:r>
      <w:r w:rsidR="006E20EB" w:rsidRPr="00A50EAF">
        <w:rPr>
          <w:rFonts w:ascii="Palatino Linotype" w:hAnsi="Palatino Linotype" w:cs="Tahoma"/>
          <w:bCs/>
          <w:iCs/>
          <w:sz w:val="22"/>
          <w:szCs w:val="22"/>
        </w:rPr>
        <w:t>de los</w:t>
      </w:r>
      <w:r w:rsidRPr="00A50EAF">
        <w:rPr>
          <w:rFonts w:ascii="Palatino Linotype" w:hAnsi="Palatino Linotype" w:cs="Tahoma"/>
          <w:bCs/>
          <w:iCs/>
          <w:sz w:val="22"/>
          <w:szCs w:val="22"/>
        </w:rPr>
        <w:t xml:space="preserve">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w:t>
      </w:r>
      <w:r w:rsidRPr="00A50EAF">
        <w:rPr>
          <w:rFonts w:ascii="Palatino Linotype" w:hAnsi="Palatino Linotype" w:cs="Tahoma"/>
          <w:bCs/>
          <w:iCs/>
          <w:sz w:val="22"/>
          <w:szCs w:val="22"/>
        </w:rPr>
        <w:lastRenderedPageBreak/>
        <w:t xml:space="preserve">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28A8084C"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5153084D" w14:textId="77777777" w:rsidR="00C174BC" w:rsidRPr="00A50EAF" w:rsidRDefault="00C174BC" w:rsidP="00544E9C">
      <w:pPr>
        <w:pStyle w:val="Prrafodelista"/>
        <w:numPr>
          <w:ilvl w:val="0"/>
          <w:numId w:val="21"/>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797250C1" w14:textId="77777777" w:rsidR="00C174BC" w:rsidRPr="00A50EAF" w:rsidRDefault="00C174BC" w:rsidP="00544E9C">
      <w:pPr>
        <w:spacing w:line="360" w:lineRule="auto"/>
        <w:ind w:left="360" w:right="-93"/>
        <w:jc w:val="both"/>
        <w:rPr>
          <w:rFonts w:ascii="Palatino Linotype" w:hAnsi="Palatino Linotype" w:cs="Tahoma"/>
          <w:bCs/>
          <w:iCs/>
          <w:szCs w:val="22"/>
        </w:rPr>
      </w:pPr>
    </w:p>
    <w:p w14:paraId="3190F3B3" w14:textId="77777777" w:rsidR="00C174BC" w:rsidRDefault="00C174BC" w:rsidP="00544E9C">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 xml:space="preserve">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w:t>
      </w:r>
      <w:r w:rsidR="000F5E9D" w:rsidRPr="00A50EAF">
        <w:rPr>
          <w:rFonts w:ascii="Palatino Linotype" w:hAnsi="Palatino Linotype" w:cs="Tahoma"/>
          <w:bCs/>
          <w:iCs/>
          <w:sz w:val="22"/>
          <w:szCs w:val="22"/>
        </w:rPr>
        <w:t>de acuerdo con el</w:t>
      </w:r>
      <w:r w:rsidRPr="00A50EAF">
        <w:rPr>
          <w:rFonts w:ascii="Palatino Linotype" w:hAnsi="Palatino Linotype" w:cs="Tahoma"/>
          <w:bCs/>
          <w:iCs/>
          <w:sz w:val="22"/>
          <w:szCs w:val="22"/>
        </w:rPr>
        <w:t xml:space="preserve"> artículo 27 del Código Fiscal de la Federación.</w:t>
      </w:r>
    </w:p>
    <w:p w14:paraId="20E1EFF9" w14:textId="77777777" w:rsidR="0078336F" w:rsidRPr="00A50EAF" w:rsidRDefault="0078336F" w:rsidP="00544E9C">
      <w:pPr>
        <w:spacing w:line="360" w:lineRule="auto"/>
        <w:ind w:right="-93"/>
        <w:jc w:val="both"/>
        <w:rPr>
          <w:rFonts w:ascii="Palatino Linotype" w:hAnsi="Palatino Linotype" w:cs="Tahoma"/>
          <w:bCs/>
          <w:iCs/>
          <w:sz w:val="22"/>
          <w:szCs w:val="22"/>
        </w:rPr>
      </w:pPr>
    </w:p>
    <w:p w14:paraId="16BFE40C" w14:textId="77777777" w:rsidR="00C174BC" w:rsidRPr="00A50EAF" w:rsidRDefault="000F5E9D"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w:t>
      </w:r>
      <w:r w:rsidR="00C174BC" w:rsidRPr="00A50EAF">
        <w:rPr>
          <w:rFonts w:ascii="Palatino Linotype" w:hAnsi="Palatino Linotype" w:cs="Tahoma"/>
          <w:bCs/>
          <w:iCs/>
          <w:sz w:val="22"/>
          <w:szCs w:val="22"/>
        </w:rPr>
        <w:t xml:space="preserve">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A9C69DD"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3D962465"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la clave del Registro Federal de </w:t>
      </w:r>
      <w:r w:rsidR="000F5E9D" w:rsidRPr="00A50EAF">
        <w:rPr>
          <w:rFonts w:ascii="Palatino Linotype" w:hAnsi="Palatino Linotype" w:cs="Tahoma"/>
          <w:bCs/>
          <w:iCs/>
          <w:sz w:val="22"/>
          <w:szCs w:val="22"/>
        </w:rPr>
        <w:t>Contribuyentes</w:t>
      </w:r>
      <w:r w:rsidRPr="00A50EAF">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3FEF9C1"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27C02A65"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Pr="00A50EAF">
        <w:rPr>
          <w:rFonts w:ascii="Palatino Linotype" w:hAnsi="Palatino Linotype" w:cs="Tahoma"/>
          <w:bCs/>
          <w:iCs/>
          <w:sz w:val="22"/>
          <w:szCs w:val="22"/>
        </w:rPr>
        <w:lastRenderedPageBreak/>
        <w:t xml:space="preserve">involucradas, en el pago de estos, en el presente caso, del pago del Impuesto Sobre el Producto del Trabajo. </w:t>
      </w:r>
    </w:p>
    <w:p w14:paraId="122730E6"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048B909F"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7937C58D"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6BA2AF5A" w14:textId="77777777" w:rsidR="00C174BC" w:rsidRPr="009E76B5" w:rsidRDefault="00C174BC" w:rsidP="00544E9C">
      <w:pPr>
        <w:spacing w:line="360" w:lineRule="auto"/>
        <w:ind w:left="567" w:right="539"/>
        <w:jc w:val="both"/>
        <w:rPr>
          <w:rFonts w:ascii="Palatino Linotype" w:hAnsi="Palatino Linotype" w:cs="Tahoma"/>
          <w:bCs/>
          <w:i/>
          <w:iCs/>
          <w:szCs w:val="22"/>
        </w:rPr>
      </w:pPr>
      <w:r w:rsidRPr="009E76B5">
        <w:rPr>
          <w:rFonts w:ascii="Palatino Linotype" w:hAnsi="Palatino Linotype" w:cs="Tahoma"/>
          <w:bCs/>
          <w:i/>
          <w:iCs/>
          <w:szCs w:val="22"/>
        </w:rPr>
        <w:t>“</w:t>
      </w:r>
      <w:r w:rsidRPr="009E76B5">
        <w:rPr>
          <w:rFonts w:ascii="Palatino Linotype" w:hAnsi="Palatino Linotype" w:cs="Tahoma"/>
          <w:b/>
          <w:bCs/>
          <w:i/>
          <w:iCs/>
          <w:szCs w:val="22"/>
        </w:rPr>
        <w:t>Registro Federal de Contribuyentes (RFC) de personas físicas</w:t>
      </w:r>
      <w:r w:rsidRPr="009E76B5">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5B2DF6B8" w14:textId="77777777" w:rsidR="00C174BC" w:rsidRPr="00A50EAF" w:rsidRDefault="00C174BC" w:rsidP="00544E9C">
      <w:pPr>
        <w:spacing w:line="360" w:lineRule="auto"/>
        <w:ind w:right="-93"/>
        <w:jc w:val="both"/>
        <w:rPr>
          <w:rFonts w:ascii="Palatino Linotype" w:hAnsi="Palatino Linotype" w:cs="Tahoma"/>
          <w:bCs/>
          <w:iCs/>
          <w:sz w:val="22"/>
          <w:szCs w:val="22"/>
        </w:rPr>
      </w:pPr>
    </w:p>
    <w:p w14:paraId="0D5EE7C2" w14:textId="77777777" w:rsidR="00C174BC" w:rsidRPr="00A50EAF" w:rsidRDefault="00C174BC" w:rsidP="00544E9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CEDBB12" w14:textId="77777777" w:rsidR="00C174BC" w:rsidRPr="00A50EAF" w:rsidRDefault="00C174BC" w:rsidP="00544E9C">
      <w:pPr>
        <w:pStyle w:val="Prrafodelista"/>
        <w:numPr>
          <w:ilvl w:val="0"/>
          <w:numId w:val="28"/>
        </w:numPr>
        <w:spacing w:before="240" w:after="240"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172E60DB"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694677B0"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p>
    <w:p w14:paraId="4F6A9BBD"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85 de la Ley General de Población, prevé que corresponde a </w:t>
      </w:r>
      <w:r w:rsidR="000F5E9D" w:rsidRPr="00A50EAF">
        <w:rPr>
          <w:rFonts w:ascii="Palatino Linotype" w:hAnsi="Palatino Linotype" w:cs="Tahoma"/>
          <w:sz w:val="22"/>
          <w:szCs w:val="22"/>
          <w:lang w:eastAsia="es-MX"/>
        </w:rPr>
        <w:t>la Secretaría</w:t>
      </w:r>
      <w:r w:rsidRPr="00A50EAF">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47E584B7"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p>
    <w:p w14:paraId="4B213F44"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Acorde con lo anterior, el artículo 22 del Reglamento Interior de la Secretaría de Gobernación, establece en su fracción III, que la Dirección General del Registro Nacional de Población e </w:t>
      </w:r>
      <w:r w:rsidRPr="00A50EAF">
        <w:rPr>
          <w:rFonts w:ascii="Palatino Linotype" w:hAnsi="Palatino Linotype" w:cs="Tahoma"/>
          <w:sz w:val="22"/>
          <w:szCs w:val="22"/>
          <w:lang w:eastAsia="es-MX"/>
        </w:rPr>
        <w:lastRenderedPageBreak/>
        <w:t>Identificación Personal tiene la atribución de asignar y depurar la Clave Única de Registro de Población a todas las personas residentes en el país, así como a los mexicanos que residan en el extranjero.</w:t>
      </w:r>
    </w:p>
    <w:p w14:paraId="5584E4ED" w14:textId="77777777" w:rsidR="00C174BC" w:rsidRPr="00A50EAF" w:rsidRDefault="00C174BC" w:rsidP="00544E9C">
      <w:pPr>
        <w:spacing w:line="360" w:lineRule="auto"/>
        <w:contextualSpacing/>
        <w:jc w:val="both"/>
        <w:rPr>
          <w:rFonts w:ascii="Palatino Linotype" w:hAnsi="Palatino Linotype" w:cs="Tahoma"/>
          <w:b/>
          <w:sz w:val="22"/>
          <w:szCs w:val="22"/>
          <w:lang w:eastAsia="es-MX"/>
        </w:rPr>
      </w:pPr>
    </w:p>
    <w:p w14:paraId="664F2E0A"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3"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la Clave Ú</w:t>
      </w:r>
      <w:r w:rsidR="00E940E7">
        <w:rPr>
          <w:rFonts w:ascii="Palatino Linotype" w:hAnsi="Palatino Linotype" w:cs="Tahoma"/>
          <w:sz w:val="22"/>
          <w:szCs w:val="22"/>
          <w:lang w:eastAsia="es-MX"/>
        </w:rPr>
        <w:t xml:space="preserve">nica del Registro de Población  </w:t>
      </w:r>
      <w:r w:rsidRPr="00A50EAF">
        <w:rPr>
          <w:rFonts w:ascii="Palatino Linotype" w:hAnsi="Palatino Linotype" w:cs="Tahoma"/>
          <w:sz w:val="22"/>
          <w:szCs w:val="22"/>
          <w:lang w:eastAsia="es-MX"/>
        </w:rPr>
        <w:t xml:space="preserve">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06A61C97"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p>
    <w:p w14:paraId="2DA37000"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720C6ABE"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6167E472"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69B3D921"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339DC086"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p>
    <w:p w14:paraId="45EF9FFC"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14D94F15"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p>
    <w:p w14:paraId="6FBB8582" w14:textId="77777777" w:rsidR="00C174BC" w:rsidRPr="00A50EAF" w:rsidRDefault="00C174BC" w:rsidP="00544E9C">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7FDC4DD" w14:textId="77777777" w:rsidR="00C174BC" w:rsidRPr="00A50EAF" w:rsidRDefault="00C174BC" w:rsidP="00544E9C">
      <w:pPr>
        <w:spacing w:line="360" w:lineRule="auto"/>
        <w:contextualSpacing/>
        <w:jc w:val="both"/>
        <w:rPr>
          <w:rFonts w:ascii="Palatino Linotype" w:hAnsi="Palatino Linotype" w:cs="Tahoma"/>
          <w:sz w:val="22"/>
          <w:szCs w:val="22"/>
        </w:rPr>
      </w:pPr>
    </w:p>
    <w:p w14:paraId="2D7616D9"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Resulta aplicable en la especie, como argumento orientador, el Criterio 3/10, emitido por el INAI.</w:t>
      </w:r>
    </w:p>
    <w:p w14:paraId="26573E07" w14:textId="77777777" w:rsidR="00C174BC" w:rsidRPr="00A50EAF" w:rsidRDefault="00C174BC" w:rsidP="00544E9C">
      <w:pPr>
        <w:spacing w:line="360" w:lineRule="auto"/>
        <w:contextualSpacing/>
        <w:jc w:val="both"/>
        <w:rPr>
          <w:rFonts w:ascii="Palatino Linotype" w:hAnsi="Palatino Linotype" w:cs="Tahoma"/>
          <w:sz w:val="22"/>
          <w:szCs w:val="22"/>
        </w:rPr>
      </w:pPr>
    </w:p>
    <w:p w14:paraId="7BF3590C" w14:textId="77777777" w:rsidR="00C174BC" w:rsidRPr="005A29A9" w:rsidRDefault="00C174BC" w:rsidP="00544E9C">
      <w:pPr>
        <w:autoSpaceDE w:val="0"/>
        <w:autoSpaceDN w:val="0"/>
        <w:adjustRightInd w:val="0"/>
        <w:spacing w:line="360" w:lineRule="auto"/>
        <w:ind w:left="567" w:right="567"/>
        <w:jc w:val="both"/>
        <w:rPr>
          <w:rFonts w:ascii="Palatino Linotype" w:eastAsia="Calibri" w:hAnsi="Palatino Linotype" w:cs="Tahoma"/>
          <w:i/>
          <w:color w:val="000000"/>
        </w:rPr>
      </w:pPr>
      <w:r w:rsidRPr="005A29A9">
        <w:rPr>
          <w:rFonts w:ascii="Palatino Linotype" w:eastAsia="Calibri" w:hAnsi="Palatino Linotype" w:cs="Tahoma"/>
          <w:b/>
          <w:bCs/>
          <w:i/>
          <w:color w:val="000000"/>
        </w:rPr>
        <w:t xml:space="preserve">Clave Única de Registro de Población (CURP) es un dato personal confidencial. </w:t>
      </w:r>
      <w:r w:rsidRPr="005A29A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1AC1EA4" w14:textId="77777777" w:rsidR="00C174BC" w:rsidRPr="00A50EAF" w:rsidRDefault="00C174BC" w:rsidP="00544E9C">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03204808" w14:textId="77777777" w:rsidR="00C174BC" w:rsidRPr="00A50EAF" w:rsidRDefault="00C174BC" w:rsidP="00544E9C">
      <w:pPr>
        <w:pStyle w:val="Prrafodelista"/>
        <w:numPr>
          <w:ilvl w:val="0"/>
          <w:numId w:val="2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08781534" w14:textId="77777777" w:rsidR="00C174BC" w:rsidRPr="00A50EAF" w:rsidRDefault="00C174BC" w:rsidP="00544E9C">
      <w:pPr>
        <w:pStyle w:val="Prrafodelista"/>
        <w:spacing w:line="360" w:lineRule="auto"/>
        <w:jc w:val="both"/>
        <w:rPr>
          <w:rFonts w:ascii="Palatino Linotype" w:hAnsi="Palatino Linotype" w:cs="Tahoma"/>
          <w:szCs w:val="22"/>
          <w:lang w:eastAsia="es-MX"/>
        </w:rPr>
      </w:pPr>
    </w:p>
    <w:p w14:paraId="01D22B83" w14:textId="77777777" w:rsidR="00C174BC" w:rsidRPr="00A50EAF" w:rsidRDefault="00C174BC" w:rsidP="00544E9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6DBECDC" w14:textId="77777777" w:rsidR="00C174BC" w:rsidRPr="00A50EAF" w:rsidRDefault="00C174BC" w:rsidP="00544E9C">
      <w:pPr>
        <w:spacing w:line="360" w:lineRule="auto"/>
        <w:jc w:val="both"/>
        <w:rPr>
          <w:rFonts w:ascii="Palatino Linotype" w:hAnsi="Palatino Linotype" w:cs="Tahoma"/>
          <w:sz w:val="22"/>
          <w:szCs w:val="22"/>
          <w:lang w:eastAsia="es-MX"/>
        </w:rPr>
      </w:pPr>
    </w:p>
    <w:p w14:paraId="6E1AB247" w14:textId="77777777" w:rsidR="00C174BC" w:rsidRPr="00A50EAF" w:rsidRDefault="00C174BC" w:rsidP="00544E9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w:t>
      </w:r>
      <w:r w:rsidRPr="00A50EAF">
        <w:rPr>
          <w:rFonts w:ascii="Palatino Linotype" w:hAnsi="Palatino Linotype" w:cs="Tahoma"/>
          <w:sz w:val="22"/>
          <w:szCs w:val="22"/>
          <w:lang w:eastAsia="es-MX"/>
        </w:rPr>
        <w:lastRenderedPageBreak/>
        <w:t xml:space="preserve">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11364F7F" w14:textId="77777777" w:rsidR="00C174BC" w:rsidRPr="00A50EAF" w:rsidRDefault="00C174BC" w:rsidP="00544E9C">
      <w:pPr>
        <w:pStyle w:val="Prrafodelista"/>
        <w:spacing w:line="360" w:lineRule="auto"/>
        <w:jc w:val="both"/>
        <w:rPr>
          <w:rFonts w:ascii="Palatino Linotype" w:hAnsi="Palatino Linotype" w:cs="Tahoma"/>
          <w:szCs w:val="22"/>
          <w:lang w:eastAsia="es-MX"/>
        </w:rPr>
      </w:pPr>
    </w:p>
    <w:p w14:paraId="6B947ECB"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3AD132C6" w14:textId="77777777" w:rsidR="00C174BC" w:rsidRPr="00A50EAF" w:rsidRDefault="00C174BC" w:rsidP="00544E9C">
      <w:pPr>
        <w:pStyle w:val="Prrafodelista"/>
        <w:spacing w:line="360" w:lineRule="auto"/>
        <w:jc w:val="both"/>
        <w:rPr>
          <w:rFonts w:ascii="Palatino Linotype" w:hAnsi="Palatino Linotype" w:cs="Tahoma"/>
          <w:szCs w:val="22"/>
          <w:lang w:eastAsia="es-MX"/>
        </w:rPr>
      </w:pPr>
    </w:p>
    <w:p w14:paraId="0695A7AE" w14:textId="77777777" w:rsidR="00C174BC" w:rsidRPr="00A50EAF" w:rsidRDefault="00C174BC" w:rsidP="00544E9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64E7835" w14:textId="77777777" w:rsidR="00C174BC" w:rsidRPr="00A50EAF" w:rsidRDefault="00C174BC" w:rsidP="00544E9C">
      <w:pPr>
        <w:spacing w:line="360" w:lineRule="auto"/>
        <w:contextualSpacing/>
        <w:jc w:val="both"/>
        <w:rPr>
          <w:rFonts w:ascii="Palatino Linotype" w:hAnsi="Palatino Linotype" w:cs="Tahoma"/>
          <w:b/>
          <w:sz w:val="22"/>
          <w:szCs w:val="22"/>
        </w:rPr>
      </w:pPr>
    </w:p>
    <w:p w14:paraId="7B66535B" w14:textId="77777777" w:rsidR="00C174BC" w:rsidRPr="00BC1085" w:rsidRDefault="00C174BC" w:rsidP="00544E9C">
      <w:pPr>
        <w:pStyle w:val="Prrafodelista"/>
        <w:numPr>
          <w:ilvl w:val="0"/>
          <w:numId w:val="21"/>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1F98BC8D" w14:textId="77777777" w:rsidR="00C174BC" w:rsidRDefault="00C174BC" w:rsidP="00544E9C">
      <w:pPr>
        <w:spacing w:line="360" w:lineRule="auto"/>
        <w:ind w:right="-93"/>
        <w:jc w:val="both"/>
        <w:rPr>
          <w:rFonts w:ascii="Palatino Linotype" w:hAnsi="Palatino Linotype" w:cs="Tahoma"/>
          <w:b/>
          <w:bCs/>
          <w:iCs/>
          <w:szCs w:val="22"/>
        </w:rPr>
      </w:pPr>
    </w:p>
    <w:p w14:paraId="418635AE" w14:textId="77777777" w:rsidR="00C174BC" w:rsidRPr="00784DBB" w:rsidRDefault="00C174BC" w:rsidP="00544E9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54C6207D" w14:textId="77777777" w:rsidR="00C174BC" w:rsidRPr="00784DBB" w:rsidRDefault="00C174BC" w:rsidP="00544E9C">
      <w:pPr>
        <w:spacing w:line="360" w:lineRule="auto"/>
        <w:ind w:right="-93"/>
        <w:jc w:val="both"/>
        <w:rPr>
          <w:rFonts w:ascii="Palatino Linotype" w:hAnsi="Palatino Linotype" w:cs="Tahoma"/>
          <w:sz w:val="22"/>
          <w:szCs w:val="22"/>
        </w:rPr>
      </w:pPr>
    </w:p>
    <w:p w14:paraId="4FD931CD" w14:textId="77777777" w:rsidR="00C174BC" w:rsidRPr="00784DBB" w:rsidRDefault="00C174BC" w:rsidP="00544E9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lastRenderedPageBreak/>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14:paraId="5A586FDF" w14:textId="77777777" w:rsidR="00C174BC" w:rsidRPr="00784DBB" w:rsidRDefault="00C174BC" w:rsidP="00544E9C">
      <w:pPr>
        <w:spacing w:line="360" w:lineRule="auto"/>
        <w:ind w:right="-93"/>
        <w:jc w:val="both"/>
        <w:rPr>
          <w:rFonts w:ascii="Palatino Linotype" w:hAnsi="Palatino Linotype" w:cs="Tahoma"/>
          <w:sz w:val="22"/>
          <w:szCs w:val="22"/>
        </w:rPr>
      </w:pPr>
    </w:p>
    <w:p w14:paraId="0DC89528" w14:textId="77777777" w:rsidR="00C174BC" w:rsidRDefault="00C174BC" w:rsidP="00544E9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w:t>
      </w:r>
      <w:r w:rsidR="0078336F">
        <w:rPr>
          <w:rFonts w:ascii="Palatino Linotype" w:hAnsi="Palatino Linotype" w:cs="Tahoma"/>
          <w:sz w:val="22"/>
          <w:szCs w:val="22"/>
        </w:rPr>
        <w:t>dor público da a su patrimonio.</w:t>
      </w:r>
    </w:p>
    <w:p w14:paraId="630EDC85" w14:textId="77777777" w:rsidR="0078336F" w:rsidRPr="00784DBB" w:rsidRDefault="0078336F" w:rsidP="00544E9C">
      <w:pPr>
        <w:spacing w:line="360" w:lineRule="auto"/>
        <w:ind w:right="-93"/>
        <w:jc w:val="both"/>
        <w:rPr>
          <w:rFonts w:ascii="Palatino Linotype" w:hAnsi="Palatino Linotype" w:cs="Tahoma"/>
          <w:sz w:val="22"/>
          <w:szCs w:val="22"/>
        </w:rPr>
      </w:pPr>
    </w:p>
    <w:p w14:paraId="4C2ED4F9" w14:textId="77777777" w:rsidR="00C174BC" w:rsidRPr="00784DBB" w:rsidRDefault="00C174BC" w:rsidP="00544E9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Por lo tanto</w:t>
      </w:r>
      <w:r w:rsidR="006E20EB">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3BAD3B8F" w14:textId="77777777" w:rsidR="00C174BC" w:rsidRPr="00BC1085" w:rsidRDefault="00C174BC" w:rsidP="00544E9C">
      <w:pPr>
        <w:pStyle w:val="Prrafodelista"/>
        <w:spacing w:line="360" w:lineRule="auto"/>
        <w:ind w:right="-93"/>
        <w:rPr>
          <w:rFonts w:ascii="Palatino Linotype" w:hAnsi="Palatino Linotype" w:cs="Tahoma"/>
          <w:b/>
          <w:szCs w:val="22"/>
        </w:rPr>
      </w:pPr>
    </w:p>
    <w:p w14:paraId="7FD2B463" w14:textId="77777777" w:rsidR="00C174BC" w:rsidRPr="00A50EAF" w:rsidRDefault="00C174BC" w:rsidP="00544E9C">
      <w:pPr>
        <w:pStyle w:val="Prrafodelista"/>
        <w:numPr>
          <w:ilvl w:val="0"/>
          <w:numId w:val="21"/>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515F3931" w14:textId="77777777" w:rsidR="00C174BC" w:rsidRPr="00A50EAF" w:rsidRDefault="00C174BC" w:rsidP="00544E9C">
      <w:pPr>
        <w:spacing w:line="360" w:lineRule="auto"/>
        <w:ind w:right="-93"/>
        <w:jc w:val="both"/>
        <w:rPr>
          <w:rFonts w:ascii="Palatino Linotype" w:hAnsi="Palatino Linotype" w:cs="Tahoma"/>
          <w:sz w:val="22"/>
          <w:szCs w:val="22"/>
        </w:rPr>
      </w:pPr>
    </w:p>
    <w:p w14:paraId="4D21F720" w14:textId="77777777" w:rsidR="00C174BC" w:rsidRDefault="00C174BC" w:rsidP="00544E9C">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2B1256CD" w14:textId="77777777" w:rsidR="00C174BC" w:rsidRDefault="00C174BC" w:rsidP="00544E9C">
      <w:pPr>
        <w:spacing w:line="360" w:lineRule="auto"/>
        <w:contextualSpacing/>
        <w:jc w:val="both"/>
        <w:rPr>
          <w:rFonts w:ascii="Palatino Linotype" w:hAnsi="Palatino Linotype" w:cs="Tahoma"/>
          <w:sz w:val="22"/>
          <w:szCs w:val="22"/>
          <w:lang w:eastAsia="es-MX"/>
        </w:rPr>
      </w:pPr>
    </w:p>
    <w:p w14:paraId="7998B795" w14:textId="77777777" w:rsidR="00F11503" w:rsidRDefault="00F11503" w:rsidP="00544E9C">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72C7C969" w14:textId="77777777" w:rsidR="00F11503" w:rsidRPr="005141C6" w:rsidRDefault="00F11503" w:rsidP="00544E9C">
      <w:pPr>
        <w:shd w:val="clear" w:color="auto" w:fill="FFFFFF" w:themeFill="background1"/>
        <w:spacing w:line="360" w:lineRule="auto"/>
        <w:ind w:left="567" w:right="567"/>
        <w:jc w:val="both"/>
        <w:rPr>
          <w:rFonts w:ascii="Palatino Linotype" w:hAnsi="Palatino Linotype" w:cs="Tahoma"/>
          <w:sz w:val="22"/>
        </w:rPr>
      </w:pPr>
    </w:p>
    <w:p w14:paraId="7586ABC4" w14:textId="77777777" w:rsidR="00F11503" w:rsidRPr="005A29A9" w:rsidRDefault="00F11503" w:rsidP="00544E9C">
      <w:pPr>
        <w:shd w:val="clear" w:color="auto" w:fill="FFFFFF" w:themeFill="background1"/>
        <w:spacing w:line="360" w:lineRule="auto"/>
        <w:ind w:left="567" w:right="567"/>
        <w:jc w:val="both"/>
        <w:rPr>
          <w:rFonts w:ascii="Palatino Linotype" w:hAnsi="Palatino Linotype" w:cs="Tahoma"/>
          <w:i/>
        </w:rPr>
      </w:pPr>
      <w:r w:rsidRPr="005A29A9">
        <w:rPr>
          <w:rFonts w:ascii="Palatino Linotype" w:hAnsi="Palatino Linotype" w:cs="Tahoma"/>
          <w:i/>
        </w:rPr>
        <w:lastRenderedPageBreak/>
        <w:t>“</w:t>
      </w:r>
      <w:r w:rsidRPr="005A29A9">
        <w:rPr>
          <w:rFonts w:ascii="Palatino Linotype" w:hAnsi="Palatino Linotype" w:cs="Tahoma"/>
          <w:b/>
          <w:i/>
        </w:rPr>
        <w:t>Cuentas bancarias y/o CLABE interbancaria de personas físicas y morales privadas.</w:t>
      </w:r>
      <w:r w:rsidRPr="005A29A9">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786A53" w14:textId="77777777" w:rsidR="00F11503" w:rsidRDefault="00F11503" w:rsidP="00544E9C">
      <w:pPr>
        <w:spacing w:line="360" w:lineRule="auto"/>
        <w:contextualSpacing/>
        <w:jc w:val="both"/>
        <w:rPr>
          <w:rFonts w:ascii="Palatino Linotype" w:hAnsi="Palatino Linotype" w:cs="Tahoma"/>
          <w:sz w:val="22"/>
          <w:szCs w:val="22"/>
          <w:lang w:eastAsia="es-MX"/>
        </w:rPr>
      </w:pPr>
    </w:p>
    <w:p w14:paraId="0893D031" w14:textId="77777777" w:rsidR="00C174BC" w:rsidRPr="00784DBB" w:rsidRDefault="00C174BC" w:rsidP="00544E9C">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29A699B4" w14:textId="77777777" w:rsidR="00C174BC" w:rsidRDefault="00C174BC" w:rsidP="00544E9C">
      <w:pPr>
        <w:spacing w:line="360" w:lineRule="auto"/>
        <w:contextualSpacing/>
        <w:jc w:val="both"/>
        <w:rPr>
          <w:rFonts w:ascii="Palatino Linotype" w:hAnsi="Palatino Linotype" w:cs="Tahoma"/>
          <w:sz w:val="22"/>
          <w:szCs w:val="22"/>
          <w:lang w:eastAsia="es-MX"/>
        </w:rPr>
      </w:pPr>
    </w:p>
    <w:p w14:paraId="7763672D" w14:textId="77777777" w:rsidR="00C174BC" w:rsidRPr="00160AAF" w:rsidRDefault="00C174BC" w:rsidP="00544E9C">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3B7A32EB" w14:textId="77777777" w:rsidR="00BA547A" w:rsidRPr="00985849" w:rsidRDefault="00BA547A" w:rsidP="00544E9C">
      <w:pPr>
        <w:spacing w:line="360" w:lineRule="auto"/>
        <w:ind w:right="-93"/>
        <w:jc w:val="both"/>
        <w:rPr>
          <w:rFonts w:ascii="Palatino Linotype" w:hAnsi="Palatino Linotype" w:cs="Tahoma"/>
          <w:sz w:val="22"/>
          <w:szCs w:val="22"/>
        </w:rPr>
      </w:pPr>
    </w:p>
    <w:p w14:paraId="5A0027BA" w14:textId="77777777" w:rsidR="00824699" w:rsidRDefault="005E3922" w:rsidP="00544E9C">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SÉPTIMO</w:t>
      </w:r>
      <w:r w:rsidR="002E6811" w:rsidRPr="00985849">
        <w:rPr>
          <w:rFonts w:ascii="Palatino Linotype" w:hAnsi="Palatino Linotype" w:cs="Tahoma"/>
          <w:b/>
          <w:sz w:val="22"/>
          <w:szCs w:val="22"/>
        </w:rPr>
        <w:t xml:space="preserve">. Decisión. </w:t>
      </w:r>
      <w:r w:rsidR="002E6811" w:rsidRPr="00985849">
        <w:rPr>
          <w:rFonts w:ascii="Palatino Linotype" w:hAnsi="Palatino Linotype" w:cs="Tahoma"/>
          <w:sz w:val="22"/>
          <w:szCs w:val="22"/>
        </w:rPr>
        <w:t>Con fundamento</w:t>
      </w:r>
      <w:r w:rsidR="005A29A9">
        <w:rPr>
          <w:rFonts w:ascii="Palatino Linotype" w:hAnsi="Palatino Linotype" w:cs="Tahoma"/>
          <w:sz w:val="22"/>
          <w:szCs w:val="22"/>
        </w:rPr>
        <w:t xml:space="preserve"> en el artículo 186, fracción III</w:t>
      </w:r>
      <w:r w:rsidR="00C81961">
        <w:rPr>
          <w:rFonts w:ascii="Palatino Linotype" w:hAnsi="Palatino Linotype" w:cs="Tahoma"/>
          <w:sz w:val="22"/>
          <w:szCs w:val="22"/>
        </w:rPr>
        <w:t>,</w:t>
      </w:r>
      <w:r w:rsidR="002E6811"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005A29A9">
        <w:rPr>
          <w:rFonts w:ascii="Palatino Linotype" w:hAnsi="Palatino Linotype" w:cs="Tahoma"/>
          <w:b/>
          <w:sz w:val="22"/>
          <w:szCs w:val="22"/>
        </w:rPr>
        <w:t xml:space="preserve">REVOCAR </w:t>
      </w:r>
      <w:r w:rsidR="005A29A9">
        <w:rPr>
          <w:rFonts w:ascii="Palatino Linotype" w:hAnsi="Palatino Linotype" w:cs="Tahoma"/>
          <w:sz w:val="22"/>
          <w:szCs w:val="22"/>
        </w:rPr>
        <w:t>la respuesta de</w:t>
      </w:r>
      <w:r w:rsidR="000477E7" w:rsidRPr="00985849">
        <w:rPr>
          <w:rFonts w:ascii="Palatino Linotype" w:hAnsi="Palatino Linotype" w:cs="Tahoma"/>
          <w:sz w:val="22"/>
          <w:szCs w:val="22"/>
        </w:rPr>
        <w:t xml:space="preserve">l Ayuntamiento </w:t>
      </w:r>
      <w:r w:rsidR="0052252D">
        <w:rPr>
          <w:rFonts w:ascii="Palatino Linotype" w:hAnsi="Palatino Linotype" w:cs="Tahoma"/>
          <w:sz w:val="22"/>
          <w:szCs w:val="22"/>
        </w:rPr>
        <w:t xml:space="preserve">de </w:t>
      </w:r>
      <w:r w:rsidR="00921DCB">
        <w:rPr>
          <w:rFonts w:ascii="Palatino Linotype" w:hAnsi="Palatino Linotype" w:cs="Tahoma"/>
          <w:sz w:val="22"/>
          <w:szCs w:val="22"/>
        </w:rPr>
        <w:t>Atizapán de Zaragoza</w:t>
      </w:r>
      <w:r w:rsidR="002E6811" w:rsidRPr="00985849">
        <w:rPr>
          <w:rFonts w:ascii="Palatino Linotype" w:hAnsi="Palatino Linotype" w:cs="Tahoma"/>
          <w:sz w:val="22"/>
          <w:szCs w:val="22"/>
        </w:rPr>
        <w:t xml:space="preserve"> </w:t>
      </w:r>
      <w:r w:rsidR="005A29A9">
        <w:rPr>
          <w:rFonts w:ascii="Palatino Linotype" w:hAnsi="Palatino Linotype" w:cs="Tahoma"/>
          <w:sz w:val="22"/>
          <w:szCs w:val="22"/>
        </w:rPr>
        <w:t xml:space="preserve">y </w:t>
      </w:r>
      <w:r w:rsidR="005A29A9" w:rsidRPr="005A29A9">
        <w:rPr>
          <w:rFonts w:ascii="Palatino Linotype" w:hAnsi="Palatino Linotype" w:cs="Tahoma"/>
          <w:b/>
          <w:sz w:val="22"/>
          <w:szCs w:val="22"/>
        </w:rPr>
        <w:t>ORDENAR</w:t>
      </w:r>
      <w:r w:rsidR="005A29A9">
        <w:rPr>
          <w:rFonts w:ascii="Palatino Linotype" w:hAnsi="Palatino Linotype" w:cs="Tahoma"/>
          <w:sz w:val="22"/>
          <w:szCs w:val="22"/>
        </w:rPr>
        <w:t xml:space="preserve"> </w:t>
      </w:r>
      <w:r w:rsidR="002E6811" w:rsidRPr="00985849">
        <w:rPr>
          <w:rFonts w:ascii="Palatino Linotype" w:hAnsi="Palatino Linotype" w:cs="Tahoma"/>
          <w:sz w:val="22"/>
          <w:szCs w:val="22"/>
        </w:rPr>
        <w:t>previa búsqueda exhaustiva</w:t>
      </w:r>
      <w:r w:rsidR="0052252D">
        <w:rPr>
          <w:rFonts w:ascii="Palatino Linotype" w:hAnsi="Palatino Linotype" w:cs="Tahoma"/>
          <w:sz w:val="22"/>
          <w:szCs w:val="22"/>
        </w:rPr>
        <w:t xml:space="preserve"> y razonable</w:t>
      </w:r>
      <w:r w:rsidR="002E6811" w:rsidRPr="00985849">
        <w:rPr>
          <w:rFonts w:ascii="Palatino Linotype" w:hAnsi="Palatino Linotype" w:cs="Tahoma"/>
          <w:sz w:val="22"/>
          <w:szCs w:val="22"/>
        </w:rPr>
        <w:t xml:space="preserve"> en todas las áreas </w:t>
      </w:r>
      <w:r w:rsidR="000477E7" w:rsidRPr="00985849">
        <w:rPr>
          <w:rFonts w:ascii="Palatino Linotype" w:hAnsi="Palatino Linotype" w:cs="Tahoma"/>
          <w:sz w:val="22"/>
          <w:szCs w:val="22"/>
        </w:rPr>
        <w:t>competentes</w:t>
      </w:r>
      <w:r w:rsidR="002E6811" w:rsidRPr="00985849">
        <w:rPr>
          <w:rFonts w:ascii="Palatino Linotype" w:hAnsi="Palatino Linotype" w:cs="Tahoma"/>
          <w:bCs/>
          <w:sz w:val="22"/>
          <w:szCs w:val="22"/>
        </w:rPr>
        <w:t xml:space="preserve">, </w:t>
      </w:r>
      <w:r w:rsidR="00F94902" w:rsidRPr="00A50EAF">
        <w:rPr>
          <w:rFonts w:ascii="Palatino Linotype" w:hAnsi="Palatino Linotype" w:cs="Tahoma"/>
          <w:bCs/>
          <w:sz w:val="22"/>
          <w:szCs w:val="22"/>
        </w:rPr>
        <w:t xml:space="preserve">otorgue </w:t>
      </w:r>
      <w:r w:rsidR="00F94902">
        <w:rPr>
          <w:rFonts w:ascii="Palatino Linotype" w:hAnsi="Palatino Linotype" w:cs="Tahoma"/>
          <w:bCs/>
          <w:sz w:val="22"/>
          <w:szCs w:val="22"/>
        </w:rPr>
        <w:t>acceso vía el Sistema de Acceso a la Información Mexiquense (SAIMEX)</w:t>
      </w:r>
      <w:r w:rsidR="00D44ADB">
        <w:rPr>
          <w:rFonts w:ascii="Palatino Linotype" w:hAnsi="Palatino Linotype" w:cs="Tahoma"/>
          <w:bCs/>
          <w:sz w:val="22"/>
          <w:szCs w:val="22"/>
        </w:rPr>
        <w:t>,</w:t>
      </w:r>
      <w:r w:rsidR="00824699">
        <w:rPr>
          <w:rFonts w:ascii="Palatino Linotype" w:hAnsi="Palatino Linotype" w:cs="Tahoma"/>
          <w:bCs/>
          <w:sz w:val="22"/>
          <w:szCs w:val="22"/>
        </w:rPr>
        <w:t xml:space="preserve"> </w:t>
      </w:r>
      <w:r w:rsidR="005A29A9">
        <w:rPr>
          <w:rFonts w:ascii="Palatino Linotype" w:hAnsi="Palatino Linotype" w:cs="Tahoma"/>
          <w:bCs/>
          <w:sz w:val="22"/>
          <w:szCs w:val="22"/>
        </w:rPr>
        <w:t xml:space="preserve">de ser procedente en </w:t>
      </w:r>
      <w:r w:rsidR="00824699">
        <w:rPr>
          <w:rFonts w:ascii="Palatino Linotype" w:hAnsi="Palatino Linotype" w:cs="Tahoma"/>
          <w:bCs/>
          <w:sz w:val="22"/>
          <w:szCs w:val="22"/>
        </w:rPr>
        <w:t>versión pública de lo siguiente:</w:t>
      </w:r>
    </w:p>
    <w:p w14:paraId="67805CB3" w14:textId="77777777" w:rsidR="00824699" w:rsidRDefault="005A29A9" w:rsidP="00921DCB">
      <w:pPr>
        <w:pStyle w:val="Prrafodelista"/>
        <w:numPr>
          <w:ilvl w:val="0"/>
          <w:numId w:val="38"/>
        </w:numPr>
        <w:spacing w:line="360" w:lineRule="auto"/>
        <w:ind w:right="-93"/>
        <w:jc w:val="both"/>
        <w:rPr>
          <w:rFonts w:ascii="Palatino Linotype" w:hAnsi="Palatino Linotype" w:cs="Tahoma"/>
          <w:bCs/>
          <w:szCs w:val="22"/>
        </w:rPr>
      </w:pPr>
      <w:r>
        <w:rPr>
          <w:rFonts w:ascii="Palatino Linotype" w:hAnsi="Palatino Linotype" w:cs="Tahoma"/>
          <w:bCs/>
          <w:szCs w:val="22"/>
        </w:rPr>
        <w:lastRenderedPageBreak/>
        <w:t xml:space="preserve">La </w:t>
      </w:r>
      <w:r w:rsidR="00824699" w:rsidRPr="00AE177F">
        <w:rPr>
          <w:rFonts w:ascii="Palatino Linotype" w:hAnsi="Palatino Linotype" w:cs="Tahoma"/>
          <w:bCs/>
          <w:szCs w:val="22"/>
        </w:rPr>
        <w:t xml:space="preserve">nómina </w:t>
      </w:r>
      <w:r>
        <w:rPr>
          <w:rFonts w:ascii="Palatino Linotype" w:hAnsi="Palatino Linotype" w:cs="Tahoma"/>
          <w:bCs/>
          <w:szCs w:val="22"/>
        </w:rPr>
        <w:t xml:space="preserve">correspondiente a </w:t>
      </w:r>
      <w:r w:rsidR="00824699" w:rsidRPr="00AE177F">
        <w:rPr>
          <w:rFonts w:ascii="Palatino Linotype" w:hAnsi="Palatino Linotype" w:cs="Tahoma"/>
          <w:bCs/>
          <w:szCs w:val="22"/>
        </w:rPr>
        <w:t xml:space="preserve">la </w:t>
      </w:r>
      <w:r>
        <w:rPr>
          <w:rFonts w:ascii="Palatino Linotype" w:hAnsi="Palatino Linotype" w:cs="Tahoma"/>
          <w:bCs/>
          <w:szCs w:val="22"/>
        </w:rPr>
        <w:t xml:space="preserve">segunda </w:t>
      </w:r>
      <w:r w:rsidRPr="00AE177F">
        <w:rPr>
          <w:rFonts w:ascii="Palatino Linotype" w:hAnsi="Palatino Linotype" w:cs="Tahoma"/>
          <w:bCs/>
          <w:szCs w:val="22"/>
        </w:rPr>
        <w:t>quincena</w:t>
      </w:r>
      <w:r w:rsidR="00824699" w:rsidRPr="00AE177F">
        <w:rPr>
          <w:rFonts w:ascii="Palatino Linotype" w:hAnsi="Palatino Linotype" w:cs="Tahoma"/>
          <w:bCs/>
          <w:szCs w:val="22"/>
        </w:rPr>
        <w:t xml:space="preserve"> del mes de </w:t>
      </w:r>
      <w:r>
        <w:rPr>
          <w:rFonts w:ascii="Palatino Linotype" w:hAnsi="Palatino Linotype" w:cs="Tahoma"/>
          <w:bCs/>
          <w:szCs w:val="22"/>
        </w:rPr>
        <w:t xml:space="preserve">enero </w:t>
      </w:r>
      <w:r w:rsidR="00824699">
        <w:rPr>
          <w:rFonts w:ascii="Palatino Linotype" w:hAnsi="Palatino Linotype" w:cs="Tahoma"/>
          <w:bCs/>
          <w:szCs w:val="22"/>
        </w:rPr>
        <w:t xml:space="preserve">de </w:t>
      </w:r>
      <w:r>
        <w:rPr>
          <w:rFonts w:ascii="Palatino Linotype" w:hAnsi="Palatino Linotype" w:cs="Tahoma"/>
          <w:bCs/>
          <w:szCs w:val="22"/>
        </w:rPr>
        <w:t xml:space="preserve">dos mil diecinueve </w:t>
      </w:r>
      <w:r w:rsidR="00824699" w:rsidRPr="00AE177F">
        <w:rPr>
          <w:rFonts w:ascii="Palatino Linotype" w:hAnsi="Palatino Linotype" w:cs="Tahoma"/>
          <w:bCs/>
          <w:szCs w:val="22"/>
        </w:rPr>
        <w:t>de todos los trabajadores del Ayuntamiento.</w:t>
      </w:r>
    </w:p>
    <w:p w14:paraId="08BCA3D9" w14:textId="77777777" w:rsidR="00986C9A" w:rsidRPr="0058624E" w:rsidRDefault="00986C9A" w:rsidP="00986C9A">
      <w:pPr>
        <w:pStyle w:val="Prrafodelista"/>
        <w:rPr>
          <w:rFonts w:ascii="Palatino Linotype" w:hAnsi="Palatino Linotype" w:cs="Tahoma"/>
          <w:sz w:val="14"/>
          <w:szCs w:val="22"/>
          <w:lang w:val="es-ES"/>
        </w:rPr>
      </w:pPr>
    </w:p>
    <w:p w14:paraId="534F12D4" w14:textId="1BABBEA0" w:rsidR="00824699" w:rsidRPr="00985849" w:rsidRDefault="00824699" w:rsidP="00544E9C">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t xml:space="preserve">Junto con la documentación se 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reservada y confidencial, en términos de</w:t>
      </w:r>
      <w:r w:rsidR="00FF0E2D">
        <w:rPr>
          <w:rFonts w:ascii="Palatino Linotype" w:hAnsi="Palatino Linotype" w:cs="Tahoma"/>
          <w:sz w:val="22"/>
          <w:szCs w:val="22"/>
          <w:lang w:val="es-ES"/>
        </w:rPr>
        <w:t xml:space="preserve"> los </w:t>
      </w:r>
      <w:r>
        <w:rPr>
          <w:rFonts w:ascii="Palatino Linotype" w:hAnsi="Palatino Linotype" w:cs="Tahoma"/>
          <w:sz w:val="22"/>
          <w:szCs w:val="22"/>
          <w:lang w:val="es-ES"/>
        </w:rPr>
        <w:t>artículo</w:t>
      </w:r>
      <w:r w:rsidR="00FF0E2D">
        <w:rPr>
          <w:rFonts w:ascii="Palatino Linotype" w:hAnsi="Palatino Linotype" w:cs="Tahoma"/>
          <w:sz w:val="22"/>
          <w:szCs w:val="22"/>
          <w:lang w:val="es-ES"/>
        </w:rPr>
        <w:t>s</w:t>
      </w:r>
      <w:r>
        <w:rPr>
          <w:rFonts w:ascii="Palatino Linotype" w:hAnsi="Palatino Linotype" w:cs="Tahoma"/>
          <w:sz w:val="22"/>
          <w:szCs w:val="22"/>
          <w:lang w:val="es-ES"/>
        </w:rPr>
        <w:t xml:space="preserve"> 140, fracción IV y </w:t>
      </w:r>
      <w:r w:rsidRPr="00A50EAF">
        <w:rPr>
          <w:rFonts w:ascii="Palatino Linotype" w:hAnsi="Palatino Linotype" w:cs="Tahoma"/>
          <w:sz w:val="22"/>
          <w:szCs w:val="22"/>
          <w:lang w:val="es-ES"/>
        </w:rPr>
        <w:t>143, fracción I de la Ley de Transparencia y Acceso a la Información Pública del Estado de México y Municipios.</w:t>
      </w:r>
    </w:p>
    <w:p w14:paraId="1B922DF4" w14:textId="77777777" w:rsidR="00C56AE3" w:rsidRPr="009A0C8C" w:rsidRDefault="00C56AE3" w:rsidP="00544E9C">
      <w:pPr>
        <w:spacing w:line="360" w:lineRule="auto"/>
        <w:ind w:right="-93"/>
        <w:jc w:val="both"/>
        <w:rPr>
          <w:rFonts w:ascii="Palatino Linotype" w:hAnsi="Palatino Linotype" w:cs="Tahoma"/>
          <w:sz w:val="22"/>
          <w:szCs w:val="22"/>
          <w:lang w:val="es-ES"/>
        </w:rPr>
      </w:pPr>
    </w:p>
    <w:p w14:paraId="51F9A26F" w14:textId="77777777" w:rsidR="003C6934" w:rsidRPr="00985849" w:rsidRDefault="003C6934" w:rsidP="00544E9C">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14:paraId="70D97063" w14:textId="77777777" w:rsidR="00867F9D" w:rsidRPr="0058624E" w:rsidRDefault="00867F9D" w:rsidP="00544E9C">
      <w:pPr>
        <w:spacing w:line="360" w:lineRule="auto"/>
        <w:ind w:right="-93"/>
        <w:jc w:val="both"/>
        <w:rPr>
          <w:rFonts w:ascii="Palatino Linotype" w:eastAsia="Calibri" w:hAnsi="Palatino Linotype" w:cs="Tahoma"/>
          <w:bCs/>
          <w:sz w:val="16"/>
          <w:szCs w:val="22"/>
          <w:lang w:eastAsia="en-US"/>
        </w:rPr>
      </w:pPr>
    </w:p>
    <w:p w14:paraId="60B96DAA" w14:textId="77777777" w:rsidR="003C6934" w:rsidRPr="00985849" w:rsidRDefault="003C6934" w:rsidP="00544E9C">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S</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U</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L</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V</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p>
    <w:p w14:paraId="44B0FB95" w14:textId="77777777" w:rsidR="003C6934" w:rsidRPr="0058624E" w:rsidRDefault="003C6934" w:rsidP="00544E9C">
      <w:pPr>
        <w:spacing w:line="360" w:lineRule="auto"/>
        <w:ind w:right="-93"/>
        <w:rPr>
          <w:rFonts w:ascii="Palatino Linotype" w:eastAsia="Calibri" w:hAnsi="Palatino Linotype" w:cs="Tahoma"/>
          <w:b/>
          <w:bCs/>
          <w:sz w:val="14"/>
          <w:szCs w:val="22"/>
          <w:lang w:eastAsia="en-US"/>
        </w:rPr>
      </w:pPr>
    </w:p>
    <w:p w14:paraId="54B06163" w14:textId="77777777" w:rsidR="00BE725A" w:rsidRPr="00985849" w:rsidRDefault="003C6934" w:rsidP="00544E9C">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00BE725A" w:rsidRPr="00985849">
        <w:rPr>
          <w:rFonts w:ascii="Palatino Linotype" w:eastAsia="Calibri" w:hAnsi="Palatino Linotype" w:cs="Tahoma"/>
          <w:bCs/>
          <w:sz w:val="22"/>
          <w:szCs w:val="22"/>
          <w:lang w:eastAsia="en-US"/>
        </w:rPr>
        <w:t xml:space="preserve">Resultan </w:t>
      </w:r>
      <w:r w:rsidR="00986C9A" w:rsidRPr="00986C9A">
        <w:rPr>
          <w:rFonts w:ascii="Palatino Linotype" w:eastAsia="Calibri" w:hAnsi="Palatino Linotype" w:cs="Tahoma"/>
          <w:bCs/>
          <w:sz w:val="22"/>
          <w:szCs w:val="22"/>
          <w:lang w:eastAsia="en-US"/>
        </w:rPr>
        <w:t>fundadas</w:t>
      </w:r>
      <w:r w:rsidR="00986C9A">
        <w:rPr>
          <w:rFonts w:ascii="Palatino Linotype" w:eastAsia="Calibri" w:hAnsi="Palatino Linotype" w:cs="Tahoma"/>
          <w:b/>
          <w:bCs/>
          <w:sz w:val="22"/>
          <w:szCs w:val="22"/>
          <w:lang w:eastAsia="en-US"/>
        </w:rPr>
        <w:t xml:space="preserve"> </w:t>
      </w:r>
      <w:r w:rsidR="00BE725A" w:rsidRPr="00985849">
        <w:rPr>
          <w:rFonts w:ascii="Palatino Linotype" w:eastAsia="Calibri" w:hAnsi="Palatino Linotype" w:cs="Tahoma"/>
          <w:bCs/>
          <w:sz w:val="22"/>
          <w:szCs w:val="22"/>
          <w:lang w:eastAsia="en-US"/>
        </w:rPr>
        <w:t xml:space="preserve">las razones o motivos de inconformidad hechos valer por </w:t>
      </w:r>
      <w:r w:rsidR="00754A72" w:rsidRPr="00985849">
        <w:rPr>
          <w:rFonts w:ascii="Palatino Linotype" w:eastAsia="Calibri" w:hAnsi="Palatino Linotype" w:cs="Tahoma"/>
          <w:bCs/>
          <w:sz w:val="22"/>
          <w:szCs w:val="22"/>
          <w:lang w:eastAsia="en-US"/>
        </w:rPr>
        <w:t>el Recurrente</w:t>
      </w:r>
      <w:r w:rsidR="00BE725A" w:rsidRPr="00985849">
        <w:rPr>
          <w:rFonts w:ascii="Palatino Linotype" w:eastAsia="Calibri" w:hAnsi="Palatino Linotype" w:cs="Tahoma"/>
          <w:bCs/>
          <w:sz w:val="22"/>
          <w:szCs w:val="22"/>
          <w:lang w:eastAsia="en-US"/>
        </w:rPr>
        <w:t xml:space="preserve">, en términos </w:t>
      </w:r>
      <w:r w:rsidR="00104B9E" w:rsidRPr="00985849">
        <w:rPr>
          <w:rFonts w:ascii="Palatino Linotype" w:eastAsia="Calibri" w:hAnsi="Palatino Linotype" w:cs="Tahoma"/>
          <w:bCs/>
          <w:sz w:val="22"/>
          <w:szCs w:val="22"/>
          <w:lang w:eastAsia="en-US"/>
        </w:rPr>
        <w:t>de</w:t>
      </w:r>
      <w:r w:rsidR="00104B9E">
        <w:rPr>
          <w:rFonts w:ascii="Palatino Linotype" w:eastAsia="Calibri" w:hAnsi="Palatino Linotype" w:cs="Tahoma"/>
          <w:bCs/>
          <w:sz w:val="22"/>
          <w:szCs w:val="22"/>
          <w:lang w:eastAsia="en-US"/>
        </w:rPr>
        <w:t xml:space="preserve"> los</w:t>
      </w:r>
      <w:r w:rsidR="00104B9E" w:rsidRPr="00985849">
        <w:rPr>
          <w:rFonts w:ascii="Palatino Linotype" w:eastAsia="Calibri" w:hAnsi="Palatino Linotype" w:cs="Tahoma"/>
          <w:bCs/>
          <w:sz w:val="22"/>
          <w:szCs w:val="22"/>
          <w:lang w:eastAsia="en-US"/>
        </w:rPr>
        <w:t xml:space="preserve"> </w:t>
      </w:r>
      <w:r w:rsidR="00104B9E">
        <w:rPr>
          <w:rFonts w:ascii="Palatino Linotype" w:eastAsia="Calibri" w:hAnsi="Palatino Linotype" w:cs="Tahoma"/>
          <w:bCs/>
          <w:sz w:val="22"/>
          <w:szCs w:val="22"/>
          <w:lang w:eastAsia="en-US"/>
        </w:rPr>
        <w:t>C</w:t>
      </w:r>
      <w:r w:rsidR="00104B9E" w:rsidRPr="00985849">
        <w:rPr>
          <w:rFonts w:ascii="Palatino Linotype" w:eastAsia="Calibri" w:hAnsi="Palatino Linotype" w:cs="Tahoma"/>
          <w:bCs/>
          <w:sz w:val="22"/>
          <w:szCs w:val="22"/>
          <w:lang w:eastAsia="en-US"/>
        </w:rPr>
        <w:t xml:space="preserve">onsiderando </w:t>
      </w:r>
      <w:r w:rsidR="00956793" w:rsidRPr="00986C9A">
        <w:rPr>
          <w:rFonts w:ascii="Palatino Linotype" w:eastAsia="Calibri" w:hAnsi="Palatino Linotype" w:cs="Tahoma"/>
          <w:b/>
          <w:bCs/>
          <w:sz w:val="22"/>
          <w:szCs w:val="22"/>
          <w:lang w:eastAsia="en-US"/>
        </w:rPr>
        <w:t>QUINTO</w:t>
      </w:r>
      <w:r w:rsidR="00956793">
        <w:rPr>
          <w:rFonts w:ascii="Palatino Linotype" w:eastAsia="Calibri" w:hAnsi="Palatino Linotype" w:cs="Tahoma"/>
          <w:bCs/>
          <w:sz w:val="22"/>
          <w:szCs w:val="22"/>
          <w:lang w:eastAsia="en-US"/>
        </w:rPr>
        <w:t xml:space="preserve"> </w:t>
      </w:r>
      <w:r w:rsidR="00104B9E">
        <w:rPr>
          <w:rFonts w:ascii="Palatino Linotype" w:eastAsia="Calibri" w:hAnsi="Palatino Linotype" w:cs="Tahoma"/>
          <w:bCs/>
          <w:sz w:val="22"/>
          <w:szCs w:val="22"/>
          <w:lang w:eastAsia="en-US"/>
        </w:rPr>
        <w:t xml:space="preserve">y </w:t>
      </w:r>
      <w:r w:rsidR="00104B9E">
        <w:rPr>
          <w:rFonts w:ascii="Palatino Linotype" w:eastAsia="Calibri" w:hAnsi="Palatino Linotype" w:cs="Tahoma"/>
          <w:b/>
          <w:bCs/>
          <w:sz w:val="22"/>
          <w:szCs w:val="22"/>
          <w:lang w:eastAsia="en-US"/>
        </w:rPr>
        <w:t>SÉ</w:t>
      </w:r>
      <w:r w:rsidR="00104B9E" w:rsidRPr="009E76B5">
        <w:rPr>
          <w:rFonts w:ascii="Palatino Linotype" w:eastAsia="Calibri" w:hAnsi="Palatino Linotype" w:cs="Tahoma"/>
          <w:b/>
          <w:bCs/>
          <w:caps/>
          <w:sz w:val="22"/>
          <w:szCs w:val="22"/>
          <w:lang w:eastAsia="en-US"/>
        </w:rPr>
        <w:t>ptimo</w:t>
      </w:r>
      <w:r w:rsidR="00104B9E">
        <w:rPr>
          <w:rFonts w:ascii="Palatino Linotype" w:eastAsia="Calibri" w:hAnsi="Palatino Linotype" w:cs="Tahoma"/>
          <w:bCs/>
          <w:sz w:val="22"/>
          <w:szCs w:val="22"/>
          <w:lang w:eastAsia="en-US"/>
        </w:rPr>
        <w:t xml:space="preserve"> </w:t>
      </w:r>
      <w:r w:rsidR="00BE725A" w:rsidRPr="00985849">
        <w:rPr>
          <w:rFonts w:ascii="Palatino Linotype" w:eastAsia="Calibri" w:hAnsi="Palatino Linotype" w:cs="Tahoma"/>
          <w:bCs/>
          <w:sz w:val="22"/>
          <w:szCs w:val="22"/>
          <w:lang w:eastAsia="en-US"/>
        </w:rPr>
        <w:t xml:space="preserve">de la presente </w:t>
      </w:r>
      <w:r w:rsidR="00104B9E">
        <w:rPr>
          <w:rFonts w:ascii="Palatino Linotype" w:eastAsia="Calibri" w:hAnsi="Palatino Linotype" w:cs="Tahoma"/>
          <w:bCs/>
          <w:sz w:val="22"/>
          <w:szCs w:val="22"/>
          <w:lang w:eastAsia="en-US"/>
        </w:rPr>
        <w:t>R</w:t>
      </w:r>
      <w:r w:rsidR="00104B9E" w:rsidRPr="00985849">
        <w:rPr>
          <w:rFonts w:ascii="Palatino Linotype" w:eastAsia="Calibri" w:hAnsi="Palatino Linotype" w:cs="Tahoma"/>
          <w:bCs/>
          <w:sz w:val="22"/>
          <w:szCs w:val="22"/>
          <w:lang w:eastAsia="en-US"/>
        </w:rPr>
        <w:t>esolución</w:t>
      </w:r>
      <w:r w:rsidR="00BE725A" w:rsidRPr="00985849">
        <w:rPr>
          <w:rFonts w:ascii="Palatino Linotype" w:eastAsia="Calibri" w:hAnsi="Palatino Linotype" w:cs="Tahoma"/>
          <w:bCs/>
          <w:sz w:val="22"/>
          <w:szCs w:val="22"/>
          <w:lang w:eastAsia="en-US"/>
        </w:rPr>
        <w:t>.</w:t>
      </w:r>
    </w:p>
    <w:p w14:paraId="0D950024" w14:textId="77777777" w:rsidR="00BE725A" w:rsidRPr="00985849" w:rsidRDefault="00BE725A" w:rsidP="00544E9C">
      <w:pPr>
        <w:shd w:val="clear" w:color="auto" w:fill="FFFFFF" w:themeFill="background1"/>
        <w:spacing w:line="360" w:lineRule="auto"/>
        <w:jc w:val="both"/>
        <w:rPr>
          <w:rFonts w:ascii="Palatino Linotype" w:eastAsia="Calibri" w:hAnsi="Palatino Linotype" w:cs="Tahoma"/>
          <w:bCs/>
          <w:sz w:val="22"/>
          <w:szCs w:val="22"/>
          <w:lang w:eastAsia="en-US"/>
        </w:rPr>
      </w:pPr>
    </w:p>
    <w:p w14:paraId="28330B25" w14:textId="35BEF416" w:rsidR="00986C9A" w:rsidRDefault="00986C9A" w:rsidP="00986C9A">
      <w:pPr>
        <w:shd w:val="clear" w:color="auto" w:fill="FFFFFF" w:themeFill="background1"/>
        <w:spacing w:line="360" w:lineRule="auto"/>
        <w:jc w:val="both"/>
        <w:rPr>
          <w:rFonts w:ascii="Palatino Linotype" w:eastAsia="Calibri" w:hAnsi="Palatino Linotype" w:cs="Tahoma"/>
          <w:bCs/>
          <w:sz w:val="22"/>
          <w:szCs w:val="22"/>
          <w:lang w:eastAsia="es-MX"/>
        </w:rPr>
      </w:pPr>
      <w:r w:rsidRPr="00A50EAF">
        <w:rPr>
          <w:rFonts w:ascii="Palatino Linotype" w:eastAsia="Calibri" w:hAnsi="Palatino Linotype" w:cs="Tahoma"/>
          <w:b/>
          <w:bCs/>
          <w:sz w:val="22"/>
          <w:szCs w:val="22"/>
          <w:lang w:eastAsia="en-US"/>
        </w:rPr>
        <w:t xml:space="preserve">SEGUNDO. </w:t>
      </w:r>
      <w:r w:rsidRPr="00A50EAF">
        <w:rPr>
          <w:rFonts w:ascii="Palatino Linotype" w:eastAsia="Calibri" w:hAnsi="Palatino Linotype" w:cs="Tahoma"/>
          <w:sz w:val="22"/>
          <w:szCs w:val="22"/>
          <w:lang w:eastAsia="es-MX"/>
        </w:rPr>
        <w:t xml:space="preserve">Se </w:t>
      </w:r>
      <w:r w:rsidRPr="00A50EAF">
        <w:rPr>
          <w:rFonts w:ascii="Palatino Linotype" w:eastAsia="Calibri" w:hAnsi="Palatino Linotype" w:cs="Tahoma"/>
          <w:b/>
          <w:sz w:val="22"/>
          <w:szCs w:val="22"/>
          <w:lang w:eastAsia="es-MX"/>
        </w:rPr>
        <w:t>REVOCA</w:t>
      </w:r>
      <w:r w:rsidRPr="00A50EAF">
        <w:rPr>
          <w:rFonts w:ascii="Palatino Linotype" w:eastAsia="Calibri" w:hAnsi="Palatino Linotype" w:cs="Tahoma"/>
          <w:sz w:val="22"/>
          <w:szCs w:val="22"/>
          <w:lang w:eastAsia="es-MX"/>
        </w:rPr>
        <w:t xml:space="preserve"> la respuesta otorgada por </w:t>
      </w:r>
      <w:r>
        <w:rPr>
          <w:rFonts w:ascii="Palatino Linotype" w:eastAsia="Calibri" w:hAnsi="Palatino Linotype" w:cs="Tahoma"/>
          <w:sz w:val="22"/>
          <w:szCs w:val="22"/>
          <w:lang w:eastAsia="es-MX"/>
        </w:rPr>
        <w:t>parte d</w:t>
      </w:r>
      <w:r w:rsidRPr="00A50EAF">
        <w:rPr>
          <w:rFonts w:ascii="Palatino Linotype" w:eastAsia="Calibri" w:hAnsi="Palatino Linotype" w:cs="Tahoma"/>
          <w:sz w:val="22"/>
          <w:szCs w:val="22"/>
          <w:lang w:eastAsia="es-MX"/>
        </w:rPr>
        <w:t xml:space="preserve">el Ayuntamiento de </w:t>
      </w:r>
      <w:r w:rsidR="00921DCB">
        <w:rPr>
          <w:rFonts w:ascii="Palatino Linotype" w:eastAsia="Calibri" w:hAnsi="Palatino Linotype" w:cs="Tahoma"/>
          <w:sz w:val="22"/>
          <w:szCs w:val="22"/>
          <w:lang w:eastAsia="es-MX"/>
        </w:rPr>
        <w:t>Atizapán de Zaragoza</w:t>
      </w:r>
      <w:r>
        <w:rPr>
          <w:rFonts w:ascii="Palatino Linotype" w:eastAsia="Calibri" w:hAnsi="Palatino Linotype" w:cs="Tahoma"/>
          <w:sz w:val="22"/>
          <w:szCs w:val="22"/>
          <w:lang w:eastAsia="es-MX"/>
        </w:rPr>
        <w:t xml:space="preserve"> </w:t>
      </w:r>
      <w:r w:rsidRPr="00A50EAF">
        <w:rPr>
          <w:rFonts w:ascii="Palatino Linotype" w:eastAsia="Calibri" w:hAnsi="Palatino Linotype" w:cs="Tahoma"/>
          <w:sz w:val="22"/>
          <w:szCs w:val="22"/>
          <w:lang w:eastAsia="es-MX"/>
        </w:rPr>
        <w:t xml:space="preserve">y se </w:t>
      </w:r>
      <w:r w:rsidRPr="00A50EAF">
        <w:rPr>
          <w:rFonts w:ascii="Palatino Linotype" w:eastAsia="Calibri" w:hAnsi="Palatino Linotype" w:cs="Tahoma"/>
          <w:b/>
          <w:sz w:val="22"/>
          <w:szCs w:val="22"/>
          <w:lang w:eastAsia="es-MX"/>
        </w:rPr>
        <w:t xml:space="preserve">ORDENA </w:t>
      </w:r>
      <w:r w:rsidRPr="00BC1085">
        <w:rPr>
          <w:rFonts w:ascii="Palatino Linotype" w:eastAsia="Calibri" w:hAnsi="Palatino Linotype" w:cs="Tahoma"/>
          <w:sz w:val="22"/>
          <w:szCs w:val="22"/>
          <w:lang w:eastAsia="es-MX"/>
        </w:rPr>
        <w:t xml:space="preserve">a </w:t>
      </w:r>
      <w:r w:rsidRPr="00A50EAF">
        <w:rPr>
          <w:rFonts w:ascii="Palatino Linotype" w:eastAsia="Calibri" w:hAnsi="Palatino Linotype" w:cs="Tahoma"/>
          <w:sz w:val="22"/>
          <w:szCs w:val="22"/>
          <w:lang w:eastAsia="es-MX"/>
        </w:rPr>
        <w:t xml:space="preserve">que previa búsqueda exhaustiva y razonable en todas las áreas competentes, </w:t>
      </w:r>
      <w:r w:rsidRPr="00A50EAF">
        <w:rPr>
          <w:rFonts w:ascii="Palatino Linotype" w:eastAsia="Calibri" w:hAnsi="Palatino Linotype" w:cs="Tahoma"/>
          <w:bCs/>
          <w:sz w:val="22"/>
          <w:szCs w:val="22"/>
          <w:lang w:eastAsia="es-MX"/>
        </w:rPr>
        <w:t xml:space="preserve">otorgue </w:t>
      </w:r>
      <w:r>
        <w:rPr>
          <w:rFonts w:ascii="Palatino Linotype" w:eastAsia="Calibri" w:hAnsi="Palatino Linotype" w:cs="Tahoma"/>
          <w:bCs/>
          <w:sz w:val="22"/>
          <w:szCs w:val="22"/>
          <w:lang w:eastAsia="es-MX"/>
        </w:rPr>
        <w:t>vía Sistema de Acceso a la información Mexiquense (</w:t>
      </w:r>
      <w:r w:rsidRPr="00A50EAF">
        <w:rPr>
          <w:rFonts w:ascii="Palatino Linotype" w:eastAsia="Calibri" w:hAnsi="Palatino Linotype" w:cs="Tahoma"/>
          <w:bCs/>
          <w:sz w:val="22"/>
          <w:szCs w:val="22"/>
          <w:lang w:eastAsia="es-MX"/>
        </w:rPr>
        <w:t>SAIMEX</w:t>
      </w:r>
      <w:r>
        <w:rPr>
          <w:rFonts w:ascii="Palatino Linotype" w:eastAsia="Calibri" w:hAnsi="Palatino Linotype" w:cs="Tahoma"/>
          <w:bCs/>
          <w:sz w:val="22"/>
          <w:szCs w:val="22"/>
          <w:lang w:eastAsia="es-MX"/>
        </w:rPr>
        <w:t>)</w:t>
      </w:r>
      <w:r w:rsidRPr="00A50EAF">
        <w:rPr>
          <w:rFonts w:ascii="Palatino Linotype" w:eastAsia="Calibri" w:hAnsi="Palatino Linotype" w:cs="Tahoma"/>
          <w:bCs/>
          <w:sz w:val="22"/>
          <w:szCs w:val="22"/>
          <w:lang w:eastAsia="es-MX"/>
        </w:rPr>
        <w:t xml:space="preserve">, </w:t>
      </w:r>
      <w:r>
        <w:rPr>
          <w:rFonts w:ascii="Palatino Linotype" w:eastAsia="Calibri" w:hAnsi="Palatino Linotype" w:cs="Tahoma"/>
          <w:bCs/>
          <w:sz w:val="22"/>
          <w:szCs w:val="22"/>
          <w:lang w:eastAsia="es-MX"/>
        </w:rPr>
        <w:t>en versión pública</w:t>
      </w:r>
      <w:r w:rsidR="00E91D87">
        <w:rPr>
          <w:rFonts w:ascii="Palatino Linotype" w:eastAsia="Calibri" w:hAnsi="Palatino Linotype" w:cs="Tahoma"/>
          <w:bCs/>
          <w:sz w:val="22"/>
          <w:szCs w:val="22"/>
          <w:lang w:eastAsia="es-MX"/>
        </w:rPr>
        <w:t>,</w:t>
      </w:r>
      <w:r>
        <w:rPr>
          <w:rFonts w:ascii="Palatino Linotype" w:eastAsia="Calibri" w:hAnsi="Palatino Linotype" w:cs="Tahoma"/>
          <w:bCs/>
          <w:sz w:val="22"/>
          <w:szCs w:val="22"/>
          <w:lang w:eastAsia="es-MX"/>
        </w:rPr>
        <w:t xml:space="preserve"> lo siguiente:</w:t>
      </w:r>
    </w:p>
    <w:p w14:paraId="493F4868" w14:textId="77777777" w:rsidR="00986C9A" w:rsidRDefault="00986C9A" w:rsidP="00986C9A">
      <w:pPr>
        <w:shd w:val="clear" w:color="auto" w:fill="FFFFFF" w:themeFill="background1"/>
        <w:spacing w:line="360" w:lineRule="auto"/>
        <w:jc w:val="both"/>
        <w:rPr>
          <w:rFonts w:ascii="Palatino Linotype" w:eastAsia="Calibri" w:hAnsi="Palatino Linotype" w:cs="Tahoma"/>
          <w:bCs/>
          <w:sz w:val="22"/>
          <w:szCs w:val="22"/>
          <w:lang w:eastAsia="es-MX"/>
        </w:rPr>
      </w:pPr>
    </w:p>
    <w:p w14:paraId="1BC99FF1" w14:textId="5FCD60E4" w:rsidR="00986C9A" w:rsidRPr="00BC1085" w:rsidRDefault="00921DCB" w:rsidP="00986C9A">
      <w:pPr>
        <w:pStyle w:val="Prrafodelista"/>
        <w:numPr>
          <w:ilvl w:val="0"/>
          <w:numId w:val="36"/>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La nómina correspondiente a la segunda quincena </w:t>
      </w:r>
      <w:r w:rsidR="00986C9A" w:rsidRPr="00BC1085">
        <w:rPr>
          <w:rFonts w:ascii="Palatino Linotype" w:hAnsi="Palatino Linotype" w:cs="Tahoma"/>
          <w:bCs/>
          <w:szCs w:val="22"/>
        </w:rPr>
        <w:t xml:space="preserve">del mes de </w:t>
      </w:r>
      <w:r w:rsidR="00986C9A">
        <w:rPr>
          <w:rFonts w:ascii="Palatino Linotype" w:hAnsi="Palatino Linotype" w:cs="Tahoma"/>
          <w:bCs/>
          <w:szCs w:val="22"/>
        </w:rPr>
        <w:t xml:space="preserve">enero </w:t>
      </w:r>
      <w:r w:rsidR="00986C9A" w:rsidRPr="00BC1085">
        <w:rPr>
          <w:rFonts w:ascii="Palatino Linotype" w:hAnsi="Palatino Linotype" w:cs="Tahoma"/>
          <w:bCs/>
          <w:szCs w:val="22"/>
        </w:rPr>
        <w:t>de dos mil dieci</w:t>
      </w:r>
      <w:r w:rsidR="00986C9A">
        <w:rPr>
          <w:rFonts w:ascii="Palatino Linotype" w:hAnsi="Palatino Linotype" w:cs="Tahoma"/>
          <w:bCs/>
          <w:szCs w:val="22"/>
        </w:rPr>
        <w:t>nueve</w:t>
      </w:r>
      <w:r w:rsidR="00B24CC6">
        <w:rPr>
          <w:rFonts w:ascii="Palatino Linotype" w:hAnsi="Palatino Linotype" w:cs="Tahoma"/>
          <w:bCs/>
          <w:szCs w:val="22"/>
        </w:rPr>
        <w:t xml:space="preserve"> como obre en los archivos del Sujeto Obligado</w:t>
      </w:r>
      <w:r w:rsidR="00986C9A" w:rsidRPr="00BC1085">
        <w:rPr>
          <w:rFonts w:ascii="Palatino Linotype" w:hAnsi="Palatino Linotype" w:cs="Tahoma"/>
          <w:bCs/>
          <w:szCs w:val="22"/>
        </w:rPr>
        <w:t>.</w:t>
      </w:r>
    </w:p>
    <w:p w14:paraId="21099215" w14:textId="77777777" w:rsidR="00986C9A" w:rsidRDefault="00986C9A" w:rsidP="00986C9A">
      <w:pPr>
        <w:shd w:val="clear" w:color="auto" w:fill="FFFFFF" w:themeFill="background1"/>
        <w:spacing w:line="360" w:lineRule="auto"/>
        <w:jc w:val="both"/>
        <w:rPr>
          <w:rFonts w:ascii="Palatino Linotype" w:eastAsia="Calibri" w:hAnsi="Palatino Linotype" w:cs="Tahoma"/>
          <w:bCs/>
          <w:sz w:val="22"/>
          <w:szCs w:val="22"/>
          <w:lang w:eastAsia="es-MX"/>
        </w:rPr>
      </w:pPr>
    </w:p>
    <w:p w14:paraId="054E57FF" w14:textId="51158EB3" w:rsidR="00917D8F" w:rsidRPr="00985849" w:rsidRDefault="00917D8F" w:rsidP="00544E9C">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t xml:space="preserve">Junto con la documentación se 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reservada y confidencial, en términos de</w:t>
      </w:r>
      <w:r w:rsidR="00B24CC6">
        <w:rPr>
          <w:rFonts w:ascii="Palatino Linotype" w:hAnsi="Palatino Linotype" w:cs="Tahoma"/>
          <w:sz w:val="22"/>
          <w:szCs w:val="22"/>
          <w:lang w:val="es-ES"/>
        </w:rPr>
        <w:t xml:space="preserve"> </w:t>
      </w:r>
      <w:r>
        <w:rPr>
          <w:rFonts w:ascii="Palatino Linotype" w:hAnsi="Palatino Linotype" w:cs="Tahoma"/>
          <w:sz w:val="22"/>
          <w:szCs w:val="22"/>
          <w:lang w:val="es-ES"/>
        </w:rPr>
        <w:t>l</w:t>
      </w:r>
      <w:r w:rsidR="00B24CC6">
        <w:rPr>
          <w:rFonts w:ascii="Palatino Linotype" w:hAnsi="Palatino Linotype" w:cs="Tahoma"/>
          <w:sz w:val="22"/>
          <w:szCs w:val="22"/>
          <w:lang w:val="es-ES"/>
        </w:rPr>
        <w:t>os</w:t>
      </w:r>
      <w:r>
        <w:rPr>
          <w:rFonts w:ascii="Palatino Linotype" w:hAnsi="Palatino Linotype" w:cs="Tahoma"/>
          <w:sz w:val="22"/>
          <w:szCs w:val="22"/>
          <w:lang w:val="es-ES"/>
        </w:rPr>
        <w:t xml:space="preserve"> artículo</w:t>
      </w:r>
      <w:r w:rsidR="00B24CC6">
        <w:rPr>
          <w:rFonts w:ascii="Palatino Linotype" w:hAnsi="Palatino Linotype" w:cs="Tahoma"/>
          <w:sz w:val="22"/>
          <w:szCs w:val="22"/>
          <w:lang w:val="es-ES"/>
        </w:rPr>
        <w:t>s</w:t>
      </w:r>
      <w:r w:rsidR="009A7295">
        <w:rPr>
          <w:rFonts w:ascii="Palatino Linotype" w:hAnsi="Palatino Linotype" w:cs="Tahoma"/>
          <w:sz w:val="22"/>
          <w:szCs w:val="22"/>
          <w:lang w:val="es-ES"/>
        </w:rPr>
        <w:t xml:space="preserve"> 49, fracción VIII,</w:t>
      </w:r>
      <w:r>
        <w:rPr>
          <w:rFonts w:ascii="Palatino Linotype" w:hAnsi="Palatino Linotype" w:cs="Tahoma"/>
          <w:sz w:val="22"/>
          <w:szCs w:val="22"/>
          <w:lang w:val="es-ES"/>
        </w:rPr>
        <w:t xml:space="preserve"> 140, fracción IV </w:t>
      </w:r>
      <w:r w:rsidR="007D2889">
        <w:rPr>
          <w:rFonts w:ascii="Palatino Linotype" w:hAnsi="Palatino Linotype" w:cs="Tahoma"/>
          <w:sz w:val="22"/>
          <w:szCs w:val="22"/>
          <w:lang w:val="es-ES"/>
        </w:rPr>
        <w:t xml:space="preserve">y </w:t>
      </w:r>
      <w:r w:rsidRPr="00A50EAF">
        <w:rPr>
          <w:rFonts w:ascii="Palatino Linotype" w:hAnsi="Palatino Linotype" w:cs="Tahoma"/>
          <w:sz w:val="22"/>
          <w:szCs w:val="22"/>
          <w:lang w:val="es-ES"/>
        </w:rPr>
        <w:t>143, fracción I de la Ley de Transparencia y Acceso a la Información Pública del Estado de México y Municipios.</w:t>
      </w:r>
    </w:p>
    <w:p w14:paraId="299288DC" w14:textId="77777777" w:rsidR="00B6258B" w:rsidRPr="00985849" w:rsidRDefault="00B6258B" w:rsidP="00544E9C">
      <w:pPr>
        <w:shd w:val="clear" w:color="auto" w:fill="FFFFFF" w:themeFill="background1"/>
        <w:spacing w:line="360" w:lineRule="auto"/>
        <w:jc w:val="both"/>
        <w:rPr>
          <w:rFonts w:ascii="Palatino Linotype" w:hAnsi="Palatino Linotype" w:cs="Arial"/>
          <w:sz w:val="22"/>
          <w:szCs w:val="22"/>
        </w:rPr>
      </w:pPr>
    </w:p>
    <w:p w14:paraId="759934BD" w14:textId="77777777" w:rsidR="00130F33" w:rsidRPr="00985849" w:rsidRDefault="00D8718E" w:rsidP="00544E9C">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 xml:space="preserve">NOTIFÍQUESE </w:t>
      </w:r>
      <w:r w:rsidR="00130F33" w:rsidRPr="00985849">
        <w:rPr>
          <w:rFonts w:ascii="Palatino Linotype" w:hAnsi="Palatino Linotype" w:cs="Tahoma"/>
          <w:sz w:val="22"/>
          <w:szCs w:val="22"/>
        </w:rPr>
        <w:t xml:space="preserve">la presente resolución al Titular de la Unidad de Transparencia del </w:t>
      </w:r>
      <w:r w:rsidR="00956793">
        <w:rPr>
          <w:rFonts w:ascii="Palatino Linotype" w:hAnsi="Palatino Linotype" w:cs="Tahoma"/>
          <w:sz w:val="22"/>
          <w:szCs w:val="22"/>
        </w:rPr>
        <w:t>Sujeto Obligado</w:t>
      </w:r>
      <w:r w:rsidR="00130F33"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189282E" w14:textId="77777777" w:rsidR="00130F33" w:rsidRPr="00985849" w:rsidRDefault="00130F33" w:rsidP="00544E9C">
      <w:pPr>
        <w:shd w:val="clear" w:color="auto" w:fill="FFFFFF" w:themeFill="background1"/>
        <w:spacing w:line="360" w:lineRule="auto"/>
        <w:jc w:val="both"/>
        <w:rPr>
          <w:rFonts w:ascii="Palatino Linotype" w:eastAsia="Calibri" w:hAnsi="Palatino Linotype" w:cs="Tahoma"/>
          <w:sz w:val="22"/>
          <w:szCs w:val="22"/>
          <w:lang w:eastAsia="es-MX"/>
        </w:rPr>
      </w:pPr>
    </w:p>
    <w:p w14:paraId="55D72761" w14:textId="77777777" w:rsidR="00130F33" w:rsidRPr="00985849" w:rsidRDefault="00D8718E" w:rsidP="00544E9C">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003C6934" w:rsidRPr="00985849">
        <w:rPr>
          <w:rFonts w:ascii="Palatino Linotype" w:eastAsia="Calibri" w:hAnsi="Palatino Linotype" w:cs="Tahoma"/>
          <w:b/>
          <w:bCs/>
          <w:sz w:val="22"/>
          <w:szCs w:val="22"/>
          <w:lang w:eastAsia="en-US"/>
        </w:rPr>
        <w:t>.</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NOTIFÍQUESE</w:t>
      </w:r>
      <w:r w:rsidR="00130F33" w:rsidRPr="00985849">
        <w:rPr>
          <w:rFonts w:ascii="Palatino Linotype" w:hAnsi="Palatino Linotype" w:cs="Tahoma"/>
          <w:sz w:val="22"/>
          <w:szCs w:val="22"/>
        </w:rPr>
        <w:t xml:space="preserve"> al Recurrente la presente Resolución,</w:t>
      </w:r>
      <w:r w:rsidR="00E940E7">
        <w:rPr>
          <w:rFonts w:ascii="Palatino Linotype" w:hAnsi="Palatino Linotype" w:cs="Tahoma"/>
          <w:sz w:val="22"/>
          <w:szCs w:val="22"/>
        </w:rPr>
        <w:t xml:space="preserve"> de igual manera </w:t>
      </w:r>
      <w:r w:rsidR="00130F33" w:rsidRPr="00985849">
        <w:rPr>
          <w:rFonts w:ascii="Palatino Linotype" w:hAnsi="Palatino Linotype" w:cs="Tahoma"/>
          <w:sz w:val="22"/>
          <w:szCs w:val="22"/>
        </w:rPr>
        <w:t>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0E96B2" w14:textId="77777777" w:rsidR="00B6258B" w:rsidRPr="00985849" w:rsidRDefault="00B6258B" w:rsidP="00544E9C">
      <w:pPr>
        <w:spacing w:line="360" w:lineRule="auto"/>
        <w:ind w:right="-93"/>
        <w:jc w:val="both"/>
        <w:rPr>
          <w:rFonts w:ascii="Palatino Linotype" w:eastAsia="Calibri" w:hAnsi="Palatino Linotype" w:cs="Tahoma"/>
          <w:b/>
          <w:bCs/>
          <w:sz w:val="22"/>
          <w:szCs w:val="22"/>
          <w:lang w:eastAsia="en-US"/>
        </w:rPr>
      </w:pPr>
    </w:p>
    <w:p w14:paraId="5CB7F810" w14:textId="083F1DD9" w:rsidR="002F199F" w:rsidRPr="00985849" w:rsidRDefault="00F4018F" w:rsidP="00544E9C">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005A3131" w:rsidRPr="003C5742">
        <w:rPr>
          <w:rFonts w:ascii="Palatino Linotype" w:hAnsi="Palatino Linotype" w:cs="Tahoma"/>
          <w:b/>
          <w:sz w:val="22"/>
          <w:szCs w:val="22"/>
          <w:lang w:eastAsia="es-MX"/>
        </w:rPr>
        <w:t>UNANIMIDAD</w:t>
      </w:r>
      <w:r w:rsidR="005A3131"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bCs/>
          <w:sz w:val="22"/>
          <w:szCs w:val="22"/>
          <w:lang w:eastAsia="es-MX"/>
        </w:rPr>
        <w:t>EVA ABAID YAPUR</w:t>
      </w:r>
      <w:r w:rsidR="0058624E">
        <w:rPr>
          <w:rFonts w:ascii="Palatino Linotype" w:hAnsi="Palatino Linotype" w:cs="Tahoma"/>
          <w:bCs/>
          <w:sz w:val="22"/>
          <w:szCs w:val="22"/>
          <w:lang w:eastAsia="es-MX"/>
        </w:rPr>
        <w:t xml:space="preserve"> </w:t>
      </w:r>
      <w:r w:rsidR="0058624E">
        <w:rPr>
          <w:rFonts w:ascii="Palatino Linotype" w:hAnsi="Palatino Linotype" w:cs="Tahoma"/>
          <w:sz w:val="22"/>
          <w:szCs w:val="22"/>
          <w:lang w:eastAsia="es-MX"/>
        </w:rPr>
        <w:t>CON VOTO PARTICULAR</w:t>
      </w:r>
      <w:r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JOSÉ GUADALUPE LUNA HERNÁND</w:t>
      </w:r>
      <w:r w:rsidR="005B5DEE" w:rsidRPr="00985849">
        <w:rPr>
          <w:rFonts w:ascii="Palatino Linotype" w:hAnsi="Palatino Linotype" w:cs="Tahoma"/>
          <w:sz w:val="22"/>
          <w:szCs w:val="22"/>
          <w:lang w:eastAsia="es-MX"/>
        </w:rPr>
        <w:t>EZ</w:t>
      </w:r>
      <w:r w:rsidR="00AA4727">
        <w:rPr>
          <w:rFonts w:ascii="Palatino Linotype" w:hAnsi="Palatino Linotype" w:cs="Tahoma"/>
          <w:sz w:val="22"/>
          <w:szCs w:val="22"/>
          <w:lang w:eastAsia="es-MX"/>
        </w:rPr>
        <w:t xml:space="preserve"> </w:t>
      </w:r>
      <w:r w:rsidR="00AA4727" w:rsidRPr="00AA4727">
        <w:rPr>
          <w:rFonts w:ascii="Palatino Linotype" w:hAnsi="Palatino Linotype" w:cs="Tahoma"/>
          <w:sz w:val="22"/>
          <w:szCs w:val="22"/>
          <w:lang w:eastAsia="es-MX"/>
        </w:rPr>
        <w:t>(AUSENCIA JUSTIFICADA)</w:t>
      </w:r>
      <w:r w:rsidR="005B5DEE"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sidR="003C5742">
        <w:rPr>
          <w:rFonts w:ascii="Palatino Linotype" w:hAnsi="Palatino Linotype" w:cs="Tahoma"/>
          <w:sz w:val="22"/>
          <w:szCs w:val="22"/>
          <w:lang w:eastAsia="es-MX"/>
        </w:rPr>
        <w:t xml:space="preserve">LA </w:t>
      </w:r>
      <w:r w:rsidR="000F7429">
        <w:rPr>
          <w:rFonts w:ascii="Palatino Linotype" w:hAnsi="Palatino Linotype" w:cs="Tahoma"/>
          <w:sz w:val="22"/>
          <w:szCs w:val="22"/>
          <w:lang w:eastAsia="es-MX"/>
        </w:rPr>
        <w:t>DÉCIMA</w:t>
      </w:r>
      <w:r w:rsidR="00986C9A">
        <w:rPr>
          <w:rFonts w:ascii="Palatino Linotype" w:hAnsi="Palatino Linotype" w:cs="Tahoma"/>
          <w:sz w:val="22"/>
          <w:szCs w:val="22"/>
          <w:lang w:eastAsia="es-MX"/>
        </w:rPr>
        <w:t xml:space="preserve"> </w:t>
      </w:r>
      <w:r w:rsidR="00955760">
        <w:rPr>
          <w:rFonts w:ascii="Palatino Linotype" w:hAnsi="Palatino Linotype" w:cs="Tahoma"/>
          <w:sz w:val="22"/>
          <w:szCs w:val="22"/>
          <w:lang w:eastAsia="es-MX"/>
        </w:rPr>
        <w:t xml:space="preserve">OCTAVA </w:t>
      </w:r>
      <w:r w:rsidRPr="00985849">
        <w:rPr>
          <w:rFonts w:ascii="Palatino Linotype" w:hAnsi="Palatino Linotype" w:cs="Tahoma"/>
          <w:sz w:val="22"/>
          <w:szCs w:val="22"/>
          <w:lang w:eastAsia="es-MX"/>
        </w:rPr>
        <w:t xml:space="preserve">SESIÓN ORDINARIA, CELEBRADA EL </w:t>
      </w:r>
      <w:r w:rsidR="00955760">
        <w:rPr>
          <w:rFonts w:ascii="Palatino Linotype" w:hAnsi="Palatino Linotype" w:cs="Tahoma"/>
          <w:sz w:val="22"/>
          <w:szCs w:val="22"/>
          <w:lang w:eastAsia="es-MX"/>
        </w:rPr>
        <w:t>CATORCE</w:t>
      </w:r>
      <w:r w:rsidR="00986C9A">
        <w:rPr>
          <w:rFonts w:ascii="Palatino Linotype" w:hAnsi="Palatino Linotype" w:cs="Tahoma"/>
          <w:sz w:val="22"/>
          <w:szCs w:val="22"/>
          <w:lang w:eastAsia="es-MX"/>
        </w:rPr>
        <w:t xml:space="preserve"> DE MAYO </w:t>
      </w:r>
      <w:r w:rsidRPr="00985849">
        <w:rPr>
          <w:rFonts w:ascii="Palatino Linotype" w:hAnsi="Palatino Linotype" w:cs="Tahoma"/>
          <w:sz w:val="22"/>
          <w:szCs w:val="22"/>
          <w:lang w:eastAsia="es-MX"/>
        </w:rPr>
        <w:t>DE DOS MIL DIECI</w:t>
      </w:r>
      <w:r w:rsidR="00F65DA8">
        <w:rPr>
          <w:rFonts w:ascii="Palatino Linotype" w:hAnsi="Palatino Linotype" w:cs="Tahoma"/>
          <w:sz w:val="22"/>
          <w:szCs w:val="22"/>
          <w:lang w:eastAsia="es-MX"/>
        </w:rPr>
        <w:t>NUEVE</w:t>
      </w:r>
      <w:r w:rsidRPr="00985849">
        <w:rPr>
          <w:rFonts w:ascii="Palatino Linotype" w:hAnsi="Palatino Linotype" w:cs="Tahoma"/>
          <w:sz w:val="22"/>
          <w:szCs w:val="22"/>
          <w:lang w:eastAsia="es-MX"/>
        </w:rPr>
        <w:t>, ANTE EL SECRETARIO TÉCNICO DEL PLENO,</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985849" w14:paraId="1104AF35" w14:textId="77777777" w:rsidTr="00F5374C">
        <w:tc>
          <w:tcPr>
            <w:tcW w:w="9072" w:type="dxa"/>
            <w:gridSpan w:val="3"/>
          </w:tcPr>
          <w:p w14:paraId="6864C09F" w14:textId="77777777" w:rsidR="0058624E" w:rsidRDefault="0058624E" w:rsidP="00544E9C">
            <w:pPr>
              <w:spacing w:line="360" w:lineRule="auto"/>
              <w:rPr>
                <w:rFonts w:ascii="Palatino Linotype" w:eastAsia="Calibri" w:hAnsi="Palatino Linotype" w:cs="Tahoma"/>
                <w:b/>
                <w:sz w:val="22"/>
                <w:szCs w:val="22"/>
                <w:lang w:eastAsia="es-MX"/>
              </w:rPr>
            </w:pPr>
          </w:p>
          <w:p w14:paraId="7C3E7BAF" w14:textId="77777777" w:rsidR="0058624E" w:rsidRPr="00985849" w:rsidRDefault="0058624E" w:rsidP="00544E9C">
            <w:pPr>
              <w:spacing w:line="360" w:lineRule="auto"/>
              <w:rPr>
                <w:rFonts w:ascii="Palatino Linotype" w:eastAsia="Calibri" w:hAnsi="Palatino Linotype" w:cs="Tahoma"/>
                <w:b/>
                <w:sz w:val="22"/>
                <w:szCs w:val="22"/>
                <w:lang w:eastAsia="es-MX"/>
              </w:rPr>
            </w:pPr>
          </w:p>
          <w:p w14:paraId="78B43BC2" w14:textId="77777777" w:rsidR="00F73751" w:rsidRPr="00985849" w:rsidRDefault="00F73751" w:rsidP="00544E9C">
            <w:pPr>
              <w:tabs>
                <w:tab w:val="left" w:pos="2445"/>
                <w:tab w:val="center" w:pos="4428"/>
              </w:tabs>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356579F6" w14:textId="77777777" w:rsidR="00F73751" w:rsidRPr="003C5742" w:rsidRDefault="005B5DEE" w:rsidP="00544E9C">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Cs w:val="22"/>
                <w:lang w:eastAsia="es-MX"/>
              </w:rPr>
              <w:t>Comisionada Presidenta</w:t>
            </w:r>
          </w:p>
        </w:tc>
      </w:tr>
      <w:tr w:rsidR="00F73751" w:rsidRPr="00985849" w14:paraId="478744CB" w14:textId="77777777" w:rsidTr="00F5374C">
        <w:tc>
          <w:tcPr>
            <w:tcW w:w="3402" w:type="dxa"/>
          </w:tcPr>
          <w:p w14:paraId="7BC239C0" w14:textId="77777777" w:rsidR="00F73751" w:rsidRPr="00985849" w:rsidRDefault="00F73751" w:rsidP="00544E9C">
            <w:pPr>
              <w:spacing w:line="360" w:lineRule="auto"/>
              <w:jc w:val="center"/>
              <w:rPr>
                <w:rFonts w:ascii="Palatino Linotype" w:eastAsia="Calibri" w:hAnsi="Palatino Linotype" w:cs="Tahoma"/>
                <w:b/>
                <w:sz w:val="22"/>
                <w:szCs w:val="22"/>
              </w:rPr>
            </w:pPr>
          </w:p>
          <w:p w14:paraId="652E6F1D" w14:textId="77777777" w:rsidR="003C5742" w:rsidRDefault="003C5742" w:rsidP="00544E9C">
            <w:pPr>
              <w:spacing w:line="360" w:lineRule="auto"/>
              <w:ind w:right="-108"/>
              <w:rPr>
                <w:rFonts w:ascii="Palatino Linotype" w:eastAsia="Calibri" w:hAnsi="Palatino Linotype" w:cs="Tahoma"/>
                <w:b/>
                <w:sz w:val="22"/>
                <w:szCs w:val="22"/>
              </w:rPr>
            </w:pPr>
          </w:p>
          <w:p w14:paraId="13463FCE" w14:textId="77777777" w:rsidR="00867F9D" w:rsidRDefault="00867F9D" w:rsidP="00544E9C">
            <w:pPr>
              <w:spacing w:line="360" w:lineRule="auto"/>
              <w:ind w:right="-108"/>
              <w:rPr>
                <w:rFonts w:ascii="Palatino Linotype" w:eastAsia="Calibri" w:hAnsi="Palatino Linotype" w:cs="Tahoma"/>
                <w:b/>
                <w:sz w:val="22"/>
                <w:szCs w:val="22"/>
              </w:rPr>
            </w:pPr>
          </w:p>
          <w:p w14:paraId="79A3ACB0" w14:textId="77777777" w:rsidR="0058624E" w:rsidRDefault="0058624E" w:rsidP="00544E9C">
            <w:pPr>
              <w:spacing w:line="360" w:lineRule="auto"/>
              <w:ind w:right="-108"/>
              <w:rPr>
                <w:rFonts w:ascii="Palatino Linotype" w:eastAsia="Calibri" w:hAnsi="Palatino Linotype" w:cs="Tahoma"/>
                <w:b/>
                <w:sz w:val="22"/>
                <w:szCs w:val="22"/>
              </w:rPr>
            </w:pPr>
          </w:p>
          <w:p w14:paraId="041BE64F" w14:textId="77777777" w:rsidR="0058624E" w:rsidRPr="00985849" w:rsidRDefault="0058624E" w:rsidP="00544E9C">
            <w:pPr>
              <w:spacing w:line="360" w:lineRule="auto"/>
              <w:ind w:right="-108"/>
              <w:rPr>
                <w:rFonts w:ascii="Palatino Linotype" w:eastAsia="Calibri" w:hAnsi="Palatino Linotype" w:cs="Tahoma"/>
                <w:b/>
                <w:sz w:val="22"/>
                <w:szCs w:val="22"/>
              </w:rPr>
            </w:pPr>
          </w:p>
          <w:p w14:paraId="090A850D" w14:textId="77777777" w:rsidR="00F4018F" w:rsidRPr="00985849" w:rsidRDefault="00F73751" w:rsidP="00544E9C">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Abaid Yapur </w:t>
            </w:r>
          </w:p>
          <w:p w14:paraId="739EF493" w14:textId="77777777" w:rsidR="00F73751" w:rsidRPr="003C5742" w:rsidRDefault="00F73751" w:rsidP="00544E9C">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341995BA" w14:textId="77777777" w:rsidR="00400FDE" w:rsidRPr="00985849" w:rsidRDefault="00F4018F" w:rsidP="00544E9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5491D0D1" w14:textId="77777777" w:rsidR="00400FDE" w:rsidRDefault="00400FDE" w:rsidP="00544E9C">
            <w:pPr>
              <w:spacing w:line="360" w:lineRule="auto"/>
              <w:ind w:right="-108"/>
              <w:jc w:val="center"/>
              <w:rPr>
                <w:rFonts w:ascii="Palatino Linotype" w:eastAsia="Batang" w:hAnsi="Palatino Linotype" w:cs="Tahoma"/>
                <w:b/>
                <w:sz w:val="22"/>
                <w:szCs w:val="22"/>
              </w:rPr>
            </w:pPr>
          </w:p>
          <w:p w14:paraId="7904D05E" w14:textId="77777777" w:rsidR="00E940E7" w:rsidRPr="00985849" w:rsidRDefault="00E940E7" w:rsidP="00544E9C">
            <w:pPr>
              <w:spacing w:line="360" w:lineRule="auto"/>
              <w:ind w:right="-108"/>
              <w:rPr>
                <w:rFonts w:ascii="Palatino Linotype" w:eastAsia="Batang" w:hAnsi="Palatino Linotype" w:cs="Tahoma"/>
                <w:b/>
                <w:sz w:val="22"/>
                <w:szCs w:val="22"/>
              </w:rPr>
            </w:pPr>
          </w:p>
        </w:tc>
        <w:tc>
          <w:tcPr>
            <w:tcW w:w="1985" w:type="dxa"/>
          </w:tcPr>
          <w:p w14:paraId="48BA9C4F" w14:textId="77777777" w:rsidR="00F73751" w:rsidRPr="00985849" w:rsidRDefault="00F4018F" w:rsidP="00544E9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lastRenderedPageBreak/>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tc>
        <w:tc>
          <w:tcPr>
            <w:tcW w:w="3685" w:type="dxa"/>
          </w:tcPr>
          <w:p w14:paraId="3A0B6DC6" w14:textId="77777777" w:rsidR="00F73751" w:rsidRPr="00985849" w:rsidRDefault="00F73751" w:rsidP="00544E9C">
            <w:pPr>
              <w:spacing w:line="360" w:lineRule="auto"/>
              <w:ind w:right="-108"/>
              <w:jc w:val="center"/>
              <w:rPr>
                <w:rFonts w:ascii="Palatino Linotype" w:eastAsia="Calibri" w:hAnsi="Palatino Linotype" w:cs="Tahoma"/>
                <w:b/>
                <w:sz w:val="22"/>
                <w:szCs w:val="22"/>
              </w:rPr>
            </w:pPr>
          </w:p>
          <w:p w14:paraId="637F0E0F" w14:textId="77777777" w:rsidR="000813B0" w:rsidRDefault="000813B0" w:rsidP="00544E9C">
            <w:pPr>
              <w:spacing w:line="360" w:lineRule="auto"/>
              <w:ind w:right="-108"/>
              <w:jc w:val="center"/>
              <w:rPr>
                <w:rFonts w:ascii="Palatino Linotype" w:eastAsia="Calibri" w:hAnsi="Palatino Linotype" w:cs="Tahoma"/>
                <w:b/>
                <w:sz w:val="22"/>
                <w:szCs w:val="22"/>
              </w:rPr>
            </w:pPr>
          </w:p>
          <w:p w14:paraId="5097E03B" w14:textId="77777777" w:rsidR="00867F9D" w:rsidRDefault="00867F9D" w:rsidP="00544E9C">
            <w:pPr>
              <w:spacing w:line="360" w:lineRule="auto"/>
              <w:ind w:right="-108"/>
              <w:rPr>
                <w:rFonts w:ascii="Palatino Linotype" w:eastAsia="Calibri" w:hAnsi="Palatino Linotype" w:cs="Tahoma"/>
                <w:b/>
                <w:sz w:val="22"/>
                <w:szCs w:val="22"/>
                <w:lang w:eastAsia="es-MX"/>
              </w:rPr>
            </w:pPr>
          </w:p>
          <w:p w14:paraId="6D82153E" w14:textId="77777777" w:rsidR="00867F9D" w:rsidRDefault="00867F9D" w:rsidP="00544E9C">
            <w:pPr>
              <w:spacing w:line="360" w:lineRule="auto"/>
              <w:ind w:right="-108"/>
              <w:rPr>
                <w:rFonts w:ascii="Palatino Linotype" w:eastAsia="Calibri" w:hAnsi="Palatino Linotype" w:cs="Tahoma"/>
                <w:b/>
                <w:sz w:val="22"/>
                <w:szCs w:val="22"/>
                <w:lang w:eastAsia="es-MX"/>
              </w:rPr>
            </w:pPr>
          </w:p>
          <w:p w14:paraId="1724E103" w14:textId="77777777" w:rsidR="0058624E" w:rsidRPr="00985849" w:rsidRDefault="0058624E" w:rsidP="00544E9C">
            <w:pPr>
              <w:spacing w:line="360" w:lineRule="auto"/>
              <w:ind w:right="-108"/>
              <w:rPr>
                <w:rFonts w:ascii="Palatino Linotype" w:eastAsia="Calibri" w:hAnsi="Palatino Linotype" w:cs="Tahoma"/>
                <w:b/>
                <w:sz w:val="22"/>
                <w:szCs w:val="22"/>
                <w:lang w:eastAsia="es-MX"/>
              </w:rPr>
            </w:pPr>
          </w:p>
          <w:p w14:paraId="3275D540" w14:textId="77777777" w:rsidR="00F73751" w:rsidRPr="00985849" w:rsidRDefault="00F73751" w:rsidP="00544E9C">
            <w:pPr>
              <w:spacing w:line="360"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6D82B71D" w14:textId="77777777" w:rsidR="00F73751" w:rsidRPr="003C5742" w:rsidRDefault="00F73751" w:rsidP="00544E9C">
            <w:pPr>
              <w:spacing w:line="360"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05CA9373" w14:textId="0F4D2EEE" w:rsidR="00400FDE" w:rsidRPr="00985849" w:rsidRDefault="00AA4727" w:rsidP="00544E9C">
            <w:pPr>
              <w:spacing w:line="360" w:lineRule="auto"/>
              <w:ind w:right="-108"/>
              <w:jc w:val="center"/>
              <w:rPr>
                <w:rFonts w:ascii="Palatino Linotype" w:eastAsia="Batang" w:hAnsi="Palatino Linotype" w:cs="Tahoma"/>
                <w:b/>
                <w:sz w:val="22"/>
                <w:szCs w:val="22"/>
              </w:rPr>
            </w:pPr>
            <w:r w:rsidRPr="00AA4727">
              <w:rPr>
                <w:rFonts w:ascii="Palatino Linotype" w:eastAsia="Calibri" w:hAnsi="Palatino Linotype" w:cs="Tahoma"/>
                <w:b/>
                <w:sz w:val="22"/>
                <w:szCs w:val="22"/>
                <w:lang w:eastAsia="es-MX"/>
              </w:rPr>
              <w:t>(AUSENCIA JUSTIFICADA)</w:t>
            </w:r>
          </w:p>
        </w:tc>
      </w:tr>
      <w:tr w:rsidR="00F73751" w:rsidRPr="00985849" w14:paraId="4A275D6F" w14:textId="77777777" w:rsidTr="00F5374C">
        <w:tc>
          <w:tcPr>
            <w:tcW w:w="3402" w:type="dxa"/>
          </w:tcPr>
          <w:p w14:paraId="2B2DE263" w14:textId="77777777" w:rsidR="00956793" w:rsidRDefault="00956793" w:rsidP="00544E9C">
            <w:pPr>
              <w:spacing w:line="360" w:lineRule="auto"/>
              <w:rPr>
                <w:rFonts w:ascii="Palatino Linotype" w:eastAsia="Calibri" w:hAnsi="Palatino Linotype" w:cs="Tahoma"/>
                <w:b/>
                <w:sz w:val="22"/>
                <w:szCs w:val="22"/>
              </w:rPr>
            </w:pPr>
          </w:p>
          <w:p w14:paraId="2B08DC09" w14:textId="77777777" w:rsidR="0058624E" w:rsidRPr="00985849" w:rsidRDefault="0058624E" w:rsidP="00544E9C">
            <w:pPr>
              <w:spacing w:line="360" w:lineRule="auto"/>
              <w:rPr>
                <w:rFonts w:ascii="Palatino Linotype" w:eastAsia="Calibri" w:hAnsi="Palatino Linotype" w:cs="Tahoma"/>
                <w:b/>
                <w:sz w:val="22"/>
                <w:szCs w:val="22"/>
              </w:rPr>
            </w:pPr>
          </w:p>
          <w:p w14:paraId="1A52B3A1" w14:textId="77777777" w:rsidR="00F73751" w:rsidRPr="003C5742" w:rsidRDefault="00F73751" w:rsidP="00544E9C">
            <w:pPr>
              <w:spacing w:line="360"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71C1DBC9" w14:textId="77777777" w:rsidR="00400FDE" w:rsidRPr="00985849" w:rsidRDefault="00F4018F" w:rsidP="00544E9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3519A5FB" w14:textId="77777777" w:rsidR="00400FDE" w:rsidRPr="00985849" w:rsidRDefault="00400FDE" w:rsidP="00544E9C">
            <w:pPr>
              <w:spacing w:line="360" w:lineRule="auto"/>
              <w:jc w:val="center"/>
              <w:rPr>
                <w:rFonts w:ascii="Palatino Linotype" w:eastAsia="Batang" w:hAnsi="Palatino Linotype" w:cs="Tahoma"/>
                <w:b/>
                <w:sz w:val="22"/>
                <w:szCs w:val="22"/>
              </w:rPr>
            </w:pPr>
          </w:p>
        </w:tc>
        <w:tc>
          <w:tcPr>
            <w:tcW w:w="1985" w:type="dxa"/>
          </w:tcPr>
          <w:p w14:paraId="340160AE" w14:textId="77777777" w:rsidR="00F73751" w:rsidRPr="00985849" w:rsidRDefault="00F73751" w:rsidP="00544E9C">
            <w:pPr>
              <w:spacing w:line="360" w:lineRule="auto"/>
              <w:jc w:val="center"/>
              <w:rPr>
                <w:rFonts w:ascii="Palatino Linotype" w:eastAsia="Batang" w:hAnsi="Palatino Linotype" w:cs="Tahoma"/>
                <w:b/>
                <w:sz w:val="22"/>
                <w:szCs w:val="22"/>
              </w:rPr>
            </w:pPr>
          </w:p>
        </w:tc>
        <w:tc>
          <w:tcPr>
            <w:tcW w:w="3685" w:type="dxa"/>
          </w:tcPr>
          <w:p w14:paraId="38411E4D" w14:textId="77777777" w:rsidR="002F199F" w:rsidRDefault="002F199F" w:rsidP="00544E9C">
            <w:pPr>
              <w:spacing w:line="360" w:lineRule="auto"/>
              <w:ind w:right="-108"/>
              <w:rPr>
                <w:rFonts w:ascii="Palatino Linotype" w:eastAsia="Calibri" w:hAnsi="Palatino Linotype" w:cs="Tahoma"/>
                <w:sz w:val="22"/>
                <w:szCs w:val="22"/>
                <w:lang w:eastAsia="es-MX"/>
              </w:rPr>
            </w:pPr>
          </w:p>
          <w:p w14:paraId="7CD8FA57" w14:textId="77777777" w:rsidR="0058624E" w:rsidRPr="00985849" w:rsidRDefault="0058624E" w:rsidP="00544E9C">
            <w:pPr>
              <w:spacing w:line="360" w:lineRule="auto"/>
              <w:ind w:right="-108"/>
              <w:rPr>
                <w:rFonts w:ascii="Palatino Linotype" w:eastAsia="Calibri" w:hAnsi="Palatino Linotype" w:cs="Tahoma"/>
                <w:sz w:val="22"/>
                <w:szCs w:val="22"/>
                <w:lang w:eastAsia="es-MX"/>
              </w:rPr>
            </w:pPr>
          </w:p>
          <w:p w14:paraId="35343FD9" w14:textId="77777777" w:rsidR="00F73751" w:rsidRPr="00985849" w:rsidRDefault="00F73751" w:rsidP="00544E9C">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30823370" w14:textId="77777777" w:rsidR="00F73751" w:rsidRPr="003C5742" w:rsidRDefault="00F73751" w:rsidP="00544E9C">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0DFC0DBB" w14:textId="77777777" w:rsidR="00400FDE" w:rsidRPr="00985849" w:rsidRDefault="00F4018F" w:rsidP="00544E9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19A781B3" w14:textId="77777777" w:rsidR="00400FDE" w:rsidRPr="00985849" w:rsidRDefault="00400FDE" w:rsidP="00544E9C">
            <w:pPr>
              <w:spacing w:line="360" w:lineRule="auto"/>
              <w:ind w:right="-108"/>
              <w:jc w:val="center"/>
              <w:rPr>
                <w:rFonts w:ascii="Palatino Linotype" w:eastAsia="Batang" w:hAnsi="Palatino Linotype" w:cs="Tahoma"/>
                <w:b/>
                <w:sz w:val="22"/>
                <w:szCs w:val="22"/>
              </w:rPr>
            </w:pPr>
          </w:p>
        </w:tc>
      </w:tr>
      <w:tr w:rsidR="00F73751" w:rsidRPr="00985849" w14:paraId="087D0211" w14:textId="77777777" w:rsidTr="00F5374C">
        <w:tc>
          <w:tcPr>
            <w:tcW w:w="9072" w:type="dxa"/>
            <w:gridSpan w:val="3"/>
          </w:tcPr>
          <w:p w14:paraId="012F6905" w14:textId="77777777" w:rsidR="00F5374C" w:rsidRPr="00985849" w:rsidRDefault="00F5374C" w:rsidP="00544E9C">
            <w:pPr>
              <w:tabs>
                <w:tab w:val="left" w:pos="2820"/>
              </w:tabs>
              <w:spacing w:line="360" w:lineRule="auto"/>
              <w:ind w:right="2414"/>
              <w:rPr>
                <w:rFonts w:ascii="Palatino Linotype" w:eastAsia="Calibri" w:hAnsi="Palatino Linotype" w:cs="Tahoma"/>
                <w:b/>
                <w:sz w:val="22"/>
                <w:szCs w:val="22"/>
              </w:rPr>
            </w:pPr>
          </w:p>
          <w:p w14:paraId="12DC94B3" w14:textId="77777777" w:rsidR="00681656" w:rsidRDefault="00681656" w:rsidP="00544E9C">
            <w:pPr>
              <w:tabs>
                <w:tab w:val="left" w:pos="2820"/>
              </w:tabs>
              <w:spacing w:line="360" w:lineRule="auto"/>
              <w:ind w:left="2581" w:right="2414"/>
              <w:rPr>
                <w:rFonts w:ascii="Palatino Linotype" w:eastAsia="Calibri" w:hAnsi="Palatino Linotype" w:cs="Tahoma"/>
                <w:b/>
                <w:sz w:val="22"/>
                <w:szCs w:val="22"/>
              </w:rPr>
            </w:pPr>
          </w:p>
          <w:p w14:paraId="0DEE05A3" w14:textId="77777777" w:rsidR="0058624E" w:rsidRPr="00985849" w:rsidRDefault="0058624E" w:rsidP="00544E9C">
            <w:pPr>
              <w:tabs>
                <w:tab w:val="left" w:pos="2820"/>
              </w:tabs>
              <w:spacing w:line="360" w:lineRule="auto"/>
              <w:ind w:left="2581" w:right="2414"/>
              <w:rPr>
                <w:rFonts w:ascii="Palatino Linotype" w:eastAsia="Calibri" w:hAnsi="Palatino Linotype" w:cs="Tahoma"/>
                <w:b/>
                <w:sz w:val="22"/>
                <w:szCs w:val="22"/>
              </w:rPr>
            </w:pPr>
          </w:p>
          <w:p w14:paraId="33414D21" w14:textId="77777777" w:rsidR="00F5374C" w:rsidRPr="00985849" w:rsidRDefault="00F5374C" w:rsidP="00544E9C">
            <w:pPr>
              <w:spacing w:line="360"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6B38AF82" w14:textId="77777777" w:rsidR="00F73751" w:rsidRPr="003C5742" w:rsidRDefault="00F73751" w:rsidP="00544E9C">
            <w:pPr>
              <w:spacing w:line="360"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78B1FF7A" w14:textId="77777777" w:rsidR="00B6258B" w:rsidRPr="00985849" w:rsidRDefault="002F199F" w:rsidP="00544E9C">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003C5742">
              <w:rPr>
                <w:rFonts w:ascii="Palatino Linotype" w:eastAsia="Calibri" w:hAnsi="Palatino Linotype" w:cs="Tahoma"/>
                <w:b/>
                <w:sz w:val="22"/>
                <w:szCs w:val="22"/>
                <w:lang w:eastAsia="es-MX"/>
              </w:rPr>
              <w:t>)</w:t>
            </w:r>
          </w:p>
          <w:p w14:paraId="5FA2ED78" w14:textId="77777777" w:rsidR="00B6258B" w:rsidRPr="00985849" w:rsidRDefault="00B6258B" w:rsidP="00544E9C">
            <w:pPr>
              <w:spacing w:line="360" w:lineRule="auto"/>
              <w:jc w:val="center"/>
              <w:rPr>
                <w:rFonts w:ascii="Palatino Linotype" w:eastAsia="Calibri" w:hAnsi="Palatino Linotype" w:cs="Tahoma"/>
                <w:color w:val="000000"/>
                <w:sz w:val="22"/>
                <w:szCs w:val="22"/>
              </w:rPr>
            </w:pPr>
          </w:p>
        </w:tc>
      </w:tr>
    </w:tbl>
    <w:p w14:paraId="347BB0E5" w14:textId="77777777" w:rsidR="000A238F" w:rsidRPr="00985849" w:rsidRDefault="000813B0" w:rsidP="00544E9C">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sidR="00956793">
        <w:rPr>
          <w:rFonts w:ascii="Palatino Linotype" w:eastAsia="Calibri" w:hAnsi="Palatino Linotype" w:cs="Arial"/>
          <w:sz w:val="22"/>
          <w:szCs w:val="22"/>
          <w:lang w:eastAsia="en-US"/>
        </w:rPr>
        <w:t xml:space="preserve"> fecha </w:t>
      </w:r>
      <w:r w:rsidR="00955760">
        <w:rPr>
          <w:rFonts w:ascii="Palatino Linotype" w:eastAsia="Calibri" w:hAnsi="Palatino Linotype" w:cs="Arial"/>
          <w:sz w:val="22"/>
          <w:szCs w:val="22"/>
          <w:lang w:eastAsia="en-US"/>
        </w:rPr>
        <w:t xml:space="preserve">catorce </w:t>
      </w:r>
      <w:r w:rsidR="00986C9A">
        <w:rPr>
          <w:rFonts w:ascii="Palatino Linotype" w:eastAsia="Calibri" w:hAnsi="Palatino Linotype" w:cs="Arial"/>
          <w:sz w:val="22"/>
          <w:szCs w:val="22"/>
          <w:lang w:eastAsia="en-US"/>
        </w:rPr>
        <w:t xml:space="preserve">de mayo </w:t>
      </w:r>
      <w:r w:rsidR="00F4018F" w:rsidRPr="00985849">
        <w:rPr>
          <w:rFonts w:ascii="Palatino Linotype" w:eastAsia="Calibri" w:hAnsi="Palatino Linotype" w:cs="Arial"/>
          <w:sz w:val="22"/>
          <w:szCs w:val="22"/>
          <w:lang w:eastAsia="en-US"/>
        </w:rPr>
        <w:t>de dos mil dieci</w:t>
      </w:r>
      <w:r w:rsidR="00F65DA8">
        <w:rPr>
          <w:rFonts w:ascii="Palatino Linotype" w:eastAsia="Calibri" w:hAnsi="Palatino Linotype" w:cs="Arial"/>
          <w:sz w:val="22"/>
          <w:szCs w:val="22"/>
          <w:lang w:eastAsia="en-US"/>
        </w:rPr>
        <w:t>nueve</w:t>
      </w:r>
      <w:r w:rsidR="00F4018F" w:rsidRPr="00985849">
        <w:rPr>
          <w:rFonts w:ascii="Palatino Linotype" w:eastAsia="Calibri" w:hAnsi="Palatino Linotype" w:cs="Arial"/>
          <w:sz w:val="22"/>
          <w:szCs w:val="22"/>
          <w:lang w:eastAsia="en-US"/>
        </w:rPr>
        <w:t xml:space="preserve">, emitida en el </w:t>
      </w:r>
      <w:r w:rsidR="004E78DB" w:rsidRPr="00985849">
        <w:rPr>
          <w:rFonts w:ascii="Palatino Linotype" w:eastAsia="Calibri" w:hAnsi="Palatino Linotype" w:cs="Arial"/>
          <w:sz w:val="22"/>
          <w:szCs w:val="22"/>
          <w:lang w:eastAsia="en-US"/>
        </w:rPr>
        <w:t xml:space="preserve">Recurso </w:t>
      </w:r>
      <w:r w:rsidR="00F4018F" w:rsidRPr="00985849">
        <w:rPr>
          <w:rFonts w:ascii="Palatino Linotype" w:eastAsia="Calibri" w:hAnsi="Palatino Linotype" w:cs="Arial"/>
          <w:sz w:val="22"/>
          <w:szCs w:val="22"/>
          <w:lang w:eastAsia="en-US"/>
        </w:rPr>
        <w:t xml:space="preserve">de </w:t>
      </w:r>
      <w:r w:rsidR="004E78DB" w:rsidRPr="00985849">
        <w:rPr>
          <w:rFonts w:ascii="Palatino Linotype" w:eastAsia="Calibri" w:hAnsi="Palatino Linotype" w:cs="Arial"/>
          <w:sz w:val="22"/>
          <w:szCs w:val="22"/>
          <w:lang w:eastAsia="en-US"/>
        </w:rPr>
        <w:t xml:space="preserve">Revisión </w:t>
      </w:r>
      <w:r w:rsidR="00F4018F" w:rsidRPr="00985849">
        <w:rPr>
          <w:rFonts w:ascii="Palatino Linotype" w:eastAsia="Calibri" w:hAnsi="Palatino Linotype" w:cs="Arial"/>
          <w:sz w:val="22"/>
          <w:szCs w:val="22"/>
          <w:lang w:eastAsia="en-US"/>
        </w:rPr>
        <w:t xml:space="preserve">número </w:t>
      </w:r>
      <w:r w:rsidR="00F4018F" w:rsidRPr="00985849">
        <w:rPr>
          <w:rFonts w:ascii="Palatino Linotype" w:eastAsia="Calibri" w:hAnsi="Palatino Linotype" w:cs="Arial"/>
          <w:bCs/>
          <w:sz w:val="22"/>
          <w:szCs w:val="22"/>
          <w:lang w:eastAsia="en-US"/>
        </w:rPr>
        <w:t>0</w:t>
      </w:r>
      <w:r w:rsidR="00986C9A">
        <w:rPr>
          <w:rFonts w:ascii="Palatino Linotype" w:eastAsia="Calibri" w:hAnsi="Palatino Linotype" w:cs="Arial"/>
          <w:bCs/>
          <w:sz w:val="22"/>
          <w:szCs w:val="22"/>
          <w:lang w:eastAsia="en-US"/>
        </w:rPr>
        <w:t>1</w:t>
      </w:r>
      <w:r w:rsidR="00955760">
        <w:rPr>
          <w:rFonts w:ascii="Palatino Linotype" w:eastAsia="Calibri" w:hAnsi="Palatino Linotype" w:cs="Arial"/>
          <w:bCs/>
          <w:sz w:val="22"/>
          <w:szCs w:val="22"/>
          <w:lang w:eastAsia="en-US"/>
        </w:rPr>
        <w:t>22</w:t>
      </w:r>
      <w:r w:rsidR="00986C9A">
        <w:rPr>
          <w:rFonts w:ascii="Palatino Linotype" w:eastAsia="Calibri" w:hAnsi="Palatino Linotype" w:cs="Arial"/>
          <w:bCs/>
          <w:sz w:val="22"/>
          <w:szCs w:val="22"/>
          <w:lang w:eastAsia="en-US"/>
        </w:rPr>
        <w:t>6/INFOEM/IP/RR/2019</w:t>
      </w:r>
      <w:r w:rsidR="00E86361" w:rsidRPr="00985849">
        <w:rPr>
          <w:rFonts w:ascii="Palatino Linotype" w:eastAsia="Calibri" w:hAnsi="Palatino Linotype" w:cs="Arial"/>
          <w:sz w:val="22"/>
          <w:szCs w:val="22"/>
          <w:lang w:eastAsia="en-US"/>
        </w:rPr>
        <w:t>.</w:t>
      </w:r>
    </w:p>
    <w:sectPr w:rsidR="000A238F" w:rsidRPr="00985849"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7BE9F" w14:textId="77777777" w:rsidR="002D274C" w:rsidRDefault="002D274C" w:rsidP="00B31222">
      <w:r>
        <w:separator/>
      </w:r>
    </w:p>
  </w:endnote>
  <w:endnote w:type="continuationSeparator" w:id="0">
    <w:p w14:paraId="0BF15C6A" w14:textId="77777777" w:rsidR="002D274C" w:rsidRDefault="002D274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6D6E8B66" w14:textId="77777777" w:rsidR="00310E01" w:rsidRDefault="00310E0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4EE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4EEE">
              <w:rPr>
                <w:b/>
                <w:bCs/>
                <w:noProof/>
              </w:rPr>
              <w:t>38</w:t>
            </w:r>
            <w:r>
              <w:rPr>
                <w:b/>
                <w:bCs/>
                <w:sz w:val="24"/>
                <w:szCs w:val="24"/>
              </w:rPr>
              <w:fldChar w:fldCharType="end"/>
            </w:r>
          </w:p>
        </w:sdtContent>
      </w:sdt>
    </w:sdtContent>
  </w:sdt>
  <w:p w14:paraId="44E6B394" w14:textId="77777777" w:rsidR="00310E01" w:rsidRDefault="00310E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B96D639" w14:textId="77777777" w:rsidR="00310E01" w:rsidRDefault="00310E0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4EE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4EEE">
              <w:rPr>
                <w:b/>
                <w:bCs/>
                <w:noProof/>
              </w:rPr>
              <w:t>38</w:t>
            </w:r>
            <w:r>
              <w:rPr>
                <w:b/>
                <w:bCs/>
                <w:sz w:val="24"/>
                <w:szCs w:val="24"/>
              </w:rPr>
              <w:fldChar w:fldCharType="end"/>
            </w:r>
          </w:p>
        </w:sdtContent>
      </w:sdt>
    </w:sdtContent>
  </w:sdt>
  <w:p w14:paraId="64A54F93" w14:textId="77777777" w:rsidR="00310E01" w:rsidRDefault="00310E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B4BAB" w14:textId="77777777" w:rsidR="002D274C" w:rsidRDefault="002D274C" w:rsidP="00B31222">
      <w:r>
        <w:separator/>
      </w:r>
    </w:p>
  </w:footnote>
  <w:footnote w:type="continuationSeparator" w:id="0">
    <w:p w14:paraId="232B4BE6" w14:textId="77777777" w:rsidR="002D274C" w:rsidRDefault="002D274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10E01" w:rsidRPr="005C106F" w14:paraId="45978D56" w14:textId="77777777" w:rsidTr="00202DB8">
      <w:trPr>
        <w:trHeight w:val="1435"/>
      </w:trPr>
      <w:tc>
        <w:tcPr>
          <w:tcW w:w="2835" w:type="dxa"/>
          <w:shd w:val="clear" w:color="auto" w:fill="auto"/>
        </w:tcPr>
        <w:p w14:paraId="69A9C080" w14:textId="77777777" w:rsidR="00310E01" w:rsidRPr="005C106F" w:rsidRDefault="00310E01" w:rsidP="00EF4A64">
          <w:pPr>
            <w:tabs>
              <w:tab w:val="right" w:pos="4273"/>
            </w:tabs>
            <w:rPr>
              <w:rFonts w:ascii="Garamond" w:eastAsia="Calibri" w:hAnsi="Garamond"/>
              <w:sz w:val="16"/>
              <w:szCs w:val="16"/>
              <w:lang w:eastAsia="en-US"/>
            </w:rPr>
          </w:pPr>
        </w:p>
      </w:tc>
      <w:tc>
        <w:tcPr>
          <w:tcW w:w="6733" w:type="dxa"/>
          <w:shd w:val="clear" w:color="auto" w:fill="auto"/>
        </w:tcPr>
        <w:p w14:paraId="304AD2C1" w14:textId="77777777" w:rsidR="00310E01" w:rsidRDefault="00310E01"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310E01" w14:paraId="324BA97C" w14:textId="77777777" w:rsidTr="00753ABF">
            <w:trPr>
              <w:gridBefore w:val="1"/>
              <w:gridAfter w:val="1"/>
              <w:wBefore w:w="572" w:type="dxa"/>
              <w:wAfter w:w="142" w:type="dxa"/>
              <w:trHeight w:val="144"/>
            </w:trPr>
            <w:tc>
              <w:tcPr>
                <w:tcW w:w="2552" w:type="dxa"/>
              </w:tcPr>
              <w:p w14:paraId="4184114D" w14:textId="77777777" w:rsidR="00310E01" w:rsidRPr="00026EBB" w:rsidRDefault="00310E0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29892FD" w14:textId="77777777" w:rsidR="00310E01" w:rsidRPr="00026EBB" w:rsidRDefault="00310E01" w:rsidP="00310E01">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01226/INFOEM/IP/RR/2019</w:t>
                </w:r>
              </w:p>
            </w:tc>
          </w:tr>
          <w:tr w:rsidR="00310E01" w14:paraId="66D11682" w14:textId="77777777" w:rsidTr="00753ABF">
            <w:trPr>
              <w:gridBefore w:val="1"/>
              <w:gridAfter w:val="1"/>
              <w:wBefore w:w="572" w:type="dxa"/>
              <w:wAfter w:w="142" w:type="dxa"/>
              <w:trHeight w:val="138"/>
            </w:trPr>
            <w:tc>
              <w:tcPr>
                <w:tcW w:w="2552" w:type="dxa"/>
              </w:tcPr>
              <w:p w14:paraId="1BB1CF05" w14:textId="77777777" w:rsidR="00310E01" w:rsidRPr="00026EBB" w:rsidRDefault="00310E0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0F5FBC8D" w14:textId="77777777" w:rsidR="00310E01" w:rsidRPr="00026EBB" w:rsidRDefault="00310E01" w:rsidP="00D7242C">
                <w:pPr>
                  <w:tabs>
                    <w:tab w:val="right" w:pos="8838"/>
                  </w:tabs>
                  <w:ind w:right="171"/>
                  <w:jc w:val="both"/>
                  <w:rPr>
                    <w:rFonts w:ascii="Palatino Linotype" w:eastAsia="Calibri" w:hAnsi="Palatino Linotype" w:cs="Tahoma"/>
                    <w:b/>
                    <w:sz w:val="22"/>
                    <w:szCs w:val="22"/>
                    <w:lang w:val="es-MX" w:eastAsia="en-US"/>
                  </w:rPr>
                </w:pPr>
                <w:r w:rsidRPr="00310E01">
                  <w:rPr>
                    <w:rFonts w:ascii="Palatino Linotype" w:eastAsia="Calibri" w:hAnsi="Palatino Linotype" w:cs="Tahoma"/>
                    <w:sz w:val="22"/>
                    <w:szCs w:val="22"/>
                    <w:lang w:val="es-MX" w:eastAsia="en-US"/>
                  </w:rPr>
                  <w:t>Ayuntamiento de Atizapán de Zaragoza</w:t>
                </w:r>
              </w:p>
            </w:tc>
          </w:tr>
          <w:tr w:rsidR="00310E01" w14:paraId="50CD1B98" w14:textId="77777777" w:rsidTr="00753ABF">
            <w:trPr>
              <w:trHeight w:val="283"/>
            </w:trPr>
            <w:tc>
              <w:tcPr>
                <w:tcW w:w="3124" w:type="dxa"/>
                <w:gridSpan w:val="2"/>
              </w:tcPr>
              <w:p w14:paraId="7E595649" w14:textId="77777777" w:rsidR="00310E01" w:rsidRPr="00026EBB" w:rsidRDefault="00310E0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44501F49" w14:textId="77777777" w:rsidR="00310E01" w:rsidRPr="00026EBB" w:rsidRDefault="00310E01"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67A87B85" w14:textId="77777777" w:rsidR="00310E01" w:rsidRPr="005C106F" w:rsidRDefault="00310E01" w:rsidP="005743D2">
          <w:pPr>
            <w:tabs>
              <w:tab w:val="right" w:pos="8838"/>
            </w:tabs>
            <w:ind w:left="-28"/>
            <w:jc w:val="both"/>
            <w:rPr>
              <w:rFonts w:ascii="Arial" w:eastAsia="Calibri" w:hAnsi="Arial" w:cs="Arial"/>
              <w:b/>
              <w:sz w:val="22"/>
              <w:szCs w:val="22"/>
              <w:lang w:eastAsia="en-US"/>
            </w:rPr>
          </w:pPr>
        </w:p>
      </w:tc>
    </w:tr>
  </w:tbl>
  <w:p w14:paraId="6215E4EC" w14:textId="77777777" w:rsidR="00310E01" w:rsidRPr="00443C6B" w:rsidRDefault="00310E0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10E01" w:rsidRPr="005C106F" w14:paraId="727478F0" w14:textId="77777777" w:rsidTr="003B165A">
      <w:trPr>
        <w:trHeight w:val="1435"/>
      </w:trPr>
      <w:tc>
        <w:tcPr>
          <w:tcW w:w="2835" w:type="dxa"/>
          <w:shd w:val="clear" w:color="auto" w:fill="auto"/>
        </w:tcPr>
        <w:p w14:paraId="203738BE" w14:textId="77777777" w:rsidR="00310E01" w:rsidRPr="005C106F" w:rsidRDefault="00310E01" w:rsidP="00DB7E5F">
          <w:pPr>
            <w:tabs>
              <w:tab w:val="right" w:pos="4273"/>
            </w:tabs>
            <w:rPr>
              <w:rFonts w:ascii="Garamond" w:eastAsia="Calibri" w:hAnsi="Garamond"/>
              <w:sz w:val="16"/>
              <w:szCs w:val="16"/>
              <w:lang w:eastAsia="en-US"/>
            </w:rPr>
          </w:pPr>
        </w:p>
      </w:tc>
      <w:tc>
        <w:tcPr>
          <w:tcW w:w="6733" w:type="dxa"/>
          <w:shd w:val="clear" w:color="auto" w:fill="auto"/>
        </w:tcPr>
        <w:p w14:paraId="0188A6D2" w14:textId="77777777" w:rsidR="00310E01" w:rsidRPr="005C106F" w:rsidRDefault="00310E01" w:rsidP="00DB7E5F">
          <w:pPr>
            <w:tabs>
              <w:tab w:val="right" w:pos="8838"/>
            </w:tabs>
            <w:ind w:left="-28"/>
            <w:jc w:val="both"/>
            <w:rPr>
              <w:rFonts w:ascii="Arial" w:eastAsia="Calibri" w:hAnsi="Arial" w:cs="Arial"/>
              <w:b/>
              <w:sz w:val="22"/>
              <w:szCs w:val="22"/>
              <w:lang w:eastAsia="en-US"/>
            </w:rPr>
          </w:pPr>
        </w:p>
      </w:tc>
    </w:tr>
  </w:tbl>
  <w:p w14:paraId="7950874C" w14:textId="77777777" w:rsidR="00310E01" w:rsidRDefault="00310E01"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483995"/>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0134F8"/>
    <w:multiLevelType w:val="hybridMultilevel"/>
    <w:tmpl w:val="AA4CD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384631C2"/>
    <w:lvl w:ilvl="0" w:tplc="26666EDC">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0D1D37"/>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B03EAE"/>
    <w:multiLevelType w:val="hybridMultilevel"/>
    <w:tmpl w:val="B930F0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B57533"/>
    <w:multiLevelType w:val="hybridMultilevel"/>
    <w:tmpl w:val="901270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FC6C1F"/>
    <w:multiLevelType w:val="hybridMultilevel"/>
    <w:tmpl w:val="3D10E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8A5B08"/>
    <w:multiLevelType w:val="hybridMultilevel"/>
    <w:tmpl w:val="28C2E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7"/>
  </w:num>
  <w:num w:numId="2">
    <w:abstractNumId w:val="0"/>
  </w:num>
  <w:num w:numId="3">
    <w:abstractNumId w:val="5"/>
  </w:num>
  <w:num w:numId="4">
    <w:abstractNumId w:val="35"/>
  </w:num>
  <w:num w:numId="5">
    <w:abstractNumId w:val="9"/>
  </w:num>
  <w:num w:numId="6">
    <w:abstractNumId w:val="33"/>
  </w:num>
  <w:num w:numId="7">
    <w:abstractNumId w:val="7"/>
  </w:num>
  <w:num w:numId="8">
    <w:abstractNumId w:val="31"/>
  </w:num>
  <w:num w:numId="9">
    <w:abstractNumId w:val="16"/>
  </w:num>
  <w:num w:numId="10">
    <w:abstractNumId w:val="1"/>
  </w:num>
  <w:num w:numId="11">
    <w:abstractNumId w:val="15"/>
  </w:num>
  <w:num w:numId="12">
    <w:abstractNumId w:val="19"/>
  </w:num>
  <w:num w:numId="13">
    <w:abstractNumId w:val="10"/>
  </w:num>
  <w:num w:numId="14">
    <w:abstractNumId w:val="12"/>
  </w:num>
  <w:num w:numId="15">
    <w:abstractNumId w:val="13"/>
  </w:num>
  <w:num w:numId="16">
    <w:abstractNumId w:val="22"/>
  </w:num>
  <w:num w:numId="17">
    <w:abstractNumId w:val="17"/>
  </w:num>
  <w:num w:numId="18">
    <w:abstractNumId w:val="18"/>
  </w:num>
  <w:num w:numId="19">
    <w:abstractNumId w:val="27"/>
  </w:num>
  <w:num w:numId="20">
    <w:abstractNumId w:val="26"/>
  </w:num>
  <w:num w:numId="21">
    <w:abstractNumId w:val="21"/>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0"/>
  </w:num>
  <w:num w:numId="25">
    <w:abstractNumId w:val="6"/>
  </w:num>
  <w:num w:numId="26">
    <w:abstractNumId w:val="29"/>
  </w:num>
  <w:num w:numId="27">
    <w:abstractNumId w:val="4"/>
  </w:num>
  <w:num w:numId="28">
    <w:abstractNumId w:val="8"/>
  </w:num>
  <w:num w:numId="29">
    <w:abstractNumId w:val="25"/>
  </w:num>
  <w:num w:numId="30">
    <w:abstractNumId w:val="2"/>
  </w:num>
  <w:num w:numId="31">
    <w:abstractNumId w:val="24"/>
  </w:num>
  <w:num w:numId="32">
    <w:abstractNumId w:val="34"/>
  </w:num>
  <w:num w:numId="33">
    <w:abstractNumId w:val="11"/>
  </w:num>
  <w:num w:numId="34">
    <w:abstractNumId w:val="28"/>
  </w:num>
  <w:num w:numId="35">
    <w:abstractNumId w:val="14"/>
  </w:num>
  <w:num w:numId="36">
    <w:abstractNumId w:val="36"/>
  </w:num>
  <w:num w:numId="37">
    <w:abstractNumId w:val="23"/>
  </w:num>
  <w:num w:numId="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068E"/>
    <w:rsid w:val="00013A19"/>
    <w:rsid w:val="00014465"/>
    <w:rsid w:val="000167B5"/>
    <w:rsid w:val="00017019"/>
    <w:rsid w:val="00017AC4"/>
    <w:rsid w:val="000212E5"/>
    <w:rsid w:val="00021C64"/>
    <w:rsid w:val="000241C5"/>
    <w:rsid w:val="00026EBB"/>
    <w:rsid w:val="00030E6E"/>
    <w:rsid w:val="000313A7"/>
    <w:rsid w:val="00032EEA"/>
    <w:rsid w:val="00032F5B"/>
    <w:rsid w:val="00034E9D"/>
    <w:rsid w:val="00035E44"/>
    <w:rsid w:val="000373BC"/>
    <w:rsid w:val="00037B34"/>
    <w:rsid w:val="00037F4B"/>
    <w:rsid w:val="0004168D"/>
    <w:rsid w:val="00042184"/>
    <w:rsid w:val="00043C4B"/>
    <w:rsid w:val="00045AB8"/>
    <w:rsid w:val="0004646B"/>
    <w:rsid w:val="000477E7"/>
    <w:rsid w:val="00047D67"/>
    <w:rsid w:val="000528E6"/>
    <w:rsid w:val="0006017B"/>
    <w:rsid w:val="000813B0"/>
    <w:rsid w:val="0008148B"/>
    <w:rsid w:val="0008165E"/>
    <w:rsid w:val="00094124"/>
    <w:rsid w:val="00097211"/>
    <w:rsid w:val="000A20A4"/>
    <w:rsid w:val="000A238F"/>
    <w:rsid w:val="000A7211"/>
    <w:rsid w:val="000B1D37"/>
    <w:rsid w:val="000B2C93"/>
    <w:rsid w:val="000B36DD"/>
    <w:rsid w:val="000B5711"/>
    <w:rsid w:val="000B6020"/>
    <w:rsid w:val="000B691A"/>
    <w:rsid w:val="000B71A6"/>
    <w:rsid w:val="000C2283"/>
    <w:rsid w:val="000C27CA"/>
    <w:rsid w:val="000C5940"/>
    <w:rsid w:val="000C59CB"/>
    <w:rsid w:val="000D0B08"/>
    <w:rsid w:val="000D4454"/>
    <w:rsid w:val="000E0BEA"/>
    <w:rsid w:val="000E27FA"/>
    <w:rsid w:val="000E4FBE"/>
    <w:rsid w:val="000E67E4"/>
    <w:rsid w:val="000F24C8"/>
    <w:rsid w:val="000F3DA0"/>
    <w:rsid w:val="000F4876"/>
    <w:rsid w:val="000F555D"/>
    <w:rsid w:val="000F5E9D"/>
    <w:rsid w:val="000F7429"/>
    <w:rsid w:val="000F7A45"/>
    <w:rsid w:val="000F7FD8"/>
    <w:rsid w:val="00100BAC"/>
    <w:rsid w:val="001017B7"/>
    <w:rsid w:val="001034C6"/>
    <w:rsid w:val="001049B0"/>
    <w:rsid w:val="00104ADB"/>
    <w:rsid w:val="00104B9E"/>
    <w:rsid w:val="001057BC"/>
    <w:rsid w:val="00107D2F"/>
    <w:rsid w:val="001133D5"/>
    <w:rsid w:val="00114068"/>
    <w:rsid w:val="001150E9"/>
    <w:rsid w:val="001205FA"/>
    <w:rsid w:val="00124A72"/>
    <w:rsid w:val="001257F7"/>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5797D"/>
    <w:rsid w:val="00161DF9"/>
    <w:rsid w:val="0016268A"/>
    <w:rsid w:val="00162CCE"/>
    <w:rsid w:val="00165891"/>
    <w:rsid w:val="00167281"/>
    <w:rsid w:val="00170512"/>
    <w:rsid w:val="00170545"/>
    <w:rsid w:val="00171ADD"/>
    <w:rsid w:val="00173688"/>
    <w:rsid w:val="0017459B"/>
    <w:rsid w:val="00176BDA"/>
    <w:rsid w:val="00182F0F"/>
    <w:rsid w:val="00183D24"/>
    <w:rsid w:val="001851A6"/>
    <w:rsid w:val="001875A7"/>
    <w:rsid w:val="001879E1"/>
    <w:rsid w:val="00190B87"/>
    <w:rsid w:val="001912E9"/>
    <w:rsid w:val="0019389B"/>
    <w:rsid w:val="00194582"/>
    <w:rsid w:val="001A1B94"/>
    <w:rsid w:val="001A22F5"/>
    <w:rsid w:val="001A7FD2"/>
    <w:rsid w:val="001B107D"/>
    <w:rsid w:val="001B2CD9"/>
    <w:rsid w:val="001B62A0"/>
    <w:rsid w:val="001C0FD9"/>
    <w:rsid w:val="001C282F"/>
    <w:rsid w:val="001C5FA4"/>
    <w:rsid w:val="001D0086"/>
    <w:rsid w:val="001D0094"/>
    <w:rsid w:val="001D7012"/>
    <w:rsid w:val="001D7BD2"/>
    <w:rsid w:val="001E2A4D"/>
    <w:rsid w:val="001E3BA6"/>
    <w:rsid w:val="001E53C2"/>
    <w:rsid w:val="001F0E9C"/>
    <w:rsid w:val="001F1540"/>
    <w:rsid w:val="001F45C6"/>
    <w:rsid w:val="001F652C"/>
    <w:rsid w:val="001F739F"/>
    <w:rsid w:val="001F78D9"/>
    <w:rsid w:val="00202DB8"/>
    <w:rsid w:val="0020486A"/>
    <w:rsid w:val="002066F4"/>
    <w:rsid w:val="00207736"/>
    <w:rsid w:val="00212460"/>
    <w:rsid w:val="0021469A"/>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0764"/>
    <w:rsid w:val="002433A4"/>
    <w:rsid w:val="002435DC"/>
    <w:rsid w:val="00245AD5"/>
    <w:rsid w:val="00247B17"/>
    <w:rsid w:val="00250389"/>
    <w:rsid w:val="00252669"/>
    <w:rsid w:val="00254209"/>
    <w:rsid w:val="00254288"/>
    <w:rsid w:val="0025469C"/>
    <w:rsid w:val="00254C39"/>
    <w:rsid w:val="00255871"/>
    <w:rsid w:val="002579CE"/>
    <w:rsid w:val="00260FEC"/>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4AE"/>
    <w:rsid w:val="002A3B3C"/>
    <w:rsid w:val="002A6193"/>
    <w:rsid w:val="002A7BD4"/>
    <w:rsid w:val="002A7F32"/>
    <w:rsid w:val="002B20A1"/>
    <w:rsid w:val="002B226E"/>
    <w:rsid w:val="002B46D4"/>
    <w:rsid w:val="002B5172"/>
    <w:rsid w:val="002B54CF"/>
    <w:rsid w:val="002C4EE6"/>
    <w:rsid w:val="002C5695"/>
    <w:rsid w:val="002D1BE4"/>
    <w:rsid w:val="002D274C"/>
    <w:rsid w:val="002D5DDD"/>
    <w:rsid w:val="002E1CE2"/>
    <w:rsid w:val="002E5015"/>
    <w:rsid w:val="002E6811"/>
    <w:rsid w:val="002E7ACF"/>
    <w:rsid w:val="002F0CE9"/>
    <w:rsid w:val="002F199F"/>
    <w:rsid w:val="002F3BD0"/>
    <w:rsid w:val="002F5B6A"/>
    <w:rsid w:val="00300A0B"/>
    <w:rsid w:val="00300A28"/>
    <w:rsid w:val="00301F46"/>
    <w:rsid w:val="003024C1"/>
    <w:rsid w:val="00303CAD"/>
    <w:rsid w:val="00306418"/>
    <w:rsid w:val="0030735E"/>
    <w:rsid w:val="003100F3"/>
    <w:rsid w:val="00310C11"/>
    <w:rsid w:val="00310E01"/>
    <w:rsid w:val="00315492"/>
    <w:rsid w:val="00316600"/>
    <w:rsid w:val="003172EC"/>
    <w:rsid w:val="003201BA"/>
    <w:rsid w:val="0032170B"/>
    <w:rsid w:val="00323160"/>
    <w:rsid w:val="00323325"/>
    <w:rsid w:val="003243B0"/>
    <w:rsid w:val="00325069"/>
    <w:rsid w:val="00325EC0"/>
    <w:rsid w:val="003340EC"/>
    <w:rsid w:val="003350FF"/>
    <w:rsid w:val="0034057C"/>
    <w:rsid w:val="003469AB"/>
    <w:rsid w:val="00350142"/>
    <w:rsid w:val="003509D0"/>
    <w:rsid w:val="00353B6D"/>
    <w:rsid w:val="00354920"/>
    <w:rsid w:val="00355DC6"/>
    <w:rsid w:val="003604D7"/>
    <w:rsid w:val="0036351E"/>
    <w:rsid w:val="00364521"/>
    <w:rsid w:val="00365026"/>
    <w:rsid w:val="00367F82"/>
    <w:rsid w:val="003756AF"/>
    <w:rsid w:val="00375815"/>
    <w:rsid w:val="00380441"/>
    <w:rsid w:val="0038239F"/>
    <w:rsid w:val="00382696"/>
    <w:rsid w:val="0038438A"/>
    <w:rsid w:val="003864D2"/>
    <w:rsid w:val="00390249"/>
    <w:rsid w:val="00390BF8"/>
    <w:rsid w:val="00392877"/>
    <w:rsid w:val="00392E12"/>
    <w:rsid w:val="00394D7E"/>
    <w:rsid w:val="003956E9"/>
    <w:rsid w:val="00395837"/>
    <w:rsid w:val="003965EC"/>
    <w:rsid w:val="00396BA0"/>
    <w:rsid w:val="003A0E17"/>
    <w:rsid w:val="003A357E"/>
    <w:rsid w:val="003A679C"/>
    <w:rsid w:val="003A67E6"/>
    <w:rsid w:val="003A6E62"/>
    <w:rsid w:val="003A78B5"/>
    <w:rsid w:val="003A7BE8"/>
    <w:rsid w:val="003A7C85"/>
    <w:rsid w:val="003A7FBE"/>
    <w:rsid w:val="003B0D09"/>
    <w:rsid w:val="003B165A"/>
    <w:rsid w:val="003B2140"/>
    <w:rsid w:val="003C2478"/>
    <w:rsid w:val="003C28B8"/>
    <w:rsid w:val="003C5742"/>
    <w:rsid w:val="003C6934"/>
    <w:rsid w:val="003C721D"/>
    <w:rsid w:val="003C74F9"/>
    <w:rsid w:val="003C7FD0"/>
    <w:rsid w:val="003D0268"/>
    <w:rsid w:val="003D1A43"/>
    <w:rsid w:val="003D1A64"/>
    <w:rsid w:val="003D5BEC"/>
    <w:rsid w:val="003E0C4F"/>
    <w:rsid w:val="003E13A6"/>
    <w:rsid w:val="003E31E5"/>
    <w:rsid w:val="003E32ED"/>
    <w:rsid w:val="003E3A39"/>
    <w:rsid w:val="003E3CBF"/>
    <w:rsid w:val="003E58C9"/>
    <w:rsid w:val="003F578D"/>
    <w:rsid w:val="003F650B"/>
    <w:rsid w:val="003F67B8"/>
    <w:rsid w:val="003F72AC"/>
    <w:rsid w:val="004004E9"/>
    <w:rsid w:val="00400FDE"/>
    <w:rsid w:val="00401A9E"/>
    <w:rsid w:val="00402595"/>
    <w:rsid w:val="00402C98"/>
    <w:rsid w:val="004052C5"/>
    <w:rsid w:val="004100AA"/>
    <w:rsid w:val="00412203"/>
    <w:rsid w:val="0041563A"/>
    <w:rsid w:val="0041597F"/>
    <w:rsid w:val="00417DE3"/>
    <w:rsid w:val="00420B07"/>
    <w:rsid w:val="00422869"/>
    <w:rsid w:val="00426448"/>
    <w:rsid w:val="0043257A"/>
    <w:rsid w:val="00435E98"/>
    <w:rsid w:val="00436FD3"/>
    <w:rsid w:val="004406CF"/>
    <w:rsid w:val="00441804"/>
    <w:rsid w:val="004435B4"/>
    <w:rsid w:val="004439D5"/>
    <w:rsid w:val="0045217C"/>
    <w:rsid w:val="004578AD"/>
    <w:rsid w:val="0046048A"/>
    <w:rsid w:val="00461690"/>
    <w:rsid w:val="00465A54"/>
    <w:rsid w:val="00466346"/>
    <w:rsid w:val="00470AC2"/>
    <w:rsid w:val="004751D6"/>
    <w:rsid w:val="00476E9E"/>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2DD"/>
    <w:rsid w:val="004B1796"/>
    <w:rsid w:val="004B591D"/>
    <w:rsid w:val="004B7542"/>
    <w:rsid w:val="004C406A"/>
    <w:rsid w:val="004C4ACC"/>
    <w:rsid w:val="004C7E83"/>
    <w:rsid w:val="004D5DB3"/>
    <w:rsid w:val="004D65B7"/>
    <w:rsid w:val="004E345F"/>
    <w:rsid w:val="004E41C7"/>
    <w:rsid w:val="004E78DB"/>
    <w:rsid w:val="004F2D88"/>
    <w:rsid w:val="004F41A2"/>
    <w:rsid w:val="005070C3"/>
    <w:rsid w:val="005124DC"/>
    <w:rsid w:val="00514036"/>
    <w:rsid w:val="00521524"/>
    <w:rsid w:val="005220BE"/>
    <w:rsid w:val="0052252D"/>
    <w:rsid w:val="00524EEE"/>
    <w:rsid w:val="00542D5F"/>
    <w:rsid w:val="005435DE"/>
    <w:rsid w:val="00543F13"/>
    <w:rsid w:val="00544C28"/>
    <w:rsid w:val="00544E9C"/>
    <w:rsid w:val="00546BAE"/>
    <w:rsid w:val="00547AFD"/>
    <w:rsid w:val="00552EBD"/>
    <w:rsid w:val="00553827"/>
    <w:rsid w:val="00553A1A"/>
    <w:rsid w:val="00553D09"/>
    <w:rsid w:val="00555F71"/>
    <w:rsid w:val="00560ABD"/>
    <w:rsid w:val="00562B52"/>
    <w:rsid w:val="0057338D"/>
    <w:rsid w:val="005740F6"/>
    <w:rsid w:val="005743D2"/>
    <w:rsid w:val="00575DE3"/>
    <w:rsid w:val="00576F74"/>
    <w:rsid w:val="005802BD"/>
    <w:rsid w:val="0058624E"/>
    <w:rsid w:val="00586FA8"/>
    <w:rsid w:val="00587F23"/>
    <w:rsid w:val="00591E3A"/>
    <w:rsid w:val="00593CB4"/>
    <w:rsid w:val="005A1803"/>
    <w:rsid w:val="005A29A9"/>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11A49"/>
    <w:rsid w:val="006123D3"/>
    <w:rsid w:val="00613017"/>
    <w:rsid w:val="00613A54"/>
    <w:rsid w:val="00616189"/>
    <w:rsid w:val="00621760"/>
    <w:rsid w:val="006217BB"/>
    <w:rsid w:val="00625BD5"/>
    <w:rsid w:val="00625DFB"/>
    <w:rsid w:val="00632E78"/>
    <w:rsid w:val="00634CEB"/>
    <w:rsid w:val="00637179"/>
    <w:rsid w:val="00646100"/>
    <w:rsid w:val="006476CA"/>
    <w:rsid w:val="00652A39"/>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81656"/>
    <w:rsid w:val="0068213E"/>
    <w:rsid w:val="0068366C"/>
    <w:rsid w:val="00683CB5"/>
    <w:rsid w:val="0068455C"/>
    <w:rsid w:val="006851C1"/>
    <w:rsid w:val="00685328"/>
    <w:rsid w:val="00685C12"/>
    <w:rsid w:val="0069105D"/>
    <w:rsid w:val="0069188E"/>
    <w:rsid w:val="0069333E"/>
    <w:rsid w:val="00693C8E"/>
    <w:rsid w:val="006969BA"/>
    <w:rsid w:val="006A026A"/>
    <w:rsid w:val="006A0425"/>
    <w:rsid w:val="006A0F75"/>
    <w:rsid w:val="006A1D62"/>
    <w:rsid w:val="006A3E93"/>
    <w:rsid w:val="006A3EA8"/>
    <w:rsid w:val="006A612E"/>
    <w:rsid w:val="006A6D7F"/>
    <w:rsid w:val="006B0298"/>
    <w:rsid w:val="006B0E83"/>
    <w:rsid w:val="006B5493"/>
    <w:rsid w:val="006B6983"/>
    <w:rsid w:val="006C10C0"/>
    <w:rsid w:val="006C1B1D"/>
    <w:rsid w:val="006C32BB"/>
    <w:rsid w:val="006C3747"/>
    <w:rsid w:val="006C52F6"/>
    <w:rsid w:val="006C7760"/>
    <w:rsid w:val="006C7EEA"/>
    <w:rsid w:val="006D3A39"/>
    <w:rsid w:val="006D522C"/>
    <w:rsid w:val="006D56AA"/>
    <w:rsid w:val="006D76EC"/>
    <w:rsid w:val="006D7795"/>
    <w:rsid w:val="006D7ACB"/>
    <w:rsid w:val="006E00EF"/>
    <w:rsid w:val="006E1A7A"/>
    <w:rsid w:val="006E20EB"/>
    <w:rsid w:val="006E433A"/>
    <w:rsid w:val="006E76AC"/>
    <w:rsid w:val="006F01E7"/>
    <w:rsid w:val="006F1F3A"/>
    <w:rsid w:val="006F76DD"/>
    <w:rsid w:val="006F7EB8"/>
    <w:rsid w:val="007009C1"/>
    <w:rsid w:val="00701966"/>
    <w:rsid w:val="00702897"/>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477D6"/>
    <w:rsid w:val="007515BC"/>
    <w:rsid w:val="00753ABF"/>
    <w:rsid w:val="00754A72"/>
    <w:rsid w:val="007573B2"/>
    <w:rsid w:val="007574BB"/>
    <w:rsid w:val="0075764C"/>
    <w:rsid w:val="00762198"/>
    <w:rsid w:val="00763CE8"/>
    <w:rsid w:val="00764E7C"/>
    <w:rsid w:val="00770792"/>
    <w:rsid w:val="00774FFE"/>
    <w:rsid w:val="00775638"/>
    <w:rsid w:val="00775677"/>
    <w:rsid w:val="0077599A"/>
    <w:rsid w:val="00777353"/>
    <w:rsid w:val="007801BC"/>
    <w:rsid w:val="00780A99"/>
    <w:rsid w:val="00780CD6"/>
    <w:rsid w:val="00781A0C"/>
    <w:rsid w:val="00782EA4"/>
    <w:rsid w:val="0078336F"/>
    <w:rsid w:val="00785461"/>
    <w:rsid w:val="00786FF3"/>
    <w:rsid w:val="007876CF"/>
    <w:rsid w:val="00787778"/>
    <w:rsid w:val="00793090"/>
    <w:rsid w:val="00796F2A"/>
    <w:rsid w:val="007A0176"/>
    <w:rsid w:val="007A2F67"/>
    <w:rsid w:val="007A3918"/>
    <w:rsid w:val="007B0E7E"/>
    <w:rsid w:val="007B0E89"/>
    <w:rsid w:val="007B1FA5"/>
    <w:rsid w:val="007B2C38"/>
    <w:rsid w:val="007B2E54"/>
    <w:rsid w:val="007B4EE8"/>
    <w:rsid w:val="007B6F5A"/>
    <w:rsid w:val="007B7498"/>
    <w:rsid w:val="007B7AEE"/>
    <w:rsid w:val="007C6E6C"/>
    <w:rsid w:val="007C7EB6"/>
    <w:rsid w:val="007D2889"/>
    <w:rsid w:val="007D2F75"/>
    <w:rsid w:val="007D3C0E"/>
    <w:rsid w:val="007E22E7"/>
    <w:rsid w:val="007E2F34"/>
    <w:rsid w:val="007E4232"/>
    <w:rsid w:val="007E69BB"/>
    <w:rsid w:val="007E6AB8"/>
    <w:rsid w:val="007F2109"/>
    <w:rsid w:val="007F21C5"/>
    <w:rsid w:val="007F3EF1"/>
    <w:rsid w:val="007F5570"/>
    <w:rsid w:val="00801BCE"/>
    <w:rsid w:val="00802515"/>
    <w:rsid w:val="008034CF"/>
    <w:rsid w:val="0081283F"/>
    <w:rsid w:val="0081480A"/>
    <w:rsid w:val="0082015A"/>
    <w:rsid w:val="008202EB"/>
    <w:rsid w:val="008240D3"/>
    <w:rsid w:val="00824699"/>
    <w:rsid w:val="00827F88"/>
    <w:rsid w:val="008336A5"/>
    <w:rsid w:val="00835474"/>
    <w:rsid w:val="008373C0"/>
    <w:rsid w:val="0084145F"/>
    <w:rsid w:val="00841DA2"/>
    <w:rsid w:val="008421AB"/>
    <w:rsid w:val="00843071"/>
    <w:rsid w:val="00843BE7"/>
    <w:rsid w:val="008458F6"/>
    <w:rsid w:val="00845AED"/>
    <w:rsid w:val="00846603"/>
    <w:rsid w:val="0084708E"/>
    <w:rsid w:val="008515ED"/>
    <w:rsid w:val="00851AE4"/>
    <w:rsid w:val="0085598D"/>
    <w:rsid w:val="00862771"/>
    <w:rsid w:val="0086682F"/>
    <w:rsid w:val="00867F9D"/>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0FB"/>
    <w:rsid w:val="008B6848"/>
    <w:rsid w:val="008C0D86"/>
    <w:rsid w:val="008C2FA1"/>
    <w:rsid w:val="008D2C4C"/>
    <w:rsid w:val="008D7E0D"/>
    <w:rsid w:val="008D7EDB"/>
    <w:rsid w:val="008E11B8"/>
    <w:rsid w:val="008E1829"/>
    <w:rsid w:val="008E2327"/>
    <w:rsid w:val="008E44D8"/>
    <w:rsid w:val="008E5077"/>
    <w:rsid w:val="008E64F0"/>
    <w:rsid w:val="008E6FF3"/>
    <w:rsid w:val="008E7B05"/>
    <w:rsid w:val="008F034D"/>
    <w:rsid w:val="008F18ED"/>
    <w:rsid w:val="008F3EA1"/>
    <w:rsid w:val="008F46C2"/>
    <w:rsid w:val="009001FC"/>
    <w:rsid w:val="009020A8"/>
    <w:rsid w:val="00903D37"/>
    <w:rsid w:val="009048A8"/>
    <w:rsid w:val="0091055D"/>
    <w:rsid w:val="00914C61"/>
    <w:rsid w:val="00915C1F"/>
    <w:rsid w:val="00917D6F"/>
    <w:rsid w:val="00917D8F"/>
    <w:rsid w:val="00920D3C"/>
    <w:rsid w:val="00921B1A"/>
    <w:rsid w:val="00921DCB"/>
    <w:rsid w:val="00921DDA"/>
    <w:rsid w:val="0092600D"/>
    <w:rsid w:val="00927085"/>
    <w:rsid w:val="00927D70"/>
    <w:rsid w:val="0093039D"/>
    <w:rsid w:val="00931E4F"/>
    <w:rsid w:val="0093364D"/>
    <w:rsid w:val="00935574"/>
    <w:rsid w:val="00936574"/>
    <w:rsid w:val="00942B44"/>
    <w:rsid w:val="00943BCE"/>
    <w:rsid w:val="00953379"/>
    <w:rsid w:val="00954F1B"/>
    <w:rsid w:val="00955268"/>
    <w:rsid w:val="00955760"/>
    <w:rsid w:val="00956793"/>
    <w:rsid w:val="00957B06"/>
    <w:rsid w:val="00960346"/>
    <w:rsid w:val="009617D3"/>
    <w:rsid w:val="0096463B"/>
    <w:rsid w:val="0096693C"/>
    <w:rsid w:val="00967869"/>
    <w:rsid w:val="00971405"/>
    <w:rsid w:val="00971F54"/>
    <w:rsid w:val="009725C5"/>
    <w:rsid w:val="00973F40"/>
    <w:rsid w:val="00973FDF"/>
    <w:rsid w:val="00983AA1"/>
    <w:rsid w:val="009841E0"/>
    <w:rsid w:val="009849EF"/>
    <w:rsid w:val="00985849"/>
    <w:rsid w:val="00986C9A"/>
    <w:rsid w:val="00986DB7"/>
    <w:rsid w:val="0098795A"/>
    <w:rsid w:val="009934CF"/>
    <w:rsid w:val="0099611B"/>
    <w:rsid w:val="009A0C8C"/>
    <w:rsid w:val="009A0D75"/>
    <w:rsid w:val="009A347A"/>
    <w:rsid w:val="009A521D"/>
    <w:rsid w:val="009A620E"/>
    <w:rsid w:val="009A67E7"/>
    <w:rsid w:val="009A7295"/>
    <w:rsid w:val="009B548D"/>
    <w:rsid w:val="009B6A6F"/>
    <w:rsid w:val="009C1AFE"/>
    <w:rsid w:val="009C4081"/>
    <w:rsid w:val="009C5F24"/>
    <w:rsid w:val="009D048B"/>
    <w:rsid w:val="009D2A50"/>
    <w:rsid w:val="009D69C6"/>
    <w:rsid w:val="009E5419"/>
    <w:rsid w:val="009E5A6E"/>
    <w:rsid w:val="009E76B5"/>
    <w:rsid w:val="009F46DC"/>
    <w:rsid w:val="00A01C00"/>
    <w:rsid w:val="00A02694"/>
    <w:rsid w:val="00A112F7"/>
    <w:rsid w:val="00A11CAD"/>
    <w:rsid w:val="00A1620D"/>
    <w:rsid w:val="00A16AC0"/>
    <w:rsid w:val="00A23D31"/>
    <w:rsid w:val="00A24C9B"/>
    <w:rsid w:val="00A27D2B"/>
    <w:rsid w:val="00A301A7"/>
    <w:rsid w:val="00A30C34"/>
    <w:rsid w:val="00A30FD3"/>
    <w:rsid w:val="00A3289E"/>
    <w:rsid w:val="00A35E2F"/>
    <w:rsid w:val="00A35EFA"/>
    <w:rsid w:val="00A37891"/>
    <w:rsid w:val="00A40A51"/>
    <w:rsid w:val="00A41434"/>
    <w:rsid w:val="00A47916"/>
    <w:rsid w:val="00A50FAD"/>
    <w:rsid w:val="00A51035"/>
    <w:rsid w:val="00A51D2E"/>
    <w:rsid w:val="00A536DA"/>
    <w:rsid w:val="00A546C5"/>
    <w:rsid w:val="00A571CD"/>
    <w:rsid w:val="00A574D6"/>
    <w:rsid w:val="00A57C3D"/>
    <w:rsid w:val="00A63932"/>
    <w:rsid w:val="00A6697B"/>
    <w:rsid w:val="00A7008F"/>
    <w:rsid w:val="00A71BA3"/>
    <w:rsid w:val="00A74C2D"/>
    <w:rsid w:val="00A76B34"/>
    <w:rsid w:val="00A83487"/>
    <w:rsid w:val="00A854FF"/>
    <w:rsid w:val="00A87035"/>
    <w:rsid w:val="00A8745D"/>
    <w:rsid w:val="00A900D6"/>
    <w:rsid w:val="00A9024A"/>
    <w:rsid w:val="00A90F9B"/>
    <w:rsid w:val="00A91456"/>
    <w:rsid w:val="00A92694"/>
    <w:rsid w:val="00A93072"/>
    <w:rsid w:val="00A9629C"/>
    <w:rsid w:val="00AA35D5"/>
    <w:rsid w:val="00AA417B"/>
    <w:rsid w:val="00AA4727"/>
    <w:rsid w:val="00AA533F"/>
    <w:rsid w:val="00AA5A86"/>
    <w:rsid w:val="00AA70FB"/>
    <w:rsid w:val="00AA7AAE"/>
    <w:rsid w:val="00AB010D"/>
    <w:rsid w:val="00AB0749"/>
    <w:rsid w:val="00AB76D8"/>
    <w:rsid w:val="00AB7E6A"/>
    <w:rsid w:val="00AC1B61"/>
    <w:rsid w:val="00AC2C6E"/>
    <w:rsid w:val="00AC48AC"/>
    <w:rsid w:val="00AC5EE6"/>
    <w:rsid w:val="00AD0D24"/>
    <w:rsid w:val="00AD1923"/>
    <w:rsid w:val="00AD2611"/>
    <w:rsid w:val="00AD29FD"/>
    <w:rsid w:val="00AD3AC5"/>
    <w:rsid w:val="00AD3D57"/>
    <w:rsid w:val="00AD7301"/>
    <w:rsid w:val="00AE177F"/>
    <w:rsid w:val="00AE47BF"/>
    <w:rsid w:val="00AE7D46"/>
    <w:rsid w:val="00AF2DE3"/>
    <w:rsid w:val="00AF6432"/>
    <w:rsid w:val="00AF79BD"/>
    <w:rsid w:val="00B04421"/>
    <w:rsid w:val="00B05344"/>
    <w:rsid w:val="00B074A5"/>
    <w:rsid w:val="00B07F12"/>
    <w:rsid w:val="00B13DFA"/>
    <w:rsid w:val="00B1415B"/>
    <w:rsid w:val="00B15278"/>
    <w:rsid w:val="00B176F0"/>
    <w:rsid w:val="00B21BEE"/>
    <w:rsid w:val="00B22FEA"/>
    <w:rsid w:val="00B234EC"/>
    <w:rsid w:val="00B24CC6"/>
    <w:rsid w:val="00B274AE"/>
    <w:rsid w:val="00B274BF"/>
    <w:rsid w:val="00B31222"/>
    <w:rsid w:val="00B33AFD"/>
    <w:rsid w:val="00B37CF8"/>
    <w:rsid w:val="00B42E81"/>
    <w:rsid w:val="00B4329D"/>
    <w:rsid w:val="00B443F5"/>
    <w:rsid w:val="00B517D5"/>
    <w:rsid w:val="00B520F9"/>
    <w:rsid w:val="00B52812"/>
    <w:rsid w:val="00B5495A"/>
    <w:rsid w:val="00B577A3"/>
    <w:rsid w:val="00B6258B"/>
    <w:rsid w:val="00B64230"/>
    <w:rsid w:val="00B64641"/>
    <w:rsid w:val="00B66BBD"/>
    <w:rsid w:val="00B67D38"/>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375D"/>
    <w:rsid w:val="00BB49A0"/>
    <w:rsid w:val="00BB515F"/>
    <w:rsid w:val="00BC1FA5"/>
    <w:rsid w:val="00BC2C0C"/>
    <w:rsid w:val="00BC3EBB"/>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B48"/>
    <w:rsid w:val="00BF1F5E"/>
    <w:rsid w:val="00BF3381"/>
    <w:rsid w:val="00C105B6"/>
    <w:rsid w:val="00C10FCF"/>
    <w:rsid w:val="00C15516"/>
    <w:rsid w:val="00C16B4B"/>
    <w:rsid w:val="00C17427"/>
    <w:rsid w:val="00C174BC"/>
    <w:rsid w:val="00C20C00"/>
    <w:rsid w:val="00C210FD"/>
    <w:rsid w:val="00C21EB2"/>
    <w:rsid w:val="00C22901"/>
    <w:rsid w:val="00C22F6B"/>
    <w:rsid w:val="00C24299"/>
    <w:rsid w:val="00C25238"/>
    <w:rsid w:val="00C305F2"/>
    <w:rsid w:val="00C31552"/>
    <w:rsid w:val="00C31CC0"/>
    <w:rsid w:val="00C3345C"/>
    <w:rsid w:val="00C34BF0"/>
    <w:rsid w:val="00C407E5"/>
    <w:rsid w:val="00C42DAC"/>
    <w:rsid w:val="00C4342B"/>
    <w:rsid w:val="00C459A9"/>
    <w:rsid w:val="00C474D0"/>
    <w:rsid w:val="00C502A5"/>
    <w:rsid w:val="00C50A4B"/>
    <w:rsid w:val="00C521F7"/>
    <w:rsid w:val="00C53008"/>
    <w:rsid w:val="00C54A6C"/>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8285C"/>
    <w:rsid w:val="00C901BB"/>
    <w:rsid w:val="00C90CD3"/>
    <w:rsid w:val="00C92552"/>
    <w:rsid w:val="00C93F1B"/>
    <w:rsid w:val="00C976D1"/>
    <w:rsid w:val="00CA71D4"/>
    <w:rsid w:val="00CB0D06"/>
    <w:rsid w:val="00CB5D29"/>
    <w:rsid w:val="00CB675A"/>
    <w:rsid w:val="00CB782B"/>
    <w:rsid w:val="00CC0E77"/>
    <w:rsid w:val="00CC2092"/>
    <w:rsid w:val="00CC5E76"/>
    <w:rsid w:val="00CC7B01"/>
    <w:rsid w:val="00CD3A5D"/>
    <w:rsid w:val="00CD5FD4"/>
    <w:rsid w:val="00CE0DCE"/>
    <w:rsid w:val="00CE1BC9"/>
    <w:rsid w:val="00CE33C1"/>
    <w:rsid w:val="00CE4DD6"/>
    <w:rsid w:val="00CE76FF"/>
    <w:rsid w:val="00CF0F35"/>
    <w:rsid w:val="00CF4012"/>
    <w:rsid w:val="00CF4648"/>
    <w:rsid w:val="00CF5C25"/>
    <w:rsid w:val="00CF6065"/>
    <w:rsid w:val="00D00C1B"/>
    <w:rsid w:val="00D02BC6"/>
    <w:rsid w:val="00D0310D"/>
    <w:rsid w:val="00D05803"/>
    <w:rsid w:val="00D05C7C"/>
    <w:rsid w:val="00D06906"/>
    <w:rsid w:val="00D07742"/>
    <w:rsid w:val="00D1094D"/>
    <w:rsid w:val="00D1276A"/>
    <w:rsid w:val="00D14B28"/>
    <w:rsid w:val="00D14DB7"/>
    <w:rsid w:val="00D15ED5"/>
    <w:rsid w:val="00D22B6A"/>
    <w:rsid w:val="00D348F7"/>
    <w:rsid w:val="00D3703D"/>
    <w:rsid w:val="00D40BC3"/>
    <w:rsid w:val="00D434EC"/>
    <w:rsid w:val="00D44288"/>
    <w:rsid w:val="00D4447D"/>
    <w:rsid w:val="00D44ADB"/>
    <w:rsid w:val="00D44E9D"/>
    <w:rsid w:val="00D472A7"/>
    <w:rsid w:val="00D47869"/>
    <w:rsid w:val="00D61A0E"/>
    <w:rsid w:val="00D62320"/>
    <w:rsid w:val="00D7032D"/>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3215"/>
    <w:rsid w:val="00DC4BCD"/>
    <w:rsid w:val="00DD0061"/>
    <w:rsid w:val="00DD1107"/>
    <w:rsid w:val="00DD178F"/>
    <w:rsid w:val="00DD1FE4"/>
    <w:rsid w:val="00DD53DC"/>
    <w:rsid w:val="00DD5A39"/>
    <w:rsid w:val="00DD7C4B"/>
    <w:rsid w:val="00DE2966"/>
    <w:rsid w:val="00DE4107"/>
    <w:rsid w:val="00DF06C2"/>
    <w:rsid w:val="00DF0B5E"/>
    <w:rsid w:val="00DF0ED5"/>
    <w:rsid w:val="00DF72D9"/>
    <w:rsid w:val="00DF7EC8"/>
    <w:rsid w:val="00E028ED"/>
    <w:rsid w:val="00E104F6"/>
    <w:rsid w:val="00E10748"/>
    <w:rsid w:val="00E12F57"/>
    <w:rsid w:val="00E14282"/>
    <w:rsid w:val="00E14C3E"/>
    <w:rsid w:val="00E27DDF"/>
    <w:rsid w:val="00E27E01"/>
    <w:rsid w:val="00E30A90"/>
    <w:rsid w:val="00E32DBA"/>
    <w:rsid w:val="00E350F4"/>
    <w:rsid w:val="00E42ED4"/>
    <w:rsid w:val="00E43469"/>
    <w:rsid w:val="00E445DA"/>
    <w:rsid w:val="00E45379"/>
    <w:rsid w:val="00E50B22"/>
    <w:rsid w:val="00E51E18"/>
    <w:rsid w:val="00E533BD"/>
    <w:rsid w:val="00E53706"/>
    <w:rsid w:val="00E549B6"/>
    <w:rsid w:val="00E573C6"/>
    <w:rsid w:val="00E57CE2"/>
    <w:rsid w:val="00E617BD"/>
    <w:rsid w:val="00E67E50"/>
    <w:rsid w:val="00E70503"/>
    <w:rsid w:val="00E705B4"/>
    <w:rsid w:val="00E72967"/>
    <w:rsid w:val="00E8155D"/>
    <w:rsid w:val="00E815C4"/>
    <w:rsid w:val="00E83218"/>
    <w:rsid w:val="00E86361"/>
    <w:rsid w:val="00E90C37"/>
    <w:rsid w:val="00E91D87"/>
    <w:rsid w:val="00E940E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C0E96"/>
    <w:rsid w:val="00EC3B8F"/>
    <w:rsid w:val="00EC5CA0"/>
    <w:rsid w:val="00EC7372"/>
    <w:rsid w:val="00EC762B"/>
    <w:rsid w:val="00ED30E8"/>
    <w:rsid w:val="00ED3B69"/>
    <w:rsid w:val="00ED4CB6"/>
    <w:rsid w:val="00ED6CD1"/>
    <w:rsid w:val="00ED729D"/>
    <w:rsid w:val="00ED7318"/>
    <w:rsid w:val="00EE4CE7"/>
    <w:rsid w:val="00EE5F2E"/>
    <w:rsid w:val="00EF3CB9"/>
    <w:rsid w:val="00EF4A64"/>
    <w:rsid w:val="00F00407"/>
    <w:rsid w:val="00F02171"/>
    <w:rsid w:val="00F033EF"/>
    <w:rsid w:val="00F061A6"/>
    <w:rsid w:val="00F107AF"/>
    <w:rsid w:val="00F11503"/>
    <w:rsid w:val="00F11AB3"/>
    <w:rsid w:val="00F15D77"/>
    <w:rsid w:val="00F20633"/>
    <w:rsid w:val="00F218DA"/>
    <w:rsid w:val="00F23E81"/>
    <w:rsid w:val="00F25CFE"/>
    <w:rsid w:val="00F35243"/>
    <w:rsid w:val="00F36AD0"/>
    <w:rsid w:val="00F36DFE"/>
    <w:rsid w:val="00F4018F"/>
    <w:rsid w:val="00F40ACF"/>
    <w:rsid w:val="00F43E6E"/>
    <w:rsid w:val="00F44423"/>
    <w:rsid w:val="00F479BF"/>
    <w:rsid w:val="00F50B09"/>
    <w:rsid w:val="00F51236"/>
    <w:rsid w:val="00F5374C"/>
    <w:rsid w:val="00F541B8"/>
    <w:rsid w:val="00F56532"/>
    <w:rsid w:val="00F56CC2"/>
    <w:rsid w:val="00F574B7"/>
    <w:rsid w:val="00F60BC0"/>
    <w:rsid w:val="00F61B7F"/>
    <w:rsid w:val="00F62370"/>
    <w:rsid w:val="00F628D3"/>
    <w:rsid w:val="00F6497E"/>
    <w:rsid w:val="00F65DA8"/>
    <w:rsid w:val="00F677E2"/>
    <w:rsid w:val="00F73751"/>
    <w:rsid w:val="00F75EAD"/>
    <w:rsid w:val="00F77154"/>
    <w:rsid w:val="00F80F33"/>
    <w:rsid w:val="00F846D6"/>
    <w:rsid w:val="00F85362"/>
    <w:rsid w:val="00F9173A"/>
    <w:rsid w:val="00F91800"/>
    <w:rsid w:val="00F94902"/>
    <w:rsid w:val="00F94E99"/>
    <w:rsid w:val="00F957A3"/>
    <w:rsid w:val="00F9650A"/>
    <w:rsid w:val="00F967C7"/>
    <w:rsid w:val="00FA0437"/>
    <w:rsid w:val="00FA233F"/>
    <w:rsid w:val="00FA2E05"/>
    <w:rsid w:val="00FA4111"/>
    <w:rsid w:val="00FA7D57"/>
    <w:rsid w:val="00FB0008"/>
    <w:rsid w:val="00FB071C"/>
    <w:rsid w:val="00FB1056"/>
    <w:rsid w:val="00FB3EA0"/>
    <w:rsid w:val="00FB4127"/>
    <w:rsid w:val="00FB55F4"/>
    <w:rsid w:val="00FB64C5"/>
    <w:rsid w:val="00FC0B63"/>
    <w:rsid w:val="00FC1AF3"/>
    <w:rsid w:val="00FC2209"/>
    <w:rsid w:val="00FC293B"/>
    <w:rsid w:val="00FC2BDE"/>
    <w:rsid w:val="00FC7531"/>
    <w:rsid w:val="00FC7EAA"/>
    <w:rsid w:val="00FD4AB4"/>
    <w:rsid w:val="00FD4FA5"/>
    <w:rsid w:val="00FD5166"/>
    <w:rsid w:val="00FE0A55"/>
    <w:rsid w:val="00FE5410"/>
    <w:rsid w:val="00FF0E2D"/>
    <w:rsid w:val="00FF1A14"/>
    <w:rsid w:val="00FF456A"/>
    <w:rsid w:val="00FF6204"/>
    <w:rsid w:val="00FF634D"/>
    <w:rsid w:val="00FF68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32573C4"/>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yperlink" Target="https://consultas.curp.gob.mx/CurpSP/html/informacionecurpP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39AAE-2F62-46E6-8650-DF060CEE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9721</Words>
  <Characters>53471</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20</cp:revision>
  <cp:lastPrinted>2019-05-16T22:33:00Z</cp:lastPrinted>
  <dcterms:created xsi:type="dcterms:W3CDTF">2019-05-09T03:08:00Z</dcterms:created>
  <dcterms:modified xsi:type="dcterms:W3CDTF">2019-06-11T17:56:00Z</dcterms:modified>
</cp:coreProperties>
</file>