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E83" w:rsidRDefault="00B71E83" w:rsidP="00631154">
      <w:pPr>
        <w:shd w:val="clear" w:color="auto" w:fill="FFFFFF"/>
        <w:tabs>
          <w:tab w:val="left" w:pos="5719"/>
        </w:tabs>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0F4524">
        <w:rPr>
          <w:rFonts w:ascii="Palatino Linotype" w:eastAsia="Times New Roman" w:hAnsi="Palatino Linotype" w:cs="Arial"/>
          <w:color w:val="000000"/>
          <w:sz w:val="24"/>
          <w:szCs w:val="24"/>
          <w:lang w:eastAsia="es-MX"/>
        </w:rPr>
        <w:t xml:space="preserve">a </w:t>
      </w:r>
      <w:r w:rsidR="00302AFD">
        <w:rPr>
          <w:rFonts w:ascii="Palatino Linotype" w:eastAsia="Times New Roman" w:hAnsi="Palatino Linotype" w:cs="Arial"/>
          <w:color w:val="000000"/>
          <w:sz w:val="24"/>
          <w:szCs w:val="24"/>
          <w:lang w:eastAsia="es-MX"/>
        </w:rPr>
        <w:t>catorce de mayo de dos mil diecinueve</w:t>
      </w:r>
      <w:r w:rsidR="00A92871">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C08CC">
        <w:rPr>
          <w:rFonts w:ascii="Palatino Linotype" w:hAnsi="Palatino Linotype" w:cs="Arial"/>
          <w:b/>
          <w:bCs/>
          <w:sz w:val="24"/>
          <w:lang w:eastAsia="es-MX"/>
        </w:rPr>
        <w:t>011</w:t>
      </w:r>
      <w:r w:rsidR="004B6A22">
        <w:rPr>
          <w:rFonts w:ascii="Palatino Linotype" w:hAnsi="Palatino Linotype" w:cs="Arial"/>
          <w:b/>
          <w:bCs/>
          <w:sz w:val="24"/>
          <w:lang w:eastAsia="es-MX"/>
        </w:rPr>
        <w:t>20/INFOEM/AD/RR/2019,</w:t>
      </w:r>
      <w:r>
        <w:rPr>
          <w:rFonts w:ascii="Palatino Linotype" w:hAnsi="Palatino Linotype" w:cs="Arial"/>
          <w:sz w:val="24"/>
        </w:rPr>
        <w:t xml:space="preserve"> </w:t>
      </w:r>
      <w:r w:rsidR="00E46096">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667D29">
        <w:rPr>
          <w:rFonts w:ascii="Palatino Linotype" w:hAnsi="Palatino Linotype" w:cs="Arial"/>
          <w:b/>
          <w:sz w:val="24"/>
          <w:szCs w:val="24"/>
        </w:rPr>
        <w:t>XXXXXXX XXXXXXX XXXXXXX</w:t>
      </w:r>
      <w:r w:rsidR="004B6A22">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631154">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xml:space="preserve">, en contra de la respuesta </w:t>
      </w:r>
      <w:r w:rsidRPr="00224181">
        <w:rPr>
          <w:rFonts w:ascii="Palatino Linotype" w:hAnsi="Palatino Linotype" w:cs="Arial"/>
          <w:sz w:val="24"/>
          <w:szCs w:val="24"/>
        </w:rPr>
        <w:t xml:space="preserve">del </w:t>
      </w:r>
      <w:r w:rsidR="00BA4A38" w:rsidRPr="00BA4A38">
        <w:rPr>
          <w:rFonts w:ascii="Palatino Linotype" w:hAnsi="Palatino Linotype" w:cs="Arial"/>
          <w:b/>
          <w:sz w:val="24"/>
          <w:szCs w:val="24"/>
        </w:rPr>
        <w:t>Instituto de Seguridad Social del Estado de México y Municipios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w:t>
      </w:r>
      <w:r w:rsidR="00631154">
        <w:rPr>
          <w:rFonts w:ascii="Palatino Linotype" w:hAnsi="Palatino Linotype"/>
          <w:b/>
          <w:sz w:val="28"/>
          <w:szCs w:val="28"/>
        </w:rPr>
        <w:t>l Acceso a Datos Personales</w:t>
      </w:r>
      <w:r w:rsidRPr="0087163A">
        <w:rPr>
          <w:rFonts w:ascii="Palatino Linotype" w:hAnsi="Palatino Linotype"/>
          <w:b/>
          <w:sz w:val="28"/>
          <w:szCs w:val="28"/>
        </w:rPr>
        <w:t>.</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B6A22">
        <w:rPr>
          <w:rFonts w:ascii="Palatino Linotype" w:hAnsi="Palatino Linotype" w:cs="Arial"/>
          <w:sz w:val="24"/>
        </w:rPr>
        <w:t>dieciocho de enero de dos mil diecinueve</w:t>
      </w:r>
      <w:r>
        <w:rPr>
          <w:rFonts w:ascii="Palatino Linotype" w:hAnsi="Palatino Linotype" w:cs="Arial"/>
          <w:sz w:val="24"/>
        </w:rPr>
        <w:t xml:space="preserve">, </w:t>
      </w:r>
      <w:r w:rsidR="00875E6F">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w:t>
      </w:r>
      <w:r w:rsidR="00631154">
        <w:rPr>
          <w:rFonts w:ascii="Palatino Linotype" w:hAnsi="Palatino Linotype" w:cs="Arial"/>
          <w:sz w:val="24"/>
        </w:rPr>
        <w:t xml:space="preserve"> a través del Sistema de Acceso, Rectificación, Cancelación y Oposición de Datos Personales del Estado de México </w:t>
      </w:r>
      <w:r>
        <w:rPr>
          <w:rFonts w:ascii="Palatino Linotype" w:hAnsi="Palatino Linotype" w:cs="Arial"/>
          <w:sz w:val="24"/>
        </w:rPr>
        <w:t>(</w:t>
      </w:r>
      <w:r w:rsidR="00631154">
        <w:rPr>
          <w:rFonts w:ascii="Palatino Linotype" w:hAnsi="Palatino Linotype" w:cs="Arial"/>
          <w:b/>
          <w:sz w:val="24"/>
        </w:rPr>
        <w:t>SARCOEM</w:t>
      </w:r>
      <w:r>
        <w:rPr>
          <w:rFonts w:ascii="Palatino Linotype" w:hAnsi="Palatino Linotype" w:cs="Arial"/>
          <w:b/>
          <w:sz w:val="24"/>
        </w:rPr>
        <w:t>)</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w:t>
      </w:r>
      <w:r w:rsidR="002F2F4F">
        <w:rPr>
          <w:rFonts w:ascii="Palatino Linotype" w:hAnsi="Palatino Linotype" w:cs="Arial"/>
          <w:sz w:val="24"/>
        </w:rPr>
        <w:t xml:space="preserve"> datos personales</w:t>
      </w:r>
      <w:r>
        <w:rPr>
          <w:rFonts w:ascii="Palatino Linotype" w:hAnsi="Palatino Linotype" w:cs="Arial"/>
          <w:sz w:val="24"/>
        </w:rPr>
        <w:t>, registrada bajo el número de expediente</w:t>
      </w:r>
      <w:r>
        <w:rPr>
          <w:rFonts w:ascii="Palatino Linotype" w:hAnsi="Palatino Linotype" w:cs="Arial"/>
          <w:b/>
          <w:sz w:val="24"/>
        </w:rPr>
        <w:t xml:space="preserve"> </w:t>
      </w:r>
      <w:r w:rsidR="00BC08CC" w:rsidRPr="00BC08CC">
        <w:rPr>
          <w:rFonts w:ascii="Palatino Linotype" w:hAnsi="Palatino Linotype" w:cs="Arial"/>
          <w:b/>
          <w:sz w:val="24"/>
        </w:rPr>
        <w:t>00020/ISSEMYM/AD/2019</w:t>
      </w:r>
      <w:r>
        <w:rPr>
          <w:rFonts w:ascii="Palatino Linotype" w:hAnsi="Palatino Linotype" w:cs="Arial"/>
          <w:b/>
          <w:sz w:val="24"/>
          <w:lang w:eastAsia="es-MX"/>
        </w:rPr>
        <w:t xml:space="preserve">, </w:t>
      </w:r>
      <w:r>
        <w:rPr>
          <w:rFonts w:ascii="Palatino Linotype" w:hAnsi="Palatino Linotype" w:cs="Arial"/>
          <w:sz w:val="24"/>
        </w:rPr>
        <w:t xml:space="preserve">mediante la cual solicitó </w:t>
      </w:r>
      <w:r w:rsidR="00C9537F">
        <w:rPr>
          <w:rFonts w:ascii="Palatino Linotype" w:hAnsi="Palatino Linotype" w:cs="Arial"/>
          <w:sz w:val="24"/>
        </w:rPr>
        <w:t>el acceso a datos</w:t>
      </w:r>
      <w:r>
        <w:rPr>
          <w:rFonts w:ascii="Palatino Linotype" w:hAnsi="Palatino Linotype" w:cs="Arial"/>
          <w:sz w:val="24"/>
        </w:rPr>
        <w:t xml:space="preserve">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4B6A22" w:rsidRPr="004B6A22">
        <w:rPr>
          <w:rFonts w:ascii="Palatino Linotype" w:hAnsi="Palatino Linotype"/>
          <w:i/>
          <w:color w:val="000000"/>
        </w:rPr>
        <w:t>Solicito copia certificada del dictamen medico de defunción por ri</w:t>
      </w:r>
      <w:r w:rsidR="00663170">
        <w:rPr>
          <w:rFonts w:ascii="Palatino Linotype" w:hAnsi="Palatino Linotype"/>
          <w:i/>
          <w:color w:val="000000"/>
        </w:rPr>
        <w:t>esgo de trabajo de mi hija XXXXX</w:t>
      </w:r>
      <w:r w:rsidR="004B6A22" w:rsidRPr="004B6A22">
        <w:rPr>
          <w:rFonts w:ascii="Palatino Linotype" w:hAnsi="Palatino Linotype"/>
          <w:i/>
          <w:color w:val="000000"/>
        </w:rPr>
        <w:t xml:space="preserve"> </w:t>
      </w:r>
      <w:r w:rsidR="00663170">
        <w:rPr>
          <w:rFonts w:ascii="Palatino Linotype" w:hAnsi="Palatino Linotype"/>
          <w:i/>
          <w:color w:val="000000"/>
        </w:rPr>
        <w:t>XXXXXXXXX XXXXXXX con clave issemym XXXXX</w:t>
      </w:r>
      <w:r w:rsidR="004B6A22" w:rsidRPr="004B6A22">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684C23">
      <w:pPr>
        <w:spacing w:before="240" w:line="240" w:lineRule="auto"/>
        <w:ind w:left="708"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w:t>
      </w:r>
      <w:r w:rsidR="00C9537F">
        <w:rPr>
          <w:rFonts w:ascii="Palatino Linotype" w:eastAsia="Times New Roman" w:hAnsi="Palatino Linotype" w:cs="Times New Roman"/>
          <w:sz w:val="24"/>
          <w:szCs w:val="24"/>
          <w:lang w:val="es-ES_tradnl" w:eastAsia="es-ES"/>
        </w:rPr>
        <w:t>RCOEM</w:t>
      </w:r>
      <w:r>
        <w:rPr>
          <w:rFonts w:ascii="Palatino Linotype" w:eastAsia="Times New Roman" w:hAnsi="Palatino Linotype" w:cs="Times New Roman"/>
          <w:sz w:val="24"/>
          <w:szCs w:val="24"/>
          <w:lang w:val="es-ES_tradnl" w:eastAsia="es-ES"/>
        </w:rPr>
        <w:t>.</w:t>
      </w:r>
    </w:p>
    <w:p w:rsidR="00474CDA" w:rsidRDefault="00474CDA" w:rsidP="00474CDA">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Asimismo, es de señalar que la recurrente adjunto el documento denominado </w:t>
      </w:r>
      <w:r w:rsidRPr="00684C23">
        <w:rPr>
          <w:rFonts w:ascii="Palatino Linotype" w:eastAsia="Times New Roman" w:hAnsi="Palatino Linotype" w:cs="Times New Roman"/>
          <w:sz w:val="24"/>
          <w:szCs w:val="24"/>
          <w:lang w:val="es-ES_tradnl" w:eastAsia="es-ES"/>
        </w:rPr>
        <w:t>ESCANEADOS.pdf</w:t>
      </w:r>
      <w:r>
        <w:rPr>
          <w:rFonts w:ascii="Palatino Linotype" w:eastAsia="Times New Roman" w:hAnsi="Palatino Linotype" w:cs="Times New Roman"/>
          <w:sz w:val="24"/>
          <w:szCs w:val="24"/>
          <w:lang w:val="es-ES_tradnl" w:eastAsia="es-ES"/>
        </w:rPr>
        <w:t>, el cual consta de lo siguiente:</w:t>
      </w:r>
    </w:p>
    <w:p w:rsidR="00474CDA" w:rsidRPr="007D1F8A" w:rsidRDefault="00474CDA" w:rsidP="007D1F8A">
      <w:pPr>
        <w:pStyle w:val="Prrafodelista"/>
        <w:numPr>
          <w:ilvl w:val="0"/>
          <w:numId w:val="11"/>
        </w:numPr>
        <w:spacing w:before="240" w:line="360" w:lineRule="auto"/>
        <w:jc w:val="both"/>
        <w:rPr>
          <w:rFonts w:ascii="Palatino Linotype" w:hAnsi="Palatino Linotype"/>
          <w:lang w:val="es-ES_tradnl"/>
        </w:rPr>
      </w:pPr>
      <w:r w:rsidRPr="007D1F8A">
        <w:rPr>
          <w:rFonts w:ascii="Palatino Linotype" w:hAnsi="Palatino Linotype"/>
          <w:lang w:val="es-ES_tradnl"/>
        </w:rPr>
        <w:t>Credencial para votar: Identificación of</w:t>
      </w:r>
      <w:r w:rsidR="00663170">
        <w:rPr>
          <w:rFonts w:ascii="Palatino Linotype" w:hAnsi="Palatino Linotype"/>
          <w:lang w:val="es-ES_tradnl"/>
        </w:rPr>
        <w:t>icial expedida a favor de xxxxxx xxxxxxx xxxxxxx</w:t>
      </w:r>
      <w:r w:rsidRPr="007D1F8A">
        <w:rPr>
          <w:rFonts w:ascii="Palatino Linotype" w:hAnsi="Palatino Linotype"/>
          <w:lang w:val="es-ES_tradnl"/>
        </w:rPr>
        <w:t>, emitida por el entonces Instituto Federal Electoral.</w:t>
      </w:r>
    </w:p>
    <w:p w:rsidR="00474CDA" w:rsidRPr="007D1F8A" w:rsidRDefault="00474CDA" w:rsidP="007D1F8A">
      <w:pPr>
        <w:pStyle w:val="Prrafodelista"/>
        <w:numPr>
          <w:ilvl w:val="0"/>
          <w:numId w:val="11"/>
        </w:numPr>
        <w:spacing w:before="240" w:line="360" w:lineRule="auto"/>
        <w:jc w:val="both"/>
        <w:rPr>
          <w:rFonts w:ascii="Palatino Linotype" w:hAnsi="Palatino Linotype"/>
        </w:rPr>
      </w:pPr>
      <w:r w:rsidRPr="007D1F8A">
        <w:rPr>
          <w:rFonts w:ascii="Palatino Linotype" w:hAnsi="Palatino Linotype"/>
        </w:rPr>
        <w:t>Credencial para votar: Identificación o</w:t>
      </w:r>
      <w:r w:rsidR="00663170">
        <w:rPr>
          <w:rFonts w:ascii="Palatino Linotype" w:hAnsi="Palatino Linotype"/>
        </w:rPr>
        <w:t>ficial expedida a favor de xxxxx xxxxxxxxx xxxxxxx</w:t>
      </w:r>
      <w:r w:rsidRPr="007D1F8A">
        <w:rPr>
          <w:rFonts w:ascii="Palatino Linotype" w:hAnsi="Palatino Linotype"/>
        </w:rPr>
        <w:t>, emitida por el entonces Instituto Federal Electoral.</w:t>
      </w:r>
    </w:p>
    <w:p w:rsidR="00684C23" w:rsidRPr="007D1F8A" w:rsidRDefault="00474CDA" w:rsidP="007D1F8A">
      <w:pPr>
        <w:pStyle w:val="Prrafodelista"/>
        <w:numPr>
          <w:ilvl w:val="0"/>
          <w:numId w:val="11"/>
        </w:numPr>
        <w:spacing w:before="240" w:line="360" w:lineRule="auto"/>
        <w:ind w:right="850"/>
        <w:jc w:val="both"/>
        <w:rPr>
          <w:rFonts w:ascii="Palatino Linotype" w:hAnsi="Palatino Linotype"/>
          <w:lang w:val="es-ES_tradnl"/>
        </w:rPr>
      </w:pPr>
      <w:r w:rsidRPr="007D1F8A">
        <w:rPr>
          <w:rFonts w:ascii="Palatino Linotype" w:hAnsi="Palatino Linotype"/>
          <w:lang w:val="es-ES_tradnl"/>
        </w:rPr>
        <w:t xml:space="preserve">Acta de Defunción: Signada por el Director General del Registro Civil, </w:t>
      </w:r>
      <w:r w:rsidR="004A194A">
        <w:rPr>
          <w:rFonts w:ascii="Palatino Linotype" w:hAnsi="Palatino Linotype"/>
          <w:lang w:val="es-ES_tradnl"/>
        </w:rPr>
        <w:t>a nombre de</w:t>
      </w:r>
      <w:r w:rsidR="00663170">
        <w:rPr>
          <w:rFonts w:ascii="Palatino Linotype" w:hAnsi="Palatino Linotype"/>
          <w:lang w:val="es-ES_tradnl"/>
        </w:rPr>
        <w:t xml:space="preserve"> xxxxx xxxxxxxxx xxxxxxx</w:t>
      </w:r>
      <w:r w:rsidRPr="007D1F8A">
        <w:rPr>
          <w:rFonts w:ascii="Palatino Linotype" w:hAnsi="Palatino Linotype"/>
          <w:lang w:val="es-ES_tradnl"/>
        </w:rPr>
        <w:t xml:space="preserve">. </w:t>
      </w:r>
    </w:p>
    <w:p w:rsidR="00474CDA" w:rsidRPr="007D1F8A" w:rsidRDefault="00474CDA" w:rsidP="007D1F8A">
      <w:pPr>
        <w:pStyle w:val="Prrafodelista"/>
        <w:numPr>
          <w:ilvl w:val="0"/>
          <w:numId w:val="11"/>
        </w:numPr>
        <w:spacing w:before="240" w:line="360" w:lineRule="auto"/>
        <w:ind w:right="850"/>
        <w:jc w:val="both"/>
        <w:rPr>
          <w:rFonts w:ascii="Palatino Linotype" w:hAnsi="Palatino Linotype"/>
          <w:lang w:val="es-ES_tradnl"/>
        </w:rPr>
      </w:pPr>
      <w:r w:rsidRPr="007D1F8A">
        <w:rPr>
          <w:rFonts w:ascii="Palatino Linotype" w:hAnsi="Palatino Linotype"/>
          <w:lang w:val="es-ES_tradnl"/>
        </w:rPr>
        <w:t>Carta Testamentaria para seguro por fallec</w:t>
      </w:r>
      <w:r w:rsidR="00663170">
        <w:rPr>
          <w:rFonts w:ascii="Palatino Linotype" w:hAnsi="Palatino Linotype"/>
          <w:lang w:val="es-ES_tradnl"/>
        </w:rPr>
        <w:t>imiento: Signada por la C. xxxxx xxxxxxxxx xxxxxxx</w:t>
      </w:r>
      <w:r w:rsidRPr="007D1F8A">
        <w:rPr>
          <w:rFonts w:ascii="Palatino Linotype" w:hAnsi="Palatino Linotype"/>
          <w:lang w:val="es-ES_tradnl"/>
        </w:rPr>
        <w:t xml:space="preserve">, engloba diversos datos, tales como nombre de la servidora pública, beneficiarios, parentesco, porcentaje, entre otros; de fecha treinta y uno de agosto del dos mil. </w:t>
      </w:r>
    </w:p>
    <w:p w:rsidR="00474CDA" w:rsidRPr="007D1F8A" w:rsidRDefault="00474CDA" w:rsidP="007D1F8A">
      <w:pPr>
        <w:pStyle w:val="Prrafodelista"/>
        <w:numPr>
          <w:ilvl w:val="0"/>
          <w:numId w:val="11"/>
        </w:numPr>
        <w:spacing w:before="240" w:line="360" w:lineRule="auto"/>
        <w:ind w:right="850"/>
        <w:jc w:val="both"/>
        <w:rPr>
          <w:rFonts w:ascii="Palatino Linotype" w:hAnsi="Palatino Linotype"/>
          <w:lang w:val="es-ES_tradnl"/>
        </w:rPr>
      </w:pPr>
      <w:r w:rsidRPr="007D1F8A">
        <w:rPr>
          <w:rFonts w:ascii="Palatino Linotype" w:hAnsi="Palatino Linotype"/>
          <w:lang w:val="es-ES_tradnl"/>
        </w:rPr>
        <w:t>Acta de Nacimiento: Signada por el Director General del Registro Civil,</w:t>
      </w:r>
      <w:r w:rsidR="00663170">
        <w:rPr>
          <w:rFonts w:ascii="Palatino Linotype" w:hAnsi="Palatino Linotype"/>
          <w:lang w:val="es-ES_tradnl"/>
        </w:rPr>
        <w:t xml:space="preserve"> expedida a favor de la C. xxxxx xxxxxxxxx xxxxxxx</w:t>
      </w:r>
      <w:r w:rsidRPr="007D1F8A">
        <w:rPr>
          <w:rFonts w:ascii="Palatino Linotype" w:hAnsi="Palatino Linotype"/>
          <w:lang w:val="es-ES_tradnl"/>
        </w:rPr>
        <w:t>.</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684C23" w:rsidRDefault="00E15E85" w:rsidP="00684C23">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w:t>
      </w:r>
      <w:r w:rsidR="00C9537F">
        <w:rPr>
          <w:rFonts w:ascii="Palatino Linotype" w:hAnsi="Palatino Linotype" w:cs="Arial"/>
          <w:b/>
          <w:sz w:val="24"/>
        </w:rPr>
        <w:t>RCOEM</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684C23" w:rsidRPr="00684C23">
        <w:rPr>
          <w:rFonts w:ascii="Palatino Linotype" w:hAnsi="Palatino Linotype" w:cs="Arial"/>
          <w:sz w:val="24"/>
        </w:rPr>
        <w:t>en</w:t>
      </w:r>
      <w:r w:rsidR="00684C23">
        <w:rPr>
          <w:rFonts w:ascii="Palatino Linotype" w:hAnsi="Palatino Linotype" w:cs="Arial"/>
          <w:b/>
          <w:sz w:val="24"/>
        </w:rPr>
        <w:t xml:space="preserve"> </w:t>
      </w:r>
      <w:r w:rsidR="00684C23">
        <w:rPr>
          <w:rFonts w:ascii="Palatino Linotype" w:hAnsi="Palatino Linotype" w:cs="Arial"/>
          <w:sz w:val="24"/>
        </w:rPr>
        <w:t xml:space="preserve">fecha veintidós de enero de dos mil diecinueve realizo una solicitud de aclaración¸ </w:t>
      </w:r>
      <w:r w:rsidR="00684C23">
        <w:rPr>
          <w:rFonts w:ascii="Palatino Linotype" w:hAnsi="Palatino Linotype" w:cs="Arial"/>
          <w:sz w:val="24"/>
        </w:rPr>
        <w:lastRenderedPageBreak/>
        <w:t>señalando que para el caso de que la recurrente no desahogue la aclaración, se tendrá por no presentada la solicitud de información; requerimiento que no se desahogó por la particular por lo que el sujeto obligado tuvo por no presentada la solicitud en los siguientes términos.</w:t>
      </w:r>
    </w:p>
    <w:p w:rsidR="00684C23" w:rsidRPr="00684C23" w:rsidRDefault="00684C23" w:rsidP="00684C23">
      <w:pPr>
        <w:spacing w:before="240" w:line="360" w:lineRule="auto"/>
        <w:ind w:left="708"/>
        <w:jc w:val="both"/>
        <w:rPr>
          <w:rFonts w:ascii="Palatino Linotype" w:hAnsi="Palatino Linotype" w:cs="Arial"/>
          <w:i/>
          <w:sz w:val="24"/>
        </w:rPr>
      </w:pPr>
      <w:r w:rsidRPr="00684C23">
        <w:rPr>
          <w:rFonts w:ascii="Palatino Linotype" w:hAnsi="Palatino Linotype" w:cs="Arial"/>
          <w:i/>
          <w:sz w:val="24"/>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rsidR="00684C23" w:rsidRPr="00684C23" w:rsidRDefault="00684C23" w:rsidP="00684C23">
      <w:pPr>
        <w:spacing w:before="240" w:line="360" w:lineRule="auto"/>
        <w:ind w:left="708"/>
        <w:jc w:val="both"/>
        <w:rPr>
          <w:rFonts w:ascii="Palatino Linotype" w:hAnsi="Palatino Linotype" w:cs="Arial"/>
          <w:i/>
          <w:sz w:val="24"/>
        </w:rPr>
      </w:pPr>
      <w:r w:rsidRPr="00684C23">
        <w:rPr>
          <w:rFonts w:ascii="Palatino Linotype" w:hAnsi="Palatino Linotype" w:cs="Arial"/>
          <w:i/>
          <w:sz w:val="24"/>
        </w:rPr>
        <w:t>No presento aclaración complementación o corrección de datos de la solicitud</w:t>
      </w:r>
    </w:p>
    <w:p w:rsidR="00684C23" w:rsidRPr="00684C23" w:rsidRDefault="00684C23" w:rsidP="00684C23">
      <w:pPr>
        <w:spacing w:before="240" w:line="360" w:lineRule="auto"/>
        <w:ind w:left="708"/>
        <w:jc w:val="both"/>
        <w:rPr>
          <w:rFonts w:ascii="Palatino Linotype" w:hAnsi="Palatino Linotype" w:cs="Arial"/>
          <w:i/>
          <w:sz w:val="24"/>
        </w:rPr>
      </w:pPr>
      <w:r w:rsidRPr="00684C23">
        <w:rPr>
          <w:rFonts w:ascii="Palatino Linotype" w:hAnsi="Palatino Linotype" w:cs="Arial"/>
          <w:i/>
          <w:sz w:val="24"/>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684C23" w:rsidRPr="00684C23" w:rsidRDefault="00684C23" w:rsidP="00684C23">
      <w:pPr>
        <w:spacing w:before="240" w:line="360" w:lineRule="auto"/>
        <w:ind w:left="708"/>
        <w:jc w:val="both"/>
        <w:rPr>
          <w:rFonts w:ascii="Palatino Linotype" w:hAnsi="Palatino Linotype" w:cs="Arial"/>
          <w:i/>
          <w:sz w:val="24"/>
        </w:rPr>
      </w:pPr>
      <w:r w:rsidRPr="00684C23">
        <w:rPr>
          <w:rFonts w:ascii="Palatino Linotype" w:hAnsi="Palatino Linotype" w:cs="Arial"/>
          <w:i/>
          <w:sz w:val="24"/>
        </w:rPr>
        <w:t xml:space="preserve">ATENTAMENTE </w:t>
      </w:r>
    </w:p>
    <w:p w:rsidR="00E15E85" w:rsidRPr="00441A94" w:rsidRDefault="00E15E85" w:rsidP="00E15E8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respuesta por el sujeto obligado, </w:t>
      </w:r>
      <w:r w:rsidR="00FC40AC">
        <w:rPr>
          <w:rFonts w:ascii="Palatino Linotype" w:hAnsi="Palatino Linotype" w:cs="Arial"/>
          <w:b/>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684C23">
        <w:rPr>
          <w:rFonts w:ascii="Palatino Linotype" w:hAnsi="Palatino Linotype" w:cs="Arial"/>
          <w:sz w:val="24"/>
          <w:szCs w:val="24"/>
        </w:rPr>
        <w:t>veintisiete de febrero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en el sistema elect</w:t>
      </w:r>
      <w:r w:rsidR="00560146">
        <w:rPr>
          <w:rFonts w:ascii="Palatino Linotype" w:hAnsi="Palatino Linotype" w:cs="Arial"/>
          <w:sz w:val="24"/>
          <w:szCs w:val="24"/>
        </w:rPr>
        <w:t xml:space="preserve">rónico con el expediente número </w:t>
      </w:r>
      <w:r w:rsidR="00684C23">
        <w:rPr>
          <w:rFonts w:ascii="Palatino Linotype" w:hAnsi="Palatino Linotype" w:cs="Arial"/>
          <w:b/>
          <w:bCs/>
          <w:sz w:val="24"/>
          <w:szCs w:val="24"/>
          <w:lang w:eastAsia="es-MX"/>
        </w:rPr>
        <w:t>01120/INFOEM/AD/RR/2019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7D1F8A" w:rsidRDefault="007D1F8A" w:rsidP="00E15E85">
      <w:pPr>
        <w:spacing w:before="240" w:line="360" w:lineRule="auto"/>
        <w:jc w:val="both"/>
        <w:rPr>
          <w:rFonts w:ascii="Palatino Linotype" w:hAnsi="Palatino Linotype" w:cs="Arial"/>
          <w:sz w:val="24"/>
        </w:rPr>
      </w:pP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684C23" w:rsidRPr="00684C23">
        <w:rPr>
          <w:rFonts w:ascii="Palatino Linotype" w:hAnsi="Palatino Linotype"/>
          <w:i/>
          <w:color w:val="000000"/>
        </w:rPr>
        <w:t>NO ME PROPORCIONAN COPIA CERTIFICADA DE DICTAMEN MÉDICO DE DEFUNCIÓN POR RIESGO DE TRABAJO SOLICITADA</w:t>
      </w:r>
      <w:r w:rsidR="00350355" w:rsidRPr="00350355">
        <w:rPr>
          <w:rFonts w:ascii="Palatino Linotype" w:hAnsi="Palatino Linotype"/>
          <w:i/>
          <w:color w:val="000000"/>
        </w:rPr>
        <w:t>.</w:t>
      </w:r>
      <w:r w:rsidR="00875499" w:rsidRPr="00875499">
        <w:rPr>
          <w:rFonts w:ascii="Palatino Linotype" w:hAnsi="Palatino Linotype"/>
          <w:i/>
          <w:color w:val="000000"/>
        </w:rPr>
        <w:t>"</w:t>
      </w:r>
      <w:r w:rsidRPr="00A435E2">
        <w:rPr>
          <w:rFonts w:ascii="Palatino Linotype" w:hAnsi="Palatino Linotype"/>
          <w:i/>
          <w:color w:val="000000"/>
        </w:rPr>
        <w:t>[sic]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BD22FF" w:rsidRDefault="00E15E85" w:rsidP="007D1F8A">
      <w:pPr>
        <w:ind w:left="851" w:right="850"/>
        <w:jc w:val="both"/>
        <w:rPr>
          <w:rFonts w:ascii="Palatino Linotype" w:hAnsi="Palatino Linotype" w:cs="Arial"/>
          <w:i/>
        </w:rPr>
      </w:pPr>
      <w:r w:rsidRPr="004469D5">
        <w:rPr>
          <w:rFonts w:ascii="Palatino Linotype" w:hAnsi="Palatino Linotype" w:cs="Arial"/>
          <w:i/>
        </w:rPr>
        <w:t>“</w:t>
      </w:r>
      <w:r w:rsidR="00684C23" w:rsidRPr="00684C23">
        <w:rPr>
          <w:rFonts w:ascii="Palatino Linotype" w:hAnsi="Palatino Linotype" w:cs="Arial"/>
          <w:i/>
        </w:rPr>
        <w:t>Con motivo del cobro de un seguro de vida del cual soy beneficiaria, ingrese una solicitud en el SARCOEM, el día 18 de enero de 2019, en la cual solicito copia certificada de dictamen médico de defunción por riesgo de trabajo de mi hija, quien falleció el 30 de mayo del 2016. Posteriormente la unidad de Transparencia me requirió complementar mi solicitud de acceso a datos, debido a que no anexe el documento mediante el cual mi hija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y jurídico, tal y como se demuestra con los documentos que adjunte en la solicitud que realice, los cuales son: • Identificaciones oficiales de ambos. • Acta de nacimiento de mi hija. • Acta de defunción. • Copia simple de carta testamentaria. Por lo anterior, solicito al ISSEMYM, me otorgue la copia certificada del dictamen médico de defunción por riesgo de trabajo de mi hija para poder continuar con los trámites para el cobro de seguro de vida del cual soy beneficiaria.</w:t>
      </w:r>
      <w:r w:rsidRPr="004469D5">
        <w:rPr>
          <w:rFonts w:ascii="Palatino Linotype" w:hAnsi="Palatino Linotype" w:cs="Arial"/>
          <w:i/>
        </w:rPr>
        <w:t>”</w:t>
      </w:r>
      <w:r w:rsidR="00527856" w:rsidRPr="004469D5">
        <w:rPr>
          <w:rFonts w:ascii="Palatino Linotype" w:hAnsi="Palatino Linotype" w:cs="Arial"/>
          <w:i/>
        </w:rPr>
        <w:t xml:space="preserve"> [</w:t>
      </w:r>
      <w:r w:rsidRPr="004469D5">
        <w:rPr>
          <w:rFonts w:ascii="Palatino Linotype" w:hAnsi="Palatino Linotype" w:cs="Arial"/>
          <w:i/>
        </w:rPr>
        <w:t>sic]</w:t>
      </w:r>
    </w:p>
    <w:p w:rsidR="00C02EA7" w:rsidRDefault="00C02EA7" w:rsidP="007D1F8A">
      <w:pPr>
        <w:ind w:left="851" w:right="850"/>
        <w:jc w:val="both"/>
        <w:rPr>
          <w:rFonts w:ascii="Palatino Linotype" w:hAnsi="Palatino Linotype" w:cs="Arial"/>
          <w:i/>
        </w:rPr>
      </w:pPr>
    </w:p>
    <w:p w:rsidR="00C02EA7" w:rsidRPr="00BD22FF" w:rsidRDefault="00C02EA7" w:rsidP="007D1F8A">
      <w:pPr>
        <w:ind w:left="851" w:right="850"/>
        <w:jc w:val="both"/>
        <w:rPr>
          <w:rFonts w:ascii="Palatino Linotype" w:hAnsi="Palatino Linotype" w:cs="Arial"/>
          <w:i/>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954EEE" w:rsidRDefault="00954EEE" w:rsidP="00954EE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Presidenta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 aplicación supletoria de acuerdo a lo dispuesto por el numeral 127 de la Ley de Protección de Datos Personales en Posesión de Sujetos Obligados del Estado de México y Municipios, del cual recayó acuerdo de admisión en fecha </w:t>
      </w:r>
      <w:r w:rsidR="007D1F8A">
        <w:rPr>
          <w:rFonts w:ascii="Palatino Linotype" w:hAnsi="Palatino Linotype" w:cs="Arial"/>
          <w:sz w:val="24"/>
          <w:szCs w:val="24"/>
        </w:rPr>
        <w:t xml:space="preserve">seis de marzo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8"/>
          <w:szCs w:val="28"/>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 xml:space="preserve">De la </w:t>
      </w:r>
      <w:r w:rsidR="00901B87">
        <w:rPr>
          <w:rFonts w:ascii="Palatino Linotype" w:hAnsi="Palatino Linotype" w:cs="Arial"/>
          <w:b/>
          <w:sz w:val="28"/>
          <w:szCs w:val="28"/>
        </w:rPr>
        <w:t>Etapa de Conciliación.</w:t>
      </w:r>
    </w:p>
    <w:p w:rsidR="007D1F8A" w:rsidRDefault="007D1F8A" w:rsidP="00954EE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Asimismo, derivado del acuerdo de </w:t>
      </w:r>
      <w:r w:rsidR="00901B87">
        <w:rPr>
          <w:rFonts w:ascii="Palatino Linotype" w:hAnsi="Palatino Linotype" w:cs="Arial"/>
          <w:sz w:val="24"/>
          <w:szCs w:val="24"/>
        </w:rPr>
        <w:t>admisión</w:t>
      </w:r>
      <w:r>
        <w:rPr>
          <w:rFonts w:ascii="Palatino Linotype" w:hAnsi="Palatino Linotype" w:cs="Arial"/>
          <w:sz w:val="24"/>
          <w:szCs w:val="24"/>
        </w:rPr>
        <w:t xml:space="preserve"> de </w:t>
      </w:r>
      <w:r w:rsidR="00901B87">
        <w:rPr>
          <w:rFonts w:ascii="Palatino Linotype" w:hAnsi="Palatino Linotype" w:cs="Arial"/>
          <w:sz w:val="24"/>
          <w:szCs w:val="24"/>
        </w:rPr>
        <w:t>exhortación</w:t>
      </w:r>
      <w:r>
        <w:rPr>
          <w:rFonts w:ascii="Palatino Linotype" w:hAnsi="Palatino Linotype" w:cs="Arial"/>
          <w:sz w:val="24"/>
          <w:szCs w:val="24"/>
        </w:rPr>
        <w:t xml:space="preserve"> a la conciliación, tanto el sujeto obligado como la recurrente accedieron al procedimiento de conciliación dentro del plazo establecido mediante documentos </w:t>
      </w:r>
      <w:hyperlink r:id="rId8" w:history="1">
        <w:r w:rsidRPr="007D1F8A">
          <w:rPr>
            <w:rStyle w:val="Hipervnculo"/>
            <w:rFonts w:ascii="Palatino Linotype" w:hAnsi="Palatino Linotype" w:cs="Arial"/>
            <w:b/>
            <w:bCs/>
            <w:color w:val="auto"/>
            <w:sz w:val="24"/>
            <w:szCs w:val="24"/>
          </w:rPr>
          <w:t>CONCILIACION RECURSO 01120.pdf</w:t>
        </w:r>
      </w:hyperlink>
      <w:r w:rsidRPr="007D1F8A">
        <w:rPr>
          <w:rFonts w:ascii="Palatino Linotype" w:hAnsi="Palatino Linotype"/>
          <w:sz w:val="24"/>
          <w:szCs w:val="24"/>
        </w:rPr>
        <w:t xml:space="preserve"> y </w:t>
      </w:r>
      <w:hyperlink r:id="rId9" w:history="1">
        <w:r w:rsidR="00887260">
          <w:rPr>
            <w:rStyle w:val="Hipervnculo"/>
            <w:rFonts w:ascii="Palatino Linotype" w:hAnsi="Palatino Linotype" w:cs="Arial"/>
            <w:b/>
            <w:bCs/>
            <w:color w:val="auto"/>
            <w:sz w:val="24"/>
            <w:szCs w:val="24"/>
          </w:rPr>
          <w:t>conciliacion Xxxxx</w:t>
        </w:r>
        <w:r w:rsidRPr="007D1F8A">
          <w:rPr>
            <w:rStyle w:val="Hipervnculo"/>
            <w:rFonts w:ascii="Palatino Linotype" w:hAnsi="Palatino Linotype" w:cs="Arial"/>
            <w:b/>
            <w:bCs/>
            <w:color w:val="auto"/>
            <w:sz w:val="24"/>
            <w:szCs w:val="24"/>
          </w:rPr>
          <w:t>.pdf</w:t>
        </w:r>
      </w:hyperlink>
      <w:r>
        <w:rPr>
          <w:rFonts w:ascii="Palatino Linotype" w:hAnsi="Palatino Linotype"/>
          <w:sz w:val="24"/>
          <w:szCs w:val="24"/>
        </w:rPr>
        <w:t>, ambos de fecha once de marzo de los corrientes y dirigidos a la Comisionada Ponente.</w:t>
      </w:r>
    </w:p>
    <w:p w:rsidR="007D1F8A" w:rsidRDefault="007D1F8A" w:rsidP="00954EEE">
      <w:pPr>
        <w:spacing w:before="240" w:line="360" w:lineRule="auto"/>
        <w:jc w:val="both"/>
        <w:rPr>
          <w:rFonts w:ascii="Palatino Linotype" w:hAnsi="Palatino Linotype" w:cs="Arial"/>
          <w:sz w:val="24"/>
          <w:szCs w:val="24"/>
        </w:rPr>
      </w:pPr>
      <w:r>
        <w:rPr>
          <w:rFonts w:ascii="Palatino Linotype" w:hAnsi="Palatino Linotype" w:cs="Arial"/>
          <w:sz w:val="24"/>
          <w:szCs w:val="24"/>
        </w:rPr>
        <w:t>Robusteciendo lo anterior la siguiente imagen ilustrativa.</w:t>
      </w:r>
    </w:p>
    <w:p w:rsidR="007D1F8A" w:rsidRDefault="007D1F8A" w:rsidP="00954EEE">
      <w:pPr>
        <w:spacing w:before="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-3175</wp:posOffset>
                </wp:positionV>
                <wp:extent cx="5676900" cy="3619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5676900"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BA2E4" id="Rectángulo 7" o:spid="_x0000_s1026" style="position:absolute;margin-left:-.3pt;margin-top:-.25pt;width:447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" filled="f" strokecolor="red" strokeweight="2.25pt"/>
            </w:pict>
          </mc:Fallback>
        </mc:AlternateContent>
      </w:r>
      <w:r>
        <w:rPr>
          <w:noProof/>
          <w:lang w:eastAsia="es-MX"/>
        </w:rPr>
        <w:drawing>
          <wp:inline distT="0" distB="0" distL="0" distR="0" wp14:anchorId="4CAB79F6" wp14:editId="22A35B44">
            <wp:extent cx="5743575" cy="2181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98" t="29983" r="25595" b="36802"/>
                    <a:stretch/>
                  </pic:blipFill>
                  <pic:spPr bwMode="auto">
                    <a:xfrm>
                      <a:off x="0" y="0"/>
                      <a:ext cx="5743575" cy="2181225"/>
                    </a:xfrm>
                    <a:prstGeom prst="rect">
                      <a:avLst/>
                    </a:prstGeom>
                    <a:ln>
                      <a:noFill/>
                    </a:ln>
                    <a:extLst>
                      <a:ext uri="{53640926-AAD7-44D8-BBD7-CCE9431645EC}">
                        <a14:shadowObscured xmlns:a14="http://schemas.microsoft.com/office/drawing/2010/main"/>
                      </a:ext>
                    </a:extLst>
                  </pic:spPr>
                </pic:pic>
              </a:graphicData>
            </a:graphic>
          </wp:inline>
        </w:drawing>
      </w:r>
    </w:p>
    <w:p w:rsidR="007D1F8A" w:rsidRDefault="007D1F8A" w:rsidP="00954EEE">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5FE9DF59" wp14:editId="2A2A4861">
                <wp:simplePos x="0" y="0"/>
                <wp:positionH relativeFrom="column">
                  <wp:posOffset>62865</wp:posOffset>
                </wp:positionH>
                <wp:positionV relativeFrom="paragraph">
                  <wp:posOffset>353060</wp:posOffset>
                </wp:positionV>
                <wp:extent cx="5676900" cy="62865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5676900" cy="628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AE47A" id="Rectángulo 8" o:spid="_x0000_s1026" style="position:absolute;margin-left:4.95pt;margin-top:27.8pt;width:447pt;height: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" filled="f" strokecolor="red" strokeweight="2.25pt"/>
            </w:pict>
          </mc:Fallback>
        </mc:AlternateContent>
      </w:r>
      <w:r>
        <w:rPr>
          <w:noProof/>
          <w:lang w:eastAsia="es-MX"/>
        </w:rPr>
        <w:drawing>
          <wp:inline distT="0" distB="0" distL="0" distR="0" wp14:anchorId="5A7739E9" wp14:editId="778B1267">
            <wp:extent cx="5743575" cy="2297430"/>
            <wp:effectExtent l="0" t="0" r="952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98" t="51147" r="26752" b="14756"/>
                    <a:stretch/>
                  </pic:blipFill>
                  <pic:spPr bwMode="auto">
                    <a:xfrm>
                      <a:off x="0" y="0"/>
                      <a:ext cx="5745271" cy="2298108"/>
                    </a:xfrm>
                    <a:prstGeom prst="rect">
                      <a:avLst/>
                    </a:prstGeom>
                    <a:ln>
                      <a:noFill/>
                    </a:ln>
                    <a:extLst>
                      <a:ext uri="{53640926-AAD7-44D8-BBD7-CCE9431645EC}">
                        <a14:shadowObscured xmlns:a14="http://schemas.microsoft.com/office/drawing/2010/main"/>
                      </a:ext>
                    </a:extLst>
                  </pic:spPr>
                </pic:pic>
              </a:graphicData>
            </a:graphic>
          </wp:inline>
        </w:drawing>
      </w:r>
    </w:p>
    <w:p w:rsidR="007D1F8A" w:rsidRDefault="007D1F8A" w:rsidP="007D1F8A">
      <w:pPr>
        <w:pStyle w:val="Prrafodelista"/>
        <w:spacing w:line="360" w:lineRule="auto"/>
        <w:ind w:left="0"/>
        <w:jc w:val="both"/>
        <w:rPr>
          <w:rFonts w:ascii="Palatino Linotype" w:hAnsi="Palatino Linotype" w:cs="Arial"/>
        </w:rPr>
      </w:pPr>
      <w:r w:rsidRPr="007D1F8A">
        <w:rPr>
          <w:rFonts w:ascii="Palatino Linotype" w:hAnsi="Palatino Linotype" w:cs="Arial"/>
        </w:rPr>
        <w:t xml:space="preserve">Posteriormente, el doce de marzo de dos mil diecinueve, la Comisionada Ponente emitió el Acuerdo para señalar día, hora y lugar para la audiencia de la celebración de conciliación, en el cual se estableció la audiencia de conciliación el día </w:t>
      </w:r>
      <w:r w:rsidR="0072345F">
        <w:rPr>
          <w:rFonts w:ascii="Palatino Linotype" w:hAnsi="Palatino Linotype" w:cs="Arial"/>
        </w:rPr>
        <w:t>miércoles veinte</w:t>
      </w:r>
      <w:r w:rsidRPr="007D1F8A">
        <w:rPr>
          <w:rFonts w:ascii="Palatino Linotype" w:hAnsi="Palatino Linotype" w:cs="Arial"/>
        </w:rPr>
        <w:t xml:space="preserve"> de </w:t>
      </w:r>
      <w:r w:rsidR="0072345F">
        <w:rPr>
          <w:rFonts w:ascii="Palatino Linotype" w:hAnsi="Palatino Linotype" w:cs="Arial"/>
        </w:rPr>
        <w:t>marzo de dos mil diecinueve</w:t>
      </w:r>
      <w:r w:rsidRPr="007D1F8A">
        <w:rPr>
          <w:rFonts w:ascii="Palatino Linotype" w:hAnsi="Palatino Linotype" w:cs="Arial"/>
        </w:rPr>
        <w:t xml:space="preserve"> a las 1</w:t>
      </w:r>
      <w:r w:rsidR="0072345F">
        <w:rPr>
          <w:rFonts w:ascii="Palatino Linotype" w:hAnsi="Palatino Linotype" w:cs="Arial"/>
        </w:rPr>
        <w:t>1:3</w:t>
      </w:r>
      <w:r w:rsidRPr="007D1F8A">
        <w:rPr>
          <w:rFonts w:ascii="Palatino Linotype" w:hAnsi="Palatino Linotype" w:cs="Arial"/>
        </w:rPr>
        <w:t>0 horas, misma que se desarrolló en el Instituto de Transparencia, Acceso a la Información Pública y Protección de Datos Personales del Estado de México (INFOEM), ubicado en la calle Pino Suárez #111, actualmente Carretera Toluca-Ixtapan, Colonia La Michoacana</w:t>
      </w:r>
      <w:r>
        <w:rPr>
          <w:rFonts w:ascii="Palatino Linotype" w:hAnsi="Palatino Linotype" w:cs="Arial"/>
        </w:rPr>
        <w:t xml:space="preserve">; Metepec, Estado de </w:t>
      </w:r>
      <w:r>
        <w:rPr>
          <w:rFonts w:ascii="Palatino Linotype" w:hAnsi="Palatino Linotype" w:cs="Arial"/>
        </w:rPr>
        <w:lastRenderedPageBreak/>
        <w:t xml:space="preserve">México, C.P. 52166, con fundamento en el artículo 132 fracción II de la Ley de Protección de Datos Personales en Posesión de Sujetos Obligados del Estado de México y Municipios. </w:t>
      </w:r>
    </w:p>
    <w:p w:rsidR="0072345F" w:rsidRDefault="0072345F" w:rsidP="00901B87">
      <w:pPr>
        <w:spacing w:before="240" w:line="360" w:lineRule="auto"/>
        <w:jc w:val="both"/>
        <w:rPr>
          <w:rFonts w:ascii="Palatino Linotype" w:hAnsi="Palatino Linotype" w:cs="Arial"/>
          <w:sz w:val="24"/>
        </w:rPr>
      </w:pPr>
      <w:r w:rsidRPr="0072345F">
        <w:rPr>
          <w:rFonts w:ascii="Palatino Linotype" w:hAnsi="Palatino Linotype" w:cs="Arial"/>
          <w:sz w:val="24"/>
        </w:rPr>
        <w:t>En este sentido, en la fecha y hora fijadas se celebró la conciliación respectiva</w:t>
      </w:r>
      <w:r>
        <w:rPr>
          <w:rFonts w:ascii="Palatino Linotype" w:hAnsi="Palatino Linotype" w:cs="Arial"/>
          <w:sz w:val="24"/>
        </w:rPr>
        <w:t xml:space="preserve">, bajo el </w:t>
      </w:r>
      <w:r w:rsidR="00901B87">
        <w:rPr>
          <w:rFonts w:ascii="Palatino Linotype" w:hAnsi="Palatino Linotype" w:cs="Arial"/>
          <w:sz w:val="24"/>
        </w:rPr>
        <w:t>número</w:t>
      </w:r>
      <w:r>
        <w:rPr>
          <w:rFonts w:ascii="Palatino Linotype" w:hAnsi="Palatino Linotype" w:cs="Arial"/>
          <w:sz w:val="24"/>
        </w:rPr>
        <w:t xml:space="preserve"> de acta </w:t>
      </w:r>
      <w:r w:rsidRPr="0072345F">
        <w:rPr>
          <w:rFonts w:ascii="Palatino Linotype" w:hAnsi="Palatino Linotype" w:cs="Arial"/>
          <w:b/>
          <w:sz w:val="24"/>
        </w:rPr>
        <w:t>INFOEM/ACTA-ZMS/003/2019</w:t>
      </w:r>
      <w:r>
        <w:rPr>
          <w:rFonts w:ascii="Palatino Linotype" w:hAnsi="Palatino Linotype" w:cs="Arial"/>
          <w:b/>
          <w:sz w:val="24"/>
        </w:rPr>
        <w:t xml:space="preserve">, </w:t>
      </w:r>
      <w:r>
        <w:rPr>
          <w:rFonts w:ascii="Palatino Linotype" w:hAnsi="Palatino Linotype" w:cs="Arial"/>
          <w:sz w:val="24"/>
        </w:rPr>
        <w:t xml:space="preserve">en la cual se acordó que las partes llegaron a un acuerdo conciliatorio, al haber sido entregado el soporte documental requerido por la solicitante y recurrente en copia certificada, a efecto de que el </w:t>
      </w:r>
      <w:r w:rsidR="00901B87">
        <w:rPr>
          <w:rFonts w:ascii="Palatino Linotype" w:hAnsi="Palatino Linotype" w:cs="Arial"/>
          <w:sz w:val="24"/>
        </w:rPr>
        <w:t>presente recurso de revisión quede sin materia, en términos del artículo 132 fracción V de la Ley de Protección de Datos Personales en Posesión de Sujetos Obligados del Estado de México y Municipios; asimismo, dicha acta se notificara junto con el presente fallo.</w:t>
      </w:r>
    </w:p>
    <w:p w:rsidR="00901B87" w:rsidRDefault="00901B87" w:rsidP="00901B87">
      <w:pPr>
        <w:spacing w:before="240" w:line="360" w:lineRule="auto"/>
        <w:jc w:val="both"/>
        <w:rPr>
          <w:rFonts w:ascii="Palatino Linotype" w:hAnsi="Palatino Linotype" w:cs="Arial"/>
          <w:sz w:val="28"/>
          <w:szCs w:val="28"/>
        </w:rPr>
      </w:pPr>
      <w:r>
        <w:rPr>
          <w:rFonts w:ascii="Palatino Linotype" w:hAnsi="Palatino Linotype" w:cs="Arial"/>
          <w:b/>
          <w:sz w:val="28"/>
        </w:rPr>
        <w:t>SEXTO</w:t>
      </w:r>
      <w:r w:rsidRPr="00911081">
        <w:rPr>
          <w:rFonts w:ascii="Palatino Linotype" w:hAnsi="Palatino Linotype" w:cs="Arial"/>
          <w:b/>
          <w:sz w:val="28"/>
        </w:rPr>
        <w:t>.</w:t>
      </w:r>
      <w:r w:rsidRPr="00911081">
        <w:rPr>
          <w:rFonts w:ascii="Palatino Linotype" w:hAnsi="Palatino Linotype" w:cs="Arial"/>
          <w:b/>
        </w:rPr>
        <w:t xml:space="preserve"> </w:t>
      </w:r>
      <w:r w:rsidRPr="00911081">
        <w:rPr>
          <w:rFonts w:ascii="Palatino Linotype" w:hAnsi="Palatino Linotype" w:cs="Arial"/>
          <w:b/>
          <w:sz w:val="28"/>
          <w:szCs w:val="28"/>
        </w:rPr>
        <w:t xml:space="preserve">De </w:t>
      </w:r>
      <w:r>
        <w:rPr>
          <w:rFonts w:ascii="Palatino Linotype" w:hAnsi="Palatino Linotype" w:cs="Arial"/>
          <w:b/>
          <w:sz w:val="28"/>
          <w:szCs w:val="28"/>
        </w:rPr>
        <w:t>la Etapa de Instrucción</w:t>
      </w:r>
      <w:r w:rsidRPr="00911081">
        <w:rPr>
          <w:rFonts w:ascii="Palatino Linotype" w:hAnsi="Palatino Linotype" w:cs="Arial"/>
          <w:sz w:val="28"/>
          <w:szCs w:val="28"/>
        </w:rPr>
        <w:t>.</w:t>
      </w:r>
    </w:p>
    <w:p w:rsidR="00901B87" w:rsidRDefault="00901B87" w:rsidP="00901B87">
      <w:pPr>
        <w:spacing w:before="240" w:line="360" w:lineRule="auto"/>
        <w:jc w:val="both"/>
        <w:rPr>
          <w:rFonts w:ascii="Palatino Linotype" w:hAnsi="Palatino Linotype" w:cs="Arial"/>
        </w:rPr>
      </w:pPr>
      <w:r>
        <w:rPr>
          <w:rFonts w:ascii="Palatino Linotype" w:hAnsi="Palatino Linotype" w:cs="Arial"/>
        </w:rPr>
        <w:t xml:space="preserve">Una vez abierta la etapa de manifestaciones y transcurrido el término legal referido, de las constancias que obran en el </w:t>
      </w:r>
      <w:r>
        <w:rPr>
          <w:rFonts w:ascii="Palatino Linotype" w:hAnsi="Palatino Linotype" w:cs="Arial"/>
          <w:b/>
        </w:rPr>
        <w:t xml:space="preserve">SARCOEM, </w:t>
      </w:r>
      <w:r w:rsidRPr="0094651B">
        <w:rPr>
          <w:rFonts w:ascii="Palatino Linotype" w:hAnsi="Palatino Linotype" w:cs="Arial"/>
        </w:rPr>
        <w:t>se advierte que el</w:t>
      </w:r>
      <w:r w:rsidRPr="0094651B">
        <w:rPr>
          <w:rFonts w:ascii="Palatino Linotype" w:hAnsi="Palatino Linotype" w:cs="Arial"/>
          <w:b/>
        </w:rPr>
        <w:t xml:space="preserve"> Sujeto Obligado</w:t>
      </w:r>
      <w:r w:rsidRPr="0094651B">
        <w:rPr>
          <w:rFonts w:ascii="Palatino Linotype" w:hAnsi="Palatino Linotype" w:cs="Arial"/>
        </w:rPr>
        <w:t>, en fecha</w:t>
      </w:r>
      <w:r>
        <w:rPr>
          <w:rFonts w:ascii="Palatino Linotype" w:hAnsi="Palatino Linotype" w:cs="Arial"/>
        </w:rPr>
        <w:t xml:space="preserve"> nueve de abril de los corrientes, presentó su informe justificado, en el cual señalo lo siguiente:</w:t>
      </w:r>
    </w:p>
    <w:p w:rsidR="00901B87" w:rsidRDefault="00887260" w:rsidP="00901B87">
      <w:pPr>
        <w:spacing w:before="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extent cx="5755640" cy="224345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2243455"/>
                    </a:xfrm>
                    <a:prstGeom prst="rect">
                      <a:avLst/>
                    </a:prstGeom>
                    <a:noFill/>
                    <a:ln>
                      <a:noFill/>
                    </a:ln>
                  </pic:spPr>
                </pic:pic>
              </a:graphicData>
            </a:graphic>
          </wp:inline>
        </w:drawing>
      </w:r>
    </w:p>
    <w:p w:rsidR="00901B87" w:rsidRDefault="00901B87" w:rsidP="00901B87">
      <w:pPr>
        <w:pStyle w:val="Prrafodelista"/>
        <w:spacing w:line="360" w:lineRule="auto"/>
        <w:ind w:left="0"/>
        <w:jc w:val="both"/>
        <w:rPr>
          <w:rFonts w:ascii="Palatino Linotype" w:hAnsi="Palatino Linotype"/>
        </w:rPr>
      </w:pPr>
      <w:r w:rsidRPr="0094651B">
        <w:rPr>
          <w:rFonts w:ascii="Palatino Linotype" w:hAnsi="Palatino Linotype" w:cs="Arial"/>
        </w:rPr>
        <w:lastRenderedPageBreak/>
        <w:t xml:space="preserve">Asimismo, </w:t>
      </w:r>
      <w:r w:rsidRPr="0094651B">
        <w:rPr>
          <w:rFonts w:ascii="Palatino Linotype" w:hAnsi="Palatino Linotype" w:cs="Arial"/>
          <w:lang w:val="es-ES_tradnl"/>
        </w:rPr>
        <w:t xml:space="preserve">se advierte que </w:t>
      </w:r>
      <w:r w:rsidRPr="0094651B">
        <w:rPr>
          <w:rFonts w:ascii="Palatino Linotype" w:hAnsi="Palatino Linotype" w:cs="Arial"/>
          <w:b/>
          <w:lang w:val="es-ES_tradnl"/>
        </w:rPr>
        <w:t>La Recurrente</w:t>
      </w:r>
      <w:r w:rsidRPr="0094651B">
        <w:rPr>
          <w:rFonts w:ascii="Palatino Linotype" w:hAnsi="Palatino Linotype" w:cs="Arial"/>
          <w:lang w:val="es-ES_tradnl"/>
        </w:rPr>
        <w:t xml:space="preserve"> no formuló manifestación alguna, ni alegatos; ni exhibió, en ese momento, prueba alguna</w:t>
      </w:r>
      <w:r>
        <w:rPr>
          <w:rFonts w:ascii="Palatino Linotype" w:hAnsi="Palatino Linotype" w:cs="Arial"/>
          <w:lang w:val="es-ES_tradnl"/>
        </w:rPr>
        <w:t>, p</w:t>
      </w:r>
      <w:r w:rsidRPr="0094651B">
        <w:rPr>
          <w:rFonts w:ascii="Palatino Linotype" w:hAnsi="Palatino Linotype"/>
        </w:rPr>
        <w:t>or lo</w:t>
      </w:r>
      <w:r>
        <w:rPr>
          <w:rFonts w:ascii="Palatino Linotype" w:hAnsi="Palatino Linotype"/>
        </w:rPr>
        <w:t xml:space="preserve"> que</w:t>
      </w:r>
      <w:r w:rsidRPr="0094651B">
        <w:rPr>
          <w:rFonts w:ascii="Palatino Linotype" w:hAnsi="Palatino Linotype"/>
        </w:rPr>
        <w:t xml:space="preserve"> en </w:t>
      </w:r>
      <w:r w:rsidRPr="00C57CA6">
        <w:rPr>
          <w:rFonts w:ascii="Palatino Linotype" w:hAnsi="Palatino Linotype"/>
        </w:rPr>
        <w:t xml:space="preserve">fecha </w:t>
      </w:r>
      <w:r>
        <w:rPr>
          <w:rFonts w:ascii="Palatino Linotype" w:hAnsi="Palatino Linotype"/>
        </w:rPr>
        <w:t>diez de abril de la presente anualidad</w:t>
      </w:r>
      <w:r w:rsidRPr="00C57CA6">
        <w:rPr>
          <w:rFonts w:ascii="Palatino Linotype" w:hAnsi="Palatino Linotype"/>
        </w:rPr>
        <w:t>, mediante</w:t>
      </w:r>
      <w:r w:rsidRPr="0094651B">
        <w:rPr>
          <w:rFonts w:ascii="Palatino Linotype" w:hAnsi="Palatino Linotype"/>
        </w:rPr>
        <w:t xml:space="preserve"> acuerdo de la </w:t>
      </w:r>
      <w:r w:rsidRPr="0094651B">
        <w:rPr>
          <w:rFonts w:ascii="Palatino Linotype" w:hAnsi="Palatino Linotype"/>
          <w:b/>
        </w:rPr>
        <w:t>Comisionada Zulema Martínez Sánchez</w:t>
      </w:r>
      <w:r w:rsidRPr="0094651B">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901B87" w:rsidRDefault="00901B87" w:rsidP="00E15E85">
      <w:pPr>
        <w:spacing w:before="240" w:line="360" w:lineRule="auto"/>
        <w:jc w:val="center"/>
        <w:rPr>
          <w:rFonts w:ascii="Palatino Linotype" w:hAnsi="Palatino Linotype" w:cs="Arial"/>
          <w:b/>
          <w:sz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954EEE" w:rsidRDefault="00954EEE" w:rsidP="00954EEE">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La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w:t>
      </w:r>
      <w:r>
        <w:rPr>
          <w:rFonts w:ascii="Palatino Linotype" w:hAnsi="Palatino Linotype" w:cs="Arial"/>
          <w:sz w:val="24"/>
        </w:rPr>
        <w:t>, 16 párrafo segundo</w:t>
      </w:r>
      <w:r w:rsidRPr="00025A37">
        <w:rPr>
          <w:rFonts w:ascii="Palatino Linotype" w:hAnsi="Palatino Linotype" w:cs="Arial"/>
          <w:sz w:val="24"/>
        </w:rPr>
        <w:t xml:space="preserve"> de la Constitución Política </w:t>
      </w:r>
      <w:r>
        <w:rPr>
          <w:rFonts w:ascii="Palatino Linotype" w:hAnsi="Palatino Linotype" w:cs="Arial"/>
          <w:sz w:val="24"/>
        </w:rPr>
        <w:t>de los Estados Unidos Mexicanos;</w:t>
      </w:r>
      <w:r w:rsidRPr="00025A37">
        <w:rPr>
          <w:rFonts w:ascii="Palatino Linotype" w:hAnsi="Palatino Linotype" w:cs="Arial"/>
          <w:sz w:val="24"/>
        </w:rPr>
        <w:t xml:space="preserve">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w:t>
      </w:r>
      <w:r>
        <w:rPr>
          <w:rFonts w:ascii="Palatino Linotype" w:hAnsi="Palatino Linotype" w:cs="Arial"/>
          <w:sz w:val="24"/>
        </w:rPr>
        <w:t>, y VIII párrafo cuarto</w:t>
      </w:r>
      <w:r w:rsidRPr="00025A37">
        <w:rPr>
          <w:rFonts w:ascii="Palatino Linotype" w:hAnsi="Palatino Linotype" w:cs="Arial"/>
          <w:sz w:val="24"/>
        </w:rPr>
        <w:t xml:space="preserve"> de la Constitución Política del Estado Libre y Soberano </w:t>
      </w:r>
      <w:r>
        <w:rPr>
          <w:rFonts w:ascii="Palatino Linotype" w:hAnsi="Palatino Linotype" w:cs="Arial"/>
          <w:sz w:val="24"/>
        </w:rPr>
        <w:t>de México;</w:t>
      </w:r>
      <w:r w:rsidRPr="00025A37">
        <w:rPr>
          <w:rFonts w:ascii="Palatino Linotype" w:hAnsi="Palatino Linotype" w:cs="Arial"/>
          <w:sz w:val="24"/>
        </w:rPr>
        <w:t xml:space="preserve"> </w:t>
      </w:r>
      <w:r>
        <w:rPr>
          <w:rFonts w:ascii="Palatino Linotype" w:hAnsi="Palatino Linotype" w:cs="Arial"/>
          <w:sz w:val="24"/>
        </w:rPr>
        <w:t>119, 125, 127, 129, 133 y demás aplicables de la Ley de Protección de Datos Personales en Posesión de Sujetos Obligados del Estado de México y Municipios</w:t>
      </w:r>
      <w:r w:rsidRPr="00025A37">
        <w:rPr>
          <w:rFonts w:ascii="Palatino Linotype" w:hAnsi="Palatino Linotype" w:cs="Arial"/>
          <w:sz w:val="24"/>
        </w:rPr>
        <w:t xml:space="preserve">,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lastRenderedPageBreak/>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954EEE" w:rsidRDefault="00954EEE" w:rsidP="00954EE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Protección de Datos Personales en Posesión de Sujetos Obligados del Estado de México y Municipios </w:t>
      </w:r>
      <w:r w:rsidRPr="00B10F60">
        <w:rPr>
          <w:rFonts w:ascii="Palatino Linotype" w:hAnsi="Palatino Linotype" w:cs="Arial"/>
        </w:rPr>
        <w:t xml:space="preserve">tiene el fin y alcance que señalan los numerales </w:t>
      </w:r>
      <w:r>
        <w:rPr>
          <w:rFonts w:ascii="Palatino Linotype" w:hAnsi="Palatino Linotype" w:cs="Arial"/>
        </w:rPr>
        <w:t xml:space="preserve">137 de éste ordenamiento, así como los diversos </w:t>
      </w:r>
      <w:r w:rsidRPr="00B10F60">
        <w:rPr>
          <w:rFonts w:ascii="Palatino Linotype" w:hAnsi="Palatino Linotype" w:cs="Arial"/>
        </w:rPr>
        <w:t>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w:t>
      </w:r>
      <w:r>
        <w:rPr>
          <w:rFonts w:ascii="Palatino Linotype" w:hAnsi="Palatino Linotype" w:cs="Arial"/>
        </w:rPr>
        <w:t xml:space="preserve"> de acceso, rectificación, cancelación y oposición de datos personales.</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6C7F73">
        <w:rPr>
          <w:rFonts w:ascii="Palatino Linotype" w:hAnsi="Palatino Linotype" w:cs="Arial"/>
          <w:b/>
          <w:sz w:val="28"/>
          <w:szCs w:val="28"/>
        </w:rPr>
        <w:t>Del estudio de las causas de improcedencia y sobreseimiento</w:t>
      </w:r>
      <w:r w:rsidRPr="0087163A">
        <w:rPr>
          <w:rFonts w:ascii="Palatino Linotype" w:hAnsi="Palatino Linotype" w:cs="Arial"/>
          <w:b/>
          <w:sz w:val="28"/>
          <w:szCs w:val="28"/>
        </w:rPr>
        <w:t>.</w:t>
      </w:r>
    </w:p>
    <w:p w:rsidR="00E96C3A" w:rsidRDefault="00E96C3A" w:rsidP="00E96C3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rsidR="00E96C3A" w:rsidRDefault="00E96C3A" w:rsidP="00E96C3A">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w:t>
      </w:r>
      <w:r w:rsidRPr="00046D33">
        <w:rPr>
          <w:rFonts w:ascii="Palatino Linotype" w:hAnsi="Palatino Linotype" w:cs="Arial"/>
          <w:i/>
          <w:sz w:val="22"/>
          <w:szCs w:val="22"/>
        </w:rPr>
        <w:lastRenderedPageBreak/>
        <w:t xml:space="preserve">de orden público, seguridad y salud públicas o para proteger los derechos de terceros.” </w:t>
      </w:r>
      <w:r w:rsidRPr="00046D33">
        <w:rPr>
          <w:rFonts w:ascii="Palatino Linotype" w:hAnsi="Palatino Linotype" w:cs="Arial"/>
          <w:b/>
          <w:i/>
          <w:sz w:val="22"/>
          <w:szCs w:val="22"/>
        </w:rPr>
        <w:t>[Sic]</w:t>
      </w:r>
    </w:p>
    <w:p w:rsidR="00E96C3A" w:rsidRDefault="00E96C3A" w:rsidP="00E96C3A">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rsidR="00E96C3A" w:rsidRDefault="00E96C3A" w:rsidP="00E96C3A">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rsidR="00E96C3A" w:rsidRPr="007E08AB"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“Artículo 138. El recurso de revisión podrá ser desechado por improcedente cuando: </w:t>
      </w:r>
    </w:p>
    <w:p w:rsidR="00E96C3A" w:rsidRPr="007E08AB"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 Sea extemporáneo por haber transcurrido el plazo establecido en el artículo 128 de la presente Ley. </w:t>
      </w:r>
    </w:p>
    <w:p w:rsidR="00E96C3A" w:rsidRPr="00113497"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113497">
        <w:rPr>
          <w:rFonts w:ascii="Palatino Linotype" w:hAnsi="Palatino Linotype" w:cs="Arial"/>
          <w:i/>
        </w:rPr>
        <w:t xml:space="preserve"> II. El titular o su representante no acrediten debidamente su identidad y personalidad de este último. </w:t>
      </w:r>
    </w:p>
    <w:p w:rsidR="00E96C3A" w:rsidRPr="007E08AB"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III. El Instituto haya resuelto anteriormente en definitiva sobre la materia del mismo. </w:t>
      </w:r>
    </w:p>
    <w:p w:rsidR="00E96C3A" w:rsidRPr="007E08AB"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IV. No se actualice alguna de las causales del recurso de revisión previstas en el artículo 129 de la presente Ley. </w:t>
      </w:r>
    </w:p>
    <w:p w:rsidR="00E96C3A" w:rsidRPr="007E08AB"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V. Se esté tramitando ante los tribunales competentes algún recurso o medio de defensa interpuesto por el recurrente, o en su caso, por el tercero interesado, en contra del acto recurrido ante el Instituto. </w:t>
      </w:r>
    </w:p>
    <w:p w:rsidR="00E96C3A" w:rsidRPr="007E08AB"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lastRenderedPageBreak/>
        <w:t xml:space="preserve"> VI. El recurrente modifique o amplíe su petición en el recurso de revisión, únicamente respecto de los nuevos contenidos.  </w:t>
      </w:r>
    </w:p>
    <w:p w:rsidR="00E96C3A" w:rsidRPr="007E08AB" w:rsidRDefault="00E96C3A" w:rsidP="00E96C3A">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VII. El recurrente no acredite interés jurídico. </w:t>
      </w:r>
    </w:p>
    <w:p w:rsidR="00E96C3A" w:rsidRDefault="00E96C3A" w:rsidP="00E96C3A">
      <w:pPr>
        <w:widowControl w:val="0"/>
        <w:autoSpaceDE w:val="0"/>
        <w:autoSpaceDN w:val="0"/>
        <w:adjustRightInd w:val="0"/>
        <w:spacing w:before="240" w:line="360" w:lineRule="auto"/>
        <w:ind w:left="851" w:right="851"/>
        <w:jc w:val="both"/>
        <w:rPr>
          <w:rFonts w:ascii="Palatino Linotype" w:hAnsi="Palatino Linotype" w:cs="Arial"/>
          <w:b/>
          <w:i/>
        </w:rPr>
      </w:pPr>
      <w:r w:rsidRPr="007E08AB">
        <w:rPr>
          <w:rFonts w:ascii="Palatino Linotype" w:hAnsi="Palatino Linotype" w:cs="Arial"/>
          <w:i/>
        </w:rPr>
        <w:t xml:space="preserve"> El desechamiento no implica la preclusión del derecho del titular para interponer ante el Instituto un nuevo recurso de revisión.”</w:t>
      </w:r>
      <w:r>
        <w:rPr>
          <w:rFonts w:ascii="Palatino Linotype" w:hAnsi="Palatino Linotype" w:cs="Arial"/>
          <w:b/>
          <w:i/>
        </w:rPr>
        <w:t>[Sic]</w:t>
      </w:r>
    </w:p>
    <w:p w:rsidR="00E96C3A" w:rsidRDefault="00E96C3A" w:rsidP="00E96C3A">
      <w:pPr>
        <w:widowControl w:val="0"/>
        <w:autoSpaceDE w:val="0"/>
        <w:autoSpaceDN w:val="0"/>
        <w:adjustRightInd w:val="0"/>
        <w:spacing w:before="240" w:line="360" w:lineRule="auto"/>
        <w:ind w:right="851"/>
        <w:jc w:val="both"/>
        <w:rPr>
          <w:lang w:eastAsia="es-MX"/>
        </w:rPr>
      </w:pPr>
    </w:p>
    <w:p w:rsidR="00E96C3A" w:rsidRPr="004A194A" w:rsidRDefault="00E96C3A" w:rsidP="00E96C3A">
      <w:pPr>
        <w:widowControl w:val="0"/>
        <w:autoSpaceDE w:val="0"/>
        <w:autoSpaceDN w:val="0"/>
        <w:adjustRightInd w:val="0"/>
        <w:spacing w:before="240" w:line="360" w:lineRule="auto"/>
        <w:ind w:right="51"/>
        <w:jc w:val="both"/>
        <w:rPr>
          <w:rFonts w:ascii="Palatino Linotype" w:hAnsi="Palatino Linotype"/>
          <w:sz w:val="24"/>
        </w:rPr>
      </w:pPr>
      <w:r w:rsidRPr="004A194A">
        <w:rPr>
          <w:rFonts w:ascii="Palatino Linotype" w:hAnsi="Palatino Linotype"/>
          <w:sz w:val="24"/>
          <w:lang w:eastAsia="es-MX"/>
        </w:rPr>
        <w:t xml:space="preserve">Con base en lo establecido en el precepto de referencia, resulta oportuno señalar que a la fecha que se resuelve no se actualiza ninguna  de las causales de improcedencia; ya que, </w:t>
      </w:r>
      <w:r w:rsidRPr="004A194A">
        <w:rPr>
          <w:rFonts w:ascii="Palatino Linotype" w:hAnsi="Palatino Linotype"/>
          <w:b/>
          <w:sz w:val="24"/>
          <w:lang w:eastAsia="es-MX"/>
        </w:rPr>
        <w:t xml:space="preserve">La Recurrente </w:t>
      </w:r>
      <w:r w:rsidRPr="004A194A">
        <w:rPr>
          <w:rFonts w:ascii="Palatino Linotype" w:hAnsi="Palatino Linotype"/>
          <w:sz w:val="24"/>
          <w:lang w:eastAsia="es-MX"/>
        </w:rPr>
        <w:t xml:space="preserve">presentó su recurso dentro del término de quince días otorgado por la Ley; no se tiene conocimiento de que el Instituto o, en su caso, los Organismos garantes hayan resuelto en definitiva sobre la materia del mismo; </w:t>
      </w:r>
      <w:r w:rsidRPr="004A194A">
        <w:rPr>
          <w:rFonts w:ascii="Palatino Linotype" w:hAnsi="Palatino Linotype"/>
          <w:sz w:val="24"/>
        </w:rPr>
        <w:t xml:space="preserve">no se tiene conocimiento de que se esté tramitando ante los tribunales competentes algún recurso o medio de defensa interpuesto por </w:t>
      </w:r>
      <w:r w:rsidRPr="004A194A">
        <w:rPr>
          <w:rFonts w:ascii="Palatino Linotype" w:hAnsi="Palatino Linotype"/>
          <w:b/>
          <w:sz w:val="24"/>
        </w:rPr>
        <w:t>La Recurrente,</w:t>
      </w:r>
      <w:r w:rsidRPr="004A194A">
        <w:rPr>
          <w:rFonts w:ascii="Palatino Linotype" w:hAnsi="Palatino Linotype"/>
          <w:sz w:val="24"/>
        </w:rPr>
        <w:t xml:space="preserve"> o en su caso, por el tercero interesado, en contra del acto recurrido ante el Instituto o los Organismos garantes, el particular no amplió su solicitud a través de su medio de  impugnación. </w:t>
      </w:r>
    </w:p>
    <w:p w:rsidR="00E96C3A" w:rsidRPr="004A194A" w:rsidRDefault="00E96C3A" w:rsidP="00E96C3A">
      <w:pPr>
        <w:widowControl w:val="0"/>
        <w:autoSpaceDE w:val="0"/>
        <w:autoSpaceDN w:val="0"/>
        <w:adjustRightInd w:val="0"/>
        <w:spacing w:before="240" w:line="360" w:lineRule="auto"/>
        <w:ind w:right="51"/>
        <w:jc w:val="both"/>
        <w:rPr>
          <w:rFonts w:ascii="Palatino Linotype" w:hAnsi="Palatino Linotype"/>
          <w:sz w:val="24"/>
          <w:lang w:eastAsia="es-MX"/>
        </w:rPr>
      </w:pPr>
      <w:r w:rsidRPr="004A194A">
        <w:rPr>
          <w:rFonts w:ascii="Palatino Linotype" w:hAnsi="Palatino Linotype"/>
          <w:sz w:val="24"/>
          <w:lang w:eastAsia="es-MX"/>
        </w:rPr>
        <w:t xml:space="preserve">Por otra parte, especial mención requiere el contexto para ejercer los derechos </w:t>
      </w:r>
      <w:r w:rsidRPr="004A194A">
        <w:rPr>
          <w:rFonts w:ascii="Palatino Linotype" w:hAnsi="Palatino Linotype"/>
          <w:b/>
          <w:sz w:val="24"/>
          <w:lang w:eastAsia="es-MX"/>
        </w:rPr>
        <w:t xml:space="preserve">ARCO </w:t>
      </w:r>
      <w:r w:rsidRPr="004A194A">
        <w:rPr>
          <w:rFonts w:ascii="Palatino Linotype" w:hAnsi="Palatino Linotype"/>
          <w:sz w:val="24"/>
          <w:lang w:eastAsia="es-MX"/>
        </w:rPr>
        <w:t xml:space="preserve">tratándose de personas fallecidas, supuesto normativo estipulado en el artículo 106 párrafos cuarto, quinto y sexto de la Ley de Protección de Datos Personales en Posesión de Sujetos Obligados del Estado de México y Municipios, normatividad invocada que a la literalidad dispone: </w:t>
      </w:r>
    </w:p>
    <w:p w:rsidR="00E96C3A" w:rsidRDefault="00E96C3A" w:rsidP="00E96C3A">
      <w:pPr>
        <w:widowControl w:val="0"/>
        <w:autoSpaceDE w:val="0"/>
        <w:autoSpaceDN w:val="0"/>
        <w:adjustRightInd w:val="0"/>
        <w:spacing w:before="240" w:line="360" w:lineRule="auto"/>
        <w:ind w:left="851" w:right="851"/>
        <w:jc w:val="both"/>
        <w:rPr>
          <w:rFonts w:ascii="Palatino Linotype" w:hAnsi="Palatino Linotype"/>
          <w:b/>
          <w:i/>
          <w:lang w:eastAsia="es-MX"/>
        </w:rPr>
      </w:pPr>
      <w:r w:rsidRPr="00CE44DE">
        <w:rPr>
          <w:rFonts w:ascii="Palatino Linotype" w:hAnsi="Palatino Linotype"/>
          <w:b/>
          <w:i/>
          <w:lang w:eastAsia="es-MX"/>
        </w:rPr>
        <w:t>“Legitimación para Ejercer los Derechos ARCO</w:t>
      </w:r>
    </w:p>
    <w:p w:rsidR="00E96C3A" w:rsidRPr="00CE44DE" w:rsidRDefault="00E96C3A" w:rsidP="00E96C3A">
      <w:pPr>
        <w:widowControl w:val="0"/>
        <w:autoSpaceDE w:val="0"/>
        <w:autoSpaceDN w:val="0"/>
        <w:adjustRightInd w:val="0"/>
        <w:spacing w:before="240" w:line="360" w:lineRule="auto"/>
        <w:ind w:left="851" w:right="851"/>
        <w:jc w:val="both"/>
        <w:rPr>
          <w:rFonts w:ascii="Palatino Linotype" w:hAnsi="Palatino Linotype"/>
          <w:b/>
          <w:i/>
          <w:lang w:eastAsia="es-MX"/>
        </w:rPr>
      </w:pPr>
      <w:r>
        <w:rPr>
          <w:rFonts w:ascii="Palatino Linotype" w:hAnsi="Palatino Linotype"/>
          <w:b/>
          <w:i/>
          <w:lang w:eastAsia="es-MX"/>
        </w:rPr>
        <w:lastRenderedPageBreak/>
        <w:t>Artículo 106.</w:t>
      </w:r>
    </w:p>
    <w:p w:rsidR="00E96C3A" w:rsidRPr="00CE44DE" w:rsidRDefault="00E96C3A" w:rsidP="00E96C3A">
      <w:pPr>
        <w:widowControl w:val="0"/>
        <w:autoSpaceDE w:val="0"/>
        <w:autoSpaceDN w:val="0"/>
        <w:adjustRightInd w:val="0"/>
        <w:spacing w:before="240" w:line="360" w:lineRule="auto"/>
        <w:ind w:left="851" w:right="851"/>
        <w:jc w:val="both"/>
        <w:rPr>
          <w:rFonts w:ascii="Palatino Linotype" w:hAnsi="Palatino Linotype"/>
          <w:i/>
          <w:lang w:eastAsia="es-MX"/>
        </w:rPr>
      </w:pPr>
      <w:r w:rsidRPr="00CE44DE">
        <w:rPr>
          <w:rFonts w:ascii="Palatino Linotype" w:hAnsi="Palatino Linotype"/>
          <w:i/>
          <w:lang w:eastAsia="es-MX"/>
        </w:rPr>
        <w:t>(…)</w:t>
      </w:r>
    </w:p>
    <w:p w:rsidR="00E96C3A" w:rsidRPr="00CE44DE" w:rsidRDefault="00E96C3A" w:rsidP="00E96C3A">
      <w:pPr>
        <w:widowControl w:val="0"/>
        <w:autoSpaceDE w:val="0"/>
        <w:autoSpaceDN w:val="0"/>
        <w:adjustRightInd w:val="0"/>
        <w:spacing w:before="240" w:line="360" w:lineRule="auto"/>
        <w:ind w:left="851" w:right="851"/>
        <w:jc w:val="both"/>
        <w:rPr>
          <w:rFonts w:ascii="Palatino Linotype" w:hAnsi="Palatino Linotype"/>
          <w:i/>
          <w:lang w:eastAsia="es-MX"/>
        </w:rPr>
      </w:pPr>
      <w:r w:rsidRPr="00CE44DE">
        <w:rPr>
          <w:rFonts w:ascii="Palatino Linotype" w:hAnsi="Palatino Linotype"/>
          <w:i/>
          <w:lang w:eastAsia="es-MX"/>
        </w:rPr>
        <w:t xml:space="preserv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rsidR="00E96C3A" w:rsidRPr="00CE44DE" w:rsidRDefault="00E96C3A" w:rsidP="00E96C3A">
      <w:pPr>
        <w:widowControl w:val="0"/>
        <w:autoSpaceDE w:val="0"/>
        <w:autoSpaceDN w:val="0"/>
        <w:adjustRightInd w:val="0"/>
        <w:spacing w:before="240" w:line="360" w:lineRule="auto"/>
        <w:ind w:left="851" w:right="851"/>
        <w:jc w:val="both"/>
        <w:rPr>
          <w:rFonts w:ascii="Palatino Linotype" w:hAnsi="Palatino Linotype"/>
          <w:i/>
          <w:lang w:eastAsia="es-MX"/>
        </w:rPr>
      </w:pPr>
      <w:r w:rsidRPr="00CE44DE">
        <w:rPr>
          <w:rFonts w:ascii="Palatino Linotype" w:hAnsi="Palatino Linotype"/>
          <w:i/>
          <w:lang w:eastAsia="es-MX"/>
        </w:rPr>
        <w:t xml:space="preserve"> El titular podrá autorizar dentro de una cláusula del testamento a las personas que podrán ejercer sus derechos ARCO al momento del fallecimiento.  </w:t>
      </w:r>
    </w:p>
    <w:p w:rsidR="00E96C3A" w:rsidRPr="00CE44DE" w:rsidRDefault="00E96C3A" w:rsidP="00E96C3A">
      <w:pPr>
        <w:widowControl w:val="0"/>
        <w:autoSpaceDE w:val="0"/>
        <w:autoSpaceDN w:val="0"/>
        <w:adjustRightInd w:val="0"/>
        <w:spacing w:before="240" w:line="360" w:lineRule="auto"/>
        <w:ind w:left="851" w:right="851"/>
        <w:jc w:val="both"/>
        <w:rPr>
          <w:rFonts w:ascii="Palatino Linotype" w:hAnsi="Palatino Linotype"/>
          <w:b/>
          <w:i/>
          <w:lang w:eastAsia="es-MX"/>
        </w:rPr>
      </w:pPr>
      <w:r w:rsidRPr="00CE44DE">
        <w:rPr>
          <w:rFonts w:ascii="Palatino Linotype" w:hAnsi="Palatino Linotype"/>
          <w:i/>
          <w:lang w:eastAsia="es-MX"/>
        </w:rPr>
        <w:t xml:space="preserve"> El ejercicio de los derechos ARCO por persona distinta a su titular o a su representante, será posible, excepcionalmente, en aquellos supuestos previstos por disposición legal, o en su caso, por mandato judicial (…)” </w:t>
      </w:r>
      <w:r w:rsidRPr="00CE44DE">
        <w:rPr>
          <w:rFonts w:ascii="Palatino Linotype" w:hAnsi="Palatino Linotype"/>
          <w:b/>
          <w:i/>
          <w:lang w:eastAsia="es-MX"/>
        </w:rPr>
        <w:t>[Sic]</w:t>
      </w:r>
    </w:p>
    <w:p w:rsidR="00E96C3A" w:rsidRPr="007D69F7" w:rsidRDefault="00E96C3A" w:rsidP="00E96C3A">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Pr>
          <w:rFonts w:ascii="Palatino Linotype" w:hAnsi="Palatino Linotype" w:cs="Arial"/>
        </w:rPr>
        <w:t>D</w:t>
      </w:r>
      <w:r w:rsidRPr="007D69F7">
        <w:rPr>
          <w:rFonts w:ascii="Palatino Linotype" w:hAnsi="Palatino Linotype" w:cs="Arial"/>
        </w:rPr>
        <w:t>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 a los derechos de acceso, rectificación, cancelación y oposición al tratamiento de datos personales.</w:t>
      </w:r>
    </w:p>
    <w:p w:rsidR="00E96C3A" w:rsidRPr="007D69F7" w:rsidRDefault="00E96C3A" w:rsidP="00E96C3A">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sidRPr="007D69F7">
        <w:rPr>
          <w:rFonts w:ascii="Palatino Linotype" w:hAnsi="Palatino Linotype" w:cs="Arial"/>
        </w:rPr>
        <w:t xml:space="preserve">Ordenamiento al cual se encuentran sujetos los titulares de las unidades de </w:t>
      </w:r>
      <w:r w:rsidRPr="007D69F7">
        <w:rPr>
          <w:rFonts w:ascii="Palatino Linotype" w:hAnsi="Palatino Linotype" w:cs="Arial"/>
        </w:rPr>
        <w:lastRenderedPageBreak/>
        <w:t xml:space="preserve">transparencia de los </w:t>
      </w:r>
      <w:r w:rsidRPr="00CE44DE">
        <w:rPr>
          <w:rFonts w:ascii="Palatino Linotype" w:hAnsi="Palatino Linotype" w:cs="Arial"/>
          <w:b/>
        </w:rPr>
        <w:t>Sujetos Obligados,</w:t>
      </w:r>
      <w:r w:rsidRPr="007D69F7">
        <w:rPr>
          <w:rFonts w:ascii="Palatino Linotype"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CE44DE">
        <w:rPr>
          <w:rFonts w:ascii="Palatino Linotype"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CE44DE">
        <w:rPr>
          <w:rFonts w:ascii="Palatino Linotype" w:hAnsi="Palatino Linotype" w:cs="Arial"/>
          <w:b/>
        </w:rPr>
        <w:t xml:space="preserve">, </w:t>
      </w:r>
      <w:r w:rsidRPr="007D69F7">
        <w:rPr>
          <w:rFonts w:ascii="Palatino Linotype"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rsidR="00E96C3A" w:rsidRDefault="00E96C3A" w:rsidP="00E96C3A">
      <w:pPr>
        <w:pStyle w:val="Prrafodelista"/>
        <w:widowControl w:val="0"/>
        <w:autoSpaceDE w:val="0"/>
        <w:autoSpaceDN w:val="0"/>
        <w:adjustRightInd w:val="0"/>
        <w:spacing w:before="240" w:after="240" w:line="360" w:lineRule="auto"/>
        <w:ind w:left="0" w:right="49"/>
        <w:jc w:val="both"/>
        <w:rPr>
          <w:rFonts w:ascii="Palatino Linotype" w:hAnsi="Palatino Linotype" w:cs="Arial"/>
          <w:lang w:eastAsia="es-MX"/>
        </w:rPr>
      </w:pPr>
      <w:r w:rsidRPr="007D69F7">
        <w:rPr>
          <w:rFonts w:ascii="Palatino Linotype" w:hAnsi="Palatino Linotype" w:cs="Arial"/>
        </w:rPr>
        <w:t xml:space="preserve">En consecuencia, el ejercicio de derechos ARCO respecto de personas fallecidas a través de las Unidades de Transparencia, únicamente podrá llevarse a cabo por quienes cuenten con interés jurídico, por lo cual </w:t>
      </w:r>
      <w:r w:rsidRPr="007D69F7">
        <w:rPr>
          <w:rFonts w:ascii="Palatino Linotype" w:hAnsi="Palatino Linotype"/>
          <w:color w:val="000000"/>
          <w:lang w:eastAsia="es-MX"/>
        </w:rPr>
        <w:t xml:space="preserve">conviene señalar lo estipulado </w:t>
      </w:r>
      <w:r>
        <w:rPr>
          <w:rFonts w:ascii="Palatino Linotype" w:hAnsi="Palatino Linotype"/>
          <w:color w:val="000000"/>
          <w:lang w:eastAsia="es-MX"/>
        </w:rPr>
        <w:t xml:space="preserve">por </w:t>
      </w:r>
      <w:r w:rsidRPr="007D69F7">
        <w:rPr>
          <w:rFonts w:ascii="Palatino Linotype" w:hAnsi="Palatino Linotype" w:cs="Arial"/>
        </w:rPr>
        <w:t>el Poder Judicial de la Federación a través</w:t>
      </w:r>
      <w:r>
        <w:rPr>
          <w:rFonts w:ascii="Palatino Linotype" w:hAnsi="Palatino Linotype" w:cs="Arial"/>
        </w:rPr>
        <w:t xml:space="preserve"> de las Tesis y Jurisprudencias con</w:t>
      </w:r>
      <w:r w:rsidRPr="007D69F7">
        <w:rPr>
          <w:rFonts w:ascii="Palatino Linotype" w:hAnsi="Palatino Linotype" w:cs="Arial"/>
        </w:rPr>
        <w:t xml:space="preserve"> </w:t>
      </w:r>
      <w:r w:rsidRPr="007D69F7">
        <w:rPr>
          <w:rFonts w:ascii="Palatino Linotype" w:hAnsi="Palatino Linotype" w:cs="Arial"/>
          <w:lang w:eastAsia="es-MX"/>
        </w:rPr>
        <w:t>números de registro 181719, 170500 de la Novena y Décima Épocas, sustentadas por el Segundo Tribunal Colegiado en Materia Civil del Segundo Circuito, y por la Primera y Segunda Salas de la Suprema Corte de Justicia de la Nación</w:t>
      </w:r>
      <w:r w:rsidRPr="007D69F7">
        <w:rPr>
          <w:rStyle w:val="Refdenotaalpie"/>
          <w:rFonts w:ascii="Palatino Linotype" w:hAnsi="Palatino Linotype"/>
          <w:lang w:eastAsia="es-MX"/>
        </w:rPr>
        <w:footnoteReference w:id="1"/>
      </w:r>
      <w:r w:rsidRPr="007D69F7">
        <w:rPr>
          <w:rFonts w:ascii="Palatino Linotype" w:hAnsi="Palatino Linotype" w:cs="Arial"/>
          <w:lang w:eastAsia="es-MX"/>
        </w:rPr>
        <w:t>, se han pronunciado en cuanto al intereses jurídico en los términos siguientes:</w:t>
      </w:r>
    </w:p>
    <w:p w:rsidR="004A194A" w:rsidRDefault="004A194A" w:rsidP="00E96C3A">
      <w:pPr>
        <w:pStyle w:val="Prrafodelista"/>
        <w:widowControl w:val="0"/>
        <w:autoSpaceDE w:val="0"/>
        <w:autoSpaceDN w:val="0"/>
        <w:adjustRightInd w:val="0"/>
        <w:spacing w:before="240" w:after="240" w:line="360" w:lineRule="auto"/>
        <w:ind w:left="0" w:right="49"/>
        <w:jc w:val="both"/>
        <w:rPr>
          <w:rFonts w:ascii="Palatino Linotype" w:hAnsi="Palatino Linotype" w:cs="Arial"/>
          <w:lang w:eastAsia="es-MX"/>
        </w:rPr>
      </w:pPr>
    </w:p>
    <w:p w:rsidR="00E96C3A" w:rsidRDefault="00E96C3A" w:rsidP="00E96C3A">
      <w:pPr>
        <w:spacing w:before="240" w:line="360" w:lineRule="auto"/>
        <w:ind w:left="851" w:right="851"/>
        <w:jc w:val="center"/>
        <w:rPr>
          <w:rFonts w:ascii="Palatino Linotype" w:hAnsi="Palatino Linotype" w:cs="Bookman Old Style"/>
          <w:i/>
        </w:rPr>
      </w:pPr>
      <w:r w:rsidRPr="007D69F7">
        <w:rPr>
          <w:rFonts w:ascii="Palatino Linotype" w:hAnsi="Palatino Linotype" w:cs="Bookman Old Style"/>
          <w:i/>
        </w:rPr>
        <w:lastRenderedPageBreak/>
        <w:t>“</w:t>
      </w:r>
      <w:r w:rsidRPr="007D69F7">
        <w:rPr>
          <w:rFonts w:ascii="Palatino Linotype" w:hAnsi="Palatino Linotype" w:cs="Bookman Old Style"/>
          <w:b/>
          <w:i/>
          <w:u w:val="single"/>
        </w:rPr>
        <w:t>INTERÉS JURÍDICO, CONCEPTO DE</w:t>
      </w:r>
      <w:r w:rsidRPr="007D69F7">
        <w:rPr>
          <w:rFonts w:ascii="Palatino Linotype" w:hAnsi="Palatino Linotype" w:cs="Bookman Old Style"/>
          <w:i/>
        </w:rPr>
        <w:t>.</w:t>
      </w:r>
    </w:p>
    <w:p w:rsidR="00E96C3A" w:rsidRDefault="00E96C3A" w:rsidP="00E96C3A">
      <w:pPr>
        <w:spacing w:before="240" w:line="360" w:lineRule="auto"/>
        <w:ind w:left="851" w:right="851"/>
        <w:jc w:val="both"/>
        <w:rPr>
          <w:rFonts w:ascii="Palatino Linotype" w:hAnsi="Palatino Linotype" w:cs="Bookman Old Style"/>
          <w:i/>
        </w:rPr>
      </w:pPr>
      <w:r w:rsidRPr="007D69F7">
        <w:rPr>
          <w:rFonts w:ascii="Palatino Linotype" w:hAnsi="Palatino Linotype" w:cs="Bookman Old Style"/>
          <w:i/>
        </w:rPr>
        <w:t xml:space="preserve">Tratándose del juicio de garantías, </w:t>
      </w:r>
      <w:r w:rsidRPr="007D69F7">
        <w:rPr>
          <w:rFonts w:ascii="Palatino Linotype" w:hAnsi="Palatino Linotype" w:cs="Bookman Old Style"/>
          <w:b/>
          <w:i/>
          <w:u w:val="single"/>
        </w:rPr>
        <w:t>el interés jurídico</w:t>
      </w:r>
      <w:r w:rsidRPr="007D69F7">
        <w:rPr>
          <w:rFonts w:ascii="Palatino Linotype" w:hAnsi="Palatino Linotype" w:cs="Bookman Old Style"/>
          <w:i/>
        </w:rPr>
        <w:t xml:space="preserve"> como noción fundamental </w:t>
      </w:r>
      <w:r w:rsidRPr="007D69F7">
        <w:rPr>
          <w:rFonts w:ascii="Palatino Linotype" w:hAnsi="Palatino Linotype" w:cs="Bookman Old Style"/>
          <w:b/>
          <w:i/>
          <w:u w:val="single"/>
        </w:rPr>
        <w:t>lo constituye la existencia o actualización de un derecho subjetivo jurídicamente tutelado que puede afectarse</w:t>
      </w:r>
      <w:r w:rsidRPr="007D69F7">
        <w:rPr>
          <w:rFonts w:ascii="Palatino Linotype" w:hAnsi="Palatino Linotype" w:cs="Bookman Old Style"/>
          <w:i/>
        </w:rPr>
        <w:t xml:space="preserve">, ya sea por la violación de ese derecho, o bien, por el desconocimiento del mismo </w:t>
      </w:r>
      <w:r w:rsidRPr="007D69F7">
        <w:rPr>
          <w:rFonts w:ascii="Palatino Linotype" w:hAnsi="Palatino Linotype" w:cs="Bookman Old Style"/>
          <w:b/>
          <w:i/>
          <w:u w:val="single"/>
        </w:rPr>
        <w:t>por virtud de un acto de autoridad, de ahí que sólo el titular de algún derecho legítimamente protegible pueda acudir ante el órgano jurisdiccional</w:t>
      </w:r>
      <w:r w:rsidRPr="007D69F7">
        <w:rPr>
          <w:rFonts w:ascii="Palatino Linotype" w:hAnsi="Palatino Linotype" w:cs="Bookman Old Style"/>
          <w:i/>
        </w:rPr>
        <w:t xml:space="preserve"> de amparo en demanda de que cese esa situación </w:t>
      </w:r>
      <w:r w:rsidRPr="007D69F7">
        <w:rPr>
          <w:rFonts w:ascii="Palatino Linotype" w:hAnsi="Palatino Linotype" w:cs="Bookman Old Style"/>
          <w:i/>
          <w:u w:val="single"/>
        </w:rPr>
        <w:t>cuando se transgreda, por la actuación de cierta autoridad,</w:t>
      </w:r>
      <w:r w:rsidRPr="007D69F7">
        <w:rPr>
          <w:rFonts w:ascii="Palatino Linotype" w:hAnsi="Palatino Linotype" w:cs="Bookman Old Style"/>
          <w:i/>
        </w:rPr>
        <w:t xml:space="preserve"> determinada garantía.</w:t>
      </w:r>
    </w:p>
    <w:p w:rsidR="00E96C3A" w:rsidRPr="007D69F7" w:rsidRDefault="00E96C3A" w:rsidP="00E96C3A">
      <w:pPr>
        <w:spacing w:before="240" w:line="360" w:lineRule="auto"/>
        <w:ind w:left="851" w:right="851"/>
        <w:jc w:val="both"/>
        <w:rPr>
          <w:rFonts w:ascii="Palatino Linotype" w:hAnsi="Palatino Linotype" w:cs="Bookman Old Style"/>
          <w:i/>
        </w:rPr>
      </w:pPr>
    </w:p>
    <w:p w:rsidR="00E96C3A" w:rsidRDefault="00E96C3A" w:rsidP="00E96C3A">
      <w:pPr>
        <w:spacing w:before="240" w:line="360" w:lineRule="auto"/>
        <w:ind w:left="851" w:right="851"/>
        <w:jc w:val="both"/>
        <w:rPr>
          <w:rFonts w:ascii="Palatino Linotype" w:hAnsi="Palatino Linotype" w:cs="Bookman Old Style"/>
          <w:i/>
        </w:rPr>
      </w:pPr>
      <w:r w:rsidRPr="007D69F7">
        <w:rPr>
          <w:rFonts w:ascii="Palatino Linotype" w:hAnsi="Palatino Linotype" w:cs="Bookman Old Style"/>
          <w:b/>
          <w:i/>
        </w:rPr>
        <w:t>INTERÉS JURÍDICO EN EL AMPARO. ELEMENTOS CONSTITUTIVOS</w:t>
      </w:r>
      <w:r w:rsidRPr="007D69F7">
        <w:rPr>
          <w:rFonts w:ascii="Palatino Linotype" w:hAnsi="Palatino Linotype" w:cs="Bookman Old Style"/>
          <w:i/>
        </w:rPr>
        <w:t xml:space="preserve">. </w:t>
      </w:r>
    </w:p>
    <w:p w:rsidR="00E96C3A" w:rsidRPr="00C95997" w:rsidRDefault="00E96C3A" w:rsidP="00E96C3A">
      <w:pPr>
        <w:spacing w:before="240" w:line="360" w:lineRule="auto"/>
        <w:ind w:left="851" w:right="851"/>
        <w:jc w:val="both"/>
        <w:rPr>
          <w:rFonts w:ascii="Palatino Linotype" w:hAnsi="Palatino Linotype" w:cs="Bookman Old Style"/>
          <w:b/>
          <w:i/>
        </w:rPr>
      </w:pPr>
      <w:r w:rsidRPr="007D69F7">
        <w:rPr>
          <w:rFonts w:ascii="Palatino Linotype" w:hAnsi="Palatino Linotype" w:cs="Bookman Old Style"/>
          <w:b/>
          <w:i/>
          <w:u w:val="single"/>
        </w:rPr>
        <w:t>El artículo 4o. de la Ley de Amparo contempla, para la procedencia del juicio de garantías</w:t>
      </w:r>
      <w:r w:rsidRPr="007D69F7">
        <w:rPr>
          <w:rFonts w:ascii="Palatino Linotype" w:hAnsi="Palatino Linotype" w:cs="Bookman Old Style"/>
          <w:i/>
        </w:rPr>
        <w:t xml:space="preserve">, </w:t>
      </w:r>
      <w:r w:rsidRPr="007D69F7">
        <w:rPr>
          <w:rFonts w:ascii="Palatino Linotype" w:hAnsi="Palatino Linotype" w:cs="Bookman Old Style"/>
          <w:b/>
          <w:i/>
          <w:u w:val="single"/>
        </w:rPr>
        <w:t>que el acto reclamado cause un perjuicio a la persona física o moral que se estime afectada, lo que ocurre cuando ese acto lesiona sus intereses jurídicos</w:t>
      </w:r>
      <w:r w:rsidRPr="007D69F7">
        <w:rPr>
          <w:rFonts w:ascii="Palatino Linotype" w:hAnsi="Palatino Linotype" w:cs="Bookman Old Style"/>
          <w:i/>
        </w:rPr>
        <w:t xml:space="preserve">, en su persona o en su patrimonio, y que de manera concomitante es lo que provoca la génesis de la acción constitucional. Así, como </w:t>
      </w:r>
      <w:r w:rsidRPr="007D69F7">
        <w:rPr>
          <w:rFonts w:ascii="Palatino Linotype" w:hAnsi="Palatino Linotype" w:cs="Bookman Old Style"/>
          <w:b/>
          <w:i/>
          <w:u w:val="single"/>
        </w:rPr>
        <w:t>la tutela del derecho sólo comprende a bienes jurídicos reales y objetivos</w:t>
      </w:r>
      <w:r w:rsidRPr="007D69F7">
        <w:rPr>
          <w:rFonts w:ascii="Palatino Linotype" w:hAnsi="Palatino Linotype" w:cs="Bookman Old Style"/>
          <w:i/>
        </w:rPr>
        <w:t xml:space="preserve">, las afectaciones deben igualmente ser </w:t>
      </w:r>
      <w:r w:rsidRPr="007D69F7">
        <w:rPr>
          <w:rFonts w:ascii="Palatino Linotype" w:hAnsi="Palatino Linotype" w:cs="Bookman Old Style"/>
          <w:b/>
          <w:i/>
          <w:u w:val="single"/>
        </w:rPr>
        <w:t>susceptibles de apreciarse en forma objetiva</w:t>
      </w:r>
      <w:r w:rsidRPr="007D69F7">
        <w:rPr>
          <w:rFonts w:ascii="Palatino Linotype" w:hAnsi="Palatino Linotype" w:cs="Bookman Old Style"/>
          <w:i/>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7D69F7">
        <w:rPr>
          <w:rFonts w:ascii="Palatino Linotype" w:hAnsi="Palatino Linotype" w:cs="Bookman Old Style"/>
          <w:b/>
          <w:i/>
          <w:u w:val="single"/>
        </w:rPr>
        <w:t xml:space="preserve">sin que pueda hablarse entonces de agravio cuando los daños o perjuicios que una persona puede </w:t>
      </w:r>
      <w:r w:rsidRPr="007D69F7">
        <w:rPr>
          <w:rFonts w:ascii="Palatino Linotype" w:hAnsi="Palatino Linotype" w:cs="Bookman Old Style"/>
          <w:b/>
          <w:i/>
          <w:u w:val="single"/>
        </w:rPr>
        <w:lastRenderedPageBreak/>
        <w:t>sufrir, no afecten real y efectivamente sus bienes jurídicamente amparados</w:t>
      </w:r>
      <w:r>
        <w:rPr>
          <w:rFonts w:ascii="Palatino Linotype" w:hAnsi="Palatino Linotype" w:cs="Bookman Old Style"/>
          <w:i/>
        </w:rPr>
        <w:t xml:space="preserve">” </w:t>
      </w:r>
      <w:r>
        <w:rPr>
          <w:rFonts w:ascii="Palatino Linotype" w:hAnsi="Palatino Linotype" w:cs="Bookman Old Style"/>
          <w:b/>
          <w:i/>
        </w:rPr>
        <w:t>[Sic]</w:t>
      </w:r>
    </w:p>
    <w:p w:rsidR="00E96C3A" w:rsidRDefault="00E96C3A" w:rsidP="00E96C3A">
      <w:pPr>
        <w:widowControl w:val="0"/>
        <w:autoSpaceDE w:val="0"/>
        <w:autoSpaceDN w:val="0"/>
        <w:adjustRightInd w:val="0"/>
        <w:spacing w:before="240" w:line="360" w:lineRule="auto"/>
        <w:ind w:right="51"/>
        <w:jc w:val="both"/>
        <w:rPr>
          <w:rFonts w:ascii="Palatino Linotype" w:hAnsi="Palatino Linotype" w:cs="Arial"/>
        </w:rPr>
      </w:pPr>
    </w:p>
    <w:p w:rsidR="00E96C3A" w:rsidRPr="007D69F7" w:rsidRDefault="00E96C3A" w:rsidP="00E96C3A">
      <w:pPr>
        <w:pStyle w:val="Prrafodelista"/>
        <w:widowControl w:val="0"/>
        <w:autoSpaceDE w:val="0"/>
        <w:autoSpaceDN w:val="0"/>
        <w:adjustRightInd w:val="0"/>
        <w:spacing w:after="240" w:line="360" w:lineRule="auto"/>
        <w:ind w:left="0" w:right="49"/>
        <w:jc w:val="both"/>
        <w:rPr>
          <w:rFonts w:ascii="Palatino Linotype" w:hAnsi="Palatino Linotype" w:cs="Arial"/>
          <w:i/>
        </w:rPr>
      </w:pPr>
      <w:r w:rsidRPr="007D69F7">
        <w:rPr>
          <w:rFonts w:ascii="Palatino Linotype" w:hAnsi="Palatino Linotype" w:cs="Arial"/>
        </w:rPr>
        <w:t xml:space="preserve">Precisado lo anterior, se advierte que </w:t>
      </w:r>
      <w:r>
        <w:rPr>
          <w:rFonts w:ascii="Palatino Linotype" w:hAnsi="Palatino Linotype" w:cs="Arial"/>
          <w:b/>
        </w:rPr>
        <w:t>La Recurrente</w:t>
      </w:r>
      <w:r w:rsidRPr="007D69F7">
        <w:rPr>
          <w:rFonts w:ascii="Palatino Linotype" w:hAnsi="Palatino Linotype" w:cs="Arial"/>
        </w:rPr>
        <w:t xml:space="preserve"> al realizar su solicitud de acceso a datos personales, exhibió ante el Sujeto Obligado documentos que pudieran permitieran reconocerle el interés jurídico para ejercer los derechos ARCO a nombre y representación, como el acta de matrimonio y el acta de defunción más no así acreditando que el titular de los derechos hubiere expresado fehacientemente su voluntad en tal sentido, o que exista un mandato judicial para dicho efecto.</w:t>
      </w:r>
    </w:p>
    <w:p w:rsidR="00E96C3A" w:rsidRPr="007D69F7" w:rsidRDefault="00E96C3A" w:rsidP="00E96C3A">
      <w:pPr>
        <w:pStyle w:val="Prrafodelista"/>
        <w:widowControl w:val="0"/>
        <w:autoSpaceDE w:val="0"/>
        <w:autoSpaceDN w:val="0"/>
        <w:adjustRightInd w:val="0"/>
        <w:spacing w:after="240" w:line="360" w:lineRule="auto"/>
        <w:ind w:left="0" w:right="49"/>
        <w:jc w:val="both"/>
        <w:rPr>
          <w:rFonts w:ascii="Palatino Linotype" w:hAnsi="Palatino Linotype" w:cs="Arial"/>
          <w:i/>
        </w:rPr>
      </w:pPr>
      <w:r w:rsidRPr="007D69F7">
        <w:rPr>
          <w:rFonts w:ascii="Palatino Linotype" w:hAnsi="Palatino Linotype" w:cs="Arial"/>
        </w:rPr>
        <w:t>Empero lo anterior, la Ley en la materia nos establece en su artículo 122 que para la interposición de un recurso de revisión de datos personales concernientes a personas fallecidas, podrá realizarla la persona que acredite tener un interés jurídico o legítimo</w:t>
      </w:r>
      <w:r w:rsidRPr="007D69F7">
        <w:rPr>
          <w:rFonts w:ascii="Bookman Old Style" w:hAnsi="Bookman Old Style" w:cs="Bookman Old Style"/>
          <w:sz w:val="20"/>
          <w:szCs w:val="20"/>
        </w:rPr>
        <w:t>.</w:t>
      </w:r>
    </w:p>
    <w:p w:rsidR="00E96C3A" w:rsidRPr="007D69F7" w:rsidRDefault="00E96C3A" w:rsidP="00E96C3A">
      <w:pPr>
        <w:pStyle w:val="Prrafodelista"/>
        <w:widowControl w:val="0"/>
        <w:autoSpaceDE w:val="0"/>
        <w:autoSpaceDN w:val="0"/>
        <w:adjustRightInd w:val="0"/>
        <w:spacing w:before="240" w:after="240" w:line="360" w:lineRule="auto"/>
        <w:ind w:left="0" w:right="49"/>
        <w:jc w:val="both"/>
        <w:rPr>
          <w:rFonts w:ascii="Palatino Linotype" w:hAnsi="Palatino Linotype"/>
        </w:rPr>
      </w:pPr>
      <w:r w:rsidRPr="007D69F7">
        <w:rPr>
          <w:rFonts w:ascii="Palatino Linotype" w:hAnsi="Palatino Linotype" w:cs="Arial"/>
        </w:rPr>
        <w:t xml:space="preserve">En ese orden de ideas, al presentar </w:t>
      </w:r>
      <w:r>
        <w:rPr>
          <w:rFonts w:ascii="Palatino Linotype" w:hAnsi="Palatino Linotype" w:cs="Arial"/>
        </w:rPr>
        <w:t>las citadas actas de nacimiento</w:t>
      </w:r>
      <w:r w:rsidRPr="007D69F7">
        <w:rPr>
          <w:rFonts w:ascii="Palatino Linotype" w:hAnsi="Palatino Linotype"/>
        </w:rPr>
        <w:t xml:space="preserve"> y acta de defunción</w:t>
      </w:r>
      <w:r w:rsidRPr="007D69F7">
        <w:rPr>
          <w:rFonts w:ascii="Palatino Linotype" w:hAnsi="Palatino Linotype" w:cs="Arial"/>
        </w:rPr>
        <w:t xml:space="preserve"> cumple con el requisito señalado con anterioridad ya que acredita el interés legítimo, para lo cual sirve de sustento los </w:t>
      </w:r>
      <w:r w:rsidRPr="007D69F7">
        <w:rPr>
          <w:rFonts w:ascii="Palatino Linotype" w:hAnsi="Palatino Linotype"/>
        </w:rPr>
        <w:t xml:space="preserve">criterios relevantes que ha emitido nuestro máximo Tribunal Constitucional en cuanto al interés legítimo, a través de </w:t>
      </w:r>
      <w:r w:rsidRPr="007D69F7">
        <w:rPr>
          <w:rFonts w:ascii="Palatino Linotype" w:hAnsi="Palatino Linotype" w:cs="Arial"/>
          <w:lang w:eastAsia="es-MX"/>
        </w:rPr>
        <w:t xml:space="preserve">las Jurisprudencias y Tesis Aisladas con números de registro </w:t>
      </w:r>
      <w:r w:rsidRPr="002B32E1">
        <w:rPr>
          <w:rFonts w:ascii="Palatino Linotype" w:hAnsi="Palatino Linotype"/>
          <w:b/>
        </w:rPr>
        <w:t>185376, 185377, 2005078</w:t>
      </w:r>
      <w:r w:rsidRPr="007D69F7">
        <w:rPr>
          <w:rFonts w:ascii="Palatino Linotype" w:hAnsi="Palatino Linotype"/>
        </w:rPr>
        <w:t xml:space="preserve"> y </w:t>
      </w:r>
      <w:r w:rsidRPr="002B32E1">
        <w:rPr>
          <w:rFonts w:ascii="Palatino Linotype" w:hAnsi="Palatino Linotype"/>
          <w:b/>
        </w:rPr>
        <w:t>2003608</w:t>
      </w:r>
      <w:r>
        <w:rPr>
          <w:rFonts w:ascii="Palatino Linotype" w:hAnsi="Palatino Linotype"/>
        </w:rPr>
        <w:t xml:space="preserve"> </w:t>
      </w:r>
      <w:r w:rsidRPr="007D69F7">
        <w:rPr>
          <w:rFonts w:ascii="Palatino Linotype" w:hAnsi="Palatino Linotype"/>
        </w:rPr>
        <w:t xml:space="preserve">cuyos textos y sentidos literales </w:t>
      </w:r>
      <w:r>
        <w:rPr>
          <w:rFonts w:ascii="Palatino Linotype" w:hAnsi="Palatino Linotype"/>
        </w:rPr>
        <w:t xml:space="preserve">respectivos, </w:t>
      </w:r>
      <w:r w:rsidRPr="007D69F7">
        <w:rPr>
          <w:rFonts w:ascii="Palatino Linotype" w:hAnsi="Palatino Linotype"/>
        </w:rPr>
        <w:t>son los siguientes</w:t>
      </w:r>
      <w:r>
        <w:rPr>
          <w:rFonts w:ascii="Palatino Linotype" w:hAnsi="Palatino Linotype"/>
        </w:rPr>
        <w:t>:</w:t>
      </w:r>
    </w:p>
    <w:p w:rsidR="00E96C3A" w:rsidRDefault="00E96C3A" w:rsidP="00E96C3A">
      <w:pPr>
        <w:spacing w:before="240" w:line="360" w:lineRule="auto"/>
        <w:ind w:left="851" w:right="851"/>
        <w:jc w:val="both"/>
        <w:rPr>
          <w:rFonts w:ascii="Palatino Linotype" w:hAnsi="Palatino Linotype"/>
          <w:i/>
        </w:rPr>
      </w:pPr>
      <w:r w:rsidRPr="007D69F7">
        <w:rPr>
          <w:rFonts w:ascii="Palatino Linotype" w:hAnsi="Palatino Linotype"/>
          <w:i/>
        </w:rPr>
        <w:t>“</w:t>
      </w:r>
      <w:r w:rsidRPr="007D69F7">
        <w:rPr>
          <w:rFonts w:ascii="Palatino Linotype" w:hAnsi="Palatino Linotype"/>
          <w:b/>
          <w:i/>
        </w:rPr>
        <w:t>INTERÉS LEGÍTIMO, NOCIÓN DE, PARA LA PROCEDENCIA DEL JUICIO ANTE EL TRIBUNAL DE LO CONTENCIOSO ADMINISTRATIVO DEL DISTRITO FEDERAL</w:t>
      </w:r>
      <w:r w:rsidRPr="007D69F7">
        <w:rPr>
          <w:rFonts w:ascii="Palatino Linotype" w:hAnsi="Palatino Linotype"/>
          <w:i/>
        </w:rPr>
        <w:t>.</w:t>
      </w:r>
    </w:p>
    <w:p w:rsidR="00E96C3A" w:rsidRDefault="00E96C3A" w:rsidP="00E96C3A">
      <w:pPr>
        <w:spacing w:before="240" w:line="360" w:lineRule="auto"/>
        <w:ind w:left="851" w:right="851"/>
        <w:jc w:val="both"/>
        <w:rPr>
          <w:rFonts w:ascii="Palatino Linotype" w:hAnsi="Palatino Linotype"/>
          <w:b/>
          <w:i/>
        </w:rPr>
      </w:pPr>
      <w:r w:rsidRPr="007D69F7">
        <w:rPr>
          <w:rFonts w:ascii="Palatino Linotype" w:hAnsi="Palatino Linotype"/>
          <w:i/>
        </w:rPr>
        <w:lastRenderedPageBreak/>
        <w:t xml:space="preserve"> De acuerdo con los artículos 34 y 72, fracción V, de la Ley del Tribunal de lo Contencioso Administrativo del Distrito Federal, </w:t>
      </w:r>
      <w:r w:rsidRPr="007D69F7">
        <w:rPr>
          <w:rFonts w:ascii="Palatino Linotype" w:hAnsi="Palatino Linotype"/>
          <w:i/>
          <w:u w:val="single"/>
        </w:rPr>
        <w:t>para la procedencia del juicio administrativo basta con que el acto de autoridad impugnado afecte la esfera jurídica del actor, para que le asista un interés legítimo para demandar la nulidad de ese acto</w:t>
      </w:r>
      <w:r w:rsidRPr="007D69F7">
        <w:rPr>
          <w:rFonts w:ascii="Palatino Linotype" w:hAnsi="Palatino Linotype"/>
          <w:i/>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7D69F7">
        <w:rPr>
          <w:rFonts w:ascii="Palatino Linotype" w:hAnsi="Palatino Linotype"/>
          <w:b/>
          <w:i/>
          <w:u w:val="single"/>
        </w:rPr>
        <w:t>En efecto, tales preceptos aluden a la procedencia o improcedencia del juicio administrativo, a los presupuestos de admisibilidad de la acción ante el Tribunal de lo Contencioso Administrativo</w:t>
      </w:r>
      <w:r w:rsidRPr="007D69F7">
        <w:rPr>
          <w:rFonts w:ascii="Palatino Linotype" w:hAnsi="Palatino Linotype"/>
          <w:b/>
          <w:i/>
        </w:rPr>
        <w:t xml:space="preserve">; </w:t>
      </w:r>
      <w:r w:rsidRPr="007D69F7">
        <w:rPr>
          <w:rFonts w:ascii="Palatino Linotype" w:hAnsi="Palatino Linotype"/>
          <w:b/>
          <w:i/>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7D69F7">
        <w:rPr>
          <w:rFonts w:ascii="Palatino Linotype" w:hAnsi="Palatino Linotype"/>
          <w:i/>
        </w:rPr>
        <w:t xml:space="preserve"> </w:t>
      </w:r>
      <w:r w:rsidRPr="007D69F7">
        <w:rPr>
          <w:rFonts w:ascii="Palatino Linotype" w:hAnsi="Palatino Linotype"/>
          <w:i/>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7D69F7">
        <w:rPr>
          <w:rFonts w:ascii="Palatino Linotype" w:hAnsi="Palatino Linotype"/>
          <w:i/>
        </w:rPr>
        <w:t xml:space="preserve">, de donde se sigue que los preceptos de la ley analizada, </w:t>
      </w:r>
      <w:r w:rsidRPr="007D69F7">
        <w:rPr>
          <w:rFonts w:ascii="Palatino Linotype" w:hAnsi="Palatino Linotype"/>
          <w:b/>
          <w:i/>
        </w:rPr>
        <w:t>al requerir un interés legítimo como presupuesto de admisibilidad de la acción correspondiente, también comprende por mayoría de razón al referido interés jurídico, al resultar aquél de mayores alcances que éste.</w:t>
      </w:r>
    </w:p>
    <w:p w:rsidR="00E96C3A" w:rsidRPr="007D69F7" w:rsidRDefault="00E96C3A" w:rsidP="00E96C3A">
      <w:pPr>
        <w:spacing w:before="240" w:line="360" w:lineRule="auto"/>
        <w:ind w:left="851" w:right="851"/>
        <w:jc w:val="both"/>
        <w:rPr>
          <w:rFonts w:ascii="Palatino Linotype" w:hAnsi="Palatino Linotype"/>
          <w:i/>
          <w:sz w:val="16"/>
          <w:szCs w:val="16"/>
        </w:rPr>
      </w:pPr>
    </w:p>
    <w:p w:rsidR="00E96C3A" w:rsidRDefault="00E96C3A" w:rsidP="00E96C3A">
      <w:pPr>
        <w:spacing w:before="240" w:line="360" w:lineRule="auto"/>
        <w:ind w:left="851" w:right="851"/>
        <w:jc w:val="both"/>
        <w:rPr>
          <w:rFonts w:ascii="Palatino Linotype" w:hAnsi="Palatino Linotype"/>
          <w:i/>
        </w:rPr>
      </w:pPr>
      <w:r w:rsidRPr="007D69F7">
        <w:rPr>
          <w:rFonts w:ascii="Palatino Linotype" w:hAnsi="Palatino Linotype"/>
          <w:b/>
          <w:i/>
        </w:rPr>
        <w:lastRenderedPageBreak/>
        <w:t>INTERÉS LEGÍTIMO E INTERÉS JURÍDICO. AMBOS TÉRMINOS TIENEN DIFERENTE CONNOTACIÓN EN EL JUICIO CONTENCIOSO ADMINISTRATIVO</w:t>
      </w:r>
      <w:r w:rsidRPr="007D69F7">
        <w:rPr>
          <w:rFonts w:ascii="Palatino Linotype" w:hAnsi="Palatino Linotype"/>
          <w:i/>
        </w:rPr>
        <w:t xml:space="preserve">. </w:t>
      </w:r>
    </w:p>
    <w:p w:rsidR="00E96C3A" w:rsidRPr="007D69F7" w:rsidRDefault="00E96C3A" w:rsidP="00E96C3A">
      <w:pPr>
        <w:spacing w:before="240" w:line="360" w:lineRule="auto"/>
        <w:ind w:left="851" w:right="851"/>
        <w:jc w:val="both"/>
        <w:rPr>
          <w:rFonts w:ascii="Palatino Linotype" w:hAnsi="Palatino Linotype"/>
          <w:b/>
          <w:i/>
          <w:u w:val="single"/>
        </w:rPr>
      </w:pPr>
      <w:r w:rsidRPr="007D69F7">
        <w:rPr>
          <w:rFonts w:ascii="Palatino Linotype" w:hAnsi="Palatino Linotype"/>
          <w:i/>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7D69F7">
        <w:rPr>
          <w:rFonts w:ascii="Palatino Linotype" w:hAnsi="Palatino Linotype"/>
          <w:b/>
          <w:i/>
          <w:u w:val="single"/>
        </w:rPr>
        <w:t>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accesar al procedimiento en defensa de sus intereses</w:t>
      </w:r>
      <w:r w:rsidRPr="007D69F7">
        <w:rPr>
          <w:rFonts w:ascii="Palatino Linotype" w:hAnsi="Palatino Linotype"/>
          <w:i/>
        </w:rPr>
        <w:t xml:space="preserve">. Así, el interés jurídico tiene una connotación diversa a la del legítimo, pues mientras el primero requiere que se acredite la afectación a un derecho subjetivo, </w:t>
      </w:r>
      <w:r w:rsidRPr="007D69F7">
        <w:rPr>
          <w:rFonts w:ascii="Palatino Linotype" w:hAnsi="Palatino Linotype"/>
          <w:b/>
          <w:i/>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E96C3A" w:rsidRDefault="00E96C3A" w:rsidP="00E96C3A">
      <w:pPr>
        <w:spacing w:before="240" w:line="360" w:lineRule="auto"/>
        <w:ind w:left="851" w:right="851"/>
        <w:jc w:val="both"/>
        <w:rPr>
          <w:rFonts w:ascii="Palatino Linotype" w:hAnsi="Palatino Linotype"/>
          <w:b/>
          <w:i/>
        </w:rPr>
      </w:pPr>
    </w:p>
    <w:p w:rsidR="00E96C3A" w:rsidRPr="007D69F7" w:rsidRDefault="00E96C3A" w:rsidP="00E96C3A">
      <w:pPr>
        <w:spacing w:before="240" w:line="360" w:lineRule="auto"/>
        <w:ind w:left="851" w:right="851"/>
        <w:jc w:val="both"/>
        <w:rPr>
          <w:rFonts w:ascii="Palatino Linotype" w:hAnsi="Palatino Linotype"/>
          <w:i/>
        </w:rPr>
      </w:pPr>
      <w:r w:rsidRPr="007D69F7">
        <w:rPr>
          <w:rFonts w:ascii="Palatino Linotype" w:hAnsi="Palatino Linotype"/>
          <w:b/>
          <w:i/>
        </w:rPr>
        <w:t xml:space="preserve">INTERÉS LEGÍTIMO EN EL AMPARO. SU ORIGEN Y CARACTERÍSTICAS. </w:t>
      </w:r>
      <w:r w:rsidRPr="007D69F7">
        <w:rPr>
          <w:rFonts w:ascii="Palatino Linotype" w:hAnsi="Palatino Linotype"/>
          <w:b/>
          <w:i/>
          <w:u w:val="single"/>
        </w:rPr>
        <w:t xml:space="preserve">El interés legítimo tiene su origen en las llamadas </w:t>
      </w:r>
      <w:r w:rsidRPr="007D69F7">
        <w:rPr>
          <w:rFonts w:ascii="Palatino Linotype" w:hAnsi="Palatino Linotype"/>
          <w:b/>
          <w:i/>
          <w:u w:val="single"/>
        </w:rPr>
        <w:lastRenderedPageBreak/>
        <w:t>normas de acción</w:t>
      </w:r>
      <w:r w:rsidRPr="007D69F7">
        <w:rPr>
          <w:rFonts w:ascii="Palatino Linotype" w:hAnsi="Palatino Linotype"/>
          <w:i/>
        </w:rPr>
        <w:t xml:space="preserve">, las cuales regulan lo relativo a la organización, contenido y procedimientos que han de regir la actividad administrativa, y </w:t>
      </w:r>
      <w:r w:rsidRPr="007D69F7">
        <w:rPr>
          <w:rFonts w:ascii="Palatino Linotype" w:hAnsi="Palatino Linotype"/>
          <w:i/>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7D69F7">
        <w:rPr>
          <w:rFonts w:ascii="Palatino Linotype" w:hAnsi="Palatino Linotype"/>
          <w:i/>
        </w:rPr>
        <w:t xml:space="preserve"> En ese contexto, por </w:t>
      </w:r>
      <w:r w:rsidRPr="007D69F7">
        <w:rPr>
          <w:rFonts w:ascii="Palatino Linotype" w:hAnsi="Palatino Linotype"/>
          <w:b/>
          <w:i/>
          <w:u w:val="single"/>
        </w:rPr>
        <w:t>el actuar de la administración, un determinado sujeto de derecho puede llegar a tener una ventaja en relación con los demás, o bien, sufrir un daño</w:t>
      </w:r>
      <w:r w:rsidRPr="007D69F7">
        <w:rPr>
          <w:rFonts w:ascii="Palatino Linotype" w:hAnsi="Palatino Linotype"/>
          <w:i/>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7D69F7">
        <w:rPr>
          <w:rFonts w:ascii="Palatino Linotype" w:hAnsi="Palatino Linotype"/>
          <w:b/>
          <w:i/>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7D69F7">
        <w:rPr>
          <w:rFonts w:ascii="Palatino Linotype" w:hAnsi="Palatino Linotype"/>
          <w:i/>
        </w:rPr>
        <w:t xml:space="preserve"> Por tanto, el quejoso debe acreditar que se encuentra en esa especial situación que afecta su esfera jurídica con el acatamiento de las llamadas normas de acción, a fin de demostrar su legitimación para instar la acción de amparo.</w:t>
      </w:r>
    </w:p>
    <w:p w:rsidR="00E96C3A" w:rsidRPr="007D69F7" w:rsidRDefault="00E96C3A" w:rsidP="00E96C3A">
      <w:pPr>
        <w:spacing w:before="240" w:line="360" w:lineRule="auto"/>
        <w:ind w:left="851" w:right="851"/>
        <w:jc w:val="both"/>
        <w:rPr>
          <w:rFonts w:ascii="Palatino Linotype" w:hAnsi="Palatino Linotype"/>
          <w:i/>
        </w:rPr>
      </w:pPr>
    </w:p>
    <w:p w:rsidR="00E96C3A" w:rsidRDefault="00E96C3A" w:rsidP="00E96C3A">
      <w:pPr>
        <w:spacing w:before="240" w:line="360" w:lineRule="auto"/>
        <w:ind w:left="851" w:right="851"/>
        <w:jc w:val="both"/>
        <w:rPr>
          <w:rFonts w:ascii="Palatino Linotype" w:hAnsi="Palatino Linotype"/>
          <w:i/>
        </w:rPr>
      </w:pPr>
      <w:r w:rsidRPr="007D69F7">
        <w:rPr>
          <w:rFonts w:ascii="Palatino Linotype" w:hAnsi="Palatino Linotype"/>
          <w:i/>
        </w:rPr>
        <w:t>INTERÉS JURÍDICO</w:t>
      </w:r>
      <w:r w:rsidRPr="007D69F7">
        <w:rPr>
          <w:rFonts w:ascii="Palatino Linotype" w:hAnsi="Palatino Linotype"/>
          <w:b/>
          <w:i/>
        </w:rPr>
        <w:t xml:space="preserve"> E </w:t>
      </w:r>
      <w:r w:rsidRPr="007D69F7">
        <w:rPr>
          <w:rFonts w:ascii="Palatino Linotype" w:hAnsi="Palatino Linotype"/>
          <w:b/>
          <w:i/>
          <w:u w:val="single"/>
        </w:rPr>
        <w:t>INTERÉS LEGÍTIMO</w:t>
      </w:r>
      <w:r w:rsidRPr="007D69F7">
        <w:rPr>
          <w:rFonts w:ascii="Palatino Linotype" w:hAnsi="Palatino Linotype"/>
          <w:b/>
          <w:i/>
        </w:rPr>
        <w:t xml:space="preserve"> PARA EFECTOS DE LA PROCEDENCIA DEL JUICIO DE AMPARO CONFORME AL ARTÍCULO 107, FRACCIÓN I, DE LA CONSTITUCIÓN FEDERAL, VIGENTE A PARTIR DEL 4 DE OCTUBRE DE 2011. SUS DIFERENCIAS.</w:t>
      </w:r>
      <w:r w:rsidRPr="007D69F7">
        <w:rPr>
          <w:rFonts w:ascii="Palatino Linotype" w:hAnsi="Palatino Linotype"/>
          <w:i/>
        </w:rPr>
        <w:t xml:space="preserve"> </w:t>
      </w:r>
    </w:p>
    <w:p w:rsidR="00E96C3A" w:rsidRPr="007D69F7" w:rsidRDefault="00E96C3A" w:rsidP="00E96C3A">
      <w:pPr>
        <w:spacing w:before="240" w:line="360" w:lineRule="auto"/>
        <w:ind w:left="851" w:right="851"/>
        <w:jc w:val="both"/>
        <w:rPr>
          <w:rFonts w:ascii="Palatino Linotype" w:hAnsi="Palatino Linotype"/>
          <w:i/>
        </w:rPr>
      </w:pPr>
      <w:r w:rsidRPr="007D69F7">
        <w:rPr>
          <w:rFonts w:ascii="Palatino Linotype" w:hAnsi="Palatino Linotype"/>
          <w:i/>
        </w:rPr>
        <w:t xml:space="preserve">Conforme al artículo 107, fracciones I y II, de la Constitución Política de los Estados Unidos Mexicanos, vigente a partir del 4 de octubre de 2011, el juicio de amparo </w:t>
      </w:r>
      <w:r w:rsidRPr="007D69F7">
        <w:rPr>
          <w:rFonts w:ascii="Palatino Linotype" w:hAnsi="Palatino Linotype"/>
          <w:i/>
        </w:rPr>
        <w:lastRenderedPageBreak/>
        <w:t xml:space="preserve">podrá promoverse por la parte que resienta el agravio causado por el acto reclamado (interés jurídico) </w:t>
      </w:r>
      <w:r w:rsidRPr="007D69F7">
        <w:rPr>
          <w:rFonts w:ascii="Palatino Linotype" w:hAnsi="Palatino Linotype"/>
          <w:b/>
          <w:i/>
          <w:u w:val="single"/>
        </w:rPr>
        <w:t>o, en su caso, por aquella que tenga un interés cualificado respecto de la constitucionalidad de los actos reclamados (interés legítimo),</w:t>
      </w:r>
      <w:r w:rsidRPr="007D69F7">
        <w:rPr>
          <w:rFonts w:ascii="Palatino Linotype" w:hAnsi="Palatino Linotype"/>
          <w:i/>
        </w:rPr>
        <w:t xml:space="preserve"> el </w:t>
      </w:r>
      <w:r w:rsidRPr="007D69F7">
        <w:rPr>
          <w:rFonts w:ascii="Palatino Linotype" w:hAnsi="Palatino Linotype"/>
          <w:b/>
          <w:i/>
          <w:u w:val="single"/>
        </w:rPr>
        <w:t>cual proviene de la afectación a su esfera jurídica</w:t>
      </w:r>
      <w:r w:rsidRPr="007D69F7">
        <w:rPr>
          <w:rFonts w:ascii="Palatino Linotype" w:hAnsi="Palatino Linotype"/>
          <w:i/>
        </w:rPr>
        <w:t>, ya sea directa o derivada de su situación particular respecto del orden jurídico, para que la sentencia que se dicte sólo la proteja a ella, en cumplimiento del principio conocido como de relatividad o particularidad de las sentencias. …”</w:t>
      </w:r>
    </w:p>
    <w:p w:rsidR="00E96C3A" w:rsidRPr="00EC30CE" w:rsidRDefault="00E96C3A" w:rsidP="00E96C3A">
      <w:pPr>
        <w:pStyle w:val="Prrafodelista"/>
        <w:widowControl w:val="0"/>
        <w:autoSpaceDE w:val="0"/>
        <w:autoSpaceDN w:val="0"/>
        <w:adjustRightInd w:val="0"/>
        <w:spacing w:before="240" w:after="240" w:line="360" w:lineRule="auto"/>
        <w:ind w:left="0" w:right="49"/>
        <w:jc w:val="both"/>
        <w:rPr>
          <w:rFonts w:ascii="Palatino Linotype" w:hAnsi="Palatino Linotype" w:cs="Arial"/>
          <w:i/>
        </w:rPr>
      </w:pPr>
      <w:r w:rsidRPr="007D69F7">
        <w:rPr>
          <w:rFonts w:ascii="Palatino Linotype" w:hAnsi="Palatino Linotype" w:cs="Arial"/>
        </w:rPr>
        <w:t xml:space="preserve">Precisado lo anterior, se advierte </w:t>
      </w:r>
      <w:r>
        <w:rPr>
          <w:rFonts w:ascii="Palatino Linotype" w:hAnsi="Palatino Linotype" w:cs="Arial"/>
        </w:rPr>
        <w:t xml:space="preserve">que </w:t>
      </w:r>
      <w:r>
        <w:rPr>
          <w:rFonts w:ascii="Palatino Linotype" w:hAnsi="Palatino Linotype" w:cs="Arial"/>
          <w:b/>
        </w:rPr>
        <w:t>La Recurrente</w:t>
      </w:r>
      <w:r w:rsidRPr="007D69F7">
        <w:rPr>
          <w:rFonts w:ascii="Palatino Linotype" w:hAnsi="Palatino Linotype" w:cs="Arial"/>
        </w:rPr>
        <w:t xml:space="preserve"> acredita su interés legítimo al acceso a datos personales </w:t>
      </w:r>
      <w:r>
        <w:rPr>
          <w:rFonts w:ascii="Palatino Linotype" w:hAnsi="Palatino Linotype" w:cs="Arial"/>
        </w:rPr>
        <w:t>al dar cumplimiento a</w:t>
      </w:r>
      <w:r w:rsidRPr="007D69F7">
        <w:rPr>
          <w:rFonts w:ascii="Palatino Linotype" w:hAnsi="Palatino Linotype" w:cs="Arial"/>
          <w:lang w:val="es-ES_tradnl"/>
        </w:rPr>
        <w:t xml:space="preserve"> las formalidades previstas por la </w:t>
      </w:r>
      <w:r w:rsidRPr="007D69F7">
        <w:rPr>
          <w:rFonts w:ascii="Palatino Linotype" w:hAnsi="Palatino Linotype" w:cs="Arial"/>
        </w:rPr>
        <w:t>Ley de Protección de Datos Personales en Posesión de Sujetos Obligados del Estado de México y Municipios</w:t>
      </w:r>
      <w:r>
        <w:rPr>
          <w:rFonts w:ascii="Palatino Linotype" w:hAnsi="Palatino Linotype" w:cs="Arial"/>
          <w:lang w:val="es-ES_tradnl"/>
        </w:rPr>
        <w:t>.</w:t>
      </w:r>
    </w:p>
    <w:p w:rsidR="00E96C3A" w:rsidRDefault="00E96C3A" w:rsidP="00E96C3A">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sidRPr="00300C48">
        <w:rPr>
          <w:rFonts w:ascii="Palatino Linotype" w:hAnsi="Palatino Linotype" w:cs="Arial"/>
        </w:rPr>
        <w:t xml:space="preserve">Una vez sentado lo anterior, </w:t>
      </w:r>
      <w:r>
        <w:rPr>
          <w:rFonts w:ascii="Palatino Linotype" w:hAnsi="Palatino Linotype" w:cs="Arial"/>
        </w:rPr>
        <w:t xml:space="preserve">resulta oportuno traer a colación los artículos 82 fracción XXVIII y 131 de la Ley de Protección de Datos Personales en Posesión de Sujetos Obligados del Estado de México y Municipios, normatividad invocada cuyo contenido literal es el siguiente: </w:t>
      </w:r>
    </w:p>
    <w:p w:rsidR="00E96C3A" w:rsidRPr="000D4995" w:rsidRDefault="00E96C3A" w:rsidP="00E96C3A">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 xml:space="preserve">“Atribuciones del Instituto </w:t>
      </w:r>
    </w:p>
    <w:p w:rsidR="00E96C3A" w:rsidRPr="000D4995" w:rsidRDefault="00E96C3A" w:rsidP="00E96C3A">
      <w:pPr>
        <w:pStyle w:val="Prrafodelista"/>
        <w:widowControl w:val="0"/>
        <w:autoSpaceDE w:val="0"/>
        <w:autoSpaceDN w:val="0"/>
        <w:adjustRightInd w:val="0"/>
        <w:spacing w:before="240" w:after="160" w:line="360" w:lineRule="auto"/>
        <w:ind w:left="851" w:right="851"/>
        <w:jc w:val="both"/>
        <w:rPr>
          <w:rFonts w:ascii="Palatino Linotype" w:hAnsi="Palatino Linotype"/>
          <w:i/>
          <w:sz w:val="22"/>
          <w:szCs w:val="22"/>
        </w:rPr>
      </w:pPr>
      <w:r w:rsidRPr="000D4995">
        <w:rPr>
          <w:rFonts w:ascii="Palatino Linotype" w:hAnsi="Palatino Linotype"/>
          <w:b/>
          <w:i/>
          <w:sz w:val="22"/>
          <w:szCs w:val="22"/>
        </w:rPr>
        <w:t>Artículo 82.</w:t>
      </w:r>
      <w:r w:rsidRPr="000D4995">
        <w:rPr>
          <w:rFonts w:ascii="Palatino Linotype" w:hAnsi="Palatino Linotype"/>
          <w:i/>
          <w:sz w:val="22"/>
          <w:szCs w:val="22"/>
        </w:rPr>
        <w:t xml:space="preserve"> El Instituto, además de las atribuciones encomendadas por la Ley de Transparencia y normatividad aplicable, tendrá las atribuciones siguientes:</w:t>
      </w:r>
    </w:p>
    <w:p w:rsidR="00E96C3A" w:rsidRPr="000D4995" w:rsidRDefault="00E96C3A" w:rsidP="00E96C3A">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w:t>
      </w:r>
    </w:p>
    <w:p w:rsidR="00E96C3A" w:rsidRPr="000D4995" w:rsidRDefault="00E96C3A" w:rsidP="00E96C3A">
      <w:pPr>
        <w:pStyle w:val="Prrafodelista"/>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0D4995">
        <w:rPr>
          <w:rFonts w:ascii="Palatino Linotype" w:hAnsi="Palatino Linotype"/>
          <w:b/>
          <w:i/>
          <w:sz w:val="22"/>
          <w:szCs w:val="22"/>
        </w:rPr>
        <w:t>XXVIII.</w:t>
      </w:r>
      <w:r w:rsidRPr="000D4995">
        <w:rPr>
          <w:rFonts w:ascii="Palatino Linotype" w:hAnsi="Palatino Linotype"/>
          <w:i/>
          <w:sz w:val="22"/>
          <w:szCs w:val="22"/>
        </w:rPr>
        <w:t xml:space="preserve"> Procurar la conciliación entre las autoridades y los titulares de los datos personales en cualquier momento del procedimiento del Recurso de Revisión y en su </w:t>
      </w:r>
      <w:r w:rsidRPr="000D4995">
        <w:rPr>
          <w:rFonts w:ascii="Palatino Linotype" w:hAnsi="Palatino Linotype"/>
          <w:i/>
          <w:sz w:val="22"/>
          <w:szCs w:val="22"/>
        </w:rPr>
        <w:lastRenderedPageBreak/>
        <w:t>caso, verificar el cumplimiento del acuerdo respectivo.</w:t>
      </w:r>
    </w:p>
    <w:p w:rsidR="00E96C3A" w:rsidRPr="000D4995" w:rsidRDefault="00E96C3A" w:rsidP="00E96C3A">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 xml:space="preserve">De la conciliación </w:t>
      </w:r>
    </w:p>
    <w:p w:rsidR="00E96C3A" w:rsidRPr="000D4995" w:rsidRDefault="00E96C3A" w:rsidP="00E96C3A">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D4995">
        <w:rPr>
          <w:rFonts w:ascii="Palatino Linotype" w:hAnsi="Palatino Linotype"/>
          <w:b/>
          <w:i/>
          <w:sz w:val="22"/>
          <w:szCs w:val="22"/>
        </w:rPr>
        <w:t>Artículo 131.</w:t>
      </w:r>
      <w:r w:rsidRPr="000D4995">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0D4995">
        <w:rPr>
          <w:rFonts w:ascii="Palatino Linotype" w:hAnsi="Palatino Linotype"/>
          <w:b/>
          <w:i/>
          <w:sz w:val="22"/>
          <w:szCs w:val="22"/>
        </w:rPr>
        <w:t>[Sic]</w:t>
      </w:r>
    </w:p>
    <w:p w:rsidR="00E96C3A" w:rsidRDefault="00E96C3A" w:rsidP="00E96C3A">
      <w:pPr>
        <w:tabs>
          <w:tab w:val="left" w:pos="709"/>
        </w:tabs>
        <w:spacing w:before="240" w:line="360" w:lineRule="auto"/>
        <w:ind w:right="51"/>
        <w:jc w:val="both"/>
        <w:rPr>
          <w:rFonts w:ascii="Palatino Linotype" w:hAnsi="Palatino Linotype" w:cs="Arial"/>
          <w:sz w:val="24"/>
        </w:rPr>
      </w:pPr>
      <w:r w:rsidRPr="00E96C3A">
        <w:rPr>
          <w:rFonts w:ascii="Palatino Linotype" w:hAnsi="Palatino Linotype" w:cs="Arial"/>
          <w:sz w:val="24"/>
        </w:rPr>
        <w:t>Derivado de lo anterior, en referencia al procedimiento de conciliación, se precisan las siguientes consideraciones:</w:t>
      </w:r>
      <w:r>
        <w:rPr>
          <w:rFonts w:ascii="Palatino Linotype" w:hAnsi="Palatino Linotype" w:cs="Arial"/>
          <w:sz w:val="24"/>
        </w:rPr>
        <w:t xml:space="preserve"> </w:t>
      </w:r>
    </w:p>
    <w:p w:rsidR="00E96C3A" w:rsidRDefault="00E96C3A" w:rsidP="00E96C3A">
      <w:pPr>
        <w:pStyle w:val="Prrafodelista"/>
        <w:numPr>
          <w:ilvl w:val="0"/>
          <w:numId w:val="12"/>
        </w:numPr>
        <w:tabs>
          <w:tab w:val="left" w:pos="709"/>
        </w:tabs>
        <w:spacing w:before="240" w:line="360" w:lineRule="auto"/>
        <w:ind w:right="51"/>
        <w:jc w:val="both"/>
        <w:rPr>
          <w:rFonts w:ascii="Palatino Linotype" w:hAnsi="Palatino Linotype" w:cs="Arial"/>
        </w:rPr>
      </w:pPr>
      <w:r>
        <w:rPr>
          <w:rFonts w:ascii="Palatino Linotype" w:hAnsi="Palatino Linotype" w:cs="Arial"/>
        </w:rPr>
        <w:t>La particular se identifica con credencial oficial, acreditando así su personalidad.</w:t>
      </w:r>
    </w:p>
    <w:p w:rsidR="00E96C3A" w:rsidRPr="00300C48" w:rsidRDefault="00E96C3A" w:rsidP="00E96C3A">
      <w:pPr>
        <w:pStyle w:val="Prrafodelista"/>
        <w:widowControl w:val="0"/>
        <w:numPr>
          <w:ilvl w:val="0"/>
          <w:numId w:val="12"/>
        </w:numPr>
        <w:autoSpaceDE w:val="0"/>
        <w:autoSpaceDN w:val="0"/>
        <w:adjustRightInd w:val="0"/>
        <w:spacing w:before="240" w:after="240" w:line="360" w:lineRule="auto"/>
        <w:ind w:right="49"/>
        <w:jc w:val="both"/>
        <w:rPr>
          <w:rFonts w:ascii="Palatino Linotype" w:hAnsi="Palatino Linotype" w:cs="Arial"/>
        </w:rPr>
      </w:pPr>
      <w:r w:rsidRPr="00300C48">
        <w:rPr>
          <w:rFonts w:ascii="Palatino Linotype" w:hAnsi="Palatino Linotype" w:cs="Arial"/>
        </w:rPr>
        <w:t xml:space="preserve">Al remitir actas de nacimiento y defunción, se acredita el interés jurídico de la particular. </w:t>
      </w:r>
    </w:p>
    <w:p w:rsidR="00E96C3A" w:rsidRDefault="00E96C3A" w:rsidP="00E96C3A">
      <w:pPr>
        <w:pStyle w:val="Prrafodelista"/>
        <w:numPr>
          <w:ilvl w:val="0"/>
          <w:numId w:val="12"/>
        </w:numPr>
        <w:tabs>
          <w:tab w:val="left" w:pos="709"/>
        </w:tabs>
        <w:spacing w:before="240" w:line="360" w:lineRule="auto"/>
        <w:ind w:right="51"/>
        <w:jc w:val="both"/>
        <w:rPr>
          <w:rFonts w:ascii="Palatino Linotype" w:hAnsi="Palatino Linotype" w:cs="Arial"/>
        </w:rPr>
      </w:pPr>
      <w:r>
        <w:rPr>
          <w:rFonts w:ascii="Palatino Linotype" w:hAnsi="Palatino Linotype" w:cs="Arial"/>
        </w:rPr>
        <w:t>El sujeto obligado puso a la vista la información solicitada, consistente en una foja.</w:t>
      </w:r>
    </w:p>
    <w:p w:rsidR="00E96C3A" w:rsidRDefault="003B4B5A" w:rsidP="00E96C3A">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Por consiguiente, al levantar el acta de conciliación respectiva se llegó al siguiente acuerdo por las partes:</w:t>
      </w:r>
    </w:p>
    <w:p w:rsidR="0050572E" w:rsidRDefault="00B75D95" w:rsidP="003B4B5A">
      <w:pPr>
        <w:widowControl w:val="0"/>
        <w:autoSpaceDE w:val="0"/>
        <w:autoSpaceDN w:val="0"/>
        <w:adjustRightInd w:val="0"/>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478780" cy="7484110"/>
            <wp:effectExtent l="0" t="0" r="762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7484110"/>
                    </a:xfrm>
                    <a:prstGeom prst="rect">
                      <a:avLst/>
                    </a:prstGeom>
                    <a:noFill/>
                    <a:ln>
                      <a:noFill/>
                    </a:ln>
                  </pic:spPr>
                </pic:pic>
              </a:graphicData>
            </a:graphic>
          </wp:inline>
        </w:drawing>
      </w:r>
      <w:r>
        <w:rPr>
          <w:rFonts w:ascii="Palatino Linotype" w:hAnsi="Palatino Linotype"/>
          <w:noProof/>
          <w:sz w:val="24"/>
          <w:szCs w:val="24"/>
          <w:lang w:eastAsia="es-MX"/>
        </w:rPr>
        <w:lastRenderedPageBreak/>
        <w:drawing>
          <wp:inline distT="0" distB="0" distL="0" distR="0">
            <wp:extent cx="5670550" cy="7507605"/>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0" cy="7507605"/>
                    </a:xfrm>
                    <a:prstGeom prst="rect">
                      <a:avLst/>
                    </a:prstGeom>
                    <a:noFill/>
                    <a:ln>
                      <a:noFill/>
                    </a:ln>
                  </pic:spPr>
                </pic:pic>
              </a:graphicData>
            </a:graphic>
          </wp:inline>
        </w:drawing>
      </w:r>
      <w:r>
        <w:rPr>
          <w:rFonts w:ascii="Palatino Linotype" w:hAnsi="Palatino Linotype"/>
          <w:noProof/>
          <w:sz w:val="24"/>
          <w:szCs w:val="24"/>
          <w:lang w:eastAsia="es-MX"/>
        </w:rPr>
        <w:lastRenderedPageBreak/>
        <w:drawing>
          <wp:inline distT="0" distB="0" distL="0" distR="0">
            <wp:extent cx="5763260" cy="7484110"/>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260" cy="7484110"/>
                    </a:xfrm>
                    <a:prstGeom prst="rect">
                      <a:avLst/>
                    </a:prstGeom>
                    <a:noFill/>
                    <a:ln>
                      <a:noFill/>
                    </a:ln>
                  </pic:spPr>
                </pic:pic>
              </a:graphicData>
            </a:graphic>
          </wp:inline>
        </w:drawing>
      </w:r>
      <w:r>
        <w:rPr>
          <w:rFonts w:ascii="Palatino Linotype" w:hAnsi="Palatino Linotype"/>
          <w:noProof/>
          <w:sz w:val="24"/>
          <w:szCs w:val="24"/>
          <w:lang w:eastAsia="es-MX"/>
        </w:rPr>
        <w:lastRenderedPageBreak/>
        <w:drawing>
          <wp:inline distT="0" distB="0" distL="0" distR="0">
            <wp:extent cx="5686425" cy="746887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7468870"/>
                    </a:xfrm>
                    <a:prstGeom prst="rect">
                      <a:avLst/>
                    </a:prstGeom>
                    <a:noFill/>
                    <a:ln>
                      <a:noFill/>
                    </a:ln>
                  </pic:spPr>
                </pic:pic>
              </a:graphicData>
            </a:graphic>
          </wp:inline>
        </w:drawing>
      </w:r>
      <w:r>
        <w:rPr>
          <w:rFonts w:ascii="Palatino Linotype" w:hAnsi="Palatino Linotype"/>
          <w:noProof/>
          <w:sz w:val="24"/>
          <w:szCs w:val="24"/>
          <w:lang w:eastAsia="es-MX"/>
        </w:rPr>
        <w:lastRenderedPageBreak/>
        <w:drawing>
          <wp:inline distT="0" distB="0" distL="0" distR="0">
            <wp:extent cx="5760720" cy="74980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498080"/>
                    </a:xfrm>
                    <a:prstGeom prst="rect">
                      <a:avLst/>
                    </a:prstGeom>
                    <a:noFill/>
                    <a:ln>
                      <a:noFill/>
                    </a:ln>
                  </pic:spPr>
                </pic:pic>
              </a:graphicData>
            </a:graphic>
          </wp:inline>
        </w:drawing>
      </w:r>
      <w:r>
        <w:rPr>
          <w:rFonts w:ascii="Palatino Linotype" w:hAnsi="Palatino Linotype"/>
          <w:noProof/>
          <w:sz w:val="24"/>
          <w:szCs w:val="24"/>
          <w:lang w:eastAsia="es-MX"/>
        </w:rPr>
        <w:lastRenderedPageBreak/>
        <w:drawing>
          <wp:inline distT="0" distB="0" distL="0" distR="0">
            <wp:extent cx="5647690" cy="74993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690" cy="7499350"/>
                    </a:xfrm>
                    <a:prstGeom prst="rect">
                      <a:avLst/>
                    </a:prstGeom>
                    <a:noFill/>
                    <a:ln>
                      <a:noFill/>
                    </a:ln>
                  </pic:spPr>
                </pic:pic>
              </a:graphicData>
            </a:graphic>
          </wp:inline>
        </w:drawing>
      </w:r>
      <w:r w:rsidR="009150B7">
        <w:rPr>
          <w:rFonts w:ascii="Palatino Linotype" w:hAnsi="Palatino Linotype"/>
          <w:noProof/>
          <w:sz w:val="24"/>
          <w:szCs w:val="24"/>
          <w:lang w:eastAsia="es-MX"/>
        </w:rPr>
        <w:lastRenderedPageBreak/>
        <w:drawing>
          <wp:inline distT="0" distB="0" distL="0" distR="0">
            <wp:extent cx="5686425" cy="7484110"/>
            <wp:effectExtent l="0" t="0" r="9525"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7484110"/>
                    </a:xfrm>
                    <a:prstGeom prst="rect">
                      <a:avLst/>
                    </a:prstGeom>
                    <a:noFill/>
                    <a:ln>
                      <a:noFill/>
                    </a:ln>
                  </pic:spPr>
                </pic:pic>
              </a:graphicData>
            </a:graphic>
          </wp:inline>
        </w:drawing>
      </w:r>
    </w:p>
    <w:p w:rsidR="003B4B5A" w:rsidRPr="003B4B5A" w:rsidRDefault="003B4B5A" w:rsidP="003B4B5A">
      <w:pPr>
        <w:widowControl w:val="0"/>
        <w:autoSpaceDE w:val="0"/>
        <w:autoSpaceDN w:val="0"/>
        <w:adjustRightInd w:val="0"/>
        <w:spacing w:before="240" w:line="360" w:lineRule="auto"/>
        <w:ind w:right="51"/>
        <w:jc w:val="both"/>
        <w:rPr>
          <w:rFonts w:ascii="Palatino Linotype" w:hAnsi="Palatino Linotype"/>
          <w:sz w:val="24"/>
          <w:lang w:eastAsia="es-MX"/>
        </w:rPr>
      </w:pPr>
      <w:r w:rsidRPr="003B4B5A">
        <w:rPr>
          <w:rFonts w:ascii="Palatino Linotype" w:hAnsi="Palatino Linotype"/>
          <w:sz w:val="24"/>
          <w:lang w:eastAsia="es-MX"/>
        </w:rPr>
        <w:lastRenderedPageBreak/>
        <w:t>Una vez sentado lo anterior, al haber llegado a un acuerdo en la audiencia de conciliación y toda vez que la particular tuvo acceso a la información requerida, el recurso de revisión queda sin materia de conformidad con lo establecido por el artículo 132 de la Ley de Protección de Datos Personales en Posesión de Sujetos Obligados del Estado de México y Municipios, normatividad que a la letra dispone:</w:t>
      </w:r>
    </w:p>
    <w:p w:rsidR="003B4B5A" w:rsidRPr="00670BD7" w:rsidRDefault="003B4B5A" w:rsidP="003B4B5A">
      <w:pPr>
        <w:spacing w:before="240" w:line="360" w:lineRule="auto"/>
        <w:ind w:left="851" w:right="851"/>
        <w:jc w:val="both"/>
        <w:rPr>
          <w:rFonts w:ascii="Palatino Linotype" w:hAnsi="Palatino Linotype" w:cs="Arial"/>
          <w:b/>
          <w:i/>
        </w:rPr>
      </w:pPr>
      <w:r w:rsidRPr="00670BD7">
        <w:rPr>
          <w:rFonts w:ascii="Palatino Linotype" w:hAnsi="Palatino Linotype" w:cs="Arial"/>
          <w:b/>
          <w:i/>
        </w:rPr>
        <w:t>“Procedimiento de conciliación</w:t>
      </w:r>
    </w:p>
    <w:p w:rsidR="003B4B5A" w:rsidRPr="00670BD7" w:rsidRDefault="003B4B5A" w:rsidP="003B4B5A">
      <w:pPr>
        <w:spacing w:before="240" w:line="360" w:lineRule="auto"/>
        <w:ind w:left="851" w:right="851"/>
        <w:jc w:val="both"/>
        <w:rPr>
          <w:rFonts w:ascii="Palatino Linotype" w:hAnsi="Palatino Linotype" w:cs="Arial"/>
          <w:i/>
        </w:rPr>
      </w:pPr>
      <w:r w:rsidRPr="00670BD7">
        <w:rPr>
          <w:rFonts w:ascii="Palatino Linotype" w:hAnsi="Palatino Linotype" w:cs="Arial"/>
          <w:b/>
          <w:i/>
        </w:rPr>
        <w:t>Artículo 132.</w:t>
      </w:r>
      <w:r w:rsidRPr="00670BD7">
        <w:rPr>
          <w:rFonts w:ascii="Palatino Linotype" w:hAnsi="Palatino Linotype" w:cs="Arial"/>
          <w:i/>
        </w:rPr>
        <w:t xml:space="preserve"> Admitido el recurso de revisión y sin perjuicio de lo dispuesto por la Ley General, el Instituto </w:t>
      </w:r>
      <w:r w:rsidRPr="00670BD7">
        <w:rPr>
          <w:rFonts w:ascii="Palatino Linotype" w:hAnsi="Palatino Linotype" w:cs="Arial"/>
          <w:b/>
          <w:i/>
          <w:u w:val="single"/>
        </w:rPr>
        <w:t>promoverá la conciliación entre las partes</w:t>
      </w:r>
      <w:r w:rsidRPr="00670BD7">
        <w:rPr>
          <w:rFonts w:ascii="Palatino Linotype" w:hAnsi="Palatino Linotype" w:cs="Arial"/>
          <w:b/>
          <w:i/>
        </w:rPr>
        <w:t>,</w:t>
      </w:r>
      <w:r w:rsidRPr="00670BD7">
        <w:rPr>
          <w:rFonts w:ascii="Palatino Linotype" w:hAnsi="Palatino Linotype" w:cs="Arial"/>
          <w:i/>
        </w:rPr>
        <w:t xml:space="preserve"> de conformidad con el procedimiento siguiente:</w:t>
      </w:r>
    </w:p>
    <w:p w:rsidR="003B4B5A" w:rsidRPr="00670BD7" w:rsidRDefault="003B4B5A" w:rsidP="003B4B5A">
      <w:pPr>
        <w:spacing w:before="240" w:line="360" w:lineRule="auto"/>
        <w:ind w:left="851" w:right="851"/>
        <w:jc w:val="both"/>
        <w:rPr>
          <w:rFonts w:ascii="Palatino Linotype" w:hAnsi="Palatino Linotype" w:cs="Arial"/>
          <w:i/>
        </w:rPr>
      </w:pPr>
      <w:r w:rsidRPr="00670BD7">
        <w:rPr>
          <w:rFonts w:ascii="Palatino Linotype" w:hAnsi="Palatino Linotype" w:cs="Arial"/>
          <w:i/>
        </w:rPr>
        <w:t>(…)</w:t>
      </w:r>
    </w:p>
    <w:p w:rsidR="003B4B5A" w:rsidRPr="00670BD7" w:rsidRDefault="003B4B5A" w:rsidP="003B4B5A">
      <w:pPr>
        <w:spacing w:before="240" w:line="360" w:lineRule="auto"/>
        <w:ind w:left="851" w:right="851"/>
        <w:jc w:val="both"/>
        <w:rPr>
          <w:rFonts w:ascii="Palatino Linotype" w:hAnsi="Palatino Linotype" w:cs="Arial"/>
          <w:b/>
          <w:i/>
        </w:rPr>
      </w:pPr>
      <w:r w:rsidRPr="00670BD7">
        <w:rPr>
          <w:rFonts w:ascii="Palatino Linotype" w:hAnsi="Palatino Linotype" w:cs="Arial"/>
          <w:b/>
          <w:i/>
        </w:rPr>
        <w:t xml:space="preserve">V. </w:t>
      </w:r>
      <w:r w:rsidRPr="00670BD7">
        <w:rPr>
          <w:rFonts w:ascii="Palatino Linotype" w:hAnsi="Palatino Linotype" w:cs="Arial"/>
          <w:b/>
          <w:i/>
          <w:u w:val="single"/>
        </w:rPr>
        <w:t>De llegar a un acuerdo, éste se hará constar por escrito y tendrá efectos vinculantes</w:t>
      </w:r>
      <w:r w:rsidRPr="00670BD7">
        <w:rPr>
          <w:rFonts w:ascii="Palatino Linotype" w:hAnsi="Palatino Linotype" w:cs="Arial"/>
          <w:b/>
          <w:i/>
        </w:rPr>
        <w:t>.</w:t>
      </w:r>
    </w:p>
    <w:p w:rsidR="003B4B5A" w:rsidRPr="00670BD7" w:rsidRDefault="003B4B5A" w:rsidP="003B4B5A">
      <w:pPr>
        <w:spacing w:before="240" w:line="360" w:lineRule="auto"/>
        <w:ind w:left="851" w:right="851"/>
        <w:jc w:val="both"/>
        <w:rPr>
          <w:rFonts w:ascii="Palatino Linotype" w:hAnsi="Palatino Linotype" w:cs="Arial"/>
          <w:b/>
          <w:i/>
        </w:rPr>
      </w:pPr>
      <w:r w:rsidRPr="00670BD7">
        <w:rPr>
          <w:rFonts w:ascii="Palatino Linotype" w:hAnsi="Palatino Linotype" w:cs="Arial"/>
          <w:b/>
          <w:i/>
          <w:u w:val="single"/>
        </w:rPr>
        <w:t>El recurso de revisión quedará sin materia y el Instituto, deberán verificar el cumplimiento del acuerdo respectiv</w:t>
      </w:r>
      <w:r w:rsidRPr="00670BD7">
        <w:rPr>
          <w:rFonts w:ascii="Palatino Linotype" w:hAnsi="Palatino Linotype" w:cs="Arial"/>
          <w:b/>
          <w:i/>
        </w:rPr>
        <w:t>o.</w:t>
      </w:r>
    </w:p>
    <w:p w:rsidR="003B4B5A" w:rsidRPr="00670BD7" w:rsidRDefault="003B4B5A" w:rsidP="003B4B5A">
      <w:pPr>
        <w:spacing w:before="240" w:line="360" w:lineRule="auto"/>
        <w:ind w:left="851" w:right="851"/>
        <w:jc w:val="both"/>
        <w:rPr>
          <w:rFonts w:ascii="Palatino Linotype" w:hAnsi="Palatino Linotype" w:cs="Arial"/>
          <w:i/>
        </w:rPr>
      </w:pPr>
      <w:r w:rsidRPr="00670BD7">
        <w:rPr>
          <w:rFonts w:ascii="Palatino Linotype" w:hAnsi="Palatino Linotype" w:cs="Arial"/>
          <w:b/>
          <w:i/>
        </w:rPr>
        <w:t>VI.</w:t>
      </w:r>
      <w:r w:rsidRPr="00670BD7">
        <w:rPr>
          <w:rFonts w:ascii="Palatino Linotype" w:hAnsi="Palatino Linotype" w:cs="Arial"/>
          <w:i/>
        </w:rPr>
        <w:t xml:space="preserve"> El </w:t>
      </w:r>
      <w:r w:rsidRPr="00670BD7">
        <w:rPr>
          <w:rFonts w:ascii="Palatino Linotype" w:hAnsi="Palatino Linotype" w:cs="Arial"/>
          <w:b/>
          <w:i/>
          <w:u w:val="single"/>
        </w:rPr>
        <w:t>cumplimiento del acuerdo dará por concluido la sustanciación del recurso de revisión,</w:t>
      </w:r>
      <w:r w:rsidRPr="00670BD7">
        <w:rPr>
          <w:rFonts w:ascii="Palatino Linotype" w:hAnsi="Palatino Linotype" w:cs="Arial"/>
          <w:i/>
          <w:u w:val="single"/>
        </w:rPr>
        <w:t xml:space="preserve"> </w:t>
      </w:r>
      <w:r w:rsidRPr="00670BD7">
        <w:rPr>
          <w:rFonts w:ascii="Palatino Linotype" w:hAnsi="Palatino Linotype" w:cs="Arial"/>
          <w:i/>
        </w:rPr>
        <w:t>en caso contrario, el Instituto reanudará el procedimiento.</w:t>
      </w:r>
    </w:p>
    <w:p w:rsidR="003B4B5A" w:rsidRPr="00670BD7" w:rsidRDefault="003B4B5A" w:rsidP="003B4B5A">
      <w:pPr>
        <w:spacing w:before="240" w:line="360" w:lineRule="auto"/>
        <w:ind w:left="851" w:right="851"/>
        <w:jc w:val="both"/>
        <w:rPr>
          <w:rFonts w:ascii="Palatino Linotype" w:hAnsi="Palatino Linotype" w:cs="Arial"/>
          <w:b/>
          <w:i/>
        </w:rPr>
      </w:pPr>
      <w:r w:rsidRPr="00670BD7">
        <w:rPr>
          <w:rFonts w:ascii="Palatino Linotype" w:hAnsi="Palatino Linotype" w:cs="Arial"/>
          <w:i/>
        </w:rPr>
        <w:t xml:space="preserve">El plazo al que se refiere el artículo siguiente de la presente Ley será suspendido durante el periodo de cumplimiento del acuerdo de conciliación.” </w:t>
      </w:r>
      <w:r w:rsidRPr="00670BD7">
        <w:rPr>
          <w:rFonts w:ascii="Palatino Linotype" w:hAnsi="Palatino Linotype" w:cs="Arial"/>
          <w:b/>
          <w:i/>
        </w:rPr>
        <w:t>[Sic]</w:t>
      </w:r>
    </w:p>
    <w:p w:rsidR="003B4B5A" w:rsidRDefault="003B4B5A" w:rsidP="003B4B5A">
      <w:pPr>
        <w:pStyle w:val="Prrafodelista"/>
        <w:rPr>
          <w:rFonts w:ascii="Palatino Linotype" w:hAnsi="Palatino Linotype" w:cs="Arial"/>
          <w:color w:val="000000"/>
        </w:rPr>
      </w:pPr>
    </w:p>
    <w:p w:rsidR="003B4B5A" w:rsidRPr="003B4B5A" w:rsidRDefault="003B4B5A" w:rsidP="003B4B5A">
      <w:pPr>
        <w:spacing w:before="240" w:line="360" w:lineRule="auto"/>
        <w:contextualSpacing/>
        <w:jc w:val="both"/>
        <w:rPr>
          <w:rFonts w:ascii="Palatino Linotype" w:hAnsi="Palatino Linotype" w:cs="Arial"/>
          <w:sz w:val="24"/>
          <w:lang w:val="es-ES_tradnl"/>
        </w:rPr>
      </w:pPr>
      <w:r w:rsidRPr="003B4B5A">
        <w:rPr>
          <w:rFonts w:ascii="Palatino Linotype" w:hAnsi="Palatino Linotype"/>
          <w:sz w:val="24"/>
        </w:rPr>
        <w:lastRenderedPageBreak/>
        <w:t xml:space="preserve">En consecuencia, se </w:t>
      </w:r>
      <w:r w:rsidRPr="003B4B5A">
        <w:rPr>
          <w:rFonts w:ascii="Palatino Linotype" w:hAnsi="Palatino Linotype" w:cs="Arial"/>
          <w:sz w:val="24"/>
          <w:lang w:val="es-ES_tradnl"/>
        </w:rPr>
        <w:t xml:space="preserve">determina </w:t>
      </w:r>
      <w:r w:rsidRPr="003B4B5A">
        <w:rPr>
          <w:rFonts w:ascii="Palatino Linotype" w:hAnsi="Palatino Linotype" w:cs="Arial"/>
          <w:b/>
          <w:sz w:val="24"/>
          <w:lang w:val="es-ES_tradnl"/>
        </w:rPr>
        <w:t>SOBRESEER</w:t>
      </w:r>
      <w:r w:rsidRPr="003B4B5A">
        <w:rPr>
          <w:rFonts w:ascii="Palatino Linotype" w:hAnsi="Palatino Linotype" w:cs="Arial"/>
          <w:sz w:val="24"/>
          <w:lang w:val="es-ES_tradnl"/>
        </w:rPr>
        <w:t xml:space="preserve"> por quedarse sin materia el presente recurso de revisión en virtud de que al haber  llegado a un acuerdo las partes y al entregarse la información</w:t>
      </w:r>
      <w:r w:rsidRPr="003B4B5A">
        <w:rPr>
          <w:rFonts w:ascii="Palatino Linotype" w:hAnsi="Palatino Linotype"/>
          <w:sz w:val="24"/>
          <w:lang w:eastAsia="es-ES_tradnl"/>
        </w:rPr>
        <w:t xml:space="preserve">, esto, de conformidad con lo señalado en el </w:t>
      </w:r>
      <w:r w:rsidRPr="003B4B5A">
        <w:rPr>
          <w:rFonts w:ascii="Palatino Linotype" w:hAnsi="Palatino Linotype" w:cs="Arial"/>
          <w:sz w:val="24"/>
          <w:lang w:val="es-ES_tradnl"/>
        </w:rPr>
        <w:t xml:space="preserve">artículo 139 fracción V de la </w:t>
      </w:r>
      <w:r w:rsidRPr="003B4B5A">
        <w:rPr>
          <w:rFonts w:ascii="Palatino Linotype" w:hAnsi="Palatino Linotype"/>
          <w:sz w:val="24"/>
        </w:rPr>
        <w:t xml:space="preserve">Ley de Protección de Datos Personales en Posesión de Sujetos </w:t>
      </w:r>
      <w:bookmarkStart w:id="0" w:name="_GoBack"/>
      <w:bookmarkEnd w:id="0"/>
      <w:r w:rsidRPr="003B4B5A">
        <w:rPr>
          <w:rFonts w:ascii="Palatino Linotype" w:hAnsi="Palatino Linotype"/>
          <w:sz w:val="24"/>
        </w:rPr>
        <w:t>Obligados del Estado de México y Municipios</w:t>
      </w:r>
      <w:r w:rsidRPr="003B4B5A">
        <w:rPr>
          <w:rFonts w:ascii="Palatino Linotype" w:hAnsi="Palatino Linotype" w:cs="Arial"/>
          <w:sz w:val="24"/>
        </w:rPr>
        <w:t>, mismo que se transcribe a continuación en la parte aplicable:</w:t>
      </w:r>
    </w:p>
    <w:p w:rsidR="003B4B5A" w:rsidRPr="00670BD7" w:rsidRDefault="003B4B5A" w:rsidP="003B4B5A">
      <w:pPr>
        <w:spacing w:before="240" w:line="360" w:lineRule="auto"/>
        <w:ind w:left="851" w:right="851"/>
        <w:jc w:val="both"/>
        <w:rPr>
          <w:rFonts w:ascii="Palatino Linotype" w:hAnsi="Palatino Linotype" w:cs="Arial"/>
          <w:b/>
          <w:i/>
        </w:rPr>
      </w:pPr>
      <w:r w:rsidRPr="002B2F2D">
        <w:rPr>
          <w:rFonts w:ascii="Palatino Linotype" w:hAnsi="Palatino Linotype" w:cs="Arial"/>
          <w:i/>
        </w:rPr>
        <w:t>“</w:t>
      </w:r>
      <w:r>
        <w:rPr>
          <w:rFonts w:ascii="Palatino Linotype" w:hAnsi="Palatino Linotype" w:cs="Arial"/>
          <w:b/>
          <w:i/>
        </w:rPr>
        <w:t>Causales de Sobreseimiento</w:t>
      </w:r>
    </w:p>
    <w:p w:rsidR="003B4B5A" w:rsidRPr="00670BD7" w:rsidRDefault="003B4B5A" w:rsidP="003B4B5A">
      <w:pPr>
        <w:spacing w:before="240" w:line="360" w:lineRule="auto"/>
        <w:ind w:left="851" w:right="851"/>
        <w:jc w:val="both"/>
        <w:rPr>
          <w:rFonts w:ascii="Palatino Linotype" w:hAnsi="Palatino Linotype" w:cs="Arial"/>
          <w:i/>
        </w:rPr>
      </w:pPr>
      <w:r w:rsidRPr="00B1365F">
        <w:rPr>
          <w:rFonts w:ascii="Palatino Linotype" w:hAnsi="Palatino Linotype" w:cs="Arial"/>
          <w:b/>
          <w:i/>
        </w:rPr>
        <w:t xml:space="preserve">Artículo 139. </w:t>
      </w:r>
      <w:r w:rsidRPr="00670BD7">
        <w:rPr>
          <w:rFonts w:ascii="Palatino Linotype" w:hAnsi="Palatino Linotype" w:cs="Arial"/>
          <w:i/>
        </w:rPr>
        <w:t>El recurso de revisión sólo podrá ser sobreseído cuando:</w:t>
      </w:r>
    </w:p>
    <w:p w:rsidR="003B4B5A" w:rsidRPr="002B2F2D" w:rsidRDefault="003B4B5A" w:rsidP="003B4B5A">
      <w:pPr>
        <w:pStyle w:val="Prrafodelista"/>
        <w:spacing w:before="240" w:after="160" w:line="360" w:lineRule="auto"/>
        <w:ind w:left="851" w:right="851"/>
        <w:jc w:val="both"/>
        <w:rPr>
          <w:rFonts w:ascii="Palatino Linotype" w:hAnsi="Palatino Linotype" w:cs="Arial"/>
          <w:i/>
        </w:rPr>
      </w:pPr>
      <w:r>
        <w:rPr>
          <w:rFonts w:ascii="Palatino Linotype" w:hAnsi="Palatino Linotype" w:cs="Arial"/>
          <w:i/>
        </w:rPr>
        <w:t xml:space="preserve"> (…)</w:t>
      </w:r>
    </w:p>
    <w:p w:rsidR="003B4B5A" w:rsidRPr="00670BD7" w:rsidRDefault="003B4B5A" w:rsidP="003B4B5A">
      <w:pPr>
        <w:pStyle w:val="Prrafodelista"/>
        <w:spacing w:before="240" w:after="160" w:line="360" w:lineRule="auto"/>
        <w:ind w:left="851" w:right="851"/>
        <w:jc w:val="both"/>
        <w:rPr>
          <w:rFonts w:ascii="Palatino Linotype" w:hAnsi="Palatino Linotype" w:cs="Arial"/>
          <w:b/>
          <w:i/>
        </w:rPr>
      </w:pPr>
      <w:r w:rsidRPr="00670BD7">
        <w:rPr>
          <w:rFonts w:ascii="Palatino Linotype" w:hAnsi="Palatino Linotype" w:cs="Arial"/>
          <w:b/>
          <w:i/>
          <w:u w:val="single"/>
        </w:rPr>
        <w:t>V. Quede sin materia el recurso de revisión</w:t>
      </w:r>
      <w:r>
        <w:rPr>
          <w:rFonts w:ascii="Palatino Linotype" w:hAnsi="Palatino Linotype" w:cs="Arial"/>
          <w:i/>
        </w:rPr>
        <w:t>.</w:t>
      </w:r>
      <w:r w:rsidRPr="00F816B3">
        <w:rPr>
          <w:rFonts w:ascii="Palatino Linotype" w:hAnsi="Palatino Linotype" w:cs="Arial"/>
          <w:i/>
        </w:rPr>
        <w:t xml:space="preserve">” </w:t>
      </w:r>
      <w:r>
        <w:rPr>
          <w:rFonts w:ascii="Palatino Linotype" w:hAnsi="Palatino Linotype" w:cs="Arial"/>
          <w:b/>
          <w:i/>
        </w:rPr>
        <w:t>[Sic]</w:t>
      </w:r>
    </w:p>
    <w:p w:rsidR="00683057" w:rsidRDefault="00683057" w:rsidP="0068305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mérito</w:t>
      </w:r>
      <w:r w:rsidRPr="00410726">
        <w:rPr>
          <w:rFonts w:ascii="Palatino Linotype" w:hAnsi="Palatino Linotype"/>
          <w:sz w:val="24"/>
          <w:szCs w:val="24"/>
        </w:rPr>
        <w:t xml:space="preserve"> de lo expuesto en líneas anteriores, </w:t>
      </w:r>
      <w:r>
        <w:rPr>
          <w:rFonts w:ascii="Palatino Linotype" w:hAnsi="Palatino Linotype" w:cs="Arial"/>
          <w:b/>
          <w:sz w:val="24"/>
        </w:rPr>
        <w:t xml:space="preserve">con fundamento </w:t>
      </w:r>
      <w:r w:rsidR="003B4B5A">
        <w:rPr>
          <w:rFonts w:ascii="Palatino Linotype" w:hAnsi="Palatino Linotype" w:cs="Arial"/>
          <w:b/>
          <w:sz w:val="24"/>
        </w:rPr>
        <w:t>en el artículo 139</w:t>
      </w:r>
      <w:r w:rsidR="000C58FC">
        <w:rPr>
          <w:rFonts w:ascii="Palatino Linotype" w:hAnsi="Palatino Linotype" w:cs="Arial"/>
          <w:b/>
          <w:sz w:val="24"/>
        </w:rPr>
        <w:t xml:space="preserve"> </w:t>
      </w:r>
      <w:r w:rsidR="003B4B5A">
        <w:rPr>
          <w:rFonts w:ascii="Palatino Linotype" w:hAnsi="Palatino Linotype" w:cs="Arial"/>
          <w:b/>
          <w:sz w:val="24"/>
        </w:rPr>
        <w:t>fracción V</w:t>
      </w:r>
      <w:r w:rsidR="000C58FC">
        <w:rPr>
          <w:rFonts w:ascii="Palatino Linotype" w:hAnsi="Palatino Linotype" w:cs="Arial"/>
          <w:b/>
          <w:sz w:val="24"/>
        </w:rPr>
        <w:t xml:space="preserve">, </w:t>
      </w:r>
      <w:r w:rsidR="000C58FC">
        <w:rPr>
          <w:rFonts w:ascii="Palatino Linotype" w:hAnsi="Palatino Linotype" w:cs="Arial"/>
          <w:sz w:val="24"/>
        </w:rPr>
        <w:t>de la Ley de Protección de Datos Personales de Datos Personales en Posesión de Sujetos Obligados</w:t>
      </w:r>
      <w:r w:rsidRPr="00A34889">
        <w:rPr>
          <w:rFonts w:ascii="Palatino Linotype" w:hAnsi="Palatino Linotype" w:cs="Arial"/>
          <w:sz w:val="24"/>
        </w:rPr>
        <w:t xml:space="preserve"> Estado de México y Municipios, se </w:t>
      </w:r>
      <w:r w:rsidRPr="00CD32D8">
        <w:rPr>
          <w:rFonts w:ascii="Palatino Linotype" w:hAnsi="Palatino Linotype" w:cs="Arial"/>
          <w:b/>
          <w:sz w:val="24"/>
        </w:rPr>
        <w:t>SOBRESEE</w:t>
      </w:r>
      <w:r w:rsidRPr="00CD32D8">
        <w:rPr>
          <w:rFonts w:ascii="Palatino Linotype" w:hAnsi="Palatino Linotype"/>
          <w:b/>
          <w:sz w:val="24"/>
          <w:szCs w:val="24"/>
        </w:rPr>
        <w:t xml:space="preserve"> </w:t>
      </w:r>
      <w:r w:rsidR="000C58FC">
        <w:rPr>
          <w:rFonts w:ascii="Palatino Linotype" w:hAnsi="Palatino Linotype"/>
          <w:sz w:val="24"/>
          <w:szCs w:val="24"/>
        </w:rPr>
        <w:t>el recurso de revisión</w:t>
      </w:r>
      <w:r>
        <w:rPr>
          <w:rFonts w:ascii="Palatino Linotype" w:hAnsi="Palatino Linotype"/>
          <w:sz w:val="24"/>
          <w:szCs w:val="24"/>
        </w:rPr>
        <w:t xml:space="preserve"> </w:t>
      </w:r>
      <w:r w:rsidR="003B4B5A">
        <w:rPr>
          <w:rFonts w:ascii="Palatino Linotype" w:hAnsi="Palatino Linotype" w:cs="Arial"/>
          <w:b/>
          <w:bCs/>
          <w:sz w:val="24"/>
          <w:lang w:eastAsia="es-MX"/>
        </w:rPr>
        <w:t>01120/INFOEM/AD/RR/2019</w:t>
      </w:r>
      <w:r w:rsidR="000C58FC">
        <w:rPr>
          <w:rFonts w:ascii="Palatino Linotype" w:hAnsi="Palatino Linotype"/>
          <w:b/>
          <w:sz w:val="24"/>
          <w:szCs w:val="24"/>
        </w:rPr>
        <w:t>,</w:t>
      </w:r>
      <w:r w:rsidRPr="001F20C7">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E15E85" w:rsidRDefault="00E15E85" w:rsidP="00E15E8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15E85" w:rsidRDefault="00E15E85" w:rsidP="00E15E8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C27BD7" w:rsidRDefault="00C27BD7" w:rsidP="00C27BD7">
      <w:pPr>
        <w:spacing w:line="360" w:lineRule="auto"/>
        <w:jc w:val="both"/>
        <w:rPr>
          <w:rFonts w:ascii="Palatino Linotype" w:hAnsi="Palatino Linotype" w:cs="Arial"/>
          <w:bCs/>
          <w:sz w:val="24"/>
          <w:szCs w:val="24"/>
          <w:lang w:eastAsia="es-MX"/>
        </w:rPr>
      </w:pPr>
      <w:r w:rsidRPr="00EA3590">
        <w:rPr>
          <w:rFonts w:ascii="Palatino Linotype" w:hAnsi="Palatino Linotype" w:cs="Arial"/>
          <w:b/>
          <w:sz w:val="24"/>
          <w:szCs w:val="24"/>
          <w:lang w:val="es-ES_tradnl"/>
        </w:rPr>
        <w:t>PRIMERO.</w:t>
      </w:r>
      <w:r w:rsidRPr="00EA3590">
        <w:rPr>
          <w:rFonts w:ascii="Palatino Linotype" w:hAnsi="Palatino Linotype" w:cs="Arial"/>
          <w:sz w:val="24"/>
          <w:szCs w:val="24"/>
          <w:lang w:val="es-ES_tradnl"/>
        </w:rPr>
        <w:t xml:space="preserve"> </w:t>
      </w:r>
      <w:r w:rsidRPr="004323FE">
        <w:rPr>
          <w:rFonts w:ascii="Palatino Linotype" w:hAnsi="Palatino Linotype" w:cs="Arial"/>
          <w:sz w:val="24"/>
          <w:szCs w:val="24"/>
          <w:lang w:val="es-ES_tradnl"/>
        </w:rPr>
        <w:t xml:space="preserve">Se </w:t>
      </w:r>
      <w:r w:rsidRPr="004323FE">
        <w:rPr>
          <w:rFonts w:ascii="Palatino Linotype" w:hAnsi="Palatino Linotype" w:cs="Arial"/>
          <w:b/>
          <w:sz w:val="24"/>
          <w:szCs w:val="24"/>
          <w:lang w:val="es-ES_tradnl"/>
        </w:rPr>
        <w:t>SOBRESEE</w:t>
      </w:r>
      <w:r w:rsidR="003B4B5A">
        <w:rPr>
          <w:rFonts w:ascii="Palatino Linotype" w:hAnsi="Palatino Linotype" w:cs="Arial"/>
          <w:b/>
          <w:sz w:val="24"/>
          <w:szCs w:val="24"/>
          <w:lang w:val="es-ES_tradnl"/>
        </w:rPr>
        <w:t xml:space="preserve"> </w:t>
      </w:r>
      <w:r w:rsidRPr="004323FE">
        <w:rPr>
          <w:rFonts w:ascii="Palatino Linotype" w:hAnsi="Palatino Linotype" w:cs="Arial"/>
          <w:sz w:val="24"/>
          <w:szCs w:val="24"/>
          <w:lang w:val="es-ES_tradnl"/>
        </w:rPr>
        <w:t>el recurso de revisión número</w:t>
      </w:r>
      <w:r>
        <w:rPr>
          <w:rFonts w:ascii="Palatino Linotype" w:hAnsi="Palatino Linotype" w:cs="Arial"/>
          <w:sz w:val="24"/>
          <w:szCs w:val="24"/>
          <w:lang w:val="es-ES_tradnl"/>
        </w:rPr>
        <w:t xml:space="preserve"> </w:t>
      </w:r>
      <w:r w:rsidR="003B4B5A">
        <w:rPr>
          <w:rFonts w:ascii="Palatino Linotype" w:hAnsi="Palatino Linotype" w:cs="Arial"/>
          <w:b/>
          <w:bCs/>
          <w:sz w:val="24"/>
          <w:lang w:eastAsia="es-MX"/>
        </w:rPr>
        <w:t>01120/INFOEM/AD/RR/2019</w:t>
      </w:r>
      <w:r>
        <w:rPr>
          <w:rFonts w:ascii="Palatino Linotype" w:hAnsi="Palatino Linotype" w:cs="Arial"/>
          <w:b/>
          <w:bCs/>
          <w:sz w:val="24"/>
          <w:lang w:eastAsia="es-MX"/>
        </w:rPr>
        <w:t>,</w:t>
      </w:r>
      <w:r>
        <w:rPr>
          <w:rFonts w:ascii="Palatino Linotype" w:hAnsi="Palatino Linotype" w:cs="Arial"/>
          <w:bCs/>
          <w:sz w:val="24"/>
          <w:lang w:eastAsia="es-MX"/>
        </w:rPr>
        <w:t xml:space="preserve"> </w:t>
      </w:r>
      <w:r w:rsidR="003B4B5A">
        <w:rPr>
          <w:rFonts w:ascii="Palatino Linotype" w:hAnsi="Palatino Linotype" w:cs="Arial"/>
          <w:bCs/>
          <w:sz w:val="24"/>
          <w:szCs w:val="24"/>
          <w:lang w:eastAsia="es-MX"/>
        </w:rPr>
        <w:t>por quedarse sin materia en términos del Considerando Tercero de la presente resolución.</w:t>
      </w:r>
    </w:p>
    <w:p w:rsidR="00C27BD7" w:rsidRPr="00201B59" w:rsidRDefault="00C27BD7" w:rsidP="00C27BD7">
      <w:pPr>
        <w:spacing w:before="240" w:line="360" w:lineRule="auto"/>
        <w:jc w:val="both"/>
        <w:rPr>
          <w:rFonts w:ascii="Palatino Linotype" w:hAnsi="Palatino Linotype" w:cs="Arial"/>
          <w:sz w:val="20"/>
          <w:szCs w:val="20"/>
        </w:rPr>
      </w:pPr>
    </w:p>
    <w:p w:rsidR="00C27BD7" w:rsidRPr="00674B30" w:rsidRDefault="00C27BD7" w:rsidP="00C27BD7">
      <w:pPr>
        <w:spacing w:line="360" w:lineRule="auto"/>
        <w:ind w:right="333"/>
        <w:jc w:val="both"/>
        <w:rPr>
          <w:rFonts w:ascii="Palatino Linotype" w:hAnsi="Palatino Linotype" w:cs="Arial"/>
          <w:sz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b/>
          <w:sz w:val="24"/>
        </w:rPr>
        <w:t xml:space="preserve">Notifíquese </w:t>
      </w:r>
      <w:r w:rsidR="00674B30">
        <w:rPr>
          <w:rFonts w:ascii="Palatino Linotype" w:hAnsi="Palatino Linotype" w:cs="Arial"/>
          <w:sz w:val="24"/>
        </w:rPr>
        <w:t>vía Sistema de Acceso, Rectificación, Cancelación y Oposición de Datos Personales del Estado de México, (SARCOEM),</w:t>
      </w:r>
      <w:r w:rsidR="00674B30" w:rsidRPr="00674B30">
        <w:rPr>
          <w:rFonts w:ascii="Palatino Linotype" w:hAnsi="Palatino Linotype" w:cs="Arial"/>
          <w:sz w:val="24"/>
        </w:rPr>
        <w:t xml:space="preserve"> </w:t>
      </w:r>
      <w:r w:rsidR="00674B30" w:rsidRPr="004C736E">
        <w:rPr>
          <w:rFonts w:ascii="Palatino Linotype" w:hAnsi="Palatino Linotype" w:cs="Arial"/>
          <w:sz w:val="24"/>
        </w:rPr>
        <w:t>la presente resolución</w:t>
      </w:r>
      <w:r w:rsidR="00674B30">
        <w:rPr>
          <w:rFonts w:ascii="Palatino Linotype" w:hAnsi="Palatino Linotype" w:cs="Arial"/>
          <w:b/>
          <w:sz w:val="24"/>
        </w:rPr>
        <w:t xml:space="preserve"> </w:t>
      </w:r>
      <w:r w:rsidR="00674B30" w:rsidRPr="009B31F5">
        <w:rPr>
          <w:rFonts w:ascii="Palatino Linotype" w:hAnsi="Palatino Linotype" w:cs="Arial"/>
          <w:sz w:val="24"/>
        </w:rPr>
        <w:t xml:space="preserve">al </w:t>
      </w:r>
      <w:r w:rsidR="00674B30" w:rsidRPr="0065646C">
        <w:rPr>
          <w:rFonts w:ascii="Palatino Linotype" w:hAnsi="Palatino Linotype" w:cs="Arial"/>
          <w:b/>
          <w:sz w:val="24"/>
        </w:rPr>
        <w:t>Sujeto Obligado</w:t>
      </w:r>
      <w:r w:rsidR="00674B30">
        <w:rPr>
          <w:rFonts w:ascii="Palatino Linotype" w:hAnsi="Palatino Linotype" w:cs="Arial"/>
          <w:sz w:val="24"/>
        </w:rPr>
        <w:t>.</w:t>
      </w:r>
    </w:p>
    <w:p w:rsidR="00C27BD7" w:rsidRDefault="00C27BD7" w:rsidP="00C27BD7">
      <w:pPr>
        <w:spacing w:line="360" w:lineRule="auto"/>
        <w:ind w:right="333"/>
        <w:jc w:val="both"/>
        <w:rPr>
          <w:rFonts w:ascii="Palatino Linotype" w:hAnsi="Palatino Linotype" w:cs="Arial"/>
          <w:sz w:val="24"/>
        </w:rPr>
      </w:pPr>
    </w:p>
    <w:p w:rsidR="00C27BD7" w:rsidRDefault="00C27BD7" w:rsidP="00C27BD7">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La Recurrente</w:t>
      </w:r>
      <w:r>
        <w:rPr>
          <w:rFonts w:ascii="Palatino Linotype" w:hAnsi="Palatino Linotype" w:cs="Arial"/>
          <w:sz w:val="24"/>
        </w:rPr>
        <w:t xml:space="preserve">; asimismo, </w:t>
      </w:r>
      <w:r w:rsidRPr="00141309">
        <w:rPr>
          <w:rFonts w:ascii="Palatino Linotype" w:hAnsi="Palatino Linotype"/>
          <w:color w:val="222222"/>
          <w:sz w:val="24"/>
          <w:szCs w:val="24"/>
          <w:shd w:val="clear" w:color="auto" w:fill="FFFFFF"/>
          <w:lang w:val="es-ES"/>
        </w:rPr>
        <w:t xml:space="preserve">de conformidad con lo establecido en el artículo </w:t>
      </w:r>
      <w:r>
        <w:rPr>
          <w:rFonts w:ascii="Palatino Linotype" w:hAnsi="Palatino Linotype"/>
          <w:color w:val="222222"/>
          <w:sz w:val="24"/>
          <w:szCs w:val="24"/>
          <w:shd w:val="clear" w:color="auto" w:fill="FFFFFF"/>
          <w:lang w:val="es-ES"/>
        </w:rPr>
        <w:t>142 de la Ley de Protección de Datos Personales en Posesión de Sujetos Obligados del Estado de México y Municipios</w:t>
      </w:r>
      <w:r w:rsidRPr="00141309">
        <w:rPr>
          <w:rFonts w:ascii="Palatino Linotype" w:hAnsi="Palatino Linotype"/>
          <w:color w:val="222222"/>
          <w:sz w:val="24"/>
          <w:szCs w:val="24"/>
          <w:shd w:val="clear" w:color="auto" w:fill="FFFFFF"/>
          <w:lang w:val="es-ES"/>
        </w:rPr>
        <w:t>,</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302AFD" w:rsidRDefault="00302AFD" w:rsidP="00302AFD">
      <w:pPr>
        <w:spacing w:before="24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D3607C">
        <w:rPr>
          <w:rFonts w:ascii="Palatino Linotype" w:hAnsi="Palatino Linotype" w:cs="Arial"/>
          <w:sz w:val="24"/>
          <w:szCs w:val="24"/>
        </w:rPr>
        <w:t xml:space="preserve"> CON </w:t>
      </w:r>
      <w:r w:rsidR="00D3607C" w:rsidRPr="00D3607C">
        <w:rPr>
          <w:rFonts w:ascii="Palatino Linotype" w:hAnsi="Palatino Linotype" w:cs="Arial"/>
          <w:sz w:val="24"/>
          <w:szCs w:val="24"/>
        </w:rPr>
        <w:t>AUSENCIA JUSTIFICADA</w:t>
      </w:r>
      <w:r>
        <w:rPr>
          <w:rFonts w:ascii="Palatino Linotype" w:hAnsi="Palatino Linotype" w:cs="Arial"/>
          <w:sz w:val="24"/>
          <w:szCs w:val="24"/>
        </w:rPr>
        <w:t xml:space="preserve">, JAVIER MARTÍNEZ CRUZ Y LUIS GUSTAVO PARRA NORIEGA, EN LA DÉCIMO </w:t>
      </w:r>
      <w:r w:rsidR="00795AE6">
        <w:rPr>
          <w:rFonts w:ascii="Palatino Linotype" w:hAnsi="Palatino Linotype" w:cs="Arial"/>
          <w:sz w:val="24"/>
          <w:szCs w:val="24"/>
        </w:rPr>
        <w:t>OCTAVA</w:t>
      </w:r>
      <w:r>
        <w:rPr>
          <w:rFonts w:ascii="Palatino Linotype" w:hAnsi="Palatino Linotype" w:cs="Arial"/>
          <w:sz w:val="24"/>
          <w:szCs w:val="24"/>
        </w:rPr>
        <w:t xml:space="preserve">  SESIÓN ORDINARIA CELEBRADA EL CATORCE DE MAYO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p>
    <w:p w:rsidR="00D3607C" w:rsidRDefault="00D3607C" w:rsidP="00302AFD">
      <w:pPr>
        <w:spacing w:before="240" w:line="360" w:lineRule="auto"/>
        <w:jc w:val="both"/>
        <w:rPr>
          <w:rFonts w:ascii="Palatino Linotype" w:hAnsi="Palatino Linotype" w:cs="Arial"/>
          <w:sz w:val="24"/>
          <w:szCs w:val="24"/>
        </w:rPr>
      </w:pPr>
    </w:p>
    <w:p w:rsidR="00302AFD" w:rsidRDefault="00302AFD" w:rsidP="00302AFD">
      <w:pPr>
        <w:spacing w:before="240" w:line="360" w:lineRule="auto"/>
        <w:jc w:val="both"/>
        <w:rPr>
          <w:rFonts w:ascii="Palatino Linotype" w:hAnsi="Palatino Linotype"/>
        </w:rPr>
      </w:pPr>
    </w:p>
    <w:p w:rsidR="00302AFD" w:rsidRDefault="00302AFD" w:rsidP="00302AFD">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3600" behindDoc="0" locked="0" layoutInCell="1" allowOverlap="1" wp14:anchorId="39EE8E8E" wp14:editId="0FDF9E54">
                <wp:simplePos x="0" y="0"/>
                <wp:positionH relativeFrom="page">
                  <wp:align>center</wp:align>
                </wp:positionH>
                <wp:positionV relativeFrom="paragraph">
                  <wp:posOffset>67265</wp:posOffset>
                </wp:positionV>
                <wp:extent cx="2360930" cy="934085"/>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34497"/>
                        </a:xfrm>
                        <a:prstGeom prst="rect">
                          <a:avLst/>
                        </a:prstGeom>
                        <a:solidFill>
                          <a:srgbClr val="FFFFFF"/>
                        </a:solidFill>
                        <a:ln w="9525">
                          <a:noFill/>
                          <a:miter lim="800000"/>
                          <a:headEnd/>
                          <a:tailEnd/>
                        </a:ln>
                      </wps:spPr>
                      <wps:txbx>
                        <w:txbxContent>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02AFD"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9EE8E8E"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73.55pt;z-index:25167360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" stroked="f">
                <v:textbox>
                  <w:txbxContent>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02AFD"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pPr>
                        <w:spacing w:line="240" w:lineRule="auto"/>
                        <w:jc w:val="center"/>
                        <w:rPr>
                          <w:rFonts w:ascii="Palatino Linotype" w:hAnsi="Palatino Linotype"/>
                          <w:sz w:val="24"/>
                          <w:szCs w:val="24"/>
                        </w:rPr>
                      </w:pPr>
                    </w:p>
                  </w:txbxContent>
                </v:textbox>
                <w10:wrap type="square" anchorx="page"/>
              </v:shape>
            </w:pict>
          </mc:Fallback>
        </mc:AlternateContent>
      </w:r>
    </w:p>
    <w:p w:rsidR="00302AFD" w:rsidRPr="00D54B7D" w:rsidRDefault="00302AFD" w:rsidP="00302AFD">
      <w:pPr>
        <w:spacing w:before="240"/>
        <w:jc w:val="both"/>
        <w:rPr>
          <w:rFonts w:ascii="Palatino Linotype" w:hAnsi="Palatino Linotype"/>
        </w:rPr>
      </w:pPr>
    </w:p>
    <w:p w:rsidR="00302AFD" w:rsidRPr="00D54B7D" w:rsidRDefault="00302AFD" w:rsidP="00302AFD">
      <w:pPr>
        <w:spacing w:before="240"/>
        <w:jc w:val="center"/>
        <w:rPr>
          <w:rFonts w:ascii="Palatino Linotype" w:hAnsi="Palatino Linotype"/>
        </w:rPr>
      </w:pPr>
    </w:p>
    <w:p w:rsidR="00302AFD" w:rsidRDefault="00302AFD" w:rsidP="00302AFD">
      <w:pPr>
        <w:spacing w:before="240"/>
        <w:rPr>
          <w:rFonts w:ascii="Palatino Linotype" w:hAnsi="Palatino Linotype"/>
          <w:b/>
        </w:rPr>
      </w:pPr>
    </w:p>
    <w:p w:rsidR="00302AFD" w:rsidRDefault="00302AFD" w:rsidP="00302AFD">
      <w:pPr>
        <w:spacing w:before="240"/>
        <w:rPr>
          <w:rFonts w:ascii="Palatino Linotype" w:hAnsi="Palatino Linotype"/>
          <w:b/>
        </w:rPr>
      </w:pPr>
    </w:p>
    <w:p w:rsidR="00302AFD" w:rsidRDefault="00302AFD" w:rsidP="00302AFD">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10C9AD99" wp14:editId="24157916">
                <wp:simplePos x="0" y="0"/>
                <wp:positionH relativeFrom="margin">
                  <wp:posOffset>3215640</wp:posOffset>
                </wp:positionH>
                <wp:positionV relativeFrom="paragraph">
                  <wp:posOffset>14604</wp:posOffset>
                </wp:positionV>
                <wp:extent cx="2543175" cy="935355"/>
                <wp:effectExtent l="0" t="0" r="28575" b="17145"/>
                <wp:wrapNone/>
                <wp:docPr id="35" name="Cuadro de texto 35"/>
                <wp:cNvGraphicFramePr/>
                <a:graphic xmlns:a="http://schemas.openxmlformats.org/drawingml/2006/main">
                  <a:graphicData uri="http://schemas.microsoft.com/office/word/2010/wordprocessingShape">
                    <wps:wsp>
                      <wps:cNvSpPr txBox="1"/>
                      <wps:spPr>
                        <a:xfrm>
                          <a:off x="0" y="0"/>
                          <a:ext cx="2543175" cy="9353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AFD" w:rsidRPr="00EF2FC0" w:rsidRDefault="00302AFD" w:rsidP="00302AF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02AFD"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w:t>
                            </w:r>
                            <w:r w:rsidR="00D3607C">
                              <w:rPr>
                                <w:rFonts w:ascii="Palatino Linotype" w:hAnsi="Palatino Linotype"/>
                                <w:b/>
                                <w:sz w:val="24"/>
                                <w:szCs w:val="24"/>
                              </w:rPr>
                              <w:t>Ausencia Justificada</w:t>
                            </w:r>
                            <w:r>
                              <w:rPr>
                                <w:rFonts w:ascii="Palatino Linotype" w:hAnsi="Palatino Linotype"/>
                                <w:b/>
                                <w:sz w:val="24"/>
                                <w:szCs w:val="24"/>
                              </w:rPr>
                              <w:t>).</w:t>
                            </w:r>
                          </w:p>
                          <w:p w:rsidR="00302AFD" w:rsidRPr="00797B31" w:rsidRDefault="00302AFD" w:rsidP="00302AFD">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9AD99" id="_x0000_t202" coordsize="21600,21600" o:spt="202" path="m,l,21600r21600,l21600,xe">
                <v:stroke joinstyle="miter"/>
                <v:path gradientshapeok="t" o:connecttype="rect"/>
              </v:shapetype>
              <v:shape id="Cuadro de texto 35" o:spid="_x0000_s1027" type="#_x0000_t202" style="position:absolute;margin-left:253.2pt;margin-top:1.15pt;width:200.25pt;height:73.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" fillcolor="white [3201]" strokecolor="white [3212]" strokeweight=".5pt">
                <v:textbox>
                  <w:txbxContent>
                    <w:p w:rsidR="00302AFD" w:rsidRPr="00EF2FC0" w:rsidRDefault="00302AFD" w:rsidP="00302AF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02AFD"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w:t>
                      </w:r>
                      <w:r w:rsidR="00D3607C">
                        <w:rPr>
                          <w:rFonts w:ascii="Palatino Linotype" w:hAnsi="Palatino Linotype"/>
                          <w:b/>
                          <w:sz w:val="24"/>
                          <w:szCs w:val="24"/>
                        </w:rPr>
                        <w:t>Ausencia Justificada</w:t>
                      </w:r>
                      <w:r>
                        <w:rPr>
                          <w:rFonts w:ascii="Palatino Linotype" w:hAnsi="Palatino Linotype"/>
                          <w:b/>
                          <w:sz w:val="24"/>
                          <w:szCs w:val="24"/>
                        </w:rPr>
                        <w:t>).</w:t>
                      </w:r>
                    </w:p>
                    <w:p w:rsidR="00302AFD" w:rsidRPr="00797B31" w:rsidRDefault="00302AFD" w:rsidP="00302AFD">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66D304CD" wp14:editId="486C1513">
                <wp:simplePos x="0" y="0"/>
                <wp:positionH relativeFrom="margin">
                  <wp:align>left</wp:align>
                </wp:positionH>
                <wp:positionV relativeFrom="paragraph">
                  <wp:posOffset>20956</wp:posOffset>
                </wp:positionV>
                <wp:extent cx="1943100" cy="925942"/>
                <wp:effectExtent l="0" t="0" r="19050" b="26670"/>
                <wp:wrapNone/>
                <wp:docPr id="22" name="Cuadro de texto 22"/>
                <wp:cNvGraphicFramePr/>
                <a:graphic xmlns:a="http://schemas.openxmlformats.org/drawingml/2006/main">
                  <a:graphicData uri="http://schemas.microsoft.com/office/word/2010/wordprocessingShape">
                    <wps:wsp>
                      <wps:cNvSpPr txBox="1"/>
                      <wps:spPr>
                        <a:xfrm>
                          <a:off x="0" y="0"/>
                          <a:ext cx="1943100" cy="9259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AFD" w:rsidRPr="00EF2FC0" w:rsidRDefault="00302AFD" w:rsidP="00302AFD">
                            <w:pPr>
                              <w:jc w:val="center"/>
                              <w:rPr>
                                <w:rFonts w:ascii="Palatino Linotype" w:hAnsi="Palatino Linotype"/>
                                <w:b/>
                                <w:sz w:val="24"/>
                                <w:szCs w:val="24"/>
                              </w:rPr>
                            </w:pPr>
                            <w:r w:rsidRPr="00EF2FC0">
                              <w:rPr>
                                <w:rFonts w:ascii="Palatino Linotype" w:hAnsi="Palatino Linotype"/>
                                <w:b/>
                                <w:sz w:val="24"/>
                                <w:szCs w:val="24"/>
                              </w:rPr>
                              <w:t>Eva Abaid Yapur</w:t>
                            </w:r>
                          </w:p>
                          <w:p w:rsidR="00302AFD" w:rsidRPr="00EF2FC0" w:rsidRDefault="00302AFD" w:rsidP="00302AFD">
                            <w:pPr>
                              <w:jc w:val="center"/>
                              <w:rPr>
                                <w:rFonts w:ascii="Palatino Linotype" w:hAnsi="Palatino Linotype"/>
                                <w:sz w:val="24"/>
                                <w:szCs w:val="24"/>
                              </w:rPr>
                            </w:pPr>
                            <w:r w:rsidRPr="00EF2FC0">
                              <w:rPr>
                                <w:rFonts w:ascii="Palatino Linotype" w:hAnsi="Palatino Linotype"/>
                                <w:sz w:val="24"/>
                                <w:szCs w:val="24"/>
                              </w:rPr>
                              <w:t>Comisionada</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04CD" id="Cuadro de texto 22" o:spid="_x0000_s1028" type="#_x0000_t202" style="position:absolute;margin-left:0;margin-top:1.65pt;width:153pt;height:72.9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L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" fillcolor="white [3201]" strokecolor="white [3212]" strokeweight=".5pt">
                <v:textbox>
                  <w:txbxContent>
                    <w:p w:rsidR="00302AFD" w:rsidRPr="00EF2FC0" w:rsidRDefault="00302AFD" w:rsidP="00302AFD">
                      <w:pPr>
                        <w:jc w:val="center"/>
                        <w:rPr>
                          <w:rFonts w:ascii="Palatino Linotype" w:hAnsi="Palatino Linotype"/>
                          <w:b/>
                          <w:sz w:val="24"/>
                          <w:szCs w:val="24"/>
                        </w:rPr>
                      </w:pPr>
                      <w:r w:rsidRPr="00EF2FC0">
                        <w:rPr>
                          <w:rFonts w:ascii="Palatino Linotype" w:hAnsi="Palatino Linotype"/>
                          <w:b/>
                          <w:sz w:val="24"/>
                          <w:szCs w:val="24"/>
                        </w:rPr>
                        <w:t>Eva Abaid Yapur</w:t>
                      </w:r>
                    </w:p>
                    <w:p w:rsidR="00302AFD" w:rsidRPr="00EF2FC0" w:rsidRDefault="00302AFD" w:rsidP="00302AFD">
                      <w:pPr>
                        <w:jc w:val="center"/>
                        <w:rPr>
                          <w:rFonts w:ascii="Palatino Linotype" w:hAnsi="Palatino Linotype"/>
                          <w:sz w:val="24"/>
                          <w:szCs w:val="24"/>
                        </w:rPr>
                      </w:pPr>
                      <w:r w:rsidRPr="00EF2FC0">
                        <w:rPr>
                          <w:rFonts w:ascii="Palatino Linotype" w:hAnsi="Palatino Linotype"/>
                          <w:sz w:val="24"/>
                          <w:szCs w:val="24"/>
                        </w:rPr>
                        <w:t>Comisionada</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pPr>
                        <w:jc w:val="center"/>
                      </w:pPr>
                    </w:p>
                  </w:txbxContent>
                </v:textbox>
                <w10:wrap anchorx="margin"/>
              </v:shape>
            </w:pict>
          </mc:Fallback>
        </mc:AlternateContent>
      </w:r>
    </w:p>
    <w:p w:rsidR="00302AFD" w:rsidRPr="00D54B7D" w:rsidRDefault="00302AFD" w:rsidP="00302AFD">
      <w:pPr>
        <w:spacing w:before="240"/>
        <w:rPr>
          <w:rFonts w:ascii="Palatino Linotype" w:hAnsi="Palatino Linotype"/>
          <w:b/>
        </w:rPr>
      </w:pPr>
    </w:p>
    <w:p w:rsidR="00302AFD" w:rsidRPr="00D54B7D" w:rsidRDefault="00302AFD" w:rsidP="00302AFD">
      <w:pPr>
        <w:spacing w:before="240"/>
        <w:rPr>
          <w:rFonts w:ascii="Palatino Linotype" w:hAnsi="Palatino Linotype"/>
          <w:b/>
        </w:rPr>
      </w:pPr>
    </w:p>
    <w:p w:rsidR="00302AFD" w:rsidRDefault="00302AFD" w:rsidP="00302AFD">
      <w:pPr>
        <w:spacing w:before="240"/>
        <w:rPr>
          <w:rFonts w:ascii="Palatino Linotype" w:hAnsi="Palatino Linotype"/>
          <w:b/>
        </w:rPr>
      </w:pPr>
    </w:p>
    <w:p w:rsidR="00302AFD" w:rsidRPr="00B93570" w:rsidRDefault="00302AFD" w:rsidP="00302AFD">
      <w:pPr>
        <w:spacing w:before="240"/>
        <w:rPr>
          <w:rFonts w:ascii="Palatino Linotype" w:hAnsi="Palatino Linotype"/>
          <w:b/>
          <w:sz w:val="18"/>
          <w:szCs w:val="18"/>
        </w:rPr>
      </w:pPr>
    </w:p>
    <w:p w:rsidR="00302AFD" w:rsidRPr="00B93570" w:rsidRDefault="00302AFD" w:rsidP="00302AFD">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75714341" wp14:editId="152E0E26">
                <wp:simplePos x="0" y="0"/>
                <wp:positionH relativeFrom="page">
                  <wp:posOffset>1085215</wp:posOffset>
                </wp:positionH>
                <wp:positionV relativeFrom="paragraph">
                  <wp:posOffset>41491</wp:posOffset>
                </wp:positionV>
                <wp:extent cx="2133600" cy="864159"/>
                <wp:effectExtent l="0" t="0" r="19050" b="12700"/>
                <wp:wrapNone/>
                <wp:docPr id="2" name="Cuadro de texto 2"/>
                <wp:cNvGraphicFramePr/>
                <a:graphic xmlns:a="http://schemas.openxmlformats.org/drawingml/2006/main">
                  <a:graphicData uri="http://schemas.microsoft.com/office/word/2010/wordprocessingShape">
                    <wps:wsp>
                      <wps:cNvSpPr txBox="1"/>
                      <wps:spPr>
                        <a:xfrm>
                          <a:off x="0" y="0"/>
                          <a:ext cx="2133600" cy="8641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4341" id="_x0000_s1029" type="#_x0000_t202" style="position:absolute;margin-left:85.45pt;margin-top:3.25pt;width:168pt;height:68.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" fillcolor="white [3201]" strokecolor="white [3212]" strokeweight=".5pt">
                <v:textbox>
                  <w:txbxContent>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2E19342" wp14:editId="42DB2172">
                <wp:simplePos x="0" y="0"/>
                <wp:positionH relativeFrom="page">
                  <wp:posOffset>4551680</wp:posOffset>
                </wp:positionH>
                <wp:positionV relativeFrom="paragraph">
                  <wp:posOffset>41603</wp:posOffset>
                </wp:positionV>
                <wp:extent cx="2133600" cy="933561"/>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2133600" cy="9335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AFD" w:rsidRPr="00EF2FC0" w:rsidRDefault="00302AFD" w:rsidP="00302AF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9342" id="Cuadro de texto 16" o:spid="_x0000_s1030" type="#_x0000_t202" style="position:absolute;margin-left:358.4pt;margin-top:3.3pt;width:168pt;height:7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Y2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" fillcolor="white [3201]" strokecolor="white [3212]" strokeweight=".5pt">
                <v:textbox>
                  <w:txbxContent>
                    <w:p w:rsidR="00302AFD" w:rsidRPr="00EF2FC0" w:rsidRDefault="00302AFD" w:rsidP="00302AF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02AFD" w:rsidRPr="00EF2FC0" w:rsidRDefault="00302AFD" w:rsidP="00302AF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(Rúbrica).</w:t>
                      </w:r>
                    </w:p>
                    <w:p w:rsidR="00302AFD" w:rsidRDefault="00302AFD" w:rsidP="00302AFD"/>
                  </w:txbxContent>
                </v:textbox>
                <w10:wrap anchorx="page"/>
              </v:shape>
            </w:pict>
          </mc:Fallback>
        </mc:AlternateContent>
      </w:r>
    </w:p>
    <w:p w:rsidR="00302AFD" w:rsidRDefault="00302AFD" w:rsidP="00302AFD">
      <w:pPr>
        <w:spacing w:before="240"/>
        <w:rPr>
          <w:rFonts w:ascii="Palatino Linotype" w:hAnsi="Palatino Linotype"/>
          <w:b/>
        </w:rPr>
      </w:pPr>
    </w:p>
    <w:p w:rsidR="00302AFD" w:rsidRDefault="00302AFD" w:rsidP="00302AFD">
      <w:pPr>
        <w:spacing w:before="240"/>
        <w:rPr>
          <w:rFonts w:ascii="Palatino Linotype" w:hAnsi="Palatino Linotype"/>
          <w:b/>
        </w:rPr>
      </w:pPr>
    </w:p>
    <w:p w:rsidR="00302AFD" w:rsidRDefault="00302AFD" w:rsidP="00302AFD">
      <w:pPr>
        <w:spacing w:before="240"/>
        <w:rPr>
          <w:rFonts w:ascii="Palatino Linotype" w:hAnsi="Palatino Linotype" w:cs="Arial"/>
          <w:szCs w:val="20"/>
        </w:rPr>
      </w:pPr>
    </w:p>
    <w:p w:rsidR="00302AFD" w:rsidRDefault="00302AFD" w:rsidP="00302AFD">
      <w:pPr>
        <w:spacing w:before="240"/>
        <w:rPr>
          <w:rFonts w:ascii="Palatino Linotype" w:hAnsi="Palatino Linotype" w:cs="Arial"/>
          <w:szCs w:val="20"/>
        </w:rPr>
      </w:pPr>
    </w:p>
    <w:p w:rsidR="00302AFD" w:rsidRDefault="00302AFD" w:rsidP="00302AFD">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6B9EDD6A" wp14:editId="48A124E4">
                <wp:simplePos x="0" y="0"/>
                <wp:positionH relativeFrom="page">
                  <wp:posOffset>2411095</wp:posOffset>
                </wp:positionH>
                <wp:positionV relativeFrom="paragraph">
                  <wp:posOffset>172789</wp:posOffset>
                </wp:positionV>
                <wp:extent cx="3152775" cy="803869"/>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8038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AFD" w:rsidRPr="007F6133" w:rsidRDefault="00302AFD" w:rsidP="00302AFD">
                            <w:pPr>
                              <w:jc w:val="center"/>
                              <w:rPr>
                                <w:rFonts w:ascii="Palatino Linotype" w:hAnsi="Palatino Linotype"/>
                                <w:b/>
                                <w:sz w:val="24"/>
                                <w:szCs w:val="24"/>
                              </w:rPr>
                            </w:pPr>
                            <w:r w:rsidRPr="00B86F1F">
                              <w:rPr>
                                <w:rFonts w:ascii="Palatino Linotype" w:hAnsi="Palatino Linotype"/>
                                <w:b/>
                                <w:sz w:val="24"/>
                                <w:szCs w:val="24"/>
                              </w:rPr>
                              <w:t>Alexis Tapia Ramírez</w:t>
                            </w:r>
                          </w:p>
                          <w:p w:rsidR="00302AFD" w:rsidRDefault="00302AFD" w:rsidP="00302AF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302AFD" w:rsidRDefault="00302AFD" w:rsidP="00302AFD">
                            <w:pPr>
                              <w:jc w:val="center"/>
                              <w:rPr>
                                <w:rFonts w:ascii="Palatino Linotype" w:hAnsi="Palatino Linotype"/>
                                <w:sz w:val="24"/>
                                <w:szCs w:val="24"/>
                              </w:rPr>
                            </w:pPr>
                          </w:p>
                          <w:p w:rsidR="00302AFD" w:rsidRPr="00EF2FC0" w:rsidRDefault="00302AFD" w:rsidP="00302AFD">
                            <w:pPr>
                              <w:jc w:val="center"/>
                              <w:rPr>
                                <w:rFonts w:ascii="Palatino Linotype" w:hAnsi="Palatino Linotype"/>
                                <w:sz w:val="24"/>
                                <w:szCs w:val="24"/>
                              </w:rPr>
                            </w:pPr>
                          </w:p>
                          <w:p w:rsidR="00302AFD" w:rsidRDefault="00302AFD" w:rsidP="00302A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DD6A" id="Cuadro de texto 24" o:spid="_x0000_s1031" type="#_x0000_t202" style="position:absolute;margin-left:189.85pt;margin-top:13.6pt;width:248.25pt;height:63.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D8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" fillcolor="white [3201]" strokecolor="white [3212]" strokeweight=".5pt">
                <v:textbox>
                  <w:txbxContent>
                    <w:p w:rsidR="00302AFD" w:rsidRPr="007F6133" w:rsidRDefault="00302AFD" w:rsidP="00302AFD">
                      <w:pPr>
                        <w:jc w:val="center"/>
                        <w:rPr>
                          <w:rFonts w:ascii="Palatino Linotype" w:hAnsi="Palatino Linotype"/>
                          <w:b/>
                          <w:sz w:val="24"/>
                          <w:szCs w:val="24"/>
                        </w:rPr>
                      </w:pPr>
                      <w:r w:rsidRPr="00B86F1F">
                        <w:rPr>
                          <w:rFonts w:ascii="Palatino Linotype" w:hAnsi="Palatino Linotype"/>
                          <w:b/>
                          <w:sz w:val="24"/>
                          <w:szCs w:val="24"/>
                        </w:rPr>
                        <w:t>Alexis Tapia Ramírez</w:t>
                      </w:r>
                    </w:p>
                    <w:p w:rsidR="00302AFD" w:rsidRDefault="00302AFD" w:rsidP="00302AF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02AFD" w:rsidRDefault="00302AFD" w:rsidP="00302AFD">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302AFD" w:rsidRDefault="00302AFD" w:rsidP="00302AFD">
                      <w:pPr>
                        <w:jc w:val="center"/>
                        <w:rPr>
                          <w:rFonts w:ascii="Palatino Linotype" w:hAnsi="Palatino Linotype"/>
                          <w:sz w:val="24"/>
                          <w:szCs w:val="24"/>
                        </w:rPr>
                      </w:pPr>
                    </w:p>
                    <w:p w:rsidR="00302AFD" w:rsidRPr="00EF2FC0" w:rsidRDefault="00302AFD" w:rsidP="00302AFD">
                      <w:pPr>
                        <w:jc w:val="center"/>
                        <w:rPr>
                          <w:rFonts w:ascii="Palatino Linotype" w:hAnsi="Palatino Linotype"/>
                          <w:sz w:val="24"/>
                          <w:szCs w:val="24"/>
                        </w:rPr>
                      </w:pPr>
                    </w:p>
                    <w:p w:rsidR="00302AFD" w:rsidRDefault="00302AFD" w:rsidP="00302AFD"/>
                  </w:txbxContent>
                </v:textbox>
                <w10:wrap anchorx="page"/>
              </v:shape>
            </w:pict>
          </mc:Fallback>
        </mc:AlternateContent>
      </w:r>
    </w:p>
    <w:p w:rsidR="00302AFD" w:rsidRDefault="00302AFD" w:rsidP="00302AFD">
      <w:pPr>
        <w:spacing w:before="240"/>
        <w:rPr>
          <w:rFonts w:ascii="Palatino Linotype" w:hAnsi="Palatino Linotype" w:cs="Arial"/>
          <w:szCs w:val="20"/>
        </w:rPr>
      </w:pPr>
    </w:p>
    <w:p w:rsidR="00302AFD" w:rsidRDefault="00302AFD" w:rsidP="00302AFD">
      <w:pPr>
        <w:spacing w:before="240"/>
        <w:rPr>
          <w:rFonts w:ascii="Palatino Linotype" w:hAnsi="Palatino Linotype" w:cs="Arial"/>
          <w:sz w:val="18"/>
          <w:szCs w:val="18"/>
        </w:rPr>
      </w:pPr>
    </w:p>
    <w:p w:rsidR="00302AFD" w:rsidRPr="002052F6" w:rsidRDefault="00302AFD" w:rsidP="00302AFD">
      <w:pPr>
        <w:spacing w:after="0" w:line="276" w:lineRule="auto"/>
        <w:jc w:val="both"/>
        <w:rPr>
          <w:rFonts w:ascii="Palatino Linotype" w:hAnsi="Palatino Linotype" w:cs="Arial"/>
          <w:sz w:val="16"/>
          <w:szCs w:val="16"/>
        </w:rPr>
      </w:pPr>
      <w:r w:rsidRPr="002052F6">
        <w:rPr>
          <w:rFonts w:ascii="Palatino Linotype" w:hAnsi="Palatino Linotype" w:cs="Arial"/>
          <w:sz w:val="16"/>
          <w:szCs w:val="16"/>
        </w:rPr>
        <w:t>Esta hoja</w:t>
      </w:r>
      <w:r>
        <w:rPr>
          <w:rFonts w:ascii="Palatino Linotype" w:hAnsi="Palatino Linotype" w:cs="Arial"/>
          <w:sz w:val="16"/>
          <w:szCs w:val="16"/>
        </w:rPr>
        <w:t xml:space="preserve"> corresponde a la resolución del catorce de mayo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01120/INFOEM/AD/RR/2019</w:t>
      </w:r>
      <w:r w:rsidRPr="002052F6">
        <w:rPr>
          <w:rFonts w:ascii="Palatino Linotype" w:hAnsi="Palatino Linotype" w:cs="Arial"/>
          <w:sz w:val="16"/>
          <w:szCs w:val="16"/>
        </w:rPr>
        <w:t>.</w:t>
      </w:r>
    </w:p>
    <w:p w:rsidR="00DD13E2" w:rsidRPr="00302AFD" w:rsidRDefault="00302AFD" w:rsidP="00302AFD">
      <w:pPr>
        <w:spacing w:after="0" w:line="276" w:lineRule="auto"/>
        <w:rPr>
          <w:rFonts w:ascii="Palatino Linotype" w:hAnsi="Palatino Linotype" w:cs="Arial"/>
          <w:b/>
          <w:sz w:val="18"/>
          <w:szCs w:val="18"/>
        </w:rPr>
      </w:pPr>
      <w:r w:rsidRPr="002052F6">
        <w:t>ZMS/OSAM/MAEM</w:t>
      </w:r>
    </w:p>
    <w:sectPr w:rsidR="00DD13E2" w:rsidRPr="00302AFD" w:rsidSect="00E15E85">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303" w:rsidRDefault="007A4303" w:rsidP="00E15E85">
      <w:pPr>
        <w:spacing w:after="0" w:line="240" w:lineRule="auto"/>
      </w:pPr>
      <w:r>
        <w:separator/>
      </w:r>
    </w:p>
  </w:endnote>
  <w:endnote w:type="continuationSeparator" w:id="0">
    <w:p w:rsidR="007A4303" w:rsidRDefault="007A4303"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D95">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5D95">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D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5D95">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303" w:rsidRDefault="007A4303" w:rsidP="00E15E85">
      <w:pPr>
        <w:spacing w:after="0" w:line="240" w:lineRule="auto"/>
      </w:pPr>
      <w:r>
        <w:separator/>
      </w:r>
    </w:p>
  </w:footnote>
  <w:footnote w:type="continuationSeparator" w:id="0">
    <w:p w:rsidR="007A4303" w:rsidRDefault="007A4303" w:rsidP="00E15E85">
      <w:pPr>
        <w:spacing w:after="0" w:line="240" w:lineRule="auto"/>
      </w:pPr>
      <w:r>
        <w:continuationSeparator/>
      </w:r>
    </w:p>
  </w:footnote>
  <w:footnote w:id="1">
    <w:p w:rsidR="00E96C3A" w:rsidRPr="006741D8" w:rsidRDefault="00E96C3A" w:rsidP="00E96C3A">
      <w:pPr>
        <w:pStyle w:val="Textonotapie"/>
        <w:jc w:val="both"/>
        <w:rPr>
          <w:rFonts w:ascii="Palatino Linotype" w:hAnsi="Palatino Linotype"/>
          <w:sz w:val="16"/>
          <w:szCs w:val="16"/>
        </w:rPr>
      </w:pPr>
    </w:p>
    <w:p w:rsidR="00E96C3A" w:rsidRPr="006741D8" w:rsidRDefault="00E96C3A" w:rsidP="00E96C3A">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Default="00684C23" w:rsidP="0063115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011</w:t>
          </w:r>
          <w:r w:rsidR="004B6A22">
            <w:rPr>
              <w:rFonts w:ascii="Palatino Linotype" w:hAnsi="Palatino Linotype" w:cs="Arial"/>
              <w:bCs/>
              <w:sz w:val="24"/>
              <w:lang w:eastAsia="es-MX"/>
            </w:rPr>
            <w:t>20/INFOEM/AD/RR/2019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A4A38" w:rsidRDefault="00BA4A38" w:rsidP="00E15E85">
          <w:pPr>
            <w:spacing w:after="120" w:line="256" w:lineRule="auto"/>
            <w:ind w:left="-486" w:right="214" w:firstLine="284"/>
            <w:jc w:val="right"/>
            <w:rPr>
              <w:rFonts w:ascii="Palatino Linotype" w:hAnsi="Palatino Linotype" w:cs="Arial"/>
              <w:szCs w:val="20"/>
            </w:rPr>
          </w:pPr>
          <w:r w:rsidRPr="00BA4A38">
            <w:rPr>
              <w:rFonts w:ascii="Palatino Linotype" w:hAnsi="Palatino Linotype" w:cs="Arial"/>
              <w:szCs w:val="20"/>
            </w:rPr>
            <w:t xml:space="preserve">Instituto de Seguridad Social del Estado </w:t>
          </w:r>
        </w:p>
        <w:p w:rsidR="00E15E85" w:rsidRDefault="00BA4A38" w:rsidP="00E15E85">
          <w:pPr>
            <w:spacing w:after="120" w:line="256" w:lineRule="auto"/>
            <w:ind w:left="-486" w:right="214" w:firstLine="284"/>
            <w:jc w:val="right"/>
            <w:rPr>
              <w:rFonts w:ascii="Palatino Linotype" w:hAnsi="Palatino Linotype" w:cs="Arial"/>
              <w:szCs w:val="20"/>
            </w:rPr>
          </w:pPr>
          <w:r w:rsidRPr="00BA4A38">
            <w:rPr>
              <w:rFonts w:ascii="Palatino Linotype" w:hAnsi="Palatino Linotype" w:cs="Arial"/>
              <w:szCs w:val="20"/>
            </w:rPr>
            <w:t>de México y Municipios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BC08CC" w:rsidP="00EE5CB5">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011</w:t>
          </w:r>
          <w:r w:rsidR="004B6A22">
            <w:rPr>
              <w:rFonts w:ascii="Palatino Linotype" w:hAnsi="Palatino Linotype" w:cs="Arial"/>
              <w:bCs/>
              <w:sz w:val="24"/>
              <w:lang w:eastAsia="es-MX"/>
            </w:rPr>
            <w:t>20/INFOEM/AD/RR/2019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667D29"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 XXXXXXX 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BA4A38" w:rsidP="0015550A">
          <w:pPr>
            <w:spacing w:after="120" w:line="256" w:lineRule="auto"/>
            <w:ind w:left="-495" w:right="214" w:firstLine="567"/>
            <w:jc w:val="right"/>
            <w:rPr>
              <w:rFonts w:ascii="Palatino Linotype" w:hAnsi="Palatino Linotype" w:cs="Arial"/>
              <w:szCs w:val="20"/>
            </w:rPr>
          </w:pPr>
          <w:r w:rsidRPr="00BA4A38">
            <w:rPr>
              <w:rFonts w:ascii="Palatino Linotype" w:hAnsi="Palatino Linotype" w:cs="Arial"/>
              <w:szCs w:val="20"/>
            </w:rPr>
            <w:t>Instituto de Seguridad Social del Estado de México y Municipios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84514"/>
    <w:multiLevelType w:val="hybridMultilevel"/>
    <w:tmpl w:val="9DBCC9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9F194D"/>
    <w:multiLevelType w:val="hybridMultilevel"/>
    <w:tmpl w:val="BE9AA1DC"/>
    <w:lvl w:ilvl="0" w:tplc="FF0E84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C85585"/>
    <w:multiLevelType w:val="hybridMultilevel"/>
    <w:tmpl w:val="4BFEA1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D24406"/>
    <w:multiLevelType w:val="hybridMultilevel"/>
    <w:tmpl w:val="7DE8A4D0"/>
    <w:lvl w:ilvl="0" w:tplc="16143C0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50A4AF0"/>
    <w:multiLevelType w:val="hybridMultilevel"/>
    <w:tmpl w:val="85360458"/>
    <w:lvl w:ilvl="0" w:tplc="B7B402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E70224"/>
    <w:multiLevelType w:val="hybridMultilevel"/>
    <w:tmpl w:val="C464CF06"/>
    <w:lvl w:ilvl="0" w:tplc="703E6B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157DB9"/>
    <w:multiLevelType w:val="hybridMultilevel"/>
    <w:tmpl w:val="18640776"/>
    <w:numStyleLink w:val="Estiloimportado2"/>
  </w:abstractNum>
  <w:abstractNum w:abstractNumId="11" w15:restartNumberingAfterBreak="0">
    <w:nsid w:val="6E9B0457"/>
    <w:multiLevelType w:val="hybridMultilevel"/>
    <w:tmpl w:val="6E4603E6"/>
    <w:lvl w:ilvl="0" w:tplc="C6846F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2"/>
  </w:num>
  <w:num w:numId="2">
    <w:abstractNumId w:val="2"/>
  </w:num>
  <w:num w:numId="3">
    <w:abstractNumId w:val="9"/>
  </w:num>
  <w:num w:numId="4">
    <w:abstractNumId w:val="6"/>
  </w:num>
  <w:num w:numId="5">
    <w:abstractNumId w:val="10"/>
  </w:num>
  <w:num w:numId="6">
    <w:abstractNumId w:val="5"/>
  </w:num>
  <w:num w:numId="7">
    <w:abstractNumId w:val="11"/>
  </w:num>
  <w:num w:numId="8">
    <w:abstractNumId w:val="7"/>
  </w:num>
  <w:num w:numId="9">
    <w:abstractNumId w:val="1"/>
  </w:num>
  <w:num w:numId="10">
    <w:abstractNumId w:val="8"/>
  </w:num>
  <w:num w:numId="11">
    <w:abstractNumId w:val="3"/>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25AF8"/>
    <w:rsid w:val="0003050E"/>
    <w:rsid w:val="00041DB6"/>
    <w:rsid w:val="00074A99"/>
    <w:rsid w:val="00084349"/>
    <w:rsid w:val="000B5AC4"/>
    <w:rsid w:val="000C58FC"/>
    <w:rsid w:val="000F019E"/>
    <w:rsid w:val="000F4524"/>
    <w:rsid w:val="0011750A"/>
    <w:rsid w:val="00130D58"/>
    <w:rsid w:val="00151B8D"/>
    <w:rsid w:val="00151E05"/>
    <w:rsid w:val="0015550A"/>
    <w:rsid w:val="0016097A"/>
    <w:rsid w:val="00165C1D"/>
    <w:rsid w:val="00170EA5"/>
    <w:rsid w:val="00171900"/>
    <w:rsid w:val="00174370"/>
    <w:rsid w:val="001764A5"/>
    <w:rsid w:val="001B3E5E"/>
    <w:rsid w:val="001C3F41"/>
    <w:rsid w:val="001C4F34"/>
    <w:rsid w:val="00223C2F"/>
    <w:rsid w:val="00224181"/>
    <w:rsid w:val="00227479"/>
    <w:rsid w:val="002473F3"/>
    <w:rsid w:val="0025307F"/>
    <w:rsid w:val="0026459B"/>
    <w:rsid w:val="002677ED"/>
    <w:rsid w:val="0027683A"/>
    <w:rsid w:val="00281FAE"/>
    <w:rsid w:val="00287512"/>
    <w:rsid w:val="00294D34"/>
    <w:rsid w:val="002B213E"/>
    <w:rsid w:val="002D10D2"/>
    <w:rsid w:val="002D3B2D"/>
    <w:rsid w:val="002F2F4F"/>
    <w:rsid w:val="003011A8"/>
    <w:rsid w:val="00302AFD"/>
    <w:rsid w:val="003034F4"/>
    <w:rsid w:val="003051DD"/>
    <w:rsid w:val="00330A95"/>
    <w:rsid w:val="003341B0"/>
    <w:rsid w:val="00350355"/>
    <w:rsid w:val="00357BFC"/>
    <w:rsid w:val="003751D7"/>
    <w:rsid w:val="00385299"/>
    <w:rsid w:val="003905F0"/>
    <w:rsid w:val="0039084D"/>
    <w:rsid w:val="00393420"/>
    <w:rsid w:val="003B465B"/>
    <w:rsid w:val="003B4B5A"/>
    <w:rsid w:val="003D7936"/>
    <w:rsid w:val="003E213D"/>
    <w:rsid w:val="003F6C55"/>
    <w:rsid w:val="00404F93"/>
    <w:rsid w:val="00411E8E"/>
    <w:rsid w:val="00437C82"/>
    <w:rsid w:val="00443799"/>
    <w:rsid w:val="00470AA0"/>
    <w:rsid w:val="00471988"/>
    <w:rsid w:val="00474CDA"/>
    <w:rsid w:val="004916D2"/>
    <w:rsid w:val="00492244"/>
    <w:rsid w:val="004A03CE"/>
    <w:rsid w:val="004A194A"/>
    <w:rsid w:val="004A2BFB"/>
    <w:rsid w:val="004A33A8"/>
    <w:rsid w:val="004B1366"/>
    <w:rsid w:val="004B6A22"/>
    <w:rsid w:val="004B79BD"/>
    <w:rsid w:val="004C3693"/>
    <w:rsid w:val="004D4743"/>
    <w:rsid w:val="004E6DB3"/>
    <w:rsid w:val="004F05B2"/>
    <w:rsid w:val="004F1FDF"/>
    <w:rsid w:val="0050572E"/>
    <w:rsid w:val="00516C65"/>
    <w:rsid w:val="00527856"/>
    <w:rsid w:val="00560146"/>
    <w:rsid w:val="005733EB"/>
    <w:rsid w:val="00591992"/>
    <w:rsid w:val="0059657E"/>
    <w:rsid w:val="005A4B12"/>
    <w:rsid w:val="005B65E0"/>
    <w:rsid w:val="005B6CD4"/>
    <w:rsid w:val="005D6A16"/>
    <w:rsid w:val="005F107D"/>
    <w:rsid w:val="00631154"/>
    <w:rsid w:val="00633B08"/>
    <w:rsid w:val="00663170"/>
    <w:rsid w:val="0066513E"/>
    <w:rsid w:val="00667D29"/>
    <w:rsid w:val="00674B30"/>
    <w:rsid w:val="00683057"/>
    <w:rsid w:val="00684C23"/>
    <w:rsid w:val="00687D36"/>
    <w:rsid w:val="006933A1"/>
    <w:rsid w:val="006965FB"/>
    <w:rsid w:val="006B2E10"/>
    <w:rsid w:val="006C1A4F"/>
    <w:rsid w:val="006C44E8"/>
    <w:rsid w:val="006C7F73"/>
    <w:rsid w:val="006E063B"/>
    <w:rsid w:val="006E1B39"/>
    <w:rsid w:val="006E410E"/>
    <w:rsid w:val="006F2EA8"/>
    <w:rsid w:val="0070304B"/>
    <w:rsid w:val="00707CD8"/>
    <w:rsid w:val="0072345F"/>
    <w:rsid w:val="00755099"/>
    <w:rsid w:val="007574B3"/>
    <w:rsid w:val="00774E81"/>
    <w:rsid w:val="00781457"/>
    <w:rsid w:val="00781D16"/>
    <w:rsid w:val="00795AE6"/>
    <w:rsid w:val="007A0267"/>
    <w:rsid w:val="007A1E3A"/>
    <w:rsid w:val="007A4303"/>
    <w:rsid w:val="007B330D"/>
    <w:rsid w:val="007B6C81"/>
    <w:rsid w:val="007C1DE6"/>
    <w:rsid w:val="007C4EC1"/>
    <w:rsid w:val="007D1339"/>
    <w:rsid w:val="007D1F8A"/>
    <w:rsid w:val="007D48FA"/>
    <w:rsid w:val="007F173B"/>
    <w:rsid w:val="00810C89"/>
    <w:rsid w:val="00817217"/>
    <w:rsid w:val="00842B74"/>
    <w:rsid w:val="00847A6F"/>
    <w:rsid w:val="00852474"/>
    <w:rsid w:val="00855184"/>
    <w:rsid w:val="00874738"/>
    <w:rsid w:val="00875499"/>
    <w:rsid w:val="00875E6F"/>
    <w:rsid w:val="00880E15"/>
    <w:rsid w:val="00881D0D"/>
    <w:rsid w:val="00887260"/>
    <w:rsid w:val="00890C82"/>
    <w:rsid w:val="00896B26"/>
    <w:rsid w:val="008A12F6"/>
    <w:rsid w:val="008E5141"/>
    <w:rsid w:val="008F0A7F"/>
    <w:rsid w:val="008F7A52"/>
    <w:rsid w:val="00901B87"/>
    <w:rsid w:val="009125DF"/>
    <w:rsid w:val="00913700"/>
    <w:rsid w:val="009150B7"/>
    <w:rsid w:val="009260FF"/>
    <w:rsid w:val="00943223"/>
    <w:rsid w:val="00954EEE"/>
    <w:rsid w:val="0096185D"/>
    <w:rsid w:val="00963F4B"/>
    <w:rsid w:val="00974DA1"/>
    <w:rsid w:val="00980401"/>
    <w:rsid w:val="009838CD"/>
    <w:rsid w:val="00991CC2"/>
    <w:rsid w:val="00997030"/>
    <w:rsid w:val="009B03F9"/>
    <w:rsid w:val="009C75A5"/>
    <w:rsid w:val="009E22C4"/>
    <w:rsid w:val="009F7948"/>
    <w:rsid w:val="00A261E5"/>
    <w:rsid w:val="00A92871"/>
    <w:rsid w:val="00A92C85"/>
    <w:rsid w:val="00A94F74"/>
    <w:rsid w:val="00AC1D50"/>
    <w:rsid w:val="00AE3E93"/>
    <w:rsid w:val="00AF7C4F"/>
    <w:rsid w:val="00B10B28"/>
    <w:rsid w:val="00B31BC3"/>
    <w:rsid w:val="00B34A6D"/>
    <w:rsid w:val="00B44BB1"/>
    <w:rsid w:val="00B60D7A"/>
    <w:rsid w:val="00B71E83"/>
    <w:rsid w:val="00B75D95"/>
    <w:rsid w:val="00B91FFF"/>
    <w:rsid w:val="00BA4A38"/>
    <w:rsid w:val="00BB1AB8"/>
    <w:rsid w:val="00BC08CC"/>
    <w:rsid w:val="00BC1C0A"/>
    <w:rsid w:val="00BC4EF7"/>
    <w:rsid w:val="00BD11C2"/>
    <w:rsid w:val="00BD22FF"/>
    <w:rsid w:val="00BD2894"/>
    <w:rsid w:val="00C02EA7"/>
    <w:rsid w:val="00C113EF"/>
    <w:rsid w:val="00C16071"/>
    <w:rsid w:val="00C25BA8"/>
    <w:rsid w:val="00C27BD7"/>
    <w:rsid w:val="00C64C22"/>
    <w:rsid w:val="00C653BB"/>
    <w:rsid w:val="00C9537F"/>
    <w:rsid w:val="00CB6B0D"/>
    <w:rsid w:val="00CE79B7"/>
    <w:rsid w:val="00D120B9"/>
    <w:rsid w:val="00D12150"/>
    <w:rsid w:val="00D27C2F"/>
    <w:rsid w:val="00D3607C"/>
    <w:rsid w:val="00D37EAD"/>
    <w:rsid w:val="00D42421"/>
    <w:rsid w:val="00D84FF4"/>
    <w:rsid w:val="00D9010D"/>
    <w:rsid w:val="00D9208D"/>
    <w:rsid w:val="00D95936"/>
    <w:rsid w:val="00DA6CD2"/>
    <w:rsid w:val="00DB584E"/>
    <w:rsid w:val="00DB5EEE"/>
    <w:rsid w:val="00DC3B85"/>
    <w:rsid w:val="00DC71FD"/>
    <w:rsid w:val="00DD13E2"/>
    <w:rsid w:val="00E15E85"/>
    <w:rsid w:val="00E25ACF"/>
    <w:rsid w:val="00E34874"/>
    <w:rsid w:val="00E44464"/>
    <w:rsid w:val="00E46096"/>
    <w:rsid w:val="00E802C8"/>
    <w:rsid w:val="00E85DB7"/>
    <w:rsid w:val="00E87E34"/>
    <w:rsid w:val="00E96C3A"/>
    <w:rsid w:val="00EA4B96"/>
    <w:rsid w:val="00EA6240"/>
    <w:rsid w:val="00EC0579"/>
    <w:rsid w:val="00EC5F34"/>
    <w:rsid w:val="00EC601F"/>
    <w:rsid w:val="00EE36DD"/>
    <w:rsid w:val="00EE5CB5"/>
    <w:rsid w:val="00EF2AE9"/>
    <w:rsid w:val="00EF4A61"/>
    <w:rsid w:val="00F12C75"/>
    <w:rsid w:val="00F46513"/>
    <w:rsid w:val="00F812A0"/>
    <w:rsid w:val="00F93108"/>
    <w:rsid w:val="00FC40AC"/>
    <w:rsid w:val="00FD1BBE"/>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687D36"/>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687D36"/>
    <w:rPr>
      <w:rFonts w:ascii="Arial" w:hAnsi="Arial" w:cs="Arial"/>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965F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965F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289200">
      <w:bodyDiv w:val="1"/>
      <w:marLeft w:val="0"/>
      <w:marRight w:val="0"/>
      <w:marTop w:val="0"/>
      <w:marBottom w:val="0"/>
      <w:divBdr>
        <w:top w:val="none" w:sz="0" w:space="0" w:color="auto"/>
        <w:left w:val="none" w:sz="0" w:space="0" w:color="auto"/>
        <w:bottom w:val="none" w:sz="0" w:space="0" w:color="auto"/>
        <w:right w:val="none" w:sz="0" w:space="0" w:color="auto"/>
      </w:divBdr>
    </w:div>
    <w:div w:id="354961544">
      <w:bodyDiv w:val="1"/>
      <w:marLeft w:val="0"/>
      <w:marRight w:val="0"/>
      <w:marTop w:val="0"/>
      <w:marBottom w:val="0"/>
      <w:divBdr>
        <w:top w:val="none" w:sz="0" w:space="0" w:color="auto"/>
        <w:left w:val="none" w:sz="0" w:space="0" w:color="auto"/>
        <w:bottom w:val="none" w:sz="0" w:space="0" w:color="auto"/>
        <w:right w:val="none" w:sz="0" w:space="0" w:color="auto"/>
      </w:divBdr>
    </w:div>
    <w:div w:id="360477785">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81904233">
      <w:bodyDiv w:val="1"/>
      <w:marLeft w:val="0"/>
      <w:marRight w:val="0"/>
      <w:marTop w:val="0"/>
      <w:marBottom w:val="0"/>
      <w:divBdr>
        <w:top w:val="none" w:sz="0" w:space="0" w:color="auto"/>
        <w:left w:val="none" w:sz="0" w:space="0" w:color="auto"/>
        <w:bottom w:val="none" w:sz="0" w:space="0" w:color="auto"/>
        <w:right w:val="none" w:sz="0" w:space="0" w:color="auto"/>
      </w:divBdr>
    </w:div>
    <w:div w:id="744380509">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85667662">
      <w:bodyDiv w:val="1"/>
      <w:marLeft w:val="0"/>
      <w:marRight w:val="0"/>
      <w:marTop w:val="0"/>
      <w:marBottom w:val="0"/>
      <w:divBdr>
        <w:top w:val="none" w:sz="0" w:space="0" w:color="auto"/>
        <w:left w:val="none" w:sz="0" w:space="0" w:color="auto"/>
        <w:bottom w:val="none" w:sz="0" w:space="0" w:color="auto"/>
        <w:right w:val="none" w:sz="0" w:space="0" w:color="auto"/>
      </w:divBdr>
    </w:div>
    <w:div w:id="1071776374">
      <w:bodyDiv w:val="1"/>
      <w:marLeft w:val="0"/>
      <w:marRight w:val="0"/>
      <w:marTop w:val="0"/>
      <w:marBottom w:val="0"/>
      <w:divBdr>
        <w:top w:val="none" w:sz="0" w:space="0" w:color="auto"/>
        <w:left w:val="none" w:sz="0" w:space="0" w:color="auto"/>
        <w:bottom w:val="none" w:sz="0" w:space="0" w:color="auto"/>
        <w:right w:val="none" w:sz="0" w:space="0" w:color="auto"/>
      </w:divBdr>
      <w:divsChild>
        <w:div w:id="1566378756">
          <w:marLeft w:val="0"/>
          <w:marRight w:val="0"/>
          <w:marTop w:val="0"/>
          <w:marBottom w:val="94"/>
          <w:divBdr>
            <w:top w:val="none" w:sz="0" w:space="0" w:color="auto"/>
            <w:left w:val="none" w:sz="0" w:space="0" w:color="auto"/>
            <w:bottom w:val="none" w:sz="0" w:space="0" w:color="auto"/>
            <w:right w:val="none" w:sz="0" w:space="0" w:color="auto"/>
          </w:divBdr>
        </w:div>
        <w:div w:id="615059628">
          <w:marLeft w:val="0"/>
          <w:marRight w:val="0"/>
          <w:marTop w:val="0"/>
          <w:marBottom w:val="94"/>
          <w:divBdr>
            <w:top w:val="none" w:sz="0" w:space="0" w:color="auto"/>
            <w:left w:val="none" w:sz="0" w:space="0" w:color="auto"/>
            <w:bottom w:val="none" w:sz="0" w:space="0" w:color="auto"/>
            <w:right w:val="none" w:sz="0" w:space="0" w:color="auto"/>
          </w:divBdr>
        </w:div>
        <w:div w:id="753821614">
          <w:marLeft w:val="0"/>
          <w:marRight w:val="0"/>
          <w:marTop w:val="0"/>
          <w:marBottom w:val="94"/>
          <w:divBdr>
            <w:top w:val="none" w:sz="0" w:space="0" w:color="auto"/>
            <w:left w:val="none" w:sz="0" w:space="0" w:color="auto"/>
            <w:bottom w:val="none" w:sz="0" w:space="0" w:color="auto"/>
            <w:right w:val="none" w:sz="0" w:space="0" w:color="auto"/>
          </w:divBdr>
        </w:div>
        <w:div w:id="886601544">
          <w:marLeft w:val="0"/>
          <w:marRight w:val="0"/>
          <w:marTop w:val="0"/>
          <w:marBottom w:val="94"/>
          <w:divBdr>
            <w:top w:val="none" w:sz="0" w:space="0" w:color="auto"/>
            <w:left w:val="none" w:sz="0" w:space="0" w:color="auto"/>
            <w:bottom w:val="none" w:sz="0" w:space="0" w:color="auto"/>
            <w:right w:val="none" w:sz="0" w:space="0" w:color="auto"/>
          </w:divBdr>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322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rcoem.org.mx/sarcoem/solicitud/downloadAttachOk/655168.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arcoem.org.mx/sarcoem/solicitud/downloadAttachOk/655167.page"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8B7671-28BB-4F2F-A0AE-B7FA177B58E1}">
  <we:reference id="wa102920439" version="1.3.1.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34FD9-B9F1-4CFF-AFC0-F96ECF97A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4849</Words>
  <Characters>26670</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2019-05-17T16:56:00Z</cp:lastPrinted>
  <dcterms:created xsi:type="dcterms:W3CDTF">2019-06-06T02:14:00Z</dcterms:created>
  <dcterms:modified xsi:type="dcterms:W3CDTF">2019-06-06T02:14:00Z</dcterms:modified>
</cp:coreProperties>
</file>