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14D21715" w:rsidR="009E5A7D" w:rsidRPr="00865343" w:rsidRDefault="009E5A7D" w:rsidP="009A65F3">
      <w:pPr>
        <w:spacing w:before="240" w:after="240" w:line="360" w:lineRule="auto"/>
        <w:jc w:val="both"/>
        <w:rPr>
          <w:rFonts w:ascii="Palatino Linotype" w:hAnsi="Palatino Linotype" w:cs="Arial"/>
        </w:rPr>
      </w:pPr>
      <w:r w:rsidRPr="00865343">
        <w:rPr>
          <w:rFonts w:ascii="Palatino Linotype" w:hAnsi="Palatino Linotype"/>
        </w:rPr>
        <w:t>Resolución del Pleno del Instituto de Transparencia, Acceso a la Información Pública y Protección de Datos Personales del Estado de México y Municipios,</w:t>
      </w:r>
      <w:r w:rsidR="00880CEA" w:rsidRPr="00865343">
        <w:rPr>
          <w:rFonts w:ascii="Palatino Linotype" w:hAnsi="Palatino Linotype"/>
        </w:rPr>
        <w:t xml:space="preserve"> </w:t>
      </w:r>
      <w:r w:rsidR="00880CEA" w:rsidRPr="00865343">
        <w:rPr>
          <w:rFonts w:ascii="Palatino Linotype" w:eastAsia="Calibri" w:hAnsi="Palatino Linotype" w:cs="Arial"/>
        </w:rPr>
        <w:t>con domicilio en Metepec, Estado de México,</w:t>
      </w:r>
      <w:r w:rsidRPr="00865343">
        <w:rPr>
          <w:rFonts w:ascii="Palatino Linotype" w:hAnsi="Palatino Linotype"/>
        </w:rPr>
        <w:t xml:space="preserve"> </w:t>
      </w:r>
      <w:r w:rsidR="00DF2EE7" w:rsidRPr="00865343">
        <w:rPr>
          <w:rFonts w:ascii="Palatino Linotype" w:hAnsi="Palatino Linotype"/>
        </w:rPr>
        <w:t>de fecha</w:t>
      </w:r>
      <w:r w:rsidRPr="00865343">
        <w:rPr>
          <w:rStyle w:val="apple-converted-space"/>
          <w:rFonts w:ascii="Palatino Linotype" w:hAnsi="Palatino Linotype" w:cs="Arial"/>
        </w:rPr>
        <w:t> </w:t>
      </w:r>
      <w:r w:rsidR="00EE4D8D">
        <w:rPr>
          <w:rStyle w:val="normaltextrun"/>
          <w:rFonts w:ascii="Palatino Linotype" w:hAnsi="Palatino Linotype" w:cs="Arial"/>
          <w:color w:val="000000"/>
        </w:rPr>
        <w:t>veintisiete</w:t>
      </w:r>
      <w:r w:rsidR="00EE4D8D" w:rsidRPr="005F4A6B">
        <w:rPr>
          <w:rStyle w:val="normaltextrun"/>
          <w:rFonts w:ascii="Palatino Linotype" w:hAnsi="Palatino Linotype" w:cs="Arial"/>
          <w:color w:val="000000"/>
        </w:rPr>
        <w:t xml:space="preserve"> de</w:t>
      </w:r>
      <w:r w:rsidR="00EE4D8D" w:rsidRPr="005F4A6B">
        <w:rPr>
          <w:rStyle w:val="apple-converted-space"/>
          <w:rFonts w:ascii="Palatino Linotype" w:hAnsi="Palatino Linotype" w:cs="Arial"/>
          <w:color w:val="000000"/>
        </w:rPr>
        <w:t> </w:t>
      </w:r>
      <w:r w:rsidR="00EE4D8D">
        <w:rPr>
          <w:rStyle w:val="apple-converted-space"/>
          <w:rFonts w:ascii="Palatino Linotype" w:hAnsi="Palatino Linotype" w:cs="Arial"/>
          <w:color w:val="000000"/>
        </w:rPr>
        <w:t>febrero</w:t>
      </w:r>
      <w:r w:rsidR="00EE4D8D" w:rsidRPr="005F4A6B">
        <w:rPr>
          <w:rStyle w:val="apple-converted-space"/>
          <w:rFonts w:ascii="Palatino Linotype" w:hAnsi="Palatino Linotype" w:cs="Arial"/>
          <w:color w:val="000000"/>
        </w:rPr>
        <w:t xml:space="preserve"> </w:t>
      </w:r>
      <w:r w:rsidR="00EE4D8D" w:rsidRPr="005F4A6B">
        <w:rPr>
          <w:rStyle w:val="normaltextrun"/>
          <w:rFonts w:ascii="Palatino Linotype" w:hAnsi="Palatino Linotype" w:cs="Arial"/>
          <w:color w:val="000000"/>
        </w:rPr>
        <w:t>de dos mil diecinueve</w:t>
      </w:r>
      <w:r w:rsidRPr="00865343">
        <w:rPr>
          <w:rStyle w:val="normaltextrun"/>
          <w:rFonts w:ascii="Palatino Linotype" w:hAnsi="Palatino Linotype" w:cs="Arial"/>
        </w:rPr>
        <w:t>.</w:t>
      </w:r>
    </w:p>
    <w:p w14:paraId="09115020" w14:textId="31BD3155" w:rsidR="009E5A7D" w:rsidRPr="00865343" w:rsidRDefault="009E5A7D" w:rsidP="009A65F3">
      <w:pPr>
        <w:spacing w:before="240" w:after="240" w:line="360" w:lineRule="auto"/>
        <w:jc w:val="both"/>
        <w:rPr>
          <w:rFonts w:ascii="Palatino Linotype" w:hAnsi="Palatino Linotype" w:cs="Arial"/>
          <w:b/>
        </w:rPr>
      </w:pPr>
      <w:r w:rsidRPr="00865343">
        <w:rPr>
          <w:rFonts w:ascii="Palatino Linotype" w:hAnsi="Palatino Linotype" w:cs="Arial"/>
          <w:b/>
        </w:rPr>
        <w:t>Visto</w:t>
      </w:r>
      <w:r w:rsidRPr="00865343">
        <w:rPr>
          <w:rFonts w:ascii="Palatino Linotype" w:hAnsi="Palatino Linotype" w:cs="Arial"/>
        </w:rPr>
        <w:t xml:space="preserve"> el expediente relativo al recurso de revisión </w:t>
      </w:r>
      <w:r w:rsidR="00AE35DE" w:rsidRPr="00865343">
        <w:rPr>
          <w:rFonts w:ascii="Palatino Linotype" w:hAnsi="Palatino Linotype" w:cs="Arial"/>
          <w:b/>
          <w:bCs/>
        </w:rPr>
        <w:t>00229/INFOEM/IP/RR/2019</w:t>
      </w:r>
      <w:r w:rsidRPr="00865343">
        <w:rPr>
          <w:rFonts w:ascii="Palatino Linotype" w:hAnsi="Palatino Linotype" w:cs="Arial"/>
        </w:rPr>
        <w:t>, interpuesto por</w:t>
      </w:r>
      <w:r w:rsidR="00ED6D1E" w:rsidRPr="00865343">
        <w:rPr>
          <w:rFonts w:ascii="Palatino Linotype" w:hAnsi="Palatino Linotype" w:cs="Arial"/>
        </w:rPr>
        <w:t xml:space="preserve"> </w:t>
      </w:r>
      <w:r w:rsidR="003D33C0" w:rsidRPr="003D33C0">
        <w:rPr>
          <w:rFonts w:ascii="Palatino Linotype" w:hAnsi="Palatino Linotype"/>
          <w:b/>
          <w:lang w:val="es-ES_tradnl"/>
        </w:rPr>
        <w:t>XXX XXXXXXX XXXXXXX</w:t>
      </w:r>
      <w:r w:rsidRPr="003D33C0">
        <w:rPr>
          <w:rFonts w:ascii="Palatino Linotype" w:hAnsi="Palatino Linotype" w:cs="Arial"/>
        </w:rPr>
        <w:t>,</w:t>
      </w:r>
      <w:r w:rsidRPr="00865343">
        <w:rPr>
          <w:rFonts w:ascii="Palatino Linotype" w:hAnsi="Palatino Linotype" w:cs="Arial"/>
        </w:rPr>
        <w:t xml:space="preserve"> en lo sucesivo </w:t>
      </w:r>
      <w:r w:rsidR="00D94CF7" w:rsidRPr="00865343">
        <w:rPr>
          <w:rFonts w:ascii="Palatino Linotype" w:hAnsi="Palatino Linotype" w:cs="Arial"/>
        </w:rPr>
        <w:t>l</w:t>
      </w:r>
      <w:r w:rsidR="004F7CA4" w:rsidRPr="00865343">
        <w:rPr>
          <w:rFonts w:ascii="Palatino Linotype" w:hAnsi="Palatino Linotype" w:cs="Arial"/>
        </w:rPr>
        <w:t>a parte</w:t>
      </w:r>
      <w:r w:rsidRPr="00865343">
        <w:rPr>
          <w:rFonts w:ascii="Palatino Linotype" w:hAnsi="Palatino Linotype" w:cs="Arial"/>
        </w:rPr>
        <w:t xml:space="preserve"> </w:t>
      </w:r>
      <w:r w:rsidRPr="00865343">
        <w:rPr>
          <w:rFonts w:ascii="Palatino Linotype" w:hAnsi="Palatino Linotype" w:cs="Arial"/>
          <w:b/>
        </w:rPr>
        <w:t>recurrente</w:t>
      </w:r>
      <w:r w:rsidRPr="00865343">
        <w:rPr>
          <w:rFonts w:ascii="Palatino Linotype" w:hAnsi="Palatino Linotype" w:cs="Arial"/>
        </w:rPr>
        <w:t xml:space="preserve"> en contra de la</w:t>
      </w:r>
      <w:r w:rsidR="001D541C" w:rsidRPr="00865343">
        <w:rPr>
          <w:rFonts w:ascii="Palatino Linotype" w:hAnsi="Palatino Linotype" w:cs="Arial"/>
        </w:rPr>
        <w:t xml:space="preserve"> falta</w:t>
      </w:r>
      <w:r w:rsidR="00FD5E90" w:rsidRPr="00865343">
        <w:rPr>
          <w:rFonts w:ascii="Palatino Linotype" w:hAnsi="Palatino Linotype" w:cs="Arial"/>
        </w:rPr>
        <w:t xml:space="preserve"> </w:t>
      </w:r>
      <w:r w:rsidRPr="00865343">
        <w:rPr>
          <w:rFonts w:ascii="Palatino Linotype" w:hAnsi="Palatino Linotype" w:cs="Arial"/>
        </w:rPr>
        <w:t xml:space="preserve">respuesta a su solicitud de información con número de folio </w:t>
      </w:r>
      <w:r w:rsidR="009F297B" w:rsidRPr="00865343">
        <w:rPr>
          <w:rFonts w:ascii="Palatino Linotype" w:hAnsi="Palatino Linotype" w:cs="Arial"/>
          <w:b/>
        </w:rPr>
        <w:t>00</w:t>
      </w:r>
      <w:r w:rsidR="00AE35DE" w:rsidRPr="00865343">
        <w:rPr>
          <w:rFonts w:ascii="Palatino Linotype" w:hAnsi="Palatino Linotype" w:cs="Arial"/>
          <w:b/>
        </w:rPr>
        <w:t>173</w:t>
      </w:r>
      <w:r w:rsidRPr="00865343">
        <w:rPr>
          <w:rFonts w:ascii="Palatino Linotype" w:hAnsi="Palatino Linotype" w:cs="Arial"/>
          <w:b/>
        </w:rPr>
        <w:t>/</w:t>
      </w:r>
      <w:r w:rsidR="00AE35DE" w:rsidRPr="00865343">
        <w:rPr>
          <w:rFonts w:ascii="Palatino Linotype" w:hAnsi="Palatino Linotype" w:cs="Arial"/>
          <w:b/>
        </w:rPr>
        <w:t>VACHASO</w:t>
      </w:r>
      <w:r w:rsidR="00155EE8" w:rsidRPr="00865343">
        <w:rPr>
          <w:rFonts w:ascii="Palatino Linotype" w:hAnsi="Palatino Linotype" w:cs="Arial"/>
          <w:b/>
        </w:rPr>
        <w:t>/IP/201</w:t>
      </w:r>
      <w:r w:rsidR="00F1346D" w:rsidRPr="00865343">
        <w:rPr>
          <w:rFonts w:ascii="Palatino Linotype" w:hAnsi="Palatino Linotype" w:cs="Arial"/>
          <w:b/>
        </w:rPr>
        <w:t>8</w:t>
      </w:r>
      <w:r w:rsidRPr="00865343">
        <w:rPr>
          <w:rFonts w:ascii="Palatino Linotype" w:hAnsi="Palatino Linotype" w:cs="Arial"/>
        </w:rPr>
        <w:t>, por parte de</w:t>
      </w:r>
      <w:r w:rsidR="00A74766" w:rsidRPr="00865343">
        <w:rPr>
          <w:rFonts w:ascii="Palatino Linotype" w:hAnsi="Palatino Linotype" w:cs="Arial"/>
        </w:rPr>
        <w:t>l</w:t>
      </w:r>
      <w:r w:rsidRPr="00865343">
        <w:rPr>
          <w:rFonts w:ascii="Palatino Linotype" w:hAnsi="Palatino Linotype" w:cs="Arial"/>
        </w:rPr>
        <w:t xml:space="preserve"> </w:t>
      </w:r>
      <w:r w:rsidR="00993058" w:rsidRPr="00865343">
        <w:rPr>
          <w:rFonts w:ascii="Palatino Linotype" w:hAnsi="Palatino Linotype"/>
          <w:b/>
          <w:bCs/>
          <w:color w:val="000000"/>
        </w:rPr>
        <w:t xml:space="preserve">Ayuntamiento de </w:t>
      </w:r>
      <w:r w:rsidR="00AE35DE" w:rsidRPr="00865343">
        <w:rPr>
          <w:rFonts w:ascii="Palatino Linotype" w:hAnsi="Palatino Linotype"/>
          <w:b/>
          <w:bCs/>
          <w:color w:val="000000"/>
        </w:rPr>
        <w:t>Valle de Chalco Solidaridad</w:t>
      </w:r>
      <w:r w:rsidRPr="00865343">
        <w:rPr>
          <w:rFonts w:ascii="Palatino Linotype" w:hAnsi="Palatino Linotype" w:cs="Arial"/>
        </w:rPr>
        <w:t xml:space="preserve">, en lo sucesivo el </w:t>
      </w:r>
      <w:r w:rsidRPr="00865343">
        <w:rPr>
          <w:rFonts w:ascii="Palatino Linotype" w:hAnsi="Palatino Linotype" w:cs="Arial"/>
          <w:b/>
        </w:rPr>
        <w:t xml:space="preserve">Sujeto Obligado; </w:t>
      </w:r>
      <w:r w:rsidRPr="00865343">
        <w:rPr>
          <w:rFonts w:ascii="Palatino Linotype" w:hAnsi="Palatino Linotype" w:cs="Arial"/>
        </w:rPr>
        <w:t>se procede a dictar la presente resolución, con base en lo siguiente.</w:t>
      </w:r>
      <w:bookmarkStart w:id="0" w:name="_GoBack"/>
      <w:bookmarkEnd w:id="0"/>
    </w:p>
    <w:p w14:paraId="783B97B4" w14:textId="77777777" w:rsidR="009E5A7D" w:rsidRPr="00865343" w:rsidRDefault="009E5A7D" w:rsidP="00B527D6">
      <w:pPr>
        <w:pStyle w:val="Prrafodelista"/>
        <w:numPr>
          <w:ilvl w:val="0"/>
          <w:numId w:val="1"/>
        </w:numPr>
        <w:spacing w:before="240" w:after="240" w:line="360" w:lineRule="auto"/>
        <w:ind w:left="1077"/>
        <w:contextualSpacing/>
        <w:jc w:val="center"/>
        <w:rPr>
          <w:rFonts w:ascii="Palatino Linotype" w:hAnsi="Palatino Linotype" w:cs="Arial"/>
          <w:b/>
        </w:rPr>
      </w:pPr>
      <w:r w:rsidRPr="00865343">
        <w:rPr>
          <w:rFonts w:ascii="Palatino Linotype" w:hAnsi="Palatino Linotype" w:cs="Arial"/>
          <w:b/>
        </w:rPr>
        <w:t>A N T E C E D E N T E S:</w:t>
      </w:r>
    </w:p>
    <w:p w14:paraId="2137DF43" w14:textId="267239D9" w:rsidR="009E5A7D" w:rsidRPr="00865343" w:rsidRDefault="009E5A7D" w:rsidP="009A65F3">
      <w:pPr>
        <w:spacing w:before="240" w:after="240" w:line="360" w:lineRule="auto"/>
        <w:jc w:val="both"/>
        <w:rPr>
          <w:rFonts w:ascii="Palatino Linotype" w:hAnsi="Palatino Linotype" w:cs="Arial"/>
          <w:b/>
        </w:rPr>
      </w:pPr>
      <w:r w:rsidRPr="00865343">
        <w:rPr>
          <w:rFonts w:ascii="Palatino Linotype" w:hAnsi="Palatino Linotype" w:cs="Arial"/>
          <w:b/>
        </w:rPr>
        <w:t xml:space="preserve">1. Solicitud de acceso a la información. </w:t>
      </w:r>
      <w:r w:rsidRPr="00865343">
        <w:rPr>
          <w:rFonts w:ascii="Palatino Linotype" w:hAnsi="Palatino Linotype" w:cs="Arial"/>
        </w:rPr>
        <w:t xml:space="preserve">Con </w:t>
      </w:r>
      <w:r w:rsidR="00983A88" w:rsidRPr="00865343">
        <w:rPr>
          <w:rFonts w:ascii="Palatino Linotype" w:hAnsi="Palatino Linotype" w:cs="Arial"/>
        </w:rPr>
        <w:t xml:space="preserve">fecha </w:t>
      </w:r>
      <w:r w:rsidR="00AE35DE" w:rsidRPr="00865343">
        <w:rPr>
          <w:rFonts w:ascii="Palatino Linotype" w:hAnsi="Palatino Linotype" w:cs="Arial"/>
        </w:rPr>
        <w:t>diecisiete</w:t>
      </w:r>
      <w:r w:rsidR="006C7D11" w:rsidRPr="00865343">
        <w:rPr>
          <w:rFonts w:ascii="Palatino Linotype" w:hAnsi="Palatino Linotype" w:cs="Arial"/>
        </w:rPr>
        <w:t xml:space="preserve"> de </w:t>
      </w:r>
      <w:r w:rsidR="00AE35DE" w:rsidRPr="00865343">
        <w:rPr>
          <w:rFonts w:ascii="Palatino Linotype" w:hAnsi="Palatino Linotype" w:cs="Arial"/>
        </w:rPr>
        <w:t xml:space="preserve">septiembre </w:t>
      </w:r>
      <w:r w:rsidRPr="00865343">
        <w:rPr>
          <w:rFonts w:ascii="Palatino Linotype" w:hAnsi="Palatino Linotype" w:cs="Arial"/>
        </w:rPr>
        <w:t xml:space="preserve">de dos mil </w:t>
      </w:r>
      <w:r w:rsidR="00155EE8" w:rsidRPr="00865343">
        <w:rPr>
          <w:rFonts w:ascii="Palatino Linotype" w:hAnsi="Palatino Linotype" w:cs="Arial"/>
        </w:rPr>
        <w:t>diec</w:t>
      </w:r>
      <w:r w:rsidR="00AE35DE" w:rsidRPr="00865343">
        <w:rPr>
          <w:rFonts w:ascii="Palatino Linotype" w:hAnsi="Palatino Linotype" w:cs="Arial"/>
        </w:rPr>
        <w:t>iocho</w:t>
      </w:r>
      <w:r w:rsidRPr="00865343">
        <w:rPr>
          <w:rFonts w:ascii="Palatino Linotype" w:hAnsi="Palatino Linotype" w:cs="Arial"/>
        </w:rPr>
        <w:t>, la</w:t>
      </w:r>
      <w:r w:rsidR="00176A2B" w:rsidRPr="00865343">
        <w:rPr>
          <w:rFonts w:ascii="Palatino Linotype" w:hAnsi="Palatino Linotype" w:cs="Arial"/>
        </w:rPr>
        <w:t xml:space="preserve"> parte</w:t>
      </w:r>
      <w:r w:rsidRPr="00865343">
        <w:rPr>
          <w:rFonts w:ascii="Palatino Linotype" w:hAnsi="Palatino Linotype" w:cs="Arial"/>
        </w:rPr>
        <w:t xml:space="preserve"> </w:t>
      </w:r>
      <w:r w:rsidRPr="00865343">
        <w:rPr>
          <w:rFonts w:ascii="Palatino Linotype" w:hAnsi="Palatino Linotype" w:cs="Arial"/>
          <w:b/>
        </w:rPr>
        <w:t>recurrente</w:t>
      </w:r>
      <w:r w:rsidRPr="00865343">
        <w:rPr>
          <w:rFonts w:ascii="Palatino Linotype" w:hAnsi="Palatino Linotype" w:cs="Arial"/>
        </w:rPr>
        <w:t xml:space="preserve"> formuló solicitud de acceso a</w:t>
      </w:r>
      <w:r w:rsidR="00FF6B97" w:rsidRPr="00865343">
        <w:rPr>
          <w:rFonts w:ascii="Palatino Linotype" w:hAnsi="Palatino Linotype" w:cs="Arial"/>
        </w:rPr>
        <w:t xml:space="preserve"> la</w:t>
      </w:r>
      <w:r w:rsidRPr="00865343">
        <w:rPr>
          <w:rFonts w:ascii="Palatino Linotype" w:hAnsi="Palatino Linotype" w:cs="Arial"/>
        </w:rPr>
        <w:t xml:space="preserve"> información pública al </w:t>
      </w:r>
      <w:r w:rsidRPr="00865343">
        <w:rPr>
          <w:rFonts w:ascii="Palatino Linotype" w:hAnsi="Palatino Linotype" w:cs="Arial"/>
          <w:b/>
        </w:rPr>
        <w:t>Sujeto Obligado</w:t>
      </w:r>
      <w:r w:rsidRPr="00865343">
        <w:rPr>
          <w:rFonts w:ascii="Palatino Linotype" w:hAnsi="Palatino Linotype" w:cs="Arial"/>
        </w:rPr>
        <w:t xml:space="preserve"> a través del Sistema de Acceso a la Información Mexiquense, en adelante </w:t>
      </w:r>
      <w:r w:rsidRPr="00865343">
        <w:rPr>
          <w:rFonts w:ascii="Palatino Linotype" w:hAnsi="Palatino Linotype" w:cs="Arial"/>
          <w:b/>
        </w:rPr>
        <w:t>SAIMEX,</w:t>
      </w:r>
      <w:r w:rsidRPr="00865343">
        <w:rPr>
          <w:rFonts w:ascii="Palatino Linotype" w:hAnsi="Palatino Linotype" w:cs="Arial"/>
        </w:rPr>
        <w:t xml:space="preserve">  requiriéndole lo siguiente:</w:t>
      </w:r>
    </w:p>
    <w:p w14:paraId="777CDE7C" w14:textId="28D10742" w:rsidR="004F6DE4" w:rsidRPr="00865343" w:rsidRDefault="009E5A7D" w:rsidP="00AE35DE">
      <w:pPr>
        <w:spacing w:before="240" w:after="240"/>
        <w:ind w:left="708" w:right="900"/>
        <w:jc w:val="both"/>
        <w:rPr>
          <w:rFonts w:ascii="Palatino Linotype" w:hAnsi="Palatino Linotype" w:cs="Arial"/>
          <w:i/>
          <w:sz w:val="20"/>
          <w:szCs w:val="22"/>
        </w:rPr>
      </w:pPr>
      <w:r w:rsidRPr="00865343">
        <w:rPr>
          <w:rFonts w:ascii="Palatino Linotype" w:hAnsi="Palatino Linotype" w:cs="Arial"/>
          <w:i/>
          <w:sz w:val="20"/>
          <w:szCs w:val="22"/>
        </w:rPr>
        <w:t>“</w:t>
      </w:r>
      <w:r w:rsidR="00AE35DE" w:rsidRPr="00865343">
        <w:rPr>
          <w:rFonts w:ascii="Palatino Linotype" w:hAnsi="Palatino Linotype" w:cs="Arial"/>
          <w:i/>
          <w:sz w:val="20"/>
          <w:szCs w:val="22"/>
        </w:rPr>
        <w:t>SE SOLICITAN LOS RECIBOS DE NOMINA DE LOS MESES DE ENERO, FEBRERO, MARZO, ABRIL MAYO, JUNIO, JULIO, AGOSTO, Y DEL 15 DE SEPTIEMBRE DEL AÑO 2018 DEBERAN SER 17 RECIBOS POR CADA SERVIDOR PUBLICO, DE LOS SERVIDORES PUBLICOS MANUEL ALEJANDRO AGUILAR MONTALVO SUBDIRECTOR DE ADMINISTRACION Y DE KARINA MORALES LOPEZ CON ADSCRIPCION A LA CONTRALORIA MUNICIPAL. LOS CUALES DEBERA ESTAR EN FORMATO PDF</w:t>
      </w:r>
      <w:r w:rsidR="005347A7" w:rsidRPr="00865343">
        <w:rPr>
          <w:rFonts w:ascii="Palatino Linotype" w:hAnsi="Palatino Linotype" w:cs="Arial"/>
          <w:i/>
          <w:sz w:val="20"/>
          <w:szCs w:val="22"/>
        </w:rPr>
        <w:t xml:space="preserve">. </w:t>
      </w:r>
      <w:r w:rsidR="00ED6D1E" w:rsidRPr="00865343">
        <w:rPr>
          <w:rFonts w:ascii="Palatino Linotype" w:hAnsi="Palatino Linotype" w:cs="Arial"/>
          <w:i/>
          <w:sz w:val="20"/>
          <w:szCs w:val="22"/>
        </w:rPr>
        <w:t>“</w:t>
      </w:r>
      <w:r w:rsidRPr="00865343">
        <w:rPr>
          <w:rFonts w:ascii="Palatino Linotype" w:hAnsi="Palatino Linotype" w:cs="Arial"/>
          <w:i/>
          <w:sz w:val="20"/>
          <w:szCs w:val="22"/>
        </w:rPr>
        <w:t>(sic)</w:t>
      </w:r>
    </w:p>
    <w:p w14:paraId="4BF9E253" w14:textId="1C710A36" w:rsidR="0026697E" w:rsidRPr="00865343" w:rsidRDefault="00FF6B97" w:rsidP="009A65F3">
      <w:pPr>
        <w:spacing w:before="240" w:after="240" w:line="360" w:lineRule="auto"/>
        <w:jc w:val="both"/>
        <w:rPr>
          <w:rFonts w:ascii="Palatino Linotype" w:hAnsi="Palatino Linotype" w:cs="Arial"/>
        </w:rPr>
      </w:pPr>
      <w:r w:rsidRPr="00865343">
        <w:rPr>
          <w:rFonts w:ascii="Palatino Linotype" w:hAnsi="Palatino Linotype" w:cs="Arial"/>
          <w:b/>
        </w:rPr>
        <w:t>Modalidad</w:t>
      </w:r>
      <w:r w:rsidR="0026697E" w:rsidRPr="00865343">
        <w:rPr>
          <w:rFonts w:ascii="Palatino Linotype" w:hAnsi="Palatino Linotype" w:cs="Arial"/>
          <w:b/>
        </w:rPr>
        <w:t xml:space="preserve"> elegida para la entrega de la información: </w:t>
      </w:r>
      <w:r w:rsidR="0026697E" w:rsidRPr="00865343">
        <w:rPr>
          <w:rFonts w:ascii="Palatino Linotype" w:hAnsi="Palatino Linotype" w:cs="Arial"/>
        </w:rPr>
        <w:t>a través del SAIMEX.</w:t>
      </w:r>
    </w:p>
    <w:p w14:paraId="337CC243" w14:textId="77777777" w:rsidR="000902C2" w:rsidRPr="00865343" w:rsidRDefault="000902C2" w:rsidP="005347A7">
      <w:pPr>
        <w:spacing w:before="240" w:after="240" w:line="360" w:lineRule="auto"/>
        <w:jc w:val="both"/>
        <w:rPr>
          <w:rFonts w:ascii="Palatino Linotype" w:hAnsi="Palatino Linotype" w:cs="Arial"/>
          <w:b/>
        </w:rPr>
      </w:pPr>
    </w:p>
    <w:p w14:paraId="1BFDF852" w14:textId="1C1F32EF" w:rsidR="000902C2" w:rsidRPr="00865343" w:rsidRDefault="000902C2" w:rsidP="000902C2">
      <w:pPr>
        <w:spacing w:before="240" w:after="240" w:line="360" w:lineRule="auto"/>
        <w:jc w:val="both"/>
        <w:rPr>
          <w:rFonts w:ascii="Palatino Linotype" w:hAnsi="Palatino Linotype" w:cs="Arial"/>
        </w:rPr>
      </w:pPr>
      <w:r w:rsidRPr="00865343">
        <w:rPr>
          <w:rFonts w:ascii="Palatino Linotype" w:hAnsi="Palatino Linotype" w:cs="Arial"/>
          <w:b/>
        </w:rPr>
        <w:lastRenderedPageBreak/>
        <w:t>2. Prórroga:</w:t>
      </w:r>
      <w:r w:rsidRPr="00865343">
        <w:rPr>
          <w:rFonts w:ascii="Palatino Linotype" w:hAnsi="Palatino Linotype" w:cs="Arial"/>
        </w:rPr>
        <w:t xml:space="preserve"> Con fecha nueve de octubre de dos mil dieciocho el Sujeto Obligado solicitó, a través de SAIMEX, prórroga para dar contestación a la solicitud de información con fundamento en el párrafo segundo del artículo 163 de la Ley de Transparencia y Acceso a la Información Pública del Estado de México y Municipios.</w:t>
      </w:r>
    </w:p>
    <w:p w14:paraId="792C1C9B" w14:textId="77777777" w:rsidR="000902C2" w:rsidRPr="00865343" w:rsidRDefault="000902C2" w:rsidP="000902C2">
      <w:pPr>
        <w:spacing w:before="240" w:after="240" w:line="360" w:lineRule="auto"/>
        <w:jc w:val="both"/>
        <w:rPr>
          <w:rFonts w:ascii="Palatino Linotype" w:hAnsi="Palatino Linotype" w:cs="Arial"/>
        </w:rPr>
      </w:pPr>
      <w:r w:rsidRPr="00865343">
        <w:rPr>
          <w:rFonts w:ascii="Palatino Linotype" w:hAnsi="Palatino Linotype" w:cs="Arial"/>
        </w:rPr>
        <w:t>No obstante, no pasa inadvertido para este Órgano Garante que el Sujeto Obligado no cumplió cabalmente con lo indicado en la Ley de la materia para notificar la ampliación del plazo para responder, ya que ésta debió hacerse por medio de una Resolución del Comité de Transparencia.</w:t>
      </w:r>
    </w:p>
    <w:p w14:paraId="54330CAC" w14:textId="4D03646E" w:rsidR="005347A7" w:rsidRPr="00865343" w:rsidRDefault="00A17B4A" w:rsidP="005347A7">
      <w:pPr>
        <w:spacing w:before="240" w:after="240" w:line="360" w:lineRule="auto"/>
        <w:jc w:val="both"/>
        <w:rPr>
          <w:rFonts w:ascii="Palatino Linotype" w:hAnsi="Palatino Linotype" w:cs="Arial"/>
          <w:b/>
        </w:rPr>
      </w:pPr>
      <w:r w:rsidRPr="00865343">
        <w:rPr>
          <w:rFonts w:ascii="Palatino Linotype" w:hAnsi="Palatino Linotype" w:cs="Arial"/>
          <w:b/>
        </w:rPr>
        <w:t>3</w:t>
      </w:r>
      <w:r w:rsidR="00702F82" w:rsidRPr="00865343">
        <w:rPr>
          <w:rFonts w:ascii="Palatino Linotype" w:hAnsi="Palatino Linotype" w:cs="Arial"/>
          <w:b/>
        </w:rPr>
        <w:t xml:space="preserve">. </w:t>
      </w:r>
      <w:r w:rsidR="0004420F" w:rsidRPr="00865343">
        <w:rPr>
          <w:rFonts w:ascii="Palatino Linotype" w:hAnsi="Palatino Linotype" w:cs="Arial"/>
          <w:b/>
        </w:rPr>
        <w:t xml:space="preserve">Respuesta. </w:t>
      </w:r>
      <w:r w:rsidR="005347A7" w:rsidRPr="00865343">
        <w:rPr>
          <w:rFonts w:ascii="Palatino Linotype" w:hAnsi="Palatino Linotype" w:cs="Arial"/>
        </w:rPr>
        <w:t xml:space="preserve">De las constancias que obran en el expediente electrónico del SAIMEX,  </w:t>
      </w:r>
      <w:r w:rsidR="005347A7" w:rsidRPr="00865343">
        <w:rPr>
          <w:rFonts w:ascii="Palatino Linotype" w:hAnsi="Palatino Linotype"/>
        </w:rPr>
        <w:t xml:space="preserve">se advierte que el </w:t>
      </w:r>
      <w:r w:rsidR="005347A7" w:rsidRPr="00865343">
        <w:rPr>
          <w:rFonts w:ascii="Palatino Linotype" w:hAnsi="Palatino Linotype"/>
          <w:b/>
        </w:rPr>
        <w:t>Sujeto Obligado</w:t>
      </w:r>
      <w:r w:rsidR="005347A7" w:rsidRPr="00865343">
        <w:rPr>
          <w:rFonts w:ascii="Palatino Linotype" w:hAnsi="Palatino Linotype"/>
        </w:rPr>
        <w:t xml:space="preserve"> no brindó respuesta a la solicitud de acceso a la información.</w:t>
      </w:r>
    </w:p>
    <w:p w14:paraId="204B7B1F" w14:textId="66DA4D85" w:rsidR="009E5A7D" w:rsidRPr="00865343" w:rsidRDefault="00A17B4A" w:rsidP="009A65F3">
      <w:pPr>
        <w:spacing w:before="240" w:after="240" w:line="360" w:lineRule="auto"/>
        <w:jc w:val="both"/>
        <w:rPr>
          <w:rFonts w:ascii="Palatino Linotype" w:hAnsi="Palatino Linotype" w:cs="Arial"/>
          <w:b/>
        </w:rPr>
      </w:pPr>
      <w:r w:rsidRPr="00865343">
        <w:rPr>
          <w:rFonts w:ascii="Palatino Linotype" w:hAnsi="Palatino Linotype" w:cs="Arial"/>
          <w:b/>
        </w:rPr>
        <w:t>4</w:t>
      </w:r>
      <w:r w:rsidR="009E5A7D" w:rsidRPr="00865343">
        <w:rPr>
          <w:rFonts w:ascii="Palatino Linotype" w:hAnsi="Palatino Linotype" w:cs="Arial"/>
          <w:b/>
        </w:rPr>
        <w:t xml:space="preserve">. Interposición del recurso de revisión. </w:t>
      </w:r>
      <w:r w:rsidR="009E5A7D" w:rsidRPr="00865343">
        <w:rPr>
          <w:rFonts w:ascii="Palatino Linotype" w:hAnsi="Palatino Linotype" w:cs="Arial"/>
        </w:rPr>
        <w:t xml:space="preserve">Inconforme </w:t>
      </w:r>
      <w:r w:rsidR="00F56F30" w:rsidRPr="00865343">
        <w:rPr>
          <w:rFonts w:ascii="Palatino Linotype" w:hAnsi="Palatino Linotype" w:cs="Arial"/>
        </w:rPr>
        <w:t>e</w:t>
      </w:r>
      <w:r w:rsidR="009E5A7D" w:rsidRPr="00865343">
        <w:rPr>
          <w:rFonts w:ascii="Palatino Linotype" w:hAnsi="Palatino Linotype" w:cs="Arial"/>
        </w:rPr>
        <w:t>l solicitante con la</w:t>
      </w:r>
      <w:r w:rsidR="004817F9" w:rsidRPr="00865343">
        <w:rPr>
          <w:rFonts w:ascii="Palatino Linotype" w:hAnsi="Palatino Linotype" w:cs="Arial"/>
        </w:rPr>
        <w:t xml:space="preserve"> </w:t>
      </w:r>
      <w:r w:rsidR="009E5A7D" w:rsidRPr="00865343">
        <w:rPr>
          <w:rFonts w:ascii="Palatino Linotype" w:hAnsi="Palatino Linotype" w:cs="Arial"/>
        </w:rPr>
        <w:t xml:space="preserve">respuesta del </w:t>
      </w:r>
      <w:r w:rsidR="009E5A7D" w:rsidRPr="00865343">
        <w:rPr>
          <w:rFonts w:ascii="Palatino Linotype" w:hAnsi="Palatino Linotype" w:cs="Arial"/>
          <w:b/>
        </w:rPr>
        <w:t>Sujeto Obligado</w:t>
      </w:r>
      <w:r w:rsidR="009E5A7D" w:rsidRPr="00865343">
        <w:rPr>
          <w:rFonts w:ascii="Palatino Linotype" w:hAnsi="Palatino Linotype" w:cs="Arial"/>
        </w:rPr>
        <w:t xml:space="preserve"> interpuso recurso de revisión a través del SAIMEX en fecha </w:t>
      </w:r>
      <w:r w:rsidR="000902C2" w:rsidRPr="00865343">
        <w:rPr>
          <w:rFonts w:ascii="Palatino Linotype" w:hAnsi="Palatino Linotype" w:cs="Arial"/>
        </w:rPr>
        <w:t>veinticinco</w:t>
      </w:r>
      <w:r w:rsidR="00360C3E" w:rsidRPr="00865343">
        <w:rPr>
          <w:rFonts w:ascii="Palatino Linotype" w:hAnsi="Palatino Linotype" w:cs="Arial"/>
        </w:rPr>
        <w:t xml:space="preserve"> </w:t>
      </w:r>
      <w:r w:rsidR="009E5A7D" w:rsidRPr="00865343">
        <w:rPr>
          <w:rFonts w:ascii="Palatino Linotype" w:hAnsi="Palatino Linotype" w:cs="Arial"/>
        </w:rPr>
        <w:t xml:space="preserve">de </w:t>
      </w:r>
      <w:r w:rsidR="000902C2" w:rsidRPr="00865343">
        <w:rPr>
          <w:rFonts w:ascii="Palatino Linotype" w:hAnsi="Palatino Linotype" w:cs="Arial"/>
        </w:rPr>
        <w:t xml:space="preserve">enero </w:t>
      </w:r>
      <w:r w:rsidR="009E5A7D" w:rsidRPr="00865343">
        <w:rPr>
          <w:rFonts w:ascii="Palatino Linotype" w:hAnsi="Palatino Linotype" w:cs="Arial"/>
        </w:rPr>
        <w:t xml:space="preserve">de dos mil </w:t>
      </w:r>
      <w:r w:rsidR="00E66C1C" w:rsidRPr="00865343">
        <w:rPr>
          <w:rFonts w:ascii="Palatino Linotype" w:hAnsi="Palatino Linotype" w:cs="Arial"/>
        </w:rPr>
        <w:t>diec</w:t>
      </w:r>
      <w:r w:rsidR="000902C2" w:rsidRPr="00865343">
        <w:rPr>
          <w:rFonts w:ascii="Palatino Linotype" w:hAnsi="Palatino Linotype" w:cs="Arial"/>
        </w:rPr>
        <w:t>inueve</w:t>
      </w:r>
      <w:r w:rsidR="009E5A7D" w:rsidRPr="00865343">
        <w:rPr>
          <w:rFonts w:ascii="Palatino Linotype" w:hAnsi="Palatino Linotype" w:cs="Arial"/>
        </w:rPr>
        <w:t>, a través del cual expresó lo siguiente:</w:t>
      </w:r>
    </w:p>
    <w:p w14:paraId="0ABF263D" w14:textId="77777777" w:rsidR="009E5A7D" w:rsidRPr="00865343" w:rsidRDefault="009E5A7D" w:rsidP="009A65F3">
      <w:pPr>
        <w:spacing w:line="360" w:lineRule="auto"/>
        <w:jc w:val="both"/>
        <w:rPr>
          <w:rFonts w:ascii="Palatino Linotype" w:hAnsi="Palatino Linotype" w:cs="Arial"/>
          <w:b/>
        </w:rPr>
      </w:pPr>
      <w:r w:rsidRPr="00865343">
        <w:rPr>
          <w:rFonts w:ascii="Palatino Linotype" w:hAnsi="Palatino Linotype" w:cs="Arial"/>
          <w:b/>
        </w:rPr>
        <w:t>a) Acto impugnado.</w:t>
      </w:r>
    </w:p>
    <w:p w14:paraId="622A9AB2" w14:textId="4D4B7D60" w:rsidR="009E5A7D" w:rsidRPr="00865343" w:rsidRDefault="009E5A7D" w:rsidP="009A65F3">
      <w:pPr>
        <w:spacing w:before="240" w:after="240"/>
        <w:ind w:left="708" w:right="900"/>
        <w:jc w:val="both"/>
        <w:rPr>
          <w:rFonts w:ascii="Palatino Linotype" w:hAnsi="Palatino Linotype" w:cs="Arial"/>
          <w:i/>
          <w:sz w:val="22"/>
          <w:szCs w:val="22"/>
        </w:rPr>
      </w:pPr>
      <w:r w:rsidRPr="00865343">
        <w:rPr>
          <w:rFonts w:ascii="Palatino Linotype" w:hAnsi="Palatino Linotype" w:cs="Arial"/>
          <w:i/>
          <w:sz w:val="22"/>
          <w:szCs w:val="22"/>
        </w:rPr>
        <w:t>“</w:t>
      </w:r>
      <w:r w:rsidR="000902C2" w:rsidRPr="00865343">
        <w:rPr>
          <w:rFonts w:ascii="Palatino Linotype" w:hAnsi="Palatino Linotype" w:cs="Arial"/>
          <w:i/>
          <w:sz w:val="22"/>
          <w:szCs w:val="22"/>
        </w:rPr>
        <w:t>00173/VACHASO/IP/2018</w:t>
      </w:r>
      <w:r w:rsidRPr="00865343">
        <w:rPr>
          <w:rFonts w:ascii="Palatino Linotype" w:hAnsi="Palatino Linotype" w:cs="Arial"/>
          <w:i/>
          <w:sz w:val="22"/>
          <w:szCs w:val="22"/>
        </w:rPr>
        <w:t>” (sic)</w:t>
      </w:r>
    </w:p>
    <w:p w14:paraId="177D82C5" w14:textId="77777777" w:rsidR="009E5A7D" w:rsidRPr="00865343" w:rsidRDefault="009E5A7D" w:rsidP="009A65F3">
      <w:pPr>
        <w:spacing w:line="360" w:lineRule="auto"/>
        <w:jc w:val="both"/>
        <w:rPr>
          <w:rFonts w:ascii="Palatino Linotype" w:hAnsi="Palatino Linotype" w:cs="Arial"/>
          <w:b/>
        </w:rPr>
      </w:pPr>
      <w:r w:rsidRPr="00865343">
        <w:rPr>
          <w:rFonts w:ascii="Palatino Linotype" w:hAnsi="Palatino Linotype" w:cs="Arial"/>
          <w:b/>
        </w:rPr>
        <w:t>b) Motivos de inconformidad.</w:t>
      </w:r>
    </w:p>
    <w:p w14:paraId="450E8CD1" w14:textId="5AD1AB23" w:rsidR="009E5A7D" w:rsidRPr="00865343" w:rsidRDefault="009E5A7D" w:rsidP="009A65F3">
      <w:pPr>
        <w:spacing w:before="240" w:after="240"/>
        <w:ind w:left="708" w:right="900"/>
        <w:jc w:val="both"/>
        <w:rPr>
          <w:rFonts w:ascii="Palatino Linotype" w:hAnsi="Palatino Linotype" w:cs="Arial"/>
          <w:i/>
          <w:sz w:val="22"/>
          <w:szCs w:val="22"/>
        </w:rPr>
      </w:pPr>
      <w:r w:rsidRPr="00865343">
        <w:rPr>
          <w:rFonts w:ascii="Palatino Linotype" w:hAnsi="Palatino Linotype" w:cs="Arial"/>
          <w:i/>
          <w:sz w:val="22"/>
          <w:szCs w:val="22"/>
        </w:rPr>
        <w:t>“</w:t>
      </w:r>
      <w:r w:rsidR="000902C2" w:rsidRPr="00865343">
        <w:rPr>
          <w:rFonts w:ascii="Palatino Linotype" w:hAnsi="Palatino Linotype" w:cs="Arial"/>
          <w:i/>
          <w:sz w:val="22"/>
          <w:szCs w:val="22"/>
        </w:rPr>
        <w:t>Se solicito una prorroga la cual fue concedida se venció el plazo y no fue emitida la respuesta por arte del municipio.</w:t>
      </w:r>
      <w:r w:rsidRPr="00865343">
        <w:rPr>
          <w:rFonts w:ascii="Palatino Linotype" w:hAnsi="Palatino Linotype" w:cs="Arial"/>
          <w:i/>
          <w:sz w:val="22"/>
          <w:szCs w:val="22"/>
        </w:rPr>
        <w:t>” (sic)</w:t>
      </w:r>
    </w:p>
    <w:p w14:paraId="30960AC9" w14:textId="33412953" w:rsidR="009D2140" w:rsidRPr="00865343" w:rsidRDefault="00A17B4A" w:rsidP="009A65F3">
      <w:pPr>
        <w:spacing w:before="240" w:after="240" w:line="360" w:lineRule="auto"/>
        <w:jc w:val="both"/>
        <w:rPr>
          <w:rFonts w:ascii="Palatino Linotype" w:hAnsi="Palatino Linotype"/>
        </w:rPr>
      </w:pPr>
      <w:r w:rsidRPr="00865343">
        <w:rPr>
          <w:rFonts w:ascii="Palatino Linotype" w:hAnsi="Palatino Linotype"/>
          <w:b/>
        </w:rPr>
        <w:t>5</w:t>
      </w:r>
      <w:r w:rsidR="00A93331" w:rsidRPr="00865343">
        <w:rPr>
          <w:rFonts w:ascii="Palatino Linotype" w:hAnsi="Palatino Linotype"/>
          <w:b/>
        </w:rPr>
        <w:t xml:space="preserve">. Turno. </w:t>
      </w:r>
      <w:r w:rsidR="00A93331" w:rsidRPr="00865343">
        <w:rPr>
          <w:rFonts w:ascii="Palatino Linotype" w:hAnsi="Palatino Linotype"/>
        </w:rPr>
        <w:t xml:space="preserve">De conformidad con el artículo 185, fracción I de la </w:t>
      </w:r>
      <w:r w:rsidR="009D2140" w:rsidRPr="00865343">
        <w:rPr>
          <w:rFonts w:ascii="Palatino Linotype" w:hAnsi="Palatino Linotype" w:cs="Arial"/>
        </w:rPr>
        <w:t xml:space="preserve">Ley de Transparencia </w:t>
      </w:r>
      <w:r w:rsidR="00A93331" w:rsidRPr="00865343">
        <w:rPr>
          <w:rFonts w:ascii="Palatino Linotype" w:hAnsi="Palatino Linotype" w:cs="Arial"/>
        </w:rPr>
        <w:t xml:space="preserve">y Acceso a la Información Pública del Estado de México y Municipios, el recurso de </w:t>
      </w:r>
      <w:r w:rsidR="00A93331" w:rsidRPr="00865343">
        <w:rPr>
          <w:rFonts w:ascii="Palatino Linotype" w:hAnsi="Palatino Linotype" w:cs="Arial"/>
        </w:rPr>
        <w:lastRenderedPageBreak/>
        <w:t xml:space="preserve">revisión número </w:t>
      </w:r>
      <w:r w:rsidR="005347A7" w:rsidRPr="00865343">
        <w:rPr>
          <w:rFonts w:ascii="Palatino Linotype" w:hAnsi="Palatino Linotype" w:cs="Arial"/>
          <w:b/>
        </w:rPr>
        <w:t>0</w:t>
      </w:r>
      <w:r w:rsidR="000902C2" w:rsidRPr="00865343">
        <w:rPr>
          <w:rFonts w:ascii="Palatino Linotype" w:hAnsi="Palatino Linotype" w:cs="Arial"/>
          <w:b/>
        </w:rPr>
        <w:t>0229</w:t>
      </w:r>
      <w:r w:rsidR="00155EE8" w:rsidRPr="00865343">
        <w:rPr>
          <w:rFonts w:ascii="Palatino Linotype" w:hAnsi="Palatino Linotype" w:cs="Arial"/>
          <w:b/>
        </w:rPr>
        <w:t>/INFOEM/IP/RR/201</w:t>
      </w:r>
      <w:r w:rsidR="000902C2" w:rsidRPr="00865343">
        <w:rPr>
          <w:rFonts w:ascii="Palatino Linotype" w:hAnsi="Palatino Linotype" w:cs="Arial"/>
          <w:b/>
        </w:rPr>
        <w:t>9</w:t>
      </w:r>
      <w:r w:rsidR="00A93331" w:rsidRPr="00865343">
        <w:rPr>
          <w:rFonts w:ascii="Palatino Linotype" w:hAnsi="Palatino Linotype" w:cs="Arial"/>
          <w:b/>
        </w:rPr>
        <w:t xml:space="preserve"> </w:t>
      </w:r>
      <w:r w:rsidR="00A93331" w:rsidRPr="00865343">
        <w:rPr>
          <w:rFonts w:ascii="Palatino Linotype" w:hAnsi="Palatino Linotype" w:cs="Arial"/>
          <w:bCs/>
          <w:lang w:eastAsia="es-MX"/>
        </w:rPr>
        <w:t>fue</w:t>
      </w:r>
      <w:r w:rsidR="00A93331" w:rsidRPr="00865343">
        <w:rPr>
          <w:rFonts w:ascii="Palatino Linotype" w:hAnsi="Palatino Linotype" w:cs="Arial"/>
          <w:b/>
          <w:bCs/>
          <w:lang w:eastAsia="es-MX"/>
        </w:rPr>
        <w:t xml:space="preserve"> </w:t>
      </w:r>
      <w:r w:rsidR="00A93331" w:rsidRPr="00865343">
        <w:rPr>
          <w:rFonts w:ascii="Palatino Linotype" w:hAnsi="Palatino Linotype"/>
        </w:rPr>
        <w:t xml:space="preserve">turnado al Comisionado ponente, a efecto de que analizara sobre su admisión o su </w:t>
      </w:r>
      <w:r w:rsidR="009D2140" w:rsidRPr="00865343">
        <w:rPr>
          <w:rFonts w:ascii="Palatino Linotype" w:hAnsi="Palatino Linotype"/>
        </w:rPr>
        <w:t>desechamiento.</w:t>
      </w:r>
    </w:p>
    <w:p w14:paraId="2F1123DE" w14:textId="234DA777" w:rsidR="00A93331" w:rsidRPr="00865343" w:rsidRDefault="00A17B4A" w:rsidP="009A65F3">
      <w:pPr>
        <w:spacing w:before="240" w:after="240" w:line="360" w:lineRule="auto"/>
        <w:jc w:val="both"/>
        <w:rPr>
          <w:rFonts w:ascii="Palatino Linotype" w:hAnsi="Palatino Linotype" w:cs="Arial"/>
        </w:rPr>
      </w:pPr>
      <w:r w:rsidRPr="00865343">
        <w:rPr>
          <w:rFonts w:ascii="Palatino Linotype" w:hAnsi="Palatino Linotype" w:cs="Arial"/>
          <w:b/>
        </w:rPr>
        <w:t>6</w:t>
      </w:r>
      <w:r w:rsidR="00A93331" w:rsidRPr="00865343">
        <w:rPr>
          <w:rFonts w:ascii="Palatino Linotype" w:hAnsi="Palatino Linotype" w:cs="Arial"/>
          <w:b/>
        </w:rPr>
        <w:t xml:space="preserve">. Admisión del recurso de revisión: </w:t>
      </w:r>
      <w:r w:rsidR="00A93331" w:rsidRPr="00865343">
        <w:rPr>
          <w:rFonts w:ascii="Palatino Linotype" w:hAnsi="Palatino Linotype" w:cs="Arial"/>
        </w:rPr>
        <w:t xml:space="preserve">En fecha </w:t>
      </w:r>
      <w:r w:rsidR="00D35F5B" w:rsidRPr="00865343">
        <w:rPr>
          <w:rFonts w:ascii="Palatino Linotype" w:hAnsi="Palatino Linotype" w:cs="Arial"/>
        </w:rPr>
        <w:t>treinta y uno</w:t>
      </w:r>
      <w:r w:rsidR="00991BFD" w:rsidRPr="00865343">
        <w:rPr>
          <w:rFonts w:ascii="Palatino Linotype" w:hAnsi="Palatino Linotype" w:cs="Arial"/>
        </w:rPr>
        <w:t xml:space="preserve"> </w:t>
      </w:r>
      <w:r w:rsidR="00A93331" w:rsidRPr="00865343">
        <w:rPr>
          <w:rFonts w:ascii="Palatino Linotype" w:hAnsi="Palatino Linotype" w:cs="Arial"/>
        </w:rPr>
        <w:t xml:space="preserve">de </w:t>
      </w:r>
      <w:r w:rsidR="0022501F" w:rsidRPr="00865343">
        <w:rPr>
          <w:rFonts w:ascii="Palatino Linotype" w:hAnsi="Palatino Linotype" w:cs="Arial"/>
        </w:rPr>
        <w:t>e</w:t>
      </w:r>
      <w:r w:rsidR="00D35F5B" w:rsidRPr="00865343">
        <w:rPr>
          <w:rFonts w:ascii="Palatino Linotype" w:hAnsi="Palatino Linotype" w:cs="Arial"/>
        </w:rPr>
        <w:t>nero</w:t>
      </w:r>
      <w:r w:rsidR="0022501F" w:rsidRPr="00865343">
        <w:rPr>
          <w:rFonts w:ascii="Palatino Linotype" w:hAnsi="Palatino Linotype" w:cs="Arial"/>
        </w:rPr>
        <w:t xml:space="preserve"> </w:t>
      </w:r>
      <w:r w:rsidR="004B3628" w:rsidRPr="00865343">
        <w:rPr>
          <w:rFonts w:ascii="Palatino Linotype" w:hAnsi="Palatino Linotype" w:cs="Arial"/>
        </w:rPr>
        <w:t>de dos mil dieci</w:t>
      </w:r>
      <w:r w:rsidR="00D35F5B" w:rsidRPr="00865343">
        <w:rPr>
          <w:rFonts w:ascii="Palatino Linotype" w:hAnsi="Palatino Linotype" w:cs="Arial"/>
        </w:rPr>
        <w:t>nueve</w:t>
      </w:r>
      <w:r w:rsidR="00A93331" w:rsidRPr="00865343">
        <w:rPr>
          <w:rFonts w:ascii="Palatino Linotype" w:hAnsi="Palatino Linotype" w:cs="Arial"/>
        </w:rPr>
        <w:t>, 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28996E85" w14:textId="27BFFE3B" w:rsidR="00FD3318" w:rsidRPr="00865343" w:rsidRDefault="00A17B4A" w:rsidP="00FD3318">
      <w:pPr>
        <w:spacing w:line="360" w:lineRule="auto"/>
        <w:jc w:val="both"/>
        <w:rPr>
          <w:rFonts w:ascii="Palatino Linotype" w:hAnsi="Palatino Linotype" w:cs="Arial"/>
        </w:rPr>
      </w:pPr>
      <w:r w:rsidRPr="00865343">
        <w:rPr>
          <w:rFonts w:ascii="Palatino Linotype" w:hAnsi="Palatino Linotype" w:cs="Arial"/>
          <w:b/>
        </w:rPr>
        <w:t>7</w:t>
      </w:r>
      <w:r w:rsidR="00A93331" w:rsidRPr="00865343">
        <w:rPr>
          <w:rFonts w:ascii="Palatino Linotype" w:hAnsi="Palatino Linotype" w:cs="Arial"/>
          <w:b/>
        </w:rPr>
        <w:t xml:space="preserve">. Manifestaciones: </w:t>
      </w:r>
      <w:r w:rsidR="00FD3318" w:rsidRPr="00865343">
        <w:rPr>
          <w:rFonts w:ascii="Palatino Linotype" w:hAnsi="Palatino Linotype" w:cs="Arial"/>
        </w:rPr>
        <w:t>De las constancias que integran el expediente en que se actúa, se advierte que las partes fueron omisas en expresar manifestación alguna, presentar alegatos u ofrecer pruebas en el plazo establecido para tal efecto.</w:t>
      </w:r>
    </w:p>
    <w:p w14:paraId="4726ABC6" w14:textId="4BB97081" w:rsidR="00A93331" w:rsidRPr="00865343" w:rsidRDefault="00A17B4A" w:rsidP="009A65F3">
      <w:pPr>
        <w:spacing w:before="240" w:after="240" w:line="360" w:lineRule="auto"/>
        <w:jc w:val="both"/>
        <w:rPr>
          <w:rFonts w:ascii="Palatino Linotype" w:hAnsi="Palatino Linotype"/>
        </w:rPr>
      </w:pPr>
      <w:r w:rsidRPr="00865343">
        <w:rPr>
          <w:rFonts w:ascii="Palatino Linotype" w:hAnsi="Palatino Linotype"/>
          <w:b/>
        </w:rPr>
        <w:t>8</w:t>
      </w:r>
      <w:r w:rsidR="00A93331" w:rsidRPr="00865343">
        <w:rPr>
          <w:rFonts w:ascii="Palatino Linotype" w:hAnsi="Palatino Linotype"/>
          <w:b/>
        </w:rPr>
        <w:t xml:space="preserve">. Cierre de instrucción. </w:t>
      </w:r>
      <w:r w:rsidR="00A93331" w:rsidRPr="00865343">
        <w:rPr>
          <w:rFonts w:ascii="Palatino Linotype" w:hAnsi="Palatino Linotype"/>
        </w:rPr>
        <w:t xml:space="preserve">En </w:t>
      </w:r>
      <w:r w:rsidR="008F0925" w:rsidRPr="00865343">
        <w:rPr>
          <w:rFonts w:ascii="Palatino Linotype" w:hAnsi="Palatino Linotype"/>
        </w:rPr>
        <w:t xml:space="preserve">fecha </w:t>
      </w:r>
      <w:r w:rsidR="005031DD" w:rsidRPr="00865343">
        <w:rPr>
          <w:rFonts w:ascii="Palatino Linotype" w:hAnsi="Palatino Linotype"/>
        </w:rPr>
        <w:t>veintiuno</w:t>
      </w:r>
      <w:r w:rsidR="004D5493" w:rsidRPr="00865343">
        <w:rPr>
          <w:rFonts w:ascii="Palatino Linotype" w:hAnsi="Palatino Linotype"/>
        </w:rPr>
        <w:t xml:space="preserve"> </w:t>
      </w:r>
      <w:r w:rsidR="009D2140" w:rsidRPr="00865343">
        <w:rPr>
          <w:rFonts w:ascii="Palatino Linotype" w:hAnsi="Palatino Linotype"/>
        </w:rPr>
        <w:t>de</w:t>
      </w:r>
      <w:r w:rsidR="002D550A" w:rsidRPr="00865343">
        <w:rPr>
          <w:rFonts w:ascii="Palatino Linotype" w:hAnsi="Palatino Linotype"/>
        </w:rPr>
        <w:t xml:space="preserve"> </w:t>
      </w:r>
      <w:r w:rsidR="00D35F5B" w:rsidRPr="00865343">
        <w:rPr>
          <w:rFonts w:ascii="Palatino Linotype" w:hAnsi="Palatino Linotype"/>
        </w:rPr>
        <w:t>febrero</w:t>
      </w:r>
      <w:r w:rsidR="00807CCB" w:rsidRPr="00865343">
        <w:rPr>
          <w:rFonts w:ascii="Palatino Linotype" w:hAnsi="Palatino Linotype"/>
        </w:rPr>
        <w:t xml:space="preserve"> </w:t>
      </w:r>
      <w:r w:rsidR="009A6C40" w:rsidRPr="00865343">
        <w:rPr>
          <w:rFonts w:ascii="Palatino Linotype" w:hAnsi="Palatino Linotype"/>
        </w:rPr>
        <w:t>de dos mil dieci</w:t>
      </w:r>
      <w:r w:rsidR="00807CCB" w:rsidRPr="00865343">
        <w:rPr>
          <w:rFonts w:ascii="Palatino Linotype" w:hAnsi="Palatino Linotype"/>
        </w:rPr>
        <w:t>nueve</w:t>
      </w:r>
      <w:r w:rsidR="00A93331" w:rsidRPr="00865343">
        <w:rPr>
          <w:rFonts w:ascii="Palatino Linotype" w:hAnsi="Palatino Linotype"/>
        </w:rPr>
        <w:t xml:space="preserve"> el Comisionado ponente determinó el cierre de instrucción en términos de la fracción VI  del artículo 18</w:t>
      </w:r>
      <w:r w:rsidR="009A6C40" w:rsidRPr="00865343">
        <w:rPr>
          <w:rFonts w:ascii="Palatino Linotype" w:hAnsi="Palatino Linotype"/>
        </w:rPr>
        <w:t>5 de la Ley de Transparencia y Acceso a la I</w:t>
      </w:r>
      <w:r w:rsidR="00A93331" w:rsidRPr="00865343">
        <w:rPr>
          <w:rFonts w:ascii="Palatino Linotype" w:hAnsi="Palatino Linotype"/>
        </w:rPr>
        <w:t>nformación Pública del Estado de México y Municipios.</w:t>
      </w:r>
    </w:p>
    <w:p w14:paraId="4D65CB86" w14:textId="77777777" w:rsidR="009E5A7D" w:rsidRPr="00865343" w:rsidRDefault="009E5A7D" w:rsidP="00B527D6">
      <w:pPr>
        <w:pStyle w:val="Prrafodelista"/>
        <w:numPr>
          <w:ilvl w:val="0"/>
          <w:numId w:val="1"/>
        </w:numPr>
        <w:spacing w:before="240" w:after="240" w:line="360" w:lineRule="auto"/>
        <w:ind w:left="720"/>
        <w:contextualSpacing/>
        <w:jc w:val="center"/>
        <w:rPr>
          <w:rFonts w:ascii="Palatino Linotype" w:hAnsi="Palatino Linotype" w:cs="Arial"/>
          <w:b/>
        </w:rPr>
      </w:pPr>
      <w:r w:rsidRPr="00865343">
        <w:rPr>
          <w:rFonts w:ascii="Palatino Linotype" w:hAnsi="Palatino Linotype" w:cs="Arial"/>
          <w:b/>
        </w:rPr>
        <w:t>C O N S I D E R A N D O:</w:t>
      </w:r>
    </w:p>
    <w:p w14:paraId="28FC08F3" w14:textId="7780A7EC" w:rsidR="00A93331" w:rsidRPr="00865343" w:rsidRDefault="00A93331" w:rsidP="009A65F3">
      <w:pPr>
        <w:spacing w:before="240" w:after="240" w:line="360" w:lineRule="auto"/>
        <w:jc w:val="both"/>
        <w:rPr>
          <w:rFonts w:ascii="Palatino Linotype" w:hAnsi="Palatino Linotype"/>
          <w:shd w:val="clear" w:color="auto" w:fill="FFFFFF"/>
        </w:rPr>
      </w:pPr>
      <w:r w:rsidRPr="00865343">
        <w:rPr>
          <w:rFonts w:ascii="Palatino Linotype" w:hAnsi="Palatino Linotype" w:cs="Arial"/>
          <w:b/>
        </w:rPr>
        <w:t xml:space="preserve">Primero. Competencia. </w:t>
      </w:r>
      <w:r w:rsidRPr="0086534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conforme a lo dispuesto en los artículos 6, apartado A de la Constitución Política de los Estados Unidos Mexicanos; 5, párrafos </w:t>
      </w:r>
      <w:r w:rsidR="006B0DBD" w:rsidRPr="00865343">
        <w:rPr>
          <w:rFonts w:ascii="Palatino Linotype" w:hAnsi="Palatino Linotype"/>
          <w:shd w:val="clear" w:color="auto" w:fill="FFFFFF"/>
        </w:rPr>
        <w:t>vigésimo</w:t>
      </w:r>
      <w:r w:rsidRPr="00865343">
        <w:rPr>
          <w:rFonts w:ascii="Palatino Linotype" w:hAnsi="Palatino Linotype"/>
          <w:shd w:val="clear" w:color="auto" w:fill="FFFFFF"/>
        </w:rPr>
        <w:t xml:space="preserve">, </w:t>
      </w:r>
      <w:r w:rsidR="006B0DBD" w:rsidRPr="00865343">
        <w:rPr>
          <w:rFonts w:ascii="Palatino Linotype" w:hAnsi="Palatino Linotype"/>
          <w:shd w:val="clear" w:color="auto" w:fill="FFFFFF"/>
        </w:rPr>
        <w:t>vigésimo primero</w:t>
      </w:r>
      <w:r w:rsidRPr="00865343">
        <w:rPr>
          <w:rFonts w:ascii="Palatino Linotype" w:hAnsi="Palatino Linotype"/>
          <w:shd w:val="clear" w:color="auto" w:fill="FFFFFF"/>
        </w:rPr>
        <w:t xml:space="preserve"> y </w:t>
      </w:r>
      <w:r w:rsidR="006B0DBD" w:rsidRPr="00865343">
        <w:rPr>
          <w:rFonts w:ascii="Palatino Linotype" w:hAnsi="Palatino Linotype"/>
          <w:shd w:val="clear" w:color="auto" w:fill="FFFFFF"/>
        </w:rPr>
        <w:t xml:space="preserve">vigésimo </w:t>
      </w:r>
      <w:r w:rsidR="006B0DBD" w:rsidRPr="00865343">
        <w:rPr>
          <w:rFonts w:ascii="Palatino Linotype" w:hAnsi="Palatino Linotype"/>
          <w:shd w:val="clear" w:color="auto" w:fill="FFFFFF"/>
        </w:rPr>
        <w:lastRenderedPageBreak/>
        <w:t>segundo, fracciones</w:t>
      </w:r>
      <w:r w:rsidRPr="00865343">
        <w:rPr>
          <w:rFonts w:ascii="Palatino Linotype" w:hAnsi="Palatino Linotype"/>
          <w:shd w:val="clear" w:color="auto" w:fill="FFFFFF"/>
        </w:rPr>
        <w:t xml:space="preserve"> IV y V de la Constitución Política del Estado Libre y Soberano de México; 1, 2, fracción II; 13,  29, 36, fracciones I y II; 176, 178, 179, 181 párrafo tercero y 185 de la Ley Transparencia y Acceso a la Información Pública del Estado de México y Municipios;</w:t>
      </w:r>
      <w:r w:rsidRPr="00865343">
        <w:rPr>
          <w:rStyle w:val="apple-converted-space"/>
          <w:rFonts w:ascii="Palatino Linotype" w:hAnsi="Palatino Linotype"/>
          <w:shd w:val="clear" w:color="auto" w:fill="FFFFFF"/>
        </w:rPr>
        <w:t> </w:t>
      </w:r>
      <w:r w:rsidR="009A6C40" w:rsidRPr="00865343">
        <w:rPr>
          <w:rFonts w:ascii="Palatino Linotype" w:hAnsi="Palatino Linotype" w:cs="Arial"/>
        </w:rPr>
        <w:t xml:space="preserve">9, fracciones I y XXIV y 11 </w:t>
      </w:r>
      <w:r w:rsidRPr="00865343">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3E997045" w14:textId="77777777" w:rsidR="003130CE" w:rsidRPr="00865343" w:rsidRDefault="003130CE" w:rsidP="003130CE">
      <w:pPr>
        <w:spacing w:before="240" w:after="240" w:line="360" w:lineRule="auto"/>
        <w:jc w:val="both"/>
        <w:rPr>
          <w:rFonts w:ascii="Palatino Linotype" w:hAnsi="Palatino Linotype" w:cs="Arial"/>
        </w:rPr>
      </w:pPr>
      <w:r w:rsidRPr="00865343">
        <w:rPr>
          <w:rFonts w:ascii="Palatino Linotype" w:hAnsi="Palatino Linotype" w:cs="Arial"/>
          <w:b/>
        </w:rPr>
        <w:t>Segundo. Oportunidad y Procedibilidad del Recurso de Revisión</w:t>
      </w:r>
      <w:r w:rsidRPr="00865343">
        <w:rPr>
          <w:rFonts w:ascii="Palatino Linotype" w:hAnsi="Palatino Linotype" w:cs="Arial"/>
        </w:rPr>
        <w:t>. Para el análisis de la oportunidad del recurso de revisión, en la especie resulta importante referir que de acuerdo a lo que establece el artículo 163 de la Ley de Transparencia vigente en la entidad, las 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1F74D811" w14:textId="77777777" w:rsidR="003130CE" w:rsidRPr="00865343" w:rsidRDefault="003130CE" w:rsidP="003130CE">
      <w:pPr>
        <w:spacing w:before="240" w:after="240" w:line="360" w:lineRule="auto"/>
        <w:jc w:val="both"/>
        <w:rPr>
          <w:rFonts w:ascii="Palatino Linotype" w:hAnsi="Palatino Linotype" w:cs="Arial"/>
        </w:rPr>
      </w:pPr>
      <w:r w:rsidRPr="00865343">
        <w:rPr>
          <w:rFonts w:ascii="Palatino Linotype" w:hAnsi="Palatino Linotype" w:cs="Arial"/>
        </w:rPr>
        <w:t>Por otra parte el artículo 166 de la Ley en consulta, en su tercer párrafo indica que para el caso de que el Sujeto Obligado no entregue la respuesta dentro del plazo anteriormente señalado, la solicitud se entenderá como negada, quedando a salvo el derecho del particular de interponer el recurso de revisión.</w:t>
      </w:r>
    </w:p>
    <w:p w14:paraId="6091C536" w14:textId="77777777" w:rsidR="003130CE" w:rsidRPr="00865343" w:rsidRDefault="003130CE" w:rsidP="003130CE">
      <w:pPr>
        <w:spacing w:before="240" w:after="240" w:line="360" w:lineRule="auto"/>
        <w:jc w:val="both"/>
        <w:rPr>
          <w:rFonts w:ascii="Palatino Linotype" w:hAnsi="Palatino Linotype" w:cs="Arial"/>
        </w:rPr>
      </w:pPr>
      <w:r w:rsidRPr="00865343">
        <w:rPr>
          <w:rFonts w:ascii="Palatino Linotype" w:hAnsi="Palatino Linotype" w:cs="Arial"/>
        </w:rPr>
        <w:t xml:space="preserve">En otras palabras, el Sujeto Obligado a quien se le formule una solicitud cuenta con el plazo de quince días para emitir una respuesta, por lo que una vez transcurrido dicho plazo sin que se entregue ésta, la solicitud se entenderá negada generando como consecuencia el derecho del solicitante de presentar el recurso de revisión. </w:t>
      </w:r>
    </w:p>
    <w:p w14:paraId="53479BEE" w14:textId="77777777" w:rsidR="003130CE" w:rsidRPr="00865343" w:rsidRDefault="003130CE" w:rsidP="003130CE">
      <w:pPr>
        <w:spacing w:before="240" w:after="240" w:line="360" w:lineRule="auto"/>
        <w:jc w:val="both"/>
        <w:rPr>
          <w:rFonts w:ascii="Palatino Linotype" w:hAnsi="Palatino Linotype" w:cs="Arial"/>
        </w:rPr>
      </w:pPr>
      <w:r w:rsidRPr="00865343">
        <w:rPr>
          <w:rFonts w:ascii="Palatino Linotype" w:hAnsi="Palatino Linotype" w:cs="Arial"/>
        </w:rPr>
        <w:lastRenderedPageBreak/>
        <w:t xml:space="preserve">De tal manera que, ante la omisión de respuesta por parte del Sujeto Obligado, se constituye lo que se conoce como </w:t>
      </w:r>
      <w:r w:rsidRPr="00865343">
        <w:rPr>
          <w:rFonts w:ascii="Palatino Linotype" w:hAnsi="Palatino Linotype" w:cs="Arial"/>
          <w:i/>
        </w:rPr>
        <w:t>negativa ficta</w:t>
      </w:r>
      <w:r w:rsidRPr="00865343">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14:paraId="7D35E834" w14:textId="77777777" w:rsidR="003130CE" w:rsidRPr="00865343" w:rsidRDefault="003130CE" w:rsidP="003130CE">
      <w:pPr>
        <w:spacing w:before="240" w:after="240" w:line="360" w:lineRule="auto"/>
        <w:jc w:val="both"/>
        <w:rPr>
          <w:rFonts w:ascii="Palatino Linotype" w:hAnsi="Palatino Linotype" w:cs="Arial"/>
        </w:rPr>
      </w:pPr>
      <w:r w:rsidRPr="00865343">
        <w:rPr>
          <w:rFonts w:ascii="Palatino Linotype" w:hAnsi="Palatino Linotype" w:cs="Arial"/>
        </w:rPr>
        <w:t>Así que no se determinó una debida oportunidad respecto del momento de presentación del medio de impugnación, pues al no existir una determinación por parte del Sujeto Obligado en respuesta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1819FE91" w14:textId="77777777" w:rsidR="003130CE" w:rsidRPr="00865343" w:rsidRDefault="003130CE" w:rsidP="003130CE">
      <w:pPr>
        <w:spacing w:before="240" w:after="240" w:line="360" w:lineRule="auto"/>
        <w:jc w:val="both"/>
        <w:rPr>
          <w:rFonts w:ascii="Palatino Linotype" w:hAnsi="Palatino Linotype" w:cs="Arial"/>
        </w:rPr>
      </w:pPr>
      <w:r w:rsidRPr="00865343">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se lee a continuación:</w:t>
      </w:r>
    </w:p>
    <w:p w14:paraId="3847B4E7" w14:textId="77777777" w:rsidR="003130CE" w:rsidRPr="00865343" w:rsidRDefault="003130CE" w:rsidP="003130CE">
      <w:pPr>
        <w:spacing w:before="240" w:after="240"/>
        <w:ind w:left="851" w:right="900"/>
        <w:jc w:val="both"/>
        <w:rPr>
          <w:rFonts w:ascii="Palatino Linotype" w:hAnsi="Palatino Linotype"/>
          <w:i/>
          <w:sz w:val="22"/>
          <w:szCs w:val="22"/>
        </w:rPr>
      </w:pPr>
      <w:r w:rsidRPr="00865343">
        <w:rPr>
          <w:rFonts w:ascii="Palatino Linotype" w:hAnsi="Palatino Linotype" w:cs="Arial"/>
          <w:i/>
          <w:sz w:val="22"/>
          <w:szCs w:val="22"/>
        </w:rPr>
        <w:t>“</w:t>
      </w:r>
      <w:r w:rsidRPr="00865343">
        <w:rPr>
          <w:rFonts w:ascii="Palatino Linotype" w:hAnsi="Palatino Linotype"/>
          <w:b/>
          <w:i/>
          <w:sz w:val="22"/>
          <w:szCs w:val="22"/>
        </w:rPr>
        <w:t>Artículo 178</w:t>
      </w:r>
      <w:r w:rsidRPr="00865343">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31F3CC8C" w14:textId="77777777" w:rsidR="003130CE" w:rsidRPr="00865343" w:rsidRDefault="003130CE" w:rsidP="003130CE">
      <w:pPr>
        <w:spacing w:before="240" w:after="240"/>
        <w:ind w:left="851" w:right="900"/>
        <w:jc w:val="both"/>
        <w:rPr>
          <w:rFonts w:ascii="Palatino Linotype" w:hAnsi="Palatino Linotype" w:cs="Arial"/>
        </w:rPr>
      </w:pPr>
      <w:r w:rsidRPr="00865343">
        <w:rPr>
          <w:rFonts w:ascii="Palatino Linotype" w:hAnsi="Palatino Linotype"/>
          <w:b/>
          <w:i/>
          <w:sz w:val="22"/>
          <w:szCs w:val="22"/>
        </w:rPr>
        <w:t xml:space="preserve">A falta de respuesta del sujeto obligado, dentro de los plazos establecidos en esta Ley, a una solicitud de acceso a la información pública, el recurso </w:t>
      </w:r>
      <w:r w:rsidRPr="00865343">
        <w:rPr>
          <w:rFonts w:ascii="Palatino Linotype" w:hAnsi="Palatino Linotype"/>
          <w:b/>
          <w:i/>
          <w:sz w:val="22"/>
          <w:szCs w:val="22"/>
        </w:rPr>
        <w:lastRenderedPageBreak/>
        <w:t>podrá ser interpuesto en cualquier momento,</w:t>
      </w:r>
      <w:r w:rsidRPr="00865343">
        <w:rPr>
          <w:rFonts w:ascii="Palatino Linotype" w:hAnsi="Palatino Linotype"/>
          <w:i/>
          <w:sz w:val="22"/>
          <w:szCs w:val="22"/>
        </w:rPr>
        <w:t xml:space="preserve"> acompañado con el documento que pruebe la fecha en que presentó la solicitud…”</w:t>
      </w:r>
    </w:p>
    <w:p w14:paraId="70FAED66" w14:textId="77777777" w:rsidR="003130CE" w:rsidRPr="00865343" w:rsidRDefault="003130CE" w:rsidP="003130CE">
      <w:pPr>
        <w:spacing w:before="240" w:after="240" w:line="360" w:lineRule="auto"/>
        <w:ind w:right="51"/>
        <w:jc w:val="both"/>
        <w:rPr>
          <w:rFonts w:ascii="Palatino Linotype" w:hAnsi="Palatino Linotype"/>
          <w:i/>
        </w:rPr>
      </w:pPr>
      <w:r w:rsidRPr="00865343">
        <w:rPr>
          <w:rFonts w:ascii="Palatino Linotype" w:hAnsi="Palatino Linotype" w:cs="Arial"/>
        </w:rPr>
        <w:t>Postura que ha sido adoptada por este Órgano Garante mediante criterio número</w:t>
      </w:r>
      <w:r w:rsidRPr="00865343">
        <w:rPr>
          <w:rFonts w:ascii="Palatino Linotype" w:hAnsi="Palatino Linotype" w:cs="Arial"/>
          <w:color w:val="FF0000"/>
        </w:rPr>
        <w:t xml:space="preserve"> </w:t>
      </w:r>
      <w:r w:rsidRPr="00865343">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5725A63" w14:textId="77777777" w:rsidR="003130CE" w:rsidRPr="00865343" w:rsidRDefault="003130CE" w:rsidP="003130CE">
      <w:pPr>
        <w:ind w:left="993" w:right="1041"/>
        <w:jc w:val="both"/>
        <w:rPr>
          <w:rFonts w:ascii="Palatino Linotype" w:hAnsi="Palatino Linotype"/>
          <w:i/>
          <w:sz w:val="22"/>
          <w:szCs w:val="22"/>
        </w:rPr>
      </w:pPr>
      <w:r w:rsidRPr="00865343">
        <w:rPr>
          <w:rFonts w:ascii="Palatino Linotype" w:hAnsi="Palatino Linotype"/>
          <w:b/>
          <w:i/>
          <w:sz w:val="22"/>
          <w:szCs w:val="22"/>
        </w:rPr>
        <w:t>“CRITERIO 0001-15 NEGATIVA FICTA. PLAZO PARA INTERPONER EL RECURSO DE REVISIÓN TRATÁNDOSE DE</w:t>
      </w:r>
      <w:r w:rsidRPr="00865343">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F027D60" w14:textId="77777777" w:rsidR="003130CE" w:rsidRPr="00865343" w:rsidRDefault="003130CE" w:rsidP="003130CE">
      <w:pPr>
        <w:spacing w:before="240" w:after="240" w:line="360" w:lineRule="auto"/>
        <w:jc w:val="both"/>
        <w:rPr>
          <w:rFonts w:ascii="Palatino Linotype" w:hAnsi="Palatino Linotype"/>
          <w:color w:val="000000"/>
        </w:rPr>
      </w:pPr>
      <w:r w:rsidRPr="00865343">
        <w:rPr>
          <w:rFonts w:ascii="Palatino Linotype" w:hAnsi="Palatino Linotype"/>
          <w:color w:val="000000"/>
        </w:rPr>
        <w:t>Por consiguiente,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D90BDEA" w14:textId="77777777" w:rsidR="003130CE" w:rsidRPr="00865343" w:rsidRDefault="003130CE" w:rsidP="003130CE">
      <w:pPr>
        <w:spacing w:line="360" w:lineRule="auto"/>
        <w:jc w:val="both"/>
        <w:rPr>
          <w:rFonts w:ascii="Palatino Linotype" w:hAnsi="Palatino Linotype" w:cs="Segoe UI"/>
        </w:rPr>
      </w:pPr>
      <w:r w:rsidRPr="00865343">
        <w:rPr>
          <w:rStyle w:val="normaltextrun"/>
          <w:rFonts w:ascii="Palatino Linotype" w:hAnsi="Palatino Linotype" w:cs="Segoe UI"/>
        </w:rPr>
        <w:lastRenderedPageBreak/>
        <w:t>Por otra parte, se advierte que resulta procedente la interposición de los recursos de revisión, según lo aducido por el recurrente en sus motivos de inconformidad, de acuerdo al artículo</w:t>
      </w:r>
      <w:r w:rsidRPr="00865343">
        <w:rPr>
          <w:rStyle w:val="apple-converted-space"/>
          <w:rFonts w:ascii="Palatino Linotype" w:hAnsi="Palatino Linotype" w:cs="Segoe UI"/>
        </w:rPr>
        <w:t> </w:t>
      </w:r>
      <w:r w:rsidRPr="00865343">
        <w:rPr>
          <w:rStyle w:val="normaltextrun"/>
          <w:rFonts w:ascii="Palatino Linotype" w:hAnsi="Palatino Linotype" w:cs="Segoe UI"/>
        </w:rPr>
        <w:t>179, fracción VII del ordenamiento legal citado, que a la letra dice:</w:t>
      </w:r>
      <w:r w:rsidRPr="00865343">
        <w:rPr>
          <w:rStyle w:val="eop"/>
          <w:rFonts w:ascii="Palatino Linotype" w:hAnsi="Palatino Linotype" w:cs="Segoe UI"/>
        </w:rPr>
        <w:t> </w:t>
      </w:r>
    </w:p>
    <w:p w14:paraId="44D2A588" w14:textId="77777777" w:rsidR="003130CE" w:rsidRPr="00865343" w:rsidRDefault="003130CE" w:rsidP="003130CE">
      <w:pPr>
        <w:pStyle w:val="paragraph"/>
        <w:spacing w:before="0" w:beforeAutospacing="0" w:after="0" w:afterAutospacing="0"/>
        <w:ind w:left="993" w:right="1041"/>
        <w:jc w:val="both"/>
        <w:textAlignment w:val="baseline"/>
        <w:rPr>
          <w:rFonts w:ascii="Palatino Linotype" w:hAnsi="Palatino Linotype"/>
          <w:i/>
          <w:sz w:val="22"/>
          <w:szCs w:val="22"/>
        </w:rPr>
      </w:pPr>
      <w:r w:rsidRPr="00865343">
        <w:rPr>
          <w:rStyle w:val="normaltextrun"/>
          <w:rFonts w:ascii="Palatino Linotype" w:hAnsi="Palatino Linotype" w:cs="Segoe UI"/>
          <w:b/>
          <w:bCs/>
          <w:i/>
          <w:iCs/>
          <w:sz w:val="22"/>
          <w:szCs w:val="22"/>
        </w:rPr>
        <w:t>“</w:t>
      </w:r>
      <w:r w:rsidRPr="00865343">
        <w:rPr>
          <w:rFonts w:ascii="Palatino Linotype" w:hAnsi="Palatino Linotype"/>
          <w:b/>
          <w:i/>
          <w:sz w:val="22"/>
          <w:szCs w:val="22"/>
        </w:rPr>
        <w:t>Artículo 179</w:t>
      </w:r>
      <w:r w:rsidRPr="00865343">
        <w:rPr>
          <w:rFonts w:ascii="Palatino Linotype" w:hAnsi="Palatino Linotype"/>
          <w:i/>
          <w:sz w:val="22"/>
          <w:szCs w:val="22"/>
        </w:rPr>
        <w:t xml:space="preserve">. </w:t>
      </w:r>
      <w:r w:rsidRPr="00865343">
        <w:rPr>
          <w:rFonts w:ascii="Palatino Linotype" w:hAnsi="Palatino Linotype"/>
          <w:b/>
          <w:i/>
          <w:sz w:val="22"/>
          <w:szCs w:val="22"/>
        </w:rPr>
        <w:t>El recurso de revisión</w:t>
      </w:r>
      <w:r w:rsidRPr="00865343">
        <w:rPr>
          <w:rFonts w:ascii="Palatino Linotype" w:hAnsi="Palatino Linotype"/>
          <w:i/>
          <w:sz w:val="22"/>
          <w:szCs w:val="22"/>
        </w:rPr>
        <w:t xml:space="preserve"> es un medio de protección que la Ley otorga a los particulares, para hacer valer su derecho de acceso a la información pública</w:t>
      </w:r>
      <w:r w:rsidRPr="00865343">
        <w:rPr>
          <w:rFonts w:ascii="Palatino Linotype" w:hAnsi="Palatino Linotype"/>
          <w:b/>
          <w:i/>
          <w:sz w:val="22"/>
          <w:szCs w:val="22"/>
        </w:rPr>
        <w:t>, y procederá en contra de las siguientes causas</w:t>
      </w:r>
      <w:r w:rsidRPr="00865343">
        <w:rPr>
          <w:rFonts w:ascii="Palatino Linotype" w:hAnsi="Palatino Linotype"/>
          <w:i/>
          <w:sz w:val="22"/>
          <w:szCs w:val="22"/>
        </w:rPr>
        <w:t>:</w:t>
      </w:r>
    </w:p>
    <w:p w14:paraId="60251EFB" w14:textId="77777777" w:rsidR="003130CE" w:rsidRPr="00865343" w:rsidRDefault="003130CE" w:rsidP="003130CE">
      <w:pPr>
        <w:pStyle w:val="paragraph"/>
        <w:spacing w:before="0" w:beforeAutospacing="0" w:after="0" w:afterAutospacing="0"/>
        <w:ind w:left="993" w:right="1041"/>
        <w:jc w:val="both"/>
        <w:textAlignment w:val="baseline"/>
        <w:rPr>
          <w:rFonts w:ascii="Palatino Linotype" w:hAnsi="Palatino Linotype"/>
          <w:i/>
          <w:sz w:val="22"/>
          <w:szCs w:val="22"/>
        </w:rPr>
      </w:pPr>
      <w:r w:rsidRPr="00865343">
        <w:t>…</w:t>
      </w:r>
    </w:p>
    <w:p w14:paraId="0B227574" w14:textId="77777777" w:rsidR="003130CE" w:rsidRPr="00865343" w:rsidRDefault="003130CE" w:rsidP="003130C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865343">
        <w:rPr>
          <w:rStyle w:val="normaltextrun"/>
          <w:rFonts w:ascii="Palatino Linotype" w:hAnsi="Palatino Linotype" w:cs="Segoe UI"/>
          <w:b/>
          <w:bCs/>
          <w:i/>
          <w:iCs/>
          <w:sz w:val="22"/>
          <w:szCs w:val="22"/>
        </w:rPr>
        <w:t>VII.</w:t>
      </w:r>
      <w:r w:rsidRPr="00865343">
        <w:rPr>
          <w:rStyle w:val="normaltextrun"/>
          <w:rFonts w:ascii="Palatino Linotype" w:hAnsi="Palatino Linotype" w:cs="Segoe UI"/>
          <w:bCs/>
          <w:i/>
          <w:iCs/>
          <w:sz w:val="22"/>
          <w:szCs w:val="22"/>
        </w:rPr>
        <w:t xml:space="preserve"> La falta de respuesta a una solicitud de acceso a la información;</w:t>
      </w:r>
    </w:p>
    <w:p w14:paraId="440096B1" w14:textId="77777777" w:rsidR="003130CE" w:rsidRPr="00865343" w:rsidRDefault="003130CE" w:rsidP="003130CE">
      <w:pPr>
        <w:pStyle w:val="paragraph"/>
        <w:spacing w:before="0" w:beforeAutospacing="0" w:after="0" w:afterAutospacing="0"/>
        <w:ind w:left="993" w:right="1041"/>
        <w:jc w:val="both"/>
        <w:textAlignment w:val="baseline"/>
        <w:rPr>
          <w:rStyle w:val="normaltextrun"/>
          <w:rFonts w:ascii="Palatino Linotype" w:hAnsi="Palatino Linotype" w:cs="Segoe UI"/>
          <w:bCs/>
          <w:i/>
          <w:iCs/>
          <w:sz w:val="22"/>
          <w:szCs w:val="22"/>
        </w:rPr>
      </w:pPr>
      <w:r w:rsidRPr="00865343">
        <w:rPr>
          <w:rStyle w:val="normaltextrun"/>
          <w:rFonts w:ascii="Palatino Linotype" w:hAnsi="Palatino Linotype" w:cs="Segoe UI"/>
          <w:b/>
          <w:bCs/>
          <w:i/>
          <w:iCs/>
          <w:sz w:val="22"/>
          <w:szCs w:val="22"/>
        </w:rPr>
        <w:t>…</w:t>
      </w:r>
      <w:r w:rsidRPr="00865343">
        <w:rPr>
          <w:rStyle w:val="normaltextrun"/>
          <w:rFonts w:ascii="Palatino Linotype" w:hAnsi="Palatino Linotype" w:cs="Segoe UI"/>
          <w:bCs/>
          <w:i/>
          <w:iCs/>
          <w:sz w:val="22"/>
          <w:szCs w:val="22"/>
        </w:rPr>
        <w:t>”</w:t>
      </w:r>
    </w:p>
    <w:p w14:paraId="65A1DCF0" w14:textId="41F0B315" w:rsidR="003130CE" w:rsidRPr="00865343" w:rsidRDefault="003130CE" w:rsidP="003130CE">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865343">
        <w:rPr>
          <w:rStyle w:val="normaltextrun"/>
          <w:rFonts w:ascii="Palatino Linotype" w:hAnsi="Palatino Linotype" w:cs="Segoe UI"/>
        </w:rPr>
        <w:t>Lo anterior se estima así puesto que la parte recurrente se duele de que el Sujeto Obligado no</w:t>
      </w:r>
      <w:r w:rsidR="0047648E" w:rsidRPr="00865343">
        <w:rPr>
          <w:rStyle w:val="normaltextrun"/>
          <w:rFonts w:ascii="Palatino Linotype" w:hAnsi="Palatino Linotype" w:cs="Segoe UI"/>
        </w:rPr>
        <w:t xml:space="preserve"> atendió</w:t>
      </w:r>
      <w:r w:rsidRPr="00865343">
        <w:rPr>
          <w:rStyle w:val="normaltextrun"/>
          <w:rFonts w:ascii="Palatino Linotype" w:hAnsi="Palatino Linotype" w:cs="Segoe UI"/>
        </w:rPr>
        <w:t xml:space="preserve"> su solicitud de información </w:t>
      </w:r>
      <w:r w:rsidR="007935F3" w:rsidRPr="00865343">
        <w:rPr>
          <w:rStyle w:val="normaltextrun"/>
          <w:rFonts w:ascii="Palatino Linotype" w:hAnsi="Palatino Linotype" w:cs="Segoe UI"/>
        </w:rPr>
        <w:t xml:space="preserve">incluyendo la prórroga </w:t>
      </w:r>
      <w:r w:rsidRPr="00865343">
        <w:rPr>
          <w:rStyle w:val="normaltextrun"/>
          <w:rFonts w:ascii="Palatino Linotype" w:hAnsi="Palatino Linotype" w:cs="Segoe UI"/>
        </w:rPr>
        <w:t>en el plazo dictado por la Ley, vulnerando con ello su derecho de acceso a la información pública.</w:t>
      </w:r>
    </w:p>
    <w:p w14:paraId="4504AC22" w14:textId="77777777" w:rsidR="006041B7" w:rsidRPr="00865343" w:rsidRDefault="00971D31" w:rsidP="006041B7">
      <w:pPr>
        <w:spacing w:before="240" w:after="240" w:line="360" w:lineRule="auto"/>
        <w:jc w:val="both"/>
        <w:rPr>
          <w:rFonts w:ascii="Palatino Linotype" w:hAnsi="Palatino Linotype" w:cs="Arial"/>
          <w:b/>
        </w:rPr>
      </w:pPr>
      <w:r w:rsidRPr="00865343">
        <w:rPr>
          <w:rFonts w:ascii="Palatino Linotype" w:hAnsi="Palatino Linotype" w:cs="Arial"/>
          <w:b/>
        </w:rPr>
        <w:t xml:space="preserve">Tercero. </w:t>
      </w:r>
      <w:r w:rsidR="006041B7" w:rsidRPr="00865343">
        <w:rPr>
          <w:rFonts w:ascii="Palatino Linotype" w:hAnsi="Palatino Linotype" w:cs="Arial"/>
          <w:b/>
        </w:rPr>
        <w:t xml:space="preserve">Materia de la revisión. </w:t>
      </w:r>
      <w:r w:rsidR="006041B7" w:rsidRPr="00865343">
        <w:rPr>
          <w:rFonts w:ascii="Palatino Linotype" w:hAnsi="Palatino Linotype" w:cs="Arial"/>
        </w:rPr>
        <w:t xml:space="preserve">De la revisión a las constancias que obran en los expedientes electrónicos se advierte que el tema sobre el que este Instituto se pronunciará será: </w:t>
      </w:r>
      <w:r w:rsidR="006041B7" w:rsidRPr="00865343">
        <w:rPr>
          <w:rFonts w:ascii="Palatino Linotype" w:hAnsi="Palatino Linotype" w:cs="Arial"/>
          <w:b/>
        </w:rPr>
        <w:t>verificar si el Sujeto Obligado en el ejercicio de sus atribuciones posee, administra o genera la información solicitada y si resulta procedente su entrega.</w:t>
      </w:r>
    </w:p>
    <w:p w14:paraId="627F1933" w14:textId="1700513E" w:rsidR="006B0DBD" w:rsidRPr="00865343" w:rsidRDefault="00971D31" w:rsidP="009A65F3">
      <w:pPr>
        <w:spacing w:before="240" w:after="240" w:line="360" w:lineRule="auto"/>
        <w:jc w:val="both"/>
        <w:rPr>
          <w:rFonts w:ascii="Palatino Linotype" w:hAnsi="Palatino Linotype" w:cs="Arial"/>
        </w:rPr>
      </w:pPr>
      <w:r w:rsidRPr="00865343">
        <w:rPr>
          <w:rFonts w:ascii="Palatino Linotype" w:hAnsi="Palatino Linotype" w:cs="Arial"/>
          <w:b/>
        </w:rPr>
        <w:t xml:space="preserve">Cuarto. Estudio del asunto. </w:t>
      </w:r>
      <w:r w:rsidRPr="00865343">
        <w:rPr>
          <w:rFonts w:ascii="Palatino Linotype" w:hAnsi="Palatino Linotype" w:cs="Arial"/>
        </w:rPr>
        <w:t>Como fue referido en los antecedent</w:t>
      </w:r>
      <w:r w:rsidR="00D538F8" w:rsidRPr="00865343">
        <w:rPr>
          <w:rFonts w:ascii="Palatino Linotype" w:hAnsi="Palatino Linotype" w:cs="Arial"/>
        </w:rPr>
        <w:t xml:space="preserve">es de la presente resolución, </w:t>
      </w:r>
      <w:r w:rsidR="002045D9" w:rsidRPr="00865343">
        <w:rPr>
          <w:rFonts w:ascii="Palatino Linotype" w:hAnsi="Palatino Linotype" w:cs="Arial"/>
        </w:rPr>
        <w:t>e</w:t>
      </w:r>
      <w:r w:rsidR="00D538F8" w:rsidRPr="00865343">
        <w:rPr>
          <w:rFonts w:ascii="Palatino Linotype" w:hAnsi="Palatino Linotype" w:cs="Arial"/>
        </w:rPr>
        <w:t>l</w:t>
      </w:r>
      <w:r w:rsidRPr="00865343">
        <w:rPr>
          <w:rFonts w:ascii="Palatino Linotype" w:hAnsi="Palatino Linotype" w:cs="Arial"/>
        </w:rPr>
        <w:t xml:space="preserve"> solicitante le requirió al </w:t>
      </w:r>
      <w:r w:rsidR="008B78C6" w:rsidRPr="00865343">
        <w:rPr>
          <w:rFonts w:ascii="Palatino Linotype" w:hAnsi="Palatino Linotype" w:cs="Arial"/>
        </w:rPr>
        <w:t xml:space="preserve">Ayuntamiento de </w:t>
      </w:r>
      <w:r w:rsidR="00993FF3" w:rsidRPr="00865343">
        <w:rPr>
          <w:rFonts w:ascii="Palatino Linotype" w:hAnsi="Palatino Linotype" w:cs="Arial"/>
        </w:rPr>
        <w:t>Valle de Chalco Solidaridad</w:t>
      </w:r>
      <w:r w:rsidR="007E406A" w:rsidRPr="00865343">
        <w:rPr>
          <w:rFonts w:ascii="Palatino Linotype" w:hAnsi="Palatino Linotype" w:cs="Arial"/>
        </w:rPr>
        <w:t xml:space="preserve">, </w:t>
      </w:r>
      <w:r w:rsidR="00730024" w:rsidRPr="00865343">
        <w:rPr>
          <w:rFonts w:ascii="Palatino Linotype" w:hAnsi="Palatino Linotype" w:cs="Arial"/>
        </w:rPr>
        <w:t xml:space="preserve">lo </w:t>
      </w:r>
      <w:r w:rsidR="006B0DBD" w:rsidRPr="00865343">
        <w:rPr>
          <w:rFonts w:ascii="Palatino Linotype" w:hAnsi="Palatino Linotype" w:cs="Arial"/>
        </w:rPr>
        <w:t>siguiente:</w:t>
      </w:r>
    </w:p>
    <w:p w14:paraId="51A723E3" w14:textId="7CBA38CE" w:rsidR="00763185" w:rsidRPr="00865343" w:rsidRDefault="00763185" w:rsidP="009A65F3">
      <w:pPr>
        <w:spacing w:before="240" w:after="240" w:line="360" w:lineRule="auto"/>
        <w:jc w:val="both"/>
        <w:rPr>
          <w:rFonts w:ascii="Palatino Linotype" w:hAnsi="Palatino Linotype" w:cs="Arial"/>
        </w:rPr>
      </w:pPr>
      <w:r w:rsidRPr="00865343">
        <w:rPr>
          <w:rFonts w:ascii="Palatino Linotype" w:hAnsi="Palatino Linotype" w:cs="Arial"/>
        </w:rPr>
        <w:t>De los servidores públicos Manuel Alejandro Aguilar Montalvo, Subdirector de Administración y de Karina Morales Lopez adscrita a la Contraloría Municipal, en formato “.pdf”</w:t>
      </w:r>
    </w:p>
    <w:p w14:paraId="338CFE29" w14:textId="43A79131" w:rsidR="00763185" w:rsidRPr="00865343" w:rsidRDefault="00763185" w:rsidP="00B527D6">
      <w:pPr>
        <w:pStyle w:val="Prrafodelista"/>
        <w:numPr>
          <w:ilvl w:val="0"/>
          <w:numId w:val="2"/>
        </w:numPr>
        <w:spacing w:before="240" w:after="240" w:line="360" w:lineRule="auto"/>
        <w:jc w:val="both"/>
        <w:rPr>
          <w:rFonts w:ascii="Palatino Linotype" w:hAnsi="Palatino Linotype" w:cs="Arial"/>
        </w:rPr>
      </w:pPr>
      <w:r w:rsidRPr="00865343">
        <w:rPr>
          <w:rFonts w:ascii="Palatino Linotype" w:hAnsi="Palatino Linotype" w:cs="Arial"/>
        </w:rPr>
        <w:lastRenderedPageBreak/>
        <w:t>Recibos de nómina de los meses de enero a agosto y del quince de septiembre del año dos mil dieciocho.</w:t>
      </w:r>
    </w:p>
    <w:p w14:paraId="1E052D3A" w14:textId="0A260C3D" w:rsidR="008B1FB0" w:rsidRPr="00865343" w:rsidRDefault="008B1FB0" w:rsidP="008B1FB0">
      <w:pPr>
        <w:spacing w:before="240" w:after="240" w:line="360" w:lineRule="auto"/>
        <w:jc w:val="both"/>
        <w:rPr>
          <w:rFonts w:ascii="Palatino Linotype" w:hAnsi="Palatino Linotype" w:cs="Arial"/>
        </w:rPr>
      </w:pPr>
      <w:r w:rsidRPr="00865343">
        <w:rPr>
          <w:rFonts w:ascii="Palatino Linotype" w:hAnsi="Palatino Linotype" w:cs="Arial"/>
        </w:rPr>
        <w:t>Siendo omiso el Sujeto Obligado en emitir respuesta alguna a la solicitud</w:t>
      </w:r>
      <w:r w:rsidR="001E1AF2" w:rsidRPr="00865343">
        <w:rPr>
          <w:rFonts w:ascii="Palatino Linotype" w:hAnsi="Palatino Linotype" w:cs="Arial"/>
        </w:rPr>
        <w:t xml:space="preserve"> </w:t>
      </w:r>
      <w:r w:rsidRPr="00865343">
        <w:rPr>
          <w:rFonts w:ascii="Palatino Linotype" w:hAnsi="Palatino Linotype" w:cs="Arial"/>
        </w:rPr>
        <w:t xml:space="preserve">de información, por lo que se advierte que los motivos aducidos por el recurrente, resultan fundados pues efectivamente transcurrió el plazo para dar respuesta determinado por la Ley de la Materia, sin que el Sujeto Obligado atendiera la solicitud de información; por lo tanto, es evidente que se vulneró su derecho constitucional de acceso a la información pública </w:t>
      </w:r>
      <w:r w:rsidRPr="00865343">
        <w:rPr>
          <w:rFonts w:ascii="Palatino Linotype" w:hAnsi="Palatino Linotype"/>
          <w:color w:val="000000"/>
        </w:rPr>
        <w:t>previsto en el artículo 6 de la Constitución Política de los Estados Unidos Mexicanos y el artículo 5 de la Constitución Política del Estado Libre y Soberano de México</w:t>
      </w:r>
      <w:r w:rsidRPr="00865343">
        <w:rPr>
          <w:rFonts w:ascii="Palatino Linotype" w:hAnsi="Palatino Linotype" w:cs="Arial"/>
        </w:rPr>
        <w:t>.</w:t>
      </w:r>
    </w:p>
    <w:p w14:paraId="47A4CCC2" w14:textId="77777777" w:rsidR="008B1FB0" w:rsidRPr="00865343" w:rsidRDefault="008B1FB0" w:rsidP="008B1FB0">
      <w:pPr>
        <w:spacing w:before="240" w:after="240" w:line="360" w:lineRule="auto"/>
        <w:jc w:val="both"/>
        <w:rPr>
          <w:rFonts w:ascii="Palatino Linotype" w:hAnsi="Palatino Linotype" w:cs="Arial"/>
        </w:rPr>
      </w:pPr>
      <w:r w:rsidRPr="00865343">
        <w:rPr>
          <w:rFonts w:ascii="Palatino Linotype" w:hAnsi="Palatino Linotype"/>
        </w:rPr>
        <w:t>Así las cosas, conviene iniciar resaltando que de acuerdo a la Ley de Transparencia vigente en la Entidad, se entiende que la información pública es toda aquella que sea generada, obtenida, adquirida, transformada, administrada o en posesión de los Sujetos Obligados y la misma debe ser accesible de manera permanente a cualquier persona, siempre privilegiando el principio de máxima publicidad, tal y como se lee de su artículo 4, segundo párrafo:</w:t>
      </w:r>
    </w:p>
    <w:p w14:paraId="184FFB48" w14:textId="77777777" w:rsidR="008B1FB0" w:rsidRPr="00865343" w:rsidRDefault="008B1FB0" w:rsidP="008B1FB0">
      <w:pPr>
        <w:pStyle w:val="NormalWeb"/>
        <w:ind w:left="360" w:right="1041"/>
        <w:jc w:val="both"/>
        <w:rPr>
          <w:rFonts w:ascii="Palatino Linotype" w:hAnsi="Palatino Linotype"/>
          <w:i/>
          <w:sz w:val="22"/>
          <w:szCs w:val="22"/>
        </w:rPr>
      </w:pPr>
      <w:r w:rsidRPr="00865343">
        <w:rPr>
          <w:rFonts w:ascii="Palatino Linotype" w:hAnsi="Palatino Linotype"/>
          <w:i/>
          <w:sz w:val="22"/>
          <w:szCs w:val="22"/>
        </w:rPr>
        <w:t>“</w:t>
      </w:r>
      <w:r w:rsidRPr="00865343">
        <w:rPr>
          <w:rFonts w:ascii="Palatino Linotype" w:hAnsi="Palatino Linotype"/>
          <w:b/>
          <w:i/>
          <w:sz w:val="22"/>
          <w:szCs w:val="22"/>
        </w:rPr>
        <w:t>Artículo 4</w:t>
      </w:r>
      <w:r w:rsidRPr="00865343">
        <w:rPr>
          <w:rFonts w:ascii="Palatino Linotype" w:hAnsi="Palatino Linotype"/>
          <w:i/>
          <w:sz w:val="22"/>
          <w:szCs w:val="22"/>
        </w:rPr>
        <w:t>. (…)</w:t>
      </w:r>
    </w:p>
    <w:p w14:paraId="4F67B39A" w14:textId="77777777" w:rsidR="008B1FB0" w:rsidRPr="00865343" w:rsidRDefault="008B1FB0" w:rsidP="008B1FB0">
      <w:pPr>
        <w:pStyle w:val="NormalWeb"/>
        <w:ind w:left="360" w:right="1041"/>
        <w:jc w:val="both"/>
        <w:rPr>
          <w:rFonts w:ascii="Palatino Linotype" w:hAnsi="Palatino Linotype"/>
          <w:i/>
          <w:color w:val="000000"/>
          <w:sz w:val="22"/>
          <w:szCs w:val="22"/>
        </w:rPr>
      </w:pPr>
      <w:r w:rsidRPr="00865343">
        <w:rPr>
          <w:rFonts w:ascii="Palatino Linotype" w:hAnsi="Palatino Linotype"/>
          <w:b/>
          <w:i/>
          <w:sz w:val="22"/>
          <w:szCs w:val="22"/>
        </w:rPr>
        <w:t>Toda la información generada, obtenida, adquirida, transformada, administrada o en posesión de los sujetos obligados es pública y accesible de manera permanente a cualquier persona</w:t>
      </w:r>
      <w:r w:rsidRPr="00865343">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61E87F" w14:textId="078B2700" w:rsidR="008B1FB0" w:rsidRPr="00865343" w:rsidRDefault="008B1FB0" w:rsidP="008B1FB0">
      <w:pPr>
        <w:pStyle w:val="paragraph"/>
        <w:spacing w:before="0" w:beforeAutospacing="0" w:after="240" w:afterAutospacing="0" w:line="360" w:lineRule="auto"/>
        <w:ind w:right="-150"/>
        <w:jc w:val="both"/>
        <w:textAlignment w:val="baseline"/>
        <w:rPr>
          <w:rFonts w:ascii="Palatino Linotype" w:hAnsi="Palatino Linotype" w:cs="Arial"/>
        </w:rPr>
      </w:pPr>
      <w:r w:rsidRPr="00865343">
        <w:rPr>
          <w:rFonts w:ascii="Palatino Linotype" w:hAnsi="Palatino Linotype" w:cs="Arial"/>
        </w:rPr>
        <w:lastRenderedPageBreak/>
        <w:t>De ahí que se destaque que el Sujeto Obligado cuenta con el deber en el ánimo de satisfacer las solicitudes de acceso a la información que le sean formuladas, de entregar la información pública que obre en sus archivos como lo indica el artículo 12, segundo párrafo de la Ley en análisis</w:t>
      </w:r>
      <w:r w:rsidRPr="00865343">
        <w:rPr>
          <w:vertAlign w:val="superscript"/>
        </w:rPr>
        <w:footnoteReference w:id="1"/>
      </w:r>
      <w:r w:rsidRPr="00865343">
        <w:rPr>
          <w:rFonts w:ascii="Palatino Linotype" w:hAnsi="Palatino Linotype" w:cs="Arial"/>
        </w:rPr>
        <w:t>; más aún si la misma se trata de información pública de oficio la cual se relaciona con aquella que se genere de acuerdo con sus facultades, atribuciones señaladas por la Ley en materia</w:t>
      </w:r>
      <w:r w:rsidRPr="00865343">
        <w:rPr>
          <w:vertAlign w:val="superscript"/>
        </w:rPr>
        <w:footnoteReference w:id="2"/>
      </w:r>
      <w:r w:rsidRPr="00865343">
        <w:rPr>
          <w:rFonts w:ascii="Palatino Linotype" w:hAnsi="Palatino Linotype" w:cs="Arial"/>
        </w:rPr>
        <w:t>, así como de interés público, es decir, aquella que resulta relevante o beneficiosa para la sociedad y no simplemente de interés individual y cuya divulgación resulta útil para que el público</w:t>
      </w:r>
      <w:r w:rsidRPr="00865343">
        <w:rPr>
          <w:vertAlign w:val="superscript"/>
        </w:rPr>
        <w:footnoteReference w:id="3"/>
      </w:r>
      <w:r w:rsidRPr="00865343">
        <w:rPr>
          <w:rFonts w:ascii="Palatino Linotype" w:hAnsi="Palatino Linotype" w:cs="Arial"/>
          <w:vertAlign w:val="superscript"/>
        </w:rPr>
        <w:t>:</w:t>
      </w:r>
      <w:r w:rsidRPr="00865343">
        <w:rPr>
          <w:rFonts w:ascii="Palatino Linotype" w:hAnsi="Palatino Linotype" w:cs="Arial"/>
        </w:rPr>
        <w:t xml:space="preserve"> como pudiera tratarse de aquella relacionada con</w:t>
      </w:r>
      <w:r w:rsidR="001E1AF2" w:rsidRPr="00865343">
        <w:rPr>
          <w:rFonts w:ascii="Palatino Linotype" w:hAnsi="Palatino Linotype" w:cs="Arial"/>
        </w:rPr>
        <w:t xml:space="preserve"> la interposición de controversias constitucionales de parte de los Ayuntamientos</w:t>
      </w:r>
      <w:r w:rsidRPr="00865343">
        <w:rPr>
          <w:rFonts w:ascii="Palatino Linotype" w:hAnsi="Palatino Linotype" w:cs="Arial"/>
        </w:rPr>
        <w:t>.</w:t>
      </w:r>
    </w:p>
    <w:p w14:paraId="62F5DE70" w14:textId="77777777" w:rsidR="00510369" w:rsidRPr="00865343" w:rsidRDefault="00510369" w:rsidP="00510369">
      <w:pPr>
        <w:pStyle w:val="NormalWeb"/>
        <w:spacing w:line="360" w:lineRule="auto"/>
        <w:jc w:val="both"/>
        <w:rPr>
          <w:rFonts w:ascii="Palatino Linotype" w:hAnsi="Palatino Linotype" w:cs="Arial"/>
        </w:rPr>
      </w:pPr>
      <w:r w:rsidRPr="00865343">
        <w:rPr>
          <w:rFonts w:ascii="Palatino Linotype" w:hAnsi="Palatino Linotype" w:cs="Arial"/>
        </w:rPr>
        <w:t>Ahora bien, ante la omisión de respuesta por parte del Sujeto Obligado, es  necesario analizar las atribuciones y obligaciones con las que cuenta, para denotar que tiene en sus archivos documentación que contiene la información solicitada por la particular y por tanto se encuentra en posibilidades de atender su solicitud de acceso a la información pública.</w:t>
      </w:r>
    </w:p>
    <w:p w14:paraId="0D6351F9" w14:textId="77777777" w:rsidR="00510369" w:rsidRPr="00865343" w:rsidRDefault="00510369" w:rsidP="00510369">
      <w:pPr>
        <w:spacing w:before="240" w:after="360" w:line="360" w:lineRule="auto"/>
        <w:jc w:val="both"/>
        <w:rPr>
          <w:rFonts w:ascii="Palatino Linotype" w:eastAsiaTheme="minorEastAsia" w:hAnsi="Palatino Linotype" w:cs="Bookman Old Style"/>
        </w:rPr>
      </w:pPr>
      <w:r w:rsidRPr="00865343">
        <w:rPr>
          <w:rFonts w:ascii="Palatino Linotype" w:eastAsia="Arial Unicode MS" w:hAnsi="Palatino Linotype" w:cs="Arial"/>
        </w:rPr>
        <w:lastRenderedPageBreak/>
        <w:t xml:space="preserve">En este contexto, por cuanto hace a los recibos de nómina, </w:t>
      </w:r>
      <w:r w:rsidRPr="00865343">
        <w:rPr>
          <w:rFonts w:ascii="Palatino Linotype" w:hAnsi="Palatino Linotype" w:cs="Arial"/>
        </w:rPr>
        <w:t xml:space="preserve">de acuerdo con el artículo 32 de la Ley de Fiscalización Superior del Estado de México, los Presidentes </w:t>
      </w:r>
      <w:r w:rsidRPr="00865343">
        <w:rPr>
          <w:rFonts w:ascii="Palatino Linotype" w:eastAsiaTheme="minorEastAsia" w:hAnsi="Palatino Linotype" w:cs="Bookman Old Style"/>
        </w:rPr>
        <w:t>Municipales tienen la obligación de presentar a la Legislatura los informes mensuales de la cuenta pública, dentro de los veinte días posteriores al término del mes correspondiente.</w:t>
      </w:r>
    </w:p>
    <w:p w14:paraId="364C646C" w14:textId="77777777" w:rsidR="00510369" w:rsidRPr="00865343" w:rsidRDefault="00510369" w:rsidP="00510369">
      <w:pPr>
        <w:spacing w:before="240" w:after="360" w:line="360" w:lineRule="auto"/>
        <w:jc w:val="both"/>
        <w:rPr>
          <w:rFonts w:ascii="Palatino Linotype" w:eastAsia="Arial Unicode MS" w:hAnsi="Palatino Linotype" w:cs="Arial"/>
        </w:rPr>
      </w:pPr>
      <w:r w:rsidRPr="00865343">
        <w:rPr>
          <w:rFonts w:ascii="Palatino Linotype" w:hAnsi="Palatino Linotype" w:cs="Arial"/>
        </w:rPr>
        <w:t>De igual manera el</w:t>
      </w:r>
      <w:r w:rsidRPr="00865343">
        <w:rPr>
          <w:rFonts w:ascii="Palatino Linotype" w:eastAsia="Arial Unicode MS" w:hAnsi="Palatino Linotype" w:cs="Arial"/>
        </w:rPr>
        <w:t xml:space="preserve"> artículo 350 del Código Financiero del Estado de México y Municipios,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14:paraId="2BB54818" w14:textId="77777777" w:rsidR="00510369" w:rsidRPr="00865343" w:rsidRDefault="00510369" w:rsidP="00510369">
      <w:pPr>
        <w:ind w:left="851" w:right="849"/>
        <w:jc w:val="both"/>
        <w:rPr>
          <w:rFonts w:ascii="Palatino Linotype" w:eastAsia="Calibri" w:hAnsi="Palatino Linotype" w:cs="Arial"/>
          <w:i/>
          <w:sz w:val="22"/>
          <w:szCs w:val="22"/>
        </w:rPr>
      </w:pPr>
      <w:r w:rsidRPr="00865343">
        <w:rPr>
          <w:rFonts w:ascii="Palatino Linotype" w:eastAsia="Calibri" w:hAnsi="Palatino Linotype" w:cs="Arial"/>
          <w:i/>
          <w:sz w:val="22"/>
          <w:szCs w:val="22"/>
        </w:rPr>
        <w:t xml:space="preserve"> “</w:t>
      </w:r>
      <w:r w:rsidRPr="00865343">
        <w:rPr>
          <w:rFonts w:ascii="Palatino Linotype" w:eastAsia="Calibri" w:hAnsi="Palatino Linotype" w:cs="Arial"/>
          <w:b/>
          <w:i/>
          <w:sz w:val="22"/>
          <w:szCs w:val="22"/>
        </w:rPr>
        <w:t>Artículo 350.-</w:t>
      </w:r>
      <w:r w:rsidRPr="00865343">
        <w:rPr>
          <w:rFonts w:ascii="Palatino Linotype" w:eastAsia="Calibri" w:hAnsi="Palatino Linotype" w:cs="Arial"/>
          <w:i/>
          <w:sz w:val="22"/>
          <w:szCs w:val="22"/>
        </w:rPr>
        <w:t xml:space="preserve"> Mensualmente dentro de los primeros veinte días hábiles, la Secretaría y </w:t>
      </w:r>
      <w:r w:rsidRPr="00865343">
        <w:rPr>
          <w:rFonts w:ascii="Palatino Linotype" w:eastAsia="Calibri" w:hAnsi="Palatino Linotype" w:cs="Arial"/>
          <w:b/>
          <w:i/>
          <w:sz w:val="22"/>
          <w:szCs w:val="22"/>
        </w:rPr>
        <w:t>las Tesorerías, enviarán para su análisis y evaluación</w:t>
      </w:r>
      <w:r w:rsidRPr="00865343">
        <w:rPr>
          <w:rFonts w:ascii="Palatino Linotype" w:eastAsia="Calibri" w:hAnsi="Palatino Linotype" w:cs="Arial"/>
          <w:i/>
          <w:sz w:val="22"/>
          <w:szCs w:val="22"/>
        </w:rPr>
        <w:t xml:space="preserve"> </w:t>
      </w:r>
      <w:r w:rsidRPr="00865343">
        <w:rPr>
          <w:rFonts w:ascii="Palatino Linotype" w:eastAsia="Calibri" w:hAnsi="Palatino Linotype" w:cs="Arial"/>
          <w:b/>
          <w:i/>
          <w:sz w:val="22"/>
          <w:szCs w:val="22"/>
        </w:rPr>
        <w:t>al Órgano Superior de Fiscalización del Estado de México</w:t>
      </w:r>
      <w:r w:rsidRPr="00865343">
        <w:rPr>
          <w:rFonts w:ascii="Palatino Linotype" w:eastAsia="Calibri" w:hAnsi="Palatino Linotype" w:cs="Arial"/>
          <w:i/>
          <w:sz w:val="22"/>
          <w:szCs w:val="22"/>
        </w:rPr>
        <w:t>, la siguiente información:</w:t>
      </w:r>
    </w:p>
    <w:p w14:paraId="649B97C9" w14:textId="77777777" w:rsidR="00510369" w:rsidRPr="00865343" w:rsidRDefault="00510369" w:rsidP="00510369">
      <w:pPr>
        <w:ind w:left="851" w:right="849"/>
        <w:jc w:val="both"/>
        <w:rPr>
          <w:rFonts w:ascii="Palatino Linotype" w:eastAsia="Calibri" w:hAnsi="Palatino Linotype" w:cs="Arial"/>
          <w:i/>
          <w:sz w:val="22"/>
          <w:szCs w:val="22"/>
        </w:rPr>
      </w:pPr>
    </w:p>
    <w:p w14:paraId="401AD668" w14:textId="77777777" w:rsidR="00510369" w:rsidRPr="00865343" w:rsidRDefault="00510369" w:rsidP="00510369">
      <w:pPr>
        <w:ind w:left="851" w:right="849"/>
        <w:jc w:val="both"/>
        <w:rPr>
          <w:rFonts w:ascii="Palatino Linotype" w:eastAsia="Calibri" w:hAnsi="Palatino Linotype" w:cs="Arial"/>
          <w:i/>
          <w:sz w:val="22"/>
          <w:szCs w:val="22"/>
        </w:rPr>
      </w:pPr>
      <w:r w:rsidRPr="00865343">
        <w:rPr>
          <w:rFonts w:ascii="Palatino Linotype" w:eastAsia="Calibri" w:hAnsi="Palatino Linotype" w:cs="Arial"/>
          <w:i/>
          <w:sz w:val="22"/>
          <w:szCs w:val="22"/>
        </w:rPr>
        <w:t>I. Información patrimonial.</w:t>
      </w:r>
    </w:p>
    <w:p w14:paraId="60A02C32" w14:textId="77777777" w:rsidR="00510369" w:rsidRPr="00865343" w:rsidRDefault="00510369" w:rsidP="00510369">
      <w:pPr>
        <w:ind w:left="851" w:right="849"/>
        <w:jc w:val="both"/>
        <w:rPr>
          <w:rFonts w:ascii="Palatino Linotype" w:eastAsia="Calibri" w:hAnsi="Palatino Linotype" w:cs="Arial"/>
          <w:i/>
          <w:sz w:val="22"/>
          <w:szCs w:val="22"/>
        </w:rPr>
      </w:pPr>
    </w:p>
    <w:p w14:paraId="7BCC60E3" w14:textId="77777777" w:rsidR="00510369" w:rsidRPr="00865343" w:rsidRDefault="00510369" w:rsidP="00510369">
      <w:pPr>
        <w:ind w:left="851" w:right="849"/>
        <w:jc w:val="both"/>
        <w:rPr>
          <w:rFonts w:ascii="Palatino Linotype" w:eastAsia="Calibri" w:hAnsi="Palatino Linotype" w:cs="Arial"/>
          <w:i/>
          <w:sz w:val="22"/>
          <w:szCs w:val="22"/>
        </w:rPr>
      </w:pPr>
      <w:r w:rsidRPr="00865343">
        <w:rPr>
          <w:rFonts w:ascii="Palatino Linotype" w:eastAsia="Calibri" w:hAnsi="Palatino Linotype" w:cs="Arial"/>
          <w:i/>
          <w:sz w:val="22"/>
          <w:szCs w:val="22"/>
        </w:rPr>
        <w:t>II. Información presupuestal.</w:t>
      </w:r>
    </w:p>
    <w:p w14:paraId="6AADE5CA" w14:textId="77777777" w:rsidR="00510369" w:rsidRPr="00865343" w:rsidRDefault="00510369" w:rsidP="00510369">
      <w:pPr>
        <w:ind w:left="851" w:right="849"/>
        <w:jc w:val="both"/>
        <w:rPr>
          <w:rFonts w:ascii="Palatino Linotype" w:eastAsia="Calibri" w:hAnsi="Palatino Linotype" w:cs="Arial"/>
          <w:i/>
          <w:sz w:val="22"/>
          <w:szCs w:val="22"/>
        </w:rPr>
      </w:pPr>
    </w:p>
    <w:p w14:paraId="2C556401" w14:textId="77777777" w:rsidR="00510369" w:rsidRPr="00865343" w:rsidRDefault="00510369" w:rsidP="00510369">
      <w:pPr>
        <w:ind w:left="851" w:right="849"/>
        <w:jc w:val="both"/>
        <w:rPr>
          <w:rFonts w:ascii="Palatino Linotype" w:eastAsia="Calibri" w:hAnsi="Palatino Linotype" w:cs="Arial"/>
          <w:i/>
          <w:sz w:val="22"/>
          <w:szCs w:val="22"/>
        </w:rPr>
      </w:pPr>
      <w:r w:rsidRPr="00865343">
        <w:rPr>
          <w:rFonts w:ascii="Palatino Linotype" w:eastAsia="Calibri" w:hAnsi="Palatino Linotype" w:cs="Arial"/>
          <w:i/>
          <w:sz w:val="22"/>
          <w:szCs w:val="22"/>
        </w:rPr>
        <w:t>III. Información de la obra pública.</w:t>
      </w:r>
    </w:p>
    <w:p w14:paraId="62EA4A3C" w14:textId="77777777" w:rsidR="00510369" w:rsidRPr="00865343" w:rsidRDefault="00510369" w:rsidP="00510369">
      <w:pPr>
        <w:ind w:left="851" w:right="849"/>
        <w:jc w:val="both"/>
        <w:rPr>
          <w:rFonts w:ascii="Palatino Linotype" w:eastAsia="Calibri" w:hAnsi="Palatino Linotype" w:cs="Arial"/>
          <w:b/>
          <w:i/>
          <w:sz w:val="22"/>
          <w:szCs w:val="22"/>
        </w:rPr>
      </w:pPr>
    </w:p>
    <w:p w14:paraId="512ED1C3" w14:textId="77777777" w:rsidR="00510369" w:rsidRPr="00865343" w:rsidRDefault="00510369" w:rsidP="00510369">
      <w:pPr>
        <w:ind w:left="851" w:right="849"/>
        <w:jc w:val="both"/>
        <w:rPr>
          <w:rFonts w:ascii="Palatino Linotype" w:eastAsia="Calibri" w:hAnsi="Palatino Linotype" w:cs="Arial"/>
          <w:i/>
          <w:sz w:val="22"/>
          <w:szCs w:val="22"/>
        </w:rPr>
      </w:pPr>
      <w:r w:rsidRPr="00865343">
        <w:rPr>
          <w:rFonts w:ascii="Palatino Linotype" w:eastAsia="Calibri" w:hAnsi="Palatino Linotype" w:cs="Arial"/>
          <w:i/>
          <w:sz w:val="22"/>
          <w:szCs w:val="22"/>
        </w:rPr>
        <w:t>IV. Información de nómina.”</w:t>
      </w:r>
    </w:p>
    <w:p w14:paraId="0C320A3F" w14:textId="410FC61F" w:rsidR="00510369" w:rsidRPr="00865343" w:rsidRDefault="00510369" w:rsidP="00510369">
      <w:pPr>
        <w:spacing w:before="240" w:line="360" w:lineRule="auto"/>
        <w:ind w:right="49"/>
        <w:jc w:val="both"/>
        <w:rPr>
          <w:rFonts w:ascii="Palatino Linotype" w:eastAsia="Calibri" w:hAnsi="Palatino Linotype" w:cs="Arial"/>
        </w:rPr>
      </w:pPr>
      <w:r w:rsidRPr="00865343">
        <w:rPr>
          <w:rFonts w:ascii="Palatino Linotype" w:eastAsia="Calibri" w:hAnsi="Palatino Linotype" w:cs="Arial"/>
        </w:rPr>
        <w:t xml:space="preserve">Información que debe presentarse conforme a lo dispuesto por los </w:t>
      </w:r>
      <w:r w:rsidRPr="00865343">
        <w:rPr>
          <w:rFonts w:ascii="Palatino Linotype" w:eastAsia="Calibri" w:hAnsi="Palatino Linotype" w:cs="Arial"/>
          <w:i/>
        </w:rPr>
        <w:t>Lineamientos para la Elaboración y Presentación del Informe Mensual</w:t>
      </w:r>
      <w:r w:rsidRPr="00865343">
        <w:rPr>
          <w:rFonts w:ascii="Palatino Linotype" w:eastAsia="Calibri" w:hAnsi="Palatino Linotype" w:cs="Arial"/>
        </w:rPr>
        <w:t xml:space="preserve">, emitidos por OSFEM en cada ejercicio fiscal y que se encuentran disponibles en su sitio de internet, con la finalidad de </w:t>
      </w:r>
      <w:r w:rsidRPr="00865343">
        <w:rPr>
          <w:rFonts w:ascii="Palatino Linotype" w:hAnsi="Palatino Linotype"/>
        </w:rPr>
        <w:t xml:space="preserve">definir los criterios, los formatos y la documentación necesaria para presentar los informes mensuales, que deben ser entregados </w:t>
      </w:r>
      <w:r w:rsidRPr="00865343">
        <w:rPr>
          <w:rFonts w:ascii="Palatino Linotype" w:eastAsia="Arial Unicode MS" w:hAnsi="Palatino Linotype" w:cs="Arial"/>
        </w:rPr>
        <w:t xml:space="preserve">a través de seis discos </w:t>
      </w:r>
      <w:r w:rsidRPr="00865343">
        <w:rPr>
          <w:rFonts w:ascii="Palatino Linotype" w:hAnsi="Palatino Linotype"/>
        </w:rPr>
        <w:lastRenderedPageBreak/>
        <w:t xml:space="preserve">dentro de los veinte días posteriores al término del mes correspondiente, </w:t>
      </w:r>
      <w:r w:rsidRPr="00865343">
        <w:rPr>
          <w:rFonts w:ascii="Palatino Linotype" w:eastAsia="Calibri" w:hAnsi="Palatino Linotype" w:cs="Arial"/>
        </w:rPr>
        <w:t>que contienen la siguiente información:</w:t>
      </w:r>
    </w:p>
    <w:p w14:paraId="76BFD5A5" w14:textId="2F5685BF" w:rsidR="00510369" w:rsidRPr="00865343" w:rsidRDefault="00510369" w:rsidP="00510369">
      <w:pPr>
        <w:spacing w:before="240" w:line="360" w:lineRule="auto"/>
        <w:ind w:right="49"/>
        <w:jc w:val="both"/>
        <w:rPr>
          <w:rFonts w:ascii="Palatino Linotype" w:eastAsia="Calibri" w:hAnsi="Palatino Linotype" w:cs="Arial"/>
        </w:rPr>
      </w:pPr>
      <w:r w:rsidRPr="00865343">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4ADED67F" wp14:editId="296F756D">
                <wp:simplePos x="0" y="0"/>
                <wp:positionH relativeFrom="column">
                  <wp:posOffset>117475</wp:posOffset>
                </wp:positionH>
                <wp:positionV relativeFrom="paragraph">
                  <wp:posOffset>1123315</wp:posOffset>
                </wp:positionV>
                <wp:extent cx="2067697" cy="255373"/>
                <wp:effectExtent l="57150" t="38100" r="85090" b="87630"/>
                <wp:wrapNone/>
                <wp:docPr id="3" name="Rectángulo 3"/>
                <wp:cNvGraphicFramePr/>
                <a:graphic xmlns:a="http://schemas.openxmlformats.org/drawingml/2006/main">
                  <a:graphicData uri="http://schemas.microsoft.com/office/word/2010/wordprocessingShape">
                    <wps:wsp>
                      <wps:cNvSpPr/>
                      <wps:spPr>
                        <a:xfrm>
                          <a:off x="0" y="0"/>
                          <a:ext cx="2067697" cy="2553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6ACBF" id="Rectángulo 3" o:spid="_x0000_s1026" style="position:absolute;margin-left:9.25pt;margin-top:88.45pt;width:162.8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" filled="f" strokecolor="#c00000" strokeweight="3pt">
                <v:shadow on="t" color="black" opacity="22937f" origin=",.5" offset="0,.63889mm"/>
              </v:rect>
            </w:pict>
          </mc:Fallback>
        </mc:AlternateContent>
      </w:r>
      <w:r w:rsidRPr="00865343">
        <w:rPr>
          <w:noProof/>
          <w:lang w:val="es-MX" w:eastAsia="es-MX"/>
        </w:rPr>
        <w:drawing>
          <wp:inline distT="0" distB="0" distL="0" distR="0" wp14:anchorId="28F2E20E" wp14:editId="33F892B1">
            <wp:extent cx="4486275" cy="216202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131" t="38102" r="36268" b="33965"/>
                    <a:stretch/>
                  </pic:blipFill>
                  <pic:spPr bwMode="auto">
                    <a:xfrm>
                      <a:off x="0" y="0"/>
                      <a:ext cx="4505647" cy="2171363"/>
                    </a:xfrm>
                    <a:prstGeom prst="rect">
                      <a:avLst/>
                    </a:prstGeom>
                    <a:ln>
                      <a:noFill/>
                    </a:ln>
                    <a:extLst>
                      <a:ext uri="{53640926-AAD7-44D8-BBD7-CCE9431645EC}">
                        <a14:shadowObscured xmlns:a14="http://schemas.microsoft.com/office/drawing/2010/main"/>
                      </a:ext>
                    </a:extLst>
                  </pic:spPr>
                </pic:pic>
              </a:graphicData>
            </a:graphic>
          </wp:inline>
        </w:drawing>
      </w:r>
    </w:p>
    <w:p w14:paraId="38741513" w14:textId="5FA2827B" w:rsidR="00510369" w:rsidRPr="00865343" w:rsidRDefault="00510369" w:rsidP="00510369">
      <w:pPr>
        <w:spacing w:before="240" w:line="360" w:lineRule="auto"/>
        <w:ind w:right="49"/>
        <w:jc w:val="both"/>
        <w:rPr>
          <w:rFonts w:ascii="Palatino Linotype" w:eastAsia="Calibri" w:hAnsi="Palatino Linotype" w:cs="Arial"/>
        </w:rPr>
      </w:pPr>
      <w:r w:rsidRPr="00865343">
        <w:rPr>
          <w:rFonts w:ascii="Palatino Linotype" w:eastAsia="Calibri" w:hAnsi="Palatino Linotype" w:cs="Arial"/>
        </w:rPr>
        <w:t>En este contexto, se advierte que la Recurrente desea acceder a la información que con motivo de la nómina genera el Sujeto Obligado, misma que es enviada al OSFEM para su análisis y evaluación, a través de la documentación siguiente:</w:t>
      </w:r>
    </w:p>
    <w:p w14:paraId="585956BD" w14:textId="19232D9D" w:rsidR="00510369" w:rsidRPr="00865343" w:rsidRDefault="0033134D" w:rsidP="00510369">
      <w:pPr>
        <w:spacing w:before="240" w:line="360" w:lineRule="auto"/>
        <w:jc w:val="both"/>
        <w:rPr>
          <w:rFonts w:ascii="Palatino Linotype" w:hAnsi="Palatino Linotype" w:cs="Arial"/>
        </w:rPr>
      </w:pPr>
      <w:r w:rsidRPr="00865343">
        <w:rPr>
          <w:noProof/>
          <w:lang w:val="es-MX" w:eastAsia="es-MX"/>
        </w:rPr>
        <w:drawing>
          <wp:anchor distT="0" distB="0" distL="114300" distR="114300" simplePos="0" relativeHeight="251661312" behindDoc="1" locked="0" layoutInCell="1" allowOverlap="1" wp14:anchorId="19938433" wp14:editId="40AF9575">
            <wp:simplePos x="0" y="0"/>
            <wp:positionH relativeFrom="margin">
              <wp:align>center</wp:align>
            </wp:positionH>
            <wp:positionV relativeFrom="paragraph">
              <wp:posOffset>36195</wp:posOffset>
            </wp:positionV>
            <wp:extent cx="4676775" cy="339852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8046" t="17224" r="30539" b="29266"/>
                    <a:stretch/>
                  </pic:blipFill>
                  <pic:spPr bwMode="auto">
                    <a:xfrm>
                      <a:off x="0" y="0"/>
                      <a:ext cx="4676775" cy="3398520"/>
                    </a:xfrm>
                    <a:prstGeom prst="rect">
                      <a:avLst/>
                    </a:prstGeom>
                    <a:ln>
                      <a:noFill/>
                    </a:ln>
                    <a:extLst>
                      <a:ext uri="{53640926-AAD7-44D8-BBD7-CCE9431645EC}">
                        <a14:shadowObscured xmlns:a14="http://schemas.microsoft.com/office/drawing/2010/main"/>
                      </a:ext>
                    </a:extLst>
                  </pic:spPr>
                </pic:pic>
              </a:graphicData>
            </a:graphic>
          </wp:anchor>
        </w:drawing>
      </w:r>
    </w:p>
    <w:p w14:paraId="2B0573E9" w14:textId="77777777" w:rsidR="0033134D" w:rsidRPr="00865343" w:rsidRDefault="0033134D" w:rsidP="00510369">
      <w:pPr>
        <w:spacing w:before="240" w:after="240" w:line="360" w:lineRule="auto"/>
        <w:jc w:val="both"/>
        <w:rPr>
          <w:rFonts w:ascii="Palatino Linotype" w:hAnsi="Palatino Linotype" w:cs="Arial"/>
        </w:rPr>
      </w:pPr>
    </w:p>
    <w:p w14:paraId="0B3C7349" w14:textId="77777777" w:rsidR="0033134D" w:rsidRPr="00865343" w:rsidRDefault="0033134D" w:rsidP="00510369">
      <w:pPr>
        <w:spacing w:before="240" w:after="240" w:line="360" w:lineRule="auto"/>
        <w:jc w:val="both"/>
        <w:rPr>
          <w:rFonts w:ascii="Palatino Linotype" w:hAnsi="Palatino Linotype" w:cs="Arial"/>
        </w:rPr>
      </w:pPr>
    </w:p>
    <w:p w14:paraId="291F6F7E" w14:textId="77777777" w:rsidR="0033134D" w:rsidRPr="00865343" w:rsidRDefault="0033134D" w:rsidP="00510369">
      <w:pPr>
        <w:spacing w:before="240" w:after="240" w:line="360" w:lineRule="auto"/>
        <w:jc w:val="both"/>
        <w:rPr>
          <w:rFonts w:ascii="Palatino Linotype" w:hAnsi="Palatino Linotype" w:cs="Arial"/>
        </w:rPr>
      </w:pPr>
    </w:p>
    <w:p w14:paraId="3605028D" w14:textId="743EFDAC" w:rsidR="0033134D" w:rsidRPr="00865343" w:rsidRDefault="0033134D" w:rsidP="00510369">
      <w:pPr>
        <w:spacing w:before="240" w:after="240" w:line="360" w:lineRule="auto"/>
        <w:jc w:val="both"/>
        <w:rPr>
          <w:rFonts w:ascii="Palatino Linotype" w:hAnsi="Palatino Linotype" w:cs="Arial"/>
        </w:rPr>
      </w:pPr>
      <w:r w:rsidRPr="00865343">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82F8A49" wp14:editId="5A77E5BA">
                <wp:simplePos x="0" y="0"/>
                <wp:positionH relativeFrom="margin">
                  <wp:posOffset>1120140</wp:posOffset>
                </wp:positionH>
                <wp:positionV relativeFrom="paragraph">
                  <wp:posOffset>240665</wp:posOffset>
                </wp:positionV>
                <wp:extent cx="3162300" cy="828675"/>
                <wp:effectExtent l="57150" t="38100" r="76200" b="104775"/>
                <wp:wrapNone/>
                <wp:docPr id="2" name="Rectángulo 2"/>
                <wp:cNvGraphicFramePr/>
                <a:graphic xmlns:a="http://schemas.openxmlformats.org/drawingml/2006/main">
                  <a:graphicData uri="http://schemas.microsoft.com/office/word/2010/wordprocessingShape">
                    <wps:wsp>
                      <wps:cNvSpPr/>
                      <wps:spPr>
                        <a:xfrm>
                          <a:off x="0" y="0"/>
                          <a:ext cx="3162300" cy="82867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E9D53" id="Rectángulo 2" o:spid="_x0000_s1026" style="position:absolute;margin-left:88.2pt;margin-top:18.95pt;width:249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" filled="f" strokecolor="#c00000" strokeweight="3pt">
                <v:shadow on="t" color="black" opacity="22937f" origin=",.5" offset="0,.63889mm"/>
                <w10:wrap anchorx="margin"/>
              </v:rect>
            </w:pict>
          </mc:Fallback>
        </mc:AlternateContent>
      </w:r>
    </w:p>
    <w:p w14:paraId="793FA386" w14:textId="0B7074D6" w:rsidR="0033134D" w:rsidRPr="00865343" w:rsidRDefault="0033134D" w:rsidP="00510369">
      <w:pPr>
        <w:spacing w:before="240" w:after="240" w:line="360" w:lineRule="auto"/>
        <w:jc w:val="both"/>
        <w:rPr>
          <w:rFonts w:ascii="Palatino Linotype" w:hAnsi="Palatino Linotype" w:cs="Arial"/>
        </w:rPr>
      </w:pPr>
    </w:p>
    <w:p w14:paraId="197156C0" w14:textId="77777777" w:rsidR="0033134D" w:rsidRPr="00865343" w:rsidRDefault="0033134D" w:rsidP="00510369">
      <w:pPr>
        <w:spacing w:before="240" w:after="240" w:line="360" w:lineRule="auto"/>
        <w:jc w:val="both"/>
        <w:rPr>
          <w:rFonts w:ascii="Palatino Linotype" w:hAnsi="Palatino Linotype" w:cs="Arial"/>
        </w:rPr>
      </w:pPr>
    </w:p>
    <w:p w14:paraId="76616C85" w14:textId="77777777" w:rsidR="00510369" w:rsidRPr="00865343" w:rsidRDefault="00510369" w:rsidP="00510369">
      <w:pPr>
        <w:spacing w:before="240" w:after="240" w:line="360" w:lineRule="auto"/>
        <w:jc w:val="both"/>
        <w:rPr>
          <w:rFonts w:ascii="Palatino Linotype" w:hAnsi="Palatino Linotype"/>
          <w:lang w:eastAsia="es-MX"/>
        </w:rPr>
      </w:pPr>
      <w:r w:rsidRPr="00865343">
        <w:rPr>
          <w:rFonts w:ascii="Palatino Linotype" w:hAnsi="Palatino Linotype" w:cs="Arial"/>
        </w:rPr>
        <w:lastRenderedPageBreak/>
        <w:t xml:space="preserve">De la imagen anterior, se desprende que el Sujeto Obligado </w:t>
      </w:r>
      <w:r w:rsidRPr="00865343">
        <w:rPr>
          <w:rFonts w:ascii="Palatino Linotype" w:eastAsia="Calibri" w:hAnsi="Palatino Linotype" w:cs="Arial"/>
        </w:rPr>
        <w:t xml:space="preserve">tiene la obligación de entregar mensualmente </w:t>
      </w:r>
      <w:r w:rsidRPr="00865343">
        <w:rPr>
          <w:rFonts w:ascii="Palatino Linotype" w:hAnsi="Palatino Linotype"/>
          <w:lang w:eastAsia="es-MX"/>
        </w:rPr>
        <w:t>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traducen en la información que solicita el hoy Recurrente.</w:t>
      </w:r>
    </w:p>
    <w:p w14:paraId="6B55818A" w14:textId="77777777" w:rsidR="00DE4CD1" w:rsidRPr="00865343" w:rsidRDefault="00DE4CD1" w:rsidP="00DE4CD1">
      <w:pPr>
        <w:spacing w:before="240" w:after="240" w:line="360" w:lineRule="auto"/>
        <w:jc w:val="both"/>
        <w:rPr>
          <w:rFonts w:ascii="Palatino Linotype" w:hAnsi="Palatino Linotype"/>
        </w:rPr>
      </w:pPr>
      <w:r w:rsidRPr="00865343">
        <w:rPr>
          <w:rFonts w:ascii="Palatino Linotype" w:hAnsi="Palatino Linotype"/>
        </w:rPr>
        <w:t>Y si bien, los lineamientos no establecen un formato cierto o determinado, por cuanto hace a los Comprobantes Fiscales Digitales por Internet, lo cierto es que deben presentarse conforme a la representación impresa, que se genera con motivo de la factura electrónica por los conceptos de pago de honorarios y pago de nómina.</w:t>
      </w:r>
    </w:p>
    <w:p w14:paraId="5976C24D" w14:textId="3CEBCCAD" w:rsidR="00510369" w:rsidRPr="00865343" w:rsidRDefault="00510369" w:rsidP="00510369">
      <w:pPr>
        <w:spacing w:before="240" w:after="240" w:line="360" w:lineRule="auto"/>
        <w:jc w:val="both"/>
        <w:rPr>
          <w:rFonts w:ascii="Palatino Linotype" w:hAnsi="Palatino Linotype"/>
          <w:lang w:eastAsia="es-MX"/>
        </w:rPr>
      </w:pPr>
      <w:r w:rsidRPr="00865343">
        <w:rPr>
          <w:rFonts w:ascii="Palatino Linotype" w:hAnsi="Palatino Linotype"/>
          <w:lang w:eastAsia="es-MX"/>
        </w:rPr>
        <w:t xml:space="preserve">Ahora bien, en el Bando Municipal de Policía y Gobierno 2018, establece en su artículo 48 del </w:t>
      </w:r>
      <w:r w:rsidR="0011709B" w:rsidRPr="00865343">
        <w:rPr>
          <w:rFonts w:ascii="Palatino Linotype" w:hAnsi="Palatino Linotype"/>
          <w:lang w:eastAsia="es-MX"/>
        </w:rPr>
        <w:t>que la Tesorería Municipal será la encargada de coordinar, implementar, impulsar, aumentar y concentrara la recaudación de los ingresos municipales, así como, realizar las erogaciones previstas en el presupuesto de egresos anual aprobado, manteniendo al día los estados financieros de la Hacienda Pública Municipal, por lo que entre sus funciones se le encomiendan las siguientes:</w:t>
      </w:r>
    </w:p>
    <w:p w14:paraId="0101CB95" w14:textId="7CED83DA" w:rsidR="0011709B" w:rsidRPr="00865343" w:rsidRDefault="00D45591" w:rsidP="00D45591">
      <w:pPr>
        <w:pStyle w:val="NormalWeb"/>
        <w:ind w:left="360" w:right="1041"/>
        <w:jc w:val="both"/>
        <w:rPr>
          <w:rFonts w:ascii="Palatino Linotype" w:hAnsi="Palatino Linotype"/>
          <w:i/>
          <w:sz w:val="22"/>
          <w:szCs w:val="22"/>
        </w:rPr>
      </w:pPr>
      <w:r w:rsidRPr="00865343">
        <w:rPr>
          <w:rFonts w:ascii="Palatino Linotype" w:hAnsi="Palatino Linotype"/>
          <w:i/>
          <w:sz w:val="22"/>
          <w:szCs w:val="22"/>
        </w:rPr>
        <w:t>“</w:t>
      </w:r>
      <w:r w:rsidR="0011709B" w:rsidRPr="00865343">
        <w:rPr>
          <w:rFonts w:ascii="Palatino Linotype" w:hAnsi="Palatino Linotype"/>
          <w:b/>
          <w:i/>
          <w:sz w:val="22"/>
          <w:szCs w:val="22"/>
        </w:rPr>
        <w:t>Artículo 48.-</w:t>
      </w:r>
    </w:p>
    <w:p w14:paraId="41250094" w14:textId="2A04291A" w:rsidR="0011709B" w:rsidRPr="00865343" w:rsidRDefault="0011709B" w:rsidP="00D45591">
      <w:pPr>
        <w:pStyle w:val="NormalWeb"/>
        <w:spacing w:before="0" w:beforeAutospacing="0" w:after="0" w:afterAutospacing="0"/>
        <w:ind w:left="360" w:right="1041"/>
        <w:jc w:val="both"/>
        <w:rPr>
          <w:rFonts w:ascii="Palatino Linotype" w:hAnsi="Palatino Linotype"/>
          <w:i/>
          <w:sz w:val="22"/>
          <w:szCs w:val="22"/>
        </w:rPr>
      </w:pPr>
      <w:r w:rsidRPr="00865343">
        <w:rPr>
          <w:rFonts w:ascii="Palatino Linotype" w:hAnsi="Palatino Linotype"/>
          <w:i/>
          <w:sz w:val="22"/>
          <w:szCs w:val="22"/>
        </w:rPr>
        <w:t>III. Las dependencias o Unidades Administrativas que realicen trámites o servicios, por los cuales se genere alguna contribución prevista en el Código Financiero y demás normatividades administrativas aplicables, requisitarán sin excepción alguna: las órdenes de pago mediante el formato único que otorgue la misma tesorería municipal, con el objeto de que esta dependencia realice el cobro y expida el comprobante fiscal;</w:t>
      </w:r>
    </w:p>
    <w:p w14:paraId="5FDFE5E1" w14:textId="3B9C6D65" w:rsidR="00D45591" w:rsidRPr="00865343" w:rsidRDefault="00D45591" w:rsidP="00D45591">
      <w:pPr>
        <w:pStyle w:val="NormalWeb"/>
        <w:spacing w:before="0" w:beforeAutospacing="0" w:after="0" w:afterAutospacing="0"/>
        <w:ind w:left="360" w:right="1041"/>
        <w:jc w:val="both"/>
        <w:rPr>
          <w:rFonts w:ascii="Palatino Linotype" w:hAnsi="Palatino Linotype"/>
          <w:i/>
          <w:sz w:val="22"/>
          <w:szCs w:val="22"/>
        </w:rPr>
      </w:pPr>
      <w:r w:rsidRPr="00865343">
        <w:rPr>
          <w:rFonts w:ascii="Palatino Linotype" w:hAnsi="Palatino Linotype"/>
          <w:i/>
          <w:sz w:val="22"/>
          <w:szCs w:val="22"/>
        </w:rPr>
        <w:t>…</w:t>
      </w:r>
    </w:p>
    <w:p w14:paraId="267C362C" w14:textId="50CFD1DE" w:rsidR="0033134D" w:rsidRPr="00865343" w:rsidRDefault="0033134D" w:rsidP="00D45591">
      <w:pPr>
        <w:pStyle w:val="NormalWeb"/>
        <w:spacing w:before="0" w:beforeAutospacing="0" w:after="240" w:afterAutospacing="0"/>
        <w:ind w:left="360" w:right="1041"/>
        <w:jc w:val="both"/>
        <w:rPr>
          <w:rFonts w:ascii="Palatino Linotype" w:hAnsi="Palatino Linotype"/>
          <w:i/>
          <w:sz w:val="22"/>
          <w:szCs w:val="22"/>
        </w:rPr>
      </w:pPr>
      <w:r w:rsidRPr="00865343">
        <w:rPr>
          <w:rFonts w:ascii="Palatino Linotype" w:hAnsi="Palatino Linotype"/>
          <w:i/>
          <w:sz w:val="22"/>
          <w:szCs w:val="22"/>
        </w:rPr>
        <w:t xml:space="preserve">X. Integrará los informes mensuales y anuales que exige el Órgano Superior de Fiscalización del Gobierno del Estado de México, con apego a las normas contables establecidas en el Manual Único de Contabilidad Gubernamental para las </w:t>
      </w:r>
      <w:r w:rsidRPr="00865343">
        <w:rPr>
          <w:rFonts w:ascii="Palatino Linotype" w:hAnsi="Palatino Linotype"/>
          <w:i/>
          <w:sz w:val="22"/>
          <w:szCs w:val="22"/>
        </w:rPr>
        <w:lastRenderedPageBreak/>
        <w:t>Dependencias y Entidades Públicas del Gobierno y Municipios del Estado de México;</w:t>
      </w:r>
      <w:r w:rsidR="00DE4CD1" w:rsidRPr="00865343">
        <w:rPr>
          <w:rFonts w:ascii="Palatino Linotype" w:hAnsi="Palatino Linotype"/>
          <w:i/>
          <w:sz w:val="22"/>
          <w:szCs w:val="22"/>
        </w:rPr>
        <w:t>…</w:t>
      </w:r>
      <w:r w:rsidR="00D45591" w:rsidRPr="00865343">
        <w:rPr>
          <w:rFonts w:ascii="Palatino Linotype" w:hAnsi="Palatino Linotype"/>
          <w:i/>
          <w:sz w:val="22"/>
          <w:szCs w:val="22"/>
        </w:rPr>
        <w:t>”</w:t>
      </w:r>
    </w:p>
    <w:p w14:paraId="7A4A4339" w14:textId="77777777" w:rsidR="00DE4CD1" w:rsidRPr="00865343" w:rsidRDefault="00DE4CD1" w:rsidP="00DE4CD1">
      <w:pPr>
        <w:spacing w:before="240" w:after="240" w:line="360" w:lineRule="auto"/>
        <w:ind w:right="51"/>
        <w:jc w:val="both"/>
        <w:rPr>
          <w:rFonts w:ascii="Palatino Linotype" w:hAnsi="Palatino Linotype"/>
        </w:rPr>
      </w:pPr>
      <w:r w:rsidRPr="00865343">
        <w:rPr>
          <w:rFonts w:ascii="Palatino Linotype" w:hAnsi="Palatino Linotype"/>
        </w:rPr>
        <w:t xml:space="preserve">En este sentido, se estima que el sujeto obligado cuenta con las atribuciones suficientes para  que en el ejercicio de las mismas hubiere generado los documentos mediante los cuales el derecho de acceso a la información de la parte recurrente pueda atenderse, concretamente mediante los comprobantes fiscales digitales por internet, que debe generar  como parte del cumplimiento de sus obligaciones fiscales. </w:t>
      </w:r>
    </w:p>
    <w:p w14:paraId="0E01EB0E" w14:textId="77777777" w:rsidR="00DE4CD1" w:rsidRPr="00865343" w:rsidRDefault="00DE4CD1" w:rsidP="00DE4CD1">
      <w:pPr>
        <w:spacing w:before="240" w:after="240" w:line="360" w:lineRule="auto"/>
        <w:ind w:right="49"/>
        <w:jc w:val="both"/>
        <w:rPr>
          <w:rFonts w:ascii="Palatino Linotype" w:hAnsi="Palatino Linotype"/>
        </w:rPr>
      </w:pPr>
      <w:r w:rsidRPr="00865343">
        <w:rPr>
          <w:rFonts w:ascii="Palatino Linotype" w:hAnsi="Palatino Linotype"/>
        </w:rPr>
        <w:t>A efecto de robustecer lo anterior</w:t>
      </w:r>
      <w:r w:rsidRPr="00865343">
        <w:rPr>
          <w:rFonts w:ascii="Palatino Linotype" w:hAnsi="Palatino Linotype"/>
          <w:szCs w:val="22"/>
        </w:rPr>
        <w:t xml:space="preserve">, es preciso hacer alusión, en primera instancia, A lo establecido en las normas de carácter general del </w:t>
      </w:r>
      <w:r w:rsidRPr="00865343">
        <w:rPr>
          <w:rFonts w:ascii="Palatino Linotype" w:hAnsi="Palatino Linotype"/>
          <w:i/>
        </w:rPr>
        <w:t>Manual Único de Contabilidad Gubernamental para las Dependencias y Entidades Públicas del Gobierno y Municipios del Estado de México</w:t>
      </w:r>
      <w:r w:rsidRPr="00865343">
        <w:rPr>
          <w:rStyle w:val="Refdenotaalpie"/>
          <w:rFonts w:ascii="Palatino Linotype" w:hAnsi="Palatino Linotype"/>
          <w:i/>
        </w:rPr>
        <w:footnoteReference w:id="4"/>
      </w:r>
      <w:r w:rsidRPr="00865343">
        <w:rPr>
          <w:rFonts w:ascii="Palatino Linotype" w:hAnsi="Palatino Linotype"/>
          <w:i/>
        </w:rPr>
        <w:t xml:space="preserve">,  </w:t>
      </w:r>
      <w:r w:rsidRPr="00865343">
        <w:rPr>
          <w:rFonts w:ascii="Palatino Linotype" w:hAnsi="Palatino Linotype"/>
        </w:rPr>
        <w:t xml:space="preserve">en donde se señala que el Régimen Fiscal para las entidades públicas es el correspondiente a </w:t>
      </w:r>
      <w:r w:rsidRPr="00865343">
        <w:rPr>
          <w:rFonts w:ascii="Palatino Linotype" w:hAnsi="Palatino Linotype"/>
          <w:i/>
        </w:rPr>
        <w:t xml:space="preserve">personas morales con fines no lucrativos, </w:t>
      </w:r>
      <w:r w:rsidRPr="00865343">
        <w:rPr>
          <w:rFonts w:ascii="Palatino Linotype" w:hAnsi="Palatino Linotype"/>
        </w:rPr>
        <w:t xml:space="preserve">y en segundo lugar remitirnos al párrafo séptimo del artículo 86 del Título III Del Régimen de las Personas Morales con fines no lucrativos, de la </w:t>
      </w:r>
      <w:r w:rsidRPr="00865343">
        <w:rPr>
          <w:rFonts w:ascii="Palatino Linotype" w:hAnsi="Palatino Linotype"/>
          <w:i/>
        </w:rPr>
        <w:t xml:space="preserve">Ley del Impuesto Sobre la Renta, </w:t>
      </w:r>
      <w:r w:rsidRPr="00865343">
        <w:rPr>
          <w:rFonts w:ascii="Palatino Linotype" w:hAnsi="Palatino Linotype"/>
        </w:rPr>
        <w:t>que a la letra señala lo siguiente:</w:t>
      </w:r>
    </w:p>
    <w:p w14:paraId="7AA3299C" w14:textId="77777777" w:rsidR="00DE4CD1" w:rsidRPr="00865343" w:rsidRDefault="00DE4CD1" w:rsidP="00DE4CD1">
      <w:pPr>
        <w:spacing w:before="240" w:after="240"/>
        <w:ind w:left="851" w:right="900"/>
        <w:jc w:val="both"/>
        <w:rPr>
          <w:rFonts w:ascii="Palatino Linotype" w:hAnsi="Palatino Linotype"/>
          <w:i/>
          <w:sz w:val="22"/>
          <w:szCs w:val="22"/>
        </w:rPr>
      </w:pPr>
      <w:r w:rsidRPr="00865343">
        <w:rPr>
          <w:rFonts w:ascii="Palatino Linotype" w:hAnsi="Palatino Linotype"/>
          <w:i/>
          <w:sz w:val="22"/>
          <w:szCs w:val="22"/>
        </w:rPr>
        <w:t>“</w:t>
      </w:r>
      <w:r w:rsidRPr="00865343">
        <w:rPr>
          <w:rFonts w:ascii="Palatino Linotype" w:hAnsi="Palatino Linotype"/>
          <w:b/>
          <w:i/>
          <w:sz w:val="22"/>
          <w:szCs w:val="22"/>
        </w:rPr>
        <w:t>Artículo 86</w:t>
      </w:r>
      <w:r w:rsidRPr="00865343">
        <w:rPr>
          <w:rFonts w:ascii="Palatino Linotype" w:hAnsi="Palatino Linotype"/>
          <w:i/>
          <w:sz w:val="22"/>
          <w:szCs w:val="22"/>
        </w:rPr>
        <w:t>…</w:t>
      </w:r>
    </w:p>
    <w:p w14:paraId="60804858" w14:textId="77777777" w:rsidR="00DE4CD1" w:rsidRPr="00865343" w:rsidRDefault="00DE4CD1" w:rsidP="00DE4CD1">
      <w:pPr>
        <w:spacing w:before="240" w:after="240"/>
        <w:ind w:left="851" w:right="900"/>
        <w:jc w:val="both"/>
        <w:rPr>
          <w:rFonts w:ascii="Palatino Linotype" w:hAnsi="Palatino Linotype"/>
          <w:i/>
          <w:sz w:val="22"/>
          <w:szCs w:val="22"/>
        </w:rPr>
      </w:pPr>
      <w:r w:rsidRPr="00865343">
        <w:rPr>
          <w:rFonts w:ascii="Palatino Linotype" w:hAnsi="Palatino Linotype"/>
          <w:i/>
          <w:sz w:val="22"/>
          <w:szCs w:val="22"/>
        </w:rPr>
        <w:t xml:space="preserve">Los partidos y asociaciones políticas, legalmente reconocidos, la Federación, las entidades federativas, </w:t>
      </w:r>
      <w:r w:rsidRPr="00865343">
        <w:rPr>
          <w:rFonts w:ascii="Palatino Linotype" w:hAnsi="Palatino Linotype"/>
          <w:b/>
          <w:i/>
          <w:sz w:val="22"/>
          <w:szCs w:val="22"/>
        </w:rPr>
        <w:t>los municipios</w:t>
      </w:r>
      <w:r w:rsidRPr="00865343">
        <w:rPr>
          <w:rFonts w:ascii="Palatino Linotype" w:hAnsi="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865343">
        <w:rPr>
          <w:rFonts w:ascii="Palatino Linotype" w:hAnsi="Palatino Linotype"/>
          <w:b/>
          <w:i/>
          <w:sz w:val="22"/>
          <w:szCs w:val="22"/>
        </w:rPr>
        <w:t xml:space="preserve">están obligados a </w:t>
      </w:r>
      <w:r w:rsidRPr="00865343">
        <w:rPr>
          <w:rFonts w:ascii="Palatino Linotype" w:hAnsi="Palatino Linotype"/>
          <w:b/>
          <w:i/>
          <w:sz w:val="22"/>
          <w:szCs w:val="22"/>
          <w:u w:val="single"/>
        </w:rPr>
        <w:t>expedir y entregar comprobantes fiscales</w:t>
      </w:r>
      <w:r w:rsidRPr="00865343">
        <w:rPr>
          <w:rFonts w:ascii="Palatino Linotype" w:hAnsi="Palatino Linotype"/>
          <w:b/>
          <w:i/>
          <w:sz w:val="22"/>
          <w:szCs w:val="22"/>
        </w:rPr>
        <w:t xml:space="preserve"> a las personas que reciban pagos por concepto de salarios y, en general, por la prestación de un servicio personal subordinado, en la fecha en que se realice la erogación correspondiente, los cuales </w:t>
      </w:r>
      <w:r w:rsidRPr="00865343">
        <w:rPr>
          <w:rFonts w:ascii="Palatino Linotype" w:hAnsi="Palatino Linotype"/>
          <w:b/>
          <w:i/>
          <w:sz w:val="22"/>
          <w:szCs w:val="22"/>
          <w:u w:val="single"/>
        </w:rPr>
        <w:t xml:space="preserve">podrán utilizarse como </w:t>
      </w:r>
      <w:r w:rsidRPr="00865343">
        <w:rPr>
          <w:rFonts w:ascii="Palatino Linotype" w:hAnsi="Palatino Linotype"/>
          <w:b/>
          <w:i/>
          <w:sz w:val="22"/>
          <w:szCs w:val="22"/>
          <w:u w:val="single"/>
        </w:rPr>
        <w:lastRenderedPageBreak/>
        <w:t>constancia o recibo de pago</w:t>
      </w:r>
      <w:r w:rsidRPr="00865343">
        <w:rPr>
          <w:rFonts w:ascii="Palatino Linotype" w:hAnsi="Palatino Linotype"/>
          <w:i/>
          <w:sz w:val="22"/>
          <w:szCs w:val="22"/>
        </w:rPr>
        <w:t xml:space="preserve"> para efectos de la legislación laboral a que se refieren los artículos 132 fracciones VII y VIII, y 804 primer párrafo fracciones II y IV de la Ley Federal del Trabajo…”</w:t>
      </w:r>
    </w:p>
    <w:p w14:paraId="34644FC8" w14:textId="77777777" w:rsidR="00DE4CD1" w:rsidRPr="00865343" w:rsidRDefault="00DE4CD1" w:rsidP="00DE4CD1">
      <w:pPr>
        <w:spacing w:before="240" w:after="240" w:line="360" w:lineRule="auto"/>
        <w:ind w:right="49"/>
        <w:jc w:val="both"/>
        <w:rPr>
          <w:rFonts w:ascii="Palatino Linotype" w:hAnsi="Palatino Linotype"/>
          <w:szCs w:val="22"/>
        </w:rPr>
      </w:pPr>
      <w:r w:rsidRPr="00865343">
        <w:rPr>
          <w:rFonts w:ascii="Palatino Linotype" w:hAnsi="Palatino Linotype"/>
          <w:szCs w:val="22"/>
        </w:rPr>
        <w:t xml:space="preserve">Del precepto citado, se advierte que los municipios al ser entes públicos se encuentran constreñidos a expedir y entregar los comprobantes fiscales correspondientes a las personas que reciban pagos por conceptos de salarios, mismos que pueden ser utilizados como constancia o </w:t>
      </w:r>
      <w:r w:rsidRPr="00865343">
        <w:rPr>
          <w:rFonts w:ascii="Palatino Linotype" w:hAnsi="Palatino Linotype"/>
          <w:i/>
          <w:szCs w:val="22"/>
        </w:rPr>
        <w:t>recibo de pago</w:t>
      </w:r>
      <w:r w:rsidRPr="00865343">
        <w:rPr>
          <w:rFonts w:ascii="Palatino Linotype" w:hAnsi="Palatino Linotype"/>
          <w:szCs w:val="22"/>
        </w:rPr>
        <w:t xml:space="preserve">, de conformidad con los artículos 132 fracciones VII y VIII y 804 primer párrafo, </w:t>
      </w:r>
      <w:r w:rsidRPr="00865343">
        <w:rPr>
          <w:rFonts w:ascii="Palatino Linotype" w:hAnsi="Palatino Linotype"/>
        </w:rPr>
        <w:t>fracciones II y IV</w:t>
      </w:r>
      <w:r w:rsidRPr="00865343">
        <w:rPr>
          <w:rFonts w:ascii="Palatino Linotype" w:hAnsi="Palatino Linotype"/>
          <w:szCs w:val="22"/>
        </w:rPr>
        <w:t xml:space="preserve"> de la </w:t>
      </w:r>
      <w:r w:rsidRPr="00865343">
        <w:rPr>
          <w:rFonts w:ascii="Palatino Linotype" w:hAnsi="Palatino Linotype"/>
          <w:i/>
          <w:szCs w:val="22"/>
        </w:rPr>
        <w:t>Ley Federal del Trabajo</w:t>
      </w:r>
      <w:r w:rsidRPr="00865343">
        <w:rPr>
          <w:rFonts w:ascii="Palatino Linotype" w:hAnsi="Palatino Linotype"/>
          <w:szCs w:val="22"/>
        </w:rPr>
        <w:t>,  que a la letra señalan lo siguiente:</w:t>
      </w:r>
    </w:p>
    <w:p w14:paraId="07557025" w14:textId="77777777" w:rsidR="00DE4CD1" w:rsidRPr="00865343" w:rsidRDefault="00DE4CD1" w:rsidP="00DE4CD1">
      <w:pPr>
        <w:spacing w:before="120" w:after="120"/>
        <w:ind w:left="851" w:right="900"/>
        <w:jc w:val="both"/>
        <w:rPr>
          <w:rFonts w:ascii="Palatino Linotype" w:hAnsi="Palatino Linotype"/>
          <w:i/>
          <w:sz w:val="22"/>
          <w:szCs w:val="22"/>
        </w:rPr>
      </w:pPr>
      <w:r w:rsidRPr="00865343">
        <w:rPr>
          <w:rFonts w:ascii="Palatino Linotype" w:hAnsi="Palatino Linotype"/>
          <w:i/>
          <w:sz w:val="22"/>
          <w:szCs w:val="22"/>
        </w:rPr>
        <w:t>“</w:t>
      </w:r>
      <w:r w:rsidRPr="00865343">
        <w:rPr>
          <w:rFonts w:ascii="Palatino Linotype" w:hAnsi="Palatino Linotype"/>
          <w:b/>
          <w:i/>
          <w:sz w:val="22"/>
          <w:szCs w:val="22"/>
        </w:rPr>
        <w:t>Artículo 132</w:t>
      </w:r>
      <w:r w:rsidRPr="00865343">
        <w:rPr>
          <w:rFonts w:ascii="Palatino Linotype" w:hAnsi="Palatino Linotype"/>
          <w:i/>
          <w:sz w:val="22"/>
          <w:szCs w:val="22"/>
        </w:rPr>
        <w:t xml:space="preserve">.- Son </w:t>
      </w:r>
      <w:r w:rsidRPr="00865343">
        <w:rPr>
          <w:rFonts w:ascii="Palatino Linotype" w:hAnsi="Palatino Linotype"/>
          <w:b/>
          <w:i/>
          <w:sz w:val="22"/>
          <w:szCs w:val="22"/>
        </w:rPr>
        <w:t>obligaciones de los patrones</w:t>
      </w:r>
      <w:r w:rsidRPr="00865343">
        <w:rPr>
          <w:rFonts w:ascii="Palatino Linotype" w:hAnsi="Palatino Linotype"/>
          <w:i/>
          <w:sz w:val="22"/>
          <w:szCs w:val="22"/>
        </w:rPr>
        <w:t>:</w:t>
      </w:r>
    </w:p>
    <w:p w14:paraId="73BBEFAA" w14:textId="77777777" w:rsidR="00DE4CD1" w:rsidRPr="00865343" w:rsidRDefault="00DE4CD1" w:rsidP="00DE4CD1">
      <w:pPr>
        <w:spacing w:before="120" w:after="120"/>
        <w:ind w:left="851" w:right="900"/>
        <w:jc w:val="both"/>
        <w:rPr>
          <w:rFonts w:ascii="Palatino Linotype" w:hAnsi="Palatino Linotype"/>
          <w:i/>
          <w:sz w:val="22"/>
          <w:szCs w:val="22"/>
        </w:rPr>
      </w:pPr>
      <w:r w:rsidRPr="00865343">
        <w:rPr>
          <w:rFonts w:ascii="Palatino Linotype" w:hAnsi="Palatino Linotype"/>
          <w:i/>
          <w:sz w:val="22"/>
          <w:szCs w:val="22"/>
        </w:rPr>
        <w:t>…</w:t>
      </w:r>
    </w:p>
    <w:p w14:paraId="0BE63DC1" w14:textId="77777777" w:rsidR="00DE4CD1" w:rsidRPr="00865343" w:rsidRDefault="00DE4CD1" w:rsidP="00DE4CD1">
      <w:pPr>
        <w:spacing w:before="120" w:after="120"/>
        <w:ind w:left="851" w:right="900"/>
        <w:jc w:val="both"/>
        <w:rPr>
          <w:rFonts w:ascii="Palatino Linotype" w:hAnsi="Palatino Linotype"/>
          <w:i/>
          <w:sz w:val="22"/>
          <w:szCs w:val="22"/>
        </w:rPr>
      </w:pPr>
      <w:r w:rsidRPr="00865343">
        <w:rPr>
          <w:rFonts w:ascii="Palatino Linotype" w:hAnsi="Palatino Linotype"/>
          <w:i/>
          <w:sz w:val="22"/>
          <w:szCs w:val="22"/>
        </w:rPr>
        <w:t xml:space="preserve">VII.- </w:t>
      </w:r>
      <w:r w:rsidRPr="00865343">
        <w:rPr>
          <w:rFonts w:ascii="Palatino Linotype" w:hAnsi="Palatino Linotype"/>
          <w:b/>
          <w:i/>
          <w:sz w:val="22"/>
          <w:szCs w:val="22"/>
        </w:rPr>
        <w:t>Expedir</w:t>
      </w:r>
      <w:r w:rsidRPr="00865343">
        <w:rPr>
          <w:rFonts w:ascii="Palatino Linotype" w:hAnsi="Palatino Linotype"/>
          <w:i/>
          <w:sz w:val="22"/>
          <w:szCs w:val="22"/>
        </w:rPr>
        <w:t xml:space="preserve"> cada quince días, a solicitud de los trabajadores, una </w:t>
      </w:r>
      <w:r w:rsidRPr="00865343">
        <w:rPr>
          <w:rFonts w:ascii="Palatino Linotype" w:hAnsi="Palatino Linotype"/>
          <w:b/>
          <w:i/>
          <w:sz w:val="22"/>
          <w:szCs w:val="22"/>
        </w:rPr>
        <w:t>constancia</w:t>
      </w:r>
      <w:r w:rsidRPr="00865343">
        <w:rPr>
          <w:rFonts w:ascii="Palatino Linotype" w:hAnsi="Palatino Linotype"/>
          <w:i/>
          <w:sz w:val="22"/>
          <w:szCs w:val="22"/>
        </w:rPr>
        <w:t xml:space="preserve"> escrita del número de días trabajados y </w:t>
      </w:r>
      <w:r w:rsidRPr="00865343">
        <w:rPr>
          <w:rFonts w:ascii="Palatino Linotype" w:hAnsi="Palatino Linotype"/>
          <w:b/>
          <w:i/>
          <w:sz w:val="22"/>
          <w:szCs w:val="22"/>
        </w:rPr>
        <w:t>del salario percibido</w:t>
      </w:r>
      <w:r w:rsidRPr="00865343">
        <w:rPr>
          <w:rFonts w:ascii="Palatino Linotype" w:hAnsi="Palatino Linotype"/>
          <w:i/>
          <w:sz w:val="22"/>
          <w:szCs w:val="22"/>
        </w:rPr>
        <w:t xml:space="preserve">; </w:t>
      </w:r>
    </w:p>
    <w:p w14:paraId="1ADBC54B" w14:textId="77777777" w:rsidR="00DE4CD1" w:rsidRPr="00865343" w:rsidRDefault="00DE4CD1" w:rsidP="00DE4CD1">
      <w:pPr>
        <w:spacing w:before="120" w:after="120"/>
        <w:ind w:left="851" w:right="900"/>
        <w:jc w:val="both"/>
        <w:rPr>
          <w:rFonts w:ascii="Palatino Linotype" w:hAnsi="Palatino Linotype"/>
          <w:i/>
          <w:sz w:val="22"/>
          <w:szCs w:val="22"/>
        </w:rPr>
      </w:pPr>
      <w:r w:rsidRPr="00865343">
        <w:rPr>
          <w:rFonts w:ascii="Palatino Linotype" w:hAnsi="Palatino Linotype"/>
          <w:i/>
          <w:sz w:val="22"/>
          <w:szCs w:val="22"/>
        </w:rPr>
        <w:t>VIII.- Expedir al trabajador que lo solicite o se separe de la empresa, dentro del término de tres días, una constancia escrita relativa a sus servicios;</w:t>
      </w:r>
    </w:p>
    <w:p w14:paraId="7C2CA037" w14:textId="77777777" w:rsidR="00DE4CD1" w:rsidRPr="00865343" w:rsidRDefault="00DE4CD1" w:rsidP="00DE4CD1">
      <w:pPr>
        <w:spacing w:before="120" w:after="120"/>
        <w:ind w:left="851" w:right="900"/>
        <w:jc w:val="both"/>
        <w:rPr>
          <w:rFonts w:ascii="Palatino Linotype" w:hAnsi="Palatino Linotype"/>
          <w:i/>
          <w:sz w:val="22"/>
          <w:szCs w:val="22"/>
        </w:rPr>
      </w:pPr>
      <w:r w:rsidRPr="00865343">
        <w:rPr>
          <w:rFonts w:ascii="Palatino Linotype" w:hAnsi="Palatino Linotype"/>
          <w:i/>
          <w:sz w:val="22"/>
          <w:szCs w:val="22"/>
        </w:rPr>
        <w:t>(…)</w:t>
      </w:r>
    </w:p>
    <w:p w14:paraId="570B533E" w14:textId="77777777" w:rsidR="00DE4CD1" w:rsidRPr="00865343" w:rsidRDefault="00DE4CD1" w:rsidP="00DE4CD1">
      <w:pPr>
        <w:spacing w:before="120" w:after="120"/>
        <w:ind w:left="851" w:right="900"/>
        <w:jc w:val="both"/>
        <w:rPr>
          <w:rFonts w:ascii="Palatino Linotype" w:hAnsi="Palatino Linotype"/>
          <w:i/>
          <w:sz w:val="22"/>
          <w:szCs w:val="22"/>
        </w:rPr>
      </w:pPr>
      <w:r w:rsidRPr="00865343">
        <w:rPr>
          <w:rFonts w:ascii="Palatino Linotype" w:hAnsi="Palatino Linotype"/>
          <w:b/>
          <w:i/>
          <w:sz w:val="22"/>
          <w:szCs w:val="22"/>
        </w:rPr>
        <w:t>Artículo 804</w:t>
      </w:r>
      <w:r w:rsidRPr="00865343">
        <w:rPr>
          <w:rFonts w:ascii="Palatino Linotype" w:hAnsi="Palatino Linotype"/>
          <w:i/>
          <w:sz w:val="22"/>
          <w:szCs w:val="22"/>
        </w:rPr>
        <w:t xml:space="preserve">.- </w:t>
      </w:r>
      <w:r w:rsidRPr="00865343">
        <w:rPr>
          <w:rFonts w:ascii="Palatino Linotype" w:hAnsi="Palatino Linotype"/>
          <w:b/>
          <w:i/>
          <w:sz w:val="22"/>
          <w:szCs w:val="22"/>
        </w:rPr>
        <w:t>El patrón tiene obligación de conservar</w:t>
      </w:r>
      <w:r w:rsidRPr="00865343">
        <w:rPr>
          <w:rFonts w:ascii="Palatino Linotype" w:hAnsi="Palatino Linotype"/>
          <w:i/>
          <w:sz w:val="22"/>
          <w:szCs w:val="22"/>
        </w:rPr>
        <w:t xml:space="preserve"> y exhibir en juicio los documentos que a continuación se precisan:</w:t>
      </w:r>
    </w:p>
    <w:p w14:paraId="688555B3" w14:textId="77777777" w:rsidR="00DE4CD1" w:rsidRPr="00865343" w:rsidRDefault="00DE4CD1" w:rsidP="00DE4CD1">
      <w:pPr>
        <w:spacing w:before="120" w:after="120"/>
        <w:ind w:left="851" w:right="900"/>
        <w:jc w:val="both"/>
        <w:rPr>
          <w:rFonts w:ascii="Palatino Linotype" w:hAnsi="Palatino Linotype"/>
          <w:i/>
          <w:sz w:val="22"/>
          <w:szCs w:val="22"/>
        </w:rPr>
      </w:pPr>
      <w:r w:rsidRPr="00865343">
        <w:rPr>
          <w:rFonts w:ascii="Palatino Linotype" w:hAnsi="Palatino Linotype"/>
          <w:i/>
          <w:sz w:val="22"/>
          <w:szCs w:val="22"/>
        </w:rPr>
        <w:t xml:space="preserve">II. Listas de raya o </w:t>
      </w:r>
      <w:r w:rsidRPr="00865343">
        <w:rPr>
          <w:rFonts w:ascii="Palatino Linotype" w:hAnsi="Palatino Linotype"/>
          <w:b/>
          <w:i/>
          <w:sz w:val="22"/>
          <w:szCs w:val="22"/>
        </w:rPr>
        <w:t>nómina de personal</w:t>
      </w:r>
      <w:r w:rsidRPr="00865343">
        <w:rPr>
          <w:rFonts w:ascii="Palatino Linotype" w:hAnsi="Palatino Linotype"/>
          <w:i/>
          <w:sz w:val="22"/>
          <w:szCs w:val="22"/>
        </w:rPr>
        <w:t>, cuando se lleven en el centro de trabajo; o recibos de pagos de salarios;</w:t>
      </w:r>
    </w:p>
    <w:p w14:paraId="5E35AE9C" w14:textId="77777777" w:rsidR="00DE4CD1" w:rsidRPr="00865343" w:rsidRDefault="00DE4CD1" w:rsidP="00DE4CD1">
      <w:pPr>
        <w:spacing w:before="120" w:after="120"/>
        <w:ind w:left="851" w:right="900"/>
        <w:jc w:val="both"/>
        <w:rPr>
          <w:rFonts w:ascii="Palatino Linotype" w:hAnsi="Palatino Linotype"/>
          <w:i/>
          <w:sz w:val="22"/>
          <w:szCs w:val="22"/>
        </w:rPr>
      </w:pPr>
      <w:r w:rsidRPr="00865343">
        <w:rPr>
          <w:rFonts w:ascii="Palatino Linotype" w:hAnsi="Palatino Linotype"/>
          <w:i/>
          <w:sz w:val="22"/>
          <w:szCs w:val="22"/>
        </w:rPr>
        <w:t>…</w:t>
      </w:r>
    </w:p>
    <w:p w14:paraId="4C7876CE" w14:textId="77777777" w:rsidR="00DE4CD1" w:rsidRPr="00865343" w:rsidRDefault="00DE4CD1" w:rsidP="00DE4CD1">
      <w:pPr>
        <w:spacing w:before="120" w:after="120"/>
        <w:ind w:left="851" w:right="900"/>
        <w:jc w:val="both"/>
        <w:rPr>
          <w:rFonts w:ascii="Palatino Linotype" w:hAnsi="Palatino Linotype"/>
          <w:i/>
          <w:sz w:val="22"/>
          <w:szCs w:val="22"/>
        </w:rPr>
      </w:pPr>
      <w:r w:rsidRPr="00865343">
        <w:rPr>
          <w:rFonts w:ascii="Palatino Linotype" w:hAnsi="Palatino Linotype"/>
          <w:i/>
          <w:sz w:val="22"/>
          <w:szCs w:val="22"/>
        </w:rPr>
        <w:t xml:space="preserve">IV. </w:t>
      </w:r>
      <w:r w:rsidRPr="00865343">
        <w:rPr>
          <w:rFonts w:ascii="Palatino Linotype" w:hAnsi="Palatino Linotype"/>
          <w:b/>
          <w:i/>
          <w:sz w:val="22"/>
          <w:szCs w:val="22"/>
        </w:rPr>
        <w:t>Comprobantes de pago</w:t>
      </w:r>
      <w:r w:rsidRPr="00865343">
        <w:rPr>
          <w:rFonts w:ascii="Palatino Linotype" w:hAnsi="Palatino Linotype"/>
          <w:i/>
          <w:sz w:val="22"/>
          <w:szCs w:val="22"/>
        </w:rPr>
        <w:t xml:space="preserve"> </w:t>
      </w:r>
      <w:r w:rsidRPr="00865343">
        <w:rPr>
          <w:rFonts w:ascii="Palatino Linotype" w:hAnsi="Palatino Linotype"/>
          <w:b/>
          <w:i/>
          <w:sz w:val="22"/>
          <w:szCs w:val="22"/>
        </w:rPr>
        <w:t>de participación de utilidades, de vacaciones y de aguinaldos</w:t>
      </w:r>
      <w:r w:rsidRPr="00865343">
        <w:rPr>
          <w:rFonts w:ascii="Palatino Linotype" w:hAnsi="Palatino Linotype"/>
          <w:i/>
          <w:sz w:val="22"/>
          <w:szCs w:val="22"/>
        </w:rPr>
        <w:t xml:space="preserve">, así como las </w:t>
      </w:r>
      <w:r w:rsidRPr="00865343">
        <w:rPr>
          <w:rFonts w:ascii="Palatino Linotype" w:hAnsi="Palatino Linotype"/>
          <w:b/>
          <w:i/>
          <w:sz w:val="22"/>
          <w:szCs w:val="22"/>
        </w:rPr>
        <w:t>primas</w:t>
      </w:r>
      <w:r w:rsidRPr="00865343">
        <w:rPr>
          <w:rFonts w:ascii="Palatino Linotype" w:hAnsi="Palatino Linotype"/>
          <w:i/>
          <w:sz w:val="22"/>
          <w:szCs w:val="22"/>
        </w:rPr>
        <w:t xml:space="preserve"> a que se refiere esta Ley, y </w:t>
      </w:r>
      <w:r w:rsidRPr="00865343">
        <w:rPr>
          <w:rFonts w:ascii="Palatino Linotype" w:hAnsi="Palatino Linotype"/>
          <w:b/>
          <w:i/>
          <w:sz w:val="22"/>
          <w:szCs w:val="22"/>
        </w:rPr>
        <w:t>pagos, aportaciones y cuotas de seguridad social;</w:t>
      </w:r>
      <w:r w:rsidRPr="00865343">
        <w:rPr>
          <w:rFonts w:ascii="Palatino Linotype" w:hAnsi="Palatino Linotype"/>
          <w:i/>
          <w:sz w:val="22"/>
          <w:szCs w:val="22"/>
        </w:rPr>
        <w:t xml:space="preserve"> “</w:t>
      </w:r>
    </w:p>
    <w:p w14:paraId="7B4D598B" w14:textId="210BD153" w:rsidR="00DE4CD1" w:rsidRPr="00865343" w:rsidRDefault="00DE4CD1" w:rsidP="00DE4CD1">
      <w:pPr>
        <w:spacing w:before="240" w:after="240" w:line="360" w:lineRule="auto"/>
        <w:ind w:right="51"/>
        <w:jc w:val="both"/>
        <w:rPr>
          <w:rFonts w:ascii="Palatino Linotype" w:hAnsi="Palatino Linotype"/>
          <w:szCs w:val="22"/>
        </w:rPr>
      </w:pPr>
      <w:r w:rsidRPr="00865343">
        <w:rPr>
          <w:rFonts w:ascii="Palatino Linotype" w:hAnsi="Palatino Linotype"/>
          <w:szCs w:val="22"/>
        </w:rPr>
        <w:t>Bajo este tenor, dado que ha quedado demostrado que el sujeto obligado en el ejercicio de sus atribuciones genera, administra o posee los comprobantes de pago de la nómina de la</w:t>
      </w:r>
      <w:r w:rsidR="00A65D7E" w:rsidRPr="00865343">
        <w:rPr>
          <w:rFonts w:ascii="Palatino Linotype" w:hAnsi="Palatino Linotype"/>
          <w:szCs w:val="22"/>
        </w:rPr>
        <w:t>s</w:t>
      </w:r>
      <w:r w:rsidRPr="00865343">
        <w:rPr>
          <w:rFonts w:ascii="Palatino Linotype" w:hAnsi="Palatino Linotype"/>
          <w:szCs w:val="22"/>
        </w:rPr>
        <w:t xml:space="preserve"> persona</w:t>
      </w:r>
      <w:r w:rsidR="00A65D7E" w:rsidRPr="00865343">
        <w:rPr>
          <w:rFonts w:ascii="Palatino Linotype" w:hAnsi="Palatino Linotype"/>
          <w:szCs w:val="22"/>
        </w:rPr>
        <w:t>s</w:t>
      </w:r>
      <w:r w:rsidRPr="00865343">
        <w:rPr>
          <w:rFonts w:ascii="Palatino Linotype" w:hAnsi="Palatino Linotype"/>
          <w:szCs w:val="22"/>
        </w:rPr>
        <w:t xml:space="preserve"> aducida</w:t>
      </w:r>
      <w:r w:rsidR="00A65D7E" w:rsidRPr="00865343">
        <w:rPr>
          <w:rFonts w:ascii="Palatino Linotype" w:hAnsi="Palatino Linotype"/>
          <w:szCs w:val="22"/>
        </w:rPr>
        <w:t>s</w:t>
      </w:r>
      <w:r w:rsidRPr="00865343">
        <w:rPr>
          <w:rFonts w:ascii="Palatino Linotype" w:hAnsi="Palatino Linotype"/>
          <w:szCs w:val="22"/>
        </w:rPr>
        <w:t xml:space="preserve"> por el particular, lo procedente sería ordenar la entrega de los mismos</w:t>
      </w:r>
      <w:r w:rsidR="00D843E3" w:rsidRPr="00865343">
        <w:rPr>
          <w:rFonts w:ascii="Palatino Linotype" w:hAnsi="Palatino Linotype"/>
          <w:szCs w:val="22"/>
        </w:rPr>
        <w:t>, en versión pública y conforme al considerando siguiente.</w:t>
      </w:r>
    </w:p>
    <w:p w14:paraId="15AA7AE8" w14:textId="66F84DA2" w:rsidR="00BB230B" w:rsidRPr="00865343" w:rsidRDefault="00B66B57" w:rsidP="00BB230B">
      <w:pPr>
        <w:spacing w:before="240" w:after="240" w:line="360" w:lineRule="auto"/>
        <w:ind w:right="51"/>
        <w:jc w:val="both"/>
        <w:rPr>
          <w:rFonts w:ascii="Palatino Linotype" w:hAnsi="Palatino Linotype"/>
          <w:szCs w:val="22"/>
        </w:rPr>
      </w:pPr>
      <w:r w:rsidRPr="00865343">
        <w:rPr>
          <w:rFonts w:ascii="Palatino Linotype" w:hAnsi="Palatino Linotype"/>
          <w:szCs w:val="22"/>
        </w:rPr>
        <w:lastRenderedPageBreak/>
        <w:t>Expuesto lo anterior</w:t>
      </w:r>
      <w:r w:rsidR="009E4EEA" w:rsidRPr="00865343">
        <w:rPr>
          <w:rFonts w:ascii="Palatino Linotype" w:hAnsi="Palatino Linotype"/>
          <w:szCs w:val="22"/>
        </w:rPr>
        <w:t>,</w:t>
      </w:r>
      <w:r w:rsidRPr="00865343">
        <w:rPr>
          <w:rFonts w:ascii="Palatino Linotype" w:hAnsi="Palatino Linotype"/>
          <w:szCs w:val="22"/>
        </w:rPr>
        <w:t xml:space="preserve"> cabe mencionar que</w:t>
      </w:r>
      <w:r w:rsidR="009E4EEA" w:rsidRPr="00865343">
        <w:rPr>
          <w:rFonts w:ascii="Palatino Linotype" w:hAnsi="Palatino Linotype"/>
          <w:szCs w:val="22"/>
        </w:rPr>
        <w:t xml:space="preserve"> no pasa de la óptica de este Instituto Garante, que el particular requirió la información en formato “pdf”</w:t>
      </w:r>
      <w:r w:rsidR="00BB230B" w:rsidRPr="00865343">
        <w:rPr>
          <w:rFonts w:ascii="Palatino Linotype" w:hAnsi="Palatino Linotype"/>
          <w:szCs w:val="22"/>
        </w:rPr>
        <w:t>, es decir, que la requiere en un formato de documento portátil (PDF) utilizado para presentar e intercambiar documentos de forma fiable</w:t>
      </w:r>
      <w:r w:rsidR="00BB230B" w:rsidRPr="00865343">
        <w:rPr>
          <w:rStyle w:val="Refdenotaalpie"/>
          <w:rFonts w:ascii="Palatino Linotype" w:hAnsi="Palatino Linotype"/>
          <w:szCs w:val="22"/>
        </w:rPr>
        <w:footnoteReference w:id="5"/>
      </w:r>
      <w:r w:rsidR="00BB230B" w:rsidRPr="00865343">
        <w:rPr>
          <w:rFonts w:ascii="Palatino Linotype" w:hAnsi="Palatino Linotype"/>
          <w:szCs w:val="22"/>
        </w:rPr>
        <w:t xml:space="preserve">, </w:t>
      </w:r>
      <w:r w:rsidR="00636314" w:rsidRPr="00865343">
        <w:rPr>
          <w:rFonts w:ascii="Palatino Linotype" w:hAnsi="Palatino Linotype"/>
          <w:szCs w:val="22"/>
        </w:rPr>
        <w:t xml:space="preserve">siendo que los recibos de nómina son generados </w:t>
      </w:r>
      <w:r w:rsidR="00BB230B" w:rsidRPr="00865343">
        <w:rPr>
          <w:rFonts w:ascii="Palatino Linotype" w:hAnsi="Palatino Linotype"/>
          <w:szCs w:val="22"/>
        </w:rPr>
        <w:t>en dicho formato</w:t>
      </w:r>
      <w:r w:rsidR="00636314" w:rsidRPr="00865343">
        <w:rPr>
          <w:rFonts w:ascii="Palatino Linotype" w:hAnsi="Palatino Linotype"/>
          <w:szCs w:val="22"/>
        </w:rPr>
        <w:t xml:space="preserve"> por lo que</w:t>
      </w:r>
      <w:r w:rsidR="00BB230B" w:rsidRPr="00865343">
        <w:rPr>
          <w:rFonts w:ascii="Palatino Linotype" w:hAnsi="Palatino Linotype"/>
          <w:szCs w:val="22"/>
        </w:rPr>
        <w:t xml:space="preserve"> se deberá hacer entrega de los mismos al particular, de lo contrario, se enviarán en el formato que el Sujeto Obligado lo genere, ya que no se encuentra obligado a crear documentos conforme al interés de los particulares ni a </w:t>
      </w:r>
      <w:r w:rsidR="00BB230B" w:rsidRPr="00865343">
        <w:rPr>
          <w:rFonts w:ascii="Palatino Linotype" w:hAnsi="Palatino Linotype" w:cs="Arial"/>
          <w:szCs w:val="28"/>
        </w:rPr>
        <w:t>procesar la información;</w:t>
      </w:r>
      <w:r w:rsidR="00F80B76" w:rsidRPr="00865343">
        <w:rPr>
          <w:rFonts w:ascii="Palatino Linotype" w:hAnsi="Palatino Linotype" w:cs="Arial"/>
          <w:szCs w:val="28"/>
        </w:rPr>
        <w:t xml:space="preserve"> </w:t>
      </w:r>
      <w:r w:rsidR="00BB230B" w:rsidRPr="00865343">
        <w:rPr>
          <w:rFonts w:ascii="Palatino Linotype" w:hAnsi="Palatino Linotype" w:cs="Arial"/>
          <w:szCs w:val="28"/>
        </w:rPr>
        <w:t>e</w:t>
      </w:r>
      <w:r w:rsidR="00BB230B" w:rsidRPr="00865343">
        <w:rPr>
          <w:rFonts w:ascii="Palatino Linotype" w:hAnsi="Palatino Linotype" w:cs="Arial"/>
          <w:lang w:val="es-MX" w:eastAsia="en-US"/>
        </w:rPr>
        <w:t>n otras palabras, lo anterior significa que no están obligados generar un documento</w:t>
      </w:r>
      <w:r w:rsidR="00BB230B" w:rsidRPr="00865343">
        <w:rPr>
          <w:rFonts w:ascii="Palatino Linotype" w:hAnsi="Palatino Linotype" w:cs="Arial"/>
          <w:i/>
          <w:lang w:val="es-MX" w:eastAsia="en-US"/>
        </w:rPr>
        <w:t xml:space="preserve"> ad hoc</w:t>
      </w:r>
      <w:r w:rsidR="00BB230B" w:rsidRPr="00865343">
        <w:rPr>
          <w:rFonts w:ascii="Palatino Linotype" w:hAnsi="Palatino Linotype" w:cs="Arial"/>
          <w:lang w:val="es-MX" w:eastAsia="en-US"/>
        </w:rPr>
        <w:t xml:space="preserve"> en su intensión de satisfacer el derecho de acceso a la información pública; lo anterior implica que una vez entregado el documento que generen en ejercicio de sus atribuciones, corresponderá al particular efectuar las investigaciones necesarias para obtener la información que desea conocer.</w:t>
      </w:r>
    </w:p>
    <w:p w14:paraId="2ECF7656" w14:textId="5160EE51" w:rsidR="00B66B57" w:rsidRPr="00865343" w:rsidRDefault="00B66B57" w:rsidP="00B66B57">
      <w:pPr>
        <w:spacing w:before="240" w:after="240" w:line="360" w:lineRule="auto"/>
        <w:jc w:val="both"/>
        <w:rPr>
          <w:rFonts w:ascii="Palatino Linotype" w:hAnsi="Palatino Linotype" w:cs="Arial"/>
        </w:rPr>
      </w:pPr>
      <w:r w:rsidRPr="00865343">
        <w:rPr>
          <w:rFonts w:ascii="Palatino Linotype" w:eastAsiaTheme="minorHAnsi" w:hAnsi="Palatino Linotype" w:cs="Arial"/>
          <w:szCs w:val="22"/>
          <w:lang w:val="es-MX" w:eastAsia="en-US"/>
        </w:rPr>
        <w:t xml:space="preserve">Por último, no pasa inadvertido </w:t>
      </w:r>
      <w:r w:rsidRPr="00865343">
        <w:rPr>
          <w:rFonts w:ascii="Palatino Linotype" w:hAnsi="Palatino Linotype" w:cs="Arial"/>
        </w:rPr>
        <w:t>para este Órgano Garante</w:t>
      </w:r>
      <w:r w:rsidRPr="00865343">
        <w:rPr>
          <w:rFonts w:ascii="Palatino Linotype" w:eastAsiaTheme="minorHAnsi" w:hAnsi="Palatino Linotype" w:cs="Arial"/>
          <w:szCs w:val="22"/>
          <w:lang w:val="es-MX" w:eastAsia="en-US"/>
        </w:rPr>
        <w:t xml:space="preserve"> y como obra en el expediente electrónico del recurso de revisión indicado al rubro, que el Sujeto Obligado trasgredió el derecho de acceso a la información pública del particular no atender la solicitud de referencia conforme a lo establecido en la Ley de Transparencia y Acceso a la Información pública del Estado de México y Municipios, por lo cual </w:t>
      </w:r>
      <w:r w:rsidRPr="00865343">
        <w:rPr>
          <w:rFonts w:ascii="Palatino Linotype" w:hAnsi="Palatino Linotype"/>
          <w:color w:val="000000"/>
          <w:lang w:eastAsia="es-MX"/>
        </w:rPr>
        <w:t>de conformidad con el artículo 190, ordena se de vista al Titular de la Contraloría Interna y Órgano de Control y Vigilancia de este Instituto a fin de que en ejercicio de sus funciones determine lo conducente.</w:t>
      </w:r>
    </w:p>
    <w:p w14:paraId="6C8657A1" w14:textId="5D4FBBB4" w:rsidR="00040E5C" w:rsidRPr="00865343" w:rsidRDefault="00FD6737" w:rsidP="00040E5C">
      <w:pPr>
        <w:spacing w:before="240" w:after="240" w:line="360" w:lineRule="auto"/>
        <w:jc w:val="both"/>
        <w:rPr>
          <w:rFonts w:ascii="Palatino Linotype" w:hAnsi="Palatino Linotype" w:cs="Arial"/>
          <w:lang w:val="es-MX" w:eastAsia="es-MX"/>
        </w:rPr>
      </w:pPr>
      <w:r w:rsidRPr="00865343">
        <w:rPr>
          <w:rFonts w:ascii="Palatino Linotype" w:hAnsi="Palatino Linotype"/>
          <w:b/>
          <w:color w:val="000000"/>
        </w:rPr>
        <w:lastRenderedPageBreak/>
        <w:t>Q</w:t>
      </w:r>
      <w:r w:rsidR="00467C07" w:rsidRPr="00865343">
        <w:rPr>
          <w:rFonts w:ascii="Palatino Linotype" w:hAnsi="Palatino Linotype"/>
          <w:b/>
          <w:color w:val="000000"/>
        </w:rPr>
        <w:t>uinto</w:t>
      </w:r>
      <w:r w:rsidRPr="00865343">
        <w:rPr>
          <w:rFonts w:ascii="Palatino Linotype" w:hAnsi="Palatino Linotype"/>
          <w:b/>
          <w:color w:val="000000"/>
        </w:rPr>
        <w:t>. Versión Pública.</w:t>
      </w:r>
      <w:r w:rsidRPr="00865343">
        <w:rPr>
          <w:rFonts w:ascii="Palatino Linotype" w:hAnsi="Palatino Linotype" w:cs="Arial"/>
          <w:bCs/>
        </w:rPr>
        <w:t xml:space="preserve"> </w:t>
      </w:r>
      <w:r w:rsidR="00040E5C" w:rsidRPr="00865343">
        <w:rPr>
          <w:rFonts w:ascii="Palatino Linotype" w:hAnsi="Palatino Linotype"/>
        </w:rPr>
        <w:t>Finalmente, debe señalarse que de ser el caso en que los documentos que vayan a ser entregados por el Ayuntamiento de Valle de Chalco Solidaridad,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78DCACA0" w14:textId="77777777" w:rsidR="00040E5C" w:rsidRPr="00865343" w:rsidRDefault="00040E5C" w:rsidP="00040E5C">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44D7811E" w14:textId="77777777" w:rsidR="00040E5C" w:rsidRPr="00865343" w:rsidRDefault="00040E5C" w:rsidP="00040E5C">
      <w:pPr>
        <w:autoSpaceDE w:val="0"/>
        <w:autoSpaceDN w:val="0"/>
        <w:adjustRightInd w:val="0"/>
        <w:ind w:left="993" w:right="1041"/>
        <w:jc w:val="both"/>
        <w:rPr>
          <w:rFonts w:ascii="Palatino Linotype" w:hAnsi="Palatino Linotype" w:cs="Arial"/>
          <w:b/>
          <w:i/>
          <w:sz w:val="22"/>
          <w:szCs w:val="22"/>
        </w:rPr>
      </w:pPr>
      <w:r w:rsidRPr="00865343">
        <w:rPr>
          <w:rFonts w:ascii="Palatino Linotype" w:hAnsi="Palatino Linotype" w:cs="Arial"/>
          <w:b/>
          <w:i/>
          <w:sz w:val="22"/>
          <w:szCs w:val="22"/>
        </w:rPr>
        <w:t xml:space="preserve"> “Artículo 3. Para los efectos de la presente Ley se entenderá por:</w:t>
      </w:r>
    </w:p>
    <w:p w14:paraId="1A8133A4" w14:textId="77777777" w:rsidR="00040E5C" w:rsidRPr="00865343" w:rsidRDefault="00040E5C" w:rsidP="00040E5C">
      <w:pPr>
        <w:autoSpaceDE w:val="0"/>
        <w:autoSpaceDN w:val="0"/>
        <w:adjustRightInd w:val="0"/>
        <w:ind w:left="993" w:right="1041"/>
        <w:jc w:val="both"/>
        <w:rPr>
          <w:rFonts w:ascii="Palatino Linotype" w:hAnsi="Palatino Linotype" w:cs="Arial"/>
          <w:i/>
          <w:sz w:val="22"/>
          <w:szCs w:val="22"/>
        </w:rPr>
      </w:pPr>
      <w:r w:rsidRPr="00865343">
        <w:rPr>
          <w:rFonts w:ascii="Palatino Linotype" w:hAnsi="Palatino Linotype" w:cs="Arial"/>
          <w:b/>
          <w:i/>
          <w:sz w:val="22"/>
          <w:szCs w:val="22"/>
        </w:rPr>
        <w:t>IX. Datos personales:</w:t>
      </w:r>
      <w:r w:rsidRPr="00865343">
        <w:rPr>
          <w:rFonts w:ascii="Palatino Linotype" w:hAnsi="Palatino Linotype" w:cs="Arial"/>
          <w:i/>
          <w:sz w:val="22"/>
          <w:szCs w:val="22"/>
        </w:rPr>
        <w:t xml:space="preserve"> </w:t>
      </w:r>
      <w:r w:rsidRPr="00865343">
        <w:rPr>
          <w:rFonts w:ascii="Palatino Linotype" w:hAnsi="Palatino Linotype" w:cs="Arial"/>
          <w:b/>
          <w:i/>
          <w:sz w:val="22"/>
          <w:szCs w:val="22"/>
        </w:rPr>
        <w:t>La información concerniente a una persona, identificada o identificable</w:t>
      </w:r>
      <w:r w:rsidRPr="00865343">
        <w:rPr>
          <w:rFonts w:ascii="Palatino Linotype" w:hAnsi="Palatino Linotype" w:cs="Arial"/>
          <w:i/>
          <w:sz w:val="22"/>
          <w:szCs w:val="22"/>
        </w:rPr>
        <w:t xml:space="preserve"> según lo dispuesto por la Ley de Protección de Datos Personales del Estado de México;</w:t>
      </w:r>
    </w:p>
    <w:p w14:paraId="69A6E8F3" w14:textId="77777777" w:rsidR="00040E5C" w:rsidRPr="00865343" w:rsidRDefault="00040E5C" w:rsidP="00040E5C">
      <w:pPr>
        <w:autoSpaceDE w:val="0"/>
        <w:autoSpaceDN w:val="0"/>
        <w:adjustRightInd w:val="0"/>
        <w:ind w:left="993" w:right="1041"/>
        <w:jc w:val="both"/>
        <w:rPr>
          <w:rFonts w:ascii="Palatino Linotype" w:hAnsi="Palatino Linotype" w:cs="Arial"/>
          <w:i/>
          <w:sz w:val="22"/>
          <w:szCs w:val="22"/>
        </w:rPr>
      </w:pPr>
      <w:r w:rsidRPr="00865343">
        <w:rPr>
          <w:rFonts w:ascii="Palatino Linotype" w:hAnsi="Palatino Linotype" w:cs="Arial"/>
          <w:b/>
          <w:i/>
          <w:sz w:val="22"/>
          <w:szCs w:val="22"/>
        </w:rPr>
        <w:t>XX. Información clasificada:</w:t>
      </w:r>
      <w:r w:rsidRPr="00865343">
        <w:rPr>
          <w:rFonts w:ascii="Palatino Linotype" w:hAnsi="Palatino Linotype" w:cs="Arial"/>
          <w:i/>
          <w:sz w:val="22"/>
          <w:szCs w:val="22"/>
        </w:rPr>
        <w:t xml:space="preserve"> Aquella considerada por la presente Ley como reservada o confidencial;</w:t>
      </w:r>
    </w:p>
    <w:p w14:paraId="4343B254" w14:textId="77777777" w:rsidR="00040E5C" w:rsidRPr="00865343" w:rsidRDefault="00040E5C" w:rsidP="00040E5C">
      <w:pPr>
        <w:autoSpaceDE w:val="0"/>
        <w:autoSpaceDN w:val="0"/>
        <w:adjustRightInd w:val="0"/>
        <w:ind w:left="993" w:right="1041"/>
        <w:jc w:val="both"/>
        <w:rPr>
          <w:rFonts w:ascii="Palatino Linotype" w:hAnsi="Palatino Linotype"/>
          <w:i/>
          <w:sz w:val="22"/>
          <w:szCs w:val="22"/>
        </w:rPr>
      </w:pPr>
      <w:r w:rsidRPr="00865343">
        <w:rPr>
          <w:rFonts w:ascii="Palatino Linotype" w:hAnsi="Palatino Linotype"/>
          <w:b/>
          <w:i/>
          <w:sz w:val="22"/>
          <w:szCs w:val="22"/>
        </w:rPr>
        <w:t>XXXII. Protección de Datos Personales:</w:t>
      </w:r>
      <w:r w:rsidRPr="00865343">
        <w:rPr>
          <w:rFonts w:ascii="Palatino Linotype" w:hAnsi="Palatino Linotype"/>
          <w:i/>
          <w:sz w:val="22"/>
          <w:szCs w:val="22"/>
        </w:rPr>
        <w:t xml:space="preserve"> Derecho humano que tutela la privacidad de datos personales en poder de los sujetos obligados y sujetos particulares;</w:t>
      </w:r>
    </w:p>
    <w:p w14:paraId="171D2A9E" w14:textId="77777777" w:rsidR="00040E5C" w:rsidRPr="00865343" w:rsidRDefault="00040E5C" w:rsidP="00040E5C">
      <w:pPr>
        <w:autoSpaceDE w:val="0"/>
        <w:autoSpaceDN w:val="0"/>
        <w:adjustRightInd w:val="0"/>
        <w:ind w:left="993" w:right="1041"/>
        <w:jc w:val="both"/>
        <w:rPr>
          <w:rFonts w:ascii="Palatino Linotype" w:hAnsi="Palatino Linotype" w:cs="Arial"/>
          <w:i/>
          <w:sz w:val="22"/>
          <w:szCs w:val="22"/>
        </w:rPr>
      </w:pPr>
      <w:r w:rsidRPr="00865343">
        <w:rPr>
          <w:rFonts w:ascii="Palatino Linotype" w:hAnsi="Palatino Linotype" w:cs="Arial"/>
          <w:b/>
          <w:i/>
          <w:sz w:val="22"/>
          <w:szCs w:val="22"/>
        </w:rPr>
        <w:t>XLV. Versión pública</w:t>
      </w:r>
      <w:r w:rsidRPr="00865343">
        <w:rPr>
          <w:rFonts w:ascii="Palatino Linotype" w:hAnsi="Palatino Linotype" w:cs="Arial"/>
          <w:i/>
          <w:sz w:val="22"/>
          <w:szCs w:val="22"/>
        </w:rPr>
        <w:t>: Documento en el que se elimine, suprime o borra la información clasificada como reservada o confidencial para permitir su acceso.”</w:t>
      </w:r>
    </w:p>
    <w:p w14:paraId="54F8AAAA" w14:textId="77777777" w:rsidR="00040E5C" w:rsidRPr="00865343" w:rsidRDefault="00040E5C" w:rsidP="00040E5C">
      <w:pPr>
        <w:autoSpaceDE w:val="0"/>
        <w:autoSpaceDN w:val="0"/>
        <w:adjustRightInd w:val="0"/>
        <w:ind w:left="993" w:right="1041"/>
        <w:jc w:val="both"/>
        <w:rPr>
          <w:rFonts w:ascii="Palatino Linotype" w:hAnsi="Palatino Linotype" w:cs="Arial"/>
          <w:i/>
          <w:sz w:val="22"/>
          <w:szCs w:val="22"/>
        </w:rPr>
      </w:pPr>
    </w:p>
    <w:p w14:paraId="62B82F98" w14:textId="77777777" w:rsidR="00040E5C" w:rsidRPr="00865343" w:rsidRDefault="00040E5C" w:rsidP="00040E5C">
      <w:pPr>
        <w:ind w:left="993" w:right="1041"/>
        <w:contextualSpacing/>
        <w:jc w:val="both"/>
        <w:rPr>
          <w:rFonts w:ascii="Palatino Linotype" w:hAnsi="Palatino Linotype"/>
          <w:i/>
          <w:sz w:val="22"/>
          <w:szCs w:val="22"/>
        </w:rPr>
      </w:pPr>
      <w:r w:rsidRPr="00865343">
        <w:rPr>
          <w:rFonts w:ascii="Palatino Linotype" w:hAnsi="Palatino Linotype"/>
          <w:b/>
          <w:i/>
          <w:sz w:val="22"/>
          <w:szCs w:val="22"/>
        </w:rPr>
        <w:t>“Artículo 6.</w:t>
      </w:r>
      <w:r w:rsidRPr="00865343">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sidRPr="00865343">
        <w:rPr>
          <w:rFonts w:ascii="Palatino Linotype" w:hAnsi="Palatino Linotype"/>
          <w:i/>
          <w:sz w:val="22"/>
          <w:szCs w:val="22"/>
        </w:rPr>
        <w:lastRenderedPageBreak/>
        <w:t>en materia de datos personales, se deberá estar a lo dispuesto en las leyes de la materia.”</w:t>
      </w:r>
    </w:p>
    <w:p w14:paraId="4F06D361" w14:textId="77777777" w:rsidR="00040E5C" w:rsidRPr="00865343" w:rsidRDefault="00040E5C" w:rsidP="00040E5C">
      <w:pPr>
        <w:ind w:left="993" w:right="1041"/>
        <w:contextualSpacing/>
        <w:jc w:val="both"/>
        <w:rPr>
          <w:rFonts w:ascii="Palatino Linotype" w:hAnsi="Palatino Linotype" w:cs="Arial"/>
          <w:bCs/>
          <w:i/>
          <w:noProof/>
          <w:sz w:val="22"/>
          <w:szCs w:val="22"/>
        </w:rPr>
      </w:pPr>
    </w:p>
    <w:p w14:paraId="53E7FF10" w14:textId="77777777" w:rsidR="00040E5C" w:rsidRPr="00865343" w:rsidRDefault="00040E5C" w:rsidP="00040E5C">
      <w:pPr>
        <w:spacing w:before="240"/>
        <w:ind w:left="993" w:right="1041"/>
        <w:contextualSpacing/>
        <w:jc w:val="both"/>
        <w:rPr>
          <w:rFonts w:ascii="Palatino Linotype" w:hAnsi="Palatino Linotype" w:cs="Arial"/>
          <w:b/>
          <w:bCs/>
          <w:i/>
          <w:noProof/>
          <w:color w:val="FF0000"/>
          <w:sz w:val="22"/>
          <w:szCs w:val="22"/>
        </w:rPr>
      </w:pPr>
      <w:r w:rsidRPr="00865343">
        <w:rPr>
          <w:rFonts w:ascii="Palatino Linotype" w:hAnsi="Palatino Linotype"/>
          <w:b/>
          <w:i/>
          <w:sz w:val="22"/>
          <w:szCs w:val="22"/>
        </w:rPr>
        <w:t>“Artículo 137.</w:t>
      </w:r>
      <w:r w:rsidRPr="00865343">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630E5F4" w14:textId="77777777" w:rsidR="00040E5C" w:rsidRPr="00865343" w:rsidRDefault="00040E5C" w:rsidP="00040E5C">
      <w:pPr>
        <w:spacing w:before="240"/>
        <w:ind w:left="993" w:right="1041"/>
        <w:contextualSpacing/>
        <w:jc w:val="both"/>
        <w:rPr>
          <w:rFonts w:ascii="Palatino Linotype" w:hAnsi="Palatino Linotype" w:cs="Arial"/>
          <w:b/>
          <w:bCs/>
          <w:i/>
          <w:noProof/>
          <w:color w:val="FF0000"/>
          <w:sz w:val="22"/>
          <w:szCs w:val="22"/>
        </w:rPr>
      </w:pPr>
    </w:p>
    <w:p w14:paraId="1CF26CA7" w14:textId="77777777" w:rsidR="00040E5C" w:rsidRPr="00865343" w:rsidRDefault="00040E5C" w:rsidP="00040E5C">
      <w:pPr>
        <w:spacing w:before="240"/>
        <w:ind w:left="993" w:right="1041"/>
        <w:contextualSpacing/>
        <w:jc w:val="both"/>
        <w:rPr>
          <w:rFonts w:ascii="Palatino Linotype" w:hAnsi="Palatino Linotype"/>
          <w:i/>
          <w:sz w:val="22"/>
          <w:szCs w:val="22"/>
        </w:rPr>
      </w:pPr>
      <w:r w:rsidRPr="00865343">
        <w:rPr>
          <w:rFonts w:ascii="Palatino Linotype" w:hAnsi="Palatino Linotype"/>
          <w:b/>
          <w:i/>
          <w:sz w:val="22"/>
          <w:szCs w:val="22"/>
        </w:rPr>
        <w:t>“Artículo 143</w:t>
      </w:r>
      <w:r w:rsidRPr="00865343">
        <w:rPr>
          <w:rFonts w:ascii="Palatino Linotype" w:hAnsi="Palatino Linotype"/>
          <w:i/>
          <w:sz w:val="22"/>
          <w:szCs w:val="22"/>
        </w:rPr>
        <w:t>. Para los efectos de esta Ley se considera información confidencial, la clasificada como tal, de manera permanente, por su naturaleza, cuando:</w:t>
      </w:r>
    </w:p>
    <w:p w14:paraId="1B3F0030" w14:textId="77777777" w:rsidR="00040E5C" w:rsidRPr="00865343" w:rsidRDefault="00040E5C" w:rsidP="00040E5C">
      <w:pPr>
        <w:spacing w:before="240"/>
        <w:ind w:left="993" w:right="1041"/>
        <w:contextualSpacing/>
        <w:jc w:val="both"/>
        <w:rPr>
          <w:rFonts w:ascii="Palatino Linotype" w:hAnsi="Palatino Linotype"/>
          <w:i/>
        </w:rPr>
      </w:pPr>
      <w:r w:rsidRPr="00865343">
        <w:rPr>
          <w:rFonts w:ascii="Palatino Linotype" w:hAnsi="Palatino Linotype"/>
          <w:b/>
          <w:i/>
          <w:sz w:val="22"/>
          <w:szCs w:val="22"/>
        </w:rPr>
        <w:t>I.</w:t>
      </w:r>
      <w:r w:rsidRPr="00865343">
        <w:rPr>
          <w:rFonts w:ascii="Palatino Linotype" w:hAnsi="Palatino Linotype"/>
          <w:i/>
          <w:sz w:val="22"/>
          <w:szCs w:val="22"/>
        </w:rPr>
        <w:t xml:space="preserve"> </w:t>
      </w:r>
      <w:r w:rsidRPr="00865343">
        <w:rPr>
          <w:rFonts w:ascii="Palatino Linotype" w:hAnsi="Palatino Linotype"/>
          <w:b/>
          <w:i/>
          <w:sz w:val="22"/>
          <w:szCs w:val="22"/>
        </w:rPr>
        <w:t>Se refiera a la información privada y los datos personales concernientes a una persona física o jurídico colectiva identificada o identificable</w:t>
      </w:r>
      <w:r w:rsidRPr="00865343">
        <w:rPr>
          <w:rFonts w:ascii="Palatino Linotype" w:hAnsi="Palatino Linotype"/>
          <w:i/>
          <w:sz w:val="22"/>
          <w:szCs w:val="22"/>
        </w:rPr>
        <w:t>…”</w:t>
      </w:r>
    </w:p>
    <w:p w14:paraId="5AF6E9C8" w14:textId="77777777" w:rsidR="00040E5C" w:rsidRPr="00865343" w:rsidRDefault="00040E5C" w:rsidP="00040E5C">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Ley de Protección de Datos Personales en Posesión de Sujetos Obligados del Estado de México y Municipios.</w:t>
      </w:r>
    </w:p>
    <w:p w14:paraId="4D738E46" w14:textId="77777777" w:rsidR="00040E5C" w:rsidRPr="00865343" w:rsidRDefault="00040E5C" w:rsidP="00040E5C">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t xml:space="preserve">Datos que deberá clasificar como confidenciales por tratarse precisamente de información privada, puesto que los datos personales son irrenunciables, </w:t>
      </w:r>
      <w:r w:rsidRPr="00865343">
        <w:rPr>
          <w:rFonts w:ascii="Palatino Linotype" w:hAnsi="Palatino Linotype" w:cs="Arial"/>
        </w:rPr>
        <w:lastRenderedPageBreak/>
        <w:t>intransferibles e indelegables y los Sujetos Obligados no deberán hacer entrega de los mismos a personas ajenas a su titular.</w:t>
      </w:r>
    </w:p>
    <w:p w14:paraId="6525ED7E" w14:textId="77777777" w:rsidR="00040E5C" w:rsidRPr="00865343" w:rsidRDefault="00040E5C" w:rsidP="00040E5C">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eastAsia="Arial Unicode MS" w:hAnsi="Palatino Linotype" w:cs="Arial"/>
        </w:rPr>
        <w:t>E</w:t>
      </w:r>
      <w:r w:rsidRPr="00865343">
        <w:rPr>
          <w:rFonts w:ascii="Palatino Linotype" w:hAnsi="Palatino Linotype"/>
        </w:rPr>
        <w:t xml:space="preserve">n el caso específico en los documentos que se ordenan, pudieran obrar datos que son considerados confidenciales, cuyo acceso debe ser restringido, los cuales </w:t>
      </w:r>
      <w:r w:rsidRPr="00865343">
        <w:rPr>
          <w:rFonts w:ascii="Palatino Linotype" w:hAnsi="Palatino Linotype" w:cs="Arial"/>
        </w:rPr>
        <w:t xml:space="preserve">deben testarse al momento de la elaboración de versiones públicas, como es el caso de la </w:t>
      </w:r>
      <w:r w:rsidRPr="00865343">
        <w:rPr>
          <w:rFonts w:ascii="Palatino Linotype" w:hAnsi="Palatino Linotype" w:cs="Arial"/>
          <w:b/>
        </w:rPr>
        <w:t>Clave Única de Registro de Población</w:t>
      </w:r>
      <w:r w:rsidRPr="00865343">
        <w:rPr>
          <w:rFonts w:ascii="Palatino Linotype" w:hAnsi="Palatino Linotype" w:cs="Arial"/>
        </w:rPr>
        <w:t xml:space="preserve"> </w:t>
      </w:r>
      <w:r w:rsidRPr="00865343">
        <w:rPr>
          <w:rFonts w:ascii="Palatino Linotype" w:hAnsi="Palatino Linotype" w:cs="Arial"/>
          <w:b/>
          <w:i/>
        </w:rPr>
        <w:t>(CURP),</w:t>
      </w:r>
      <w:r w:rsidRPr="00865343">
        <w:rPr>
          <w:rFonts w:ascii="Palatino Linotype" w:hAnsi="Palatino Linotype" w:cs="Arial"/>
        </w:rPr>
        <w:t xml:space="preserve"> la </w:t>
      </w:r>
      <w:r w:rsidRPr="00865343">
        <w:rPr>
          <w:rFonts w:ascii="Palatino Linotype" w:hAnsi="Palatino Linotype" w:cs="Arial"/>
          <w:b/>
        </w:rPr>
        <w:t>firma de los</w:t>
      </w:r>
      <w:r w:rsidRPr="00865343">
        <w:rPr>
          <w:rFonts w:ascii="Palatino Linotype" w:hAnsi="Palatino Linotype" w:cs="Arial"/>
        </w:rPr>
        <w:t xml:space="preserve"> </w:t>
      </w:r>
      <w:r w:rsidRPr="00865343">
        <w:rPr>
          <w:rFonts w:ascii="Palatino Linotype" w:hAnsi="Palatino Linotype" w:cs="Arial"/>
          <w:b/>
        </w:rPr>
        <w:t>particulares</w:t>
      </w:r>
      <w:r w:rsidRPr="00865343">
        <w:rPr>
          <w:rFonts w:ascii="Palatino Linotype" w:hAnsi="Palatino Linotype" w:cs="Arial"/>
        </w:rPr>
        <w:t xml:space="preserve"> y cualquier otro dato que por su naturaleza confidencial pudiera conllevar un riesgo grave para la esfera privada de los servidores públicos.</w:t>
      </w:r>
    </w:p>
    <w:p w14:paraId="7B14E159" w14:textId="77777777" w:rsidR="00040E5C" w:rsidRPr="00865343" w:rsidRDefault="00040E5C" w:rsidP="00040E5C">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t>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B1606B8" w14:textId="77777777" w:rsidR="00040E5C" w:rsidRPr="00865343" w:rsidRDefault="00040E5C" w:rsidP="00040E5C">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70CB68E" w14:textId="77777777" w:rsidR="00040E5C" w:rsidRPr="00865343" w:rsidRDefault="00040E5C" w:rsidP="00040E5C">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4DC44D36" w14:textId="77777777" w:rsidR="00040E5C" w:rsidRPr="00865343" w:rsidRDefault="00040E5C" w:rsidP="00040E5C">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t>Argumentación que guarda sustento en lo estipulado por el artículo 23 de la Ley de Transparencia y Acceso a la Información Pública del Estado de México y Municipios vigente en su penúltimo párrafo, mismo que se lee como sigue:</w:t>
      </w:r>
    </w:p>
    <w:p w14:paraId="7ED2F278" w14:textId="77777777" w:rsidR="00040E5C" w:rsidRPr="00865343" w:rsidRDefault="00040E5C" w:rsidP="00040E5C">
      <w:pPr>
        <w:ind w:left="709" w:right="709"/>
        <w:jc w:val="both"/>
        <w:rPr>
          <w:rFonts w:ascii="Palatino Linotype" w:hAnsi="Palatino Linotype" w:cs="Arial,Bold"/>
          <w:b/>
          <w:bCs/>
          <w:i/>
          <w:sz w:val="22"/>
          <w:lang w:eastAsia="es-MX"/>
        </w:rPr>
      </w:pPr>
      <w:r w:rsidRPr="00865343">
        <w:rPr>
          <w:rFonts w:ascii="Palatino Linotype" w:hAnsi="Palatino Linotype" w:cs="Arial,Bold"/>
          <w:b/>
          <w:bCs/>
          <w:i/>
          <w:sz w:val="22"/>
          <w:lang w:eastAsia="es-MX"/>
        </w:rPr>
        <w:t>“Artículo 23. </w:t>
      </w:r>
      <w:r w:rsidRPr="00865343">
        <w:rPr>
          <w:rFonts w:ascii="Palatino Linotype" w:hAnsi="Palatino Linotype" w:cs="Arial,Bold"/>
          <w:bCs/>
          <w:i/>
          <w:sz w:val="22"/>
          <w:lang w:eastAsia="es-MX"/>
        </w:rPr>
        <w:t>(…)</w:t>
      </w:r>
    </w:p>
    <w:p w14:paraId="7DACEE56" w14:textId="77777777" w:rsidR="00040E5C" w:rsidRPr="00865343" w:rsidRDefault="00040E5C" w:rsidP="00040E5C">
      <w:pPr>
        <w:spacing w:after="240"/>
        <w:ind w:left="709" w:right="709"/>
        <w:jc w:val="both"/>
        <w:rPr>
          <w:rFonts w:ascii="Palatino Linotype" w:hAnsi="Palatino Linotype" w:cs="Arial,Bold"/>
          <w:b/>
          <w:bCs/>
          <w:i/>
          <w:sz w:val="22"/>
          <w:lang w:eastAsia="es-MX"/>
        </w:rPr>
      </w:pPr>
      <w:r w:rsidRPr="00865343">
        <w:rPr>
          <w:rFonts w:ascii="Palatino Linotype" w:hAnsi="Palatino Linotype" w:cs="Arial,Bold"/>
          <w:bCs/>
          <w:i/>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865343">
        <w:rPr>
          <w:rFonts w:ascii="Palatino Linotype" w:hAnsi="Palatino Linotype" w:cs="Arial,Bold"/>
          <w:b/>
          <w:bCs/>
          <w:i/>
          <w:sz w:val="22"/>
          <w:lang w:eastAsia="es-MX"/>
        </w:rPr>
        <w:t>”</w:t>
      </w:r>
    </w:p>
    <w:p w14:paraId="6E40461C" w14:textId="77777777" w:rsidR="00040E5C" w:rsidRPr="00865343" w:rsidRDefault="00040E5C" w:rsidP="00040E5C">
      <w:pPr>
        <w:spacing w:after="240" w:line="360" w:lineRule="auto"/>
        <w:ind w:right="-93"/>
        <w:jc w:val="both"/>
        <w:rPr>
          <w:rFonts w:ascii="Palatino Linotype" w:hAnsi="Palatino Linotype" w:cs="Arial"/>
          <w:lang w:eastAsia="es-MX"/>
        </w:rPr>
      </w:pPr>
      <w:r w:rsidRPr="00865343">
        <w:rPr>
          <w:rFonts w:ascii="Palatino Linotype" w:hAnsi="Palatino Linotype" w:cs="Arial"/>
          <w:lang w:eastAsia="es-MX"/>
        </w:rPr>
        <w:t xml:space="preserve">Por cuanto hace a la </w:t>
      </w:r>
      <w:r w:rsidRPr="00865343">
        <w:rPr>
          <w:rFonts w:ascii="Palatino Linotype" w:hAnsi="Palatino Linotype" w:cs="Arial"/>
          <w:b/>
        </w:rPr>
        <w:t xml:space="preserve">Clave Única de Registro de Población, </w:t>
      </w:r>
      <w:r w:rsidRPr="00865343">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2CE9D87" w14:textId="77777777" w:rsidR="00040E5C" w:rsidRPr="00865343" w:rsidRDefault="00040E5C" w:rsidP="00040E5C">
      <w:pPr>
        <w:spacing w:line="360" w:lineRule="auto"/>
        <w:ind w:right="-93"/>
        <w:jc w:val="both"/>
        <w:rPr>
          <w:rFonts w:ascii="Palatino Linotype" w:hAnsi="Palatino Linotype" w:cs="Arial"/>
          <w:lang w:eastAsia="es-MX"/>
        </w:rPr>
      </w:pPr>
      <w:r w:rsidRPr="00865343">
        <w:rPr>
          <w:rFonts w:ascii="Palatino Linotype" w:hAnsi="Palatino Linotype" w:cs="Arial"/>
          <w:lang w:eastAsia="es-MX"/>
        </w:rPr>
        <w:t>Lo anterior, tiene sustento en los artículos 86 y 91 de la Ley General de Población, la cual señala lo siguiente:</w:t>
      </w:r>
    </w:p>
    <w:p w14:paraId="3B7E1989" w14:textId="77777777" w:rsidR="00040E5C" w:rsidRPr="00865343" w:rsidRDefault="00040E5C" w:rsidP="00040E5C">
      <w:pPr>
        <w:ind w:left="709" w:right="709"/>
        <w:jc w:val="both"/>
        <w:rPr>
          <w:rFonts w:ascii="Palatino Linotype" w:hAnsi="Palatino Linotype" w:cs="Arial"/>
          <w:i/>
          <w:sz w:val="22"/>
          <w:lang w:eastAsia="es-MX"/>
        </w:rPr>
      </w:pPr>
      <w:r w:rsidRPr="00865343">
        <w:rPr>
          <w:rFonts w:ascii="Palatino Linotype" w:hAnsi="Palatino Linotype" w:cs="Arial,Bold"/>
          <w:b/>
          <w:bCs/>
          <w:i/>
          <w:sz w:val="22"/>
          <w:lang w:eastAsia="es-MX"/>
        </w:rPr>
        <w:t xml:space="preserve">“Artículo 86. </w:t>
      </w:r>
      <w:r w:rsidRPr="00865343">
        <w:rPr>
          <w:rFonts w:ascii="Palatino Linotype" w:hAnsi="Palatino Linotype" w:cs="Arial"/>
          <w:i/>
          <w:sz w:val="22"/>
          <w:lang w:eastAsia="es-MX"/>
        </w:rPr>
        <w:t xml:space="preserve">El </w:t>
      </w:r>
      <w:r w:rsidRPr="00865343">
        <w:rPr>
          <w:rFonts w:ascii="Palatino Linotype" w:hAnsi="Palatino Linotype" w:cs="Arial"/>
          <w:i/>
          <w:sz w:val="22"/>
          <w:szCs w:val="22"/>
        </w:rPr>
        <w:t>Registro</w:t>
      </w:r>
      <w:r w:rsidRPr="00865343">
        <w:rPr>
          <w:rFonts w:ascii="Palatino Linotype" w:hAnsi="Palatino Linotype" w:cs="Arial"/>
          <w:i/>
          <w:sz w:val="22"/>
          <w:lang w:eastAsia="es-MX"/>
        </w:rPr>
        <w:t xml:space="preserve"> Nacional </w:t>
      </w:r>
      <w:r w:rsidRPr="00865343">
        <w:rPr>
          <w:rFonts w:ascii="Palatino Linotype" w:hAnsi="Palatino Linotype" w:cs="Arial"/>
          <w:i/>
          <w:sz w:val="22"/>
        </w:rPr>
        <w:t>de</w:t>
      </w:r>
      <w:r w:rsidRPr="00865343">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6FA68046" w14:textId="77777777" w:rsidR="00040E5C" w:rsidRPr="00865343" w:rsidRDefault="00040E5C" w:rsidP="00040E5C">
      <w:pPr>
        <w:ind w:left="709" w:right="709"/>
        <w:jc w:val="both"/>
        <w:rPr>
          <w:rFonts w:ascii="Palatino Linotype" w:hAnsi="Palatino Linotype" w:cs="Arial"/>
          <w:i/>
          <w:sz w:val="22"/>
          <w:lang w:eastAsia="es-MX"/>
        </w:rPr>
      </w:pPr>
      <w:r w:rsidRPr="00865343">
        <w:rPr>
          <w:rFonts w:ascii="Palatino Linotype" w:hAnsi="Palatino Linotype" w:cs="Arial,Bold"/>
          <w:b/>
          <w:bCs/>
          <w:i/>
          <w:sz w:val="22"/>
          <w:lang w:eastAsia="es-MX"/>
        </w:rPr>
        <w:lastRenderedPageBreak/>
        <w:t xml:space="preserve">Artículo 91. </w:t>
      </w:r>
      <w:r w:rsidRPr="00865343">
        <w:rPr>
          <w:rFonts w:ascii="Palatino Linotype" w:hAnsi="Palatino Linotype" w:cs="Arial"/>
          <w:i/>
          <w:sz w:val="22"/>
          <w:lang w:eastAsia="es-MX"/>
        </w:rPr>
        <w:t xml:space="preserve">Al incorporar a una persona en el Registro Nacional de Población, se le asignará una clave que se denominará </w:t>
      </w:r>
      <w:r w:rsidRPr="00865343">
        <w:rPr>
          <w:rFonts w:ascii="Palatino Linotype" w:hAnsi="Palatino Linotype" w:cs="Arial"/>
          <w:i/>
          <w:sz w:val="22"/>
          <w:szCs w:val="22"/>
        </w:rPr>
        <w:t>Clave</w:t>
      </w:r>
      <w:r w:rsidRPr="00865343">
        <w:rPr>
          <w:rFonts w:ascii="Palatino Linotype" w:hAnsi="Palatino Linotype" w:cs="Arial"/>
          <w:i/>
          <w:sz w:val="22"/>
          <w:lang w:eastAsia="es-MX"/>
        </w:rPr>
        <w:t xml:space="preserve"> Única de Registro de Población. Esta servirá para registrarla e identificarla en forma </w:t>
      </w:r>
      <w:r w:rsidRPr="00865343">
        <w:rPr>
          <w:rFonts w:ascii="Palatino Linotype" w:hAnsi="Palatino Linotype" w:cs="Arial"/>
          <w:i/>
          <w:sz w:val="22"/>
        </w:rPr>
        <w:t>individual</w:t>
      </w:r>
      <w:r w:rsidRPr="00865343">
        <w:rPr>
          <w:rFonts w:ascii="Palatino Linotype" w:hAnsi="Palatino Linotype" w:cs="Arial"/>
          <w:i/>
          <w:sz w:val="22"/>
          <w:lang w:eastAsia="es-MX"/>
        </w:rPr>
        <w:t>.”</w:t>
      </w:r>
    </w:p>
    <w:p w14:paraId="6193DFA9" w14:textId="77777777" w:rsidR="00040E5C" w:rsidRPr="00865343" w:rsidRDefault="00040E5C" w:rsidP="00040E5C">
      <w:pPr>
        <w:shd w:val="clear" w:color="auto" w:fill="FFFFFF"/>
        <w:spacing w:line="360" w:lineRule="auto"/>
        <w:jc w:val="both"/>
        <w:rPr>
          <w:rFonts w:ascii="Palatino Linotype" w:hAnsi="Palatino Linotype"/>
          <w:lang w:eastAsia="es-MX"/>
        </w:rPr>
      </w:pPr>
    </w:p>
    <w:p w14:paraId="00F83555" w14:textId="77777777" w:rsidR="00040E5C" w:rsidRPr="00865343" w:rsidRDefault="00040E5C" w:rsidP="00040E5C">
      <w:pPr>
        <w:shd w:val="clear" w:color="auto" w:fill="FFFFFF"/>
        <w:spacing w:line="360" w:lineRule="auto"/>
        <w:jc w:val="both"/>
        <w:rPr>
          <w:rFonts w:ascii="Palatino Linotype" w:hAnsi="Palatino Linotype"/>
          <w:lang w:eastAsia="es-MX"/>
        </w:rPr>
      </w:pPr>
      <w:r w:rsidRPr="00865343">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865343">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865343">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4D22B6AD" w14:textId="77777777" w:rsidR="00040E5C" w:rsidRPr="00865343" w:rsidRDefault="00040E5C" w:rsidP="00040E5C">
      <w:pPr>
        <w:spacing w:line="360" w:lineRule="auto"/>
        <w:ind w:right="-91"/>
        <w:jc w:val="both"/>
        <w:rPr>
          <w:rFonts w:ascii="Palatino Linotype" w:hAnsi="Palatino Linotype" w:cs="Arial"/>
          <w:lang w:eastAsia="es-MX"/>
        </w:rPr>
      </w:pPr>
      <w:r w:rsidRPr="00865343">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47C6D88D" w14:textId="77777777" w:rsidR="00040E5C" w:rsidRPr="00865343" w:rsidRDefault="00040E5C" w:rsidP="00040E5C">
      <w:pPr>
        <w:ind w:left="709" w:right="709"/>
        <w:jc w:val="both"/>
        <w:rPr>
          <w:rFonts w:ascii="Palatino Linotype" w:hAnsi="Palatino Linotype" w:cs="Arial,Bold"/>
          <w:b/>
          <w:bCs/>
          <w:i/>
          <w:sz w:val="22"/>
          <w:lang w:eastAsia="es-MX"/>
        </w:rPr>
      </w:pPr>
      <w:r w:rsidRPr="00865343">
        <w:rPr>
          <w:rFonts w:ascii="Palatino Linotype" w:hAnsi="Palatino Linotype" w:cs="Arial,Bold"/>
          <w:b/>
          <w:bCs/>
          <w:i/>
          <w:sz w:val="22"/>
          <w:lang w:eastAsia="es-MX"/>
        </w:rPr>
        <w:t xml:space="preserve">“Clave Única de Registro de Población (CURP). </w:t>
      </w:r>
      <w:r w:rsidRPr="00865343">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26E6606" w14:textId="77777777" w:rsidR="00040E5C" w:rsidRPr="00865343" w:rsidRDefault="00040E5C" w:rsidP="00040E5C">
      <w:pPr>
        <w:ind w:left="709" w:right="709"/>
        <w:jc w:val="both"/>
        <w:rPr>
          <w:rFonts w:ascii="Palatino Linotype" w:hAnsi="Palatino Linotype" w:cs="Arial,Bold"/>
          <w:bCs/>
          <w:i/>
          <w:sz w:val="22"/>
          <w:lang w:eastAsia="es-MX"/>
        </w:rPr>
      </w:pPr>
      <w:r w:rsidRPr="00865343">
        <w:rPr>
          <w:rFonts w:ascii="Palatino Linotype" w:hAnsi="Palatino Linotype" w:cs="Arial,Bold"/>
          <w:bCs/>
          <w:i/>
          <w:sz w:val="22"/>
          <w:lang w:eastAsia="es-MX"/>
        </w:rPr>
        <w:t>Resoluciones:</w:t>
      </w:r>
    </w:p>
    <w:p w14:paraId="504CD4FD" w14:textId="77777777" w:rsidR="00040E5C" w:rsidRPr="00865343" w:rsidRDefault="00040E5C" w:rsidP="00040E5C">
      <w:pPr>
        <w:ind w:left="709" w:right="709"/>
        <w:jc w:val="both"/>
        <w:rPr>
          <w:rFonts w:ascii="Palatino Linotype" w:hAnsi="Palatino Linotype" w:cs="Arial,Bold"/>
          <w:bCs/>
          <w:i/>
          <w:sz w:val="22"/>
          <w:lang w:eastAsia="es-MX"/>
        </w:rPr>
      </w:pPr>
      <w:r w:rsidRPr="00865343">
        <w:rPr>
          <w:rFonts w:ascii="Palatino Linotype" w:hAnsi="Palatino Linotype" w:cs="Arial,Bold"/>
          <w:bCs/>
          <w:i/>
          <w:sz w:val="22"/>
          <w:lang w:eastAsia="es-MX"/>
        </w:rPr>
        <w:t>RRA 3995/16. Secretaría de la Defensa Nacional. 1 de febrero de 2017. Por unanimidad. Comisionado Ponente Rosendoevgueni Monterrey Chepov.</w:t>
      </w:r>
    </w:p>
    <w:p w14:paraId="2E93BB76" w14:textId="77777777" w:rsidR="00040E5C" w:rsidRPr="00865343" w:rsidRDefault="00040E5C" w:rsidP="00040E5C">
      <w:pPr>
        <w:ind w:left="709" w:right="709"/>
        <w:jc w:val="both"/>
        <w:rPr>
          <w:rFonts w:ascii="Palatino Linotype" w:hAnsi="Palatino Linotype" w:cs="Arial,Bold"/>
          <w:bCs/>
          <w:i/>
          <w:sz w:val="22"/>
          <w:lang w:eastAsia="es-MX"/>
        </w:rPr>
      </w:pPr>
      <w:r w:rsidRPr="00865343">
        <w:rPr>
          <w:rFonts w:ascii="Palatino Linotype" w:hAnsi="Palatino Linotype" w:cs="Arial,Bold"/>
          <w:bCs/>
          <w:i/>
          <w:sz w:val="22"/>
          <w:lang w:eastAsia="es-MX"/>
        </w:rPr>
        <w:t xml:space="preserve">RRA 0937/17. Senado de la República. 15 de marzo de 2017. Por unanimidad. Comisionada Ponente Ximena Puente de la Mora. </w:t>
      </w:r>
    </w:p>
    <w:p w14:paraId="748B77A1" w14:textId="77777777" w:rsidR="00040E5C" w:rsidRPr="00865343" w:rsidRDefault="00040E5C" w:rsidP="00040E5C">
      <w:pPr>
        <w:ind w:left="709" w:right="709"/>
        <w:jc w:val="both"/>
        <w:rPr>
          <w:rFonts w:ascii="Palatino Linotype" w:hAnsi="Palatino Linotype" w:cs="Arial,Bold"/>
          <w:bCs/>
          <w:i/>
          <w:sz w:val="22"/>
          <w:lang w:eastAsia="es-MX"/>
        </w:rPr>
      </w:pPr>
      <w:r w:rsidRPr="00865343">
        <w:rPr>
          <w:rFonts w:ascii="Palatino Linotype" w:hAnsi="Palatino Linotype" w:cs="Arial,Bold"/>
          <w:bCs/>
          <w:i/>
          <w:sz w:val="22"/>
          <w:lang w:eastAsia="es-MX"/>
        </w:rPr>
        <w:lastRenderedPageBreak/>
        <w:t>RRA 0478/17. Secretaría de Relaciones Exteriores. 26 de abril de 2017. Por unanimidad. Comisionada Ponente Areli Cano Guadiana.”</w:t>
      </w:r>
    </w:p>
    <w:p w14:paraId="7CEAE0E8" w14:textId="77777777" w:rsidR="00A24530" w:rsidRPr="00865343" w:rsidRDefault="00A24530" w:rsidP="00A24530">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t>Finalmente por cuanto al Código QR también denominados códigos bidimensionales, los cuales son utilizados para almacenar diversos tipos de datos de manera codificada mediante barras en dos dimensiones al igual que los códigos de barras o códigos unidimensionales. Datos que pueden ser obtenidos por cualquier persona, los cuales en el caso que nos atañe pueden corresponder a datos personales como los anteriormente señalados.</w:t>
      </w:r>
    </w:p>
    <w:p w14:paraId="59C32C20" w14:textId="77777777" w:rsidR="00A24530" w:rsidRPr="00865343" w:rsidRDefault="00A24530" w:rsidP="00A24530">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t>En relación con las implicaciones anteriores, resulta esencial traer a colación lo que el artículo 142 de la Ley de Instituciones de Crédito establece en su parte conducente:</w:t>
      </w:r>
    </w:p>
    <w:p w14:paraId="2F80AD9B" w14:textId="77777777" w:rsidR="00A24530" w:rsidRPr="00865343" w:rsidRDefault="00A24530" w:rsidP="00A24530">
      <w:pPr>
        <w:shd w:val="clear" w:color="auto" w:fill="FFFFFF"/>
        <w:spacing w:after="120"/>
        <w:ind w:left="851" w:right="902"/>
        <w:jc w:val="both"/>
        <w:rPr>
          <w:color w:val="000000"/>
          <w:lang w:val="es-MX" w:eastAsia="es-MX"/>
        </w:rPr>
      </w:pPr>
      <w:r w:rsidRPr="00865343">
        <w:rPr>
          <w:rFonts w:ascii="Palatino Linotype" w:hAnsi="Palatino Linotype"/>
          <w:b/>
          <w:bCs/>
          <w:i/>
          <w:iCs/>
          <w:color w:val="000000"/>
          <w:sz w:val="20"/>
          <w:szCs w:val="20"/>
          <w:lang w:eastAsia="es-MX"/>
        </w:rPr>
        <w:t>“Artículo 142.-</w:t>
      </w:r>
      <w:r w:rsidRPr="00865343">
        <w:rPr>
          <w:rFonts w:ascii="Palatino Linotype" w:hAnsi="Palatino Linotype"/>
          <w:i/>
          <w:iCs/>
          <w:color w:val="000000"/>
          <w:sz w:val="20"/>
          <w:szCs w:val="20"/>
          <w:lang w:eastAsia="es-MX"/>
        </w:rPr>
        <w:t> La información y documentación relativa a las operaciones y servicios a que se refiere el artículo 46 de la presente Ley, tendrá carácter confidencial, por lo que las instituciones de crédito, en protección del derecho a la privacidad de sus clientes y usuarios que en este artículo se establece, en ningún caso podrán dar noticias o información de los depósitos, operaciones o servicios, incluyendo los previstos en la fracción XV del citado artículo 46, sino al depositante, deudor, titular, beneficiario, fideicomitente, fideicomisario, comitente o mandante, a sus representantes legales o a quienes tengan otorgado poder para disponer de la cuenta o para intervenir en la operación o servicio….”</w:t>
      </w:r>
    </w:p>
    <w:p w14:paraId="7690CEF3" w14:textId="756B4702" w:rsidR="00A24530" w:rsidRPr="00865343" w:rsidRDefault="00A24530" w:rsidP="00A24530">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t>Es así que del texto antes citado, se advierte que la documentación e información relativa a las operaciones y servicios a que se refiere el artículo 46</w:t>
      </w:r>
      <w:r w:rsidR="00917D63" w:rsidRPr="00865343">
        <w:rPr>
          <w:rStyle w:val="Refdenotaalpie"/>
          <w:rFonts w:ascii="Palatino Linotype" w:hAnsi="Palatino Linotype" w:cs="Arial"/>
        </w:rPr>
        <w:footnoteReference w:id="6"/>
      </w:r>
      <w:r w:rsidRPr="00865343">
        <w:rPr>
          <w:rFonts w:ascii="Palatino Linotype" w:hAnsi="Palatino Linotype" w:cs="Arial"/>
        </w:rPr>
        <w:t> de la citada Ley que corresponden a las instituciones de crédito tienen el carácter de confidencial.</w:t>
      </w:r>
    </w:p>
    <w:p w14:paraId="2C603099" w14:textId="77777777" w:rsidR="00A24530" w:rsidRPr="00865343" w:rsidRDefault="00A24530" w:rsidP="00A24530">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lastRenderedPageBreak/>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25794C8F" w14:textId="77777777" w:rsidR="00040E5C" w:rsidRPr="00865343" w:rsidRDefault="00040E5C" w:rsidP="00040E5C">
      <w:pPr>
        <w:autoSpaceDE w:val="0"/>
        <w:autoSpaceDN w:val="0"/>
        <w:adjustRightInd w:val="0"/>
        <w:spacing w:before="240" w:after="240" w:line="360" w:lineRule="auto"/>
        <w:ind w:right="50"/>
        <w:jc w:val="both"/>
        <w:rPr>
          <w:rFonts w:ascii="Palatino Linotype" w:hAnsi="Palatino Linotype" w:cs="Arial"/>
        </w:rPr>
      </w:pPr>
      <w:r w:rsidRPr="00865343">
        <w:rPr>
          <w:rFonts w:ascii="Palatino Linotype" w:hAnsi="Palatino Linotype" w:cs="Arial"/>
        </w:rPr>
        <w:t xml:space="preserve">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w:t>
      </w:r>
      <w:r w:rsidRPr="00865343">
        <w:rPr>
          <w:rFonts w:ascii="Palatino Linotype" w:hAnsi="Palatino Linotype" w:cs="Arial"/>
        </w:rPr>
        <w:lastRenderedPageBreak/>
        <w:t>términos de lo que disponen los artículos 49 fracción VIII, 53, fracción X y 59, fracción V, de la Ley en consulta, cuyo sentido literal es el siguiente:</w:t>
      </w:r>
    </w:p>
    <w:p w14:paraId="397AC12C" w14:textId="77777777" w:rsidR="00040E5C" w:rsidRPr="00865343" w:rsidRDefault="00040E5C" w:rsidP="00040E5C">
      <w:pPr>
        <w:spacing w:before="240"/>
        <w:ind w:left="993" w:right="1041"/>
        <w:contextualSpacing/>
        <w:jc w:val="both"/>
        <w:rPr>
          <w:rFonts w:ascii="Palatino Linotype" w:hAnsi="Palatino Linotype"/>
          <w:i/>
          <w:sz w:val="22"/>
          <w:szCs w:val="22"/>
        </w:rPr>
      </w:pPr>
      <w:r w:rsidRPr="00865343">
        <w:rPr>
          <w:rFonts w:ascii="Palatino Linotype" w:hAnsi="Palatino Linotype"/>
          <w:b/>
          <w:i/>
          <w:sz w:val="22"/>
          <w:szCs w:val="22"/>
        </w:rPr>
        <w:t>“Artículo 49.</w:t>
      </w:r>
      <w:r w:rsidRPr="00865343">
        <w:rPr>
          <w:rFonts w:ascii="Palatino Linotype" w:hAnsi="Palatino Linotype"/>
          <w:i/>
          <w:sz w:val="22"/>
          <w:szCs w:val="22"/>
        </w:rPr>
        <w:t xml:space="preserve"> </w:t>
      </w:r>
      <w:r w:rsidRPr="00865343">
        <w:rPr>
          <w:rFonts w:ascii="Palatino Linotype" w:hAnsi="Palatino Linotype"/>
          <w:b/>
          <w:i/>
          <w:sz w:val="22"/>
          <w:szCs w:val="22"/>
        </w:rPr>
        <w:t>Los Comités de Transparencia</w:t>
      </w:r>
      <w:r w:rsidRPr="00865343">
        <w:rPr>
          <w:rFonts w:ascii="Palatino Linotype" w:hAnsi="Palatino Linotype"/>
          <w:i/>
          <w:sz w:val="22"/>
          <w:szCs w:val="22"/>
        </w:rPr>
        <w:t xml:space="preserve"> tendrán las siguientes atribuciones:</w:t>
      </w:r>
    </w:p>
    <w:p w14:paraId="355189CE" w14:textId="77777777" w:rsidR="00040E5C" w:rsidRPr="00865343" w:rsidRDefault="00040E5C" w:rsidP="00040E5C">
      <w:pPr>
        <w:spacing w:before="240"/>
        <w:ind w:left="993" w:right="1041"/>
        <w:contextualSpacing/>
        <w:jc w:val="both"/>
        <w:rPr>
          <w:rFonts w:ascii="Palatino Linotype" w:hAnsi="Palatino Linotype"/>
          <w:i/>
          <w:sz w:val="22"/>
          <w:szCs w:val="22"/>
        </w:rPr>
      </w:pPr>
      <w:r w:rsidRPr="00865343">
        <w:rPr>
          <w:rFonts w:ascii="Palatino Linotype" w:hAnsi="Palatino Linotype"/>
          <w:b/>
          <w:i/>
          <w:sz w:val="22"/>
          <w:szCs w:val="22"/>
        </w:rPr>
        <w:t>VIII. Aprobar, modificar o revocar la clasificación de la información</w:t>
      </w:r>
      <w:r w:rsidRPr="00865343">
        <w:rPr>
          <w:rFonts w:ascii="Palatino Linotype" w:hAnsi="Palatino Linotype"/>
          <w:i/>
          <w:sz w:val="22"/>
          <w:szCs w:val="22"/>
        </w:rPr>
        <w:t>…”</w:t>
      </w:r>
    </w:p>
    <w:p w14:paraId="14206EFE" w14:textId="77777777" w:rsidR="00040E5C" w:rsidRPr="00865343" w:rsidRDefault="00040E5C" w:rsidP="00040E5C">
      <w:pPr>
        <w:spacing w:before="240"/>
        <w:ind w:left="993" w:right="1041"/>
        <w:contextualSpacing/>
        <w:jc w:val="both"/>
        <w:rPr>
          <w:rFonts w:ascii="Palatino Linotype" w:hAnsi="Palatino Linotype"/>
          <w:b/>
          <w:i/>
          <w:sz w:val="22"/>
          <w:szCs w:val="22"/>
        </w:rPr>
      </w:pPr>
    </w:p>
    <w:p w14:paraId="3B4EC0DE" w14:textId="77777777" w:rsidR="00040E5C" w:rsidRPr="00865343" w:rsidRDefault="00040E5C" w:rsidP="00040E5C">
      <w:pPr>
        <w:spacing w:before="240"/>
        <w:ind w:left="993" w:right="1041"/>
        <w:contextualSpacing/>
        <w:jc w:val="both"/>
        <w:rPr>
          <w:rFonts w:ascii="Palatino Linotype" w:hAnsi="Palatino Linotype"/>
          <w:i/>
          <w:sz w:val="22"/>
          <w:szCs w:val="22"/>
        </w:rPr>
      </w:pPr>
      <w:r w:rsidRPr="00865343">
        <w:rPr>
          <w:rFonts w:ascii="Palatino Linotype" w:hAnsi="Palatino Linotype"/>
          <w:i/>
          <w:sz w:val="22"/>
          <w:szCs w:val="22"/>
        </w:rPr>
        <w:t>“</w:t>
      </w:r>
      <w:r w:rsidRPr="00865343">
        <w:rPr>
          <w:rFonts w:ascii="Palatino Linotype" w:hAnsi="Palatino Linotype"/>
          <w:b/>
          <w:i/>
          <w:sz w:val="22"/>
          <w:szCs w:val="22"/>
        </w:rPr>
        <w:t>Artículo 53.</w:t>
      </w:r>
      <w:r w:rsidRPr="00865343">
        <w:rPr>
          <w:rFonts w:ascii="Palatino Linotype" w:hAnsi="Palatino Linotype"/>
          <w:i/>
          <w:sz w:val="22"/>
          <w:szCs w:val="22"/>
        </w:rPr>
        <w:t xml:space="preserve"> Las </w:t>
      </w:r>
      <w:r w:rsidRPr="00865343">
        <w:rPr>
          <w:rFonts w:ascii="Palatino Linotype" w:hAnsi="Palatino Linotype"/>
          <w:b/>
          <w:i/>
          <w:sz w:val="22"/>
          <w:szCs w:val="22"/>
        </w:rPr>
        <w:t>Unidades de Transparencia</w:t>
      </w:r>
      <w:r w:rsidRPr="00865343">
        <w:rPr>
          <w:rFonts w:ascii="Palatino Linotype" w:hAnsi="Palatino Linotype"/>
          <w:i/>
          <w:sz w:val="22"/>
          <w:szCs w:val="22"/>
        </w:rPr>
        <w:t xml:space="preserve"> tendrán las siguientes </w:t>
      </w:r>
      <w:r w:rsidRPr="00865343">
        <w:rPr>
          <w:rFonts w:ascii="Palatino Linotype" w:hAnsi="Palatino Linotype"/>
          <w:b/>
          <w:i/>
          <w:sz w:val="22"/>
          <w:szCs w:val="22"/>
        </w:rPr>
        <w:t>funciones</w:t>
      </w:r>
      <w:r w:rsidRPr="00865343">
        <w:rPr>
          <w:rFonts w:ascii="Palatino Linotype" w:hAnsi="Palatino Linotype"/>
          <w:i/>
          <w:sz w:val="22"/>
          <w:szCs w:val="22"/>
        </w:rPr>
        <w:t>:</w:t>
      </w:r>
    </w:p>
    <w:p w14:paraId="5749E023" w14:textId="77777777" w:rsidR="00040E5C" w:rsidRPr="00865343" w:rsidRDefault="00040E5C" w:rsidP="00040E5C">
      <w:pPr>
        <w:spacing w:before="240"/>
        <w:ind w:left="993" w:right="1041"/>
        <w:contextualSpacing/>
        <w:jc w:val="both"/>
        <w:rPr>
          <w:rFonts w:ascii="Palatino Linotype" w:hAnsi="Palatino Linotype"/>
          <w:i/>
          <w:sz w:val="22"/>
          <w:szCs w:val="22"/>
        </w:rPr>
      </w:pPr>
      <w:r w:rsidRPr="00865343">
        <w:rPr>
          <w:rFonts w:ascii="Palatino Linotype" w:hAnsi="Palatino Linotype"/>
          <w:b/>
          <w:i/>
          <w:sz w:val="22"/>
          <w:szCs w:val="22"/>
        </w:rPr>
        <w:t>X. Presentar ante el Comité, el proyecto de clasificación de información</w:t>
      </w:r>
      <w:r w:rsidRPr="00865343">
        <w:rPr>
          <w:rFonts w:ascii="Palatino Linotype" w:hAnsi="Palatino Linotype"/>
          <w:i/>
          <w:sz w:val="22"/>
          <w:szCs w:val="22"/>
        </w:rPr>
        <w:t xml:space="preserve">…” </w:t>
      </w:r>
    </w:p>
    <w:p w14:paraId="4828703D" w14:textId="77777777" w:rsidR="00040E5C" w:rsidRPr="00865343" w:rsidRDefault="00040E5C" w:rsidP="00040E5C">
      <w:pPr>
        <w:spacing w:before="240"/>
        <w:ind w:left="993" w:right="1041"/>
        <w:contextualSpacing/>
        <w:jc w:val="both"/>
        <w:rPr>
          <w:rFonts w:ascii="Palatino Linotype" w:hAnsi="Palatino Linotype"/>
          <w:i/>
          <w:sz w:val="22"/>
          <w:szCs w:val="22"/>
        </w:rPr>
      </w:pPr>
    </w:p>
    <w:p w14:paraId="52669F9D" w14:textId="77777777" w:rsidR="00040E5C" w:rsidRPr="00865343" w:rsidRDefault="00040E5C" w:rsidP="00040E5C">
      <w:pPr>
        <w:spacing w:before="240"/>
        <w:ind w:left="993" w:right="1041"/>
        <w:contextualSpacing/>
        <w:jc w:val="both"/>
        <w:rPr>
          <w:rFonts w:ascii="Palatino Linotype" w:hAnsi="Palatino Linotype"/>
          <w:i/>
          <w:sz w:val="22"/>
          <w:szCs w:val="22"/>
        </w:rPr>
      </w:pPr>
      <w:r w:rsidRPr="00865343">
        <w:rPr>
          <w:rFonts w:ascii="Palatino Linotype" w:hAnsi="Palatino Linotype"/>
          <w:b/>
          <w:i/>
          <w:sz w:val="22"/>
          <w:szCs w:val="22"/>
        </w:rPr>
        <w:t>“Artículo 59.</w:t>
      </w:r>
      <w:r w:rsidRPr="00865343">
        <w:rPr>
          <w:rFonts w:ascii="Palatino Linotype" w:hAnsi="Palatino Linotype"/>
          <w:i/>
          <w:sz w:val="22"/>
          <w:szCs w:val="22"/>
        </w:rPr>
        <w:t xml:space="preserve"> Los </w:t>
      </w:r>
      <w:r w:rsidRPr="00865343">
        <w:rPr>
          <w:rFonts w:ascii="Palatino Linotype" w:hAnsi="Palatino Linotype"/>
          <w:b/>
          <w:i/>
          <w:sz w:val="22"/>
          <w:szCs w:val="22"/>
        </w:rPr>
        <w:t>servidores públicos habilitados</w:t>
      </w:r>
      <w:r w:rsidRPr="00865343">
        <w:rPr>
          <w:rFonts w:ascii="Palatino Linotype" w:hAnsi="Palatino Linotype"/>
          <w:i/>
          <w:sz w:val="22"/>
          <w:szCs w:val="22"/>
        </w:rPr>
        <w:t xml:space="preserve"> tendrán las </w:t>
      </w:r>
      <w:r w:rsidRPr="00865343">
        <w:rPr>
          <w:rFonts w:ascii="Palatino Linotype" w:hAnsi="Palatino Linotype"/>
          <w:b/>
          <w:i/>
          <w:sz w:val="22"/>
          <w:szCs w:val="22"/>
        </w:rPr>
        <w:t>funciones</w:t>
      </w:r>
      <w:r w:rsidRPr="00865343">
        <w:rPr>
          <w:rFonts w:ascii="Palatino Linotype" w:hAnsi="Palatino Linotype"/>
          <w:i/>
          <w:sz w:val="22"/>
          <w:szCs w:val="22"/>
        </w:rPr>
        <w:t xml:space="preserve"> siguientes:</w:t>
      </w:r>
    </w:p>
    <w:p w14:paraId="46062081" w14:textId="77777777" w:rsidR="00040E5C" w:rsidRPr="00865343" w:rsidRDefault="00040E5C" w:rsidP="00040E5C">
      <w:pPr>
        <w:spacing w:before="240"/>
        <w:ind w:left="993" w:right="1041"/>
        <w:contextualSpacing/>
        <w:jc w:val="both"/>
        <w:rPr>
          <w:rFonts w:ascii="Palatino Linotype" w:hAnsi="Palatino Linotype"/>
          <w:i/>
          <w:sz w:val="22"/>
          <w:szCs w:val="22"/>
        </w:rPr>
      </w:pPr>
      <w:r w:rsidRPr="00865343">
        <w:rPr>
          <w:rFonts w:ascii="Palatino Linotype" w:hAnsi="Palatino Linotype"/>
          <w:b/>
          <w:i/>
          <w:sz w:val="22"/>
          <w:szCs w:val="22"/>
        </w:rPr>
        <w:t>V. Integrar y presentar al responsable de la Unidad de Transparencia la propuesta de clasificación de información</w:t>
      </w:r>
      <w:r w:rsidRPr="00865343">
        <w:rPr>
          <w:rFonts w:ascii="Palatino Linotype" w:hAnsi="Palatino Linotype"/>
          <w:i/>
          <w:sz w:val="22"/>
          <w:szCs w:val="22"/>
        </w:rPr>
        <w:t>, la cual tendrá los fundamentos y argumentos en que se basa dicha propuesta…”</w:t>
      </w:r>
    </w:p>
    <w:p w14:paraId="7419BFDD" w14:textId="77777777" w:rsidR="00040E5C" w:rsidRPr="00865343" w:rsidRDefault="00040E5C" w:rsidP="00040E5C">
      <w:pPr>
        <w:spacing w:before="240" w:after="240" w:line="360" w:lineRule="auto"/>
        <w:jc w:val="both"/>
        <w:rPr>
          <w:rFonts w:ascii="Palatino Linotype" w:hAnsi="Palatino Linotype" w:cs="Arial"/>
        </w:rPr>
      </w:pPr>
      <w:r w:rsidRPr="00865343">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AE27AAC" w14:textId="77777777" w:rsidR="00040E5C" w:rsidRPr="00865343" w:rsidRDefault="00040E5C" w:rsidP="00040E5C">
      <w:pPr>
        <w:spacing w:before="240" w:after="240" w:line="360" w:lineRule="auto"/>
        <w:jc w:val="both"/>
        <w:rPr>
          <w:rFonts w:ascii="Palatino Linotype" w:hAnsi="Palatino Linotype"/>
          <w:color w:val="000000"/>
        </w:rPr>
      </w:pPr>
      <w:r w:rsidRPr="00865343">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7D88D5D9" w14:textId="77777777" w:rsidR="00040E5C" w:rsidRPr="00865343" w:rsidRDefault="00040E5C" w:rsidP="00040E5C">
      <w:pPr>
        <w:spacing w:before="240" w:after="240"/>
        <w:ind w:left="993" w:right="1041"/>
        <w:jc w:val="both"/>
        <w:rPr>
          <w:rFonts w:ascii="Palatino Linotype" w:hAnsi="Palatino Linotype" w:cs="Arial"/>
          <w:i/>
          <w:sz w:val="22"/>
          <w:szCs w:val="22"/>
        </w:rPr>
      </w:pPr>
      <w:r w:rsidRPr="00865343">
        <w:rPr>
          <w:rFonts w:ascii="Palatino Linotype" w:hAnsi="Palatino Linotype"/>
          <w:i/>
          <w:color w:val="000000"/>
          <w:sz w:val="22"/>
          <w:szCs w:val="22"/>
        </w:rPr>
        <w:lastRenderedPageBreak/>
        <w:t>“</w:t>
      </w:r>
      <w:r w:rsidRPr="00865343">
        <w:rPr>
          <w:rFonts w:ascii="Palatino Linotype" w:hAnsi="Palatino Linotype"/>
          <w:b/>
          <w:i/>
          <w:sz w:val="22"/>
          <w:szCs w:val="22"/>
        </w:rPr>
        <w:t>Artículo 149.</w:t>
      </w:r>
      <w:r w:rsidRPr="00865343">
        <w:rPr>
          <w:rFonts w:ascii="Palatino Linotype" w:hAnsi="Palatino Linotype"/>
          <w:i/>
          <w:sz w:val="22"/>
          <w:szCs w:val="22"/>
        </w:rPr>
        <w:t xml:space="preserve"> El </w:t>
      </w:r>
      <w:r w:rsidRPr="00865343">
        <w:rPr>
          <w:rFonts w:ascii="Palatino Linotype" w:hAnsi="Palatino Linotype"/>
          <w:b/>
          <w:i/>
          <w:sz w:val="22"/>
          <w:szCs w:val="22"/>
        </w:rPr>
        <w:t>acuerdo que clasifique la información como confidencial</w:t>
      </w:r>
      <w:r w:rsidRPr="00865343">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580DCF9" w14:textId="77777777" w:rsidR="00040E5C" w:rsidRPr="00865343" w:rsidRDefault="00040E5C" w:rsidP="00040E5C">
      <w:pPr>
        <w:spacing w:before="240" w:after="240" w:line="360" w:lineRule="auto"/>
        <w:jc w:val="both"/>
        <w:rPr>
          <w:rFonts w:ascii="Palatino Linotype" w:hAnsi="Palatino Linotype" w:cs="Arial"/>
          <w:lang w:eastAsia="es-CO"/>
        </w:rPr>
      </w:pPr>
      <w:r w:rsidRPr="00865343">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17F74F31" w14:textId="18360C66" w:rsidR="00EB0136" w:rsidRPr="00865343" w:rsidRDefault="00652DED" w:rsidP="00040E5C">
      <w:pPr>
        <w:spacing w:before="100" w:beforeAutospacing="1" w:after="100" w:afterAutospacing="1" w:line="360" w:lineRule="auto"/>
        <w:ind w:right="-425"/>
        <w:jc w:val="both"/>
        <w:rPr>
          <w:rFonts w:ascii="Palatino Linotype" w:hAnsi="Palatino Linotype" w:cs="Arial"/>
        </w:rPr>
      </w:pPr>
      <w:r w:rsidRPr="00865343">
        <w:rPr>
          <w:rFonts w:ascii="Palatino Linotype" w:hAnsi="Palatino Linotype" w:cs="Arial"/>
        </w:rPr>
        <w:t xml:space="preserve">Así, con fundamento en lo prescrito en los artículos 5 párrafos </w:t>
      </w:r>
      <w:r w:rsidR="00E4225E" w:rsidRPr="00865343">
        <w:rPr>
          <w:rFonts w:ascii="Palatino Linotype" w:hAnsi="Palatino Linotype" w:cs="Arial"/>
        </w:rPr>
        <w:t xml:space="preserve">vigésimo, vigésimo </w:t>
      </w:r>
      <w:r w:rsidR="00613D0E" w:rsidRPr="00865343">
        <w:rPr>
          <w:rFonts w:ascii="Palatino Linotype" w:hAnsi="Palatino Linotype" w:cs="Arial"/>
        </w:rPr>
        <w:t>primero</w:t>
      </w:r>
      <w:r w:rsidRPr="00865343">
        <w:rPr>
          <w:rFonts w:ascii="Palatino Linotype" w:hAnsi="Palatino Linotype" w:cs="Arial"/>
        </w:rPr>
        <w:t xml:space="preserve"> y </w:t>
      </w:r>
      <w:r w:rsidR="00613D0E" w:rsidRPr="00865343">
        <w:rPr>
          <w:rFonts w:ascii="Palatino Linotype" w:hAnsi="Palatino Linotype" w:cs="Arial"/>
        </w:rPr>
        <w:t>vigésimo segundo</w:t>
      </w:r>
      <w:r w:rsidRPr="00865343">
        <w:rPr>
          <w:rFonts w:ascii="Palatino Linotype" w:hAnsi="Palatino Linotype" w:cs="Arial"/>
        </w:rPr>
        <w:t xml:space="preserve"> de la Constitución Política del Estado Libre y Soberano de México; 2, fracción II; 29, 36 fracciones I y II; 176, 178, 179, 181 y 185 de la Ley de Transparencia y Acceso a la Información Pública del Estado de México y Municipios, este Pleno:</w:t>
      </w:r>
    </w:p>
    <w:p w14:paraId="58F9005B" w14:textId="6B8F8B90" w:rsidR="00DA0ACA" w:rsidRPr="00865343" w:rsidRDefault="009E5A7D" w:rsidP="006315D4">
      <w:pPr>
        <w:pStyle w:val="Prrafodelista"/>
        <w:numPr>
          <w:ilvl w:val="0"/>
          <w:numId w:val="13"/>
        </w:numPr>
        <w:spacing w:before="240" w:after="240" w:line="360" w:lineRule="auto"/>
        <w:contextualSpacing/>
        <w:jc w:val="center"/>
        <w:rPr>
          <w:rFonts w:ascii="Palatino Linotype" w:hAnsi="Palatino Linotype" w:cs="Arial"/>
          <w:b/>
        </w:rPr>
      </w:pPr>
      <w:r w:rsidRPr="00865343">
        <w:rPr>
          <w:rFonts w:ascii="Palatino Linotype" w:hAnsi="Palatino Linotype" w:cs="Arial"/>
          <w:b/>
        </w:rPr>
        <w:t>R E S U E L V E:</w:t>
      </w:r>
      <w:r w:rsidR="00DA0ACA" w:rsidRPr="00865343">
        <w:rPr>
          <w:rFonts w:ascii="Palatino Linotype" w:hAnsi="Palatino Linotype" w:cs="Arial"/>
          <w:strike/>
        </w:rPr>
        <w:t xml:space="preserve"> </w:t>
      </w:r>
    </w:p>
    <w:p w14:paraId="65B4EEA8" w14:textId="1DCF9257" w:rsidR="006315D4" w:rsidRPr="00865343" w:rsidRDefault="006315D4" w:rsidP="00DA0ACA">
      <w:pPr>
        <w:spacing w:before="240" w:after="240" w:line="360" w:lineRule="auto"/>
        <w:jc w:val="both"/>
        <w:rPr>
          <w:rFonts w:ascii="Palatino Linotype" w:hAnsi="Palatino Linotype" w:cs="Arial"/>
          <w:strike/>
        </w:rPr>
      </w:pPr>
      <w:r w:rsidRPr="00865343">
        <w:rPr>
          <w:rFonts w:ascii="Palatino Linotype" w:hAnsi="Palatino Linotype" w:cs="Arial"/>
          <w:b/>
        </w:rPr>
        <w:t xml:space="preserve">Primero. </w:t>
      </w:r>
      <w:r w:rsidRPr="00865343">
        <w:rPr>
          <w:rFonts w:ascii="Palatino Linotype" w:hAnsi="Palatino Linotype" w:cs="Arial"/>
        </w:rPr>
        <w:t>Son fundados los motivos de inconformidad aducidos por e</w:t>
      </w:r>
      <w:r w:rsidRPr="00865343">
        <w:rPr>
          <w:rFonts w:ascii="Palatino Linotype" w:hAnsi="Palatino Linotype" w:cs="Arial"/>
          <w:b/>
        </w:rPr>
        <w:t>l recurrente</w:t>
      </w:r>
      <w:r w:rsidRPr="00865343">
        <w:rPr>
          <w:rFonts w:ascii="Palatino Linotype" w:hAnsi="Palatino Linotype" w:cs="Arial"/>
        </w:rPr>
        <w:t>, en términos de los argumentos de derecho señalados en el Considerando Cuarto.</w:t>
      </w:r>
    </w:p>
    <w:p w14:paraId="638F8849" w14:textId="44CAA591" w:rsidR="00DA0ACA" w:rsidRPr="00865343" w:rsidRDefault="00DA0ACA" w:rsidP="00DA0ACA">
      <w:pPr>
        <w:spacing w:after="240" w:line="360" w:lineRule="auto"/>
        <w:jc w:val="both"/>
        <w:rPr>
          <w:rFonts w:ascii="Palatino Linotype" w:hAnsi="Palatino Linotype" w:cs="Arial"/>
          <w:bCs/>
          <w:shd w:val="clear" w:color="auto" w:fill="FFFFFF"/>
        </w:rPr>
      </w:pPr>
      <w:r w:rsidRPr="00865343">
        <w:rPr>
          <w:rFonts w:ascii="Palatino Linotype" w:hAnsi="Palatino Linotype" w:cs="Arial"/>
          <w:b/>
          <w:bCs/>
          <w:shd w:val="clear" w:color="auto" w:fill="FFFFFF"/>
        </w:rPr>
        <w:lastRenderedPageBreak/>
        <w:t xml:space="preserve">Segundo. </w:t>
      </w:r>
      <w:r w:rsidRPr="00865343">
        <w:rPr>
          <w:rFonts w:ascii="Palatino Linotype" w:hAnsi="Palatino Linotype" w:cs="Arial"/>
          <w:bCs/>
          <w:shd w:val="clear" w:color="auto" w:fill="FFFFFF"/>
        </w:rPr>
        <w:t>Se</w:t>
      </w:r>
      <w:r w:rsidRPr="00865343">
        <w:rPr>
          <w:rFonts w:ascii="Palatino Linotype" w:hAnsi="Palatino Linotype" w:cs="Arial"/>
          <w:b/>
          <w:bCs/>
          <w:shd w:val="clear" w:color="auto" w:fill="FFFFFF"/>
        </w:rPr>
        <w:t xml:space="preserve"> ORDENA </w:t>
      </w:r>
      <w:r w:rsidRPr="00865343">
        <w:rPr>
          <w:rFonts w:ascii="Palatino Linotype" w:hAnsi="Palatino Linotype" w:cs="Arial"/>
          <w:bCs/>
          <w:shd w:val="clear" w:color="auto" w:fill="FFFFFF"/>
        </w:rPr>
        <w:t>al</w:t>
      </w:r>
      <w:r w:rsidRPr="00865343">
        <w:rPr>
          <w:rFonts w:ascii="Palatino Linotype" w:hAnsi="Palatino Linotype" w:cs="Arial"/>
          <w:b/>
          <w:bCs/>
          <w:shd w:val="clear" w:color="auto" w:fill="FFFFFF"/>
        </w:rPr>
        <w:t xml:space="preserve"> Sujeto Obligado </w:t>
      </w:r>
      <w:r w:rsidRPr="00865343">
        <w:rPr>
          <w:rFonts w:ascii="Palatino Linotype" w:hAnsi="Palatino Linotype" w:cs="Arial"/>
          <w:bCs/>
          <w:shd w:val="clear" w:color="auto" w:fill="FFFFFF"/>
        </w:rPr>
        <w:t>que en términos de</w:t>
      </w:r>
      <w:r w:rsidR="001A6692" w:rsidRPr="00865343">
        <w:rPr>
          <w:rFonts w:ascii="Palatino Linotype" w:hAnsi="Palatino Linotype" w:cs="Arial"/>
          <w:bCs/>
          <w:shd w:val="clear" w:color="auto" w:fill="FFFFFF"/>
        </w:rPr>
        <w:t xml:space="preserve"> </w:t>
      </w:r>
      <w:r w:rsidRPr="00865343">
        <w:rPr>
          <w:rFonts w:ascii="Palatino Linotype" w:hAnsi="Palatino Linotype" w:cs="Arial"/>
          <w:bCs/>
          <w:shd w:val="clear" w:color="auto" w:fill="FFFFFF"/>
        </w:rPr>
        <w:t>l</w:t>
      </w:r>
      <w:r w:rsidR="001A6692" w:rsidRPr="00865343">
        <w:rPr>
          <w:rFonts w:ascii="Palatino Linotype" w:hAnsi="Palatino Linotype" w:cs="Arial"/>
          <w:bCs/>
          <w:shd w:val="clear" w:color="auto" w:fill="FFFFFF"/>
        </w:rPr>
        <w:t>os</w:t>
      </w:r>
      <w:r w:rsidRPr="00865343">
        <w:rPr>
          <w:rFonts w:ascii="Palatino Linotype" w:hAnsi="Palatino Linotype" w:cs="Arial"/>
          <w:bCs/>
          <w:shd w:val="clear" w:color="auto" w:fill="FFFFFF"/>
        </w:rPr>
        <w:t xml:space="preserve"> Considerando</w:t>
      </w:r>
      <w:r w:rsidR="001A6692" w:rsidRPr="00865343">
        <w:rPr>
          <w:rFonts w:ascii="Palatino Linotype" w:hAnsi="Palatino Linotype" w:cs="Arial"/>
          <w:bCs/>
          <w:shd w:val="clear" w:color="auto" w:fill="FFFFFF"/>
        </w:rPr>
        <w:t>s</w:t>
      </w:r>
      <w:r w:rsidRPr="00865343">
        <w:rPr>
          <w:rFonts w:ascii="Palatino Linotype" w:hAnsi="Palatino Linotype" w:cs="Arial"/>
          <w:bCs/>
          <w:shd w:val="clear" w:color="auto" w:fill="FFFFFF"/>
        </w:rPr>
        <w:t xml:space="preserve"> Cuarto</w:t>
      </w:r>
      <w:r w:rsidR="005633AD" w:rsidRPr="00865343">
        <w:rPr>
          <w:rFonts w:ascii="Palatino Linotype" w:hAnsi="Palatino Linotype" w:cs="Arial"/>
          <w:bCs/>
          <w:shd w:val="clear" w:color="auto" w:fill="FFFFFF"/>
        </w:rPr>
        <w:t xml:space="preserve"> </w:t>
      </w:r>
      <w:r w:rsidR="001A6692" w:rsidRPr="00865343">
        <w:rPr>
          <w:rFonts w:ascii="Palatino Linotype" w:hAnsi="Palatino Linotype" w:cs="Arial"/>
          <w:bCs/>
          <w:shd w:val="clear" w:color="auto" w:fill="FFFFFF"/>
        </w:rPr>
        <w:t xml:space="preserve">y Quinto </w:t>
      </w:r>
      <w:r w:rsidRPr="00865343">
        <w:rPr>
          <w:rFonts w:ascii="Palatino Linotype" w:hAnsi="Palatino Linotype" w:cs="Arial"/>
          <w:bCs/>
          <w:shd w:val="clear" w:color="auto" w:fill="FFFFFF"/>
        </w:rPr>
        <w:t>de esta resolución, haga entrega vía SAIMEX</w:t>
      </w:r>
      <w:r w:rsidR="00FD6737" w:rsidRPr="00865343">
        <w:rPr>
          <w:rFonts w:ascii="Palatino Linotype" w:hAnsi="Palatino Linotype" w:cs="Arial"/>
          <w:bCs/>
          <w:shd w:val="clear" w:color="auto" w:fill="FFFFFF"/>
        </w:rPr>
        <w:t>, en versión pública,</w:t>
      </w:r>
      <w:r w:rsidR="005633AD" w:rsidRPr="00865343">
        <w:rPr>
          <w:rFonts w:ascii="Palatino Linotype" w:hAnsi="Palatino Linotype" w:cs="Arial"/>
          <w:bCs/>
          <w:shd w:val="clear" w:color="auto" w:fill="FFFFFF"/>
        </w:rPr>
        <w:t xml:space="preserve"> </w:t>
      </w:r>
      <w:r w:rsidR="00D50EAD" w:rsidRPr="00865343">
        <w:rPr>
          <w:rFonts w:ascii="Palatino Linotype" w:hAnsi="Palatino Linotype" w:cs="Arial"/>
          <w:bCs/>
          <w:shd w:val="clear" w:color="auto" w:fill="FFFFFF"/>
        </w:rPr>
        <w:t xml:space="preserve">de </w:t>
      </w:r>
      <w:r w:rsidRPr="00865343">
        <w:rPr>
          <w:rFonts w:ascii="Palatino Linotype" w:hAnsi="Palatino Linotype" w:cs="Arial"/>
          <w:bCs/>
          <w:shd w:val="clear" w:color="auto" w:fill="FFFFFF"/>
        </w:rPr>
        <w:t>lo siguiente:</w:t>
      </w:r>
    </w:p>
    <w:p w14:paraId="146C4192" w14:textId="3A01E48E" w:rsidR="00DA0ACA" w:rsidRPr="00865343" w:rsidRDefault="00B66B57" w:rsidP="00553576">
      <w:pPr>
        <w:pStyle w:val="Prrafodelista"/>
        <w:numPr>
          <w:ilvl w:val="0"/>
          <w:numId w:val="10"/>
        </w:numPr>
        <w:spacing w:after="240" w:line="360" w:lineRule="auto"/>
        <w:jc w:val="both"/>
        <w:rPr>
          <w:rFonts w:ascii="Palatino Linotype" w:hAnsi="Palatino Linotype" w:cs="Arial"/>
          <w:bCs/>
          <w:shd w:val="clear" w:color="auto" w:fill="FFFFFF"/>
        </w:rPr>
      </w:pPr>
      <w:r w:rsidRPr="00865343">
        <w:rPr>
          <w:rFonts w:ascii="Palatino Linotype" w:hAnsi="Palatino Linotype" w:cs="Arial"/>
        </w:rPr>
        <w:t xml:space="preserve">Recibos de nómina de los servidores públicos referidos en la solicitud de información, de los meses de enero a agosto y la </w:t>
      </w:r>
      <w:r w:rsidR="00944920" w:rsidRPr="00865343">
        <w:rPr>
          <w:rFonts w:ascii="Palatino Linotype" w:hAnsi="Palatino Linotype" w:cs="Arial"/>
        </w:rPr>
        <w:t>primera</w:t>
      </w:r>
      <w:r w:rsidRPr="00865343">
        <w:rPr>
          <w:rFonts w:ascii="Palatino Linotype" w:hAnsi="Palatino Linotype" w:cs="Arial"/>
        </w:rPr>
        <w:t xml:space="preserve"> quincena del mes de septiembre del año dos mil dieciocho</w:t>
      </w:r>
      <w:r w:rsidR="00121C77" w:rsidRPr="00865343">
        <w:rPr>
          <w:rFonts w:ascii="Palatino Linotype" w:hAnsi="Palatino Linotype" w:cs="Arial"/>
        </w:rPr>
        <w:t>.</w:t>
      </w:r>
    </w:p>
    <w:p w14:paraId="603DA152" w14:textId="5F7D5D48" w:rsidR="005633AD" w:rsidRPr="00865343" w:rsidRDefault="00875EE5" w:rsidP="005633AD">
      <w:pPr>
        <w:spacing w:before="240" w:after="240" w:line="360" w:lineRule="auto"/>
        <w:ind w:left="360"/>
        <w:jc w:val="both"/>
        <w:rPr>
          <w:rFonts w:ascii="Palatino Linotype" w:hAnsi="Palatino Linotype"/>
          <w:color w:val="000000"/>
        </w:rPr>
      </w:pPr>
      <w:r w:rsidRPr="00865343">
        <w:rPr>
          <w:rFonts w:ascii="Palatino Linotype" w:hAnsi="Palatino Linotype"/>
        </w:rPr>
        <w:t xml:space="preserve">De ser el caso, que la información de la cual se ordena su entrega requiera ser entregada en versión pública, </w:t>
      </w:r>
      <w:r w:rsidR="005633AD" w:rsidRPr="00865343">
        <w:rPr>
          <w:rFonts w:ascii="Palatino Linotype" w:hAnsi="Palatino Linotype"/>
          <w:color w:val="000000"/>
        </w:rPr>
        <w:t>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106FFAEB" w14:textId="77777777" w:rsidR="00DA0ACA" w:rsidRPr="00865343" w:rsidRDefault="00DA0ACA" w:rsidP="00DA0ACA">
      <w:pPr>
        <w:spacing w:after="240" w:line="360" w:lineRule="auto"/>
        <w:jc w:val="both"/>
        <w:rPr>
          <w:rFonts w:ascii="Palatino Linotype" w:hAnsi="Palatino Linotype" w:cs="Arial"/>
          <w:b/>
        </w:rPr>
      </w:pPr>
      <w:r w:rsidRPr="00865343">
        <w:rPr>
          <w:rFonts w:ascii="Palatino Linotype" w:hAnsi="Palatino Linotype" w:cs="Arial"/>
          <w:b/>
          <w:bCs/>
          <w:shd w:val="clear" w:color="auto" w:fill="FFFFFF"/>
        </w:rPr>
        <w:t>Tercero. Remítase</w:t>
      </w:r>
      <w:r w:rsidRPr="00865343">
        <w:rPr>
          <w:rFonts w:ascii="Palatino Linotype" w:hAnsi="Palatino Linotype"/>
          <w:shd w:val="clear" w:color="auto" w:fill="FFFFFF"/>
        </w:rPr>
        <w:t xml:space="preserve"> al Responsable de la Unidad de Transparencia del</w:t>
      </w:r>
      <w:r w:rsidRPr="00865343">
        <w:rPr>
          <w:rStyle w:val="apple-converted-space"/>
          <w:rFonts w:ascii="Palatino Linotype" w:hAnsi="Palatino Linotype"/>
          <w:bCs/>
          <w:shd w:val="clear" w:color="auto" w:fill="FFFFFF"/>
        </w:rPr>
        <w:t> </w:t>
      </w:r>
      <w:r w:rsidRPr="00865343">
        <w:rPr>
          <w:rFonts w:ascii="Palatino Linotype" w:hAnsi="Palatino Linotype"/>
          <w:bCs/>
          <w:shd w:val="clear" w:color="auto" w:fill="FFFFFF"/>
        </w:rPr>
        <w:t xml:space="preserve">Sujeto Obligado </w:t>
      </w:r>
      <w:r w:rsidRPr="00865343">
        <w:rPr>
          <w:rStyle w:val="apple-converted-space"/>
          <w:rFonts w:ascii="Palatino Linotype" w:hAnsi="Palatino Linotype" w:cs="Arial"/>
          <w:b/>
          <w:bCs/>
          <w:i/>
          <w:iCs/>
          <w:shd w:val="clear" w:color="auto" w:fill="FFFFFF"/>
        </w:rPr>
        <w:t> </w:t>
      </w:r>
      <w:r w:rsidRPr="00865343">
        <w:rPr>
          <w:rStyle w:val="apple-converted-space"/>
          <w:rFonts w:ascii="Palatino Linotype" w:hAnsi="Palatino Linotype" w:cs="Arial"/>
          <w:bCs/>
          <w:iCs/>
          <w:shd w:val="clear" w:color="auto" w:fill="FFFFFF"/>
        </w:rPr>
        <w:t>la presente resolución</w:t>
      </w:r>
      <w:r w:rsidRPr="00865343">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788D08EC" w14:textId="73E63A7E" w:rsidR="00120FE3" w:rsidRPr="00865343" w:rsidRDefault="00120FE3" w:rsidP="00120FE3">
      <w:pPr>
        <w:spacing w:before="240" w:after="240" w:line="360" w:lineRule="auto"/>
        <w:jc w:val="both"/>
        <w:rPr>
          <w:rFonts w:ascii="Palatino Linotype" w:hAnsi="Palatino Linotype" w:cs="Arial"/>
          <w:b/>
        </w:rPr>
      </w:pPr>
      <w:r w:rsidRPr="00865343">
        <w:rPr>
          <w:rFonts w:ascii="Palatino Linotype" w:hAnsi="Palatino Linotype" w:cs="Arial"/>
          <w:b/>
        </w:rPr>
        <w:t xml:space="preserve">Cuarto.  </w:t>
      </w:r>
      <w:r w:rsidR="00FD6737" w:rsidRPr="00865343">
        <w:rPr>
          <w:rFonts w:ascii="Palatino Linotype" w:hAnsi="Palatino Linotype" w:cs="Arial"/>
          <w:b/>
        </w:rPr>
        <w:t>Hágase del conocimiento</w:t>
      </w:r>
      <w:r w:rsidR="00FD6737" w:rsidRPr="00865343">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59C4FE7" w14:textId="77777777" w:rsidR="00120FE3" w:rsidRPr="00865343" w:rsidRDefault="00120FE3" w:rsidP="00120FE3">
      <w:pPr>
        <w:spacing w:before="240" w:after="240" w:line="360" w:lineRule="auto"/>
        <w:jc w:val="both"/>
        <w:rPr>
          <w:rFonts w:ascii="Palatino Linotype" w:hAnsi="Palatino Linotype" w:cs="Arial"/>
          <w:b/>
          <w:sz w:val="28"/>
          <w:szCs w:val="28"/>
        </w:rPr>
      </w:pPr>
      <w:r w:rsidRPr="00865343">
        <w:rPr>
          <w:rFonts w:ascii="Palatino Linotype" w:hAnsi="Palatino Linotype" w:cs="Arial"/>
          <w:b/>
        </w:rPr>
        <w:lastRenderedPageBreak/>
        <w:t>Quinto. Gírese</w:t>
      </w:r>
      <w:r w:rsidRPr="00865343">
        <w:rPr>
          <w:rFonts w:ascii="Palatino Linotype" w:hAnsi="Palatino Linotype" w:cs="Arial"/>
        </w:rPr>
        <w:t xml:space="preserve"> oficio al Contralor Interno de este Instituto para que actúe en razón de su competencia, en término de lo expuesto en el Considerando Cuarto de la presente resolución.</w:t>
      </w:r>
    </w:p>
    <w:p w14:paraId="74702498" w14:textId="534945FA" w:rsidR="004C1450" w:rsidRPr="00865343" w:rsidRDefault="004C1450" w:rsidP="004C1450">
      <w:pPr>
        <w:spacing w:before="240" w:after="240" w:line="360" w:lineRule="auto"/>
        <w:jc w:val="both"/>
        <w:rPr>
          <w:rFonts w:ascii="Palatino Linotype" w:hAnsi="Palatino Linotype"/>
        </w:rPr>
      </w:pPr>
      <w:r w:rsidRPr="00865343">
        <w:rPr>
          <w:rFonts w:ascii="Palatino Linotype" w:hAnsi="Palatino Linotype"/>
        </w:rPr>
        <w:t xml:space="preserve">ASÍ LO RESUELVE, POR </w:t>
      </w:r>
      <w:r w:rsidR="00FA58BB" w:rsidRPr="00865343">
        <w:rPr>
          <w:rFonts w:ascii="Palatino Linotype" w:hAnsi="Palatino Linotype"/>
        </w:rPr>
        <w:t xml:space="preserve">UNANIMIDAD </w:t>
      </w:r>
      <w:r w:rsidR="009203A2">
        <w:rPr>
          <w:rFonts w:ascii="Palatino Linotype" w:hAnsi="Palatino Linotype"/>
        </w:rPr>
        <w:t>DE VOTOS</w:t>
      </w:r>
      <w:r w:rsidRPr="00865343">
        <w:rPr>
          <w:rFonts w:ascii="Palatino Linotype" w:hAnsi="Palatino Linotype"/>
        </w:rPr>
        <w:t>, EL PLENO DEL INSTITUTO DE TRANSPARENCIA, ACCESO A LA INFORMACIÓN PÚBLICA Y PROTECCIÓN DE DATOS PERSONALES DEL ESTADO DE MÉXICO Y MUNICIPIOS, CONFORMADO POR LOS COMISIONADOS ZULEMA MARTÍNEZ SÁNCHEZ; EVA ABAID YAPUR</w:t>
      </w:r>
      <w:r w:rsidR="00EE4D8D">
        <w:rPr>
          <w:rFonts w:ascii="Palatino Linotype" w:hAnsi="Palatino Linotype"/>
        </w:rPr>
        <w:t>, EMITIENDO VOTO PARTICULAR</w:t>
      </w:r>
      <w:r w:rsidRPr="00865343">
        <w:rPr>
          <w:rFonts w:ascii="Palatino Linotype" w:hAnsi="Palatino Linotype"/>
        </w:rPr>
        <w:t>; JOSÉ GUADALUPE LUNA HERNÁNDEZ; JAVIER MARTÍNEZ CRUZ Y LUIS GUSTAVO PARRA NORIEGA; EN LA</w:t>
      </w:r>
      <w:r w:rsidR="00FA58BB" w:rsidRPr="00865343">
        <w:rPr>
          <w:rFonts w:ascii="Palatino Linotype" w:hAnsi="Palatino Linotype"/>
        </w:rPr>
        <w:t xml:space="preserve"> </w:t>
      </w:r>
      <w:r w:rsidR="00EE4D8D">
        <w:rPr>
          <w:rFonts w:ascii="Palatino Linotype" w:hAnsi="Palatino Linotype"/>
        </w:rPr>
        <w:t>OCTAVA</w:t>
      </w:r>
      <w:r w:rsidR="00FA58BB" w:rsidRPr="00865343">
        <w:rPr>
          <w:rFonts w:ascii="Palatino Linotype" w:hAnsi="Palatino Linotype"/>
        </w:rPr>
        <w:t xml:space="preserve"> </w:t>
      </w:r>
      <w:r w:rsidRPr="00865343">
        <w:rPr>
          <w:rFonts w:ascii="Palatino Linotype" w:hAnsi="Palatino Linotype"/>
        </w:rPr>
        <w:t xml:space="preserve">SESIÓN ORDINARIA CELEBRADA EL </w:t>
      </w:r>
      <w:r w:rsidR="00EE4D8D">
        <w:rPr>
          <w:rFonts w:ascii="Palatino Linotype" w:hAnsi="Palatino Linotype"/>
        </w:rPr>
        <w:t>VEINTISIETE</w:t>
      </w:r>
      <w:r w:rsidR="00FA58BB" w:rsidRPr="00865343">
        <w:rPr>
          <w:rFonts w:ascii="Palatino Linotype" w:hAnsi="Palatino Linotype"/>
        </w:rPr>
        <w:t xml:space="preserve"> </w:t>
      </w:r>
      <w:r w:rsidRPr="00865343">
        <w:rPr>
          <w:rFonts w:ascii="Palatino Linotype" w:hAnsi="Palatino Linotype"/>
        </w:rPr>
        <w:t xml:space="preserve">DE </w:t>
      </w:r>
      <w:r w:rsidR="00EE4D8D">
        <w:rPr>
          <w:rFonts w:ascii="Palatino Linotype" w:hAnsi="Palatino Linotype"/>
        </w:rPr>
        <w:t xml:space="preserve">FEBRERO </w:t>
      </w:r>
      <w:r w:rsidRPr="00865343">
        <w:rPr>
          <w:rFonts w:ascii="Palatino Linotype" w:hAnsi="Palatino Linotype"/>
        </w:rPr>
        <w:t>DE DOS MIL DIECI</w:t>
      </w:r>
      <w:r w:rsidR="005C1891" w:rsidRPr="00865343">
        <w:rPr>
          <w:rFonts w:ascii="Palatino Linotype" w:hAnsi="Palatino Linotype"/>
        </w:rPr>
        <w:t>NUEVE</w:t>
      </w:r>
      <w:r w:rsidRPr="00865343">
        <w:rPr>
          <w:rFonts w:ascii="Palatino Linotype" w:hAnsi="Palatino Linotype"/>
        </w:rPr>
        <w:t>, ANTE EL SECRETARIO TÉCNICO DEL PLENO ALEXIS TAPIA RAMÍREZ.</w:t>
      </w:r>
    </w:p>
    <w:p w14:paraId="1EACC295" w14:textId="77777777" w:rsidR="008A1FE7" w:rsidRPr="00865343" w:rsidRDefault="008A1FE7" w:rsidP="004C1450">
      <w:pPr>
        <w:spacing w:before="240" w:after="240" w:line="360" w:lineRule="auto"/>
        <w:jc w:val="both"/>
        <w:rPr>
          <w:rFonts w:ascii="Palatino Linotype" w:hAnsi="Palatino Linotype"/>
          <w:sz w:val="16"/>
        </w:rPr>
      </w:pPr>
    </w:p>
    <w:tbl>
      <w:tblPr>
        <w:tblStyle w:val="Tablaconcuadrcula"/>
        <w:tblW w:w="54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5062"/>
      </w:tblGrid>
      <w:tr w:rsidR="004C1450" w:rsidRPr="00865343" w14:paraId="635032B5" w14:textId="77777777" w:rsidTr="00F14D54">
        <w:trPr>
          <w:trHeight w:val="704"/>
        </w:trPr>
        <w:tc>
          <w:tcPr>
            <w:tcW w:w="5000" w:type="pct"/>
            <w:gridSpan w:val="2"/>
          </w:tcPr>
          <w:p w14:paraId="782FDF43" w14:textId="77777777" w:rsidR="00A31035" w:rsidRDefault="00A31035" w:rsidP="00996A68">
            <w:pPr>
              <w:jc w:val="center"/>
              <w:rPr>
                <w:rFonts w:ascii="Palatino Linotype" w:hAnsi="Palatino Linotype" w:cs="Arial"/>
                <w:b/>
              </w:rPr>
            </w:pPr>
          </w:p>
          <w:p w14:paraId="5F950F90" w14:textId="77777777" w:rsidR="00A31035" w:rsidRDefault="00A31035" w:rsidP="00996A68">
            <w:pPr>
              <w:jc w:val="center"/>
              <w:rPr>
                <w:rFonts w:ascii="Palatino Linotype" w:hAnsi="Palatino Linotype" w:cs="Arial"/>
                <w:b/>
              </w:rPr>
            </w:pPr>
          </w:p>
          <w:p w14:paraId="7482FBD3" w14:textId="77777777" w:rsidR="00A31035" w:rsidRDefault="00A31035" w:rsidP="00996A68">
            <w:pPr>
              <w:jc w:val="center"/>
              <w:rPr>
                <w:rFonts w:ascii="Palatino Linotype" w:hAnsi="Palatino Linotype" w:cs="Arial"/>
                <w:b/>
              </w:rPr>
            </w:pPr>
          </w:p>
          <w:p w14:paraId="6003B8CC" w14:textId="77777777" w:rsidR="00A31035" w:rsidRDefault="00A31035" w:rsidP="00996A68">
            <w:pPr>
              <w:jc w:val="center"/>
              <w:rPr>
                <w:rFonts w:ascii="Palatino Linotype" w:hAnsi="Palatino Linotype" w:cs="Arial"/>
                <w:b/>
              </w:rPr>
            </w:pPr>
          </w:p>
          <w:p w14:paraId="0D38C432" w14:textId="77777777" w:rsidR="004C1450" w:rsidRPr="00865343" w:rsidRDefault="004C1450" w:rsidP="00996A68">
            <w:pPr>
              <w:jc w:val="center"/>
              <w:rPr>
                <w:rFonts w:ascii="Palatino Linotype" w:hAnsi="Palatino Linotype" w:cs="Arial"/>
                <w:b/>
              </w:rPr>
            </w:pPr>
            <w:r w:rsidRPr="00865343">
              <w:rPr>
                <w:rFonts w:ascii="Palatino Linotype" w:hAnsi="Palatino Linotype" w:cs="Arial"/>
                <w:b/>
              </w:rPr>
              <w:t>Zulema Martínez Sánchez</w:t>
            </w:r>
            <w:r w:rsidRPr="00865343">
              <w:rPr>
                <w:rFonts w:ascii="Palatino Linotype" w:hAnsi="Palatino Linotype" w:cs="Arial"/>
              </w:rPr>
              <w:t xml:space="preserve"> </w:t>
            </w:r>
          </w:p>
          <w:p w14:paraId="55CB7812" w14:textId="77777777" w:rsidR="004C1450" w:rsidRPr="00865343" w:rsidRDefault="004C1450" w:rsidP="00996A68">
            <w:pPr>
              <w:jc w:val="center"/>
              <w:rPr>
                <w:rFonts w:ascii="Palatino Linotype" w:hAnsi="Palatino Linotype" w:cs="Arial"/>
              </w:rPr>
            </w:pPr>
            <w:r w:rsidRPr="00865343">
              <w:rPr>
                <w:rFonts w:ascii="Palatino Linotype" w:hAnsi="Palatino Linotype" w:cs="Arial"/>
              </w:rPr>
              <w:t>Comisionada Presidenta</w:t>
            </w:r>
          </w:p>
          <w:p w14:paraId="1CB48E66" w14:textId="08EED609" w:rsidR="00F460D4" w:rsidRPr="00865343" w:rsidRDefault="00F460D4" w:rsidP="00FA58BB">
            <w:pPr>
              <w:jc w:val="center"/>
              <w:rPr>
                <w:rFonts w:ascii="Palatino Linotype" w:hAnsi="Palatino Linotype" w:cs="Arial"/>
              </w:rPr>
            </w:pPr>
          </w:p>
          <w:p w14:paraId="55C7AC01" w14:textId="77777777" w:rsidR="00F460D4" w:rsidRPr="00865343" w:rsidRDefault="00F460D4" w:rsidP="00FA58BB">
            <w:pPr>
              <w:jc w:val="center"/>
              <w:rPr>
                <w:rFonts w:ascii="Palatino Linotype" w:hAnsi="Palatino Linotype" w:cs="Arial"/>
              </w:rPr>
            </w:pPr>
          </w:p>
          <w:p w14:paraId="55095274" w14:textId="77777777" w:rsidR="009821A0" w:rsidRDefault="009821A0" w:rsidP="00FA58BB">
            <w:pPr>
              <w:jc w:val="center"/>
              <w:rPr>
                <w:rFonts w:ascii="Palatino Linotype" w:hAnsi="Palatino Linotype" w:cs="Arial"/>
              </w:rPr>
            </w:pPr>
          </w:p>
          <w:p w14:paraId="09D560B9" w14:textId="77777777" w:rsidR="00A31035" w:rsidRDefault="00A31035" w:rsidP="00FA58BB">
            <w:pPr>
              <w:jc w:val="center"/>
              <w:rPr>
                <w:rFonts w:ascii="Palatino Linotype" w:hAnsi="Palatino Linotype" w:cs="Arial"/>
              </w:rPr>
            </w:pPr>
          </w:p>
          <w:p w14:paraId="59EC6149" w14:textId="77777777" w:rsidR="00A31035" w:rsidRPr="00865343" w:rsidRDefault="00A31035" w:rsidP="00FA58BB">
            <w:pPr>
              <w:jc w:val="center"/>
              <w:rPr>
                <w:rFonts w:ascii="Palatino Linotype" w:hAnsi="Palatino Linotype" w:cs="Arial"/>
              </w:rPr>
            </w:pPr>
          </w:p>
          <w:p w14:paraId="46591A3B" w14:textId="77777777" w:rsidR="004C1450" w:rsidRPr="00865343" w:rsidRDefault="004C1450" w:rsidP="00996A68">
            <w:pPr>
              <w:rPr>
                <w:rFonts w:ascii="Palatino Linotype" w:hAnsi="Palatino Linotype" w:cs="Arial"/>
              </w:rPr>
            </w:pPr>
          </w:p>
        </w:tc>
      </w:tr>
      <w:tr w:rsidR="004C1450" w:rsidRPr="00865343" w14:paraId="5E47A809" w14:textId="77777777" w:rsidTr="00F14D54">
        <w:trPr>
          <w:trHeight w:val="688"/>
        </w:trPr>
        <w:tc>
          <w:tcPr>
            <w:tcW w:w="2385" w:type="pct"/>
          </w:tcPr>
          <w:p w14:paraId="16B62B77" w14:textId="77777777" w:rsidR="004C1450" w:rsidRPr="00865343" w:rsidRDefault="004C1450" w:rsidP="00996A68">
            <w:pPr>
              <w:jc w:val="center"/>
              <w:rPr>
                <w:rFonts w:ascii="Palatino Linotype" w:hAnsi="Palatino Linotype" w:cs="Arial"/>
                <w:b/>
              </w:rPr>
            </w:pPr>
          </w:p>
          <w:p w14:paraId="65AE224F" w14:textId="77777777" w:rsidR="004C1450" w:rsidRPr="00865343" w:rsidRDefault="004C1450" w:rsidP="00996A68">
            <w:pPr>
              <w:jc w:val="center"/>
              <w:rPr>
                <w:rFonts w:ascii="Palatino Linotype" w:hAnsi="Palatino Linotype" w:cs="Arial"/>
                <w:b/>
              </w:rPr>
            </w:pPr>
            <w:r w:rsidRPr="00865343">
              <w:rPr>
                <w:rFonts w:ascii="Palatino Linotype" w:hAnsi="Palatino Linotype" w:cs="Arial"/>
                <w:b/>
              </w:rPr>
              <w:t>Eva Abaid Yapur</w:t>
            </w:r>
          </w:p>
          <w:p w14:paraId="646725BC" w14:textId="77777777" w:rsidR="004C1450" w:rsidRPr="00865343" w:rsidRDefault="004C1450" w:rsidP="00996A68">
            <w:pPr>
              <w:jc w:val="center"/>
              <w:rPr>
                <w:rFonts w:ascii="Palatino Linotype" w:hAnsi="Palatino Linotype" w:cs="Arial"/>
              </w:rPr>
            </w:pPr>
            <w:r w:rsidRPr="00865343">
              <w:rPr>
                <w:rFonts w:ascii="Palatino Linotype" w:hAnsi="Palatino Linotype" w:cs="Arial"/>
              </w:rPr>
              <w:t>Comisionada</w:t>
            </w:r>
          </w:p>
          <w:p w14:paraId="215FF9E7" w14:textId="77777777" w:rsidR="004C1450" w:rsidRPr="00865343" w:rsidRDefault="004C1450" w:rsidP="00996A68">
            <w:pPr>
              <w:rPr>
                <w:rFonts w:ascii="Palatino Linotype" w:hAnsi="Palatino Linotype" w:cs="Arial"/>
              </w:rPr>
            </w:pPr>
          </w:p>
        </w:tc>
        <w:tc>
          <w:tcPr>
            <w:tcW w:w="2615" w:type="pct"/>
          </w:tcPr>
          <w:p w14:paraId="7A02D24E" w14:textId="77777777" w:rsidR="004C1450" w:rsidRPr="00865343" w:rsidRDefault="004C1450" w:rsidP="00996A68">
            <w:pPr>
              <w:jc w:val="center"/>
              <w:rPr>
                <w:rFonts w:ascii="Palatino Linotype" w:hAnsi="Palatino Linotype" w:cs="Arial"/>
                <w:b/>
              </w:rPr>
            </w:pPr>
          </w:p>
          <w:p w14:paraId="594AEDCD" w14:textId="77777777" w:rsidR="004C1450" w:rsidRPr="00865343" w:rsidRDefault="004C1450" w:rsidP="00996A68">
            <w:pPr>
              <w:jc w:val="center"/>
              <w:rPr>
                <w:rFonts w:ascii="Palatino Linotype" w:hAnsi="Palatino Linotype" w:cs="Arial"/>
                <w:b/>
              </w:rPr>
            </w:pPr>
            <w:r w:rsidRPr="00865343">
              <w:rPr>
                <w:rFonts w:ascii="Palatino Linotype" w:hAnsi="Palatino Linotype" w:cs="Arial"/>
                <w:b/>
              </w:rPr>
              <w:t>José Guadalupe Luna Hernández</w:t>
            </w:r>
          </w:p>
          <w:p w14:paraId="2A91A7DE" w14:textId="77777777" w:rsidR="004C1450" w:rsidRPr="00865343" w:rsidRDefault="004C1450" w:rsidP="00996A68">
            <w:pPr>
              <w:jc w:val="center"/>
              <w:rPr>
                <w:rFonts w:ascii="Palatino Linotype" w:hAnsi="Palatino Linotype" w:cs="Arial"/>
              </w:rPr>
            </w:pPr>
            <w:r w:rsidRPr="00865343">
              <w:rPr>
                <w:rFonts w:ascii="Palatino Linotype" w:hAnsi="Palatino Linotype" w:cs="Arial"/>
              </w:rPr>
              <w:t>Comisionado</w:t>
            </w:r>
          </w:p>
          <w:p w14:paraId="681E911B" w14:textId="77777777" w:rsidR="00F460D4" w:rsidRPr="00865343" w:rsidRDefault="00F460D4" w:rsidP="005C1891">
            <w:pPr>
              <w:jc w:val="center"/>
              <w:rPr>
                <w:rFonts w:ascii="Palatino Linotype" w:hAnsi="Palatino Linotype" w:cs="Arial"/>
              </w:rPr>
            </w:pPr>
          </w:p>
          <w:p w14:paraId="77B1A47A" w14:textId="77777777" w:rsidR="00F460D4" w:rsidRPr="00865343" w:rsidRDefault="00F460D4" w:rsidP="005C1891">
            <w:pPr>
              <w:jc w:val="center"/>
              <w:rPr>
                <w:rFonts w:ascii="Palatino Linotype" w:hAnsi="Palatino Linotype" w:cs="Arial"/>
              </w:rPr>
            </w:pPr>
          </w:p>
          <w:p w14:paraId="5415AAD6" w14:textId="77777777" w:rsidR="004C1450" w:rsidRPr="00865343" w:rsidRDefault="004C1450" w:rsidP="00944920">
            <w:pPr>
              <w:rPr>
                <w:rFonts w:ascii="Palatino Linotype" w:hAnsi="Palatino Linotype" w:cs="Arial"/>
              </w:rPr>
            </w:pPr>
          </w:p>
        </w:tc>
      </w:tr>
      <w:tr w:rsidR="004C1450" w:rsidRPr="00865343" w14:paraId="1BFD6BE7" w14:textId="77777777" w:rsidTr="00F14D54">
        <w:trPr>
          <w:trHeight w:val="2227"/>
        </w:trPr>
        <w:tc>
          <w:tcPr>
            <w:tcW w:w="2385" w:type="pct"/>
            <w:hideMark/>
          </w:tcPr>
          <w:p w14:paraId="7E06485E" w14:textId="77777777" w:rsidR="004C1450" w:rsidRDefault="004C1450" w:rsidP="00996A68">
            <w:pPr>
              <w:jc w:val="center"/>
              <w:rPr>
                <w:rFonts w:ascii="Palatino Linotype" w:hAnsi="Palatino Linotype" w:cs="Arial"/>
                <w:b/>
              </w:rPr>
            </w:pPr>
          </w:p>
          <w:p w14:paraId="49631679" w14:textId="77777777" w:rsidR="009821A0" w:rsidRPr="00865343" w:rsidRDefault="009821A0" w:rsidP="00996A68">
            <w:pPr>
              <w:jc w:val="center"/>
              <w:rPr>
                <w:rFonts w:ascii="Palatino Linotype" w:hAnsi="Palatino Linotype" w:cs="Arial"/>
                <w:b/>
              </w:rPr>
            </w:pPr>
          </w:p>
          <w:p w14:paraId="52133BF4" w14:textId="77777777" w:rsidR="004C1450" w:rsidRPr="00865343" w:rsidRDefault="004C1450" w:rsidP="00996A68">
            <w:pPr>
              <w:jc w:val="center"/>
              <w:rPr>
                <w:rFonts w:ascii="Palatino Linotype" w:hAnsi="Palatino Linotype" w:cs="Arial"/>
                <w:b/>
              </w:rPr>
            </w:pPr>
          </w:p>
          <w:p w14:paraId="46EFD895" w14:textId="77777777" w:rsidR="004C1450" w:rsidRPr="00865343" w:rsidRDefault="004C1450" w:rsidP="00996A68">
            <w:pPr>
              <w:jc w:val="center"/>
              <w:rPr>
                <w:rFonts w:ascii="Palatino Linotype" w:hAnsi="Palatino Linotype" w:cs="Arial"/>
                <w:b/>
              </w:rPr>
            </w:pPr>
            <w:r w:rsidRPr="00865343">
              <w:rPr>
                <w:rFonts w:ascii="Palatino Linotype" w:hAnsi="Palatino Linotype" w:cs="Arial"/>
                <w:b/>
              </w:rPr>
              <w:t>Javier Martínez Cruz</w:t>
            </w:r>
          </w:p>
          <w:p w14:paraId="7A5496E7" w14:textId="77777777" w:rsidR="004C1450" w:rsidRPr="00865343" w:rsidRDefault="004C1450" w:rsidP="00996A68">
            <w:pPr>
              <w:jc w:val="center"/>
              <w:rPr>
                <w:rFonts w:ascii="Palatino Linotype" w:hAnsi="Palatino Linotype" w:cs="Arial"/>
              </w:rPr>
            </w:pPr>
            <w:r w:rsidRPr="00865343">
              <w:rPr>
                <w:rFonts w:ascii="Palatino Linotype" w:hAnsi="Palatino Linotype" w:cs="Arial"/>
              </w:rPr>
              <w:t>Comisionado</w:t>
            </w:r>
          </w:p>
          <w:p w14:paraId="01A8B512" w14:textId="70D788C2" w:rsidR="005C1891" w:rsidRPr="00865343" w:rsidRDefault="005C1891" w:rsidP="005C1891">
            <w:pPr>
              <w:jc w:val="center"/>
              <w:rPr>
                <w:rFonts w:ascii="Palatino Linotype" w:hAnsi="Palatino Linotype" w:cs="Arial"/>
              </w:rPr>
            </w:pPr>
          </w:p>
          <w:p w14:paraId="1A2E26C3" w14:textId="267C719C" w:rsidR="004C1450" w:rsidRPr="00865343" w:rsidRDefault="004C1450" w:rsidP="00996A68">
            <w:pPr>
              <w:jc w:val="center"/>
              <w:rPr>
                <w:rFonts w:ascii="Palatino Linotype" w:hAnsi="Palatino Linotype" w:cs="Arial"/>
              </w:rPr>
            </w:pPr>
          </w:p>
          <w:p w14:paraId="7791D0A4" w14:textId="77777777" w:rsidR="004C1450" w:rsidRPr="00865343" w:rsidRDefault="004C1450" w:rsidP="00996A68">
            <w:pPr>
              <w:jc w:val="center"/>
              <w:rPr>
                <w:rFonts w:ascii="Palatino Linotype" w:hAnsi="Palatino Linotype" w:cs="Arial"/>
              </w:rPr>
            </w:pPr>
          </w:p>
          <w:p w14:paraId="2FFE208F" w14:textId="77777777" w:rsidR="004C1450" w:rsidRPr="00865343" w:rsidRDefault="004C1450" w:rsidP="00996A68">
            <w:pPr>
              <w:jc w:val="center"/>
              <w:rPr>
                <w:rFonts w:ascii="Palatino Linotype" w:hAnsi="Palatino Linotype" w:cs="Arial"/>
              </w:rPr>
            </w:pPr>
          </w:p>
        </w:tc>
        <w:tc>
          <w:tcPr>
            <w:tcW w:w="2615" w:type="pct"/>
          </w:tcPr>
          <w:p w14:paraId="4333E6E4" w14:textId="77777777" w:rsidR="004C1450" w:rsidRDefault="004C1450" w:rsidP="00996A68">
            <w:pPr>
              <w:jc w:val="center"/>
              <w:rPr>
                <w:rFonts w:ascii="Palatino Linotype" w:hAnsi="Palatino Linotype" w:cs="Arial"/>
              </w:rPr>
            </w:pPr>
          </w:p>
          <w:p w14:paraId="61AD1DF4" w14:textId="77777777" w:rsidR="009821A0" w:rsidRPr="00865343" w:rsidRDefault="009821A0" w:rsidP="00996A68">
            <w:pPr>
              <w:jc w:val="center"/>
              <w:rPr>
                <w:rFonts w:ascii="Palatino Linotype" w:hAnsi="Palatino Linotype" w:cs="Arial"/>
              </w:rPr>
            </w:pPr>
          </w:p>
          <w:p w14:paraId="392D839B" w14:textId="77777777" w:rsidR="004C1450" w:rsidRPr="00865343" w:rsidRDefault="004C1450" w:rsidP="00996A68">
            <w:pPr>
              <w:jc w:val="center"/>
              <w:rPr>
                <w:rFonts w:ascii="Palatino Linotype" w:hAnsi="Palatino Linotype" w:cs="Arial"/>
              </w:rPr>
            </w:pPr>
          </w:p>
          <w:p w14:paraId="221EB5CA" w14:textId="77777777" w:rsidR="004C1450" w:rsidRPr="00865343" w:rsidRDefault="004C1450" w:rsidP="00996A68">
            <w:pPr>
              <w:jc w:val="center"/>
              <w:rPr>
                <w:rFonts w:ascii="Palatino Linotype" w:hAnsi="Palatino Linotype" w:cs="Arial"/>
                <w:b/>
              </w:rPr>
            </w:pPr>
            <w:r w:rsidRPr="00865343">
              <w:rPr>
                <w:rFonts w:ascii="Palatino Linotype" w:hAnsi="Palatino Linotype" w:cs="Arial"/>
                <w:b/>
              </w:rPr>
              <w:t>Luis Gustavo Parra Noriega</w:t>
            </w:r>
          </w:p>
          <w:p w14:paraId="0F30D01E" w14:textId="77777777" w:rsidR="004C1450" w:rsidRPr="00865343" w:rsidRDefault="004C1450" w:rsidP="00996A68">
            <w:pPr>
              <w:jc w:val="center"/>
              <w:rPr>
                <w:rFonts w:ascii="Palatino Linotype" w:hAnsi="Palatino Linotype" w:cs="Arial"/>
              </w:rPr>
            </w:pPr>
            <w:r w:rsidRPr="00865343">
              <w:rPr>
                <w:rFonts w:ascii="Palatino Linotype" w:hAnsi="Palatino Linotype" w:cs="Arial"/>
              </w:rPr>
              <w:t>Comisionado</w:t>
            </w:r>
          </w:p>
          <w:p w14:paraId="2780577A" w14:textId="2A92D546" w:rsidR="005C1891" w:rsidRPr="00865343" w:rsidRDefault="008A1FE7" w:rsidP="005C1891">
            <w:pPr>
              <w:jc w:val="center"/>
              <w:rPr>
                <w:rFonts w:ascii="Palatino Linotype" w:hAnsi="Palatino Linotype" w:cs="Arial"/>
              </w:rPr>
            </w:pPr>
            <w:r w:rsidRPr="00865343">
              <w:rPr>
                <w:rFonts w:ascii="Palatino Linotype" w:hAnsi="Palatino Linotype" w:cs="Arial"/>
              </w:rPr>
              <w:t xml:space="preserve"> </w:t>
            </w:r>
          </w:p>
          <w:p w14:paraId="5EACB82F" w14:textId="091D1291" w:rsidR="004C1450" w:rsidRPr="00865343" w:rsidRDefault="004C1450" w:rsidP="00996A68">
            <w:pPr>
              <w:jc w:val="center"/>
              <w:rPr>
                <w:rFonts w:ascii="Palatino Linotype" w:hAnsi="Palatino Linotype" w:cs="Arial"/>
              </w:rPr>
            </w:pPr>
          </w:p>
          <w:p w14:paraId="2322C023" w14:textId="77777777" w:rsidR="004C1450" w:rsidRPr="00865343" w:rsidRDefault="004C1450" w:rsidP="00996A68">
            <w:pPr>
              <w:jc w:val="center"/>
              <w:rPr>
                <w:rFonts w:ascii="Palatino Linotype" w:hAnsi="Palatino Linotype" w:cs="Arial"/>
              </w:rPr>
            </w:pPr>
          </w:p>
          <w:p w14:paraId="74FFDD32" w14:textId="77777777" w:rsidR="00F460D4" w:rsidRPr="00865343" w:rsidRDefault="00F460D4" w:rsidP="00996A68">
            <w:pPr>
              <w:jc w:val="center"/>
              <w:rPr>
                <w:rFonts w:ascii="Palatino Linotype" w:hAnsi="Palatino Linotype" w:cs="Arial"/>
              </w:rPr>
            </w:pPr>
          </w:p>
          <w:p w14:paraId="0C262F6C" w14:textId="77777777" w:rsidR="00F460D4" w:rsidRPr="00865343" w:rsidRDefault="00F460D4" w:rsidP="00996A68">
            <w:pPr>
              <w:jc w:val="center"/>
              <w:rPr>
                <w:rFonts w:ascii="Palatino Linotype" w:hAnsi="Palatino Linotype" w:cs="Arial"/>
              </w:rPr>
            </w:pPr>
          </w:p>
          <w:p w14:paraId="16D5B131" w14:textId="77777777" w:rsidR="00F460D4" w:rsidRPr="00865343" w:rsidRDefault="00F460D4" w:rsidP="00996A68">
            <w:pPr>
              <w:jc w:val="center"/>
              <w:rPr>
                <w:rFonts w:ascii="Palatino Linotype" w:hAnsi="Palatino Linotype" w:cs="Arial"/>
              </w:rPr>
            </w:pPr>
          </w:p>
          <w:p w14:paraId="1EFB592E" w14:textId="77777777" w:rsidR="00F460D4" w:rsidRPr="00865343" w:rsidRDefault="00F460D4" w:rsidP="00996A68">
            <w:pPr>
              <w:jc w:val="center"/>
              <w:rPr>
                <w:rFonts w:ascii="Palatino Linotype" w:hAnsi="Palatino Linotype" w:cs="Arial"/>
              </w:rPr>
            </w:pPr>
          </w:p>
          <w:p w14:paraId="0731C91F" w14:textId="77777777" w:rsidR="004C1450" w:rsidRPr="00865343" w:rsidRDefault="004C1450" w:rsidP="00996A68">
            <w:pPr>
              <w:rPr>
                <w:rFonts w:ascii="Palatino Linotype" w:hAnsi="Palatino Linotype" w:cs="Arial"/>
              </w:rPr>
            </w:pPr>
          </w:p>
        </w:tc>
      </w:tr>
      <w:tr w:rsidR="004C1450" w:rsidRPr="00865343" w14:paraId="1DC3E1BE" w14:textId="77777777" w:rsidTr="00F14D54">
        <w:trPr>
          <w:trHeight w:val="817"/>
        </w:trPr>
        <w:tc>
          <w:tcPr>
            <w:tcW w:w="5000" w:type="pct"/>
            <w:gridSpan w:val="2"/>
          </w:tcPr>
          <w:p w14:paraId="642134E3" w14:textId="77777777" w:rsidR="004C1450" w:rsidRPr="00865343" w:rsidRDefault="004C1450" w:rsidP="00996A68">
            <w:pPr>
              <w:jc w:val="center"/>
              <w:rPr>
                <w:rFonts w:ascii="Palatino Linotype" w:hAnsi="Palatino Linotype" w:cs="Arial"/>
                <w:b/>
              </w:rPr>
            </w:pPr>
            <w:r w:rsidRPr="00865343">
              <w:rPr>
                <w:rFonts w:ascii="Palatino Linotype" w:hAnsi="Palatino Linotype" w:cs="Arial"/>
                <w:b/>
              </w:rPr>
              <w:t>Alexis Tapia Ramírez</w:t>
            </w:r>
          </w:p>
          <w:p w14:paraId="68F6DC9A" w14:textId="77777777" w:rsidR="004C1450" w:rsidRPr="00865343" w:rsidRDefault="004C1450" w:rsidP="00996A68">
            <w:pPr>
              <w:tabs>
                <w:tab w:val="left" w:pos="780"/>
                <w:tab w:val="center" w:pos="4499"/>
              </w:tabs>
              <w:jc w:val="center"/>
              <w:rPr>
                <w:rFonts w:ascii="Palatino Linotype" w:hAnsi="Palatino Linotype" w:cs="Arial"/>
              </w:rPr>
            </w:pPr>
            <w:r w:rsidRPr="00865343">
              <w:rPr>
                <w:rFonts w:ascii="Palatino Linotype" w:hAnsi="Palatino Linotype" w:cs="Arial"/>
              </w:rPr>
              <w:t>Secretario Técnico del Pleno</w:t>
            </w:r>
          </w:p>
          <w:p w14:paraId="40372D89" w14:textId="28484947" w:rsidR="005C1891" w:rsidRPr="00865343" w:rsidRDefault="005C1891" w:rsidP="005C1891">
            <w:pPr>
              <w:jc w:val="center"/>
              <w:rPr>
                <w:rFonts w:ascii="Palatino Linotype" w:hAnsi="Palatino Linotype" w:cs="Arial"/>
              </w:rPr>
            </w:pPr>
          </w:p>
          <w:p w14:paraId="6179EE9D" w14:textId="2026E724" w:rsidR="004C1450" w:rsidRPr="00865343" w:rsidRDefault="004C1450" w:rsidP="008A1FE7">
            <w:pPr>
              <w:jc w:val="center"/>
              <w:rPr>
                <w:rFonts w:ascii="Palatino Linotype" w:hAnsi="Palatino Linotype" w:cs="Arial"/>
              </w:rPr>
            </w:pPr>
          </w:p>
        </w:tc>
      </w:tr>
    </w:tbl>
    <w:p w14:paraId="7EB7EE4B" w14:textId="77777777" w:rsidR="004C1450" w:rsidRPr="00865343" w:rsidRDefault="004C1450" w:rsidP="004C1450">
      <w:pPr>
        <w:jc w:val="both"/>
        <w:rPr>
          <w:rFonts w:ascii="Palatino Linotype" w:hAnsi="Palatino Linotype" w:cs="Arial"/>
          <w:sz w:val="16"/>
          <w:szCs w:val="16"/>
        </w:rPr>
      </w:pPr>
    </w:p>
    <w:p w14:paraId="4DB91886" w14:textId="7F719AD3" w:rsidR="000F27A3" w:rsidRPr="00F14D54" w:rsidRDefault="004C1450" w:rsidP="00F14D54">
      <w:pPr>
        <w:jc w:val="both"/>
        <w:rPr>
          <w:rFonts w:ascii="Palatino Linotype" w:hAnsi="Palatino Linotype" w:cs="Arial"/>
          <w:sz w:val="18"/>
          <w:szCs w:val="18"/>
        </w:rPr>
      </w:pPr>
      <w:r w:rsidRPr="00865343">
        <w:rPr>
          <w:rFonts w:ascii="Palatino Linotype" w:hAnsi="Palatino Linotype" w:cs="Arial"/>
          <w:sz w:val="18"/>
          <w:szCs w:val="18"/>
        </w:rPr>
        <w:t xml:space="preserve">Esta hoja corresponde a la resolución del </w:t>
      </w:r>
      <w:r w:rsidR="00EE4D8D">
        <w:rPr>
          <w:rFonts w:ascii="Palatino Linotype" w:hAnsi="Palatino Linotype" w:cs="Arial"/>
          <w:sz w:val="18"/>
          <w:szCs w:val="18"/>
        </w:rPr>
        <w:t>veintisiete</w:t>
      </w:r>
      <w:r w:rsidRPr="00865343">
        <w:rPr>
          <w:rFonts w:ascii="Palatino Linotype" w:hAnsi="Palatino Linotype" w:cs="Arial"/>
          <w:sz w:val="18"/>
          <w:szCs w:val="18"/>
        </w:rPr>
        <w:t xml:space="preserve"> de </w:t>
      </w:r>
      <w:r w:rsidR="009821A0">
        <w:rPr>
          <w:rFonts w:ascii="Palatino Linotype" w:hAnsi="Palatino Linotype" w:cs="Arial"/>
          <w:sz w:val="18"/>
          <w:szCs w:val="18"/>
        </w:rPr>
        <w:t>febrer</w:t>
      </w:r>
      <w:r w:rsidR="005C1891" w:rsidRPr="00865343">
        <w:rPr>
          <w:rFonts w:ascii="Palatino Linotype" w:hAnsi="Palatino Linotype" w:cs="Arial"/>
          <w:sz w:val="18"/>
          <w:szCs w:val="18"/>
        </w:rPr>
        <w:t xml:space="preserve">o </w:t>
      </w:r>
      <w:r w:rsidRPr="00865343">
        <w:rPr>
          <w:rFonts w:ascii="Palatino Linotype" w:hAnsi="Palatino Linotype" w:cs="Arial"/>
          <w:sz w:val="18"/>
          <w:szCs w:val="18"/>
        </w:rPr>
        <w:t>de dos mil dieci</w:t>
      </w:r>
      <w:r w:rsidR="005C1891" w:rsidRPr="00865343">
        <w:rPr>
          <w:rFonts w:ascii="Palatino Linotype" w:hAnsi="Palatino Linotype" w:cs="Arial"/>
          <w:sz w:val="18"/>
          <w:szCs w:val="18"/>
        </w:rPr>
        <w:t>nueve</w:t>
      </w:r>
      <w:r w:rsidR="003246AB">
        <w:rPr>
          <w:rFonts w:ascii="Palatino Linotype" w:hAnsi="Palatino Linotype" w:cs="Arial"/>
          <w:sz w:val="18"/>
          <w:szCs w:val="18"/>
        </w:rPr>
        <w:t>, emitida en el</w:t>
      </w:r>
      <w:r w:rsidR="008A1FE7" w:rsidRPr="00865343">
        <w:rPr>
          <w:rFonts w:ascii="Palatino Linotype" w:hAnsi="Palatino Linotype" w:cs="Arial"/>
          <w:sz w:val="18"/>
          <w:szCs w:val="18"/>
        </w:rPr>
        <w:t xml:space="preserve"> recurso de </w:t>
      </w:r>
      <w:r w:rsidRPr="00865343">
        <w:rPr>
          <w:rFonts w:ascii="Palatino Linotype" w:hAnsi="Palatino Linotype" w:cs="Arial"/>
          <w:sz w:val="18"/>
          <w:szCs w:val="18"/>
        </w:rPr>
        <w:t xml:space="preserve">revisión </w:t>
      </w:r>
      <w:r w:rsidR="00305936" w:rsidRPr="00865343">
        <w:rPr>
          <w:rFonts w:ascii="Palatino Linotype" w:hAnsi="Palatino Linotype" w:cs="Arial"/>
          <w:b/>
          <w:bCs/>
          <w:sz w:val="18"/>
          <w:szCs w:val="18"/>
        </w:rPr>
        <w:t>0229/INFOEM/IP/RR/2019</w:t>
      </w:r>
      <w:r w:rsidRPr="00865343">
        <w:rPr>
          <w:rFonts w:ascii="Palatino Linotype" w:hAnsi="Palatino Linotype" w:cs="Arial"/>
          <w:b/>
          <w:bCs/>
          <w:sz w:val="18"/>
          <w:szCs w:val="18"/>
        </w:rPr>
        <w:t>.</w:t>
      </w:r>
    </w:p>
    <w:sectPr w:rsidR="000F27A3" w:rsidRPr="00F14D54" w:rsidSect="00446B99">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60B77" w14:textId="77777777" w:rsidR="00D242E3" w:rsidRDefault="00D242E3" w:rsidP="00C80F8C">
      <w:r>
        <w:separator/>
      </w:r>
    </w:p>
  </w:endnote>
  <w:endnote w:type="continuationSeparator" w:id="0">
    <w:p w14:paraId="0ACE75D1" w14:textId="77777777" w:rsidR="00D242E3" w:rsidRDefault="00D242E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E63999" w:rsidRDefault="00E6399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D33C0">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D33C0">
      <w:rPr>
        <w:rFonts w:ascii="Arial" w:hAnsi="Arial" w:cs="Arial"/>
        <w:b/>
        <w:bCs/>
        <w:noProof/>
        <w:sz w:val="20"/>
        <w:szCs w:val="20"/>
      </w:rPr>
      <w:t>27</w:t>
    </w:r>
    <w:r>
      <w:rPr>
        <w:rFonts w:ascii="Arial" w:hAnsi="Arial" w:cs="Arial"/>
        <w:b/>
        <w:bCs/>
        <w:sz w:val="20"/>
        <w:szCs w:val="20"/>
      </w:rPr>
      <w:fldChar w:fldCharType="end"/>
    </w:r>
  </w:p>
  <w:p w14:paraId="1192A578" w14:textId="77777777" w:rsidR="00E63999" w:rsidRDefault="00E63999" w:rsidP="00935A0D">
    <w:pPr>
      <w:pStyle w:val="Piedepgina"/>
      <w:rPr>
        <w:rFonts w:ascii="Times New Roman" w:hAnsi="Times New Roman" w:cs="Times New Roman"/>
      </w:rPr>
    </w:pPr>
  </w:p>
  <w:p w14:paraId="14A770F8" w14:textId="77777777" w:rsidR="00E63999" w:rsidRDefault="00E6399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E63999" w:rsidRDefault="00E6399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D33C0">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D33C0">
      <w:rPr>
        <w:rFonts w:ascii="Arial" w:hAnsi="Arial" w:cs="Arial"/>
        <w:b/>
        <w:bCs/>
        <w:noProof/>
        <w:sz w:val="20"/>
        <w:szCs w:val="20"/>
      </w:rPr>
      <w:t>27</w:t>
    </w:r>
    <w:r>
      <w:rPr>
        <w:rFonts w:ascii="Arial" w:hAnsi="Arial" w:cs="Arial"/>
        <w:b/>
        <w:bCs/>
        <w:sz w:val="20"/>
        <w:szCs w:val="20"/>
      </w:rPr>
      <w:fldChar w:fldCharType="end"/>
    </w:r>
  </w:p>
  <w:p w14:paraId="5D98ABD5" w14:textId="77777777" w:rsidR="00E63999" w:rsidRDefault="00E639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68348" w14:textId="77777777" w:rsidR="00D242E3" w:rsidRDefault="00D242E3" w:rsidP="00C80F8C">
      <w:r>
        <w:separator/>
      </w:r>
    </w:p>
  </w:footnote>
  <w:footnote w:type="continuationSeparator" w:id="0">
    <w:p w14:paraId="694D79A9" w14:textId="77777777" w:rsidR="00D242E3" w:rsidRDefault="00D242E3" w:rsidP="00C80F8C">
      <w:r>
        <w:continuationSeparator/>
      </w:r>
    </w:p>
  </w:footnote>
  <w:footnote w:id="1">
    <w:p w14:paraId="3F2129E7" w14:textId="77777777" w:rsidR="00E63999" w:rsidRPr="005C79BE" w:rsidRDefault="00E63999" w:rsidP="008B1FB0">
      <w:pPr>
        <w:pStyle w:val="Textonotapie"/>
        <w:jc w:val="both"/>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“Artículo 12. (…)</w:t>
      </w:r>
    </w:p>
    <w:p w14:paraId="76514D9E" w14:textId="77777777" w:rsidR="00E63999" w:rsidRPr="005C79BE" w:rsidRDefault="00E63999" w:rsidP="008B1FB0">
      <w:pPr>
        <w:pStyle w:val="Textonotapie"/>
        <w:jc w:val="both"/>
        <w:rPr>
          <w:rFonts w:ascii="Palatino Linotype" w:hAnsi="Palatino Linotype"/>
        </w:rPr>
      </w:pPr>
      <w:r w:rsidRPr="005C79BE">
        <w:rPr>
          <w:rFonts w:ascii="Palatino Linotype" w:hAnsi="Palatino Linotyp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 w:id="2">
    <w:p w14:paraId="281BAA46" w14:textId="77777777" w:rsidR="00E63999" w:rsidRPr="005C79BE" w:rsidRDefault="00E63999" w:rsidP="008B1FB0">
      <w:pPr>
        <w:pStyle w:val="Textonotapie"/>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footnote>
  <w:footnote w:id="3">
    <w:p w14:paraId="48600D48" w14:textId="77777777" w:rsidR="00E63999" w:rsidRPr="005C79BE" w:rsidRDefault="00E63999" w:rsidP="008B1FB0">
      <w:pPr>
        <w:pStyle w:val="Textonotapie"/>
        <w:jc w:val="both"/>
        <w:rPr>
          <w:rFonts w:ascii="Palatino Linotype" w:hAnsi="Palatino Linotype"/>
        </w:rPr>
      </w:pPr>
      <w:r w:rsidRPr="005C79BE">
        <w:rPr>
          <w:rStyle w:val="Refdenotaalpie"/>
          <w:rFonts w:ascii="Palatino Linotype" w:hAnsi="Palatino Linotype"/>
        </w:rPr>
        <w:footnoteRef/>
      </w:r>
      <w:r w:rsidRPr="005C79BE">
        <w:rPr>
          <w:rFonts w:ascii="Palatino Linotype" w:hAnsi="Palatino Linotype"/>
        </w:rPr>
        <w:t xml:space="preserve"> “Artículo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14:paraId="61711730" w14:textId="77777777" w:rsidR="00DE4CD1" w:rsidRPr="00E76965" w:rsidRDefault="00DE4CD1" w:rsidP="00DE4CD1">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 w:id="5">
    <w:p w14:paraId="6341331C" w14:textId="3E367D17" w:rsidR="00BB230B" w:rsidRPr="00BB230B" w:rsidRDefault="00BB230B">
      <w:pPr>
        <w:pStyle w:val="Textonotapie"/>
        <w:rPr>
          <w:rFonts w:ascii="Palatino Linotype" w:hAnsi="Palatino Linotype"/>
        </w:rPr>
      </w:pPr>
      <w:r w:rsidRPr="00BB230B">
        <w:rPr>
          <w:rStyle w:val="Refdenotaalpie"/>
          <w:rFonts w:ascii="Palatino Linotype" w:hAnsi="Palatino Linotype"/>
        </w:rPr>
        <w:footnoteRef/>
      </w:r>
      <w:r w:rsidRPr="00BB230B">
        <w:rPr>
          <w:rFonts w:ascii="Palatino Linotype" w:hAnsi="Palatino Linotype"/>
        </w:rPr>
        <w:t xml:space="preserve"> https://acrobat.adobe.com/mx/es/acrobat/about-adobe-pdf.html </w:t>
      </w:r>
    </w:p>
  </w:footnote>
  <w:footnote w:id="6">
    <w:p w14:paraId="2F9002E0" w14:textId="56090798" w:rsidR="00917D63" w:rsidRDefault="00917D63">
      <w:pPr>
        <w:pStyle w:val="Textonotapie"/>
      </w:pPr>
      <w:r>
        <w:rPr>
          <w:rStyle w:val="Refdenotaalpie"/>
        </w:rPr>
        <w:footnoteRef/>
      </w:r>
      <w:r>
        <w:t xml:space="preserve"> </w:t>
      </w:r>
      <w:r>
        <w:rPr>
          <w:rFonts w:ascii="Cambria" w:hAnsi="Cambria"/>
          <w:b/>
          <w:bCs/>
          <w:i/>
          <w:iCs/>
          <w:color w:val="000000"/>
          <w:sz w:val="16"/>
          <w:szCs w:val="16"/>
          <w:shd w:val="clear" w:color="auto" w:fill="FFFFFF"/>
        </w:rPr>
        <w:t>Artículo 46</w:t>
      </w:r>
      <w:r>
        <w:rPr>
          <w:rFonts w:ascii="Cambria" w:hAnsi="Cambria"/>
          <w:i/>
          <w:iCs/>
          <w:color w:val="000000"/>
          <w:sz w:val="16"/>
          <w:szCs w:val="16"/>
          <w:shd w:val="clear" w:color="auto" w:fill="FFFFFF"/>
        </w:rPr>
        <w:t>.- Las instituciones de crédito sólo podrán realizar las operaciones siguientes: I. Recibir depósitos bancarios de dinero: a) A la vista; b) Retirables en días preestablecidos; c) De ahorro, y d) A plazo o con previo aviso; II. Aceptar préstamos y créditos; III. Emitir bonos bancarios; IV. Emitir obligaciones subordinadas; V. Constituir depósitos en instituciones de crédito y entidades financieras del exterior; VI. Efectuar descuentos y otorgar préstamos o créditos; VII. Expedir tarjetas de crédito con base en contratos de apertura de crédito en cuenta corriente; VIII. Asumir obligaciones por cuenta de terceros, con base en créditos concedidos, a través del otorgamiento de aceptaciones, endoso o aval de títulos de crédito, así como de la expedición de cartas de crédito; IX. Operar con valores en los términos de las disposiciones de la presente Ley y de la Ley Mercado de Valores; X. Promover la organización y transformación de toda clase de empresas o sociedades mercantiles y suscribir y conservar acciones o partes de interés en las mismas, en los términos de esta Ley; XI. Operar con documentos mercantiles por cuenta propia; XII. Llevar a cabo por cuenta propia o de terceros operaciones con oro, plata y divisas, incluyendo reportos sobre estas últimas; XIII. Prestar servicio de cajas de seguridad; XIV. Expedir cartas de crédito previa recepción de su importe, hacer efectivos créditos y realizar pagos por cuenta de clientes; XV. Practicar las operaciones de fideicomiso a que se refiere la Ley General de Títulos y Operaciones de Crédito, y llevar a cabo mandatos y comisiones; Las instituciones de crédito podrán celebrar operaciones consigo mismas en el cumplimiento de fideicomisos, mandatos o comisiones, cuando el Banco de México lo autorice mediante disposiciones de carácter general, en las que se establezcan requisitos, términos y condiciones que promuevan que las operaciones de referencia se realicen en congruencia con las condiciones de mercado al tiempo de su celebración, así como que se eviten conflictos de interés; XVI. Recibir depósitos en administración o custodia, o en garantía por cuenta de terceros, de títulos o valores y en general de documentos mercantiles; XVII. Actuar como representante común de los tenedores de títulos de crédito; XVIII. Hacer servicio de caja y tesorería relativo a títulos de crédito, por cuenta de las emisoras; XIX. Llevar la contabilidad y los libros de actas y de registro de sociedades y empresas; XX. Desempeñar el cargo de albacea; XXI. Desempeñar la sindicatura o encargarse de la liquidación judicial o extrajudicial de negociaciones, establecimientos, concursos o herencias; XXII. Encargarse de hacer avalúos que tendrán la misma fuerza probatoria que las leyes asignan a los hechos por corredor público o perito; XXIII. Adquirir los bienes muebles e inmuebles necesarios para la realización de su objeto y enajenarlos cuando corresponda, y XXIV. Celebrar contratos de arrendamiento financiero y adquirir los bienes que sean objeto de tales contratos. XXV. Realizar operaciones derivadas, sujetándose a las disposiciones técnicas y operativas que expida el Banco de México, en las cuales se establezcan las características de dichas operaciones, tales como tipos, plazos, contrapartes, subyacentes, garantías y formas de liquidación; XXVI. Efectuar operaciones de factoraje financiero; XXVI bis. Emitir y poner en circulación cualquier medio de pago que determine el Banco de México, sujetándose a las disposiciones técnicas y operativas que éste expida, en las cuales se establezcan entre otras características, las relativas a su uso, monto y vigencia, a fin de propiciar el uso de diversos medios de pago; XXVII. Intervenir en la contratación de seguros para lo cual deberán cumplir con lo establecido en la Ley General de Instituciones y Sociedades Mutualistas de Seguros y en las disposiciones de carácter general que de la misma emanen, XXVIII. Las análogas o conexas que autorice la Secretaría de Hacienda y Crédito Público, oyendo la opinión del Banco de México y de la Comisión Nacional Bancaria y de Valores. Las instituciones de banca múltiple únicamente podrán realizar aquellas operaciones previstas en las fracciones anteriores que estén expresamente contempladas en sus estatutos sociales, previa aprobación de la Comisión Nacional Bancaria y de Valores en términos de lo dispuesto por los artículos 9o. y 46 Bis de la presente Ley. La Secretaría de Hacienda y Crédito Público, la Comisión Nacional Bancaria y de Valores y el Banco de México, dentro de la regulación que deban emitir en el ámbito de su competencia, deberán considerar las operaciones que las instituciones de banca múltiple estén autorizadas a realizar conforme a lo previsto en los artículos 8o., 10 y 46 Bis de esta Ley, y diferenciar, cuando lo estimen procedente, dicha regulación en aspectos tales como la infraestructura con que deberán contar y la información que deberán proporcionar, entre otros. Asimismo, se podrán considerar los modelos de negocios o características de sus operaciones.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AE35DE" w14:paraId="6B4E3B81" w14:textId="77777777" w:rsidTr="007E2BE8">
      <w:tc>
        <w:tcPr>
          <w:tcW w:w="2552" w:type="dxa"/>
          <w:vAlign w:val="center"/>
          <w:hideMark/>
        </w:tcPr>
        <w:p w14:paraId="0ABBC6C0" w14:textId="77777777" w:rsidR="00AE35DE" w:rsidRDefault="00AE35DE" w:rsidP="00AE35DE">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0" w:type="dxa"/>
          <w:vAlign w:val="center"/>
          <w:hideMark/>
        </w:tcPr>
        <w:p w14:paraId="60C471CA" w14:textId="06F2F80D" w:rsidR="00AE35DE" w:rsidRDefault="00AE35DE" w:rsidP="00AE35DE">
          <w:pPr>
            <w:jc w:val="both"/>
            <w:rPr>
              <w:rFonts w:ascii="Palatino Linotype" w:hAnsi="Palatino Linotype"/>
              <w:b/>
              <w:sz w:val="22"/>
              <w:szCs w:val="22"/>
              <w:lang w:val="es-ES_tradnl"/>
            </w:rPr>
          </w:pPr>
          <w:r>
            <w:rPr>
              <w:rFonts w:ascii="Palatino Linotype" w:hAnsi="Palatino Linotype"/>
              <w:b/>
              <w:sz w:val="22"/>
              <w:szCs w:val="22"/>
              <w:lang w:val="es-ES_tradnl"/>
            </w:rPr>
            <w:t>00229/INFOEM/IP/RR/2019</w:t>
          </w:r>
        </w:p>
      </w:tc>
    </w:tr>
    <w:tr w:rsidR="00AE35DE" w14:paraId="31CB780F" w14:textId="77777777" w:rsidTr="007E2BE8">
      <w:trPr>
        <w:trHeight w:val="228"/>
      </w:trPr>
      <w:tc>
        <w:tcPr>
          <w:tcW w:w="2552" w:type="dxa"/>
          <w:vAlign w:val="center"/>
          <w:hideMark/>
        </w:tcPr>
        <w:p w14:paraId="4F49CB4A" w14:textId="77777777" w:rsidR="00AE35DE" w:rsidRDefault="00AE35DE" w:rsidP="00AE35DE">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0" w:type="dxa"/>
          <w:vAlign w:val="center"/>
          <w:hideMark/>
        </w:tcPr>
        <w:p w14:paraId="5D08B318" w14:textId="13D9BCEF" w:rsidR="00AE35DE" w:rsidRDefault="00AE35DE" w:rsidP="00AE35DE">
          <w:pPr>
            <w:jc w:val="both"/>
            <w:rPr>
              <w:rFonts w:ascii="Palatino Linotype" w:hAnsi="Palatino Linotype"/>
              <w:b/>
              <w:sz w:val="22"/>
              <w:szCs w:val="22"/>
              <w:lang w:val="es-ES_tradnl"/>
            </w:rPr>
          </w:pPr>
          <w:r>
            <w:rPr>
              <w:rFonts w:ascii="Palatino Linotype" w:hAnsi="Palatino Linotype"/>
              <w:b/>
              <w:bCs/>
              <w:color w:val="000000"/>
              <w:sz w:val="22"/>
              <w:szCs w:val="22"/>
            </w:rPr>
            <w:t>Ayuntamiento de Valle de Chalco Solidaridad</w:t>
          </w:r>
        </w:p>
      </w:tc>
    </w:tr>
    <w:tr w:rsidR="00E63999" w14:paraId="69050F56" w14:textId="77777777" w:rsidTr="007E2BE8">
      <w:tc>
        <w:tcPr>
          <w:tcW w:w="2552" w:type="dxa"/>
          <w:vAlign w:val="center"/>
          <w:hideMark/>
        </w:tcPr>
        <w:p w14:paraId="65C9B735" w14:textId="3CB772C2" w:rsidR="00E63999" w:rsidRDefault="00E63999"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0" w:type="dxa"/>
          <w:vAlign w:val="center"/>
          <w:hideMark/>
        </w:tcPr>
        <w:p w14:paraId="06864B57" w14:textId="21CAEFF5" w:rsidR="00E63999" w:rsidRDefault="00E63999"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007D3746" w:rsidR="00E63999" w:rsidRDefault="00E63999"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E63999" w14:paraId="477E149B" w14:textId="77777777" w:rsidTr="007E2BE8">
      <w:tc>
        <w:tcPr>
          <w:tcW w:w="2551" w:type="dxa"/>
          <w:vAlign w:val="center"/>
          <w:hideMark/>
        </w:tcPr>
        <w:p w14:paraId="5C0586E4" w14:textId="77777777" w:rsidR="00E63999" w:rsidRDefault="00E63999"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01B3654B" w:rsidR="00E63999" w:rsidRDefault="00AE35DE" w:rsidP="005347A7">
          <w:pPr>
            <w:jc w:val="both"/>
            <w:rPr>
              <w:rFonts w:ascii="Palatino Linotype" w:hAnsi="Palatino Linotype"/>
              <w:b/>
              <w:sz w:val="22"/>
              <w:szCs w:val="22"/>
              <w:lang w:val="es-ES_tradnl"/>
            </w:rPr>
          </w:pPr>
          <w:r>
            <w:rPr>
              <w:rFonts w:ascii="Palatino Linotype" w:hAnsi="Palatino Linotype"/>
              <w:b/>
              <w:sz w:val="22"/>
              <w:szCs w:val="22"/>
              <w:lang w:val="es-ES_tradnl"/>
            </w:rPr>
            <w:t>00229/INFOEM/IP/RR/2019</w:t>
          </w:r>
        </w:p>
      </w:tc>
    </w:tr>
    <w:tr w:rsidR="00E63999" w14:paraId="5B5BE21C" w14:textId="77777777" w:rsidTr="007E2BE8">
      <w:tc>
        <w:tcPr>
          <w:tcW w:w="2551" w:type="dxa"/>
          <w:vAlign w:val="center"/>
          <w:hideMark/>
        </w:tcPr>
        <w:p w14:paraId="4AE96902" w14:textId="77777777" w:rsidR="00E63999" w:rsidRDefault="00E63999"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3505C049" w:rsidR="00E63999" w:rsidRDefault="003D33C0" w:rsidP="002E156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 XXXXXXX </w:t>
          </w:r>
          <w:r>
            <w:rPr>
              <w:rFonts w:ascii="Palatino Linotype" w:hAnsi="Palatino Linotype"/>
              <w:b/>
              <w:sz w:val="22"/>
              <w:szCs w:val="22"/>
              <w:lang w:val="es-ES_tradnl"/>
            </w:rPr>
            <w:t>XXXXXXX</w:t>
          </w:r>
          <w:r w:rsidR="00E63999">
            <w:rPr>
              <w:rFonts w:ascii="Palatino Linotype" w:hAnsi="Palatino Linotype"/>
              <w:b/>
              <w:sz w:val="22"/>
              <w:szCs w:val="22"/>
              <w:lang w:val="es-ES_tradnl"/>
            </w:rPr>
            <w:t xml:space="preserve"> </w:t>
          </w:r>
        </w:p>
      </w:tc>
    </w:tr>
    <w:tr w:rsidR="00E63999" w14:paraId="22601A11" w14:textId="77777777" w:rsidTr="007E2BE8">
      <w:trPr>
        <w:trHeight w:val="228"/>
      </w:trPr>
      <w:tc>
        <w:tcPr>
          <w:tcW w:w="2551" w:type="dxa"/>
          <w:vAlign w:val="center"/>
          <w:hideMark/>
        </w:tcPr>
        <w:p w14:paraId="6EFE221D" w14:textId="77777777" w:rsidR="00E63999" w:rsidRDefault="00E63999"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6DB35858" w:rsidR="00E63999" w:rsidRPr="00F1346D" w:rsidRDefault="00E63999" w:rsidP="00AE35DE">
          <w:pPr>
            <w:jc w:val="both"/>
            <w:rPr>
              <w:rFonts w:ascii="Palatino Linotype" w:hAnsi="Palatino Linotype"/>
              <w:b/>
              <w:sz w:val="22"/>
              <w:szCs w:val="22"/>
              <w:lang w:val="es-ES_tradnl"/>
            </w:rPr>
          </w:pPr>
          <w:r>
            <w:rPr>
              <w:rFonts w:ascii="Palatino Linotype" w:hAnsi="Palatino Linotype"/>
              <w:b/>
              <w:bCs/>
              <w:color w:val="000000"/>
              <w:sz w:val="22"/>
              <w:szCs w:val="22"/>
            </w:rPr>
            <w:t xml:space="preserve">Ayuntamiento de </w:t>
          </w:r>
          <w:r w:rsidR="00AE35DE">
            <w:rPr>
              <w:rFonts w:ascii="Palatino Linotype" w:hAnsi="Palatino Linotype"/>
              <w:b/>
              <w:bCs/>
              <w:color w:val="000000"/>
              <w:sz w:val="22"/>
              <w:szCs w:val="22"/>
            </w:rPr>
            <w:t>Valle de Chalco Solidaridad</w:t>
          </w:r>
        </w:p>
      </w:tc>
    </w:tr>
    <w:tr w:rsidR="00E63999" w14:paraId="2D6C630E" w14:textId="77777777" w:rsidTr="007E2BE8">
      <w:tc>
        <w:tcPr>
          <w:tcW w:w="2551" w:type="dxa"/>
          <w:vAlign w:val="center"/>
          <w:hideMark/>
        </w:tcPr>
        <w:p w14:paraId="5BD4C6DB" w14:textId="656677ED" w:rsidR="00E63999" w:rsidRDefault="00E63999"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E63999" w:rsidRDefault="00E63999"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E63999" w:rsidRDefault="00E6399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63D6"/>
    <w:multiLevelType w:val="hybridMultilevel"/>
    <w:tmpl w:val="E6D8A0CC"/>
    <w:lvl w:ilvl="0" w:tplc="6D7489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3F69"/>
    <w:multiLevelType w:val="hybridMultilevel"/>
    <w:tmpl w:val="4D5AD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96775E"/>
    <w:multiLevelType w:val="hybridMultilevel"/>
    <w:tmpl w:val="642EAFF0"/>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237803"/>
    <w:multiLevelType w:val="hybridMultilevel"/>
    <w:tmpl w:val="CB6C9182"/>
    <w:lvl w:ilvl="0" w:tplc="12720CE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1D6736B8"/>
    <w:multiLevelType w:val="hybridMultilevel"/>
    <w:tmpl w:val="0CCA2704"/>
    <w:lvl w:ilvl="0" w:tplc="557837EE">
      <w:start w:val="1"/>
      <w:numFmt w:val="upperRoman"/>
      <w:lvlText w:val="%1."/>
      <w:lvlJc w:val="left"/>
      <w:pPr>
        <w:ind w:left="2433" w:hanging="720"/>
      </w:pPr>
      <w:rPr>
        <w:rFonts w:hint="default"/>
      </w:rPr>
    </w:lvl>
    <w:lvl w:ilvl="1" w:tplc="080A0019" w:tentative="1">
      <w:start w:val="1"/>
      <w:numFmt w:val="lowerLetter"/>
      <w:lvlText w:val="%2."/>
      <w:lvlJc w:val="left"/>
      <w:pPr>
        <w:ind w:left="2793" w:hanging="360"/>
      </w:pPr>
    </w:lvl>
    <w:lvl w:ilvl="2" w:tplc="080A001B" w:tentative="1">
      <w:start w:val="1"/>
      <w:numFmt w:val="lowerRoman"/>
      <w:lvlText w:val="%3."/>
      <w:lvlJc w:val="right"/>
      <w:pPr>
        <w:ind w:left="3513" w:hanging="180"/>
      </w:pPr>
    </w:lvl>
    <w:lvl w:ilvl="3" w:tplc="080A000F" w:tentative="1">
      <w:start w:val="1"/>
      <w:numFmt w:val="decimal"/>
      <w:lvlText w:val="%4."/>
      <w:lvlJc w:val="left"/>
      <w:pPr>
        <w:ind w:left="4233" w:hanging="360"/>
      </w:pPr>
    </w:lvl>
    <w:lvl w:ilvl="4" w:tplc="080A0019" w:tentative="1">
      <w:start w:val="1"/>
      <w:numFmt w:val="lowerLetter"/>
      <w:lvlText w:val="%5."/>
      <w:lvlJc w:val="left"/>
      <w:pPr>
        <w:ind w:left="4953" w:hanging="360"/>
      </w:pPr>
    </w:lvl>
    <w:lvl w:ilvl="5" w:tplc="080A001B" w:tentative="1">
      <w:start w:val="1"/>
      <w:numFmt w:val="lowerRoman"/>
      <w:lvlText w:val="%6."/>
      <w:lvlJc w:val="right"/>
      <w:pPr>
        <w:ind w:left="5673" w:hanging="180"/>
      </w:pPr>
    </w:lvl>
    <w:lvl w:ilvl="6" w:tplc="080A000F" w:tentative="1">
      <w:start w:val="1"/>
      <w:numFmt w:val="decimal"/>
      <w:lvlText w:val="%7."/>
      <w:lvlJc w:val="left"/>
      <w:pPr>
        <w:ind w:left="6393" w:hanging="360"/>
      </w:pPr>
    </w:lvl>
    <w:lvl w:ilvl="7" w:tplc="080A0019" w:tentative="1">
      <w:start w:val="1"/>
      <w:numFmt w:val="lowerLetter"/>
      <w:lvlText w:val="%8."/>
      <w:lvlJc w:val="left"/>
      <w:pPr>
        <w:ind w:left="7113" w:hanging="360"/>
      </w:pPr>
    </w:lvl>
    <w:lvl w:ilvl="8" w:tplc="080A001B" w:tentative="1">
      <w:start w:val="1"/>
      <w:numFmt w:val="lowerRoman"/>
      <w:lvlText w:val="%9."/>
      <w:lvlJc w:val="right"/>
      <w:pPr>
        <w:ind w:left="7833" w:hanging="180"/>
      </w:pPr>
    </w:lvl>
  </w:abstractNum>
  <w:abstractNum w:abstractNumId="6" w15:restartNumberingAfterBreak="0">
    <w:nsid w:val="202C6394"/>
    <w:multiLevelType w:val="hybridMultilevel"/>
    <w:tmpl w:val="E2021E10"/>
    <w:lvl w:ilvl="0" w:tplc="77C678BC">
      <w:start w:val="3"/>
      <w:numFmt w:val="upperRoman"/>
      <w:lvlText w:val="%1."/>
      <w:lvlJc w:val="left"/>
      <w:pPr>
        <w:ind w:left="720"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7" w15:restartNumberingAfterBreak="0">
    <w:nsid w:val="38BD7C1B"/>
    <w:multiLevelType w:val="hybridMultilevel"/>
    <w:tmpl w:val="B23E6696"/>
    <w:lvl w:ilvl="0" w:tplc="65889E9C">
      <w:start w:val="6"/>
      <w:numFmt w:val="upperRoman"/>
      <w:lvlText w:val="%1."/>
      <w:lvlJc w:val="left"/>
      <w:pPr>
        <w:ind w:left="1713" w:hanging="720"/>
      </w:pPr>
      <w:rPr>
        <w:rFonts w:ascii="Palatino Linotype" w:hAnsi="Palatino Linotype" w:hint="default"/>
        <w:i/>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EB0774"/>
    <w:multiLevelType w:val="hybridMultilevel"/>
    <w:tmpl w:val="4D52BEC4"/>
    <w:lvl w:ilvl="0" w:tplc="5E509E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39C3E16"/>
    <w:multiLevelType w:val="hybridMultilevel"/>
    <w:tmpl w:val="6498B17E"/>
    <w:lvl w:ilvl="0" w:tplc="E0245832">
      <w:start w:val="1"/>
      <w:numFmt w:val="upperRoman"/>
      <w:lvlText w:val="%1."/>
      <w:lvlJc w:val="left"/>
      <w:pPr>
        <w:ind w:left="1713" w:hanging="720"/>
      </w:pPr>
      <w:rPr>
        <w:rFonts w:ascii="Palatino Linotype" w:hAnsi="Palatino Linotype" w:hint="default"/>
        <w:i/>
        <w:sz w:val="22"/>
        <w:szCs w:val="22"/>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B70222"/>
    <w:multiLevelType w:val="hybridMultilevel"/>
    <w:tmpl w:val="18FAA1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ED82DA4"/>
    <w:multiLevelType w:val="hybridMultilevel"/>
    <w:tmpl w:val="481E3976"/>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75FC1E86"/>
    <w:multiLevelType w:val="hybridMultilevel"/>
    <w:tmpl w:val="45704714"/>
    <w:lvl w:ilvl="0" w:tplc="68D4EE3E">
      <w:start w:val="7"/>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num w:numId="1">
    <w:abstractNumId w:val="11"/>
  </w:num>
  <w:num w:numId="2">
    <w:abstractNumId w:val="1"/>
  </w:num>
  <w:num w:numId="3">
    <w:abstractNumId w:val="12"/>
  </w:num>
  <w:num w:numId="4">
    <w:abstractNumId w:val="4"/>
  </w:num>
  <w:num w:numId="5">
    <w:abstractNumId w:val="13"/>
  </w:num>
  <w:num w:numId="6">
    <w:abstractNumId w:val="14"/>
  </w:num>
  <w:num w:numId="7">
    <w:abstractNumId w:val="8"/>
  </w:num>
  <w:num w:numId="8">
    <w:abstractNumId w:val="0"/>
  </w:num>
  <w:num w:numId="9">
    <w:abstractNumId w:val="2"/>
  </w:num>
  <w:num w:numId="10">
    <w:abstractNumId w:val="3"/>
  </w:num>
  <w:num w:numId="11">
    <w:abstractNumId w:val="9"/>
  </w:num>
  <w:num w:numId="12">
    <w:abstractNumId w:val="7"/>
  </w:num>
  <w:num w:numId="13">
    <w:abstractNumId w:val="6"/>
  </w:num>
  <w:num w:numId="14">
    <w:abstractNumId w:val="5"/>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4432"/>
    <w:rsid w:val="000054B4"/>
    <w:rsid w:val="00013961"/>
    <w:rsid w:val="00013D8B"/>
    <w:rsid w:val="000142A6"/>
    <w:rsid w:val="000163E2"/>
    <w:rsid w:val="00022DB0"/>
    <w:rsid w:val="00024F58"/>
    <w:rsid w:val="0002752B"/>
    <w:rsid w:val="00027800"/>
    <w:rsid w:val="00031A9E"/>
    <w:rsid w:val="000354B7"/>
    <w:rsid w:val="00037E4E"/>
    <w:rsid w:val="000403E5"/>
    <w:rsid w:val="00040E5C"/>
    <w:rsid w:val="000416BB"/>
    <w:rsid w:val="00041A20"/>
    <w:rsid w:val="00043E5D"/>
    <w:rsid w:val="0004420F"/>
    <w:rsid w:val="0004439C"/>
    <w:rsid w:val="00044836"/>
    <w:rsid w:val="000467EA"/>
    <w:rsid w:val="0005034C"/>
    <w:rsid w:val="000507B6"/>
    <w:rsid w:val="00051D02"/>
    <w:rsid w:val="00052FFB"/>
    <w:rsid w:val="00053482"/>
    <w:rsid w:val="000542C7"/>
    <w:rsid w:val="00054451"/>
    <w:rsid w:val="00054B4D"/>
    <w:rsid w:val="00055BCD"/>
    <w:rsid w:val="00060DA9"/>
    <w:rsid w:val="000623E5"/>
    <w:rsid w:val="0006391A"/>
    <w:rsid w:val="000657E3"/>
    <w:rsid w:val="0006581C"/>
    <w:rsid w:val="000679F8"/>
    <w:rsid w:val="00067DA3"/>
    <w:rsid w:val="00071EFB"/>
    <w:rsid w:val="00073523"/>
    <w:rsid w:val="00073B46"/>
    <w:rsid w:val="00073BA4"/>
    <w:rsid w:val="00077CAA"/>
    <w:rsid w:val="00083430"/>
    <w:rsid w:val="0008542A"/>
    <w:rsid w:val="000861B5"/>
    <w:rsid w:val="00086D0F"/>
    <w:rsid w:val="0008792E"/>
    <w:rsid w:val="00087991"/>
    <w:rsid w:val="00087A2F"/>
    <w:rsid w:val="000902C2"/>
    <w:rsid w:val="0009393F"/>
    <w:rsid w:val="0009491F"/>
    <w:rsid w:val="000955C2"/>
    <w:rsid w:val="00095E81"/>
    <w:rsid w:val="00096F4F"/>
    <w:rsid w:val="00097AE1"/>
    <w:rsid w:val="000A2711"/>
    <w:rsid w:val="000A57F2"/>
    <w:rsid w:val="000A5983"/>
    <w:rsid w:val="000A5987"/>
    <w:rsid w:val="000A70F6"/>
    <w:rsid w:val="000B0177"/>
    <w:rsid w:val="000B1945"/>
    <w:rsid w:val="000B2927"/>
    <w:rsid w:val="000B3A6A"/>
    <w:rsid w:val="000B3FFD"/>
    <w:rsid w:val="000B4FE8"/>
    <w:rsid w:val="000B6AD8"/>
    <w:rsid w:val="000C06EC"/>
    <w:rsid w:val="000C15E2"/>
    <w:rsid w:val="000C223E"/>
    <w:rsid w:val="000C2B90"/>
    <w:rsid w:val="000C2DC4"/>
    <w:rsid w:val="000C4453"/>
    <w:rsid w:val="000C4F0B"/>
    <w:rsid w:val="000C52FE"/>
    <w:rsid w:val="000C5EB9"/>
    <w:rsid w:val="000C658A"/>
    <w:rsid w:val="000C6B3B"/>
    <w:rsid w:val="000C7A6B"/>
    <w:rsid w:val="000D05A8"/>
    <w:rsid w:val="000D0875"/>
    <w:rsid w:val="000D1CE4"/>
    <w:rsid w:val="000D23E1"/>
    <w:rsid w:val="000D38FC"/>
    <w:rsid w:val="000D77F1"/>
    <w:rsid w:val="000D7802"/>
    <w:rsid w:val="000D7D54"/>
    <w:rsid w:val="000E0B0D"/>
    <w:rsid w:val="000E0D4C"/>
    <w:rsid w:val="000E2DE5"/>
    <w:rsid w:val="000E3C8A"/>
    <w:rsid w:val="000E5379"/>
    <w:rsid w:val="000E664C"/>
    <w:rsid w:val="000F128B"/>
    <w:rsid w:val="000F1515"/>
    <w:rsid w:val="000F1958"/>
    <w:rsid w:val="000F1F12"/>
    <w:rsid w:val="000F27A3"/>
    <w:rsid w:val="000F2894"/>
    <w:rsid w:val="000F2F55"/>
    <w:rsid w:val="000F3CA8"/>
    <w:rsid w:val="000F570C"/>
    <w:rsid w:val="000F6B89"/>
    <w:rsid w:val="00100085"/>
    <w:rsid w:val="00103284"/>
    <w:rsid w:val="001119A1"/>
    <w:rsid w:val="00111E67"/>
    <w:rsid w:val="001136B7"/>
    <w:rsid w:val="00113827"/>
    <w:rsid w:val="001145E0"/>
    <w:rsid w:val="00114D84"/>
    <w:rsid w:val="00114E1D"/>
    <w:rsid w:val="00114F4F"/>
    <w:rsid w:val="00114FD0"/>
    <w:rsid w:val="00116167"/>
    <w:rsid w:val="0011709B"/>
    <w:rsid w:val="00117722"/>
    <w:rsid w:val="00120FE3"/>
    <w:rsid w:val="00121C77"/>
    <w:rsid w:val="0012482F"/>
    <w:rsid w:val="00131A23"/>
    <w:rsid w:val="0013246E"/>
    <w:rsid w:val="00135834"/>
    <w:rsid w:val="00135983"/>
    <w:rsid w:val="00135ADB"/>
    <w:rsid w:val="00137EEF"/>
    <w:rsid w:val="001409A7"/>
    <w:rsid w:val="00145745"/>
    <w:rsid w:val="00145BF8"/>
    <w:rsid w:val="00150121"/>
    <w:rsid w:val="00152D6D"/>
    <w:rsid w:val="00152EB9"/>
    <w:rsid w:val="00154A89"/>
    <w:rsid w:val="00155EE8"/>
    <w:rsid w:val="0016185D"/>
    <w:rsid w:val="001623C4"/>
    <w:rsid w:val="00164786"/>
    <w:rsid w:val="001650BF"/>
    <w:rsid w:val="00170FBF"/>
    <w:rsid w:val="0017334A"/>
    <w:rsid w:val="00175B49"/>
    <w:rsid w:val="001764BD"/>
    <w:rsid w:val="00176A2B"/>
    <w:rsid w:val="00180D3F"/>
    <w:rsid w:val="00181731"/>
    <w:rsid w:val="00185F5E"/>
    <w:rsid w:val="00186D39"/>
    <w:rsid w:val="001877E3"/>
    <w:rsid w:val="001910A9"/>
    <w:rsid w:val="00194BAB"/>
    <w:rsid w:val="001A211D"/>
    <w:rsid w:val="001A4247"/>
    <w:rsid w:val="001A4321"/>
    <w:rsid w:val="001A4AAA"/>
    <w:rsid w:val="001A523B"/>
    <w:rsid w:val="001A6401"/>
    <w:rsid w:val="001A6692"/>
    <w:rsid w:val="001A68FC"/>
    <w:rsid w:val="001A750D"/>
    <w:rsid w:val="001B4CEE"/>
    <w:rsid w:val="001C302C"/>
    <w:rsid w:val="001C32EB"/>
    <w:rsid w:val="001C5D0A"/>
    <w:rsid w:val="001D05B8"/>
    <w:rsid w:val="001D541C"/>
    <w:rsid w:val="001D546F"/>
    <w:rsid w:val="001D5E49"/>
    <w:rsid w:val="001D6C31"/>
    <w:rsid w:val="001D6CB0"/>
    <w:rsid w:val="001E1AF2"/>
    <w:rsid w:val="001E27A2"/>
    <w:rsid w:val="001E7A4B"/>
    <w:rsid w:val="001E7F56"/>
    <w:rsid w:val="001F7359"/>
    <w:rsid w:val="00200379"/>
    <w:rsid w:val="002004A4"/>
    <w:rsid w:val="002009A8"/>
    <w:rsid w:val="00201843"/>
    <w:rsid w:val="00202CDF"/>
    <w:rsid w:val="002045D9"/>
    <w:rsid w:val="00205AEA"/>
    <w:rsid w:val="00205E96"/>
    <w:rsid w:val="00210DA6"/>
    <w:rsid w:val="00213118"/>
    <w:rsid w:val="00215F29"/>
    <w:rsid w:val="002168F1"/>
    <w:rsid w:val="002175B2"/>
    <w:rsid w:val="002207F0"/>
    <w:rsid w:val="00220958"/>
    <w:rsid w:val="00220F0D"/>
    <w:rsid w:val="00221FB8"/>
    <w:rsid w:val="00224F8A"/>
    <w:rsid w:val="0022501F"/>
    <w:rsid w:val="00227C43"/>
    <w:rsid w:val="00230593"/>
    <w:rsid w:val="00230740"/>
    <w:rsid w:val="0023264F"/>
    <w:rsid w:val="002328ED"/>
    <w:rsid w:val="00235FA6"/>
    <w:rsid w:val="002373CE"/>
    <w:rsid w:val="0024021F"/>
    <w:rsid w:val="002433B4"/>
    <w:rsid w:val="002433EF"/>
    <w:rsid w:val="002534E4"/>
    <w:rsid w:val="0025352F"/>
    <w:rsid w:val="00255050"/>
    <w:rsid w:val="002551B1"/>
    <w:rsid w:val="0026123F"/>
    <w:rsid w:val="002612A6"/>
    <w:rsid w:val="00261EE8"/>
    <w:rsid w:val="0026350A"/>
    <w:rsid w:val="00263841"/>
    <w:rsid w:val="00263E26"/>
    <w:rsid w:val="00264F53"/>
    <w:rsid w:val="00264F5F"/>
    <w:rsid w:val="002650F0"/>
    <w:rsid w:val="002661F1"/>
    <w:rsid w:val="00266463"/>
    <w:rsid w:val="0026697E"/>
    <w:rsid w:val="00275929"/>
    <w:rsid w:val="002774F3"/>
    <w:rsid w:val="00280EE2"/>
    <w:rsid w:val="002829D3"/>
    <w:rsid w:val="00284B27"/>
    <w:rsid w:val="00286DFC"/>
    <w:rsid w:val="002901AF"/>
    <w:rsid w:val="00290B7F"/>
    <w:rsid w:val="00292319"/>
    <w:rsid w:val="00292800"/>
    <w:rsid w:val="00293935"/>
    <w:rsid w:val="00293999"/>
    <w:rsid w:val="00293B56"/>
    <w:rsid w:val="00297FF2"/>
    <w:rsid w:val="002A091E"/>
    <w:rsid w:val="002A3170"/>
    <w:rsid w:val="002A3355"/>
    <w:rsid w:val="002A397A"/>
    <w:rsid w:val="002A3A0D"/>
    <w:rsid w:val="002A6D97"/>
    <w:rsid w:val="002B043C"/>
    <w:rsid w:val="002B5A01"/>
    <w:rsid w:val="002B5C0B"/>
    <w:rsid w:val="002B6758"/>
    <w:rsid w:val="002B6C95"/>
    <w:rsid w:val="002B72E1"/>
    <w:rsid w:val="002B733C"/>
    <w:rsid w:val="002C0312"/>
    <w:rsid w:val="002C345F"/>
    <w:rsid w:val="002C361C"/>
    <w:rsid w:val="002C6154"/>
    <w:rsid w:val="002D0733"/>
    <w:rsid w:val="002D2D74"/>
    <w:rsid w:val="002D550A"/>
    <w:rsid w:val="002D5D77"/>
    <w:rsid w:val="002D6B0B"/>
    <w:rsid w:val="002E0FAE"/>
    <w:rsid w:val="002E1568"/>
    <w:rsid w:val="002E260B"/>
    <w:rsid w:val="002E475B"/>
    <w:rsid w:val="002E61CF"/>
    <w:rsid w:val="002E6DF8"/>
    <w:rsid w:val="002F04C5"/>
    <w:rsid w:val="002F0818"/>
    <w:rsid w:val="002F08C6"/>
    <w:rsid w:val="002F128C"/>
    <w:rsid w:val="002F242D"/>
    <w:rsid w:val="002F26DE"/>
    <w:rsid w:val="002F546F"/>
    <w:rsid w:val="002F583B"/>
    <w:rsid w:val="002F58D0"/>
    <w:rsid w:val="00302B72"/>
    <w:rsid w:val="00305936"/>
    <w:rsid w:val="003059AC"/>
    <w:rsid w:val="00305C16"/>
    <w:rsid w:val="003062A2"/>
    <w:rsid w:val="003111DF"/>
    <w:rsid w:val="00311EA8"/>
    <w:rsid w:val="003130CE"/>
    <w:rsid w:val="003164B0"/>
    <w:rsid w:val="00317987"/>
    <w:rsid w:val="00322A09"/>
    <w:rsid w:val="00323309"/>
    <w:rsid w:val="003245BF"/>
    <w:rsid w:val="003246AB"/>
    <w:rsid w:val="00325833"/>
    <w:rsid w:val="00326031"/>
    <w:rsid w:val="0033029F"/>
    <w:rsid w:val="0033134D"/>
    <w:rsid w:val="003316F9"/>
    <w:rsid w:val="0033559E"/>
    <w:rsid w:val="003358DE"/>
    <w:rsid w:val="003412C2"/>
    <w:rsid w:val="00341718"/>
    <w:rsid w:val="00343ED6"/>
    <w:rsid w:val="00344721"/>
    <w:rsid w:val="00345234"/>
    <w:rsid w:val="00345E3B"/>
    <w:rsid w:val="00350C3A"/>
    <w:rsid w:val="00350D0A"/>
    <w:rsid w:val="003515B5"/>
    <w:rsid w:val="00351613"/>
    <w:rsid w:val="00352755"/>
    <w:rsid w:val="00360174"/>
    <w:rsid w:val="00360C3E"/>
    <w:rsid w:val="00361C46"/>
    <w:rsid w:val="003632C8"/>
    <w:rsid w:val="00363F3A"/>
    <w:rsid w:val="003657E8"/>
    <w:rsid w:val="00370254"/>
    <w:rsid w:val="00372792"/>
    <w:rsid w:val="00373004"/>
    <w:rsid w:val="003737DD"/>
    <w:rsid w:val="0037499B"/>
    <w:rsid w:val="00375B4E"/>
    <w:rsid w:val="00376685"/>
    <w:rsid w:val="00390B9F"/>
    <w:rsid w:val="00391A7B"/>
    <w:rsid w:val="00393A05"/>
    <w:rsid w:val="0039618B"/>
    <w:rsid w:val="0039701C"/>
    <w:rsid w:val="003A397A"/>
    <w:rsid w:val="003A505A"/>
    <w:rsid w:val="003A56DE"/>
    <w:rsid w:val="003A7B01"/>
    <w:rsid w:val="003A7F60"/>
    <w:rsid w:val="003B270A"/>
    <w:rsid w:val="003B6704"/>
    <w:rsid w:val="003C064D"/>
    <w:rsid w:val="003C097C"/>
    <w:rsid w:val="003C7890"/>
    <w:rsid w:val="003D0CAD"/>
    <w:rsid w:val="003D33C0"/>
    <w:rsid w:val="003D3669"/>
    <w:rsid w:val="003D5261"/>
    <w:rsid w:val="003D5392"/>
    <w:rsid w:val="003E169B"/>
    <w:rsid w:val="003E25E5"/>
    <w:rsid w:val="003E2AEE"/>
    <w:rsid w:val="003E2DB9"/>
    <w:rsid w:val="003E3309"/>
    <w:rsid w:val="003E68C4"/>
    <w:rsid w:val="003E6ADA"/>
    <w:rsid w:val="003E7FB4"/>
    <w:rsid w:val="003F3551"/>
    <w:rsid w:val="003F7CA2"/>
    <w:rsid w:val="0040061F"/>
    <w:rsid w:val="00403B17"/>
    <w:rsid w:val="00403BE6"/>
    <w:rsid w:val="00405DD8"/>
    <w:rsid w:val="004063AE"/>
    <w:rsid w:val="00411EF1"/>
    <w:rsid w:val="00412F99"/>
    <w:rsid w:val="004136B2"/>
    <w:rsid w:val="00415E56"/>
    <w:rsid w:val="00417A18"/>
    <w:rsid w:val="00417CEB"/>
    <w:rsid w:val="00421BCC"/>
    <w:rsid w:val="00422EF2"/>
    <w:rsid w:val="00424E3A"/>
    <w:rsid w:val="0042554F"/>
    <w:rsid w:val="00425800"/>
    <w:rsid w:val="00426DC4"/>
    <w:rsid w:val="004349CB"/>
    <w:rsid w:val="00434DA7"/>
    <w:rsid w:val="00435296"/>
    <w:rsid w:val="004352B9"/>
    <w:rsid w:val="004353C8"/>
    <w:rsid w:val="00435730"/>
    <w:rsid w:val="004379B4"/>
    <w:rsid w:val="00440F78"/>
    <w:rsid w:val="004415DC"/>
    <w:rsid w:val="0044547C"/>
    <w:rsid w:val="00446B99"/>
    <w:rsid w:val="004514C2"/>
    <w:rsid w:val="00451EBC"/>
    <w:rsid w:val="004530E9"/>
    <w:rsid w:val="00454B4C"/>
    <w:rsid w:val="004559FA"/>
    <w:rsid w:val="00456125"/>
    <w:rsid w:val="004569BD"/>
    <w:rsid w:val="004612ED"/>
    <w:rsid w:val="004640A9"/>
    <w:rsid w:val="004642D1"/>
    <w:rsid w:val="00464C4A"/>
    <w:rsid w:val="00466025"/>
    <w:rsid w:val="00467C07"/>
    <w:rsid w:val="0047014C"/>
    <w:rsid w:val="004706C8"/>
    <w:rsid w:val="004736C8"/>
    <w:rsid w:val="00473882"/>
    <w:rsid w:val="00473A67"/>
    <w:rsid w:val="004756D0"/>
    <w:rsid w:val="0047648E"/>
    <w:rsid w:val="00476B0D"/>
    <w:rsid w:val="00476E9D"/>
    <w:rsid w:val="0047739C"/>
    <w:rsid w:val="0047785E"/>
    <w:rsid w:val="00477874"/>
    <w:rsid w:val="00480540"/>
    <w:rsid w:val="00480BD4"/>
    <w:rsid w:val="004817F9"/>
    <w:rsid w:val="004836A2"/>
    <w:rsid w:val="00483A1C"/>
    <w:rsid w:val="00484663"/>
    <w:rsid w:val="0048628A"/>
    <w:rsid w:val="00486BD3"/>
    <w:rsid w:val="00487F15"/>
    <w:rsid w:val="004906C6"/>
    <w:rsid w:val="00490EEF"/>
    <w:rsid w:val="00491A66"/>
    <w:rsid w:val="004937D6"/>
    <w:rsid w:val="004945C6"/>
    <w:rsid w:val="00495752"/>
    <w:rsid w:val="00496AE4"/>
    <w:rsid w:val="00497753"/>
    <w:rsid w:val="004A0C64"/>
    <w:rsid w:val="004A10CD"/>
    <w:rsid w:val="004A21C5"/>
    <w:rsid w:val="004A2300"/>
    <w:rsid w:val="004A284F"/>
    <w:rsid w:val="004A2EBF"/>
    <w:rsid w:val="004A2F4D"/>
    <w:rsid w:val="004B0E19"/>
    <w:rsid w:val="004B2513"/>
    <w:rsid w:val="004B3628"/>
    <w:rsid w:val="004B44CC"/>
    <w:rsid w:val="004B68FE"/>
    <w:rsid w:val="004C1450"/>
    <w:rsid w:val="004C182F"/>
    <w:rsid w:val="004C1E98"/>
    <w:rsid w:val="004C2D46"/>
    <w:rsid w:val="004C4462"/>
    <w:rsid w:val="004C67D0"/>
    <w:rsid w:val="004D0A26"/>
    <w:rsid w:val="004D422B"/>
    <w:rsid w:val="004D5493"/>
    <w:rsid w:val="004D5594"/>
    <w:rsid w:val="004D576E"/>
    <w:rsid w:val="004E7785"/>
    <w:rsid w:val="004F101E"/>
    <w:rsid w:val="004F2BE9"/>
    <w:rsid w:val="004F4A54"/>
    <w:rsid w:val="004F6DE4"/>
    <w:rsid w:val="004F7587"/>
    <w:rsid w:val="004F7CA4"/>
    <w:rsid w:val="00503050"/>
    <w:rsid w:val="005031DD"/>
    <w:rsid w:val="00504EE9"/>
    <w:rsid w:val="00506B12"/>
    <w:rsid w:val="00510369"/>
    <w:rsid w:val="005106D8"/>
    <w:rsid w:val="00511714"/>
    <w:rsid w:val="0051306F"/>
    <w:rsid w:val="005215E1"/>
    <w:rsid w:val="00522C1B"/>
    <w:rsid w:val="0052345A"/>
    <w:rsid w:val="00525DE6"/>
    <w:rsid w:val="00525FB3"/>
    <w:rsid w:val="005302BE"/>
    <w:rsid w:val="00531716"/>
    <w:rsid w:val="00532430"/>
    <w:rsid w:val="00533D3A"/>
    <w:rsid w:val="005347A7"/>
    <w:rsid w:val="00537493"/>
    <w:rsid w:val="00537621"/>
    <w:rsid w:val="00540CDC"/>
    <w:rsid w:val="00541592"/>
    <w:rsid w:val="005434A9"/>
    <w:rsid w:val="005436CD"/>
    <w:rsid w:val="005442D6"/>
    <w:rsid w:val="005457D7"/>
    <w:rsid w:val="0054655C"/>
    <w:rsid w:val="005509B1"/>
    <w:rsid w:val="00551230"/>
    <w:rsid w:val="00552E43"/>
    <w:rsid w:val="00553576"/>
    <w:rsid w:val="00553C75"/>
    <w:rsid w:val="00553CA8"/>
    <w:rsid w:val="005542B0"/>
    <w:rsid w:val="00554349"/>
    <w:rsid w:val="005564A2"/>
    <w:rsid w:val="00556D4F"/>
    <w:rsid w:val="00556E6F"/>
    <w:rsid w:val="00560589"/>
    <w:rsid w:val="00561EAB"/>
    <w:rsid w:val="005633AD"/>
    <w:rsid w:val="00563D75"/>
    <w:rsid w:val="00564E97"/>
    <w:rsid w:val="005653C4"/>
    <w:rsid w:val="0057032D"/>
    <w:rsid w:val="00573C2A"/>
    <w:rsid w:val="00576F16"/>
    <w:rsid w:val="00577907"/>
    <w:rsid w:val="00577B41"/>
    <w:rsid w:val="00580BC2"/>
    <w:rsid w:val="00581192"/>
    <w:rsid w:val="0058160D"/>
    <w:rsid w:val="00582674"/>
    <w:rsid w:val="005826AB"/>
    <w:rsid w:val="00582972"/>
    <w:rsid w:val="00582D16"/>
    <w:rsid w:val="005830EA"/>
    <w:rsid w:val="00583E05"/>
    <w:rsid w:val="00584687"/>
    <w:rsid w:val="00584EBE"/>
    <w:rsid w:val="005901A1"/>
    <w:rsid w:val="00591A91"/>
    <w:rsid w:val="00591F82"/>
    <w:rsid w:val="005A5205"/>
    <w:rsid w:val="005A560A"/>
    <w:rsid w:val="005B03F8"/>
    <w:rsid w:val="005B1FBB"/>
    <w:rsid w:val="005B345E"/>
    <w:rsid w:val="005B36BD"/>
    <w:rsid w:val="005B3F0C"/>
    <w:rsid w:val="005B4ADA"/>
    <w:rsid w:val="005B592D"/>
    <w:rsid w:val="005B6C79"/>
    <w:rsid w:val="005B7BD2"/>
    <w:rsid w:val="005C1891"/>
    <w:rsid w:val="005C4682"/>
    <w:rsid w:val="005C55AE"/>
    <w:rsid w:val="005C7879"/>
    <w:rsid w:val="005D053F"/>
    <w:rsid w:val="005D245E"/>
    <w:rsid w:val="005D4AFA"/>
    <w:rsid w:val="005D6234"/>
    <w:rsid w:val="005D6D42"/>
    <w:rsid w:val="005D7028"/>
    <w:rsid w:val="005D7826"/>
    <w:rsid w:val="005E025A"/>
    <w:rsid w:val="005E3D09"/>
    <w:rsid w:val="005E5433"/>
    <w:rsid w:val="005E6BF5"/>
    <w:rsid w:val="005F04E7"/>
    <w:rsid w:val="005F0FAF"/>
    <w:rsid w:val="005F5D92"/>
    <w:rsid w:val="005F5F7F"/>
    <w:rsid w:val="00602359"/>
    <w:rsid w:val="00603DA7"/>
    <w:rsid w:val="006041B7"/>
    <w:rsid w:val="00604BF6"/>
    <w:rsid w:val="00606585"/>
    <w:rsid w:val="00606939"/>
    <w:rsid w:val="00606BE0"/>
    <w:rsid w:val="00607E69"/>
    <w:rsid w:val="006102D4"/>
    <w:rsid w:val="0061174B"/>
    <w:rsid w:val="00613D0E"/>
    <w:rsid w:val="006159B8"/>
    <w:rsid w:val="00624A65"/>
    <w:rsid w:val="006267FA"/>
    <w:rsid w:val="0063009C"/>
    <w:rsid w:val="006315D4"/>
    <w:rsid w:val="00634485"/>
    <w:rsid w:val="00636023"/>
    <w:rsid w:val="00636314"/>
    <w:rsid w:val="00636F39"/>
    <w:rsid w:val="00637249"/>
    <w:rsid w:val="0063754F"/>
    <w:rsid w:val="006439F3"/>
    <w:rsid w:val="00646020"/>
    <w:rsid w:val="0064744A"/>
    <w:rsid w:val="0065116F"/>
    <w:rsid w:val="0065130B"/>
    <w:rsid w:val="0065133A"/>
    <w:rsid w:val="00652DED"/>
    <w:rsid w:val="00660310"/>
    <w:rsid w:val="00662D5A"/>
    <w:rsid w:val="00662FB1"/>
    <w:rsid w:val="00674858"/>
    <w:rsid w:val="0067588A"/>
    <w:rsid w:val="00676A20"/>
    <w:rsid w:val="00676C7A"/>
    <w:rsid w:val="00676F9F"/>
    <w:rsid w:val="0067754F"/>
    <w:rsid w:val="00677BDD"/>
    <w:rsid w:val="00682CC0"/>
    <w:rsid w:val="00682E33"/>
    <w:rsid w:val="00683FF4"/>
    <w:rsid w:val="00685D2F"/>
    <w:rsid w:val="00686A22"/>
    <w:rsid w:val="00686A8A"/>
    <w:rsid w:val="00687E13"/>
    <w:rsid w:val="00693254"/>
    <w:rsid w:val="006932CB"/>
    <w:rsid w:val="0069419E"/>
    <w:rsid w:val="00695FEE"/>
    <w:rsid w:val="00696A49"/>
    <w:rsid w:val="006A1780"/>
    <w:rsid w:val="006A1EA6"/>
    <w:rsid w:val="006A3B1A"/>
    <w:rsid w:val="006A554E"/>
    <w:rsid w:val="006A6078"/>
    <w:rsid w:val="006A66F8"/>
    <w:rsid w:val="006B0DBD"/>
    <w:rsid w:val="006B1316"/>
    <w:rsid w:val="006B2B26"/>
    <w:rsid w:val="006B34A2"/>
    <w:rsid w:val="006B3541"/>
    <w:rsid w:val="006B4B3F"/>
    <w:rsid w:val="006B5FF0"/>
    <w:rsid w:val="006B6B6C"/>
    <w:rsid w:val="006C0F6B"/>
    <w:rsid w:val="006C22D3"/>
    <w:rsid w:val="006C3DC6"/>
    <w:rsid w:val="006C4621"/>
    <w:rsid w:val="006C6F20"/>
    <w:rsid w:val="006C7D11"/>
    <w:rsid w:val="006D57AB"/>
    <w:rsid w:val="006D5B42"/>
    <w:rsid w:val="006D709E"/>
    <w:rsid w:val="006D7F54"/>
    <w:rsid w:val="006E0CD5"/>
    <w:rsid w:val="006E2945"/>
    <w:rsid w:val="006E2B0C"/>
    <w:rsid w:val="006E57D4"/>
    <w:rsid w:val="006E6389"/>
    <w:rsid w:val="006E69A4"/>
    <w:rsid w:val="006F1182"/>
    <w:rsid w:val="006F2374"/>
    <w:rsid w:val="006F2B3D"/>
    <w:rsid w:val="006F30F8"/>
    <w:rsid w:val="00702F37"/>
    <w:rsid w:val="00702F82"/>
    <w:rsid w:val="0071019F"/>
    <w:rsid w:val="0071029B"/>
    <w:rsid w:val="00714512"/>
    <w:rsid w:val="00716D27"/>
    <w:rsid w:val="00720E0F"/>
    <w:rsid w:val="00721A45"/>
    <w:rsid w:val="00723651"/>
    <w:rsid w:val="00724B06"/>
    <w:rsid w:val="00727EC8"/>
    <w:rsid w:val="00730024"/>
    <w:rsid w:val="0073166F"/>
    <w:rsid w:val="00731C38"/>
    <w:rsid w:val="00733498"/>
    <w:rsid w:val="007339EF"/>
    <w:rsid w:val="00734B70"/>
    <w:rsid w:val="00735132"/>
    <w:rsid w:val="007354E7"/>
    <w:rsid w:val="00735E7C"/>
    <w:rsid w:val="00735FAA"/>
    <w:rsid w:val="00736C06"/>
    <w:rsid w:val="00740D10"/>
    <w:rsid w:val="007410C3"/>
    <w:rsid w:val="00741F3B"/>
    <w:rsid w:val="007435D6"/>
    <w:rsid w:val="00743800"/>
    <w:rsid w:val="00743E18"/>
    <w:rsid w:val="00744BE7"/>
    <w:rsid w:val="00745274"/>
    <w:rsid w:val="0075421F"/>
    <w:rsid w:val="00754ABE"/>
    <w:rsid w:val="00754F0B"/>
    <w:rsid w:val="00757924"/>
    <w:rsid w:val="00757C2D"/>
    <w:rsid w:val="007609DF"/>
    <w:rsid w:val="00760CC2"/>
    <w:rsid w:val="0076141F"/>
    <w:rsid w:val="00763185"/>
    <w:rsid w:val="007631E9"/>
    <w:rsid w:val="00763AC3"/>
    <w:rsid w:val="00766CA7"/>
    <w:rsid w:val="0076745C"/>
    <w:rsid w:val="00771543"/>
    <w:rsid w:val="0077203A"/>
    <w:rsid w:val="0077496D"/>
    <w:rsid w:val="007770D8"/>
    <w:rsid w:val="00777F72"/>
    <w:rsid w:val="007835F3"/>
    <w:rsid w:val="00785B60"/>
    <w:rsid w:val="00787C5F"/>
    <w:rsid w:val="007907E7"/>
    <w:rsid w:val="00791430"/>
    <w:rsid w:val="007935F3"/>
    <w:rsid w:val="00794553"/>
    <w:rsid w:val="0079743B"/>
    <w:rsid w:val="007A18BB"/>
    <w:rsid w:val="007A2187"/>
    <w:rsid w:val="007A2913"/>
    <w:rsid w:val="007A34D5"/>
    <w:rsid w:val="007A49A0"/>
    <w:rsid w:val="007A713D"/>
    <w:rsid w:val="007A73BE"/>
    <w:rsid w:val="007A7B20"/>
    <w:rsid w:val="007B1FF9"/>
    <w:rsid w:val="007B36AA"/>
    <w:rsid w:val="007B584D"/>
    <w:rsid w:val="007C06FD"/>
    <w:rsid w:val="007C2AA9"/>
    <w:rsid w:val="007C3045"/>
    <w:rsid w:val="007C3092"/>
    <w:rsid w:val="007C7783"/>
    <w:rsid w:val="007D1D57"/>
    <w:rsid w:val="007D305A"/>
    <w:rsid w:val="007D4AA6"/>
    <w:rsid w:val="007D66BA"/>
    <w:rsid w:val="007D6C06"/>
    <w:rsid w:val="007E131E"/>
    <w:rsid w:val="007E27E3"/>
    <w:rsid w:val="007E2BE8"/>
    <w:rsid w:val="007E3C00"/>
    <w:rsid w:val="007E406A"/>
    <w:rsid w:val="007F0396"/>
    <w:rsid w:val="007F528B"/>
    <w:rsid w:val="007F67B9"/>
    <w:rsid w:val="00803D96"/>
    <w:rsid w:val="00805F3D"/>
    <w:rsid w:val="0080766E"/>
    <w:rsid w:val="00807CCB"/>
    <w:rsid w:val="0081147D"/>
    <w:rsid w:val="0081205D"/>
    <w:rsid w:val="00813EBD"/>
    <w:rsid w:val="008176B3"/>
    <w:rsid w:val="00817821"/>
    <w:rsid w:val="00820F0E"/>
    <w:rsid w:val="00821D79"/>
    <w:rsid w:val="00823116"/>
    <w:rsid w:val="00823D17"/>
    <w:rsid w:val="00825CF4"/>
    <w:rsid w:val="00825EB2"/>
    <w:rsid w:val="00827A87"/>
    <w:rsid w:val="0083040F"/>
    <w:rsid w:val="00832901"/>
    <w:rsid w:val="008331EF"/>
    <w:rsid w:val="00836636"/>
    <w:rsid w:val="00840665"/>
    <w:rsid w:val="00843A45"/>
    <w:rsid w:val="00845368"/>
    <w:rsid w:val="00845D5D"/>
    <w:rsid w:val="00845E7C"/>
    <w:rsid w:val="00847431"/>
    <w:rsid w:val="00851EC3"/>
    <w:rsid w:val="00852765"/>
    <w:rsid w:val="008545B9"/>
    <w:rsid w:val="008572F0"/>
    <w:rsid w:val="0086013F"/>
    <w:rsid w:val="00860343"/>
    <w:rsid w:val="00860AD2"/>
    <w:rsid w:val="00863C85"/>
    <w:rsid w:val="0086510C"/>
    <w:rsid w:val="00865343"/>
    <w:rsid w:val="00865AB3"/>
    <w:rsid w:val="00870DDE"/>
    <w:rsid w:val="00871814"/>
    <w:rsid w:val="008718F3"/>
    <w:rsid w:val="008721DB"/>
    <w:rsid w:val="0087270F"/>
    <w:rsid w:val="00873A70"/>
    <w:rsid w:val="00875EE5"/>
    <w:rsid w:val="00880CEA"/>
    <w:rsid w:val="008824C4"/>
    <w:rsid w:val="00883017"/>
    <w:rsid w:val="008834E3"/>
    <w:rsid w:val="00883A1F"/>
    <w:rsid w:val="00886C6E"/>
    <w:rsid w:val="008900BC"/>
    <w:rsid w:val="00891775"/>
    <w:rsid w:val="00891BEC"/>
    <w:rsid w:val="00892AFC"/>
    <w:rsid w:val="00893071"/>
    <w:rsid w:val="00894541"/>
    <w:rsid w:val="0089499F"/>
    <w:rsid w:val="00897611"/>
    <w:rsid w:val="008A0D1F"/>
    <w:rsid w:val="008A1C25"/>
    <w:rsid w:val="008A1FE7"/>
    <w:rsid w:val="008A3400"/>
    <w:rsid w:val="008A3593"/>
    <w:rsid w:val="008A49F2"/>
    <w:rsid w:val="008B1FB0"/>
    <w:rsid w:val="008B2029"/>
    <w:rsid w:val="008B3EED"/>
    <w:rsid w:val="008B6CD3"/>
    <w:rsid w:val="008B784E"/>
    <w:rsid w:val="008B78C6"/>
    <w:rsid w:val="008C0A06"/>
    <w:rsid w:val="008C0B1E"/>
    <w:rsid w:val="008C1B85"/>
    <w:rsid w:val="008C263F"/>
    <w:rsid w:val="008C3674"/>
    <w:rsid w:val="008C550D"/>
    <w:rsid w:val="008D1526"/>
    <w:rsid w:val="008D5488"/>
    <w:rsid w:val="008E04BB"/>
    <w:rsid w:val="008E20E3"/>
    <w:rsid w:val="008E64B7"/>
    <w:rsid w:val="008E6E98"/>
    <w:rsid w:val="008E714A"/>
    <w:rsid w:val="008E716B"/>
    <w:rsid w:val="008F0925"/>
    <w:rsid w:val="008F0A05"/>
    <w:rsid w:val="008F0F5A"/>
    <w:rsid w:val="008F57F9"/>
    <w:rsid w:val="008F6A57"/>
    <w:rsid w:val="00901152"/>
    <w:rsid w:val="009017A8"/>
    <w:rsid w:val="009042FC"/>
    <w:rsid w:val="00904D56"/>
    <w:rsid w:val="00904ED9"/>
    <w:rsid w:val="00907F7B"/>
    <w:rsid w:val="00911102"/>
    <w:rsid w:val="00912D93"/>
    <w:rsid w:val="00914F3A"/>
    <w:rsid w:val="00914F3F"/>
    <w:rsid w:val="00915548"/>
    <w:rsid w:val="00917286"/>
    <w:rsid w:val="00917D63"/>
    <w:rsid w:val="009203A2"/>
    <w:rsid w:val="00920AEE"/>
    <w:rsid w:val="00922E89"/>
    <w:rsid w:val="0092387E"/>
    <w:rsid w:val="009251B9"/>
    <w:rsid w:val="009255F3"/>
    <w:rsid w:val="009257C7"/>
    <w:rsid w:val="0092772C"/>
    <w:rsid w:val="00932904"/>
    <w:rsid w:val="0093333E"/>
    <w:rsid w:val="00935A0D"/>
    <w:rsid w:val="00936977"/>
    <w:rsid w:val="00940311"/>
    <w:rsid w:val="0094116E"/>
    <w:rsid w:val="009413B1"/>
    <w:rsid w:val="00942EE5"/>
    <w:rsid w:val="00943CDF"/>
    <w:rsid w:val="00944920"/>
    <w:rsid w:val="00944A0F"/>
    <w:rsid w:val="00944CA2"/>
    <w:rsid w:val="00945246"/>
    <w:rsid w:val="00945611"/>
    <w:rsid w:val="00945BE0"/>
    <w:rsid w:val="0094776B"/>
    <w:rsid w:val="0095036E"/>
    <w:rsid w:val="0095109A"/>
    <w:rsid w:val="00955483"/>
    <w:rsid w:val="00955754"/>
    <w:rsid w:val="00956155"/>
    <w:rsid w:val="009569D8"/>
    <w:rsid w:val="00956D62"/>
    <w:rsid w:val="0096175D"/>
    <w:rsid w:val="0096350C"/>
    <w:rsid w:val="00964397"/>
    <w:rsid w:val="0096573A"/>
    <w:rsid w:val="00965E53"/>
    <w:rsid w:val="009707AE"/>
    <w:rsid w:val="00971658"/>
    <w:rsid w:val="00971BD9"/>
    <w:rsid w:val="00971D31"/>
    <w:rsid w:val="00975EB9"/>
    <w:rsid w:val="0098068E"/>
    <w:rsid w:val="00980B26"/>
    <w:rsid w:val="009821A0"/>
    <w:rsid w:val="009838C8"/>
    <w:rsid w:val="00983A88"/>
    <w:rsid w:val="009869AF"/>
    <w:rsid w:val="00986E8F"/>
    <w:rsid w:val="009904D4"/>
    <w:rsid w:val="00991316"/>
    <w:rsid w:val="00991BFD"/>
    <w:rsid w:val="00992CAB"/>
    <w:rsid w:val="00993058"/>
    <w:rsid w:val="00993FF3"/>
    <w:rsid w:val="009961B4"/>
    <w:rsid w:val="009A1810"/>
    <w:rsid w:val="009A65F3"/>
    <w:rsid w:val="009A6C40"/>
    <w:rsid w:val="009B1592"/>
    <w:rsid w:val="009B1B4F"/>
    <w:rsid w:val="009B21C8"/>
    <w:rsid w:val="009B5C0F"/>
    <w:rsid w:val="009B5D9D"/>
    <w:rsid w:val="009B619C"/>
    <w:rsid w:val="009B6574"/>
    <w:rsid w:val="009B70F3"/>
    <w:rsid w:val="009C1843"/>
    <w:rsid w:val="009C1A6A"/>
    <w:rsid w:val="009C229C"/>
    <w:rsid w:val="009C2616"/>
    <w:rsid w:val="009C29BB"/>
    <w:rsid w:val="009C62EE"/>
    <w:rsid w:val="009C664C"/>
    <w:rsid w:val="009C769C"/>
    <w:rsid w:val="009D039B"/>
    <w:rsid w:val="009D08F7"/>
    <w:rsid w:val="009D0C41"/>
    <w:rsid w:val="009D2140"/>
    <w:rsid w:val="009D2C3E"/>
    <w:rsid w:val="009D4854"/>
    <w:rsid w:val="009D55F7"/>
    <w:rsid w:val="009D7A5F"/>
    <w:rsid w:val="009E0776"/>
    <w:rsid w:val="009E4D8E"/>
    <w:rsid w:val="009E4EEA"/>
    <w:rsid w:val="009E5A7D"/>
    <w:rsid w:val="009F297B"/>
    <w:rsid w:val="009F30E0"/>
    <w:rsid w:val="009F65E9"/>
    <w:rsid w:val="00A00684"/>
    <w:rsid w:val="00A00B46"/>
    <w:rsid w:val="00A0494C"/>
    <w:rsid w:val="00A04D53"/>
    <w:rsid w:val="00A04F99"/>
    <w:rsid w:val="00A055C5"/>
    <w:rsid w:val="00A0600E"/>
    <w:rsid w:val="00A10211"/>
    <w:rsid w:val="00A121C7"/>
    <w:rsid w:val="00A12C94"/>
    <w:rsid w:val="00A135CC"/>
    <w:rsid w:val="00A138DC"/>
    <w:rsid w:val="00A14A0B"/>
    <w:rsid w:val="00A15FEC"/>
    <w:rsid w:val="00A166A3"/>
    <w:rsid w:val="00A17788"/>
    <w:rsid w:val="00A17B4A"/>
    <w:rsid w:val="00A208DD"/>
    <w:rsid w:val="00A21835"/>
    <w:rsid w:val="00A24530"/>
    <w:rsid w:val="00A26A80"/>
    <w:rsid w:val="00A27504"/>
    <w:rsid w:val="00A30A8F"/>
    <w:rsid w:val="00A31035"/>
    <w:rsid w:val="00A34CB7"/>
    <w:rsid w:val="00A35E21"/>
    <w:rsid w:val="00A3603D"/>
    <w:rsid w:val="00A36876"/>
    <w:rsid w:val="00A41A76"/>
    <w:rsid w:val="00A45E4D"/>
    <w:rsid w:val="00A4602C"/>
    <w:rsid w:val="00A47590"/>
    <w:rsid w:val="00A5237E"/>
    <w:rsid w:val="00A52915"/>
    <w:rsid w:val="00A52A55"/>
    <w:rsid w:val="00A53809"/>
    <w:rsid w:val="00A57155"/>
    <w:rsid w:val="00A57A24"/>
    <w:rsid w:val="00A604DA"/>
    <w:rsid w:val="00A60EB7"/>
    <w:rsid w:val="00A64716"/>
    <w:rsid w:val="00A650D8"/>
    <w:rsid w:val="00A65346"/>
    <w:rsid w:val="00A65D15"/>
    <w:rsid w:val="00A65D7E"/>
    <w:rsid w:val="00A6764E"/>
    <w:rsid w:val="00A6776A"/>
    <w:rsid w:val="00A726E7"/>
    <w:rsid w:val="00A74766"/>
    <w:rsid w:val="00A762A3"/>
    <w:rsid w:val="00A771F4"/>
    <w:rsid w:val="00A77719"/>
    <w:rsid w:val="00A80521"/>
    <w:rsid w:val="00A80FAC"/>
    <w:rsid w:val="00A81140"/>
    <w:rsid w:val="00A83CD2"/>
    <w:rsid w:val="00A87E8C"/>
    <w:rsid w:val="00A909B9"/>
    <w:rsid w:val="00A90A91"/>
    <w:rsid w:val="00A90C13"/>
    <w:rsid w:val="00A91D61"/>
    <w:rsid w:val="00A92FF2"/>
    <w:rsid w:val="00A93331"/>
    <w:rsid w:val="00A937A4"/>
    <w:rsid w:val="00A939F1"/>
    <w:rsid w:val="00A93E62"/>
    <w:rsid w:val="00A940CC"/>
    <w:rsid w:val="00A9446C"/>
    <w:rsid w:val="00A966CF"/>
    <w:rsid w:val="00AA2543"/>
    <w:rsid w:val="00AB00FD"/>
    <w:rsid w:val="00AB2D37"/>
    <w:rsid w:val="00AB6BDA"/>
    <w:rsid w:val="00AB7050"/>
    <w:rsid w:val="00AC12F2"/>
    <w:rsid w:val="00AC644D"/>
    <w:rsid w:val="00AC65DF"/>
    <w:rsid w:val="00AD086A"/>
    <w:rsid w:val="00AD172C"/>
    <w:rsid w:val="00AD2ABD"/>
    <w:rsid w:val="00AD3372"/>
    <w:rsid w:val="00AD4995"/>
    <w:rsid w:val="00AD5CBD"/>
    <w:rsid w:val="00AD60C5"/>
    <w:rsid w:val="00AD6592"/>
    <w:rsid w:val="00AD67F8"/>
    <w:rsid w:val="00AD6ECC"/>
    <w:rsid w:val="00AE1268"/>
    <w:rsid w:val="00AE24D4"/>
    <w:rsid w:val="00AE35DE"/>
    <w:rsid w:val="00AE4009"/>
    <w:rsid w:val="00AF03F7"/>
    <w:rsid w:val="00AF0FF5"/>
    <w:rsid w:val="00AF18E4"/>
    <w:rsid w:val="00AF247E"/>
    <w:rsid w:val="00AF4A47"/>
    <w:rsid w:val="00AF708D"/>
    <w:rsid w:val="00AF76CF"/>
    <w:rsid w:val="00B002D8"/>
    <w:rsid w:val="00B00A7B"/>
    <w:rsid w:val="00B0115D"/>
    <w:rsid w:val="00B016C5"/>
    <w:rsid w:val="00B01EE6"/>
    <w:rsid w:val="00B0356B"/>
    <w:rsid w:val="00B043FD"/>
    <w:rsid w:val="00B04B77"/>
    <w:rsid w:val="00B05920"/>
    <w:rsid w:val="00B10093"/>
    <w:rsid w:val="00B10CD5"/>
    <w:rsid w:val="00B111AE"/>
    <w:rsid w:val="00B11FAF"/>
    <w:rsid w:val="00B13149"/>
    <w:rsid w:val="00B132B4"/>
    <w:rsid w:val="00B15DAB"/>
    <w:rsid w:val="00B15E38"/>
    <w:rsid w:val="00B1775C"/>
    <w:rsid w:val="00B24A92"/>
    <w:rsid w:val="00B252A8"/>
    <w:rsid w:val="00B277E7"/>
    <w:rsid w:val="00B319D2"/>
    <w:rsid w:val="00B32540"/>
    <w:rsid w:val="00B340E9"/>
    <w:rsid w:val="00B40DEC"/>
    <w:rsid w:val="00B43757"/>
    <w:rsid w:val="00B456E6"/>
    <w:rsid w:val="00B45F76"/>
    <w:rsid w:val="00B4631A"/>
    <w:rsid w:val="00B472FB"/>
    <w:rsid w:val="00B51B88"/>
    <w:rsid w:val="00B527D6"/>
    <w:rsid w:val="00B558DD"/>
    <w:rsid w:val="00B600E5"/>
    <w:rsid w:val="00B6052F"/>
    <w:rsid w:val="00B63E00"/>
    <w:rsid w:val="00B66292"/>
    <w:rsid w:val="00B667DA"/>
    <w:rsid w:val="00B66B57"/>
    <w:rsid w:val="00B70F8F"/>
    <w:rsid w:val="00B71AED"/>
    <w:rsid w:val="00B74608"/>
    <w:rsid w:val="00B753C7"/>
    <w:rsid w:val="00B7749B"/>
    <w:rsid w:val="00B77CC9"/>
    <w:rsid w:val="00B81020"/>
    <w:rsid w:val="00B81B6F"/>
    <w:rsid w:val="00B831FC"/>
    <w:rsid w:val="00B83346"/>
    <w:rsid w:val="00B85B02"/>
    <w:rsid w:val="00B86A00"/>
    <w:rsid w:val="00B9193F"/>
    <w:rsid w:val="00B91B25"/>
    <w:rsid w:val="00B941E0"/>
    <w:rsid w:val="00B942F0"/>
    <w:rsid w:val="00B95049"/>
    <w:rsid w:val="00B9602B"/>
    <w:rsid w:val="00B965C5"/>
    <w:rsid w:val="00B967A9"/>
    <w:rsid w:val="00BA310E"/>
    <w:rsid w:val="00BA4680"/>
    <w:rsid w:val="00BA5C76"/>
    <w:rsid w:val="00BB20BE"/>
    <w:rsid w:val="00BB230B"/>
    <w:rsid w:val="00BB2F04"/>
    <w:rsid w:val="00BC0A68"/>
    <w:rsid w:val="00BC210A"/>
    <w:rsid w:val="00BC2385"/>
    <w:rsid w:val="00BC272A"/>
    <w:rsid w:val="00BC53C8"/>
    <w:rsid w:val="00BC7951"/>
    <w:rsid w:val="00BD42FB"/>
    <w:rsid w:val="00BD441C"/>
    <w:rsid w:val="00BD4A22"/>
    <w:rsid w:val="00BD7483"/>
    <w:rsid w:val="00BE2828"/>
    <w:rsid w:val="00BE540E"/>
    <w:rsid w:val="00BF0C44"/>
    <w:rsid w:val="00BF1A4A"/>
    <w:rsid w:val="00BF3F78"/>
    <w:rsid w:val="00BF5651"/>
    <w:rsid w:val="00BF6F33"/>
    <w:rsid w:val="00BF7DA6"/>
    <w:rsid w:val="00C02CF8"/>
    <w:rsid w:val="00C04521"/>
    <w:rsid w:val="00C0591F"/>
    <w:rsid w:val="00C06673"/>
    <w:rsid w:val="00C1068F"/>
    <w:rsid w:val="00C12232"/>
    <w:rsid w:val="00C13D6C"/>
    <w:rsid w:val="00C14192"/>
    <w:rsid w:val="00C1764D"/>
    <w:rsid w:val="00C240DC"/>
    <w:rsid w:val="00C251CD"/>
    <w:rsid w:val="00C3014E"/>
    <w:rsid w:val="00C32D1D"/>
    <w:rsid w:val="00C365D6"/>
    <w:rsid w:val="00C40E73"/>
    <w:rsid w:val="00C419FC"/>
    <w:rsid w:val="00C41EBF"/>
    <w:rsid w:val="00C458AF"/>
    <w:rsid w:val="00C462FC"/>
    <w:rsid w:val="00C47A07"/>
    <w:rsid w:val="00C47D1B"/>
    <w:rsid w:val="00C503FF"/>
    <w:rsid w:val="00C51DA0"/>
    <w:rsid w:val="00C526B9"/>
    <w:rsid w:val="00C52E68"/>
    <w:rsid w:val="00C53E33"/>
    <w:rsid w:val="00C54158"/>
    <w:rsid w:val="00C56A1D"/>
    <w:rsid w:val="00C56BF2"/>
    <w:rsid w:val="00C60714"/>
    <w:rsid w:val="00C60D1F"/>
    <w:rsid w:val="00C61143"/>
    <w:rsid w:val="00C657AA"/>
    <w:rsid w:val="00C65F73"/>
    <w:rsid w:val="00C75DF4"/>
    <w:rsid w:val="00C77CAB"/>
    <w:rsid w:val="00C80956"/>
    <w:rsid w:val="00C80F8C"/>
    <w:rsid w:val="00C84044"/>
    <w:rsid w:val="00C8734B"/>
    <w:rsid w:val="00C91163"/>
    <w:rsid w:val="00C944F9"/>
    <w:rsid w:val="00C94EA7"/>
    <w:rsid w:val="00C978F7"/>
    <w:rsid w:val="00CA3B97"/>
    <w:rsid w:val="00CA4E9B"/>
    <w:rsid w:val="00CA6914"/>
    <w:rsid w:val="00CA7B2B"/>
    <w:rsid w:val="00CB0854"/>
    <w:rsid w:val="00CB48AF"/>
    <w:rsid w:val="00CC1C85"/>
    <w:rsid w:val="00CC2001"/>
    <w:rsid w:val="00CC280D"/>
    <w:rsid w:val="00CD2E12"/>
    <w:rsid w:val="00CD325B"/>
    <w:rsid w:val="00CD43D2"/>
    <w:rsid w:val="00CD4CEE"/>
    <w:rsid w:val="00CD5285"/>
    <w:rsid w:val="00CE2210"/>
    <w:rsid w:val="00CE5136"/>
    <w:rsid w:val="00CE62C7"/>
    <w:rsid w:val="00CE7CF4"/>
    <w:rsid w:val="00CF02AF"/>
    <w:rsid w:val="00CF0AC2"/>
    <w:rsid w:val="00CF0F8C"/>
    <w:rsid w:val="00CF16CB"/>
    <w:rsid w:val="00CF44F2"/>
    <w:rsid w:val="00CF47B0"/>
    <w:rsid w:val="00CF496D"/>
    <w:rsid w:val="00CF4BB7"/>
    <w:rsid w:val="00CF71CB"/>
    <w:rsid w:val="00CF7242"/>
    <w:rsid w:val="00D007AC"/>
    <w:rsid w:val="00D02C37"/>
    <w:rsid w:val="00D02E38"/>
    <w:rsid w:val="00D02EFA"/>
    <w:rsid w:val="00D03364"/>
    <w:rsid w:val="00D041FD"/>
    <w:rsid w:val="00D0454A"/>
    <w:rsid w:val="00D052DA"/>
    <w:rsid w:val="00D068E5"/>
    <w:rsid w:val="00D0699C"/>
    <w:rsid w:val="00D07FBE"/>
    <w:rsid w:val="00D1359F"/>
    <w:rsid w:val="00D13DB5"/>
    <w:rsid w:val="00D1478E"/>
    <w:rsid w:val="00D160C1"/>
    <w:rsid w:val="00D16150"/>
    <w:rsid w:val="00D16FAF"/>
    <w:rsid w:val="00D2014D"/>
    <w:rsid w:val="00D23B51"/>
    <w:rsid w:val="00D242E3"/>
    <w:rsid w:val="00D263C5"/>
    <w:rsid w:val="00D27239"/>
    <w:rsid w:val="00D279D5"/>
    <w:rsid w:val="00D27A6E"/>
    <w:rsid w:val="00D32634"/>
    <w:rsid w:val="00D32FA1"/>
    <w:rsid w:val="00D35F5B"/>
    <w:rsid w:val="00D42905"/>
    <w:rsid w:val="00D436EC"/>
    <w:rsid w:val="00D44D22"/>
    <w:rsid w:val="00D45591"/>
    <w:rsid w:val="00D45A6B"/>
    <w:rsid w:val="00D50EAD"/>
    <w:rsid w:val="00D5183E"/>
    <w:rsid w:val="00D538F8"/>
    <w:rsid w:val="00D55491"/>
    <w:rsid w:val="00D55D54"/>
    <w:rsid w:val="00D56842"/>
    <w:rsid w:val="00D57345"/>
    <w:rsid w:val="00D5799F"/>
    <w:rsid w:val="00D57E4A"/>
    <w:rsid w:val="00D60C21"/>
    <w:rsid w:val="00D60E35"/>
    <w:rsid w:val="00D61B4C"/>
    <w:rsid w:val="00D61E70"/>
    <w:rsid w:val="00D62473"/>
    <w:rsid w:val="00D63459"/>
    <w:rsid w:val="00D65352"/>
    <w:rsid w:val="00D6669B"/>
    <w:rsid w:val="00D666B7"/>
    <w:rsid w:val="00D67603"/>
    <w:rsid w:val="00D676E1"/>
    <w:rsid w:val="00D7165C"/>
    <w:rsid w:val="00D71784"/>
    <w:rsid w:val="00D73A56"/>
    <w:rsid w:val="00D80027"/>
    <w:rsid w:val="00D82827"/>
    <w:rsid w:val="00D829B9"/>
    <w:rsid w:val="00D8375E"/>
    <w:rsid w:val="00D843E3"/>
    <w:rsid w:val="00D8716A"/>
    <w:rsid w:val="00D90CB6"/>
    <w:rsid w:val="00D93DA9"/>
    <w:rsid w:val="00D94CF7"/>
    <w:rsid w:val="00D950AC"/>
    <w:rsid w:val="00D95C6B"/>
    <w:rsid w:val="00DA0ACA"/>
    <w:rsid w:val="00DA2187"/>
    <w:rsid w:val="00DA6932"/>
    <w:rsid w:val="00DB500B"/>
    <w:rsid w:val="00DB7209"/>
    <w:rsid w:val="00DC0F37"/>
    <w:rsid w:val="00DC1016"/>
    <w:rsid w:val="00DC6CE9"/>
    <w:rsid w:val="00DD252F"/>
    <w:rsid w:val="00DD36DC"/>
    <w:rsid w:val="00DD4025"/>
    <w:rsid w:val="00DD43B7"/>
    <w:rsid w:val="00DD4FCF"/>
    <w:rsid w:val="00DD6120"/>
    <w:rsid w:val="00DD6927"/>
    <w:rsid w:val="00DD7F73"/>
    <w:rsid w:val="00DE0BC1"/>
    <w:rsid w:val="00DE200D"/>
    <w:rsid w:val="00DE2845"/>
    <w:rsid w:val="00DE35DE"/>
    <w:rsid w:val="00DE4CD1"/>
    <w:rsid w:val="00DE4EE6"/>
    <w:rsid w:val="00DE57DE"/>
    <w:rsid w:val="00DE5BB8"/>
    <w:rsid w:val="00DE6ED5"/>
    <w:rsid w:val="00DE7778"/>
    <w:rsid w:val="00DE7D42"/>
    <w:rsid w:val="00DF037D"/>
    <w:rsid w:val="00DF09F9"/>
    <w:rsid w:val="00DF27E7"/>
    <w:rsid w:val="00DF2EE7"/>
    <w:rsid w:val="00DF4B49"/>
    <w:rsid w:val="00DF564E"/>
    <w:rsid w:val="00DF5973"/>
    <w:rsid w:val="00DF6D54"/>
    <w:rsid w:val="00E014FE"/>
    <w:rsid w:val="00E01A8B"/>
    <w:rsid w:val="00E029F0"/>
    <w:rsid w:val="00E035C5"/>
    <w:rsid w:val="00E0681C"/>
    <w:rsid w:val="00E1119F"/>
    <w:rsid w:val="00E130D3"/>
    <w:rsid w:val="00E13C8D"/>
    <w:rsid w:val="00E13CB2"/>
    <w:rsid w:val="00E16BD9"/>
    <w:rsid w:val="00E2005F"/>
    <w:rsid w:val="00E22275"/>
    <w:rsid w:val="00E22A00"/>
    <w:rsid w:val="00E23E2F"/>
    <w:rsid w:val="00E32C55"/>
    <w:rsid w:val="00E33B79"/>
    <w:rsid w:val="00E40CCD"/>
    <w:rsid w:val="00E4225E"/>
    <w:rsid w:val="00E429D8"/>
    <w:rsid w:val="00E45067"/>
    <w:rsid w:val="00E45267"/>
    <w:rsid w:val="00E454A1"/>
    <w:rsid w:val="00E507EE"/>
    <w:rsid w:val="00E52DE5"/>
    <w:rsid w:val="00E54D3C"/>
    <w:rsid w:val="00E56347"/>
    <w:rsid w:val="00E569B3"/>
    <w:rsid w:val="00E56BAC"/>
    <w:rsid w:val="00E60710"/>
    <w:rsid w:val="00E60DEF"/>
    <w:rsid w:val="00E616BB"/>
    <w:rsid w:val="00E6366A"/>
    <w:rsid w:val="00E63999"/>
    <w:rsid w:val="00E6446A"/>
    <w:rsid w:val="00E64FC8"/>
    <w:rsid w:val="00E66C1C"/>
    <w:rsid w:val="00E745A1"/>
    <w:rsid w:val="00E823A8"/>
    <w:rsid w:val="00E84D0C"/>
    <w:rsid w:val="00E86013"/>
    <w:rsid w:val="00E86E4F"/>
    <w:rsid w:val="00E9144E"/>
    <w:rsid w:val="00E91E1D"/>
    <w:rsid w:val="00E91EC5"/>
    <w:rsid w:val="00E923C5"/>
    <w:rsid w:val="00E92F2F"/>
    <w:rsid w:val="00E93899"/>
    <w:rsid w:val="00E948A7"/>
    <w:rsid w:val="00E95473"/>
    <w:rsid w:val="00E96B25"/>
    <w:rsid w:val="00EA3C89"/>
    <w:rsid w:val="00EA4310"/>
    <w:rsid w:val="00EA5464"/>
    <w:rsid w:val="00EB0136"/>
    <w:rsid w:val="00EB04AA"/>
    <w:rsid w:val="00EB109C"/>
    <w:rsid w:val="00EB2C90"/>
    <w:rsid w:val="00EB4692"/>
    <w:rsid w:val="00EB49E8"/>
    <w:rsid w:val="00EB6471"/>
    <w:rsid w:val="00EB70B4"/>
    <w:rsid w:val="00EB71E4"/>
    <w:rsid w:val="00EC0739"/>
    <w:rsid w:val="00EC08B6"/>
    <w:rsid w:val="00EC1018"/>
    <w:rsid w:val="00EC1087"/>
    <w:rsid w:val="00EC1346"/>
    <w:rsid w:val="00EC25BC"/>
    <w:rsid w:val="00EC35EC"/>
    <w:rsid w:val="00EC61EA"/>
    <w:rsid w:val="00EC69F7"/>
    <w:rsid w:val="00EC74C6"/>
    <w:rsid w:val="00ED0428"/>
    <w:rsid w:val="00ED2AAC"/>
    <w:rsid w:val="00ED456A"/>
    <w:rsid w:val="00ED610B"/>
    <w:rsid w:val="00ED63B2"/>
    <w:rsid w:val="00ED6D1E"/>
    <w:rsid w:val="00EE1105"/>
    <w:rsid w:val="00EE1AEA"/>
    <w:rsid w:val="00EE1E1A"/>
    <w:rsid w:val="00EE3F2B"/>
    <w:rsid w:val="00EE4D8D"/>
    <w:rsid w:val="00EE69BE"/>
    <w:rsid w:val="00EE7063"/>
    <w:rsid w:val="00EF0279"/>
    <w:rsid w:val="00EF210B"/>
    <w:rsid w:val="00EF35A8"/>
    <w:rsid w:val="00EF4435"/>
    <w:rsid w:val="00EF61B0"/>
    <w:rsid w:val="00EF63C9"/>
    <w:rsid w:val="00EF7A7F"/>
    <w:rsid w:val="00F00305"/>
    <w:rsid w:val="00F00CC6"/>
    <w:rsid w:val="00F03889"/>
    <w:rsid w:val="00F04354"/>
    <w:rsid w:val="00F05081"/>
    <w:rsid w:val="00F058F0"/>
    <w:rsid w:val="00F0706B"/>
    <w:rsid w:val="00F11768"/>
    <w:rsid w:val="00F12EFF"/>
    <w:rsid w:val="00F1346D"/>
    <w:rsid w:val="00F135C1"/>
    <w:rsid w:val="00F14D54"/>
    <w:rsid w:val="00F15A20"/>
    <w:rsid w:val="00F16121"/>
    <w:rsid w:val="00F16F9E"/>
    <w:rsid w:val="00F20309"/>
    <w:rsid w:val="00F2044E"/>
    <w:rsid w:val="00F20C33"/>
    <w:rsid w:val="00F21F38"/>
    <w:rsid w:val="00F22189"/>
    <w:rsid w:val="00F22414"/>
    <w:rsid w:val="00F22896"/>
    <w:rsid w:val="00F22FBF"/>
    <w:rsid w:val="00F238A4"/>
    <w:rsid w:val="00F23A16"/>
    <w:rsid w:val="00F24D6E"/>
    <w:rsid w:val="00F256D6"/>
    <w:rsid w:val="00F25B48"/>
    <w:rsid w:val="00F27033"/>
    <w:rsid w:val="00F2719D"/>
    <w:rsid w:val="00F32066"/>
    <w:rsid w:val="00F354B7"/>
    <w:rsid w:val="00F35A37"/>
    <w:rsid w:val="00F36A13"/>
    <w:rsid w:val="00F416F1"/>
    <w:rsid w:val="00F42FFE"/>
    <w:rsid w:val="00F43779"/>
    <w:rsid w:val="00F45BC5"/>
    <w:rsid w:val="00F460D4"/>
    <w:rsid w:val="00F4632A"/>
    <w:rsid w:val="00F5298F"/>
    <w:rsid w:val="00F53DA5"/>
    <w:rsid w:val="00F565D7"/>
    <w:rsid w:val="00F56B8D"/>
    <w:rsid w:val="00F56F30"/>
    <w:rsid w:val="00F64268"/>
    <w:rsid w:val="00F654BB"/>
    <w:rsid w:val="00F6589F"/>
    <w:rsid w:val="00F7259E"/>
    <w:rsid w:val="00F731E0"/>
    <w:rsid w:val="00F7750F"/>
    <w:rsid w:val="00F77A97"/>
    <w:rsid w:val="00F8006F"/>
    <w:rsid w:val="00F80B76"/>
    <w:rsid w:val="00F8144B"/>
    <w:rsid w:val="00F81494"/>
    <w:rsid w:val="00F8179D"/>
    <w:rsid w:val="00F856A5"/>
    <w:rsid w:val="00F8674F"/>
    <w:rsid w:val="00F87384"/>
    <w:rsid w:val="00F874B7"/>
    <w:rsid w:val="00F9071C"/>
    <w:rsid w:val="00FA01E2"/>
    <w:rsid w:val="00FA362E"/>
    <w:rsid w:val="00FA58BB"/>
    <w:rsid w:val="00FA61D0"/>
    <w:rsid w:val="00FA62D8"/>
    <w:rsid w:val="00FA6BD0"/>
    <w:rsid w:val="00FA74AB"/>
    <w:rsid w:val="00FA74D1"/>
    <w:rsid w:val="00FB037E"/>
    <w:rsid w:val="00FB0A21"/>
    <w:rsid w:val="00FB44AC"/>
    <w:rsid w:val="00FB4712"/>
    <w:rsid w:val="00FB48D6"/>
    <w:rsid w:val="00FB6933"/>
    <w:rsid w:val="00FB6F75"/>
    <w:rsid w:val="00FB7C29"/>
    <w:rsid w:val="00FC10CB"/>
    <w:rsid w:val="00FC11D9"/>
    <w:rsid w:val="00FC19E9"/>
    <w:rsid w:val="00FC204E"/>
    <w:rsid w:val="00FC5D55"/>
    <w:rsid w:val="00FC722D"/>
    <w:rsid w:val="00FD3318"/>
    <w:rsid w:val="00FD430C"/>
    <w:rsid w:val="00FD5946"/>
    <w:rsid w:val="00FD5E90"/>
    <w:rsid w:val="00FD6737"/>
    <w:rsid w:val="00FD7CED"/>
    <w:rsid w:val="00FE04C0"/>
    <w:rsid w:val="00FE58F9"/>
    <w:rsid w:val="00FE5AF6"/>
    <w:rsid w:val="00FE5C26"/>
    <w:rsid w:val="00FE7A73"/>
    <w:rsid w:val="00FF070C"/>
    <w:rsid w:val="00FF1F21"/>
    <w:rsid w:val="00FF2300"/>
    <w:rsid w:val="00FF264D"/>
    <w:rsid w:val="00FF6B97"/>
    <w:rsid w:val="00FF7A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B36FBDAB-2EB6-4B72-941B-EAA411DA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link w:val="Prrafodelista"/>
    <w:uiPriority w:val="72"/>
    <w:locked/>
    <w:rsid w:val="009D4854"/>
    <w:rPr>
      <w:rFonts w:ascii="Times New Roman" w:eastAsia="Times New Roman" w:hAnsi="Times New Roman" w:cs="Times New Roman"/>
      <w:lang w:val="es-ES"/>
    </w:rPr>
  </w:style>
  <w:style w:type="paragraph" w:styleId="Prrafodelista">
    <w:name w:val="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rPr>
      <w:lang w:val="es-MX" w:eastAsia="es-MX"/>
    </w:rPr>
  </w:style>
  <w:style w:type="paragraph" w:customStyle="1" w:styleId="m-4303980160591560862gmail-paragraph">
    <w:name w:val="m_-4303980160591560862gmail-paragraph"/>
    <w:basedOn w:val="Normal"/>
    <w:rsid w:val="003111DF"/>
    <w:pPr>
      <w:spacing w:before="100" w:beforeAutospacing="1" w:after="100" w:afterAutospacing="1"/>
    </w:pPr>
    <w:rPr>
      <w:lang w:val="es-MX" w:eastAsia="es-MX"/>
    </w:rPr>
  </w:style>
  <w:style w:type="character" w:customStyle="1" w:styleId="m-4303980160591560862gmail-apple-converted-space">
    <w:name w:val="m_-4303980160591560862gmail-apple-converted-space"/>
    <w:basedOn w:val="Fuentedeprrafopredeter"/>
    <w:rsid w:val="003111DF"/>
  </w:style>
  <w:style w:type="paragraph" w:customStyle="1" w:styleId="m-3000795733131735881gmail-msofootnotetext">
    <w:name w:val="m_-3000795733131735881gmail-msofootnotetext"/>
    <w:basedOn w:val="Normal"/>
    <w:rsid w:val="003C064D"/>
    <w:pPr>
      <w:spacing w:before="100" w:beforeAutospacing="1" w:after="100" w:afterAutospacing="1"/>
    </w:pPr>
    <w:rPr>
      <w:lang w:val="es-MX" w:eastAsia="es-MX"/>
    </w:rPr>
  </w:style>
  <w:style w:type="character" w:customStyle="1" w:styleId="m-4276799982783059353gmail-msofootnotereference">
    <w:name w:val="m_-4276799982783059353gmail-msofootnotereference"/>
    <w:basedOn w:val="Fuentedeprrafopredeter"/>
    <w:rsid w:val="00A24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67335112">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489201331">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12792754">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3763">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80D2F-A819-4DA2-8906-8B62FAC0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6673</TotalTime>
  <Pages>27</Pages>
  <Words>6265</Words>
  <Characters>34458</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165</cp:revision>
  <cp:lastPrinted>2019-03-06T23:46:00Z</cp:lastPrinted>
  <dcterms:created xsi:type="dcterms:W3CDTF">2017-06-27T22:47:00Z</dcterms:created>
  <dcterms:modified xsi:type="dcterms:W3CDTF">2019-03-14T17:20:00Z</dcterms:modified>
</cp:coreProperties>
</file>