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7D6CE6" w:rsidRDefault="00A7130D" w:rsidP="007D6CE6">
      <w:pPr>
        <w:spacing w:line="360" w:lineRule="auto"/>
        <w:jc w:val="center"/>
        <w:rPr>
          <w:rFonts w:ascii="Palatino Linotype" w:hAnsi="Palatino Linotype"/>
          <w:b/>
        </w:rPr>
      </w:pPr>
    </w:p>
    <w:p w14:paraId="41F8AB7B" w14:textId="1624D3F0" w:rsidR="00152F29" w:rsidRPr="007D6CE6" w:rsidRDefault="00F95F7E" w:rsidP="007D6CE6">
      <w:pPr>
        <w:spacing w:line="360" w:lineRule="auto"/>
        <w:jc w:val="center"/>
        <w:rPr>
          <w:rFonts w:ascii="Palatino Linotype" w:hAnsi="Palatino Linotype"/>
          <w:b/>
        </w:rPr>
      </w:pPr>
      <w:bookmarkStart w:id="0" w:name="_GoBack"/>
      <w:bookmarkEnd w:id="0"/>
      <w:r w:rsidRPr="007D6CE6">
        <w:rPr>
          <w:rFonts w:ascii="Palatino Linotype" w:hAnsi="Palatino Linotype"/>
          <w:b/>
        </w:rPr>
        <w:t>LÍNEAS ARGUMENTATIVAS</w:t>
      </w:r>
    </w:p>
    <w:p w14:paraId="11716811" w14:textId="77777777" w:rsidR="005E0318" w:rsidRPr="007D6CE6" w:rsidRDefault="005E0318" w:rsidP="007D6CE6">
      <w:pPr>
        <w:spacing w:line="360" w:lineRule="auto"/>
        <w:jc w:val="center"/>
        <w:rPr>
          <w:rFonts w:ascii="Palatino Linotype" w:hAnsi="Palatino Linotype"/>
          <w:b/>
        </w:rPr>
      </w:pPr>
    </w:p>
    <w:p w14:paraId="40EE00EE" w14:textId="5FD81386" w:rsidR="00BE2A0C" w:rsidRPr="007D6CE6" w:rsidRDefault="00BE2A0C" w:rsidP="007D6CE6">
      <w:pPr>
        <w:spacing w:line="360" w:lineRule="auto"/>
        <w:jc w:val="both"/>
        <w:rPr>
          <w:rFonts w:ascii="Palatino Linotype" w:eastAsia="MS Mincho" w:hAnsi="Palatino Linotype" w:cs="Times New Roman"/>
        </w:rPr>
      </w:pPr>
      <w:r w:rsidRPr="007D6CE6">
        <w:rPr>
          <w:rFonts w:ascii="Palatino Linotype" w:eastAsia="MS Mincho" w:hAnsi="Palatino Linotype" w:cs="Times New Roman"/>
          <w:b/>
        </w:rPr>
        <w:t xml:space="preserve">DERECHO DE ACCESO A LA INFORMACIÓN PÚBLICA. </w:t>
      </w:r>
      <w:r w:rsidRPr="007D6CE6">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CDCE45B" w14:textId="77777777" w:rsidR="002F5CC5" w:rsidRPr="007D6CE6" w:rsidRDefault="002F5CC5" w:rsidP="007D6CE6">
      <w:pPr>
        <w:spacing w:line="360" w:lineRule="auto"/>
        <w:jc w:val="both"/>
        <w:rPr>
          <w:rFonts w:ascii="Palatino Linotype" w:eastAsia="MS Mincho" w:hAnsi="Palatino Linotype" w:cs="Times New Roman"/>
        </w:rPr>
      </w:pPr>
    </w:p>
    <w:p w14:paraId="6388BBDB" w14:textId="61314B80" w:rsidR="00C57929" w:rsidRPr="007D6CE6" w:rsidRDefault="00C57929" w:rsidP="007D6CE6">
      <w:pPr>
        <w:spacing w:line="360" w:lineRule="auto"/>
        <w:jc w:val="both"/>
        <w:rPr>
          <w:rFonts w:ascii="Palatino Linotype" w:eastAsia="Arial Unicode MS" w:hAnsi="Palatino Linotype" w:cs="Arial"/>
        </w:rPr>
      </w:pPr>
      <w:r w:rsidRPr="007D6CE6">
        <w:rPr>
          <w:rFonts w:ascii="Palatino Linotype" w:eastAsia="Arial Unicode MS" w:hAnsi="Palatino Linotype" w:cs="Arial"/>
          <w:b/>
        </w:rPr>
        <w:t>DEBERES DE LAS AUTORIDADES</w:t>
      </w:r>
      <w:r w:rsidRPr="007D6CE6">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3B2A628A" w14:textId="77777777" w:rsidR="002F5CC5" w:rsidRPr="007D6CE6" w:rsidRDefault="002F5CC5" w:rsidP="007D6CE6">
      <w:pPr>
        <w:spacing w:line="360" w:lineRule="auto"/>
        <w:jc w:val="both"/>
        <w:rPr>
          <w:rFonts w:ascii="Palatino Linotype" w:eastAsia="Arial Unicode MS" w:hAnsi="Palatino Linotype" w:cs="Arial"/>
        </w:rPr>
      </w:pPr>
    </w:p>
    <w:p w14:paraId="0F9BAD22" w14:textId="43C922C3" w:rsidR="00C57929" w:rsidRPr="007D6CE6" w:rsidRDefault="00C57929" w:rsidP="007D6CE6">
      <w:pPr>
        <w:spacing w:line="360" w:lineRule="auto"/>
        <w:jc w:val="both"/>
        <w:rPr>
          <w:rFonts w:ascii="Palatino Linotype" w:eastAsia="Calibri" w:hAnsi="Palatino Linotype" w:cs="Times New Roman"/>
        </w:rPr>
      </w:pPr>
      <w:r w:rsidRPr="007D6CE6">
        <w:rPr>
          <w:rFonts w:ascii="Palatino Linotype" w:eastAsia="Calibri" w:hAnsi="Palatino Linotype" w:cs="Times New Roman"/>
          <w:b/>
        </w:rPr>
        <w:t>DE LA GARANTÍA DE PROPORCIONAR LA INFORMACIÓN PÚBLICA GUBERNAMENTAL.</w:t>
      </w:r>
      <w:r w:rsidRPr="007D6CE6">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1647718D" w:rsidR="00044C3F" w:rsidRPr="007D6CE6" w:rsidRDefault="00BE2A0C" w:rsidP="007D6CE6">
      <w:pPr>
        <w:spacing w:line="360" w:lineRule="auto"/>
        <w:contextualSpacing/>
        <w:jc w:val="both"/>
        <w:rPr>
          <w:rFonts w:ascii="Palatino Linotype" w:eastAsia="Times New Roman" w:hAnsi="Palatino Linotype"/>
        </w:rPr>
      </w:pPr>
      <w:r w:rsidRPr="007D6CE6">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3D3582A3">
                <wp:simplePos x="0" y="0"/>
                <wp:positionH relativeFrom="margin">
                  <wp:align>right</wp:align>
                </wp:positionH>
                <wp:positionV relativeFrom="paragraph">
                  <wp:posOffset>72390</wp:posOffset>
                </wp:positionV>
                <wp:extent cx="5915025" cy="2238375"/>
                <wp:effectExtent l="57150" t="38100" r="47625" b="85725"/>
                <wp:wrapNone/>
                <wp:docPr id="28" name="Conector recto 28"/>
                <wp:cNvGraphicFramePr/>
                <a:graphic xmlns:a="http://schemas.openxmlformats.org/drawingml/2006/main">
                  <a:graphicData uri="http://schemas.microsoft.com/office/word/2010/wordprocessingShape">
                    <wps:wsp>
                      <wps:cNvCnPr/>
                      <wps:spPr>
                        <a:xfrm>
                          <a:off x="0" y="0"/>
                          <a:ext cx="5915025" cy="22383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B4548" id="Conector recto 28"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5.7pt" to="880.3pt,1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" strokecolor="#4f81bd [3204]" strokeweight="3pt">
                <v:shadow on="t" color="black" opacity="24903f" origin=",.5" offset="0,.55556mm"/>
                <w10:wrap anchorx="margin"/>
              </v:line>
            </w:pict>
          </mc:Fallback>
        </mc:AlternateContent>
      </w:r>
    </w:p>
    <w:p w14:paraId="624DAC65" w14:textId="77777777" w:rsidR="00C57929" w:rsidRPr="007D6CE6" w:rsidRDefault="00C57929" w:rsidP="007D6CE6">
      <w:pPr>
        <w:spacing w:line="360" w:lineRule="auto"/>
        <w:contextualSpacing/>
        <w:jc w:val="both"/>
        <w:rPr>
          <w:rFonts w:ascii="Palatino Linotype" w:eastAsia="Times New Roman" w:hAnsi="Palatino Linotype"/>
        </w:rPr>
      </w:pPr>
    </w:p>
    <w:p w14:paraId="166AE7C8" w14:textId="77777777" w:rsidR="00183E00" w:rsidRPr="007D6CE6" w:rsidRDefault="00183E00" w:rsidP="007D6CE6">
      <w:pPr>
        <w:spacing w:line="360" w:lineRule="auto"/>
        <w:contextualSpacing/>
        <w:jc w:val="both"/>
        <w:rPr>
          <w:rFonts w:ascii="Palatino Linotype" w:eastAsia="Times New Roman" w:hAnsi="Palatino Linotype"/>
        </w:rPr>
      </w:pPr>
    </w:p>
    <w:p w14:paraId="1E4AB315" w14:textId="77777777" w:rsidR="00183E00" w:rsidRPr="007D6CE6" w:rsidRDefault="00183E00" w:rsidP="007D6CE6">
      <w:pPr>
        <w:spacing w:line="360" w:lineRule="auto"/>
        <w:contextualSpacing/>
        <w:jc w:val="both"/>
        <w:rPr>
          <w:rFonts w:ascii="Palatino Linotype" w:eastAsia="Times New Roman" w:hAnsi="Palatino Linotype"/>
        </w:rPr>
      </w:pPr>
    </w:p>
    <w:p w14:paraId="65895935" w14:textId="77777777" w:rsidR="00FF11E8" w:rsidRPr="007D6CE6" w:rsidRDefault="00FF11E8" w:rsidP="007D6CE6">
      <w:pPr>
        <w:spacing w:line="360" w:lineRule="auto"/>
        <w:rPr>
          <w:rFonts w:ascii="Palatino Linotype" w:eastAsia="Times New Roman" w:hAnsi="Palatino Linotype"/>
        </w:rPr>
      </w:pPr>
    </w:p>
    <w:p w14:paraId="3CB78087" w14:textId="77777777" w:rsidR="00BE2A0C" w:rsidRPr="007D6CE6" w:rsidRDefault="00BE2A0C" w:rsidP="007D6CE6">
      <w:pPr>
        <w:spacing w:line="360" w:lineRule="auto"/>
        <w:rPr>
          <w:rFonts w:ascii="Palatino Linotype" w:eastAsia="Times New Roman" w:hAnsi="Palatino Linotype" w:cs="Times New Roman"/>
          <w:b/>
          <w:u w:val="single"/>
        </w:rPr>
      </w:pPr>
    </w:p>
    <w:p w14:paraId="7A68E0E7" w14:textId="77777777" w:rsidR="00703547" w:rsidRPr="007D6CE6" w:rsidRDefault="00703547" w:rsidP="007D6CE6">
      <w:pPr>
        <w:spacing w:line="360" w:lineRule="auto"/>
        <w:jc w:val="center"/>
        <w:rPr>
          <w:rFonts w:ascii="Palatino Linotype" w:eastAsia="Times New Roman" w:hAnsi="Palatino Linotype" w:cs="Times New Roman"/>
          <w:b/>
        </w:rPr>
      </w:pPr>
    </w:p>
    <w:p w14:paraId="31137936" w14:textId="302D1D0F" w:rsidR="00BC61B2" w:rsidRPr="007D6CE6" w:rsidRDefault="00A20B1F" w:rsidP="007D6CE6">
      <w:pPr>
        <w:spacing w:line="360" w:lineRule="auto"/>
        <w:jc w:val="center"/>
        <w:rPr>
          <w:rFonts w:ascii="Palatino Linotype" w:eastAsia="Times New Roman" w:hAnsi="Palatino Linotype" w:cs="Times New Roman"/>
          <w:b/>
        </w:rPr>
      </w:pPr>
      <w:r w:rsidRPr="007D6CE6">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7D6CE6" w:rsidRDefault="00DA7E2F" w:rsidP="007D6CE6">
          <w:pPr>
            <w:pStyle w:val="TtulodeTDC"/>
            <w:spacing w:before="0" w:line="360" w:lineRule="auto"/>
            <w:rPr>
              <w:szCs w:val="24"/>
            </w:rPr>
          </w:pPr>
        </w:p>
        <w:p w14:paraId="4FDD93A7" w14:textId="614008B9" w:rsidR="00262805" w:rsidRPr="007D6CE6" w:rsidRDefault="00DA7E2F" w:rsidP="007D6CE6">
          <w:pPr>
            <w:pStyle w:val="TDC1"/>
            <w:spacing w:after="0" w:line="360" w:lineRule="auto"/>
            <w:rPr>
              <w:rFonts w:ascii="Palatino Linotype" w:hAnsi="Palatino Linotype"/>
              <w:noProof/>
              <w:lang w:val="es-MX" w:eastAsia="es-MX"/>
            </w:rPr>
          </w:pPr>
          <w:r w:rsidRPr="007D6CE6">
            <w:rPr>
              <w:rFonts w:ascii="Palatino Linotype" w:hAnsi="Palatino Linotype"/>
            </w:rPr>
            <w:fldChar w:fldCharType="begin"/>
          </w:r>
          <w:r w:rsidRPr="007D6CE6">
            <w:rPr>
              <w:rFonts w:ascii="Palatino Linotype" w:hAnsi="Palatino Linotype"/>
            </w:rPr>
            <w:instrText xml:space="preserve"> TOC \o "1-3" \h \z \u </w:instrText>
          </w:r>
          <w:r w:rsidRPr="007D6CE6">
            <w:rPr>
              <w:rFonts w:ascii="Palatino Linotype" w:hAnsi="Palatino Linotype"/>
            </w:rPr>
            <w:fldChar w:fldCharType="separate"/>
          </w:r>
          <w:hyperlink w:anchor="_Toc24040917" w:history="1">
            <w:r w:rsidR="00262805" w:rsidRPr="007D6CE6">
              <w:rPr>
                <w:rStyle w:val="Hipervnculo"/>
                <w:rFonts w:ascii="Palatino Linotype" w:hAnsi="Palatino Linotype"/>
                <w:b/>
                <w:noProof/>
              </w:rPr>
              <w:t>ANTECEDENTES</w:t>
            </w:r>
            <w:r w:rsidR="00262805" w:rsidRPr="007D6CE6">
              <w:rPr>
                <w:rFonts w:ascii="Palatino Linotype" w:hAnsi="Palatino Linotype"/>
                <w:noProof/>
                <w:webHidden/>
              </w:rPr>
              <w:tab/>
            </w:r>
            <w:r w:rsidR="007D6CE6">
              <w:rPr>
                <w:rFonts w:ascii="Palatino Linotype" w:hAnsi="Palatino Linotype"/>
                <w:noProof/>
                <w:webHidden/>
              </w:rPr>
              <w:t>…..</w:t>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_Toc24040917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3</w:t>
            </w:r>
            <w:r w:rsidR="00262805" w:rsidRPr="007D6CE6">
              <w:rPr>
                <w:rFonts w:ascii="Palatino Linotype" w:hAnsi="Palatino Linotype"/>
                <w:noProof/>
                <w:webHidden/>
              </w:rPr>
              <w:fldChar w:fldCharType="end"/>
            </w:r>
          </w:hyperlink>
        </w:p>
        <w:p w14:paraId="02764ACF" w14:textId="11C79CCD" w:rsidR="00262805" w:rsidRPr="007D6CE6" w:rsidRDefault="00FA1B06" w:rsidP="007D6CE6">
          <w:pPr>
            <w:pStyle w:val="TDC1"/>
            <w:spacing w:after="0" w:line="360" w:lineRule="auto"/>
            <w:rPr>
              <w:rFonts w:ascii="Palatino Linotype" w:hAnsi="Palatino Linotype"/>
              <w:noProof/>
              <w:lang w:val="es-MX" w:eastAsia="es-MX"/>
            </w:rPr>
          </w:pPr>
          <w:hyperlink w:anchor="_Toc24040918" w:history="1">
            <w:r w:rsidR="00262805" w:rsidRPr="007D6CE6">
              <w:rPr>
                <w:rStyle w:val="Hipervnculo"/>
                <w:rFonts w:ascii="Palatino Linotype" w:hAnsi="Palatino Linotype"/>
                <w:b/>
                <w:noProof/>
              </w:rPr>
              <w:t>CONSIDERANDO</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_Toc24040918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9</w:t>
            </w:r>
            <w:r w:rsidR="00262805" w:rsidRPr="007D6CE6">
              <w:rPr>
                <w:rFonts w:ascii="Palatino Linotype" w:hAnsi="Palatino Linotype"/>
                <w:noProof/>
                <w:webHidden/>
              </w:rPr>
              <w:fldChar w:fldCharType="end"/>
            </w:r>
          </w:hyperlink>
        </w:p>
        <w:p w14:paraId="0F209FD9" w14:textId="25A46118" w:rsidR="00262805" w:rsidRPr="007D6CE6" w:rsidRDefault="00FA1B06" w:rsidP="007D6CE6">
          <w:pPr>
            <w:pStyle w:val="TDC2"/>
            <w:rPr>
              <w:rFonts w:ascii="Palatino Linotype" w:hAnsi="Palatino Linotype"/>
              <w:noProof/>
              <w:lang w:val="es-MX" w:eastAsia="es-MX"/>
            </w:rPr>
          </w:pPr>
          <w:hyperlink w:anchor="_Toc24040919" w:history="1">
            <w:r w:rsidR="00262805" w:rsidRPr="007D6CE6">
              <w:rPr>
                <w:rStyle w:val="Hipervnculo"/>
                <w:rFonts w:ascii="Palatino Linotype" w:hAnsi="Palatino Linotype"/>
                <w:b/>
                <w:noProof/>
              </w:rPr>
              <w:t>PRIMERO. De la competencia.</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_Toc24040919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9</w:t>
            </w:r>
            <w:r w:rsidR="00262805" w:rsidRPr="007D6CE6">
              <w:rPr>
                <w:rFonts w:ascii="Palatino Linotype" w:hAnsi="Palatino Linotype"/>
                <w:noProof/>
                <w:webHidden/>
              </w:rPr>
              <w:fldChar w:fldCharType="end"/>
            </w:r>
          </w:hyperlink>
        </w:p>
        <w:p w14:paraId="71A10798" w14:textId="28C07D9E" w:rsidR="00262805" w:rsidRPr="007D6CE6" w:rsidRDefault="00FA1B06" w:rsidP="007D6CE6">
          <w:pPr>
            <w:pStyle w:val="TDC2"/>
            <w:rPr>
              <w:rFonts w:ascii="Palatino Linotype" w:hAnsi="Palatino Linotype"/>
              <w:noProof/>
              <w:lang w:val="es-MX" w:eastAsia="es-MX"/>
            </w:rPr>
          </w:pPr>
          <w:hyperlink w:anchor="_Toc24040920" w:history="1">
            <w:r w:rsidR="00262805" w:rsidRPr="007D6CE6">
              <w:rPr>
                <w:rStyle w:val="Hipervnculo"/>
                <w:rFonts w:ascii="Palatino Linotype" w:hAnsi="Palatino Linotype"/>
                <w:b/>
                <w:noProof/>
              </w:rPr>
              <w:t>SEGUNDO. De la oportunidad y procedencia.</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_Toc24040920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9</w:t>
            </w:r>
            <w:r w:rsidR="00262805" w:rsidRPr="007D6CE6">
              <w:rPr>
                <w:rFonts w:ascii="Palatino Linotype" w:hAnsi="Palatino Linotype"/>
                <w:noProof/>
                <w:webHidden/>
              </w:rPr>
              <w:fldChar w:fldCharType="end"/>
            </w:r>
          </w:hyperlink>
        </w:p>
        <w:p w14:paraId="49AD592A" w14:textId="3CBFC029" w:rsidR="00262805" w:rsidRPr="007D6CE6" w:rsidRDefault="00FA1B06" w:rsidP="007D6CE6">
          <w:pPr>
            <w:pStyle w:val="TDC2"/>
            <w:rPr>
              <w:rFonts w:ascii="Palatino Linotype" w:hAnsi="Palatino Linotype"/>
              <w:noProof/>
              <w:lang w:val="es-MX" w:eastAsia="es-MX"/>
            </w:rPr>
          </w:pPr>
          <w:hyperlink w:anchor="_Toc24040921" w:history="1">
            <w:r w:rsidR="00262805" w:rsidRPr="007D6CE6">
              <w:rPr>
                <w:rStyle w:val="Hipervnculo"/>
                <w:rFonts w:ascii="Palatino Linotype" w:eastAsia="MS Gothic" w:hAnsi="Palatino Linotype" w:cs="Times New Roman"/>
                <w:b/>
                <w:noProof/>
              </w:rPr>
              <w:t>TERCERO. Del planteamiento de la Litis.</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_Toc24040921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11</w:t>
            </w:r>
            <w:r w:rsidR="00262805" w:rsidRPr="007D6CE6">
              <w:rPr>
                <w:rFonts w:ascii="Palatino Linotype" w:hAnsi="Palatino Linotype"/>
                <w:noProof/>
                <w:webHidden/>
              </w:rPr>
              <w:fldChar w:fldCharType="end"/>
            </w:r>
          </w:hyperlink>
        </w:p>
        <w:p w14:paraId="1A427F58" w14:textId="42D52937" w:rsidR="00262805" w:rsidRPr="007D6CE6" w:rsidRDefault="00FA1B06" w:rsidP="007D6CE6">
          <w:pPr>
            <w:pStyle w:val="TDC2"/>
            <w:rPr>
              <w:rFonts w:ascii="Palatino Linotype" w:hAnsi="Palatino Linotype"/>
              <w:noProof/>
              <w:lang w:val="es-MX" w:eastAsia="es-MX"/>
            </w:rPr>
          </w:pPr>
          <w:hyperlink w:anchor="_Toc24040922" w:history="1">
            <w:r w:rsidR="00262805" w:rsidRPr="007D6CE6">
              <w:rPr>
                <w:rStyle w:val="Hipervnculo"/>
                <w:rFonts w:ascii="Palatino Linotype" w:eastAsia="MS Gothic" w:hAnsi="Palatino Linotype" w:cs="Times New Roman"/>
                <w:b/>
                <w:noProof/>
              </w:rPr>
              <w:t>CUARTO. Del estudio y resolución del asunto.</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_Toc24040922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13</w:t>
            </w:r>
            <w:r w:rsidR="00262805" w:rsidRPr="007D6CE6">
              <w:rPr>
                <w:rFonts w:ascii="Palatino Linotype" w:hAnsi="Palatino Linotype"/>
                <w:noProof/>
                <w:webHidden/>
              </w:rPr>
              <w:fldChar w:fldCharType="end"/>
            </w:r>
          </w:hyperlink>
        </w:p>
        <w:p w14:paraId="041C19B4" w14:textId="02749AE1" w:rsidR="00262805" w:rsidRPr="007D6CE6" w:rsidRDefault="00FA1B06" w:rsidP="007D6CE6">
          <w:pPr>
            <w:pStyle w:val="TDC2"/>
            <w:rPr>
              <w:rFonts w:ascii="Palatino Linotype" w:hAnsi="Palatino Linotype"/>
              <w:noProof/>
              <w:lang w:val="es-MX" w:eastAsia="es-MX"/>
            </w:rPr>
          </w:pPr>
          <w:hyperlink w:anchor="_Toc24040923" w:history="1">
            <w:r w:rsidR="00262805" w:rsidRPr="007D6CE6">
              <w:rPr>
                <w:rStyle w:val="Hipervnculo"/>
                <w:rFonts w:ascii="Palatino Linotype" w:eastAsia="MS Mincho" w:hAnsi="Palatino Linotype" w:cs="Times New Roman"/>
                <w:b/>
                <w:noProof/>
              </w:rPr>
              <w:t>I.</w:t>
            </w:r>
            <w:r w:rsidR="00262805" w:rsidRPr="007D6CE6">
              <w:rPr>
                <w:rFonts w:ascii="Palatino Linotype" w:hAnsi="Palatino Linotype"/>
                <w:noProof/>
                <w:lang w:val="es-MX" w:eastAsia="es-MX"/>
              </w:rPr>
              <w:tab/>
            </w:r>
            <w:r w:rsidR="00262805" w:rsidRPr="007D6CE6">
              <w:rPr>
                <w:rStyle w:val="Hipervnculo"/>
                <w:rFonts w:ascii="Palatino Linotype" w:eastAsia="MS Mincho" w:hAnsi="Palatino Linotype" w:cs="Times New Roman"/>
                <w:b/>
                <w:noProof/>
              </w:rPr>
              <w:t>De la Fuente de Obligaciones.</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_Toc24040923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13</w:t>
            </w:r>
            <w:r w:rsidR="00262805" w:rsidRPr="007D6CE6">
              <w:rPr>
                <w:rFonts w:ascii="Palatino Linotype" w:hAnsi="Palatino Linotype"/>
                <w:noProof/>
                <w:webHidden/>
              </w:rPr>
              <w:fldChar w:fldCharType="end"/>
            </w:r>
          </w:hyperlink>
        </w:p>
        <w:p w14:paraId="4512D3D9" w14:textId="487A5400" w:rsidR="00262805" w:rsidRPr="007D6CE6" w:rsidRDefault="00FA1B06" w:rsidP="007D6CE6">
          <w:pPr>
            <w:pStyle w:val="TDC2"/>
            <w:rPr>
              <w:rFonts w:ascii="Palatino Linotype" w:hAnsi="Palatino Linotype"/>
              <w:noProof/>
              <w:lang w:val="es-MX" w:eastAsia="es-MX"/>
            </w:rPr>
          </w:pPr>
          <w:hyperlink w:anchor="_Toc24040924" w:history="1">
            <w:r w:rsidR="00262805" w:rsidRPr="007D6CE6">
              <w:rPr>
                <w:rStyle w:val="Hipervnculo"/>
                <w:rFonts w:ascii="Palatino Linotype" w:eastAsia="MS Mincho" w:hAnsi="Palatino Linotype" w:cs="Times New Roman"/>
                <w:b/>
                <w:bCs/>
                <w:noProof/>
              </w:rPr>
              <w:t>a)</w:t>
            </w:r>
            <w:r w:rsidR="00262805" w:rsidRPr="007D6CE6">
              <w:rPr>
                <w:rFonts w:ascii="Palatino Linotype" w:hAnsi="Palatino Linotype"/>
                <w:noProof/>
                <w:lang w:val="es-MX" w:eastAsia="es-MX"/>
              </w:rPr>
              <w:tab/>
            </w:r>
            <w:r w:rsidR="00262805" w:rsidRPr="007D6CE6">
              <w:rPr>
                <w:rStyle w:val="Hipervnculo"/>
                <w:rFonts w:ascii="Palatino Linotype" w:eastAsia="MS Mincho" w:hAnsi="Palatino Linotype" w:cs="Times New Roman"/>
                <w:b/>
                <w:noProof/>
              </w:rPr>
              <w:t>De las obligaciones de Transparencia.</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_Toc24040924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13</w:t>
            </w:r>
            <w:r w:rsidR="00262805" w:rsidRPr="007D6CE6">
              <w:rPr>
                <w:rFonts w:ascii="Palatino Linotype" w:hAnsi="Palatino Linotype"/>
                <w:noProof/>
                <w:webHidden/>
              </w:rPr>
              <w:fldChar w:fldCharType="end"/>
            </w:r>
          </w:hyperlink>
        </w:p>
        <w:p w14:paraId="7E561447" w14:textId="3982C546" w:rsidR="00262805" w:rsidRPr="007D6CE6" w:rsidRDefault="00FA1B06" w:rsidP="007D6CE6">
          <w:pPr>
            <w:pStyle w:val="TDC1"/>
            <w:spacing w:after="0" w:line="360" w:lineRule="auto"/>
            <w:rPr>
              <w:rFonts w:ascii="Palatino Linotype" w:hAnsi="Palatino Linotype"/>
              <w:noProof/>
              <w:lang w:val="es-MX" w:eastAsia="es-MX"/>
            </w:rPr>
          </w:pPr>
          <w:hyperlink w:anchor="_Toc24040925" w:history="1">
            <w:r w:rsidR="00262805" w:rsidRPr="007D6CE6">
              <w:rPr>
                <w:rStyle w:val="Hipervnculo"/>
                <w:rFonts w:ascii="Palatino Linotype" w:hAnsi="Palatino Linotype"/>
                <w:b/>
                <w:noProof/>
              </w:rPr>
              <w:t>II.</w:t>
            </w:r>
            <w:r w:rsidR="00262805" w:rsidRPr="007D6CE6">
              <w:rPr>
                <w:rFonts w:ascii="Palatino Linotype" w:hAnsi="Palatino Linotype"/>
                <w:noProof/>
                <w:lang w:val="es-MX" w:eastAsia="es-MX"/>
              </w:rPr>
              <w:tab/>
            </w:r>
            <w:r w:rsidR="00262805" w:rsidRPr="007D6CE6">
              <w:rPr>
                <w:rStyle w:val="Hipervnculo"/>
                <w:rFonts w:ascii="Palatino Linotype" w:hAnsi="Palatino Linotype"/>
                <w:b/>
                <w:noProof/>
              </w:rPr>
              <w:t>De lo solicitado por el particular y la respuesta del Sujeto Obligado.</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_Toc24040925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15</w:t>
            </w:r>
            <w:r w:rsidR="00262805" w:rsidRPr="007D6CE6">
              <w:rPr>
                <w:rFonts w:ascii="Palatino Linotype" w:hAnsi="Palatino Linotype"/>
                <w:noProof/>
                <w:webHidden/>
              </w:rPr>
              <w:fldChar w:fldCharType="end"/>
            </w:r>
          </w:hyperlink>
        </w:p>
        <w:p w14:paraId="4754EFF0" w14:textId="13DC3BCF" w:rsidR="00262805" w:rsidRPr="007D6CE6" w:rsidRDefault="00FA1B06" w:rsidP="007D6CE6">
          <w:pPr>
            <w:pStyle w:val="TDC1"/>
            <w:spacing w:after="0" w:line="360" w:lineRule="auto"/>
            <w:rPr>
              <w:rFonts w:ascii="Palatino Linotype" w:hAnsi="Palatino Linotype"/>
              <w:noProof/>
              <w:lang w:val="es-MX" w:eastAsia="es-MX"/>
            </w:rPr>
          </w:pPr>
          <w:hyperlink w:anchor="_Toc24040926" w:history="1">
            <w:r w:rsidR="00262805" w:rsidRPr="007D6CE6">
              <w:rPr>
                <w:rStyle w:val="Hipervnculo"/>
                <w:rFonts w:ascii="Palatino Linotype" w:hAnsi="Palatino Linotype"/>
                <w:b/>
                <w:noProof/>
              </w:rPr>
              <w:t>III.</w:t>
            </w:r>
            <w:r w:rsidR="00262805" w:rsidRPr="007D6CE6">
              <w:rPr>
                <w:rFonts w:ascii="Palatino Linotype" w:hAnsi="Palatino Linotype"/>
                <w:noProof/>
                <w:lang w:val="es-MX" w:eastAsia="es-MX"/>
              </w:rPr>
              <w:tab/>
            </w:r>
            <w:r w:rsidR="00262805" w:rsidRPr="007D6CE6">
              <w:rPr>
                <w:rStyle w:val="Hipervnculo"/>
                <w:rFonts w:ascii="Palatino Linotype" w:hAnsi="Palatino Linotype"/>
                <w:b/>
                <w:noProof/>
              </w:rPr>
              <w:t>De la Ley General de Archivos.</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_Toc24040926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23</w:t>
            </w:r>
            <w:r w:rsidR="00262805" w:rsidRPr="007D6CE6">
              <w:rPr>
                <w:rFonts w:ascii="Palatino Linotype" w:hAnsi="Palatino Linotype"/>
                <w:noProof/>
                <w:webHidden/>
              </w:rPr>
              <w:fldChar w:fldCharType="end"/>
            </w:r>
          </w:hyperlink>
        </w:p>
        <w:p w14:paraId="2085A5AD" w14:textId="2A70596E" w:rsidR="00262805" w:rsidRPr="007D6CE6" w:rsidRDefault="00FA1B06" w:rsidP="007D6CE6">
          <w:pPr>
            <w:pStyle w:val="TDC1"/>
            <w:spacing w:after="0" w:line="360" w:lineRule="auto"/>
            <w:rPr>
              <w:rFonts w:ascii="Palatino Linotype" w:hAnsi="Palatino Linotype"/>
              <w:noProof/>
              <w:lang w:val="es-MX" w:eastAsia="es-MX"/>
            </w:rPr>
          </w:pPr>
          <w:hyperlink w:anchor="_Toc24040927" w:history="1">
            <w:r w:rsidR="00262805" w:rsidRPr="007D6CE6">
              <w:rPr>
                <w:rStyle w:val="Hipervnculo"/>
                <w:rFonts w:ascii="Palatino Linotype" w:hAnsi="Palatino Linotype"/>
                <w:b/>
                <w:noProof/>
              </w:rPr>
              <w:t>IV. De los Lineamientos para la Organización y Conservación de Archivos.</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_Toc24040927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26</w:t>
            </w:r>
            <w:r w:rsidR="00262805" w:rsidRPr="007D6CE6">
              <w:rPr>
                <w:rFonts w:ascii="Palatino Linotype" w:hAnsi="Palatino Linotype"/>
                <w:noProof/>
                <w:webHidden/>
              </w:rPr>
              <w:fldChar w:fldCharType="end"/>
            </w:r>
          </w:hyperlink>
        </w:p>
        <w:p w14:paraId="4231AF5F" w14:textId="75C4B80A" w:rsidR="00262805" w:rsidRPr="007D6CE6" w:rsidRDefault="00FA1B06" w:rsidP="007D6CE6">
          <w:pPr>
            <w:pStyle w:val="TDC1"/>
            <w:spacing w:after="0" w:line="360" w:lineRule="auto"/>
            <w:rPr>
              <w:rFonts w:ascii="Palatino Linotype" w:hAnsi="Palatino Linotype"/>
              <w:noProof/>
              <w:lang w:val="es-MX" w:eastAsia="es-MX"/>
            </w:rPr>
          </w:pPr>
          <w:hyperlink w:anchor="_Toc24040928" w:history="1">
            <w:r w:rsidR="00262805" w:rsidRPr="007D6CE6">
              <w:rPr>
                <w:rStyle w:val="Hipervnculo"/>
                <w:rFonts w:ascii="Palatino Linotype" w:hAnsi="Palatino Linotype"/>
                <w:b/>
                <w:noProof/>
              </w:rPr>
              <w:t>V. De la obligación de contar con la información solicitada.</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_Toc24040928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29</w:t>
            </w:r>
            <w:r w:rsidR="00262805" w:rsidRPr="007D6CE6">
              <w:rPr>
                <w:rFonts w:ascii="Palatino Linotype" w:hAnsi="Palatino Linotype"/>
                <w:noProof/>
                <w:webHidden/>
              </w:rPr>
              <w:fldChar w:fldCharType="end"/>
            </w:r>
          </w:hyperlink>
        </w:p>
        <w:p w14:paraId="07219AF8" w14:textId="0FCB932F" w:rsidR="00262805" w:rsidRPr="007D6CE6" w:rsidRDefault="00FA1B06" w:rsidP="007D6CE6">
          <w:pPr>
            <w:pStyle w:val="TDC1"/>
            <w:spacing w:after="0" w:line="360" w:lineRule="auto"/>
            <w:rPr>
              <w:rFonts w:ascii="Palatino Linotype" w:hAnsi="Palatino Linotype"/>
              <w:noProof/>
              <w:lang w:val="es-MX" w:eastAsia="es-MX"/>
            </w:rPr>
          </w:pPr>
          <w:hyperlink w:anchor="_Toc24040929" w:history="1">
            <w:r w:rsidR="00262805" w:rsidRPr="007D6CE6">
              <w:rPr>
                <w:rStyle w:val="Hipervnculo"/>
                <w:rFonts w:ascii="Palatino Linotype" w:hAnsi="Palatino Linotype"/>
                <w:b/>
                <w:noProof/>
              </w:rPr>
              <w:t>a)</w:t>
            </w:r>
            <w:r w:rsidR="00262805" w:rsidRPr="007D6CE6">
              <w:rPr>
                <w:rFonts w:ascii="Palatino Linotype" w:hAnsi="Palatino Linotype"/>
                <w:noProof/>
                <w:lang w:val="es-MX" w:eastAsia="es-MX"/>
              </w:rPr>
              <w:tab/>
            </w:r>
            <w:r w:rsidR="00262805" w:rsidRPr="007D6CE6">
              <w:rPr>
                <w:rStyle w:val="Hipervnculo"/>
                <w:rFonts w:ascii="Palatino Linotype" w:hAnsi="Palatino Linotype"/>
                <w:b/>
                <w:noProof/>
              </w:rPr>
              <w:t>Del Acuerdo de Inexistencia.</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_Toc24040929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35</w:t>
            </w:r>
            <w:r w:rsidR="00262805" w:rsidRPr="007D6CE6">
              <w:rPr>
                <w:rFonts w:ascii="Palatino Linotype" w:hAnsi="Palatino Linotype"/>
                <w:noProof/>
                <w:webHidden/>
              </w:rPr>
              <w:fldChar w:fldCharType="end"/>
            </w:r>
          </w:hyperlink>
        </w:p>
        <w:p w14:paraId="2F42CC33" w14:textId="40ED6C3A" w:rsidR="00262805" w:rsidRPr="007D6CE6" w:rsidRDefault="00FA1B06" w:rsidP="007D6CE6">
          <w:pPr>
            <w:pStyle w:val="TDC1"/>
            <w:spacing w:after="0" w:line="360" w:lineRule="auto"/>
            <w:rPr>
              <w:rFonts w:ascii="Palatino Linotype" w:hAnsi="Palatino Linotype"/>
              <w:noProof/>
              <w:lang w:val="es-MX" w:eastAsia="es-MX"/>
            </w:rPr>
          </w:pPr>
          <w:hyperlink w:anchor="_Toc24040930" w:history="1">
            <w:r w:rsidR="00262805" w:rsidRPr="007D6CE6">
              <w:rPr>
                <w:rStyle w:val="Hipervnculo"/>
                <w:rFonts w:ascii="Palatino Linotype" w:hAnsi="Palatino Linotype"/>
                <w:b/>
                <w:noProof/>
              </w:rPr>
              <w:t>R E S O L U T I V O S</w:t>
            </w:r>
            <w:r w:rsidR="00262805" w:rsidRPr="007D6CE6">
              <w:rPr>
                <w:rFonts w:ascii="Palatino Linotype" w:hAnsi="Palatino Linotype"/>
                <w:noProof/>
                <w:webHidden/>
              </w:rPr>
              <w:tab/>
            </w:r>
            <w:r w:rsidR="00262805" w:rsidRPr="007D6CE6">
              <w:rPr>
                <w:rFonts w:ascii="Palatino Linotype" w:hAnsi="Palatino Linotype"/>
                <w:noProof/>
                <w:webHidden/>
              </w:rPr>
              <w:fldChar w:fldCharType="begin"/>
            </w:r>
            <w:r w:rsidR="00262805" w:rsidRPr="007D6CE6">
              <w:rPr>
                <w:rFonts w:ascii="Palatino Linotype" w:hAnsi="Palatino Linotype"/>
                <w:noProof/>
                <w:webHidden/>
              </w:rPr>
              <w:instrText xml:space="preserve"> PAGEREF _Toc24040930 \h </w:instrText>
            </w:r>
            <w:r w:rsidR="00262805" w:rsidRPr="007D6CE6">
              <w:rPr>
                <w:rFonts w:ascii="Palatino Linotype" w:hAnsi="Palatino Linotype"/>
                <w:noProof/>
                <w:webHidden/>
              </w:rPr>
            </w:r>
            <w:r w:rsidR="00262805" w:rsidRPr="007D6CE6">
              <w:rPr>
                <w:rFonts w:ascii="Palatino Linotype" w:hAnsi="Palatino Linotype"/>
                <w:noProof/>
                <w:webHidden/>
              </w:rPr>
              <w:fldChar w:fldCharType="separate"/>
            </w:r>
            <w:r w:rsidR="007D6CE6">
              <w:rPr>
                <w:rFonts w:ascii="Palatino Linotype" w:hAnsi="Palatino Linotype"/>
                <w:noProof/>
                <w:webHidden/>
              </w:rPr>
              <w:t>38</w:t>
            </w:r>
            <w:r w:rsidR="00262805" w:rsidRPr="007D6CE6">
              <w:rPr>
                <w:rFonts w:ascii="Palatino Linotype" w:hAnsi="Palatino Linotype"/>
                <w:noProof/>
                <w:webHidden/>
              </w:rPr>
              <w:fldChar w:fldCharType="end"/>
            </w:r>
          </w:hyperlink>
        </w:p>
        <w:p w14:paraId="22479684" w14:textId="20BCED8C" w:rsidR="000D13EA" w:rsidRPr="007D6CE6" w:rsidRDefault="00914065" w:rsidP="007D6CE6">
          <w:pPr>
            <w:spacing w:line="360" w:lineRule="auto"/>
            <w:rPr>
              <w:rFonts w:ascii="Palatino Linotype" w:hAnsi="Palatino Linotype"/>
            </w:rPr>
          </w:pPr>
          <w:r w:rsidRPr="007D6CE6">
            <w:rPr>
              <w:rFonts w:ascii="Palatino Linotype" w:hAnsi="Palatino Linotype"/>
              <w:bCs/>
              <w:noProof/>
              <w:lang w:val="es-MX" w:eastAsia="es-MX"/>
            </w:rPr>
            <mc:AlternateContent>
              <mc:Choice Requires="wps">
                <w:drawing>
                  <wp:anchor distT="0" distB="0" distL="114300" distR="114300" simplePos="0" relativeHeight="251691008" behindDoc="0" locked="0" layoutInCell="1" allowOverlap="1" wp14:anchorId="0AF1E8AF" wp14:editId="1DE65D69">
                    <wp:simplePos x="0" y="0"/>
                    <wp:positionH relativeFrom="margin">
                      <wp:align>right</wp:align>
                    </wp:positionH>
                    <wp:positionV relativeFrom="paragraph">
                      <wp:posOffset>139700</wp:posOffset>
                    </wp:positionV>
                    <wp:extent cx="5895975" cy="2228850"/>
                    <wp:effectExtent l="76200" t="57150" r="47625" b="95250"/>
                    <wp:wrapNone/>
                    <wp:docPr id="13" name="Conector recto 13"/>
                    <wp:cNvGraphicFramePr/>
                    <a:graphic xmlns:a="http://schemas.openxmlformats.org/drawingml/2006/main">
                      <a:graphicData uri="http://schemas.microsoft.com/office/word/2010/wordprocessingShape">
                        <wps:wsp>
                          <wps:cNvCnPr/>
                          <wps:spPr>
                            <a:xfrm flipH="1" flipV="1">
                              <a:off x="0" y="0"/>
                              <a:ext cx="5895975" cy="22288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FD6F3" id="Conector recto 13" o:spid="_x0000_s1026" style="position:absolute;flip:x y;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05pt,11pt" to="877.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" strokecolor="#4f81bd [3204]" strokeweight="3pt">
                    <v:shadow on="t" color="black" opacity="24903f" origin=",.5" offset="0,.55556mm"/>
                    <w10:wrap anchorx="margin"/>
                  </v:line>
                </w:pict>
              </mc:Fallback>
            </mc:AlternateContent>
          </w:r>
          <w:r w:rsidR="00DA7E2F" w:rsidRPr="007D6CE6">
            <w:rPr>
              <w:rFonts w:ascii="Palatino Linotype" w:hAnsi="Palatino Linotype"/>
              <w:bCs/>
              <w:lang w:val="es-ES"/>
            </w:rPr>
            <w:fldChar w:fldCharType="end"/>
          </w:r>
        </w:p>
      </w:sdtContent>
    </w:sdt>
    <w:p w14:paraId="03BDE019" w14:textId="77777777" w:rsidR="00262805" w:rsidRPr="007D6CE6" w:rsidRDefault="00262805" w:rsidP="007D6CE6">
      <w:pPr>
        <w:tabs>
          <w:tab w:val="left" w:pos="3465"/>
        </w:tabs>
        <w:spacing w:line="360" w:lineRule="auto"/>
        <w:jc w:val="both"/>
        <w:rPr>
          <w:rFonts w:ascii="Palatino Linotype" w:hAnsi="Palatino Linotype"/>
        </w:rPr>
      </w:pPr>
    </w:p>
    <w:p w14:paraId="1E0C9A2D" w14:textId="77777777" w:rsidR="00262805" w:rsidRPr="007D6CE6" w:rsidRDefault="00262805" w:rsidP="007D6CE6">
      <w:pPr>
        <w:tabs>
          <w:tab w:val="left" w:pos="3465"/>
        </w:tabs>
        <w:spacing w:line="360" w:lineRule="auto"/>
        <w:jc w:val="both"/>
        <w:rPr>
          <w:rFonts w:ascii="Palatino Linotype" w:hAnsi="Palatino Linotype"/>
        </w:rPr>
      </w:pPr>
    </w:p>
    <w:p w14:paraId="48E1810E" w14:textId="77777777" w:rsidR="00703547" w:rsidRPr="007D6CE6" w:rsidRDefault="00703547" w:rsidP="007D6CE6">
      <w:pPr>
        <w:tabs>
          <w:tab w:val="left" w:pos="3465"/>
        </w:tabs>
        <w:spacing w:line="360" w:lineRule="auto"/>
        <w:jc w:val="both"/>
        <w:rPr>
          <w:rFonts w:ascii="Palatino Linotype" w:hAnsi="Palatino Linotype"/>
        </w:rPr>
      </w:pPr>
    </w:p>
    <w:p w14:paraId="0E20C7C3" w14:textId="77777777" w:rsidR="00703547" w:rsidRPr="007D6CE6" w:rsidRDefault="00703547" w:rsidP="007D6CE6">
      <w:pPr>
        <w:tabs>
          <w:tab w:val="left" w:pos="3465"/>
        </w:tabs>
        <w:spacing w:line="360" w:lineRule="auto"/>
        <w:jc w:val="both"/>
        <w:rPr>
          <w:rFonts w:ascii="Palatino Linotype" w:hAnsi="Palatino Linotype"/>
        </w:rPr>
      </w:pPr>
    </w:p>
    <w:p w14:paraId="1A9C36DE" w14:textId="77777777" w:rsidR="00703547" w:rsidRPr="007D6CE6" w:rsidRDefault="00703547" w:rsidP="007D6CE6">
      <w:pPr>
        <w:tabs>
          <w:tab w:val="left" w:pos="3465"/>
        </w:tabs>
        <w:spacing w:line="360" w:lineRule="auto"/>
        <w:jc w:val="both"/>
        <w:rPr>
          <w:rFonts w:ascii="Palatino Linotype" w:hAnsi="Palatino Linotype"/>
        </w:rPr>
      </w:pPr>
    </w:p>
    <w:p w14:paraId="75F1B0DF" w14:textId="77777777" w:rsidR="00703547" w:rsidRPr="007D6CE6" w:rsidRDefault="00703547" w:rsidP="007D6CE6">
      <w:pPr>
        <w:tabs>
          <w:tab w:val="left" w:pos="3465"/>
        </w:tabs>
        <w:spacing w:line="360" w:lineRule="auto"/>
        <w:jc w:val="both"/>
        <w:rPr>
          <w:rFonts w:ascii="Palatino Linotype" w:hAnsi="Palatino Linotype"/>
        </w:rPr>
      </w:pPr>
    </w:p>
    <w:p w14:paraId="73F7F940" w14:textId="2A6A99E3" w:rsidR="00662C69" w:rsidRPr="007D6CE6" w:rsidRDefault="009B11D6" w:rsidP="007D6CE6">
      <w:pPr>
        <w:tabs>
          <w:tab w:val="left" w:pos="3465"/>
        </w:tabs>
        <w:spacing w:line="360" w:lineRule="auto"/>
        <w:jc w:val="both"/>
        <w:rPr>
          <w:rFonts w:ascii="Palatino Linotype" w:hAnsi="Palatino Linotype"/>
        </w:rPr>
      </w:pPr>
      <w:r w:rsidRPr="007D6CE6">
        <w:rPr>
          <w:rFonts w:ascii="Palatino Linotype" w:hAnsi="Palatino Linotype"/>
        </w:rPr>
        <w:lastRenderedPageBreak/>
        <w:t>R</w:t>
      </w:r>
      <w:r w:rsidR="00662C69" w:rsidRPr="007D6CE6">
        <w:rPr>
          <w:rFonts w:ascii="Palatino Linotype" w:hAnsi="Palatino Linotype"/>
        </w:rPr>
        <w:t>esolución del Pleno del Instituto de Transparencia, Acceso a la Información Pública y Protección de Datos Personales del Estado de México y Mun</w:t>
      </w:r>
      <w:r w:rsidR="000D5A1D" w:rsidRPr="007D6CE6">
        <w:rPr>
          <w:rFonts w:ascii="Palatino Linotype" w:hAnsi="Palatino Linotype"/>
        </w:rPr>
        <w:t>icipios, con</w:t>
      </w:r>
      <w:r w:rsidR="00662C69" w:rsidRPr="007D6CE6">
        <w:rPr>
          <w:rFonts w:ascii="Palatino Linotype" w:hAnsi="Palatino Linotype"/>
        </w:rPr>
        <w:t xml:space="preserve"> </w:t>
      </w:r>
      <w:r w:rsidR="00485DB6" w:rsidRPr="007D6CE6">
        <w:rPr>
          <w:rFonts w:ascii="Palatino Linotype" w:hAnsi="Palatino Linotype"/>
        </w:rPr>
        <w:t xml:space="preserve">domicilio </w:t>
      </w:r>
      <w:r w:rsidR="00662C69" w:rsidRPr="007D6CE6">
        <w:rPr>
          <w:rFonts w:ascii="Palatino Linotype" w:hAnsi="Palatino Linotype"/>
        </w:rPr>
        <w:t xml:space="preserve">en Metepec, Estado de México; de </w:t>
      </w:r>
      <w:r w:rsidR="00703547" w:rsidRPr="007D6CE6">
        <w:rPr>
          <w:rFonts w:ascii="Palatino Linotype" w:hAnsi="Palatino Linotype"/>
        </w:rPr>
        <w:t>fecha trece (13) de noviembre</w:t>
      </w:r>
      <w:r w:rsidR="00DE22C4" w:rsidRPr="007D6CE6">
        <w:rPr>
          <w:rFonts w:ascii="Palatino Linotype" w:hAnsi="Palatino Linotype"/>
        </w:rPr>
        <w:t xml:space="preserve"> de dos mil diecinueve. </w:t>
      </w:r>
    </w:p>
    <w:p w14:paraId="1323A68C" w14:textId="77777777" w:rsidR="005E0318" w:rsidRPr="007D6CE6" w:rsidRDefault="005E0318" w:rsidP="007D6CE6">
      <w:pPr>
        <w:tabs>
          <w:tab w:val="left" w:pos="3465"/>
        </w:tabs>
        <w:spacing w:line="360" w:lineRule="auto"/>
        <w:jc w:val="both"/>
        <w:rPr>
          <w:rFonts w:ascii="Palatino Linotype" w:hAnsi="Palatino Linotype"/>
        </w:rPr>
      </w:pPr>
    </w:p>
    <w:p w14:paraId="02C1324E" w14:textId="00292B51" w:rsidR="00662C69" w:rsidRPr="007D6CE6" w:rsidRDefault="00662C69" w:rsidP="007D6CE6">
      <w:pPr>
        <w:pStyle w:val="Encabezado"/>
        <w:spacing w:line="360" w:lineRule="auto"/>
        <w:jc w:val="both"/>
        <w:rPr>
          <w:rFonts w:ascii="Palatino Linotype" w:hAnsi="Palatino Linotype"/>
          <w:b/>
        </w:rPr>
      </w:pPr>
      <w:r w:rsidRPr="007D6CE6">
        <w:rPr>
          <w:rFonts w:ascii="Palatino Linotype" w:hAnsi="Palatino Linotype"/>
          <w:b/>
        </w:rPr>
        <w:t>VISTO</w:t>
      </w:r>
      <w:r w:rsidRPr="007D6CE6">
        <w:rPr>
          <w:rFonts w:ascii="Palatino Linotype" w:hAnsi="Palatino Linotype"/>
        </w:rPr>
        <w:t xml:space="preserve"> el expediente electrónico for</w:t>
      </w:r>
      <w:r w:rsidR="00D37494" w:rsidRPr="007D6CE6">
        <w:rPr>
          <w:rFonts w:ascii="Palatino Linotype" w:hAnsi="Palatino Linotype"/>
        </w:rPr>
        <w:t>mado con motivo del</w:t>
      </w:r>
      <w:r w:rsidRPr="007D6CE6">
        <w:rPr>
          <w:rFonts w:ascii="Palatino Linotype" w:hAnsi="Palatino Linotype"/>
        </w:rPr>
        <w:t xml:space="preserve"> recurso de revisión </w:t>
      </w:r>
      <w:r w:rsidR="006E0835" w:rsidRPr="007D6CE6">
        <w:rPr>
          <w:rFonts w:ascii="Palatino Linotype" w:hAnsi="Palatino Linotype" w:cs="Arial"/>
          <w:b/>
          <w:bCs/>
          <w:lang w:eastAsia="es-MX"/>
        </w:rPr>
        <w:t>0</w:t>
      </w:r>
      <w:r w:rsidR="009B6D4B" w:rsidRPr="007D6CE6">
        <w:rPr>
          <w:rFonts w:ascii="Palatino Linotype" w:hAnsi="Palatino Linotype" w:cs="Arial"/>
          <w:b/>
          <w:bCs/>
          <w:lang w:eastAsia="es-MX"/>
        </w:rPr>
        <w:t>7338</w:t>
      </w:r>
      <w:r w:rsidR="00E81613" w:rsidRPr="007D6CE6">
        <w:rPr>
          <w:rFonts w:ascii="Palatino Linotype" w:hAnsi="Palatino Linotype" w:cs="Arial"/>
          <w:b/>
          <w:bCs/>
          <w:lang w:eastAsia="es-MX"/>
        </w:rPr>
        <w:t>/INFOEM/IP/RR/2019</w:t>
      </w:r>
      <w:r w:rsidR="00AF3D59" w:rsidRPr="007D6CE6">
        <w:rPr>
          <w:rFonts w:ascii="Palatino Linotype" w:hAnsi="Palatino Linotype" w:cs="Arial"/>
          <w:b/>
          <w:bCs/>
        </w:rPr>
        <w:t>;</w:t>
      </w:r>
      <w:r w:rsidR="00335BFE" w:rsidRPr="007D6CE6">
        <w:rPr>
          <w:rFonts w:ascii="Palatino Linotype" w:hAnsi="Palatino Linotype" w:cs="Arial"/>
          <w:b/>
          <w:bCs/>
        </w:rPr>
        <w:t xml:space="preserve"> </w:t>
      </w:r>
      <w:r w:rsidRPr="007D6CE6">
        <w:rPr>
          <w:rFonts w:ascii="Palatino Linotype" w:hAnsi="Palatino Linotype"/>
        </w:rPr>
        <w:t>promovido por</w:t>
      </w:r>
      <w:r w:rsidR="00B17F10" w:rsidRPr="007D6CE6">
        <w:rPr>
          <w:rFonts w:ascii="Palatino Linotype" w:hAnsi="Palatino Linotype"/>
          <w:b/>
        </w:rPr>
        <w:t xml:space="preserve"> </w:t>
      </w:r>
      <w:r w:rsidR="0028351C" w:rsidRPr="0028351C">
        <w:rPr>
          <w:rFonts w:ascii="Palatino Linotype" w:hAnsi="Palatino Linotype"/>
          <w:b/>
          <w:highlight w:val="black"/>
        </w:rPr>
        <w:t>------------------------------</w:t>
      </w:r>
      <w:r w:rsidRPr="007D6CE6">
        <w:rPr>
          <w:rFonts w:ascii="Palatino Linotype" w:hAnsi="Palatino Linotype"/>
          <w:b/>
        </w:rPr>
        <w:t xml:space="preserve"> </w:t>
      </w:r>
      <w:r w:rsidRPr="007D6CE6">
        <w:rPr>
          <w:rFonts w:ascii="Palatino Linotype" w:hAnsi="Palatino Linotype" w:cs="Arial"/>
        </w:rPr>
        <w:t xml:space="preserve">en su </w:t>
      </w:r>
      <w:r w:rsidR="00D83C17" w:rsidRPr="007D6CE6">
        <w:rPr>
          <w:rFonts w:ascii="Palatino Linotype" w:hAnsi="Palatino Linotype" w:cs="Arial"/>
        </w:rPr>
        <w:t>calidad</w:t>
      </w:r>
      <w:r w:rsidRPr="007D6CE6">
        <w:rPr>
          <w:rFonts w:ascii="Palatino Linotype" w:hAnsi="Palatino Linotype" w:cs="Arial"/>
        </w:rPr>
        <w:t xml:space="preserve"> de </w:t>
      </w:r>
      <w:r w:rsidRPr="007D6CE6">
        <w:rPr>
          <w:rFonts w:ascii="Palatino Linotype" w:hAnsi="Palatino Linotype" w:cs="Arial"/>
          <w:b/>
        </w:rPr>
        <w:t>RECURRENTE</w:t>
      </w:r>
      <w:r w:rsidRPr="007D6CE6">
        <w:rPr>
          <w:rFonts w:ascii="Palatino Linotype" w:hAnsi="Palatino Linotype" w:cs="Arial"/>
        </w:rPr>
        <w:t xml:space="preserve">, en contra </w:t>
      </w:r>
      <w:r w:rsidR="000D5A1D" w:rsidRPr="007D6CE6">
        <w:rPr>
          <w:rFonts w:ascii="Palatino Linotype" w:hAnsi="Palatino Linotype" w:cs="Arial"/>
        </w:rPr>
        <w:t xml:space="preserve">de </w:t>
      </w:r>
      <w:r w:rsidR="009C0E5E" w:rsidRPr="007D6CE6">
        <w:rPr>
          <w:rFonts w:ascii="Palatino Linotype" w:hAnsi="Palatino Linotype" w:cs="Arial"/>
        </w:rPr>
        <w:t>la respuesta de</w:t>
      </w:r>
      <w:r w:rsidR="000678F0" w:rsidRPr="007D6CE6">
        <w:rPr>
          <w:rFonts w:ascii="Palatino Linotype" w:hAnsi="Palatino Linotype" w:cs="Arial"/>
        </w:rPr>
        <w:t xml:space="preserve"> </w:t>
      </w:r>
      <w:r w:rsidR="009C0E5E" w:rsidRPr="007D6CE6">
        <w:rPr>
          <w:rFonts w:ascii="Palatino Linotype" w:hAnsi="Palatino Linotype" w:cs="Arial"/>
        </w:rPr>
        <w:t>l</w:t>
      </w:r>
      <w:r w:rsidR="000678F0" w:rsidRPr="007D6CE6">
        <w:rPr>
          <w:rFonts w:ascii="Palatino Linotype" w:hAnsi="Palatino Linotype" w:cs="Arial"/>
        </w:rPr>
        <w:t>a</w:t>
      </w:r>
      <w:r w:rsidR="009C0E5E" w:rsidRPr="007D6CE6">
        <w:rPr>
          <w:rFonts w:ascii="Palatino Linotype" w:hAnsi="Palatino Linotype" w:cs="Arial"/>
        </w:rPr>
        <w:t xml:space="preserve"> </w:t>
      </w:r>
      <w:r w:rsidR="000678F0" w:rsidRPr="007D6CE6">
        <w:rPr>
          <w:rFonts w:ascii="Palatino Linotype" w:hAnsi="Palatino Linotype"/>
          <w:b/>
          <w:bCs/>
          <w:color w:val="000000"/>
        </w:rPr>
        <w:t xml:space="preserve">Secretaría </w:t>
      </w:r>
      <w:r w:rsidR="009B6D4B" w:rsidRPr="007D6CE6">
        <w:rPr>
          <w:rFonts w:ascii="Palatino Linotype" w:hAnsi="Palatino Linotype"/>
          <w:b/>
          <w:bCs/>
          <w:color w:val="000000"/>
        </w:rPr>
        <w:t>Ejecutiva del Sistema Estatal Anticorrupción,</w:t>
      </w:r>
      <w:r w:rsidR="0036073F" w:rsidRPr="007D6CE6">
        <w:rPr>
          <w:rFonts w:ascii="Palatino Linotype" w:hAnsi="Palatino Linotype"/>
          <w:b/>
        </w:rPr>
        <w:t xml:space="preserve"> </w:t>
      </w:r>
      <w:r w:rsidRPr="007D6CE6">
        <w:rPr>
          <w:rFonts w:ascii="Palatino Linotype" w:hAnsi="Palatino Linotype"/>
        </w:rPr>
        <w:t>en lo sucesivo el</w:t>
      </w:r>
      <w:r w:rsidRPr="007D6CE6">
        <w:rPr>
          <w:rFonts w:ascii="Palatino Linotype" w:hAnsi="Palatino Linotype"/>
          <w:b/>
        </w:rPr>
        <w:t xml:space="preserve"> SUJETO OBLIGADO</w:t>
      </w:r>
      <w:r w:rsidRPr="007D6CE6">
        <w:rPr>
          <w:rFonts w:ascii="Palatino Linotype" w:hAnsi="Palatino Linotype"/>
        </w:rPr>
        <w:t>, se procede a dictar la presente resolución, con base en los siguientes:</w:t>
      </w:r>
    </w:p>
    <w:p w14:paraId="59B8F1D8" w14:textId="77777777" w:rsidR="005E0318" w:rsidRPr="007D6CE6" w:rsidRDefault="005E0318" w:rsidP="007D6CE6">
      <w:pPr>
        <w:spacing w:line="360" w:lineRule="auto"/>
        <w:jc w:val="both"/>
        <w:rPr>
          <w:rFonts w:ascii="Palatino Linotype" w:hAnsi="Palatino Linotype"/>
          <w:b/>
        </w:rPr>
      </w:pPr>
    </w:p>
    <w:p w14:paraId="769E1410" w14:textId="5740327F" w:rsidR="00587366" w:rsidRPr="007D6CE6" w:rsidRDefault="00662C69" w:rsidP="007D6CE6">
      <w:pPr>
        <w:pStyle w:val="Ttulo1"/>
        <w:spacing w:before="0" w:line="360" w:lineRule="auto"/>
        <w:jc w:val="center"/>
        <w:rPr>
          <w:b/>
          <w:szCs w:val="24"/>
        </w:rPr>
      </w:pPr>
      <w:bookmarkStart w:id="1" w:name="_Toc461555884"/>
      <w:bookmarkStart w:id="2" w:name="_Toc466371847"/>
      <w:bookmarkStart w:id="3" w:name="_Toc24040917"/>
      <w:r w:rsidRPr="007D6CE6">
        <w:rPr>
          <w:b/>
          <w:szCs w:val="24"/>
        </w:rPr>
        <w:t>ANTECEDENTES</w:t>
      </w:r>
      <w:bookmarkEnd w:id="1"/>
      <w:bookmarkEnd w:id="2"/>
      <w:bookmarkEnd w:id="3"/>
    </w:p>
    <w:p w14:paraId="73AB233F" w14:textId="77777777" w:rsidR="005E0318" w:rsidRPr="007D6CE6" w:rsidRDefault="005E0318" w:rsidP="007D6CE6">
      <w:pPr>
        <w:spacing w:line="360" w:lineRule="auto"/>
        <w:rPr>
          <w:rFonts w:ascii="Palatino Linotype" w:hAnsi="Palatino Linotype"/>
          <w:lang w:val="es-MX" w:eastAsia="en-US"/>
        </w:rPr>
      </w:pPr>
    </w:p>
    <w:p w14:paraId="402A4C0A" w14:textId="6157BC74" w:rsidR="00D9392E" w:rsidRPr="007D6CE6" w:rsidRDefault="00B438BF" w:rsidP="007D6CE6">
      <w:pPr>
        <w:pStyle w:val="Prrafodelista"/>
        <w:numPr>
          <w:ilvl w:val="0"/>
          <w:numId w:val="1"/>
        </w:numPr>
        <w:spacing w:line="360" w:lineRule="auto"/>
        <w:ind w:left="0" w:firstLine="0"/>
        <w:jc w:val="both"/>
        <w:rPr>
          <w:rFonts w:ascii="Palatino Linotype" w:eastAsia="Calibri" w:hAnsi="Palatino Linotype" w:cs="Arial"/>
          <w:lang w:val="es-ES"/>
        </w:rPr>
      </w:pPr>
      <w:r w:rsidRPr="007D6CE6">
        <w:rPr>
          <w:rFonts w:ascii="Palatino Linotype" w:eastAsia="Calibri" w:hAnsi="Palatino Linotype" w:cs="Arial"/>
          <w:lang w:val="es-ES"/>
        </w:rPr>
        <w:t xml:space="preserve">El día </w:t>
      </w:r>
      <w:r w:rsidR="009B6D4B" w:rsidRPr="007D6CE6">
        <w:rPr>
          <w:rFonts w:ascii="Palatino Linotype" w:eastAsia="Calibri" w:hAnsi="Palatino Linotype" w:cs="Arial"/>
          <w:lang w:val="es-ES"/>
        </w:rPr>
        <w:t>veinte</w:t>
      </w:r>
      <w:r w:rsidR="000678F0" w:rsidRPr="007D6CE6">
        <w:rPr>
          <w:rFonts w:ascii="Palatino Linotype" w:eastAsia="Calibri" w:hAnsi="Palatino Linotype" w:cs="Arial"/>
          <w:lang w:val="es-ES"/>
        </w:rPr>
        <w:t xml:space="preserve"> </w:t>
      </w:r>
      <w:r w:rsidR="00D9392E" w:rsidRPr="007D6CE6">
        <w:rPr>
          <w:rFonts w:ascii="Palatino Linotype" w:eastAsia="Calibri" w:hAnsi="Palatino Linotype" w:cs="Arial"/>
          <w:lang w:val="es-ES"/>
        </w:rPr>
        <w:t>(</w:t>
      </w:r>
      <w:r w:rsidR="000678F0" w:rsidRPr="007D6CE6">
        <w:rPr>
          <w:rFonts w:ascii="Palatino Linotype" w:eastAsia="Calibri" w:hAnsi="Palatino Linotype" w:cs="Arial"/>
          <w:lang w:val="es-ES"/>
        </w:rPr>
        <w:t>2</w:t>
      </w:r>
      <w:r w:rsidR="009B6D4B" w:rsidRPr="007D6CE6">
        <w:rPr>
          <w:rFonts w:ascii="Palatino Linotype" w:eastAsia="Calibri" w:hAnsi="Palatino Linotype" w:cs="Arial"/>
          <w:lang w:val="es-ES"/>
        </w:rPr>
        <w:t>0</w:t>
      </w:r>
      <w:r w:rsidR="00EC31A0" w:rsidRPr="007D6CE6">
        <w:rPr>
          <w:rFonts w:ascii="Palatino Linotype" w:eastAsia="Calibri" w:hAnsi="Palatino Linotype" w:cs="Arial"/>
          <w:lang w:val="es-ES"/>
        </w:rPr>
        <w:t xml:space="preserve">) de </w:t>
      </w:r>
      <w:r w:rsidR="009B6D4B" w:rsidRPr="007D6CE6">
        <w:rPr>
          <w:rFonts w:ascii="Palatino Linotype" w:eastAsia="Calibri" w:hAnsi="Palatino Linotype" w:cs="Arial"/>
          <w:lang w:val="es-ES"/>
        </w:rPr>
        <w:t>agosto</w:t>
      </w:r>
      <w:r w:rsidR="00383583" w:rsidRPr="007D6CE6">
        <w:rPr>
          <w:rFonts w:ascii="Palatino Linotype" w:eastAsia="Calibri" w:hAnsi="Palatino Linotype" w:cs="Arial"/>
          <w:lang w:val="es-ES"/>
        </w:rPr>
        <w:t xml:space="preserve"> de dos mil diecinueve</w:t>
      </w:r>
      <w:r w:rsidR="00D9392E" w:rsidRPr="007D6CE6">
        <w:rPr>
          <w:rFonts w:ascii="Palatino Linotype" w:hAnsi="Palatino Linotype"/>
          <w:bCs/>
        </w:rPr>
        <w:t>,</w:t>
      </w:r>
      <w:r w:rsidR="00D9392E" w:rsidRPr="007D6CE6">
        <w:rPr>
          <w:rFonts w:ascii="Palatino Linotype" w:hAnsi="Palatino Linotype"/>
          <w:b/>
        </w:rPr>
        <w:t xml:space="preserve"> </w:t>
      </w:r>
      <w:r w:rsidR="00D9392E" w:rsidRPr="007D6CE6">
        <w:rPr>
          <w:rFonts w:ascii="Palatino Linotype" w:eastAsia="Calibri" w:hAnsi="Palatino Linotype" w:cs="Arial"/>
          <w:lang w:val="es-ES"/>
        </w:rPr>
        <w:t xml:space="preserve">se presentó </w:t>
      </w:r>
      <w:r w:rsidR="000678F0" w:rsidRPr="007D6CE6">
        <w:rPr>
          <w:rFonts w:ascii="Palatino Linotype" w:eastAsia="Calibri" w:hAnsi="Palatino Linotype" w:cs="Arial"/>
          <w:lang w:val="es-ES"/>
        </w:rPr>
        <w:t xml:space="preserve">a través de </w:t>
      </w:r>
      <w:r w:rsidR="009B6D4B" w:rsidRPr="007D6CE6">
        <w:rPr>
          <w:rFonts w:ascii="Palatino Linotype" w:eastAsia="Calibri" w:hAnsi="Palatino Linotype" w:cs="Arial"/>
          <w:lang w:val="es-ES"/>
        </w:rPr>
        <w:t>d</w:t>
      </w:r>
      <w:r w:rsidR="000678F0" w:rsidRPr="007D6CE6">
        <w:rPr>
          <w:rFonts w:ascii="Palatino Linotype" w:eastAsia="Calibri" w:hAnsi="Palatino Linotype" w:cs="Arial"/>
          <w:lang w:val="es-ES"/>
        </w:rPr>
        <w:t xml:space="preserve">el </w:t>
      </w:r>
      <w:r w:rsidR="00D9392E" w:rsidRPr="007D6CE6">
        <w:rPr>
          <w:rFonts w:ascii="Palatino Linotype" w:eastAsia="Calibri" w:hAnsi="Palatino Linotype" w:cs="Arial"/>
          <w:lang w:val="es-ES"/>
        </w:rPr>
        <w:t xml:space="preserve">Sistema de Acceso a la Información Mexiquense </w:t>
      </w:r>
      <w:r w:rsidR="00D9392E" w:rsidRPr="007D6CE6">
        <w:rPr>
          <w:rFonts w:ascii="Palatino Linotype" w:eastAsia="Calibri" w:hAnsi="Palatino Linotype" w:cs="Arial"/>
          <w:b/>
          <w:lang w:val="es-ES"/>
        </w:rPr>
        <w:t>SAIMEX</w:t>
      </w:r>
      <w:r w:rsidR="00D9392E" w:rsidRPr="007D6CE6">
        <w:rPr>
          <w:rFonts w:ascii="Palatino Linotype" w:eastAsia="Calibri" w:hAnsi="Palatino Linotype" w:cs="Arial"/>
          <w:lang w:val="es-ES"/>
        </w:rPr>
        <w:t>, la solicitud de información p</w:t>
      </w:r>
      <w:r w:rsidR="00B86FAE" w:rsidRPr="007D6CE6">
        <w:rPr>
          <w:rFonts w:ascii="Palatino Linotype" w:eastAsia="Calibri" w:hAnsi="Palatino Linotype" w:cs="Arial"/>
          <w:lang w:val="es-ES"/>
        </w:rPr>
        <w:t>ública registrada con el número</w:t>
      </w:r>
      <w:r w:rsidR="004D71C0" w:rsidRPr="007D6CE6">
        <w:rPr>
          <w:rFonts w:ascii="Palatino Linotype" w:hAnsi="Palatino Linotype"/>
          <w:b/>
          <w:bCs/>
          <w:color w:val="000000" w:themeColor="text1"/>
        </w:rPr>
        <w:t xml:space="preserve"> </w:t>
      </w:r>
      <w:r w:rsidR="006E0835" w:rsidRPr="007D6CE6">
        <w:rPr>
          <w:rFonts w:ascii="Palatino Linotype" w:hAnsi="Palatino Linotype"/>
          <w:b/>
          <w:bCs/>
          <w:color w:val="000000" w:themeColor="text1"/>
        </w:rPr>
        <w:t>00</w:t>
      </w:r>
      <w:r w:rsidR="009B6D4B" w:rsidRPr="007D6CE6">
        <w:rPr>
          <w:rFonts w:ascii="Palatino Linotype" w:hAnsi="Palatino Linotype"/>
          <w:b/>
          <w:bCs/>
          <w:color w:val="000000" w:themeColor="text1"/>
        </w:rPr>
        <w:t>058</w:t>
      </w:r>
      <w:r w:rsidRPr="007D6CE6">
        <w:rPr>
          <w:rFonts w:ascii="Palatino Linotype" w:hAnsi="Palatino Linotype"/>
          <w:b/>
          <w:bCs/>
          <w:color w:val="000000" w:themeColor="text1"/>
        </w:rPr>
        <w:t>/</w:t>
      </w:r>
      <w:r w:rsidR="009B6D4B" w:rsidRPr="007D6CE6">
        <w:rPr>
          <w:rFonts w:ascii="Palatino Linotype" w:hAnsi="Palatino Linotype"/>
          <w:b/>
          <w:bCs/>
          <w:color w:val="000000" w:themeColor="text1"/>
        </w:rPr>
        <w:t>SESEA</w:t>
      </w:r>
      <w:r w:rsidRPr="007D6CE6">
        <w:rPr>
          <w:rFonts w:ascii="Palatino Linotype" w:hAnsi="Palatino Linotype"/>
          <w:b/>
          <w:bCs/>
          <w:color w:val="000000" w:themeColor="text1"/>
        </w:rPr>
        <w:t>/</w:t>
      </w:r>
      <w:r w:rsidR="00903870" w:rsidRPr="007D6CE6">
        <w:rPr>
          <w:rFonts w:ascii="Palatino Linotype" w:hAnsi="Palatino Linotype"/>
          <w:b/>
          <w:bCs/>
          <w:color w:val="000000" w:themeColor="text1"/>
        </w:rPr>
        <w:t>IP/201</w:t>
      </w:r>
      <w:r w:rsidR="00383583" w:rsidRPr="007D6CE6">
        <w:rPr>
          <w:rFonts w:ascii="Palatino Linotype" w:hAnsi="Palatino Linotype"/>
          <w:b/>
          <w:bCs/>
          <w:color w:val="000000" w:themeColor="text1"/>
        </w:rPr>
        <w:t>9</w:t>
      </w:r>
      <w:r w:rsidR="00E17F3A" w:rsidRPr="007D6CE6">
        <w:rPr>
          <w:rFonts w:ascii="Palatino Linotype" w:hAnsi="Palatino Linotype"/>
          <w:b/>
          <w:bCs/>
          <w:color w:val="000000" w:themeColor="text1"/>
        </w:rPr>
        <w:t>,</w:t>
      </w:r>
      <w:r w:rsidR="00D9392E" w:rsidRPr="007D6CE6">
        <w:rPr>
          <w:rFonts w:ascii="Palatino Linotype" w:eastAsia="Calibri" w:hAnsi="Palatino Linotype" w:cs="Arial"/>
          <w:lang w:val="es-ES"/>
        </w:rPr>
        <w:t xml:space="preserve"> mediante la cual </w:t>
      </w:r>
      <w:r w:rsidR="00A133FA" w:rsidRPr="007D6CE6">
        <w:rPr>
          <w:rFonts w:ascii="Palatino Linotype" w:eastAsia="Calibri" w:hAnsi="Palatino Linotype" w:cs="Arial"/>
          <w:lang w:val="es-ES"/>
        </w:rPr>
        <w:t xml:space="preserve">se </w:t>
      </w:r>
      <w:r w:rsidR="00D9392E" w:rsidRPr="007D6CE6">
        <w:rPr>
          <w:rFonts w:ascii="Palatino Linotype" w:eastAsia="Calibri" w:hAnsi="Palatino Linotype" w:cs="Arial"/>
          <w:lang w:val="es-ES"/>
        </w:rPr>
        <w:t>solicitó:</w:t>
      </w:r>
    </w:p>
    <w:p w14:paraId="780D2256" w14:textId="77777777" w:rsidR="00D9392E" w:rsidRPr="007D6CE6" w:rsidRDefault="00D9392E" w:rsidP="007D6CE6">
      <w:pPr>
        <w:pStyle w:val="Prrafodelista"/>
        <w:spacing w:line="360" w:lineRule="auto"/>
        <w:ind w:left="360"/>
        <w:jc w:val="both"/>
        <w:rPr>
          <w:rFonts w:ascii="Palatino Linotype" w:hAnsi="Palatino Linotype"/>
          <w:i/>
          <w:color w:val="000000"/>
        </w:rPr>
      </w:pPr>
    </w:p>
    <w:p w14:paraId="49E3FBB0" w14:textId="16D7DA0A" w:rsidR="009C0E5E" w:rsidRPr="007D6CE6" w:rsidRDefault="009C0E5E" w:rsidP="007D6CE6">
      <w:pPr>
        <w:spacing w:line="360" w:lineRule="auto"/>
        <w:ind w:left="567" w:right="616"/>
        <w:contextualSpacing/>
        <w:jc w:val="both"/>
        <w:rPr>
          <w:rFonts w:ascii="Palatino Linotype" w:eastAsia="Calibri" w:hAnsi="Palatino Linotype" w:cs="Arial"/>
          <w:i/>
          <w:lang w:val="es-ES"/>
        </w:rPr>
      </w:pPr>
      <w:r w:rsidRPr="007D6CE6">
        <w:rPr>
          <w:rFonts w:ascii="Palatino Linotype" w:eastAsia="Calibri" w:hAnsi="Palatino Linotype" w:cs="Arial"/>
          <w:i/>
        </w:rPr>
        <w:t>“</w:t>
      </w:r>
      <w:proofErr w:type="spellStart"/>
      <w:r w:rsidR="009B6D4B" w:rsidRPr="007D6CE6">
        <w:rPr>
          <w:rFonts w:ascii="Palatino Linotype" w:eastAsia="Calibri" w:hAnsi="Palatino Linotype" w:cs="Arial"/>
          <w:i/>
        </w:rPr>
        <w:t>catalogo</w:t>
      </w:r>
      <w:proofErr w:type="spellEnd"/>
      <w:r w:rsidR="009B6D4B" w:rsidRPr="007D6CE6">
        <w:rPr>
          <w:rFonts w:ascii="Palatino Linotype" w:eastAsia="Calibri" w:hAnsi="Palatino Linotype" w:cs="Arial"/>
          <w:i/>
        </w:rPr>
        <w:t xml:space="preserve"> de disposición documental y guía de archivos</w:t>
      </w:r>
      <w:r w:rsidR="00383583" w:rsidRPr="007D6CE6">
        <w:rPr>
          <w:rFonts w:ascii="Palatino Linotype" w:eastAsia="Calibri" w:hAnsi="Palatino Linotype" w:cs="Arial"/>
          <w:i/>
        </w:rPr>
        <w:t xml:space="preserve">”. </w:t>
      </w:r>
      <w:r w:rsidRPr="007D6CE6">
        <w:rPr>
          <w:rFonts w:ascii="Palatino Linotype" w:eastAsia="Calibri" w:hAnsi="Palatino Linotype" w:cs="Arial"/>
          <w:i/>
        </w:rPr>
        <w:t>(</w:t>
      </w:r>
      <w:proofErr w:type="gramStart"/>
      <w:r w:rsidRPr="007D6CE6">
        <w:rPr>
          <w:rFonts w:ascii="Palatino Linotype" w:eastAsia="Calibri" w:hAnsi="Palatino Linotype" w:cs="Arial"/>
          <w:i/>
        </w:rPr>
        <w:t>sic</w:t>
      </w:r>
      <w:proofErr w:type="gramEnd"/>
      <w:r w:rsidRPr="007D6CE6">
        <w:rPr>
          <w:rFonts w:ascii="Palatino Linotype" w:eastAsia="Calibri" w:hAnsi="Palatino Linotype" w:cs="Arial"/>
          <w:i/>
        </w:rPr>
        <w:t>)</w:t>
      </w:r>
    </w:p>
    <w:p w14:paraId="4F3FDF4B" w14:textId="77777777" w:rsidR="001A023E" w:rsidRPr="007D6CE6" w:rsidRDefault="001A023E" w:rsidP="007D6CE6">
      <w:pPr>
        <w:pStyle w:val="Prrafodelista"/>
        <w:spacing w:line="360" w:lineRule="auto"/>
        <w:ind w:left="0"/>
        <w:jc w:val="both"/>
        <w:rPr>
          <w:rFonts w:ascii="Palatino Linotype" w:hAnsi="Palatino Linotype"/>
        </w:rPr>
      </w:pPr>
    </w:p>
    <w:p w14:paraId="4878FBB0" w14:textId="77BD6BDE" w:rsidR="005D11DD" w:rsidRPr="007D6CE6" w:rsidRDefault="005D11DD"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Se hace constar que se señaló como modalidad de entrega de la información: a través del Sistema de Acceso a la Información Mexiquense </w:t>
      </w:r>
      <w:r w:rsidRPr="007D6CE6">
        <w:rPr>
          <w:rFonts w:ascii="Palatino Linotype" w:hAnsi="Palatino Linotype"/>
          <w:b/>
        </w:rPr>
        <w:t>(SAIMEX)</w:t>
      </w:r>
      <w:r w:rsidRPr="007D6CE6">
        <w:rPr>
          <w:rFonts w:ascii="Palatino Linotype" w:hAnsi="Palatino Linotype"/>
        </w:rPr>
        <w:t>.</w:t>
      </w:r>
    </w:p>
    <w:p w14:paraId="07007439" w14:textId="77777777" w:rsidR="005D11DD" w:rsidRPr="007D6CE6" w:rsidRDefault="005D11DD" w:rsidP="007D6CE6">
      <w:pPr>
        <w:pStyle w:val="Prrafodelista"/>
        <w:spacing w:line="360" w:lineRule="auto"/>
        <w:ind w:left="284"/>
        <w:jc w:val="both"/>
        <w:rPr>
          <w:rFonts w:ascii="Palatino Linotype" w:hAnsi="Palatino Linotype"/>
        </w:rPr>
      </w:pPr>
    </w:p>
    <w:p w14:paraId="21B0DED1" w14:textId="0B68F6B5" w:rsidR="009C0E5E" w:rsidRPr="007D6CE6" w:rsidRDefault="00B438BF"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eastAsia="Times New Roman" w:hAnsi="Palatino Linotype" w:cs="Arial"/>
          <w:lang w:val="es-ES"/>
        </w:rPr>
        <w:t xml:space="preserve">El día </w:t>
      </w:r>
      <w:r w:rsidR="009B6D4B" w:rsidRPr="007D6CE6">
        <w:rPr>
          <w:rFonts w:ascii="Palatino Linotype" w:eastAsia="Times New Roman" w:hAnsi="Palatino Linotype" w:cs="Arial"/>
          <w:lang w:val="es-ES"/>
        </w:rPr>
        <w:t>diez</w:t>
      </w:r>
      <w:r w:rsidR="000678F0" w:rsidRPr="007D6CE6">
        <w:rPr>
          <w:rFonts w:ascii="Palatino Linotype" w:eastAsia="Times New Roman" w:hAnsi="Palatino Linotype" w:cs="Arial"/>
          <w:lang w:val="es-ES"/>
        </w:rPr>
        <w:t xml:space="preserve"> </w:t>
      </w:r>
      <w:r w:rsidR="00585F00" w:rsidRPr="007D6CE6">
        <w:rPr>
          <w:rFonts w:ascii="Palatino Linotype" w:eastAsia="Times New Roman" w:hAnsi="Palatino Linotype" w:cs="Arial"/>
          <w:lang w:val="es-ES"/>
        </w:rPr>
        <w:t>(</w:t>
      </w:r>
      <w:r w:rsidR="009B6D4B" w:rsidRPr="007D6CE6">
        <w:rPr>
          <w:rFonts w:ascii="Palatino Linotype" w:eastAsia="Times New Roman" w:hAnsi="Palatino Linotype" w:cs="Arial"/>
          <w:lang w:val="es-ES"/>
        </w:rPr>
        <w:t>10</w:t>
      </w:r>
      <w:r w:rsidR="000678F0" w:rsidRPr="007D6CE6">
        <w:rPr>
          <w:rFonts w:ascii="Palatino Linotype" w:eastAsia="Times New Roman" w:hAnsi="Palatino Linotype" w:cs="Arial"/>
          <w:lang w:val="es-ES"/>
        </w:rPr>
        <w:t>)</w:t>
      </w:r>
      <w:r w:rsidR="00EC31A0" w:rsidRPr="007D6CE6">
        <w:rPr>
          <w:rFonts w:ascii="Palatino Linotype" w:eastAsia="Times New Roman" w:hAnsi="Palatino Linotype" w:cs="Arial"/>
          <w:lang w:val="es-ES"/>
        </w:rPr>
        <w:t xml:space="preserve"> de</w:t>
      </w:r>
      <w:r w:rsidR="00BE4DD9" w:rsidRPr="007D6CE6">
        <w:rPr>
          <w:rFonts w:ascii="Palatino Linotype" w:eastAsia="Times New Roman" w:hAnsi="Palatino Linotype" w:cs="Arial"/>
          <w:lang w:val="es-ES"/>
        </w:rPr>
        <w:t xml:space="preserve"> septiembre</w:t>
      </w:r>
      <w:r w:rsidR="00EC31A0" w:rsidRPr="007D6CE6">
        <w:rPr>
          <w:rFonts w:ascii="Palatino Linotype" w:eastAsia="Times New Roman" w:hAnsi="Palatino Linotype" w:cs="Arial"/>
          <w:lang w:val="es-ES"/>
        </w:rPr>
        <w:t xml:space="preserve"> </w:t>
      </w:r>
      <w:r w:rsidR="00585F00" w:rsidRPr="007D6CE6">
        <w:rPr>
          <w:rFonts w:ascii="Palatino Linotype" w:eastAsia="Times New Roman" w:hAnsi="Palatino Linotype" w:cs="Arial"/>
          <w:lang w:val="es-ES"/>
        </w:rPr>
        <w:t>de dos mil dieci</w:t>
      </w:r>
      <w:r w:rsidR="000014C2" w:rsidRPr="007D6CE6">
        <w:rPr>
          <w:rFonts w:ascii="Palatino Linotype" w:eastAsia="Times New Roman" w:hAnsi="Palatino Linotype" w:cs="Arial"/>
          <w:lang w:val="es-ES"/>
        </w:rPr>
        <w:t>nueve</w:t>
      </w:r>
      <w:r w:rsidR="00585F00" w:rsidRPr="007D6CE6">
        <w:rPr>
          <w:rFonts w:ascii="Palatino Linotype" w:eastAsia="Times New Roman" w:hAnsi="Palatino Linotype" w:cs="Arial"/>
          <w:lang w:val="es-ES"/>
        </w:rPr>
        <w:t xml:space="preserve">, el </w:t>
      </w:r>
      <w:r w:rsidR="00D96BE8" w:rsidRPr="007D6CE6">
        <w:rPr>
          <w:rFonts w:ascii="Palatino Linotype" w:eastAsia="Times New Roman" w:hAnsi="Palatino Linotype" w:cs="Arial"/>
          <w:b/>
          <w:lang w:val="es-ES"/>
        </w:rPr>
        <w:t>Sujeto Obligado</w:t>
      </w:r>
      <w:r w:rsidR="00D96BE8" w:rsidRPr="007D6CE6">
        <w:rPr>
          <w:rFonts w:ascii="Palatino Linotype" w:eastAsia="Times New Roman" w:hAnsi="Palatino Linotype" w:cs="Arial"/>
          <w:lang w:val="es-ES"/>
        </w:rPr>
        <w:t xml:space="preserve"> </w:t>
      </w:r>
      <w:r w:rsidR="000014C2" w:rsidRPr="007D6CE6">
        <w:rPr>
          <w:rFonts w:ascii="Palatino Linotype" w:eastAsia="Times New Roman" w:hAnsi="Palatino Linotype" w:cs="Arial"/>
          <w:lang w:val="es-ES"/>
        </w:rPr>
        <w:t xml:space="preserve">dio respuesta a la solicitud de información en la cual señaló lo siguiente: </w:t>
      </w:r>
    </w:p>
    <w:p w14:paraId="2464B1E4" w14:textId="77777777" w:rsidR="009B6D4B" w:rsidRPr="007D6CE6" w:rsidRDefault="009B6D4B" w:rsidP="007D6CE6">
      <w:pPr>
        <w:pStyle w:val="Prrafodelista"/>
        <w:spacing w:line="360" w:lineRule="auto"/>
        <w:ind w:left="0"/>
        <w:jc w:val="both"/>
        <w:rPr>
          <w:rFonts w:ascii="Palatino Linotype" w:hAnsi="Palatino Linotype"/>
        </w:rPr>
      </w:pPr>
    </w:p>
    <w:tbl>
      <w:tblPr>
        <w:tblW w:w="9087" w:type="dxa"/>
        <w:jc w:val="center"/>
        <w:tblCellSpacing w:w="0" w:type="dxa"/>
        <w:tblCellMar>
          <w:left w:w="0" w:type="dxa"/>
          <w:right w:w="0" w:type="dxa"/>
        </w:tblCellMar>
        <w:tblLook w:val="04A0" w:firstRow="1" w:lastRow="0" w:firstColumn="1" w:lastColumn="0" w:noHBand="0" w:noVBand="1"/>
      </w:tblPr>
      <w:tblGrid>
        <w:gridCol w:w="9087"/>
      </w:tblGrid>
      <w:tr w:rsidR="009B6D4B" w:rsidRPr="007D6CE6" w14:paraId="47D1FA0D" w14:textId="77777777" w:rsidTr="009B6D4B">
        <w:trPr>
          <w:trHeight w:val="450"/>
          <w:tblCellSpacing w:w="0" w:type="dxa"/>
          <w:jc w:val="center"/>
        </w:trPr>
        <w:tc>
          <w:tcPr>
            <w:tcW w:w="9087" w:type="dxa"/>
            <w:vAlign w:val="center"/>
            <w:hideMark/>
          </w:tcPr>
          <w:p w14:paraId="5DCACAC6" w14:textId="77777777" w:rsidR="009B6D4B" w:rsidRPr="007D6CE6" w:rsidRDefault="009B6D4B" w:rsidP="007D6CE6">
            <w:pPr>
              <w:spacing w:line="360" w:lineRule="auto"/>
              <w:jc w:val="both"/>
              <w:rPr>
                <w:rFonts w:ascii="Palatino Linotype" w:eastAsia="Times New Roman" w:hAnsi="Palatino Linotype" w:cs="Times New Roman"/>
                <w:lang w:val="es-MX" w:eastAsia="es-MX"/>
              </w:rPr>
            </w:pPr>
          </w:p>
        </w:tc>
      </w:tr>
      <w:tr w:rsidR="009B6D4B" w:rsidRPr="007D6CE6" w14:paraId="11D7E4E0" w14:textId="77777777" w:rsidTr="009B6D4B">
        <w:trPr>
          <w:trHeight w:val="150"/>
          <w:tblCellSpacing w:w="0" w:type="dxa"/>
          <w:jc w:val="center"/>
        </w:trPr>
        <w:tc>
          <w:tcPr>
            <w:tcW w:w="9087" w:type="dxa"/>
            <w:vAlign w:val="center"/>
            <w:hideMark/>
          </w:tcPr>
          <w:p w14:paraId="5D72A2AE" w14:textId="77777777" w:rsidR="009B6D4B" w:rsidRPr="007D6CE6" w:rsidRDefault="009B6D4B" w:rsidP="007D6CE6">
            <w:pPr>
              <w:spacing w:line="360" w:lineRule="auto"/>
              <w:ind w:left="567" w:right="582"/>
              <w:jc w:val="both"/>
              <w:rPr>
                <w:rFonts w:ascii="Palatino Linotype" w:eastAsia="Times New Roman" w:hAnsi="Palatino Linotype" w:cs="Times New Roman"/>
                <w:i/>
                <w:lang w:val="es-MX" w:eastAsia="es-MX"/>
              </w:rPr>
            </w:pPr>
            <w:r w:rsidRPr="007D6CE6">
              <w:rPr>
                <w:rFonts w:ascii="Palatino Linotype" w:eastAsia="Times New Roman" w:hAnsi="Palatino Linotype" w:cs="Times New Roman"/>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B6D4B" w:rsidRPr="007D6CE6" w14:paraId="5B600F90" w14:textId="77777777" w:rsidTr="009B6D4B">
        <w:trPr>
          <w:trHeight w:val="375"/>
          <w:tblCellSpacing w:w="0" w:type="dxa"/>
          <w:jc w:val="center"/>
        </w:trPr>
        <w:tc>
          <w:tcPr>
            <w:tcW w:w="9087" w:type="dxa"/>
            <w:vAlign w:val="center"/>
            <w:hideMark/>
          </w:tcPr>
          <w:p w14:paraId="22741BED" w14:textId="77777777" w:rsidR="009B6D4B" w:rsidRPr="007D6CE6" w:rsidRDefault="009B6D4B" w:rsidP="007D6CE6">
            <w:pPr>
              <w:spacing w:line="360" w:lineRule="auto"/>
              <w:ind w:left="567" w:right="582"/>
              <w:rPr>
                <w:rFonts w:ascii="Palatino Linotype" w:eastAsia="Times New Roman" w:hAnsi="Palatino Linotype" w:cs="Times New Roman"/>
                <w:i/>
                <w:lang w:val="es-MX" w:eastAsia="es-MX"/>
              </w:rPr>
            </w:pPr>
          </w:p>
        </w:tc>
      </w:tr>
      <w:tr w:rsidR="009B6D4B" w:rsidRPr="007D6CE6" w14:paraId="70C2E02B" w14:textId="77777777" w:rsidTr="009B6D4B">
        <w:trPr>
          <w:trHeight w:val="150"/>
          <w:tblCellSpacing w:w="0" w:type="dxa"/>
          <w:jc w:val="center"/>
        </w:trPr>
        <w:tc>
          <w:tcPr>
            <w:tcW w:w="9087" w:type="dxa"/>
            <w:vAlign w:val="center"/>
            <w:hideMark/>
          </w:tcPr>
          <w:p w14:paraId="0F41F78F" w14:textId="77777777" w:rsidR="009B6D4B" w:rsidRPr="007D6CE6" w:rsidRDefault="009B6D4B" w:rsidP="007D6CE6">
            <w:pPr>
              <w:spacing w:line="360" w:lineRule="auto"/>
              <w:ind w:left="567" w:right="582"/>
              <w:jc w:val="both"/>
              <w:rPr>
                <w:rFonts w:ascii="Palatino Linotype" w:eastAsia="Times New Roman" w:hAnsi="Palatino Linotype" w:cs="Times New Roman"/>
                <w:i/>
                <w:lang w:val="es-MX" w:eastAsia="es-MX"/>
              </w:rPr>
            </w:pPr>
            <w:r w:rsidRPr="007D6CE6">
              <w:rPr>
                <w:rFonts w:ascii="Palatino Linotype" w:eastAsia="Times New Roman" w:hAnsi="Palatino Linotype" w:cs="Times New Roman"/>
                <w:i/>
                <w:lang w:val="es-MX" w:eastAsia="es-MX"/>
              </w:rPr>
              <w:t xml:space="preserve">Toluca, Estado de México; a 10 de septiembre de 2019 Ciudadano (a) solicitante de información pública con folio 00058/SESEA/IP/2019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00058/SESEA/IP/2019. Atentamente M. en H.P. Jesús </w:t>
            </w:r>
            <w:proofErr w:type="spellStart"/>
            <w:r w:rsidRPr="007D6CE6">
              <w:rPr>
                <w:rFonts w:ascii="Palatino Linotype" w:eastAsia="Times New Roman" w:hAnsi="Palatino Linotype" w:cs="Times New Roman"/>
                <w:i/>
                <w:lang w:val="es-MX" w:eastAsia="es-MX"/>
              </w:rPr>
              <w:t>Diaz</w:t>
            </w:r>
            <w:proofErr w:type="spellEnd"/>
            <w:r w:rsidRPr="007D6CE6">
              <w:rPr>
                <w:rFonts w:ascii="Palatino Linotype" w:eastAsia="Times New Roman" w:hAnsi="Palatino Linotype" w:cs="Times New Roman"/>
                <w:i/>
                <w:lang w:val="es-MX" w:eastAsia="es-MX"/>
              </w:rPr>
              <w:t xml:space="preserve"> </w:t>
            </w:r>
            <w:proofErr w:type="spellStart"/>
            <w:r w:rsidRPr="007D6CE6">
              <w:rPr>
                <w:rFonts w:ascii="Palatino Linotype" w:eastAsia="Times New Roman" w:hAnsi="Palatino Linotype" w:cs="Times New Roman"/>
                <w:i/>
                <w:lang w:val="es-MX" w:eastAsia="es-MX"/>
              </w:rPr>
              <w:t>Monteyano</w:t>
            </w:r>
            <w:proofErr w:type="spellEnd"/>
            <w:r w:rsidRPr="007D6CE6">
              <w:rPr>
                <w:rFonts w:ascii="Palatino Linotype" w:eastAsia="Times New Roman" w:hAnsi="Palatino Linotype" w:cs="Times New Roman"/>
                <w:i/>
                <w:lang w:val="es-MX" w:eastAsia="es-MX"/>
              </w:rPr>
              <w:t xml:space="preserve"> Jefe de la Unidad de Planeación y Transparencia de la Secretaría Ejecutiva del Sistema Estatal Anticorrupción</w:t>
            </w:r>
          </w:p>
        </w:tc>
      </w:tr>
    </w:tbl>
    <w:p w14:paraId="32048A6B" w14:textId="22E1E0D9" w:rsidR="000014C2" w:rsidRPr="007D6CE6" w:rsidRDefault="000014C2" w:rsidP="007D6CE6">
      <w:pPr>
        <w:pStyle w:val="Prrafodelista"/>
        <w:spacing w:line="360" w:lineRule="auto"/>
        <w:ind w:left="0"/>
        <w:jc w:val="both"/>
        <w:rPr>
          <w:rFonts w:ascii="Palatino Linotype" w:hAnsi="Palatino Linotype"/>
          <w:bCs/>
          <w:iCs/>
        </w:rPr>
      </w:pPr>
    </w:p>
    <w:p w14:paraId="60C13A5B" w14:textId="6233B7DD" w:rsidR="00E82B5D" w:rsidRPr="007D6CE6" w:rsidRDefault="00E82B5D" w:rsidP="007D6CE6">
      <w:pPr>
        <w:pStyle w:val="Prrafodelista"/>
        <w:numPr>
          <w:ilvl w:val="0"/>
          <w:numId w:val="1"/>
        </w:numPr>
        <w:spacing w:line="360" w:lineRule="auto"/>
        <w:ind w:left="0" w:firstLine="0"/>
        <w:jc w:val="both"/>
        <w:rPr>
          <w:rFonts w:ascii="Palatino Linotype" w:hAnsi="Palatino Linotype"/>
          <w:bCs/>
          <w:iCs/>
        </w:rPr>
      </w:pPr>
      <w:r w:rsidRPr="007D6CE6">
        <w:rPr>
          <w:rFonts w:ascii="Palatino Linotype" w:hAnsi="Palatino Linotype"/>
          <w:bCs/>
          <w:iCs/>
        </w:rPr>
        <w:t xml:space="preserve">Anexando para tal efecto cinco (05) archivos siendo los siguientes; </w:t>
      </w:r>
    </w:p>
    <w:p w14:paraId="752189AD" w14:textId="77777777" w:rsidR="00E82B5D" w:rsidRPr="007D6CE6" w:rsidRDefault="00E82B5D" w:rsidP="007D6CE6">
      <w:pPr>
        <w:pStyle w:val="Prrafodelista"/>
        <w:spacing w:line="360" w:lineRule="auto"/>
        <w:ind w:left="0"/>
        <w:jc w:val="both"/>
        <w:rPr>
          <w:rFonts w:ascii="Palatino Linotype" w:hAnsi="Palatino Linotype"/>
          <w:bCs/>
          <w:iCs/>
        </w:rPr>
      </w:pPr>
    </w:p>
    <w:p w14:paraId="08D1C855" w14:textId="3D3A1FCF" w:rsidR="00E82B5D" w:rsidRPr="007D6CE6" w:rsidRDefault="00E82B5D" w:rsidP="007D6CE6">
      <w:pPr>
        <w:pStyle w:val="Prrafodelista"/>
        <w:spacing w:line="360" w:lineRule="auto"/>
        <w:ind w:left="567" w:right="616"/>
        <w:jc w:val="both"/>
        <w:rPr>
          <w:rFonts w:ascii="Palatino Linotype" w:hAnsi="Palatino Linotype"/>
          <w:bCs/>
          <w:iCs/>
        </w:rPr>
      </w:pPr>
      <w:bookmarkStart w:id="4" w:name="_Hlk23866650"/>
      <w:proofErr w:type="gramStart"/>
      <w:r w:rsidRPr="007D6CE6">
        <w:rPr>
          <w:rFonts w:ascii="Palatino Linotype" w:hAnsi="Palatino Linotype"/>
          <w:b/>
          <w:iCs/>
        </w:rPr>
        <w:t>1.OF400</w:t>
      </w:r>
      <w:proofErr w:type="gramEnd"/>
      <w:r w:rsidRPr="007D6CE6">
        <w:rPr>
          <w:rFonts w:ascii="Palatino Linotype" w:hAnsi="Palatino Linotype"/>
          <w:b/>
          <w:iCs/>
        </w:rPr>
        <w:t>_respuesta solicitud 00058.pdf.</w:t>
      </w:r>
      <w:r w:rsidRPr="007D6CE6">
        <w:rPr>
          <w:rFonts w:ascii="Palatino Linotype" w:hAnsi="Palatino Linotype"/>
          <w:bCs/>
          <w:iCs/>
        </w:rPr>
        <w:t xml:space="preserve"> Archivo </w:t>
      </w:r>
      <w:r w:rsidR="00017513" w:rsidRPr="007D6CE6">
        <w:rPr>
          <w:rFonts w:ascii="Palatino Linotype" w:hAnsi="Palatino Linotype"/>
          <w:bCs/>
          <w:iCs/>
        </w:rPr>
        <w:t>en formato PDF cuyo contenido versa en un oficio de número 400N13000/400/2019, de fecha nueve (09) de septiembre de dos mil diecinueve</w:t>
      </w:r>
      <w:r w:rsidR="003F0B55" w:rsidRPr="007D6CE6">
        <w:rPr>
          <w:rFonts w:ascii="Palatino Linotype" w:hAnsi="Palatino Linotype"/>
          <w:bCs/>
          <w:iCs/>
        </w:rPr>
        <w:t xml:space="preserve">, mediante el cual se señala que la información consultada puede ser consultada en la siguiente liga electrónica </w:t>
      </w:r>
      <w:hyperlink r:id="rId8" w:history="1">
        <w:r w:rsidR="003F0B55" w:rsidRPr="007D6CE6">
          <w:rPr>
            <w:rStyle w:val="Hipervnculo"/>
            <w:rFonts w:ascii="Palatino Linotype" w:hAnsi="Palatino Linotype"/>
            <w:bCs/>
            <w:iCs/>
          </w:rPr>
          <w:t>https://www.ipomex.org.mx/ipo3/lgt/indice/SESEA/art_92_xlix.web</w:t>
        </w:r>
      </w:hyperlink>
      <w:r w:rsidR="003F0B55" w:rsidRPr="007D6CE6">
        <w:rPr>
          <w:rFonts w:ascii="Palatino Linotype" w:hAnsi="Palatino Linotype"/>
          <w:bCs/>
          <w:iCs/>
        </w:rPr>
        <w:t>, asimismo refiere que la Secretaría Ejecutiva del Sistema Estatal Anticorrupción es un organismo descentralizado, no centralizado co</w:t>
      </w:r>
      <w:r w:rsidR="0011458B" w:rsidRPr="007D6CE6">
        <w:rPr>
          <w:rFonts w:ascii="Palatino Linotype" w:hAnsi="Palatino Linotype"/>
          <w:bCs/>
          <w:iCs/>
        </w:rPr>
        <w:t xml:space="preserve">n sede en Toluca, la cual </w:t>
      </w:r>
      <w:r w:rsidR="0011458B" w:rsidRPr="007D6CE6">
        <w:rPr>
          <w:rFonts w:ascii="Palatino Linotype" w:hAnsi="Palatino Linotype"/>
          <w:bCs/>
          <w:iCs/>
        </w:rPr>
        <w:lastRenderedPageBreak/>
        <w:t xml:space="preserve">puede ser descargada en el siguiente vinculo </w:t>
      </w:r>
      <w:hyperlink r:id="rId9" w:history="1">
        <w:r w:rsidR="0011458B" w:rsidRPr="007D6CE6">
          <w:rPr>
            <w:rStyle w:val="Hipervnculo"/>
            <w:rFonts w:ascii="Palatino Linotype" w:hAnsi="Palatino Linotype"/>
            <w:bCs/>
            <w:iCs/>
          </w:rPr>
          <w:t>http://legislacion.edomex.gob.mx/sites/legislacion.edomex.gob.mx/files/files/pdf/ley/vig/leyvig240.pdf</w:t>
        </w:r>
      </w:hyperlink>
      <w:r w:rsidR="0011458B" w:rsidRPr="007D6CE6">
        <w:rPr>
          <w:rFonts w:ascii="Palatino Linotype" w:hAnsi="Palatino Linotype"/>
          <w:bCs/>
          <w:iCs/>
        </w:rPr>
        <w:t xml:space="preserve">, en el mismo tenor de ideas, el </w:t>
      </w:r>
      <w:r w:rsidR="0011458B" w:rsidRPr="007D6CE6">
        <w:rPr>
          <w:rFonts w:ascii="Palatino Linotype" w:hAnsi="Palatino Linotype"/>
          <w:b/>
          <w:iCs/>
        </w:rPr>
        <w:t xml:space="preserve">Sujeto Obligado </w:t>
      </w:r>
      <w:r w:rsidR="0011458B" w:rsidRPr="007D6CE6">
        <w:rPr>
          <w:rFonts w:ascii="Palatino Linotype" w:hAnsi="Palatino Linotype"/>
          <w:bCs/>
          <w:iCs/>
        </w:rPr>
        <w:t>señaló las ligas electrónicas del IPOMEX y la PNT</w:t>
      </w:r>
      <w:r w:rsidR="0098722E" w:rsidRPr="007D6CE6">
        <w:rPr>
          <w:rFonts w:ascii="Palatino Linotype" w:hAnsi="Palatino Linotype"/>
          <w:bCs/>
          <w:iCs/>
        </w:rPr>
        <w:t xml:space="preserve"> [https://www.ipomex.org.mx/portal.htm y </w:t>
      </w:r>
      <w:hyperlink r:id="rId10" w:history="1">
        <w:r w:rsidR="0098722E" w:rsidRPr="007D6CE6">
          <w:rPr>
            <w:rStyle w:val="Hipervnculo"/>
            <w:rFonts w:ascii="Palatino Linotype" w:hAnsi="Palatino Linotype"/>
            <w:bCs/>
            <w:iCs/>
          </w:rPr>
          <w:t>https://www.plataformadetransparencia.org.mx/web/guest/inicio</w:t>
        </w:r>
      </w:hyperlink>
      <w:r w:rsidR="0098722E" w:rsidRPr="007D6CE6">
        <w:rPr>
          <w:rFonts w:ascii="Palatino Linotype" w:hAnsi="Palatino Linotype"/>
          <w:bCs/>
          <w:iCs/>
        </w:rPr>
        <w:t xml:space="preserve">]; también indicó que para identificar los trámites y servicios proporcionados por esa autoridad, se puede acceder a través de las siguientes ligas electrónicas </w:t>
      </w:r>
      <w:r w:rsidR="009B1C7F" w:rsidRPr="007D6CE6">
        <w:rPr>
          <w:rFonts w:ascii="Palatino Linotype" w:hAnsi="Palatino Linotype"/>
          <w:bCs/>
          <w:iCs/>
        </w:rPr>
        <w:t xml:space="preserve">https://www.ipomex.org.mx/ipo3/lgt/indice/sesea/art_92_xxiii.web y </w:t>
      </w:r>
      <w:hyperlink r:id="rId11" w:history="1">
        <w:r w:rsidR="009B1C7F" w:rsidRPr="007D6CE6">
          <w:rPr>
            <w:rStyle w:val="Hipervnculo"/>
            <w:rFonts w:ascii="Palatino Linotype" w:hAnsi="Palatino Linotype"/>
            <w:bCs/>
            <w:iCs/>
          </w:rPr>
          <w:t>https://www.ipomex.org.mx/ipo3/lgt/indice/sesea/art_92_xxiv.web</w:t>
        </w:r>
      </w:hyperlink>
      <w:r w:rsidR="009B1C7F" w:rsidRPr="007D6CE6">
        <w:rPr>
          <w:rFonts w:ascii="Palatino Linotype" w:hAnsi="Palatino Linotype"/>
          <w:bCs/>
          <w:iCs/>
        </w:rPr>
        <w:t xml:space="preserve">, de igual forma le recomienda al particular visitar </w:t>
      </w:r>
      <w:hyperlink r:id="rId12" w:history="1">
        <w:r w:rsidR="009B1C7F" w:rsidRPr="007D6CE6">
          <w:rPr>
            <w:rStyle w:val="Hipervnculo"/>
            <w:rFonts w:ascii="Palatino Linotype" w:hAnsi="Palatino Linotype"/>
            <w:bCs/>
            <w:iCs/>
          </w:rPr>
          <w:t>www.sesaemm.gob.mx</w:t>
        </w:r>
      </w:hyperlink>
      <w:r w:rsidR="009B1C7F" w:rsidRPr="007D6CE6">
        <w:rPr>
          <w:rFonts w:ascii="Palatino Linotype" w:hAnsi="Palatino Linotype"/>
          <w:bCs/>
          <w:iCs/>
        </w:rPr>
        <w:t xml:space="preserve"> para conocer más información de sus actividades; la autoridad le proporcionó su información de contacto [https://www.ipomex.org.mx/ipo3/lgt/indice/SESEA/art_92_xvi.web] y  le señaló los supuestos de procedencia y procedimiento aplicable al medio de impugnación </w:t>
      </w:r>
      <w:hyperlink r:id="rId13" w:history="1">
        <w:r w:rsidR="009B1C7F" w:rsidRPr="007D6CE6">
          <w:rPr>
            <w:rStyle w:val="Hipervnculo"/>
            <w:rFonts w:ascii="Palatino Linotype" w:hAnsi="Palatino Linotype"/>
            <w:bCs/>
            <w:iCs/>
          </w:rPr>
          <w:t>http://legislacion.edomex.gob.mx/sites/legislacion.edomex.gob.mx/files/files/pdf/ley/vig/leyvig233.pdf</w:t>
        </w:r>
      </w:hyperlink>
      <w:r w:rsidR="009B1C7F" w:rsidRPr="007D6CE6">
        <w:rPr>
          <w:rFonts w:ascii="Palatino Linotype" w:hAnsi="Palatino Linotype"/>
          <w:bCs/>
          <w:iCs/>
        </w:rPr>
        <w:t xml:space="preserve">. </w:t>
      </w:r>
    </w:p>
    <w:p w14:paraId="79E31419" w14:textId="77777777" w:rsidR="009B1C7F" w:rsidRPr="007D6CE6" w:rsidRDefault="009B1C7F" w:rsidP="007D6CE6">
      <w:pPr>
        <w:pStyle w:val="Prrafodelista"/>
        <w:spacing w:line="360" w:lineRule="auto"/>
        <w:ind w:left="567" w:right="616"/>
        <w:jc w:val="both"/>
        <w:rPr>
          <w:rFonts w:ascii="Palatino Linotype" w:hAnsi="Palatino Linotype"/>
          <w:bCs/>
          <w:iCs/>
        </w:rPr>
      </w:pPr>
    </w:p>
    <w:p w14:paraId="6F65918D" w14:textId="55E3CBEA" w:rsidR="00E82B5D" w:rsidRPr="007D6CE6" w:rsidRDefault="00E82B5D" w:rsidP="007D6CE6">
      <w:pPr>
        <w:pStyle w:val="Prrafodelista"/>
        <w:spacing w:line="360" w:lineRule="auto"/>
        <w:ind w:left="567" w:right="616"/>
        <w:jc w:val="both"/>
        <w:rPr>
          <w:rFonts w:ascii="Palatino Linotype" w:hAnsi="Palatino Linotype"/>
          <w:bCs/>
          <w:iCs/>
        </w:rPr>
      </w:pPr>
      <w:proofErr w:type="gramStart"/>
      <w:r w:rsidRPr="007D6CE6">
        <w:rPr>
          <w:rFonts w:ascii="Palatino Linotype" w:hAnsi="Palatino Linotype"/>
          <w:b/>
          <w:iCs/>
        </w:rPr>
        <w:t>3.LSAEYM.pdf</w:t>
      </w:r>
      <w:proofErr w:type="gramEnd"/>
      <w:r w:rsidRPr="007D6CE6">
        <w:rPr>
          <w:rFonts w:ascii="Palatino Linotype" w:hAnsi="Palatino Linotype"/>
          <w:b/>
          <w:iCs/>
        </w:rPr>
        <w:t>.</w:t>
      </w:r>
      <w:r w:rsidRPr="007D6CE6">
        <w:rPr>
          <w:rFonts w:ascii="Palatino Linotype" w:hAnsi="Palatino Linotype"/>
          <w:bCs/>
          <w:iCs/>
        </w:rPr>
        <w:t xml:space="preserve"> Archivo</w:t>
      </w:r>
      <w:r w:rsidR="00AD03F1" w:rsidRPr="007D6CE6">
        <w:rPr>
          <w:rFonts w:ascii="Palatino Linotype" w:hAnsi="Palatino Linotype"/>
          <w:bCs/>
          <w:iCs/>
        </w:rPr>
        <w:t xml:space="preserve"> en formato PDF cuyo contenido versa en la Ley del Sistema Anticorrupción del Estado de México y Municipios. </w:t>
      </w:r>
    </w:p>
    <w:p w14:paraId="1F12A3DB" w14:textId="77777777" w:rsidR="00AD03F1" w:rsidRPr="007D6CE6" w:rsidRDefault="00AD03F1" w:rsidP="007D6CE6">
      <w:pPr>
        <w:pStyle w:val="Prrafodelista"/>
        <w:spacing w:line="360" w:lineRule="auto"/>
        <w:ind w:left="567" w:right="616"/>
        <w:jc w:val="both"/>
        <w:rPr>
          <w:rFonts w:ascii="Palatino Linotype" w:hAnsi="Palatino Linotype"/>
          <w:bCs/>
          <w:iCs/>
        </w:rPr>
      </w:pPr>
    </w:p>
    <w:p w14:paraId="568F496A" w14:textId="5A035440" w:rsidR="00E82B5D" w:rsidRPr="007D6CE6" w:rsidRDefault="00E82B5D" w:rsidP="007D6CE6">
      <w:pPr>
        <w:pStyle w:val="Prrafodelista"/>
        <w:spacing w:line="360" w:lineRule="auto"/>
        <w:ind w:left="567" w:right="616"/>
        <w:jc w:val="both"/>
        <w:rPr>
          <w:rFonts w:ascii="Palatino Linotype" w:hAnsi="Palatino Linotype"/>
          <w:bCs/>
          <w:iCs/>
        </w:rPr>
      </w:pPr>
      <w:proofErr w:type="gramStart"/>
      <w:r w:rsidRPr="007D6CE6">
        <w:rPr>
          <w:rFonts w:ascii="Palatino Linotype" w:hAnsi="Palatino Linotype"/>
          <w:b/>
          <w:iCs/>
        </w:rPr>
        <w:t>0.OF</w:t>
      </w:r>
      <w:proofErr w:type="gramEnd"/>
      <w:r w:rsidRPr="007D6CE6">
        <w:rPr>
          <w:rFonts w:ascii="Palatino Linotype" w:hAnsi="Palatino Linotype"/>
          <w:b/>
          <w:iCs/>
        </w:rPr>
        <w:t>_respuesta solicitud 00058.pdf.</w:t>
      </w:r>
      <w:r w:rsidRPr="007D6CE6">
        <w:rPr>
          <w:rFonts w:ascii="Palatino Linotype" w:hAnsi="Palatino Linotype"/>
          <w:bCs/>
          <w:iCs/>
        </w:rPr>
        <w:t xml:space="preserve"> Archivo</w:t>
      </w:r>
      <w:r w:rsidR="00AD03F1" w:rsidRPr="007D6CE6">
        <w:rPr>
          <w:rFonts w:ascii="Palatino Linotype" w:hAnsi="Palatino Linotype"/>
          <w:bCs/>
          <w:iCs/>
        </w:rPr>
        <w:t xml:space="preserve"> en formato PDF, cuyo contenido versa en un oficio de número 400N13000/400/2019 de fecha nueve (09) de </w:t>
      </w:r>
      <w:r w:rsidR="00AD03F1" w:rsidRPr="007D6CE6">
        <w:rPr>
          <w:rFonts w:ascii="Palatino Linotype" w:hAnsi="Palatino Linotype"/>
          <w:bCs/>
          <w:iCs/>
        </w:rPr>
        <w:lastRenderedPageBreak/>
        <w:t>septiembre de dos mil diecinueve</w:t>
      </w:r>
      <w:r w:rsidR="005F473D" w:rsidRPr="007D6CE6">
        <w:rPr>
          <w:rFonts w:ascii="Palatino Linotype" w:hAnsi="Palatino Linotype"/>
          <w:bCs/>
          <w:iCs/>
        </w:rPr>
        <w:t>, mediante el cual se hace del conocimiento del particular diversas ligas electrónicas, las cuales ya fueron referidas en el primer archivo descrito [</w:t>
      </w:r>
      <w:r w:rsidR="005F473D" w:rsidRPr="007D6CE6">
        <w:rPr>
          <w:rFonts w:ascii="Palatino Linotype" w:hAnsi="Palatino Linotype"/>
          <w:b/>
          <w:iCs/>
        </w:rPr>
        <w:t>1.OF400_respuesta solicitud 00058.pdf.]</w:t>
      </w:r>
    </w:p>
    <w:p w14:paraId="649DF171" w14:textId="77777777" w:rsidR="005F473D" w:rsidRPr="007D6CE6" w:rsidRDefault="005F473D" w:rsidP="007D6CE6">
      <w:pPr>
        <w:pStyle w:val="Prrafodelista"/>
        <w:spacing w:line="360" w:lineRule="auto"/>
        <w:ind w:left="567" w:right="616"/>
        <w:jc w:val="both"/>
        <w:rPr>
          <w:rFonts w:ascii="Palatino Linotype" w:hAnsi="Palatino Linotype"/>
          <w:bCs/>
          <w:iCs/>
        </w:rPr>
      </w:pPr>
    </w:p>
    <w:p w14:paraId="69422D3C" w14:textId="5BFD72ED" w:rsidR="00E82B5D" w:rsidRPr="007D6CE6" w:rsidRDefault="00E82B5D" w:rsidP="007D6CE6">
      <w:pPr>
        <w:pStyle w:val="Prrafodelista"/>
        <w:spacing w:line="360" w:lineRule="auto"/>
        <w:ind w:left="567" w:right="616"/>
        <w:jc w:val="both"/>
        <w:rPr>
          <w:rFonts w:ascii="Palatino Linotype" w:hAnsi="Palatino Linotype"/>
          <w:bCs/>
          <w:iCs/>
        </w:rPr>
      </w:pPr>
      <w:proofErr w:type="gramStart"/>
      <w:r w:rsidRPr="007D6CE6">
        <w:rPr>
          <w:rFonts w:ascii="Palatino Linotype" w:hAnsi="Palatino Linotype"/>
          <w:b/>
          <w:iCs/>
        </w:rPr>
        <w:t>4.LTAIPEMYM.pdf</w:t>
      </w:r>
      <w:proofErr w:type="gramEnd"/>
      <w:r w:rsidRPr="007D6CE6">
        <w:rPr>
          <w:rFonts w:ascii="Palatino Linotype" w:hAnsi="Palatino Linotype"/>
          <w:b/>
          <w:iCs/>
        </w:rPr>
        <w:t>.</w:t>
      </w:r>
      <w:r w:rsidRPr="007D6CE6">
        <w:rPr>
          <w:rFonts w:ascii="Palatino Linotype" w:hAnsi="Palatino Linotype"/>
          <w:bCs/>
          <w:iCs/>
        </w:rPr>
        <w:t xml:space="preserve"> Archivo </w:t>
      </w:r>
      <w:r w:rsidR="005F473D" w:rsidRPr="007D6CE6">
        <w:rPr>
          <w:rFonts w:ascii="Palatino Linotype" w:hAnsi="Palatino Linotype"/>
          <w:bCs/>
          <w:iCs/>
        </w:rPr>
        <w:t xml:space="preserve">en formato PDF, cuyo contenido versa en la Iniciativa de la Ley de Transparencia y Acceso a la Información Pública del Estado de México y Municipios. </w:t>
      </w:r>
    </w:p>
    <w:p w14:paraId="252EC7B7" w14:textId="77777777" w:rsidR="005F473D" w:rsidRPr="007D6CE6" w:rsidRDefault="005F473D" w:rsidP="007D6CE6">
      <w:pPr>
        <w:pStyle w:val="Prrafodelista"/>
        <w:spacing w:line="360" w:lineRule="auto"/>
        <w:ind w:left="567" w:right="616"/>
        <w:jc w:val="both"/>
        <w:rPr>
          <w:rFonts w:ascii="Palatino Linotype" w:hAnsi="Palatino Linotype"/>
          <w:bCs/>
          <w:iCs/>
        </w:rPr>
      </w:pPr>
    </w:p>
    <w:p w14:paraId="6D169EFB" w14:textId="32DB450D" w:rsidR="00CA1C5F" w:rsidRPr="007D6CE6" w:rsidRDefault="00E82B5D" w:rsidP="007D6CE6">
      <w:pPr>
        <w:pStyle w:val="Prrafodelista"/>
        <w:spacing w:line="360" w:lineRule="auto"/>
        <w:ind w:left="567" w:right="616"/>
        <w:jc w:val="both"/>
        <w:rPr>
          <w:rFonts w:ascii="Palatino Linotype" w:hAnsi="Palatino Linotype"/>
          <w:bCs/>
          <w:iCs/>
        </w:rPr>
      </w:pPr>
      <w:proofErr w:type="gramStart"/>
      <w:r w:rsidRPr="007D6CE6">
        <w:rPr>
          <w:rFonts w:ascii="Palatino Linotype" w:hAnsi="Palatino Linotype"/>
          <w:b/>
          <w:iCs/>
        </w:rPr>
        <w:t>2.Oficio</w:t>
      </w:r>
      <w:proofErr w:type="gramEnd"/>
      <w:r w:rsidRPr="007D6CE6">
        <w:rPr>
          <w:rFonts w:ascii="Palatino Linotype" w:hAnsi="Palatino Linotype"/>
          <w:b/>
          <w:iCs/>
        </w:rPr>
        <w:t xml:space="preserve"> respuesta CAF 00058.pdf. </w:t>
      </w:r>
      <w:r w:rsidRPr="007D6CE6">
        <w:rPr>
          <w:rFonts w:ascii="Palatino Linotype" w:hAnsi="Palatino Linotype"/>
          <w:bCs/>
          <w:iCs/>
        </w:rPr>
        <w:t>Archivo</w:t>
      </w:r>
      <w:r w:rsidR="00EC2E31" w:rsidRPr="007D6CE6">
        <w:rPr>
          <w:rFonts w:ascii="Palatino Linotype" w:hAnsi="Palatino Linotype"/>
          <w:bCs/>
          <w:iCs/>
        </w:rPr>
        <w:t xml:space="preserve"> en formato PDF, cuyo contenido versa en un oficio de número 400N14000/509/2019 de fecha nueve (09) de septiembre de dos mil diecinueve, mediante el cual se hace del conocimiento que </w:t>
      </w:r>
      <w:r w:rsidR="00EC2E31" w:rsidRPr="007D6CE6">
        <w:rPr>
          <w:rFonts w:ascii="Palatino Linotype" w:hAnsi="Palatino Linotype"/>
          <w:b/>
          <w:iCs/>
        </w:rPr>
        <w:t xml:space="preserve">derivado de la reciente creación de la Secretaría, así como la paulatina integración de las diferentes áreas que la conforman, la información solicitada se encuentra en proceso de elaboración, para posteriormente ser publicada conforme a lo establecido por el artículo 92, fracción XLIX, consultada en </w:t>
      </w:r>
      <w:hyperlink r:id="rId14" w:history="1">
        <w:r w:rsidR="00A1195C" w:rsidRPr="007D6CE6">
          <w:rPr>
            <w:rStyle w:val="Hipervnculo"/>
            <w:rFonts w:ascii="Palatino Linotype" w:hAnsi="Palatino Linotype"/>
            <w:b/>
            <w:iCs/>
          </w:rPr>
          <w:t>https://ipomex.org.mx/ipo3/lgt/indice/SESEA/art_92_xlix.web</w:t>
        </w:r>
      </w:hyperlink>
      <w:r w:rsidR="00A1195C" w:rsidRPr="007D6CE6">
        <w:rPr>
          <w:rFonts w:ascii="Palatino Linotype" w:hAnsi="Palatino Linotype"/>
          <w:bCs/>
          <w:iCs/>
        </w:rPr>
        <w:t xml:space="preserve">, asimismo mencionó que las leyes aplicables pueden consultarse en las siguientes ligas electrónicas; </w:t>
      </w:r>
      <w:hyperlink r:id="rId15" w:history="1">
        <w:r w:rsidR="00A1195C" w:rsidRPr="007D6CE6">
          <w:rPr>
            <w:rStyle w:val="Hipervnculo"/>
            <w:rFonts w:ascii="Palatino Linotype" w:hAnsi="Palatino Linotype"/>
            <w:bCs/>
            <w:iCs/>
          </w:rPr>
          <w:t>http://www.diputados.gob.mx/LeyesBiblio/pdf/LGA_150618.pdf</w:t>
        </w:r>
      </w:hyperlink>
      <w:r w:rsidR="00A1195C" w:rsidRPr="007D6CE6">
        <w:rPr>
          <w:rFonts w:ascii="Palatino Linotype" w:hAnsi="Palatino Linotype"/>
          <w:bCs/>
          <w:iCs/>
        </w:rPr>
        <w:t xml:space="preserve"> y </w:t>
      </w:r>
      <w:hyperlink r:id="rId16" w:history="1">
        <w:r w:rsidR="00A1195C" w:rsidRPr="007D6CE6">
          <w:rPr>
            <w:rStyle w:val="Hipervnculo"/>
            <w:rFonts w:ascii="Palatino Linotype" w:hAnsi="Palatino Linotype"/>
            <w:bCs/>
            <w:iCs/>
          </w:rPr>
          <w:t>http://legislacion.edomex.gob.mx/sites/legislacion.edomex.gob.mx/files/files/pdf/ley/vig/leyvig005.pdf</w:t>
        </w:r>
      </w:hyperlink>
      <w:r w:rsidR="00A1195C" w:rsidRPr="007D6CE6">
        <w:rPr>
          <w:rFonts w:ascii="Palatino Linotype" w:hAnsi="Palatino Linotype"/>
          <w:bCs/>
          <w:iCs/>
        </w:rPr>
        <w:t xml:space="preserve">. </w:t>
      </w:r>
    </w:p>
    <w:p w14:paraId="20F4E3A2" w14:textId="77777777" w:rsidR="00262805" w:rsidRPr="007D6CE6" w:rsidRDefault="00262805" w:rsidP="007D6CE6">
      <w:pPr>
        <w:spacing w:line="360" w:lineRule="auto"/>
        <w:ind w:right="616"/>
        <w:jc w:val="both"/>
        <w:rPr>
          <w:rFonts w:ascii="Palatino Linotype" w:hAnsi="Palatino Linotype"/>
          <w:bCs/>
          <w:iCs/>
        </w:rPr>
      </w:pPr>
    </w:p>
    <w:bookmarkEnd w:id="4"/>
    <w:p w14:paraId="2A2586A6" w14:textId="52E1A2DF" w:rsidR="001A023E" w:rsidRPr="007D6CE6" w:rsidRDefault="001A3FE6" w:rsidP="007D6CE6">
      <w:pPr>
        <w:pStyle w:val="Prrafodelista"/>
        <w:numPr>
          <w:ilvl w:val="0"/>
          <w:numId w:val="1"/>
        </w:numPr>
        <w:spacing w:line="360" w:lineRule="auto"/>
        <w:ind w:left="0" w:firstLine="0"/>
        <w:jc w:val="both"/>
        <w:rPr>
          <w:rFonts w:ascii="Palatino Linotype" w:hAnsi="Palatino Linotype"/>
          <w:b/>
          <w:i/>
        </w:rPr>
      </w:pPr>
      <w:r w:rsidRPr="007D6CE6">
        <w:rPr>
          <w:rFonts w:ascii="Palatino Linotype" w:hAnsi="Palatino Linotype"/>
        </w:rPr>
        <w:lastRenderedPageBreak/>
        <w:t xml:space="preserve">Posteriormente, en fecha </w:t>
      </w:r>
      <w:r w:rsidR="00A1195C" w:rsidRPr="007D6CE6">
        <w:rPr>
          <w:rFonts w:ascii="Palatino Linotype" w:hAnsi="Palatino Linotype"/>
        </w:rPr>
        <w:t xml:space="preserve">diez </w:t>
      </w:r>
      <w:r w:rsidR="00300662" w:rsidRPr="007D6CE6">
        <w:rPr>
          <w:rFonts w:ascii="Palatino Linotype" w:hAnsi="Palatino Linotype"/>
        </w:rPr>
        <w:t>(</w:t>
      </w:r>
      <w:r w:rsidR="00A1195C" w:rsidRPr="007D6CE6">
        <w:rPr>
          <w:rFonts w:ascii="Palatino Linotype" w:hAnsi="Palatino Linotype"/>
        </w:rPr>
        <w:t>10</w:t>
      </w:r>
      <w:r w:rsidR="009D13AE" w:rsidRPr="007D6CE6">
        <w:rPr>
          <w:rFonts w:ascii="Palatino Linotype" w:hAnsi="Palatino Linotype"/>
        </w:rPr>
        <w:t>)</w:t>
      </w:r>
      <w:r w:rsidRPr="007D6CE6">
        <w:rPr>
          <w:rFonts w:ascii="Palatino Linotype" w:hAnsi="Palatino Linotype"/>
        </w:rPr>
        <w:t xml:space="preserve"> de</w:t>
      </w:r>
      <w:r w:rsidR="00BE4DD9" w:rsidRPr="007D6CE6">
        <w:rPr>
          <w:rFonts w:ascii="Palatino Linotype" w:hAnsi="Palatino Linotype"/>
        </w:rPr>
        <w:t xml:space="preserve"> septiembre</w:t>
      </w:r>
      <w:r w:rsidRPr="007D6CE6">
        <w:rPr>
          <w:rFonts w:ascii="Palatino Linotype" w:hAnsi="Palatino Linotype"/>
        </w:rPr>
        <w:t xml:space="preserve"> de dos mil dieci</w:t>
      </w:r>
      <w:r w:rsidR="009D13AE" w:rsidRPr="007D6CE6">
        <w:rPr>
          <w:rFonts w:ascii="Palatino Linotype" w:hAnsi="Palatino Linotype"/>
        </w:rPr>
        <w:t>nueve</w:t>
      </w:r>
      <w:r w:rsidRPr="007D6CE6">
        <w:rPr>
          <w:rFonts w:ascii="Palatino Linotype" w:hAnsi="Palatino Linotype"/>
        </w:rPr>
        <w:t>,</w:t>
      </w:r>
      <w:r w:rsidR="009D13AE" w:rsidRPr="007D6CE6">
        <w:rPr>
          <w:rFonts w:ascii="Palatino Linotype" w:hAnsi="Palatino Linotype"/>
        </w:rPr>
        <w:t xml:space="preserve"> el particular interpuso recurso de</w:t>
      </w:r>
      <w:r w:rsidRPr="007D6CE6">
        <w:rPr>
          <w:rFonts w:ascii="Palatino Linotype" w:hAnsi="Palatino Linotype"/>
        </w:rPr>
        <w:t xml:space="preserve"> </w:t>
      </w:r>
      <w:r w:rsidR="00585F00" w:rsidRPr="007D6CE6">
        <w:rPr>
          <w:rFonts w:ascii="Palatino Linotype" w:eastAsia="Times New Roman" w:hAnsi="Palatino Linotype" w:cs="Arial"/>
          <w:lang w:val="es-ES"/>
        </w:rPr>
        <w:t xml:space="preserve">revisión, en contra de </w:t>
      </w:r>
      <w:r w:rsidR="005D4114" w:rsidRPr="007D6CE6">
        <w:rPr>
          <w:rFonts w:ascii="Palatino Linotype" w:eastAsia="Times New Roman" w:hAnsi="Palatino Linotype" w:cs="Arial"/>
          <w:lang w:val="es-ES"/>
        </w:rPr>
        <w:t>la respuesta</w:t>
      </w:r>
      <w:r w:rsidR="00585F00" w:rsidRPr="007D6CE6">
        <w:rPr>
          <w:rFonts w:ascii="Palatino Linotype" w:eastAsia="Times New Roman" w:hAnsi="Palatino Linotype" w:cs="Arial"/>
          <w:lang w:val="es-ES"/>
        </w:rPr>
        <w:t xml:space="preserve"> anteriormente referida, señalando como:</w:t>
      </w:r>
    </w:p>
    <w:p w14:paraId="678030B1" w14:textId="77777777" w:rsidR="000D13EA" w:rsidRPr="007D6CE6" w:rsidRDefault="000D13EA" w:rsidP="007D6CE6">
      <w:pPr>
        <w:pStyle w:val="Prrafodelista"/>
        <w:spacing w:line="360" w:lineRule="auto"/>
        <w:ind w:left="0"/>
        <w:jc w:val="both"/>
        <w:rPr>
          <w:rFonts w:ascii="Palatino Linotype" w:hAnsi="Palatino Linotype"/>
          <w:b/>
          <w:i/>
        </w:rPr>
      </w:pPr>
    </w:p>
    <w:p w14:paraId="509F210C" w14:textId="2590AC22" w:rsidR="009C0E5E" w:rsidRPr="007D6CE6" w:rsidRDefault="009C0E5E" w:rsidP="007D6CE6">
      <w:pPr>
        <w:spacing w:line="360" w:lineRule="auto"/>
        <w:ind w:left="567" w:right="616"/>
        <w:jc w:val="both"/>
        <w:rPr>
          <w:rFonts w:ascii="Palatino Linotype" w:eastAsiaTheme="majorEastAsia" w:hAnsi="Palatino Linotype" w:cstheme="majorBidi"/>
          <w:b/>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r w:rsidRPr="007D6CE6">
        <w:rPr>
          <w:rFonts w:ascii="Palatino Linotype" w:eastAsiaTheme="majorEastAsia" w:hAnsi="Palatino Linotype" w:cstheme="majorBidi"/>
          <w:b/>
          <w:lang w:val="es-ES"/>
        </w:rPr>
        <w:t>Acto impugnado</w:t>
      </w:r>
      <w:r w:rsidRPr="007D6CE6">
        <w:rPr>
          <w:rFonts w:ascii="Palatino Linotype" w:eastAsiaTheme="majorEastAsia" w:hAnsi="Palatino Linotype" w:cstheme="majorBidi"/>
          <w:b/>
          <w:i/>
          <w:lang w:val="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C665F8" w:rsidRPr="007D6CE6">
        <w:rPr>
          <w:rFonts w:ascii="Palatino Linotype" w:eastAsiaTheme="majorEastAsia" w:hAnsi="Palatino Linotype" w:cstheme="majorBidi"/>
          <w:i/>
          <w:lang w:val="es-ES"/>
        </w:rPr>
        <w:t>“</w:t>
      </w:r>
      <w:r w:rsidR="00A1195C" w:rsidRPr="007D6CE6">
        <w:rPr>
          <w:rFonts w:ascii="Palatino Linotype" w:eastAsiaTheme="majorEastAsia" w:hAnsi="Palatino Linotype" w:cstheme="majorBidi"/>
          <w:i/>
        </w:rPr>
        <w:t>respuesta</w:t>
      </w:r>
      <w:r w:rsidR="005123D2" w:rsidRPr="007D6CE6">
        <w:rPr>
          <w:rFonts w:ascii="Palatino Linotype" w:eastAsiaTheme="majorEastAsia" w:hAnsi="Palatino Linotype" w:cstheme="majorBidi"/>
          <w:i/>
        </w:rPr>
        <w:t>”</w:t>
      </w:r>
      <w:r w:rsidR="00BE4DD9" w:rsidRPr="007D6CE6">
        <w:rPr>
          <w:rFonts w:ascii="Palatino Linotype" w:eastAsiaTheme="majorEastAsia" w:hAnsi="Palatino Linotype" w:cstheme="majorBidi"/>
          <w:i/>
        </w:rPr>
        <w:t>.</w:t>
      </w:r>
      <w:r w:rsidR="005123D2" w:rsidRPr="007D6CE6">
        <w:rPr>
          <w:rFonts w:ascii="Palatino Linotype" w:eastAsiaTheme="majorEastAsia" w:hAnsi="Palatino Linotype" w:cstheme="majorBidi"/>
          <w:i/>
        </w:rPr>
        <w:t xml:space="preserve"> (Sic) </w:t>
      </w:r>
    </w:p>
    <w:p w14:paraId="03C3B748" w14:textId="77777777" w:rsidR="009C0E5E" w:rsidRPr="007D6CE6" w:rsidRDefault="009C0E5E" w:rsidP="007D6CE6">
      <w:pPr>
        <w:spacing w:line="360" w:lineRule="auto"/>
        <w:ind w:left="567" w:right="616"/>
        <w:contextualSpacing/>
        <w:jc w:val="both"/>
        <w:rPr>
          <w:rFonts w:ascii="Palatino Linotype" w:hAnsi="Palatino Linotype" w:cs="Arial"/>
          <w:i/>
        </w:rPr>
      </w:pPr>
    </w:p>
    <w:p w14:paraId="3BD8E2DF" w14:textId="56983F65" w:rsidR="000D13EA" w:rsidRPr="007D6CE6" w:rsidRDefault="009C0E5E" w:rsidP="007D6CE6">
      <w:pPr>
        <w:spacing w:line="360" w:lineRule="auto"/>
        <w:ind w:left="567" w:right="616"/>
        <w:jc w:val="both"/>
        <w:rPr>
          <w:rFonts w:ascii="Palatino Linotype" w:eastAsiaTheme="majorEastAsia" w:hAnsi="Palatino Linotype" w:cstheme="majorBidi"/>
          <w:i/>
        </w:rPr>
      </w:pPr>
      <w:bookmarkStart w:id="32" w:name="_Toc462307685"/>
      <w:bookmarkStart w:id="33" w:name="_Toc472427087"/>
      <w:bookmarkStart w:id="34" w:name="_Toc472500654"/>
      <w:bookmarkStart w:id="35" w:name="_Toc475015153"/>
      <w:bookmarkStart w:id="36" w:name="_Toc476078668"/>
      <w:bookmarkStart w:id="37" w:name="_Toc476675984"/>
      <w:bookmarkStart w:id="38" w:name="_Toc477345125"/>
      <w:bookmarkStart w:id="39" w:name="_Toc477345203"/>
      <w:bookmarkStart w:id="40" w:name="_Toc480987169"/>
      <w:bookmarkStart w:id="41" w:name="_Toc480996302"/>
      <w:bookmarkStart w:id="42" w:name="_Toc485145204"/>
      <w:bookmarkStart w:id="43" w:name="_Toc492489254"/>
      <w:bookmarkStart w:id="44" w:name="_Toc492590384"/>
      <w:bookmarkStart w:id="45" w:name="_Toc496807000"/>
      <w:bookmarkStart w:id="46" w:name="_Toc496807890"/>
      <w:bookmarkStart w:id="47" w:name="_Toc498528854"/>
      <w:bookmarkStart w:id="48" w:name="_Toc498528942"/>
      <w:bookmarkStart w:id="49" w:name="_Toc499059265"/>
      <w:bookmarkStart w:id="50" w:name="_Toc499658726"/>
      <w:bookmarkStart w:id="51" w:name="_Toc499659073"/>
      <w:bookmarkStart w:id="52" w:name="_Toc499810484"/>
      <w:bookmarkStart w:id="53" w:name="_Toc500414596"/>
      <w:bookmarkStart w:id="54" w:name="_Toc500414653"/>
      <w:bookmarkStart w:id="55" w:name="_Toc503366328"/>
      <w:bookmarkStart w:id="56" w:name="_Toc503891594"/>
      <w:bookmarkStart w:id="57" w:name="_Toc504069532"/>
      <w:bookmarkStart w:id="58" w:name="_Toc504500687"/>
      <w:bookmarkStart w:id="59" w:name="_Toc526438769"/>
      <w:bookmarkStart w:id="60" w:name="_Toc526438810"/>
      <w:bookmarkStart w:id="61" w:name="_Toc526438925"/>
      <w:r w:rsidRPr="007D6CE6">
        <w:rPr>
          <w:rFonts w:ascii="Palatino Linotype" w:eastAsiaTheme="majorEastAsia" w:hAnsi="Palatino Linotype" w:cstheme="majorBidi"/>
          <w:b/>
          <w:lang w:val="es-ES"/>
        </w:rPr>
        <w:t>Razones o Motivos de inconformidad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C665F8" w:rsidRPr="007D6CE6">
        <w:rPr>
          <w:rFonts w:ascii="Palatino Linotype" w:eastAsiaTheme="majorEastAsia" w:hAnsi="Palatino Linotype" w:cstheme="majorBidi"/>
          <w:b/>
          <w:lang w:val="es-ES"/>
        </w:rPr>
        <w:t xml:space="preserve">: </w:t>
      </w:r>
      <w:r w:rsidR="00C665F8" w:rsidRPr="007D6CE6">
        <w:rPr>
          <w:rFonts w:ascii="Palatino Linotype" w:eastAsiaTheme="majorEastAsia" w:hAnsi="Palatino Linotype" w:cstheme="majorBidi"/>
          <w:lang w:val="es-ES"/>
        </w:rPr>
        <w:t>“</w:t>
      </w:r>
      <w:r w:rsidR="00A1195C" w:rsidRPr="007D6CE6">
        <w:rPr>
          <w:rFonts w:ascii="Palatino Linotype" w:eastAsiaTheme="majorEastAsia" w:hAnsi="Palatino Linotype" w:cstheme="majorBidi"/>
          <w:i/>
        </w:rPr>
        <w:t xml:space="preserve">No existe el documento en la dirección </w:t>
      </w:r>
      <w:proofErr w:type="spellStart"/>
      <w:r w:rsidR="00A1195C" w:rsidRPr="007D6CE6">
        <w:rPr>
          <w:rFonts w:ascii="Palatino Linotype" w:eastAsiaTheme="majorEastAsia" w:hAnsi="Palatino Linotype" w:cstheme="majorBidi"/>
          <w:i/>
        </w:rPr>
        <w:t>electronica</w:t>
      </w:r>
      <w:proofErr w:type="spellEnd"/>
      <w:r w:rsidR="00A1195C" w:rsidRPr="007D6CE6">
        <w:rPr>
          <w:rFonts w:ascii="Palatino Linotype" w:eastAsiaTheme="majorEastAsia" w:hAnsi="Palatino Linotype" w:cstheme="majorBidi"/>
          <w:i/>
        </w:rPr>
        <w:t>, entonces no manejan archivo o porque su leyenda dice que no lo tienen</w:t>
      </w:r>
      <w:r w:rsidR="00300662" w:rsidRPr="007D6CE6">
        <w:rPr>
          <w:rFonts w:ascii="Palatino Linotype" w:eastAsiaTheme="majorEastAsia" w:hAnsi="Palatino Linotype" w:cstheme="majorBidi"/>
          <w:i/>
        </w:rPr>
        <w:t xml:space="preserve">”. </w:t>
      </w:r>
      <w:r w:rsidR="00C665F8" w:rsidRPr="007D6CE6">
        <w:rPr>
          <w:rFonts w:ascii="Palatino Linotype" w:eastAsiaTheme="majorEastAsia" w:hAnsi="Palatino Linotype" w:cstheme="majorBidi"/>
          <w:i/>
        </w:rPr>
        <w:t>(Sic)</w:t>
      </w:r>
    </w:p>
    <w:p w14:paraId="5239869B" w14:textId="53B1C07E" w:rsidR="00585F00" w:rsidRPr="007D6CE6" w:rsidRDefault="00585F00" w:rsidP="007D6CE6">
      <w:pPr>
        <w:pStyle w:val="Prrafodelista"/>
        <w:numPr>
          <w:ilvl w:val="0"/>
          <w:numId w:val="1"/>
        </w:numPr>
        <w:spacing w:line="360" w:lineRule="auto"/>
        <w:ind w:left="0" w:firstLine="0"/>
        <w:jc w:val="both"/>
        <w:rPr>
          <w:rFonts w:ascii="Palatino Linotype" w:hAnsi="Palatino Linotype"/>
          <w:i/>
          <w:color w:val="000000"/>
        </w:rPr>
      </w:pPr>
      <w:r w:rsidRPr="007D6CE6">
        <w:rPr>
          <w:rFonts w:ascii="Palatino Linotype" w:eastAsia="Times New Roman" w:hAnsi="Palatino Linotype" w:cs="Arial"/>
          <w:lang w:val="es-ES"/>
        </w:rPr>
        <w:t xml:space="preserve">Se registró el recurso de revisión bajo el número de expediente </w:t>
      </w:r>
      <w:r w:rsidRPr="007D6CE6">
        <w:rPr>
          <w:rFonts w:ascii="Palatino Linotype" w:hAnsi="Palatino Linotype" w:cs="Arial"/>
          <w:bCs/>
        </w:rPr>
        <w:t xml:space="preserve">al rubro indicado, asimismo con fundamento en lo dispuesto por el </w:t>
      </w:r>
      <w:r w:rsidRPr="007D6CE6">
        <w:rPr>
          <w:rFonts w:ascii="Palatino Linotype" w:eastAsia="Calibri" w:hAnsi="Palatino Linotype" w:cs="Arial"/>
          <w:lang w:val="es-ES"/>
        </w:rPr>
        <w:t xml:space="preserve">artículo 185 fracción I de la Ley de Transparencia y Acceso a la Información Pública del Estado de México y Municipios </w:t>
      </w:r>
      <w:r w:rsidRPr="007D6CE6">
        <w:rPr>
          <w:rFonts w:ascii="Palatino Linotype" w:eastAsia="Times New Roman" w:hAnsi="Palatino Linotype" w:cs="Arial"/>
          <w:lang w:val="es-ES"/>
        </w:rPr>
        <w:t xml:space="preserve">se turnó al Comisionado José Guadalupe Luna Hernández con el objeto de </w:t>
      </w:r>
      <w:r w:rsidRPr="007D6CE6">
        <w:rPr>
          <w:rFonts w:ascii="Palatino Linotype" w:eastAsia="Times New Roman" w:hAnsi="Palatino Linotype" w:cs="Arial"/>
          <w:lang w:val="es-MX"/>
        </w:rPr>
        <w:t>su análisis.</w:t>
      </w:r>
    </w:p>
    <w:p w14:paraId="653275C4" w14:textId="77777777" w:rsidR="00A1195C" w:rsidRPr="007D6CE6" w:rsidRDefault="00A1195C" w:rsidP="007D6CE6">
      <w:pPr>
        <w:pStyle w:val="Prrafodelista"/>
        <w:spacing w:line="360" w:lineRule="auto"/>
        <w:ind w:left="0"/>
        <w:jc w:val="both"/>
        <w:rPr>
          <w:rFonts w:ascii="Palatino Linotype" w:hAnsi="Palatino Linotype"/>
          <w:i/>
          <w:color w:val="000000"/>
        </w:rPr>
      </w:pPr>
    </w:p>
    <w:p w14:paraId="56B355A5" w14:textId="3E3BB5D6" w:rsidR="00585F00" w:rsidRPr="007D6CE6" w:rsidRDefault="00585F00" w:rsidP="007D6CE6">
      <w:pPr>
        <w:pStyle w:val="Prrafodelista"/>
        <w:numPr>
          <w:ilvl w:val="0"/>
          <w:numId w:val="1"/>
        </w:numPr>
        <w:spacing w:line="360" w:lineRule="auto"/>
        <w:ind w:left="0" w:firstLine="0"/>
        <w:jc w:val="both"/>
        <w:rPr>
          <w:rFonts w:ascii="Palatino Linotype" w:hAnsi="Palatino Linotype"/>
          <w:i/>
          <w:color w:val="000000"/>
        </w:rPr>
      </w:pPr>
      <w:r w:rsidRPr="007D6CE6">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7D6CE6">
        <w:rPr>
          <w:rFonts w:ascii="Palatino Linotype" w:eastAsia="Calibri" w:hAnsi="Palatino Linotype" w:cs="Arial"/>
          <w:lang w:val="es-ES"/>
        </w:rPr>
        <w:t>del ac</w:t>
      </w:r>
      <w:r w:rsidR="009C08E7" w:rsidRPr="007D6CE6">
        <w:rPr>
          <w:rFonts w:ascii="Palatino Linotype" w:eastAsia="Calibri" w:hAnsi="Palatino Linotype" w:cs="Arial"/>
          <w:lang w:val="es-ES"/>
        </w:rPr>
        <w:t>uerdo de admisión de fecha</w:t>
      </w:r>
      <w:r w:rsidR="005734F6" w:rsidRPr="007D6CE6">
        <w:rPr>
          <w:rFonts w:ascii="Palatino Linotype" w:eastAsia="Calibri" w:hAnsi="Palatino Linotype" w:cs="Arial"/>
          <w:lang w:val="es-ES"/>
        </w:rPr>
        <w:t xml:space="preserve"> </w:t>
      </w:r>
      <w:r w:rsidR="00A1195C" w:rsidRPr="007D6CE6">
        <w:rPr>
          <w:rFonts w:ascii="Palatino Linotype" w:eastAsia="Calibri" w:hAnsi="Palatino Linotype" w:cs="Arial"/>
          <w:lang w:val="es-ES"/>
        </w:rPr>
        <w:t xml:space="preserve">diecisiete </w:t>
      </w:r>
      <w:r w:rsidRPr="007D6CE6">
        <w:rPr>
          <w:rFonts w:ascii="Palatino Linotype" w:eastAsia="Calibri" w:hAnsi="Palatino Linotype" w:cs="Arial"/>
          <w:lang w:val="es-ES"/>
        </w:rPr>
        <w:t>(</w:t>
      </w:r>
      <w:r w:rsidR="00A1195C" w:rsidRPr="007D6CE6">
        <w:rPr>
          <w:rFonts w:ascii="Palatino Linotype" w:eastAsia="Calibri" w:hAnsi="Palatino Linotype" w:cs="Arial"/>
          <w:lang w:val="es-ES"/>
        </w:rPr>
        <w:t>17</w:t>
      </w:r>
      <w:r w:rsidRPr="007D6CE6">
        <w:rPr>
          <w:rFonts w:ascii="Palatino Linotype" w:eastAsia="Calibri" w:hAnsi="Palatino Linotype" w:cs="Arial"/>
          <w:lang w:val="es-ES"/>
        </w:rPr>
        <w:t>) de</w:t>
      </w:r>
      <w:r w:rsidR="00A1195C" w:rsidRPr="007D6CE6">
        <w:rPr>
          <w:rFonts w:ascii="Palatino Linotype" w:eastAsia="Calibri" w:hAnsi="Palatino Linotype" w:cs="Arial"/>
          <w:lang w:val="es-ES"/>
        </w:rPr>
        <w:t xml:space="preserve"> septiembre</w:t>
      </w:r>
      <w:r w:rsidR="009C08E7" w:rsidRPr="007D6CE6">
        <w:rPr>
          <w:rFonts w:ascii="Palatino Linotype" w:eastAsia="Calibri" w:hAnsi="Palatino Linotype" w:cs="Arial"/>
          <w:lang w:val="es-ES"/>
        </w:rPr>
        <w:t xml:space="preserve"> </w:t>
      </w:r>
      <w:r w:rsidRPr="007D6CE6">
        <w:rPr>
          <w:rFonts w:ascii="Palatino Linotype" w:eastAsia="Calibri" w:hAnsi="Palatino Linotype" w:cs="Arial"/>
          <w:lang w:val="es-ES"/>
        </w:rPr>
        <w:t>de dos mil dieci</w:t>
      </w:r>
      <w:r w:rsidR="009D13AE" w:rsidRPr="007D6CE6">
        <w:rPr>
          <w:rFonts w:ascii="Palatino Linotype" w:eastAsia="Calibri" w:hAnsi="Palatino Linotype" w:cs="Arial"/>
          <w:lang w:val="es-ES"/>
        </w:rPr>
        <w:t>nueve</w:t>
      </w:r>
      <w:r w:rsidRPr="007D6CE6">
        <w:rPr>
          <w:rFonts w:ascii="Palatino Linotype" w:eastAsia="Calibri" w:hAnsi="Palatino Linotype" w:cs="Arial"/>
          <w:lang w:val="es-ES"/>
        </w:rPr>
        <w:t xml:space="preserve">, </w:t>
      </w:r>
      <w:r w:rsidR="009D13AE" w:rsidRPr="007D6CE6">
        <w:rPr>
          <w:rFonts w:ascii="Palatino Linotype" w:eastAsia="Calibri" w:hAnsi="Palatino Linotype" w:cs="Arial"/>
          <w:lang w:val="es-ES"/>
        </w:rPr>
        <w:t xml:space="preserve">se </w:t>
      </w:r>
      <w:r w:rsidRPr="007D6CE6">
        <w:rPr>
          <w:rFonts w:ascii="Palatino Linotype" w:eastAsia="Calibri" w:hAnsi="Palatino Linotype" w:cs="Arial"/>
          <w:lang w:val="es-ES"/>
        </w:rPr>
        <w:t xml:space="preserve">puso a disposición de las partes el expediente electrónico </w:t>
      </w:r>
      <w:r w:rsidRPr="007D6CE6">
        <w:rPr>
          <w:rFonts w:ascii="Palatino Linotype" w:eastAsia="Calibri" w:hAnsi="Palatino Linotype" w:cs="Arial"/>
        </w:rPr>
        <w:t xml:space="preserve">vía </w:t>
      </w:r>
      <w:r w:rsidRPr="007D6CE6">
        <w:rPr>
          <w:rFonts w:ascii="Palatino Linotype" w:eastAsia="Calibri" w:hAnsi="Palatino Linotype" w:cs="Arial"/>
          <w:lang w:val="es-ES"/>
        </w:rPr>
        <w:t xml:space="preserve">Sistema de Acceso a la Información Mexiquense </w:t>
      </w:r>
      <w:r w:rsidR="009C08E7" w:rsidRPr="007D6CE6">
        <w:rPr>
          <w:rFonts w:ascii="Palatino Linotype" w:eastAsia="Calibri" w:hAnsi="Palatino Linotype" w:cs="Arial"/>
          <w:b/>
          <w:lang w:val="es-ES"/>
        </w:rPr>
        <w:t>(</w:t>
      </w:r>
      <w:r w:rsidRPr="007D6CE6">
        <w:rPr>
          <w:rFonts w:ascii="Palatino Linotype" w:eastAsia="Calibri" w:hAnsi="Palatino Linotype" w:cs="Arial"/>
          <w:b/>
          <w:lang w:val="es-ES"/>
        </w:rPr>
        <w:t>SAIMEX</w:t>
      </w:r>
      <w:r w:rsidR="009C08E7" w:rsidRPr="007D6CE6">
        <w:rPr>
          <w:rFonts w:ascii="Palatino Linotype" w:eastAsia="Calibri" w:hAnsi="Palatino Linotype" w:cs="Arial"/>
          <w:b/>
          <w:lang w:val="es-ES"/>
        </w:rPr>
        <w:t>)</w:t>
      </w:r>
      <w:r w:rsidRPr="007D6CE6">
        <w:rPr>
          <w:rFonts w:ascii="Palatino Linotype" w:eastAsia="Calibri" w:hAnsi="Palatino Linotype" w:cs="Arial"/>
          <w:b/>
          <w:lang w:val="es-ES"/>
        </w:rPr>
        <w:t xml:space="preserve"> </w:t>
      </w:r>
      <w:r w:rsidRPr="007D6CE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7D6CE6">
        <w:rPr>
          <w:rFonts w:ascii="Palatino Linotype" w:eastAsia="Calibri" w:hAnsi="Palatino Linotype" w:cs="Arial"/>
          <w:b/>
          <w:lang w:val="es-ES"/>
        </w:rPr>
        <w:t>Sujeto Obligado</w:t>
      </w:r>
      <w:r w:rsidR="00D96BE8" w:rsidRPr="007D6CE6">
        <w:rPr>
          <w:rFonts w:ascii="Palatino Linotype" w:eastAsia="Calibri" w:hAnsi="Palatino Linotype" w:cs="Arial"/>
          <w:lang w:val="es-ES"/>
        </w:rPr>
        <w:t xml:space="preserve"> </w:t>
      </w:r>
      <w:r w:rsidR="009C08E7" w:rsidRPr="007D6CE6">
        <w:rPr>
          <w:rFonts w:ascii="Palatino Linotype" w:eastAsia="Calibri" w:hAnsi="Palatino Linotype" w:cs="Arial"/>
          <w:lang w:val="es-ES"/>
        </w:rPr>
        <w:t>presentara</w:t>
      </w:r>
      <w:r w:rsidRPr="007D6CE6">
        <w:rPr>
          <w:rFonts w:ascii="Palatino Linotype" w:eastAsia="Calibri" w:hAnsi="Palatino Linotype" w:cs="Arial"/>
          <w:lang w:val="es-ES"/>
        </w:rPr>
        <w:t xml:space="preserve"> el Informe Justificado procedente.    </w:t>
      </w:r>
    </w:p>
    <w:p w14:paraId="345B4596" w14:textId="77777777" w:rsidR="00293D6D" w:rsidRPr="007D6CE6" w:rsidRDefault="00293D6D" w:rsidP="007D6CE6">
      <w:pPr>
        <w:pStyle w:val="Prrafodelista"/>
        <w:spacing w:line="360" w:lineRule="auto"/>
        <w:ind w:left="0"/>
        <w:jc w:val="both"/>
        <w:rPr>
          <w:rFonts w:ascii="Palatino Linotype" w:hAnsi="Palatino Linotype"/>
          <w:i/>
          <w:color w:val="000000"/>
        </w:rPr>
      </w:pPr>
    </w:p>
    <w:p w14:paraId="5E53686C" w14:textId="7B301918" w:rsidR="00BC0B13" w:rsidRPr="007D6CE6" w:rsidRDefault="00687D49" w:rsidP="007D6CE6">
      <w:pPr>
        <w:pStyle w:val="Prrafodelista"/>
        <w:numPr>
          <w:ilvl w:val="0"/>
          <w:numId w:val="1"/>
        </w:numPr>
        <w:spacing w:line="360" w:lineRule="auto"/>
        <w:ind w:left="0" w:firstLine="0"/>
        <w:jc w:val="both"/>
        <w:rPr>
          <w:rFonts w:ascii="Palatino Linotype" w:hAnsi="Palatino Linotype"/>
          <w:i/>
          <w:color w:val="000000"/>
        </w:rPr>
      </w:pPr>
      <w:r w:rsidRPr="007D6CE6">
        <w:rPr>
          <w:rFonts w:ascii="Palatino Linotype" w:eastAsia="Calibri" w:hAnsi="Palatino Linotype" w:cs="Arial"/>
          <w:lang w:val="es-ES"/>
        </w:rPr>
        <w:t xml:space="preserve">De las constancias que obran el expediente electrónico se tiene que </w:t>
      </w:r>
      <w:r w:rsidR="00BC0B13" w:rsidRPr="007D6CE6">
        <w:rPr>
          <w:rFonts w:ascii="Palatino Linotype" w:eastAsia="Calibri" w:hAnsi="Palatino Linotype" w:cs="Arial"/>
          <w:lang w:val="es-ES"/>
        </w:rPr>
        <w:t xml:space="preserve">por su parte el particular no manifestó lo que a su derecho convino, en cuanto al </w:t>
      </w:r>
      <w:r w:rsidRPr="007D6CE6">
        <w:rPr>
          <w:rFonts w:ascii="Palatino Linotype" w:eastAsia="Calibri" w:hAnsi="Palatino Linotype" w:cs="Arial"/>
          <w:b/>
          <w:lang w:val="es-ES"/>
        </w:rPr>
        <w:t>Sujeto Obligado</w:t>
      </w:r>
      <w:r w:rsidRPr="007D6CE6">
        <w:rPr>
          <w:rFonts w:ascii="Palatino Linotype" w:eastAsia="Calibri" w:hAnsi="Palatino Linotype" w:cs="Arial"/>
          <w:lang w:val="es-ES"/>
        </w:rPr>
        <w:t xml:space="preserve"> </w:t>
      </w:r>
      <w:r w:rsidR="00CA1C5F" w:rsidRPr="007D6CE6">
        <w:rPr>
          <w:rFonts w:ascii="Palatino Linotype" w:eastAsia="Calibri" w:hAnsi="Palatino Linotype" w:cs="Arial"/>
          <w:lang w:val="es-ES"/>
        </w:rPr>
        <w:t xml:space="preserve">en </w:t>
      </w:r>
      <w:r w:rsidR="00CA1C5F" w:rsidRPr="007D6CE6">
        <w:rPr>
          <w:rFonts w:ascii="Palatino Linotype" w:eastAsia="Calibri" w:hAnsi="Palatino Linotype" w:cs="Arial"/>
          <w:lang w:val="es-ES"/>
        </w:rPr>
        <w:lastRenderedPageBreak/>
        <w:t xml:space="preserve">fecha </w:t>
      </w:r>
      <w:r w:rsidR="00A1195C" w:rsidRPr="007D6CE6">
        <w:rPr>
          <w:rFonts w:ascii="Palatino Linotype" w:eastAsia="Calibri" w:hAnsi="Palatino Linotype" w:cs="Arial"/>
          <w:lang w:val="es-ES"/>
        </w:rPr>
        <w:t>veinticinco</w:t>
      </w:r>
      <w:r w:rsidR="00CA1C5F" w:rsidRPr="007D6CE6">
        <w:rPr>
          <w:rFonts w:ascii="Palatino Linotype" w:eastAsia="Calibri" w:hAnsi="Palatino Linotype" w:cs="Arial"/>
          <w:lang w:val="es-ES"/>
        </w:rPr>
        <w:t xml:space="preserve"> (</w:t>
      </w:r>
      <w:r w:rsidR="00A1195C" w:rsidRPr="007D6CE6">
        <w:rPr>
          <w:rFonts w:ascii="Palatino Linotype" w:eastAsia="Calibri" w:hAnsi="Palatino Linotype" w:cs="Arial"/>
          <w:lang w:val="es-ES"/>
        </w:rPr>
        <w:t>2</w:t>
      </w:r>
      <w:r w:rsidR="00CA1C5F" w:rsidRPr="007D6CE6">
        <w:rPr>
          <w:rFonts w:ascii="Palatino Linotype" w:eastAsia="Calibri" w:hAnsi="Palatino Linotype" w:cs="Arial"/>
          <w:lang w:val="es-ES"/>
        </w:rPr>
        <w:t xml:space="preserve">5) de </w:t>
      </w:r>
      <w:r w:rsidR="00A1195C" w:rsidRPr="007D6CE6">
        <w:rPr>
          <w:rFonts w:ascii="Palatino Linotype" w:eastAsia="Calibri" w:hAnsi="Palatino Linotype" w:cs="Arial"/>
          <w:lang w:val="es-ES"/>
        </w:rPr>
        <w:t>septiembre</w:t>
      </w:r>
      <w:r w:rsidR="00CA1C5F" w:rsidRPr="007D6CE6">
        <w:rPr>
          <w:rFonts w:ascii="Palatino Linotype" w:eastAsia="Calibri" w:hAnsi="Palatino Linotype" w:cs="Arial"/>
          <w:lang w:val="es-ES"/>
        </w:rPr>
        <w:t xml:space="preserve"> de dos mil diecinueve rindió su informe justificado, </w:t>
      </w:r>
      <w:r w:rsidR="00BC0B13" w:rsidRPr="007D6CE6">
        <w:rPr>
          <w:rFonts w:ascii="Palatino Linotype" w:eastAsia="Calibri" w:hAnsi="Palatino Linotype" w:cs="Arial"/>
          <w:lang w:val="es-ES"/>
        </w:rPr>
        <w:t>a través de los siguientes archivos:</w:t>
      </w:r>
    </w:p>
    <w:p w14:paraId="7F3F9AD0" w14:textId="77777777" w:rsidR="00BC0B13" w:rsidRPr="007D6CE6" w:rsidRDefault="00BC0B13" w:rsidP="007D6CE6">
      <w:pPr>
        <w:pStyle w:val="Prrafodelista"/>
        <w:spacing w:line="360" w:lineRule="auto"/>
        <w:ind w:left="567" w:right="616"/>
        <w:jc w:val="both"/>
        <w:rPr>
          <w:rFonts w:ascii="Palatino Linotype" w:hAnsi="Palatino Linotype"/>
          <w:i/>
          <w:color w:val="000000"/>
        </w:rPr>
      </w:pPr>
    </w:p>
    <w:p w14:paraId="77311FBE" w14:textId="07B4D923" w:rsidR="00BC0B13" w:rsidRPr="007D6CE6" w:rsidRDefault="00BC0B13" w:rsidP="007D6CE6">
      <w:pPr>
        <w:pStyle w:val="Prrafodelista"/>
        <w:spacing w:line="360" w:lineRule="auto"/>
        <w:ind w:left="567" w:right="616"/>
        <w:jc w:val="both"/>
        <w:rPr>
          <w:rFonts w:ascii="Palatino Linotype" w:eastAsia="Calibri" w:hAnsi="Palatino Linotype" w:cs="Arial"/>
          <w:lang w:val="es-ES"/>
        </w:rPr>
      </w:pPr>
      <w:bookmarkStart w:id="62" w:name="_Hlk23870879"/>
      <w:proofErr w:type="gramStart"/>
      <w:r w:rsidRPr="007D6CE6">
        <w:rPr>
          <w:rFonts w:ascii="Palatino Linotype" w:eastAsia="Calibri" w:hAnsi="Palatino Linotype" w:cs="Arial"/>
          <w:b/>
          <w:bCs/>
          <w:lang w:val="es-ES"/>
        </w:rPr>
        <w:t>1.IJ</w:t>
      </w:r>
      <w:proofErr w:type="gramEnd"/>
      <w:r w:rsidRPr="007D6CE6">
        <w:rPr>
          <w:rFonts w:ascii="Palatino Linotype" w:eastAsia="Calibri" w:hAnsi="Palatino Linotype" w:cs="Arial"/>
          <w:b/>
          <w:bCs/>
          <w:lang w:val="es-ES"/>
        </w:rPr>
        <w:t>_RR7338.pdf.</w:t>
      </w:r>
      <w:r w:rsidRPr="007D6CE6">
        <w:rPr>
          <w:rFonts w:ascii="Palatino Linotype" w:eastAsia="Calibri" w:hAnsi="Palatino Linotype" w:cs="Arial"/>
          <w:lang w:val="es-ES"/>
        </w:rPr>
        <w:t xml:space="preserve"> Archivo en formato PDF, cuyo contenido versa en un oficio de fecha no 400N13000/432/2019, de fecha veinticinco (25) de dos mil dos mil diecinueve, mediante el cual solicita sea confirmada la respuesta. </w:t>
      </w:r>
    </w:p>
    <w:p w14:paraId="67861264" w14:textId="77777777" w:rsidR="00BC0B13" w:rsidRPr="007D6CE6" w:rsidRDefault="00BC0B13" w:rsidP="007D6CE6">
      <w:pPr>
        <w:spacing w:line="360" w:lineRule="auto"/>
        <w:ind w:right="616"/>
        <w:jc w:val="both"/>
        <w:rPr>
          <w:rFonts w:ascii="Palatino Linotype" w:eastAsia="Calibri" w:hAnsi="Palatino Linotype" w:cs="Arial"/>
          <w:lang w:val="es-ES"/>
        </w:rPr>
      </w:pPr>
    </w:p>
    <w:p w14:paraId="1C5E976D" w14:textId="612FE99B" w:rsidR="00BC0B13" w:rsidRPr="007D6CE6" w:rsidRDefault="00BC0B13" w:rsidP="007D6CE6">
      <w:pPr>
        <w:pStyle w:val="Prrafodelista"/>
        <w:spacing w:line="360" w:lineRule="auto"/>
        <w:ind w:left="567" w:right="616"/>
        <w:jc w:val="both"/>
        <w:rPr>
          <w:rFonts w:ascii="Palatino Linotype" w:eastAsia="Calibri" w:hAnsi="Palatino Linotype" w:cs="Arial"/>
          <w:lang w:val="es-ES"/>
        </w:rPr>
      </w:pPr>
      <w:r w:rsidRPr="007D6CE6">
        <w:rPr>
          <w:rFonts w:ascii="Palatino Linotype" w:eastAsia="Calibri" w:hAnsi="Palatino Linotype" w:cs="Arial"/>
          <w:b/>
          <w:bCs/>
          <w:lang w:val="es-ES"/>
        </w:rPr>
        <w:t>3. Estatuto orgánico de la secretaria Ejecutiva del Sistema Estatal Anticorrupción.pdf</w:t>
      </w:r>
      <w:r w:rsidRPr="007D6CE6">
        <w:rPr>
          <w:rFonts w:ascii="Palatino Linotype" w:eastAsia="Calibri" w:hAnsi="Palatino Linotype" w:cs="Arial"/>
          <w:lang w:val="es-ES"/>
        </w:rPr>
        <w:t>. Archivo</w:t>
      </w:r>
      <w:r w:rsidR="00D06D8D" w:rsidRPr="007D6CE6">
        <w:rPr>
          <w:rFonts w:ascii="Palatino Linotype" w:eastAsia="Calibri" w:hAnsi="Palatino Linotype" w:cs="Arial"/>
          <w:lang w:val="es-ES"/>
        </w:rPr>
        <w:t xml:space="preserve"> en formato PDF cuyo contenido versa en el Estatuto Orgánico de la Secretaría Ejecutiva del Sistema Estatal Anticorrupción. </w:t>
      </w:r>
    </w:p>
    <w:p w14:paraId="11FABD03" w14:textId="77777777" w:rsidR="00BC0B13" w:rsidRPr="007D6CE6" w:rsidRDefault="00BC0B13" w:rsidP="007D6CE6">
      <w:pPr>
        <w:pStyle w:val="Prrafodelista"/>
        <w:spacing w:line="360" w:lineRule="auto"/>
        <w:ind w:left="567" w:right="616"/>
        <w:jc w:val="both"/>
        <w:rPr>
          <w:rFonts w:ascii="Palatino Linotype" w:eastAsia="Calibri" w:hAnsi="Palatino Linotype" w:cs="Arial"/>
          <w:lang w:val="es-ES"/>
        </w:rPr>
      </w:pPr>
    </w:p>
    <w:p w14:paraId="4757265C" w14:textId="17D388EC" w:rsidR="00BC0B13" w:rsidRPr="007D6CE6" w:rsidRDefault="00BC0B13" w:rsidP="007D6CE6">
      <w:pPr>
        <w:pStyle w:val="Prrafodelista"/>
        <w:spacing w:line="360" w:lineRule="auto"/>
        <w:ind w:left="567" w:right="616"/>
        <w:jc w:val="both"/>
        <w:rPr>
          <w:rFonts w:ascii="Palatino Linotype" w:eastAsia="Calibri" w:hAnsi="Palatino Linotype" w:cs="Arial"/>
          <w:lang w:val="es-ES"/>
        </w:rPr>
      </w:pPr>
      <w:r w:rsidRPr="007D6CE6">
        <w:rPr>
          <w:rFonts w:ascii="Palatino Linotype" w:eastAsia="Calibri" w:hAnsi="Palatino Linotype" w:cs="Arial"/>
          <w:b/>
          <w:bCs/>
          <w:lang w:val="es-ES"/>
        </w:rPr>
        <w:t>2. LEY DEL SISTEMA ANTICORRUPCIÓN DEL ESTADO DE MÉXICO Y MUNICIPIOS.pdf.</w:t>
      </w:r>
      <w:r w:rsidRPr="007D6CE6">
        <w:rPr>
          <w:rFonts w:ascii="Palatino Linotype" w:eastAsia="Calibri" w:hAnsi="Palatino Linotype" w:cs="Arial"/>
          <w:lang w:val="es-ES"/>
        </w:rPr>
        <w:t xml:space="preserve"> Archivo</w:t>
      </w:r>
      <w:r w:rsidR="00533EF4" w:rsidRPr="007D6CE6">
        <w:rPr>
          <w:rFonts w:ascii="Palatino Linotype" w:eastAsia="Calibri" w:hAnsi="Palatino Linotype" w:cs="Arial"/>
          <w:lang w:val="es-ES"/>
        </w:rPr>
        <w:t xml:space="preserve"> en formato PDF, cuyo contenido versa en la Ley del Sistema Anticorrupción del Estado de México y Municipios. </w:t>
      </w:r>
    </w:p>
    <w:bookmarkEnd w:id="62"/>
    <w:p w14:paraId="2A7052A8" w14:textId="77777777" w:rsidR="00BC0B13" w:rsidRPr="007D6CE6" w:rsidRDefault="00BC0B13" w:rsidP="007D6CE6">
      <w:pPr>
        <w:pStyle w:val="Prrafodelista"/>
        <w:spacing w:line="360" w:lineRule="auto"/>
        <w:ind w:left="0"/>
        <w:jc w:val="both"/>
        <w:rPr>
          <w:rFonts w:ascii="Palatino Linotype" w:hAnsi="Palatino Linotype"/>
          <w:i/>
          <w:color w:val="000000"/>
        </w:rPr>
      </w:pPr>
    </w:p>
    <w:p w14:paraId="3942767C" w14:textId="1C5B1F89" w:rsidR="00F25DC5" w:rsidRPr="007D6CE6" w:rsidRDefault="00687D49" w:rsidP="007D6CE6">
      <w:pPr>
        <w:pStyle w:val="Prrafodelista"/>
        <w:numPr>
          <w:ilvl w:val="0"/>
          <w:numId w:val="1"/>
        </w:numPr>
        <w:spacing w:line="360" w:lineRule="auto"/>
        <w:ind w:left="0" w:firstLine="0"/>
        <w:jc w:val="both"/>
        <w:rPr>
          <w:rFonts w:ascii="Palatino Linotype" w:hAnsi="Palatino Linotype"/>
          <w:b/>
        </w:rPr>
      </w:pPr>
      <w:r w:rsidRPr="007D6CE6">
        <w:rPr>
          <w:rFonts w:ascii="Palatino Linotype" w:hAnsi="Palatino Linotype"/>
        </w:rPr>
        <w:t>Mediante acuerdo de</w:t>
      </w:r>
      <w:r w:rsidR="0041336F" w:rsidRPr="007D6CE6">
        <w:rPr>
          <w:rFonts w:ascii="Palatino Linotype" w:hAnsi="Palatino Linotype"/>
        </w:rPr>
        <w:t xml:space="preserve"> </w:t>
      </w:r>
      <w:r w:rsidR="0041336F" w:rsidRPr="007D6CE6">
        <w:rPr>
          <w:rFonts w:ascii="Palatino Linotype" w:hAnsi="Palatino Linotype" w:cs="Arial"/>
        </w:rPr>
        <w:t>fe</w:t>
      </w:r>
      <w:r w:rsidR="00DB2BCC" w:rsidRPr="007D6CE6">
        <w:rPr>
          <w:rFonts w:ascii="Palatino Linotype" w:hAnsi="Palatino Linotype" w:cs="Arial"/>
        </w:rPr>
        <w:t xml:space="preserve">cha </w:t>
      </w:r>
      <w:r w:rsidR="00A1195C" w:rsidRPr="007D6CE6">
        <w:rPr>
          <w:rFonts w:ascii="Palatino Linotype" w:hAnsi="Palatino Linotype" w:cs="Arial"/>
        </w:rPr>
        <w:t>ocho (</w:t>
      </w:r>
      <w:r w:rsidRPr="007D6CE6">
        <w:rPr>
          <w:rFonts w:ascii="Palatino Linotype" w:hAnsi="Palatino Linotype" w:cs="Arial"/>
        </w:rPr>
        <w:t>0</w:t>
      </w:r>
      <w:r w:rsidR="00A1195C" w:rsidRPr="007D6CE6">
        <w:rPr>
          <w:rFonts w:ascii="Palatino Linotype" w:hAnsi="Palatino Linotype" w:cs="Arial"/>
        </w:rPr>
        <w:t>8</w:t>
      </w:r>
      <w:r w:rsidR="00DB2BCC" w:rsidRPr="007D6CE6">
        <w:rPr>
          <w:rFonts w:ascii="Palatino Linotype" w:hAnsi="Palatino Linotype" w:cs="Arial"/>
        </w:rPr>
        <w:t xml:space="preserve">) </w:t>
      </w:r>
      <w:r w:rsidR="0041336F" w:rsidRPr="007D6CE6">
        <w:rPr>
          <w:rFonts w:ascii="Palatino Linotype" w:hAnsi="Palatino Linotype" w:cs="Arial"/>
        </w:rPr>
        <w:t xml:space="preserve">de </w:t>
      </w:r>
      <w:r w:rsidR="00A1195C" w:rsidRPr="007D6CE6">
        <w:rPr>
          <w:rFonts w:ascii="Palatino Linotype" w:hAnsi="Palatino Linotype" w:cs="Arial"/>
        </w:rPr>
        <w:t>noviembre</w:t>
      </w:r>
      <w:r w:rsidRPr="007D6CE6">
        <w:rPr>
          <w:rFonts w:ascii="Palatino Linotype" w:hAnsi="Palatino Linotype" w:cs="Arial"/>
        </w:rPr>
        <w:t xml:space="preserve"> de dos mil</w:t>
      </w:r>
      <w:r w:rsidR="00CA1C5F" w:rsidRPr="007D6CE6">
        <w:rPr>
          <w:rFonts w:ascii="Palatino Linotype" w:hAnsi="Palatino Linotype" w:cs="Arial"/>
        </w:rPr>
        <w:t xml:space="preserve"> diecinueve</w:t>
      </w:r>
      <w:r w:rsidRPr="007D6CE6">
        <w:rPr>
          <w:rFonts w:ascii="Palatino Linotype" w:hAnsi="Palatino Linotype" w:cs="Arial"/>
        </w:rPr>
        <w:t xml:space="preserve">, </w:t>
      </w:r>
      <w:r w:rsidR="0041336F" w:rsidRPr="007D6CE6">
        <w:rPr>
          <w:rFonts w:ascii="Palatino Linotype" w:hAnsi="Palatino Linotype" w:cs="Arial"/>
        </w:rPr>
        <w:t xml:space="preserve">por instrucciones del </w:t>
      </w:r>
      <w:r w:rsidR="00585F00" w:rsidRPr="007D6CE6">
        <w:rPr>
          <w:rFonts w:ascii="Palatino Linotype" w:hAnsi="Palatino Linotype"/>
        </w:rPr>
        <w:t xml:space="preserve">Comisionado Ponente </w:t>
      </w:r>
      <w:r w:rsidRPr="007D6CE6">
        <w:rPr>
          <w:rFonts w:ascii="Palatino Linotype" w:hAnsi="Palatino Linotype"/>
        </w:rPr>
        <w:t xml:space="preserve">se </w:t>
      </w:r>
      <w:r w:rsidR="00585F00" w:rsidRPr="007D6CE6">
        <w:rPr>
          <w:rFonts w:ascii="Palatino Linotype" w:hAnsi="Palatino Linotype"/>
        </w:rPr>
        <w:t>decretó el cierre de instrucción</w:t>
      </w:r>
      <w:r w:rsidRPr="007D6CE6">
        <w:rPr>
          <w:rFonts w:ascii="Palatino Linotype" w:hAnsi="Palatino Linotype"/>
        </w:rPr>
        <w:t xml:space="preserve"> al recurso </w:t>
      </w:r>
      <w:r w:rsidR="00CA1C5F" w:rsidRPr="007D6CE6">
        <w:rPr>
          <w:rFonts w:ascii="Palatino Linotype" w:hAnsi="Palatino Linotype"/>
        </w:rPr>
        <w:t xml:space="preserve">que nos ocupa y en misma fecha, </w:t>
      </w:r>
      <w:r w:rsidRPr="007D6CE6">
        <w:rPr>
          <w:rFonts w:ascii="Palatino Linotype" w:hAnsi="Palatino Linotype" w:cs="Arial"/>
        </w:rPr>
        <w:t xml:space="preserve">se solicitó la ampliación del plazo a efecto de realizar un mejor estudio del asunto, </w:t>
      </w:r>
      <w:r w:rsidR="0041336F" w:rsidRPr="007D6CE6">
        <w:rPr>
          <w:rFonts w:ascii="Palatino Linotype" w:hAnsi="Palatino Linotype" w:cs="Arial"/>
        </w:rPr>
        <w:t xml:space="preserve">por lo que se </w:t>
      </w:r>
      <w:r w:rsidR="00585F00" w:rsidRPr="007D6CE6">
        <w:rPr>
          <w:rFonts w:ascii="Palatino Linotype" w:hAnsi="Palatino Linotype" w:cs="Arial"/>
        </w:rPr>
        <w:t>ordenó tur</w:t>
      </w:r>
      <w:r w:rsidR="00434B23" w:rsidRPr="007D6CE6">
        <w:rPr>
          <w:rFonts w:ascii="Palatino Linotype" w:hAnsi="Palatino Linotype" w:cs="Arial"/>
        </w:rPr>
        <w:t xml:space="preserve">nar el expediente a resolución, </w:t>
      </w:r>
      <w:r w:rsidR="0018629C" w:rsidRPr="007D6CE6">
        <w:rPr>
          <w:rFonts w:ascii="Palatino Linotype" w:hAnsi="Palatino Linotype" w:cs="Arial"/>
        </w:rPr>
        <w:t>misma q</w:t>
      </w:r>
      <w:r w:rsidR="0041336F" w:rsidRPr="007D6CE6">
        <w:rPr>
          <w:rFonts w:ascii="Palatino Linotype" w:hAnsi="Palatino Linotype" w:cs="Arial"/>
        </w:rPr>
        <w:t xml:space="preserve">ue a continuación se pronuncia. </w:t>
      </w:r>
    </w:p>
    <w:p w14:paraId="3D131195" w14:textId="77777777" w:rsidR="00262805" w:rsidRPr="007D6CE6" w:rsidRDefault="00262805" w:rsidP="007D6CE6">
      <w:pPr>
        <w:pStyle w:val="Prrafodelista"/>
        <w:spacing w:line="360" w:lineRule="auto"/>
        <w:ind w:left="0"/>
        <w:jc w:val="both"/>
        <w:rPr>
          <w:rFonts w:ascii="Palatino Linotype" w:hAnsi="Palatino Linotype" w:cs="Arial"/>
        </w:rPr>
      </w:pPr>
    </w:p>
    <w:p w14:paraId="569E70E8" w14:textId="77777777" w:rsidR="00703547" w:rsidRPr="007D6CE6" w:rsidRDefault="00703547" w:rsidP="007D6CE6">
      <w:pPr>
        <w:pStyle w:val="Prrafodelista"/>
        <w:spacing w:line="360" w:lineRule="auto"/>
        <w:ind w:left="0"/>
        <w:jc w:val="both"/>
        <w:rPr>
          <w:rFonts w:ascii="Palatino Linotype" w:hAnsi="Palatino Linotype" w:cs="Arial"/>
        </w:rPr>
      </w:pPr>
    </w:p>
    <w:p w14:paraId="7681ED66" w14:textId="709B9977" w:rsidR="00585F00" w:rsidRDefault="00585F00" w:rsidP="007D6CE6">
      <w:pPr>
        <w:pStyle w:val="Ttulo1"/>
        <w:spacing w:before="0" w:line="360" w:lineRule="auto"/>
        <w:jc w:val="center"/>
        <w:rPr>
          <w:b/>
          <w:szCs w:val="24"/>
        </w:rPr>
      </w:pPr>
      <w:bookmarkStart w:id="63" w:name="_Toc491791302"/>
      <w:bookmarkStart w:id="64" w:name="_Toc24040918"/>
      <w:r w:rsidRPr="007D6CE6">
        <w:rPr>
          <w:b/>
          <w:szCs w:val="24"/>
        </w:rPr>
        <w:lastRenderedPageBreak/>
        <w:t>CONSIDERANDO</w:t>
      </w:r>
      <w:bookmarkEnd w:id="63"/>
      <w:bookmarkEnd w:id="64"/>
    </w:p>
    <w:p w14:paraId="285B2775" w14:textId="77777777" w:rsidR="007D6CE6" w:rsidRPr="007D6CE6" w:rsidRDefault="007D6CE6" w:rsidP="007D6CE6">
      <w:pPr>
        <w:rPr>
          <w:lang w:val="es-MX" w:eastAsia="en-US"/>
        </w:rPr>
      </w:pPr>
    </w:p>
    <w:p w14:paraId="717D4ABA" w14:textId="30EA7072" w:rsidR="00585F00" w:rsidRPr="007D6CE6" w:rsidRDefault="00585F00" w:rsidP="007D6CE6">
      <w:pPr>
        <w:pStyle w:val="Ttulo2"/>
        <w:spacing w:before="0" w:line="360" w:lineRule="auto"/>
        <w:rPr>
          <w:rFonts w:ascii="Palatino Linotype" w:hAnsi="Palatino Linotype"/>
          <w:b/>
          <w:color w:val="auto"/>
          <w:sz w:val="24"/>
          <w:szCs w:val="24"/>
        </w:rPr>
      </w:pPr>
      <w:bookmarkStart w:id="65" w:name="_Toc491791303"/>
      <w:bookmarkStart w:id="66" w:name="_Toc24040919"/>
      <w:r w:rsidRPr="007D6CE6">
        <w:rPr>
          <w:rFonts w:ascii="Palatino Linotype" w:hAnsi="Palatino Linotype"/>
          <w:b/>
          <w:color w:val="auto"/>
          <w:sz w:val="24"/>
          <w:szCs w:val="24"/>
        </w:rPr>
        <w:t>PRIMERO. De la competencia</w:t>
      </w:r>
      <w:bookmarkEnd w:id="65"/>
      <w:r w:rsidR="00293D6D" w:rsidRPr="007D6CE6">
        <w:rPr>
          <w:rFonts w:ascii="Palatino Linotype" w:hAnsi="Palatino Linotype"/>
          <w:b/>
          <w:color w:val="auto"/>
          <w:sz w:val="24"/>
          <w:szCs w:val="24"/>
        </w:rPr>
        <w:t>.</w:t>
      </w:r>
      <w:bookmarkEnd w:id="66"/>
    </w:p>
    <w:p w14:paraId="6EA8B854" w14:textId="77777777" w:rsidR="00585F00" w:rsidRPr="007D6CE6" w:rsidRDefault="00585F00" w:rsidP="007D6CE6">
      <w:pPr>
        <w:spacing w:line="360" w:lineRule="auto"/>
        <w:rPr>
          <w:rFonts w:ascii="Palatino Linotype" w:hAnsi="Palatino Linotype"/>
          <w:lang w:val="es-MX" w:eastAsia="en-US"/>
        </w:rPr>
      </w:pPr>
    </w:p>
    <w:p w14:paraId="1A2AC03F" w14:textId="175E4D26" w:rsidR="001F5AF8" w:rsidRPr="007D6CE6" w:rsidRDefault="00357253" w:rsidP="007D6CE6">
      <w:pPr>
        <w:pStyle w:val="Prrafodelista"/>
        <w:numPr>
          <w:ilvl w:val="0"/>
          <w:numId w:val="1"/>
        </w:numPr>
        <w:spacing w:line="360" w:lineRule="auto"/>
        <w:ind w:left="0" w:firstLine="0"/>
        <w:jc w:val="both"/>
        <w:rPr>
          <w:rFonts w:ascii="Palatino Linotype" w:eastAsia="Calibri" w:hAnsi="Palatino Linotype" w:cs="Times New Roman"/>
          <w:lang w:val="es-ES"/>
        </w:rPr>
      </w:pPr>
      <w:r w:rsidRPr="007D6CE6">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CA1C5F" w:rsidRPr="007D6CE6">
        <w:rPr>
          <w:rFonts w:ascii="Palatino Linotype" w:eastAsia="Calibri" w:hAnsi="Palatino Linotype" w:cs="Times New Roman"/>
          <w:lang w:val="es-ES"/>
        </w:rPr>
        <w:t xml:space="preserve"> segundo</w:t>
      </w:r>
      <w:r w:rsidRPr="007D6CE6">
        <w:rPr>
          <w:rFonts w:ascii="Palatino Linotype" w:eastAsia="Calibri" w:hAnsi="Palatino Linotype" w:cs="Times New Roman"/>
          <w:lang w:val="es-ES"/>
        </w:rPr>
        <w:t xml:space="preserve">, vigésimo </w:t>
      </w:r>
      <w:r w:rsidR="00CA1C5F" w:rsidRPr="007D6CE6">
        <w:rPr>
          <w:rFonts w:ascii="Palatino Linotype" w:eastAsia="Calibri" w:hAnsi="Palatino Linotype" w:cs="Times New Roman"/>
          <w:lang w:val="es-ES"/>
        </w:rPr>
        <w:t>tercero</w:t>
      </w:r>
      <w:r w:rsidRPr="007D6CE6">
        <w:rPr>
          <w:rFonts w:ascii="Palatino Linotype" w:eastAsia="Calibri" w:hAnsi="Palatino Linotype" w:cs="Times New Roman"/>
          <w:lang w:val="es-ES"/>
        </w:rPr>
        <w:t xml:space="preserve"> y vigésimo </w:t>
      </w:r>
      <w:r w:rsidR="00CA1C5F" w:rsidRPr="007D6CE6">
        <w:rPr>
          <w:rFonts w:ascii="Palatino Linotype" w:eastAsia="Calibri" w:hAnsi="Palatino Linotype" w:cs="Times New Roman"/>
          <w:lang w:val="es-ES"/>
        </w:rPr>
        <w:t>cuarto</w:t>
      </w:r>
      <w:r w:rsidR="00703547" w:rsidRPr="007D6CE6">
        <w:rPr>
          <w:rFonts w:ascii="Palatino Linotype" w:eastAsia="Calibri" w:hAnsi="Palatino Linotype" w:cs="Times New Roman"/>
          <w:lang w:val="es-ES"/>
        </w:rPr>
        <w:t>,</w:t>
      </w:r>
      <w:r w:rsidRPr="007D6CE6">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7D6CE6">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7D6CE6" w:rsidRDefault="000D13EA" w:rsidP="007D6CE6">
      <w:pPr>
        <w:pStyle w:val="Prrafodelista"/>
        <w:spacing w:line="360" w:lineRule="auto"/>
        <w:ind w:left="0"/>
        <w:jc w:val="both"/>
        <w:rPr>
          <w:rFonts w:ascii="Palatino Linotype" w:eastAsia="Calibri" w:hAnsi="Palatino Linotype" w:cs="Times New Roman"/>
          <w:lang w:val="es-ES"/>
        </w:rPr>
      </w:pPr>
    </w:p>
    <w:p w14:paraId="23C784AF" w14:textId="77777777" w:rsidR="00585F00" w:rsidRPr="007D6CE6" w:rsidRDefault="00585F00" w:rsidP="007D6CE6">
      <w:pPr>
        <w:pStyle w:val="Ttulo2"/>
        <w:spacing w:before="0" w:line="360" w:lineRule="auto"/>
        <w:rPr>
          <w:rFonts w:ascii="Palatino Linotype" w:hAnsi="Palatino Linotype"/>
          <w:b/>
          <w:color w:val="auto"/>
          <w:sz w:val="24"/>
          <w:szCs w:val="24"/>
        </w:rPr>
      </w:pPr>
      <w:bookmarkStart w:id="67" w:name="_Toc491791304"/>
      <w:bookmarkStart w:id="68" w:name="_Toc24040920"/>
      <w:r w:rsidRPr="007D6CE6">
        <w:rPr>
          <w:rFonts w:ascii="Palatino Linotype" w:hAnsi="Palatino Linotype"/>
          <w:b/>
          <w:color w:val="auto"/>
          <w:sz w:val="24"/>
          <w:szCs w:val="24"/>
        </w:rPr>
        <w:t>SEGUNDO. De la oportunidad y procedencia.</w:t>
      </w:r>
      <w:bookmarkEnd w:id="67"/>
      <w:bookmarkEnd w:id="68"/>
    </w:p>
    <w:p w14:paraId="46BC18EE" w14:textId="77777777" w:rsidR="00361A0C" w:rsidRPr="007D6CE6" w:rsidRDefault="00361A0C" w:rsidP="007D6CE6">
      <w:pPr>
        <w:spacing w:line="360" w:lineRule="auto"/>
        <w:rPr>
          <w:rFonts w:ascii="Palatino Linotype" w:hAnsi="Palatino Linotype"/>
          <w:lang w:val="es-MX" w:eastAsia="en-US"/>
        </w:rPr>
      </w:pPr>
    </w:p>
    <w:p w14:paraId="111F3421" w14:textId="4BA769AC" w:rsidR="00873395" w:rsidRPr="007D6CE6" w:rsidRDefault="00361A0C" w:rsidP="007D6CE6">
      <w:pPr>
        <w:pStyle w:val="Prrafodelista"/>
        <w:numPr>
          <w:ilvl w:val="0"/>
          <w:numId w:val="1"/>
        </w:numPr>
        <w:spacing w:line="360" w:lineRule="auto"/>
        <w:ind w:left="0" w:firstLine="0"/>
        <w:jc w:val="both"/>
        <w:rPr>
          <w:rFonts w:ascii="Palatino Linotype" w:eastAsia="Calibri" w:hAnsi="Palatino Linotype" w:cs="Arial"/>
          <w:b/>
        </w:rPr>
      </w:pPr>
      <w:r w:rsidRPr="007D6CE6">
        <w:rPr>
          <w:rFonts w:ascii="Palatino Linotype" w:eastAsia="Calibri" w:hAnsi="Palatino Linotype" w:cs="Arial"/>
        </w:rPr>
        <w:t>El medio de impugnación fue presentado a través del Sistema de Acceso a la Información Mexiquense (SAIMEX)</w:t>
      </w:r>
      <w:r w:rsidRPr="007D6CE6">
        <w:rPr>
          <w:rFonts w:ascii="Palatino Linotype" w:eastAsia="Calibri" w:hAnsi="Palatino Linotype" w:cs="Arial"/>
          <w:b/>
        </w:rPr>
        <w:t>,</w:t>
      </w:r>
      <w:r w:rsidRPr="007D6CE6">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7D6CE6">
        <w:rPr>
          <w:rFonts w:ascii="Palatino Linotype" w:eastAsia="Calibri" w:hAnsi="Palatino Linotype" w:cs="Arial"/>
          <w:b/>
        </w:rPr>
        <w:t>Sujeto Obligado</w:t>
      </w:r>
      <w:r w:rsidR="00D96BE8" w:rsidRPr="007D6CE6">
        <w:rPr>
          <w:rFonts w:ascii="Palatino Linotype" w:eastAsia="Calibri" w:hAnsi="Palatino Linotype" w:cs="Arial"/>
        </w:rPr>
        <w:t xml:space="preserve"> </w:t>
      </w:r>
      <w:r w:rsidR="00357253" w:rsidRPr="007D6CE6">
        <w:rPr>
          <w:rFonts w:ascii="Palatino Linotype" w:eastAsia="Calibri" w:hAnsi="Palatino Linotype" w:cs="Arial"/>
        </w:rPr>
        <w:t>emitió respuesta el d</w:t>
      </w:r>
      <w:r w:rsidR="00A1195C" w:rsidRPr="007D6CE6">
        <w:rPr>
          <w:rFonts w:ascii="Palatino Linotype" w:eastAsia="Calibri" w:hAnsi="Palatino Linotype" w:cs="Arial"/>
        </w:rPr>
        <w:t xml:space="preserve">iez </w:t>
      </w:r>
      <w:r w:rsidRPr="007D6CE6">
        <w:rPr>
          <w:rFonts w:ascii="Palatino Linotype" w:eastAsia="Calibri" w:hAnsi="Palatino Linotype" w:cs="Arial"/>
        </w:rPr>
        <w:t>(</w:t>
      </w:r>
      <w:r w:rsidR="00A1195C" w:rsidRPr="007D6CE6">
        <w:rPr>
          <w:rFonts w:ascii="Palatino Linotype" w:eastAsia="Calibri" w:hAnsi="Palatino Linotype" w:cs="Arial"/>
        </w:rPr>
        <w:t>10</w:t>
      </w:r>
      <w:r w:rsidR="00EC5B26" w:rsidRPr="007D6CE6">
        <w:rPr>
          <w:rFonts w:ascii="Palatino Linotype" w:eastAsia="Calibri" w:hAnsi="Palatino Linotype" w:cs="Arial"/>
        </w:rPr>
        <w:t>)</w:t>
      </w:r>
      <w:r w:rsidR="006F57FD" w:rsidRPr="007D6CE6">
        <w:rPr>
          <w:rFonts w:ascii="Palatino Linotype" w:eastAsia="Calibri" w:hAnsi="Palatino Linotype" w:cs="Arial"/>
        </w:rPr>
        <w:t xml:space="preserve"> de</w:t>
      </w:r>
      <w:r w:rsidR="00357253" w:rsidRPr="007D6CE6">
        <w:rPr>
          <w:rFonts w:ascii="Palatino Linotype" w:eastAsia="Calibri" w:hAnsi="Palatino Linotype" w:cs="Arial"/>
        </w:rPr>
        <w:t xml:space="preserve"> </w:t>
      </w:r>
      <w:r w:rsidR="00A1195C" w:rsidRPr="007D6CE6">
        <w:rPr>
          <w:rFonts w:ascii="Palatino Linotype" w:eastAsia="Calibri" w:hAnsi="Palatino Linotype" w:cs="Arial"/>
        </w:rPr>
        <w:t>septiembre</w:t>
      </w:r>
      <w:r w:rsidR="00357253" w:rsidRPr="007D6CE6">
        <w:rPr>
          <w:rFonts w:ascii="Palatino Linotype" w:eastAsia="Calibri" w:hAnsi="Palatino Linotype" w:cs="Arial"/>
        </w:rPr>
        <w:t xml:space="preserve"> </w:t>
      </w:r>
      <w:r w:rsidR="006F57FD" w:rsidRPr="007D6CE6">
        <w:rPr>
          <w:rFonts w:ascii="Palatino Linotype" w:eastAsia="Calibri" w:hAnsi="Palatino Linotype" w:cs="Arial"/>
        </w:rPr>
        <w:t>de dos mil dieci</w:t>
      </w:r>
      <w:r w:rsidR="00843727" w:rsidRPr="007D6CE6">
        <w:rPr>
          <w:rFonts w:ascii="Palatino Linotype" w:eastAsia="Calibri" w:hAnsi="Palatino Linotype" w:cs="Arial"/>
        </w:rPr>
        <w:t>nueve</w:t>
      </w:r>
      <w:r w:rsidRPr="007D6CE6">
        <w:rPr>
          <w:rFonts w:ascii="Palatino Linotype" w:eastAsia="Calibri" w:hAnsi="Palatino Linotype" w:cs="Arial"/>
        </w:rPr>
        <w:t>, de tal forma que el plazo para interponer</w:t>
      </w:r>
      <w:r w:rsidR="00184881" w:rsidRPr="007D6CE6">
        <w:rPr>
          <w:rFonts w:ascii="Palatino Linotype" w:eastAsia="Calibri" w:hAnsi="Palatino Linotype" w:cs="Arial"/>
        </w:rPr>
        <w:t xml:space="preserve"> el recurs</w:t>
      </w:r>
      <w:r w:rsidR="00357253" w:rsidRPr="007D6CE6">
        <w:rPr>
          <w:rFonts w:ascii="Palatino Linotype" w:eastAsia="Calibri" w:hAnsi="Palatino Linotype" w:cs="Arial"/>
        </w:rPr>
        <w:t xml:space="preserve">o transcurrió del día </w:t>
      </w:r>
      <w:r w:rsidR="00A1195C" w:rsidRPr="007D6CE6">
        <w:rPr>
          <w:rFonts w:ascii="Palatino Linotype" w:eastAsia="Calibri" w:hAnsi="Palatino Linotype" w:cs="Arial"/>
        </w:rPr>
        <w:t>once</w:t>
      </w:r>
      <w:r w:rsidR="00EC5B26" w:rsidRPr="007D6CE6">
        <w:rPr>
          <w:rFonts w:ascii="Palatino Linotype" w:eastAsia="Calibri" w:hAnsi="Palatino Linotype" w:cs="Arial"/>
        </w:rPr>
        <w:t xml:space="preserve"> </w:t>
      </w:r>
      <w:r w:rsidRPr="007D6CE6">
        <w:rPr>
          <w:rFonts w:ascii="Palatino Linotype" w:eastAsia="Calibri" w:hAnsi="Palatino Linotype" w:cs="Arial"/>
        </w:rPr>
        <w:t>(</w:t>
      </w:r>
      <w:r w:rsidR="00A1195C" w:rsidRPr="007D6CE6">
        <w:rPr>
          <w:rFonts w:ascii="Palatino Linotype" w:eastAsia="Calibri" w:hAnsi="Palatino Linotype" w:cs="Arial"/>
        </w:rPr>
        <w:t>1</w:t>
      </w:r>
      <w:r w:rsidR="00D055F8" w:rsidRPr="007D6CE6">
        <w:rPr>
          <w:rFonts w:ascii="Palatino Linotype" w:eastAsia="Calibri" w:hAnsi="Palatino Linotype" w:cs="Arial"/>
        </w:rPr>
        <w:t>1</w:t>
      </w:r>
      <w:r w:rsidR="00357253" w:rsidRPr="007D6CE6">
        <w:rPr>
          <w:rFonts w:ascii="Palatino Linotype" w:eastAsia="Calibri" w:hAnsi="Palatino Linotype" w:cs="Arial"/>
        </w:rPr>
        <w:t xml:space="preserve">) de </w:t>
      </w:r>
      <w:r w:rsidR="00A1195C" w:rsidRPr="007D6CE6">
        <w:rPr>
          <w:rFonts w:ascii="Palatino Linotype" w:eastAsia="Calibri" w:hAnsi="Palatino Linotype" w:cs="Arial"/>
        </w:rPr>
        <w:t>septiembre</w:t>
      </w:r>
      <w:r w:rsidR="00EC5B26" w:rsidRPr="007D6CE6">
        <w:rPr>
          <w:rFonts w:ascii="Palatino Linotype" w:eastAsia="Calibri" w:hAnsi="Palatino Linotype" w:cs="Arial"/>
        </w:rPr>
        <w:t xml:space="preserve"> </w:t>
      </w:r>
      <w:r w:rsidRPr="007D6CE6">
        <w:rPr>
          <w:rFonts w:ascii="Palatino Linotype" w:eastAsia="Calibri" w:hAnsi="Palatino Linotype" w:cs="Arial"/>
        </w:rPr>
        <w:t xml:space="preserve">al </w:t>
      </w:r>
      <w:r w:rsidR="00A1195C" w:rsidRPr="007D6CE6">
        <w:rPr>
          <w:rFonts w:ascii="Palatino Linotype" w:eastAsia="Calibri" w:hAnsi="Palatino Linotype" w:cs="Arial"/>
        </w:rPr>
        <w:t>dos</w:t>
      </w:r>
      <w:r w:rsidR="00293D6D" w:rsidRPr="007D6CE6">
        <w:rPr>
          <w:rFonts w:ascii="Palatino Linotype" w:eastAsia="Calibri" w:hAnsi="Palatino Linotype" w:cs="Arial"/>
        </w:rPr>
        <w:t xml:space="preserve"> </w:t>
      </w:r>
      <w:r w:rsidRPr="007D6CE6">
        <w:rPr>
          <w:rFonts w:ascii="Palatino Linotype" w:eastAsia="Calibri" w:hAnsi="Palatino Linotype" w:cs="Arial"/>
        </w:rPr>
        <w:t>(</w:t>
      </w:r>
      <w:r w:rsidR="00A1195C" w:rsidRPr="007D6CE6">
        <w:rPr>
          <w:rFonts w:ascii="Palatino Linotype" w:eastAsia="Calibri" w:hAnsi="Palatino Linotype" w:cs="Arial"/>
        </w:rPr>
        <w:t>02</w:t>
      </w:r>
      <w:r w:rsidR="00357253" w:rsidRPr="007D6CE6">
        <w:rPr>
          <w:rFonts w:ascii="Palatino Linotype" w:eastAsia="Calibri" w:hAnsi="Palatino Linotype" w:cs="Arial"/>
        </w:rPr>
        <w:t xml:space="preserve">) de </w:t>
      </w:r>
      <w:r w:rsidR="00A1195C" w:rsidRPr="007D6CE6">
        <w:rPr>
          <w:rFonts w:ascii="Palatino Linotype" w:eastAsia="Calibri" w:hAnsi="Palatino Linotype" w:cs="Arial"/>
        </w:rPr>
        <w:t>octubre</w:t>
      </w:r>
      <w:r w:rsidRPr="007D6CE6">
        <w:rPr>
          <w:rFonts w:ascii="Palatino Linotype" w:eastAsia="Calibri" w:hAnsi="Palatino Linotype" w:cs="Arial"/>
        </w:rPr>
        <w:t xml:space="preserve"> </w:t>
      </w:r>
      <w:r w:rsidR="00843727" w:rsidRPr="007D6CE6">
        <w:rPr>
          <w:rFonts w:ascii="Palatino Linotype" w:eastAsia="Calibri" w:hAnsi="Palatino Linotype" w:cs="Arial"/>
        </w:rPr>
        <w:t>del presente año</w:t>
      </w:r>
      <w:r w:rsidR="00DB2BCC" w:rsidRPr="007D6CE6">
        <w:rPr>
          <w:rFonts w:ascii="Palatino Linotype" w:eastAsia="Calibri" w:hAnsi="Palatino Linotype" w:cs="Arial"/>
        </w:rPr>
        <w:t xml:space="preserve">; en consecuencia, </w:t>
      </w:r>
      <w:r w:rsidR="00357253" w:rsidRPr="007D6CE6">
        <w:rPr>
          <w:rFonts w:ascii="Palatino Linotype" w:eastAsia="Calibri" w:hAnsi="Palatino Linotype" w:cs="Arial"/>
        </w:rPr>
        <w:t xml:space="preserve">la hoy </w:t>
      </w:r>
      <w:r w:rsidR="00357253" w:rsidRPr="007D6CE6">
        <w:rPr>
          <w:rFonts w:ascii="Palatino Linotype" w:eastAsia="Calibri" w:hAnsi="Palatino Linotype" w:cs="Arial"/>
          <w:b/>
        </w:rPr>
        <w:lastRenderedPageBreak/>
        <w:t>RECURRENTE</w:t>
      </w:r>
      <w:r w:rsidR="00357253" w:rsidRPr="007D6CE6">
        <w:rPr>
          <w:rFonts w:ascii="Palatino Linotype" w:eastAsia="Calibri" w:hAnsi="Palatino Linotype" w:cs="Arial"/>
        </w:rPr>
        <w:t xml:space="preserve"> </w:t>
      </w:r>
      <w:r w:rsidRPr="007D6CE6">
        <w:rPr>
          <w:rFonts w:ascii="Palatino Linotype" w:eastAsia="Calibri" w:hAnsi="Palatino Linotype" w:cs="Arial"/>
        </w:rPr>
        <w:t xml:space="preserve"> p</w:t>
      </w:r>
      <w:r w:rsidR="000540ED" w:rsidRPr="007D6CE6">
        <w:rPr>
          <w:rFonts w:ascii="Palatino Linotype" w:eastAsia="Calibri" w:hAnsi="Palatino Linotype" w:cs="Arial"/>
        </w:rPr>
        <w:t xml:space="preserve">resentó su inconformidad el día </w:t>
      </w:r>
      <w:r w:rsidR="00D055F8" w:rsidRPr="007D6CE6">
        <w:rPr>
          <w:rFonts w:ascii="Palatino Linotype" w:eastAsia="Calibri" w:hAnsi="Palatino Linotype" w:cs="Arial"/>
        </w:rPr>
        <w:t>d</w:t>
      </w:r>
      <w:r w:rsidR="00A1195C" w:rsidRPr="007D6CE6">
        <w:rPr>
          <w:rFonts w:ascii="Palatino Linotype" w:eastAsia="Calibri" w:hAnsi="Palatino Linotype" w:cs="Arial"/>
        </w:rPr>
        <w:t>iez</w:t>
      </w:r>
      <w:r w:rsidR="00EC5B26" w:rsidRPr="007D6CE6">
        <w:rPr>
          <w:rFonts w:ascii="Palatino Linotype" w:eastAsia="Calibri" w:hAnsi="Palatino Linotype" w:cs="Arial"/>
        </w:rPr>
        <w:t xml:space="preserve"> </w:t>
      </w:r>
      <w:r w:rsidRPr="007D6CE6">
        <w:rPr>
          <w:rFonts w:ascii="Palatino Linotype" w:eastAsia="Calibri" w:hAnsi="Palatino Linotype" w:cs="Arial"/>
        </w:rPr>
        <w:t>(</w:t>
      </w:r>
      <w:r w:rsidR="00A1195C" w:rsidRPr="007D6CE6">
        <w:rPr>
          <w:rFonts w:ascii="Palatino Linotype" w:eastAsia="Calibri" w:hAnsi="Palatino Linotype" w:cs="Arial"/>
        </w:rPr>
        <w:t>10</w:t>
      </w:r>
      <w:r w:rsidR="00357253" w:rsidRPr="007D6CE6">
        <w:rPr>
          <w:rFonts w:ascii="Palatino Linotype" w:eastAsia="Calibri" w:hAnsi="Palatino Linotype" w:cs="Arial"/>
        </w:rPr>
        <w:t xml:space="preserve">) de </w:t>
      </w:r>
      <w:r w:rsidR="00A1195C" w:rsidRPr="007D6CE6">
        <w:rPr>
          <w:rFonts w:ascii="Palatino Linotype" w:eastAsia="Calibri" w:hAnsi="Palatino Linotype" w:cs="Arial"/>
        </w:rPr>
        <w:t>septiembre</w:t>
      </w:r>
      <w:r w:rsidRPr="007D6CE6">
        <w:rPr>
          <w:rFonts w:ascii="Palatino Linotype" w:eastAsia="Calibri" w:hAnsi="Palatino Linotype" w:cs="Arial"/>
        </w:rPr>
        <w:t xml:space="preserve"> </w:t>
      </w:r>
      <w:r w:rsidR="006F57FD" w:rsidRPr="007D6CE6">
        <w:rPr>
          <w:rFonts w:ascii="Palatino Linotype" w:eastAsia="Calibri" w:hAnsi="Palatino Linotype" w:cs="Arial"/>
        </w:rPr>
        <w:t>de</w:t>
      </w:r>
      <w:r w:rsidR="00843727" w:rsidRPr="007D6CE6">
        <w:rPr>
          <w:rFonts w:ascii="Palatino Linotype" w:eastAsia="Calibri" w:hAnsi="Palatino Linotype" w:cs="Arial"/>
        </w:rPr>
        <w:t xml:space="preserve"> dos mil diecinueve</w:t>
      </w:r>
      <w:r w:rsidR="0041336F" w:rsidRPr="007D6CE6">
        <w:rPr>
          <w:rFonts w:ascii="Palatino Linotype" w:eastAsia="Calibri" w:hAnsi="Palatino Linotype" w:cs="Arial"/>
        </w:rPr>
        <w:t>.</w:t>
      </w:r>
    </w:p>
    <w:p w14:paraId="708DD5CE" w14:textId="77777777" w:rsidR="00873395" w:rsidRPr="007D6CE6" w:rsidRDefault="00873395" w:rsidP="007D6CE6">
      <w:pPr>
        <w:pStyle w:val="Prrafodelista"/>
        <w:spacing w:line="360" w:lineRule="auto"/>
        <w:ind w:left="0"/>
        <w:jc w:val="both"/>
        <w:rPr>
          <w:rFonts w:ascii="Palatino Linotype" w:eastAsia="Calibri" w:hAnsi="Palatino Linotype" w:cs="Arial"/>
          <w:b/>
        </w:rPr>
      </w:pPr>
    </w:p>
    <w:p w14:paraId="3C9BF8C0" w14:textId="2248B9FA" w:rsidR="00A1195C" w:rsidRPr="007D6CE6" w:rsidRDefault="00A1195C" w:rsidP="007D6CE6">
      <w:pPr>
        <w:pStyle w:val="Prrafodelista"/>
        <w:numPr>
          <w:ilvl w:val="0"/>
          <w:numId w:val="1"/>
        </w:numPr>
        <w:spacing w:line="360" w:lineRule="auto"/>
        <w:ind w:left="0" w:right="49" w:firstLine="0"/>
        <w:jc w:val="both"/>
        <w:rPr>
          <w:rFonts w:ascii="Palatino Linotype" w:eastAsia="Calibri" w:hAnsi="Palatino Linotype" w:cs="Arial"/>
          <w:b/>
        </w:rPr>
      </w:pPr>
      <w:r w:rsidRPr="007D6CE6">
        <w:rPr>
          <w:rFonts w:ascii="Palatino Linotype" w:eastAsia="Calibri" w:hAnsi="Palatino Linotype" w:cs="Arial"/>
        </w:rPr>
        <w:t xml:space="preserve">Es importante hacer mención que el </w:t>
      </w:r>
      <w:r w:rsidRPr="007D6CE6">
        <w:rPr>
          <w:rFonts w:ascii="Palatino Linotype" w:eastAsia="Calibri" w:hAnsi="Palatino Linotype" w:cs="Arial"/>
          <w:b/>
        </w:rPr>
        <w:t>Sujeto Obligado</w:t>
      </w:r>
      <w:r w:rsidRPr="007D6CE6">
        <w:rPr>
          <w:rFonts w:ascii="Palatino Linotype" w:eastAsia="Calibri" w:hAnsi="Palatino Linotype" w:cs="Arial"/>
        </w:rPr>
        <w:t xml:space="preserve"> dio respuesta a la solicitud el día diez (10) de septiembre del año corriente y por su parte el recurrente interpuso el presente recurso de revisión el mismo día en el que se dio respuesta, por lo que la ley en la materia se pronuncia al tenor de lo siguiente:</w:t>
      </w:r>
    </w:p>
    <w:p w14:paraId="46A2A7C7" w14:textId="77777777" w:rsidR="00A1195C" w:rsidRPr="007D6CE6" w:rsidRDefault="00A1195C" w:rsidP="007D6CE6">
      <w:pPr>
        <w:pStyle w:val="Prrafodelista"/>
        <w:spacing w:line="360" w:lineRule="auto"/>
        <w:ind w:left="0" w:right="49"/>
        <w:jc w:val="both"/>
        <w:rPr>
          <w:rFonts w:ascii="Palatino Linotype" w:eastAsia="Calibri" w:hAnsi="Palatino Linotype" w:cs="Arial"/>
          <w:b/>
        </w:rPr>
      </w:pPr>
    </w:p>
    <w:p w14:paraId="690B68D0" w14:textId="77777777" w:rsidR="00A1195C" w:rsidRPr="007D6CE6" w:rsidRDefault="00A1195C" w:rsidP="007D6CE6">
      <w:pPr>
        <w:pStyle w:val="Prrafodelista"/>
        <w:spacing w:line="360" w:lineRule="auto"/>
        <w:ind w:left="567" w:right="567"/>
        <w:jc w:val="both"/>
        <w:rPr>
          <w:rFonts w:ascii="Palatino Linotype" w:eastAsia="Calibri" w:hAnsi="Palatino Linotype" w:cs="Arial"/>
        </w:rPr>
      </w:pPr>
      <w:r w:rsidRPr="007D6CE6">
        <w:rPr>
          <w:rFonts w:ascii="Palatino Linotype" w:eastAsia="Calibri" w:hAnsi="Palatino Linotype" w:cs="Arial"/>
        </w:rPr>
        <w:t>“</w:t>
      </w:r>
      <w:r w:rsidRPr="007D6CE6">
        <w:rPr>
          <w:rFonts w:ascii="Palatino Linotype" w:eastAsia="Calibri" w:hAnsi="Palatino Linotype" w:cs="Arial"/>
          <w:b/>
          <w:bCs/>
        </w:rPr>
        <w:t>Artículo 178.</w:t>
      </w:r>
      <w:r w:rsidRPr="007D6CE6">
        <w:rPr>
          <w:rFonts w:ascii="Palatino Linotype" w:eastAsia="Calibri" w:hAnsi="Palatino Linotype" w:cs="Aria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5C0E680" w14:textId="77777777" w:rsidR="00A1195C" w:rsidRPr="007D6CE6" w:rsidRDefault="00A1195C" w:rsidP="007D6CE6">
      <w:pPr>
        <w:pStyle w:val="Prrafodelista"/>
        <w:spacing w:line="360" w:lineRule="auto"/>
        <w:rPr>
          <w:rFonts w:ascii="Palatino Linotype" w:eastAsia="Times New Roman" w:hAnsi="Palatino Linotype" w:cs="Arial"/>
          <w:bCs/>
          <w:color w:val="555555"/>
          <w:lang w:val="es-MX" w:eastAsia="es-MX"/>
        </w:rPr>
      </w:pPr>
    </w:p>
    <w:p w14:paraId="0457AEC5" w14:textId="77777777" w:rsidR="00A1195C" w:rsidRPr="007D6CE6" w:rsidRDefault="00A1195C" w:rsidP="007D6CE6">
      <w:pPr>
        <w:pStyle w:val="Prrafodelista"/>
        <w:numPr>
          <w:ilvl w:val="0"/>
          <w:numId w:val="1"/>
        </w:numPr>
        <w:spacing w:line="360" w:lineRule="auto"/>
        <w:ind w:left="0" w:firstLine="0"/>
        <w:jc w:val="both"/>
        <w:rPr>
          <w:rFonts w:ascii="Palatino Linotype" w:eastAsia="Calibri" w:hAnsi="Palatino Linotype" w:cs="Arial"/>
        </w:rPr>
      </w:pPr>
      <w:r w:rsidRPr="007D6CE6">
        <w:rPr>
          <w:rFonts w:ascii="Palatino Linotype" w:eastAsia="Calibri" w:hAnsi="Palatino Linotype" w:cs="Arial"/>
        </w:rPr>
        <w:t>La ley en materia prevé que el recurrente podrá interponer el recurso de revisión dentro de los 15 días posteriores a la notificación de la respuesta, más no limita a que el recurrente pueda interponer su medio de defensa desde el día en que se notificó la respuesta, sirve de apoyo el contenido del 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32D86F31" w14:textId="77777777" w:rsidR="00A1195C" w:rsidRPr="007D6CE6" w:rsidRDefault="00A1195C" w:rsidP="007D6CE6">
      <w:pPr>
        <w:spacing w:line="360" w:lineRule="auto"/>
        <w:ind w:left="426"/>
        <w:contextualSpacing/>
        <w:jc w:val="both"/>
        <w:rPr>
          <w:rFonts w:ascii="Palatino Linotype" w:eastAsia="Calibri" w:hAnsi="Palatino Linotype" w:cs="Arial"/>
        </w:rPr>
      </w:pPr>
    </w:p>
    <w:p w14:paraId="342E8A69" w14:textId="77777777" w:rsidR="00A1195C" w:rsidRPr="007D6CE6" w:rsidRDefault="00A1195C" w:rsidP="007D6CE6">
      <w:pPr>
        <w:spacing w:line="360" w:lineRule="auto"/>
        <w:ind w:left="567" w:right="616"/>
        <w:contextualSpacing/>
        <w:jc w:val="both"/>
        <w:rPr>
          <w:rFonts w:ascii="Palatino Linotype" w:eastAsia="Calibri" w:hAnsi="Palatino Linotype" w:cs="Arial"/>
        </w:rPr>
      </w:pPr>
      <w:r w:rsidRPr="007D6CE6">
        <w:rPr>
          <w:rFonts w:ascii="Palatino Linotype" w:eastAsia="Calibri" w:hAnsi="Palatino Linotype" w:cs="Arial"/>
          <w:b/>
        </w:rPr>
        <w:lastRenderedPageBreak/>
        <w:t xml:space="preserve">RECURSO DE RECLAMACIÓN. SU INTERPOSICIÓN NO ES EXTEMPORÁNEA SI SE REALIZA ANTES DE QUE INICIE EL PLAZO PARA HACERLO. </w:t>
      </w:r>
      <w:r w:rsidRPr="007D6CE6">
        <w:rPr>
          <w:rFonts w:ascii="Palatino Linotype" w:eastAsia="Calibri" w:hAnsi="Palatino Linotype" w:cs="Arial"/>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7880AF4A" w14:textId="77777777" w:rsidR="00A1195C" w:rsidRPr="007D6CE6" w:rsidRDefault="00A1195C" w:rsidP="007D6CE6">
      <w:pPr>
        <w:spacing w:line="360" w:lineRule="auto"/>
        <w:ind w:left="567" w:right="616"/>
        <w:contextualSpacing/>
        <w:jc w:val="both"/>
        <w:rPr>
          <w:rFonts w:ascii="Palatino Linotype" w:eastAsia="Calibri" w:hAnsi="Palatino Linotype" w:cs="Arial"/>
        </w:rPr>
      </w:pPr>
    </w:p>
    <w:p w14:paraId="7BD19F38" w14:textId="77777777" w:rsidR="00A1195C" w:rsidRPr="007D6CE6" w:rsidRDefault="00A1195C" w:rsidP="007D6CE6">
      <w:pPr>
        <w:spacing w:line="360" w:lineRule="auto"/>
        <w:ind w:left="567" w:right="616"/>
        <w:contextualSpacing/>
        <w:jc w:val="both"/>
        <w:rPr>
          <w:rFonts w:ascii="Palatino Linotype" w:eastAsia="Calibri" w:hAnsi="Palatino Linotype" w:cs="Arial"/>
        </w:rPr>
      </w:pPr>
      <w:r w:rsidRPr="007D6CE6">
        <w:rPr>
          <w:rFonts w:ascii="Palatino Linotype" w:eastAsia="Calibri" w:hAnsi="Palatino Linotype" w:cs="Arial"/>
        </w:rPr>
        <w:t>De ahí que, si dicho recurso se interpone antes de que inicie el plazo para hacerlo, su presentación no es extemporánea.</w:t>
      </w:r>
    </w:p>
    <w:p w14:paraId="33D61291" w14:textId="77777777" w:rsidR="00A1195C" w:rsidRPr="007D6CE6" w:rsidRDefault="00A1195C" w:rsidP="007D6CE6">
      <w:pPr>
        <w:spacing w:line="360" w:lineRule="auto"/>
        <w:ind w:left="426"/>
        <w:contextualSpacing/>
        <w:jc w:val="both"/>
        <w:rPr>
          <w:rFonts w:ascii="Palatino Linotype" w:eastAsia="Calibri" w:hAnsi="Palatino Linotype" w:cs="Arial"/>
          <w:b/>
          <w:i/>
        </w:rPr>
      </w:pPr>
    </w:p>
    <w:p w14:paraId="36931BD1" w14:textId="77777777" w:rsidR="00A1195C" w:rsidRPr="007D6CE6" w:rsidRDefault="00A1195C" w:rsidP="007D6CE6">
      <w:pPr>
        <w:pStyle w:val="Prrafodelista"/>
        <w:numPr>
          <w:ilvl w:val="0"/>
          <w:numId w:val="1"/>
        </w:numPr>
        <w:spacing w:line="360" w:lineRule="auto"/>
        <w:ind w:left="0" w:firstLine="0"/>
        <w:jc w:val="both"/>
        <w:rPr>
          <w:rFonts w:ascii="Palatino Linotype" w:eastAsia="Calibri" w:hAnsi="Palatino Linotype" w:cs="Arial"/>
        </w:rPr>
      </w:pPr>
      <w:r w:rsidRPr="007D6CE6">
        <w:rPr>
          <w:rFonts w:ascii="Palatino Linotype" w:eastAsia="Calibri" w:hAnsi="Palatino Linotype" w:cs="Arial"/>
        </w:rPr>
        <w:t xml:space="preserve">En ese sentido, no existiendo causas de </w:t>
      </w:r>
      <w:proofErr w:type="spellStart"/>
      <w:r w:rsidRPr="007D6CE6">
        <w:rPr>
          <w:rFonts w:ascii="Palatino Linotype" w:eastAsia="Calibri" w:hAnsi="Palatino Linotype" w:cs="Arial"/>
        </w:rPr>
        <w:t>desechamiento</w:t>
      </w:r>
      <w:proofErr w:type="spellEnd"/>
      <w:r w:rsidRPr="007D6CE6">
        <w:rPr>
          <w:rFonts w:ascii="Palatino Linotype" w:eastAsia="Calibri" w:hAnsi="Palatino Linotype" w:cs="Arial"/>
        </w:rPr>
        <w:t xml:space="preserve"> por extemporáneo o anticipado, el recurso de revisión que hoy nos ocupa, es procedente.</w:t>
      </w:r>
    </w:p>
    <w:p w14:paraId="17B93E04" w14:textId="77777777" w:rsidR="0041336F" w:rsidRPr="007D6CE6" w:rsidRDefault="0041336F" w:rsidP="007D6CE6">
      <w:pPr>
        <w:pStyle w:val="Prrafodelista"/>
        <w:spacing w:line="360" w:lineRule="auto"/>
        <w:ind w:left="0"/>
        <w:jc w:val="both"/>
        <w:rPr>
          <w:rFonts w:ascii="Palatino Linotype" w:eastAsia="Calibri" w:hAnsi="Palatino Linotype" w:cs="Arial"/>
          <w:b/>
        </w:rPr>
      </w:pPr>
    </w:p>
    <w:p w14:paraId="4C006FEF" w14:textId="264F0A6D" w:rsidR="00554657" w:rsidRPr="007D6CE6" w:rsidRDefault="003347EA"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eastAsia="Calibri" w:hAnsi="Palatino Linotype" w:cs="Arial"/>
        </w:rPr>
        <w:t>Por otro lado, el</w:t>
      </w:r>
      <w:r w:rsidR="000540ED" w:rsidRPr="007D6CE6">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4FC79F" w14:textId="77777777" w:rsidR="00C57929" w:rsidRPr="007D6CE6" w:rsidRDefault="00C57929" w:rsidP="007D6CE6">
      <w:pPr>
        <w:pStyle w:val="Prrafodelista"/>
        <w:spacing w:line="360" w:lineRule="auto"/>
        <w:ind w:left="0"/>
        <w:jc w:val="both"/>
        <w:rPr>
          <w:rFonts w:ascii="Palatino Linotype" w:hAnsi="Palatino Linotype"/>
        </w:rPr>
      </w:pPr>
    </w:p>
    <w:p w14:paraId="0C39733B" w14:textId="77777777" w:rsidR="00554657" w:rsidRPr="007D6CE6" w:rsidRDefault="00554657" w:rsidP="007D6CE6">
      <w:pPr>
        <w:keepNext/>
        <w:keepLines/>
        <w:spacing w:line="360" w:lineRule="auto"/>
        <w:outlineLvl w:val="1"/>
        <w:rPr>
          <w:rFonts w:ascii="Palatino Linotype" w:eastAsia="MS Gothic" w:hAnsi="Palatino Linotype" w:cs="Times New Roman"/>
          <w:b/>
        </w:rPr>
      </w:pPr>
      <w:bookmarkStart w:id="69" w:name="_Toc531795927"/>
      <w:bookmarkStart w:id="70" w:name="_Toc24040921"/>
      <w:r w:rsidRPr="007D6CE6">
        <w:rPr>
          <w:rFonts w:ascii="Palatino Linotype" w:eastAsia="MS Gothic" w:hAnsi="Palatino Linotype" w:cs="Times New Roman"/>
          <w:b/>
        </w:rPr>
        <w:t>TERCERO. Del planteamiento de la Litis.</w:t>
      </w:r>
      <w:bookmarkEnd w:id="69"/>
      <w:bookmarkEnd w:id="70"/>
    </w:p>
    <w:p w14:paraId="13065A9B" w14:textId="77777777" w:rsidR="00554657" w:rsidRPr="007D6CE6" w:rsidRDefault="00554657" w:rsidP="007D6CE6">
      <w:pPr>
        <w:spacing w:line="360" w:lineRule="auto"/>
        <w:rPr>
          <w:rFonts w:ascii="Palatino Linotype" w:eastAsia="MS Mincho" w:hAnsi="Palatino Linotype" w:cstheme="majorBidi"/>
          <w:b/>
        </w:rPr>
      </w:pPr>
    </w:p>
    <w:p w14:paraId="75CE9A50" w14:textId="1A070D08" w:rsidR="00554657" w:rsidRPr="007D6CE6" w:rsidRDefault="00554657" w:rsidP="007D6CE6">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7D6CE6">
        <w:rPr>
          <w:rFonts w:ascii="Palatino Linotype" w:eastAsia="MS Mincho" w:hAnsi="Palatino Linotype" w:cs="Times New Roman"/>
        </w:rPr>
        <w:lastRenderedPageBreak/>
        <w:t>Así de las constancias que obran en el expediente electrónico, se advierte que la particular mediante solicitud de información vía de acceso SAIMEX, pidió se le proporci</w:t>
      </w:r>
      <w:r w:rsidR="00EC5B26" w:rsidRPr="007D6CE6">
        <w:rPr>
          <w:rFonts w:ascii="Palatino Linotype" w:eastAsia="MS Mincho" w:hAnsi="Palatino Linotype" w:cs="Times New Roman"/>
        </w:rPr>
        <w:t>onara la siguiente información:</w:t>
      </w:r>
    </w:p>
    <w:p w14:paraId="1202DD23" w14:textId="77777777" w:rsidR="00554657" w:rsidRPr="007D6CE6" w:rsidRDefault="00554657" w:rsidP="007D6CE6">
      <w:pPr>
        <w:pStyle w:val="Prrafodelista"/>
        <w:spacing w:line="360" w:lineRule="auto"/>
        <w:ind w:left="0"/>
        <w:jc w:val="both"/>
        <w:rPr>
          <w:rFonts w:ascii="Palatino Linotype" w:eastAsia="Calibri" w:hAnsi="Palatino Linotype" w:cs="Arial"/>
          <w:b/>
        </w:rPr>
      </w:pPr>
    </w:p>
    <w:p w14:paraId="38BE4B3F" w14:textId="000B712F" w:rsidR="00D055F8" w:rsidRPr="007D6CE6" w:rsidRDefault="00A1195C" w:rsidP="007D6CE6">
      <w:pPr>
        <w:spacing w:line="360" w:lineRule="auto"/>
        <w:ind w:left="567" w:right="616"/>
        <w:jc w:val="both"/>
        <w:rPr>
          <w:rFonts w:ascii="Palatino Linotype" w:hAnsi="Palatino Linotype"/>
          <w:b/>
          <w:bCs/>
        </w:rPr>
      </w:pPr>
      <w:r w:rsidRPr="007D6CE6">
        <w:rPr>
          <w:rFonts w:ascii="Palatino Linotype" w:hAnsi="Palatino Linotype"/>
          <w:b/>
          <w:bCs/>
        </w:rPr>
        <w:t xml:space="preserve"> </w:t>
      </w:r>
      <w:bookmarkStart w:id="71" w:name="_Hlk23871144"/>
      <w:r w:rsidRPr="007D6CE6">
        <w:rPr>
          <w:rFonts w:ascii="Palatino Linotype" w:hAnsi="Palatino Linotype"/>
          <w:b/>
          <w:bCs/>
        </w:rPr>
        <w:t>ÚNICO. Catálogo de disposición documental y guía de archivos</w:t>
      </w:r>
    </w:p>
    <w:bookmarkEnd w:id="71"/>
    <w:p w14:paraId="2CBEBA1F" w14:textId="77777777" w:rsidR="00554657" w:rsidRPr="007D6CE6" w:rsidRDefault="00554657" w:rsidP="007D6CE6">
      <w:pPr>
        <w:pStyle w:val="Prrafodelista"/>
        <w:spacing w:line="360" w:lineRule="auto"/>
        <w:ind w:left="0"/>
        <w:jc w:val="both"/>
        <w:rPr>
          <w:rFonts w:ascii="Palatino Linotype" w:eastAsia="Calibri" w:hAnsi="Palatino Linotype" w:cs="Arial"/>
          <w:b/>
        </w:rPr>
      </w:pPr>
    </w:p>
    <w:p w14:paraId="3469BB3C" w14:textId="16F389F4" w:rsidR="003D1FA5" w:rsidRPr="007D6CE6" w:rsidRDefault="00554657" w:rsidP="007D6CE6">
      <w:pPr>
        <w:pStyle w:val="Prrafodelista"/>
        <w:numPr>
          <w:ilvl w:val="0"/>
          <w:numId w:val="1"/>
        </w:numPr>
        <w:spacing w:line="360" w:lineRule="auto"/>
        <w:ind w:left="0" w:firstLine="0"/>
        <w:jc w:val="both"/>
        <w:rPr>
          <w:rFonts w:ascii="Palatino Linotype" w:eastAsia="Calibri" w:hAnsi="Palatino Linotype" w:cs="Arial"/>
        </w:rPr>
      </w:pPr>
      <w:r w:rsidRPr="007D6CE6">
        <w:rPr>
          <w:rFonts w:ascii="Palatino Linotype" w:eastAsia="Calibri" w:hAnsi="Palatino Linotype" w:cs="Arial"/>
        </w:rPr>
        <w:t xml:space="preserve">El </w:t>
      </w:r>
      <w:r w:rsidRPr="007D6CE6">
        <w:rPr>
          <w:rFonts w:ascii="Palatino Linotype" w:eastAsia="Calibri" w:hAnsi="Palatino Linotype" w:cs="Arial"/>
          <w:b/>
        </w:rPr>
        <w:t>Sujeto Obligado</w:t>
      </w:r>
      <w:r w:rsidR="00240C39" w:rsidRPr="007D6CE6">
        <w:rPr>
          <w:rFonts w:ascii="Palatino Linotype" w:eastAsia="Calibri" w:hAnsi="Palatino Linotype" w:cs="Arial"/>
        </w:rPr>
        <w:t xml:space="preserve"> en re</w:t>
      </w:r>
      <w:r w:rsidR="00BC0B13" w:rsidRPr="007D6CE6">
        <w:rPr>
          <w:rFonts w:ascii="Palatino Linotype" w:eastAsia="Calibri" w:hAnsi="Palatino Linotype" w:cs="Arial"/>
        </w:rPr>
        <w:t>s</w:t>
      </w:r>
      <w:r w:rsidR="00240C39" w:rsidRPr="007D6CE6">
        <w:rPr>
          <w:rFonts w:ascii="Palatino Linotype" w:eastAsia="Calibri" w:hAnsi="Palatino Linotype" w:cs="Arial"/>
        </w:rPr>
        <w:t xml:space="preserve">puesta señaló </w:t>
      </w:r>
      <w:r w:rsidR="00BC0B13" w:rsidRPr="007D6CE6">
        <w:rPr>
          <w:rFonts w:ascii="Palatino Linotype" w:eastAsia="Calibri" w:hAnsi="Palatino Linotype" w:cs="Arial"/>
        </w:rPr>
        <w:t xml:space="preserve">diversas ligas electrónicas para consultar información relacionada con la Secretaría, asimismo refirió que </w:t>
      </w:r>
      <w:r w:rsidR="00BC0B13" w:rsidRPr="007D6CE6">
        <w:rPr>
          <w:rFonts w:ascii="Palatino Linotype" w:hAnsi="Palatino Linotype"/>
          <w:b/>
          <w:iCs/>
        </w:rPr>
        <w:t>derivado de la reciente creación de la Secretaría, así como la paulatina integración de las diferentes áreas que la conforman, la información solicitada se encuentra en proceso de elaboración.</w:t>
      </w:r>
    </w:p>
    <w:p w14:paraId="58AF1AE2" w14:textId="77777777" w:rsidR="00BC0B13" w:rsidRPr="007D6CE6" w:rsidRDefault="00BC0B13" w:rsidP="007D6CE6">
      <w:pPr>
        <w:pStyle w:val="Prrafodelista"/>
        <w:spacing w:line="360" w:lineRule="auto"/>
        <w:ind w:left="0"/>
        <w:jc w:val="both"/>
        <w:rPr>
          <w:rFonts w:ascii="Palatino Linotype" w:eastAsia="Calibri" w:hAnsi="Palatino Linotype" w:cs="Arial"/>
        </w:rPr>
      </w:pPr>
    </w:p>
    <w:p w14:paraId="2BF6FEF8" w14:textId="2D377B76" w:rsidR="00554657" w:rsidRPr="007D6CE6" w:rsidRDefault="00554657" w:rsidP="007D6CE6">
      <w:pPr>
        <w:pStyle w:val="Prrafodelista"/>
        <w:numPr>
          <w:ilvl w:val="0"/>
          <w:numId w:val="1"/>
        </w:numPr>
        <w:spacing w:line="360" w:lineRule="auto"/>
        <w:ind w:left="0" w:firstLine="0"/>
        <w:jc w:val="both"/>
        <w:rPr>
          <w:rFonts w:ascii="Palatino Linotype" w:eastAsia="Calibri" w:hAnsi="Palatino Linotype" w:cs="Arial"/>
          <w:b/>
        </w:rPr>
      </w:pPr>
      <w:r w:rsidRPr="007D6CE6">
        <w:rPr>
          <w:rFonts w:ascii="Palatino Linotype" w:eastAsia="Calibri" w:hAnsi="Palatino Linotype" w:cs="Arial"/>
        </w:rPr>
        <w:t>En actos posteriores, el partic</w:t>
      </w:r>
      <w:r w:rsidR="007357B8" w:rsidRPr="007D6CE6">
        <w:rPr>
          <w:rFonts w:ascii="Palatino Linotype" w:eastAsia="Calibri" w:hAnsi="Palatino Linotype" w:cs="Arial"/>
        </w:rPr>
        <w:t xml:space="preserve">ular se inconformó por la respuesta del </w:t>
      </w:r>
      <w:r w:rsidR="007357B8" w:rsidRPr="007D6CE6">
        <w:rPr>
          <w:rFonts w:ascii="Palatino Linotype" w:eastAsia="Calibri" w:hAnsi="Palatino Linotype" w:cs="Arial"/>
          <w:b/>
        </w:rPr>
        <w:t>Sujeto Obligado</w:t>
      </w:r>
      <w:r w:rsidR="0090646A" w:rsidRPr="007D6CE6">
        <w:rPr>
          <w:rFonts w:ascii="Palatino Linotype" w:eastAsia="Calibri" w:hAnsi="Palatino Linotype" w:cs="Arial"/>
        </w:rPr>
        <w:t xml:space="preserve">, arguyendo como razones o motivos de inconformidad </w:t>
      </w:r>
      <w:r w:rsidR="00727950" w:rsidRPr="007D6CE6">
        <w:rPr>
          <w:rFonts w:ascii="Palatino Linotype" w:eastAsia="Calibri" w:hAnsi="Palatino Linotype" w:cs="Arial"/>
        </w:rPr>
        <w:t xml:space="preserve">que </w:t>
      </w:r>
      <w:r w:rsidR="00BC0B13" w:rsidRPr="007D6CE6">
        <w:rPr>
          <w:rFonts w:ascii="Palatino Linotype" w:eastAsia="Calibri" w:hAnsi="Palatino Linotype" w:cs="Arial"/>
          <w:b/>
          <w:bCs/>
        </w:rPr>
        <w:t>no existe el documento en la dirección electrónica, entonces no manejan archivo o porque su leyenda dice que no lo tienen.</w:t>
      </w:r>
    </w:p>
    <w:p w14:paraId="69A71009" w14:textId="77777777" w:rsidR="00554657" w:rsidRPr="007D6CE6" w:rsidRDefault="00554657" w:rsidP="007D6CE6">
      <w:pPr>
        <w:spacing w:line="360" w:lineRule="auto"/>
        <w:rPr>
          <w:rFonts w:ascii="Palatino Linotype" w:eastAsia="Calibri" w:hAnsi="Palatino Linotype" w:cs="Arial"/>
        </w:rPr>
      </w:pPr>
    </w:p>
    <w:p w14:paraId="5B34E2F4" w14:textId="62ABA62B" w:rsidR="00E35C94" w:rsidRPr="007D6CE6" w:rsidRDefault="00727950" w:rsidP="007D6CE6">
      <w:pPr>
        <w:pStyle w:val="Prrafodelista"/>
        <w:numPr>
          <w:ilvl w:val="0"/>
          <w:numId w:val="1"/>
        </w:numPr>
        <w:spacing w:line="360" w:lineRule="auto"/>
        <w:ind w:left="0" w:firstLine="0"/>
        <w:jc w:val="both"/>
        <w:rPr>
          <w:rFonts w:ascii="Palatino Linotype" w:eastAsia="Calibri" w:hAnsi="Palatino Linotype" w:cs="Arial"/>
        </w:rPr>
      </w:pPr>
      <w:r w:rsidRPr="007D6CE6">
        <w:rPr>
          <w:rFonts w:ascii="Palatino Linotype" w:eastAsia="Calibri" w:hAnsi="Palatino Linotype" w:cs="Arial"/>
        </w:rPr>
        <w:t xml:space="preserve">En la etapa procesal de manifestaciones, 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proporcionó su informe justificado, </w:t>
      </w:r>
      <w:r w:rsidR="00E35C94" w:rsidRPr="007D6CE6">
        <w:rPr>
          <w:rFonts w:ascii="Palatino Linotype" w:eastAsia="Calibri" w:hAnsi="Palatino Linotype" w:cs="Arial"/>
        </w:rPr>
        <w:t xml:space="preserve">por medio del cual confirmó su respuesta inicial y proporcionó la Ley del Sistema Anticorrupción y el Estatuto Orgánico de la Secretaría. </w:t>
      </w:r>
    </w:p>
    <w:p w14:paraId="0A72E9E2" w14:textId="77777777" w:rsidR="004E0F92" w:rsidRPr="007D6CE6" w:rsidRDefault="004E0F92" w:rsidP="007D6CE6">
      <w:pPr>
        <w:pStyle w:val="Prrafodelista"/>
        <w:spacing w:line="360" w:lineRule="auto"/>
        <w:ind w:left="0"/>
        <w:jc w:val="both"/>
        <w:rPr>
          <w:rFonts w:ascii="Palatino Linotype" w:eastAsia="Calibri" w:hAnsi="Palatino Linotype" w:cs="Arial"/>
        </w:rPr>
      </w:pPr>
    </w:p>
    <w:p w14:paraId="5F134728" w14:textId="36C6E721" w:rsidR="004E0F92" w:rsidRPr="007D6CE6" w:rsidRDefault="004E0F92" w:rsidP="007D6CE6">
      <w:pPr>
        <w:pStyle w:val="Prrafodelista"/>
        <w:numPr>
          <w:ilvl w:val="0"/>
          <w:numId w:val="1"/>
        </w:numPr>
        <w:spacing w:line="360" w:lineRule="auto"/>
        <w:ind w:left="0" w:firstLine="0"/>
        <w:jc w:val="both"/>
        <w:rPr>
          <w:rFonts w:ascii="Palatino Linotype" w:eastAsia="Calibri" w:hAnsi="Palatino Linotype" w:cs="Arial"/>
        </w:rPr>
      </w:pPr>
      <w:r w:rsidRPr="007D6CE6">
        <w:rPr>
          <w:rFonts w:ascii="Palatino Linotype" w:eastAsia="Calibri" w:hAnsi="Palatino Linotype" w:cs="Arial"/>
        </w:rPr>
        <w:t xml:space="preserve">De lo anterior, se procede al estudio de los documentos que constan en el expediente electrónico, con la finalidad de que determine lo que a derecho conduce. </w:t>
      </w:r>
    </w:p>
    <w:p w14:paraId="546B00C0" w14:textId="77777777" w:rsidR="00727950" w:rsidRPr="007D6CE6" w:rsidRDefault="00727950" w:rsidP="007D6CE6">
      <w:pPr>
        <w:pStyle w:val="Prrafodelista"/>
        <w:spacing w:line="360" w:lineRule="auto"/>
        <w:ind w:left="0"/>
        <w:jc w:val="both"/>
        <w:rPr>
          <w:rFonts w:ascii="Palatino Linotype" w:eastAsia="Calibri" w:hAnsi="Palatino Linotype" w:cs="Arial"/>
        </w:rPr>
      </w:pPr>
    </w:p>
    <w:p w14:paraId="75BD2E67" w14:textId="77777777" w:rsidR="00554657" w:rsidRPr="007D6CE6" w:rsidRDefault="00554657" w:rsidP="007D6CE6">
      <w:pPr>
        <w:keepNext/>
        <w:keepLines/>
        <w:spacing w:line="360" w:lineRule="auto"/>
        <w:outlineLvl w:val="1"/>
        <w:rPr>
          <w:rFonts w:ascii="Palatino Linotype" w:eastAsia="MS Gothic" w:hAnsi="Palatino Linotype" w:cs="Times New Roman"/>
          <w:b/>
        </w:rPr>
      </w:pPr>
      <w:bookmarkStart w:id="72" w:name="_Toc531795928"/>
      <w:bookmarkStart w:id="73" w:name="_Toc24040922"/>
      <w:r w:rsidRPr="007D6CE6">
        <w:rPr>
          <w:rFonts w:ascii="Palatino Linotype" w:eastAsia="MS Gothic" w:hAnsi="Palatino Linotype" w:cs="Times New Roman"/>
          <w:b/>
        </w:rPr>
        <w:lastRenderedPageBreak/>
        <w:t>CUARTO. Del estudio y resolución del asunto.</w:t>
      </w:r>
      <w:bookmarkEnd w:id="72"/>
      <w:bookmarkEnd w:id="73"/>
      <w:r w:rsidRPr="007D6CE6">
        <w:rPr>
          <w:rFonts w:ascii="Palatino Linotype" w:eastAsia="MS Gothic" w:hAnsi="Palatino Linotype" w:cs="Times New Roman"/>
          <w:b/>
        </w:rPr>
        <w:t xml:space="preserve"> </w:t>
      </w:r>
    </w:p>
    <w:p w14:paraId="75AA2325" w14:textId="77777777" w:rsidR="00554657" w:rsidRPr="007D6CE6" w:rsidRDefault="00554657" w:rsidP="007D6CE6">
      <w:pPr>
        <w:spacing w:line="360" w:lineRule="auto"/>
        <w:contextualSpacing/>
        <w:jc w:val="both"/>
        <w:rPr>
          <w:rFonts w:ascii="Palatino Linotype" w:eastAsia="Calibri" w:hAnsi="Palatino Linotype" w:cs="Arial"/>
          <w:b/>
        </w:rPr>
      </w:pPr>
    </w:p>
    <w:p w14:paraId="1B133ADB" w14:textId="77777777" w:rsidR="00554657" w:rsidRPr="007D6CE6" w:rsidRDefault="00554657" w:rsidP="007D6CE6">
      <w:pPr>
        <w:pStyle w:val="Prrafodelista"/>
        <w:numPr>
          <w:ilvl w:val="0"/>
          <w:numId w:val="1"/>
        </w:numPr>
        <w:spacing w:line="360" w:lineRule="auto"/>
        <w:ind w:left="0" w:right="49" w:firstLine="0"/>
        <w:jc w:val="both"/>
        <w:rPr>
          <w:rFonts w:ascii="Palatino Linotype" w:hAnsi="Palatino Linotype" w:cs="Arial"/>
          <w:i/>
        </w:rPr>
      </w:pPr>
      <w:r w:rsidRPr="007D6CE6">
        <w:rPr>
          <w:rFonts w:ascii="Palatino Linotype" w:hAnsi="Palatino Linotype" w:cs="Arial"/>
        </w:rPr>
        <w:t xml:space="preserve">Precisado lo anterior y derivado del planteamiento de la </w:t>
      </w:r>
      <w:r w:rsidRPr="007D6CE6">
        <w:rPr>
          <w:rFonts w:ascii="Palatino Linotype" w:hAnsi="Palatino Linotype" w:cs="Arial"/>
          <w:i/>
        </w:rPr>
        <w:t>Litis</w:t>
      </w:r>
      <w:r w:rsidRPr="007D6CE6">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D6CE6">
        <w:rPr>
          <w:rFonts w:ascii="Palatino Linotype" w:eastAsia="Calibri" w:hAnsi="Palatino Linotype" w:cs="Arial"/>
          <w:lang w:val="es-ES"/>
        </w:rPr>
        <w:t>Ley de Transparencia y Acceso a la Información Pública del Estado de México y Municipios</w:t>
      </w:r>
      <w:r w:rsidRPr="007D6CE6">
        <w:rPr>
          <w:rFonts w:ascii="Palatino Linotype" w:eastAsia="Times New Roman" w:hAnsi="Palatino Linotype" w:cs="Arial"/>
          <w:lang w:val="es-ES" w:eastAsia="es-MX"/>
        </w:rPr>
        <w:t xml:space="preserve">, de aplicación supletoria. </w:t>
      </w:r>
    </w:p>
    <w:p w14:paraId="4BC59323" w14:textId="77777777" w:rsidR="00554657" w:rsidRPr="007D6CE6" w:rsidRDefault="00554657" w:rsidP="007D6CE6">
      <w:pPr>
        <w:pStyle w:val="Prrafodelista"/>
        <w:spacing w:line="360" w:lineRule="auto"/>
        <w:ind w:left="0" w:right="49"/>
        <w:jc w:val="both"/>
        <w:rPr>
          <w:rFonts w:ascii="Palatino Linotype" w:hAnsi="Palatino Linotype" w:cs="Arial"/>
          <w:i/>
        </w:rPr>
      </w:pPr>
    </w:p>
    <w:p w14:paraId="75AA8CAA" w14:textId="77777777" w:rsidR="00554657" w:rsidRPr="007D6CE6" w:rsidRDefault="00554657" w:rsidP="007D6CE6">
      <w:pPr>
        <w:pStyle w:val="Prrafodelista"/>
        <w:numPr>
          <w:ilvl w:val="0"/>
          <w:numId w:val="3"/>
        </w:numPr>
        <w:spacing w:line="360" w:lineRule="auto"/>
        <w:ind w:left="709"/>
        <w:outlineLvl w:val="1"/>
        <w:rPr>
          <w:rFonts w:ascii="Palatino Linotype" w:eastAsia="MS Mincho" w:hAnsi="Palatino Linotype" w:cs="Times New Roman"/>
          <w:b/>
        </w:rPr>
      </w:pPr>
      <w:bookmarkStart w:id="74" w:name="_Toc531795929"/>
      <w:bookmarkStart w:id="75" w:name="_Toc24040923"/>
      <w:r w:rsidRPr="007D6CE6">
        <w:rPr>
          <w:rFonts w:ascii="Palatino Linotype" w:eastAsia="MS Mincho" w:hAnsi="Palatino Linotype" w:cs="Times New Roman"/>
          <w:b/>
        </w:rPr>
        <w:t>De la Fuente de Obligaciones.</w:t>
      </w:r>
      <w:bookmarkEnd w:id="74"/>
      <w:bookmarkEnd w:id="75"/>
      <w:r w:rsidRPr="007D6CE6">
        <w:rPr>
          <w:rFonts w:ascii="Palatino Linotype" w:eastAsia="MS Mincho" w:hAnsi="Palatino Linotype" w:cs="Times New Roman"/>
          <w:b/>
        </w:rPr>
        <w:t xml:space="preserve"> </w:t>
      </w:r>
    </w:p>
    <w:p w14:paraId="2AE345A1" w14:textId="77777777" w:rsidR="00554657" w:rsidRPr="007D6CE6" w:rsidRDefault="00554657" w:rsidP="007D6CE6">
      <w:pPr>
        <w:spacing w:line="360" w:lineRule="auto"/>
        <w:outlineLvl w:val="1"/>
        <w:rPr>
          <w:rFonts w:ascii="Palatino Linotype" w:eastAsia="MS Mincho" w:hAnsi="Palatino Linotype" w:cs="Times New Roman"/>
          <w:b/>
        </w:rPr>
      </w:pPr>
    </w:p>
    <w:p w14:paraId="6BF2EC4E" w14:textId="77777777" w:rsidR="00554657" w:rsidRPr="007D6CE6" w:rsidRDefault="00554657" w:rsidP="007D6CE6">
      <w:pPr>
        <w:pStyle w:val="Prrafodelista"/>
        <w:numPr>
          <w:ilvl w:val="0"/>
          <w:numId w:val="4"/>
        </w:numPr>
        <w:spacing w:line="360" w:lineRule="auto"/>
        <w:ind w:left="851"/>
        <w:outlineLvl w:val="1"/>
        <w:rPr>
          <w:rFonts w:ascii="Palatino Linotype" w:eastAsia="MS Mincho" w:hAnsi="Palatino Linotype" w:cs="Times New Roman"/>
          <w:b/>
        </w:rPr>
      </w:pPr>
      <w:bookmarkStart w:id="76" w:name="_Toc531695633"/>
      <w:bookmarkStart w:id="77" w:name="_Toc531795930"/>
      <w:bookmarkStart w:id="78" w:name="_Toc24040924"/>
      <w:r w:rsidRPr="007D6CE6">
        <w:rPr>
          <w:rFonts w:ascii="Palatino Linotype" w:eastAsia="MS Mincho" w:hAnsi="Palatino Linotype" w:cs="Times New Roman"/>
          <w:b/>
        </w:rPr>
        <w:t>De las obligaciones de Transparencia.</w:t>
      </w:r>
      <w:bookmarkEnd w:id="76"/>
      <w:bookmarkEnd w:id="77"/>
      <w:bookmarkEnd w:id="78"/>
      <w:r w:rsidRPr="007D6CE6">
        <w:rPr>
          <w:rFonts w:ascii="Palatino Linotype" w:eastAsia="MS Mincho" w:hAnsi="Palatino Linotype" w:cs="Times New Roman"/>
          <w:b/>
        </w:rPr>
        <w:t xml:space="preserve"> </w:t>
      </w:r>
    </w:p>
    <w:p w14:paraId="61605CBA" w14:textId="77777777" w:rsidR="00554657" w:rsidRPr="007D6CE6" w:rsidRDefault="00554657" w:rsidP="007D6CE6">
      <w:pPr>
        <w:tabs>
          <w:tab w:val="left" w:pos="1800"/>
        </w:tabs>
        <w:spacing w:line="360" w:lineRule="auto"/>
        <w:contextualSpacing/>
        <w:jc w:val="both"/>
        <w:rPr>
          <w:rFonts w:ascii="Palatino Linotype" w:eastAsia="Calibri" w:hAnsi="Palatino Linotype" w:cs="Arial"/>
          <w:b/>
        </w:rPr>
      </w:pPr>
    </w:p>
    <w:p w14:paraId="48D23718" w14:textId="77777777" w:rsidR="00554657" w:rsidRPr="007D6CE6" w:rsidRDefault="00554657" w:rsidP="007D6CE6">
      <w:pPr>
        <w:pStyle w:val="Prrafodelista"/>
        <w:numPr>
          <w:ilvl w:val="0"/>
          <w:numId w:val="1"/>
        </w:numPr>
        <w:spacing w:line="360" w:lineRule="auto"/>
        <w:ind w:left="0" w:right="49" w:firstLine="0"/>
        <w:jc w:val="both"/>
        <w:rPr>
          <w:rFonts w:ascii="Palatino Linotype" w:eastAsia="MS Mincho" w:hAnsi="Palatino Linotype" w:cs="Times New Roman"/>
        </w:rPr>
      </w:pPr>
      <w:r w:rsidRPr="007D6CE6">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7D6CE6">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7D6CE6" w:rsidRDefault="00554657" w:rsidP="007D6CE6">
      <w:pPr>
        <w:pStyle w:val="Prrafodelista"/>
        <w:spacing w:line="360" w:lineRule="auto"/>
        <w:ind w:left="0" w:right="49"/>
        <w:jc w:val="both"/>
        <w:rPr>
          <w:rFonts w:ascii="Palatino Linotype" w:eastAsia="MS Mincho" w:hAnsi="Palatino Linotype" w:cs="Times New Roman"/>
        </w:rPr>
      </w:pPr>
    </w:p>
    <w:p w14:paraId="47B30F83" w14:textId="1934FB77" w:rsidR="00554657" w:rsidRPr="007D6CE6" w:rsidRDefault="00554657" w:rsidP="007D6CE6">
      <w:pPr>
        <w:numPr>
          <w:ilvl w:val="0"/>
          <w:numId w:val="1"/>
        </w:numPr>
        <w:spacing w:line="360" w:lineRule="auto"/>
        <w:ind w:left="0" w:right="49" w:firstLine="0"/>
        <w:contextualSpacing/>
        <w:jc w:val="both"/>
        <w:rPr>
          <w:rFonts w:ascii="Palatino Linotype" w:eastAsia="MS Mincho" w:hAnsi="Palatino Linotype" w:cs="Times New Roman"/>
        </w:rPr>
      </w:pPr>
      <w:r w:rsidRPr="007D6CE6">
        <w:rPr>
          <w:rFonts w:ascii="Palatino Linotype" w:eastAsia="MS Mincho" w:hAnsi="Palatino Linotype" w:cs="Times New Roman"/>
        </w:rPr>
        <w:t xml:space="preserve">El </w:t>
      </w:r>
      <w:r w:rsidR="00F25DC5" w:rsidRPr="007D6CE6">
        <w:rPr>
          <w:rFonts w:ascii="Palatino Linotype" w:eastAsia="MS Mincho" w:hAnsi="Palatino Linotype" w:cs="Times New Roman"/>
          <w:b/>
        </w:rPr>
        <w:t>Sujeto Obligado</w:t>
      </w:r>
      <w:r w:rsidR="00F25DC5" w:rsidRPr="007D6CE6">
        <w:rPr>
          <w:rFonts w:ascii="Palatino Linotype" w:eastAsia="MS Mincho" w:hAnsi="Palatino Linotype" w:cs="Times New Roman"/>
        </w:rPr>
        <w:t xml:space="preserve"> </w:t>
      </w:r>
      <w:r w:rsidRPr="007D6CE6">
        <w:rPr>
          <w:rFonts w:ascii="Palatino Linotype" w:eastAsia="MS Mincho" w:hAnsi="Palatino Linotype" w:cs="Times New Roman"/>
        </w:rPr>
        <w:t xml:space="preserve">debe ser cuidadoso del debido cumplimiento de las obligaciones constitucionales que se le imponen </w:t>
      </w:r>
      <w:r w:rsidRPr="007D6CE6">
        <w:rPr>
          <w:rFonts w:ascii="Palatino Linotype" w:eastAsia="MS Mincho" w:hAnsi="Palatino Linotype" w:cstheme="majorBidi"/>
        </w:rPr>
        <w:t>según lo dispone el tercer párrafo del artículo primero de la Constitución Política de los Estados Unidos Mexicanos</w:t>
      </w:r>
      <w:r w:rsidRPr="007D6CE6">
        <w:rPr>
          <w:rFonts w:ascii="Palatino Linotype" w:eastAsia="MS Mincho" w:hAnsi="Palatino Linotype" w:cstheme="majorBidi"/>
          <w:b/>
        </w:rPr>
        <w:t xml:space="preserve"> </w:t>
      </w:r>
      <w:r w:rsidRPr="007D6CE6">
        <w:rPr>
          <w:rFonts w:ascii="Palatino Linotype" w:eastAsia="MS Mincho" w:hAnsi="Palatino Linotype" w:cstheme="majorBidi"/>
        </w:rPr>
        <w:t xml:space="preserve">al señalar </w:t>
      </w:r>
      <w:r w:rsidRPr="007D6CE6">
        <w:rPr>
          <w:rFonts w:ascii="Palatino Linotype" w:eastAsia="MS Mincho" w:hAnsi="Palatino Linotype" w:cstheme="majorBidi"/>
        </w:rPr>
        <w:lastRenderedPageBreak/>
        <w:t xml:space="preserve">la obligación de </w:t>
      </w:r>
      <w:r w:rsidRPr="007D6CE6">
        <w:rPr>
          <w:rFonts w:ascii="Palatino Linotype" w:eastAsia="MS Mincho" w:hAnsi="Palatino Linotype" w:cstheme="majorBidi"/>
          <w:i/>
        </w:rPr>
        <w:t xml:space="preserve">“promover, respetar, proteger y garantizar los derechos humanos”, </w:t>
      </w:r>
      <w:r w:rsidRPr="007D6CE6">
        <w:rPr>
          <w:rFonts w:ascii="Palatino Linotype" w:eastAsia="MS Mincho" w:hAnsi="Palatino Linotype" w:cstheme="majorBidi"/>
        </w:rPr>
        <w:t>entre los cuales se encuentra dicho derecho.</w:t>
      </w:r>
    </w:p>
    <w:p w14:paraId="3B66EE81" w14:textId="77777777" w:rsidR="00554657" w:rsidRPr="007D6CE6" w:rsidRDefault="00554657" w:rsidP="007D6CE6">
      <w:pPr>
        <w:spacing w:line="360" w:lineRule="auto"/>
        <w:ind w:right="49"/>
        <w:contextualSpacing/>
        <w:jc w:val="both"/>
        <w:rPr>
          <w:rFonts w:ascii="Palatino Linotype" w:eastAsia="MS Mincho" w:hAnsi="Palatino Linotype" w:cs="Times New Roman"/>
        </w:rPr>
      </w:pPr>
    </w:p>
    <w:p w14:paraId="70056121" w14:textId="3BBB8C9A" w:rsidR="00554657" w:rsidRPr="007D6CE6" w:rsidRDefault="00554657" w:rsidP="007D6CE6">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7D6CE6">
        <w:rPr>
          <w:rFonts w:ascii="Palatino Linotype" w:eastAsia="MS Mincho" w:hAnsi="Palatino Linotype" w:cstheme="majorBidi"/>
        </w:rPr>
        <w:t xml:space="preserve">Por cuanto hace al contenido del artículo 6 segundo párrafo, apartado A. fracción I </w:t>
      </w:r>
      <w:r w:rsidRPr="007D6CE6">
        <w:rPr>
          <w:rFonts w:ascii="Palatino Linotype" w:eastAsia="MS Mincho" w:hAnsi="Palatino Linotype" w:cstheme="majorBidi"/>
          <w:lang w:val="es-ES"/>
        </w:rPr>
        <w:t xml:space="preserve">de la Constitución Política de los Estados Unidos Mexicanos el cual establece </w:t>
      </w:r>
      <w:r w:rsidRPr="007D6CE6">
        <w:rPr>
          <w:rFonts w:ascii="Palatino Linotype" w:eastAsia="MS Mincho" w:hAnsi="Palatino Linotype" w:cstheme="majorBidi"/>
        </w:rPr>
        <w:t xml:space="preserve">que </w:t>
      </w:r>
      <w:r w:rsidRPr="007D6CE6">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7D6CE6">
        <w:rPr>
          <w:rFonts w:ascii="Palatino Linotype" w:eastAsia="MS Mincho" w:hAnsi="Palatino Linotype" w:cstheme="majorBidi"/>
          <w:b/>
          <w:i/>
          <w:lang w:val="es-ES"/>
        </w:rPr>
        <w:t>es pública</w:t>
      </w:r>
      <w:r w:rsidRPr="007D6CE6">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C26E9E" w14:textId="77777777" w:rsidR="00703547" w:rsidRPr="007D6CE6" w:rsidRDefault="00703547" w:rsidP="007D6CE6">
      <w:pPr>
        <w:spacing w:line="360" w:lineRule="auto"/>
        <w:ind w:right="49"/>
        <w:contextualSpacing/>
        <w:jc w:val="both"/>
        <w:rPr>
          <w:rFonts w:ascii="Palatino Linotype" w:eastAsia="MS Mincho" w:hAnsi="Palatino Linotype" w:cstheme="majorBidi"/>
          <w:i/>
          <w:lang w:val="es-ES"/>
        </w:rPr>
      </w:pPr>
    </w:p>
    <w:p w14:paraId="196C241B" w14:textId="77777777" w:rsidR="00554657" w:rsidRPr="007D6CE6" w:rsidRDefault="00554657" w:rsidP="007D6CE6">
      <w:pPr>
        <w:numPr>
          <w:ilvl w:val="0"/>
          <w:numId w:val="1"/>
        </w:numPr>
        <w:spacing w:line="360" w:lineRule="auto"/>
        <w:ind w:left="0" w:right="49" w:firstLine="0"/>
        <w:contextualSpacing/>
        <w:jc w:val="both"/>
        <w:rPr>
          <w:rFonts w:ascii="Palatino Linotype" w:eastAsia="MS Mincho" w:hAnsi="Palatino Linotype" w:cs="Times New Roman"/>
        </w:rPr>
      </w:pPr>
      <w:r w:rsidRPr="007D6CE6">
        <w:rPr>
          <w:rFonts w:ascii="Palatino Linotype" w:eastAsia="MS Mincho" w:hAnsi="Palatino Linotype" w:cs="Times New Roman"/>
        </w:rPr>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64B1CFB0" w14:textId="77777777" w:rsidR="00554657" w:rsidRPr="007D6CE6" w:rsidRDefault="00554657" w:rsidP="007D6CE6">
      <w:pPr>
        <w:spacing w:line="360" w:lineRule="auto"/>
        <w:ind w:right="49"/>
        <w:contextualSpacing/>
        <w:jc w:val="both"/>
        <w:rPr>
          <w:rFonts w:ascii="Palatino Linotype" w:eastAsia="MS Mincho" w:hAnsi="Palatino Linotype" w:cs="Times New Roman"/>
        </w:rPr>
      </w:pPr>
    </w:p>
    <w:p w14:paraId="14796F67" w14:textId="77777777" w:rsidR="00554657" w:rsidRPr="007D6CE6" w:rsidRDefault="00554657" w:rsidP="007D6CE6">
      <w:pPr>
        <w:numPr>
          <w:ilvl w:val="0"/>
          <w:numId w:val="1"/>
        </w:numPr>
        <w:spacing w:line="360" w:lineRule="auto"/>
        <w:ind w:left="0" w:right="49" w:firstLine="0"/>
        <w:contextualSpacing/>
        <w:jc w:val="both"/>
        <w:rPr>
          <w:rFonts w:ascii="Palatino Linotype" w:eastAsia="MS Mincho" w:hAnsi="Palatino Linotype" w:cs="Times New Roman"/>
          <w:i/>
        </w:rPr>
      </w:pPr>
      <w:r w:rsidRPr="007D6CE6">
        <w:rPr>
          <w:rFonts w:ascii="Palatino Linotype" w:eastAsia="MS Mincho" w:hAnsi="Palatino Linotype" w:cs="Times New Roman"/>
        </w:rPr>
        <w:t xml:space="preserve">De acuerdo con el artículo 4 de la Ley en la materia estatal, señala que </w:t>
      </w:r>
      <w:r w:rsidRPr="007D6CE6">
        <w:rPr>
          <w:rFonts w:ascii="Palatino Linotype" w:eastAsia="MS Mincho" w:hAnsi="Palatino Linotype" w:cs="Times New Roman"/>
          <w:i/>
        </w:rPr>
        <w:t xml:space="preserve">“el derecho humano de acceso a la información pública es la prerrogativa de las personas para buscar, difundir, investigar, recabar, recibir y solicitar información pública, sin necesidad ni interés jurídico. Toda </w:t>
      </w:r>
      <w:r w:rsidRPr="007D6CE6">
        <w:rPr>
          <w:rFonts w:ascii="Palatino Linotype" w:eastAsia="MS Mincho" w:hAnsi="Palatino Linotype" w:cs="Times New Roman"/>
          <w:i/>
        </w:rPr>
        <w:lastRenderedPageBreak/>
        <w:t>información generada, obtenida, adquirida, transformada, administrada o en posesión de los sujetos obligados es pública y accesible de manera permanente a cualquier persona (…)”.</w:t>
      </w:r>
    </w:p>
    <w:p w14:paraId="11B37B71" w14:textId="77777777" w:rsidR="00554657" w:rsidRPr="007D6CE6" w:rsidRDefault="00554657" w:rsidP="007D6CE6">
      <w:pPr>
        <w:pStyle w:val="Prrafodelista"/>
        <w:spacing w:line="360" w:lineRule="auto"/>
        <w:rPr>
          <w:rFonts w:ascii="Palatino Linotype" w:eastAsia="MS Mincho" w:hAnsi="Palatino Linotype" w:cs="Times New Roman"/>
          <w:i/>
        </w:rPr>
      </w:pPr>
    </w:p>
    <w:p w14:paraId="08FBCA96" w14:textId="1D8F1744" w:rsidR="00554657" w:rsidRPr="007D6CE6" w:rsidRDefault="00554657" w:rsidP="007D6CE6">
      <w:pPr>
        <w:pStyle w:val="Prrafodelista"/>
        <w:numPr>
          <w:ilvl w:val="0"/>
          <w:numId w:val="1"/>
        </w:numPr>
        <w:spacing w:line="360" w:lineRule="auto"/>
        <w:ind w:left="0" w:right="49" w:firstLine="0"/>
        <w:jc w:val="both"/>
        <w:rPr>
          <w:rFonts w:ascii="Palatino Linotype" w:eastAsia="MS Mincho" w:hAnsi="Palatino Linotype" w:cs="Times New Roman"/>
        </w:rPr>
      </w:pPr>
      <w:r w:rsidRPr="007D6CE6">
        <w:rPr>
          <w:rFonts w:ascii="Palatino Linotype" w:eastAsia="MS Mincho" w:hAnsi="Palatino Linotype" w:cs="Times New Roman"/>
        </w:rPr>
        <w:t xml:space="preserve">Asimismo, en el artículo 18 de la Ley en comento, los </w:t>
      </w:r>
      <w:r w:rsidRPr="007D6CE6">
        <w:rPr>
          <w:rFonts w:ascii="Palatino Linotype" w:eastAsia="MS Mincho" w:hAnsi="Palatino Linotype" w:cs="Times New Roman"/>
          <w:b/>
          <w:bCs/>
        </w:rPr>
        <w:t>Sujetos Obligados</w:t>
      </w:r>
      <w:r w:rsidRPr="007D6CE6">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5C5F20FA" w14:textId="77777777" w:rsidR="00E35C94" w:rsidRPr="007D6CE6" w:rsidRDefault="00E35C94" w:rsidP="007D6CE6">
      <w:pPr>
        <w:spacing w:line="360" w:lineRule="auto"/>
        <w:ind w:right="49"/>
        <w:contextualSpacing/>
        <w:jc w:val="both"/>
        <w:rPr>
          <w:rFonts w:ascii="Palatino Linotype" w:eastAsia="MS Mincho" w:hAnsi="Palatino Linotype" w:cs="Times New Roman"/>
        </w:rPr>
      </w:pPr>
    </w:p>
    <w:p w14:paraId="3E97A014" w14:textId="2D512A28" w:rsidR="00554657" w:rsidRPr="007D6CE6" w:rsidRDefault="00554657" w:rsidP="007D6CE6">
      <w:pPr>
        <w:numPr>
          <w:ilvl w:val="0"/>
          <w:numId w:val="1"/>
        </w:numPr>
        <w:spacing w:line="360" w:lineRule="auto"/>
        <w:ind w:left="0" w:right="49" w:firstLine="0"/>
        <w:contextualSpacing/>
        <w:jc w:val="both"/>
        <w:rPr>
          <w:rFonts w:ascii="Palatino Linotype" w:eastAsia="MS Mincho" w:hAnsi="Palatino Linotype" w:cs="Times New Roman"/>
        </w:rPr>
      </w:pPr>
      <w:r w:rsidRPr="007D6CE6">
        <w:rPr>
          <w:rFonts w:ascii="Palatino Linotype" w:eastAsia="MS Mincho" w:hAnsi="Palatino Linotype" w:cs="Times New Roman"/>
        </w:rPr>
        <w:t>Por lo que, toda la información que sea generada, poseída y administrada por el</w:t>
      </w:r>
      <w:r w:rsidRPr="007D6CE6">
        <w:rPr>
          <w:rFonts w:ascii="Palatino Linotype" w:eastAsia="MS Mincho" w:hAnsi="Palatino Linotype" w:cs="Times New Roman"/>
          <w:b/>
        </w:rPr>
        <w:t xml:space="preserve"> </w:t>
      </w:r>
      <w:r w:rsidR="00F25DC5" w:rsidRPr="007D6CE6">
        <w:rPr>
          <w:rFonts w:ascii="Palatino Linotype" w:eastAsia="MS Mincho" w:hAnsi="Palatino Linotype" w:cs="Times New Roman"/>
          <w:b/>
        </w:rPr>
        <w:t>Sujeto Obligado</w:t>
      </w:r>
      <w:r w:rsidRPr="007D6CE6">
        <w:rPr>
          <w:rFonts w:ascii="Palatino Linotype" w:eastAsia="MS Mincho" w:hAnsi="Palatino Linotype" w:cs="Times New Roman"/>
          <w:b/>
        </w:rPr>
        <w:t>,</w:t>
      </w:r>
      <w:r w:rsidRPr="007D6CE6">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7D6CE6" w:rsidRDefault="00554657" w:rsidP="007D6CE6">
      <w:pPr>
        <w:spacing w:line="360" w:lineRule="auto"/>
        <w:ind w:right="49"/>
        <w:contextualSpacing/>
        <w:jc w:val="both"/>
        <w:rPr>
          <w:rFonts w:ascii="Palatino Linotype" w:eastAsia="MS Mincho" w:hAnsi="Palatino Linotype" w:cs="Times New Roman"/>
        </w:rPr>
      </w:pPr>
    </w:p>
    <w:p w14:paraId="061C270B" w14:textId="1FDBC34D" w:rsidR="00554657" w:rsidRPr="007D6CE6" w:rsidRDefault="00554657" w:rsidP="007D6CE6">
      <w:pPr>
        <w:numPr>
          <w:ilvl w:val="0"/>
          <w:numId w:val="1"/>
        </w:numPr>
        <w:spacing w:line="360" w:lineRule="auto"/>
        <w:ind w:left="0" w:right="49" w:firstLine="0"/>
        <w:contextualSpacing/>
        <w:jc w:val="both"/>
        <w:rPr>
          <w:rFonts w:ascii="Palatino Linotype" w:eastAsia="MS Mincho" w:hAnsi="Palatino Linotype" w:cs="Times New Roman"/>
        </w:rPr>
      </w:pPr>
      <w:r w:rsidRPr="007D6CE6">
        <w:rPr>
          <w:rFonts w:ascii="Palatino Linotype" w:eastAsia="MS Mincho" w:hAnsi="Palatino Linotype" w:cs="Times New Roman"/>
        </w:rPr>
        <w:t xml:space="preserve">Al tenor de lo anterior, la información debe ser proporcionada, siempre y cuando se halle en los archivos documentales de los </w:t>
      </w:r>
      <w:r w:rsidRPr="007D6CE6">
        <w:rPr>
          <w:rFonts w:ascii="Palatino Linotype" w:eastAsia="MS Mincho" w:hAnsi="Palatino Linotype" w:cs="Times New Roman"/>
          <w:b/>
        </w:rPr>
        <w:t>Sujeto Obligados</w:t>
      </w:r>
      <w:r w:rsidRPr="007D6CE6">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w:t>
      </w:r>
      <w:r w:rsidRPr="007D6CE6">
        <w:rPr>
          <w:rFonts w:ascii="Palatino Linotype" w:eastAsia="MS Mincho" w:hAnsi="Palatino Linotype" w:cs="Times New Roman"/>
          <w:b/>
          <w:bCs/>
        </w:rPr>
        <w:t>Sujeto Obligados</w:t>
      </w:r>
      <w:r w:rsidRPr="007D6CE6">
        <w:rPr>
          <w:rFonts w:ascii="Palatino Linotype" w:eastAsia="MS Mincho" w:hAnsi="Palatino Linotype" w:cs="Times New Roman"/>
        </w:rPr>
        <w:t xml:space="preserve"> no deberán de generar, resumir o efectuar cálculos o practicar investigaciones.</w:t>
      </w:r>
      <w:bookmarkStart w:id="79" w:name="_Toc531695629"/>
    </w:p>
    <w:p w14:paraId="4CE030C5" w14:textId="77777777" w:rsidR="00262805" w:rsidRPr="007D6CE6" w:rsidRDefault="00262805" w:rsidP="007D6CE6">
      <w:pPr>
        <w:spacing w:line="360" w:lineRule="auto"/>
        <w:ind w:right="49"/>
        <w:contextualSpacing/>
        <w:jc w:val="both"/>
        <w:rPr>
          <w:rFonts w:ascii="Palatino Linotype" w:eastAsia="MS Mincho" w:hAnsi="Palatino Linotype" w:cs="Times New Roman"/>
        </w:rPr>
      </w:pPr>
    </w:p>
    <w:p w14:paraId="01128081" w14:textId="16C8F57B" w:rsidR="00554657" w:rsidRPr="007D6CE6" w:rsidRDefault="00554657" w:rsidP="007D6CE6">
      <w:pPr>
        <w:pStyle w:val="Ttulo1"/>
        <w:numPr>
          <w:ilvl w:val="0"/>
          <w:numId w:val="3"/>
        </w:numPr>
        <w:spacing w:before="0" w:line="360" w:lineRule="auto"/>
        <w:ind w:left="709"/>
        <w:rPr>
          <w:b/>
          <w:szCs w:val="24"/>
        </w:rPr>
      </w:pPr>
      <w:bookmarkStart w:id="80" w:name="_Toc531795931"/>
      <w:bookmarkStart w:id="81" w:name="_Toc24040925"/>
      <w:r w:rsidRPr="007D6CE6">
        <w:rPr>
          <w:b/>
          <w:color w:val="000000" w:themeColor="text1"/>
          <w:szCs w:val="24"/>
        </w:rPr>
        <w:t xml:space="preserve">De lo solicitado por el particular y la respuesta del </w:t>
      </w:r>
      <w:r w:rsidR="000D13EA" w:rsidRPr="007D6CE6">
        <w:rPr>
          <w:b/>
          <w:color w:val="000000" w:themeColor="text1"/>
          <w:szCs w:val="24"/>
        </w:rPr>
        <w:t>Sujeto Obligado</w:t>
      </w:r>
      <w:r w:rsidRPr="007D6CE6">
        <w:rPr>
          <w:b/>
          <w:color w:val="000000" w:themeColor="text1"/>
          <w:szCs w:val="24"/>
        </w:rPr>
        <w:t>.</w:t>
      </w:r>
      <w:bookmarkEnd w:id="79"/>
      <w:bookmarkEnd w:id="80"/>
      <w:bookmarkEnd w:id="81"/>
      <w:r w:rsidRPr="007D6CE6">
        <w:rPr>
          <w:b/>
          <w:color w:val="000000" w:themeColor="text1"/>
          <w:szCs w:val="24"/>
        </w:rPr>
        <w:t xml:space="preserve"> </w:t>
      </w:r>
    </w:p>
    <w:p w14:paraId="4BD34F61" w14:textId="77777777" w:rsidR="004857E1" w:rsidRPr="007D6CE6" w:rsidRDefault="004857E1" w:rsidP="007D6CE6">
      <w:pPr>
        <w:spacing w:line="360" w:lineRule="auto"/>
        <w:contextualSpacing/>
        <w:jc w:val="both"/>
        <w:rPr>
          <w:rFonts w:ascii="Palatino Linotype" w:eastAsia="Calibri" w:hAnsi="Palatino Linotype" w:cs="Arial"/>
        </w:rPr>
      </w:pPr>
    </w:p>
    <w:p w14:paraId="37DEF8AD" w14:textId="299ACC83" w:rsidR="00554657" w:rsidRPr="007D6CE6" w:rsidRDefault="004E0F92"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Para</w:t>
      </w:r>
      <w:r w:rsidR="00554657" w:rsidRPr="007D6CE6">
        <w:rPr>
          <w:rFonts w:ascii="Palatino Linotype" w:eastAsia="Calibri" w:hAnsi="Palatino Linotype" w:cs="Arial"/>
        </w:rPr>
        <w:t xml:space="preserve"> proceder al análisis del presente asunto, es necesario recapitular que el particular requirió al </w:t>
      </w:r>
      <w:r w:rsidR="00312090" w:rsidRPr="007D6CE6">
        <w:rPr>
          <w:rFonts w:ascii="Palatino Linotype" w:eastAsia="Calibri" w:hAnsi="Palatino Linotype" w:cs="Arial"/>
          <w:b/>
        </w:rPr>
        <w:t>Sujeto Obligado</w:t>
      </w:r>
      <w:r w:rsidR="00312090" w:rsidRPr="007D6CE6">
        <w:rPr>
          <w:rFonts w:ascii="Palatino Linotype" w:eastAsia="Calibri" w:hAnsi="Palatino Linotype" w:cs="Arial"/>
        </w:rPr>
        <w:t>, la siguiente información:</w:t>
      </w:r>
    </w:p>
    <w:p w14:paraId="1A49E069" w14:textId="77777777" w:rsidR="00E35C94" w:rsidRPr="007D6CE6" w:rsidRDefault="00E35C94" w:rsidP="007D6CE6">
      <w:pPr>
        <w:spacing w:line="360" w:lineRule="auto"/>
        <w:ind w:right="616"/>
        <w:jc w:val="both"/>
        <w:rPr>
          <w:rFonts w:ascii="Palatino Linotype" w:hAnsi="Palatino Linotype"/>
          <w:b/>
          <w:bCs/>
        </w:rPr>
      </w:pPr>
    </w:p>
    <w:p w14:paraId="4218C7B1" w14:textId="6D52BDD7" w:rsidR="00E35C94" w:rsidRPr="007D6CE6" w:rsidRDefault="00E35C94" w:rsidP="007D6CE6">
      <w:pPr>
        <w:spacing w:line="360" w:lineRule="auto"/>
        <w:ind w:left="567" w:right="616"/>
        <w:jc w:val="both"/>
        <w:rPr>
          <w:rFonts w:ascii="Palatino Linotype" w:hAnsi="Palatino Linotype"/>
          <w:b/>
          <w:bCs/>
        </w:rPr>
      </w:pPr>
      <w:r w:rsidRPr="007D6CE6">
        <w:rPr>
          <w:rFonts w:ascii="Palatino Linotype" w:hAnsi="Palatino Linotype"/>
          <w:b/>
          <w:bCs/>
        </w:rPr>
        <w:t xml:space="preserve">ÚNICO. </w:t>
      </w:r>
      <w:bookmarkStart w:id="82" w:name="_Hlk23934734"/>
      <w:r w:rsidRPr="007D6CE6">
        <w:rPr>
          <w:rFonts w:ascii="Palatino Linotype" w:hAnsi="Palatino Linotype"/>
          <w:b/>
          <w:bCs/>
        </w:rPr>
        <w:t>Catálogo de disposición documental y guía de archivos</w:t>
      </w:r>
      <w:bookmarkEnd w:id="82"/>
    </w:p>
    <w:p w14:paraId="32A48E37" w14:textId="77777777" w:rsidR="00E35C94" w:rsidRPr="007D6CE6" w:rsidRDefault="00E35C94" w:rsidP="007D6CE6">
      <w:pPr>
        <w:spacing w:line="360" w:lineRule="auto"/>
        <w:contextualSpacing/>
        <w:jc w:val="both"/>
        <w:rPr>
          <w:rFonts w:ascii="Palatino Linotype" w:eastAsia="Calibri" w:hAnsi="Palatino Linotype" w:cs="Arial"/>
        </w:rPr>
      </w:pPr>
    </w:p>
    <w:p w14:paraId="1F368D4A" w14:textId="1FE2C255" w:rsidR="00E35C94" w:rsidRPr="007D6CE6" w:rsidRDefault="00E35C94"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En respuesta 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proporcionó diversas ligas electrónicas siendo las siguientes; </w:t>
      </w:r>
    </w:p>
    <w:p w14:paraId="594600AF" w14:textId="6D951030" w:rsidR="00E35C94" w:rsidRPr="007D6CE6" w:rsidRDefault="00E35C94" w:rsidP="007D6CE6">
      <w:pPr>
        <w:spacing w:line="360" w:lineRule="auto"/>
        <w:contextualSpacing/>
        <w:jc w:val="both"/>
        <w:rPr>
          <w:rFonts w:ascii="Palatino Linotype" w:eastAsia="Calibri" w:hAnsi="Palatino Linotype" w:cs="Arial"/>
        </w:rPr>
      </w:pPr>
    </w:p>
    <w:p w14:paraId="0F3F28E2" w14:textId="53C944C0" w:rsidR="00E35C94" w:rsidRPr="007D6CE6" w:rsidRDefault="00E35C94" w:rsidP="007D6CE6">
      <w:pPr>
        <w:pStyle w:val="Prrafodelista"/>
        <w:numPr>
          <w:ilvl w:val="0"/>
          <w:numId w:val="14"/>
        </w:numPr>
        <w:spacing w:line="360" w:lineRule="auto"/>
        <w:ind w:left="851" w:right="616"/>
        <w:jc w:val="both"/>
        <w:rPr>
          <w:rFonts w:ascii="Palatino Linotype" w:eastAsia="Calibri" w:hAnsi="Palatino Linotype" w:cs="Arial"/>
        </w:rPr>
      </w:pPr>
      <w:r w:rsidRPr="007D6CE6">
        <w:rPr>
          <w:rFonts w:ascii="Palatino Linotype" w:eastAsia="Calibri" w:hAnsi="Palatino Linotype" w:cs="Arial"/>
        </w:rPr>
        <w:t xml:space="preserve">Información que se considera pública puede ser consultada en </w:t>
      </w:r>
      <w:hyperlink r:id="rId17" w:history="1">
        <w:r w:rsidRPr="007D6CE6">
          <w:rPr>
            <w:rStyle w:val="Hipervnculo"/>
            <w:rFonts w:ascii="Palatino Linotype" w:hAnsi="Palatino Linotype"/>
            <w:bCs/>
            <w:iCs/>
          </w:rPr>
          <w:t>https://www.ipomex.org.mx/ipo3/lgt/indice/SESEA/art_92_xlix.web</w:t>
        </w:r>
      </w:hyperlink>
      <w:r w:rsidRPr="007D6CE6">
        <w:rPr>
          <w:rFonts w:ascii="Palatino Linotype" w:hAnsi="Palatino Linotype"/>
          <w:bCs/>
          <w:iCs/>
        </w:rPr>
        <w:t xml:space="preserve"> lo cual de su ingreso se obtiene lo siguiente</w:t>
      </w:r>
      <w:r w:rsidRPr="007D6CE6">
        <w:rPr>
          <w:rFonts w:ascii="Palatino Linotype" w:eastAsia="Calibri" w:hAnsi="Palatino Linotype" w:cs="Arial"/>
        </w:rPr>
        <w:t>;</w:t>
      </w:r>
    </w:p>
    <w:p w14:paraId="6B5F4E1E" w14:textId="77777777" w:rsidR="00262805" w:rsidRPr="007D6CE6" w:rsidRDefault="00262805" w:rsidP="007D6CE6">
      <w:pPr>
        <w:pStyle w:val="Prrafodelista"/>
        <w:spacing w:line="360" w:lineRule="auto"/>
        <w:ind w:left="851" w:right="616"/>
        <w:jc w:val="both"/>
        <w:rPr>
          <w:rFonts w:ascii="Palatino Linotype" w:eastAsia="Calibri" w:hAnsi="Palatino Linotype" w:cs="Arial"/>
        </w:rPr>
      </w:pPr>
    </w:p>
    <w:p w14:paraId="1EEE72B7" w14:textId="36A1ADAB" w:rsidR="00E35C94" w:rsidRPr="007D6CE6" w:rsidRDefault="00E35C94" w:rsidP="007D6CE6">
      <w:pPr>
        <w:pStyle w:val="Prrafodelista"/>
        <w:spacing w:line="360" w:lineRule="auto"/>
        <w:ind w:left="567" w:right="616"/>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73905B6D" wp14:editId="4DD0C640">
            <wp:extent cx="5210175" cy="3057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55" t="21375" r="28719" b="54436"/>
                    <a:stretch/>
                  </pic:blipFill>
                  <pic:spPr bwMode="auto">
                    <a:xfrm>
                      <a:off x="0" y="0"/>
                      <a:ext cx="5210175" cy="3057525"/>
                    </a:xfrm>
                    <a:prstGeom prst="rect">
                      <a:avLst/>
                    </a:prstGeom>
                    <a:ln>
                      <a:noFill/>
                    </a:ln>
                    <a:extLst>
                      <a:ext uri="{53640926-AAD7-44D8-BBD7-CCE9431645EC}">
                        <a14:shadowObscured xmlns:a14="http://schemas.microsoft.com/office/drawing/2010/main"/>
                      </a:ext>
                    </a:extLst>
                  </pic:spPr>
                </pic:pic>
              </a:graphicData>
            </a:graphic>
          </wp:inline>
        </w:drawing>
      </w:r>
      <w:r w:rsidRPr="007D6CE6">
        <w:rPr>
          <w:rFonts w:ascii="Palatino Linotype" w:eastAsia="Calibri" w:hAnsi="Palatino Linotype" w:cs="Arial"/>
        </w:rPr>
        <w:t xml:space="preserve"> </w:t>
      </w:r>
    </w:p>
    <w:p w14:paraId="56FED5FF" w14:textId="77777777" w:rsidR="00E35C94" w:rsidRPr="007D6CE6" w:rsidRDefault="00E35C94" w:rsidP="007D6CE6">
      <w:pPr>
        <w:pStyle w:val="Prrafodelista"/>
        <w:spacing w:line="360" w:lineRule="auto"/>
        <w:jc w:val="both"/>
        <w:rPr>
          <w:rFonts w:ascii="Palatino Linotype" w:eastAsia="Calibri" w:hAnsi="Palatino Linotype" w:cs="Arial"/>
        </w:rPr>
      </w:pPr>
    </w:p>
    <w:p w14:paraId="22985F3A" w14:textId="16E27A80" w:rsidR="00E35C94" w:rsidRPr="007D6CE6" w:rsidRDefault="00F6306F"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refirió que es un organismo descentralizado, no centralizado con sede en Toluca, atendiendo a lo establecido por [se proporcionó la siguiente liga electrónica] </w:t>
      </w:r>
      <w:hyperlink r:id="rId19" w:history="1">
        <w:r w:rsidRPr="007D6CE6">
          <w:rPr>
            <w:rStyle w:val="Hipervnculo"/>
            <w:rFonts w:ascii="Palatino Linotype" w:hAnsi="Palatino Linotype"/>
            <w:bCs/>
            <w:iCs/>
          </w:rPr>
          <w:t>http://legislacion.edomex.gob.mx/sites/legislacion.edomex.gob.mx/files/files/pdf/ley/vig/leyvig240.pdf</w:t>
        </w:r>
      </w:hyperlink>
      <w:r w:rsidRPr="007D6CE6">
        <w:rPr>
          <w:rFonts w:ascii="Palatino Linotype" w:hAnsi="Palatino Linotype"/>
          <w:bCs/>
          <w:iCs/>
        </w:rPr>
        <w:t xml:space="preserve"> que de su ingreso se obtiene lo siguiente</w:t>
      </w:r>
      <w:r w:rsidRPr="007D6CE6">
        <w:rPr>
          <w:rFonts w:ascii="Palatino Linotype" w:eastAsia="Calibri" w:hAnsi="Palatino Linotype" w:cs="Arial"/>
        </w:rPr>
        <w:t>;</w:t>
      </w:r>
    </w:p>
    <w:p w14:paraId="09824118" w14:textId="79175107" w:rsidR="00F6306F" w:rsidRPr="007D6CE6" w:rsidRDefault="00F6306F" w:rsidP="007D6CE6">
      <w:pPr>
        <w:pStyle w:val="Prrafodelista"/>
        <w:spacing w:line="360" w:lineRule="auto"/>
        <w:jc w:val="both"/>
        <w:rPr>
          <w:rFonts w:ascii="Palatino Linotype" w:eastAsia="Calibri" w:hAnsi="Palatino Linotype" w:cs="Arial"/>
        </w:rPr>
      </w:pPr>
      <w:proofErr w:type="gramStart"/>
      <w:r w:rsidRPr="007D6CE6">
        <w:rPr>
          <w:rFonts w:ascii="Palatino Linotype" w:hAnsi="Palatino Linotype"/>
          <w:bCs/>
          <w:iCs/>
        </w:rPr>
        <w:lastRenderedPageBreak/>
        <w:t>lo</w:t>
      </w:r>
      <w:proofErr w:type="gramEnd"/>
      <w:r w:rsidRPr="007D6CE6">
        <w:rPr>
          <w:rFonts w:ascii="Palatino Linotype" w:hAnsi="Palatino Linotype"/>
          <w:bCs/>
          <w:iCs/>
        </w:rPr>
        <w:t xml:space="preserve"> cual de su ingreso se obtiene lo siguiente</w:t>
      </w:r>
      <w:r w:rsidRPr="007D6CE6">
        <w:rPr>
          <w:rFonts w:ascii="Palatino Linotype" w:eastAsia="Calibri" w:hAnsi="Palatino Linotype" w:cs="Arial"/>
        </w:rPr>
        <w:t>;</w:t>
      </w:r>
    </w:p>
    <w:p w14:paraId="2BC346A6" w14:textId="7A6E448E" w:rsidR="00E35C94" w:rsidRPr="007D6CE6" w:rsidRDefault="00F6306F"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4FDA3942" wp14:editId="082B1441">
            <wp:extent cx="5229225" cy="2876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88" t="14785" r="32112" b="42366"/>
                    <a:stretch/>
                  </pic:blipFill>
                  <pic:spPr bwMode="auto">
                    <a:xfrm>
                      <a:off x="0" y="0"/>
                      <a:ext cx="5229225" cy="2876550"/>
                    </a:xfrm>
                    <a:prstGeom prst="rect">
                      <a:avLst/>
                    </a:prstGeom>
                    <a:ln>
                      <a:noFill/>
                    </a:ln>
                    <a:extLst>
                      <a:ext uri="{53640926-AAD7-44D8-BBD7-CCE9431645EC}">
                        <a14:shadowObscured xmlns:a14="http://schemas.microsoft.com/office/drawing/2010/main"/>
                      </a:ext>
                    </a:extLst>
                  </pic:spPr>
                </pic:pic>
              </a:graphicData>
            </a:graphic>
          </wp:inline>
        </w:drawing>
      </w:r>
    </w:p>
    <w:p w14:paraId="7348F63E" w14:textId="77777777" w:rsidR="00F6306F" w:rsidRPr="007D6CE6" w:rsidRDefault="00F6306F" w:rsidP="007D6CE6">
      <w:pPr>
        <w:spacing w:line="360" w:lineRule="auto"/>
        <w:jc w:val="both"/>
        <w:rPr>
          <w:rFonts w:ascii="Palatino Linotype" w:eastAsia="Calibri" w:hAnsi="Palatino Linotype" w:cs="Arial"/>
        </w:rPr>
      </w:pPr>
    </w:p>
    <w:p w14:paraId="5CD0549D" w14:textId="3946C02B" w:rsidR="00F6306F" w:rsidRPr="007D6CE6" w:rsidRDefault="00F6306F"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señaló las siguientes ligas electrónicas</w:t>
      </w:r>
      <w:r w:rsidR="00A55C08" w:rsidRPr="007D6CE6">
        <w:rPr>
          <w:rFonts w:ascii="Palatino Linotype" w:eastAsia="Calibri" w:hAnsi="Palatino Linotype" w:cs="Arial"/>
        </w:rPr>
        <w:t xml:space="preserve"> </w:t>
      </w:r>
      <w:r w:rsidRPr="007D6CE6">
        <w:rPr>
          <w:rFonts w:ascii="Palatino Linotype" w:hAnsi="Palatino Linotype"/>
          <w:bCs/>
          <w:iCs/>
        </w:rPr>
        <w:t>https://www.ipomex.org.mx/portal.htm y https://www.plataformadetransparencia.org.mx/web/guest/inicio</w:t>
      </w:r>
      <w:r w:rsidR="00A55C08" w:rsidRPr="007D6CE6">
        <w:rPr>
          <w:rFonts w:ascii="Palatino Linotype" w:hAnsi="Palatino Linotype"/>
          <w:bCs/>
          <w:iCs/>
        </w:rPr>
        <w:t>,</w:t>
      </w:r>
      <w:r w:rsidRPr="007D6CE6">
        <w:rPr>
          <w:rFonts w:ascii="Palatino Linotype" w:eastAsia="Calibri" w:hAnsi="Palatino Linotype" w:cs="Arial"/>
        </w:rPr>
        <w:t xml:space="preserve"> </w:t>
      </w:r>
      <w:r w:rsidRPr="007D6CE6">
        <w:rPr>
          <w:rFonts w:ascii="Palatino Linotype" w:hAnsi="Palatino Linotype"/>
          <w:bCs/>
          <w:iCs/>
        </w:rPr>
        <w:t>que de su ingreso se obtiene lo siguiente</w:t>
      </w:r>
      <w:r w:rsidRPr="007D6CE6">
        <w:rPr>
          <w:rFonts w:ascii="Palatino Linotype" w:eastAsia="Calibri" w:hAnsi="Palatino Linotype" w:cs="Arial"/>
        </w:rPr>
        <w:t>;</w:t>
      </w:r>
    </w:p>
    <w:p w14:paraId="728A6132" w14:textId="62F8777D" w:rsidR="00A55C08" w:rsidRPr="007D6CE6" w:rsidRDefault="00262805" w:rsidP="007D6CE6">
      <w:pPr>
        <w:pStyle w:val="Prrafodelista"/>
        <w:spacing w:line="360" w:lineRule="auto"/>
        <w:jc w:val="both"/>
        <w:rPr>
          <w:rFonts w:ascii="Palatino Linotype" w:eastAsia="Calibri" w:hAnsi="Palatino Linotype" w:cs="Arial"/>
        </w:rPr>
      </w:pPr>
      <w:r w:rsidRPr="007D6CE6">
        <w:rPr>
          <w:rFonts w:ascii="Palatino Linotype" w:eastAsia="Calibri" w:hAnsi="Palatino Linotype" w:cs="Arial"/>
          <w:noProof/>
          <w:lang w:val="es-MX" w:eastAsia="es-MX"/>
        </w:rPr>
        <mc:AlternateContent>
          <mc:Choice Requires="wps">
            <w:drawing>
              <wp:anchor distT="0" distB="0" distL="114300" distR="114300" simplePos="0" relativeHeight="251689984" behindDoc="0" locked="0" layoutInCell="1" allowOverlap="1" wp14:anchorId="710CD69E" wp14:editId="0C9F0542">
                <wp:simplePos x="0" y="0"/>
                <wp:positionH relativeFrom="margin">
                  <wp:align>right</wp:align>
                </wp:positionH>
                <wp:positionV relativeFrom="paragraph">
                  <wp:posOffset>100965</wp:posOffset>
                </wp:positionV>
                <wp:extent cx="5457825" cy="2514600"/>
                <wp:effectExtent l="57150" t="38100" r="66675" b="95250"/>
                <wp:wrapNone/>
                <wp:docPr id="12" name="Conector recto 12"/>
                <wp:cNvGraphicFramePr/>
                <a:graphic xmlns:a="http://schemas.openxmlformats.org/drawingml/2006/main">
                  <a:graphicData uri="http://schemas.microsoft.com/office/word/2010/wordprocessingShape">
                    <wps:wsp>
                      <wps:cNvCnPr/>
                      <wps:spPr>
                        <a:xfrm flipH="1" flipV="1">
                          <a:off x="0" y="0"/>
                          <a:ext cx="5457825" cy="251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0E0BA" id="Conector recto 12" o:spid="_x0000_s1026" style="position:absolute;flip:x y;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7.95pt" to="808.3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" strokecolor="#4f81bd [3204]" strokeweight="2pt">
                <v:shadow on="t" color="black" opacity="24903f" origin=",.5" offset="0,.55556mm"/>
                <w10:wrap anchorx="margin"/>
              </v:line>
            </w:pict>
          </mc:Fallback>
        </mc:AlternateContent>
      </w:r>
    </w:p>
    <w:p w14:paraId="6FC981D4" w14:textId="77777777" w:rsidR="00A55C08" w:rsidRPr="007D6CE6" w:rsidRDefault="00A55C08" w:rsidP="007D6CE6">
      <w:pPr>
        <w:pStyle w:val="Prrafodelista"/>
        <w:spacing w:line="360" w:lineRule="auto"/>
        <w:jc w:val="both"/>
        <w:rPr>
          <w:rFonts w:ascii="Palatino Linotype" w:eastAsia="Calibri" w:hAnsi="Palatino Linotype" w:cs="Arial"/>
        </w:rPr>
      </w:pPr>
    </w:p>
    <w:p w14:paraId="2498F179" w14:textId="1BF2851D" w:rsidR="00F6306F" w:rsidRPr="007D6CE6" w:rsidRDefault="00A55C08"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lastRenderedPageBreak/>
        <w:drawing>
          <wp:inline distT="0" distB="0" distL="0" distR="0" wp14:anchorId="2FD8D394" wp14:editId="19F1EDA2">
            <wp:extent cx="5257800" cy="2152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968" t="10259" r="26001" b="21545"/>
                    <a:stretch/>
                  </pic:blipFill>
                  <pic:spPr bwMode="auto">
                    <a:xfrm>
                      <a:off x="0" y="0"/>
                      <a:ext cx="5257800" cy="2152650"/>
                    </a:xfrm>
                    <a:prstGeom prst="rect">
                      <a:avLst/>
                    </a:prstGeom>
                    <a:ln>
                      <a:noFill/>
                    </a:ln>
                    <a:extLst>
                      <a:ext uri="{53640926-AAD7-44D8-BBD7-CCE9431645EC}">
                        <a14:shadowObscured xmlns:a14="http://schemas.microsoft.com/office/drawing/2010/main"/>
                      </a:ext>
                    </a:extLst>
                  </pic:spPr>
                </pic:pic>
              </a:graphicData>
            </a:graphic>
          </wp:inline>
        </w:drawing>
      </w:r>
    </w:p>
    <w:p w14:paraId="41E96A93" w14:textId="77777777" w:rsidR="00A55C08" w:rsidRPr="007D6CE6" w:rsidRDefault="00A55C08" w:rsidP="007D6CE6">
      <w:pPr>
        <w:pStyle w:val="Prrafodelista"/>
        <w:spacing w:line="360" w:lineRule="auto"/>
        <w:ind w:left="567"/>
        <w:jc w:val="both"/>
        <w:rPr>
          <w:rFonts w:ascii="Palatino Linotype" w:eastAsia="Calibri" w:hAnsi="Palatino Linotype" w:cs="Arial"/>
        </w:rPr>
      </w:pPr>
    </w:p>
    <w:p w14:paraId="793EABFD" w14:textId="10549F40" w:rsidR="00E35C94" w:rsidRPr="007D6CE6" w:rsidRDefault="00A55C08"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196E070F" wp14:editId="2EC184B2">
            <wp:extent cx="5191125" cy="2857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353" t="6940" r="10217" b="29296"/>
                    <a:stretch/>
                  </pic:blipFill>
                  <pic:spPr bwMode="auto">
                    <a:xfrm>
                      <a:off x="0" y="0"/>
                      <a:ext cx="5191125" cy="2857500"/>
                    </a:xfrm>
                    <a:prstGeom prst="rect">
                      <a:avLst/>
                    </a:prstGeom>
                    <a:ln>
                      <a:noFill/>
                    </a:ln>
                    <a:extLst>
                      <a:ext uri="{53640926-AAD7-44D8-BBD7-CCE9431645EC}">
                        <a14:shadowObscured xmlns:a14="http://schemas.microsoft.com/office/drawing/2010/main"/>
                      </a:ext>
                    </a:extLst>
                  </pic:spPr>
                </pic:pic>
              </a:graphicData>
            </a:graphic>
          </wp:inline>
        </w:drawing>
      </w:r>
    </w:p>
    <w:p w14:paraId="1372554F" w14:textId="77777777" w:rsidR="00E35C94" w:rsidRPr="007D6CE6" w:rsidRDefault="00E35C94" w:rsidP="007D6CE6">
      <w:pPr>
        <w:pStyle w:val="Prrafodelista"/>
        <w:spacing w:line="360" w:lineRule="auto"/>
        <w:jc w:val="both"/>
        <w:rPr>
          <w:rFonts w:ascii="Palatino Linotype" w:eastAsia="Calibri" w:hAnsi="Palatino Linotype" w:cs="Arial"/>
        </w:rPr>
      </w:pPr>
    </w:p>
    <w:p w14:paraId="1062D89D" w14:textId="28DBB007" w:rsidR="008225F5" w:rsidRPr="007D6CE6" w:rsidRDefault="009747E9"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indicó </w:t>
      </w:r>
      <w:r w:rsidR="00262805" w:rsidRPr="007D6CE6">
        <w:rPr>
          <w:rFonts w:ascii="Palatino Linotype" w:eastAsia="Calibri" w:hAnsi="Palatino Linotype" w:cs="Arial"/>
        </w:rPr>
        <w:t>que,</w:t>
      </w:r>
      <w:r w:rsidRPr="007D6CE6">
        <w:rPr>
          <w:rFonts w:ascii="Palatino Linotype" w:eastAsia="Calibri" w:hAnsi="Palatino Linotype" w:cs="Arial"/>
        </w:rPr>
        <w:t xml:space="preserve"> para identificar los trámites y servicios proporcionados por esa autoridad, se puede acceder a través de las siguientes ligas electrónicas </w:t>
      </w:r>
      <w:r w:rsidRPr="007D6CE6">
        <w:rPr>
          <w:rFonts w:ascii="Palatino Linotype" w:hAnsi="Palatino Linotype"/>
          <w:bCs/>
          <w:iCs/>
        </w:rPr>
        <w:t xml:space="preserve">https://www.ipomex.org.mx/ipo3/lgt/indice/sesea/art_92_xxiii.web y https://www.ipomex.org.mx/ipo3/lgt/indice/sesea/art_92_xxiv.web, que de su acceso se obtiene; </w:t>
      </w:r>
    </w:p>
    <w:p w14:paraId="073F3A42" w14:textId="41C888BB" w:rsidR="009747E9" w:rsidRPr="007D6CE6" w:rsidRDefault="009747E9"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lastRenderedPageBreak/>
        <w:drawing>
          <wp:inline distT="0" distB="0" distL="0" distR="0" wp14:anchorId="35A03CB2" wp14:editId="0C557FD1">
            <wp:extent cx="5219700"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10" t="18828" r="28773" b="50393"/>
                    <a:stretch/>
                  </pic:blipFill>
                  <pic:spPr bwMode="auto">
                    <a:xfrm>
                      <a:off x="0" y="0"/>
                      <a:ext cx="5219700" cy="2095500"/>
                    </a:xfrm>
                    <a:prstGeom prst="rect">
                      <a:avLst/>
                    </a:prstGeom>
                    <a:ln>
                      <a:noFill/>
                    </a:ln>
                    <a:extLst>
                      <a:ext uri="{53640926-AAD7-44D8-BBD7-CCE9431645EC}">
                        <a14:shadowObscured xmlns:a14="http://schemas.microsoft.com/office/drawing/2010/main"/>
                      </a:ext>
                    </a:extLst>
                  </pic:spPr>
                </pic:pic>
              </a:graphicData>
            </a:graphic>
          </wp:inline>
        </w:drawing>
      </w:r>
    </w:p>
    <w:p w14:paraId="453252F0" w14:textId="01A7634E" w:rsidR="008225F5" w:rsidRPr="007D6CE6" w:rsidRDefault="008225F5" w:rsidP="007D6CE6">
      <w:pPr>
        <w:pStyle w:val="Prrafodelista"/>
        <w:spacing w:line="360" w:lineRule="auto"/>
        <w:ind w:left="567"/>
        <w:jc w:val="both"/>
        <w:rPr>
          <w:rFonts w:ascii="Palatino Linotype" w:eastAsia="Calibri" w:hAnsi="Palatino Linotype" w:cs="Arial"/>
        </w:rPr>
      </w:pPr>
      <w:proofErr w:type="gramStart"/>
      <w:r w:rsidRPr="007D6CE6">
        <w:rPr>
          <w:rFonts w:ascii="Palatino Linotype" w:eastAsia="Calibri" w:hAnsi="Palatino Linotype" w:cs="Arial"/>
        </w:rPr>
        <w:t>y</w:t>
      </w:r>
      <w:proofErr w:type="gramEnd"/>
      <w:r w:rsidRPr="007D6CE6">
        <w:rPr>
          <w:rFonts w:ascii="Palatino Linotype" w:eastAsia="Calibri" w:hAnsi="Palatino Linotype" w:cs="Arial"/>
        </w:rPr>
        <w:t xml:space="preserve">; </w:t>
      </w:r>
    </w:p>
    <w:p w14:paraId="6301B70B" w14:textId="5F1CE4DA" w:rsidR="008225F5" w:rsidRPr="007D6CE6" w:rsidRDefault="008225F5"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72846971" wp14:editId="615FB572">
            <wp:extent cx="5229225" cy="2495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23" t="19311" r="28547" b="51720"/>
                    <a:stretch/>
                  </pic:blipFill>
                  <pic:spPr bwMode="auto">
                    <a:xfrm>
                      <a:off x="0" y="0"/>
                      <a:ext cx="5229225" cy="2495550"/>
                    </a:xfrm>
                    <a:prstGeom prst="rect">
                      <a:avLst/>
                    </a:prstGeom>
                    <a:ln>
                      <a:noFill/>
                    </a:ln>
                    <a:extLst>
                      <a:ext uri="{53640926-AAD7-44D8-BBD7-CCE9431645EC}">
                        <a14:shadowObscured xmlns:a14="http://schemas.microsoft.com/office/drawing/2010/main"/>
                      </a:ext>
                    </a:extLst>
                  </pic:spPr>
                </pic:pic>
              </a:graphicData>
            </a:graphic>
          </wp:inline>
        </w:drawing>
      </w:r>
    </w:p>
    <w:p w14:paraId="446838F4" w14:textId="77777777" w:rsidR="008225F5" w:rsidRPr="007D6CE6" w:rsidRDefault="008225F5" w:rsidP="007D6CE6">
      <w:pPr>
        <w:pStyle w:val="Prrafodelista"/>
        <w:spacing w:line="360" w:lineRule="auto"/>
        <w:jc w:val="both"/>
        <w:rPr>
          <w:rFonts w:ascii="Palatino Linotype" w:eastAsia="Calibri" w:hAnsi="Palatino Linotype" w:cs="Arial"/>
        </w:rPr>
      </w:pPr>
    </w:p>
    <w:p w14:paraId="42FA6356" w14:textId="6C65EDE3" w:rsidR="008225F5" w:rsidRPr="007D6CE6" w:rsidRDefault="008225F5"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De igual forma, 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le recomendó al particular ingresar a la siguiente liga electrónica </w:t>
      </w:r>
      <w:r w:rsidRPr="007D6CE6">
        <w:rPr>
          <w:rFonts w:ascii="Palatino Linotype" w:hAnsi="Palatino Linotype"/>
          <w:bCs/>
          <w:iCs/>
        </w:rPr>
        <w:t>www.sesaemm.gob.mx</w:t>
      </w:r>
      <w:r w:rsidRPr="007D6CE6">
        <w:rPr>
          <w:rFonts w:ascii="Palatino Linotype" w:eastAsia="Calibri" w:hAnsi="Palatino Linotype" w:cs="Arial"/>
        </w:rPr>
        <w:t xml:space="preserve"> para consultar más información de sus actividades, que de su acceso se advierte lo siguiente; </w:t>
      </w:r>
    </w:p>
    <w:p w14:paraId="1D641B32" w14:textId="77777777" w:rsidR="00DB2EB9" w:rsidRPr="007D6CE6" w:rsidRDefault="00DB2EB9" w:rsidP="007D6CE6">
      <w:pPr>
        <w:pStyle w:val="Prrafodelista"/>
        <w:spacing w:line="360" w:lineRule="auto"/>
        <w:jc w:val="both"/>
        <w:rPr>
          <w:rFonts w:ascii="Palatino Linotype" w:eastAsia="Calibri" w:hAnsi="Palatino Linotype" w:cs="Arial"/>
        </w:rPr>
      </w:pPr>
    </w:p>
    <w:p w14:paraId="6AA26429" w14:textId="4793AEF4" w:rsidR="008225F5" w:rsidRPr="007D6CE6" w:rsidRDefault="008225F5"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lastRenderedPageBreak/>
        <w:drawing>
          <wp:inline distT="0" distB="0" distL="0" distR="0" wp14:anchorId="07ABAFC5" wp14:editId="791B35D1">
            <wp:extent cx="5238750" cy="3638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289" t="6337" r="25662" b="16415"/>
                    <a:stretch/>
                  </pic:blipFill>
                  <pic:spPr bwMode="auto">
                    <a:xfrm>
                      <a:off x="0" y="0"/>
                      <a:ext cx="5238750" cy="3638550"/>
                    </a:xfrm>
                    <a:prstGeom prst="rect">
                      <a:avLst/>
                    </a:prstGeom>
                    <a:ln>
                      <a:noFill/>
                    </a:ln>
                    <a:extLst>
                      <a:ext uri="{53640926-AAD7-44D8-BBD7-CCE9431645EC}">
                        <a14:shadowObscured xmlns:a14="http://schemas.microsoft.com/office/drawing/2010/main"/>
                      </a:ext>
                    </a:extLst>
                  </pic:spPr>
                </pic:pic>
              </a:graphicData>
            </a:graphic>
          </wp:inline>
        </w:drawing>
      </w:r>
    </w:p>
    <w:p w14:paraId="1362E419" w14:textId="77777777" w:rsidR="008225F5" w:rsidRPr="007D6CE6" w:rsidRDefault="008225F5" w:rsidP="007D6CE6">
      <w:pPr>
        <w:pStyle w:val="Prrafodelista"/>
        <w:spacing w:line="360" w:lineRule="auto"/>
        <w:jc w:val="both"/>
        <w:rPr>
          <w:rFonts w:ascii="Palatino Linotype" w:eastAsia="Calibri" w:hAnsi="Palatino Linotype" w:cs="Arial"/>
        </w:rPr>
      </w:pPr>
    </w:p>
    <w:p w14:paraId="4A0846D9" w14:textId="4A6FF7CA" w:rsidR="008225F5" w:rsidRPr="007D6CE6" w:rsidRDefault="008225F5"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refirió que su información de contacto puede ser consultado a través de la siguiente liga electrónica </w:t>
      </w:r>
      <w:r w:rsidRPr="007D6CE6">
        <w:rPr>
          <w:rFonts w:ascii="Palatino Linotype" w:hAnsi="Palatino Linotype"/>
          <w:bCs/>
          <w:iCs/>
        </w:rPr>
        <w:t>https://www.ipomex.org.mx/ipo3/lgt/indice/SESEA/art_92_xvi.web, que de su acceso se tiene lo siguiente;</w:t>
      </w:r>
    </w:p>
    <w:p w14:paraId="37FF194D" w14:textId="305B1A84" w:rsidR="008225F5" w:rsidRPr="007D6CE6" w:rsidRDefault="008225F5"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5B8A635E" wp14:editId="754F6107">
            <wp:extent cx="5229225" cy="1866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513" t="21726" r="28378" b="52625"/>
                    <a:stretch/>
                  </pic:blipFill>
                  <pic:spPr bwMode="auto">
                    <a:xfrm>
                      <a:off x="0" y="0"/>
                      <a:ext cx="5229225" cy="1866900"/>
                    </a:xfrm>
                    <a:prstGeom prst="rect">
                      <a:avLst/>
                    </a:prstGeom>
                    <a:ln>
                      <a:noFill/>
                    </a:ln>
                    <a:extLst>
                      <a:ext uri="{53640926-AAD7-44D8-BBD7-CCE9431645EC}">
                        <a14:shadowObscured xmlns:a14="http://schemas.microsoft.com/office/drawing/2010/main"/>
                      </a:ext>
                    </a:extLst>
                  </pic:spPr>
                </pic:pic>
              </a:graphicData>
            </a:graphic>
          </wp:inline>
        </w:drawing>
      </w:r>
    </w:p>
    <w:p w14:paraId="3215101F" w14:textId="77777777" w:rsidR="008225F5" w:rsidRPr="007D6CE6" w:rsidRDefault="008225F5" w:rsidP="007D6CE6">
      <w:pPr>
        <w:pStyle w:val="Prrafodelista"/>
        <w:spacing w:line="360" w:lineRule="auto"/>
        <w:ind w:left="567"/>
        <w:jc w:val="both"/>
        <w:rPr>
          <w:rFonts w:ascii="Palatino Linotype" w:eastAsia="Calibri" w:hAnsi="Palatino Linotype" w:cs="Arial"/>
        </w:rPr>
      </w:pPr>
    </w:p>
    <w:p w14:paraId="15DE307D" w14:textId="20B0B173" w:rsidR="00DB2EB9" w:rsidRPr="007D6CE6" w:rsidRDefault="00296055"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Asimismo, señaló que los supuestos de procedencia y procedimiento aplicable al medio de impugnación pueden ser consultados en la siguiente liga electrónica </w:t>
      </w:r>
      <w:r w:rsidRPr="007D6CE6">
        <w:rPr>
          <w:rFonts w:ascii="Palatino Linotype" w:hAnsi="Palatino Linotype"/>
          <w:bCs/>
          <w:iCs/>
        </w:rPr>
        <w:t>http://legislacion.edomex.gob.mx/sites/legislacion.edomex.gob.mx/files/files/pdf/ley/vig/leyvig233.pdf</w:t>
      </w:r>
      <w:r w:rsidRPr="007D6CE6">
        <w:rPr>
          <w:rFonts w:ascii="Palatino Linotype" w:eastAsia="Calibri" w:hAnsi="Palatino Linotype" w:cs="Arial"/>
        </w:rPr>
        <w:t xml:space="preserve">, que de su consulta se obtuvo; </w:t>
      </w:r>
    </w:p>
    <w:p w14:paraId="0B67E889" w14:textId="320B9239" w:rsidR="00296055" w:rsidRPr="007D6CE6" w:rsidRDefault="00296055"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00F57153" wp14:editId="7E4FDFAF">
            <wp:extent cx="5305425" cy="2676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059" t="15691" r="32281" b="32106"/>
                    <a:stretch/>
                  </pic:blipFill>
                  <pic:spPr bwMode="auto">
                    <a:xfrm>
                      <a:off x="0" y="0"/>
                      <a:ext cx="5305425" cy="2676525"/>
                    </a:xfrm>
                    <a:prstGeom prst="rect">
                      <a:avLst/>
                    </a:prstGeom>
                    <a:ln>
                      <a:noFill/>
                    </a:ln>
                    <a:extLst>
                      <a:ext uri="{53640926-AAD7-44D8-BBD7-CCE9431645EC}">
                        <a14:shadowObscured xmlns:a14="http://schemas.microsoft.com/office/drawing/2010/main"/>
                      </a:ext>
                    </a:extLst>
                  </pic:spPr>
                </pic:pic>
              </a:graphicData>
            </a:graphic>
          </wp:inline>
        </w:drawing>
      </w:r>
    </w:p>
    <w:p w14:paraId="4B0E8D8E" w14:textId="3A0C9935" w:rsidR="008225F5" w:rsidRPr="007D6CE6" w:rsidRDefault="004F0996" w:rsidP="007D6CE6">
      <w:pPr>
        <w:pStyle w:val="Prrafodelista"/>
        <w:numPr>
          <w:ilvl w:val="0"/>
          <w:numId w:val="14"/>
        </w:numPr>
        <w:spacing w:line="360" w:lineRule="auto"/>
        <w:jc w:val="both"/>
        <w:rPr>
          <w:rFonts w:ascii="Palatino Linotype" w:eastAsia="Calibri" w:hAnsi="Palatino Linotype" w:cs="Arial"/>
        </w:rPr>
      </w:pPr>
      <w:r w:rsidRPr="007D6CE6">
        <w:rPr>
          <w:rFonts w:ascii="Palatino Linotype" w:eastAsia="Calibri" w:hAnsi="Palatino Linotype" w:cs="Arial"/>
        </w:rPr>
        <w:t xml:space="preserve">Del mismo modo mencionó que las leyes aplicables en la materia pueden consultarse en las siguientes ligas electrónicas </w:t>
      </w:r>
      <w:r w:rsidRPr="007D6CE6">
        <w:rPr>
          <w:rFonts w:ascii="Palatino Linotype" w:hAnsi="Palatino Linotype"/>
          <w:bCs/>
          <w:iCs/>
        </w:rPr>
        <w:t>http://www.diputados.gob.mx/LeyesBiblio/pdf/LGA_150618.pdf</w:t>
      </w:r>
      <w:r w:rsidRPr="007D6CE6">
        <w:rPr>
          <w:rFonts w:ascii="Palatino Linotype" w:eastAsia="Calibri" w:hAnsi="Palatino Linotype" w:cs="Arial"/>
        </w:rPr>
        <w:t xml:space="preserve"> y </w:t>
      </w:r>
      <w:r w:rsidRPr="007D6CE6">
        <w:rPr>
          <w:rFonts w:ascii="Palatino Linotype" w:hAnsi="Palatino Linotype"/>
          <w:bCs/>
          <w:iCs/>
        </w:rPr>
        <w:t xml:space="preserve">http://legislacion.edomex.gob.mx/sites/legislacion.edomex.gob.mx/files/files/pdf/ley/vig/leyvig005.pdf que de su ingreso se obtiene lo siguiente; </w:t>
      </w:r>
    </w:p>
    <w:p w14:paraId="105E5934" w14:textId="2A181ABB" w:rsidR="004F0996" w:rsidRPr="007D6CE6" w:rsidRDefault="004F0996"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lastRenderedPageBreak/>
        <w:drawing>
          <wp:inline distT="0" distB="0" distL="0" distR="0" wp14:anchorId="5D4C04A8" wp14:editId="6851EDAE">
            <wp:extent cx="5238750" cy="30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756" t="15993" r="33469" b="41400"/>
                    <a:stretch/>
                  </pic:blipFill>
                  <pic:spPr bwMode="auto">
                    <a:xfrm>
                      <a:off x="0" y="0"/>
                      <a:ext cx="5238750" cy="3048000"/>
                    </a:xfrm>
                    <a:prstGeom prst="rect">
                      <a:avLst/>
                    </a:prstGeom>
                    <a:ln>
                      <a:noFill/>
                    </a:ln>
                    <a:extLst>
                      <a:ext uri="{53640926-AAD7-44D8-BBD7-CCE9431645EC}">
                        <a14:shadowObscured xmlns:a14="http://schemas.microsoft.com/office/drawing/2010/main"/>
                      </a:ext>
                    </a:extLst>
                  </pic:spPr>
                </pic:pic>
              </a:graphicData>
            </a:graphic>
          </wp:inline>
        </w:drawing>
      </w:r>
    </w:p>
    <w:p w14:paraId="79C64EB3" w14:textId="6949F5A5" w:rsidR="004F0996" w:rsidRPr="007D6CE6" w:rsidRDefault="004F0996" w:rsidP="007D6CE6">
      <w:pPr>
        <w:pStyle w:val="Prrafodelista"/>
        <w:spacing w:line="360" w:lineRule="auto"/>
        <w:ind w:left="567"/>
        <w:jc w:val="both"/>
        <w:rPr>
          <w:rFonts w:ascii="Palatino Linotype" w:eastAsia="Calibri" w:hAnsi="Palatino Linotype" w:cs="Arial"/>
        </w:rPr>
      </w:pPr>
      <w:r w:rsidRPr="007D6CE6">
        <w:rPr>
          <w:rFonts w:ascii="Palatino Linotype" w:hAnsi="Palatino Linotype"/>
          <w:noProof/>
          <w:lang w:val="es-MX" w:eastAsia="es-MX"/>
        </w:rPr>
        <w:drawing>
          <wp:inline distT="0" distB="0" distL="0" distR="0" wp14:anchorId="5561B18D" wp14:editId="36F8554E">
            <wp:extent cx="5219700" cy="3200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605" t="8147" r="34657" b="52324"/>
                    <a:stretch/>
                  </pic:blipFill>
                  <pic:spPr bwMode="auto">
                    <a:xfrm>
                      <a:off x="0" y="0"/>
                      <a:ext cx="5219700" cy="3200400"/>
                    </a:xfrm>
                    <a:prstGeom prst="rect">
                      <a:avLst/>
                    </a:prstGeom>
                    <a:ln>
                      <a:noFill/>
                    </a:ln>
                    <a:extLst>
                      <a:ext uri="{53640926-AAD7-44D8-BBD7-CCE9431645EC}">
                        <a14:shadowObscured xmlns:a14="http://schemas.microsoft.com/office/drawing/2010/main"/>
                      </a:ext>
                    </a:extLst>
                  </pic:spPr>
                </pic:pic>
              </a:graphicData>
            </a:graphic>
          </wp:inline>
        </w:drawing>
      </w:r>
    </w:p>
    <w:p w14:paraId="4999DBEB" w14:textId="77777777" w:rsidR="00E35C94" w:rsidRPr="007D6CE6" w:rsidRDefault="00E35C94" w:rsidP="007D6CE6">
      <w:pPr>
        <w:spacing w:line="360" w:lineRule="auto"/>
        <w:contextualSpacing/>
        <w:jc w:val="both"/>
        <w:rPr>
          <w:rFonts w:ascii="Palatino Linotype" w:eastAsia="Calibri" w:hAnsi="Palatino Linotype" w:cs="Arial"/>
        </w:rPr>
      </w:pPr>
    </w:p>
    <w:p w14:paraId="42B2B90B" w14:textId="5BE9FE1F" w:rsidR="00262805" w:rsidRPr="007D6CE6" w:rsidRDefault="004F0996"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Una vez señalado lo anterior, no pasa desapercibido señalar que el </w:t>
      </w:r>
      <w:r w:rsidRPr="007D6CE6">
        <w:rPr>
          <w:rFonts w:ascii="Palatino Linotype" w:eastAsia="Calibri" w:hAnsi="Palatino Linotype" w:cs="Arial"/>
          <w:b/>
          <w:bCs/>
        </w:rPr>
        <w:t xml:space="preserve">Sujeto Obligado </w:t>
      </w:r>
      <w:r w:rsidRPr="007D6CE6">
        <w:rPr>
          <w:rFonts w:ascii="Palatino Linotype" w:eastAsia="Calibri" w:hAnsi="Palatino Linotype" w:cs="Arial"/>
        </w:rPr>
        <w:t xml:space="preserve">refirió que </w:t>
      </w:r>
      <w:bookmarkStart w:id="83" w:name="_Hlk23942892"/>
      <w:r w:rsidRPr="007D6CE6">
        <w:rPr>
          <w:rFonts w:ascii="Palatino Linotype" w:eastAsia="Calibri" w:hAnsi="Palatino Linotype" w:cs="Arial"/>
          <w:b/>
          <w:bCs/>
        </w:rPr>
        <w:t xml:space="preserve">derivado de la reciente creación de la Secretaría, así como la </w:t>
      </w:r>
      <w:r w:rsidRPr="007D6CE6">
        <w:rPr>
          <w:rFonts w:ascii="Palatino Linotype" w:eastAsia="Calibri" w:hAnsi="Palatino Linotype" w:cs="Arial"/>
          <w:b/>
          <w:bCs/>
        </w:rPr>
        <w:lastRenderedPageBreak/>
        <w:t xml:space="preserve">paulatina integración de las diferentes áreas que la conforman, la información solicitada se encuentra en proceso de elaboración para posteriormente ser publicada conforme a lo establecido en el artículo 92 de la Ley de Transparencia y Acceso a la Información Pública del Estado de México y Municipios. </w:t>
      </w:r>
      <w:bookmarkEnd w:id="83"/>
    </w:p>
    <w:p w14:paraId="3AC6C0FB" w14:textId="77777777" w:rsidR="00703547" w:rsidRPr="007D6CE6" w:rsidRDefault="00703547" w:rsidP="007D6CE6">
      <w:pPr>
        <w:spacing w:line="360" w:lineRule="auto"/>
        <w:contextualSpacing/>
        <w:jc w:val="both"/>
        <w:rPr>
          <w:rFonts w:ascii="Palatino Linotype" w:eastAsia="Calibri" w:hAnsi="Palatino Linotype" w:cs="Arial"/>
        </w:rPr>
      </w:pPr>
    </w:p>
    <w:p w14:paraId="0CC2B683" w14:textId="567E8B09" w:rsidR="00B53377" w:rsidRPr="007D6CE6" w:rsidRDefault="00B53377" w:rsidP="007D6CE6">
      <w:pPr>
        <w:pStyle w:val="Ttulo1"/>
        <w:numPr>
          <w:ilvl w:val="0"/>
          <w:numId w:val="3"/>
        </w:numPr>
        <w:spacing w:before="0" w:line="360" w:lineRule="auto"/>
        <w:ind w:left="709"/>
        <w:rPr>
          <w:b/>
          <w:szCs w:val="24"/>
        </w:rPr>
      </w:pPr>
      <w:bookmarkStart w:id="84" w:name="_Toc24040926"/>
      <w:bookmarkStart w:id="85" w:name="_Hlk24038384"/>
      <w:r w:rsidRPr="007D6CE6">
        <w:rPr>
          <w:b/>
          <w:color w:val="000000" w:themeColor="text1"/>
          <w:szCs w:val="24"/>
        </w:rPr>
        <w:t>De la Ley General de Archivos.</w:t>
      </w:r>
      <w:bookmarkEnd w:id="84"/>
      <w:r w:rsidRPr="007D6CE6">
        <w:rPr>
          <w:b/>
          <w:color w:val="000000" w:themeColor="text1"/>
          <w:szCs w:val="24"/>
        </w:rPr>
        <w:t xml:space="preserve">  </w:t>
      </w:r>
    </w:p>
    <w:bookmarkEnd w:id="85"/>
    <w:p w14:paraId="003BAF5A" w14:textId="77777777" w:rsidR="00B53377" w:rsidRPr="007D6CE6" w:rsidRDefault="00B53377" w:rsidP="007D6CE6">
      <w:pPr>
        <w:spacing w:line="360" w:lineRule="auto"/>
        <w:contextualSpacing/>
        <w:jc w:val="both"/>
        <w:rPr>
          <w:rFonts w:ascii="Palatino Linotype" w:eastAsia="Calibri" w:hAnsi="Palatino Linotype" w:cs="Arial"/>
        </w:rPr>
      </w:pPr>
    </w:p>
    <w:p w14:paraId="291D3D47" w14:textId="3A74175A" w:rsidR="00E916AB" w:rsidRPr="007D6CE6" w:rsidRDefault="001B7C5A"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E</w:t>
      </w:r>
      <w:r w:rsidR="00E916AB" w:rsidRPr="007D6CE6">
        <w:rPr>
          <w:rFonts w:ascii="Palatino Linotype" w:eastAsia="Calibri" w:hAnsi="Palatino Linotype" w:cs="Arial"/>
        </w:rPr>
        <w:t xml:space="preserve">n principio, es menester señalar que el Sistema Nacional de Archivos es creado como un mecanismo para consolidad la organización y administración homogénea de los archivos en los tres </w:t>
      </w:r>
      <w:proofErr w:type="spellStart"/>
      <w:r w:rsidR="00E916AB" w:rsidRPr="007D6CE6">
        <w:rPr>
          <w:rFonts w:ascii="Palatino Linotype" w:eastAsia="Calibri" w:hAnsi="Palatino Linotype" w:cs="Arial"/>
        </w:rPr>
        <w:t>ordenes</w:t>
      </w:r>
      <w:proofErr w:type="spellEnd"/>
      <w:r w:rsidR="00E916AB" w:rsidRPr="007D6CE6">
        <w:rPr>
          <w:rFonts w:ascii="Palatino Linotype" w:eastAsia="Calibri" w:hAnsi="Palatino Linotype" w:cs="Arial"/>
        </w:rPr>
        <w:t xml:space="preserve"> de gobierno; fortalecer la transparencia, el acceso a la información, la protección de datos personales, la rendición de cuentas y la preservación de la memoria. </w:t>
      </w:r>
    </w:p>
    <w:p w14:paraId="77F5E0B4" w14:textId="77777777" w:rsidR="00E916AB" w:rsidRPr="007D6CE6" w:rsidRDefault="00E916AB" w:rsidP="007D6CE6">
      <w:pPr>
        <w:spacing w:line="360" w:lineRule="auto"/>
        <w:contextualSpacing/>
        <w:jc w:val="both"/>
        <w:rPr>
          <w:rFonts w:ascii="Palatino Linotype" w:eastAsia="Calibri" w:hAnsi="Palatino Linotype" w:cs="Arial"/>
        </w:rPr>
      </w:pPr>
    </w:p>
    <w:p w14:paraId="352C80B9" w14:textId="42BA1066" w:rsidR="001B7C5A" w:rsidRPr="007D6CE6" w:rsidRDefault="00E916AB"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E</w:t>
      </w:r>
      <w:r w:rsidR="001B7C5A" w:rsidRPr="007D6CE6">
        <w:rPr>
          <w:rFonts w:ascii="Palatino Linotype" w:eastAsia="Calibri" w:hAnsi="Palatino Linotype" w:cs="Arial"/>
        </w:rPr>
        <w:t>l obje</w:t>
      </w:r>
      <w:r w:rsidRPr="007D6CE6">
        <w:rPr>
          <w:rFonts w:ascii="Palatino Linotype" w:eastAsia="Calibri" w:hAnsi="Palatino Linotype" w:cs="Arial"/>
        </w:rPr>
        <w:t xml:space="preserve">to de la Ley General de Archivos es establecer los principios y bases generales para la organización y conservación, administración y preservación homogénea de los archivos a nivel nacional, determinar las bases de organización y funcionamiento del Sistema Nacional de Archivos y fomentar el resguardo, difusión y acceso público de archivos privados de relevancia histórica, social, cultural, científica y técnica de la nación. </w:t>
      </w:r>
    </w:p>
    <w:p w14:paraId="2B53A48F" w14:textId="77777777" w:rsidR="00E916AB" w:rsidRPr="007D6CE6" w:rsidRDefault="00E916AB" w:rsidP="007D6CE6">
      <w:pPr>
        <w:spacing w:line="360" w:lineRule="auto"/>
        <w:contextualSpacing/>
        <w:jc w:val="both"/>
        <w:rPr>
          <w:rFonts w:ascii="Palatino Linotype" w:eastAsia="Calibri" w:hAnsi="Palatino Linotype" w:cs="Arial"/>
        </w:rPr>
      </w:pPr>
    </w:p>
    <w:p w14:paraId="42A0BF54" w14:textId="4DD5FD8F" w:rsidR="001B7C5A" w:rsidRPr="007D6CE6" w:rsidRDefault="00B53377"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Relativo al caso que nos ocupa, la Ley General de Archivos </w:t>
      </w:r>
      <w:r w:rsidR="00E916AB" w:rsidRPr="007D6CE6">
        <w:rPr>
          <w:rFonts w:ascii="Palatino Linotype" w:eastAsia="Calibri" w:hAnsi="Palatino Linotype" w:cs="Arial"/>
        </w:rPr>
        <w:t>señala</w:t>
      </w:r>
      <w:r w:rsidRPr="007D6CE6">
        <w:rPr>
          <w:rFonts w:ascii="Palatino Linotype" w:eastAsia="Calibri" w:hAnsi="Palatino Linotype" w:cs="Arial"/>
        </w:rPr>
        <w:t xml:space="preserve"> en su artículo 1 que </w:t>
      </w:r>
      <w:r w:rsidRPr="007D6CE6">
        <w:rPr>
          <w:rFonts w:ascii="Palatino Linotype" w:eastAsia="Calibri" w:hAnsi="Palatino Linotype" w:cs="Arial"/>
          <w:i/>
          <w:iCs/>
        </w:rPr>
        <w:t xml:space="preserve">“… es de orden público y de observancia general en todo el territorio nacional y tiene por objeto establecer los principios y bases para la organización y conservación, administración y preservación homogénea de los archivos en posesión de cualquier autoridad, entidad, órgano y organismo de los poderes Legislativo, Ejecutivo y Judicial, órganos autónomos, partidos políticos, </w:t>
      </w:r>
      <w:r w:rsidRPr="007D6CE6">
        <w:rPr>
          <w:rFonts w:ascii="Palatino Linotype" w:eastAsia="Calibri" w:hAnsi="Palatino Linotype" w:cs="Arial"/>
          <w:i/>
          <w:iCs/>
        </w:rPr>
        <w:lastRenderedPageBreak/>
        <w:t>fideicomisos y fondos públicos, así como de cualquier persona física, moral o sindicato que reciba y ejerza recursos públicos o realice actos de autoridad de la federación, las entidades federativas y los municipios”</w:t>
      </w:r>
      <w:r w:rsidRPr="007D6CE6">
        <w:rPr>
          <w:rFonts w:ascii="Palatino Linotype" w:eastAsia="Calibri" w:hAnsi="Palatino Linotype" w:cs="Arial"/>
        </w:rPr>
        <w:t>. (énfasis añadido)</w:t>
      </w:r>
    </w:p>
    <w:p w14:paraId="256D2C98" w14:textId="77777777" w:rsidR="00262805" w:rsidRPr="007D6CE6" w:rsidRDefault="00262805" w:rsidP="007D6CE6">
      <w:pPr>
        <w:spacing w:line="360" w:lineRule="auto"/>
        <w:contextualSpacing/>
        <w:jc w:val="both"/>
        <w:rPr>
          <w:rFonts w:ascii="Palatino Linotype" w:eastAsia="Calibri" w:hAnsi="Palatino Linotype" w:cs="Arial"/>
        </w:rPr>
      </w:pPr>
    </w:p>
    <w:p w14:paraId="48B14C90" w14:textId="0B8F3495" w:rsidR="001B7C5A" w:rsidRPr="007D6CE6" w:rsidRDefault="00B53377"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Asimismo, el artículo 12 de </w:t>
      </w:r>
      <w:r w:rsidR="00E916AB" w:rsidRPr="007D6CE6">
        <w:rPr>
          <w:rFonts w:ascii="Palatino Linotype" w:eastAsia="Calibri" w:hAnsi="Palatino Linotype" w:cs="Arial"/>
        </w:rPr>
        <w:t xml:space="preserve">dicha Ley </w:t>
      </w:r>
      <w:r w:rsidRPr="007D6CE6">
        <w:rPr>
          <w:rFonts w:ascii="Palatino Linotype" w:eastAsia="Calibri" w:hAnsi="Palatino Linotype" w:cs="Arial"/>
        </w:rPr>
        <w:t>señala que “</w:t>
      </w:r>
      <w:r w:rsidR="00E916AB" w:rsidRPr="007D6CE6">
        <w:rPr>
          <w:rFonts w:ascii="Palatino Linotype" w:eastAsia="Calibri" w:hAnsi="Palatino Linotype" w:cs="Arial"/>
        </w:rPr>
        <w:t>…</w:t>
      </w:r>
      <w:r w:rsidRPr="007D6CE6">
        <w:rPr>
          <w:rFonts w:ascii="Palatino Linotype" w:eastAsia="Calibri" w:hAnsi="Palatino Linotype" w:cs="Arial"/>
          <w:i/>
          <w:iCs/>
        </w:rPr>
        <w:t xml:space="preserve">los Sujetos Obligados deberán mantener los documentos contenidos en sus archivos conforme a los procesos de gestión documental que incluyen la producción, organización, acceso, consulta, valoración documental, disposición documental y conservación, en los términos que establezcan el Consejo Nacional y las disposiciones jurídicas aplicables”.  (énfasis añadido) </w:t>
      </w:r>
    </w:p>
    <w:p w14:paraId="4013C203" w14:textId="77777777" w:rsidR="001B7C5A" w:rsidRPr="007D6CE6" w:rsidRDefault="001B7C5A" w:rsidP="007D6CE6">
      <w:pPr>
        <w:spacing w:line="360" w:lineRule="auto"/>
        <w:contextualSpacing/>
        <w:jc w:val="both"/>
        <w:rPr>
          <w:rFonts w:ascii="Palatino Linotype" w:eastAsia="Calibri" w:hAnsi="Palatino Linotype" w:cs="Arial"/>
        </w:rPr>
      </w:pPr>
    </w:p>
    <w:p w14:paraId="0B5D3AA1" w14:textId="5E539CC0" w:rsidR="00B53377" w:rsidRPr="007D6CE6" w:rsidRDefault="00B53377"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De igual forma, los artículos 13 y 14 de la </w:t>
      </w:r>
      <w:proofErr w:type="spellStart"/>
      <w:r w:rsidRPr="007D6CE6">
        <w:rPr>
          <w:rFonts w:ascii="Palatino Linotype" w:eastAsia="Calibri" w:hAnsi="Palatino Linotype" w:cs="Arial"/>
        </w:rPr>
        <w:t>multirreferida</w:t>
      </w:r>
      <w:proofErr w:type="spellEnd"/>
      <w:r w:rsidRPr="007D6CE6">
        <w:rPr>
          <w:rFonts w:ascii="Palatino Linotype" w:eastAsia="Calibri" w:hAnsi="Palatino Linotype" w:cs="Arial"/>
        </w:rPr>
        <w:t xml:space="preserve"> Ley establecen que:</w:t>
      </w:r>
    </w:p>
    <w:p w14:paraId="129EDFC0" w14:textId="77777777" w:rsidR="00B53377" w:rsidRPr="007D6CE6" w:rsidRDefault="00B53377" w:rsidP="007D6CE6">
      <w:pPr>
        <w:spacing w:line="360" w:lineRule="auto"/>
        <w:ind w:left="1353"/>
        <w:contextualSpacing/>
        <w:jc w:val="both"/>
        <w:rPr>
          <w:rFonts w:ascii="Palatino Linotype" w:eastAsia="Calibri" w:hAnsi="Palatino Linotype" w:cs="Arial"/>
        </w:rPr>
      </w:pPr>
    </w:p>
    <w:p w14:paraId="73FA7122" w14:textId="3CFBC8E6" w:rsidR="00B53377" w:rsidRPr="007D6CE6" w:rsidRDefault="00E916AB"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i/>
          <w:iCs/>
        </w:rPr>
        <w:t>“</w:t>
      </w:r>
      <w:r w:rsidR="00B53377" w:rsidRPr="007D6CE6">
        <w:rPr>
          <w:rFonts w:ascii="Palatino Linotype" w:eastAsia="Calibri" w:hAnsi="Palatino Linotype" w:cs="Arial"/>
          <w:b/>
          <w:bCs/>
          <w:i/>
          <w:iCs/>
        </w:rPr>
        <w:t>Artículo 13.</w:t>
      </w:r>
      <w:r w:rsidR="00B53377" w:rsidRPr="007D6CE6">
        <w:rPr>
          <w:rFonts w:ascii="Palatino Linotype" w:eastAsia="Calibri" w:hAnsi="Palatino Linotype" w:cs="Arial"/>
          <w:i/>
          <w:iCs/>
        </w:rPr>
        <w:t xml:space="preserve"> Los sujetos obligados deberán contar con los instrumentos de control y de consulta archivísticos conforme a sus atribuciones y funciones, manteniéndolos actualizados y disponibles; y contarán al menos con los siguientes: </w:t>
      </w:r>
    </w:p>
    <w:p w14:paraId="69D321E1" w14:textId="77777777" w:rsidR="00B53377" w:rsidRPr="007D6CE6" w:rsidRDefault="00B53377" w:rsidP="007D6CE6">
      <w:pPr>
        <w:spacing w:line="360" w:lineRule="auto"/>
        <w:ind w:left="567" w:right="616"/>
        <w:contextualSpacing/>
        <w:jc w:val="both"/>
        <w:rPr>
          <w:rFonts w:ascii="Palatino Linotype" w:eastAsia="Calibri" w:hAnsi="Palatino Linotype" w:cs="Arial"/>
          <w:i/>
          <w:iCs/>
        </w:rPr>
      </w:pPr>
    </w:p>
    <w:p w14:paraId="63C7B0BE" w14:textId="77777777" w:rsidR="00B53377" w:rsidRPr="007D6CE6" w:rsidRDefault="00B53377"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i/>
          <w:iCs/>
        </w:rPr>
        <w:t xml:space="preserve">I. Cuadro general de clasificación archivística; </w:t>
      </w:r>
    </w:p>
    <w:p w14:paraId="7ED45A76" w14:textId="77777777" w:rsidR="00B53377" w:rsidRPr="007D6CE6" w:rsidRDefault="00B53377"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i/>
          <w:iCs/>
        </w:rPr>
        <w:t xml:space="preserve">II. Catálogo de disposición documental, y </w:t>
      </w:r>
    </w:p>
    <w:p w14:paraId="339F6138" w14:textId="77777777" w:rsidR="00B53377" w:rsidRPr="007D6CE6" w:rsidRDefault="00B53377"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i/>
          <w:iCs/>
        </w:rPr>
        <w:t xml:space="preserve">III. Inventarios documentales. </w:t>
      </w:r>
    </w:p>
    <w:p w14:paraId="04618108" w14:textId="77777777" w:rsidR="00B53377" w:rsidRPr="007D6CE6" w:rsidRDefault="00B53377"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i/>
          <w:iCs/>
        </w:rPr>
        <w:t>La estructura del cuadro general de clasificación archivística atenderá los niveles de fondo, sección y serie, sin que esto excluya la posibilidad de que existan niveles intermedios, los cuales, serán identificados mediante una clave alfanumérica.</w:t>
      </w:r>
    </w:p>
    <w:p w14:paraId="2B9FC1A9" w14:textId="77777777" w:rsidR="00B53377" w:rsidRPr="007D6CE6" w:rsidRDefault="00B53377" w:rsidP="007D6CE6">
      <w:pPr>
        <w:spacing w:line="360" w:lineRule="auto"/>
        <w:ind w:left="567" w:right="616"/>
        <w:contextualSpacing/>
        <w:jc w:val="both"/>
        <w:rPr>
          <w:rFonts w:ascii="Palatino Linotype" w:eastAsia="Calibri" w:hAnsi="Palatino Linotype" w:cs="Arial"/>
          <w:i/>
          <w:iCs/>
        </w:rPr>
      </w:pPr>
    </w:p>
    <w:p w14:paraId="33F51FB5" w14:textId="2F3895A5" w:rsidR="001B7C5A" w:rsidRPr="007D6CE6" w:rsidRDefault="00B53377"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b/>
          <w:bCs/>
          <w:i/>
          <w:iCs/>
        </w:rPr>
        <w:lastRenderedPageBreak/>
        <w:t>Artículo 14.</w:t>
      </w:r>
      <w:r w:rsidRPr="007D6CE6">
        <w:rPr>
          <w:rFonts w:ascii="Palatino Linotype" w:eastAsia="Calibri" w:hAnsi="Palatino Linotype" w:cs="Arial"/>
          <w:i/>
          <w:iCs/>
        </w:rPr>
        <w:t xml:space="preserve"> Además de los instrumentos de control y consulta archivísticos, los sujetos obligados deberán contar y poner a disposición del público la Guía de archivo documental y el Índice de expedientes clasificados como reservados a que hace referencia la Ley General de Transparencia y Acceso a la Información Pública y demás disposiciones aplicables en el ámbito federal y de las entidades federativas</w:t>
      </w:r>
      <w:r w:rsidR="002B60E8" w:rsidRPr="007D6CE6">
        <w:rPr>
          <w:rFonts w:ascii="Palatino Linotype" w:eastAsia="Calibri" w:hAnsi="Palatino Linotype" w:cs="Arial"/>
          <w:i/>
          <w:iCs/>
        </w:rPr>
        <w:t xml:space="preserve">”. </w:t>
      </w:r>
    </w:p>
    <w:p w14:paraId="74A063BE" w14:textId="77777777" w:rsidR="002B60E8" w:rsidRPr="007D6CE6" w:rsidRDefault="002B60E8" w:rsidP="007D6CE6">
      <w:pPr>
        <w:spacing w:line="360" w:lineRule="auto"/>
        <w:ind w:left="1353"/>
        <w:contextualSpacing/>
        <w:jc w:val="both"/>
        <w:rPr>
          <w:rFonts w:ascii="Palatino Linotype" w:eastAsia="Calibri" w:hAnsi="Palatino Linotype" w:cs="Arial"/>
        </w:rPr>
      </w:pPr>
    </w:p>
    <w:p w14:paraId="77EDA094" w14:textId="2CEC91CA"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En ese contexto, no pasa desapercibido referir que la Ley General de Archivos en sus </w:t>
      </w:r>
      <w:r w:rsidRPr="007D6CE6">
        <w:rPr>
          <w:rFonts w:ascii="Palatino Linotype" w:eastAsia="Calibri" w:hAnsi="Palatino Linotype" w:cs="Arial"/>
          <w:b/>
          <w:bCs/>
        </w:rPr>
        <w:t>artículos transitorios</w:t>
      </w:r>
      <w:r w:rsidRPr="007D6CE6">
        <w:rPr>
          <w:rFonts w:ascii="Palatino Linotype" w:eastAsia="Calibri" w:hAnsi="Palatino Linotype" w:cs="Arial"/>
        </w:rPr>
        <w:t xml:space="preserve"> menciona que; </w:t>
      </w:r>
    </w:p>
    <w:p w14:paraId="0AA1CF99" w14:textId="77777777" w:rsidR="002B60E8" w:rsidRPr="007D6CE6" w:rsidRDefault="002B60E8" w:rsidP="007D6CE6">
      <w:pPr>
        <w:spacing w:line="360" w:lineRule="auto"/>
        <w:contextualSpacing/>
        <w:jc w:val="both"/>
        <w:rPr>
          <w:rFonts w:ascii="Palatino Linotype" w:eastAsia="Calibri" w:hAnsi="Palatino Linotype" w:cs="Arial"/>
        </w:rPr>
      </w:pPr>
    </w:p>
    <w:p w14:paraId="606F5882" w14:textId="72189BDF" w:rsidR="002B60E8" w:rsidRPr="007D6CE6" w:rsidRDefault="002B60E8" w:rsidP="007D6CE6">
      <w:pPr>
        <w:spacing w:line="360" w:lineRule="auto"/>
        <w:contextualSpacing/>
        <w:jc w:val="center"/>
        <w:rPr>
          <w:rFonts w:ascii="Palatino Linotype" w:eastAsia="Calibri" w:hAnsi="Palatino Linotype" w:cs="Arial"/>
          <w:i/>
          <w:iCs/>
        </w:rPr>
      </w:pPr>
      <w:r w:rsidRPr="007D6CE6">
        <w:rPr>
          <w:rFonts w:ascii="Palatino Linotype" w:eastAsia="Calibri" w:hAnsi="Palatino Linotype" w:cs="Arial"/>
          <w:b/>
          <w:bCs/>
          <w:i/>
          <w:iCs/>
        </w:rPr>
        <w:t>Transitorios</w:t>
      </w:r>
    </w:p>
    <w:p w14:paraId="562F3294" w14:textId="1E35C35C" w:rsidR="002B60E8" w:rsidRPr="007D6CE6" w:rsidRDefault="002B60E8" w:rsidP="007D6CE6">
      <w:pPr>
        <w:pStyle w:val="Prrafodelista"/>
        <w:shd w:val="clear" w:color="auto" w:fill="FFFFFF"/>
        <w:spacing w:line="360" w:lineRule="auto"/>
        <w:ind w:left="567" w:right="616"/>
        <w:jc w:val="both"/>
        <w:rPr>
          <w:rFonts w:ascii="Palatino Linotype" w:eastAsia="Times New Roman" w:hAnsi="Palatino Linotype" w:cs="Arial"/>
          <w:b/>
          <w:bCs/>
          <w:i/>
          <w:iCs/>
          <w:color w:val="2F2F2F"/>
          <w:lang w:val="es-MX" w:eastAsia="es-MX"/>
        </w:rPr>
      </w:pPr>
      <w:r w:rsidRPr="007D6CE6">
        <w:rPr>
          <w:rFonts w:ascii="Palatino Linotype" w:eastAsia="Times New Roman" w:hAnsi="Palatino Linotype" w:cs="Arial"/>
          <w:b/>
          <w:bCs/>
          <w:i/>
          <w:iCs/>
          <w:color w:val="2F2F2F"/>
          <w:lang w:val="es-MX" w:eastAsia="es-MX"/>
        </w:rPr>
        <w:t>Primero.</w:t>
      </w:r>
      <w:r w:rsidRPr="007D6CE6">
        <w:rPr>
          <w:rFonts w:ascii="Palatino Linotype" w:eastAsia="Times New Roman" w:hAnsi="Palatino Linotype" w:cs="Arial"/>
          <w:i/>
          <w:iCs/>
          <w:color w:val="2F2F2F"/>
          <w:lang w:val="es-MX" w:eastAsia="es-MX"/>
        </w:rPr>
        <w:t xml:space="preserve"> La presente Ley </w:t>
      </w:r>
      <w:r w:rsidRPr="007D6CE6">
        <w:rPr>
          <w:rFonts w:ascii="Palatino Linotype" w:eastAsia="Times New Roman" w:hAnsi="Palatino Linotype" w:cs="Arial"/>
          <w:b/>
          <w:bCs/>
          <w:i/>
          <w:iCs/>
          <w:color w:val="2F2F2F"/>
          <w:lang w:val="es-MX" w:eastAsia="es-MX"/>
        </w:rPr>
        <w:t>entrará en vigor a los 365 días siguientes contados a partir de su publicación en el Diario Oficial de la Federación.</w:t>
      </w:r>
    </w:p>
    <w:p w14:paraId="00C36778" w14:textId="77777777" w:rsidR="002B60E8" w:rsidRPr="007D6CE6" w:rsidRDefault="002B60E8" w:rsidP="007D6CE6">
      <w:pPr>
        <w:pStyle w:val="Prrafodelista"/>
        <w:shd w:val="clear" w:color="auto" w:fill="FFFFFF"/>
        <w:spacing w:line="360" w:lineRule="auto"/>
        <w:ind w:left="567" w:right="616"/>
        <w:jc w:val="both"/>
        <w:rPr>
          <w:rFonts w:ascii="Palatino Linotype" w:eastAsia="Times New Roman" w:hAnsi="Palatino Linotype" w:cs="Arial"/>
          <w:i/>
          <w:iCs/>
          <w:color w:val="2F2F2F"/>
          <w:lang w:val="es-MX" w:eastAsia="es-MX"/>
        </w:rPr>
      </w:pPr>
      <w:r w:rsidRPr="007D6CE6">
        <w:rPr>
          <w:rFonts w:ascii="Palatino Linotype" w:eastAsia="Times New Roman" w:hAnsi="Palatino Linotype" w:cs="Arial"/>
          <w:b/>
          <w:bCs/>
          <w:i/>
          <w:iCs/>
          <w:color w:val="2F2F2F"/>
          <w:lang w:val="es-MX" w:eastAsia="es-MX"/>
        </w:rPr>
        <w:t>Segundo.</w:t>
      </w:r>
      <w:r w:rsidRPr="007D6CE6">
        <w:rPr>
          <w:rFonts w:ascii="Palatino Linotype" w:eastAsia="Times New Roman" w:hAnsi="Palatino Linotype" w:cs="Arial"/>
          <w:i/>
          <w:iCs/>
          <w:color w:val="2F2F2F"/>
          <w:lang w:val="es-MX" w:eastAsia="es-MX"/>
        </w:rPr>
        <w:t> A partir de la entrada en vigor de la Ley se abroga la Ley Federal de Archivos y se derogan todas aquellas disposiciones que contravengan la presente Ley.</w:t>
      </w:r>
    </w:p>
    <w:p w14:paraId="63650B15" w14:textId="77777777" w:rsidR="002B60E8" w:rsidRPr="007D6CE6" w:rsidRDefault="002B60E8" w:rsidP="007D6CE6">
      <w:pPr>
        <w:pStyle w:val="Prrafodelista"/>
        <w:shd w:val="clear" w:color="auto" w:fill="FFFFFF"/>
        <w:spacing w:line="360" w:lineRule="auto"/>
        <w:ind w:left="567" w:right="616"/>
        <w:jc w:val="both"/>
        <w:rPr>
          <w:rFonts w:ascii="Palatino Linotype" w:eastAsia="Times New Roman" w:hAnsi="Palatino Linotype" w:cs="Arial"/>
          <w:i/>
          <w:iCs/>
          <w:color w:val="2F2F2F"/>
          <w:lang w:val="es-MX" w:eastAsia="es-MX"/>
        </w:rPr>
      </w:pPr>
      <w:r w:rsidRPr="007D6CE6">
        <w:rPr>
          <w:rFonts w:ascii="Palatino Linotype" w:eastAsia="Times New Roman" w:hAnsi="Palatino Linotype" w:cs="Arial"/>
          <w:b/>
          <w:bCs/>
          <w:i/>
          <w:iCs/>
          <w:color w:val="2F2F2F"/>
          <w:lang w:val="es-MX" w:eastAsia="es-MX"/>
        </w:rPr>
        <w:t>Tercero.</w:t>
      </w:r>
      <w:r w:rsidRPr="007D6CE6">
        <w:rPr>
          <w:rFonts w:ascii="Palatino Linotype" w:eastAsia="Times New Roman" w:hAnsi="Palatino Linotype" w:cs="Arial"/>
          <w:i/>
          <w:iCs/>
          <w:color w:val="2F2F2F"/>
          <w:lang w:val="es-MX" w:eastAsia="es-MX"/>
        </w:rPr>
        <w:t> </w:t>
      </w:r>
      <w:r w:rsidRPr="007D6CE6">
        <w:rPr>
          <w:rFonts w:ascii="Palatino Linotype" w:eastAsia="Times New Roman" w:hAnsi="Palatino Linotype" w:cs="Arial"/>
          <w:b/>
          <w:bCs/>
          <w:i/>
          <w:iCs/>
          <w:color w:val="2F2F2F"/>
          <w:lang w:val="es-MX" w:eastAsia="es-MX"/>
        </w:rPr>
        <w:t>En tanto se expidan las normas archivísticas correspondientes, se continuará aplicando lo dispuesto en las disposiciones reglamentarias vigentes en la materia,</w:t>
      </w:r>
      <w:r w:rsidRPr="007D6CE6">
        <w:rPr>
          <w:rFonts w:ascii="Palatino Linotype" w:eastAsia="Times New Roman" w:hAnsi="Palatino Linotype" w:cs="Arial"/>
          <w:i/>
          <w:iCs/>
          <w:color w:val="2F2F2F"/>
          <w:lang w:val="es-MX" w:eastAsia="es-MX"/>
        </w:rPr>
        <w:t xml:space="preserve"> en lo que no se oponga a la presente Ley.</w:t>
      </w:r>
    </w:p>
    <w:p w14:paraId="6FBE8E23" w14:textId="008B97B6" w:rsidR="002B60E8" w:rsidRPr="007D6CE6" w:rsidRDefault="002B60E8" w:rsidP="007D6CE6">
      <w:pPr>
        <w:pStyle w:val="Prrafodelista"/>
        <w:shd w:val="clear" w:color="auto" w:fill="FFFFFF"/>
        <w:spacing w:line="360" w:lineRule="auto"/>
        <w:ind w:left="567" w:right="616"/>
        <w:jc w:val="both"/>
        <w:rPr>
          <w:rFonts w:ascii="Palatino Linotype" w:eastAsia="Times New Roman" w:hAnsi="Palatino Linotype" w:cs="Arial"/>
          <w:b/>
          <w:bCs/>
          <w:i/>
          <w:iCs/>
          <w:color w:val="2F2F2F"/>
          <w:lang w:val="es-MX" w:eastAsia="es-MX"/>
        </w:rPr>
      </w:pPr>
      <w:r w:rsidRPr="007D6CE6">
        <w:rPr>
          <w:rFonts w:ascii="Palatino Linotype" w:eastAsia="Times New Roman" w:hAnsi="Palatino Linotype" w:cs="Arial"/>
          <w:b/>
          <w:bCs/>
          <w:i/>
          <w:iCs/>
          <w:color w:val="2F2F2F"/>
          <w:lang w:val="es-MX" w:eastAsia="es-MX"/>
        </w:rPr>
        <w:t>Cuarto.</w:t>
      </w:r>
      <w:r w:rsidRPr="007D6CE6">
        <w:rPr>
          <w:rFonts w:ascii="Palatino Linotype" w:eastAsia="Times New Roman" w:hAnsi="Palatino Linotype" w:cs="Arial"/>
          <w:i/>
          <w:iCs/>
          <w:color w:val="2F2F2F"/>
          <w:lang w:val="es-MX" w:eastAsia="es-MX"/>
        </w:rPr>
        <w:t> </w:t>
      </w:r>
      <w:r w:rsidRPr="007D6CE6">
        <w:rPr>
          <w:rFonts w:ascii="Palatino Linotype" w:eastAsia="Times New Roman" w:hAnsi="Palatino Linotype" w:cs="Arial"/>
          <w:b/>
          <w:bCs/>
          <w:i/>
          <w:iCs/>
          <w:color w:val="2F2F2F"/>
          <w:lang w:val="es-MX" w:eastAsia="es-MX"/>
        </w:rPr>
        <w:t>En un plazo de un año, a partir de la entrada en vigor de la presente Ley, las legislaturas de cada entidad federativa, deberán armonizar sus ordenamientos relacionados con la presente Ley.</w:t>
      </w:r>
    </w:p>
    <w:p w14:paraId="0647D9FE" w14:textId="77777777" w:rsidR="002B60E8" w:rsidRPr="007D6CE6" w:rsidRDefault="002B60E8" w:rsidP="007D6CE6">
      <w:pPr>
        <w:pStyle w:val="Prrafodelista"/>
        <w:shd w:val="clear" w:color="auto" w:fill="FFFFFF"/>
        <w:spacing w:line="360" w:lineRule="auto"/>
        <w:ind w:left="567" w:right="616"/>
        <w:jc w:val="both"/>
        <w:rPr>
          <w:rFonts w:ascii="Palatino Linotype" w:eastAsia="Times New Roman" w:hAnsi="Palatino Linotype" w:cs="Arial"/>
          <w:b/>
          <w:bCs/>
          <w:color w:val="2F2F2F"/>
          <w:lang w:val="es-MX" w:eastAsia="es-MX"/>
        </w:rPr>
      </w:pPr>
    </w:p>
    <w:p w14:paraId="25603730" w14:textId="09C84769"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De tal forma que, en razón a los plazos establecidos</w:t>
      </w:r>
      <w:r w:rsidR="00221FFB" w:rsidRPr="007D6CE6">
        <w:rPr>
          <w:rFonts w:ascii="Palatino Linotype" w:eastAsia="Calibri" w:hAnsi="Palatino Linotype" w:cs="Arial"/>
        </w:rPr>
        <w:t>,</w:t>
      </w:r>
      <w:r w:rsidRPr="007D6CE6">
        <w:rPr>
          <w:rFonts w:ascii="Palatino Linotype" w:eastAsia="Calibri" w:hAnsi="Palatino Linotype" w:cs="Arial"/>
        </w:rPr>
        <w:t xml:space="preserve"> si bien es cierto, a la fecha todavía se encuentra en proceso de armonización la Ley General de Archivos con los ordenamientos relacionados con la misma, también lo es que establece que en materia de </w:t>
      </w:r>
      <w:r w:rsidRPr="007D6CE6">
        <w:rPr>
          <w:rFonts w:ascii="Palatino Linotype" w:eastAsia="Calibri" w:hAnsi="Palatino Linotype" w:cs="Arial"/>
        </w:rPr>
        <w:lastRenderedPageBreak/>
        <w:t xml:space="preserve">archivos se estará dispuesto a las disposiciones reglamentarias vigentes, por lo que es conveniente estudiar lo relacionado con; </w:t>
      </w:r>
    </w:p>
    <w:p w14:paraId="3742D55B" w14:textId="77777777" w:rsidR="002B60E8" w:rsidRPr="007D6CE6" w:rsidRDefault="002B60E8" w:rsidP="007D6CE6">
      <w:pPr>
        <w:spacing w:line="360" w:lineRule="auto"/>
        <w:contextualSpacing/>
        <w:jc w:val="both"/>
        <w:rPr>
          <w:rFonts w:ascii="Palatino Linotype" w:eastAsia="Calibri" w:hAnsi="Palatino Linotype" w:cs="Arial"/>
        </w:rPr>
      </w:pPr>
    </w:p>
    <w:p w14:paraId="47628D4F" w14:textId="26509DCD" w:rsidR="002B60E8" w:rsidRPr="007D6CE6" w:rsidRDefault="002B60E8" w:rsidP="007D6CE6">
      <w:pPr>
        <w:pStyle w:val="Ttulo1"/>
        <w:spacing w:before="0" w:line="360" w:lineRule="auto"/>
        <w:rPr>
          <w:b/>
          <w:szCs w:val="24"/>
        </w:rPr>
      </w:pPr>
      <w:bookmarkStart w:id="86" w:name="_Toc24040927"/>
      <w:r w:rsidRPr="007D6CE6">
        <w:rPr>
          <w:b/>
          <w:color w:val="000000" w:themeColor="text1"/>
          <w:szCs w:val="24"/>
        </w:rPr>
        <w:t>IV. De los Lineamientos para la Organización y Conservación de Archivos.</w:t>
      </w:r>
      <w:bookmarkEnd w:id="86"/>
      <w:r w:rsidRPr="007D6CE6">
        <w:rPr>
          <w:b/>
          <w:color w:val="000000" w:themeColor="text1"/>
          <w:szCs w:val="24"/>
        </w:rPr>
        <w:t xml:space="preserve"> </w:t>
      </w:r>
    </w:p>
    <w:p w14:paraId="7C4A288B" w14:textId="77777777" w:rsidR="002B60E8" w:rsidRPr="007D6CE6" w:rsidRDefault="002B60E8" w:rsidP="007D6CE6">
      <w:pPr>
        <w:spacing w:line="360" w:lineRule="auto"/>
        <w:contextualSpacing/>
        <w:jc w:val="both"/>
        <w:rPr>
          <w:rFonts w:ascii="Palatino Linotype" w:eastAsia="Calibri" w:hAnsi="Palatino Linotype" w:cs="Arial"/>
        </w:rPr>
      </w:pPr>
    </w:p>
    <w:p w14:paraId="448E7355" w14:textId="774DB8AD"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Los Lineamientos para la Organización y Conservación de Archivos, publicados el cuatro (04) de mayo de dos mil dieciséis, que por acuerdo </w:t>
      </w:r>
      <w:r w:rsidR="00221FFB" w:rsidRPr="007D6CE6">
        <w:rPr>
          <w:rFonts w:ascii="Palatino Linotype" w:eastAsia="Calibri" w:hAnsi="Palatino Linotype" w:cs="Arial"/>
        </w:rPr>
        <w:t xml:space="preserve">entraron </w:t>
      </w:r>
      <w:r w:rsidRPr="007D6CE6">
        <w:rPr>
          <w:rFonts w:ascii="Palatino Linotype" w:eastAsia="Calibri" w:hAnsi="Palatino Linotype" w:cs="Arial"/>
        </w:rPr>
        <w:t>en vigor al día siguiente de su publicación en el Diario Oficial de la Federación</w:t>
      </w:r>
      <w:r w:rsidRPr="007D6CE6">
        <w:rPr>
          <w:rStyle w:val="Refdenotaalpie"/>
          <w:rFonts w:ascii="Palatino Linotype" w:eastAsia="Calibri" w:hAnsi="Palatino Linotype" w:cs="Arial"/>
        </w:rPr>
        <w:footnoteReference w:id="1"/>
      </w:r>
      <w:r w:rsidRPr="007D6CE6">
        <w:rPr>
          <w:rFonts w:ascii="Palatino Linotype" w:eastAsia="Calibri" w:hAnsi="Palatino Linotype" w:cs="Arial"/>
        </w:rPr>
        <w:t xml:space="preserve">, establecen en su artículo Primero que </w:t>
      </w:r>
      <w:r w:rsidRPr="007D6CE6">
        <w:rPr>
          <w:rFonts w:ascii="Palatino Linotype" w:eastAsia="Calibri" w:hAnsi="Palatino Linotype" w:cs="Arial"/>
          <w:i/>
          <w:iCs/>
        </w:rPr>
        <w:t>“…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7D6CE6">
        <w:rPr>
          <w:rFonts w:ascii="Palatino Linotype" w:eastAsia="Calibri" w:hAnsi="Palatino Linotype" w:cs="Arial"/>
        </w:rPr>
        <w:t xml:space="preserve">  (énfasis añadido)</w:t>
      </w:r>
    </w:p>
    <w:p w14:paraId="27EB6331" w14:textId="77777777" w:rsidR="002B60E8" w:rsidRPr="007D6CE6" w:rsidRDefault="002B60E8" w:rsidP="007D6CE6">
      <w:pPr>
        <w:spacing w:line="360" w:lineRule="auto"/>
        <w:contextualSpacing/>
        <w:jc w:val="both"/>
        <w:rPr>
          <w:rFonts w:ascii="Palatino Linotype" w:eastAsia="Calibri" w:hAnsi="Palatino Linotype" w:cs="Arial"/>
        </w:rPr>
      </w:pPr>
    </w:p>
    <w:p w14:paraId="0C490414" w14:textId="6EFA23DE"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En su artículo segundo </w:t>
      </w:r>
      <w:r w:rsidR="00221FFB" w:rsidRPr="007D6CE6">
        <w:rPr>
          <w:rFonts w:ascii="Palatino Linotype" w:eastAsia="Calibri" w:hAnsi="Palatino Linotype" w:cs="Arial"/>
        </w:rPr>
        <w:t xml:space="preserve">mencionan </w:t>
      </w:r>
      <w:r w:rsidRPr="007D6CE6">
        <w:rPr>
          <w:rFonts w:ascii="Palatino Linotype" w:eastAsia="Calibri" w:hAnsi="Palatino Linotype" w:cs="Arial"/>
        </w:rPr>
        <w:t xml:space="preserve">que </w:t>
      </w:r>
      <w:r w:rsidRPr="007D6CE6">
        <w:rPr>
          <w:rFonts w:ascii="Palatino Linotype" w:eastAsia="Calibri" w:hAnsi="Palatino Linotype" w:cs="Arial"/>
          <w:i/>
          <w:iCs/>
        </w:rPr>
        <w:t>“… son de observancia obligatoria y de aplicación general para los sujetos obligados señalados en el artículo 1 de la Ley General de Transparencia y Acceso a la Información Pública”.</w:t>
      </w:r>
      <w:r w:rsidRPr="007D6CE6">
        <w:rPr>
          <w:rFonts w:ascii="Palatino Linotype" w:eastAsia="Calibri" w:hAnsi="Palatino Linotype" w:cs="Arial"/>
        </w:rPr>
        <w:t xml:space="preserve"> (énfasis añadido)</w:t>
      </w:r>
    </w:p>
    <w:p w14:paraId="682E2C5C" w14:textId="77777777" w:rsidR="002B60E8" w:rsidRPr="007D6CE6" w:rsidRDefault="002B60E8" w:rsidP="007D6CE6">
      <w:pPr>
        <w:spacing w:line="360" w:lineRule="auto"/>
        <w:contextualSpacing/>
        <w:jc w:val="both"/>
        <w:rPr>
          <w:rFonts w:ascii="Palatino Linotype" w:eastAsia="Calibri" w:hAnsi="Palatino Linotype" w:cs="Arial"/>
        </w:rPr>
      </w:pPr>
    </w:p>
    <w:p w14:paraId="4E68AEFF" w14:textId="77777777"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Para efectos de lo anterior, el artículo 1 de la Ley </w:t>
      </w:r>
      <w:bookmarkStart w:id="87" w:name="_Hlk24026226"/>
      <w:r w:rsidRPr="007D6CE6">
        <w:rPr>
          <w:rFonts w:ascii="Palatino Linotype" w:eastAsia="Calibri" w:hAnsi="Palatino Linotype" w:cs="Arial"/>
        </w:rPr>
        <w:t xml:space="preserve">General de Transparencia y Acceso a la Información Pública </w:t>
      </w:r>
      <w:bookmarkEnd w:id="87"/>
      <w:r w:rsidRPr="007D6CE6">
        <w:rPr>
          <w:rFonts w:ascii="Palatino Linotype" w:eastAsia="Calibri" w:hAnsi="Palatino Linotype" w:cs="Arial"/>
        </w:rPr>
        <w:t xml:space="preserve">señala que: </w:t>
      </w:r>
    </w:p>
    <w:p w14:paraId="210E43DB" w14:textId="77777777" w:rsidR="002B60E8" w:rsidRPr="007D6CE6" w:rsidRDefault="002B60E8" w:rsidP="007D6CE6">
      <w:pPr>
        <w:spacing w:line="360" w:lineRule="auto"/>
        <w:contextualSpacing/>
        <w:jc w:val="both"/>
        <w:rPr>
          <w:rFonts w:ascii="Palatino Linotype" w:eastAsia="Calibri" w:hAnsi="Palatino Linotype" w:cs="Arial"/>
        </w:rPr>
      </w:pPr>
    </w:p>
    <w:p w14:paraId="3B4DEC85" w14:textId="26AE2817" w:rsidR="002B60E8" w:rsidRPr="007D6CE6" w:rsidRDefault="00221FFB" w:rsidP="007D6CE6">
      <w:pPr>
        <w:spacing w:line="360" w:lineRule="auto"/>
        <w:ind w:left="567" w:right="616"/>
        <w:contextualSpacing/>
        <w:jc w:val="both"/>
        <w:rPr>
          <w:rFonts w:ascii="Palatino Linotype" w:hAnsi="Palatino Linotype"/>
          <w:i/>
          <w:iCs/>
        </w:rPr>
      </w:pPr>
      <w:r w:rsidRPr="007D6CE6">
        <w:rPr>
          <w:rFonts w:ascii="Palatino Linotype" w:hAnsi="Palatino Linotype"/>
          <w:i/>
          <w:iCs/>
        </w:rPr>
        <w:lastRenderedPageBreak/>
        <w:t>“</w:t>
      </w:r>
      <w:r w:rsidR="002B60E8" w:rsidRPr="007D6CE6">
        <w:rPr>
          <w:rFonts w:ascii="Palatino Linotype" w:hAnsi="Palatino Linotype"/>
          <w:b/>
          <w:bCs/>
          <w:i/>
          <w:iCs/>
        </w:rPr>
        <w:t>Artículo 1</w:t>
      </w:r>
      <w:r w:rsidR="002B60E8" w:rsidRPr="007D6CE6">
        <w:rPr>
          <w:rFonts w:ascii="Palatino Linotype" w:hAnsi="Palatino Linotype"/>
          <w:i/>
          <w:iCs/>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37777A7E" w14:textId="77777777" w:rsidR="002B60E8" w:rsidRPr="007D6CE6" w:rsidRDefault="002B60E8" w:rsidP="007D6CE6">
      <w:pPr>
        <w:spacing w:line="360" w:lineRule="auto"/>
        <w:ind w:left="567" w:right="616"/>
        <w:contextualSpacing/>
        <w:jc w:val="both"/>
        <w:rPr>
          <w:rFonts w:ascii="Palatino Linotype" w:hAnsi="Palatino Linotype"/>
          <w:i/>
          <w:iCs/>
        </w:rPr>
      </w:pPr>
    </w:p>
    <w:p w14:paraId="7DA2F4E2" w14:textId="571FEBFB" w:rsidR="002B60E8" w:rsidRPr="007D6CE6" w:rsidRDefault="002B60E8" w:rsidP="007D6CE6">
      <w:pPr>
        <w:spacing w:line="360" w:lineRule="auto"/>
        <w:ind w:left="567" w:right="616"/>
        <w:contextualSpacing/>
        <w:jc w:val="both"/>
        <w:rPr>
          <w:rFonts w:ascii="Palatino Linotype" w:hAnsi="Palatino Linotype"/>
          <w:i/>
          <w:iCs/>
        </w:rPr>
      </w:pPr>
      <w:r w:rsidRPr="007D6CE6">
        <w:rPr>
          <w:rFonts w:ascii="Palatino Linotype" w:hAnsi="Palatino Linotype"/>
          <w:i/>
          <w:iCs/>
        </w:rPr>
        <w:t xml:space="preserve">Tiene por objeto establecer los principios, bases generales y procedimientos para garantizar el derecho de acceso a la información en posesión </w:t>
      </w:r>
      <w:bookmarkStart w:id="88" w:name="_Hlk24026269"/>
      <w:r w:rsidRPr="007D6CE6">
        <w:rPr>
          <w:rFonts w:ascii="Palatino Linotype" w:hAnsi="Palatino Linotype"/>
          <w:i/>
          <w:iCs/>
        </w:rPr>
        <w:t>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bookmarkEnd w:id="88"/>
      <w:r w:rsidR="00221FFB" w:rsidRPr="007D6CE6">
        <w:rPr>
          <w:rFonts w:ascii="Palatino Linotype" w:hAnsi="Palatino Linotype"/>
          <w:i/>
          <w:iCs/>
        </w:rPr>
        <w:t>”.</w:t>
      </w:r>
    </w:p>
    <w:p w14:paraId="6F997C62" w14:textId="77777777" w:rsidR="002B60E8" w:rsidRPr="007D6CE6" w:rsidRDefault="002B60E8" w:rsidP="007D6CE6">
      <w:pPr>
        <w:spacing w:line="360" w:lineRule="auto"/>
        <w:ind w:left="567" w:right="616"/>
        <w:contextualSpacing/>
        <w:jc w:val="both"/>
        <w:rPr>
          <w:rFonts w:ascii="Palatino Linotype" w:eastAsia="Calibri" w:hAnsi="Palatino Linotype" w:cs="Arial"/>
        </w:rPr>
      </w:pPr>
    </w:p>
    <w:p w14:paraId="6E45A639" w14:textId="77F3B47F"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Una vez acotado lo anterior, es </w:t>
      </w:r>
      <w:r w:rsidR="00221FFB" w:rsidRPr="007D6CE6">
        <w:rPr>
          <w:rFonts w:ascii="Palatino Linotype" w:eastAsia="Calibri" w:hAnsi="Palatino Linotype" w:cs="Arial"/>
        </w:rPr>
        <w:t>menester precisar que</w:t>
      </w:r>
      <w:r w:rsidRPr="007D6CE6">
        <w:rPr>
          <w:rFonts w:ascii="Palatino Linotype" w:eastAsia="Calibri" w:hAnsi="Palatino Linotype" w:cs="Arial"/>
        </w:rPr>
        <w:t xml:space="preserve">, en </w:t>
      </w:r>
      <w:r w:rsidR="00221FFB" w:rsidRPr="007D6CE6">
        <w:rPr>
          <w:rFonts w:ascii="Palatino Linotype" w:eastAsia="Calibri" w:hAnsi="Palatino Linotype" w:cs="Arial"/>
        </w:rPr>
        <w:t>los</w:t>
      </w:r>
      <w:r w:rsidRPr="007D6CE6">
        <w:rPr>
          <w:rFonts w:ascii="Palatino Linotype" w:eastAsia="Calibri" w:hAnsi="Palatino Linotype" w:cs="Arial"/>
        </w:rPr>
        <w:t xml:space="preserve"> artículo</w:t>
      </w:r>
      <w:r w:rsidR="00221FFB" w:rsidRPr="007D6CE6">
        <w:rPr>
          <w:rFonts w:ascii="Palatino Linotype" w:eastAsia="Calibri" w:hAnsi="Palatino Linotype" w:cs="Arial"/>
        </w:rPr>
        <w:t>s</w:t>
      </w:r>
      <w:r w:rsidRPr="007D6CE6">
        <w:rPr>
          <w:rFonts w:ascii="Palatino Linotype" w:eastAsia="Calibri" w:hAnsi="Palatino Linotype" w:cs="Arial"/>
        </w:rPr>
        <w:t xml:space="preserve"> Décimo tercero y Décimo cuarto</w:t>
      </w:r>
      <w:r w:rsidR="00221FFB" w:rsidRPr="007D6CE6">
        <w:rPr>
          <w:rFonts w:ascii="Palatino Linotype" w:eastAsia="Calibri" w:hAnsi="Palatino Linotype" w:cs="Arial"/>
        </w:rPr>
        <w:t xml:space="preserve"> </w:t>
      </w:r>
      <w:r w:rsidRPr="007D6CE6">
        <w:rPr>
          <w:rFonts w:ascii="Palatino Linotype" w:eastAsia="Calibri" w:hAnsi="Palatino Linotype" w:cs="Arial"/>
        </w:rPr>
        <w:t xml:space="preserve">de los Lineamientos para la Organización y Conservación de Archivos, </w:t>
      </w:r>
      <w:r w:rsidR="00221FFB" w:rsidRPr="007D6CE6">
        <w:rPr>
          <w:rFonts w:ascii="Palatino Linotype" w:eastAsia="Calibri" w:hAnsi="Palatino Linotype" w:cs="Arial"/>
        </w:rPr>
        <w:t>establecen lo</w:t>
      </w:r>
      <w:r w:rsidRPr="007D6CE6">
        <w:rPr>
          <w:rFonts w:ascii="Palatino Linotype" w:eastAsia="Calibri" w:hAnsi="Palatino Linotype" w:cs="Arial"/>
        </w:rPr>
        <w:t xml:space="preserve"> siguiente:</w:t>
      </w:r>
    </w:p>
    <w:p w14:paraId="0106C4D5" w14:textId="77777777" w:rsidR="002B60E8" w:rsidRPr="007D6CE6" w:rsidRDefault="002B60E8" w:rsidP="007D6CE6">
      <w:pPr>
        <w:spacing w:line="360" w:lineRule="auto"/>
        <w:contextualSpacing/>
        <w:jc w:val="both"/>
        <w:rPr>
          <w:rFonts w:ascii="Palatino Linotype" w:eastAsia="Calibri" w:hAnsi="Palatino Linotype" w:cs="Arial"/>
        </w:rPr>
      </w:pPr>
    </w:p>
    <w:p w14:paraId="7BB9D70C" w14:textId="596DA8C8" w:rsidR="002B60E8" w:rsidRPr="007D6CE6" w:rsidRDefault="00221FFB" w:rsidP="007D6CE6">
      <w:pPr>
        <w:spacing w:line="360" w:lineRule="auto"/>
        <w:ind w:left="567" w:right="616"/>
        <w:contextualSpacing/>
        <w:jc w:val="both"/>
        <w:rPr>
          <w:rFonts w:ascii="Palatino Linotype" w:eastAsia="Calibri" w:hAnsi="Palatino Linotype" w:cs="Arial"/>
          <w:i/>
          <w:iCs/>
        </w:rPr>
      </w:pPr>
      <w:r w:rsidRPr="007D6CE6">
        <w:rPr>
          <w:rFonts w:ascii="Palatino Linotype" w:eastAsia="Calibri" w:hAnsi="Palatino Linotype" w:cs="Arial"/>
          <w:i/>
          <w:iCs/>
        </w:rPr>
        <w:t>“</w:t>
      </w:r>
      <w:r w:rsidR="002B60E8" w:rsidRPr="007D6CE6">
        <w:rPr>
          <w:rFonts w:ascii="Palatino Linotype" w:eastAsia="Calibri" w:hAnsi="Palatino Linotype" w:cs="Arial"/>
          <w:b/>
          <w:bCs/>
          <w:i/>
          <w:iCs/>
        </w:rPr>
        <w:t>Décimo tercero.</w:t>
      </w:r>
      <w:r w:rsidR="002B60E8" w:rsidRPr="007D6CE6">
        <w:rPr>
          <w:rFonts w:ascii="Palatino Linotype" w:eastAsia="Calibri" w:hAnsi="Palatino Linotype" w:cs="Arial"/>
          <w:i/>
          <w:iCs/>
        </w:rPr>
        <w:t xml:space="preserve"> Los </w:t>
      </w:r>
      <w:r w:rsidR="002B60E8" w:rsidRPr="007D6CE6">
        <w:rPr>
          <w:rFonts w:ascii="Palatino Linotype" w:eastAsia="Calibri" w:hAnsi="Palatino Linotype" w:cs="Arial"/>
          <w:b/>
          <w:bCs/>
          <w:i/>
          <w:iCs/>
        </w:rPr>
        <w:t>Sujetos Obligados</w:t>
      </w:r>
      <w:r w:rsidR="002B60E8" w:rsidRPr="007D6CE6">
        <w:rPr>
          <w:rFonts w:ascii="Palatino Linotype" w:eastAsia="Calibri" w:hAnsi="Palatino Linotype" w:cs="Arial"/>
          <w:i/>
          <w:iCs/>
        </w:rPr>
        <w:t xml:space="preserve">, a </w:t>
      </w:r>
      <w:r w:rsidR="002B60E8" w:rsidRPr="007D6CE6">
        <w:rPr>
          <w:rFonts w:ascii="Palatino Linotype" w:eastAsia="Calibri" w:hAnsi="Palatino Linotype" w:cs="Arial"/>
          <w:b/>
          <w:bCs/>
          <w:i/>
          <w:iCs/>
        </w:rPr>
        <w:t>través de sus áreas coordinadoras de archivos, deberán elaborar los Instrumentos de control y consulta archivísticos vinculándolos con los procesos institucionales, derivado de las atribuciones y funciones, manteniéndolos actualizados y disponibles,</w:t>
      </w:r>
      <w:r w:rsidR="002B60E8" w:rsidRPr="007D6CE6">
        <w:rPr>
          <w:rFonts w:ascii="Palatino Linotype" w:eastAsia="Calibri" w:hAnsi="Palatino Linotype" w:cs="Arial"/>
          <w:i/>
          <w:iCs/>
        </w:rPr>
        <w:t xml:space="preserve"> que propicien la administración y gestión documental de sus archivos, por lo que deberán contar, al menos, con los siguientes instrumentos: </w:t>
      </w:r>
    </w:p>
    <w:p w14:paraId="237BE5FE"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rPr>
      </w:pPr>
    </w:p>
    <w:p w14:paraId="6332FF3D"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lang w:val="es-MX"/>
        </w:rPr>
      </w:pPr>
      <w:r w:rsidRPr="007D6CE6">
        <w:rPr>
          <w:rFonts w:ascii="Palatino Linotype" w:eastAsia="Calibri" w:hAnsi="Palatino Linotype" w:cs="Arial"/>
          <w:b/>
          <w:bCs/>
          <w:i/>
          <w:iCs/>
          <w:lang w:val="es-MX"/>
        </w:rPr>
        <w:t>I. Cuadro general de clasificación archivística;</w:t>
      </w:r>
    </w:p>
    <w:p w14:paraId="3676A951"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lang w:val="es-MX"/>
        </w:rPr>
      </w:pPr>
      <w:r w:rsidRPr="007D6CE6">
        <w:rPr>
          <w:rFonts w:ascii="Palatino Linotype" w:eastAsia="Calibri" w:hAnsi="Palatino Linotype" w:cs="Arial"/>
          <w:b/>
          <w:bCs/>
          <w:i/>
          <w:iCs/>
          <w:lang w:val="es-MX"/>
        </w:rPr>
        <w:t>II.         Catálogo de disposición documental, y</w:t>
      </w:r>
    </w:p>
    <w:p w14:paraId="014A6052"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lang w:val="es-MX"/>
        </w:rPr>
      </w:pPr>
      <w:r w:rsidRPr="007D6CE6">
        <w:rPr>
          <w:rFonts w:ascii="Palatino Linotype" w:eastAsia="Calibri" w:hAnsi="Palatino Linotype" w:cs="Arial"/>
          <w:b/>
          <w:bCs/>
          <w:i/>
          <w:iCs/>
          <w:lang w:val="es-MX"/>
        </w:rPr>
        <w:lastRenderedPageBreak/>
        <w:t>III.        Inventarios documentales:</w:t>
      </w:r>
    </w:p>
    <w:p w14:paraId="1D5DDFBD"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lang w:val="es-MX"/>
        </w:rPr>
      </w:pPr>
      <w:r w:rsidRPr="007D6CE6">
        <w:rPr>
          <w:rFonts w:ascii="Palatino Linotype" w:eastAsia="Calibri" w:hAnsi="Palatino Linotype" w:cs="Arial"/>
          <w:b/>
          <w:bCs/>
          <w:i/>
          <w:iCs/>
          <w:lang w:val="es-MX"/>
        </w:rPr>
        <w:t>a) General;</w:t>
      </w:r>
    </w:p>
    <w:p w14:paraId="355D271C"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lang w:val="es-MX"/>
        </w:rPr>
      </w:pPr>
      <w:r w:rsidRPr="007D6CE6">
        <w:rPr>
          <w:rFonts w:ascii="Palatino Linotype" w:eastAsia="Calibri" w:hAnsi="Palatino Linotype" w:cs="Arial"/>
          <w:b/>
          <w:bCs/>
          <w:i/>
          <w:iCs/>
          <w:lang w:val="es-MX"/>
        </w:rPr>
        <w:t>b) De transferencia, y</w:t>
      </w:r>
    </w:p>
    <w:p w14:paraId="51B22D28" w14:textId="77777777" w:rsidR="002B60E8" w:rsidRPr="007D6CE6" w:rsidRDefault="002B60E8" w:rsidP="007D6CE6">
      <w:pPr>
        <w:spacing w:line="360" w:lineRule="auto"/>
        <w:ind w:left="567" w:right="616"/>
        <w:contextualSpacing/>
        <w:jc w:val="both"/>
        <w:rPr>
          <w:rFonts w:ascii="Palatino Linotype" w:eastAsia="Calibri" w:hAnsi="Palatino Linotype" w:cs="Arial"/>
          <w:b/>
          <w:bCs/>
          <w:i/>
          <w:iCs/>
          <w:lang w:val="es-MX"/>
        </w:rPr>
      </w:pPr>
      <w:r w:rsidRPr="007D6CE6">
        <w:rPr>
          <w:rFonts w:ascii="Palatino Linotype" w:eastAsia="Calibri" w:hAnsi="Palatino Linotype" w:cs="Arial"/>
          <w:b/>
          <w:bCs/>
          <w:i/>
          <w:iCs/>
          <w:lang w:val="es-MX"/>
        </w:rPr>
        <w:t>c) De baja.</w:t>
      </w:r>
    </w:p>
    <w:p w14:paraId="3B7B40C5"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p>
    <w:p w14:paraId="027090A6"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r w:rsidRPr="007D6CE6">
        <w:rPr>
          <w:rFonts w:ascii="Palatino Linotype" w:eastAsia="Calibri" w:hAnsi="Palatino Linotype" w:cs="Arial"/>
          <w:i/>
          <w:iCs/>
          <w:lang w:val="es-MX"/>
        </w:rPr>
        <w:t>La estructura del Cuadro general de clasificación archivística atenderá los niveles de Fondo, Sección y Serie, sin que esto excluya la posibilidad de que existan niveles intermedios, los cuales serán identificados mediante una clave alfanumérica.</w:t>
      </w:r>
    </w:p>
    <w:p w14:paraId="3369E3EE"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p>
    <w:p w14:paraId="005A0113"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r w:rsidRPr="007D6CE6">
        <w:rPr>
          <w:rFonts w:ascii="Palatino Linotype" w:eastAsia="Calibri" w:hAnsi="Palatino Linotype" w:cs="Arial"/>
          <w:b/>
          <w:bCs/>
          <w:i/>
          <w:iCs/>
          <w:lang w:val="es-MX"/>
        </w:rPr>
        <w:t>Décimo cuarto. </w:t>
      </w:r>
      <w:r w:rsidRPr="007D6CE6">
        <w:rPr>
          <w:rFonts w:ascii="Palatino Linotype" w:eastAsia="Calibri" w:hAnsi="Palatino Linotype" w:cs="Arial"/>
          <w:i/>
          <w:iCs/>
          <w:lang w:val="es-MX"/>
        </w:rPr>
        <w:t xml:space="preserve">Además de los Instrumentos de control y consulta archivísticos, </w:t>
      </w:r>
      <w:r w:rsidRPr="007D6CE6">
        <w:rPr>
          <w:rFonts w:ascii="Palatino Linotype" w:eastAsia="Calibri" w:hAnsi="Palatino Linotype" w:cs="Arial"/>
          <w:b/>
          <w:bCs/>
          <w:i/>
          <w:iCs/>
          <w:lang w:val="es-MX"/>
        </w:rPr>
        <w:t>los Sujetos obligados deberán contar con la Guía de archivo documental</w:t>
      </w:r>
      <w:r w:rsidRPr="007D6CE6">
        <w:rPr>
          <w:rFonts w:ascii="Palatino Linotype" w:eastAsia="Calibri" w:hAnsi="Palatino Linotype" w:cs="Arial"/>
          <w:i/>
          <w:iCs/>
          <w:lang w:val="es-MX"/>
        </w:rPr>
        <w:t xml:space="preserve"> y el índice de expedientes clasificados como reservados a que hacen referencia los artículos 70, fracción XLV y 102 de la Ley.</w:t>
      </w:r>
    </w:p>
    <w:p w14:paraId="17E7F7B1"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p>
    <w:p w14:paraId="39160736"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r w:rsidRPr="007D6CE6">
        <w:rPr>
          <w:rFonts w:ascii="Palatino Linotype" w:eastAsia="Calibri" w:hAnsi="Palatino Linotype" w:cs="Arial"/>
          <w:i/>
          <w:iCs/>
          <w:lang w:val="es-MX"/>
        </w:rPr>
        <w:t>La Guía de archivo documental, deberá contener como mínimo:</w:t>
      </w:r>
    </w:p>
    <w:p w14:paraId="1D1F7685"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p>
    <w:p w14:paraId="5B129871"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r w:rsidRPr="007D6CE6">
        <w:rPr>
          <w:rFonts w:ascii="Palatino Linotype" w:eastAsia="Calibri" w:hAnsi="Palatino Linotype" w:cs="Arial"/>
          <w:b/>
          <w:bCs/>
          <w:i/>
          <w:iCs/>
          <w:lang w:val="es-MX"/>
        </w:rPr>
        <w:t>I.</w:t>
      </w:r>
      <w:r w:rsidRPr="007D6CE6">
        <w:rPr>
          <w:rFonts w:ascii="Palatino Linotype" w:eastAsia="Calibri" w:hAnsi="Palatino Linotype" w:cs="Arial"/>
          <w:i/>
          <w:iCs/>
          <w:lang w:val="es-MX"/>
        </w:rPr>
        <w:t>          La descripción general contenida en las series documentales que conforman los archivos de trámite, de concentración e histórico, y</w:t>
      </w:r>
    </w:p>
    <w:p w14:paraId="736F15DE"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r w:rsidRPr="007D6CE6">
        <w:rPr>
          <w:rFonts w:ascii="Palatino Linotype" w:eastAsia="Calibri" w:hAnsi="Palatino Linotype" w:cs="Arial"/>
          <w:b/>
          <w:bCs/>
          <w:i/>
          <w:iCs/>
          <w:lang w:val="es-MX"/>
        </w:rPr>
        <w:t>II.</w:t>
      </w:r>
      <w:r w:rsidRPr="007D6CE6">
        <w:rPr>
          <w:rFonts w:ascii="Palatino Linotype" w:eastAsia="Calibri" w:hAnsi="Palatino Linotype" w:cs="Arial"/>
          <w:i/>
          <w:iCs/>
          <w:lang w:val="es-MX"/>
        </w:rPr>
        <w:t>         Nombre, cargo, dirección y correo electrónico del titular de cada una de las áreas responsables de la información.</w:t>
      </w:r>
    </w:p>
    <w:p w14:paraId="07A6D84B" w14:textId="77777777"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p>
    <w:p w14:paraId="26C4656D" w14:textId="6D55D530" w:rsidR="002B60E8" w:rsidRPr="007D6CE6" w:rsidRDefault="002B60E8" w:rsidP="007D6CE6">
      <w:pPr>
        <w:spacing w:line="360" w:lineRule="auto"/>
        <w:ind w:left="567" w:right="616"/>
        <w:contextualSpacing/>
        <w:jc w:val="both"/>
        <w:rPr>
          <w:rFonts w:ascii="Palatino Linotype" w:eastAsia="Calibri" w:hAnsi="Palatino Linotype" w:cs="Arial"/>
          <w:i/>
          <w:iCs/>
          <w:lang w:val="es-MX"/>
        </w:rPr>
      </w:pPr>
      <w:r w:rsidRPr="007D6CE6">
        <w:rPr>
          <w:rFonts w:ascii="Palatino Linotype" w:eastAsia="Calibri" w:hAnsi="Palatino Linotype" w:cs="Arial"/>
          <w:i/>
          <w:iCs/>
          <w:lang w:val="es-MX"/>
        </w:rPr>
        <w:t xml:space="preserve">El índice de expedientes clasificados deberá tener correlación con las series documentales registradas en el Catálogo de disposición documental y deberá contener los elementos señalados en los Lineamientos Generales en Materia de Clasificación y </w:t>
      </w:r>
      <w:r w:rsidRPr="007D6CE6">
        <w:rPr>
          <w:rFonts w:ascii="Palatino Linotype" w:eastAsia="Calibri" w:hAnsi="Palatino Linotype" w:cs="Arial"/>
          <w:i/>
          <w:iCs/>
          <w:lang w:val="es-MX"/>
        </w:rPr>
        <w:lastRenderedPageBreak/>
        <w:t>Desclasificación de la Información, así como para la elaboración de Versiones Públicas</w:t>
      </w:r>
      <w:r w:rsidR="00221FFB" w:rsidRPr="007D6CE6">
        <w:rPr>
          <w:rFonts w:ascii="Palatino Linotype" w:eastAsia="Calibri" w:hAnsi="Palatino Linotype" w:cs="Arial"/>
          <w:i/>
          <w:iCs/>
          <w:lang w:val="es-MX"/>
        </w:rPr>
        <w:t xml:space="preserve">”. </w:t>
      </w:r>
    </w:p>
    <w:p w14:paraId="5773D891" w14:textId="77777777" w:rsidR="002B60E8" w:rsidRPr="007D6CE6" w:rsidRDefault="002B60E8" w:rsidP="007D6CE6">
      <w:pPr>
        <w:spacing w:line="360" w:lineRule="auto"/>
        <w:ind w:left="567" w:right="616"/>
        <w:contextualSpacing/>
        <w:jc w:val="both"/>
        <w:rPr>
          <w:rFonts w:ascii="Palatino Linotype" w:eastAsia="Calibri" w:hAnsi="Palatino Linotype" w:cs="Arial"/>
          <w:lang w:val="es-MX"/>
        </w:rPr>
      </w:pPr>
    </w:p>
    <w:p w14:paraId="124827F1" w14:textId="77777777" w:rsidR="002B60E8"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Aunado a lo anterior, la Ley del Sistema Anticorrupción del Estado de México y Municipios, en la fracción III de su artículo 36 establece que, dentro de las funciones del Secretario Técnico, se encuentra la de </w:t>
      </w:r>
      <w:r w:rsidRPr="007D6CE6">
        <w:rPr>
          <w:rFonts w:ascii="Palatino Linotype" w:eastAsia="Calibri" w:hAnsi="Palatino Linotype" w:cs="Arial"/>
          <w:i/>
          <w:iCs/>
        </w:rPr>
        <w:t xml:space="preserve">“…III. Registrar y certificar los acuerdos emitidos por el Comité Coordinador y el órgano de gobierno de la Secretaría Ejecutiva, así como de los instrumentos jurídicos que se generen, </w:t>
      </w:r>
      <w:r w:rsidRPr="007D6CE6">
        <w:rPr>
          <w:rFonts w:ascii="Palatino Linotype" w:eastAsia="Calibri" w:hAnsi="Palatino Linotype" w:cs="Arial"/>
          <w:b/>
          <w:bCs/>
          <w:i/>
          <w:iCs/>
        </w:rPr>
        <w:t xml:space="preserve">integrando el archivo correspondiente en términos de las disposiciones aplicables” </w:t>
      </w:r>
    </w:p>
    <w:p w14:paraId="7531064A" w14:textId="77777777" w:rsidR="002B60E8" w:rsidRPr="007D6CE6" w:rsidRDefault="002B60E8" w:rsidP="007D6CE6">
      <w:pPr>
        <w:spacing w:line="360" w:lineRule="auto"/>
        <w:contextualSpacing/>
        <w:jc w:val="both"/>
        <w:rPr>
          <w:rFonts w:ascii="Palatino Linotype" w:eastAsia="Calibri" w:hAnsi="Palatino Linotype" w:cs="Arial"/>
        </w:rPr>
      </w:pPr>
    </w:p>
    <w:p w14:paraId="0CA8F358" w14:textId="77777777" w:rsidR="008514D1" w:rsidRPr="007D6CE6" w:rsidRDefault="002B60E8"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Del mismo modo, el Estatuto Orgánico de la Secretaría Ejecutiva del Sistema Estatal Anticorrupción, establece en su artículo 7 que </w:t>
      </w:r>
      <w:r w:rsidRPr="007D6CE6">
        <w:rPr>
          <w:rFonts w:ascii="Palatino Linotype" w:eastAsia="Calibri" w:hAnsi="Palatino Linotype" w:cs="Arial"/>
          <w:i/>
          <w:iCs/>
        </w:rPr>
        <w:t xml:space="preserve">“…a través de las unidades administrativas de su adscripción, dará cumplimiento a las obligaciones de transparencia, acceso a la información, protección de datos personales y </w:t>
      </w:r>
      <w:r w:rsidRPr="007D6CE6">
        <w:rPr>
          <w:rFonts w:ascii="Palatino Linotype" w:eastAsia="Calibri" w:hAnsi="Palatino Linotype" w:cs="Arial"/>
          <w:b/>
          <w:bCs/>
          <w:i/>
          <w:iCs/>
        </w:rPr>
        <w:t>archivos</w:t>
      </w:r>
      <w:r w:rsidRPr="007D6CE6">
        <w:rPr>
          <w:rFonts w:ascii="Palatino Linotype" w:eastAsia="Calibri" w:hAnsi="Palatino Linotype" w:cs="Arial"/>
          <w:i/>
          <w:iCs/>
        </w:rPr>
        <w:t>, en los términos previstos en la normatividad aplicable.”</w:t>
      </w:r>
    </w:p>
    <w:p w14:paraId="4143E868" w14:textId="22C90040" w:rsidR="002B60E8" w:rsidRPr="007D6CE6" w:rsidRDefault="002B60E8" w:rsidP="007D6CE6">
      <w:pPr>
        <w:spacing w:line="360" w:lineRule="auto"/>
        <w:contextualSpacing/>
        <w:jc w:val="both"/>
        <w:rPr>
          <w:rFonts w:ascii="Palatino Linotype" w:eastAsia="Calibri" w:hAnsi="Palatino Linotype" w:cs="Arial"/>
        </w:rPr>
      </w:pPr>
    </w:p>
    <w:p w14:paraId="786FF7D2" w14:textId="651DCA1D" w:rsidR="002B60E8" w:rsidRPr="007D6CE6" w:rsidRDefault="002B60E8" w:rsidP="007D6CE6">
      <w:pPr>
        <w:pStyle w:val="Ttulo1"/>
        <w:spacing w:before="0" w:line="360" w:lineRule="auto"/>
        <w:rPr>
          <w:bCs/>
          <w:szCs w:val="24"/>
        </w:rPr>
      </w:pPr>
      <w:bookmarkStart w:id="89" w:name="_Toc24040928"/>
      <w:r w:rsidRPr="007D6CE6">
        <w:rPr>
          <w:b/>
          <w:color w:val="000000" w:themeColor="text1"/>
          <w:szCs w:val="24"/>
        </w:rPr>
        <w:t>V. De</w:t>
      </w:r>
      <w:r w:rsidR="008514D1" w:rsidRPr="007D6CE6">
        <w:rPr>
          <w:b/>
          <w:color w:val="000000" w:themeColor="text1"/>
          <w:szCs w:val="24"/>
        </w:rPr>
        <w:t xml:space="preserve"> la obligación de contar con la información solicitada.</w:t>
      </w:r>
      <w:bookmarkEnd w:id="89"/>
      <w:r w:rsidR="008514D1" w:rsidRPr="007D6CE6">
        <w:rPr>
          <w:b/>
          <w:color w:val="000000" w:themeColor="text1"/>
          <w:szCs w:val="24"/>
        </w:rPr>
        <w:t xml:space="preserve"> </w:t>
      </w:r>
    </w:p>
    <w:p w14:paraId="2D40C308" w14:textId="77777777" w:rsidR="002B60E8" w:rsidRPr="007D6CE6" w:rsidRDefault="002B60E8" w:rsidP="007D6CE6">
      <w:pPr>
        <w:spacing w:line="360" w:lineRule="auto"/>
        <w:contextualSpacing/>
        <w:jc w:val="both"/>
        <w:rPr>
          <w:rFonts w:ascii="Palatino Linotype" w:eastAsia="Calibri" w:hAnsi="Palatino Linotype" w:cs="Arial"/>
        </w:rPr>
      </w:pPr>
    </w:p>
    <w:p w14:paraId="4B1A738F" w14:textId="2D004B69" w:rsidR="000601EF" w:rsidRPr="007D6CE6" w:rsidRDefault="008514D1"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 xml:space="preserve">Relativo a este punto, se tiene que </w:t>
      </w:r>
      <w:r w:rsidR="004F0996" w:rsidRPr="007D6CE6">
        <w:rPr>
          <w:rFonts w:ascii="Palatino Linotype" w:eastAsia="Calibri" w:hAnsi="Palatino Linotype" w:cs="Arial"/>
        </w:rPr>
        <w:t>para el año 2015 se buscó implementar un nuevo modelo que permitiera la acción coordinada de diversas autoridades para atacar la corrupción; así nació el Sistema Nacional Anticorrupción</w:t>
      </w:r>
      <w:r w:rsidR="000601EF" w:rsidRPr="007D6CE6">
        <w:rPr>
          <w:rFonts w:ascii="Palatino Linotype" w:eastAsia="Calibri" w:hAnsi="Palatino Linotype" w:cs="Arial"/>
        </w:rPr>
        <w:t xml:space="preserve"> en la reforma al artículo 113 de la Constitución Política de los Estados Unidos Mexicanos publicada en el Diario Oficial </w:t>
      </w:r>
      <w:r w:rsidR="000601EF" w:rsidRPr="007D6CE6">
        <w:rPr>
          <w:rFonts w:ascii="Palatino Linotype" w:eastAsia="Calibri" w:hAnsi="Palatino Linotype" w:cs="Arial"/>
        </w:rPr>
        <w:lastRenderedPageBreak/>
        <w:t>de la Federación del día veintisiete (27) de mayo de 2015</w:t>
      </w:r>
      <w:r w:rsidR="000601EF" w:rsidRPr="007D6CE6">
        <w:rPr>
          <w:rStyle w:val="Refdenotaalpie"/>
          <w:rFonts w:ascii="Palatino Linotype" w:eastAsia="Calibri" w:hAnsi="Palatino Linotype" w:cs="Arial"/>
        </w:rPr>
        <w:footnoteReference w:id="2"/>
      </w:r>
      <w:r w:rsidR="000601EF" w:rsidRPr="007D6CE6">
        <w:rPr>
          <w:rFonts w:ascii="Palatino Linotype" w:eastAsia="Calibri" w:hAnsi="Palatino Linotype" w:cs="Arial"/>
        </w:rPr>
        <w:t xml:space="preserve">, este hecho dio origen a múltiples reformas en cada Entidad Federativa, con el objeto de crear nuevos sistemas, con la finalidad de hacer funcional el Sistema Anticorrupción. </w:t>
      </w:r>
    </w:p>
    <w:p w14:paraId="7F59BC41" w14:textId="77777777" w:rsidR="00344973" w:rsidRPr="007D6CE6" w:rsidRDefault="00344973" w:rsidP="007D6CE6">
      <w:pPr>
        <w:spacing w:line="360" w:lineRule="auto"/>
        <w:contextualSpacing/>
        <w:jc w:val="both"/>
        <w:rPr>
          <w:rFonts w:ascii="Palatino Linotype" w:eastAsia="Calibri" w:hAnsi="Palatino Linotype" w:cs="Arial"/>
        </w:rPr>
      </w:pPr>
    </w:p>
    <w:p w14:paraId="13346065" w14:textId="742F20D3" w:rsidR="00776A0E" w:rsidRPr="007D6CE6" w:rsidRDefault="000601EF" w:rsidP="007D6CE6">
      <w:pPr>
        <w:numPr>
          <w:ilvl w:val="0"/>
          <w:numId w:val="1"/>
        </w:numPr>
        <w:spacing w:line="360" w:lineRule="auto"/>
        <w:ind w:left="0" w:firstLine="0"/>
        <w:contextualSpacing/>
        <w:jc w:val="both"/>
        <w:rPr>
          <w:rFonts w:ascii="Palatino Linotype" w:eastAsia="Calibri" w:hAnsi="Palatino Linotype" w:cs="Arial"/>
        </w:rPr>
      </w:pPr>
      <w:r w:rsidRPr="007D6CE6">
        <w:rPr>
          <w:rFonts w:ascii="Palatino Linotype" w:eastAsia="Calibri" w:hAnsi="Palatino Linotype" w:cs="Arial"/>
        </w:rPr>
        <w:t>Es por ello que el Estado de México en cumplimiento al orden constitucional</w:t>
      </w:r>
      <w:r w:rsidR="0097054F" w:rsidRPr="007D6CE6">
        <w:rPr>
          <w:rFonts w:ascii="Palatino Linotype" w:eastAsia="Calibri" w:hAnsi="Palatino Linotype" w:cs="Arial"/>
        </w:rPr>
        <w:t>,</w:t>
      </w:r>
      <w:r w:rsidRPr="007D6CE6">
        <w:rPr>
          <w:rFonts w:ascii="Palatino Linotype" w:eastAsia="Calibri" w:hAnsi="Palatino Linotype" w:cs="Arial"/>
        </w:rPr>
        <w:t xml:space="preserve"> a través del decreto contenido en el periódico oficial “Gaceta del Gobierno”, </w:t>
      </w:r>
      <w:r w:rsidR="00221FFB" w:rsidRPr="007D6CE6">
        <w:rPr>
          <w:rFonts w:ascii="Palatino Linotype" w:eastAsia="Calibri" w:hAnsi="Palatino Linotype" w:cs="Arial"/>
        </w:rPr>
        <w:t xml:space="preserve">se </w:t>
      </w:r>
      <w:r w:rsidRPr="007D6CE6">
        <w:rPr>
          <w:rFonts w:ascii="Palatino Linotype" w:eastAsia="Calibri" w:hAnsi="Palatino Linotype" w:cs="Arial"/>
        </w:rPr>
        <w:t>publicó el veinticuatro (24) de abril de 2017</w:t>
      </w:r>
      <w:r w:rsidRPr="007D6CE6">
        <w:rPr>
          <w:rStyle w:val="Refdenotaalpie"/>
          <w:rFonts w:ascii="Palatino Linotype" w:eastAsia="Calibri" w:hAnsi="Palatino Linotype" w:cs="Arial"/>
        </w:rPr>
        <w:footnoteReference w:id="3"/>
      </w:r>
      <w:r w:rsidRPr="007D6CE6">
        <w:rPr>
          <w:rFonts w:ascii="Palatino Linotype" w:eastAsia="Calibri" w:hAnsi="Palatino Linotype" w:cs="Arial"/>
        </w:rPr>
        <w:t xml:space="preserve"> la reforma a la Constitución Política del Estado Libre y Soberano de México, que </w:t>
      </w:r>
      <w:r w:rsidR="00A3430B" w:rsidRPr="007D6CE6">
        <w:rPr>
          <w:rFonts w:ascii="Palatino Linotype" w:eastAsia="Calibri" w:hAnsi="Palatino Linotype" w:cs="Arial"/>
        </w:rPr>
        <w:t>tuvo como finalidad crear el Sistema Estatal Anticorrupción</w:t>
      </w:r>
      <w:r w:rsidR="000A7D8E" w:rsidRPr="007D6CE6">
        <w:rPr>
          <w:rFonts w:ascii="Palatino Linotype" w:eastAsia="Calibri" w:hAnsi="Palatino Linotype" w:cs="Arial"/>
        </w:rPr>
        <w:t xml:space="preserve"> y con ello armonizar la Constitución Estatal con las reformas del Sistema Nacional Anticorrupción</w:t>
      </w:r>
      <w:r w:rsidR="00A3430B" w:rsidRPr="007D6CE6">
        <w:rPr>
          <w:rFonts w:ascii="Palatino Linotype" w:eastAsia="Calibri" w:hAnsi="Palatino Linotype" w:cs="Arial"/>
        </w:rPr>
        <w:t>.</w:t>
      </w:r>
    </w:p>
    <w:p w14:paraId="44F77984" w14:textId="77777777" w:rsidR="008514D1" w:rsidRPr="007D6CE6" w:rsidRDefault="008514D1" w:rsidP="007D6CE6">
      <w:pPr>
        <w:pStyle w:val="Prrafodelista"/>
        <w:spacing w:line="360" w:lineRule="auto"/>
        <w:ind w:left="1353"/>
        <w:jc w:val="both"/>
        <w:rPr>
          <w:rFonts w:ascii="Palatino Linotype" w:hAnsi="Palatino Linotype"/>
        </w:rPr>
      </w:pPr>
    </w:p>
    <w:p w14:paraId="6712DFAA" w14:textId="40040BF5" w:rsidR="00344973" w:rsidRPr="007D6CE6" w:rsidRDefault="008514D1" w:rsidP="007D6CE6">
      <w:pPr>
        <w:pStyle w:val="Prrafodelista"/>
        <w:numPr>
          <w:ilvl w:val="0"/>
          <w:numId w:val="1"/>
        </w:numPr>
        <w:spacing w:line="360" w:lineRule="auto"/>
        <w:ind w:left="0" w:firstLine="0"/>
        <w:jc w:val="both"/>
        <w:rPr>
          <w:rFonts w:ascii="Palatino Linotype" w:hAnsi="Palatino Linotype"/>
          <w:b/>
          <w:bCs/>
        </w:rPr>
      </w:pPr>
      <w:r w:rsidRPr="007D6CE6">
        <w:rPr>
          <w:rFonts w:ascii="Palatino Linotype" w:hAnsi="Palatino Linotype"/>
        </w:rPr>
        <w:t xml:space="preserve">La creación del Sistema Estatal Anticorrupción </w:t>
      </w:r>
      <w:r w:rsidR="00344973" w:rsidRPr="007D6CE6">
        <w:rPr>
          <w:rFonts w:ascii="Palatino Linotype" w:hAnsi="Palatino Linotype"/>
        </w:rPr>
        <w:t xml:space="preserve">dio como consecuencia la incorporación de este nuevo organismo al padrón de </w:t>
      </w:r>
      <w:r w:rsidR="00344973" w:rsidRPr="007D6CE6">
        <w:rPr>
          <w:rFonts w:ascii="Palatino Linotype" w:hAnsi="Palatino Linotype"/>
          <w:b/>
          <w:bCs/>
        </w:rPr>
        <w:t xml:space="preserve">Sujetos Obligados </w:t>
      </w:r>
      <w:r w:rsidR="00344973" w:rsidRPr="007D6CE6">
        <w:rPr>
          <w:rFonts w:ascii="Palatino Linotype" w:hAnsi="Palatino Linotype"/>
        </w:rPr>
        <w:t>los cuales deben</w:t>
      </w:r>
      <w:r w:rsidR="00221FFB" w:rsidRPr="007D6CE6">
        <w:rPr>
          <w:rFonts w:ascii="Palatino Linotype" w:hAnsi="Palatino Linotype"/>
        </w:rPr>
        <w:t xml:space="preserve"> poner a disposición del público de manera permanente y actualizada, la información a la que se refiere </w:t>
      </w:r>
      <w:r w:rsidR="00344973" w:rsidRPr="007D6CE6">
        <w:rPr>
          <w:rFonts w:ascii="Palatino Linotype" w:hAnsi="Palatino Linotype"/>
        </w:rPr>
        <w:t xml:space="preserve">el artículo 92 de la </w:t>
      </w:r>
      <w:r w:rsidR="00221FFB" w:rsidRPr="007D6CE6">
        <w:rPr>
          <w:rFonts w:ascii="Palatino Linotype" w:hAnsi="Palatino Linotype"/>
        </w:rPr>
        <w:t>Ley de Transparencia y Acción de la Información Pública del Estado de México y Municipios.</w:t>
      </w:r>
      <w:r w:rsidR="00344973" w:rsidRPr="007D6CE6">
        <w:rPr>
          <w:rFonts w:ascii="Palatino Linotype" w:hAnsi="Palatino Linotype"/>
        </w:rPr>
        <w:t xml:space="preserve"> </w:t>
      </w:r>
    </w:p>
    <w:p w14:paraId="2E712A96" w14:textId="77777777" w:rsidR="00344973" w:rsidRPr="007D6CE6" w:rsidRDefault="00344973" w:rsidP="007D6CE6">
      <w:pPr>
        <w:pStyle w:val="Prrafodelista"/>
        <w:spacing w:line="360" w:lineRule="auto"/>
        <w:ind w:left="0"/>
        <w:jc w:val="both"/>
        <w:rPr>
          <w:rFonts w:ascii="Palatino Linotype" w:hAnsi="Palatino Linotype"/>
          <w:b/>
          <w:bCs/>
        </w:rPr>
      </w:pPr>
    </w:p>
    <w:p w14:paraId="64FD8F72" w14:textId="66C62D4F" w:rsidR="008514D1" w:rsidRPr="007D6CE6" w:rsidRDefault="00221FFB" w:rsidP="007D6CE6">
      <w:pPr>
        <w:pStyle w:val="Prrafodelista"/>
        <w:numPr>
          <w:ilvl w:val="0"/>
          <w:numId w:val="1"/>
        </w:numPr>
        <w:spacing w:line="360" w:lineRule="auto"/>
        <w:ind w:left="0" w:firstLine="0"/>
        <w:jc w:val="both"/>
        <w:rPr>
          <w:rFonts w:ascii="Palatino Linotype" w:hAnsi="Palatino Linotype"/>
          <w:b/>
          <w:bCs/>
        </w:rPr>
      </w:pPr>
      <w:r w:rsidRPr="007D6CE6">
        <w:rPr>
          <w:rFonts w:ascii="Palatino Linotype" w:hAnsi="Palatino Linotype"/>
        </w:rPr>
        <w:t>Ahora bien, c</w:t>
      </w:r>
      <w:r w:rsidR="00344973" w:rsidRPr="007D6CE6">
        <w:rPr>
          <w:rFonts w:ascii="Palatino Linotype" w:hAnsi="Palatino Linotype"/>
        </w:rPr>
        <w:t>omo anteriormente se estableció, l</w:t>
      </w:r>
      <w:r w:rsidR="008514D1" w:rsidRPr="007D6CE6">
        <w:rPr>
          <w:rFonts w:ascii="Palatino Linotype" w:hAnsi="Palatino Linotype"/>
        </w:rPr>
        <w:t xml:space="preserve">a Ley General de Archivos </w:t>
      </w:r>
      <w:r w:rsidR="00344973" w:rsidRPr="007D6CE6">
        <w:rPr>
          <w:rFonts w:ascii="Palatino Linotype" w:hAnsi="Palatino Linotype"/>
        </w:rPr>
        <w:t>señala</w:t>
      </w:r>
      <w:r w:rsidR="008514D1" w:rsidRPr="007D6CE6">
        <w:rPr>
          <w:rFonts w:ascii="Palatino Linotype" w:hAnsi="Palatino Linotype"/>
        </w:rPr>
        <w:t xml:space="preserve"> que es de observancia general y aplicable en todo el territorio nacional, por lo que, todos los </w:t>
      </w:r>
      <w:r w:rsidR="008514D1" w:rsidRPr="007D6CE6">
        <w:rPr>
          <w:rFonts w:ascii="Palatino Linotype" w:hAnsi="Palatino Linotype"/>
          <w:b/>
          <w:bCs/>
        </w:rPr>
        <w:t xml:space="preserve">Sujetos Obligados </w:t>
      </w:r>
      <w:r w:rsidR="008514D1" w:rsidRPr="007D6CE6">
        <w:rPr>
          <w:rFonts w:ascii="Palatino Linotype" w:hAnsi="Palatino Linotype"/>
        </w:rPr>
        <w:t xml:space="preserve">deberán mantener los documentos contenidos en sus archivos conforme a los procesos de gestión documental que incluyen; </w:t>
      </w:r>
      <w:r w:rsidR="008514D1" w:rsidRPr="007D6CE6">
        <w:rPr>
          <w:rFonts w:ascii="Palatino Linotype" w:hAnsi="Palatino Linotype"/>
          <w:b/>
          <w:bCs/>
        </w:rPr>
        <w:t xml:space="preserve">disposición documental y </w:t>
      </w:r>
      <w:r w:rsidR="008514D1" w:rsidRPr="007D6CE6">
        <w:rPr>
          <w:rFonts w:ascii="Palatino Linotype" w:hAnsi="Palatino Linotype"/>
          <w:b/>
          <w:bCs/>
        </w:rPr>
        <w:lastRenderedPageBreak/>
        <w:t>conservación</w:t>
      </w:r>
      <w:r w:rsidR="008514D1" w:rsidRPr="007D6CE6">
        <w:rPr>
          <w:rFonts w:ascii="Palatino Linotype" w:hAnsi="Palatino Linotype"/>
        </w:rPr>
        <w:t xml:space="preserve">, por lo que además de que deberán contar con los instrumentos de control y de consulta archivísticos conforme a sus atribuciones y funciones, entre ellos; </w:t>
      </w:r>
      <w:r w:rsidR="008514D1" w:rsidRPr="007D6CE6">
        <w:rPr>
          <w:rFonts w:ascii="Palatino Linotype" w:hAnsi="Palatino Linotype"/>
          <w:b/>
          <w:bCs/>
        </w:rPr>
        <w:t>Cuadro general de clasificación archivística; Catálogo de disposición documental e; Inventarios documentales</w:t>
      </w:r>
      <w:r w:rsidR="008514D1" w:rsidRPr="007D6CE6">
        <w:rPr>
          <w:rFonts w:ascii="Palatino Linotype" w:hAnsi="Palatino Linotype"/>
        </w:rPr>
        <w:t xml:space="preserve">, deberán poder a disposición del público la </w:t>
      </w:r>
      <w:r w:rsidR="008514D1" w:rsidRPr="007D6CE6">
        <w:rPr>
          <w:rFonts w:ascii="Palatino Linotype" w:hAnsi="Palatino Linotype"/>
          <w:b/>
          <w:bCs/>
        </w:rPr>
        <w:t>Guía de archivo documental y el Índice de expedientes clasificados como reservados</w:t>
      </w:r>
      <w:r w:rsidR="00367ABF" w:rsidRPr="007D6CE6">
        <w:rPr>
          <w:rFonts w:ascii="Palatino Linotype" w:hAnsi="Palatino Linotype"/>
        </w:rPr>
        <w:t xml:space="preserve">, sin embargo, mientras esta se encuentra en proceso de armonización </w:t>
      </w:r>
      <w:r w:rsidR="00367ABF" w:rsidRPr="007D6CE6">
        <w:rPr>
          <w:rFonts w:ascii="Palatino Linotype" w:eastAsia="Calibri" w:hAnsi="Palatino Linotype" w:cs="Arial"/>
        </w:rPr>
        <w:t xml:space="preserve">con los ordenamientos relacionados con la misma, se estará dispuesto a las disposiciones reglamentarias vigentes. </w:t>
      </w:r>
    </w:p>
    <w:p w14:paraId="1AC447FA" w14:textId="0B09205D" w:rsidR="008514D1" w:rsidRPr="007D6CE6" w:rsidRDefault="008514D1" w:rsidP="007D6CE6">
      <w:pPr>
        <w:spacing w:line="360" w:lineRule="auto"/>
        <w:jc w:val="both"/>
        <w:rPr>
          <w:rFonts w:ascii="Palatino Linotype" w:hAnsi="Palatino Linotype"/>
        </w:rPr>
      </w:pPr>
    </w:p>
    <w:p w14:paraId="58588523" w14:textId="7379CA66"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Es entonces que, los Lineamientos para la Organización y Conservación de Archivos, puntualmente establecen que “</w:t>
      </w:r>
      <w:r w:rsidRPr="007D6CE6">
        <w:rPr>
          <w:rFonts w:ascii="Palatino Linotype" w:hAnsi="Palatino Linotype"/>
          <w:i/>
          <w:iCs/>
        </w:rPr>
        <w:t xml:space="preserve">son de </w:t>
      </w:r>
      <w:r w:rsidRPr="007D6CE6">
        <w:rPr>
          <w:rFonts w:ascii="Palatino Linotype" w:hAnsi="Palatino Linotype"/>
          <w:b/>
          <w:bCs/>
          <w:i/>
          <w:iCs/>
        </w:rPr>
        <w:t xml:space="preserve">observancia obligatoria y de aplicación general para los sujetos obligados señalados en el artículo 1 de la Ley General de Transparencia y Acceso a la Información Pública” </w:t>
      </w:r>
      <w:r w:rsidRPr="007D6CE6">
        <w:rPr>
          <w:rFonts w:ascii="Palatino Linotype" w:hAnsi="Palatino Linotype"/>
        </w:rPr>
        <w:t>y “</w:t>
      </w:r>
      <w:r w:rsidRPr="007D6CE6">
        <w:rPr>
          <w:rFonts w:ascii="Palatino Linotype" w:hAnsi="Palatino Linotype"/>
          <w:i/>
          <w:iCs/>
        </w:rPr>
        <w:t>…</w:t>
      </w:r>
      <w:r w:rsidRPr="007D6CE6">
        <w:rPr>
          <w:rFonts w:ascii="Palatino Linotype" w:hAnsi="Palatino Linotype"/>
          <w:b/>
          <w:bCs/>
          <w:i/>
          <w:iCs/>
        </w:rPr>
        <w:t>tienen por objeto establecer las políticas y criterios para la sistematización y digitalización</w:t>
      </w:r>
      <w:r w:rsidRPr="007D6CE6">
        <w:rPr>
          <w:rFonts w:ascii="Palatino Linotype" w:hAnsi="Palatino Linotype"/>
          <w:i/>
          <w:iCs/>
        </w:rPr>
        <w:t xml:space="preserve">, así como para la </w:t>
      </w:r>
      <w:r w:rsidRPr="007D6CE6">
        <w:rPr>
          <w:rFonts w:ascii="Palatino Linotype" w:hAnsi="Palatino Linotype"/>
          <w:b/>
          <w:bCs/>
          <w:i/>
          <w:iCs/>
        </w:rPr>
        <w:t>custodia y conservación de los archivos en posesión de los sujetos obligados</w:t>
      </w:r>
      <w:r w:rsidRPr="007D6CE6">
        <w:rPr>
          <w:rFonts w:ascii="Palatino Linotype" w:hAnsi="Palatino Linotype"/>
          <w:i/>
          <w:iCs/>
        </w:rPr>
        <w:t xml:space="preserve"> </w:t>
      </w:r>
      <w:r w:rsidRPr="007D6CE6">
        <w:rPr>
          <w:rFonts w:ascii="Palatino Linotype" w:hAnsi="Palatino Linotype"/>
          <w:b/>
          <w:bCs/>
          <w:i/>
          <w:iCs/>
        </w:rPr>
        <w:t xml:space="preserve">…”  </w:t>
      </w:r>
      <w:r w:rsidRPr="007D6CE6">
        <w:rPr>
          <w:rFonts w:ascii="Palatino Linotype" w:hAnsi="Palatino Linotype"/>
        </w:rPr>
        <w:t>(énfasis añadido)</w:t>
      </w:r>
    </w:p>
    <w:p w14:paraId="22569767" w14:textId="77777777" w:rsidR="00367ABF" w:rsidRPr="007D6CE6" w:rsidRDefault="00367ABF" w:rsidP="007D6CE6">
      <w:pPr>
        <w:pStyle w:val="Prrafodelista"/>
        <w:spacing w:line="360" w:lineRule="auto"/>
        <w:ind w:left="0"/>
        <w:jc w:val="both"/>
        <w:rPr>
          <w:rFonts w:ascii="Palatino Linotype" w:hAnsi="Palatino Linotype"/>
        </w:rPr>
      </w:pPr>
    </w:p>
    <w:p w14:paraId="56F87025" w14:textId="77777777"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Por lo que, en atención al párrafo anterior, la Ley General de Transparencia y Acceso a la Información Pública en su artículo 1 contempla como sujetos obligados a </w:t>
      </w:r>
      <w:r w:rsidRPr="007D6CE6">
        <w:rPr>
          <w:rFonts w:ascii="Palatino Linotype" w:hAnsi="Palatino Linotype"/>
          <w:i/>
          <w:iCs/>
        </w:rPr>
        <w:t>“…cualquier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r w:rsidRPr="007D6CE6">
        <w:rPr>
          <w:rFonts w:ascii="Palatino Linotype" w:hAnsi="Palatino Linotype"/>
        </w:rPr>
        <w:t xml:space="preserve"> (énfasis añadido)</w:t>
      </w:r>
    </w:p>
    <w:p w14:paraId="13F332E1" w14:textId="77777777" w:rsidR="008514D1" w:rsidRPr="007D6CE6" w:rsidRDefault="008514D1" w:rsidP="007D6CE6">
      <w:pPr>
        <w:pStyle w:val="Prrafodelista"/>
        <w:spacing w:line="360" w:lineRule="auto"/>
        <w:ind w:left="0"/>
        <w:jc w:val="both"/>
        <w:rPr>
          <w:rFonts w:ascii="Palatino Linotype" w:hAnsi="Palatino Linotype"/>
        </w:rPr>
      </w:pPr>
    </w:p>
    <w:p w14:paraId="73F3A9BE" w14:textId="77777777"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Ahora bien, para determinar si la Secretaría Ejecutiva del Sistema Estatal Anticorrupción, encuadra con alguno de los supuestos que contempla el artículo 1 de la </w:t>
      </w:r>
      <w:r w:rsidRPr="007D6CE6">
        <w:rPr>
          <w:rFonts w:ascii="Palatino Linotype" w:hAnsi="Palatino Linotype"/>
        </w:rPr>
        <w:lastRenderedPageBreak/>
        <w:t xml:space="preserve">Ley General de Transparencia, es menester referir lo señalado por el artículo 3 del Estatuto Orgánico de la Secretaría Ejecutiva del Sistema Estatal Anticorrupción, la cual señala que esta es </w:t>
      </w:r>
      <w:r w:rsidRPr="007D6CE6">
        <w:rPr>
          <w:rFonts w:ascii="Palatino Linotype" w:hAnsi="Palatino Linotype"/>
          <w:i/>
          <w:iCs/>
        </w:rPr>
        <w:t xml:space="preserve">“… un organismo descentralizado, no sectorizado, con personalidad jurídica y patrimonio propios, con autonomía técnica y de gestión, mismo que tendrá su sede en la ciudad de Toluca de Lerdo, México”. </w:t>
      </w:r>
      <w:r w:rsidRPr="007D6CE6">
        <w:rPr>
          <w:rFonts w:ascii="Palatino Linotype" w:hAnsi="Palatino Linotype"/>
        </w:rPr>
        <w:t xml:space="preserve">Por lo que, en este tenor de tiene que este organismo, es un </w:t>
      </w:r>
      <w:r w:rsidRPr="007D6CE6">
        <w:rPr>
          <w:rFonts w:ascii="Palatino Linotype" w:hAnsi="Palatino Linotype"/>
          <w:b/>
          <w:bCs/>
        </w:rPr>
        <w:t xml:space="preserve">Sujeto Obligado </w:t>
      </w:r>
      <w:r w:rsidRPr="007D6CE6">
        <w:rPr>
          <w:rFonts w:ascii="Palatino Linotype" w:hAnsi="Palatino Linotype"/>
        </w:rPr>
        <w:t>regido por las todas aquellas disposiciones jurídicas que le apliquen y entre ellas, los Lineamientos para la Organización y Conservación de Archivos.</w:t>
      </w:r>
    </w:p>
    <w:p w14:paraId="65C3CD37" w14:textId="77777777" w:rsidR="008514D1" w:rsidRPr="007D6CE6" w:rsidRDefault="008514D1" w:rsidP="007D6CE6">
      <w:pPr>
        <w:pStyle w:val="Prrafodelista"/>
        <w:spacing w:line="360" w:lineRule="auto"/>
        <w:ind w:left="0"/>
        <w:jc w:val="both"/>
        <w:rPr>
          <w:rFonts w:ascii="Palatino Linotype" w:hAnsi="Palatino Linotype"/>
        </w:rPr>
      </w:pPr>
    </w:p>
    <w:p w14:paraId="23A4A61A" w14:textId="40C240C7"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En ese tenor de ideas, se procede ahora a determinar si por cuestiones de temporalidad, le son aplicables o no a este </w:t>
      </w:r>
      <w:r w:rsidRPr="007D6CE6">
        <w:rPr>
          <w:rFonts w:ascii="Palatino Linotype" w:hAnsi="Palatino Linotype"/>
          <w:b/>
          <w:bCs/>
        </w:rPr>
        <w:t xml:space="preserve">Sujeto Obligado </w:t>
      </w:r>
      <w:r w:rsidR="00367ABF" w:rsidRPr="007D6CE6">
        <w:rPr>
          <w:rFonts w:ascii="Palatino Linotype" w:hAnsi="Palatino Linotype"/>
        </w:rPr>
        <w:t>las disposiciones aplicables en la materia</w:t>
      </w:r>
      <w:r w:rsidRPr="007D6CE6">
        <w:rPr>
          <w:rFonts w:ascii="Palatino Linotype" w:hAnsi="Palatino Linotype"/>
        </w:rPr>
        <w:t xml:space="preserve">, siendo que, el Estado de México en cumplimiento a las reformas realizadas al artículo 113 de la Constitución Política de los Estados Unidos Mexicanos, el </w:t>
      </w:r>
      <w:r w:rsidRPr="007D6CE6">
        <w:rPr>
          <w:rFonts w:ascii="Palatino Linotype" w:hAnsi="Palatino Linotype"/>
          <w:b/>
          <w:bCs/>
        </w:rPr>
        <w:t>veinticuatro (24) de abril de 2017 dio origen al Sistema Estatal Anticorrupción</w:t>
      </w:r>
      <w:r w:rsidRPr="007D6CE6">
        <w:rPr>
          <w:rFonts w:ascii="Palatino Linotype" w:hAnsi="Palatino Linotype"/>
        </w:rPr>
        <w:t xml:space="preserve">, por lo que, tal y como lo precisó la Secretaría Ejecutiva del Sistema Estatal Anticorrupción en respuesta es un ente de reciente creación, no obstante, los Lineamientos para la Organización y Conservación de Archivos, fueron publicados </w:t>
      </w:r>
      <w:r w:rsidRPr="007D6CE6">
        <w:rPr>
          <w:rFonts w:ascii="Palatino Linotype" w:hAnsi="Palatino Linotype"/>
          <w:b/>
          <w:bCs/>
        </w:rPr>
        <w:t>el cuatro (04) de mayo de dos mil dieciséis entrando en vigor al día siguiente de su publicación</w:t>
      </w:r>
      <w:r w:rsidRPr="007D6CE6">
        <w:rPr>
          <w:rFonts w:ascii="Palatino Linotype" w:hAnsi="Palatino Linotype"/>
        </w:rPr>
        <w:t>, ahora bien, los Estatutos de la propia Secretaría establecen en su artículo 7 que “</w:t>
      </w:r>
      <w:r w:rsidRPr="007D6CE6">
        <w:rPr>
          <w:rFonts w:ascii="Palatino Linotype" w:hAnsi="Palatino Linotype"/>
          <w:i/>
          <w:iCs/>
        </w:rPr>
        <w:t xml:space="preserve">.. dará cumplimiento a las </w:t>
      </w:r>
      <w:r w:rsidRPr="007D6CE6">
        <w:rPr>
          <w:rFonts w:ascii="Palatino Linotype" w:hAnsi="Palatino Linotype"/>
          <w:b/>
          <w:bCs/>
          <w:i/>
          <w:iCs/>
        </w:rPr>
        <w:t xml:space="preserve">obligaciones de transparencia, acceso a la información, protección de datos personales y </w:t>
      </w:r>
      <w:proofErr w:type="gramStart"/>
      <w:r w:rsidRPr="007D6CE6">
        <w:rPr>
          <w:rFonts w:ascii="Palatino Linotype" w:hAnsi="Palatino Linotype"/>
          <w:b/>
          <w:bCs/>
          <w:i/>
          <w:iCs/>
        </w:rPr>
        <w:t xml:space="preserve">archivos </w:t>
      </w:r>
      <w:r w:rsidRPr="007D6CE6">
        <w:rPr>
          <w:rFonts w:ascii="Palatino Linotype" w:hAnsi="Palatino Linotype"/>
          <w:i/>
          <w:iCs/>
        </w:rPr>
        <w:t>…</w:t>
      </w:r>
      <w:proofErr w:type="gramEnd"/>
      <w:r w:rsidRPr="007D6CE6">
        <w:rPr>
          <w:rFonts w:ascii="Palatino Linotype" w:hAnsi="Palatino Linotype"/>
          <w:i/>
          <w:iCs/>
        </w:rPr>
        <w:t xml:space="preserve">”, </w:t>
      </w:r>
      <w:r w:rsidRPr="007D6CE6">
        <w:rPr>
          <w:rFonts w:ascii="Palatino Linotype" w:hAnsi="Palatino Linotype"/>
        </w:rPr>
        <w:t xml:space="preserve">estatutos publicados el diez (10) de julio de 2018 y entrando en vigor al día siguiente de su publicación. </w:t>
      </w:r>
    </w:p>
    <w:p w14:paraId="31B0E069" w14:textId="77777777" w:rsidR="00367ABF" w:rsidRPr="007D6CE6" w:rsidRDefault="00367ABF" w:rsidP="007D6CE6">
      <w:pPr>
        <w:pStyle w:val="Prrafodelista"/>
        <w:spacing w:line="360" w:lineRule="auto"/>
        <w:ind w:left="0"/>
        <w:jc w:val="both"/>
        <w:rPr>
          <w:rFonts w:ascii="Palatino Linotype" w:hAnsi="Palatino Linotype"/>
        </w:rPr>
      </w:pPr>
    </w:p>
    <w:p w14:paraId="7E84F53B" w14:textId="77777777"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Por lo anterior, se tiene que si bien, la creación del </w:t>
      </w:r>
      <w:r w:rsidRPr="007D6CE6">
        <w:rPr>
          <w:rFonts w:ascii="Palatino Linotype" w:hAnsi="Palatino Linotype"/>
          <w:b/>
          <w:bCs/>
        </w:rPr>
        <w:t xml:space="preserve">Sujeto Obligado </w:t>
      </w:r>
      <w:r w:rsidRPr="007D6CE6">
        <w:rPr>
          <w:rFonts w:ascii="Palatino Linotype" w:hAnsi="Palatino Linotype"/>
        </w:rPr>
        <w:t xml:space="preserve">fue en el año 2017, desde la óptica de los ámbitos de validez de aplicación de las normas jurídicas; </w:t>
      </w:r>
      <w:r w:rsidRPr="007D6CE6">
        <w:rPr>
          <w:rFonts w:ascii="Palatino Linotype" w:hAnsi="Palatino Linotype"/>
          <w:i/>
          <w:iCs/>
        </w:rPr>
        <w:lastRenderedPageBreak/>
        <w:t>espacial, material, temporal y personal</w:t>
      </w:r>
      <w:r w:rsidRPr="007D6CE6">
        <w:rPr>
          <w:rFonts w:ascii="Palatino Linotype" w:hAnsi="Palatino Linotype"/>
        </w:rPr>
        <w:t xml:space="preserve">, desde su origen la Secretaría Ejecutiva del Sistema Estatal Anticorrupción, ya se encontraba regida por lo que determinaran las disposiciones en materia de </w:t>
      </w:r>
      <w:r w:rsidRPr="007D6CE6">
        <w:rPr>
          <w:rFonts w:ascii="Palatino Linotype" w:hAnsi="Palatino Linotype"/>
          <w:b/>
          <w:bCs/>
        </w:rPr>
        <w:t>transparencia, acceso a la información y archivos</w:t>
      </w:r>
      <w:r w:rsidRPr="007D6CE6">
        <w:rPr>
          <w:rFonts w:ascii="Palatino Linotype" w:hAnsi="Palatino Linotype"/>
        </w:rPr>
        <w:t xml:space="preserve">, las cuales, en el caso concreto que nos ocupa, la constriñen a documentar todo acto que derive del ejercicio de sus facultades, competencias y funciones, conservar dichos documentos y así conformar sus archivos, por lo que, para darles un adecuado tratamiento deberán implementar instrumentos de control y consulta: </w:t>
      </w:r>
      <w:r w:rsidRPr="007D6CE6">
        <w:rPr>
          <w:rFonts w:ascii="Palatino Linotype" w:hAnsi="Palatino Linotype"/>
          <w:b/>
          <w:bCs/>
        </w:rPr>
        <w:t>Catalogo de disposición documental y la Guía de Archivos</w:t>
      </w:r>
      <w:r w:rsidRPr="007D6CE6">
        <w:rPr>
          <w:rFonts w:ascii="Palatino Linotype" w:hAnsi="Palatino Linotype"/>
        </w:rPr>
        <w:t xml:space="preserve">, los cuales deberán poner a disposición del público de manera permanente y actualizada. </w:t>
      </w:r>
    </w:p>
    <w:p w14:paraId="4DC0C4B4" w14:textId="77777777" w:rsidR="008514D1" w:rsidRPr="007D6CE6" w:rsidRDefault="008514D1" w:rsidP="007D6CE6">
      <w:pPr>
        <w:pStyle w:val="Prrafodelista"/>
        <w:spacing w:line="360" w:lineRule="auto"/>
        <w:ind w:left="0"/>
        <w:jc w:val="both"/>
        <w:rPr>
          <w:rFonts w:ascii="Palatino Linotype" w:hAnsi="Palatino Linotype"/>
        </w:rPr>
      </w:pPr>
    </w:p>
    <w:p w14:paraId="7747195C" w14:textId="77777777"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Ahora bien, la Ley de Transparencia y Acceso a la Información Pública del Estado de México y Municipios, en su artículo 20, establece que </w:t>
      </w:r>
      <w:r w:rsidRPr="007D6CE6">
        <w:rPr>
          <w:rFonts w:ascii="Palatino Linotype" w:hAnsi="Palatino Linotype"/>
          <w:i/>
          <w:iCs/>
        </w:rPr>
        <w:t>“Ante la negativa del acceso a la información o su inexistencia, e</w:t>
      </w:r>
      <w:r w:rsidRPr="007D6CE6">
        <w:rPr>
          <w:rFonts w:ascii="Palatino Linotype" w:hAnsi="Palatino Linotype"/>
          <w:b/>
          <w:bCs/>
          <w:i/>
          <w:iCs/>
        </w:rPr>
        <w:t>l sujeto obligado deberá demostrar que la información solicitada está prevista en alguna de las excepciones contenidas en esta Ley o, en su caso, demostrar que la información no se refiere a alguna de sus facultades, competencias o funciones</w:t>
      </w:r>
      <w:r w:rsidRPr="007D6CE6">
        <w:rPr>
          <w:rFonts w:ascii="Palatino Linotype" w:hAnsi="Palatino Linotype"/>
          <w:i/>
          <w:iCs/>
        </w:rPr>
        <w:t>”</w:t>
      </w:r>
      <w:r w:rsidRPr="007D6CE6">
        <w:rPr>
          <w:rFonts w:ascii="Palatino Linotype" w:hAnsi="Palatino Linotype"/>
          <w:b/>
          <w:bCs/>
          <w:i/>
          <w:iCs/>
        </w:rPr>
        <w:t xml:space="preserve">, </w:t>
      </w:r>
      <w:r w:rsidRPr="007D6CE6">
        <w:rPr>
          <w:rFonts w:ascii="Palatino Linotype" w:hAnsi="Palatino Linotype"/>
        </w:rPr>
        <w:t xml:space="preserve">situación de que derivado de su “reciente creación y la paulatina integración de las áreas que conforman a la </w:t>
      </w:r>
      <w:r w:rsidRPr="007D6CE6">
        <w:rPr>
          <w:rFonts w:ascii="Palatino Linotype" w:hAnsi="Palatino Linotype"/>
          <w:b/>
          <w:bCs/>
        </w:rPr>
        <w:t>Secretaría Ejecutiva del Sistema Estatal Anticorrupción</w:t>
      </w:r>
      <w:r w:rsidRPr="007D6CE6">
        <w:rPr>
          <w:rFonts w:ascii="Palatino Linotype" w:hAnsi="Palatino Linotype"/>
        </w:rPr>
        <w:t xml:space="preserve">” no configura una excepción que permita a este </w:t>
      </w:r>
      <w:r w:rsidRPr="007D6CE6">
        <w:rPr>
          <w:rFonts w:ascii="Palatino Linotype" w:hAnsi="Palatino Linotype"/>
          <w:b/>
          <w:bCs/>
        </w:rPr>
        <w:t xml:space="preserve">Sujeto Obligado </w:t>
      </w:r>
      <w:r w:rsidRPr="007D6CE6">
        <w:rPr>
          <w:rFonts w:ascii="Palatino Linotype" w:hAnsi="Palatino Linotype"/>
        </w:rPr>
        <w:t xml:space="preserve"> a no contar con la información solicitada. </w:t>
      </w:r>
    </w:p>
    <w:p w14:paraId="7DA4D4CE" w14:textId="77777777" w:rsidR="008514D1" w:rsidRPr="007D6CE6" w:rsidRDefault="008514D1" w:rsidP="007D6CE6">
      <w:pPr>
        <w:pStyle w:val="Prrafodelista"/>
        <w:spacing w:line="360" w:lineRule="auto"/>
        <w:ind w:left="0"/>
        <w:jc w:val="both"/>
        <w:rPr>
          <w:rFonts w:ascii="Palatino Linotype" w:hAnsi="Palatino Linotype"/>
        </w:rPr>
      </w:pPr>
    </w:p>
    <w:p w14:paraId="3784E2BD" w14:textId="5BC52DBA" w:rsidR="008514D1" w:rsidRPr="007D6CE6" w:rsidRDefault="008514D1" w:rsidP="007D6CE6">
      <w:pPr>
        <w:pStyle w:val="Prrafodelista"/>
        <w:numPr>
          <w:ilvl w:val="0"/>
          <w:numId w:val="1"/>
        </w:numPr>
        <w:spacing w:line="360" w:lineRule="auto"/>
        <w:ind w:left="0" w:firstLine="0"/>
        <w:jc w:val="both"/>
        <w:rPr>
          <w:rFonts w:ascii="Palatino Linotype" w:hAnsi="Palatino Linotype"/>
        </w:rPr>
      </w:pPr>
      <w:r w:rsidRPr="007D6CE6">
        <w:rPr>
          <w:rFonts w:ascii="Palatino Linotype" w:hAnsi="Palatino Linotype"/>
        </w:rPr>
        <w:t xml:space="preserve">Por lo que, nos conlleva a determinar que en efecto el </w:t>
      </w:r>
      <w:r w:rsidRPr="007D6CE6">
        <w:rPr>
          <w:rFonts w:ascii="Palatino Linotype" w:hAnsi="Palatino Linotype"/>
          <w:b/>
          <w:bCs/>
        </w:rPr>
        <w:t xml:space="preserve">Sujeto Obligado </w:t>
      </w:r>
      <w:r w:rsidRPr="007D6CE6">
        <w:rPr>
          <w:rFonts w:ascii="Palatino Linotype" w:hAnsi="Palatino Linotype"/>
        </w:rPr>
        <w:t xml:space="preserve">debió generar, poseer y administrar la información, pero como esgrimió tanto en respuesta como en informe justificado, si esta no se encuentra, porque las atribuciones no fueron ejercidas a pesar de que resultaban de aplicación imperativa e inexcusable, debe </w:t>
      </w:r>
      <w:r w:rsidRPr="007D6CE6">
        <w:rPr>
          <w:rFonts w:ascii="Palatino Linotype" w:hAnsi="Palatino Linotype"/>
        </w:rPr>
        <w:lastRenderedPageBreak/>
        <w:t xml:space="preserve">procederse atendiendo a lo establecido por el artículo 169, fracción III de la Ley de Transparencia Estatal, que dice; </w:t>
      </w:r>
    </w:p>
    <w:p w14:paraId="36782657" w14:textId="77777777" w:rsidR="00221FFB" w:rsidRPr="007D6CE6" w:rsidRDefault="00221FFB" w:rsidP="007D6CE6">
      <w:pPr>
        <w:pStyle w:val="Prrafodelista"/>
        <w:spacing w:line="360" w:lineRule="auto"/>
        <w:ind w:left="0"/>
        <w:jc w:val="both"/>
        <w:rPr>
          <w:rFonts w:ascii="Palatino Linotype" w:hAnsi="Palatino Linotype"/>
        </w:rPr>
      </w:pPr>
    </w:p>
    <w:p w14:paraId="66286A08" w14:textId="3ABDF596" w:rsidR="008514D1" w:rsidRPr="007D6CE6" w:rsidRDefault="00221FFB" w:rsidP="007D6CE6">
      <w:pPr>
        <w:pStyle w:val="Prrafodelista"/>
        <w:spacing w:line="360" w:lineRule="auto"/>
        <w:ind w:left="567" w:right="616"/>
        <w:jc w:val="both"/>
        <w:rPr>
          <w:rFonts w:ascii="Palatino Linotype" w:hAnsi="Palatino Linotype"/>
          <w:i/>
          <w:iCs/>
        </w:rPr>
      </w:pPr>
      <w:r w:rsidRPr="007D6CE6">
        <w:rPr>
          <w:rFonts w:ascii="Palatino Linotype" w:hAnsi="Palatino Linotype"/>
          <w:i/>
          <w:iCs/>
        </w:rPr>
        <w:t>“</w:t>
      </w:r>
      <w:r w:rsidR="008514D1" w:rsidRPr="007D6CE6">
        <w:rPr>
          <w:rFonts w:ascii="Palatino Linotype" w:hAnsi="Palatino Linotype"/>
          <w:b/>
          <w:bCs/>
          <w:i/>
          <w:iCs/>
        </w:rPr>
        <w:t>Artículo 169.</w:t>
      </w:r>
      <w:r w:rsidR="008514D1" w:rsidRPr="007D6CE6">
        <w:rPr>
          <w:rFonts w:ascii="Palatino Linotype" w:hAnsi="Palatino Linotype"/>
          <w:i/>
          <w:iCs/>
        </w:rPr>
        <w:t xml:space="preserve"> Cuando la información no se encuentre en los archivos del sujeto obligado, el Comité de Transparencia:</w:t>
      </w:r>
    </w:p>
    <w:p w14:paraId="3778A407" w14:textId="77777777" w:rsidR="008514D1" w:rsidRPr="007D6CE6" w:rsidRDefault="008514D1" w:rsidP="007D6CE6">
      <w:pPr>
        <w:pStyle w:val="Prrafodelista"/>
        <w:spacing w:line="360" w:lineRule="auto"/>
        <w:ind w:left="567" w:right="616"/>
        <w:jc w:val="both"/>
        <w:rPr>
          <w:rFonts w:ascii="Palatino Linotype" w:hAnsi="Palatino Linotype"/>
          <w:i/>
          <w:iCs/>
        </w:rPr>
      </w:pPr>
    </w:p>
    <w:p w14:paraId="2A396255" w14:textId="77777777" w:rsidR="008514D1" w:rsidRPr="007D6CE6" w:rsidRDefault="008514D1" w:rsidP="007D6CE6">
      <w:pPr>
        <w:spacing w:line="360" w:lineRule="auto"/>
        <w:ind w:left="567" w:right="616"/>
        <w:jc w:val="both"/>
        <w:rPr>
          <w:rFonts w:ascii="Palatino Linotype" w:hAnsi="Palatino Linotype"/>
          <w:i/>
          <w:iCs/>
        </w:rPr>
      </w:pPr>
      <w:r w:rsidRPr="007D6CE6">
        <w:rPr>
          <w:rFonts w:ascii="Palatino Linotype" w:hAnsi="Palatino Linotype"/>
          <w:i/>
          <w:iCs/>
        </w:rPr>
        <w:t>[…]</w:t>
      </w:r>
    </w:p>
    <w:p w14:paraId="767E1CC9" w14:textId="77777777" w:rsidR="008514D1" w:rsidRPr="007D6CE6" w:rsidRDefault="008514D1" w:rsidP="007D6CE6">
      <w:pPr>
        <w:spacing w:line="360" w:lineRule="auto"/>
        <w:ind w:left="567" w:right="616"/>
        <w:jc w:val="both"/>
        <w:rPr>
          <w:rFonts w:ascii="Palatino Linotype" w:hAnsi="Palatino Linotype"/>
          <w:b/>
          <w:bCs/>
          <w:i/>
          <w:iCs/>
        </w:rPr>
      </w:pPr>
      <w:r w:rsidRPr="007D6CE6">
        <w:rPr>
          <w:rFonts w:ascii="Palatino Linotype" w:hAnsi="Palatino Linotype"/>
          <w:i/>
          <w:iC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7D6CE6">
        <w:rPr>
          <w:rFonts w:ascii="Palatino Linotype" w:hAnsi="Palatino Linotype"/>
          <w:b/>
          <w:i/>
          <w:iCs/>
        </w:rPr>
        <w:t>exponga de forma fundada y motivada, las razones por las cuales en el caso particular</w:t>
      </w:r>
      <w:r w:rsidRPr="007D6CE6">
        <w:rPr>
          <w:rFonts w:ascii="Palatino Linotype" w:hAnsi="Palatino Linotype"/>
          <w:i/>
          <w:iCs/>
        </w:rPr>
        <w:t xml:space="preserve"> </w:t>
      </w:r>
      <w:r w:rsidRPr="007D6CE6">
        <w:rPr>
          <w:rFonts w:ascii="Palatino Linotype" w:hAnsi="Palatino Linotype"/>
          <w:b/>
          <w:bCs/>
          <w:i/>
          <w:iCs/>
        </w:rPr>
        <w:t xml:space="preserve">no ejerció dichas facultades, competencias o funciones, lo cual notificará al solicitante a través de la Unidad de Transparencia; </w:t>
      </w:r>
    </w:p>
    <w:p w14:paraId="5F2336EA" w14:textId="77777777" w:rsidR="008514D1" w:rsidRPr="007D6CE6" w:rsidRDefault="008514D1" w:rsidP="007D6CE6">
      <w:pPr>
        <w:spacing w:line="360" w:lineRule="auto"/>
        <w:ind w:left="567" w:right="616"/>
        <w:jc w:val="both"/>
        <w:rPr>
          <w:rFonts w:ascii="Palatino Linotype" w:hAnsi="Palatino Linotype"/>
          <w:b/>
          <w:bCs/>
          <w:i/>
          <w:iCs/>
        </w:rPr>
      </w:pPr>
    </w:p>
    <w:p w14:paraId="64FE9E6D" w14:textId="166D0B76" w:rsidR="008514D1" w:rsidRPr="007D6CE6" w:rsidRDefault="00367ABF" w:rsidP="007D6CE6">
      <w:pPr>
        <w:spacing w:line="360" w:lineRule="auto"/>
        <w:ind w:left="567" w:right="616"/>
        <w:jc w:val="both"/>
        <w:rPr>
          <w:rFonts w:ascii="Palatino Linotype" w:hAnsi="Palatino Linotype"/>
          <w:b/>
          <w:bCs/>
          <w:i/>
          <w:iCs/>
        </w:rPr>
      </w:pPr>
      <w:r w:rsidRPr="007D6CE6">
        <w:rPr>
          <w:rFonts w:ascii="Palatino Linotype" w:hAnsi="Palatino Linotype"/>
          <w:bCs/>
          <w:i/>
          <w:iCs/>
        </w:rPr>
        <w:t>I</w:t>
      </w:r>
      <w:r w:rsidR="008514D1" w:rsidRPr="007D6CE6">
        <w:rPr>
          <w:rFonts w:ascii="Palatino Linotype" w:hAnsi="Palatino Linotype"/>
          <w:bCs/>
          <w:i/>
          <w:iCs/>
        </w:rPr>
        <w:t>V. Notificará al órgano interno de control o equivalente del sujeto obligado</w:t>
      </w:r>
      <w:r w:rsidR="008514D1" w:rsidRPr="007D6CE6">
        <w:rPr>
          <w:rFonts w:ascii="Palatino Linotype" w:hAnsi="Palatino Linotype"/>
          <w:b/>
          <w:bCs/>
          <w:i/>
          <w:iCs/>
        </w:rPr>
        <w:t xml:space="preserve"> quien, en su caso, deberá iniciar el procedimiento de responsabilidad administrativa que corresponda.</w:t>
      </w:r>
    </w:p>
    <w:p w14:paraId="17109943" w14:textId="6D1EB6AE" w:rsidR="008514D1" w:rsidRPr="007D6CE6" w:rsidRDefault="008514D1" w:rsidP="007D6CE6">
      <w:pPr>
        <w:spacing w:line="360" w:lineRule="auto"/>
        <w:ind w:left="567" w:right="616"/>
        <w:jc w:val="both"/>
        <w:rPr>
          <w:rFonts w:ascii="Palatino Linotype" w:hAnsi="Palatino Linotype"/>
          <w:i/>
          <w:iCs/>
        </w:rPr>
      </w:pPr>
      <w:r w:rsidRPr="007D6CE6">
        <w:rPr>
          <w:rFonts w:ascii="Palatino Linotype" w:hAnsi="Palatino Linotype"/>
          <w:i/>
          <w:iCs/>
        </w:rPr>
        <w:t>[…]</w:t>
      </w:r>
      <w:r w:rsidR="00221FFB" w:rsidRPr="007D6CE6">
        <w:rPr>
          <w:rFonts w:ascii="Palatino Linotype" w:hAnsi="Palatino Linotype"/>
          <w:i/>
          <w:iCs/>
        </w:rPr>
        <w:t xml:space="preserve">”. </w:t>
      </w:r>
    </w:p>
    <w:p w14:paraId="72D454C3" w14:textId="2F0E31BD" w:rsidR="008514D1" w:rsidRPr="007D6CE6" w:rsidRDefault="008514D1" w:rsidP="007D6CE6">
      <w:pPr>
        <w:spacing w:line="360" w:lineRule="auto"/>
        <w:ind w:left="567" w:right="616"/>
        <w:jc w:val="both"/>
        <w:rPr>
          <w:rFonts w:ascii="Palatino Linotype" w:hAnsi="Palatino Linotype"/>
          <w:i/>
          <w:iCs/>
        </w:rPr>
      </w:pPr>
    </w:p>
    <w:p w14:paraId="56C4AA3C" w14:textId="7B389332" w:rsidR="008514D1" w:rsidRPr="007D6CE6" w:rsidRDefault="008514D1" w:rsidP="007D6CE6">
      <w:pPr>
        <w:spacing w:line="360" w:lineRule="auto"/>
        <w:ind w:left="567" w:right="616"/>
        <w:jc w:val="both"/>
        <w:rPr>
          <w:rFonts w:ascii="Palatino Linotype" w:hAnsi="Palatino Linotype" w:cs="Arial"/>
        </w:rPr>
      </w:pPr>
      <w:r w:rsidRPr="007D6CE6">
        <w:rPr>
          <w:rFonts w:ascii="Palatino Linotype" w:hAnsi="Palatino Linotype" w:cs="Arial"/>
          <w:b/>
          <w:u w:val="single"/>
        </w:rPr>
        <w:t>INEXISTENCIA DE LA INFORMACIÓN,</w:t>
      </w:r>
      <w:r w:rsidRPr="007D6CE6">
        <w:rPr>
          <w:rFonts w:ascii="Palatino Linotype" w:hAnsi="Palatino Linotype" w:cs="Arial"/>
          <w:b/>
        </w:rPr>
        <w:t xml:space="preserve"> SUPUESTOS PARA EMITIR LA RESOLUCIÓN DE LA.</w:t>
      </w:r>
      <w:r w:rsidRPr="007D6CE6">
        <w:rPr>
          <w:rFonts w:ascii="Palatino Linotype" w:hAnsi="Palatino Linotype" w:cs="Arial"/>
        </w:rPr>
        <w:t xml:space="preserve"> A diferencia de la Ley General, la Ley de Transparencia y Acceso a la Información Pública del Estado de México establece, en su artículo 19, dos supuestos generales para proceder en el caso </w:t>
      </w:r>
      <w:r w:rsidRPr="007D6CE6">
        <w:rPr>
          <w:rFonts w:ascii="Palatino Linotype" w:hAnsi="Palatino Linotype" w:cs="Arial"/>
        </w:rPr>
        <w:lastRenderedPageBreak/>
        <w:t xml:space="preserve">de información inexistente pero cuya existencia se presume por relacionarse con las facultades, competencias y funciones legales de los sujetos obligados. El segundo supuesto, que corresponde a lo señalado en su último párrafo, alude a: 1.- Actos realizados sobre los cuales a) no se generó, poseyó o administró el documento que registre la información solicitada; b) habiendo sido generada, poseída o administrada, no se cuenta con la información solicitada; o bien, </w:t>
      </w:r>
      <w:r w:rsidRPr="007D6CE6">
        <w:rPr>
          <w:rFonts w:ascii="Palatino Linotype" w:hAnsi="Palatino Linotype" w:cs="Arial"/>
          <w:b/>
        </w:rPr>
        <w:t>2.- El sujeto obligado fue omiso en el ejercicio de una facultad, competencia o atribución inexcusable.</w:t>
      </w:r>
      <w:r w:rsidRPr="007D6CE6">
        <w:rPr>
          <w:rFonts w:ascii="Palatino Linotype" w:hAnsi="Palatino Linotype" w:cs="Arial"/>
        </w:rPr>
        <w:t xml:space="preserve"> En estos casos, será necesario acreditar que se cumplieron los supuestos del artículo 169 del citado ordenamiento y emitir la resolución que confirme la inexistencia cumpliendo con las formalidades señaladas en el artículo 170 de la misma norma. </w:t>
      </w:r>
    </w:p>
    <w:p w14:paraId="4473CCF1" w14:textId="0129851C" w:rsidR="00367ABF" w:rsidRPr="007D6CE6" w:rsidRDefault="00367ABF" w:rsidP="007D6CE6">
      <w:pPr>
        <w:spacing w:line="360" w:lineRule="auto"/>
        <w:ind w:right="616"/>
        <w:jc w:val="both"/>
        <w:rPr>
          <w:rFonts w:ascii="Palatino Linotype" w:hAnsi="Palatino Linotype" w:cs="Arial"/>
        </w:rPr>
      </w:pPr>
    </w:p>
    <w:p w14:paraId="30E43513" w14:textId="79BA5145" w:rsidR="00914065" w:rsidRPr="007D6CE6" w:rsidRDefault="00914065" w:rsidP="007D6CE6">
      <w:pPr>
        <w:pStyle w:val="Prrafodelista"/>
        <w:numPr>
          <w:ilvl w:val="0"/>
          <w:numId w:val="1"/>
        </w:numPr>
        <w:tabs>
          <w:tab w:val="left" w:pos="426"/>
        </w:tabs>
        <w:spacing w:line="360" w:lineRule="auto"/>
        <w:ind w:left="0" w:right="49" w:firstLine="0"/>
        <w:jc w:val="both"/>
        <w:rPr>
          <w:rFonts w:ascii="Palatino Linotype" w:hAnsi="Palatino Linotype" w:cs="Arial"/>
        </w:rPr>
      </w:pPr>
      <w:r w:rsidRPr="007D6CE6">
        <w:rPr>
          <w:rFonts w:ascii="Palatino Linotype" w:eastAsia="MS Mincho" w:hAnsi="Palatino Linotype" w:cs="Arial"/>
          <w:color w:val="000000" w:themeColor="text1"/>
          <w:lang w:val="es-MX"/>
        </w:rPr>
        <w:t xml:space="preserve">No obstante lo anterior, no pasa desapercibido para esta Ponencia, que toda vez que la respuesta del </w:t>
      </w:r>
      <w:r w:rsidRPr="007D6CE6">
        <w:rPr>
          <w:rFonts w:ascii="Palatino Linotype" w:eastAsia="MS Mincho" w:hAnsi="Palatino Linotype" w:cs="Arial"/>
          <w:b/>
          <w:bCs/>
          <w:color w:val="000000" w:themeColor="text1"/>
          <w:lang w:val="es-MX"/>
        </w:rPr>
        <w:t xml:space="preserve">Sujeto Obligado </w:t>
      </w:r>
      <w:r w:rsidRPr="007D6CE6">
        <w:rPr>
          <w:rFonts w:ascii="Palatino Linotype" w:eastAsia="MS Mincho" w:hAnsi="Palatino Linotype" w:cs="Arial"/>
          <w:color w:val="000000" w:themeColor="text1"/>
          <w:lang w:val="es-MX"/>
        </w:rPr>
        <w:t xml:space="preserve">fue proporcionada en fecha diez (10) de septiembre de dos mil diecinueve y a la fecha de la notificación de la presente resolución, existe la posibilidad de que ya se hayan generado dichas documentales, es procedente nuevamente ordenar una nueva búsqueda exhaustiva y razonable la información solicitada por el particular, y en el caso de que aún no se haya generado, emitir el respectivo Acuerdo de Inexistencia. </w:t>
      </w:r>
    </w:p>
    <w:p w14:paraId="173A2B8F" w14:textId="77777777" w:rsidR="00914065" w:rsidRPr="007D6CE6" w:rsidRDefault="00914065" w:rsidP="007D6CE6">
      <w:pPr>
        <w:pStyle w:val="Prrafodelista"/>
        <w:tabs>
          <w:tab w:val="left" w:pos="426"/>
        </w:tabs>
        <w:spacing w:line="360" w:lineRule="auto"/>
        <w:ind w:left="0" w:right="616"/>
        <w:jc w:val="both"/>
        <w:rPr>
          <w:rFonts w:ascii="Palatino Linotype" w:hAnsi="Palatino Linotype" w:cs="Arial"/>
        </w:rPr>
      </w:pPr>
    </w:p>
    <w:p w14:paraId="7CC802D1" w14:textId="77777777" w:rsidR="00367ABF" w:rsidRPr="007D6CE6" w:rsidRDefault="00367ABF" w:rsidP="007D6CE6">
      <w:pPr>
        <w:pStyle w:val="Ttulo1"/>
        <w:numPr>
          <w:ilvl w:val="0"/>
          <w:numId w:val="10"/>
        </w:numPr>
        <w:spacing w:before="0" w:line="360" w:lineRule="auto"/>
        <w:ind w:left="426"/>
        <w:rPr>
          <w:b/>
          <w:szCs w:val="24"/>
        </w:rPr>
      </w:pPr>
      <w:bookmarkStart w:id="90" w:name="_Toc24040929"/>
      <w:r w:rsidRPr="007D6CE6">
        <w:rPr>
          <w:b/>
          <w:color w:val="000000" w:themeColor="text1"/>
          <w:szCs w:val="24"/>
        </w:rPr>
        <w:t>Del Acuerdo de Inexistencia.</w:t>
      </w:r>
      <w:bookmarkEnd w:id="90"/>
      <w:r w:rsidRPr="007D6CE6">
        <w:rPr>
          <w:b/>
          <w:color w:val="000000" w:themeColor="text1"/>
          <w:szCs w:val="24"/>
        </w:rPr>
        <w:t xml:space="preserve">  </w:t>
      </w:r>
    </w:p>
    <w:p w14:paraId="2020F92C" w14:textId="77777777" w:rsidR="00367ABF" w:rsidRPr="007D6CE6" w:rsidRDefault="00367ABF" w:rsidP="007D6C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C03E088" w14:textId="22A1B98C" w:rsidR="00367ABF" w:rsidRPr="007D6CE6" w:rsidRDefault="00367ABF" w:rsidP="007D6CE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D6CE6">
        <w:rPr>
          <w:rFonts w:ascii="Palatino Linotype" w:eastAsia="MS Mincho" w:hAnsi="Palatino Linotype" w:cs="Arial"/>
          <w:color w:val="000000" w:themeColor="text1"/>
          <w:lang w:val="es-MX"/>
        </w:rPr>
        <w:t xml:space="preserve">El acuerdo de inexistencia se formula en aquellos supuestos en los si bien la información solicitada se genera en el marco de las funciones del derecho público del </w:t>
      </w:r>
      <w:r w:rsidRPr="007D6CE6">
        <w:rPr>
          <w:rFonts w:ascii="Palatino Linotype" w:eastAsia="MS Mincho" w:hAnsi="Palatino Linotype" w:cs="Arial"/>
          <w:b/>
          <w:bCs/>
          <w:color w:val="000000" w:themeColor="text1"/>
          <w:lang w:val="es-MX"/>
        </w:rPr>
        <w:lastRenderedPageBreak/>
        <w:t>Sujeto Obligado</w:t>
      </w:r>
      <w:r w:rsidRPr="007D6CE6">
        <w:rPr>
          <w:rFonts w:ascii="Palatino Linotype" w:eastAsia="MS Mincho" w:hAnsi="Palatino Linotype" w:cs="Arial"/>
          <w:color w:val="000000" w:themeColor="text1"/>
          <w:lang w:val="es-MX"/>
        </w:rPr>
        <w:t xml:space="preserve"> y éste no lo posee, deberá de expresar las razones por las cuales no se encuentra en sus archivos, ello a través de un dictamen debidamente fundado y motivado, conforme lo dispuesto por los artículos 19, 49 fracciones I y II</w:t>
      </w:r>
      <w:r w:rsidR="00221FFB" w:rsidRPr="007D6CE6">
        <w:rPr>
          <w:rFonts w:ascii="Palatino Linotype" w:eastAsia="MS Mincho" w:hAnsi="Palatino Linotype" w:cs="Arial"/>
          <w:color w:val="000000" w:themeColor="text1"/>
          <w:lang w:val="es-MX"/>
        </w:rPr>
        <w:t xml:space="preserve">; 169 fracción II y </w:t>
      </w:r>
      <w:r w:rsidRPr="007D6CE6">
        <w:rPr>
          <w:rFonts w:ascii="Palatino Linotype" w:eastAsia="MS Mincho" w:hAnsi="Palatino Linotype" w:cs="Arial"/>
          <w:color w:val="000000" w:themeColor="text1"/>
          <w:lang w:val="es-MX"/>
        </w:rPr>
        <w:t xml:space="preserve">170 de la Ley de Transparencia y Acceso a la Información Pública del Estado de México y Municipios que establece lo siguiente; </w:t>
      </w:r>
    </w:p>
    <w:p w14:paraId="2BC98930" w14:textId="77777777" w:rsidR="00367ABF" w:rsidRPr="007D6CE6" w:rsidRDefault="00367ABF" w:rsidP="007D6C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DA0D0B9"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w:t>
      </w:r>
      <w:r w:rsidRPr="007D6CE6">
        <w:rPr>
          <w:rFonts w:ascii="Palatino Linotype" w:eastAsia="MS Mincho" w:hAnsi="Palatino Linotype" w:cs="Arial"/>
          <w:b/>
          <w:bCs/>
          <w:i/>
          <w:iCs/>
          <w:color w:val="000000" w:themeColor="text1"/>
          <w:lang w:val="es-MX"/>
        </w:rPr>
        <w:t xml:space="preserve">Artículo 19. </w:t>
      </w:r>
      <w:r w:rsidRPr="007D6CE6">
        <w:rPr>
          <w:rFonts w:ascii="Palatino Linotype" w:eastAsia="MS Mincho" w:hAnsi="Palatino Linotype" w:cs="Arial"/>
          <w:i/>
          <w:iCs/>
          <w:color w:val="000000" w:themeColor="text1"/>
          <w:lang w:val="es-MX"/>
        </w:rPr>
        <w:t>Se presume que la información debe existir si se refiere a las facultades, competencias y funciones que los ordenamientos jurídicos aplicables otorgan a los sujetos obligados.</w:t>
      </w:r>
    </w:p>
    <w:p w14:paraId="4D7444B0"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En los casos en que ciertas facultades, competencias o funciones no se hayan ejercido, se debe motivar la respuesta en función de las causas que motiven tal circunstancia.</w:t>
      </w:r>
    </w:p>
    <w:p w14:paraId="007BFAF8"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F57A634"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p>
    <w:p w14:paraId="508FF5E1"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b/>
          <w:bCs/>
          <w:i/>
          <w:iCs/>
          <w:color w:val="000000" w:themeColor="text1"/>
          <w:lang w:val="es-MX"/>
        </w:rPr>
        <w:t>Artículo 49.</w:t>
      </w:r>
      <w:r w:rsidRPr="007D6CE6">
        <w:rPr>
          <w:rFonts w:ascii="Palatino Linotype" w:eastAsia="MS Mincho" w:hAnsi="Palatino Linotype" w:cs="Arial"/>
          <w:i/>
          <w:iCs/>
          <w:color w:val="000000" w:themeColor="text1"/>
          <w:lang w:val="es-MX"/>
        </w:rPr>
        <w:t xml:space="preserve"> Los Comités de Transparencia tendrán las siguientes atribuciones:</w:t>
      </w:r>
    </w:p>
    <w:p w14:paraId="3DD887AD"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p>
    <w:p w14:paraId="36D9CC38"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I. Instituir, coordinar y supervisar en términos de las disposiciones aplicables, las acciones, medidas y procedimientos que coadyuven a asegurar una mayor eficacia en la gestión y atención de las solicitudes en materia de acceso a la información;</w:t>
      </w:r>
    </w:p>
    <w:p w14:paraId="5C7C480C"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6E4EE0B"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lastRenderedPageBreak/>
        <w:t xml:space="preserve">[…] </w:t>
      </w:r>
    </w:p>
    <w:p w14:paraId="378CF53D"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p>
    <w:p w14:paraId="35A8E573"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b/>
          <w:bCs/>
          <w:i/>
          <w:iCs/>
          <w:color w:val="000000" w:themeColor="text1"/>
          <w:lang w:val="es-MX"/>
        </w:rPr>
        <w:t>Artículo 169.</w:t>
      </w:r>
      <w:r w:rsidRPr="007D6CE6">
        <w:rPr>
          <w:rFonts w:ascii="Palatino Linotype" w:eastAsia="MS Mincho" w:hAnsi="Palatino Linotype" w:cs="Arial"/>
          <w:i/>
          <w:iCs/>
          <w:color w:val="000000" w:themeColor="text1"/>
          <w:lang w:val="es-MX"/>
        </w:rPr>
        <w:t xml:space="preserve"> Cuando la información no se encuentre en los archivos del sujeto obligado, el Comité de Transparencia:</w:t>
      </w:r>
    </w:p>
    <w:p w14:paraId="2B7740C6"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w:t>
      </w:r>
    </w:p>
    <w:p w14:paraId="18FCB729"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II. Expedirá una resolución que confirme la inexistencia del documento;</w:t>
      </w:r>
    </w:p>
    <w:p w14:paraId="320B6175"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i/>
          <w:iCs/>
          <w:color w:val="000000" w:themeColor="text1"/>
          <w:lang w:val="es-MX"/>
        </w:rPr>
        <w:t>[…]</w:t>
      </w:r>
    </w:p>
    <w:p w14:paraId="79A69CDE"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p>
    <w:p w14:paraId="07DCE8E9" w14:textId="77777777" w:rsidR="00367ABF" w:rsidRPr="007D6CE6" w:rsidRDefault="00367ABF" w:rsidP="007D6CE6">
      <w:pPr>
        <w:pStyle w:val="Prrafodelista"/>
        <w:tabs>
          <w:tab w:val="left" w:pos="426"/>
        </w:tabs>
        <w:spacing w:line="360" w:lineRule="auto"/>
        <w:ind w:left="567" w:right="616"/>
        <w:jc w:val="both"/>
        <w:rPr>
          <w:rFonts w:ascii="Palatino Linotype" w:eastAsia="MS Mincho" w:hAnsi="Palatino Linotype" w:cs="Arial"/>
          <w:i/>
          <w:iCs/>
          <w:color w:val="000000" w:themeColor="text1"/>
          <w:lang w:val="es-MX"/>
        </w:rPr>
      </w:pPr>
      <w:r w:rsidRPr="007D6CE6">
        <w:rPr>
          <w:rFonts w:ascii="Palatino Linotype" w:eastAsia="MS Mincho" w:hAnsi="Palatino Linotype" w:cs="Arial"/>
          <w:b/>
          <w:bCs/>
          <w:i/>
          <w:iCs/>
          <w:color w:val="000000" w:themeColor="text1"/>
          <w:lang w:val="es-MX"/>
        </w:rPr>
        <w:t>Artículo 170.</w:t>
      </w:r>
      <w:r w:rsidRPr="007D6CE6">
        <w:rPr>
          <w:rFonts w:ascii="Palatino Linotype" w:eastAsia="MS Mincho" w:hAnsi="Palatino Linotype" w:cs="Arial"/>
          <w:i/>
          <w:iCs/>
          <w:color w:val="000000" w:themeColor="text1"/>
          <w:lang w:val="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40DFFAA7" w14:textId="77777777" w:rsidR="00367ABF" w:rsidRPr="007D6CE6" w:rsidRDefault="00367ABF" w:rsidP="007D6C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B9FA17F" w14:textId="0344CCE1" w:rsidR="00367ABF" w:rsidRPr="007D6CE6" w:rsidRDefault="00367ABF" w:rsidP="007D6CE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D6CE6">
        <w:rPr>
          <w:rFonts w:ascii="Palatino Linotype" w:eastAsia="MS Mincho" w:hAnsi="Palatino Linotype" w:cs="Arial"/>
          <w:color w:val="000000" w:themeColor="text1"/>
          <w:lang w:val="es-MX"/>
        </w:rPr>
        <w:t xml:space="preserve">Es decir, en el supuesto de que la información no obre en los archivos del </w:t>
      </w:r>
      <w:r w:rsidRPr="007D6CE6">
        <w:rPr>
          <w:rFonts w:ascii="Palatino Linotype" w:eastAsia="MS Mincho" w:hAnsi="Palatino Linotype" w:cs="Arial"/>
          <w:b/>
          <w:bCs/>
          <w:color w:val="000000" w:themeColor="text1"/>
          <w:lang w:val="es-MX"/>
        </w:rPr>
        <w:t xml:space="preserve">Sujeto Obligado </w:t>
      </w:r>
      <w:r w:rsidRPr="007D6CE6">
        <w:rPr>
          <w:rFonts w:ascii="Palatino Linotype" w:eastAsia="MS Mincho" w:hAnsi="Palatino Linotype" w:cs="Arial"/>
          <w:color w:val="000000" w:themeColor="text1"/>
          <w:lang w:val="es-MX"/>
        </w:rPr>
        <w:t xml:space="preserve">deberá proceder a decretar la inexistencia de la información, </w:t>
      </w:r>
      <w:r w:rsidR="00221FFB" w:rsidRPr="007D6CE6">
        <w:rPr>
          <w:rFonts w:ascii="Palatino Linotype" w:eastAsia="MS Mincho" w:hAnsi="Palatino Linotype" w:cs="Arial"/>
          <w:color w:val="000000" w:themeColor="text1"/>
          <w:lang w:val="es-MX"/>
        </w:rPr>
        <w:t>por lo que</w:t>
      </w:r>
      <w:r w:rsidRPr="007D6CE6">
        <w:rPr>
          <w:rFonts w:ascii="Palatino Linotype" w:eastAsia="MS Mincho" w:hAnsi="Palatino Linotype" w:cs="Arial"/>
          <w:color w:val="000000" w:themeColor="text1"/>
          <w:lang w:val="es-MX"/>
        </w:rPr>
        <w:t xml:space="preserve">, deberá emitir el acuerdo de inexistencia respectivo, en el entendido, que el acto de autoridad debe estar debidamente fundado y motivado. Señalando el lugar y fecha de la resolución, el nombre del solicitante, la información, el fundamento y motivo por el cual se determina que la información solicitada no obra en sus archivos, los nombres y las firmas autógrafas de los </w:t>
      </w:r>
      <w:r w:rsidRPr="007D6CE6">
        <w:rPr>
          <w:rFonts w:ascii="Palatino Linotype" w:eastAsia="MS Mincho" w:hAnsi="Palatino Linotype" w:cs="Arial"/>
          <w:b/>
          <w:bCs/>
          <w:color w:val="000000" w:themeColor="text1"/>
          <w:lang w:val="es-MX"/>
        </w:rPr>
        <w:t xml:space="preserve">integrantes del Comité de Transparencia.  </w:t>
      </w:r>
    </w:p>
    <w:p w14:paraId="66037441" w14:textId="77777777" w:rsidR="00367ABF" w:rsidRPr="007D6CE6" w:rsidRDefault="00367ABF" w:rsidP="007D6C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167C3D2" w14:textId="0F445672" w:rsidR="00D466D6" w:rsidRPr="007D6CE6" w:rsidRDefault="00367ABF" w:rsidP="007D6CE6">
      <w:pPr>
        <w:pStyle w:val="Prrafodelista"/>
        <w:numPr>
          <w:ilvl w:val="0"/>
          <w:numId w:val="1"/>
        </w:numPr>
        <w:spacing w:line="360" w:lineRule="auto"/>
        <w:ind w:left="0" w:firstLine="0"/>
        <w:jc w:val="both"/>
        <w:rPr>
          <w:rFonts w:ascii="Palatino Linotype" w:hAnsi="Palatino Linotype"/>
          <w:lang w:val="es-MX"/>
        </w:rPr>
      </w:pPr>
      <w:r w:rsidRPr="007D6CE6">
        <w:rPr>
          <w:rFonts w:ascii="Palatino Linotype" w:hAnsi="Palatino Linotype"/>
          <w:lang w:val="es-MX"/>
        </w:rPr>
        <w:t xml:space="preserve">En este sentido, para que nazca la obligación por parte de una autoridad de generar un acuerdo en el que se declare la inexistencia de la información es un requisito </w:t>
      </w:r>
      <w:r w:rsidRPr="007D6CE6">
        <w:rPr>
          <w:rFonts w:ascii="Palatino Linotype" w:hAnsi="Palatino Linotype"/>
          <w:i/>
          <w:lang w:val="es-MX"/>
        </w:rPr>
        <w:t xml:space="preserve">sine qua </w:t>
      </w:r>
      <w:r w:rsidRPr="007D6CE6">
        <w:rPr>
          <w:rFonts w:ascii="Palatino Linotype" w:hAnsi="Palatino Linotype"/>
          <w:i/>
          <w:lang w:val="es-MX"/>
        </w:rPr>
        <w:lastRenderedPageBreak/>
        <w:t xml:space="preserve">non </w:t>
      </w:r>
      <w:r w:rsidRPr="007D6CE6">
        <w:rPr>
          <w:rFonts w:ascii="Palatino Linotype" w:hAnsi="Palatino Linotype"/>
          <w:lang w:val="es-MX"/>
        </w:rPr>
        <w:t xml:space="preserve">que exista la obligación legal de haberla generado, esto es, que el </w:t>
      </w:r>
      <w:r w:rsidRPr="007D6CE6">
        <w:rPr>
          <w:rFonts w:ascii="Palatino Linotype" w:hAnsi="Palatino Linotype"/>
          <w:b/>
          <w:bCs/>
          <w:lang w:val="es-MX"/>
        </w:rPr>
        <w:t>Sujeto Obligado</w:t>
      </w:r>
      <w:r w:rsidRPr="007D6CE6">
        <w:rPr>
          <w:rFonts w:ascii="Palatino Linotype" w:hAnsi="Palatino Linotype"/>
          <w:lang w:val="es-MX"/>
        </w:rPr>
        <w:t xml:space="preserve"> en uso de sus facultades ejercidas generó o estuvo obligado a generarla </w:t>
      </w:r>
      <w:r w:rsidR="00914065" w:rsidRPr="007D6CE6">
        <w:rPr>
          <w:rFonts w:ascii="Palatino Linotype" w:hAnsi="Palatino Linotype"/>
          <w:lang w:val="es-MX"/>
        </w:rPr>
        <w:t>y,</w:t>
      </w:r>
      <w:r w:rsidRPr="007D6CE6">
        <w:rPr>
          <w:rFonts w:ascii="Palatino Linotype" w:hAnsi="Palatino Linotype"/>
          <w:lang w:val="es-MX"/>
        </w:rPr>
        <w:t xml:space="preserve"> sin embargo</w:t>
      </w:r>
      <w:r w:rsidR="00914065" w:rsidRPr="007D6CE6">
        <w:rPr>
          <w:rFonts w:ascii="Palatino Linotype" w:hAnsi="Palatino Linotype"/>
          <w:lang w:val="es-MX"/>
        </w:rPr>
        <w:t>,</w:t>
      </w:r>
      <w:r w:rsidRPr="007D6CE6">
        <w:rPr>
          <w:rFonts w:ascii="Palatino Linotype" w:hAnsi="Palatino Linotype"/>
          <w:lang w:val="es-MX"/>
        </w:rPr>
        <w:t xml:space="preserve"> la misma no la posee en sus archivos.  </w:t>
      </w:r>
    </w:p>
    <w:p w14:paraId="1C71508B" w14:textId="77777777" w:rsidR="00262805" w:rsidRPr="007D6CE6" w:rsidRDefault="00262805" w:rsidP="007D6CE6">
      <w:pPr>
        <w:pStyle w:val="Prrafodelista"/>
        <w:spacing w:line="360" w:lineRule="auto"/>
        <w:ind w:left="0"/>
        <w:jc w:val="both"/>
        <w:rPr>
          <w:rFonts w:ascii="Palatino Linotype" w:hAnsi="Palatino Linotype"/>
          <w:lang w:val="es-MX"/>
        </w:rPr>
      </w:pPr>
    </w:p>
    <w:p w14:paraId="2030CA04" w14:textId="7046693F" w:rsidR="00204D72" w:rsidRPr="007D6CE6" w:rsidRDefault="00554657" w:rsidP="007D6CE6">
      <w:pPr>
        <w:numPr>
          <w:ilvl w:val="0"/>
          <w:numId w:val="1"/>
        </w:numPr>
        <w:spacing w:line="360" w:lineRule="auto"/>
        <w:ind w:left="0" w:firstLine="0"/>
        <w:contextualSpacing/>
        <w:jc w:val="both"/>
        <w:rPr>
          <w:rFonts w:ascii="Palatino Linotype" w:eastAsia="MS Mincho" w:hAnsi="Palatino Linotype" w:cs="Arial"/>
          <w:i/>
        </w:rPr>
      </w:pPr>
      <w:r w:rsidRPr="007D6CE6">
        <w:rPr>
          <w:rFonts w:ascii="Palatino Linotype" w:eastAsia="MS Mincho" w:hAnsi="Palatino Linotype" w:cstheme="majorBidi"/>
        </w:rPr>
        <w:t xml:space="preserve">Por lo anteriormente expuesto y fundado este </w:t>
      </w:r>
      <w:r w:rsidRPr="007D6CE6">
        <w:rPr>
          <w:rFonts w:ascii="Palatino Linotype" w:eastAsia="MS Mincho" w:hAnsi="Palatino Linotype" w:cstheme="majorBidi"/>
          <w:b/>
        </w:rPr>
        <w:t>ÓRGANO GARANTE</w:t>
      </w:r>
      <w:r w:rsidRPr="007D6CE6">
        <w:rPr>
          <w:rFonts w:ascii="Palatino Linotype" w:eastAsia="MS Mincho" w:hAnsi="Palatino Linotype" w:cstheme="majorBidi"/>
        </w:rPr>
        <w:t xml:space="preserve"> emite los siguientes.</w:t>
      </w:r>
    </w:p>
    <w:p w14:paraId="58407F9C" w14:textId="77777777" w:rsidR="00703547" w:rsidRPr="007D6CE6" w:rsidRDefault="00703547" w:rsidP="007D6CE6">
      <w:pPr>
        <w:spacing w:line="360" w:lineRule="auto"/>
        <w:contextualSpacing/>
        <w:jc w:val="both"/>
        <w:rPr>
          <w:rFonts w:ascii="Palatino Linotype" w:eastAsia="MS Mincho" w:hAnsi="Palatino Linotype" w:cs="Arial"/>
          <w:i/>
        </w:rPr>
      </w:pPr>
    </w:p>
    <w:p w14:paraId="4CACADBA" w14:textId="5A2E0833" w:rsidR="008A59AC" w:rsidRPr="007D6CE6" w:rsidRDefault="008A59AC" w:rsidP="007D6CE6">
      <w:pPr>
        <w:pStyle w:val="Ttulo1"/>
        <w:spacing w:before="0" w:line="360" w:lineRule="auto"/>
        <w:jc w:val="center"/>
        <w:rPr>
          <w:b/>
          <w:color w:val="000000" w:themeColor="text1"/>
          <w:szCs w:val="24"/>
        </w:rPr>
      </w:pPr>
      <w:bookmarkStart w:id="91" w:name="_Toc466371865"/>
      <w:bookmarkStart w:id="92" w:name="_Toc466377653"/>
      <w:bookmarkStart w:id="93" w:name="_Toc495427547"/>
      <w:bookmarkStart w:id="94" w:name="_Toc535405813"/>
      <w:bookmarkStart w:id="95" w:name="_Toc24040930"/>
      <w:r w:rsidRPr="007D6CE6">
        <w:rPr>
          <w:b/>
          <w:color w:val="000000" w:themeColor="text1"/>
          <w:szCs w:val="24"/>
        </w:rPr>
        <w:t>R E S O L U T I V O S</w:t>
      </w:r>
      <w:bookmarkEnd w:id="91"/>
      <w:bookmarkEnd w:id="92"/>
      <w:bookmarkEnd w:id="93"/>
      <w:bookmarkEnd w:id="94"/>
      <w:bookmarkEnd w:id="95"/>
    </w:p>
    <w:p w14:paraId="395071DC" w14:textId="77777777" w:rsidR="000D13EA" w:rsidRPr="007D6CE6" w:rsidRDefault="000D13EA" w:rsidP="007D6CE6">
      <w:pPr>
        <w:spacing w:line="360" w:lineRule="auto"/>
        <w:rPr>
          <w:rFonts w:ascii="Palatino Linotype" w:hAnsi="Palatino Linotype"/>
          <w:lang w:val="es-MX" w:eastAsia="en-US"/>
        </w:rPr>
      </w:pPr>
    </w:p>
    <w:p w14:paraId="0E06C2C9" w14:textId="184CF8BF" w:rsidR="00C55E9B" w:rsidRPr="007D6CE6" w:rsidRDefault="00C55E9B" w:rsidP="007D6CE6">
      <w:pPr>
        <w:spacing w:line="360" w:lineRule="auto"/>
        <w:jc w:val="both"/>
        <w:rPr>
          <w:rFonts w:ascii="Palatino Linotype" w:hAnsi="Palatino Linotype" w:cs="Arial"/>
          <w:bCs/>
        </w:rPr>
      </w:pPr>
      <w:r w:rsidRPr="007D6CE6">
        <w:rPr>
          <w:rFonts w:ascii="Palatino Linotype" w:eastAsia="Times New Roman" w:hAnsi="Palatino Linotype" w:cs="Arial"/>
          <w:b/>
        </w:rPr>
        <w:t xml:space="preserve">PRIMERO. </w:t>
      </w:r>
      <w:r w:rsidRPr="007D6CE6">
        <w:rPr>
          <w:rFonts w:ascii="Palatino Linotype" w:eastAsia="Times New Roman" w:hAnsi="Palatino Linotype" w:cs="Arial"/>
        </w:rPr>
        <w:t xml:space="preserve">Resultan </w:t>
      </w:r>
      <w:r w:rsidR="00221FFB" w:rsidRPr="007D6CE6">
        <w:rPr>
          <w:rFonts w:ascii="Palatino Linotype" w:eastAsia="Times New Roman" w:hAnsi="Palatino Linotype" w:cs="Arial"/>
        </w:rPr>
        <w:t>fundadas</w:t>
      </w:r>
      <w:r w:rsidRPr="007D6CE6">
        <w:rPr>
          <w:rFonts w:ascii="Palatino Linotype" w:eastAsia="Times New Roman" w:hAnsi="Palatino Linotype" w:cs="Arial"/>
        </w:rPr>
        <w:t xml:space="preserve"> las</w:t>
      </w:r>
      <w:r w:rsidRPr="007D6CE6">
        <w:rPr>
          <w:rFonts w:ascii="Palatino Linotype" w:eastAsia="Times New Roman" w:hAnsi="Palatino Linotype" w:cs="Arial"/>
          <w:b/>
        </w:rPr>
        <w:t xml:space="preserve"> </w:t>
      </w:r>
      <w:r w:rsidRPr="007D6CE6">
        <w:rPr>
          <w:rFonts w:ascii="Palatino Linotype" w:eastAsia="Times New Roman" w:hAnsi="Palatino Linotype" w:cs="Arial"/>
          <w:lang w:val="es-ES"/>
        </w:rPr>
        <w:t xml:space="preserve">razones o motivos de inconformidad hechos valer </w:t>
      </w:r>
      <w:r w:rsidRPr="007D6CE6">
        <w:rPr>
          <w:rFonts w:ascii="Palatino Linotype" w:eastAsia="Calibri" w:hAnsi="Palatino Linotype" w:cs="Arial"/>
          <w:lang w:val="es-ES"/>
        </w:rPr>
        <w:t xml:space="preserve">en el recurso de revisión </w:t>
      </w:r>
      <w:r w:rsidR="00CA1C81" w:rsidRPr="007D6CE6">
        <w:rPr>
          <w:rFonts w:ascii="Palatino Linotype" w:hAnsi="Palatino Linotype" w:cs="Arial"/>
          <w:b/>
          <w:bCs/>
        </w:rPr>
        <w:t>0</w:t>
      </w:r>
      <w:r w:rsidR="00367ABF" w:rsidRPr="007D6CE6">
        <w:rPr>
          <w:rFonts w:ascii="Palatino Linotype" w:hAnsi="Palatino Linotype" w:cs="Arial"/>
          <w:b/>
          <w:bCs/>
        </w:rPr>
        <w:t>7338</w:t>
      </w:r>
      <w:r w:rsidR="00CA1C81" w:rsidRPr="007D6CE6">
        <w:rPr>
          <w:rFonts w:ascii="Palatino Linotype" w:hAnsi="Palatino Linotype" w:cs="Arial"/>
          <w:b/>
          <w:bCs/>
        </w:rPr>
        <w:t>/INFOEM/IP/RR/2019</w:t>
      </w:r>
      <w:r w:rsidRPr="007D6CE6">
        <w:rPr>
          <w:rFonts w:ascii="Palatino Linotype" w:hAnsi="Palatino Linotype" w:cs="Arial"/>
          <w:b/>
          <w:bCs/>
        </w:rPr>
        <w:t xml:space="preserve">, </w:t>
      </w:r>
      <w:r w:rsidRPr="007D6CE6">
        <w:rPr>
          <w:rFonts w:ascii="Palatino Linotype" w:hAnsi="Palatino Linotype" w:cs="Arial"/>
          <w:bCs/>
        </w:rPr>
        <w:t xml:space="preserve">en términos del </w:t>
      </w:r>
      <w:r w:rsidRPr="007D6CE6">
        <w:rPr>
          <w:rFonts w:ascii="Palatino Linotype" w:hAnsi="Palatino Linotype" w:cs="Arial"/>
          <w:b/>
          <w:bCs/>
        </w:rPr>
        <w:t>Considerando</w:t>
      </w:r>
      <w:r w:rsidRPr="007D6CE6">
        <w:rPr>
          <w:rFonts w:ascii="Palatino Linotype" w:hAnsi="Palatino Linotype" w:cs="Arial"/>
          <w:bCs/>
        </w:rPr>
        <w:t xml:space="preserve"> </w:t>
      </w:r>
      <w:r w:rsidRPr="007D6CE6">
        <w:rPr>
          <w:rFonts w:ascii="Palatino Linotype" w:hAnsi="Palatino Linotype" w:cs="Arial"/>
          <w:b/>
          <w:bCs/>
        </w:rPr>
        <w:t>CUARTO</w:t>
      </w:r>
      <w:r w:rsidRPr="007D6CE6">
        <w:rPr>
          <w:rFonts w:ascii="Palatino Linotype" w:hAnsi="Palatino Linotype" w:cs="Arial"/>
          <w:bCs/>
        </w:rPr>
        <w:t xml:space="preserve"> de la presente resolución.</w:t>
      </w:r>
    </w:p>
    <w:p w14:paraId="2B5B9A79" w14:textId="77777777" w:rsidR="002F5CC5" w:rsidRPr="007D6CE6" w:rsidRDefault="002F5CC5" w:rsidP="007D6CE6">
      <w:pPr>
        <w:spacing w:line="360" w:lineRule="auto"/>
        <w:jc w:val="both"/>
        <w:rPr>
          <w:rFonts w:ascii="Palatino Linotype" w:eastAsia="Times New Roman" w:hAnsi="Palatino Linotype" w:cs="Times New Roman"/>
        </w:rPr>
      </w:pPr>
    </w:p>
    <w:p w14:paraId="2AB9A641" w14:textId="47C18552" w:rsidR="005D4114" w:rsidRPr="007D6CE6" w:rsidRDefault="005D4114" w:rsidP="007D6CE6">
      <w:pPr>
        <w:spacing w:line="360" w:lineRule="auto"/>
        <w:contextualSpacing/>
        <w:jc w:val="both"/>
        <w:rPr>
          <w:rFonts w:ascii="Palatino Linotype" w:eastAsia="Times New Roman" w:hAnsi="Palatino Linotype" w:cs="Arial"/>
          <w:color w:val="000000"/>
        </w:rPr>
      </w:pPr>
      <w:r w:rsidRPr="007D6CE6">
        <w:rPr>
          <w:rFonts w:ascii="Palatino Linotype" w:eastAsia="Calibri" w:hAnsi="Palatino Linotype" w:cs="Arial"/>
          <w:b/>
          <w:bCs/>
          <w:lang w:val="es-ES"/>
        </w:rPr>
        <w:t xml:space="preserve">SEGUNDO. </w:t>
      </w:r>
      <w:r w:rsidRPr="007D6CE6">
        <w:rPr>
          <w:rFonts w:ascii="Palatino Linotype" w:eastAsia="Calibri" w:hAnsi="Palatino Linotype" w:cs="Arial"/>
          <w:lang w:val="es-ES"/>
        </w:rPr>
        <w:t xml:space="preserve">Se </w:t>
      </w:r>
      <w:r w:rsidR="00367ABF" w:rsidRPr="007D6CE6">
        <w:rPr>
          <w:rFonts w:ascii="Palatino Linotype" w:eastAsia="Calibri" w:hAnsi="Palatino Linotype" w:cs="Arial"/>
          <w:b/>
          <w:lang w:val="es-ES"/>
        </w:rPr>
        <w:t xml:space="preserve">REVOCA </w:t>
      </w:r>
      <w:r w:rsidRPr="007D6CE6">
        <w:rPr>
          <w:rFonts w:ascii="Palatino Linotype" w:eastAsia="Calibri" w:hAnsi="Palatino Linotype" w:cs="Arial"/>
          <w:lang w:val="es-ES"/>
        </w:rPr>
        <w:t xml:space="preserve">la respuesta de la </w:t>
      </w:r>
      <w:r w:rsidR="00367ABF" w:rsidRPr="007D6CE6">
        <w:rPr>
          <w:rFonts w:ascii="Palatino Linotype" w:eastAsia="Calibri" w:hAnsi="Palatino Linotype" w:cs="Arial"/>
          <w:b/>
        </w:rPr>
        <w:t>Secretaría Ejecutiva del Sistema Estatal Anticorrupción</w:t>
      </w:r>
      <w:r w:rsidRPr="007D6CE6">
        <w:rPr>
          <w:rFonts w:ascii="Palatino Linotype" w:eastAsia="Calibri" w:hAnsi="Palatino Linotype" w:cs="Arial"/>
          <w:b/>
        </w:rPr>
        <w:t xml:space="preserve"> </w:t>
      </w:r>
      <w:r w:rsidRPr="007D6CE6">
        <w:rPr>
          <w:rFonts w:ascii="Palatino Linotype" w:eastAsia="Calibri" w:hAnsi="Palatino Linotype" w:cs="Arial"/>
        </w:rPr>
        <w:t xml:space="preserve">y se </w:t>
      </w:r>
      <w:r w:rsidRPr="007D6CE6">
        <w:rPr>
          <w:rFonts w:ascii="Palatino Linotype" w:eastAsia="Calibri" w:hAnsi="Palatino Linotype" w:cs="Arial"/>
          <w:b/>
        </w:rPr>
        <w:t>ORDENA</w:t>
      </w:r>
      <w:r w:rsidRPr="007D6CE6">
        <w:rPr>
          <w:rFonts w:ascii="Palatino Linotype" w:eastAsia="Calibri" w:hAnsi="Palatino Linotype" w:cs="Arial"/>
          <w:bCs/>
          <w:lang w:val="es-ES"/>
        </w:rPr>
        <w:t xml:space="preserve"> </w:t>
      </w:r>
      <w:r w:rsidRPr="007D6CE6">
        <w:rPr>
          <w:rFonts w:ascii="Palatino Linotype" w:eastAsia="Calibri" w:hAnsi="Palatino Linotype" w:cs="Arial"/>
          <w:lang w:val="es-ES"/>
        </w:rPr>
        <w:t>entregar</w:t>
      </w:r>
      <w:r w:rsidR="00262805" w:rsidRPr="007D6CE6">
        <w:rPr>
          <w:rFonts w:ascii="Palatino Linotype" w:eastAsia="Calibri" w:hAnsi="Palatino Linotype" w:cs="Arial"/>
          <w:lang w:val="es-ES"/>
        </w:rPr>
        <w:t xml:space="preserve"> </w:t>
      </w:r>
      <w:r w:rsidR="00262805" w:rsidRPr="007D6CE6">
        <w:rPr>
          <w:rFonts w:ascii="Palatino Linotype" w:eastAsia="Calibri" w:hAnsi="Palatino Linotype" w:cs="Arial"/>
          <w:bCs/>
          <w:lang w:val="es-ES"/>
        </w:rPr>
        <w:t>previa búsqueda exhaustiva y razonable</w:t>
      </w:r>
      <w:r w:rsidR="00262805" w:rsidRPr="007D6CE6">
        <w:rPr>
          <w:rFonts w:ascii="Palatino Linotype" w:eastAsia="Calibri" w:hAnsi="Palatino Linotype" w:cs="Arial"/>
          <w:lang w:val="es-ES"/>
        </w:rPr>
        <w:t>,</w:t>
      </w:r>
      <w:r w:rsidRPr="007D6CE6">
        <w:rPr>
          <w:rFonts w:ascii="Palatino Linotype" w:eastAsia="Calibri" w:hAnsi="Palatino Linotype" w:cs="Arial"/>
          <w:lang w:val="es-ES"/>
        </w:rPr>
        <w:t xml:space="preserve"> vía</w:t>
      </w:r>
      <w:r w:rsidRPr="007D6CE6">
        <w:rPr>
          <w:rFonts w:ascii="Palatino Linotype" w:eastAsia="Times New Roman" w:hAnsi="Palatino Linotype" w:cs="Arial"/>
          <w:color w:val="000000"/>
          <w:lang w:val="es-ES"/>
        </w:rPr>
        <w:t xml:space="preserve"> </w:t>
      </w:r>
      <w:r w:rsidRPr="007D6CE6">
        <w:rPr>
          <w:rFonts w:ascii="Palatino Linotype" w:eastAsia="Times New Roman" w:hAnsi="Palatino Linotype" w:cs="Arial"/>
          <w:color w:val="000000"/>
        </w:rPr>
        <w:t>Sistema de Acceso a Información Mexiquense (</w:t>
      </w:r>
      <w:bookmarkStart w:id="96" w:name="_Toc460947013"/>
      <w:r w:rsidRPr="007D6CE6">
        <w:rPr>
          <w:rFonts w:ascii="Palatino Linotype" w:eastAsia="Times New Roman" w:hAnsi="Palatino Linotype" w:cs="Arial"/>
          <w:color w:val="000000"/>
        </w:rPr>
        <w:t>SAIMEX), la siguiente información:</w:t>
      </w:r>
    </w:p>
    <w:p w14:paraId="5D876535" w14:textId="5B11D855" w:rsidR="00A97C63" w:rsidRPr="007D6CE6" w:rsidRDefault="00A97C63" w:rsidP="007D6CE6">
      <w:pPr>
        <w:pStyle w:val="Prrafodelista"/>
        <w:spacing w:line="360" w:lineRule="auto"/>
        <w:ind w:left="786"/>
        <w:jc w:val="both"/>
        <w:rPr>
          <w:rFonts w:ascii="Palatino Linotype" w:eastAsia="Calibri" w:hAnsi="Palatino Linotype" w:cs="Arial"/>
          <w:lang w:val="es-ES"/>
        </w:rPr>
      </w:pPr>
    </w:p>
    <w:p w14:paraId="0CEB033C" w14:textId="79AAF940" w:rsidR="00262805" w:rsidRPr="007D6CE6" w:rsidRDefault="00262805" w:rsidP="007D6CE6">
      <w:pPr>
        <w:pStyle w:val="Prrafodelista"/>
        <w:numPr>
          <w:ilvl w:val="0"/>
          <w:numId w:val="15"/>
        </w:numPr>
        <w:spacing w:line="360" w:lineRule="auto"/>
        <w:ind w:left="851" w:right="616"/>
        <w:jc w:val="both"/>
        <w:rPr>
          <w:rFonts w:ascii="Palatino Linotype" w:hAnsi="Palatino Linotype"/>
          <w:b/>
          <w:bCs/>
        </w:rPr>
      </w:pPr>
      <w:r w:rsidRPr="007D6CE6">
        <w:rPr>
          <w:rFonts w:ascii="Palatino Linotype" w:hAnsi="Palatino Linotype"/>
          <w:b/>
          <w:bCs/>
        </w:rPr>
        <w:t xml:space="preserve">Catálogo de </w:t>
      </w:r>
      <w:r w:rsidR="00914065" w:rsidRPr="007D6CE6">
        <w:rPr>
          <w:rFonts w:ascii="Palatino Linotype" w:hAnsi="Palatino Linotype"/>
          <w:b/>
          <w:bCs/>
        </w:rPr>
        <w:t>D</w:t>
      </w:r>
      <w:r w:rsidRPr="007D6CE6">
        <w:rPr>
          <w:rFonts w:ascii="Palatino Linotype" w:hAnsi="Palatino Linotype"/>
          <w:b/>
          <w:bCs/>
        </w:rPr>
        <w:t xml:space="preserve">isposición </w:t>
      </w:r>
      <w:r w:rsidR="00914065" w:rsidRPr="007D6CE6">
        <w:rPr>
          <w:rFonts w:ascii="Palatino Linotype" w:hAnsi="Palatino Linotype"/>
          <w:b/>
          <w:bCs/>
        </w:rPr>
        <w:t>D</w:t>
      </w:r>
      <w:r w:rsidRPr="007D6CE6">
        <w:rPr>
          <w:rFonts w:ascii="Palatino Linotype" w:hAnsi="Palatino Linotype"/>
          <w:b/>
          <w:bCs/>
        </w:rPr>
        <w:t>ocumental vigente al veinte (20) de agosto de dos mil diecinueve y;</w:t>
      </w:r>
    </w:p>
    <w:p w14:paraId="72A9DCE7" w14:textId="111A6770" w:rsidR="005D4114" w:rsidRPr="007D6CE6" w:rsidRDefault="00262805" w:rsidP="007D6CE6">
      <w:pPr>
        <w:pStyle w:val="Prrafodelista"/>
        <w:numPr>
          <w:ilvl w:val="0"/>
          <w:numId w:val="15"/>
        </w:numPr>
        <w:spacing w:line="360" w:lineRule="auto"/>
        <w:ind w:left="851" w:right="616"/>
        <w:jc w:val="both"/>
        <w:rPr>
          <w:rFonts w:ascii="Palatino Linotype" w:hAnsi="Palatino Linotype"/>
          <w:b/>
          <w:bCs/>
        </w:rPr>
      </w:pPr>
      <w:r w:rsidRPr="007D6CE6">
        <w:rPr>
          <w:rFonts w:ascii="Palatino Linotype" w:hAnsi="Palatino Linotype"/>
          <w:b/>
          <w:bCs/>
        </w:rPr>
        <w:t xml:space="preserve">Guía de </w:t>
      </w:r>
      <w:r w:rsidR="00914065" w:rsidRPr="007D6CE6">
        <w:rPr>
          <w:rFonts w:ascii="Palatino Linotype" w:hAnsi="Palatino Linotype"/>
          <w:b/>
          <w:bCs/>
        </w:rPr>
        <w:t>Archivo Documental</w:t>
      </w:r>
      <w:r w:rsidRPr="007D6CE6">
        <w:rPr>
          <w:rFonts w:ascii="Palatino Linotype" w:hAnsi="Palatino Linotype"/>
          <w:b/>
          <w:bCs/>
        </w:rPr>
        <w:t xml:space="preserve"> vigente al veinte (20) de agosto de dos mil diecinueve. </w:t>
      </w:r>
    </w:p>
    <w:p w14:paraId="7C014130" w14:textId="77777777" w:rsidR="00DC5EED" w:rsidRPr="007D6CE6" w:rsidRDefault="00DC5EED" w:rsidP="007D6CE6">
      <w:pPr>
        <w:spacing w:line="360" w:lineRule="auto"/>
        <w:jc w:val="both"/>
        <w:rPr>
          <w:rFonts w:ascii="Palatino Linotype" w:eastAsia="Calibri" w:hAnsi="Palatino Linotype" w:cs="Arial"/>
          <w:bCs/>
        </w:rPr>
      </w:pPr>
    </w:p>
    <w:p w14:paraId="1462860A" w14:textId="77777777" w:rsidR="00367ABF" w:rsidRPr="007D6CE6" w:rsidRDefault="00367ABF" w:rsidP="007D6CE6">
      <w:pPr>
        <w:spacing w:line="360" w:lineRule="auto"/>
        <w:jc w:val="both"/>
        <w:rPr>
          <w:rFonts w:ascii="Palatino Linotype" w:eastAsia="Calibri" w:hAnsi="Palatino Linotype" w:cs="Arial"/>
          <w:bCs/>
        </w:rPr>
      </w:pPr>
      <w:r w:rsidRPr="007D6CE6">
        <w:rPr>
          <w:rFonts w:ascii="Palatino Linotype" w:eastAsia="Calibri" w:hAnsi="Palatino Linotype" w:cs="Arial"/>
          <w:bCs/>
        </w:rPr>
        <w:t>Para el caso de que el </w:t>
      </w:r>
      <w:r w:rsidRPr="007D6CE6">
        <w:rPr>
          <w:rFonts w:ascii="Palatino Linotype" w:eastAsia="Calibri" w:hAnsi="Palatino Linotype" w:cs="Arial"/>
          <w:b/>
          <w:bCs/>
        </w:rPr>
        <w:t>SUJETO OBLIGADO</w:t>
      </w:r>
      <w:r w:rsidRPr="007D6CE6">
        <w:rPr>
          <w:rFonts w:ascii="Palatino Linotype" w:eastAsia="Calibri" w:hAnsi="Palatino Linotype" w:cs="Arial"/>
          <w:bCs/>
        </w:rPr>
        <w:t xml:space="preserve">, no localice la información señalada en los incisos anteriores deberá de emitir el Acuerdo de Inexistencia en términos de los artículos </w:t>
      </w:r>
      <w:r w:rsidRPr="007D6CE6">
        <w:rPr>
          <w:rFonts w:ascii="Palatino Linotype" w:eastAsia="Calibri" w:hAnsi="Palatino Linotype" w:cs="Arial"/>
          <w:bCs/>
        </w:rPr>
        <w:lastRenderedPageBreak/>
        <w:t>49, fracciones II y XIII, 169 y 170 de la Ley de Transparencia y Acceso a la Información Pública del Estado de México y Municipios que al respecto emita su Comité de Transparencia.</w:t>
      </w:r>
    </w:p>
    <w:p w14:paraId="4EE7680B" w14:textId="77777777" w:rsidR="00A97C63" w:rsidRPr="007D6CE6" w:rsidRDefault="00A97C63" w:rsidP="007D6CE6">
      <w:pPr>
        <w:spacing w:line="360" w:lineRule="auto"/>
        <w:jc w:val="both"/>
        <w:rPr>
          <w:rFonts w:ascii="Palatino Linotype" w:eastAsia="Calibri" w:hAnsi="Palatino Linotype" w:cs="Arial"/>
          <w:bCs/>
          <w:color w:val="000000" w:themeColor="text1"/>
        </w:rPr>
      </w:pPr>
    </w:p>
    <w:p w14:paraId="074397CC" w14:textId="77777777" w:rsidR="005D4114" w:rsidRPr="007D6CE6" w:rsidRDefault="005D4114" w:rsidP="007D6CE6">
      <w:pPr>
        <w:spacing w:line="360" w:lineRule="auto"/>
        <w:jc w:val="both"/>
        <w:rPr>
          <w:rFonts w:ascii="Palatino Linotype" w:eastAsia="MS Mincho" w:hAnsi="Palatino Linotype" w:cs="Times New Roman"/>
          <w:color w:val="000000"/>
        </w:rPr>
      </w:pPr>
      <w:r w:rsidRPr="007D6CE6">
        <w:rPr>
          <w:rFonts w:ascii="Palatino Linotype" w:eastAsia="MS Mincho" w:hAnsi="Palatino Linotype" w:cs="Times New Roman"/>
          <w:b/>
          <w:color w:val="000000"/>
        </w:rPr>
        <w:t>TERCERO.</w:t>
      </w:r>
      <w:r w:rsidRPr="007D6CE6">
        <w:rPr>
          <w:rFonts w:ascii="Palatino Linotype" w:eastAsia="MS Mincho" w:hAnsi="Palatino Linotype" w:cs="Times New Roman"/>
          <w:color w:val="000000"/>
        </w:rPr>
        <w:t xml:space="preserve"> Notifíquese al Titular de la Unidad de Transparencia del</w:t>
      </w:r>
      <w:r w:rsidRPr="007D6CE6">
        <w:rPr>
          <w:rFonts w:ascii="Palatino Linotype" w:eastAsia="MS Mincho" w:hAnsi="Palatino Linotype" w:cs="Times New Roman"/>
          <w:b/>
          <w:color w:val="000000"/>
        </w:rPr>
        <w:t xml:space="preserve"> </w:t>
      </w:r>
      <w:r w:rsidRPr="007D6CE6">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7230EE7" w14:textId="77777777" w:rsidR="005D4114" w:rsidRPr="007D6CE6" w:rsidRDefault="005D4114" w:rsidP="007D6CE6">
      <w:pPr>
        <w:spacing w:line="360" w:lineRule="auto"/>
        <w:jc w:val="both"/>
        <w:rPr>
          <w:rFonts w:ascii="Palatino Linotype" w:eastAsia="MS Mincho" w:hAnsi="Palatino Linotype" w:cs="Times New Roman"/>
          <w:color w:val="000000"/>
        </w:rPr>
      </w:pPr>
    </w:p>
    <w:p w14:paraId="26FF8AB0" w14:textId="525D73F6" w:rsidR="005D4114" w:rsidRPr="007D6CE6" w:rsidRDefault="005D4114" w:rsidP="007D6CE6">
      <w:pPr>
        <w:spacing w:line="360" w:lineRule="auto"/>
        <w:jc w:val="both"/>
        <w:rPr>
          <w:rFonts w:ascii="Palatino Linotype" w:hAnsi="Palatino Linotype"/>
          <w:b/>
        </w:rPr>
      </w:pPr>
      <w:r w:rsidRPr="007D6CE6">
        <w:rPr>
          <w:rFonts w:ascii="Palatino Linotype" w:eastAsia="MS Mincho" w:hAnsi="Palatino Linotype" w:cs="Times New Roman"/>
          <w:b/>
          <w:color w:val="000000"/>
        </w:rPr>
        <w:t xml:space="preserve">CUARTO. </w:t>
      </w:r>
      <w:r w:rsidRPr="007D6CE6">
        <w:rPr>
          <w:rFonts w:ascii="Palatino Linotype" w:eastAsia="MS Mincho" w:hAnsi="Palatino Linotype" w:cs="Times New Roman"/>
          <w:color w:val="000000"/>
        </w:rPr>
        <w:t xml:space="preserve">Notifíquese </w:t>
      </w:r>
      <w:r w:rsidR="0029494F" w:rsidRPr="0029494F">
        <w:rPr>
          <w:rFonts w:ascii="Palatino Linotype" w:eastAsia="MS Mincho" w:hAnsi="Palatino Linotype" w:cs="Times New Roman"/>
          <w:color w:val="000000"/>
          <w:highlight w:val="black"/>
        </w:rPr>
        <w:t>----------------------------</w:t>
      </w:r>
      <w:r w:rsidRPr="007D6CE6">
        <w:rPr>
          <w:rFonts w:ascii="Palatino Linotype" w:hAnsi="Palatino Linotype"/>
          <w:b/>
        </w:rPr>
        <w:t xml:space="preserve"> </w:t>
      </w:r>
      <w:r w:rsidRPr="007D6CE6">
        <w:rPr>
          <w:rFonts w:ascii="Palatino Linotype" w:hAnsi="Palatino Linotype"/>
          <w:bCs/>
        </w:rPr>
        <w:t>la</w:t>
      </w:r>
      <w:r w:rsidRPr="007D6CE6">
        <w:rPr>
          <w:rFonts w:ascii="Palatino Linotype" w:eastAsia="MS Mincho" w:hAnsi="Palatino Linotype" w:cs="Times New Roman"/>
          <w:bCs/>
          <w:color w:val="000000"/>
        </w:rPr>
        <w:t xml:space="preserve"> </w:t>
      </w:r>
      <w:r w:rsidRPr="007D6CE6">
        <w:rPr>
          <w:rFonts w:ascii="Palatino Linotype" w:eastAsia="MS Mincho" w:hAnsi="Palatino Linotype" w:cs="Times New Roman"/>
          <w:color w:val="000000"/>
        </w:rPr>
        <w:t>presente resolución.</w:t>
      </w:r>
    </w:p>
    <w:p w14:paraId="34784274" w14:textId="77777777" w:rsidR="005D4114" w:rsidRPr="007D6CE6" w:rsidRDefault="005D4114" w:rsidP="007D6CE6">
      <w:pPr>
        <w:spacing w:line="360" w:lineRule="auto"/>
        <w:jc w:val="both"/>
        <w:rPr>
          <w:rFonts w:ascii="Palatino Linotype" w:eastAsia="MS Mincho" w:hAnsi="Palatino Linotype" w:cs="Times New Roman"/>
          <w:color w:val="000000"/>
        </w:rPr>
      </w:pPr>
    </w:p>
    <w:p w14:paraId="049A1EAE" w14:textId="7812A15A" w:rsidR="005D4114" w:rsidRPr="007D6CE6" w:rsidRDefault="005D4114" w:rsidP="007D6CE6">
      <w:pPr>
        <w:spacing w:line="360" w:lineRule="auto"/>
        <w:jc w:val="both"/>
        <w:rPr>
          <w:rFonts w:ascii="Palatino Linotype" w:eastAsia="MS Mincho" w:hAnsi="Palatino Linotype" w:cs="Times New Roman"/>
          <w:color w:val="000000"/>
        </w:rPr>
      </w:pPr>
      <w:r w:rsidRPr="007D6CE6">
        <w:rPr>
          <w:rFonts w:ascii="Palatino Linotype" w:eastAsia="MS Mincho" w:hAnsi="Palatino Linotype" w:cs="Times New Roman"/>
          <w:b/>
        </w:rPr>
        <w:t>QUINTO</w:t>
      </w:r>
      <w:r w:rsidRPr="007D6CE6">
        <w:rPr>
          <w:rFonts w:ascii="Palatino Linotype" w:eastAsia="MS Mincho" w:hAnsi="Palatino Linotype" w:cs="Times New Roman"/>
          <w:b/>
          <w:color w:val="000000"/>
        </w:rPr>
        <w:t xml:space="preserve">. </w:t>
      </w:r>
      <w:r w:rsidRPr="007D6CE6">
        <w:rPr>
          <w:rFonts w:ascii="Palatino Linotype" w:eastAsia="MS Mincho" w:hAnsi="Palatino Linotype" w:cs="Times New Roman"/>
          <w:color w:val="000000"/>
        </w:rPr>
        <w:t xml:space="preserve">Se hace del conocimiento de </w:t>
      </w:r>
      <w:r w:rsidR="0029494F" w:rsidRPr="0029494F">
        <w:rPr>
          <w:rFonts w:ascii="Palatino Linotype" w:hAnsi="Palatino Linotype"/>
          <w:b/>
          <w:highlight w:val="black"/>
        </w:rPr>
        <w:t>----------------------------</w:t>
      </w:r>
      <w:r w:rsidRPr="007D6CE6">
        <w:rPr>
          <w:rFonts w:ascii="Palatino Linotype" w:hAnsi="Palatino Linotype"/>
          <w:b/>
        </w:rPr>
        <w:t xml:space="preserve"> </w:t>
      </w:r>
      <w:r w:rsidRPr="007D6CE6">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96"/>
    </w:p>
    <w:p w14:paraId="72CC45D2" w14:textId="77777777" w:rsidR="00C57929" w:rsidRPr="007D6CE6" w:rsidRDefault="00C57929" w:rsidP="007D6CE6">
      <w:pPr>
        <w:spacing w:line="360" w:lineRule="auto"/>
        <w:jc w:val="both"/>
        <w:rPr>
          <w:rFonts w:ascii="Palatino Linotype" w:eastAsia="MS Mincho" w:hAnsi="Palatino Linotype" w:cs="Times New Roman"/>
          <w:lang w:val="es-ES"/>
        </w:rPr>
      </w:pPr>
    </w:p>
    <w:p w14:paraId="5EA205FB" w14:textId="77777777" w:rsidR="00703547" w:rsidRPr="007D6CE6" w:rsidRDefault="00703547" w:rsidP="007D6CE6">
      <w:pPr>
        <w:spacing w:line="360" w:lineRule="auto"/>
        <w:jc w:val="both"/>
        <w:rPr>
          <w:rFonts w:ascii="Palatino Linotype" w:eastAsia="MS Mincho" w:hAnsi="Palatino Linotype" w:cs="Times New Roman"/>
          <w:lang w:val="es-ES"/>
        </w:rPr>
      </w:pPr>
    </w:p>
    <w:p w14:paraId="08CC52BE" w14:textId="77777777" w:rsidR="00703547" w:rsidRPr="007D6CE6" w:rsidRDefault="00703547" w:rsidP="007D6CE6">
      <w:pPr>
        <w:spacing w:line="360" w:lineRule="auto"/>
        <w:jc w:val="both"/>
        <w:rPr>
          <w:rFonts w:ascii="Palatino Linotype" w:eastAsia="MS Mincho" w:hAnsi="Palatino Linotype" w:cs="Times New Roman"/>
          <w:lang w:val="es-ES"/>
        </w:rPr>
      </w:pPr>
    </w:p>
    <w:p w14:paraId="218EED5C" w14:textId="77777777" w:rsidR="00703547" w:rsidRPr="007D6CE6" w:rsidRDefault="00703547" w:rsidP="007D6CE6">
      <w:pPr>
        <w:spacing w:line="360" w:lineRule="auto"/>
        <w:jc w:val="both"/>
        <w:rPr>
          <w:rFonts w:ascii="Palatino Linotype" w:eastAsia="MS Mincho" w:hAnsi="Palatino Linotype" w:cs="Times New Roman"/>
          <w:lang w:val="es-ES"/>
        </w:rPr>
      </w:pPr>
    </w:p>
    <w:p w14:paraId="0334ADF4" w14:textId="77777777" w:rsidR="00703547" w:rsidRPr="007D6CE6" w:rsidRDefault="00703547" w:rsidP="007D6CE6">
      <w:pPr>
        <w:spacing w:line="360" w:lineRule="auto"/>
        <w:jc w:val="both"/>
        <w:rPr>
          <w:rFonts w:ascii="Palatino Linotype" w:eastAsia="MS Mincho" w:hAnsi="Palatino Linotype" w:cs="Times New Roman"/>
          <w:lang w:val="es-ES"/>
        </w:rPr>
      </w:pPr>
    </w:p>
    <w:p w14:paraId="14F331D7" w14:textId="55618548" w:rsidR="00D12C15" w:rsidRPr="007D6CE6" w:rsidRDefault="00D12C15" w:rsidP="007D6CE6">
      <w:pPr>
        <w:spacing w:line="360" w:lineRule="auto"/>
        <w:ind w:right="49"/>
        <w:jc w:val="both"/>
        <w:rPr>
          <w:rFonts w:ascii="Palatino Linotype" w:hAnsi="Palatino Linotype" w:cs="Arial"/>
        </w:rPr>
      </w:pPr>
      <w:r w:rsidRPr="007D6CE6">
        <w:rPr>
          <w:rFonts w:ascii="Palatino Linotype" w:hAnsi="Palatino Linotype" w:cs="Arial"/>
        </w:rPr>
        <w:lastRenderedPageBreak/>
        <w:t>ASÍ LO RESUELVE, POR UNANIMIDAD DE VOTOS, EL PLENO DEL</w:t>
      </w:r>
      <w:r w:rsidRPr="007D6CE6">
        <w:rPr>
          <w:rFonts w:ascii="Palatino Linotype" w:eastAsia="Arial Unicode MS" w:hAnsi="Palatino Linotype" w:cs="Arial"/>
        </w:rPr>
        <w:t xml:space="preserve"> INSTITUTO DE TRANSPARENCIA, ACCESO A LA INFORMACIÓN PÚBLICA Y PROTECCIÓN DE DATOS PERSONALES DEL ESTADO DE MÉXICO Y MUNICIPIOS</w:t>
      </w:r>
      <w:r w:rsidRPr="007D6CE6">
        <w:rPr>
          <w:rFonts w:ascii="Palatino Linotype" w:hAnsi="Palatino Linotype" w:cs="Arial"/>
        </w:rPr>
        <w:t>, CONFORMADO POR LOS COMISIONADOS ZULEMA MARTÍNEZ SÁNCHEZ</w:t>
      </w:r>
      <w:r w:rsidR="00703547" w:rsidRPr="007D6CE6">
        <w:rPr>
          <w:rFonts w:ascii="Palatino Linotype" w:hAnsi="Palatino Linotype" w:cs="Arial"/>
        </w:rPr>
        <w:t xml:space="preserve"> CON AUSENCIA JUSTIFICADA</w:t>
      </w:r>
      <w:r w:rsidRPr="007D6CE6">
        <w:rPr>
          <w:rFonts w:ascii="Palatino Linotype" w:hAnsi="Palatino Linotype" w:cs="Arial"/>
        </w:rPr>
        <w:t>; EVA ABAID YAPUR; JOSÉ GUADALUPE LUNA HERNÁNDEZ; JAVIER MARTÍNEZ CRUZ Y LUIS GUSTA</w:t>
      </w:r>
      <w:r w:rsidR="00703547" w:rsidRPr="007D6CE6">
        <w:rPr>
          <w:rFonts w:ascii="Palatino Linotype" w:hAnsi="Palatino Linotype" w:cs="Arial"/>
        </w:rPr>
        <w:t xml:space="preserve">VO PARRA NORIEGA; EN LA CUADRAGÉSIMA SEGUNDA </w:t>
      </w:r>
      <w:r w:rsidRPr="007D6CE6">
        <w:rPr>
          <w:rFonts w:ascii="Palatino Linotype" w:hAnsi="Palatino Linotype" w:cs="Arial"/>
        </w:rPr>
        <w:t xml:space="preserve">SESIÓN </w:t>
      </w:r>
      <w:r w:rsidR="00703547" w:rsidRPr="007D6CE6">
        <w:rPr>
          <w:rFonts w:ascii="Palatino Linotype" w:hAnsi="Palatino Linotype" w:cs="Arial"/>
        </w:rPr>
        <w:t xml:space="preserve">ORDINARIA CELEBRADA EL TRECE DE NOVIEMBRE </w:t>
      </w:r>
      <w:r w:rsidRPr="007D6CE6">
        <w:rPr>
          <w:rFonts w:ascii="Palatino Linotype" w:hAnsi="Palatino Linotype" w:cs="Arial"/>
        </w:rPr>
        <w:t>DE DOS MIL DIECINUEVE ANTE EL SECRETARIO TÉCNICO DEL PLENO, ALEXIS TAPIA RAMÍREZ.</w:t>
      </w:r>
    </w:p>
    <w:p w14:paraId="5FE866DE" w14:textId="77777777" w:rsidR="00C57929" w:rsidRPr="007D6CE6" w:rsidRDefault="00C57929" w:rsidP="007D6CE6">
      <w:pPr>
        <w:spacing w:line="360" w:lineRule="auto"/>
        <w:ind w:right="49"/>
        <w:jc w:val="both"/>
        <w:rPr>
          <w:rFonts w:ascii="Palatino Linotype" w:hAnsi="Palatino Linotype" w:cs="Arial"/>
        </w:rPr>
      </w:pP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7D6CE6" w14:paraId="116AF8F2" w14:textId="77777777" w:rsidTr="00703547">
        <w:trPr>
          <w:trHeight w:val="1694"/>
        </w:trPr>
        <w:tc>
          <w:tcPr>
            <w:tcW w:w="8926" w:type="dxa"/>
            <w:gridSpan w:val="2"/>
            <w:vAlign w:val="center"/>
          </w:tcPr>
          <w:p w14:paraId="267ADD55" w14:textId="77777777" w:rsidR="00D12C15" w:rsidRPr="007D6CE6" w:rsidRDefault="00D12C15" w:rsidP="007D6CE6">
            <w:pPr>
              <w:spacing w:line="360" w:lineRule="auto"/>
              <w:rPr>
                <w:rFonts w:ascii="Palatino Linotype" w:hAnsi="Palatino Linotype" w:cs="Times New Roman"/>
                <w:b/>
                <w:color w:val="000000"/>
              </w:rPr>
            </w:pPr>
          </w:p>
          <w:p w14:paraId="3CC42C7E" w14:textId="77777777" w:rsidR="00D12C15" w:rsidRPr="007D6CE6" w:rsidRDefault="00D12C15" w:rsidP="007D6CE6">
            <w:pPr>
              <w:spacing w:line="360" w:lineRule="auto"/>
              <w:rPr>
                <w:rFonts w:ascii="Palatino Linotype" w:hAnsi="Palatino Linotype" w:cs="Times New Roman"/>
                <w:b/>
                <w:color w:val="000000"/>
              </w:rPr>
            </w:pPr>
          </w:p>
          <w:p w14:paraId="33AF176F" w14:textId="77777777" w:rsidR="00703547" w:rsidRPr="007D6CE6" w:rsidRDefault="00703547" w:rsidP="007D6CE6">
            <w:pPr>
              <w:spacing w:line="360" w:lineRule="auto"/>
              <w:rPr>
                <w:rFonts w:ascii="Palatino Linotype" w:hAnsi="Palatino Linotype" w:cs="Times New Roman"/>
                <w:b/>
                <w:color w:val="000000"/>
              </w:rPr>
            </w:pPr>
          </w:p>
          <w:p w14:paraId="5289D36E" w14:textId="77777777" w:rsidR="00D12C15" w:rsidRPr="007D6CE6" w:rsidRDefault="00D12C15" w:rsidP="007D6CE6">
            <w:pPr>
              <w:spacing w:line="360" w:lineRule="auto"/>
              <w:jc w:val="center"/>
              <w:rPr>
                <w:rFonts w:ascii="Palatino Linotype" w:hAnsi="Palatino Linotype" w:cs="Times New Roman"/>
                <w:b/>
                <w:color w:val="000000"/>
              </w:rPr>
            </w:pPr>
            <w:r w:rsidRPr="007D6CE6">
              <w:rPr>
                <w:rFonts w:ascii="Palatino Linotype" w:hAnsi="Palatino Linotype" w:cs="Times New Roman"/>
                <w:b/>
                <w:color w:val="000000"/>
              </w:rPr>
              <w:t>Zulema Martínez Sánchez</w:t>
            </w:r>
          </w:p>
          <w:p w14:paraId="0C80FCBA"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Comisionada Presidenta</w:t>
            </w:r>
          </w:p>
          <w:p w14:paraId="4B6C3646" w14:textId="3E4D39CC" w:rsidR="00D12C15" w:rsidRPr="007D6CE6" w:rsidRDefault="00703547"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(Ausencia Justificada</w:t>
            </w:r>
            <w:r w:rsidR="00D12C15" w:rsidRPr="007D6CE6">
              <w:rPr>
                <w:rFonts w:ascii="Palatino Linotype" w:hAnsi="Palatino Linotype" w:cs="Times New Roman"/>
                <w:color w:val="000000"/>
              </w:rPr>
              <w:t>)</w:t>
            </w:r>
          </w:p>
        </w:tc>
      </w:tr>
      <w:tr w:rsidR="00D12C15" w:rsidRPr="007D6CE6" w14:paraId="5E4292CB" w14:textId="77777777" w:rsidTr="00703547">
        <w:trPr>
          <w:trHeight w:val="2021"/>
        </w:trPr>
        <w:tc>
          <w:tcPr>
            <w:tcW w:w="4248" w:type="dxa"/>
            <w:vAlign w:val="center"/>
          </w:tcPr>
          <w:p w14:paraId="6CD855B1" w14:textId="77777777" w:rsidR="00D12C15" w:rsidRPr="007D6CE6" w:rsidRDefault="00D12C15" w:rsidP="007D6CE6">
            <w:pPr>
              <w:spacing w:line="360" w:lineRule="auto"/>
              <w:rPr>
                <w:rFonts w:ascii="Palatino Linotype" w:hAnsi="Palatino Linotype" w:cs="Times New Roman"/>
                <w:b/>
                <w:color w:val="000000"/>
              </w:rPr>
            </w:pPr>
          </w:p>
          <w:p w14:paraId="57D62302" w14:textId="77777777" w:rsidR="00D12C15" w:rsidRPr="007D6CE6" w:rsidRDefault="00D12C15" w:rsidP="007D6CE6">
            <w:pPr>
              <w:spacing w:line="360" w:lineRule="auto"/>
              <w:rPr>
                <w:rFonts w:ascii="Palatino Linotype" w:hAnsi="Palatino Linotype" w:cs="Times New Roman"/>
                <w:b/>
                <w:color w:val="000000"/>
              </w:rPr>
            </w:pPr>
          </w:p>
          <w:p w14:paraId="425C47E2" w14:textId="77777777" w:rsidR="00D12C15" w:rsidRPr="007D6CE6" w:rsidRDefault="00D12C15" w:rsidP="007D6CE6">
            <w:pPr>
              <w:spacing w:line="360" w:lineRule="auto"/>
              <w:jc w:val="center"/>
              <w:rPr>
                <w:rFonts w:ascii="Palatino Linotype" w:hAnsi="Palatino Linotype" w:cs="Times New Roman"/>
                <w:b/>
                <w:color w:val="000000"/>
              </w:rPr>
            </w:pPr>
            <w:r w:rsidRPr="007D6CE6">
              <w:rPr>
                <w:rFonts w:ascii="Palatino Linotype" w:hAnsi="Palatino Linotype" w:cs="Times New Roman"/>
                <w:b/>
                <w:color w:val="000000"/>
              </w:rPr>
              <w:t xml:space="preserve">Eva </w:t>
            </w:r>
            <w:proofErr w:type="spellStart"/>
            <w:r w:rsidRPr="007D6CE6">
              <w:rPr>
                <w:rFonts w:ascii="Palatino Linotype" w:hAnsi="Palatino Linotype" w:cs="Times New Roman"/>
                <w:b/>
                <w:color w:val="000000"/>
              </w:rPr>
              <w:t>Abaid</w:t>
            </w:r>
            <w:proofErr w:type="spellEnd"/>
            <w:r w:rsidRPr="007D6CE6">
              <w:rPr>
                <w:rFonts w:ascii="Palatino Linotype" w:hAnsi="Palatino Linotype" w:cs="Times New Roman"/>
                <w:b/>
                <w:color w:val="000000"/>
              </w:rPr>
              <w:t xml:space="preserve"> </w:t>
            </w:r>
            <w:proofErr w:type="spellStart"/>
            <w:r w:rsidRPr="007D6CE6">
              <w:rPr>
                <w:rFonts w:ascii="Palatino Linotype" w:hAnsi="Palatino Linotype" w:cs="Times New Roman"/>
                <w:b/>
                <w:color w:val="000000"/>
              </w:rPr>
              <w:t>Yapur</w:t>
            </w:r>
            <w:proofErr w:type="spellEnd"/>
          </w:p>
          <w:p w14:paraId="693E882F"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Comisionada</w:t>
            </w:r>
          </w:p>
          <w:p w14:paraId="1EFB602C"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(Rúbrica)</w:t>
            </w:r>
          </w:p>
        </w:tc>
        <w:tc>
          <w:tcPr>
            <w:tcW w:w="4678" w:type="dxa"/>
            <w:vAlign w:val="center"/>
          </w:tcPr>
          <w:p w14:paraId="28341617" w14:textId="77777777" w:rsidR="00CF33E5" w:rsidRPr="007D6CE6" w:rsidRDefault="00CF33E5" w:rsidP="007D6CE6">
            <w:pPr>
              <w:spacing w:line="360" w:lineRule="auto"/>
              <w:rPr>
                <w:rFonts w:ascii="Palatino Linotype" w:hAnsi="Palatino Linotype" w:cs="Times New Roman"/>
                <w:b/>
                <w:color w:val="000000"/>
              </w:rPr>
            </w:pPr>
          </w:p>
          <w:p w14:paraId="2FE02C26" w14:textId="77777777" w:rsidR="00D12C15" w:rsidRPr="007D6CE6" w:rsidRDefault="00D12C15" w:rsidP="007D6CE6">
            <w:pPr>
              <w:spacing w:line="360" w:lineRule="auto"/>
              <w:rPr>
                <w:rFonts w:ascii="Palatino Linotype" w:hAnsi="Palatino Linotype" w:cs="Times New Roman"/>
                <w:b/>
                <w:color w:val="000000"/>
              </w:rPr>
            </w:pPr>
          </w:p>
          <w:p w14:paraId="71A71047" w14:textId="77777777" w:rsidR="00D12C15" w:rsidRPr="007D6CE6" w:rsidRDefault="00D12C15" w:rsidP="007D6CE6">
            <w:pPr>
              <w:spacing w:line="360" w:lineRule="auto"/>
              <w:jc w:val="center"/>
              <w:rPr>
                <w:rFonts w:ascii="Palatino Linotype" w:hAnsi="Palatino Linotype" w:cs="Times New Roman"/>
                <w:b/>
                <w:color w:val="000000"/>
              </w:rPr>
            </w:pPr>
            <w:r w:rsidRPr="007D6CE6">
              <w:rPr>
                <w:rFonts w:ascii="Palatino Linotype" w:hAnsi="Palatino Linotype" w:cs="Times New Roman"/>
                <w:b/>
                <w:color w:val="000000"/>
              </w:rPr>
              <w:t>José Guadalupe Luna Hernández</w:t>
            </w:r>
          </w:p>
          <w:p w14:paraId="31287592"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Comisionado</w:t>
            </w:r>
          </w:p>
          <w:p w14:paraId="78332C97"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(Rúbrica)</w:t>
            </w:r>
          </w:p>
        </w:tc>
      </w:tr>
      <w:tr w:rsidR="00D12C15" w:rsidRPr="007D6CE6" w14:paraId="48B3204B" w14:textId="77777777" w:rsidTr="00703547">
        <w:trPr>
          <w:trHeight w:val="2104"/>
        </w:trPr>
        <w:tc>
          <w:tcPr>
            <w:tcW w:w="4248" w:type="dxa"/>
            <w:vAlign w:val="center"/>
          </w:tcPr>
          <w:p w14:paraId="7840ECE4" w14:textId="77777777" w:rsidR="00D12C15" w:rsidRPr="007D6CE6" w:rsidRDefault="00D12C15" w:rsidP="007D6CE6">
            <w:pPr>
              <w:spacing w:line="360" w:lineRule="auto"/>
              <w:rPr>
                <w:rFonts w:ascii="Palatino Linotype" w:hAnsi="Palatino Linotype" w:cs="Times New Roman"/>
                <w:b/>
                <w:color w:val="000000"/>
              </w:rPr>
            </w:pPr>
          </w:p>
          <w:p w14:paraId="71402BFF" w14:textId="77777777" w:rsidR="00CF33E5" w:rsidRPr="007D6CE6" w:rsidRDefault="00CF33E5" w:rsidP="007D6CE6">
            <w:pPr>
              <w:spacing w:line="360" w:lineRule="auto"/>
              <w:rPr>
                <w:rFonts w:ascii="Palatino Linotype" w:hAnsi="Palatino Linotype" w:cs="Times New Roman"/>
                <w:b/>
                <w:color w:val="000000"/>
              </w:rPr>
            </w:pPr>
          </w:p>
          <w:p w14:paraId="2159D67C" w14:textId="77777777" w:rsidR="00D12C15" w:rsidRPr="007D6CE6" w:rsidRDefault="00D12C15" w:rsidP="007D6CE6">
            <w:pPr>
              <w:spacing w:line="360" w:lineRule="auto"/>
              <w:rPr>
                <w:rFonts w:ascii="Palatino Linotype" w:hAnsi="Palatino Linotype" w:cs="Times New Roman"/>
                <w:b/>
                <w:color w:val="000000"/>
              </w:rPr>
            </w:pPr>
          </w:p>
          <w:p w14:paraId="6DCCEFDF" w14:textId="77777777" w:rsidR="00D12C15" w:rsidRPr="007D6CE6" w:rsidRDefault="00D12C15" w:rsidP="007D6CE6">
            <w:pPr>
              <w:spacing w:line="360" w:lineRule="auto"/>
              <w:jc w:val="center"/>
              <w:rPr>
                <w:rFonts w:ascii="Palatino Linotype" w:hAnsi="Palatino Linotype" w:cs="Times New Roman"/>
                <w:b/>
                <w:color w:val="000000"/>
              </w:rPr>
            </w:pPr>
            <w:r w:rsidRPr="007D6CE6">
              <w:rPr>
                <w:rFonts w:ascii="Palatino Linotype" w:hAnsi="Palatino Linotype" w:cs="Times New Roman"/>
                <w:b/>
                <w:color w:val="000000"/>
              </w:rPr>
              <w:t>Javier Martínez Cruz</w:t>
            </w:r>
          </w:p>
          <w:p w14:paraId="6A1B2064"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Comisionado</w:t>
            </w:r>
          </w:p>
          <w:p w14:paraId="2DB68933"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(Rúbrica)</w:t>
            </w:r>
          </w:p>
        </w:tc>
        <w:tc>
          <w:tcPr>
            <w:tcW w:w="4678" w:type="dxa"/>
            <w:vAlign w:val="center"/>
          </w:tcPr>
          <w:p w14:paraId="7637B5F1" w14:textId="77777777" w:rsidR="00D12C15" w:rsidRPr="007D6CE6" w:rsidRDefault="00D12C15" w:rsidP="007D6CE6">
            <w:pPr>
              <w:spacing w:line="360" w:lineRule="auto"/>
              <w:rPr>
                <w:rFonts w:ascii="Palatino Linotype" w:hAnsi="Palatino Linotype" w:cs="Times New Roman"/>
                <w:b/>
                <w:color w:val="000000"/>
              </w:rPr>
            </w:pPr>
          </w:p>
          <w:p w14:paraId="1137B650" w14:textId="77777777" w:rsidR="00D12C15" w:rsidRPr="007D6CE6" w:rsidRDefault="00D12C15" w:rsidP="007D6CE6">
            <w:pPr>
              <w:spacing w:line="360" w:lineRule="auto"/>
              <w:rPr>
                <w:rFonts w:ascii="Palatino Linotype" w:hAnsi="Palatino Linotype" w:cs="Times New Roman"/>
                <w:b/>
                <w:color w:val="000000"/>
              </w:rPr>
            </w:pPr>
          </w:p>
          <w:p w14:paraId="460A6FF7" w14:textId="77777777" w:rsidR="00D12C15" w:rsidRPr="007D6CE6" w:rsidRDefault="00D12C15" w:rsidP="007D6CE6">
            <w:pPr>
              <w:spacing w:line="360" w:lineRule="auto"/>
              <w:rPr>
                <w:rFonts w:ascii="Palatino Linotype" w:hAnsi="Palatino Linotype" w:cs="Times New Roman"/>
                <w:b/>
                <w:color w:val="000000"/>
              </w:rPr>
            </w:pPr>
          </w:p>
          <w:p w14:paraId="524BC487" w14:textId="77777777" w:rsidR="00D12C15" w:rsidRPr="007D6CE6" w:rsidRDefault="00D12C15" w:rsidP="007D6CE6">
            <w:pPr>
              <w:spacing w:line="360" w:lineRule="auto"/>
              <w:jc w:val="center"/>
              <w:rPr>
                <w:rFonts w:ascii="Palatino Linotype" w:hAnsi="Palatino Linotype" w:cs="Times New Roman"/>
                <w:b/>
                <w:color w:val="000000"/>
              </w:rPr>
            </w:pPr>
            <w:r w:rsidRPr="007D6CE6">
              <w:rPr>
                <w:rFonts w:ascii="Palatino Linotype" w:hAnsi="Palatino Linotype" w:cs="Times New Roman"/>
                <w:b/>
                <w:color w:val="000000"/>
              </w:rPr>
              <w:t>Luis Gustavo Parra Noriega</w:t>
            </w:r>
          </w:p>
          <w:p w14:paraId="3FBF5120"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Comisionado</w:t>
            </w:r>
          </w:p>
          <w:p w14:paraId="2998098D"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(Rúbrica)</w:t>
            </w:r>
          </w:p>
        </w:tc>
      </w:tr>
      <w:tr w:rsidR="00D12C15" w:rsidRPr="007D6CE6" w14:paraId="0299DCCF" w14:textId="77777777" w:rsidTr="00703547">
        <w:trPr>
          <w:trHeight w:val="2696"/>
        </w:trPr>
        <w:tc>
          <w:tcPr>
            <w:tcW w:w="8926" w:type="dxa"/>
            <w:gridSpan w:val="2"/>
            <w:vAlign w:val="center"/>
          </w:tcPr>
          <w:p w14:paraId="03671551" w14:textId="7FDF3A99" w:rsidR="00CF33E5" w:rsidRPr="007D6CE6" w:rsidRDefault="00CF33E5" w:rsidP="007D6CE6">
            <w:pPr>
              <w:spacing w:line="360" w:lineRule="auto"/>
              <w:jc w:val="center"/>
              <w:rPr>
                <w:rFonts w:ascii="Palatino Linotype" w:hAnsi="Palatino Linotype" w:cs="Times New Roman"/>
                <w:b/>
                <w:color w:val="000000"/>
              </w:rPr>
            </w:pPr>
          </w:p>
          <w:p w14:paraId="24A96492" w14:textId="77777777" w:rsidR="00CF33E5" w:rsidRPr="007D6CE6" w:rsidRDefault="00CF33E5" w:rsidP="007D6CE6">
            <w:pPr>
              <w:spacing w:line="360" w:lineRule="auto"/>
              <w:jc w:val="center"/>
              <w:rPr>
                <w:rFonts w:ascii="Palatino Linotype" w:hAnsi="Palatino Linotype" w:cs="Times New Roman"/>
                <w:b/>
                <w:color w:val="000000"/>
              </w:rPr>
            </w:pPr>
          </w:p>
          <w:p w14:paraId="11840BF6" w14:textId="77777777" w:rsidR="00CF33E5" w:rsidRPr="007D6CE6" w:rsidRDefault="00CF33E5" w:rsidP="007D6CE6">
            <w:pPr>
              <w:spacing w:line="360" w:lineRule="auto"/>
              <w:jc w:val="center"/>
              <w:rPr>
                <w:rFonts w:ascii="Palatino Linotype" w:hAnsi="Palatino Linotype" w:cs="Times New Roman"/>
                <w:b/>
                <w:color w:val="000000"/>
              </w:rPr>
            </w:pPr>
          </w:p>
          <w:p w14:paraId="290D574F" w14:textId="37A149CA" w:rsidR="00D12C15" w:rsidRPr="007D6CE6" w:rsidRDefault="00D12C15" w:rsidP="007D6CE6">
            <w:pPr>
              <w:spacing w:line="360" w:lineRule="auto"/>
              <w:jc w:val="center"/>
              <w:rPr>
                <w:rFonts w:ascii="Palatino Linotype" w:hAnsi="Palatino Linotype" w:cs="Times New Roman"/>
                <w:b/>
                <w:color w:val="000000"/>
              </w:rPr>
            </w:pPr>
            <w:r w:rsidRPr="007D6CE6">
              <w:rPr>
                <w:rFonts w:ascii="Palatino Linotype" w:hAnsi="Palatino Linotype" w:cs="Times New Roman"/>
                <w:b/>
                <w:color w:val="000000"/>
              </w:rPr>
              <w:t>Alexis Tapia Ramírez</w:t>
            </w:r>
          </w:p>
          <w:p w14:paraId="7FDB337C" w14:textId="77777777"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Secretario Técnico del Pleno</w:t>
            </w:r>
          </w:p>
          <w:p w14:paraId="6526C9BF" w14:textId="14EE8AC5" w:rsidR="00D12C15" w:rsidRPr="007D6CE6" w:rsidRDefault="00D12C15" w:rsidP="007D6CE6">
            <w:pPr>
              <w:spacing w:line="360" w:lineRule="auto"/>
              <w:jc w:val="center"/>
              <w:rPr>
                <w:rFonts w:ascii="Palatino Linotype" w:hAnsi="Palatino Linotype" w:cs="Times New Roman"/>
                <w:color w:val="000000"/>
              </w:rPr>
            </w:pPr>
            <w:r w:rsidRPr="007D6CE6">
              <w:rPr>
                <w:rFonts w:ascii="Palatino Linotype" w:hAnsi="Palatino Linotype" w:cs="Times New Roman"/>
                <w:color w:val="000000"/>
              </w:rPr>
              <w:t>(Rúbrica)</w:t>
            </w:r>
          </w:p>
          <w:p w14:paraId="11CB8475" w14:textId="77777777" w:rsidR="00CF33E5" w:rsidRPr="007D6CE6" w:rsidRDefault="00CF33E5" w:rsidP="007D6CE6">
            <w:pPr>
              <w:spacing w:line="360" w:lineRule="auto"/>
              <w:jc w:val="center"/>
              <w:rPr>
                <w:rFonts w:ascii="Palatino Linotype" w:hAnsi="Palatino Linotype" w:cs="Times New Roman"/>
                <w:color w:val="000000"/>
              </w:rPr>
            </w:pPr>
          </w:p>
          <w:p w14:paraId="294C2EC1" w14:textId="77777777" w:rsidR="00D12C15" w:rsidRPr="007D6CE6" w:rsidRDefault="00D12C15" w:rsidP="007D6CE6">
            <w:pPr>
              <w:spacing w:line="360" w:lineRule="auto"/>
              <w:jc w:val="both"/>
              <w:rPr>
                <w:rFonts w:ascii="Palatino Linotype" w:hAnsi="Palatino Linotype" w:cs="Arial"/>
              </w:rPr>
            </w:pPr>
          </w:p>
          <w:p w14:paraId="4089D414" w14:textId="393D0014" w:rsidR="00D12C15" w:rsidRPr="007D6CE6" w:rsidRDefault="00D12C15" w:rsidP="007D6CE6">
            <w:pPr>
              <w:spacing w:line="360" w:lineRule="auto"/>
              <w:jc w:val="both"/>
              <w:rPr>
                <w:rFonts w:ascii="Palatino Linotype" w:hAnsi="Palatino Linotype" w:cs="Arial"/>
                <w:bCs/>
              </w:rPr>
            </w:pPr>
            <w:r w:rsidRPr="007D6CE6">
              <w:rPr>
                <w:rFonts w:ascii="Palatino Linotype" w:hAnsi="Palatino Linotype" w:cs="Arial"/>
              </w:rPr>
              <w:t>Esta hoja corre</w:t>
            </w:r>
            <w:r w:rsidR="00703547" w:rsidRPr="007D6CE6">
              <w:rPr>
                <w:rFonts w:ascii="Palatino Linotype" w:hAnsi="Palatino Linotype" w:cs="Arial"/>
              </w:rPr>
              <w:t>sponde a la resolución de fecha trece (13) de noviembre</w:t>
            </w:r>
            <w:r w:rsidRPr="007D6CE6">
              <w:rPr>
                <w:rFonts w:ascii="Palatino Linotype" w:hAnsi="Palatino Linotype" w:cs="Arial"/>
              </w:rPr>
              <w:t xml:space="preserve"> de dos mil diecinueve, emitida</w:t>
            </w:r>
            <w:r w:rsidR="00703547" w:rsidRPr="007D6CE6">
              <w:rPr>
                <w:rFonts w:ascii="Palatino Linotype" w:hAnsi="Palatino Linotype" w:cs="Arial"/>
              </w:rPr>
              <w:t xml:space="preserve"> en el recurso</w:t>
            </w:r>
            <w:r w:rsidRPr="007D6CE6">
              <w:rPr>
                <w:rFonts w:ascii="Palatino Linotype" w:hAnsi="Palatino Linotype" w:cs="Arial"/>
              </w:rPr>
              <w:t xml:space="preserve"> de revisión </w:t>
            </w:r>
            <w:r w:rsidR="00703547" w:rsidRPr="007D6CE6">
              <w:rPr>
                <w:rFonts w:ascii="Palatino Linotype" w:hAnsi="Palatino Linotype" w:cs="Arial"/>
                <w:b/>
                <w:bCs/>
              </w:rPr>
              <w:t>07338</w:t>
            </w:r>
            <w:r w:rsidR="00C57929" w:rsidRPr="007D6CE6">
              <w:rPr>
                <w:rFonts w:ascii="Palatino Linotype" w:hAnsi="Palatino Linotype" w:cs="Arial"/>
                <w:b/>
                <w:bCs/>
              </w:rPr>
              <w:t>/INFOEM/IP/RR/2019</w:t>
            </w:r>
            <w:r w:rsidRPr="007D6CE6">
              <w:rPr>
                <w:rFonts w:ascii="Palatino Linotype" w:hAnsi="Palatino Linotype" w:cs="Arial"/>
                <w:b/>
                <w:bCs/>
              </w:rPr>
              <w:t>.</w:t>
            </w:r>
          </w:p>
        </w:tc>
      </w:tr>
    </w:tbl>
    <w:p w14:paraId="09D5B693" w14:textId="6E72F649" w:rsidR="00BB5CA9" w:rsidRPr="007D6CE6" w:rsidRDefault="00BB5CA9" w:rsidP="007D6CE6">
      <w:pPr>
        <w:spacing w:line="360" w:lineRule="auto"/>
        <w:jc w:val="both"/>
        <w:rPr>
          <w:rFonts w:ascii="Palatino Linotype" w:eastAsia="Calibri" w:hAnsi="Palatino Linotype" w:cs="Times New Roman"/>
          <w:lang w:val="es-ES" w:eastAsia="en-US"/>
        </w:rPr>
      </w:pPr>
    </w:p>
    <w:sectPr w:rsidR="00BB5CA9" w:rsidRPr="007D6CE6" w:rsidSect="00703547">
      <w:headerReference w:type="default" r:id="rId30"/>
      <w:footerReference w:type="default" r:id="rId31"/>
      <w:headerReference w:type="first" r:id="rId32"/>
      <w:footerReference w:type="first" r:id="rId33"/>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E3A04" w14:textId="77777777" w:rsidR="00976E48" w:rsidRDefault="00976E48" w:rsidP="00587366">
      <w:r>
        <w:separator/>
      </w:r>
    </w:p>
  </w:endnote>
  <w:endnote w:type="continuationSeparator" w:id="0">
    <w:p w14:paraId="02A06621" w14:textId="77777777" w:rsidR="00976E48" w:rsidRDefault="00976E4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2B60E8" w:rsidRDefault="002B60E8">
            <w:pPr>
              <w:pStyle w:val="Piedepgina"/>
              <w:jc w:val="right"/>
            </w:pPr>
            <w:r>
              <w:rPr>
                <w:lang w:val="es-ES"/>
              </w:rPr>
              <w:t xml:space="preserve">Página </w:t>
            </w:r>
            <w:r>
              <w:rPr>
                <w:b/>
                <w:bCs/>
              </w:rPr>
              <w:fldChar w:fldCharType="begin"/>
            </w:r>
            <w:r>
              <w:rPr>
                <w:b/>
                <w:bCs/>
              </w:rPr>
              <w:instrText>PAGE</w:instrText>
            </w:r>
            <w:r>
              <w:rPr>
                <w:b/>
                <w:bCs/>
              </w:rPr>
              <w:fldChar w:fldCharType="separate"/>
            </w:r>
            <w:r w:rsidR="00FA1B06">
              <w:rPr>
                <w:b/>
                <w:bCs/>
                <w:noProof/>
              </w:rPr>
              <w:t>40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A1B06">
              <w:rPr>
                <w:b/>
                <w:bCs/>
                <w:noProof/>
              </w:rPr>
              <w:t>41</w:t>
            </w:r>
            <w:r>
              <w:rPr>
                <w:b/>
                <w:bCs/>
              </w:rPr>
              <w:fldChar w:fldCharType="end"/>
            </w:r>
          </w:p>
        </w:sdtContent>
      </w:sdt>
    </w:sdtContent>
  </w:sdt>
  <w:p w14:paraId="6243EC1B" w14:textId="77777777" w:rsidR="002B60E8" w:rsidRDefault="002B60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5FBE265D" w:rsidR="002B60E8" w:rsidRDefault="002B60E8"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A1B06" w:rsidRPr="00FA1B06">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21</w:t>
    </w:r>
  </w:p>
  <w:p w14:paraId="51986DEE" w14:textId="77777777" w:rsidR="002B60E8" w:rsidRPr="00044C3F" w:rsidRDefault="002B60E8" w:rsidP="00A7130D">
    <w:pPr>
      <w:pStyle w:val="Piedepgina"/>
      <w:rPr>
        <w:rFonts w:ascii="Palatino Linotype" w:hAnsi="Palatino Linotype"/>
        <w:sz w:val="22"/>
        <w:szCs w:val="22"/>
      </w:rPr>
    </w:pPr>
  </w:p>
  <w:p w14:paraId="7AA35A9E" w14:textId="77777777" w:rsidR="002B60E8" w:rsidRDefault="002B60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30EBB" w14:textId="77777777" w:rsidR="00976E48" w:rsidRDefault="00976E48" w:rsidP="00587366">
      <w:r>
        <w:separator/>
      </w:r>
    </w:p>
  </w:footnote>
  <w:footnote w:type="continuationSeparator" w:id="0">
    <w:p w14:paraId="5D44266F" w14:textId="77777777" w:rsidR="00976E48" w:rsidRDefault="00976E48" w:rsidP="00587366">
      <w:r>
        <w:continuationSeparator/>
      </w:r>
    </w:p>
  </w:footnote>
  <w:footnote w:id="1">
    <w:p w14:paraId="33434478" w14:textId="77777777" w:rsidR="002B60E8" w:rsidRDefault="002B60E8" w:rsidP="002B60E8">
      <w:pPr>
        <w:pStyle w:val="Textonotapie"/>
      </w:pPr>
      <w:r>
        <w:rPr>
          <w:rStyle w:val="Refdenotaalpie"/>
        </w:rPr>
        <w:footnoteRef/>
      </w:r>
      <w:r>
        <w:t xml:space="preserve"> Consultable en; </w:t>
      </w:r>
      <w:hyperlink r:id="rId1" w:history="1">
        <w:r>
          <w:rPr>
            <w:rStyle w:val="Hipervnculo"/>
          </w:rPr>
          <w:t>http://www.dof.gob.mx/nota_detalle.php?codigo=5436056&amp;fecha=04/05/2016</w:t>
        </w:r>
      </w:hyperlink>
    </w:p>
  </w:footnote>
  <w:footnote w:id="2">
    <w:p w14:paraId="3A0E461C" w14:textId="603004AB" w:rsidR="002B60E8" w:rsidRDefault="002B60E8">
      <w:pPr>
        <w:pStyle w:val="Textonotapie"/>
      </w:pPr>
      <w:r>
        <w:rPr>
          <w:rStyle w:val="Refdenotaalpie"/>
        </w:rPr>
        <w:footnoteRef/>
      </w:r>
      <w:r>
        <w:t xml:space="preserve"> Consultable en; </w:t>
      </w:r>
      <w:hyperlink r:id="rId2" w:history="1">
        <w:r>
          <w:rPr>
            <w:rStyle w:val="Hipervnculo"/>
          </w:rPr>
          <w:t>http://www.dof.gob.mx/nota_detalle.php?codigo=5394003&amp;fecha=27/05/2015</w:t>
        </w:r>
      </w:hyperlink>
    </w:p>
  </w:footnote>
  <w:footnote w:id="3">
    <w:p w14:paraId="5E4A8B34" w14:textId="63720575" w:rsidR="002B60E8" w:rsidRDefault="002B60E8">
      <w:pPr>
        <w:pStyle w:val="Textonotapie"/>
      </w:pPr>
      <w:r>
        <w:rPr>
          <w:rStyle w:val="Refdenotaalpie"/>
        </w:rPr>
        <w:footnoteRef/>
      </w:r>
      <w:r>
        <w:t xml:space="preserve"> Consultable en; </w:t>
      </w:r>
      <w:hyperlink r:id="rId3" w:history="1">
        <w:r>
          <w:rPr>
            <w:rStyle w:val="Hipervnculo"/>
          </w:rPr>
          <w:t>https://legislacion.edomex.gob.mx/sites/legislacion.edomex.gob.mx/files/files/pdf/gct/2017/abr243.pdf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B60E8" w:rsidRDefault="002B60E8" w:rsidP="001C6012">
    <w:pPr>
      <w:pStyle w:val="Encabezado"/>
      <w:tabs>
        <w:tab w:val="clear" w:pos="4252"/>
        <w:tab w:val="clear" w:pos="8504"/>
        <w:tab w:val="left" w:pos="8460"/>
      </w:tabs>
    </w:pPr>
    <w:r>
      <w:tab/>
    </w:r>
  </w:p>
  <w:p w14:paraId="64F5F23E" w14:textId="390690E5" w:rsidR="002B60E8" w:rsidRDefault="002B60E8">
    <w:pPr>
      <w:pStyle w:val="Encabezado"/>
    </w:pPr>
  </w:p>
  <w:tbl>
    <w:tblPr>
      <w:tblStyle w:val="Tablaconcuadrcula"/>
      <w:tblW w:w="6379" w:type="dxa"/>
      <w:tblInd w:w="2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685"/>
    </w:tblGrid>
    <w:tr w:rsidR="002B60E8" w:rsidRPr="00674A46" w14:paraId="07F2896E" w14:textId="77777777" w:rsidTr="00262805">
      <w:trPr>
        <w:trHeight w:val="138"/>
      </w:trPr>
      <w:tc>
        <w:tcPr>
          <w:tcW w:w="2694" w:type="dxa"/>
          <w:vAlign w:val="center"/>
        </w:tcPr>
        <w:p w14:paraId="4A5B1974" w14:textId="0DBA6861" w:rsidR="002B60E8" w:rsidRPr="00674A46" w:rsidRDefault="002B60E8" w:rsidP="006E0835">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685" w:type="dxa"/>
          <w:vAlign w:val="center"/>
        </w:tcPr>
        <w:p w14:paraId="3A05B4B6" w14:textId="2969FDE2" w:rsidR="002B60E8" w:rsidRPr="00674A46" w:rsidRDefault="002B60E8" w:rsidP="006E0835">
          <w:pPr>
            <w:pStyle w:val="Encabezado"/>
            <w:jc w:val="right"/>
            <w:rPr>
              <w:rFonts w:ascii="Palatino Linotype" w:hAnsi="Palatino Linotype"/>
              <w:b/>
              <w:sz w:val="22"/>
              <w:szCs w:val="22"/>
            </w:rPr>
          </w:pPr>
          <w:r>
            <w:rPr>
              <w:rFonts w:ascii="Palatino Linotype" w:hAnsi="Palatino Linotype" w:cs="Arial"/>
              <w:b/>
              <w:bCs/>
              <w:sz w:val="22"/>
              <w:szCs w:val="22"/>
              <w:lang w:eastAsia="es-MX"/>
            </w:rPr>
            <w:t>07338/INFOEM/IP/RR/2019</w:t>
          </w:r>
        </w:p>
      </w:tc>
    </w:tr>
    <w:tr w:rsidR="002B60E8" w:rsidRPr="00674A46" w14:paraId="1B5D8690" w14:textId="77777777" w:rsidTr="00262805">
      <w:trPr>
        <w:trHeight w:val="233"/>
      </w:trPr>
      <w:tc>
        <w:tcPr>
          <w:tcW w:w="2694" w:type="dxa"/>
          <w:vAlign w:val="center"/>
        </w:tcPr>
        <w:p w14:paraId="3903F2C6" w14:textId="315EFDE2" w:rsidR="002B60E8" w:rsidRPr="00674A46" w:rsidRDefault="002B60E8" w:rsidP="006E0835">
          <w:pPr>
            <w:tabs>
              <w:tab w:val="left" w:pos="1452"/>
            </w:tabs>
            <w:ind w:left="-958" w:right="-8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685" w:type="dxa"/>
          <w:vAlign w:val="center"/>
        </w:tcPr>
        <w:p w14:paraId="03C799A2" w14:textId="5C6E4176" w:rsidR="002B60E8" w:rsidRPr="00B75F20" w:rsidRDefault="002B60E8" w:rsidP="006E0835">
          <w:pPr>
            <w:pStyle w:val="Encabezado"/>
            <w:jc w:val="right"/>
            <w:rPr>
              <w:rFonts w:ascii="Palatino Linotype" w:hAnsi="Palatino Linotype"/>
              <w:b/>
              <w:sz w:val="22"/>
              <w:szCs w:val="22"/>
            </w:rPr>
          </w:pPr>
          <w:r>
            <w:rPr>
              <w:rFonts w:ascii="Palatino Linotype" w:hAnsi="Palatino Linotype"/>
              <w:b/>
              <w:bCs/>
              <w:color w:val="000000"/>
              <w:sz w:val="22"/>
              <w:szCs w:val="22"/>
            </w:rPr>
            <w:t xml:space="preserve">Secretaría Ejecutiva del Sistema Estatal Anticorrupción  </w:t>
          </w:r>
        </w:p>
      </w:tc>
    </w:tr>
    <w:tr w:rsidR="002B60E8" w:rsidRPr="00674A46" w14:paraId="095EB01B" w14:textId="77777777" w:rsidTr="00262805">
      <w:trPr>
        <w:trHeight w:val="321"/>
      </w:trPr>
      <w:tc>
        <w:tcPr>
          <w:tcW w:w="2694" w:type="dxa"/>
          <w:vAlign w:val="center"/>
        </w:tcPr>
        <w:p w14:paraId="6E000A51" w14:textId="6CA7E78F" w:rsidR="002B60E8" w:rsidRPr="00674A46" w:rsidRDefault="002B60E8" w:rsidP="006E0835">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685" w:type="dxa"/>
          <w:vAlign w:val="center"/>
        </w:tcPr>
        <w:p w14:paraId="07560085" w14:textId="05E7D8A2" w:rsidR="002B60E8" w:rsidRPr="00674A46" w:rsidRDefault="002B60E8" w:rsidP="006E083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B60E8" w:rsidRDefault="002B60E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B60E8" w:rsidRDefault="002B60E8" w:rsidP="00472C41">
    <w:pPr>
      <w:pStyle w:val="Encabezado"/>
      <w:tabs>
        <w:tab w:val="clear" w:pos="4252"/>
        <w:tab w:val="clear" w:pos="8504"/>
        <w:tab w:val="left" w:pos="3103"/>
      </w:tabs>
    </w:pPr>
    <w:r>
      <w:tab/>
    </w:r>
  </w:p>
  <w:tbl>
    <w:tblPr>
      <w:tblStyle w:val="Tablaconcuadrcula"/>
      <w:tblW w:w="6215" w:type="dxa"/>
      <w:tblInd w:w="2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686"/>
    </w:tblGrid>
    <w:tr w:rsidR="002B60E8" w:rsidRPr="000678F0" w14:paraId="0A3256F2" w14:textId="77777777" w:rsidTr="00262805">
      <w:trPr>
        <w:trHeight w:val="138"/>
      </w:trPr>
      <w:tc>
        <w:tcPr>
          <w:tcW w:w="2529" w:type="dxa"/>
          <w:vAlign w:val="center"/>
        </w:tcPr>
        <w:p w14:paraId="3D80769D" w14:textId="623C8B64" w:rsidR="002B60E8" w:rsidRPr="000678F0" w:rsidRDefault="002B60E8" w:rsidP="001A0A78">
          <w:pPr>
            <w:rPr>
              <w:rFonts w:ascii="Palatino Linotype" w:hAnsi="Palatino Linotype"/>
              <w:b/>
              <w:sz w:val="22"/>
              <w:szCs w:val="22"/>
            </w:rPr>
          </w:pPr>
          <w:r w:rsidRPr="000678F0">
            <w:rPr>
              <w:rFonts w:ascii="Palatino Linotype" w:hAnsi="Palatino Linotype"/>
              <w:b/>
              <w:sz w:val="22"/>
              <w:szCs w:val="22"/>
            </w:rPr>
            <w:t>Recurso de Revisión:</w:t>
          </w:r>
        </w:p>
      </w:tc>
      <w:tc>
        <w:tcPr>
          <w:tcW w:w="3686" w:type="dxa"/>
          <w:vAlign w:val="center"/>
        </w:tcPr>
        <w:p w14:paraId="0453495E" w14:textId="31260C38" w:rsidR="002B60E8" w:rsidRPr="000678F0" w:rsidRDefault="002B60E8" w:rsidP="006E0835">
          <w:pPr>
            <w:pStyle w:val="Encabezado"/>
            <w:jc w:val="right"/>
            <w:rPr>
              <w:rFonts w:ascii="Palatino Linotype" w:hAnsi="Palatino Linotype"/>
              <w:b/>
              <w:sz w:val="22"/>
              <w:szCs w:val="22"/>
            </w:rPr>
          </w:pPr>
          <w:r w:rsidRPr="000678F0">
            <w:rPr>
              <w:rFonts w:ascii="Palatino Linotype" w:hAnsi="Palatino Linotype" w:cs="Arial"/>
              <w:b/>
              <w:bCs/>
              <w:sz w:val="22"/>
              <w:szCs w:val="22"/>
              <w:lang w:eastAsia="es-MX"/>
            </w:rPr>
            <w:t>0</w:t>
          </w:r>
          <w:r>
            <w:rPr>
              <w:rFonts w:ascii="Palatino Linotype" w:hAnsi="Palatino Linotype" w:cs="Arial"/>
              <w:b/>
              <w:bCs/>
              <w:sz w:val="22"/>
              <w:szCs w:val="22"/>
              <w:lang w:eastAsia="es-MX"/>
            </w:rPr>
            <w:t>7338</w:t>
          </w:r>
          <w:r w:rsidRPr="000678F0">
            <w:rPr>
              <w:rFonts w:ascii="Palatino Linotype" w:hAnsi="Palatino Linotype" w:cs="Arial"/>
              <w:b/>
              <w:bCs/>
              <w:sz w:val="22"/>
              <w:szCs w:val="22"/>
              <w:lang w:eastAsia="es-MX"/>
            </w:rPr>
            <w:t>/INFOEM/IP/RR/2019</w:t>
          </w:r>
        </w:p>
      </w:tc>
    </w:tr>
    <w:tr w:rsidR="002B60E8" w:rsidRPr="000678F0" w14:paraId="128C8B3C" w14:textId="77777777" w:rsidTr="00262805">
      <w:trPr>
        <w:trHeight w:val="233"/>
      </w:trPr>
      <w:tc>
        <w:tcPr>
          <w:tcW w:w="2529" w:type="dxa"/>
          <w:vAlign w:val="center"/>
        </w:tcPr>
        <w:p w14:paraId="483E3371" w14:textId="5999DE5F" w:rsidR="002B60E8" w:rsidRPr="000678F0" w:rsidRDefault="002B60E8" w:rsidP="001A0A78">
          <w:pPr>
            <w:rPr>
              <w:rFonts w:ascii="Palatino Linotype" w:hAnsi="Palatino Linotype"/>
              <w:b/>
              <w:sz w:val="22"/>
              <w:szCs w:val="22"/>
            </w:rPr>
          </w:pPr>
          <w:r w:rsidRPr="000678F0">
            <w:rPr>
              <w:rFonts w:ascii="Palatino Linotype" w:hAnsi="Palatino Linotype"/>
              <w:b/>
              <w:sz w:val="22"/>
              <w:szCs w:val="22"/>
            </w:rPr>
            <w:t xml:space="preserve"> Recurrente:</w:t>
          </w:r>
        </w:p>
      </w:tc>
      <w:tc>
        <w:tcPr>
          <w:tcW w:w="3686" w:type="dxa"/>
        </w:tcPr>
        <w:p w14:paraId="1548525E" w14:textId="475A4D53" w:rsidR="002B60E8" w:rsidRPr="000678F0" w:rsidRDefault="0028351C" w:rsidP="006E0835">
          <w:pPr>
            <w:pStyle w:val="Encabezado"/>
            <w:jc w:val="right"/>
            <w:rPr>
              <w:rFonts w:ascii="Palatino Linotype" w:hAnsi="Palatino Linotype"/>
              <w:b/>
              <w:sz w:val="22"/>
              <w:szCs w:val="22"/>
            </w:rPr>
          </w:pPr>
          <w:r w:rsidRPr="0028351C">
            <w:rPr>
              <w:rFonts w:ascii="Palatino Linotype" w:hAnsi="Palatino Linotype"/>
              <w:b/>
              <w:sz w:val="22"/>
              <w:szCs w:val="22"/>
              <w:highlight w:val="black"/>
            </w:rPr>
            <w:t>--------------------------------</w:t>
          </w:r>
          <w:r w:rsidR="002B60E8">
            <w:rPr>
              <w:rFonts w:ascii="Palatino Linotype" w:hAnsi="Palatino Linotype"/>
              <w:b/>
              <w:sz w:val="22"/>
              <w:szCs w:val="22"/>
            </w:rPr>
            <w:t xml:space="preserve"> </w:t>
          </w:r>
          <w:r w:rsidR="002B60E8" w:rsidRPr="000678F0">
            <w:rPr>
              <w:rFonts w:ascii="Palatino Linotype" w:hAnsi="Palatino Linotype"/>
              <w:b/>
              <w:sz w:val="22"/>
              <w:szCs w:val="22"/>
            </w:rPr>
            <w:t xml:space="preserve"> </w:t>
          </w:r>
        </w:p>
      </w:tc>
    </w:tr>
    <w:tr w:rsidR="002B60E8" w:rsidRPr="000678F0" w14:paraId="41BE0704" w14:textId="77777777" w:rsidTr="00262805">
      <w:trPr>
        <w:trHeight w:val="321"/>
      </w:trPr>
      <w:tc>
        <w:tcPr>
          <w:tcW w:w="2529" w:type="dxa"/>
          <w:vAlign w:val="center"/>
        </w:tcPr>
        <w:p w14:paraId="34C64148" w14:textId="62F121EB" w:rsidR="002B60E8" w:rsidRPr="000678F0" w:rsidRDefault="002B60E8" w:rsidP="001A0A78">
          <w:pPr>
            <w:rPr>
              <w:rFonts w:ascii="Palatino Linotype" w:hAnsi="Palatino Linotype"/>
              <w:b/>
              <w:sz w:val="22"/>
              <w:szCs w:val="22"/>
            </w:rPr>
          </w:pPr>
          <w:r w:rsidRPr="000678F0">
            <w:rPr>
              <w:rFonts w:ascii="Palatino Linotype" w:hAnsi="Palatino Linotype"/>
              <w:b/>
              <w:sz w:val="22"/>
              <w:szCs w:val="22"/>
            </w:rPr>
            <w:t>Sujeto Obligado:</w:t>
          </w:r>
        </w:p>
      </w:tc>
      <w:tc>
        <w:tcPr>
          <w:tcW w:w="3686" w:type="dxa"/>
          <w:vAlign w:val="center"/>
        </w:tcPr>
        <w:p w14:paraId="34C341BF" w14:textId="2B970B0A" w:rsidR="002B60E8" w:rsidRPr="000678F0" w:rsidRDefault="002B60E8" w:rsidP="009B6D4B">
          <w:pPr>
            <w:pStyle w:val="Encabezado"/>
            <w:jc w:val="right"/>
            <w:rPr>
              <w:rFonts w:ascii="Palatino Linotype" w:hAnsi="Palatino Linotype"/>
              <w:b/>
              <w:bCs/>
              <w:color w:val="000000"/>
              <w:sz w:val="22"/>
              <w:szCs w:val="22"/>
            </w:rPr>
          </w:pPr>
          <w:r>
            <w:rPr>
              <w:rFonts w:ascii="Palatino Linotype" w:hAnsi="Palatino Linotype"/>
              <w:b/>
              <w:bCs/>
              <w:color w:val="000000"/>
              <w:sz w:val="22"/>
              <w:szCs w:val="22"/>
            </w:rPr>
            <w:t>Secretaría Ejecutiva del Sistema Estatal Anticorrupción</w:t>
          </w:r>
        </w:p>
      </w:tc>
    </w:tr>
    <w:tr w:rsidR="002B60E8" w:rsidRPr="000678F0" w14:paraId="0C8B6193" w14:textId="77777777" w:rsidTr="00262805">
      <w:trPr>
        <w:trHeight w:val="321"/>
      </w:trPr>
      <w:tc>
        <w:tcPr>
          <w:tcW w:w="2529" w:type="dxa"/>
          <w:vAlign w:val="center"/>
        </w:tcPr>
        <w:p w14:paraId="321FFAFF" w14:textId="73D4C75C" w:rsidR="002B60E8" w:rsidRPr="000678F0" w:rsidRDefault="002B60E8" w:rsidP="001A0A78">
          <w:pPr>
            <w:rPr>
              <w:rFonts w:ascii="Palatino Linotype" w:hAnsi="Palatino Linotype"/>
              <w:b/>
              <w:sz w:val="22"/>
              <w:szCs w:val="22"/>
            </w:rPr>
          </w:pPr>
          <w:r w:rsidRPr="000678F0">
            <w:rPr>
              <w:rFonts w:ascii="Palatino Linotype" w:hAnsi="Palatino Linotype"/>
              <w:b/>
              <w:sz w:val="22"/>
              <w:szCs w:val="22"/>
            </w:rPr>
            <w:t>Comisionado Ponente:</w:t>
          </w:r>
        </w:p>
      </w:tc>
      <w:tc>
        <w:tcPr>
          <w:tcW w:w="3686" w:type="dxa"/>
          <w:vAlign w:val="center"/>
        </w:tcPr>
        <w:p w14:paraId="0FECDA9D" w14:textId="77777777" w:rsidR="002B60E8" w:rsidRPr="000678F0" w:rsidRDefault="002B60E8" w:rsidP="006E0835">
          <w:pPr>
            <w:pStyle w:val="Encabezado"/>
            <w:jc w:val="right"/>
            <w:rPr>
              <w:rFonts w:ascii="Palatino Linotype" w:hAnsi="Palatino Linotype"/>
              <w:b/>
              <w:sz w:val="22"/>
              <w:szCs w:val="22"/>
            </w:rPr>
          </w:pPr>
          <w:r w:rsidRPr="000678F0">
            <w:rPr>
              <w:rFonts w:ascii="Palatino Linotype" w:hAnsi="Palatino Linotype"/>
              <w:b/>
              <w:sz w:val="22"/>
              <w:szCs w:val="22"/>
            </w:rPr>
            <w:t>José Guadalupe Luna Hernández</w:t>
          </w:r>
        </w:p>
      </w:tc>
    </w:tr>
  </w:tbl>
  <w:p w14:paraId="156B5574" w14:textId="3EA5B995" w:rsidR="002B60E8" w:rsidRDefault="002B60E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0F9"/>
    <w:multiLevelType w:val="hybridMultilevel"/>
    <w:tmpl w:val="AC223C0C"/>
    <w:lvl w:ilvl="0" w:tplc="64DE2DBA">
      <w:start w:val="1"/>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AB308D9"/>
    <w:multiLevelType w:val="hybridMultilevel"/>
    <w:tmpl w:val="211ED912"/>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20C605FD"/>
    <w:multiLevelType w:val="hybridMultilevel"/>
    <w:tmpl w:val="D6B8D95A"/>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 w15:restartNumberingAfterBreak="0">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8D32BC"/>
    <w:multiLevelType w:val="hybridMultilevel"/>
    <w:tmpl w:val="127C8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2EEEA76E"/>
    <w:lvl w:ilvl="0" w:tplc="269A6166">
      <w:start w:val="1"/>
      <w:numFmt w:val="decimal"/>
      <w:lvlText w:val="%1."/>
      <w:lvlJc w:val="left"/>
      <w:pPr>
        <w:ind w:left="135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504D9E"/>
    <w:multiLevelType w:val="hybridMultilevel"/>
    <w:tmpl w:val="B31821C4"/>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71DD7B94"/>
    <w:multiLevelType w:val="hybridMultilevel"/>
    <w:tmpl w:val="89DAD1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0"/>
  </w:num>
  <w:num w:numId="4">
    <w:abstractNumId w:val="0"/>
  </w:num>
  <w:num w:numId="5">
    <w:abstractNumId w:val="12"/>
  </w:num>
  <w:num w:numId="6">
    <w:abstractNumId w:val="1"/>
  </w:num>
  <w:num w:numId="7">
    <w:abstractNumId w:val="9"/>
  </w:num>
  <w:num w:numId="8">
    <w:abstractNumId w:val="7"/>
  </w:num>
  <w:num w:numId="9">
    <w:abstractNumId w:val="5"/>
  </w:num>
  <w:num w:numId="10">
    <w:abstractNumId w:val="2"/>
  </w:num>
  <w:num w:numId="11">
    <w:abstractNumId w:val="8"/>
  </w:num>
  <w:num w:numId="12">
    <w:abstractNumId w:val="13"/>
  </w:num>
  <w:num w:numId="13">
    <w:abstractNumId w:val="4"/>
  </w:num>
  <w:num w:numId="14">
    <w:abstractNumId w:val="11"/>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15DB"/>
    <w:rsid w:val="000120C5"/>
    <w:rsid w:val="00012472"/>
    <w:rsid w:val="0001398B"/>
    <w:rsid w:val="00017513"/>
    <w:rsid w:val="000203D3"/>
    <w:rsid w:val="000211F8"/>
    <w:rsid w:val="00024F35"/>
    <w:rsid w:val="00026DB2"/>
    <w:rsid w:val="0003063D"/>
    <w:rsid w:val="000319FD"/>
    <w:rsid w:val="00031F10"/>
    <w:rsid w:val="00032493"/>
    <w:rsid w:val="00032766"/>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01EF"/>
    <w:rsid w:val="00061344"/>
    <w:rsid w:val="00061C19"/>
    <w:rsid w:val="00062648"/>
    <w:rsid w:val="000631D9"/>
    <w:rsid w:val="0006407E"/>
    <w:rsid w:val="00064A37"/>
    <w:rsid w:val="00064B95"/>
    <w:rsid w:val="0006594F"/>
    <w:rsid w:val="000678F0"/>
    <w:rsid w:val="0007192E"/>
    <w:rsid w:val="00072930"/>
    <w:rsid w:val="000800AC"/>
    <w:rsid w:val="000814AC"/>
    <w:rsid w:val="0008230A"/>
    <w:rsid w:val="00082D11"/>
    <w:rsid w:val="00082F81"/>
    <w:rsid w:val="00084E04"/>
    <w:rsid w:val="0008542A"/>
    <w:rsid w:val="00086D80"/>
    <w:rsid w:val="00090D6F"/>
    <w:rsid w:val="00095D20"/>
    <w:rsid w:val="000A1F70"/>
    <w:rsid w:val="000A24C0"/>
    <w:rsid w:val="000A3F90"/>
    <w:rsid w:val="000A4E44"/>
    <w:rsid w:val="000A5CBA"/>
    <w:rsid w:val="000A77ED"/>
    <w:rsid w:val="000A7D8E"/>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3888"/>
    <w:rsid w:val="00107499"/>
    <w:rsid w:val="00107557"/>
    <w:rsid w:val="0011001E"/>
    <w:rsid w:val="0011041A"/>
    <w:rsid w:val="0011167C"/>
    <w:rsid w:val="00112B02"/>
    <w:rsid w:val="001133D2"/>
    <w:rsid w:val="00113BD3"/>
    <w:rsid w:val="0011458B"/>
    <w:rsid w:val="00114A21"/>
    <w:rsid w:val="0012006D"/>
    <w:rsid w:val="001208F3"/>
    <w:rsid w:val="00121D51"/>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1DB"/>
    <w:rsid w:val="00163780"/>
    <w:rsid w:val="00163B1F"/>
    <w:rsid w:val="001648EE"/>
    <w:rsid w:val="00164B65"/>
    <w:rsid w:val="00166794"/>
    <w:rsid w:val="00170D28"/>
    <w:rsid w:val="00173DDB"/>
    <w:rsid w:val="0017653A"/>
    <w:rsid w:val="001775DF"/>
    <w:rsid w:val="00183E00"/>
    <w:rsid w:val="0018435D"/>
    <w:rsid w:val="00184881"/>
    <w:rsid w:val="001854E7"/>
    <w:rsid w:val="0018629C"/>
    <w:rsid w:val="00186E9D"/>
    <w:rsid w:val="00190999"/>
    <w:rsid w:val="0019160F"/>
    <w:rsid w:val="00192E4B"/>
    <w:rsid w:val="001935E5"/>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B7C5A"/>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4D72"/>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1FFB"/>
    <w:rsid w:val="00223507"/>
    <w:rsid w:val="0022353C"/>
    <w:rsid w:val="00230170"/>
    <w:rsid w:val="002305CF"/>
    <w:rsid w:val="002345FF"/>
    <w:rsid w:val="00234A2F"/>
    <w:rsid w:val="00237611"/>
    <w:rsid w:val="0024046D"/>
    <w:rsid w:val="00240C39"/>
    <w:rsid w:val="00241FD2"/>
    <w:rsid w:val="00244476"/>
    <w:rsid w:val="00245D77"/>
    <w:rsid w:val="00245DD2"/>
    <w:rsid w:val="0024659E"/>
    <w:rsid w:val="00252A20"/>
    <w:rsid w:val="00252B41"/>
    <w:rsid w:val="0025524F"/>
    <w:rsid w:val="00260C1D"/>
    <w:rsid w:val="00261001"/>
    <w:rsid w:val="00261D84"/>
    <w:rsid w:val="00262805"/>
    <w:rsid w:val="00264D02"/>
    <w:rsid w:val="0026500D"/>
    <w:rsid w:val="00265CAE"/>
    <w:rsid w:val="00265CD7"/>
    <w:rsid w:val="002665BD"/>
    <w:rsid w:val="00271B06"/>
    <w:rsid w:val="00273013"/>
    <w:rsid w:val="00273C37"/>
    <w:rsid w:val="0027430D"/>
    <w:rsid w:val="00274F7F"/>
    <w:rsid w:val="00276C63"/>
    <w:rsid w:val="00277A35"/>
    <w:rsid w:val="00280994"/>
    <w:rsid w:val="0028165C"/>
    <w:rsid w:val="0028351C"/>
    <w:rsid w:val="002871EB"/>
    <w:rsid w:val="002879B1"/>
    <w:rsid w:val="00290631"/>
    <w:rsid w:val="00293AAD"/>
    <w:rsid w:val="00293D6D"/>
    <w:rsid w:val="0029494F"/>
    <w:rsid w:val="00296055"/>
    <w:rsid w:val="002A07F4"/>
    <w:rsid w:val="002A229B"/>
    <w:rsid w:val="002A2974"/>
    <w:rsid w:val="002A35B6"/>
    <w:rsid w:val="002A61A7"/>
    <w:rsid w:val="002A7537"/>
    <w:rsid w:val="002B085C"/>
    <w:rsid w:val="002B284F"/>
    <w:rsid w:val="002B2A2E"/>
    <w:rsid w:val="002B2F59"/>
    <w:rsid w:val="002B4D21"/>
    <w:rsid w:val="002B60E8"/>
    <w:rsid w:val="002B66FB"/>
    <w:rsid w:val="002C0074"/>
    <w:rsid w:val="002C0804"/>
    <w:rsid w:val="002C2D44"/>
    <w:rsid w:val="002C37EF"/>
    <w:rsid w:val="002C4715"/>
    <w:rsid w:val="002C4780"/>
    <w:rsid w:val="002C47ED"/>
    <w:rsid w:val="002C481B"/>
    <w:rsid w:val="002C484A"/>
    <w:rsid w:val="002C570D"/>
    <w:rsid w:val="002C6DB3"/>
    <w:rsid w:val="002C78A2"/>
    <w:rsid w:val="002D0E3D"/>
    <w:rsid w:val="002D10C8"/>
    <w:rsid w:val="002D1A38"/>
    <w:rsid w:val="002D2E16"/>
    <w:rsid w:val="002D373C"/>
    <w:rsid w:val="002D3F95"/>
    <w:rsid w:val="002D51CC"/>
    <w:rsid w:val="002D59F1"/>
    <w:rsid w:val="002E1FA2"/>
    <w:rsid w:val="002E482C"/>
    <w:rsid w:val="002E4A6D"/>
    <w:rsid w:val="002E5399"/>
    <w:rsid w:val="002E6531"/>
    <w:rsid w:val="002E689B"/>
    <w:rsid w:val="002E6CFE"/>
    <w:rsid w:val="002E7412"/>
    <w:rsid w:val="002E74CE"/>
    <w:rsid w:val="002E7AD0"/>
    <w:rsid w:val="002F1871"/>
    <w:rsid w:val="002F287A"/>
    <w:rsid w:val="002F3672"/>
    <w:rsid w:val="002F5CC5"/>
    <w:rsid w:val="002F72FA"/>
    <w:rsid w:val="00300662"/>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090"/>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4973"/>
    <w:rsid w:val="00345B79"/>
    <w:rsid w:val="00345D0F"/>
    <w:rsid w:val="00346885"/>
    <w:rsid w:val="003472B3"/>
    <w:rsid w:val="00350A12"/>
    <w:rsid w:val="0035104F"/>
    <w:rsid w:val="00355AEE"/>
    <w:rsid w:val="00355D3B"/>
    <w:rsid w:val="00357253"/>
    <w:rsid w:val="0036073F"/>
    <w:rsid w:val="00361A0C"/>
    <w:rsid w:val="00361DBA"/>
    <w:rsid w:val="003629EE"/>
    <w:rsid w:val="003641F0"/>
    <w:rsid w:val="003643B3"/>
    <w:rsid w:val="003656E5"/>
    <w:rsid w:val="00367ABF"/>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6DD2"/>
    <w:rsid w:val="003A7221"/>
    <w:rsid w:val="003A730E"/>
    <w:rsid w:val="003B0F46"/>
    <w:rsid w:val="003B2856"/>
    <w:rsid w:val="003B2A0D"/>
    <w:rsid w:val="003B45B6"/>
    <w:rsid w:val="003B50CD"/>
    <w:rsid w:val="003B55AD"/>
    <w:rsid w:val="003B565C"/>
    <w:rsid w:val="003B7421"/>
    <w:rsid w:val="003B76BA"/>
    <w:rsid w:val="003B7EC4"/>
    <w:rsid w:val="003C301E"/>
    <w:rsid w:val="003C3086"/>
    <w:rsid w:val="003C7282"/>
    <w:rsid w:val="003D00D5"/>
    <w:rsid w:val="003D181D"/>
    <w:rsid w:val="003D1FA5"/>
    <w:rsid w:val="003D20C4"/>
    <w:rsid w:val="003D3C1A"/>
    <w:rsid w:val="003D4188"/>
    <w:rsid w:val="003D46D0"/>
    <w:rsid w:val="003D5C82"/>
    <w:rsid w:val="003E5E39"/>
    <w:rsid w:val="003E6679"/>
    <w:rsid w:val="003E6D0F"/>
    <w:rsid w:val="003E712E"/>
    <w:rsid w:val="003F0079"/>
    <w:rsid w:val="003F0113"/>
    <w:rsid w:val="003F0B55"/>
    <w:rsid w:val="003F140F"/>
    <w:rsid w:val="003F15DB"/>
    <w:rsid w:val="003F2702"/>
    <w:rsid w:val="003F2778"/>
    <w:rsid w:val="003F36A4"/>
    <w:rsid w:val="003F70CA"/>
    <w:rsid w:val="00400071"/>
    <w:rsid w:val="0040137F"/>
    <w:rsid w:val="00402179"/>
    <w:rsid w:val="0040278D"/>
    <w:rsid w:val="004068D1"/>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66F92"/>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5994"/>
    <w:rsid w:val="004D68F8"/>
    <w:rsid w:val="004D6D19"/>
    <w:rsid w:val="004D71C0"/>
    <w:rsid w:val="004E0F92"/>
    <w:rsid w:val="004E11D8"/>
    <w:rsid w:val="004E3C72"/>
    <w:rsid w:val="004E4879"/>
    <w:rsid w:val="004E58A2"/>
    <w:rsid w:val="004E5988"/>
    <w:rsid w:val="004E6E3A"/>
    <w:rsid w:val="004F0996"/>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C72"/>
    <w:rsid w:val="00527E7A"/>
    <w:rsid w:val="00531594"/>
    <w:rsid w:val="00533EF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0E8"/>
    <w:rsid w:val="00556B04"/>
    <w:rsid w:val="00562B0A"/>
    <w:rsid w:val="00562CCE"/>
    <w:rsid w:val="00565D93"/>
    <w:rsid w:val="005661C1"/>
    <w:rsid w:val="005669D6"/>
    <w:rsid w:val="00566C3D"/>
    <w:rsid w:val="00567998"/>
    <w:rsid w:val="00571419"/>
    <w:rsid w:val="005734F6"/>
    <w:rsid w:val="005759CD"/>
    <w:rsid w:val="00576DD2"/>
    <w:rsid w:val="00577884"/>
    <w:rsid w:val="0058070F"/>
    <w:rsid w:val="00580873"/>
    <w:rsid w:val="0058170B"/>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4114"/>
    <w:rsid w:val="005D622E"/>
    <w:rsid w:val="005E0318"/>
    <w:rsid w:val="005E11D5"/>
    <w:rsid w:val="005E2296"/>
    <w:rsid w:val="005E34D4"/>
    <w:rsid w:val="005E3AE2"/>
    <w:rsid w:val="005E3FDE"/>
    <w:rsid w:val="005E55F2"/>
    <w:rsid w:val="005E5F08"/>
    <w:rsid w:val="005E68FC"/>
    <w:rsid w:val="005F473D"/>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71D"/>
    <w:rsid w:val="0064393B"/>
    <w:rsid w:val="00644375"/>
    <w:rsid w:val="00644A5C"/>
    <w:rsid w:val="00646A08"/>
    <w:rsid w:val="00647B49"/>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32"/>
    <w:rsid w:val="00676959"/>
    <w:rsid w:val="00676C6B"/>
    <w:rsid w:val="00680F25"/>
    <w:rsid w:val="00685689"/>
    <w:rsid w:val="0068594B"/>
    <w:rsid w:val="0068628C"/>
    <w:rsid w:val="00686B04"/>
    <w:rsid w:val="00687D49"/>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4814"/>
    <w:rsid w:val="006A53A9"/>
    <w:rsid w:val="006B004E"/>
    <w:rsid w:val="006B0198"/>
    <w:rsid w:val="006B10C6"/>
    <w:rsid w:val="006B12E8"/>
    <w:rsid w:val="006B13FB"/>
    <w:rsid w:val="006B1C19"/>
    <w:rsid w:val="006B3588"/>
    <w:rsid w:val="006B5FE4"/>
    <w:rsid w:val="006B7A58"/>
    <w:rsid w:val="006C26B3"/>
    <w:rsid w:val="006C2FEE"/>
    <w:rsid w:val="006C3FB0"/>
    <w:rsid w:val="006C50C2"/>
    <w:rsid w:val="006C563A"/>
    <w:rsid w:val="006C6E1A"/>
    <w:rsid w:val="006D27EF"/>
    <w:rsid w:val="006D52D1"/>
    <w:rsid w:val="006E013D"/>
    <w:rsid w:val="006E0835"/>
    <w:rsid w:val="006E1056"/>
    <w:rsid w:val="006E3985"/>
    <w:rsid w:val="006E3A2A"/>
    <w:rsid w:val="006E3C4C"/>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05FA"/>
    <w:rsid w:val="00703547"/>
    <w:rsid w:val="007049C8"/>
    <w:rsid w:val="007050B1"/>
    <w:rsid w:val="00707096"/>
    <w:rsid w:val="007136BC"/>
    <w:rsid w:val="00714576"/>
    <w:rsid w:val="00715A04"/>
    <w:rsid w:val="00721335"/>
    <w:rsid w:val="00721924"/>
    <w:rsid w:val="00721F66"/>
    <w:rsid w:val="00722B93"/>
    <w:rsid w:val="0072375D"/>
    <w:rsid w:val="00727950"/>
    <w:rsid w:val="00731F1F"/>
    <w:rsid w:val="007357B8"/>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0B8A"/>
    <w:rsid w:val="0077109F"/>
    <w:rsid w:val="00771D7C"/>
    <w:rsid w:val="007721A1"/>
    <w:rsid w:val="00774A5F"/>
    <w:rsid w:val="00774DFD"/>
    <w:rsid w:val="007753FA"/>
    <w:rsid w:val="0077544D"/>
    <w:rsid w:val="007764C8"/>
    <w:rsid w:val="00776A0E"/>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2F0D"/>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6CE6"/>
    <w:rsid w:val="007D7B38"/>
    <w:rsid w:val="007D7EF3"/>
    <w:rsid w:val="007E4E68"/>
    <w:rsid w:val="007E5125"/>
    <w:rsid w:val="007E5DB4"/>
    <w:rsid w:val="007F0617"/>
    <w:rsid w:val="007F3CB7"/>
    <w:rsid w:val="007F64B9"/>
    <w:rsid w:val="007F729E"/>
    <w:rsid w:val="00800E69"/>
    <w:rsid w:val="008039C2"/>
    <w:rsid w:val="008046E4"/>
    <w:rsid w:val="008055FF"/>
    <w:rsid w:val="008058EB"/>
    <w:rsid w:val="00810F94"/>
    <w:rsid w:val="008167F5"/>
    <w:rsid w:val="00817541"/>
    <w:rsid w:val="0081794B"/>
    <w:rsid w:val="00817D8E"/>
    <w:rsid w:val="008200A3"/>
    <w:rsid w:val="00820BF2"/>
    <w:rsid w:val="008225F5"/>
    <w:rsid w:val="00824C4E"/>
    <w:rsid w:val="008264EE"/>
    <w:rsid w:val="00833E4C"/>
    <w:rsid w:val="0083555F"/>
    <w:rsid w:val="00836224"/>
    <w:rsid w:val="00837BE4"/>
    <w:rsid w:val="00840559"/>
    <w:rsid w:val="008421F7"/>
    <w:rsid w:val="00843153"/>
    <w:rsid w:val="00843727"/>
    <w:rsid w:val="00843908"/>
    <w:rsid w:val="00845D12"/>
    <w:rsid w:val="00846713"/>
    <w:rsid w:val="008473FA"/>
    <w:rsid w:val="00847830"/>
    <w:rsid w:val="008514D1"/>
    <w:rsid w:val="00851A81"/>
    <w:rsid w:val="00851F4C"/>
    <w:rsid w:val="008523BA"/>
    <w:rsid w:val="00852B26"/>
    <w:rsid w:val="00853477"/>
    <w:rsid w:val="0085480B"/>
    <w:rsid w:val="008560F4"/>
    <w:rsid w:val="00856B0A"/>
    <w:rsid w:val="008572A9"/>
    <w:rsid w:val="00857805"/>
    <w:rsid w:val="00860A1E"/>
    <w:rsid w:val="00860FE6"/>
    <w:rsid w:val="00861622"/>
    <w:rsid w:val="0086256E"/>
    <w:rsid w:val="008662C0"/>
    <w:rsid w:val="00870EAB"/>
    <w:rsid w:val="0087153F"/>
    <w:rsid w:val="00873395"/>
    <w:rsid w:val="0087459A"/>
    <w:rsid w:val="00875167"/>
    <w:rsid w:val="00877086"/>
    <w:rsid w:val="00881572"/>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646A"/>
    <w:rsid w:val="009071FE"/>
    <w:rsid w:val="00907761"/>
    <w:rsid w:val="00910E40"/>
    <w:rsid w:val="0091242A"/>
    <w:rsid w:val="00913AA4"/>
    <w:rsid w:val="00914065"/>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54F"/>
    <w:rsid w:val="00970F70"/>
    <w:rsid w:val="00971056"/>
    <w:rsid w:val="0097252B"/>
    <w:rsid w:val="00972668"/>
    <w:rsid w:val="009727B4"/>
    <w:rsid w:val="00972C36"/>
    <w:rsid w:val="009747E9"/>
    <w:rsid w:val="00976E48"/>
    <w:rsid w:val="00977C8B"/>
    <w:rsid w:val="009830D3"/>
    <w:rsid w:val="00983B8F"/>
    <w:rsid w:val="009849F0"/>
    <w:rsid w:val="0098595E"/>
    <w:rsid w:val="00986073"/>
    <w:rsid w:val="0098722E"/>
    <w:rsid w:val="009909DD"/>
    <w:rsid w:val="00990EE2"/>
    <w:rsid w:val="009916D2"/>
    <w:rsid w:val="0099229C"/>
    <w:rsid w:val="009943C4"/>
    <w:rsid w:val="00995C9F"/>
    <w:rsid w:val="00996436"/>
    <w:rsid w:val="0099752D"/>
    <w:rsid w:val="00997F78"/>
    <w:rsid w:val="009A0461"/>
    <w:rsid w:val="009A12A7"/>
    <w:rsid w:val="009A28A2"/>
    <w:rsid w:val="009A393A"/>
    <w:rsid w:val="009A5191"/>
    <w:rsid w:val="009A6119"/>
    <w:rsid w:val="009B063C"/>
    <w:rsid w:val="009B0F5C"/>
    <w:rsid w:val="009B11D6"/>
    <w:rsid w:val="009B1C7F"/>
    <w:rsid w:val="009B2EE9"/>
    <w:rsid w:val="009B45EB"/>
    <w:rsid w:val="009B4864"/>
    <w:rsid w:val="009B5504"/>
    <w:rsid w:val="009B649B"/>
    <w:rsid w:val="009B6D4B"/>
    <w:rsid w:val="009B6F16"/>
    <w:rsid w:val="009C08E7"/>
    <w:rsid w:val="009C0940"/>
    <w:rsid w:val="009C0E5E"/>
    <w:rsid w:val="009C1D99"/>
    <w:rsid w:val="009C1F8B"/>
    <w:rsid w:val="009C2099"/>
    <w:rsid w:val="009C20A8"/>
    <w:rsid w:val="009C3701"/>
    <w:rsid w:val="009C56A7"/>
    <w:rsid w:val="009C6384"/>
    <w:rsid w:val="009C7130"/>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195C"/>
    <w:rsid w:val="00A12870"/>
    <w:rsid w:val="00A133FA"/>
    <w:rsid w:val="00A13811"/>
    <w:rsid w:val="00A16DF1"/>
    <w:rsid w:val="00A17A17"/>
    <w:rsid w:val="00A20B1F"/>
    <w:rsid w:val="00A20CFD"/>
    <w:rsid w:val="00A20DB6"/>
    <w:rsid w:val="00A22C88"/>
    <w:rsid w:val="00A235D0"/>
    <w:rsid w:val="00A26902"/>
    <w:rsid w:val="00A278AA"/>
    <w:rsid w:val="00A27A7F"/>
    <w:rsid w:val="00A3276A"/>
    <w:rsid w:val="00A33D3A"/>
    <w:rsid w:val="00A3430B"/>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C08"/>
    <w:rsid w:val="00A572BC"/>
    <w:rsid w:val="00A61049"/>
    <w:rsid w:val="00A67428"/>
    <w:rsid w:val="00A70260"/>
    <w:rsid w:val="00A70CF3"/>
    <w:rsid w:val="00A7130D"/>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97C63"/>
    <w:rsid w:val="00AA0660"/>
    <w:rsid w:val="00AA3875"/>
    <w:rsid w:val="00AA404A"/>
    <w:rsid w:val="00AA40DC"/>
    <w:rsid w:val="00AA51CE"/>
    <w:rsid w:val="00AA6228"/>
    <w:rsid w:val="00AA69A4"/>
    <w:rsid w:val="00AB2744"/>
    <w:rsid w:val="00AB274F"/>
    <w:rsid w:val="00AB5F30"/>
    <w:rsid w:val="00AB6BE3"/>
    <w:rsid w:val="00AC37C3"/>
    <w:rsid w:val="00AC535B"/>
    <w:rsid w:val="00AC5F6A"/>
    <w:rsid w:val="00AD03F1"/>
    <w:rsid w:val="00AD0B3C"/>
    <w:rsid w:val="00AD1CC0"/>
    <w:rsid w:val="00AD22B5"/>
    <w:rsid w:val="00AD3DB4"/>
    <w:rsid w:val="00AD5BE3"/>
    <w:rsid w:val="00AD6F04"/>
    <w:rsid w:val="00AE0A9F"/>
    <w:rsid w:val="00AE4354"/>
    <w:rsid w:val="00AF1F04"/>
    <w:rsid w:val="00AF2372"/>
    <w:rsid w:val="00AF3D59"/>
    <w:rsid w:val="00AF6794"/>
    <w:rsid w:val="00AF75DF"/>
    <w:rsid w:val="00B016F7"/>
    <w:rsid w:val="00B02BDD"/>
    <w:rsid w:val="00B055B9"/>
    <w:rsid w:val="00B12503"/>
    <w:rsid w:val="00B13D85"/>
    <w:rsid w:val="00B16296"/>
    <w:rsid w:val="00B17353"/>
    <w:rsid w:val="00B1786A"/>
    <w:rsid w:val="00B17F10"/>
    <w:rsid w:val="00B206D8"/>
    <w:rsid w:val="00B312C7"/>
    <w:rsid w:val="00B316B9"/>
    <w:rsid w:val="00B32E58"/>
    <w:rsid w:val="00B335A2"/>
    <w:rsid w:val="00B34371"/>
    <w:rsid w:val="00B37104"/>
    <w:rsid w:val="00B409DF"/>
    <w:rsid w:val="00B438BF"/>
    <w:rsid w:val="00B447D7"/>
    <w:rsid w:val="00B47D0D"/>
    <w:rsid w:val="00B52B7D"/>
    <w:rsid w:val="00B531D2"/>
    <w:rsid w:val="00B53377"/>
    <w:rsid w:val="00B53616"/>
    <w:rsid w:val="00B53CCA"/>
    <w:rsid w:val="00B54441"/>
    <w:rsid w:val="00B54A5F"/>
    <w:rsid w:val="00B560C2"/>
    <w:rsid w:val="00B56409"/>
    <w:rsid w:val="00B56F9B"/>
    <w:rsid w:val="00B57C15"/>
    <w:rsid w:val="00B60F42"/>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86FAE"/>
    <w:rsid w:val="00B902E7"/>
    <w:rsid w:val="00B922D9"/>
    <w:rsid w:val="00B926D6"/>
    <w:rsid w:val="00B94C17"/>
    <w:rsid w:val="00B95FCD"/>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C0B13"/>
    <w:rsid w:val="00BC0CE4"/>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2A0C"/>
    <w:rsid w:val="00BE3EBD"/>
    <w:rsid w:val="00BE48DF"/>
    <w:rsid w:val="00BE4DD9"/>
    <w:rsid w:val="00BE545A"/>
    <w:rsid w:val="00BE5BC0"/>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5E9B"/>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0DE0"/>
    <w:rsid w:val="00C81BE3"/>
    <w:rsid w:val="00C81F2E"/>
    <w:rsid w:val="00C83D03"/>
    <w:rsid w:val="00C83EA7"/>
    <w:rsid w:val="00C84559"/>
    <w:rsid w:val="00C85EC8"/>
    <w:rsid w:val="00C862C4"/>
    <w:rsid w:val="00C86B34"/>
    <w:rsid w:val="00C94989"/>
    <w:rsid w:val="00C95593"/>
    <w:rsid w:val="00C96A63"/>
    <w:rsid w:val="00C97602"/>
    <w:rsid w:val="00CA1C5F"/>
    <w:rsid w:val="00CA1C81"/>
    <w:rsid w:val="00CA2022"/>
    <w:rsid w:val="00CA6623"/>
    <w:rsid w:val="00CB0101"/>
    <w:rsid w:val="00CB12C8"/>
    <w:rsid w:val="00CB3C69"/>
    <w:rsid w:val="00CB3C89"/>
    <w:rsid w:val="00CB57BF"/>
    <w:rsid w:val="00CC1989"/>
    <w:rsid w:val="00CC2DE4"/>
    <w:rsid w:val="00CC360E"/>
    <w:rsid w:val="00CC48D6"/>
    <w:rsid w:val="00CD0A20"/>
    <w:rsid w:val="00CD1856"/>
    <w:rsid w:val="00CD2B46"/>
    <w:rsid w:val="00CD2C98"/>
    <w:rsid w:val="00CD6866"/>
    <w:rsid w:val="00CD76D4"/>
    <w:rsid w:val="00CD7893"/>
    <w:rsid w:val="00CE03CC"/>
    <w:rsid w:val="00CE670C"/>
    <w:rsid w:val="00CE7E6A"/>
    <w:rsid w:val="00CF030B"/>
    <w:rsid w:val="00CF1289"/>
    <w:rsid w:val="00CF23A2"/>
    <w:rsid w:val="00CF33E5"/>
    <w:rsid w:val="00CF5F6B"/>
    <w:rsid w:val="00CF6EB2"/>
    <w:rsid w:val="00D01487"/>
    <w:rsid w:val="00D02D0F"/>
    <w:rsid w:val="00D03A00"/>
    <w:rsid w:val="00D055AC"/>
    <w:rsid w:val="00D055F8"/>
    <w:rsid w:val="00D06D8D"/>
    <w:rsid w:val="00D115F7"/>
    <w:rsid w:val="00D12C15"/>
    <w:rsid w:val="00D12D70"/>
    <w:rsid w:val="00D12EE7"/>
    <w:rsid w:val="00D1373C"/>
    <w:rsid w:val="00D1375F"/>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A6D"/>
    <w:rsid w:val="00D34C07"/>
    <w:rsid w:val="00D35986"/>
    <w:rsid w:val="00D371A1"/>
    <w:rsid w:val="00D37494"/>
    <w:rsid w:val="00D3789A"/>
    <w:rsid w:val="00D407B7"/>
    <w:rsid w:val="00D408E9"/>
    <w:rsid w:val="00D409B3"/>
    <w:rsid w:val="00D41E2D"/>
    <w:rsid w:val="00D4287D"/>
    <w:rsid w:val="00D42957"/>
    <w:rsid w:val="00D466D6"/>
    <w:rsid w:val="00D47265"/>
    <w:rsid w:val="00D4793C"/>
    <w:rsid w:val="00D54A15"/>
    <w:rsid w:val="00D63990"/>
    <w:rsid w:val="00D65068"/>
    <w:rsid w:val="00D65243"/>
    <w:rsid w:val="00D658A1"/>
    <w:rsid w:val="00D65B73"/>
    <w:rsid w:val="00D71CB9"/>
    <w:rsid w:val="00D738F0"/>
    <w:rsid w:val="00D74FD3"/>
    <w:rsid w:val="00D80E0A"/>
    <w:rsid w:val="00D81AB1"/>
    <w:rsid w:val="00D82CB3"/>
    <w:rsid w:val="00D82FC0"/>
    <w:rsid w:val="00D8322A"/>
    <w:rsid w:val="00D83C17"/>
    <w:rsid w:val="00D84FFF"/>
    <w:rsid w:val="00D85885"/>
    <w:rsid w:val="00D85A93"/>
    <w:rsid w:val="00D86108"/>
    <w:rsid w:val="00D8720F"/>
    <w:rsid w:val="00D87527"/>
    <w:rsid w:val="00D87652"/>
    <w:rsid w:val="00D87961"/>
    <w:rsid w:val="00D92D08"/>
    <w:rsid w:val="00D9372E"/>
    <w:rsid w:val="00D9392E"/>
    <w:rsid w:val="00D9424E"/>
    <w:rsid w:val="00D947F0"/>
    <w:rsid w:val="00D963CC"/>
    <w:rsid w:val="00D96BE8"/>
    <w:rsid w:val="00D97F59"/>
    <w:rsid w:val="00DA199A"/>
    <w:rsid w:val="00DA2DCD"/>
    <w:rsid w:val="00DA3A4F"/>
    <w:rsid w:val="00DA42C0"/>
    <w:rsid w:val="00DA52A2"/>
    <w:rsid w:val="00DA7E2F"/>
    <w:rsid w:val="00DB09A2"/>
    <w:rsid w:val="00DB0C0B"/>
    <w:rsid w:val="00DB2BCC"/>
    <w:rsid w:val="00DB2EB9"/>
    <w:rsid w:val="00DB31E7"/>
    <w:rsid w:val="00DB3A66"/>
    <w:rsid w:val="00DB4AC0"/>
    <w:rsid w:val="00DB4BEF"/>
    <w:rsid w:val="00DB78B2"/>
    <w:rsid w:val="00DC230C"/>
    <w:rsid w:val="00DC2CE7"/>
    <w:rsid w:val="00DC301A"/>
    <w:rsid w:val="00DC5EED"/>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ABA"/>
    <w:rsid w:val="00DF2B11"/>
    <w:rsid w:val="00DF419C"/>
    <w:rsid w:val="00DF51C5"/>
    <w:rsid w:val="00DF70D1"/>
    <w:rsid w:val="00DF72C7"/>
    <w:rsid w:val="00E01E64"/>
    <w:rsid w:val="00E03246"/>
    <w:rsid w:val="00E03508"/>
    <w:rsid w:val="00E03C0E"/>
    <w:rsid w:val="00E073C2"/>
    <w:rsid w:val="00E10434"/>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5C94"/>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5B03"/>
    <w:rsid w:val="00E76F52"/>
    <w:rsid w:val="00E81613"/>
    <w:rsid w:val="00E82B54"/>
    <w:rsid w:val="00E82B5D"/>
    <w:rsid w:val="00E838B2"/>
    <w:rsid w:val="00E84521"/>
    <w:rsid w:val="00E85048"/>
    <w:rsid w:val="00E856B0"/>
    <w:rsid w:val="00E86AE6"/>
    <w:rsid w:val="00E86C2A"/>
    <w:rsid w:val="00E86CA1"/>
    <w:rsid w:val="00E902A0"/>
    <w:rsid w:val="00E906C3"/>
    <w:rsid w:val="00E9074A"/>
    <w:rsid w:val="00E90A65"/>
    <w:rsid w:val="00E911C3"/>
    <w:rsid w:val="00E916AB"/>
    <w:rsid w:val="00E91E35"/>
    <w:rsid w:val="00E937B5"/>
    <w:rsid w:val="00E9442F"/>
    <w:rsid w:val="00E969D2"/>
    <w:rsid w:val="00E96B0B"/>
    <w:rsid w:val="00EA0CA1"/>
    <w:rsid w:val="00EA243F"/>
    <w:rsid w:val="00EA2E01"/>
    <w:rsid w:val="00EA3249"/>
    <w:rsid w:val="00EA3C59"/>
    <w:rsid w:val="00EA5118"/>
    <w:rsid w:val="00EA608A"/>
    <w:rsid w:val="00EA7A8D"/>
    <w:rsid w:val="00EB0DF0"/>
    <w:rsid w:val="00EB1A2C"/>
    <w:rsid w:val="00EB2AE7"/>
    <w:rsid w:val="00EB40DC"/>
    <w:rsid w:val="00EB743F"/>
    <w:rsid w:val="00EC064C"/>
    <w:rsid w:val="00EC0AB7"/>
    <w:rsid w:val="00EC0BFA"/>
    <w:rsid w:val="00EC115D"/>
    <w:rsid w:val="00EC2E31"/>
    <w:rsid w:val="00EC31A0"/>
    <w:rsid w:val="00EC3328"/>
    <w:rsid w:val="00EC34A9"/>
    <w:rsid w:val="00EC3934"/>
    <w:rsid w:val="00EC3BEB"/>
    <w:rsid w:val="00EC5B26"/>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E57F5"/>
    <w:rsid w:val="00EF1AD7"/>
    <w:rsid w:val="00EF2E2B"/>
    <w:rsid w:val="00EF34D2"/>
    <w:rsid w:val="00EF4C26"/>
    <w:rsid w:val="00EF5CC0"/>
    <w:rsid w:val="00F01833"/>
    <w:rsid w:val="00F019CB"/>
    <w:rsid w:val="00F02E9D"/>
    <w:rsid w:val="00F03F2E"/>
    <w:rsid w:val="00F04044"/>
    <w:rsid w:val="00F046C8"/>
    <w:rsid w:val="00F047AB"/>
    <w:rsid w:val="00F05DE1"/>
    <w:rsid w:val="00F06B81"/>
    <w:rsid w:val="00F07200"/>
    <w:rsid w:val="00F07353"/>
    <w:rsid w:val="00F07A15"/>
    <w:rsid w:val="00F10D6B"/>
    <w:rsid w:val="00F12CDC"/>
    <w:rsid w:val="00F13E45"/>
    <w:rsid w:val="00F147C6"/>
    <w:rsid w:val="00F160E5"/>
    <w:rsid w:val="00F21174"/>
    <w:rsid w:val="00F21705"/>
    <w:rsid w:val="00F231FC"/>
    <w:rsid w:val="00F23AEF"/>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06F"/>
    <w:rsid w:val="00F63F1D"/>
    <w:rsid w:val="00F645AF"/>
    <w:rsid w:val="00F66BC9"/>
    <w:rsid w:val="00F67946"/>
    <w:rsid w:val="00F7170A"/>
    <w:rsid w:val="00F72B99"/>
    <w:rsid w:val="00F72CCD"/>
    <w:rsid w:val="00F72E9F"/>
    <w:rsid w:val="00F732B1"/>
    <w:rsid w:val="00F739E9"/>
    <w:rsid w:val="00F76F97"/>
    <w:rsid w:val="00F81620"/>
    <w:rsid w:val="00F82323"/>
    <w:rsid w:val="00F84240"/>
    <w:rsid w:val="00F84502"/>
    <w:rsid w:val="00F85237"/>
    <w:rsid w:val="00F8564F"/>
    <w:rsid w:val="00F87DAE"/>
    <w:rsid w:val="00F9000A"/>
    <w:rsid w:val="00F9002A"/>
    <w:rsid w:val="00F90CC8"/>
    <w:rsid w:val="00F94E43"/>
    <w:rsid w:val="00F95F7E"/>
    <w:rsid w:val="00F96A94"/>
    <w:rsid w:val="00F97AFE"/>
    <w:rsid w:val="00FA0128"/>
    <w:rsid w:val="00FA1786"/>
    <w:rsid w:val="00FA1B06"/>
    <w:rsid w:val="00FA215F"/>
    <w:rsid w:val="00FA3191"/>
    <w:rsid w:val="00FA5AE3"/>
    <w:rsid w:val="00FA73DD"/>
    <w:rsid w:val="00FB13C2"/>
    <w:rsid w:val="00FB2975"/>
    <w:rsid w:val="00FB380D"/>
    <w:rsid w:val="00FB76C5"/>
    <w:rsid w:val="00FC2414"/>
    <w:rsid w:val="00FC2479"/>
    <w:rsid w:val="00FC2C4D"/>
    <w:rsid w:val="00FC36C1"/>
    <w:rsid w:val="00FC3FC0"/>
    <w:rsid w:val="00FC44A1"/>
    <w:rsid w:val="00FC4DEB"/>
    <w:rsid w:val="00FC77FF"/>
    <w:rsid w:val="00FC7E40"/>
    <w:rsid w:val="00FC7E64"/>
    <w:rsid w:val="00FD1351"/>
    <w:rsid w:val="00FD22AA"/>
    <w:rsid w:val="00FD38A5"/>
    <w:rsid w:val="00FD4B65"/>
    <w:rsid w:val="00FD6729"/>
    <w:rsid w:val="00FD7EFE"/>
    <w:rsid w:val="00FE11E1"/>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5CC5"/>
    <w:pPr>
      <w:tabs>
        <w:tab w:val="left" w:pos="426"/>
        <w:tab w:val="right" w:leader="dot" w:pos="8828"/>
      </w:tabs>
      <w:spacing w:after="100" w:line="480" w:lineRule="auto"/>
      <w:jc w:val="both"/>
    </w:pPr>
  </w:style>
  <w:style w:type="paragraph" w:styleId="TDC2">
    <w:name w:val="toc 2"/>
    <w:basedOn w:val="Normal"/>
    <w:next w:val="Normal"/>
    <w:autoRedefine/>
    <w:uiPriority w:val="39"/>
    <w:unhideWhenUsed/>
    <w:rsid w:val="002F5CC5"/>
    <w:pPr>
      <w:tabs>
        <w:tab w:val="left" w:pos="426"/>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3">
    <w:name w:val="Grid Table 6 Colorful Accent 3"/>
    <w:basedOn w:val="Tablanormal"/>
    <w:uiPriority w:val="51"/>
    <w:rsid w:val="00D466D6"/>
    <w:rPr>
      <w:rFonts w:eastAsiaTheme="minorHAns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Fuentedeprrafopredeter"/>
    <w:uiPriority w:val="99"/>
    <w:semiHidden/>
    <w:unhideWhenUsed/>
    <w:rsid w:val="003F0B55"/>
    <w:rPr>
      <w:color w:val="605E5C"/>
      <w:shd w:val="clear" w:color="auto" w:fill="E1DFDD"/>
    </w:rPr>
  </w:style>
  <w:style w:type="character" w:styleId="Hipervnculovisitado">
    <w:name w:val="FollowedHyperlink"/>
    <w:basedOn w:val="Fuentedeprrafopredeter"/>
    <w:uiPriority w:val="99"/>
    <w:semiHidden/>
    <w:unhideWhenUsed/>
    <w:rsid w:val="009B1C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32018657">
      <w:bodyDiv w:val="1"/>
      <w:marLeft w:val="0"/>
      <w:marRight w:val="0"/>
      <w:marTop w:val="0"/>
      <w:marBottom w:val="0"/>
      <w:divBdr>
        <w:top w:val="none" w:sz="0" w:space="0" w:color="auto"/>
        <w:left w:val="none" w:sz="0" w:space="0" w:color="auto"/>
        <w:bottom w:val="none" w:sz="0" w:space="0" w:color="auto"/>
        <w:right w:val="none" w:sz="0" w:space="0" w:color="auto"/>
      </w:divBdr>
      <w:divsChild>
        <w:div w:id="1064061158">
          <w:marLeft w:val="0"/>
          <w:marRight w:val="0"/>
          <w:marTop w:val="0"/>
          <w:marBottom w:val="101"/>
          <w:divBdr>
            <w:top w:val="none" w:sz="0" w:space="0" w:color="auto"/>
            <w:left w:val="none" w:sz="0" w:space="0" w:color="auto"/>
            <w:bottom w:val="none" w:sz="0" w:space="0" w:color="auto"/>
            <w:right w:val="none" w:sz="0" w:space="0" w:color="auto"/>
          </w:divBdr>
        </w:div>
        <w:div w:id="805927054">
          <w:marLeft w:val="0"/>
          <w:marRight w:val="0"/>
          <w:marTop w:val="0"/>
          <w:marBottom w:val="101"/>
          <w:divBdr>
            <w:top w:val="none" w:sz="0" w:space="0" w:color="auto"/>
            <w:left w:val="none" w:sz="0" w:space="0" w:color="auto"/>
            <w:bottom w:val="none" w:sz="0" w:space="0" w:color="auto"/>
            <w:right w:val="none" w:sz="0" w:space="0" w:color="auto"/>
          </w:divBdr>
        </w:div>
        <w:div w:id="148639932">
          <w:marLeft w:val="1008"/>
          <w:marRight w:val="0"/>
          <w:marTop w:val="0"/>
          <w:marBottom w:val="101"/>
          <w:divBdr>
            <w:top w:val="none" w:sz="0" w:space="0" w:color="auto"/>
            <w:left w:val="none" w:sz="0" w:space="0" w:color="auto"/>
            <w:bottom w:val="none" w:sz="0" w:space="0" w:color="auto"/>
            <w:right w:val="none" w:sz="0" w:space="0" w:color="auto"/>
          </w:divBdr>
        </w:div>
        <w:div w:id="1998458915">
          <w:marLeft w:val="1008"/>
          <w:marRight w:val="0"/>
          <w:marTop w:val="0"/>
          <w:marBottom w:val="101"/>
          <w:divBdr>
            <w:top w:val="none" w:sz="0" w:space="0" w:color="auto"/>
            <w:left w:val="none" w:sz="0" w:space="0" w:color="auto"/>
            <w:bottom w:val="none" w:sz="0" w:space="0" w:color="auto"/>
            <w:right w:val="none" w:sz="0" w:space="0" w:color="auto"/>
          </w:divBdr>
        </w:div>
        <w:div w:id="547761726">
          <w:marLeft w:val="0"/>
          <w:marRight w:val="0"/>
          <w:marTop w:val="0"/>
          <w:marBottom w:val="101"/>
          <w:divBdr>
            <w:top w:val="none" w:sz="0" w:space="0" w:color="auto"/>
            <w:left w:val="none" w:sz="0" w:space="0" w:color="auto"/>
            <w:bottom w:val="none" w:sz="0" w:space="0" w:color="auto"/>
            <w:right w:val="none" w:sz="0" w:space="0" w:color="auto"/>
          </w:divBdr>
        </w:div>
      </w:divsChild>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648479019">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2515869">
      <w:bodyDiv w:val="1"/>
      <w:marLeft w:val="0"/>
      <w:marRight w:val="0"/>
      <w:marTop w:val="0"/>
      <w:marBottom w:val="0"/>
      <w:divBdr>
        <w:top w:val="none" w:sz="0" w:space="0" w:color="auto"/>
        <w:left w:val="none" w:sz="0" w:space="0" w:color="auto"/>
        <w:bottom w:val="none" w:sz="0" w:space="0" w:color="auto"/>
        <w:right w:val="none" w:sz="0" w:space="0" w:color="auto"/>
      </w:divBdr>
      <w:divsChild>
        <w:div w:id="1296595847">
          <w:marLeft w:val="0"/>
          <w:marRight w:val="0"/>
          <w:marTop w:val="0"/>
          <w:marBottom w:val="101"/>
          <w:divBdr>
            <w:top w:val="none" w:sz="0" w:space="0" w:color="auto"/>
            <w:left w:val="none" w:sz="0" w:space="0" w:color="auto"/>
            <w:bottom w:val="none" w:sz="0" w:space="0" w:color="auto"/>
            <w:right w:val="none" w:sz="0" w:space="0" w:color="auto"/>
          </w:divBdr>
        </w:div>
        <w:div w:id="309678500">
          <w:marLeft w:val="0"/>
          <w:marRight w:val="0"/>
          <w:marTop w:val="0"/>
          <w:marBottom w:val="101"/>
          <w:divBdr>
            <w:top w:val="none" w:sz="0" w:space="0" w:color="auto"/>
            <w:left w:val="none" w:sz="0" w:space="0" w:color="auto"/>
            <w:bottom w:val="none" w:sz="0" w:space="0" w:color="auto"/>
            <w:right w:val="none" w:sz="0" w:space="0" w:color="auto"/>
          </w:divBdr>
        </w:div>
        <w:div w:id="614362685">
          <w:marLeft w:val="1008"/>
          <w:marRight w:val="0"/>
          <w:marTop w:val="0"/>
          <w:marBottom w:val="101"/>
          <w:divBdr>
            <w:top w:val="none" w:sz="0" w:space="0" w:color="auto"/>
            <w:left w:val="none" w:sz="0" w:space="0" w:color="auto"/>
            <w:bottom w:val="none" w:sz="0" w:space="0" w:color="auto"/>
            <w:right w:val="none" w:sz="0" w:space="0" w:color="auto"/>
          </w:divBdr>
        </w:div>
        <w:div w:id="842672267">
          <w:marLeft w:val="1008"/>
          <w:marRight w:val="0"/>
          <w:marTop w:val="0"/>
          <w:marBottom w:val="101"/>
          <w:divBdr>
            <w:top w:val="none" w:sz="0" w:space="0" w:color="auto"/>
            <w:left w:val="none" w:sz="0" w:space="0" w:color="auto"/>
            <w:bottom w:val="none" w:sz="0" w:space="0" w:color="auto"/>
            <w:right w:val="none" w:sz="0" w:space="0" w:color="auto"/>
          </w:divBdr>
        </w:div>
        <w:div w:id="1606496741">
          <w:marLeft w:val="0"/>
          <w:marRight w:val="0"/>
          <w:marTop w:val="0"/>
          <w:marBottom w:val="101"/>
          <w:divBdr>
            <w:top w:val="none" w:sz="0" w:space="0" w:color="auto"/>
            <w:left w:val="none" w:sz="0" w:space="0" w:color="auto"/>
            <w:bottom w:val="none" w:sz="0" w:space="0" w:color="auto"/>
            <w:right w:val="none" w:sz="0" w:space="0" w:color="auto"/>
          </w:divBdr>
        </w:div>
      </w:divsChild>
    </w:div>
    <w:div w:id="1071544560">
      <w:bodyDiv w:val="1"/>
      <w:marLeft w:val="0"/>
      <w:marRight w:val="0"/>
      <w:marTop w:val="0"/>
      <w:marBottom w:val="0"/>
      <w:divBdr>
        <w:top w:val="none" w:sz="0" w:space="0" w:color="auto"/>
        <w:left w:val="none" w:sz="0" w:space="0" w:color="auto"/>
        <w:bottom w:val="none" w:sz="0" w:space="0" w:color="auto"/>
        <w:right w:val="none" w:sz="0" w:space="0" w:color="auto"/>
      </w:divBdr>
      <w:divsChild>
        <w:div w:id="1431001076">
          <w:marLeft w:val="1008"/>
          <w:marRight w:val="0"/>
          <w:marTop w:val="0"/>
          <w:marBottom w:val="101"/>
          <w:divBdr>
            <w:top w:val="none" w:sz="0" w:space="0" w:color="auto"/>
            <w:left w:val="none" w:sz="0" w:space="0" w:color="auto"/>
            <w:bottom w:val="none" w:sz="0" w:space="0" w:color="auto"/>
            <w:right w:val="none" w:sz="0" w:space="0" w:color="auto"/>
          </w:divBdr>
        </w:div>
        <w:div w:id="1464931111">
          <w:marLeft w:val="1008"/>
          <w:marRight w:val="0"/>
          <w:marTop w:val="0"/>
          <w:marBottom w:val="101"/>
          <w:divBdr>
            <w:top w:val="none" w:sz="0" w:space="0" w:color="auto"/>
            <w:left w:val="none" w:sz="0" w:space="0" w:color="auto"/>
            <w:bottom w:val="none" w:sz="0" w:space="0" w:color="auto"/>
            <w:right w:val="none" w:sz="0" w:space="0" w:color="auto"/>
          </w:divBdr>
        </w:div>
        <w:div w:id="1550220775">
          <w:marLeft w:val="1008"/>
          <w:marRight w:val="0"/>
          <w:marTop w:val="0"/>
          <w:marBottom w:val="101"/>
          <w:divBdr>
            <w:top w:val="none" w:sz="0" w:space="0" w:color="auto"/>
            <w:left w:val="none" w:sz="0" w:space="0" w:color="auto"/>
            <w:bottom w:val="none" w:sz="0" w:space="0" w:color="auto"/>
            <w:right w:val="none" w:sz="0" w:space="0" w:color="auto"/>
          </w:divBdr>
        </w:div>
        <w:div w:id="616255146">
          <w:marLeft w:val="1440"/>
          <w:marRight w:val="0"/>
          <w:marTop w:val="0"/>
          <w:marBottom w:val="101"/>
          <w:divBdr>
            <w:top w:val="none" w:sz="0" w:space="0" w:color="auto"/>
            <w:left w:val="none" w:sz="0" w:space="0" w:color="auto"/>
            <w:bottom w:val="none" w:sz="0" w:space="0" w:color="auto"/>
            <w:right w:val="none" w:sz="0" w:space="0" w:color="auto"/>
          </w:divBdr>
        </w:div>
        <w:div w:id="860050">
          <w:marLeft w:val="1440"/>
          <w:marRight w:val="0"/>
          <w:marTop w:val="0"/>
          <w:marBottom w:val="101"/>
          <w:divBdr>
            <w:top w:val="none" w:sz="0" w:space="0" w:color="auto"/>
            <w:left w:val="none" w:sz="0" w:space="0" w:color="auto"/>
            <w:bottom w:val="none" w:sz="0" w:space="0" w:color="auto"/>
            <w:right w:val="none" w:sz="0" w:space="0" w:color="auto"/>
          </w:divBdr>
        </w:div>
        <w:div w:id="1042098786">
          <w:marLeft w:val="1440"/>
          <w:marRight w:val="0"/>
          <w:marTop w:val="0"/>
          <w:marBottom w:val="101"/>
          <w:divBdr>
            <w:top w:val="none" w:sz="0" w:space="0" w:color="auto"/>
            <w:left w:val="none" w:sz="0" w:space="0" w:color="auto"/>
            <w:bottom w:val="none" w:sz="0" w:space="0" w:color="auto"/>
            <w:right w:val="none" w:sz="0" w:space="0" w:color="auto"/>
          </w:divBdr>
        </w:div>
        <w:div w:id="112217922">
          <w:marLeft w:val="0"/>
          <w:marRight w:val="0"/>
          <w:marTop w:val="0"/>
          <w:marBottom w:val="101"/>
          <w:divBdr>
            <w:top w:val="none" w:sz="0" w:space="0" w:color="auto"/>
            <w:left w:val="none" w:sz="0" w:space="0" w:color="auto"/>
            <w:bottom w:val="none" w:sz="0" w:space="0" w:color="auto"/>
            <w:right w:val="none" w:sz="0" w:space="0" w:color="auto"/>
          </w:divBdr>
        </w:div>
      </w:divsChild>
    </w:div>
    <w:div w:id="1107044864">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4">
          <w:marLeft w:val="0"/>
          <w:marRight w:val="0"/>
          <w:marTop w:val="0"/>
          <w:marBottom w:val="80"/>
          <w:divBdr>
            <w:top w:val="none" w:sz="0" w:space="0" w:color="auto"/>
            <w:left w:val="none" w:sz="0" w:space="0" w:color="auto"/>
            <w:bottom w:val="none" w:sz="0" w:space="0" w:color="auto"/>
            <w:right w:val="none" w:sz="0" w:space="0" w:color="auto"/>
          </w:divBdr>
        </w:div>
        <w:div w:id="1534073328">
          <w:marLeft w:val="1008"/>
          <w:marRight w:val="0"/>
          <w:marTop w:val="0"/>
          <w:marBottom w:val="80"/>
          <w:divBdr>
            <w:top w:val="none" w:sz="0" w:space="0" w:color="auto"/>
            <w:left w:val="none" w:sz="0" w:space="0" w:color="auto"/>
            <w:bottom w:val="none" w:sz="0" w:space="0" w:color="auto"/>
            <w:right w:val="none" w:sz="0" w:space="0" w:color="auto"/>
          </w:divBdr>
        </w:div>
        <w:div w:id="463349429">
          <w:marLeft w:val="1008"/>
          <w:marRight w:val="0"/>
          <w:marTop w:val="0"/>
          <w:marBottom w:val="80"/>
          <w:divBdr>
            <w:top w:val="none" w:sz="0" w:space="0" w:color="auto"/>
            <w:left w:val="none" w:sz="0" w:space="0" w:color="auto"/>
            <w:bottom w:val="none" w:sz="0" w:space="0" w:color="auto"/>
            <w:right w:val="none" w:sz="0" w:space="0" w:color="auto"/>
          </w:divBdr>
        </w:div>
        <w:div w:id="1981417567">
          <w:marLeft w:val="1008"/>
          <w:marRight w:val="0"/>
          <w:marTop w:val="0"/>
          <w:marBottom w:val="80"/>
          <w:divBdr>
            <w:top w:val="none" w:sz="0" w:space="0" w:color="auto"/>
            <w:left w:val="none" w:sz="0" w:space="0" w:color="auto"/>
            <w:bottom w:val="none" w:sz="0" w:space="0" w:color="auto"/>
            <w:right w:val="none" w:sz="0" w:space="0" w:color="auto"/>
          </w:divBdr>
        </w:div>
        <w:div w:id="612395143">
          <w:marLeft w:val="1440"/>
          <w:marRight w:val="0"/>
          <w:marTop w:val="0"/>
          <w:marBottom w:val="80"/>
          <w:divBdr>
            <w:top w:val="none" w:sz="0" w:space="0" w:color="auto"/>
            <w:left w:val="none" w:sz="0" w:space="0" w:color="auto"/>
            <w:bottom w:val="none" w:sz="0" w:space="0" w:color="auto"/>
            <w:right w:val="none" w:sz="0" w:space="0" w:color="auto"/>
          </w:divBdr>
        </w:div>
        <w:div w:id="1029064043">
          <w:marLeft w:val="1440"/>
          <w:marRight w:val="0"/>
          <w:marTop w:val="0"/>
          <w:marBottom w:val="80"/>
          <w:divBdr>
            <w:top w:val="none" w:sz="0" w:space="0" w:color="auto"/>
            <w:left w:val="none" w:sz="0" w:space="0" w:color="auto"/>
            <w:bottom w:val="none" w:sz="0" w:space="0" w:color="auto"/>
            <w:right w:val="none" w:sz="0" w:space="0" w:color="auto"/>
          </w:divBdr>
        </w:div>
        <w:div w:id="1207645019">
          <w:marLeft w:val="1008"/>
          <w:marRight w:val="0"/>
          <w:marTop w:val="0"/>
          <w:marBottom w:val="80"/>
          <w:divBdr>
            <w:top w:val="none" w:sz="0" w:space="0" w:color="auto"/>
            <w:left w:val="none" w:sz="0" w:space="0" w:color="auto"/>
            <w:bottom w:val="none" w:sz="0" w:space="0" w:color="auto"/>
            <w:right w:val="none" w:sz="0" w:space="0" w:color="auto"/>
          </w:divBdr>
        </w:div>
        <w:div w:id="1041511471">
          <w:marLeft w:val="1008"/>
          <w:marRight w:val="0"/>
          <w:marTop w:val="0"/>
          <w:marBottom w:val="80"/>
          <w:divBdr>
            <w:top w:val="none" w:sz="0" w:space="0" w:color="auto"/>
            <w:left w:val="none" w:sz="0" w:space="0" w:color="auto"/>
            <w:bottom w:val="none" w:sz="0" w:space="0" w:color="auto"/>
            <w:right w:val="none" w:sz="0" w:space="0" w:color="auto"/>
          </w:divBdr>
        </w:div>
        <w:div w:id="15813466">
          <w:marLeft w:val="1008"/>
          <w:marRight w:val="0"/>
          <w:marTop w:val="0"/>
          <w:marBottom w:val="80"/>
          <w:divBdr>
            <w:top w:val="none" w:sz="0" w:space="0" w:color="auto"/>
            <w:left w:val="none" w:sz="0" w:space="0" w:color="auto"/>
            <w:bottom w:val="none" w:sz="0" w:space="0" w:color="auto"/>
            <w:right w:val="none" w:sz="0" w:space="0" w:color="auto"/>
          </w:divBdr>
        </w:div>
        <w:div w:id="1831289837">
          <w:marLeft w:val="1008"/>
          <w:marRight w:val="0"/>
          <w:marTop w:val="0"/>
          <w:marBottom w:val="80"/>
          <w:divBdr>
            <w:top w:val="none" w:sz="0" w:space="0" w:color="auto"/>
            <w:left w:val="none" w:sz="0" w:space="0" w:color="auto"/>
            <w:bottom w:val="none" w:sz="0" w:space="0" w:color="auto"/>
            <w:right w:val="none" w:sz="0" w:space="0" w:color="auto"/>
          </w:divBdr>
        </w:div>
        <w:div w:id="1719740913">
          <w:marLeft w:val="1008"/>
          <w:marRight w:val="0"/>
          <w:marTop w:val="0"/>
          <w:marBottom w:val="80"/>
          <w:divBdr>
            <w:top w:val="none" w:sz="0" w:space="0" w:color="auto"/>
            <w:left w:val="none" w:sz="0" w:space="0" w:color="auto"/>
            <w:bottom w:val="none" w:sz="0" w:space="0" w:color="auto"/>
            <w:right w:val="none" w:sz="0" w:space="0" w:color="auto"/>
          </w:divBdr>
        </w:div>
        <w:div w:id="492330948">
          <w:marLeft w:val="1008"/>
          <w:marRight w:val="0"/>
          <w:marTop w:val="0"/>
          <w:marBottom w:val="90"/>
          <w:divBdr>
            <w:top w:val="none" w:sz="0" w:space="0" w:color="auto"/>
            <w:left w:val="none" w:sz="0" w:space="0" w:color="auto"/>
            <w:bottom w:val="none" w:sz="0" w:space="0" w:color="auto"/>
            <w:right w:val="none" w:sz="0" w:space="0" w:color="auto"/>
          </w:divBdr>
        </w:div>
        <w:div w:id="275721301">
          <w:marLeft w:val="1008"/>
          <w:marRight w:val="0"/>
          <w:marTop w:val="0"/>
          <w:marBottom w:val="90"/>
          <w:divBdr>
            <w:top w:val="none" w:sz="0" w:space="0" w:color="auto"/>
            <w:left w:val="none" w:sz="0" w:space="0" w:color="auto"/>
            <w:bottom w:val="none" w:sz="0" w:space="0" w:color="auto"/>
            <w:right w:val="none" w:sz="0" w:space="0" w:color="auto"/>
          </w:divBdr>
        </w:div>
        <w:div w:id="1300650287">
          <w:marLeft w:val="1008"/>
          <w:marRight w:val="0"/>
          <w:marTop w:val="0"/>
          <w:marBottom w:val="90"/>
          <w:divBdr>
            <w:top w:val="none" w:sz="0" w:space="0" w:color="auto"/>
            <w:left w:val="none" w:sz="0" w:space="0" w:color="auto"/>
            <w:bottom w:val="none" w:sz="0" w:space="0" w:color="auto"/>
            <w:right w:val="none" w:sz="0" w:space="0" w:color="auto"/>
          </w:divBdr>
        </w:div>
        <w:div w:id="2107580393">
          <w:marLeft w:val="1008"/>
          <w:marRight w:val="0"/>
          <w:marTop w:val="0"/>
          <w:marBottom w:val="90"/>
          <w:divBdr>
            <w:top w:val="none" w:sz="0" w:space="0" w:color="auto"/>
            <w:left w:val="none" w:sz="0" w:space="0" w:color="auto"/>
            <w:bottom w:val="none" w:sz="0" w:space="0" w:color="auto"/>
            <w:right w:val="none" w:sz="0" w:space="0" w:color="auto"/>
          </w:divBdr>
        </w:div>
        <w:div w:id="1353530290">
          <w:marLeft w:val="1008"/>
          <w:marRight w:val="0"/>
          <w:marTop w:val="0"/>
          <w:marBottom w:val="90"/>
          <w:divBdr>
            <w:top w:val="none" w:sz="0" w:space="0" w:color="auto"/>
            <w:left w:val="none" w:sz="0" w:space="0" w:color="auto"/>
            <w:bottom w:val="none" w:sz="0" w:space="0" w:color="auto"/>
            <w:right w:val="none" w:sz="0" w:space="0" w:color="auto"/>
          </w:divBdr>
        </w:div>
      </w:divsChild>
    </w:div>
    <w:div w:id="1217165470">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95300672">
      <w:bodyDiv w:val="1"/>
      <w:marLeft w:val="0"/>
      <w:marRight w:val="0"/>
      <w:marTop w:val="0"/>
      <w:marBottom w:val="0"/>
      <w:divBdr>
        <w:top w:val="none" w:sz="0" w:space="0" w:color="auto"/>
        <w:left w:val="none" w:sz="0" w:space="0" w:color="auto"/>
        <w:bottom w:val="none" w:sz="0" w:space="0" w:color="auto"/>
        <w:right w:val="none" w:sz="0" w:space="0" w:color="auto"/>
      </w:divBdr>
      <w:divsChild>
        <w:div w:id="216862828">
          <w:marLeft w:val="0"/>
          <w:marRight w:val="0"/>
          <w:marTop w:val="0"/>
          <w:marBottom w:val="90"/>
          <w:divBdr>
            <w:top w:val="none" w:sz="0" w:space="0" w:color="auto"/>
            <w:left w:val="none" w:sz="0" w:space="0" w:color="auto"/>
            <w:bottom w:val="none" w:sz="0" w:space="0" w:color="auto"/>
            <w:right w:val="none" w:sz="0" w:space="0" w:color="auto"/>
          </w:divBdr>
        </w:div>
        <w:div w:id="416710148">
          <w:marLeft w:val="1008"/>
          <w:marRight w:val="0"/>
          <w:marTop w:val="0"/>
          <w:marBottom w:val="90"/>
          <w:divBdr>
            <w:top w:val="none" w:sz="0" w:space="0" w:color="auto"/>
            <w:left w:val="none" w:sz="0" w:space="0" w:color="auto"/>
            <w:bottom w:val="none" w:sz="0" w:space="0" w:color="auto"/>
            <w:right w:val="none" w:sz="0" w:space="0" w:color="auto"/>
          </w:divBdr>
        </w:div>
        <w:div w:id="34811582">
          <w:marLeft w:val="1440"/>
          <w:marRight w:val="0"/>
          <w:marTop w:val="0"/>
          <w:marBottom w:val="90"/>
          <w:divBdr>
            <w:top w:val="none" w:sz="0" w:space="0" w:color="auto"/>
            <w:left w:val="none" w:sz="0" w:space="0" w:color="auto"/>
            <w:bottom w:val="none" w:sz="0" w:space="0" w:color="auto"/>
            <w:right w:val="none" w:sz="0" w:space="0" w:color="auto"/>
          </w:divBdr>
        </w:div>
        <w:div w:id="1065110084">
          <w:marLeft w:val="1440"/>
          <w:marRight w:val="0"/>
          <w:marTop w:val="0"/>
          <w:marBottom w:val="90"/>
          <w:divBdr>
            <w:top w:val="none" w:sz="0" w:space="0" w:color="auto"/>
            <w:left w:val="none" w:sz="0" w:space="0" w:color="auto"/>
            <w:bottom w:val="none" w:sz="0" w:space="0" w:color="auto"/>
            <w:right w:val="none" w:sz="0" w:space="0" w:color="auto"/>
          </w:divBdr>
        </w:div>
        <w:div w:id="779836283">
          <w:marLeft w:val="1440"/>
          <w:marRight w:val="0"/>
          <w:marTop w:val="0"/>
          <w:marBottom w:val="90"/>
          <w:divBdr>
            <w:top w:val="none" w:sz="0" w:space="0" w:color="auto"/>
            <w:left w:val="none" w:sz="0" w:space="0" w:color="auto"/>
            <w:bottom w:val="none" w:sz="0" w:space="0" w:color="auto"/>
            <w:right w:val="none" w:sz="0" w:space="0" w:color="auto"/>
          </w:divBdr>
        </w:div>
        <w:div w:id="305203170">
          <w:marLeft w:val="1440"/>
          <w:marRight w:val="0"/>
          <w:marTop w:val="0"/>
          <w:marBottom w:val="90"/>
          <w:divBdr>
            <w:top w:val="none" w:sz="0" w:space="0" w:color="auto"/>
            <w:left w:val="none" w:sz="0" w:space="0" w:color="auto"/>
            <w:bottom w:val="none" w:sz="0" w:space="0" w:color="auto"/>
            <w:right w:val="none" w:sz="0" w:space="0" w:color="auto"/>
          </w:divBdr>
        </w:div>
        <w:div w:id="1836605803">
          <w:marLeft w:val="1008"/>
          <w:marRight w:val="0"/>
          <w:marTop w:val="0"/>
          <w:marBottom w:val="90"/>
          <w:divBdr>
            <w:top w:val="none" w:sz="0" w:space="0" w:color="auto"/>
            <w:left w:val="none" w:sz="0" w:space="0" w:color="auto"/>
            <w:bottom w:val="none" w:sz="0" w:space="0" w:color="auto"/>
            <w:right w:val="none" w:sz="0" w:space="0" w:color="auto"/>
          </w:divBdr>
        </w:div>
        <w:div w:id="1772968806">
          <w:marLeft w:val="1008"/>
          <w:marRight w:val="0"/>
          <w:marTop w:val="0"/>
          <w:marBottom w:val="90"/>
          <w:divBdr>
            <w:top w:val="none" w:sz="0" w:space="0" w:color="auto"/>
            <w:left w:val="none" w:sz="0" w:space="0" w:color="auto"/>
            <w:bottom w:val="none" w:sz="0" w:space="0" w:color="auto"/>
            <w:right w:val="none" w:sz="0" w:space="0" w:color="auto"/>
          </w:divBdr>
        </w:div>
        <w:div w:id="1973095215">
          <w:marLeft w:val="1008"/>
          <w:marRight w:val="0"/>
          <w:marTop w:val="0"/>
          <w:marBottom w:val="90"/>
          <w:divBdr>
            <w:top w:val="none" w:sz="0" w:space="0" w:color="auto"/>
            <w:left w:val="none" w:sz="0" w:space="0" w:color="auto"/>
            <w:bottom w:val="none" w:sz="0" w:space="0" w:color="auto"/>
            <w:right w:val="none" w:sz="0" w:space="0" w:color="auto"/>
          </w:divBdr>
        </w:div>
        <w:div w:id="525800030">
          <w:marLeft w:val="1008"/>
          <w:marRight w:val="0"/>
          <w:marTop w:val="0"/>
          <w:marBottom w:val="90"/>
          <w:divBdr>
            <w:top w:val="none" w:sz="0" w:space="0" w:color="auto"/>
            <w:left w:val="none" w:sz="0" w:space="0" w:color="auto"/>
            <w:bottom w:val="none" w:sz="0" w:space="0" w:color="auto"/>
            <w:right w:val="none" w:sz="0" w:space="0" w:color="auto"/>
          </w:divBdr>
        </w:div>
        <w:div w:id="922572915">
          <w:marLeft w:val="1008"/>
          <w:marRight w:val="0"/>
          <w:marTop w:val="0"/>
          <w:marBottom w:val="90"/>
          <w:divBdr>
            <w:top w:val="none" w:sz="0" w:space="0" w:color="auto"/>
            <w:left w:val="none" w:sz="0" w:space="0" w:color="auto"/>
            <w:bottom w:val="none" w:sz="0" w:space="0" w:color="auto"/>
            <w:right w:val="none" w:sz="0" w:space="0" w:color="auto"/>
          </w:divBdr>
        </w:div>
      </w:divsChild>
    </w:div>
    <w:div w:id="1717390422">
      <w:bodyDiv w:val="1"/>
      <w:marLeft w:val="0"/>
      <w:marRight w:val="0"/>
      <w:marTop w:val="0"/>
      <w:marBottom w:val="0"/>
      <w:divBdr>
        <w:top w:val="none" w:sz="0" w:space="0" w:color="auto"/>
        <w:left w:val="none" w:sz="0" w:space="0" w:color="auto"/>
        <w:bottom w:val="none" w:sz="0" w:space="0" w:color="auto"/>
        <w:right w:val="none" w:sz="0" w:space="0" w:color="auto"/>
      </w:divBdr>
      <w:divsChild>
        <w:div w:id="1411460207">
          <w:marLeft w:val="0"/>
          <w:marRight w:val="0"/>
          <w:marTop w:val="0"/>
          <w:marBottom w:val="90"/>
          <w:divBdr>
            <w:top w:val="none" w:sz="0" w:space="0" w:color="auto"/>
            <w:left w:val="none" w:sz="0" w:space="0" w:color="auto"/>
            <w:bottom w:val="none" w:sz="0" w:space="0" w:color="auto"/>
            <w:right w:val="none" w:sz="0" w:space="0" w:color="auto"/>
          </w:divBdr>
        </w:div>
        <w:div w:id="826629801">
          <w:marLeft w:val="1008"/>
          <w:marRight w:val="0"/>
          <w:marTop w:val="0"/>
          <w:marBottom w:val="90"/>
          <w:divBdr>
            <w:top w:val="none" w:sz="0" w:space="0" w:color="auto"/>
            <w:left w:val="none" w:sz="0" w:space="0" w:color="auto"/>
            <w:bottom w:val="none" w:sz="0" w:space="0" w:color="auto"/>
            <w:right w:val="none" w:sz="0" w:space="0" w:color="auto"/>
          </w:divBdr>
        </w:div>
        <w:div w:id="670596226">
          <w:marLeft w:val="1008"/>
          <w:marRight w:val="0"/>
          <w:marTop w:val="0"/>
          <w:marBottom w:val="90"/>
          <w:divBdr>
            <w:top w:val="none" w:sz="0" w:space="0" w:color="auto"/>
            <w:left w:val="none" w:sz="0" w:space="0" w:color="auto"/>
            <w:bottom w:val="none" w:sz="0" w:space="0" w:color="auto"/>
            <w:right w:val="none" w:sz="0" w:space="0" w:color="auto"/>
          </w:divBdr>
        </w:div>
        <w:div w:id="676149548">
          <w:marLeft w:val="1008"/>
          <w:marRight w:val="0"/>
          <w:marTop w:val="0"/>
          <w:marBottom w:val="90"/>
          <w:divBdr>
            <w:top w:val="none" w:sz="0" w:space="0" w:color="auto"/>
            <w:left w:val="none" w:sz="0" w:space="0" w:color="auto"/>
            <w:bottom w:val="none" w:sz="0" w:space="0" w:color="auto"/>
            <w:right w:val="none" w:sz="0" w:space="0" w:color="auto"/>
          </w:divBdr>
        </w:div>
      </w:divsChild>
    </w:div>
    <w:div w:id="1941260471">
      <w:bodyDiv w:val="1"/>
      <w:marLeft w:val="0"/>
      <w:marRight w:val="0"/>
      <w:marTop w:val="0"/>
      <w:marBottom w:val="0"/>
      <w:divBdr>
        <w:top w:val="none" w:sz="0" w:space="0" w:color="auto"/>
        <w:left w:val="none" w:sz="0" w:space="0" w:color="auto"/>
        <w:bottom w:val="none" w:sz="0" w:space="0" w:color="auto"/>
        <w:right w:val="none" w:sz="0" w:space="0" w:color="auto"/>
      </w:divBdr>
      <w:divsChild>
        <w:div w:id="511455811">
          <w:marLeft w:val="1008"/>
          <w:marRight w:val="0"/>
          <w:marTop w:val="0"/>
          <w:marBottom w:val="101"/>
          <w:divBdr>
            <w:top w:val="none" w:sz="0" w:space="0" w:color="auto"/>
            <w:left w:val="none" w:sz="0" w:space="0" w:color="auto"/>
            <w:bottom w:val="none" w:sz="0" w:space="0" w:color="auto"/>
            <w:right w:val="none" w:sz="0" w:space="0" w:color="auto"/>
          </w:divBdr>
        </w:div>
        <w:div w:id="1158038337">
          <w:marLeft w:val="1008"/>
          <w:marRight w:val="0"/>
          <w:marTop w:val="0"/>
          <w:marBottom w:val="101"/>
          <w:divBdr>
            <w:top w:val="none" w:sz="0" w:space="0" w:color="auto"/>
            <w:left w:val="none" w:sz="0" w:space="0" w:color="auto"/>
            <w:bottom w:val="none" w:sz="0" w:space="0" w:color="auto"/>
            <w:right w:val="none" w:sz="0" w:space="0" w:color="auto"/>
          </w:divBdr>
        </w:div>
        <w:div w:id="766732060">
          <w:marLeft w:val="1008"/>
          <w:marRight w:val="0"/>
          <w:marTop w:val="0"/>
          <w:marBottom w:val="101"/>
          <w:divBdr>
            <w:top w:val="none" w:sz="0" w:space="0" w:color="auto"/>
            <w:left w:val="none" w:sz="0" w:space="0" w:color="auto"/>
            <w:bottom w:val="none" w:sz="0" w:space="0" w:color="auto"/>
            <w:right w:val="none" w:sz="0" w:space="0" w:color="auto"/>
          </w:divBdr>
        </w:div>
        <w:div w:id="845052776">
          <w:marLeft w:val="1440"/>
          <w:marRight w:val="0"/>
          <w:marTop w:val="0"/>
          <w:marBottom w:val="101"/>
          <w:divBdr>
            <w:top w:val="none" w:sz="0" w:space="0" w:color="auto"/>
            <w:left w:val="none" w:sz="0" w:space="0" w:color="auto"/>
            <w:bottom w:val="none" w:sz="0" w:space="0" w:color="auto"/>
            <w:right w:val="none" w:sz="0" w:space="0" w:color="auto"/>
          </w:divBdr>
        </w:div>
        <w:div w:id="2045863536">
          <w:marLeft w:val="1440"/>
          <w:marRight w:val="0"/>
          <w:marTop w:val="0"/>
          <w:marBottom w:val="101"/>
          <w:divBdr>
            <w:top w:val="none" w:sz="0" w:space="0" w:color="auto"/>
            <w:left w:val="none" w:sz="0" w:space="0" w:color="auto"/>
            <w:bottom w:val="none" w:sz="0" w:space="0" w:color="auto"/>
            <w:right w:val="none" w:sz="0" w:space="0" w:color="auto"/>
          </w:divBdr>
        </w:div>
        <w:div w:id="84621541">
          <w:marLeft w:val="1440"/>
          <w:marRight w:val="0"/>
          <w:marTop w:val="0"/>
          <w:marBottom w:val="101"/>
          <w:divBdr>
            <w:top w:val="none" w:sz="0" w:space="0" w:color="auto"/>
            <w:left w:val="none" w:sz="0" w:space="0" w:color="auto"/>
            <w:bottom w:val="none" w:sz="0" w:space="0" w:color="auto"/>
            <w:right w:val="none" w:sz="0" w:space="0" w:color="auto"/>
          </w:divBdr>
        </w:div>
        <w:div w:id="1142429340">
          <w:marLeft w:val="0"/>
          <w:marRight w:val="0"/>
          <w:marTop w:val="0"/>
          <w:marBottom w:val="101"/>
          <w:divBdr>
            <w:top w:val="none" w:sz="0" w:space="0" w:color="auto"/>
            <w:left w:val="none" w:sz="0" w:space="0" w:color="auto"/>
            <w:bottom w:val="none" w:sz="0" w:space="0" w:color="auto"/>
            <w:right w:val="none" w:sz="0" w:space="0" w:color="auto"/>
          </w:divBdr>
        </w:div>
      </w:divsChild>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133163929">
      <w:bodyDiv w:val="1"/>
      <w:marLeft w:val="0"/>
      <w:marRight w:val="0"/>
      <w:marTop w:val="0"/>
      <w:marBottom w:val="0"/>
      <w:divBdr>
        <w:top w:val="none" w:sz="0" w:space="0" w:color="auto"/>
        <w:left w:val="none" w:sz="0" w:space="0" w:color="auto"/>
        <w:bottom w:val="none" w:sz="0" w:space="0" w:color="auto"/>
        <w:right w:val="none" w:sz="0" w:space="0" w:color="auto"/>
      </w:divBdr>
      <w:divsChild>
        <w:div w:id="1894660321">
          <w:marLeft w:val="0"/>
          <w:marRight w:val="0"/>
          <w:marTop w:val="0"/>
          <w:marBottom w:val="101"/>
          <w:divBdr>
            <w:top w:val="none" w:sz="0" w:space="0" w:color="auto"/>
            <w:left w:val="none" w:sz="0" w:space="0" w:color="auto"/>
            <w:bottom w:val="none" w:sz="0" w:space="0" w:color="auto"/>
            <w:right w:val="none" w:sz="0" w:space="0" w:color="auto"/>
          </w:divBdr>
        </w:div>
        <w:div w:id="868567231">
          <w:marLeft w:val="0"/>
          <w:marRight w:val="0"/>
          <w:marTop w:val="0"/>
          <w:marBottom w:val="101"/>
          <w:divBdr>
            <w:top w:val="none" w:sz="0" w:space="0" w:color="auto"/>
            <w:left w:val="none" w:sz="0" w:space="0" w:color="auto"/>
            <w:bottom w:val="none" w:sz="0" w:space="0" w:color="auto"/>
            <w:right w:val="none" w:sz="0" w:space="0" w:color="auto"/>
          </w:divBdr>
        </w:div>
        <w:div w:id="1689521571">
          <w:marLeft w:val="0"/>
          <w:marRight w:val="0"/>
          <w:marTop w:val="0"/>
          <w:marBottom w:val="101"/>
          <w:divBdr>
            <w:top w:val="none" w:sz="0" w:space="0" w:color="auto"/>
            <w:left w:val="none" w:sz="0" w:space="0" w:color="auto"/>
            <w:bottom w:val="none" w:sz="0" w:space="0" w:color="auto"/>
            <w:right w:val="none" w:sz="0" w:space="0" w:color="auto"/>
          </w:divBdr>
        </w:div>
        <w:div w:id="845362947">
          <w:marLeft w:val="0"/>
          <w:marRight w:val="0"/>
          <w:marTop w:val="0"/>
          <w:marBottom w:val="101"/>
          <w:divBdr>
            <w:top w:val="none" w:sz="0" w:space="0" w:color="auto"/>
            <w:left w:val="none" w:sz="0" w:space="0" w:color="auto"/>
            <w:bottom w:val="none" w:sz="0" w:space="0" w:color="auto"/>
            <w:right w:val="none" w:sz="0" w:space="0" w:color="auto"/>
          </w:divBdr>
        </w:div>
        <w:div w:id="262417081">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ion.edomex.gob.mx/sites/legislacion.edomex.gob.mx/files/files/pdf/ley/vig/leyvig233.pdf" TargetMode="Externa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esaemm.gob.mx" TargetMode="External"/><Relationship Id="rId17" Type="http://schemas.openxmlformats.org/officeDocument/2006/relationships/hyperlink" Target="https://www.ipomex.org.mx/ipo3/lgt/indice/SESEA/art_92_xlix.web"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legislacion.edomex.gob.mx/sites/legislacion.edomex.gob.mx/files/files/pdf/ley/vig/leyvig005.pdf"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esea/art_92_xxiv.web" TargetMode="External"/><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iputados.gob.mx/LeyesBiblio/pdf/LGA_150618.pdf"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plataformadetransparencia.org.mx/web/guest/inicio" TargetMode="External"/><Relationship Id="rId19" Type="http://schemas.openxmlformats.org/officeDocument/2006/relationships/hyperlink" Target="http://legislacion.edomex.gob.mx/sites/legislacion.edomex.gob.mx/files/files/pdf/ley/vig/leyvig240.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egislacion.edomex.gob.mx/sites/legislacion.edomex.gob.mx/files/files/pdf/ley/vig/leyvig240.pdf" TargetMode="External"/><Relationship Id="rId14" Type="http://schemas.openxmlformats.org/officeDocument/2006/relationships/hyperlink" Target="https://ipomex.org.mx/ipo3/lgt/indice/SESEA/art_92_xlix.we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ipomex.org.mx/ipo3/lgt/indice/SESEA/art_92_xlix.web"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17/abr243.pdf" TargetMode="External"/><Relationship Id="rId2" Type="http://schemas.openxmlformats.org/officeDocument/2006/relationships/hyperlink" Target="http://www.dof.gob.mx/nota_detalle.php?codigo=5394003&amp;fecha=27/05/2015" TargetMode="External"/><Relationship Id="rId1" Type="http://schemas.openxmlformats.org/officeDocument/2006/relationships/hyperlink" Target="http://www.dof.gob.mx/nota_detalle.php?codigo=5436056&amp;fecha=04/05/20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170F5-399F-41C2-91BA-9F685D9B0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41</Pages>
  <Words>7535</Words>
  <Characters>41447</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2019-11-15T20:26:00Z</cp:lastPrinted>
  <dcterms:created xsi:type="dcterms:W3CDTF">2019-11-15T18:01:00Z</dcterms:created>
  <dcterms:modified xsi:type="dcterms:W3CDTF">2020-03-24T20:03:00Z</dcterms:modified>
</cp:coreProperties>
</file>