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F4" w:rsidRPr="003E7669" w:rsidRDefault="00EB71F4" w:rsidP="00EB71F4">
      <w:pPr>
        <w:widowControl w:val="0"/>
        <w:spacing w:line="360" w:lineRule="auto"/>
        <w:ind w:right="-164"/>
        <w:jc w:val="both"/>
        <w:rPr>
          <w:rFonts w:ascii="Palatino Linotype" w:eastAsia="Calibri" w:hAnsi="Palatino Linotype" w:cs="Arial"/>
          <w:b/>
          <w:color w:val="000000"/>
        </w:rPr>
      </w:pPr>
      <w:r w:rsidRPr="003E766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CUARTA </w:t>
      </w:r>
      <w:r w:rsidRPr="003E7669">
        <w:rPr>
          <w:rFonts w:ascii="Palatino Linotype" w:hAnsi="Palatino Linotype" w:cs="Arial"/>
          <w:b/>
        </w:rPr>
        <w:t xml:space="preserve">SESIÓN ORDINARIA DEL </w:t>
      </w:r>
      <w:r>
        <w:rPr>
          <w:rFonts w:ascii="Palatino Linotype" w:hAnsi="Palatino Linotype" w:cs="Arial"/>
          <w:b/>
        </w:rPr>
        <w:t>SEIS DE FEBRERO DE DOS MIL VEINTE</w:t>
      </w:r>
      <w:r w:rsidRPr="003E7669">
        <w:rPr>
          <w:rFonts w:ascii="Palatino Linotype" w:hAnsi="Palatino Linotype" w:cs="Arial"/>
          <w:b/>
        </w:rPr>
        <w:t xml:space="preserve">, EN EL RECURSO DE REVISIÓN </w:t>
      </w:r>
      <w:r>
        <w:rPr>
          <w:rFonts w:ascii="Palatino Linotype" w:hAnsi="Palatino Linotype" w:cs="Arial"/>
          <w:b/>
          <w:bCs/>
          <w:lang w:eastAsia="es-MX"/>
        </w:rPr>
        <w:t>08785</w:t>
      </w:r>
      <w:r w:rsidRPr="003E7669">
        <w:rPr>
          <w:rFonts w:ascii="Palatino Linotype" w:hAnsi="Palatino Linotype" w:cs="Arial"/>
          <w:b/>
          <w:bCs/>
          <w:lang w:eastAsia="es-MX"/>
        </w:rPr>
        <w:t>/INFOEM/IP/RR/2019</w:t>
      </w:r>
      <w:r w:rsidRPr="003E7669">
        <w:rPr>
          <w:rFonts w:ascii="Palatino Linotype" w:eastAsia="Calibri" w:hAnsi="Palatino Linotype" w:cs="Arial"/>
          <w:b/>
          <w:color w:val="000000"/>
        </w:rPr>
        <w:t>.</w:t>
      </w:r>
    </w:p>
    <w:p w:rsidR="00EB71F4" w:rsidRPr="003E7669" w:rsidRDefault="00EB71F4" w:rsidP="00EB71F4">
      <w:pPr>
        <w:widowControl w:val="0"/>
        <w:spacing w:line="360" w:lineRule="auto"/>
        <w:ind w:right="-164"/>
        <w:jc w:val="both"/>
        <w:rPr>
          <w:rFonts w:ascii="Palatino Linotype" w:eastAsia="Calibri" w:hAnsi="Palatino Linotype" w:cs="Arial"/>
          <w:b/>
          <w:color w:val="000000"/>
        </w:rPr>
      </w:pPr>
    </w:p>
    <w:p w:rsidR="00EB71F4" w:rsidRPr="003E7669" w:rsidRDefault="00EB71F4" w:rsidP="00EB71F4">
      <w:pPr>
        <w:spacing w:line="360" w:lineRule="auto"/>
        <w:jc w:val="both"/>
        <w:rPr>
          <w:rFonts w:ascii="Palatino Linotype" w:hAnsi="Palatino Linotype" w:cs="Arial"/>
        </w:rPr>
      </w:pPr>
      <w:r w:rsidRPr="003E766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669">
        <w:rPr>
          <w:rFonts w:ascii="Palatino Linotype" w:hAnsi="Palatino Linotype" w:cs="Arial"/>
          <w:b/>
          <w:lang w:val="es-ES_tradnl"/>
        </w:rPr>
        <w:t xml:space="preserve"> </w:t>
      </w:r>
      <w:r w:rsidRPr="003E7669">
        <w:rPr>
          <w:rFonts w:ascii="Palatino Linotype" w:hAnsi="Palatino Linotype" w:cs="Arial"/>
          <w:b/>
        </w:rPr>
        <w:t xml:space="preserve">EVA ABAID YAPUR </w:t>
      </w:r>
      <w:r w:rsidRPr="003E7669">
        <w:rPr>
          <w:rFonts w:ascii="Palatino Linotype" w:hAnsi="Palatino Linotype" w:cs="Arial"/>
        </w:rPr>
        <w:t xml:space="preserve">emite </w:t>
      </w:r>
      <w:r w:rsidRPr="003E7669">
        <w:rPr>
          <w:rFonts w:ascii="Palatino Linotype" w:hAnsi="Palatino Linotype" w:cs="Arial"/>
          <w:b/>
        </w:rPr>
        <w:t xml:space="preserve">VOTO PARTICULAR </w:t>
      </w:r>
      <w:r w:rsidRPr="003E7669">
        <w:rPr>
          <w:rFonts w:ascii="Palatino Linotype" w:hAnsi="Palatino Linotype" w:cs="Arial"/>
        </w:rPr>
        <w:t xml:space="preserve">respecto de la resolución dictada en el recurso de revisión </w:t>
      </w:r>
      <w:r>
        <w:rPr>
          <w:rFonts w:ascii="Palatino Linotype" w:hAnsi="Palatino Linotype" w:cs="Arial"/>
          <w:b/>
          <w:bCs/>
          <w:lang w:eastAsia="es-MX"/>
        </w:rPr>
        <w:t>08785/INFOEM/IP/RR/2019</w:t>
      </w:r>
      <w:r w:rsidRPr="003E7669">
        <w:rPr>
          <w:rFonts w:ascii="Palatino Linotype" w:hAnsi="Palatino Linotype" w:cs="Arial"/>
          <w:b/>
          <w:bCs/>
          <w:lang w:eastAsia="es-MX"/>
        </w:rPr>
        <w:t xml:space="preserve">, </w:t>
      </w:r>
      <w:r w:rsidRPr="003E7669">
        <w:rPr>
          <w:rFonts w:ascii="Palatino Linotype" w:hAnsi="Palatino Linotype" w:cs="Arial"/>
        </w:rPr>
        <w:t xml:space="preserve">pronunciada por el Pleno de este Instituto ante el proyecto presentado por </w:t>
      </w:r>
      <w:r>
        <w:rPr>
          <w:rFonts w:ascii="Palatino Linotype" w:hAnsi="Palatino Linotype" w:cs="Arial"/>
        </w:rPr>
        <w:t>la</w:t>
      </w:r>
      <w:r w:rsidRPr="003E7669">
        <w:rPr>
          <w:rFonts w:ascii="Palatino Linotype" w:hAnsi="Palatino Linotype" w:cs="Arial"/>
        </w:rPr>
        <w:t xml:space="preserve"> Comisionad</w:t>
      </w:r>
      <w:r>
        <w:rPr>
          <w:rFonts w:ascii="Palatino Linotype" w:hAnsi="Palatino Linotype" w:cs="Arial"/>
        </w:rPr>
        <w:t>a Presidenta</w:t>
      </w:r>
      <w:r w:rsidRPr="003E7669">
        <w:rPr>
          <w:rFonts w:ascii="Palatino Linotype" w:hAnsi="Palatino Linotype" w:cs="Arial"/>
        </w:rPr>
        <w:t xml:space="preserve"> </w:t>
      </w:r>
      <w:r>
        <w:rPr>
          <w:rFonts w:ascii="Palatino Linotype" w:hAnsi="Palatino Linotype" w:cs="Arial"/>
          <w:b/>
        </w:rPr>
        <w:t>ZULEMA MARTÍNEZ SÁNCHEZ</w:t>
      </w:r>
      <w:r w:rsidRPr="003E7669">
        <w:rPr>
          <w:rFonts w:ascii="Palatino Linotype" w:hAnsi="Palatino Linotype" w:cs="Arial"/>
        </w:rPr>
        <w:t>, que es del tenor siguiente.</w:t>
      </w:r>
    </w:p>
    <w:p w:rsidR="00EB71F4" w:rsidRPr="003E7669" w:rsidRDefault="00EB71F4" w:rsidP="00EB71F4">
      <w:pPr>
        <w:spacing w:line="360" w:lineRule="auto"/>
        <w:jc w:val="both"/>
        <w:rPr>
          <w:rFonts w:ascii="Palatino Linotype" w:hAnsi="Palatino Linotype" w:cs="Arial"/>
        </w:rPr>
      </w:pPr>
    </w:p>
    <w:p w:rsidR="00EB71F4" w:rsidRPr="003E7669" w:rsidRDefault="00EB71F4" w:rsidP="00EB71F4">
      <w:pPr>
        <w:spacing w:line="360" w:lineRule="auto"/>
        <w:jc w:val="both"/>
        <w:rPr>
          <w:rFonts w:ascii="Palatino Linotype" w:hAnsi="Palatino Linotype"/>
        </w:rPr>
      </w:pPr>
      <w:r w:rsidRPr="003E7669">
        <w:rPr>
          <w:rFonts w:ascii="Palatino Linotype" w:hAnsi="Palatino Linotype"/>
        </w:rPr>
        <w:t>Es de destacar, que la suscrita comparte esencialmente el estudio realizado en la resolución del recurso de revisión; empero, considero necesario precisar algunas cuestiones de hecho y de derecho.</w:t>
      </w:r>
    </w:p>
    <w:p w:rsidR="00EB71F4" w:rsidRPr="003E7669" w:rsidRDefault="00EB71F4" w:rsidP="00EB71F4">
      <w:pPr>
        <w:spacing w:line="360" w:lineRule="auto"/>
        <w:jc w:val="both"/>
        <w:rPr>
          <w:rFonts w:ascii="Palatino Linotype" w:hAnsi="Palatino Linotype"/>
        </w:rPr>
      </w:pPr>
    </w:p>
    <w:p w:rsidR="00EB71F4" w:rsidRPr="003E7669" w:rsidRDefault="00EB71F4" w:rsidP="00EB71F4">
      <w:pPr>
        <w:spacing w:line="360" w:lineRule="auto"/>
        <w:jc w:val="both"/>
        <w:rPr>
          <w:rFonts w:ascii="Palatino Linotype" w:hAnsi="Palatino Linotype"/>
        </w:rPr>
      </w:pPr>
      <w:r w:rsidRPr="003E7669">
        <w:rPr>
          <w:rFonts w:ascii="Palatino Linotype" w:hAnsi="Palatino Linotype"/>
        </w:rPr>
        <w:t xml:space="preserve">Al respecto, tal y como quedó debidamente asentado en la resolución materia del presente voto, la particular requirió de </w:t>
      </w:r>
      <w:r w:rsidRPr="007614D6">
        <w:rPr>
          <w:rFonts w:ascii="Palatino Linotype" w:hAnsi="Palatino Linotype" w:cs="Arial"/>
          <w:b/>
        </w:rPr>
        <w:t xml:space="preserve">Ayuntamiento de </w:t>
      </w:r>
      <w:proofErr w:type="spellStart"/>
      <w:r>
        <w:rPr>
          <w:rFonts w:ascii="Palatino Linotype" w:hAnsi="Palatino Linotype" w:cs="Arial"/>
          <w:b/>
        </w:rPr>
        <w:t>Jaltenco</w:t>
      </w:r>
      <w:proofErr w:type="spellEnd"/>
      <w:r w:rsidRPr="003E7669">
        <w:rPr>
          <w:rFonts w:ascii="Palatino Linotype" w:hAnsi="Palatino Linotype"/>
        </w:rPr>
        <w:t>, en lo subsecuente</w:t>
      </w:r>
      <w:r w:rsidRPr="003E7669">
        <w:rPr>
          <w:rFonts w:ascii="Palatino Linotype" w:hAnsi="Palatino Linotype"/>
          <w:b/>
        </w:rPr>
        <w:t xml:space="preserve"> EL SUJETO OBLIGADO,</w:t>
      </w:r>
      <w:r w:rsidRPr="003E7669">
        <w:rPr>
          <w:rFonts w:ascii="Palatino Linotype" w:hAnsi="Palatino Linotype"/>
        </w:rPr>
        <w:t xml:space="preserve"> vía SAIMEX, </w:t>
      </w:r>
      <w:r w:rsidRPr="0020769B">
        <w:rPr>
          <w:rFonts w:ascii="Palatino Linotype" w:hAnsi="Palatino Linotype"/>
        </w:rPr>
        <w:t>las actas del comité de transparencia de los años 2016 2017 2018 y 2019</w:t>
      </w:r>
      <w:r>
        <w:rPr>
          <w:rFonts w:ascii="Palatino Linotype" w:hAnsi="Palatino Linotype"/>
        </w:rPr>
        <w:t>.</w:t>
      </w:r>
    </w:p>
    <w:p w:rsidR="00EB71F4" w:rsidRPr="003E7669" w:rsidRDefault="00EB71F4" w:rsidP="00EB71F4">
      <w:pPr>
        <w:spacing w:line="360" w:lineRule="auto"/>
        <w:jc w:val="both"/>
        <w:rPr>
          <w:rFonts w:ascii="Palatino Linotype" w:hAnsi="Palatino Linotype" w:cs="Arial"/>
          <w:szCs w:val="23"/>
        </w:rPr>
      </w:pPr>
      <w:r w:rsidRPr="003E7669">
        <w:rPr>
          <w:rFonts w:ascii="Palatino Linotype" w:hAnsi="Palatino Linotype" w:cs="Arial"/>
        </w:rPr>
        <w:lastRenderedPageBreak/>
        <w:t xml:space="preserve">En respuesta a la solicitud, </w:t>
      </w:r>
      <w:r w:rsidRPr="003E7669">
        <w:rPr>
          <w:rFonts w:ascii="Palatino Linotype" w:hAnsi="Palatino Linotype" w:cs="Arial"/>
          <w:b/>
        </w:rPr>
        <w:t>EL SUJETO OBLIGADO</w:t>
      </w:r>
      <w:r w:rsidRPr="003E7669">
        <w:rPr>
          <w:rFonts w:ascii="Palatino Linotype" w:hAnsi="Palatino Linotype" w:cs="Arial"/>
        </w:rPr>
        <w:t xml:space="preserve"> </w:t>
      </w:r>
      <w:r w:rsidRPr="0020769B">
        <w:rPr>
          <w:rFonts w:ascii="Palatino Linotype" w:hAnsi="Palatino Linotype" w:cs="Arial"/>
        </w:rPr>
        <w:t xml:space="preserve">adjuntó los archivos electrónicos denominados “2016-2018.rar” </w:t>
      </w:r>
      <w:r>
        <w:rPr>
          <w:rFonts w:ascii="Palatino Linotype" w:hAnsi="Palatino Linotype" w:cs="Arial"/>
        </w:rPr>
        <w:t>y “2019.rar”; cuyo contenido eran algunas de</w:t>
      </w:r>
      <w:r w:rsidRPr="0020769B">
        <w:rPr>
          <w:rFonts w:ascii="Palatino Linotype" w:hAnsi="Palatino Linotype" w:cs="Arial"/>
        </w:rPr>
        <w:t xml:space="preserve"> las Actas del Comité de Transparencia H. Ayuntamiento de </w:t>
      </w:r>
      <w:proofErr w:type="spellStart"/>
      <w:r w:rsidRPr="0020769B">
        <w:rPr>
          <w:rFonts w:ascii="Palatino Linotype" w:hAnsi="Palatino Linotype" w:cs="Arial"/>
        </w:rPr>
        <w:t>Jaltenco</w:t>
      </w:r>
      <w:proofErr w:type="spellEnd"/>
      <w:r w:rsidRPr="0020769B">
        <w:rPr>
          <w:rFonts w:ascii="Palatino Linotype" w:hAnsi="Palatino Linotype" w:cs="Arial"/>
        </w:rPr>
        <w:t>, Estado de México, de las Sesiones Ordinarias y Extraordinarias</w:t>
      </w:r>
      <w:r>
        <w:rPr>
          <w:rFonts w:ascii="Palatino Linotype" w:hAnsi="Palatino Linotype" w:cs="Arial"/>
        </w:rPr>
        <w:t>.</w:t>
      </w:r>
    </w:p>
    <w:p w:rsidR="00EB71F4" w:rsidRPr="003E7669" w:rsidRDefault="00EB71F4" w:rsidP="00EB71F4">
      <w:pPr>
        <w:spacing w:line="360" w:lineRule="auto"/>
        <w:jc w:val="both"/>
        <w:rPr>
          <w:rFonts w:ascii="Palatino Linotype" w:hAnsi="Palatino Linotype" w:cs="Arial"/>
        </w:rPr>
      </w:pPr>
    </w:p>
    <w:p w:rsidR="00EB71F4" w:rsidRPr="003E7669" w:rsidRDefault="00EB71F4" w:rsidP="00EB71F4">
      <w:pPr>
        <w:spacing w:line="360" w:lineRule="auto"/>
        <w:jc w:val="both"/>
        <w:rPr>
          <w:rFonts w:ascii="Palatino Linotype" w:hAnsi="Palatino Linotype"/>
        </w:rPr>
      </w:pPr>
      <w:r w:rsidRPr="003E7669">
        <w:rPr>
          <w:rFonts w:ascii="Palatino Linotype" w:hAnsi="Palatino Linotype"/>
        </w:rPr>
        <w:t xml:space="preserve">Ante la respuesta del </w:t>
      </w:r>
      <w:r w:rsidRPr="003E7669">
        <w:rPr>
          <w:rFonts w:ascii="Palatino Linotype" w:hAnsi="Palatino Linotype"/>
          <w:b/>
        </w:rPr>
        <w:t>SUJETO OBLIGADO</w:t>
      </w:r>
      <w:r w:rsidRPr="003E7669">
        <w:rPr>
          <w:rFonts w:ascii="Palatino Linotype" w:hAnsi="Palatino Linotype"/>
        </w:rPr>
        <w:t xml:space="preserve">, </w:t>
      </w:r>
      <w:r w:rsidRPr="003E7669">
        <w:rPr>
          <w:rFonts w:ascii="Palatino Linotype" w:hAnsi="Palatino Linotype"/>
          <w:b/>
        </w:rPr>
        <w:t>LA RECURRENTE</w:t>
      </w:r>
      <w:r w:rsidRPr="003E7669">
        <w:rPr>
          <w:rFonts w:ascii="Palatino Linotype" w:hAnsi="Palatino Linotype"/>
        </w:rPr>
        <w:t xml:space="preserve"> interpuso </w:t>
      </w:r>
      <w:proofErr w:type="gramStart"/>
      <w:r>
        <w:rPr>
          <w:rFonts w:ascii="Palatino Linotype" w:hAnsi="Palatino Linotype"/>
        </w:rPr>
        <w:t xml:space="preserve">el </w:t>
      </w:r>
      <w:r w:rsidRPr="003E7669">
        <w:rPr>
          <w:rFonts w:ascii="Palatino Linotype" w:hAnsi="Palatino Linotype"/>
        </w:rPr>
        <w:t>medios</w:t>
      </w:r>
      <w:proofErr w:type="gramEnd"/>
      <w:r w:rsidRPr="003E7669">
        <w:rPr>
          <w:rFonts w:ascii="Palatino Linotype" w:hAnsi="Palatino Linotype"/>
        </w:rPr>
        <w:t xml:space="preserve"> de impugnación que dieron origen al presente voto, argumentando como razones o motivos de inconformidad lo siguiente:</w:t>
      </w:r>
    </w:p>
    <w:p w:rsidR="00EB71F4" w:rsidRPr="003E7669" w:rsidRDefault="00EB71F4" w:rsidP="00EB71F4">
      <w:pPr>
        <w:spacing w:line="360" w:lineRule="auto"/>
        <w:jc w:val="both"/>
        <w:rPr>
          <w:rFonts w:ascii="Palatino Linotype" w:hAnsi="Palatino Linotype"/>
        </w:rPr>
      </w:pPr>
    </w:p>
    <w:p w:rsidR="00EB71F4" w:rsidRPr="00F63213" w:rsidRDefault="00EB71F4" w:rsidP="00EB71F4">
      <w:pPr>
        <w:pStyle w:val="Sinespaciado"/>
        <w:ind w:left="851" w:right="757"/>
        <w:jc w:val="both"/>
        <w:rPr>
          <w:rFonts w:ascii="Palatino Linotype" w:hAnsi="Palatino Linotype"/>
          <w:i/>
          <w:sz w:val="22"/>
          <w:szCs w:val="22"/>
        </w:rPr>
      </w:pPr>
      <w:r w:rsidRPr="00F63213">
        <w:rPr>
          <w:rFonts w:ascii="Palatino Linotype" w:hAnsi="Palatino Linotype"/>
          <w:i/>
          <w:sz w:val="22"/>
          <w:szCs w:val="22"/>
        </w:rPr>
        <w:t>“</w:t>
      </w:r>
      <w:r w:rsidRPr="00F63213">
        <w:rPr>
          <w:rFonts w:ascii="Palatino Linotype" w:hAnsi="Palatino Linotype"/>
          <w:i/>
          <w:color w:val="000000"/>
          <w:sz w:val="22"/>
          <w:szCs w:val="22"/>
        </w:rPr>
        <w:t>Información incompleta.</w:t>
      </w:r>
      <w:r w:rsidRPr="00F63213">
        <w:rPr>
          <w:rFonts w:ascii="Palatino Linotype" w:hAnsi="Palatino Linotype"/>
          <w:i/>
          <w:sz w:val="22"/>
          <w:szCs w:val="22"/>
        </w:rPr>
        <w:t>” (Sic).</w:t>
      </w:r>
    </w:p>
    <w:p w:rsidR="00EB71F4" w:rsidRPr="003E7669" w:rsidRDefault="00EB71F4" w:rsidP="00EB71F4">
      <w:pPr>
        <w:pStyle w:val="Sinespaciado"/>
        <w:ind w:left="851" w:right="757"/>
        <w:jc w:val="both"/>
        <w:rPr>
          <w:rFonts w:ascii="Palatino Linotype" w:hAnsi="Palatino Linotype"/>
          <w:i/>
          <w:sz w:val="22"/>
          <w:szCs w:val="22"/>
        </w:rPr>
      </w:pPr>
    </w:p>
    <w:p w:rsidR="00EB71F4" w:rsidRDefault="00EB71F4" w:rsidP="00EB71F4">
      <w:pPr>
        <w:spacing w:line="360" w:lineRule="auto"/>
        <w:jc w:val="both"/>
        <w:rPr>
          <w:rFonts w:ascii="Palatino Linotype" w:hAnsi="Palatino Linotype" w:cs="Arial"/>
          <w:szCs w:val="23"/>
        </w:rPr>
      </w:pPr>
      <w:r w:rsidRPr="003E7669">
        <w:rPr>
          <w:rFonts w:ascii="Palatino Linotype" w:hAnsi="Palatino Linotype" w:cs="Arial"/>
        </w:rPr>
        <w:t xml:space="preserve">Asimismo, se advierte dentro del expediente electrónico que </w:t>
      </w:r>
      <w:r w:rsidRPr="003E7669">
        <w:rPr>
          <w:rFonts w:ascii="Palatino Linotype" w:hAnsi="Palatino Linotype" w:cs="Arial"/>
          <w:b/>
        </w:rPr>
        <w:t xml:space="preserve">EL SUJETO OBLIGADO, </w:t>
      </w:r>
      <w:r w:rsidRPr="003E7669">
        <w:rPr>
          <w:rFonts w:ascii="Palatino Linotype" w:hAnsi="Palatino Linotype" w:cs="Arial"/>
        </w:rPr>
        <w:t xml:space="preserve">rindió su Informe Justificado, </w:t>
      </w:r>
      <w:r>
        <w:rPr>
          <w:rFonts w:ascii="Palatino Linotype" w:hAnsi="Palatino Linotype" w:cs="Arial"/>
          <w:szCs w:val="23"/>
        </w:rPr>
        <w:t xml:space="preserve">manifestando que </w:t>
      </w:r>
      <w:r w:rsidRPr="00A55257">
        <w:rPr>
          <w:rFonts w:ascii="Palatino Linotype" w:hAnsi="Palatino Linotype" w:cs="Arial"/>
          <w:szCs w:val="23"/>
        </w:rPr>
        <w:t xml:space="preserve">de la Cuarta Sesión del Comité de Transparencia del H. Ayuntamiento de </w:t>
      </w:r>
      <w:proofErr w:type="spellStart"/>
      <w:r w:rsidRPr="00A55257">
        <w:rPr>
          <w:rFonts w:ascii="Palatino Linotype" w:hAnsi="Palatino Linotype" w:cs="Arial"/>
          <w:szCs w:val="23"/>
        </w:rPr>
        <w:t>Jaltenco</w:t>
      </w:r>
      <w:proofErr w:type="spellEnd"/>
      <w:r w:rsidRPr="00A55257">
        <w:rPr>
          <w:rFonts w:ascii="Palatino Linotype" w:hAnsi="Palatino Linotype" w:cs="Arial"/>
          <w:szCs w:val="23"/>
        </w:rPr>
        <w:t>, de fecha 02 de agosto de 2019; mediante la cual, se aprobó el acuerdo número ACTA-006/JALTENCO/CT/ORD/2019-002, en el que se confirmó la Declaratoria de Inexistencia de la Actas complementarias de Sesiones Ordinarias y Extraordinarias del Comité de Transparencia, correspondientes al año dos mil dieciocho</w:t>
      </w:r>
      <w:r w:rsidRPr="003E7669">
        <w:rPr>
          <w:rFonts w:ascii="Palatino Linotype" w:hAnsi="Palatino Linotype" w:cs="Arial"/>
          <w:szCs w:val="23"/>
        </w:rPr>
        <w:t>.</w:t>
      </w:r>
    </w:p>
    <w:p w:rsidR="00EB71F4" w:rsidRPr="003E7669" w:rsidRDefault="00EB71F4" w:rsidP="00EB71F4">
      <w:pPr>
        <w:spacing w:line="360" w:lineRule="auto"/>
        <w:jc w:val="both"/>
        <w:rPr>
          <w:rFonts w:ascii="Palatino Linotype" w:hAnsi="Palatino Linotype" w:cs="Arial"/>
        </w:rPr>
      </w:pPr>
    </w:p>
    <w:p w:rsidR="00EB71F4" w:rsidRPr="003E7669" w:rsidRDefault="00EB71F4" w:rsidP="00EB71F4">
      <w:pPr>
        <w:spacing w:line="360" w:lineRule="auto"/>
        <w:jc w:val="both"/>
        <w:rPr>
          <w:rFonts w:ascii="Palatino Linotype" w:hAnsi="Palatino Linotype" w:cs="Arial"/>
        </w:rPr>
      </w:pPr>
      <w:r w:rsidRPr="003E7669">
        <w:rPr>
          <w:rFonts w:ascii="Palatino Linotype" w:hAnsi="Palatino Linotype" w:cs="Arial"/>
        </w:rPr>
        <w:t>Así, del estudio realizado al</w:t>
      </w:r>
      <w:r w:rsidRPr="003E7669">
        <w:rPr>
          <w:rFonts w:ascii="Palatino Linotype" w:hAnsi="Palatino Linotype"/>
        </w:rPr>
        <w:t xml:space="preserve"> expediente electrónico del SAIMEX</w:t>
      </w:r>
      <w:r w:rsidRPr="003E7669">
        <w:rPr>
          <w:rFonts w:ascii="Palatino Linotype" w:hAnsi="Palatino Linotype" w:cs="Arial"/>
        </w:rPr>
        <w:t xml:space="preserve">, la Ponencia </w:t>
      </w:r>
      <w:proofErr w:type="spellStart"/>
      <w:r w:rsidRPr="003E7669">
        <w:rPr>
          <w:rFonts w:ascii="Palatino Linotype" w:hAnsi="Palatino Linotype" w:cs="Arial"/>
        </w:rPr>
        <w:t>Resolutora</w:t>
      </w:r>
      <w:proofErr w:type="spellEnd"/>
      <w:r w:rsidRPr="003E7669">
        <w:rPr>
          <w:rFonts w:ascii="Palatino Linotype" w:hAnsi="Palatino Linotype" w:cs="Arial"/>
        </w:rPr>
        <w:t xml:space="preserve"> determinó </w:t>
      </w:r>
      <w:r>
        <w:rPr>
          <w:rFonts w:ascii="Palatino Linotype" w:hAnsi="Palatino Linotype" w:cs="Arial"/>
          <w:b/>
        </w:rPr>
        <w:t>MODIFI</w:t>
      </w:r>
      <w:r w:rsidRPr="003E7669">
        <w:rPr>
          <w:rFonts w:ascii="Palatino Linotype" w:hAnsi="Palatino Linotype" w:cs="Arial"/>
          <w:b/>
        </w:rPr>
        <w:t>CAR</w:t>
      </w:r>
      <w:r w:rsidRPr="003E7669">
        <w:rPr>
          <w:rFonts w:ascii="Palatino Linotype" w:hAnsi="Palatino Linotype" w:cs="Arial"/>
        </w:rPr>
        <w:t xml:space="preserve"> la respuesta del </w:t>
      </w:r>
      <w:r w:rsidRPr="003E7669">
        <w:rPr>
          <w:rFonts w:ascii="Palatino Linotype" w:hAnsi="Palatino Linotype" w:cs="Arial"/>
          <w:b/>
        </w:rPr>
        <w:t xml:space="preserve">SUJETO OBLIGADO </w:t>
      </w:r>
      <w:r w:rsidRPr="003E7669">
        <w:rPr>
          <w:rFonts w:ascii="Palatino Linotype" w:hAnsi="Palatino Linotype" w:cs="Arial"/>
        </w:rPr>
        <w:t xml:space="preserve">y ordenar </w:t>
      </w:r>
      <w:r w:rsidRPr="007614D6">
        <w:rPr>
          <w:rFonts w:ascii="Palatino Linotype" w:hAnsi="Palatino Linotype" w:cs="Arial"/>
        </w:rPr>
        <w:t xml:space="preserve">haga entrega al </w:t>
      </w:r>
      <w:r w:rsidRPr="007614D6">
        <w:rPr>
          <w:rFonts w:ascii="Palatino Linotype" w:hAnsi="Palatino Linotype" w:cs="Arial"/>
          <w:b/>
        </w:rPr>
        <w:t>Recurrente</w:t>
      </w:r>
      <w:r>
        <w:rPr>
          <w:rFonts w:ascii="Palatino Linotype" w:hAnsi="Palatino Linotype" w:cs="Arial"/>
        </w:rPr>
        <w:t>,</w:t>
      </w:r>
      <w:r w:rsidRPr="007614D6">
        <w:rPr>
          <w:rFonts w:ascii="Palatino Linotype" w:hAnsi="Palatino Linotype" w:cs="Arial"/>
        </w:rPr>
        <w:t xml:space="preserve"> </w:t>
      </w:r>
      <w:r w:rsidRPr="0040087A">
        <w:rPr>
          <w:rFonts w:ascii="Palatino Linotype" w:hAnsi="Palatino Linotype" w:cs="Arial"/>
        </w:rPr>
        <w:t>previa búsqueda exhaustiva y razonable</w:t>
      </w:r>
      <w:r>
        <w:rPr>
          <w:rFonts w:ascii="Palatino Linotype" w:hAnsi="Palatino Linotype" w:cs="Arial"/>
        </w:rPr>
        <w:t>,</w:t>
      </w:r>
      <w:r w:rsidRPr="0040087A">
        <w:rPr>
          <w:rFonts w:ascii="Palatino Linotype" w:hAnsi="Palatino Linotype" w:cs="Arial"/>
        </w:rPr>
        <w:t xml:space="preserve"> </w:t>
      </w:r>
      <w:r w:rsidRPr="007614D6">
        <w:rPr>
          <w:rFonts w:ascii="Palatino Linotype" w:hAnsi="Palatino Linotype" w:cs="Arial"/>
        </w:rPr>
        <w:t xml:space="preserve">a través del </w:t>
      </w:r>
      <w:r w:rsidRPr="007614D6">
        <w:rPr>
          <w:rFonts w:ascii="Palatino Linotype" w:hAnsi="Palatino Linotype" w:cs="Arial"/>
          <w:b/>
        </w:rPr>
        <w:t>SAIMEX</w:t>
      </w:r>
      <w:r w:rsidRPr="007614D6">
        <w:rPr>
          <w:rFonts w:ascii="Palatino Linotype" w:hAnsi="Palatino Linotype" w:cs="Arial"/>
        </w:rPr>
        <w:t>, de ser procedente en versión pública, la siguiente información:</w:t>
      </w:r>
    </w:p>
    <w:p w:rsidR="00EB71F4" w:rsidRPr="003E7669" w:rsidRDefault="00EB71F4" w:rsidP="00EB71F4">
      <w:pPr>
        <w:spacing w:line="360" w:lineRule="auto"/>
        <w:jc w:val="both"/>
        <w:rPr>
          <w:rFonts w:ascii="Palatino Linotype" w:hAnsi="Palatino Linotype" w:cs="Arial"/>
        </w:rPr>
      </w:pPr>
    </w:p>
    <w:p w:rsidR="00EB71F4" w:rsidRPr="008A3053" w:rsidRDefault="00EB71F4" w:rsidP="00A36A55">
      <w:pPr>
        <w:pStyle w:val="Prrafodelista"/>
        <w:numPr>
          <w:ilvl w:val="1"/>
          <w:numId w:val="6"/>
        </w:numPr>
        <w:autoSpaceDE w:val="0"/>
        <w:autoSpaceDN w:val="0"/>
        <w:adjustRightInd w:val="0"/>
        <w:ind w:left="851" w:right="899" w:firstLine="0"/>
        <w:jc w:val="both"/>
        <w:rPr>
          <w:rFonts w:ascii="Palatino Linotype" w:hAnsi="Palatino Linotype"/>
          <w:i/>
          <w:sz w:val="22"/>
          <w:szCs w:val="22"/>
          <w:lang w:val="es-MX" w:eastAsia="en-US"/>
        </w:rPr>
      </w:pPr>
      <w:r w:rsidRPr="003E7669">
        <w:rPr>
          <w:rFonts w:ascii="Palatino Linotype" w:hAnsi="Palatino Linotype" w:cs="Arial"/>
          <w:i/>
          <w:sz w:val="22"/>
          <w:szCs w:val="22"/>
        </w:rPr>
        <w:lastRenderedPageBreak/>
        <w:t>“</w:t>
      </w:r>
      <w:r w:rsidRPr="008A3053">
        <w:rPr>
          <w:rFonts w:ascii="Palatino Linotype" w:hAnsi="Palatino Linotype"/>
          <w:i/>
          <w:sz w:val="22"/>
          <w:szCs w:val="22"/>
          <w:lang w:val="es-MX" w:eastAsia="en-US"/>
        </w:rPr>
        <w:t xml:space="preserve">Las Actas de las Sesiones Ordinarias y Extraordinarias del Comité de Transparencia, del Ayuntamiento de </w:t>
      </w:r>
      <w:proofErr w:type="spellStart"/>
      <w:r w:rsidRPr="008A3053">
        <w:rPr>
          <w:rFonts w:ascii="Palatino Linotype" w:hAnsi="Palatino Linotype"/>
          <w:i/>
          <w:sz w:val="22"/>
          <w:szCs w:val="22"/>
          <w:lang w:val="es-MX" w:eastAsia="en-US"/>
        </w:rPr>
        <w:t>Jaltenco</w:t>
      </w:r>
      <w:proofErr w:type="spellEnd"/>
      <w:r w:rsidRPr="008A3053">
        <w:rPr>
          <w:rFonts w:ascii="Palatino Linotype" w:hAnsi="Palatino Linotype"/>
          <w:i/>
          <w:sz w:val="22"/>
          <w:szCs w:val="22"/>
          <w:lang w:val="es-MX" w:eastAsia="en-US"/>
        </w:rPr>
        <w:t xml:space="preserve">, correspondiente a los años 2016 y 2017. </w:t>
      </w:r>
    </w:p>
    <w:p w:rsidR="00EB71F4" w:rsidRDefault="00EB71F4" w:rsidP="00A36A55">
      <w:pPr>
        <w:pStyle w:val="Prrafodelista"/>
        <w:autoSpaceDE w:val="0"/>
        <w:autoSpaceDN w:val="0"/>
        <w:adjustRightInd w:val="0"/>
        <w:ind w:left="851" w:right="899"/>
        <w:jc w:val="both"/>
        <w:rPr>
          <w:rFonts w:ascii="Palatino Linotype" w:hAnsi="Palatino Linotype"/>
          <w:i/>
          <w:sz w:val="22"/>
          <w:szCs w:val="22"/>
          <w:lang w:val="es-MX" w:eastAsia="en-US"/>
        </w:rPr>
      </w:pPr>
    </w:p>
    <w:p w:rsidR="00EB71F4" w:rsidRPr="008A3053" w:rsidRDefault="00EB71F4" w:rsidP="00A36A55">
      <w:pPr>
        <w:pStyle w:val="Prrafodelista"/>
        <w:autoSpaceDE w:val="0"/>
        <w:autoSpaceDN w:val="0"/>
        <w:adjustRightInd w:val="0"/>
        <w:ind w:left="851" w:right="899"/>
        <w:jc w:val="both"/>
        <w:rPr>
          <w:rFonts w:ascii="Palatino Linotype" w:hAnsi="Palatino Linotype"/>
          <w:i/>
          <w:sz w:val="22"/>
          <w:szCs w:val="22"/>
          <w:lang w:val="es-MX" w:eastAsia="en-US"/>
        </w:rPr>
      </w:pPr>
      <w:r w:rsidRPr="008A3053">
        <w:rPr>
          <w:rFonts w:ascii="Palatino Linotype" w:hAnsi="Palatino Linotype"/>
          <w:i/>
          <w:sz w:val="22"/>
          <w:szCs w:val="22"/>
          <w:lang w:val="es-MX" w:eastAsia="en-US"/>
        </w:rPr>
        <w:t>En caso de proceder la entrega de la documentación en versión pública,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EB71F4" w:rsidRDefault="00EB71F4" w:rsidP="00A36A55">
      <w:pPr>
        <w:pStyle w:val="Prrafodelista"/>
        <w:autoSpaceDE w:val="0"/>
        <w:autoSpaceDN w:val="0"/>
        <w:adjustRightInd w:val="0"/>
        <w:ind w:left="851" w:right="899"/>
        <w:jc w:val="both"/>
        <w:rPr>
          <w:rFonts w:ascii="Palatino Linotype" w:hAnsi="Palatino Linotype"/>
          <w:i/>
          <w:sz w:val="22"/>
          <w:szCs w:val="22"/>
          <w:lang w:val="es-MX" w:eastAsia="en-US"/>
        </w:rPr>
      </w:pPr>
    </w:p>
    <w:p w:rsidR="00EB71F4" w:rsidRPr="008A3053" w:rsidRDefault="00EB71F4" w:rsidP="00A36A55">
      <w:pPr>
        <w:pStyle w:val="Prrafodelista"/>
        <w:autoSpaceDE w:val="0"/>
        <w:autoSpaceDN w:val="0"/>
        <w:adjustRightInd w:val="0"/>
        <w:ind w:left="851" w:right="899"/>
        <w:jc w:val="both"/>
        <w:rPr>
          <w:rFonts w:ascii="Palatino Linotype" w:hAnsi="Palatino Linotype"/>
          <w:i/>
          <w:sz w:val="22"/>
          <w:szCs w:val="22"/>
          <w:lang w:val="es-MX" w:eastAsia="en-US"/>
        </w:rPr>
      </w:pPr>
      <w:r w:rsidRPr="008A3053">
        <w:rPr>
          <w:rFonts w:ascii="Palatino Linotype" w:hAnsi="Palatino Linotype"/>
          <w:i/>
          <w:sz w:val="22"/>
          <w:szCs w:val="22"/>
          <w:lang w:val="es-MX" w:eastAsia="en-US"/>
        </w:rPr>
        <w:t>En el supuesto que derivada de la búsqueda exhaustiva y razonable, se advierta que no se posee la información que se ordena su entrega señalada en el resolutivo SEGUNDO, deberá emitir el Acuerdo de Inexistencia, en términos del Considerando CUARTO, de la presente resolución..</w:t>
      </w:r>
      <w:r w:rsidRPr="008A3053">
        <w:rPr>
          <w:rFonts w:ascii="Palatino Linotype" w:hAnsi="Palatino Linotype" w:cs="Arial"/>
          <w:i/>
          <w:sz w:val="22"/>
          <w:szCs w:val="22"/>
        </w:rPr>
        <w:t>”</w:t>
      </w:r>
    </w:p>
    <w:p w:rsidR="00EB71F4" w:rsidRPr="003E7669" w:rsidRDefault="00EB71F4" w:rsidP="00EB71F4">
      <w:pPr>
        <w:autoSpaceDE w:val="0"/>
        <w:autoSpaceDN w:val="0"/>
        <w:adjustRightInd w:val="0"/>
        <w:ind w:left="491" w:right="899"/>
        <w:jc w:val="both"/>
        <w:rPr>
          <w:rFonts w:ascii="Palatino Linotype" w:eastAsia="Calibri" w:hAnsi="Palatino Linotype" w:cs="Arial"/>
          <w:i/>
          <w:sz w:val="22"/>
          <w:szCs w:val="22"/>
        </w:rPr>
      </w:pPr>
    </w:p>
    <w:p w:rsidR="00EB71F4" w:rsidRPr="003E7669" w:rsidRDefault="00EB71F4" w:rsidP="00EB71F4">
      <w:pPr>
        <w:pStyle w:val="Prrafodelista"/>
        <w:tabs>
          <w:tab w:val="left" w:pos="426"/>
        </w:tabs>
        <w:spacing w:line="360" w:lineRule="auto"/>
        <w:ind w:left="0" w:right="49"/>
        <w:jc w:val="both"/>
        <w:rPr>
          <w:rFonts w:ascii="Palatino Linotype" w:hAnsi="Palatino Linotype" w:cs="Arial"/>
          <w:lang w:val="es-MX"/>
        </w:rPr>
      </w:pPr>
      <w:r w:rsidRPr="003E7669">
        <w:rPr>
          <w:rFonts w:ascii="Palatino Linotype" w:hAnsi="Palatino Linotype" w:cs="Arial"/>
          <w:lang w:val="es-MX"/>
        </w:rPr>
        <w:t xml:space="preserve">En ese sentido, la que suscribe reitera, que si bien coincide en términos generales con el estudio de la resolución en comento, considero que debió precisarse </w:t>
      </w:r>
      <w:r>
        <w:rPr>
          <w:rFonts w:ascii="Palatino Linotype" w:hAnsi="Palatino Linotype" w:cs="Arial"/>
          <w:lang w:val="es-MX"/>
        </w:rPr>
        <w:t xml:space="preserve">que también era aplicable la búsqueda exhaustiva para el caso de las Actas del año 2018 y de no encontrarse dentro de sus archivos la documentación, lo procedente era emitir el Acuerdo de Inexistencia correspondiente. </w:t>
      </w:r>
    </w:p>
    <w:p w:rsidR="00EB71F4" w:rsidRPr="003E7669" w:rsidRDefault="00EB71F4" w:rsidP="00EB71F4">
      <w:pPr>
        <w:pStyle w:val="Prrafodelista"/>
        <w:tabs>
          <w:tab w:val="left" w:pos="426"/>
        </w:tabs>
        <w:spacing w:line="360" w:lineRule="auto"/>
        <w:ind w:left="0" w:right="49"/>
        <w:jc w:val="both"/>
        <w:rPr>
          <w:rFonts w:ascii="Palatino Linotype" w:hAnsi="Palatino Linotype" w:cs="Arial"/>
          <w:lang w:val="es-MX"/>
        </w:rPr>
      </w:pPr>
    </w:p>
    <w:p w:rsidR="00EB71F4" w:rsidRPr="00767531" w:rsidRDefault="00EB71F4" w:rsidP="00EB71F4">
      <w:pPr>
        <w:pStyle w:val="Prrafodelista"/>
        <w:tabs>
          <w:tab w:val="left" w:pos="426"/>
        </w:tabs>
        <w:spacing w:line="360" w:lineRule="auto"/>
        <w:ind w:left="0" w:right="49"/>
        <w:jc w:val="both"/>
        <w:rPr>
          <w:rFonts w:ascii="Palatino Linotype" w:hAnsi="Palatino Linotype"/>
          <w:color w:val="222222"/>
          <w:lang w:val="es-MX" w:eastAsia="es-MX"/>
        </w:rPr>
      </w:pPr>
      <w:r w:rsidRPr="003E7669">
        <w:rPr>
          <w:rFonts w:ascii="Palatino Linotype" w:hAnsi="Palatino Linotype" w:cs="Arial"/>
          <w:lang w:val="es-MX"/>
        </w:rPr>
        <w:t xml:space="preserve">Lo anterior obedece a que de conformidad con </w:t>
      </w:r>
      <w:r>
        <w:rPr>
          <w:rFonts w:ascii="Palatino Linotype" w:hAnsi="Palatino Linotype"/>
        </w:rPr>
        <w:t xml:space="preserve">las constancias que obran dentro del expediente electrónico del SAIMEX, no se advierte que se hayan empleado métodos para llevar a cabo la búsqueda exhaustiva, toda vez que no es remitida el Acta a la que </w:t>
      </w:r>
      <w:r w:rsidRPr="00767531">
        <w:rPr>
          <w:rFonts w:ascii="Palatino Linotype" w:hAnsi="Palatino Linotype"/>
          <w:b/>
        </w:rPr>
        <w:t>EL SUJETO OBLIGADO</w:t>
      </w:r>
      <w:r>
        <w:rPr>
          <w:rFonts w:ascii="Palatino Linotype" w:hAnsi="Palatino Linotype"/>
          <w:b/>
        </w:rPr>
        <w:t xml:space="preserve">, </w:t>
      </w:r>
      <w:r>
        <w:rPr>
          <w:rFonts w:ascii="Palatino Linotype" w:hAnsi="Palatino Linotype"/>
        </w:rPr>
        <w:t>hace alusión al momento de rendir su informe justificado, es por ello que se debió ordenar la búsqueda exhaustiva de la documentación requerida del año 2018 conforme al numeral 162 de la Ley de Transparencia y Acceso a la Información Pública del Estado de México y Municipios.</w:t>
      </w:r>
    </w:p>
    <w:p w:rsidR="00EB71F4" w:rsidRPr="003E7669" w:rsidRDefault="00EB71F4" w:rsidP="00EB71F4">
      <w:pPr>
        <w:spacing w:line="360" w:lineRule="auto"/>
        <w:jc w:val="both"/>
        <w:rPr>
          <w:rFonts w:ascii="Palatino Linotype" w:hAnsi="Palatino Linotype"/>
        </w:rPr>
      </w:pPr>
    </w:p>
    <w:p w:rsidR="00EB71F4" w:rsidRDefault="00EB71F4" w:rsidP="00EB71F4">
      <w:pPr>
        <w:ind w:left="709" w:right="850"/>
        <w:jc w:val="both"/>
        <w:rPr>
          <w:rFonts w:ascii="Palatino Linotype" w:hAnsi="Palatino Linotype"/>
          <w:i/>
          <w:sz w:val="22"/>
        </w:rPr>
      </w:pPr>
      <w:r w:rsidRPr="003E7669">
        <w:rPr>
          <w:rFonts w:ascii="Palatino Linotype" w:hAnsi="Palatino Linotype"/>
          <w:b/>
          <w:i/>
          <w:sz w:val="22"/>
        </w:rPr>
        <w:lastRenderedPageBreak/>
        <w:t>Artículo 162.</w:t>
      </w:r>
      <w:r w:rsidRPr="003E7669">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B71F4" w:rsidRPr="003E7669" w:rsidRDefault="00EB71F4" w:rsidP="00EB71F4">
      <w:pPr>
        <w:ind w:left="709" w:right="850"/>
        <w:jc w:val="both"/>
        <w:rPr>
          <w:rFonts w:ascii="Palatino Linotype" w:hAnsi="Palatino Linotype"/>
          <w:i/>
          <w:sz w:val="22"/>
        </w:rPr>
      </w:pPr>
    </w:p>
    <w:p w:rsidR="00EB71F4" w:rsidRPr="003E7669" w:rsidRDefault="00EB71F4" w:rsidP="00EB71F4">
      <w:pPr>
        <w:spacing w:line="360" w:lineRule="auto"/>
        <w:jc w:val="both"/>
        <w:rPr>
          <w:rFonts w:ascii="Palatino Linotype" w:hAnsi="Palatino Linotype"/>
        </w:rPr>
      </w:pPr>
      <w:r w:rsidRPr="003E7669">
        <w:rPr>
          <w:rFonts w:ascii="Palatino Linotype" w:hAnsi="Palatino Linotype"/>
        </w:rPr>
        <w:t>Conforme al numeral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asimismo, con la búsqueda exhaustiva se  otorga certeza jurídica al particular, de conformidad con lo señalado en el artículo 9, fracción I de la Ley de Transparencia y Acceso a la Información Pública del Estado de Mexica y Municipios, que establece:</w:t>
      </w:r>
    </w:p>
    <w:p w:rsidR="00EB71F4" w:rsidRPr="003E7669" w:rsidRDefault="00EB71F4" w:rsidP="00EB71F4">
      <w:pPr>
        <w:spacing w:line="360" w:lineRule="auto"/>
        <w:jc w:val="both"/>
        <w:rPr>
          <w:rFonts w:ascii="Palatino Linotype" w:hAnsi="Palatino Linotype"/>
        </w:rPr>
      </w:pPr>
    </w:p>
    <w:p w:rsidR="00EB71F4" w:rsidRPr="003E7669" w:rsidRDefault="00EB71F4" w:rsidP="00EB71F4">
      <w:pPr>
        <w:ind w:left="709" w:right="850"/>
        <w:jc w:val="both"/>
        <w:rPr>
          <w:rFonts w:ascii="Palatino Linotype" w:hAnsi="Palatino Linotype"/>
          <w:i/>
          <w:sz w:val="22"/>
        </w:rPr>
      </w:pPr>
      <w:r w:rsidRPr="003E7669">
        <w:rPr>
          <w:rFonts w:ascii="Palatino Linotype" w:hAnsi="Palatino Linotype"/>
          <w:b/>
          <w:i/>
          <w:sz w:val="22"/>
        </w:rPr>
        <w:t>“Artículo 9.</w:t>
      </w:r>
      <w:r w:rsidRPr="003E7669">
        <w:rPr>
          <w:rFonts w:ascii="Palatino Linotype" w:hAnsi="Palatino Linotype"/>
          <w:i/>
          <w:sz w:val="22"/>
        </w:rPr>
        <w:t xml:space="preserve"> El Instituto deberá regir su funcionamiento de acuerdo a los siguientes principios:</w:t>
      </w:r>
    </w:p>
    <w:p w:rsidR="00EB71F4" w:rsidRPr="003E7669" w:rsidRDefault="00EB71F4" w:rsidP="00EB71F4">
      <w:pPr>
        <w:ind w:left="709" w:right="757"/>
        <w:jc w:val="both"/>
        <w:rPr>
          <w:rFonts w:ascii="Palatino Linotype" w:hAnsi="Palatino Linotype"/>
        </w:rPr>
      </w:pPr>
      <w:r w:rsidRPr="003E7669">
        <w:rPr>
          <w:rFonts w:ascii="Palatino Linotype" w:hAnsi="Palatino Linotype"/>
          <w:i/>
          <w:sz w:val="22"/>
        </w:rPr>
        <w:t>I.</w:t>
      </w:r>
      <w:r w:rsidRPr="003E7669">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EB71F4" w:rsidRPr="003E7669" w:rsidRDefault="00EB71F4" w:rsidP="00EB71F4">
      <w:pPr>
        <w:ind w:left="709" w:right="757"/>
        <w:jc w:val="both"/>
        <w:rPr>
          <w:rFonts w:ascii="Palatino Linotype" w:hAnsi="Palatino Linotype"/>
        </w:rPr>
      </w:pPr>
      <w:r w:rsidRPr="003E7669">
        <w:rPr>
          <w:rFonts w:ascii="Palatino Linotype" w:hAnsi="Palatino Linotype"/>
        </w:rPr>
        <w:t>…”</w:t>
      </w:r>
    </w:p>
    <w:p w:rsidR="00EB71F4" w:rsidRPr="00A36A55" w:rsidRDefault="00EB71F4" w:rsidP="00EB71F4">
      <w:pPr>
        <w:ind w:left="709" w:right="757"/>
        <w:jc w:val="both"/>
        <w:rPr>
          <w:rFonts w:ascii="Palatino Linotype" w:hAnsi="Palatino Linotype"/>
          <w:sz w:val="18"/>
          <w:szCs w:val="16"/>
        </w:rPr>
      </w:pPr>
    </w:p>
    <w:p w:rsidR="00EB71F4" w:rsidRDefault="00EB71F4" w:rsidP="00EB71F4">
      <w:pPr>
        <w:spacing w:line="360" w:lineRule="auto"/>
        <w:jc w:val="both"/>
        <w:rPr>
          <w:rFonts w:ascii="Palatino Linotype" w:hAnsi="Palatino Linotype" w:cs="Arial"/>
        </w:rPr>
      </w:pPr>
      <w:r>
        <w:rPr>
          <w:rFonts w:ascii="Palatino Linotype" w:hAnsi="Palatino Linotype" w:cs="Arial"/>
        </w:rPr>
        <w:t xml:space="preserve">Asimismo se debió precisar que si derivado de la búsqueda exhaustiva realizada, no se hallaba la información, </w:t>
      </w:r>
      <w:r w:rsidRPr="00767531">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deberá proceder a emitir a través de su Comité de Transparencia el Acuerdo de Inexistencia correspondiente.</w:t>
      </w:r>
    </w:p>
    <w:p w:rsidR="00EB71F4" w:rsidRPr="00D90711" w:rsidRDefault="00EB71F4" w:rsidP="00EB71F4">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lang w:val="es-MX"/>
        </w:rPr>
        <w:t xml:space="preserve">Derivado de lo anterior, es claro que </w:t>
      </w:r>
      <w:r w:rsidRPr="00864D82">
        <w:rPr>
          <w:rFonts w:ascii="Palatino Linotype" w:hAnsi="Palatino Linotype" w:cs="Arial"/>
          <w:b/>
          <w:lang w:val="es-MX"/>
        </w:rPr>
        <w:t>EL SUJETO OBLIGADO</w:t>
      </w:r>
      <w:r w:rsidRPr="00864D82">
        <w:rPr>
          <w:rFonts w:ascii="Palatino Linotype" w:hAnsi="Palatino Linotype" w:cs="Arial"/>
          <w:lang w:val="es-MX"/>
        </w:rPr>
        <w:t xml:space="preserve"> está constreñido a cont</w:t>
      </w:r>
      <w:r>
        <w:rPr>
          <w:rFonts w:ascii="Palatino Linotype" w:hAnsi="Palatino Linotype" w:cs="Arial"/>
          <w:lang w:val="es-MX"/>
        </w:rPr>
        <w:t>ar con la información;</w:t>
      </w:r>
      <w:r w:rsidRPr="00864D82">
        <w:rPr>
          <w:rFonts w:ascii="Palatino Linotype" w:hAnsi="Palatino Linotype" w:cs="Arial"/>
          <w:lang w:val="es-MX"/>
        </w:rPr>
        <w:t xml:space="preserve"> </w:t>
      </w:r>
      <w:r>
        <w:rPr>
          <w:rFonts w:ascii="Palatino Linotype" w:hAnsi="Palatino Linotype" w:cs="Arial"/>
          <w:lang w:val="es-MX"/>
        </w:rPr>
        <w:t xml:space="preserve">esto, se obvia dentro del análisis efectuado por la Ponencia </w:t>
      </w:r>
      <w:proofErr w:type="spellStart"/>
      <w:r>
        <w:rPr>
          <w:rFonts w:ascii="Palatino Linotype" w:hAnsi="Palatino Linotype" w:cs="Arial"/>
          <w:lang w:val="es-MX"/>
        </w:rPr>
        <w:t>Resolutora</w:t>
      </w:r>
      <w:proofErr w:type="spellEnd"/>
      <w:r w:rsidRPr="00D41397">
        <w:rPr>
          <w:rFonts w:ascii="Palatino Linotype" w:hAnsi="Palatino Linotype" w:cs="Arial"/>
        </w:rPr>
        <w:t xml:space="preserve">, </w:t>
      </w:r>
      <w:r>
        <w:rPr>
          <w:rFonts w:ascii="Palatino Linotype" w:hAnsi="Palatino Linotype" w:cs="Arial"/>
        </w:rPr>
        <w:t xml:space="preserve">en donde </w:t>
      </w:r>
      <w:r w:rsidRPr="00D41397">
        <w:rPr>
          <w:rFonts w:ascii="Palatino Linotype" w:hAnsi="Palatino Linotype" w:cs="Arial"/>
        </w:rPr>
        <w:t>se concluye que debió ge</w:t>
      </w:r>
      <w:r>
        <w:rPr>
          <w:rFonts w:ascii="Palatino Linotype" w:hAnsi="Palatino Linotype" w:cs="Arial"/>
        </w:rPr>
        <w:t>nerar la información requerida.</w:t>
      </w:r>
      <w:r w:rsidRPr="00D90711">
        <w:rPr>
          <w:rFonts w:ascii="Palatino Linotype" w:hAnsi="Palatino Linotype"/>
          <w:color w:val="222222"/>
          <w:lang w:val="es-MX" w:eastAsia="es-MX"/>
        </w:rPr>
        <w:t> </w:t>
      </w:r>
    </w:p>
    <w:p w:rsidR="00EB71F4" w:rsidRPr="00D90711" w:rsidRDefault="00EB71F4" w:rsidP="00EB71F4">
      <w:pPr>
        <w:shd w:val="clear" w:color="auto" w:fill="FFFFFF"/>
        <w:spacing w:line="360" w:lineRule="auto"/>
        <w:jc w:val="both"/>
        <w:rPr>
          <w:color w:val="222222"/>
          <w:lang w:val="es-MX" w:eastAsia="es-MX"/>
        </w:rPr>
      </w:pPr>
      <w:r w:rsidRPr="00D90711">
        <w:rPr>
          <w:rFonts w:ascii="Palatino Linotype" w:hAnsi="Palatino Linotype"/>
          <w:color w:val="222222"/>
          <w:lang w:val="es-MX" w:eastAsia="es-MX"/>
        </w:rPr>
        <w:lastRenderedPageBreak/>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w:t>
      </w:r>
      <w:r>
        <w:rPr>
          <w:rFonts w:ascii="Palatino Linotype" w:hAnsi="Palatino Linotype"/>
          <w:color w:val="222222"/>
          <w:lang w:val="es-MX" w:eastAsia="es-MX"/>
        </w:rPr>
        <w:t>9 y 170 de la Ley de la materia.</w:t>
      </w:r>
    </w:p>
    <w:p w:rsidR="00EB71F4" w:rsidRPr="00D90711" w:rsidRDefault="00EB71F4" w:rsidP="00EB71F4">
      <w:pPr>
        <w:shd w:val="clear" w:color="auto" w:fill="FFFFFF"/>
        <w:spacing w:line="360" w:lineRule="atLeast"/>
        <w:jc w:val="both"/>
        <w:rPr>
          <w:color w:val="222222"/>
          <w:lang w:val="es-MX" w:eastAsia="es-MX"/>
        </w:rPr>
      </w:pPr>
      <w:r w:rsidRPr="00D90711">
        <w:rPr>
          <w:rFonts w:ascii="Palatino Linotype" w:hAnsi="Palatino Linotype"/>
          <w:color w:val="2222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b/>
          <w:bCs/>
          <w:i/>
          <w:iCs/>
          <w:color w:val="222222"/>
          <w:sz w:val="22"/>
          <w:szCs w:val="22"/>
          <w:lang w:val="es-MX" w:eastAsia="es-MX"/>
        </w:rPr>
        <w:t>“Artículo 19.</w:t>
      </w:r>
      <w:r w:rsidRPr="00D90711">
        <w:rPr>
          <w:rFonts w:ascii="Palatino Linotype" w:hAnsi="Palatino Linotype"/>
          <w:i/>
          <w:iCs/>
          <w:color w:val="222222"/>
          <w:sz w:val="22"/>
          <w:szCs w:val="22"/>
          <w:lang w:val="es-MX" w:eastAsia="es-MX"/>
        </w:rPr>
        <w:t> Se presume que la información debe existir si se refiere a las facultades, competencias y funciones que los ordenamientos jurídicos aplicables otorgan a los sujetos obligados.</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En los casos en que ciertas facultades, competencias o funciones no se hayan ejercido, se debe motivar la respuesta en función de las causas que motiven tal circunstancia.</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b/>
          <w:bCs/>
          <w:i/>
          <w:iCs/>
          <w:color w:val="222222"/>
          <w:sz w:val="22"/>
          <w:szCs w:val="22"/>
          <w:lang w:val="es-MX" w:eastAsia="es-MX"/>
        </w:rPr>
        <w:t>Si el sujeto obligado, en el ejercicio de sus atribuciones, debía generar, </w:t>
      </w:r>
      <w:r w:rsidRPr="00D90711">
        <w:rPr>
          <w:rFonts w:ascii="Palatino Linotype" w:hAnsi="Palatino Linotype"/>
          <w:i/>
          <w:iCs/>
          <w:color w:val="222222"/>
          <w:sz w:val="22"/>
          <w:szCs w:val="22"/>
          <w:lang w:val="es-MX" w:eastAsia="es-MX"/>
        </w:rPr>
        <w:t>poseer o administrar la información, pero ésta no se encuentra, el Comité de transparencia deberá emitir un acuerdo de inexistencia, debidamente fundado y motivado, en el que detalle las razones del por qué no obra en sus archivos.</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b/>
          <w:bCs/>
          <w:i/>
          <w:iCs/>
          <w:color w:val="222222"/>
          <w:sz w:val="22"/>
          <w:szCs w:val="22"/>
          <w:lang w:val="es-MX" w:eastAsia="es-MX"/>
        </w:rPr>
        <w:t>Artículo 169</w:t>
      </w:r>
      <w:r w:rsidRPr="00D90711">
        <w:rPr>
          <w:rFonts w:ascii="Palatino Linotype" w:hAnsi="Palatino Linotype"/>
          <w:i/>
          <w:iCs/>
          <w:color w:val="222222"/>
          <w:sz w:val="22"/>
          <w:szCs w:val="22"/>
          <w:lang w:val="es-MX" w:eastAsia="es-MX"/>
        </w:rPr>
        <w:t>. Cuando la información no se encuentre en los archivos del sujeto obligado, el Comité de Transparencia:</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I. Analizará el caso y tomará las medidas necesarias para localizar la información;</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II. Expedirá una resolución que confirme la inexistencia del documento;</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xml:space="preserve">III. Ordenará, siempre que sea materialmente posible, que se genere o se reponga la información en caso de que ésta tuviera que existir en la medida que deriva del </w:t>
      </w:r>
      <w:r w:rsidRPr="00D90711">
        <w:rPr>
          <w:rFonts w:ascii="Palatino Linotype" w:hAnsi="Palatino Linotype"/>
          <w:i/>
          <w:iCs/>
          <w:color w:val="222222"/>
          <w:sz w:val="22"/>
          <w:szCs w:val="22"/>
          <w:lang w:val="es-MX" w:eastAsia="es-MX"/>
        </w:rPr>
        <w:lastRenderedPageBreak/>
        <w:t>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IV. Notificará al órgano interno de control o equivalente del sujeto obligado quien, en su caso, deberá iniciar el procedimiento de responsabilidad administrativa que corresponda.</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La Unidad de Transparencia deberá notificarlo al solicitante por escrito, en un plazo que no exceda de quince días hábiles contados a partir del día siguiente a la presentación de la solicitud.</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Este plazo podrá ampliarse hasta por otros siete días hábiles, siempre que existan razones para ello, debiendo notificarse por escrito al solicitante.</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D90711" w:rsidRDefault="00EB71F4" w:rsidP="00A36A55">
      <w:pPr>
        <w:shd w:val="clear" w:color="auto" w:fill="FFFFFF"/>
        <w:ind w:left="851" w:right="899"/>
        <w:jc w:val="both"/>
        <w:rPr>
          <w:color w:val="222222"/>
          <w:lang w:val="es-MX" w:eastAsia="es-MX"/>
        </w:rPr>
      </w:pPr>
      <w:r w:rsidRPr="00D90711">
        <w:rPr>
          <w:rFonts w:ascii="Palatino Linotype" w:hAnsi="Palatino Linotype"/>
          <w:b/>
          <w:bCs/>
          <w:i/>
          <w:iCs/>
          <w:color w:val="222222"/>
          <w:sz w:val="22"/>
          <w:szCs w:val="22"/>
          <w:lang w:val="es-MX" w:eastAsia="es-MX"/>
        </w:rPr>
        <w:t>Artículo 170</w:t>
      </w:r>
      <w:r w:rsidRPr="00D90711">
        <w:rPr>
          <w:rFonts w:ascii="Palatino Linotype" w:hAnsi="Palatino Linotype"/>
          <w:i/>
          <w:iCs/>
          <w:color w:val="222222"/>
          <w:sz w:val="22"/>
          <w:szCs w:val="22"/>
          <w:lang w:val="es-MX"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EB71F4" w:rsidRPr="00D90711" w:rsidRDefault="00EB71F4" w:rsidP="00EB71F4">
      <w:pPr>
        <w:shd w:val="clear" w:color="auto" w:fill="FFFFFF"/>
        <w:spacing w:line="360" w:lineRule="atLeast"/>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EB71F4" w:rsidRPr="00767531" w:rsidRDefault="00EB71F4" w:rsidP="00EB71F4">
      <w:pPr>
        <w:spacing w:line="360" w:lineRule="auto"/>
        <w:jc w:val="both"/>
        <w:rPr>
          <w:rFonts w:ascii="Palatino Linotype" w:hAnsi="Palatino Linotype" w:cs="Arial"/>
        </w:rPr>
      </w:pPr>
      <w:r w:rsidRPr="00D90711">
        <w:rPr>
          <w:rFonts w:ascii="Palatino Linotype" w:hAnsi="Palatino Linotype"/>
          <w:color w:val="222222"/>
          <w:lang w:val="es-MX" w:eastAsia="es-MX"/>
        </w:rPr>
        <w:t>Así, se establece que </w:t>
      </w:r>
      <w:r w:rsidRPr="00D90711">
        <w:rPr>
          <w:rFonts w:ascii="Palatino Linotype" w:hAnsi="Palatino Linotype"/>
          <w:b/>
          <w:bCs/>
          <w:color w:val="222222"/>
          <w:lang w:val="es-MX" w:eastAsia="es-MX"/>
        </w:rPr>
        <w:t>EL SUJETO OBLIGADO</w:t>
      </w:r>
      <w:r w:rsidRPr="00D90711">
        <w:rPr>
          <w:rFonts w:ascii="Palatino Linotype" w:hAnsi="Palatino Linotype"/>
          <w:color w:val="222222"/>
          <w:lang w:val="es-MX" w:eastAsia="es-MX"/>
        </w:rPr>
        <w:t> debió generar la información, derivado de sus faculta</w:t>
      </w:r>
      <w:r>
        <w:rPr>
          <w:rFonts w:ascii="Palatino Linotype" w:hAnsi="Palatino Linotype"/>
          <w:color w:val="222222"/>
          <w:lang w:val="es-MX" w:eastAsia="es-MX"/>
        </w:rPr>
        <w:t>des y no tiene registro de ello por lo que</w:t>
      </w:r>
      <w:r w:rsidRPr="00D90711">
        <w:rPr>
          <w:rFonts w:ascii="Palatino Linotype" w:hAnsi="Palatino Linotype"/>
          <w:color w:val="222222"/>
          <w:lang w:val="es-MX" w:eastAsia="es-MX"/>
        </w:rPr>
        <w:t xml:space="preserve"> el Comité de Información debe emitir un Acuerdo de Inexistencia de la información, en el que detalle las razones del por qué no obra en sus archivos.</w:t>
      </w:r>
    </w:p>
    <w:p w:rsidR="00EB71F4" w:rsidRDefault="00EB71F4" w:rsidP="00EB71F4">
      <w:pPr>
        <w:spacing w:line="360" w:lineRule="auto"/>
        <w:jc w:val="both"/>
        <w:rPr>
          <w:rFonts w:ascii="Palatino Linotype" w:hAnsi="Palatino Linotype" w:cs="Arial"/>
        </w:rPr>
      </w:pPr>
    </w:p>
    <w:p w:rsidR="00EB71F4" w:rsidRDefault="00EB71F4" w:rsidP="00EB71F4">
      <w:pPr>
        <w:spacing w:line="360" w:lineRule="auto"/>
        <w:jc w:val="both"/>
        <w:rPr>
          <w:rFonts w:ascii="Palatino Linotype" w:hAnsi="Palatino Linotype" w:cs="Arial"/>
        </w:rPr>
      </w:pPr>
      <w:r w:rsidRPr="003E7669">
        <w:rPr>
          <w:rFonts w:ascii="Palatino Linotype" w:hAnsi="Palatino Linotype" w:cs="Arial"/>
        </w:rPr>
        <w:t xml:space="preserve">Por lo que, la que suscribe emite </w:t>
      </w:r>
      <w:r w:rsidRPr="003E7669">
        <w:rPr>
          <w:rFonts w:ascii="Palatino Linotype" w:hAnsi="Palatino Linotype" w:cs="Arial"/>
          <w:b/>
        </w:rPr>
        <w:t>VOTO PARTICULAR</w:t>
      </w:r>
      <w:r w:rsidRPr="003E7669">
        <w:rPr>
          <w:rFonts w:ascii="Palatino Linotype" w:hAnsi="Palatino Linotype" w:cs="Arial"/>
        </w:rPr>
        <w:t xml:space="preserve">, pues se insiste que existe fuente obligacional para que </w:t>
      </w:r>
      <w:r w:rsidRPr="003E7669">
        <w:rPr>
          <w:rFonts w:ascii="Palatino Linotype" w:hAnsi="Palatino Linotype" w:cs="Arial"/>
          <w:b/>
        </w:rPr>
        <w:t>EL SUJETO OBLIGADO</w:t>
      </w:r>
      <w:r w:rsidRPr="003E7669">
        <w:rPr>
          <w:rFonts w:ascii="Palatino Linotype" w:hAnsi="Palatino Linotype" w:cs="Arial"/>
        </w:rPr>
        <w:t xml:space="preserve"> cuente con la información solicitada por la particular</w:t>
      </w:r>
      <w:r>
        <w:rPr>
          <w:rFonts w:ascii="Palatino Linotype" w:hAnsi="Palatino Linotype" w:cs="Arial"/>
        </w:rPr>
        <w:t xml:space="preserve"> y más por lo que hace a 2018</w:t>
      </w:r>
      <w:r w:rsidRPr="003E7669">
        <w:rPr>
          <w:rFonts w:ascii="Palatino Linotype" w:hAnsi="Palatino Linotype" w:cs="Arial"/>
        </w:rPr>
        <w:t xml:space="preserve">; es por eso que, debió considerarse tanto en el estudio del recurso de revisión, así como en el resolutivo que </w:t>
      </w:r>
      <w:r w:rsidRPr="003E7669">
        <w:rPr>
          <w:rFonts w:ascii="Palatino Linotype" w:hAnsi="Palatino Linotype" w:cs="Arial"/>
        </w:rPr>
        <w:lastRenderedPageBreak/>
        <w:t xml:space="preserve">corresponde, que para el caso de no contar con la información, </w:t>
      </w:r>
      <w:r w:rsidRPr="003E7669">
        <w:rPr>
          <w:rFonts w:ascii="Palatino Linotype" w:hAnsi="Palatino Linotype" w:cs="Arial"/>
          <w:b/>
        </w:rPr>
        <w:t xml:space="preserve">EL SUJETO OBLIGADO </w:t>
      </w:r>
      <w:r w:rsidRPr="003E7669">
        <w:rPr>
          <w:rFonts w:ascii="Palatino Linotype" w:hAnsi="Palatino Linotype" w:cs="Arial"/>
        </w:rPr>
        <w:t xml:space="preserve">debería emitir el Acuerdo de Inexistencia y hacerlo del conocimiento de </w:t>
      </w:r>
      <w:r w:rsidRPr="003E7669">
        <w:rPr>
          <w:rFonts w:ascii="Palatino Linotype" w:hAnsi="Palatino Linotype" w:cs="Arial"/>
          <w:b/>
        </w:rPr>
        <w:t>LA</w:t>
      </w:r>
      <w:r w:rsidRPr="003E7669">
        <w:rPr>
          <w:rFonts w:ascii="Palatino Linotype" w:hAnsi="Palatino Linotype" w:cs="Arial"/>
        </w:rPr>
        <w:t xml:space="preserve"> </w:t>
      </w:r>
      <w:r w:rsidRPr="003E7669">
        <w:rPr>
          <w:rFonts w:ascii="Palatino Linotype" w:hAnsi="Palatino Linotype" w:cs="Arial"/>
          <w:b/>
        </w:rPr>
        <w:t xml:space="preserve">RECURRENTE </w:t>
      </w:r>
      <w:r w:rsidRPr="003E7669">
        <w:rPr>
          <w:rFonts w:ascii="Palatino Linotype" w:hAnsi="Palatino Linotype" w:cs="Arial"/>
        </w:rPr>
        <w:t xml:space="preserve">en atención a los artículos 19, 169 y 170 de la Ley de Transparencia y Acceso a la Información Pública del Estado de México y Municipios; asimismo, se debió precisar en resolutivos una </w:t>
      </w:r>
      <w:r w:rsidRPr="003E7669">
        <w:rPr>
          <w:rFonts w:ascii="Palatino Linotype" w:hAnsi="Palatino Linotype" w:cs="Arial"/>
          <w:b/>
        </w:rPr>
        <w:t xml:space="preserve">búsqueda exhaustiva y razonable </w:t>
      </w:r>
      <w:r w:rsidRPr="003E7669">
        <w:rPr>
          <w:rFonts w:ascii="Palatino Linotype" w:hAnsi="Palatino Linotype" w:cs="Arial"/>
        </w:rPr>
        <w:t>de la información; lo anterior en atención a los principios de exhaustividad y certeza jurídica consagrados en el artículo 9 de la Ley de la materia.</w:t>
      </w:r>
    </w:p>
    <w:p w:rsidR="00EB71F4" w:rsidRDefault="00EB71F4" w:rsidP="00EB71F4">
      <w:pPr>
        <w:spacing w:line="360" w:lineRule="auto"/>
        <w:jc w:val="both"/>
        <w:rPr>
          <w:rFonts w:ascii="Palatino Linotype" w:hAnsi="Palatino Linotype" w:cs="Arial"/>
        </w:rPr>
      </w:pPr>
    </w:p>
    <w:p w:rsidR="00EB71F4" w:rsidRDefault="00EB71F4" w:rsidP="00EB71F4">
      <w:pPr>
        <w:spacing w:line="360" w:lineRule="auto"/>
        <w:jc w:val="both"/>
        <w:rPr>
          <w:rFonts w:ascii="Palatino Linotype" w:hAnsi="Palatino Linotype" w:cs="Arial"/>
        </w:rPr>
      </w:pPr>
    </w:p>
    <w:p w:rsidR="00EB71F4" w:rsidRPr="003E7669" w:rsidRDefault="00EB71F4" w:rsidP="00EB71F4">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EB71F4" w:rsidRPr="003E7669" w:rsidTr="00441C21">
        <w:trPr>
          <w:jc w:val="center"/>
        </w:trPr>
        <w:tc>
          <w:tcPr>
            <w:tcW w:w="4393" w:type="dxa"/>
          </w:tcPr>
          <w:p w:rsidR="00A36A55" w:rsidRDefault="00A36A55" w:rsidP="00441C21">
            <w:pPr>
              <w:jc w:val="center"/>
              <w:rPr>
                <w:rFonts w:ascii="Palatino Linotype" w:hAnsi="Palatino Linotype"/>
                <w:b/>
              </w:rPr>
            </w:pPr>
          </w:p>
          <w:p w:rsidR="00A36A55" w:rsidRDefault="00A36A55" w:rsidP="00441C21">
            <w:pPr>
              <w:jc w:val="center"/>
              <w:rPr>
                <w:rFonts w:ascii="Palatino Linotype" w:hAnsi="Palatino Linotype"/>
                <w:b/>
              </w:rPr>
            </w:pPr>
          </w:p>
          <w:p w:rsidR="00A36A55" w:rsidRDefault="00A36A55" w:rsidP="00441C21">
            <w:pPr>
              <w:jc w:val="center"/>
              <w:rPr>
                <w:rFonts w:ascii="Palatino Linotype" w:hAnsi="Palatino Linotype"/>
                <w:b/>
              </w:rPr>
            </w:pPr>
          </w:p>
          <w:p w:rsidR="00A36A55" w:rsidRDefault="00A36A55" w:rsidP="00441C21">
            <w:pPr>
              <w:jc w:val="center"/>
              <w:rPr>
                <w:rFonts w:ascii="Palatino Linotype" w:hAnsi="Palatino Linotype"/>
                <w:b/>
              </w:rPr>
            </w:pPr>
          </w:p>
          <w:p w:rsidR="00A36A55" w:rsidRDefault="00A36A55" w:rsidP="00441C21">
            <w:pPr>
              <w:jc w:val="center"/>
              <w:rPr>
                <w:rFonts w:ascii="Palatino Linotype" w:hAnsi="Palatino Linotype"/>
                <w:b/>
              </w:rPr>
            </w:pPr>
          </w:p>
          <w:p w:rsidR="00EB71F4" w:rsidRPr="003E7669" w:rsidRDefault="00EB71F4" w:rsidP="00441C21">
            <w:pPr>
              <w:jc w:val="center"/>
              <w:rPr>
                <w:rFonts w:ascii="Palatino Linotype" w:hAnsi="Palatino Linotype"/>
                <w:b/>
              </w:rPr>
            </w:pPr>
            <w:r w:rsidRPr="003E7669">
              <w:rPr>
                <w:rFonts w:ascii="Palatino Linotype" w:hAnsi="Palatino Linotype"/>
                <w:b/>
              </w:rPr>
              <w:t xml:space="preserve">EVA ABAID YAPUR </w:t>
            </w:r>
          </w:p>
          <w:p w:rsidR="00EB71F4" w:rsidRDefault="00EB71F4" w:rsidP="00A36A55">
            <w:pPr>
              <w:jc w:val="center"/>
              <w:rPr>
                <w:rFonts w:ascii="Palatino Linotype" w:hAnsi="Palatino Linotype"/>
                <w:b/>
              </w:rPr>
            </w:pPr>
            <w:r w:rsidRPr="003E7669">
              <w:rPr>
                <w:rFonts w:ascii="Palatino Linotype" w:hAnsi="Palatino Linotype"/>
                <w:b/>
              </w:rPr>
              <w:t>COMISIONADA</w:t>
            </w:r>
          </w:p>
          <w:p w:rsidR="002C088D" w:rsidRDefault="002C088D" w:rsidP="002C088D">
            <w:pPr>
              <w:jc w:val="center"/>
              <w:rPr>
                <w:rFonts w:ascii="Palatino Linotype" w:hAnsi="Palatino Linotype"/>
                <w:b/>
              </w:rPr>
            </w:pPr>
            <w:r>
              <w:rPr>
                <w:rFonts w:ascii="Palatino Linotype" w:hAnsi="Palatino Linotype" w:cs="Arial"/>
                <w:b/>
              </w:rPr>
              <w:t>(RÚBRICA)</w:t>
            </w:r>
          </w:p>
          <w:p w:rsidR="002C088D" w:rsidRPr="003E7669" w:rsidRDefault="002C088D" w:rsidP="00A36A55">
            <w:pPr>
              <w:jc w:val="center"/>
              <w:rPr>
                <w:rFonts w:ascii="Palatino Linotype" w:hAnsi="Palatino Linotype"/>
                <w:b/>
              </w:rPr>
            </w:pPr>
          </w:p>
        </w:tc>
      </w:tr>
    </w:tbl>
    <w:p w:rsidR="00EB71F4" w:rsidRPr="003E7669" w:rsidRDefault="00EB71F4" w:rsidP="00EB71F4">
      <w:pPr>
        <w:jc w:val="both"/>
        <w:rPr>
          <w:rFonts w:ascii="Palatino Linotype" w:eastAsia="Calibri" w:hAnsi="Palatino Linotype" w:cs="Arial"/>
          <w:color w:val="000000" w:themeColor="text1"/>
          <w:sz w:val="20"/>
        </w:rPr>
      </w:pPr>
    </w:p>
    <w:p w:rsidR="00EB71F4" w:rsidRPr="003E7669" w:rsidRDefault="00EB71F4" w:rsidP="00EB71F4">
      <w:pPr>
        <w:jc w:val="both"/>
        <w:rPr>
          <w:rFonts w:ascii="Palatino Linotype" w:eastAsia="Calibri" w:hAnsi="Palatino Linotype" w:cs="Arial"/>
          <w:color w:val="000000" w:themeColor="text1"/>
          <w:sz w:val="20"/>
        </w:rPr>
      </w:pPr>
    </w:p>
    <w:p w:rsidR="00EB71F4" w:rsidRDefault="00EB71F4" w:rsidP="00EB71F4">
      <w:pPr>
        <w:jc w:val="both"/>
        <w:rPr>
          <w:rFonts w:ascii="Palatino Linotype" w:eastAsia="Calibri" w:hAnsi="Palatino Linotype" w:cs="Arial"/>
          <w:color w:val="000000" w:themeColor="text1"/>
          <w:sz w:val="20"/>
        </w:rPr>
      </w:pPr>
    </w:p>
    <w:p w:rsidR="00EB71F4" w:rsidRDefault="00EB71F4" w:rsidP="00EB71F4">
      <w:pPr>
        <w:jc w:val="both"/>
        <w:rPr>
          <w:rFonts w:ascii="Palatino Linotype" w:eastAsia="Calibri" w:hAnsi="Palatino Linotype" w:cs="Arial"/>
          <w:color w:val="000000" w:themeColor="text1"/>
          <w:sz w:val="20"/>
        </w:rPr>
      </w:pPr>
    </w:p>
    <w:p w:rsidR="00A36A55" w:rsidRDefault="00A36A55" w:rsidP="00EB71F4">
      <w:pPr>
        <w:jc w:val="both"/>
        <w:rPr>
          <w:rFonts w:ascii="Palatino Linotype" w:eastAsia="Calibri" w:hAnsi="Palatino Linotype" w:cs="Arial"/>
          <w:color w:val="000000" w:themeColor="text1"/>
          <w:sz w:val="20"/>
        </w:rPr>
      </w:pPr>
    </w:p>
    <w:p w:rsidR="00EB71F4" w:rsidRDefault="00EB71F4" w:rsidP="00EB71F4">
      <w:pPr>
        <w:jc w:val="both"/>
        <w:rPr>
          <w:rFonts w:ascii="Palatino Linotype" w:eastAsia="Calibri" w:hAnsi="Palatino Linotype" w:cs="Arial"/>
          <w:color w:val="000000" w:themeColor="text1"/>
          <w:sz w:val="20"/>
        </w:rPr>
      </w:pPr>
    </w:p>
    <w:p w:rsidR="00EB71F4" w:rsidRDefault="00EB71F4" w:rsidP="00EB71F4">
      <w:pPr>
        <w:jc w:val="both"/>
        <w:rPr>
          <w:rFonts w:ascii="Palatino Linotype" w:eastAsia="Calibri" w:hAnsi="Palatino Linotype" w:cs="Arial"/>
          <w:color w:val="000000" w:themeColor="text1"/>
          <w:sz w:val="20"/>
        </w:rPr>
      </w:pPr>
    </w:p>
    <w:p w:rsidR="00EB71F4" w:rsidRPr="003E7669" w:rsidRDefault="00EB71F4" w:rsidP="00EB71F4">
      <w:pPr>
        <w:jc w:val="both"/>
        <w:rPr>
          <w:rFonts w:ascii="Palatino Linotype" w:eastAsia="Calibri" w:hAnsi="Palatino Linotype" w:cs="Arial"/>
          <w:color w:val="000000" w:themeColor="text1"/>
          <w:sz w:val="20"/>
        </w:rPr>
      </w:pPr>
    </w:p>
    <w:p w:rsidR="00EB71F4" w:rsidRPr="003E7669" w:rsidRDefault="00EB71F4" w:rsidP="00EB71F4">
      <w:pPr>
        <w:jc w:val="both"/>
        <w:rPr>
          <w:rFonts w:ascii="Palatino Linotype" w:eastAsia="Calibri" w:hAnsi="Palatino Linotype" w:cs="Arial"/>
          <w:color w:val="000000" w:themeColor="text1"/>
          <w:sz w:val="20"/>
        </w:rPr>
      </w:pPr>
    </w:p>
    <w:p w:rsidR="00EB71F4" w:rsidRPr="003E7669" w:rsidRDefault="00EB71F4" w:rsidP="00EB71F4">
      <w:pPr>
        <w:jc w:val="both"/>
        <w:rPr>
          <w:rFonts w:ascii="Palatino Linotype" w:eastAsia="Calibri" w:hAnsi="Palatino Linotype" w:cs="Arial"/>
          <w:color w:val="000000" w:themeColor="text1"/>
          <w:sz w:val="20"/>
        </w:rPr>
      </w:pPr>
      <w:r w:rsidRPr="003E7669">
        <w:rPr>
          <w:rFonts w:ascii="Palatino Linotype" w:eastAsia="Calibri" w:hAnsi="Palatino Linotype" w:cs="Arial"/>
          <w:color w:val="000000" w:themeColor="text1"/>
          <w:sz w:val="20"/>
        </w:rPr>
        <w:t>Esta hoja corresponde al voto particular emitido en la resolución d</w:t>
      </w:r>
      <w:r>
        <w:rPr>
          <w:rFonts w:ascii="Palatino Linotype" w:eastAsia="Calibri" w:hAnsi="Palatino Linotype" w:cs="Arial"/>
          <w:color w:val="000000" w:themeColor="text1"/>
          <w:sz w:val="20"/>
        </w:rPr>
        <w:t xml:space="preserve">el </w:t>
      </w:r>
      <w:r w:rsidRPr="003E7669">
        <w:rPr>
          <w:rFonts w:ascii="Palatino Linotype" w:eastAsia="Calibri" w:hAnsi="Palatino Linotype" w:cs="Arial"/>
          <w:color w:val="000000" w:themeColor="text1"/>
          <w:sz w:val="20"/>
        </w:rPr>
        <w:t xml:space="preserve">recurso de revisión </w:t>
      </w:r>
      <w:r w:rsidR="00A36A55">
        <w:rPr>
          <w:rFonts w:ascii="Palatino Linotype" w:eastAsia="Calibri" w:hAnsi="Palatino Linotype" w:cs="Arial"/>
          <w:color w:val="000000" w:themeColor="text1"/>
          <w:sz w:val="20"/>
        </w:rPr>
        <w:t>08785/INFOEM/IP/RR/2019</w:t>
      </w:r>
      <w:r w:rsidRPr="003E7669">
        <w:rPr>
          <w:rFonts w:ascii="Palatino Linotype" w:eastAsia="Calibri" w:hAnsi="Palatino Linotype" w:cs="Arial"/>
          <w:color w:val="000000" w:themeColor="text1"/>
          <w:sz w:val="20"/>
        </w:rPr>
        <w:t xml:space="preserve">, aprobada el </w:t>
      </w:r>
      <w:r>
        <w:rPr>
          <w:rFonts w:ascii="Palatino Linotype" w:eastAsia="Calibri" w:hAnsi="Palatino Linotype" w:cs="Arial"/>
          <w:color w:val="000000" w:themeColor="text1"/>
          <w:sz w:val="20"/>
        </w:rPr>
        <w:t>seis de febrero de dos mil veinte</w:t>
      </w:r>
      <w:r w:rsidRPr="003E7669">
        <w:rPr>
          <w:rFonts w:ascii="Palatino Linotype" w:eastAsia="Calibri" w:hAnsi="Palatino Linotype" w:cs="Arial"/>
          <w:color w:val="000000" w:themeColor="text1"/>
          <w:sz w:val="20"/>
        </w:rPr>
        <w:t xml:space="preserve">. </w:t>
      </w:r>
    </w:p>
    <w:p w:rsidR="00A36A55" w:rsidRPr="00A36A55" w:rsidRDefault="00A36A55" w:rsidP="00EB71F4">
      <w:pPr>
        <w:jc w:val="both"/>
        <w:rPr>
          <w:rFonts w:ascii="Palatino Linotype" w:eastAsia="Calibri" w:hAnsi="Palatino Linotype" w:cs="Arial"/>
          <w:color w:val="000000" w:themeColor="text1"/>
          <w:sz w:val="8"/>
          <w:szCs w:val="8"/>
        </w:rPr>
      </w:pPr>
    </w:p>
    <w:p w:rsidR="002C088D" w:rsidRPr="003E7669" w:rsidRDefault="00EB71F4" w:rsidP="00EB71F4">
      <w:pPr>
        <w:jc w:val="both"/>
        <w:rPr>
          <w:rFonts w:ascii="Palatino Linotype" w:eastAsia="Calibri" w:hAnsi="Palatino Linotype" w:cs="Arial"/>
          <w:sz w:val="20"/>
        </w:rPr>
      </w:pPr>
      <w:r>
        <w:rPr>
          <w:rFonts w:ascii="Palatino Linotype" w:eastAsia="Calibri" w:hAnsi="Palatino Linotype" w:cs="Arial"/>
          <w:color w:val="000000" w:themeColor="text1"/>
          <w:sz w:val="20"/>
        </w:rPr>
        <w:t>YSM</w:t>
      </w:r>
      <w:r w:rsidRPr="003E7669">
        <w:rPr>
          <w:rFonts w:ascii="Palatino Linotype" w:eastAsia="Calibri" w:hAnsi="Palatino Linotype" w:cs="Arial"/>
          <w:color w:val="000000" w:themeColor="text1"/>
          <w:sz w:val="20"/>
        </w:rPr>
        <w:t>/EJCA</w:t>
      </w:r>
      <w:bookmarkStart w:id="0" w:name="_GoBack"/>
      <w:bookmarkEnd w:id="0"/>
    </w:p>
    <w:sectPr w:rsidR="002C088D" w:rsidRPr="003E7669" w:rsidSect="00034AE9">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DC8" w:rsidRDefault="00931DC8" w:rsidP="00E41B3B">
      <w:r>
        <w:separator/>
      </w:r>
    </w:p>
  </w:endnote>
  <w:endnote w:type="continuationSeparator" w:id="0">
    <w:p w:rsidR="00931DC8" w:rsidRDefault="00931DC8"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C088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C088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DC8" w:rsidRDefault="00931DC8" w:rsidP="00E41B3B">
      <w:r>
        <w:separator/>
      </w:r>
    </w:p>
  </w:footnote>
  <w:footnote w:type="continuationSeparator" w:id="0">
    <w:p w:rsidR="00931DC8" w:rsidRDefault="00931DC8"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C08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B0214D" w:rsidRDefault="00B0214D" w:rsidP="00DC5C4E">
    <w:pPr>
      <w:pStyle w:val="Encabezado"/>
      <w:tabs>
        <w:tab w:val="clear" w:pos="4252"/>
        <w:tab w:val="clear" w:pos="8504"/>
        <w:tab w:val="left" w:pos="2326"/>
      </w:tabs>
      <w:jc w:val="right"/>
      <w:rPr>
        <w:rFonts w:ascii="Palatino Linotype" w:hAnsi="Palatino Linotype" w:cs="Arial"/>
        <w:sz w:val="20"/>
        <w:szCs w:val="20"/>
      </w:rPr>
    </w:pPr>
  </w:p>
  <w:p w:rsidR="00B0214D" w:rsidRDefault="00B0214D"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E6C48">
      <w:rPr>
        <w:rFonts w:ascii="Palatino Linotype" w:hAnsi="Palatino Linotype" w:cs="Arial"/>
        <w:sz w:val="20"/>
        <w:szCs w:val="20"/>
      </w:rPr>
      <w:t>0</w:t>
    </w:r>
    <w:r w:rsidR="00C96A41">
      <w:rPr>
        <w:rFonts w:ascii="Palatino Linotype" w:hAnsi="Palatino Linotype" w:cs="Arial"/>
        <w:sz w:val="20"/>
        <w:szCs w:val="20"/>
      </w:rPr>
      <w:t>87</w:t>
    </w:r>
    <w:r w:rsidR="00EB71F4">
      <w:rPr>
        <w:rFonts w:ascii="Palatino Linotype" w:hAnsi="Palatino Linotype" w:cs="Arial"/>
        <w:sz w:val="20"/>
        <w:szCs w:val="20"/>
      </w:rPr>
      <w:t>85</w:t>
    </w:r>
    <w:r>
      <w:rPr>
        <w:rFonts w:ascii="Palatino Linotype" w:hAnsi="Palatino Linotype" w:cs="Arial"/>
        <w:sz w:val="20"/>
        <w:szCs w:val="20"/>
      </w:rPr>
      <w:t>/INFOEM/IP</w:t>
    </w:r>
    <w:r w:rsidRPr="00706042">
      <w:rPr>
        <w:rFonts w:ascii="Palatino Linotype" w:hAnsi="Palatino Linotype" w:cs="Arial"/>
        <w:sz w:val="20"/>
        <w:szCs w:val="20"/>
      </w:rPr>
      <w:t>/RR/201</w:t>
    </w:r>
    <w:r w:rsidR="00B63C94">
      <w:rPr>
        <w:rFonts w:ascii="Palatino Linotype" w:hAnsi="Palatino Linotype" w:cs="Arial"/>
        <w:sz w:val="20"/>
        <w:szCs w:val="20"/>
      </w:rPr>
      <w:t>9</w:t>
    </w:r>
  </w:p>
  <w:p w:rsidR="00711438" w:rsidRDefault="002C088D"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80.25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C08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646A"/>
    <w:multiLevelType w:val="hybridMultilevel"/>
    <w:tmpl w:val="F2E85D86"/>
    <w:lvl w:ilvl="0" w:tplc="962C8DD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8F1374B"/>
    <w:multiLevelType w:val="hybridMultilevel"/>
    <w:tmpl w:val="FD3461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36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D42572B"/>
    <w:multiLevelType w:val="hybridMultilevel"/>
    <w:tmpl w:val="6F5A723A"/>
    <w:lvl w:ilvl="0" w:tplc="8B9C5B3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4AE9"/>
    <w:rsid w:val="00036109"/>
    <w:rsid w:val="00040341"/>
    <w:rsid w:val="000450C7"/>
    <w:rsid w:val="00080305"/>
    <w:rsid w:val="0008488A"/>
    <w:rsid w:val="00090AAC"/>
    <w:rsid w:val="00101AC9"/>
    <w:rsid w:val="00117BA2"/>
    <w:rsid w:val="00121901"/>
    <w:rsid w:val="00122242"/>
    <w:rsid w:val="00141D1C"/>
    <w:rsid w:val="00146755"/>
    <w:rsid w:val="001511C6"/>
    <w:rsid w:val="00164D8A"/>
    <w:rsid w:val="00170506"/>
    <w:rsid w:val="00173517"/>
    <w:rsid w:val="0019398B"/>
    <w:rsid w:val="001A7CEE"/>
    <w:rsid w:val="001B2436"/>
    <w:rsid w:val="001B4342"/>
    <w:rsid w:val="001B45FD"/>
    <w:rsid w:val="001C3DCD"/>
    <w:rsid w:val="001F2929"/>
    <w:rsid w:val="00216380"/>
    <w:rsid w:val="00270A69"/>
    <w:rsid w:val="00296C85"/>
    <w:rsid w:val="002C088D"/>
    <w:rsid w:val="002C638A"/>
    <w:rsid w:val="0031149D"/>
    <w:rsid w:val="00324C61"/>
    <w:rsid w:val="00324EBE"/>
    <w:rsid w:val="003343CD"/>
    <w:rsid w:val="0033643C"/>
    <w:rsid w:val="00343A89"/>
    <w:rsid w:val="003948FF"/>
    <w:rsid w:val="003B3F10"/>
    <w:rsid w:val="003C2F6A"/>
    <w:rsid w:val="003C6346"/>
    <w:rsid w:val="003E5977"/>
    <w:rsid w:val="00407D52"/>
    <w:rsid w:val="00420511"/>
    <w:rsid w:val="00437359"/>
    <w:rsid w:val="00440036"/>
    <w:rsid w:val="00445A5E"/>
    <w:rsid w:val="00446B28"/>
    <w:rsid w:val="00457C76"/>
    <w:rsid w:val="00463EE4"/>
    <w:rsid w:val="0048476A"/>
    <w:rsid w:val="004E6C48"/>
    <w:rsid w:val="0053148C"/>
    <w:rsid w:val="00537CDD"/>
    <w:rsid w:val="005413CB"/>
    <w:rsid w:val="005662E1"/>
    <w:rsid w:val="005746BA"/>
    <w:rsid w:val="005A4D7F"/>
    <w:rsid w:val="005C3A1D"/>
    <w:rsid w:val="005C7C8F"/>
    <w:rsid w:val="005F3E71"/>
    <w:rsid w:val="00621308"/>
    <w:rsid w:val="0065035B"/>
    <w:rsid w:val="00654FE9"/>
    <w:rsid w:val="00672F33"/>
    <w:rsid w:val="00672FC7"/>
    <w:rsid w:val="00674996"/>
    <w:rsid w:val="00675779"/>
    <w:rsid w:val="0067593F"/>
    <w:rsid w:val="006801D4"/>
    <w:rsid w:val="00697966"/>
    <w:rsid w:val="006A1C64"/>
    <w:rsid w:val="006B109D"/>
    <w:rsid w:val="006B30CD"/>
    <w:rsid w:val="006F2718"/>
    <w:rsid w:val="00704B8E"/>
    <w:rsid w:val="00711438"/>
    <w:rsid w:val="00712C80"/>
    <w:rsid w:val="007170C1"/>
    <w:rsid w:val="00725B3B"/>
    <w:rsid w:val="00733C54"/>
    <w:rsid w:val="00745FDD"/>
    <w:rsid w:val="00752592"/>
    <w:rsid w:val="00756313"/>
    <w:rsid w:val="00767B65"/>
    <w:rsid w:val="00795136"/>
    <w:rsid w:val="007C3451"/>
    <w:rsid w:val="007C7A0C"/>
    <w:rsid w:val="00811B0B"/>
    <w:rsid w:val="00820D1B"/>
    <w:rsid w:val="00832869"/>
    <w:rsid w:val="00842E34"/>
    <w:rsid w:val="008542C4"/>
    <w:rsid w:val="00864D3F"/>
    <w:rsid w:val="008A35FA"/>
    <w:rsid w:val="008B0732"/>
    <w:rsid w:val="008B20DC"/>
    <w:rsid w:val="008B6825"/>
    <w:rsid w:val="008C16DF"/>
    <w:rsid w:val="008E5C82"/>
    <w:rsid w:val="008F34EF"/>
    <w:rsid w:val="00900828"/>
    <w:rsid w:val="00901F67"/>
    <w:rsid w:val="00930056"/>
    <w:rsid w:val="00931DC8"/>
    <w:rsid w:val="0094611A"/>
    <w:rsid w:val="009701AB"/>
    <w:rsid w:val="00990B93"/>
    <w:rsid w:val="009B3920"/>
    <w:rsid w:val="009B519C"/>
    <w:rsid w:val="009D0044"/>
    <w:rsid w:val="009D1CB5"/>
    <w:rsid w:val="00A0758F"/>
    <w:rsid w:val="00A36A55"/>
    <w:rsid w:val="00A502D2"/>
    <w:rsid w:val="00A55F7E"/>
    <w:rsid w:val="00A66652"/>
    <w:rsid w:val="00A764F2"/>
    <w:rsid w:val="00A77272"/>
    <w:rsid w:val="00A956B4"/>
    <w:rsid w:val="00A96975"/>
    <w:rsid w:val="00A97455"/>
    <w:rsid w:val="00AB2EBF"/>
    <w:rsid w:val="00AC0896"/>
    <w:rsid w:val="00AE18DA"/>
    <w:rsid w:val="00AE7810"/>
    <w:rsid w:val="00B0214D"/>
    <w:rsid w:val="00B17086"/>
    <w:rsid w:val="00B51260"/>
    <w:rsid w:val="00B63C94"/>
    <w:rsid w:val="00B64194"/>
    <w:rsid w:val="00B716F8"/>
    <w:rsid w:val="00B77AAE"/>
    <w:rsid w:val="00B87634"/>
    <w:rsid w:val="00BA5C3E"/>
    <w:rsid w:val="00C07CE2"/>
    <w:rsid w:val="00C33AE1"/>
    <w:rsid w:val="00C52D7C"/>
    <w:rsid w:val="00C55136"/>
    <w:rsid w:val="00C60EC0"/>
    <w:rsid w:val="00C62CE4"/>
    <w:rsid w:val="00C96A41"/>
    <w:rsid w:val="00CB71BF"/>
    <w:rsid w:val="00CC4E44"/>
    <w:rsid w:val="00CD7154"/>
    <w:rsid w:val="00CE0D21"/>
    <w:rsid w:val="00CE1537"/>
    <w:rsid w:val="00CE70C8"/>
    <w:rsid w:val="00D22D52"/>
    <w:rsid w:val="00D530AD"/>
    <w:rsid w:val="00D724F4"/>
    <w:rsid w:val="00D829CA"/>
    <w:rsid w:val="00DC0116"/>
    <w:rsid w:val="00DC5C4E"/>
    <w:rsid w:val="00DC6C4E"/>
    <w:rsid w:val="00DF4164"/>
    <w:rsid w:val="00E02AB7"/>
    <w:rsid w:val="00E20B21"/>
    <w:rsid w:val="00E415A4"/>
    <w:rsid w:val="00E41B3B"/>
    <w:rsid w:val="00E55769"/>
    <w:rsid w:val="00E70DAA"/>
    <w:rsid w:val="00E77C64"/>
    <w:rsid w:val="00EA1ABE"/>
    <w:rsid w:val="00EB71F4"/>
    <w:rsid w:val="00EC5A90"/>
    <w:rsid w:val="00ED3750"/>
    <w:rsid w:val="00ED78BB"/>
    <w:rsid w:val="00EF1976"/>
    <w:rsid w:val="00F04176"/>
    <w:rsid w:val="00F26150"/>
    <w:rsid w:val="00F4326E"/>
    <w:rsid w:val="00F503A7"/>
    <w:rsid w:val="00F50C10"/>
    <w:rsid w:val="00F64CC1"/>
    <w:rsid w:val="00F9070F"/>
    <w:rsid w:val="00FA0BF5"/>
    <w:rsid w:val="00FC2815"/>
    <w:rsid w:val="00FD3321"/>
    <w:rsid w:val="00FE414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FE414B"/>
    <w:rPr>
      <w:rFonts w:ascii="Segoe UI" w:hAnsi="Segoe UI" w:cs="Segoe UI"/>
      <w:sz w:val="18"/>
      <w:szCs w:val="18"/>
    </w:rPr>
  </w:style>
  <w:style w:type="character" w:customStyle="1" w:styleId="TextodegloboCar">
    <w:name w:val="Texto de globo Car"/>
    <w:basedOn w:val="Fuentedeprrafopredeter"/>
    <w:link w:val="Textodeglobo"/>
    <w:semiHidden/>
    <w:rsid w:val="00FE414B"/>
    <w:rPr>
      <w:rFonts w:ascii="Segoe UI" w:eastAsia="Times New Roman" w:hAnsi="Segoe UI" w:cs="Segoe UI"/>
      <w:sz w:val="18"/>
      <w:szCs w:val="18"/>
      <w:lang w:val="es-ES" w:eastAsia="es-ES"/>
    </w:rPr>
  </w:style>
  <w:style w:type="table" w:styleId="Tablaconcuadrcula">
    <w:name w:val="Table Grid"/>
    <w:basedOn w:val="Tablanormal"/>
    <w:rsid w:val="00EF1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EB71F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B71F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2D18-4846-4257-AA4A-96D81533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1640</Words>
  <Characters>9024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lenovo</cp:lastModifiedBy>
  <cp:revision>6</cp:revision>
  <cp:lastPrinted>2020-02-10T21:16:00Z</cp:lastPrinted>
  <dcterms:created xsi:type="dcterms:W3CDTF">2020-02-18T22:47:00Z</dcterms:created>
  <dcterms:modified xsi:type="dcterms:W3CDTF">2020-04-29T01:14:00Z</dcterms:modified>
</cp:coreProperties>
</file>