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307C1D">
        <w:rPr>
          <w:rFonts w:ascii="Palatino Linotype" w:hAnsi="Palatino Linotype"/>
          <w:sz w:val="24"/>
          <w:szCs w:val="24"/>
          <w:lang w:eastAsia="es-MX"/>
        </w:rPr>
        <w:t>once de marzo</w:t>
      </w:r>
      <w:r w:rsidR="008B5D83">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1D0F61" w:rsidRDefault="001D0F61" w:rsidP="0014447C">
      <w:pPr>
        <w:pStyle w:val="Sinespaciado"/>
        <w:spacing w:line="360" w:lineRule="auto"/>
        <w:jc w:val="both"/>
        <w:rPr>
          <w:rFonts w:ascii="Palatino Linotype" w:hAnsi="Palatino Linotype"/>
          <w:b/>
          <w:sz w:val="24"/>
          <w:szCs w:val="24"/>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B222CA">
        <w:rPr>
          <w:rFonts w:ascii="Palatino Linotype" w:hAnsi="Palatino Linotype"/>
          <w:b/>
          <w:bCs/>
          <w:sz w:val="24"/>
          <w:szCs w:val="24"/>
          <w:lang w:eastAsia="es-MX"/>
        </w:rPr>
        <w:t>10095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 xml:space="preserve">. </w:t>
      </w:r>
      <w:r w:rsidR="00B222CA">
        <w:rPr>
          <w:rFonts w:ascii="Palatino Linotype" w:hAnsi="Palatino Linotype" w:cs="Arial"/>
          <w:b/>
          <w:sz w:val="24"/>
          <w:szCs w:val="24"/>
        </w:rPr>
        <w:t xml:space="preserve">      </w:t>
      </w:r>
      <w:r w:rsidR="006E5FC0">
        <w:rPr>
          <w:rFonts w:ascii="Palatino Linotype" w:hAnsi="Palatino Linotype" w:cs="Arial"/>
          <w:b/>
          <w:sz w:val="24"/>
          <w:szCs w:val="24"/>
        </w:rPr>
        <w:t>xxxx</w:t>
      </w:r>
      <w:bookmarkStart w:id="0" w:name="_GoBack"/>
      <w:bookmarkEnd w:id="0"/>
      <w:r w:rsidR="00B222CA">
        <w:rPr>
          <w:rFonts w:ascii="Palatino Linotype" w:hAnsi="Palatino Linotype" w:cs="Arial"/>
          <w:b/>
          <w:sz w:val="24"/>
          <w:szCs w:val="24"/>
        </w:rPr>
        <w:t xml:space="preserve">                      </w:t>
      </w:r>
      <w:r w:rsidR="0022281E">
        <w:rPr>
          <w:rFonts w:ascii="Palatino Linotype" w:hAnsi="Palatino Linotype" w:cs="Arial"/>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sidRPr="0022281E">
        <w:rPr>
          <w:rFonts w:ascii="Palatino Linotype" w:hAnsi="Palatino Linotype"/>
          <w:sz w:val="24"/>
          <w:szCs w:val="24"/>
        </w:rPr>
        <w:t xml:space="preserve"> </w:t>
      </w:r>
      <w:r w:rsidR="002F1B8A" w:rsidRPr="002F1B8A">
        <w:rPr>
          <w:rFonts w:ascii="Palatino Linotype" w:hAnsi="Palatino Linotype"/>
          <w:b/>
          <w:sz w:val="24"/>
          <w:szCs w:val="24"/>
        </w:rPr>
        <w:t xml:space="preserve">Ayuntamiento de </w:t>
      </w:r>
      <w:r w:rsidR="00B222CA">
        <w:rPr>
          <w:rFonts w:ascii="Palatino Linotype" w:hAnsi="Palatino Linotype"/>
          <w:b/>
          <w:sz w:val="24"/>
          <w:szCs w:val="24"/>
        </w:rPr>
        <w:t>Ecatzingo</w:t>
      </w:r>
      <w:r w:rsidRPr="00525BC2">
        <w:rPr>
          <w:rFonts w:ascii="Palatino Linotype" w:hAnsi="Palatino Linotype" w:cs="Arial"/>
          <w:b/>
          <w:sz w:val="24"/>
          <w:szCs w:val="24"/>
        </w:rPr>
        <w:t>,</w:t>
      </w:r>
      <w:r w:rsidRPr="00216B8D">
        <w:rPr>
          <w:rFonts w:ascii="Palatino Linotype" w:hAnsi="Palatino Linotype"/>
          <w:sz w:val="24"/>
          <w:szCs w:val="24"/>
        </w:rPr>
        <w:t xml:space="preserve"> 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rsidR="00A94B95" w:rsidRDefault="00A94B95" w:rsidP="00525BC2">
      <w:pPr>
        <w:spacing w:after="120" w:line="256" w:lineRule="auto"/>
        <w:ind w:right="72"/>
        <w:jc w:val="both"/>
        <w:rPr>
          <w:rFonts w:ascii="Palatino Linotype" w:hAnsi="Palatino Linotype"/>
          <w:b/>
          <w:sz w:val="28"/>
          <w:szCs w:val="28"/>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E80AB6">
        <w:rPr>
          <w:rFonts w:ascii="Palatino Linotype" w:hAnsi="Palatino Linotype"/>
          <w:sz w:val="24"/>
          <w:szCs w:val="24"/>
        </w:rPr>
        <w:t>veintiséis</w:t>
      </w:r>
      <w:r w:rsidR="003938B0">
        <w:rPr>
          <w:rFonts w:ascii="Palatino Linotype" w:hAnsi="Palatino Linotype"/>
          <w:sz w:val="24"/>
          <w:szCs w:val="24"/>
        </w:rPr>
        <w:t xml:space="preserve"> de </w:t>
      </w:r>
      <w:r w:rsidR="00E3420A">
        <w:rPr>
          <w:rFonts w:ascii="Palatino Linotype" w:hAnsi="Palatino Linotype"/>
          <w:sz w:val="24"/>
          <w:szCs w:val="24"/>
        </w:rPr>
        <w:t>noviembre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938B0">
        <w:rPr>
          <w:rFonts w:ascii="Palatino Linotype" w:hAnsi="Palatino Linotype"/>
          <w:b/>
          <w:sz w:val="24"/>
          <w:szCs w:val="24"/>
        </w:rPr>
        <w:t xml:space="preserve"> </w:t>
      </w:r>
      <w:r w:rsidR="00B222CA" w:rsidRPr="00B222CA">
        <w:rPr>
          <w:rFonts w:ascii="Palatino Linotype" w:hAnsi="Palatino Linotype"/>
          <w:b/>
          <w:sz w:val="24"/>
          <w:szCs w:val="24"/>
        </w:rPr>
        <w:t>00514/ECATZIN/IP/2019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55633" w:rsidRDefault="00C35F18" w:rsidP="0014447C">
      <w:pPr>
        <w:pStyle w:val="Sinespaciado"/>
        <w:spacing w:line="360" w:lineRule="auto"/>
        <w:jc w:val="both"/>
        <w:rPr>
          <w:rFonts w:ascii="Palatino Linotype" w:hAnsi="Palatino Linotype"/>
          <w:sz w:val="24"/>
          <w:szCs w:val="24"/>
        </w:rPr>
      </w:pPr>
    </w:p>
    <w:p w:rsidR="00542DC1" w:rsidRPr="00E3420A" w:rsidRDefault="007E2E80" w:rsidP="00542DC1">
      <w:pPr>
        <w:pStyle w:val="Sinespaciado"/>
        <w:ind w:left="567" w:right="567"/>
        <w:jc w:val="both"/>
        <w:rPr>
          <w:rFonts w:ascii="Palatino Linotype" w:hAnsi="Palatino Linotype"/>
          <w:i/>
        </w:rPr>
      </w:pPr>
      <w:r w:rsidRPr="00E3420A">
        <w:rPr>
          <w:rFonts w:ascii="Palatino Linotype" w:hAnsi="Palatino Linotype"/>
          <w:i/>
        </w:rPr>
        <w:t>“</w:t>
      </w:r>
      <w:r w:rsidR="00B222CA" w:rsidRPr="00B222CA">
        <w:rPr>
          <w:rFonts w:ascii="Palatino Linotype" w:hAnsi="Palatino Linotype"/>
          <w:i/>
        </w:rPr>
        <w:t>Solicito el padrón catastral que tienen a su cargo el municipio.</w:t>
      </w:r>
      <w:r w:rsidRPr="00E3420A">
        <w:rPr>
          <w:rFonts w:ascii="Palatino Linotype" w:hAnsi="Palatino Linotype"/>
          <w:i/>
        </w:rPr>
        <w:t>” [Sic]</w:t>
      </w:r>
    </w:p>
    <w:p w:rsidR="00E3420A" w:rsidRDefault="00E3420A" w:rsidP="00E3420A">
      <w:pPr>
        <w:pStyle w:val="Sinespaciado"/>
        <w:spacing w:line="360" w:lineRule="auto"/>
        <w:ind w:right="567"/>
        <w:jc w:val="both"/>
        <w:rPr>
          <w:rFonts w:ascii="Palatino Linotype" w:eastAsia="Times New Roman" w:hAnsi="Palatino Linotype" w:cs="Times New Roman"/>
          <w:sz w:val="24"/>
          <w:szCs w:val="24"/>
          <w:lang w:val="es-ES_tradnl" w:eastAsia="es-ES"/>
        </w:rPr>
      </w:pPr>
    </w:p>
    <w:p w:rsidR="007E2E80" w:rsidRPr="00C35F18" w:rsidRDefault="00E3420A" w:rsidP="00E3420A">
      <w:pPr>
        <w:pStyle w:val="Sinespaciado"/>
        <w:spacing w:line="360" w:lineRule="auto"/>
        <w:ind w:right="567"/>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Especificando como m</w:t>
      </w:r>
      <w:r w:rsidR="007E2E80" w:rsidRPr="00C35F18">
        <w:rPr>
          <w:rFonts w:ascii="Palatino Linotype" w:eastAsia="Times New Roman" w:hAnsi="Palatino Linotype" w:cs="Times New Roman"/>
          <w:sz w:val="24"/>
          <w:szCs w:val="24"/>
          <w:lang w:val="es-ES_tradnl" w:eastAsia="es-ES"/>
        </w:rPr>
        <w:t xml:space="preserve">odalidad de entrega: </w:t>
      </w:r>
      <w:r>
        <w:rPr>
          <w:rFonts w:ascii="Palatino Linotype" w:eastAsia="Times New Roman" w:hAnsi="Palatino Linotype" w:cs="Times New Roman"/>
          <w:sz w:val="24"/>
          <w:szCs w:val="24"/>
          <w:lang w:val="es-ES_tradnl" w:eastAsia="es-ES"/>
        </w:rPr>
        <w:t>“</w:t>
      </w:r>
      <w:r w:rsidR="007E2E80" w:rsidRPr="008C0E72">
        <w:rPr>
          <w:rFonts w:ascii="Palatino Linotype" w:eastAsia="Times New Roman" w:hAnsi="Palatino Linotype" w:cs="Times New Roman"/>
          <w:b/>
          <w:sz w:val="24"/>
          <w:szCs w:val="24"/>
          <w:lang w:val="es-ES_tradnl" w:eastAsia="es-ES"/>
        </w:rPr>
        <w:t>A través del SAIMEX</w:t>
      </w:r>
      <w:r>
        <w:rPr>
          <w:rFonts w:ascii="Palatino Linotype" w:eastAsia="Times New Roman" w:hAnsi="Palatino Linotype" w:cs="Times New Roman"/>
          <w:b/>
          <w:sz w:val="24"/>
          <w:szCs w:val="24"/>
          <w:lang w:val="es-ES_tradnl" w:eastAsia="es-ES"/>
        </w:rPr>
        <w:t>”</w:t>
      </w:r>
      <w:r w:rsidR="002F1B8A">
        <w:rPr>
          <w:rFonts w:ascii="Palatino Linotype" w:eastAsia="Times New Roman" w:hAnsi="Palatino Linotype" w:cs="Times New Roman"/>
          <w:b/>
          <w:sz w:val="24"/>
          <w:szCs w:val="24"/>
          <w:lang w:val="es-ES_tradnl" w:eastAsia="es-ES"/>
        </w:rPr>
        <w:t>.</w:t>
      </w:r>
    </w:p>
    <w:p w:rsidR="00516BA8" w:rsidRDefault="00516BA8" w:rsidP="00E3420A">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0B377B" w:rsidRDefault="0050556D" w:rsidP="0014447C">
      <w:pPr>
        <w:pStyle w:val="Sinespaciado"/>
        <w:spacing w:line="360" w:lineRule="auto"/>
        <w:jc w:val="both"/>
        <w:rPr>
          <w:rFonts w:ascii="Palatino Linotype" w:hAnsi="Palatino Linotype"/>
          <w:sz w:val="24"/>
        </w:rPr>
      </w:pPr>
      <w:r>
        <w:rPr>
          <w:rFonts w:ascii="Palatino Linotype" w:hAnsi="Palatino Linotype"/>
          <w:sz w:val="24"/>
        </w:rPr>
        <w:t xml:space="preserve">En fecha </w:t>
      </w:r>
      <w:r w:rsidR="00D85DC5">
        <w:rPr>
          <w:rFonts w:ascii="Palatino Linotype" w:hAnsi="Palatino Linotype"/>
          <w:sz w:val="24"/>
        </w:rPr>
        <w:t>doce</w:t>
      </w:r>
      <w:r w:rsidR="00E915B8">
        <w:rPr>
          <w:rFonts w:ascii="Palatino Linotype" w:hAnsi="Palatino Linotype"/>
          <w:sz w:val="24"/>
        </w:rPr>
        <w:t xml:space="preserve"> de </w:t>
      </w:r>
      <w:r w:rsidR="00D85DC5">
        <w:rPr>
          <w:rFonts w:ascii="Palatino Linotype" w:hAnsi="Palatino Linotype"/>
          <w:sz w:val="24"/>
        </w:rPr>
        <w:t>diciembre</w:t>
      </w:r>
      <w:r w:rsidR="00E915B8">
        <w:rPr>
          <w:rFonts w:ascii="Palatino Linotype" w:hAnsi="Palatino Linotype"/>
          <w:sz w:val="24"/>
        </w:rPr>
        <w:t xml:space="preserve"> de dos mil diecinueve el sujeto obligado </w:t>
      </w:r>
      <w:r w:rsidR="00542DC1">
        <w:rPr>
          <w:rFonts w:ascii="Palatino Linotype" w:hAnsi="Palatino Linotype"/>
          <w:sz w:val="24"/>
        </w:rPr>
        <w:t>manifestó:</w:t>
      </w:r>
    </w:p>
    <w:p w:rsidR="000B377B" w:rsidRDefault="000B377B" w:rsidP="0014447C">
      <w:pPr>
        <w:pStyle w:val="Sinespaciado"/>
        <w:spacing w:line="360" w:lineRule="auto"/>
        <w:jc w:val="both"/>
        <w:rPr>
          <w:rFonts w:ascii="Palatino Linotype" w:hAnsi="Palatino Linotype"/>
          <w:sz w:val="24"/>
        </w:rPr>
      </w:pPr>
    </w:p>
    <w:tbl>
      <w:tblPr>
        <w:tblW w:w="7706" w:type="dxa"/>
        <w:jc w:val="center"/>
        <w:tblCellSpacing w:w="0" w:type="dxa"/>
        <w:tblCellMar>
          <w:left w:w="0" w:type="dxa"/>
          <w:right w:w="0" w:type="dxa"/>
        </w:tblCellMar>
        <w:tblLook w:val="04A0" w:firstRow="1" w:lastRow="0" w:firstColumn="1" w:lastColumn="0" w:noHBand="0" w:noVBand="1"/>
      </w:tblPr>
      <w:tblGrid>
        <w:gridCol w:w="7706"/>
      </w:tblGrid>
      <w:tr w:rsidR="00986407" w:rsidRPr="002F1B8A" w:rsidTr="002F1B8A">
        <w:trPr>
          <w:trHeight w:val="286"/>
          <w:tblCellSpacing w:w="0" w:type="dxa"/>
          <w:jc w:val="center"/>
        </w:trPr>
        <w:tc>
          <w:tcPr>
            <w:tcW w:w="0" w:type="auto"/>
            <w:vAlign w:val="center"/>
            <w:hideMark/>
          </w:tcPr>
          <w:p w:rsidR="00986407" w:rsidRDefault="00986407" w:rsidP="00986407">
            <w:pPr>
              <w:jc w:val="right"/>
            </w:pPr>
            <w:r>
              <w:rPr>
                <w:rFonts w:ascii="Verdana" w:hAnsi="Verdana"/>
                <w:sz w:val="18"/>
                <w:szCs w:val="18"/>
              </w:rPr>
              <w:t>Ecatzingo, México a 16 de Diciembre de 2019</w:t>
            </w:r>
          </w:p>
        </w:tc>
      </w:tr>
      <w:tr w:rsidR="00986407" w:rsidRPr="002F1B8A" w:rsidTr="002F1B8A">
        <w:trPr>
          <w:trHeight w:val="430"/>
          <w:tblCellSpacing w:w="0" w:type="dxa"/>
          <w:jc w:val="center"/>
        </w:trPr>
        <w:tc>
          <w:tcPr>
            <w:tcW w:w="0" w:type="auto"/>
            <w:vAlign w:val="center"/>
            <w:hideMark/>
          </w:tcPr>
          <w:p w:rsidR="00986407" w:rsidRDefault="00986407" w:rsidP="00986407">
            <w:pPr>
              <w:jc w:val="right"/>
            </w:pPr>
            <w:r>
              <w:rPr>
                <w:rFonts w:ascii="Verdana" w:hAnsi="Verdana"/>
                <w:sz w:val="18"/>
                <w:szCs w:val="18"/>
              </w:rPr>
              <w:t>Nombre del solicitante:</w:t>
            </w:r>
          </w:p>
        </w:tc>
      </w:tr>
      <w:tr w:rsidR="00986407" w:rsidRPr="002F1B8A" w:rsidTr="002F1B8A">
        <w:trPr>
          <w:trHeight w:val="143"/>
          <w:tblCellSpacing w:w="0" w:type="dxa"/>
          <w:jc w:val="center"/>
        </w:trPr>
        <w:tc>
          <w:tcPr>
            <w:tcW w:w="0" w:type="auto"/>
            <w:vAlign w:val="center"/>
            <w:hideMark/>
          </w:tcPr>
          <w:p w:rsidR="00986407" w:rsidRDefault="00986407" w:rsidP="00986407">
            <w:pPr>
              <w:jc w:val="right"/>
            </w:pPr>
            <w:r>
              <w:rPr>
                <w:rFonts w:ascii="Verdana" w:hAnsi="Verdana"/>
                <w:sz w:val="18"/>
                <w:szCs w:val="18"/>
              </w:rPr>
              <w:t>Folio de la solicitud: 00514/ECATZIN/IP/2019</w:t>
            </w:r>
          </w:p>
        </w:tc>
      </w:tr>
      <w:tr w:rsidR="00986407" w:rsidRPr="002F1B8A" w:rsidTr="002F1B8A">
        <w:trPr>
          <w:trHeight w:val="358"/>
          <w:tblCellSpacing w:w="0" w:type="dxa"/>
          <w:jc w:val="center"/>
        </w:trPr>
        <w:tc>
          <w:tcPr>
            <w:tcW w:w="0" w:type="auto"/>
            <w:vAlign w:val="center"/>
            <w:hideMark/>
          </w:tcPr>
          <w:p w:rsidR="00986407" w:rsidRDefault="00986407" w:rsidP="00986407">
            <w:pPr>
              <w:jc w:val="right"/>
            </w:pPr>
          </w:p>
        </w:tc>
      </w:tr>
      <w:tr w:rsidR="00986407" w:rsidRPr="002F1B8A" w:rsidTr="002F1B8A">
        <w:trPr>
          <w:trHeight w:val="143"/>
          <w:tblCellSpacing w:w="0" w:type="dxa"/>
          <w:jc w:val="center"/>
        </w:trPr>
        <w:tc>
          <w:tcPr>
            <w:tcW w:w="0" w:type="auto"/>
            <w:vAlign w:val="center"/>
            <w:hideMark/>
          </w:tcPr>
          <w:p w:rsidR="00986407" w:rsidRDefault="00986407" w:rsidP="00986407">
            <w:pPr>
              <w:rPr>
                <w:sz w:val="24"/>
                <w:szCs w:val="24"/>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86407" w:rsidRPr="002F1B8A" w:rsidTr="002F1B8A">
        <w:trPr>
          <w:trHeight w:val="358"/>
          <w:tblCellSpacing w:w="0" w:type="dxa"/>
          <w:jc w:val="center"/>
        </w:trPr>
        <w:tc>
          <w:tcPr>
            <w:tcW w:w="0" w:type="auto"/>
            <w:vAlign w:val="center"/>
            <w:hideMark/>
          </w:tcPr>
          <w:p w:rsidR="00986407" w:rsidRDefault="00986407" w:rsidP="00986407"/>
        </w:tc>
      </w:tr>
      <w:tr w:rsidR="00986407" w:rsidRPr="002F1B8A" w:rsidTr="002F1B8A">
        <w:trPr>
          <w:trHeight w:val="143"/>
          <w:tblCellSpacing w:w="0" w:type="dxa"/>
          <w:jc w:val="center"/>
        </w:trPr>
        <w:tc>
          <w:tcPr>
            <w:tcW w:w="0" w:type="auto"/>
            <w:vAlign w:val="center"/>
            <w:hideMark/>
          </w:tcPr>
          <w:p w:rsidR="00986407" w:rsidRDefault="00986407" w:rsidP="00986407">
            <w:pPr>
              <w:rPr>
                <w:sz w:val="24"/>
                <w:szCs w:val="24"/>
              </w:rPr>
            </w:pPr>
            <w:r>
              <w:rPr>
                <w:rFonts w:ascii="Verdana" w:hAnsi="Verdana"/>
                <w:sz w:val="18"/>
                <w:szCs w:val="18"/>
              </w:rPr>
              <w:t>adjunto padrón catastral de Ecatzingo</w:t>
            </w:r>
          </w:p>
        </w:tc>
      </w:tr>
      <w:tr w:rsidR="00986407" w:rsidRPr="002F1B8A" w:rsidTr="002F1B8A">
        <w:trPr>
          <w:trHeight w:val="143"/>
          <w:tblCellSpacing w:w="0" w:type="dxa"/>
          <w:jc w:val="center"/>
        </w:trPr>
        <w:tc>
          <w:tcPr>
            <w:tcW w:w="0" w:type="auto"/>
            <w:vAlign w:val="center"/>
            <w:hideMark/>
          </w:tcPr>
          <w:p w:rsidR="00986407" w:rsidRDefault="00986407" w:rsidP="00986407"/>
        </w:tc>
      </w:tr>
      <w:tr w:rsidR="00986407" w:rsidRPr="002F1B8A" w:rsidTr="002F1B8A">
        <w:trPr>
          <w:trHeight w:val="143"/>
          <w:tblCellSpacing w:w="0" w:type="dxa"/>
          <w:jc w:val="center"/>
        </w:trPr>
        <w:tc>
          <w:tcPr>
            <w:tcW w:w="0" w:type="auto"/>
            <w:vAlign w:val="center"/>
            <w:hideMark/>
          </w:tcPr>
          <w:p w:rsidR="00986407" w:rsidRDefault="00986407" w:rsidP="00986407">
            <w:pPr>
              <w:jc w:val="center"/>
              <w:rPr>
                <w:sz w:val="20"/>
                <w:szCs w:val="20"/>
              </w:rPr>
            </w:pPr>
          </w:p>
        </w:tc>
      </w:tr>
      <w:tr w:rsidR="00986407" w:rsidRPr="002F1B8A" w:rsidTr="002F1B8A">
        <w:trPr>
          <w:trHeight w:val="215"/>
          <w:tblCellSpacing w:w="0" w:type="dxa"/>
          <w:jc w:val="center"/>
        </w:trPr>
        <w:tc>
          <w:tcPr>
            <w:tcW w:w="0" w:type="auto"/>
            <w:vAlign w:val="center"/>
            <w:hideMark/>
          </w:tcPr>
          <w:p w:rsidR="00986407" w:rsidRDefault="00986407" w:rsidP="00986407">
            <w:pPr>
              <w:rPr>
                <w:sz w:val="20"/>
                <w:szCs w:val="20"/>
              </w:rPr>
            </w:pPr>
          </w:p>
        </w:tc>
      </w:tr>
      <w:tr w:rsidR="00986407" w:rsidRPr="002F1B8A" w:rsidTr="002F1B8A">
        <w:trPr>
          <w:trHeight w:val="143"/>
          <w:tblCellSpacing w:w="0" w:type="dxa"/>
          <w:jc w:val="center"/>
        </w:trPr>
        <w:tc>
          <w:tcPr>
            <w:tcW w:w="0" w:type="auto"/>
            <w:vAlign w:val="center"/>
            <w:hideMark/>
          </w:tcPr>
          <w:p w:rsidR="00986407" w:rsidRDefault="00986407" w:rsidP="00986407">
            <w:pPr>
              <w:rPr>
                <w:sz w:val="24"/>
                <w:szCs w:val="24"/>
              </w:rPr>
            </w:pPr>
            <w:r>
              <w:rPr>
                <w:rFonts w:ascii="Verdana" w:hAnsi="Verdana"/>
                <w:sz w:val="18"/>
                <w:szCs w:val="18"/>
              </w:rPr>
              <w:t>ATENTAMENTE</w:t>
            </w:r>
          </w:p>
        </w:tc>
      </w:tr>
    </w:tbl>
    <w:p w:rsidR="000B377B" w:rsidRDefault="000B377B" w:rsidP="0014447C">
      <w:pPr>
        <w:pStyle w:val="Sinespaciado"/>
        <w:spacing w:line="360" w:lineRule="auto"/>
        <w:jc w:val="both"/>
        <w:rPr>
          <w:rFonts w:ascii="Palatino Linotype" w:hAnsi="Palatino Linotype"/>
          <w:sz w:val="24"/>
        </w:rPr>
      </w:pPr>
    </w:p>
    <w:p w:rsidR="002F1B8A" w:rsidRPr="006E42A5" w:rsidRDefault="002F1B8A" w:rsidP="006E42A5">
      <w:pPr>
        <w:pStyle w:val="Sinespaciado"/>
        <w:spacing w:line="360" w:lineRule="auto"/>
        <w:jc w:val="both"/>
        <w:rPr>
          <w:rFonts w:ascii="Palatino Linotype" w:hAnsi="Palatino Linotype"/>
          <w:sz w:val="24"/>
          <w:szCs w:val="26"/>
        </w:rPr>
      </w:pPr>
      <w:r>
        <w:rPr>
          <w:rFonts w:ascii="Palatino Linotype" w:hAnsi="Palatino Linotype"/>
          <w:sz w:val="24"/>
          <w:szCs w:val="26"/>
        </w:rPr>
        <w:t xml:space="preserve">Acompañado de un documento electrónico denominado </w:t>
      </w:r>
      <w:r>
        <w:rPr>
          <w:rFonts w:ascii="Palatino Linotype" w:hAnsi="Palatino Linotype"/>
          <w:b/>
          <w:sz w:val="24"/>
          <w:szCs w:val="26"/>
        </w:rPr>
        <w:t>“</w:t>
      </w:r>
      <w:r w:rsidR="00986407">
        <w:rPr>
          <w:rFonts w:ascii="Palatino Linotype" w:hAnsi="Palatino Linotype"/>
          <w:b/>
          <w:sz w:val="24"/>
          <w:szCs w:val="26"/>
        </w:rPr>
        <w:t>PADRON</w:t>
      </w:r>
      <w:r w:rsidRPr="002F1B8A">
        <w:rPr>
          <w:rFonts w:ascii="Palatino Linotype" w:hAnsi="Palatino Linotype"/>
          <w:b/>
          <w:sz w:val="24"/>
          <w:szCs w:val="26"/>
        </w:rPr>
        <w:t>.pdf</w:t>
      </w:r>
      <w:r w:rsidR="006E42A5">
        <w:rPr>
          <w:rFonts w:ascii="Palatino Linotype" w:hAnsi="Palatino Linotype"/>
          <w:b/>
          <w:sz w:val="24"/>
          <w:szCs w:val="26"/>
        </w:rPr>
        <w:t xml:space="preserve">”, </w:t>
      </w:r>
      <w:r w:rsidR="00E80AB6">
        <w:rPr>
          <w:rFonts w:ascii="Palatino Linotype" w:hAnsi="Palatino Linotype"/>
          <w:sz w:val="24"/>
          <w:szCs w:val="26"/>
        </w:rPr>
        <w:t xml:space="preserve"> el</w:t>
      </w:r>
      <w:r w:rsidR="006E42A5">
        <w:rPr>
          <w:rFonts w:ascii="Palatino Linotype" w:hAnsi="Palatino Linotype"/>
          <w:sz w:val="24"/>
          <w:szCs w:val="26"/>
        </w:rPr>
        <w:t xml:space="preserve"> c</w:t>
      </w:r>
      <w:r w:rsidR="00E80AB6">
        <w:rPr>
          <w:rFonts w:ascii="Palatino Linotype" w:hAnsi="Palatino Linotype"/>
          <w:sz w:val="24"/>
          <w:szCs w:val="26"/>
        </w:rPr>
        <w:t>ual se tiene por reproducido</w:t>
      </w:r>
      <w:r w:rsidR="006E42A5">
        <w:rPr>
          <w:rFonts w:ascii="Palatino Linotype" w:hAnsi="Palatino Linotype"/>
          <w:sz w:val="24"/>
          <w:szCs w:val="26"/>
        </w:rPr>
        <w:t xml:space="preserve"> al ser del conocimiento de las partes. </w:t>
      </w:r>
    </w:p>
    <w:p w:rsidR="006E42A5" w:rsidRDefault="006E42A5" w:rsidP="0014447C">
      <w:pPr>
        <w:pStyle w:val="Sinespaciado"/>
        <w:spacing w:line="360" w:lineRule="auto"/>
        <w:jc w:val="both"/>
        <w:rPr>
          <w:rFonts w:ascii="Palatino Linotype" w:hAnsi="Palatino Linotype"/>
          <w:b/>
          <w:sz w:val="26"/>
          <w:szCs w:val="26"/>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1F4BD9" w:rsidRDefault="007E2E80" w:rsidP="0022709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FC4F62">
        <w:rPr>
          <w:rFonts w:ascii="Palatino Linotype" w:hAnsi="Palatino Linotype"/>
          <w:b/>
          <w:sz w:val="24"/>
          <w:szCs w:val="24"/>
        </w:rPr>
        <w:t xml:space="preserve">dieciséis de diciembre </w:t>
      </w:r>
      <w:r w:rsidR="0065519D" w:rsidRPr="001F4BD9">
        <w:rPr>
          <w:rFonts w:ascii="Palatino Linotype" w:hAnsi="Palatino Linotype"/>
          <w:b/>
          <w:sz w:val="24"/>
          <w:szCs w:val="24"/>
        </w:rPr>
        <w:t>de dos mil diecinueve</w:t>
      </w:r>
      <w:r w:rsidRPr="00D04234">
        <w:rPr>
          <w:rFonts w:ascii="Palatino Linotype" w:hAnsi="Palatino Linotype"/>
          <w:sz w:val="24"/>
          <w:szCs w:val="24"/>
        </w:rPr>
        <w:t xml:space="preserve">, en el sistema electrónico con el expediente número </w:t>
      </w:r>
      <w:r w:rsidR="00B222CA">
        <w:rPr>
          <w:rFonts w:ascii="Palatino Linotype" w:hAnsi="Palatino Linotype"/>
          <w:b/>
          <w:bCs/>
          <w:sz w:val="24"/>
          <w:szCs w:val="24"/>
          <w:lang w:eastAsia="es-MX"/>
        </w:rPr>
        <w:t>10095</w:t>
      </w:r>
      <w:r w:rsidR="0065519D">
        <w:rPr>
          <w:rFonts w:ascii="Palatino Linotype" w:hAnsi="Palatino Linotype"/>
          <w:b/>
          <w:bCs/>
          <w:sz w:val="24"/>
          <w:szCs w:val="24"/>
          <w:lang w:eastAsia="es-MX"/>
        </w:rPr>
        <w:t>/INFOEM/IP/RR/2019</w:t>
      </w:r>
      <w:r w:rsidR="0060031A">
        <w:rPr>
          <w:rFonts w:ascii="Palatino Linotype" w:hAnsi="Palatino Linotype"/>
          <w:sz w:val="24"/>
          <w:szCs w:val="24"/>
        </w:rPr>
        <w:t>, en el cual realizó</w:t>
      </w:r>
      <w:r w:rsidR="00D04234">
        <w:rPr>
          <w:rFonts w:ascii="Palatino Linotype" w:hAnsi="Palatino Linotype"/>
          <w:sz w:val="24"/>
          <w:szCs w:val="24"/>
        </w:rPr>
        <w:t xml:space="preserve"> l</w:t>
      </w:r>
      <w:r w:rsidR="00227096">
        <w:rPr>
          <w:rFonts w:ascii="Palatino Linotype" w:hAnsi="Palatino Linotype"/>
          <w:sz w:val="24"/>
          <w:szCs w:val="24"/>
        </w:rPr>
        <w:t>as siguientes manifestaciones</w:t>
      </w:r>
      <w:r w:rsidR="002402B8">
        <w:rPr>
          <w:rFonts w:ascii="Palatino Linotype" w:hAnsi="Palatino Linotype"/>
          <w:sz w:val="24"/>
          <w:szCs w:val="24"/>
        </w:rPr>
        <w:t>:</w:t>
      </w:r>
    </w:p>
    <w:p w:rsidR="001F4BD9" w:rsidRDefault="001F4BD9" w:rsidP="00227096">
      <w:pPr>
        <w:pStyle w:val="Sinespaciado"/>
        <w:spacing w:line="360" w:lineRule="auto"/>
        <w:jc w:val="both"/>
        <w:rPr>
          <w:rFonts w:ascii="Palatino Linotype" w:hAnsi="Palatino Linotype"/>
          <w:sz w:val="24"/>
          <w:szCs w:val="24"/>
        </w:rPr>
      </w:pPr>
    </w:p>
    <w:p w:rsidR="001F4BD9" w:rsidRDefault="007E2E80" w:rsidP="00227096">
      <w:pPr>
        <w:pStyle w:val="Sinespaciado"/>
        <w:spacing w:line="360" w:lineRule="auto"/>
        <w:jc w:val="both"/>
        <w:rPr>
          <w:rFonts w:ascii="Palatino Linotype" w:hAnsi="Palatino Linotype" w:cs="Arial"/>
          <w:b/>
          <w:sz w:val="24"/>
          <w:szCs w:val="24"/>
        </w:rPr>
      </w:pPr>
      <w:r w:rsidRPr="002F47D7">
        <w:rPr>
          <w:rFonts w:ascii="Palatino Linotype" w:hAnsi="Palatino Linotype" w:cs="Arial"/>
          <w:b/>
          <w:sz w:val="24"/>
          <w:szCs w:val="24"/>
        </w:rPr>
        <w:t>Acto Impugnado:</w:t>
      </w:r>
    </w:p>
    <w:p w:rsidR="001F4BD9" w:rsidRPr="000A7989" w:rsidRDefault="00227096" w:rsidP="000B377B">
      <w:pPr>
        <w:pStyle w:val="Sinespaciado"/>
        <w:spacing w:line="360" w:lineRule="auto"/>
        <w:ind w:left="993" w:right="850"/>
        <w:jc w:val="both"/>
        <w:rPr>
          <w:rFonts w:ascii="Palatino Linotype" w:hAnsi="Palatino Linotype"/>
          <w:i/>
          <w:sz w:val="24"/>
          <w:szCs w:val="24"/>
        </w:rPr>
      </w:pPr>
      <w:r w:rsidRPr="001F4BD9">
        <w:rPr>
          <w:rFonts w:ascii="Palatino Linotype" w:hAnsi="Palatino Linotype"/>
          <w:i/>
          <w:sz w:val="24"/>
          <w:szCs w:val="24"/>
        </w:rPr>
        <w:t>“</w:t>
      </w:r>
      <w:r w:rsidR="008E4CCE" w:rsidRPr="008E4CCE">
        <w:rPr>
          <w:rFonts w:ascii="Palatino Linotype" w:hAnsi="Palatino Linotype"/>
          <w:i/>
          <w:sz w:val="24"/>
          <w:szCs w:val="24"/>
        </w:rPr>
        <w:t>Violan mi derecho al acceso a la información ya que los documentos adjuntados se encuentran en mal estado.</w:t>
      </w:r>
      <w:r w:rsidRPr="000A7989">
        <w:rPr>
          <w:rFonts w:ascii="Palatino Linotype" w:hAnsi="Palatino Linotype"/>
          <w:i/>
          <w:sz w:val="24"/>
          <w:szCs w:val="24"/>
        </w:rPr>
        <w:t xml:space="preserve">” </w:t>
      </w:r>
      <w:r w:rsidR="000B377B">
        <w:rPr>
          <w:rFonts w:ascii="Palatino Linotype" w:hAnsi="Palatino Linotype"/>
          <w:i/>
          <w:sz w:val="24"/>
          <w:szCs w:val="24"/>
        </w:rPr>
        <w:t>(sic)</w:t>
      </w:r>
    </w:p>
    <w:p w:rsidR="00FB767E" w:rsidRDefault="00FB767E" w:rsidP="00227096">
      <w:pPr>
        <w:pStyle w:val="Sinespaciado"/>
        <w:spacing w:line="360" w:lineRule="auto"/>
        <w:jc w:val="both"/>
        <w:rPr>
          <w:rFonts w:ascii="Palatino Linotype" w:hAnsi="Palatino Linotype"/>
          <w:sz w:val="24"/>
          <w:szCs w:val="24"/>
        </w:rPr>
      </w:pPr>
    </w:p>
    <w:p w:rsidR="001F4BD9" w:rsidRDefault="00227096" w:rsidP="00227096">
      <w:pPr>
        <w:pStyle w:val="Sinespaciado"/>
        <w:spacing w:line="360" w:lineRule="auto"/>
        <w:jc w:val="both"/>
        <w:rPr>
          <w:rFonts w:ascii="Palatino Linotype" w:hAnsi="Palatino Linotype" w:cs="Arial"/>
          <w:sz w:val="24"/>
          <w:szCs w:val="24"/>
        </w:rPr>
      </w:pPr>
      <w:r>
        <w:rPr>
          <w:rFonts w:ascii="Palatino Linotype" w:hAnsi="Palatino Linotype"/>
          <w:sz w:val="24"/>
          <w:szCs w:val="24"/>
        </w:rPr>
        <w:lastRenderedPageBreak/>
        <w:t xml:space="preserve">Y como </w:t>
      </w:r>
      <w:r w:rsidR="007E2E80"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p>
    <w:p w:rsidR="002402B8" w:rsidRDefault="002402B8" w:rsidP="00227096">
      <w:pPr>
        <w:pStyle w:val="Sinespaciado"/>
        <w:spacing w:line="360" w:lineRule="auto"/>
        <w:jc w:val="both"/>
        <w:rPr>
          <w:rFonts w:ascii="Palatino Linotype" w:hAnsi="Palatino Linotype" w:cs="Arial"/>
          <w:sz w:val="24"/>
          <w:szCs w:val="24"/>
        </w:rPr>
      </w:pPr>
    </w:p>
    <w:p w:rsidR="007E2E80" w:rsidRPr="001F4BD9" w:rsidRDefault="00227096" w:rsidP="000B377B">
      <w:pPr>
        <w:pStyle w:val="Sinespaciado"/>
        <w:spacing w:line="360" w:lineRule="auto"/>
        <w:ind w:left="993" w:right="850"/>
        <w:jc w:val="both"/>
        <w:rPr>
          <w:rFonts w:ascii="Palatino Linotype" w:hAnsi="Palatino Linotype"/>
          <w:i/>
          <w:sz w:val="24"/>
          <w:szCs w:val="24"/>
        </w:rPr>
      </w:pPr>
      <w:r w:rsidRPr="001F4BD9">
        <w:rPr>
          <w:rFonts w:ascii="Palatino Linotype" w:hAnsi="Palatino Linotype"/>
          <w:i/>
          <w:sz w:val="24"/>
          <w:szCs w:val="24"/>
        </w:rPr>
        <w:t>“</w:t>
      </w:r>
      <w:r w:rsidR="000C29EF" w:rsidRPr="000C29EF">
        <w:rPr>
          <w:rFonts w:ascii="Palatino Linotype" w:hAnsi="Palatino Linotype"/>
          <w:i/>
          <w:sz w:val="24"/>
          <w:szCs w:val="24"/>
        </w:rPr>
        <w:t>El archivo adjuntado se encuentra corrompido y no deja abrirlo ya que podría contener virus, esto es la mafia del PRIAN me niegan el acceso a la información</w:t>
      </w:r>
      <w:r w:rsidRPr="001F4BD9">
        <w:rPr>
          <w:rFonts w:ascii="Palatino Linotype" w:hAnsi="Palatino Linotype"/>
          <w:i/>
          <w:sz w:val="24"/>
          <w:szCs w:val="24"/>
        </w:rPr>
        <w:t>”</w:t>
      </w:r>
      <w:r w:rsidR="00FC4F62">
        <w:rPr>
          <w:rFonts w:ascii="Palatino Linotype" w:hAnsi="Palatino Linotype"/>
          <w:i/>
          <w:sz w:val="24"/>
          <w:szCs w:val="24"/>
        </w:rPr>
        <w:t xml:space="preserve"> </w:t>
      </w:r>
      <w:r w:rsidR="000B377B">
        <w:rPr>
          <w:rFonts w:ascii="Palatino Linotype" w:hAnsi="Palatino Linotype"/>
          <w:i/>
          <w:sz w:val="24"/>
          <w:szCs w:val="24"/>
        </w:rPr>
        <w:t xml:space="preserve"> (sic)</w:t>
      </w:r>
    </w:p>
    <w:p w:rsidR="002F47D7" w:rsidRPr="002F47D7" w:rsidRDefault="002F47D7" w:rsidP="002F47D7">
      <w:pPr>
        <w:pStyle w:val="Sinespaciado"/>
        <w:spacing w:line="360" w:lineRule="auto"/>
        <w:jc w:val="both"/>
        <w:rPr>
          <w:rFonts w:ascii="Palatino Linotype" w:hAnsi="Palatino Linotype"/>
          <w:sz w:val="24"/>
          <w:szCs w:val="24"/>
        </w:rPr>
      </w:pPr>
    </w:p>
    <w:p w:rsidR="007E2E80" w:rsidRPr="002F47D7" w:rsidRDefault="00EC63B8" w:rsidP="004657BE">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CUAR</w:t>
      </w:r>
      <w:r w:rsidR="007E2E80" w:rsidRPr="002F47D7">
        <w:rPr>
          <w:rFonts w:ascii="Palatino Linotype" w:hAnsi="Palatino Linotype"/>
          <w:b/>
          <w:sz w:val="24"/>
          <w:szCs w:val="24"/>
        </w:rPr>
        <w:t xml:space="preserve">TO. Del turno </w:t>
      </w:r>
      <w:r w:rsidR="000E7C0A" w:rsidRPr="002F47D7">
        <w:rPr>
          <w:rFonts w:ascii="Palatino Linotype" w:hAnsi="Palatino Linotype"/>
          <w:b/>
          <w:sz w:val="24"/>
          <w:szCs w:val="24"/>
        </w:rPr>
        <w:t xml:space="preserve">y admisión </w:t>
      </w:r>
      <w:r w:rsidR="007E2E80" w:rsidRPr="002F47D7">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Medio de impugnación que le fue turnado a la </w:t>
      </w:r>
      <w:r w:rsidRPr="002F47D7">
        <w:rPr>
          <w:rFonts w:ascii="Palatino Linotype" w:hAnsi="Palatino Linotype"/>
          <w:b/>
          <w:sz w:val="24"/>
          <w:szCs w:val="24"/>
        </w:rPr>
        <w:t>Comisionada Zulema Martínez Sánchez</w:t>
      </w:r>
      <w:r w:rsidRPr="002F47D7">
        <w:rPr>
          <w:rFonts w:ascii="Palatino Linotype" w:hAnsi="Palatino Linotype"/>
          <w:sz w:val="24"/>
          <w:szCs w:val="24"/>
        </w:rPr>
        <w:t xml:space="preserve">, por medio del sistema electrónico en términos del </w:t>
      </w:r>
      <w:r w:rsidR="00BE6D77" w:rsidRPr="002F47D7">
        <w:rPr>
          <w:rFonts w:ascii="Palatino Linotype" w:hAnsi="Palatino Linotype"/>
          <w:sz w:val="24"/>
          <w:szCs w:val="24"/>
        </w:rPr>
        <w:t>numeral</w:t>
      </w:r>
      <w:r w:rsidRPr="002F47D7">
        <w:rPr>
          <w:rFonts w:ascii="Palatino Linotype" w:hAnsi="Palatino Linotype"/>
          <w:sz w:val="24"/>
          <w:szCs w:val="24"/>
        </w:rPr>
        <w:t xml:space="preserve"> 185 fracción I de la Ley de Transparencia y Acceso a la información Pública del Estado de México y Municipios, del cual recayó </w:t>
      </w:r>
      <w:r w:rsidRPr="006A729B">
        <w:rPr>
          <w:rFonts w:ascii="Palatino Linotype" w:hAnsi="Palatino Linotype"/>
          <w:b/>
          <w:sz w:val="24"/>
          <w:szCs w:val="24"/>
        </w:rPr>
        <w:t>acuerdo de admisión</w:t>
      </w:r>
      <w:r w:rsidRPr="002F47D7">
        <w:rPr>
          <w:rFonts w:ascii="Palatino Linotype" w:hAnsi="Palatino Linotype"/>
          <w:sz w:val="24"/>
          <w:szCs w:val="24"/>
        </w:rPr>
        <w:t xml:space="preserve"> en fecha </w:t>
      </w:r>
      <w:r w:rsidR="00322280">
        <w:rPr>
          <w:rFonts w:ascii="Palatino Linotype" w:hAnsi="Palatino Linotype"/>
          <w:b/>
          <w:sz w:val="24"/>
          <w:szCs w:val="24"/>
        </w:rPr>
        <w:t xml:space="preserve">veinte de diciembre </w:t>
      </w:r>
      <w:r w:rsidR="0065519D" w:rsidRPr="006A729B">
        <w:rPr>
          <w:rFonts w:ascii="Palatino Linotype" w:hAnsi="Palatino Linotype"/>
          <w:b/>
          <w:sz w:val="24"/>
          <w:szCs w:val="24"/>
        </w:rPr>
        <w:t>de 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2402B8" w:rsidRPr="002F47D7" w:rsidRDefault="002402B8"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943711" w:rsidRPr="00136A4D" w:rsidRDefault="002402B8" w:rsidP="0014447C">
      <w:pPr>
        <w:pStyle w:val="Sinespaciado"/>
        <w:spacing w:line="360" w:lineRule="auto"/>
        <w:jc w:val="both"/>
        <w:rPr>
          <w:rFonts w:ascii="Palatino Linotype" w:hAnsi="Palatino Linotype"/>
          <w:sz w:val="24"/>
          <w:szCs w:val="24"/>
        </w:rPr>
      </w:pPr>
      <w:r w:rsidRPr="00D23F59">
        <w:rPr>
          <w:rFonts w:ascii="Palatino Linotype" w:hAnsi="Palatino Linotype" w:cs="Arial"/>
          <w:sz w:val="24"/>
          <w:szCs w:val="24"/>
        </w:rPr>
        <w:t xml:space="preserve">Así, una vez transcurrido el término legal referido se destaca que el Sujeto Obligado </w:t>
      </w:r>
      <w:r>
        <w:rPr>
          <w:rFonts w:ascii="Palatino Linotype" w:hAnsi="Palatino Linotype" w:cs="Arial"/>
          <w:sz w:val="24"/>
          <w:szCs w:val="24"/>
        </w:rPr>
        <w:t>no ofreció prueba ni manifestó lo que a su derecho conviniera, también se hizo constar que el Recurrente no emitió manifestaciones, ni ofreció pruebas de su parte.</w:t>
      </w:r>
    </w:p>
    <w:p w:rsidR="00E80AB6" w:rsidRDefault="00E80AB6" w:rsidP="0014447C">
      <w:pPr>
        <w:pStyle w:val="Sinespaciado"/>
        <w:spacing w:line="360" w:lineRule="auto"/>
        <w:jc w:val="both"/>
        <w:rPr>
          <w:rFonts w:ascii="Palatino Linotype" w:hAnsi="Palatino Linotype"/>
          <w:b/>
          <w:sz w:val="24"/>
          <w:szCs w:val="24"/>
        </w:rPr>
      </w:pPr>
    </w:p>
    <w:p w:rsidR="00423C27" w:rsidRPr="00136A4D" w:rsidRDefault="0065519D" w:rsidP="0014447C">
      <w:pPr>
        <w:pStyle w:val="Sinespaciado"/>
        <w:spacing w:line="360" w:lineRule="auto"/>
        <w:jc w:val="both"/>
        <w:rPr>
          <w:rFonts w:ascii="Palatino Linotype" w:hAnsi="Palatino Linotype"/>
          <w:b/>
          <w:sz w:val="24"/>
          <w:szCs w:val="24"/>
        </w:rPr>
      </w:pPr>
      <w:r w:rsidRPr="00136A4D">
        <w:rPr>
          <w:rFonts w:ascii="Palatino Linotype" w:hAnsi="Palatino Linotype"/>
          <w:b/>
          <w:sz w:val="24"/>
          <w:szCs w:val="24"/>
        </w:rPr>
        <w:t>S</w:t>
      </w:r>
      <w:r w:rsidR="00037385" w:rsidRPr="00136A4D">
        <w:rPr>
          <w:rFonts w:ascii="Palatino Linotype" w:hAnsi="Palatino Linotype"/>
          <w:b/>
          <w:sz w:val="24"/>
          <w:szCs w:val="24"/>
        </w:rPr>
        <w:t>EXT</w:t>
      </w:r>
      <w:r w:rsidR="00136A4D" w:rsidRPr="00136A4D">
        <w:rPr>
          <w:rFonts w:ascii="Palatino Linotype" w:hAnsi="Palatino Linotype"/>
          <w:b/>
          <w:sz w:val="24"/>
          <w:szCs w:val="24"/>
        </w:rPr>
        <w:t>O. Del cierre de instrucción.</w:t>
      </w: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0C29EF">
        <w:rPr>
          <w:rFonts w:ascii="Palatino Linotype" w:hAnsi="Palatino Linotype"/>
          <w:b/>
          <w:sz w:val="24"/>
          <w:szCs w:val="24"/>
        </w:rPr>
        <w:t>veintiuno</w:t>
      </w:r>
      <w:r w:rsidR="000A7989">
        <w:rPr>
          <w:rFonts w:ascii="Palatino Linotype" w:hAnsi="Palatino Linotype"/>
          <w:b/>
          <w:sz w:val="24"/>
          <w:szCs w:val="24"/>
        </w:rPr>
        <w:t xml:space="preserve"> </w:t>
      </w:r>
      <w:r w:rsidR="00B40D19" w:rsidRPr="002402B8">
        <w:rPr>
          <w:rFonts w:ascii="Palatino Linotype" w:hAnsi="Palatino Linotype"/>
          <w:b/>
          <w:sz w:val="24"/>
          <w:szCs w:val="24"/>
        </w:rPr>
        <w:t xml:space="preserve">de </w:t>
      </w:r>
      <w:r w:rsidR="0022636E">
        <w:rPr>
          <w:rFonts w:ascii="Palatino Linotype" w:hAnsi="Palatino Linotype"/>
          <w:b/>
          <w:sz w:val="24"/>
          <w:szCs w:val="24"/>
        </w:rPr>
        <w:t>enero</w:t>
      </w:r>
      <w:r w:rsidR="0065519D" w:rsidRPr="002402B8">
        <w:rPr>
          <w:rFonts w:ascii="Palatino Linotype" w:hAnsi="Palatino Linotype"/>
          <w:b/>
          <w:sz w:val="24"/>
          <w:szCs w:val="24"/>
        </w:rPr>
        <w:t xml:space="preserve"> de dos mil </w:t>
      </w:r>
      <w:r w:rsidR="0022636E">
        <w:rPr>
          <w:rFonts w:ascii="Palatino Linotype" w:hAnsi="Palatino Linotype"/>
          <w:b/>
          <w:sz w:val="24"/>
          <w:szCs w:val="24"/>
        </w:rPr>
        <w:t>veinte</w:t>
      </w:r>
      <w:r w:rsidRPr="00136A4D">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FB767E" w:rsidRDefault="00FB767E" w:rsidP="00541B17">
      <w:pPr>
        <w:pStyle w:val="Sinespaciado"/>
        <w:spacing w:line="360" w:lineRule="auto"/>
        <w:rPr>
          <w:rFonts w:ascii="Palatino Linotype" w:hAnsi="Palatino Linotype"/>
          <w:b/>
          <w:sz w:val="24"/>
          <w:szCs w:val="24"/>
        </w:rPr>
      </w:pPr>
    </w:p>
    <w:p w:rsidR="0065519D" w:rsidRPr="00136A4D" w:rsidRDefault="00037385" w:rsidP="00541B17">
      <w:pPr>
        <w:pStyle w:val="Sinespaciado"/>
        <w:spacing w:line="360" w:lineRule="auto"/>
        <w:rPr>
          <w:rFonts w:ascii="Palatino Linotype" w:hAnsi="Palatino Linotype"/>
          <w:b/>
          <w:sz w:val="24"/>
          <w:szCs w:val="24"/>
        </w:rPr>
      </w:pPr>
      <w:r w:rsidRPr="00136A4D">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724F5C"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En</w:t>
      </w:r>
      <w:r w:rsidR="000B377B">
        <w:rPr>
          <w:rFonts w:ascii="Palatino Linotype" w:hAnsi="Palatino Linotype"/>
          <w:sz w:val="24"/>
          <w:szCs w:val="24"/>
        </w:rPr>
        <w:t xml:space="preserve"> fecha </w:t>
      </w:r>
      <w:r w:rsidR="0022636E">
        <w:rPr>
          <w:rFonts w:ascii="Palatino Linotype" w:hAnsi="Palatino Linotype"/>
          <w:b/>
          <w:sz w:val="24"/>
          <w:szCs w:val="24"/>
        </w:rPr>
        <w:t xml:space="preserve">veinte de enero </w:t>
      </w:r>
      <w:r w:rsidR="0065519D" w:rsidRPr="002B4E64">
        <w:rPr>
          <w:rFonts w:ascii="Palatino Linotype" w:hAnsi="Palatino Linotype"/>
          <w:b/>
          <w:sz w:val="24"/>
          <w:szCs w:val="24"/>
        </w:rPr>
        <w:t xml:space="preserve">de dos mil </w:t>
      </w:r>
      <w:r w:rsidR="00F464D3">
        <w:rPr>
          <w:rFonts w:ascii="Palatino Linotype" w:hAnsi="Palatino Linotype"/>
          <w:b/>
          <w:sz w:val="24"/>
          <w:szCs w:val="24"/>
        </w:rPr>
        <w:t>veinte</w:t>
      </w:r>
      <w:r w:rsidR="0065519D" w:rsidRPr="00136A4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344583" w:rsidRPr="00344583" w:rsidRDefault="00344583"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DF1643" w:rsidRDefault="007E2E80" w:rsidP="00DF1643">
      <w:pPr>
        <w:pStyle w:val="Sinespaciado"/>
        <w:spacing w:line="360" w:lineRule="auto"/>
        <w:jc w:val="both"/>
        <w:rPr>
          <w:rFonts w:ascii="Palatino Linotype" w:hAnsi="Palatino Linotype"/>
          <w:sz w:val="24"/>
          <w:szCs w:val="24"/>
        </w:rPr>
      </w:pP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w:t>
      </w:r>
      <w:r w:rsidRPr="00344583">
        <w:rPr>
          <w:rFonts w:ascii="Palatino Linotype" w:hAnsi="Palatino Linotype" w:cs="Arial"/>
        </w:rPr>
        <w:lastRenderedPageBreak/>
        <w:t>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 xml:space="preserve">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w:t>
      </w:r>
      <w:r w:rsidRPr="00344583">
        <w:rPr>
          <w:rFonts w:ascii="Palatino Linotype" w:hAnsi="Palatino Linotype" w:cs="Arial"/>
          <w:sz w:val="24"/>
          <w:szCs w:val="24"/>
        </w:rPr>
        <w:lastRenderedPageBreak/>
        <w:t>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4A0A0B" w:rsidRPr="00344583" w:rsidRDefault="004A0A0B" w:rsidP="00344583">
      <w:pPr>
        <w:spacing w:after="0" w:line="360" w:lineRule="auto"/>
        <w:jc w:val="both"/>
        <w:rPr>
          <w:rFonts w:ascii="Palatino Linotype" w:hAnsi="Palatino Linotype" w:cs="Arial"/>
          <w:sz w:val="24"/>
          <w:szCs w:val="24"/>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lastRenderedPageBreak/>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E44BD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E44BD3">
        <w:rPr>
          <w:rFonts w:ascii="Palatino Linotype" w:hAnsi="Palatino Linotype" w:cs="Arial"/>
          <w:b/>
        </w:rPr>
        <w:t>CUARTO.</w:t>
      </w:r>
      <w:r w:rsidRPr="00E44BD3">
        <w:rPr>
          <w:rFonts w:ascii="Palatino Linotype" w:hAnsi="Palatino Linotype" w:cs="Arial"/>
        </w:rPr>
        <w:t xml:space="preserve"> </w:t>
      </w:r>
      <w:r w:rsidRPr="00E44BD3">
        <w:rPr>
          <w:rFonts w:ascii="Palatino Linotype" w:hAnsi="Palatino Linotype" w:cs="Arial"/>
          <w:b/>
        </w:rPr>
        <w:t>Estudio y resolución del asunto.</w:t>
      </w:r>
    </w:p>
    <w:p w:rsidR="00391F94" w:rsidRDefault="00391F94" w:rsidP="00344583">
      <w:pPr>
        <w:spacing w:after="0" w:line="360" w:lineRule="auto"/>
        <w:jc w:val="both"/>
        <w:rPr>
          <w:rFonts w:ascii="Palatino Linotype" w:hAnsi="Palatino Linotype"/>
          <w:sz w:val="24"/>
          <w:szCs w:val="24"/>
        </w:rPr>
      </w:pPr>
    </w:p>
    <w:p w:rsidR="00CD0242" w:rsidRPr="00B230B3" w:rsidRDefault="00CD0242" w:rsidP="00CD0242">
      <w:pPr>
        <w:pStyle w:val="Sinespaciado"/>
        <w:spacing w:line="360" w:lineRule="auto"/>
        <w:jc w:val="both"/>
        <w:rPr>
          <w:rFonts w:ascii="Palatino Linotype" w:hAnsi="Palatino Linotype"/>
          <w:sz w:val="24"/>
        </w:rPr>
      </w:pPr>
      <w:r w:rsidRPr="00B230B3">
        <w:rPr>
          <w:rFonts w:ascii="Palatino Linotype" w:hAnsi="Palatino Linotype"/>
          <w:sz w:val="24"/>
        </w:rPr>
        <w:t>El análisis y resolución del presente recurso, se funda en el contenido íntegro de las actuaciones que obran en el expediente electrónico, para así estar en posibilidad este Órgano Colegiado de dictar el fallo correspondiente con</w:t>
      </w:r>
      <w:r>
        <w:rPr>
          <w:rFonts w:ascii="Palatino Linotype" w:hAnsi="Palatino Linotype"/>
          <w:sz w:val="24"/>
        </w:rPr>
        <w:t xml:space="preserve">forme a derecho, tomando </w:t>
      </w:r>
      <w:r w:rsidRPr="00B230B3">
        <w:rPr>
          <w:rFonts w:ascii="Palatino Linotype" w:hAnsi="Palatino Linotype"/>
          <w:sz w:val="24"/>
        </w:rPr>
        <w:t>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CD0242" w:rsidRPr="00407282" w:rsidRDefault="00CD0242" w:rsidP="00CD0242">
      <w:pPr>
        <w:pStyle w:val="Sinespaciado"/>
        <w:spacing w:line="360" w:lineRule="auto"/>
        <w:jc w:val="both"/>
        <w:rPr>
          <w:rFonts w:ascii="Palatino Linotype" w:hAnsi="Palatino Linotype"/>
        </w:rPr>
      </w:pPr>
    </w:p>
    <w:p w:rsidR="00CD0242" w:rsidRPr="00407282" w:rsidRDefault="00CD0242" w:rsidP="00CD0242">
      <w:pPr>
        <w:pStyle w:val="Sinespaciado"/>
        <w:spacing w:line="360" w:lineRule="auto"/>
        <w:jc w:val="both"/>
        <w:rPr>
          <w:rFonts w:ascii="Palatino Linotype" w:hAnsi="Palatino Linotype" w:cs="Arial"/>
        </w:rPr>
      </w:pPr>
      <w:r w:rsidRPr="00B230B3">
        <w:rPr>
          <w:rFonts w:ascii="Palatino Linotype" w:hAnsi="Palatino Linotype" w:cs="Arial"/>
          <w:sz w:val="24"/>
        </w:rPr>
        <w:lastRenderedPageBreak/>
        <w:t xml:space="preserve">Ahora bien, en atención a lo dispuesto por los artículos 3, fracción XI y 12 </w:t>
      </w:r>
      <w:r w:rsidRPr="00B230B3">
        <w:rPr>
          <w:rFonts w:ascii="Palatino Linotype" w:hAnsi="Palatino Linotype" w:cs="Arial"/>
          <w:bCs/>
          <w:sz w:val="24"/>
        </w:rPr>
        <w:t>de la Ley de Transparencia y Acceso a la Información Pública del Estado de México y Municipios</w:t>
      </w:r>
      <w:r w:rsidRPr="00B230B3">
        <w:rPr>
          <w:rFonts w:ascii="Palatino Linotype" w:hAnsi="Palatino Linotype" w:cs="Arial"/>
          <w:sz w:val="24"/>
        </w:rPr>
        <w:t>, los cuales son del tenor literal siguiente</w:t>
      </w:r>
      <w:r w:rsidRPr="00407282">
        <w:rPr>
          <w:rFonts w:ascii="Palatino Linotype" w:hAnsi="Palatino Linotype" w:cs="Arial"/>
        </w:rPr>
        <w:t>:</w:t>
      </w:r>
    </w:p>
    <w:p w:rsidR="00CD0242" w:rsidRPr="00407282" w:rsidRDefault="00CD0242" w:rsidP="00CD0242">
      <w:pPr>
        <w:pStyle w:val="Sinespaciado"/>
        <w:ind w:left="567" w:right="567"/>
        <w:jc w:val="both"/>
        <w:rPr>
          <w:rFonts w:ascii="Palatino Linotype" w:hAnsi="Palatino Linotype"/>
        </w:rPr>
      </w:pPr>
    </w:p>
    <w:p w:rsidR="00CD0242" w:rsidRPr="006376FA" w:rsidRDefault="00CD0242" w:rsidP="00CD0242">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CD0242" w:rsidRPr="006376FA" w:rsidRDefault="00CD0242" w:rsidP="00CD0242">
      <w:pPr>
        <w:pStyle w:val="Sinespaciado"/>
        <w:ind w:left="567" w:right="567"/>
        <w:jc w:val="both"/>
        <w:rPr>
          <w:rFonts w:ascii="Palatino Linotype" w:hAnsi="Palatino Linotype"/>
          <w:i/>
        </w:rPr>
      </w:pPr>
      <w:r w:rsidRPr="006376FA">
        <w:rPr>
          <w:rFonts w:ascii="Palatino Linotype" w:hAnsi="Palatino Linotype"/>
          <w:i/>
        </w:rPr>
        <w:t>…</w:t>
      </w:r>
    </w:p>
    <w:p w:rsidR="00CD0242" w:rsidRPr="006376FA" w:rsidRDefault="00CD0242" w:rsidP="00CD0242">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CD0242" w:rsidRPr="006376FA" w:rsidRDefault="00CD0242" w:rsidP="00CD0242">
      <w:pPr>
        <w:pStyle w:val="Sinespaciado"/>
        <w:ind w:left="567" w:right="567"/>
        <w:jc w:val="both"/>
        <w:rPr>
          <w:rFonts w:ascii="Palatino Linotype" w:hAnsi="Palatino Linotype"/>
          <w:i/>
        </w:rPr>
      </w:pPr>
    </w:p>
    <w:p w:rsidR="00CD0242" w:rsidRPr="006376FA" w:rsidRDefault="00CD0242" w:rsidP="00CD0242">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D0242" w:rsidRPr="006376FA" w:rsidRDefault="00CD0242" w:rsidP="00CD0242">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D0242" w:rsidRPr="006376FA" w:rsidRDefault="00CD0242" w:rsidP="00CD0242">
      <w:pPr>
        <w:pStyle w:val="Sinespaciado"/>
        <w:ind w:left="567" w:right="567"/>
        <w:jc w:val="both"/>
        <w:rPr>
          <w:rFonts w:ascii="Palatino Linotype" w:hAnsi="Palatino Linotype"/>
          <w:bCs/>
          <w:i/>
        </w:rPr>
      </w:pPr>
    </w:p>
    <w:p w:rsidR="00CD0242" w:rsidRPr="006376FA" w:rsidRDefault="00CD0242" w:rsidP="00CD0242">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CD0242" w:rsidRPr="006376FA" w:rsidRDefault="00CD0242" w:rsidP="00CD0242">
      <w:pPr>
        <w:pStyle w:val="Sinespaciado"/>
        <w:ind w:left="567" w:right="567"/>
        <w:jc w:val="both"/>
        <w:rPr>
          <w:rFonts w:ascii="Palatino Linotype" w:hAnsi="Palatino Linotype"/>
          <w:i/>
        </w:rPr>
      </w:pPr>
    </w:p>
    <w:p w:rsidR="00CD0242" w:rsidRPr="006376FA" w:rsidRDefault="00CD0242" w:rsidP="00CD0242">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CD0242" w:rsidRPr="006376FA" w:rsidRDefault="00CD0242" w:rsidP="00CD0242">
      <w:pPr>
        <w:pStyle w:val="Sinespaciado"/>
        <w:ind w:left="567" w:right="567"/>
        <w:jc w:val="both"/>
        <w:rPr>
          <w:rFonts w:ascii="Palatino Linotype" w:hAnsi="Palatino Linotype"/>
          <w:i/>
        </w:rPr>
      </w:pPr>
    </w:p>
    <w:p w:rsidR="00CD0242" w:rsidRPr="004E6B5B" w:rsidRDefault="00CD0242" w:rsidP="00CD0242">
      <w:pPr>
        <w:pStyle w:val="Sinespaciado"/>
        <w:ind w:left="567" w:right="567"/>
        <w:jc w:val="both"/>
        <w:rPr>
          <w:rFonts w:ascii="Palatino Linotype" w:hAnsi="Palatino Linotype"/>
          <w:i/>
          <w:u w:val="single"/>
        </w:rPr>
      </w:pPr>
      <w:r w:rsidRPr="006376FA">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6376FA">
        <w:rPr>
          <w:rFonts w:ascii="Palatino Linotype" w:hAnsi="Palatino Linotype"/>
          <w:b/>
          <w:i/>
          <w:u w:val="single"/>
        </w:rPr>
        <w:lastRenderedPageBreak/>
        <w:t>misma, ni el presentarla conforme al interés del solicitante; no estarán obligados a generarla, resumirla, efectuar cálculos o practicar investigaciones</w:t>
      </w:r>
      <w:r>
        <w:rPr>
          <w:rFonts w:ascii="Palatino Linotype" w:hAnsi="Palatino Linotype"/>
          <w:i/>
        </w:rPr>
        <w:t>.</w:t>
      </w:r>
    </w:p>
    <w:p w:rsidR="00CD0242" w:rsidRPr="00407282" w:rsidRDefault="00CD0242" w:rsidP="00CD0242">
      <w:pPr>
        <w:pStyle w:val="Sinespaciado"/>
        <w:spacing w:line="360" w:lineRule="auto"/>
        <w:jc w:val="both"/>
        <w:rPr>
          <w:rFonts w:ascii="Palatino Linotype" w:hAnsi="Palatino Linotype"/>
        </w:rPr>
      </w:pPr>
    </w:p>
    <w:p w:rsidR="00CD0242" w:rsidRDefault="00CD0242" w:rsidP="00CD0242">
      <w:pPr>
        <w:pStyle w:val="Sinespaciado"/>
        <w:spacing w:line="360" w:lineRule="auto"/>
        <w:jc w:val="both"/>
        <w:rPr>
          <w:rFonts w:ascii="Palatino Linotype" w:hAnsi="Palatino Linotype" w:cs="Arial"/>
          <w:sz w:val="24"/>
        </w:rPr>
      </w:pPr>
      <w:r w:rsidRPr="001837DE">
        <w:rPr>
          <w:rFonts w:ascii="Palatino Linotype" w:hAnsi="Palatino Linotype" w:cs="Arial"/>
          <w:sz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CD0242" w:rsidRDefault="00CD0242" w:rsidP="00CD0242">
      <w:pPr>
        <w:pStyle w:val="Sinespaciado"/>
      </w:pPr>
    </w:p>
    <w:p w:rsidR="00CD0242" w:rsidRDefault="00CD0242" w:rsidP="00CD0242">
      <w:pPr>
        <w:pStyle w:val="Sinespaciado"/>
        <w:spacing w:line="360" w:lineRule="auto"/>
        <w:jc w:val="both"/>
        <w:rPr>
          <w:rFonts w:ascii="Palatino Linotype" w:hAnsi="Palatino Linotype"/>
          <w:sz w:val="24"/>
          <w:szCs w:val="24"/>
          <w:lang w:eastAsia="es-MX"/>
        </w:rPr>
      </w:pPr>
      <w:r w:rsidRPr="00B231BC">
        <w:rPr>
          <w:rFonts w:ascii="Palatino Linotype" w:hAnsi="Palatino Linotype"/>
          <w:sz w:val="24"/>
          <w:szCs w:val="24"/>
          <w:lang w:eastAsia="es-MX"/>
        </w:rPr>
        <w:t xml:space="preserve">En este sentido nuestro estudio versará en determinar si la información remitida mediante respuesta, colma el derecho de acceso a la información solicitado por </w:t>
      </w:r>
      <w:r>
        <w:rPr>
          <w:rFonts w:ascii="Palatino Linotype" w:hAnsi="Palatino Linotype"/>
          <w:b/>
          <w:sz w:val="24"/>
          <w:szCs w:val="24"/>
          <w:lang w:eastAsia="es-MX"/>
        </w:rPr>
        <w:t>El Recurrente</w:t>
      </w:r>
      <w:r w:rsidRPr="00B231BC">
        <w:rPr>
          <w:rFonts w:ascii="Palatino Linotype" w:hAnsi="Palatino Linotype"/>
          <w:sz w:val="24"/>
          <w:szCs w:val="24"/>
          <w:lang w:eastAsia="es-MX"/>
        </w:rPr>
        <w:t>, para ello analizaremos lo solicitado y la información proporcionada.</w:t>
      </w:r>
    </w:p>
    <w:p w:rsidR="00CD0242" w:rsidRDefault="00CD0242" w:rsidP="00CD0242">
      <w:pPr>
        <w:pStyle w:val="Prrafodelista"/>
        <w:autoSpaceDE w:val="0"/>
        <w:autoSpaceDN w:val="0"/>
        <w:adjustRightInd w:val="0"/>
        <w:spacing w:line="360" w:lineRule="auto"/>
        <w:ind w:left="0"/>
        <w:jc w:val="both"/>
        <w:rPr>
          <w:rFonts w:ascii="Palatino Linotype" w:hAnsi="Palatino Linotype" w:cs="Arial"/>
        </w:rPr>
      </w:pPr>
    </w:p>
    <w:p w:rsidR="00CD0242" w:rsidRDefault="002E1A7E" w:rsidP="00CD0242">
      <w:pPr>
        <w:pStyle w:val="Prrafodelista"/>
        <w:numPr>
          <w:ilvl w:val="0"/>
          <w:numId w:val="41"/>
        </w:numPr>
        <w:autoSpaceDE w:val="0"/>
        <w:autoSpaceDN w:val="0"/>
        <w:adjustRightInd w:val="0"/>
        <w:spacing w:line="360" w:lineRule="auto"/>
        <w:ind w:left="567" w:right="851" w:hanging="567"/>
        <w:jc w:val="both"/>
        <w:rPr>
          <w:rFonts w:ascii="Palatino Linotype" w:hAnsi="Palatino Linotype" w:cs="Arial"/>
        </w:rPr>
      </w:pPr>
      <w:r>
        <w:rPr>
          <w:rFonts w:ascii="Palatino Linotype" w:hAnsi="Palatino Linotype" w:cs="Arial"/>
        </w:rPr>
        <w:t>Padrón catastral que tienen a su cargo el municipio.</w:t>
      </w:r>
    </w:p>
    <w:p w:rsidR="00CD0242" w:rsidRPr="009A3626" w:rsidRDefault="00CD0242" w:rsidP="00CD0242">
      <w:pPr>
        <w:pStyle w:val="Prrafodelista"/>
        <w:autoSpaceDE w:val="0"/>
        <w:autoSpaceDN w:val="0"/>
        <w:adjustRightInd w:val="0"/>
        <w:spacing w:line="360" w:lineRule="auto"/>
        <w:ind w:left="720"/>
        <w:jc w:val="both"/>
        <w:rPr>
          <w:rFonts w:ascii="Palatino Linotype" w:hAnsi="Palatino Linotype"/>
          <w:sz w:val="14"/>
        </w:rPr>
      </w:pPr>
    </w:p>
    <w:p w:rsidR="00CD0242" w:rsidRDefault="00CD0242" w:rsidP="00CD0242">
      <w:pPr>
        <w:pStyle w:val="Sinespaciado"/>
        <w:spacing w:line="360" w:lineRule="auto"/>
        <w:jc w:val="both"/>
        <w:rPr>
          <w:rFonts w:ascii="Palatino Linotype" w:hAnsi="Palatino Linotype"/>
          <w:sz w:val="24"/>
        </w:rPr>
      </w:pPr>
      <w:r>
        <w:rPr>
          <w:rFonts w:ascii="Palatino Linotype" w:hAnsi="Palatino Linotype"/>
          <w:sz w:val="24"/>
        </w:rPr>
        <w:t>En este sentido</w:t>
      </w:r>
      <w:r w:rsidRPr="00833B24">
        <w:rPr>
          <w:rFonts w:ascii="Palatino Linotype" w:hAnsi="Palatino Linotype"/>
          <w:sz w:val="24"/>
        </w:rPr>
        <w:t>, la Constitución Política del Estado Libre y Soberano de México, en su artículo 5°, dispone en su parte conducente, lo siguiente:</w:t>
      </w:r>
    </w:p>
    <w:p w:rsidR="00CD0242" w:rsidRPr="00833B24" w:rsidRDefault="00CD0242" w:rsidP="00CD0242">
      <w:pPr>
        <w:pStyle w:val="Sinespaciado"/>
        <w:spacing w:line="360" w:lineRule="auto"/>
        <w:jc w:val="both"/>
        <w:rPr>
          <w:rFonts w:ascii="Palatino Linotype" w:hAnsi="Palatino Linotype"/>
          <w:sz w:val="24"/>
        </w:rPr>
      </w:pP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b/>
          <w:i/>
        </w:rPr>
        <w:t>Artículo 5</w:t>
      </w:r>
      <w:r w:rsidRPr="006010FE">
        <w:rPr>
          <w:rFonts w:ascii="Palatino Linotype" w:hAnsi="Palatino Linotype"/>
          <w:i/>
        </w:rPr>
        <w:t xml:space="preserve">. … </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D0242" w:rsidRPr="006010FE" w:rsidRDefault="00CD0242" w:rsidP="00CD0242">
      <w:pPr>
        <w:pStyle w:val="Sinespaciado"/>
      </w:pP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Este derecho se regirá por los principios y bases siguientes:</w:t>
      </w:r>
    </w:p>
    <w:p w:rsidR="00CD0242" w:rsidRPr="006010FE" w:rsidRDefault="00CD0242" w:rsidP="00CD0242">
      <w:pPr>
        <w:pStyle w:val="Sinespaciado"/>
      </w:pP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 xml:space="preserve">I. Toda la información en posesión de cualquier autoridad, entidad, órgano y organismos de los Poderes Ejecutivo, Legislativo y Judicial, órganos autónomos, partidos políticos, </w:t>
      </w:r>
      <w:r w:rsidRPr="006010FE">
        <w:rPr>
          <w:rFonts w:ascii="Palatino Linotype" w:hAnsi="Palatino Linotype"/>
          <w:i/>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D0242" w:rsidRPr="006010FE" w:rsidRDefault="00CD0242" w:rsidP="00CD0242">
      <w:pPr>
        <w:pStyle w:val="Sinespaciado"/>
        <w:spacing w:line="360" w:lineRule="auto"/>
        <w:jc w:val="both"/>
        <w:rPr>
          <w:rFonts w:ascii="Palatino Linotype" w:hAnsi="Palatino Linotype"/>
        </w:rPr>
      </w:pPr>
    </w:p>
    <w:p w:rsidR="00CD0242" w:rsidRPr="00833B24" w:rsidRDefault="00CD0242" w:rsidP="00CD0242">
      <w:pPr>
        <w:pStyle w:val="Sinespaciado"/>
        <w:spacing w:line="360" w:lineRule="auto"/>
        <w:jc w:val="both"/>
        <w:rPr>
          <w:rFonts w:ascii="Palatino Linotype" w:hAnsi="Palatino Linotype"/>
          <w:sz w:val="24"/>
        </w:rPr>
      </w:pPr>
      <w:r w:rsidRPr="00833B24">
        <w:rPr>
          <w:rFonts w:ascii="Palatino Linotype" w:hAnsi="Palatino Linotype"/>
          <w:sz w:val="24"/>
        </w:rPr>
        <w:t>En ese orden de ideas, la Ley de Transparencia y Acceso a la Información Pública del Estado de México y Municipios, prevé en su artículo 23, lo siguiente:</w:t>
      </w:r>
    </w:p>
    <w:p w:rsidR="00CD0242" w:rsidRPr="006010FE" w:rsidRDefault="00CD0242" w:rsidP="00CD0242">
      <w:pPr>
        <w:pStyle w:val="Sinespaciado"/>
      </w:pP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b/>
          <w:i/>
        </w:rPr>
        <w:lastRenderedPageBreak/>
        <w:t>Artículo 23.</w:t>
      </w:r>
      <w:r w:rsidRPr="006010FE">
        <w:rPr>
          <w:rFonts w:ascii="Palatino Linotype" w:hAnsi="Palatino Linotype"/>
          <w:i/>
        </w:rPr>
        <w:t xml:space="preserve"> Son sujetos obligados a transparentar y permitir el acceso a su información y proteger los datos personales que obren en su poder:</w:t>
      </w:r>
    </w:p>
    <w:p w:rsidR="00CD0242" w:rsidRPr="006010FE" w:rsidRDefault="00CD0242" w:rsidP="00CD0242">
      <w:pPr>
        <w:pStyle w:val="Sinespaciado"/>
        <w:ind w:left="567" w:right="567"/>
        <w:jc w:val="both"/>
        <w:rPr>
          <w:rFonts w:ascii="Palatino Linotype" w:hAnsi="Palatino Linotype"/>
          <w:i/>
        </w:rPr>
      </w:pP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I. El Poder Ejecutivo del Estado de México, las dependencias, organismos auxiliares, órganos, entidades, fideicomisos y fondos públicos, así como la Procuraduría General de Justicia;</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II. El Poder Legislativo del Estado, los organismos, órganos y entidades de la Legislatura y sus dependencias;</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III. El Poder Judicial, sus organismos, órganos y entidades, así como el Consejo de la Judicatura del Estado;</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 xml:space="preserve">IV. </w:t>
      </w:r>
      <w:r w:rsidRPr="006010FE">
        <w:rPr>
          <w:rFonts w:ascii="Palatino Linotype" w:hAnsi="Palatino Linotype"/>
          <w:b/>
          <w:i/>
          <w:u w:val="single"/>
        </w:rPr>
        <w:t>Los ayuntamientos y las dependencias, organismos, órganos y entidades de la administración municipal</w:t>
      </w:r>
      <w:r w:rsidRPr="006010FE">
        <w:rPr>
          <w:rFonts w:ascii="Palatino Linotype" w:hAnsi="Palatino Linotype"/>
          <w:i/>
        </w:rPr>
        <w:t>;</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V. Los órganos autónomos;</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VI. Los tribunales administrativos y autoridades jurisdiccionales en materia laboral;</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VII. Los partidos políticos y agrupaciones políticas, en los términos de las disposiciones aplicables;</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VIII. Los fideicomisos y fondos públicos que cuenten con financiamiento público, parcial o total, o con participación de entidades de gobierno;</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IX. Los sindicatos que reciban y/o ejerzan recursos públicos en el ámbito estatal y municipal;</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X. Cualquier persona física o jurídico colectiva que reciba y ejerza recursos públicos en el ámbito estatal o municipal; y</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XI. Cualquier otra autoridad, entidad, órgano u organismo de los poderes estatal o municipal, que reciba recursos públicos.</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Los servidores públicos deberán transparentar sus acciones así como garantizar y respetar el derecho de acceso a la información pública.</w:t>
      </w:r>
    </w:p>
    <w:p w:rsidR="00CD0242" w:rsidRDefault="00CD0242" w:rsidP="00CD0242">
      <w:pPr>
        <w:pStyle w:val="Sinespaciado"/>
        <w:spacing w:line="360" w:lineRule="auto"/>
        <w:jc w:val="both"/>
        <w:rPr>
          <w:rFonts w:ascii="Palatino Linotype" w:hAnsi="Palatino Linotype"/>
          <w:sz w:val="24"/>
        </w:rPr>
      </w:pPr>
    </w:p>
    <w:p w:rsidR="00CD0242" w:rsidRDefault="00CD0242" w:rsidP="00CD0242">
      <w:pPr>
        <w:pStyle w:val="Sinespaciado"/>
        <w:spacing w:line="360" w:lineRule="auto"/>
        <w:jc w:val="both"/>
        <w:rPr>
          <w:rFonts w:ascii="Palatino Linotype" w:hAnsi="Palatino Linotype"/>
          <w:sz w:val="24"/>
        </w:rPr>
      </w:pPr>
      <w:r w:rsidRPr="00833B24">
        <w:rPr>
          <w:rFonts w:ascii="Palatino Linotype" w:hAnsi="Palatino Linotype"/>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D0242" w:rsidRPr="00833B24" w:rsidRDefault="00CD0242" w:rsidP="00CD0242">
      <w:pPr>
        <w:pStyle w:val="Sinespaciado"/>
        <w:spacing w:line="360" w:lineRule="auto"/>
        <w:jc w:val="both"/>
        <w:rPr>
          <w:rFonts w:ascii="Palatino Linotype" w:hAnsi="Palatino Linotype"/>
          <w:sz w:val="24"/>
        </w:rPr>
      </w:pPr>
    </w:p>
    <w:p w:rsidR="00CD0242" w:rsidRPr="00B20846" w:rsidRDefault="00CD0242" w:rsidP="00CD0242">
      <w:pPr>
        <w:tabs>
          <w:tab w:val="left" w:pos="7938"/>
        </w:tabs>
        <w:spacing w:line="360" w:lineRule="auto"/>
        <w:jc w:val="both"/>
        <w:rPr>
          <w:rFonts w:ascii="Palatino Linotype" w:hAnsi="Palatino Linotype" w:cs="Arial"/>
          <w:sz w:val="24"/>
        </w:rPr>
      </w:pPr>
      <w:r>
        <w:rPr>
          <w:rFonts w:ascii="Palatino Linotype" w:hAnsi="Palatino Linotype" w:cs="Arial"/>
          <w:sz w:val="24"/>
        </w:rPr>
        <w:t>En primer lugar es a bien referir que</w:t>
      </w:r>
      <w:r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Ley de Transparencia y Acceso a la Información Pública del Estado de México y Municipios, t</w:t>
      </w:r>
      <w:r>
        <w:rPr>
          <w:rFonts w:ascii="Palatino Linotype" w:hAnsi="Palatino Linotype" w:cs="Arial"/>
          <w:sz w:val="24"/>
        </w:rPr>
        <w:t>ambién</w:t>
      </w:r>
      <w:r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CD0242" w:rsidRDefault="00CD0242" w:rsidP="00CD0242">
      <w:pPr>
        <w:tabs>
          <w:tab w:val="left" w:pos="709"/>
        </w:tabs>
        <w:ind w:left="851" w:right="760"/>
        <w:jc w:val="both"/>
        <w:rPr>
          <w:rFonts w:ascii="Palatino Linotype" w:hAnsi="Palatino Linotype" w:cs="Arial"/>
          <w:i/>
          <w:sz w:val="20"/>
          <w:szCs w:val="20"/>
          <w:lang w:eastAsia="es-MX"/>
        </w:rPr>
      </w:pPr>
    </w:p>
    <w:p w:rsidR="00CD0242" w:rsidRPr="00745E05" w:rsidRDefault="00CD0242" w:rsidP="00CD0242">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rsidR="00CD0242" w:rsidRPr="00745E05" w:rsidRDefault="00CD0242" w:rsidP="00CD0242">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CD0242" w:rsidRPr="00745E05" w:rsidRDefault="00CD0242" w:rsidP="00CD0242">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CD0242" w:rsidRPr="00745E05" w:rsidRDefault="00CD0242" w:rsidP="00CD0242">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CD0242" w:rsidRPr="00745E05" w:rsidRDefault="00CD0242" w:rsidP="00CD0242">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rsidR="00CD0242" w:rsidRPr="00745E05" w:rsidRDefault="00CD0242" w:rsidP="00CD0242">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CD0242" w:rsidRPr="00745E05" w:rsidRDefault="00CD0242" w:rsidP="00CD0242">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rsidR="00CD0242" w:rsidRPr="00745E05" w:rsidRDefault="00CD0242" w:rsidP="00CD0242">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lastRenderedPageBreak/>
        <w:t>…</w:t>
      </w:r>
    </w:p>
    <w:p w:rsidR="00CD0242" w:rsidRPr="00745E05" w:rsidRDefault="00CD0242" w:rsidP="00CD0242">
      <w:pPr>
        <w:tabs>
          <w:tab w:val="left" w:pos="709"/>
        </w:tabs>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CD0242" w:rsidRPr="00745E05" w:rsidRDefault="00CD0242" w:rsidP="00CD0242">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rsidR="00CD0242" w:rsidRPr="00F5274A" w:rsidRDefault="00CD0242" w:rsidP="00F5274A">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rsidR="00CD0242" w:rsidRDefault="00CD0242" w:rsidP="00CD0242">
      <w:pPr>
        <w:pStyle w:val="Sinespaciado"/>
        <w:spacing w:line="360" w:lineRule="auto"/>
        <w:jc w:val="both"/>
        <w:rPr>
          <w:rFonts w:ascii="Palatino Linotype" w:hAnsi="Palatino Linotype"/>
          <w:sz w:val="24"/>
          <w:szCs w:val="24"/>
        </w:rPr>
      </w:pPr>
    </w:p>
    <w:p w:rsidR="00CD0242" w:rsidRPr="00E06A24" w:rsidRDefault="00CD0242" w:rsidP="00CD0242">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CD0242" w:rsidRPr="00E06A24" w:rsidRDefault="00CD0242" w:rsidP="00CD0242">
      <w:pPr>
        <w:pStyle w:val="Sinespaciado"/>
        <w:spacing w:line="360" w:lineRule="auto"/>
        <w:jc w:val="both"/>
        <w:rPr>
          <w:rFonts w:ascii="Palatino Linotype" w:hAnsi="Palatino Linotype"/>
          <w:sz w:val="24"/>
          <w:szCs w:val="24"/>
        </w:rPr>
      </w:pPr>
    </w:p>
    <w:p w:rsidR="00CD0242" w:rsidRPr="00AB00F7" w:rsidRDefault="00CD0242" w:rsidP="00CD0242">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w:t>
      </w:r>
      <w:r w:rsidRPr="00AB00F7">
        <w:rPr>
          <w:rFonts w:ascii="Palatino Linotype" w:hAnsi="Palatino Linotype"/>
          <w:i/>
        </w:rPr>
        <w:lastRenderedPageBreak/>
        <w:t>mientras ellas no rindieran el informe justificado, tampoco podría decidirse el recurso de queja. [TA] 2a. XXII/96. Segunda Sala. Novena Época, Semanario Judicial de la Federación y su Gaceta, Tomo III, Abril de 1996. Página: 207.</w:t>
      </w:r>
    </w:p>
    <w:p w:rsidR="00CD0242" w:rsidRPr="00E06A24" w:rsidRDefault="00CD0242" w:rsidP="00CD0242">
      <w:pPr>
        <w:pStyle w:val="Sinespaciado"/>
        <w:spacing w:line="360" w:lineRule="auto"/>
        <w:jc w:val="both"/>
        <w:rPr>
          <w:rFonts w:ascii="Palatino Linotype" w:hAnsi="Palatino Linotype"/>
          <w:sz w:val="24"/>
          <w:szCs w:val="24"/>
        </w:rPr>
      </w:pPr>
    </w:p>
    <w:p w:rsidR="00CD0242" w:rsidRPr="00E06A24" w:rsidRDefault="00CD0242" w:rsidP="00CD0242">
      <w:pPr>
        <w:pStyle w:val="Sinespaciado"/>
        <w:spacing w:line="360" w:lineRule="auto"/>
        <w:jc w:val="both"/>
        <w:rPr>
          <w:rFonts w:ascii="Palatino Linotype" w:hAnsi="Palatino Linotype" w:cs="Arial"/>
          <w:sz w:val="24"/>
          <w:szCs w:val="24"/>
        </w:rPr>
      </w:pPr>
      <w:r w:rsidRPr="00E06A24">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CD0242" w:rsidRDefault="00CD0242" w:rsidP="00CD0242">
      <w:pPr>
        <w:pStyle w:val="Sinespaciado"/>
      </w:pPr>
    </w:p>
    <w:p w:rsidR="00CD0242" w:rsidRDefault="00CD0242" w:rsidP="00CD0242">
      <w:pPr>
        <w:pStyle w:val="Prrafodelista"/>
        <w:spacing w:line="360" w:lineRule="auto"/>
        <w:ind w:left="0"/>
        <w:contextualSpacing/>
        <w:jc w:val="both"/>
        <w:rPr>
          <w:rFonts w:ascii="Palatino Linotype" w:hAnsi="Palatino Linotype"/>
        </w:rPr>
      </w:pPr>
      <w:r w:rsidRPr="005801C0">
        <w:rPr>
          <w:rFonts w:ascii="Palatino Linotype" w:hAnsi="Palatino Linotype" w:cs="Arial"/>
        </w:rPr>
        <w:t xml:space="preserve">Por lo que bajo ese tenor es necesario señalar que </w:t>
      </w:r>
      <w:r w:rsidRPr="005801C0">
        <w:rPr>
          <w:rFonts w:ascii="Palatino Linotype" w:hAnsi="Palatino Linotype"/>
        </w:rPr>
        <w:t xml:space="preserve">el estudio de la naturaleza jurídica, tiene por objeto determinar si el </w:t>
      </w:r>
      <w:r w:rsidRPr="005801C0">
        <w:rPr>
          <w:rFonts w:ascii="Palatino Linotype" w:hAnsi="Palatino Linotype"/>
          <w:b/>
        </w:rPr>
        <w:t>SUJETO OBLIGADO</w:t>
      </w:r>
      <w:r w:rsidRPr="005801C0">
        <w:rPr>
          <w:rFonts w:ascii="Palatino Linotype" w:hAnsi="Palatino Linotype"/>
        </w:rPr>
        <w:t xml:space="preserve"> genera, posee o administra la i</w:t>
      </w:r>
      <w:r>
        <w:rPr>
          <w:rFonts w:ascii="Palatino Linotype" w:hAnsi="Palatino Linotype"/>
        </w:rPr>
        <w:t xml:space="preserve">nformación pública solicitada; </w:t>
      </w:r>
    </w:p>
    <w:p w:rsidR="00CD0242" w:rsidRDefault="00CD0242" w:rsidP="00CD0242">
      <w:pPr>
        <w:pStyle w:val="Prrafodelista"/>
        <w:spacing w:line="360" w:lineRule="auto"/>
        <w:ind w:left="0"/>
        <w:contextualSpacing/>
        <w:jc w:val="both"/>
        <w:rPr>
          <w:rFonts w:ascii="Palatino Linotype" w:hAnsi="Palatino Linotype"/>
        </w:rPr>
      </w:pPr>
    </w:p>
    <w:p w:rsidR="00CD0242" w:rsidRDefault="00CD0242" w:rsidP="00CD0242">
      <w:pPr>
        <w:pStyle w:val="Prrafodelista"/>
        <w:spacing w:line="360" w:lineRule="auto"/>
        <w:ind w:left="0"/>
        <w:contextualSpacing/>
        <w:jc w:val="both"/>
        <w:rPr>
          <w:rFonts w:ascii="Palatino Linotype" w:hAnsi="Palatino Linotype"/>
          <w:i/>
        </w:rPr>
      </w:pPr>
      <w:r>
        <w:rPr>
          <w:rFonts w:ascii="Palatino Linotype" w:hAnsi="Palatino Linotype"/>
        </w:rPr>
        <w:t>Es pertinente iniciar, refiriendo que, el Sujeto Obligado en r</w:t>
      </w:r>
      <w:r w:rsidR="004F03B7">
        <w:rPr>
          <w:rFonts w:ascii="Palatino Linotype" w:hAnsi="Palatino Linotype"/>
        </w:rPr>
        <w:t>espuesta informo al particular el padrón catastral de Ecatzingo sin embargo no realizó versión pública alguna.</w:t>
      </w:r>
    </w:p>
    <w:p w:rsidR="00CD0242" w:rsidRPr="00EA6E72" w:rsidRDefault="00CD0242" w:rsidP="00CD0242">
      <w:pPr>
        <w:pStyle w:val="Prrafodelista"/>
        <w:spacing w:line="360" w:lineRule="auto"/>
        <w:ind w:left="0"/>
        <w:contextualSpacing/>
        <w:jc w:val="both"/>
        <w:rPr>
          <w:rFonts w:ascii="Palatino Linotype" w:hAnsi="Palatino Linotype"/>
        </w:rPr>
      </w:pPr>
      <w:r>
        <w:rPr>
          <w:rFonts w:ascii="Palatino Linotype" w:hAnsi="Palatino Linotype"/>
        </w:rPr>
        <w:t>Bajo ese tenor el Particular inconforme con la respuesta proporcionada por el Ayuntamiento de Valle de Bravo, interpuso el presente recurso de revisión manifestando como razones o motivos de inconformidad “…</w:t>
      </w:r>
      <w:r w:rsidR="004F03B7" w:rsidRPr="004F03B7">
        <w:rPr>
          <w:rFonts w:ascii="Palatino Linotype" w:hAnsi="Palatino Linotype"/>
          <w:i/>
          <w:sz w:val="22"/>
        </w:rPr>
        <w:t>El archivo adjuntado se encuentra corrompido y no deja abrirlo ya que podría contener virus, esto es la mafia del PRIAN me niegan el acceso a la información</w:t>
      </w:r>
      <w:r w:rsidRPr="004A0FDC">
        <w:rPr>
          <w:rFonts w:ascii="Palatino Linotype" w:hAnsi="Palatino Linotype"/>
          <w:i/>
          <w:sz w:val="22"/>
        </w:rPr>
        <w:t>.</w:t>
      </w:r>
      <w:r>
        <w:rPr>
          <w:rFonts w:ascii="Palatino Linotype" w:hAnsi="Palatino Linotype"/>
          <w:i/>
          <w:sz w:val="22"/>
        </w:rPr>
        <w:t xml:space="preserve">…” </w:t>
      </w:r>
    </w:p>
    <w:p w:rsidR="00CD0242" w:rsidRDefault="00CD0242" w:rsidP="00CD0242">
      <w:pPr>
        <w:rPr>
          <w:noProof/>
          <w:lang w:eastAsia="es-MX"/>
        </w:rPr>
      </w:pPr>
    </w:p>
    <w:p w:rsidR="00CD0242" w:rsidRDefault="00CD0242" w:rsidP="00CD0242">
      <w:pPr>
        <w:pStyle w:val="Sinespaciado"/>
      </w:pPr>
    </w:p>
    <w:p w:rsidR="00CD0242" w:rsidRPr="00C43915" w:rsidRDefault="00CD0242" w:rsidP="00CD0242">
      <w:pPr>
        <w:pStyle w:val="Sinespaciado"/>
        <w:spacing w:line="360" w:lineRule="auto"/>
        <w:jc w:val="both"/>
        <w:rPr>
          <w:rFonts w:ascii="Palatino Linotype" w:hAnsi="Palatino Linotype"/>
          <w:sz w:val="24"/>
          <w:szCs w:val="24"/>
        </w:rPr>
      </w:pPr>
      <w:r>
        <w:rPr>
          <w:rFonts w:ascii="Palatino Linotype" w:hAnsi="Palatino Linotype"/>
          <w:sz w:val="24"/>
          <w:szCs w:val="24"/>
        </w:rPr>
        <w:t>En esos términos</w:t>
      </w:r>
      <w:r w:rsidRPr="00C43915">
        <w:rPr>
          <w:rFonts w:ascii="Palatino Linotype" w:hAnsi="Palatino Linotype"/>
          <w:sz w:val="24"/>
          <w:szCs w:val="24"/>
        </w:rPr>
        <w:t xml:space="preserve">, es necesario establecer que este Instituto de Transparencia, Acceso a la Información Pública y Protección de Datos Personales del Estado de México y Municipio tiene la responsabilidad constitucional de garantizar el cumplimiento del </w:t>
      </w:r>
      <w:r w:rsidRPr="00C43915">
        <w:rPr>
          <w:rFonts w:ascii="Palatino Linotype" w:hAnsi="Palatino Linotype"/>
          <w:sz w:val="24"/>
          <w:szCs w:val="24"/>
        </w:rPr>
        <w:lastRenderedPageBreak/>
        <w:t>derecho de transparencia, acceso a la información pública y a la protección de datos personales en posesión de los sujetos obligados en los términos que establezca la ley</w:t>
      </w:r>
      <w:r>
        <w:rPr>
          <w:rFonts w:ascii="Palatino Linotype" w:hAnsi="Palatino Linotype"/>
          <w:sz w:val="24"/>
          <w:szCs w:val="24"/>
        </w:rPr>
        <w:t xml:space="preserve"> en la m</w:t>
      </w:r>
      <w:r w:rsidRPr="00C43915">
        <w:rPr>
          <w:rFonts w:ascii="Palatino Linotype" w:hAnsi="Palatino Linotype"/>
          <w:sz w:val="24"/>
          <w:szCs w:val="24"/>
        </w:rPr>
        <w:t>ateria, lo anterior de acuerdo a lo establecido en el párrafo vigésimo segundo, fracción VIII del artículo 5 de la Constitución Política del Estado Libre y Soberano de México, que a la letra señala:</w:t>
      </w:r>
    </w:p>
    <w:p w:rsidR="00CD0242" w:rsidRPr="00C43915" w:rsidRDefault="00CD0242" w:rsidP="00CD0242">
      <w:pPr>
        <w:pStyle w:val="Sinespaciado"/>
        <w:spacing w:line="360" w:lineRule="auto"/>
        <w:jc w:val="both"/>
        <w:rPr>
          <w:rFonts w:ascii="Palatino Linotype" w:hAnsi="Palatino Linotype"/>
          <w:sz w:val="24"/>
          <w:szCs w:val="24"/>
        </w:rPr>
      </w:pPr>
    </w:p>
    <w:p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Artículo 5.</w:t>
      </w:r>
    </w:p>
    <w:p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w:t>
      </w:r>
    </w:p>
    <w:p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VIII. </w:t>
      </w:r>
      <w:r w:rsidRPr="00C43915">
        <w:rPr>
          <w:rFonts w:ascii="Palatino Linotype" w:hAnsi="Palatino Linotype"/>
          <w:b/>
          <w:i/>
          <w:sz w:val="24"/>
          <w:szCs w:val="24"/>
        </w:rPr>
        <w:t>El Estado contará con un organismo autónomo</w:t>
      </w:r>
      <w:r w:rsidRPr="00C43915">
        <w:rPr>
          <w:rFonts w:ascii="Palatino Linotype" w:hAnsi="Palatino Linotype"/>
          <w:i/>
          <w:sz w:val="24"/>
          <w:szCs w:val="24"/>
        </w:rPr>
        <w:t>, especializado, imparcial, colegiado, con personalidad jurídica y patrimonio propio, con plena autonomía técnica y de gestión, con capacidad para decidir sobre el ejercicio de su presupuesto y determinar su organización interna</w:t>
      </w:r>
      <w:r w:rsidRPr="00C43915">
        <w:rPr>
          <w:rFonts w:ascii="Palatino Linotype" w:hAnsi="Palatino Linotype"/>
          <w:b/>
          <w:i/>
          <w:sz w:val="24"/>
          <w:szCs w:val="24"/>
        </w:rPr>
        <w:t>, responsable de garantizar el cumplimiento del derecho de transparencia, acceso a la información pública y a la protección de datos personales en posesión de los sujetos obligados en los términos que establezca la ley</w:t>
      </w:r>
      <w:r w:rsidRPr="00C43915">
        <w:rPr>
          <w:rFonts w:ascii="Palatino Linotype" w:hAnsi="Palatino Linotype"/>
          <w:i/>
          <w:sz w:val="24"/>
          <w:szCs w:val="24"/>
        </w:rPr>
        <w:t>.</w:t>
      </w:r>
    </w:p>
    <w:p w:rsidR="00CD0242" w:rsidRPr="00C43915" w:rsidRDefault="00CD0242" w:rsidP="00CD0242">
      <w:pPr>
        <w:pStyle w:val="Sinespaciado"/>
        <w:ind w:left="567" w:right="616"/>
        <w:jc w:val="both"/>
        <w:rPr>
          <w:rFonts w:ascii="Palatino Linotype" w:hAnsi="Palatino Linotype"/>
          <w:i/>
          <w:sz w:val="24"/>
          <w:szCs w:val="24"/>
        </w:rPr>
      </w:pPr>
    </w:p>
    <w:p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b/>
          <w:i/>
          <w:sz w:val="24"/>
          <w:szCs w:val="24"/>
        </w:rPr>
        <w:t>El organismo autónomo garante previsto en esta fracción, se regirá por la ley en materia de transparencia, acceso a la información pública y protección de datos personales en posesión de sujetos obligados</w:t>
      </w:r>
      <w:r w:rsidRPr="00C43915">
        <w:rPr>
          <w:rFonts w:ascii="Palatino Linotype" w:hAnsi="Palatino Linotype"/>
          <w:i/>
          <w:sz w:val="24"/>
          <w:szCs w:val="24"/>
        </w:rPr>
        <w:t>.</w:t>
      </w:r>
    </w:p>
    <w:p w:rsidR="00CD0242" w:rsidRPr="00C43915" w:rsidRDefault="00CD0242" w:rsidP="00CD0242">
      <w:pPr>
        <w:pStyle w:val="Sinespaciado"/>
        <w:spacing w:line="360" w:lineRule="auto"/>
        <w:jc w:val="both"/>
        <w:rPr>
          <w:rFonts w:ascii="Palatino Linotype" w:hAnsi="Palatino Linotype"/>
          <w:sz w:val="24"/>
          <w:szCs w:val="24"/>
        </w:rPr>
      </w:pPr>
    </w:p>
    <w:p w:rsidR="00CD0242" w:rsidRPr="00C43915" w:rsidRDefault="00CD0242" w:rsidP="00CD0242">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Es así que este Órgano Garante se rige, principalmente, por la Ley de Transparencia y Acceso a la Información Pública del Estado de México y Municipios y por la Ley de Protección de Datos Personales en Posesión de Sujetos Obligados del Estado de México y Municipios. Sin embargo, también está obligado a sujetarse a lo dispuesto por la Constitución Política de los Estados Unidos Mexicanos, pues ésta es la ley suprema en nuestro país, así como a los tratados internacionales que se hayan firmado en la Materia.</w:t>
      </w:r>
    </w:p>
    <w:p w:rsidR="00EB32F6" w:rsidRPr="007167FC" w:rsidRDefault="00EB32F6" w:rsidP="00EB32F6">
      <w:pPr>
        <w:spacing w:line="360" w:lineRule="auto"/>
        <w:jc w:val="both"/>
        <w:rPr>
          <w:rFonts w:ascii="Palatino Linotype" w:hAnsi="Palatino Linotype" w:cs="Arial"/>
          <w:lang w:eastAsia="es-CO"/>
        </w:rPr>
      </w:pPr>
      <w:r w:rsidRPr="007167FC">
        <w:rPr>
          <w:rFonts w:ascii="Palatino Linotype" w:hAnsi="Palatino Linotype" w:cs="Arial"/>
          <w:lang w:eastAsia="es-CO"/>
        </w:rPr>
        <w:lastRenderedPageBreak/>
        <w:t>Por otra parte, es de destacar que el padrón catastral</w:t>
      </w:r>
      <w:r w:rsidRPr="007167FC">
        <w:rPr>
          <w:rFonts w:ascii="Palatino Linotype" w:hAnsi="Palatino Linotype" w:cs="Arial"/>
          <w:b/>
          <w:lang w:eastAsia="es-CO"/>
        </w:rPr>
        <w:t xml:space="preserve"> </w:t>
      </w:r>
      <w:r w:rsidRPr="007167FC">
        <w:rPr>
          <w:rFonts w:ascii="Palatino Linotype" w:hAnsi="Palatino Linotype" w:cs="Arial"/>
          <w:lang w:eastAsia="es-CO"/>
        </w:rPr>
        <w:t>de que se encarga</w:t>
      </w:r>
      <w:r w:rsidRPr="007167FC">
        <w:rPr>
          <w:rFonts w:ascii="Palatino Linotype" w:hAnsi="Palatino Linotype" w:cs="Arial"/>
          <w:b/>
          <w:lang w:eastAsia="es-CO"/>
        </w:rPr>
        <w:t xml:space="preserve"> EL SUJETO OBLIGADO</w:t>
      </w:r>
      <w:r w:rsidRPr="007167FC">
        <w:rPr>
          <w:rFonts w:ascii="Palatino Linotype" w:hAnsi="Palatino Linotype" w:cs="Arial"/>
          <w:lang w:eastAsia="es-CO"/>
        </w:rPr>
        <w:t xml:space="preserve">, </w:t>
      </w:r>
      <w:r w:rsidRPr="007167FC">
        <w:rPr>
          <w:rFonts w:ascii="Palatino Linotype" w:hAnsi="Palatino Linotype"/>
        </w:rPr>
        <w:t>consiste en información que por mandato de Ley debe clasificarse como confidencial</w:t>
      </w:r>
      <w:r w:rsidRPr="007167FC">
        <w:rPr>
          <w:rFonts w:ascii="Palatino Linotype" w:hAnsi="Palatino Linotype" w:cs="Arial"/>
          <w:lang w:eastAsia="es-CO"/>
        </w:rPr>
        <w:t xml:space="preserve">; sin embargo, tiene la obligatoriedad de tener información estadística respecto de su padrón catastral, para mayor referencia se insertan a los </w:t>
      </w:r>
      <w:r w:rsidRPr="007167FC">
        <w:rPr>
          <w:rFonts w:ascii="Palatino Linotype" w:hAnsi="Palatino Linotype"/>
        </w:rPr>
        <w:t>artículos 167, 168, 169, fracción IV y último párrafo, 171, fracciones II, V y VI del Título Quinto del Código Financiero del Estado de México y Municipios, a continuación:</w:t>
      </w:r>
    </w:p>
    <w:p w:rsidR="00EB32F6" w:rsidRPr="007167FC" w:rsidRDefault="00EB32F6" w:rsidP="00EB32F6">
      <w:pPr>
        <w:ind w:left="851" w:right="901"/>
        <w:jc w:val="center"/>
        <w:rPr>
          <w:rFonts w:ascii="Palatino Linotype" w:hAnsi="Palatino Linotype" w:cs="Arial"/>
          <w:i/>
        </w:rPr>
      </w:pPr>
    </w:p>
    <w:p w:rsidR="00EB32F6" w:rsidRPr="007167FC" w:rsidRDefault="00EB32F6" w:rsidP="00EB32F6">
      <w:pPr>
        <w:ind w:left="851" w:right="901"/>
        <w:jc w:val="center"/>
        <w:rPr>
          <w:rFonts w:ascii="Palatino Linotype" w:hAnsi="Palatino Linotype" w:cs="Arial"/>
          <w:b/>
          <w:i/>
        </w:rPr>
      </w:pPr>
      <w:r w:rsidRPr="007167FC">
        <w:rPr>
          <w:rFonts w:ascii="Palatino Linotype" w:hAnsi="Palatino Linotype" w:cs="Arial"/>
          <w:i/>
        </w:rPr>
        <w:t>“</w:t>
      </w:r>
      <w:r w:rsidRPr="007167FC">
        <w:rPr>
          <w:rFonts w:ascii="Palatino Linotype" w:hAnsi="Palatino Linotype" w:cs="Arial"/>
          <w:b/>
          <w:i/>
        </w:rPr>
        <w:t>TITULO QUINTO</w:t>
      </w:r>
    </w:p>
    <w:p w:rsidR="00EB32F6" w:rsidRPr="007167FC" w:rsidRDefault="00EB32F6" w:rsidP="00EB32F6">
      <w:pPr>
        <w:ind w:left="851" w:right="901"/>
        <w:jc w:val="center"/>
        <w:rPr>
          <w:rFonts w:ascii="Palatino Linotype" w:hAnsi="Palatino Linotype" w:cs="Arial"/>
          <w:b/>
          <w:i/>
        </w:rPr>
      </w:pPr>
      <w:r w:rsidRPr="007167FC">
        <w:rPr>
          <w:rFonts w:ascii="Palatino Linotype" w:hAnsi="Palatino Linotype" w:cs="Arial"/>
          <w:b/>
          <w:i/>
        </w:rPr>
        <w:t>DEL CATASTRO</w:t>
      </w:r>
    </w:p>
    <w:p w:rsidR="00EB32F6" w:rsidRPr="007167FC" w:rsidRDefault="00EB32F6" w:rsidP="00EB32F6">
      <w:pPr>
        <w:ind w:left="851" w:right="901"/>
        <w:jc w:val="center"/>
        <w:rPr>
          <w:rFonts w:ascii="Palatino Linotype" w:hAnsi="Palatino Linotype" w:cs="Arial"/>
          <w:b/>
          <w:i/>
        </w:rPr>
      </w:pPr>
    </w:p>
    <w:p w:rsidR="00EB32F6" w:rsidRPr="007167FC" w:rsidRDefault="00EB32F6" w:rsidP="00EB32F6">
      <w:pPr>
        <w:ind w:left="851" w:right="901"/>
        <w:jc w:val="center"/>
        <w:rPr>
          <w:rFonts w:ascii="Palatino Linotype" w:hAnsi="Palatino Linotype" w:cs="Arial"/>
          <w:b/>
          <w:i/>
        </w:rPr>
      </w:pPr>
      <w:r w:rsidRPr="007167FC">
        <w:rPr>
          <w:rFonts w:ascii="Palatino Linotype" w:hAnsi="Palatino Linotype" w:cs="Arial"/>
          <w:b/>
          <w:i/>
        </w:rPr>
        <w:t>CAPITULO PRIMERO</w:t>
      </w:r>
    </w:p>
    <w:p w:rsidR="00EB32F6" w:rsidRPr="007167FC" w:rsidRDefault="00EB32F6" w:rsidP="00EB32F6">
      <w:pPr>
        <w:ind w:left="851" w:right="901"/>
        <w:jc w:val="center"/>
        <w:rPr>
          <w:rFonts w:ascii="Palatino Linotype" w:hAnsi="Palatino Linotype" w:cs="Arial"/>
          <w:b/>
          <w:i/>
        </w:rPr>
      </w:pPr>
      <w:r w:rsidRPr="007167FC">
        <w:rPr>
          <w:rFonts w:ascii="Palatino Linotype" w:hAnsi="Palatino Linotype" w:cs="Arial"/>
          <w:b/>
          <w:i/>
        </w:rPr>
        <w:t>DE LAS DISPOSICIONES GENERALES</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w:t>
      </w:r>
      <w:r w:rsidRPr="007167FC">
        <w:rPr>
          <w:rFonts w:ascii="Palatino Linotype" w:hAnsi="Palatino Linotype" w:cs="Arial"/>
          <w:b/>
          <w:i/>
        </w:rPr>
        <w:t>Artículo 167.-</w:t>
      </w:r>
      <w:r w:rsidRPr="007167FC">
        <w:rPr>
          <w:rFonts w:ascii="Palatino Linotype" w:hAnsi="Palatino Linotype" w:cs="Arial"/>
          <w:i/>
        </w:rPr>
        <w:t xml:space="preserve"> Las disposiciones de este título tienen por objeto normar la actividad catastral en el Estado, así como la integración y actualización de las Tablas de Valores Unitarios de Suelo y Construcciones. </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t>En lo concerniente a la integración, conservación y actualización de la información e investigación catastral, se estará a lo dispuesto</w:t>
      </w:r>
      <w:r w:rsidRPr="007167FC">
        <w:rPr>
          <w:rFonts w:ascii="Palatino Linotype" w:hAnsi="Palatino Linotype" w:cs="Arial"/>
          <w:i/>
        </w:rPr>
        <w:t xml:space="preserve"> en el LIGECEM, </w:t>
      </w:r>
      <w:r w:rsidRPr="007167FC">
        <w:rPr>
          <w:rFonts w:ascii="Palatino Linotype" w:hAnsi="Palatino Linotype" w:cs="Arial"/>
          <w:b/>
          <w:i/>
        </w:rPr>
        <w:t>este Título, su reglamento, el Manual Catastral</w:t>
      </w:r>
      <w:r w:rsidRPr="007167FC">
        <w:rPr>
          <w:rFonts w:ascii="Palatino Linotype" w:hAnsi="Palatino Linotype" w:cs="Arial"/>
          <w:i/>
        </w:rPr>
        <w:t xml:space="preserve"> y demás disposiciones aplicables en la materia. </w:t>
      </w:r>
    </w:p>
    <w:p w:rsidR="00EB32F6" w:rsidRPr="007167FC" w:rsidRDefault="00EB32F6" w:rsidP="00EB32F6">
      <w:pPr>
        <w:ind w:left="851" w:right="901"/>
        <w:jc w:val="both"/>
        <w:rPr>
          <w:rFonts w:ascii="Palatino Linotype" w:hAnsi="Palatino Linotype" w:cs="Arial"/>
          <w:i/>
        </w:rPr>
      </w:pP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t xml:space="preserve">Artículo 168.- Catastro es el sistema de información territorial, cuyo propósito es integrar, conservar y mantener actualizado el padrón catastral del Estado. </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t xml:space="preserve">El padrón catastral </w:t>
      </w:r>
      <w:r w:rsidRPr="007167FC">
        <w:rPr>
          <w:rFonts w:ascii="Palatino Linotype" w:hAnsi="Palatino Linotype" w:cs="Arial"/>
          <w:i/>
        </w:rPr>
        <w:t xml:space="preserve">es el </w:t>
      </w:r>
      <w:r w:rsidRPr="007167FC">
        <w:rPr>
          <w:rFonts w:ascii="Palatino Linotype" w:hAnsi="Palatino Linotype" w:cs="Arial"/>
          <w:b/>
          <w:i/>
        </w:rPr>
        <w:t>inventario analítico</w:t>
      </w:r>
      <w:r w:rsidRPr="007167FC">
        <w:rPr>
          <w:rFonts w:ascii="Palatino Linotype" w:hAnsi="Palatino Linotype" w:cs="Arial"/>
          <w:i/>
        </w:rPr>
        <w:t xml:space="preserve"> que contiene los datos técnicos y administrativos de los inmuebles y está conformado por el conjunto de registros geográficos, gráficos, estadísticos, alfanuméricos y elementos y características resultantes de las actividades catastrales.</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lastRenderedPageBreak/>
        <w:t>La actividad catastral es el conjunto de acciones de identificación, inscripción, control y valuación, que permiten integrar, conservar y mantener actualizado el inventario analítico con las características cualitativas y cuantitativas de los inmuebles inscritos en el padrón catastral del Estado,</w:t>
      </w:r>
      <w:r w:rsidRPr="007167FC">
        <w:rPr>
          <w:rFonts w:ascii="Palatino Linotype" w:hAnsi="Palatino Linotype" w:cs="Arial"/>
          <w:i/>
        </w:rPr>
        <w:t xml:space="preserve"> realizadas con apego al LIGECEM, este Título, su reglamento, el Manual Catastral y demás disposiciones aplicables en la materia.</w:t>
      </w:r>
    </w:p>
    <w:p w:rsidR="00EB32F6" w:rsidRPr="007167FC" w:rsidRDefault="00EB32F6" w:rsidP="00EB32F6">
      <w:pPr>
        <w:ind w:left="851" w:right="901"/>
        <w:jc w:val="both"/>
        <w:rPr>
          <w:rFonts w:ascii="Palatino Linotype" w:hAnsi="Palatino Linotype" w:cs="Arial"/>
          <w:i/>
        </w:rPr>
      </w:pP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t>Artículo 169.-</w:t>
      </w:r>
      <w:r w:rsidRPr="007167FC">
        <w:rPr>
          <w:rFonts w:ascii="Palatino Linotype" w:hAnsi="Palatino Linotype" w:cs="Arial"/>
          <w:i/>
        </w:rPr>
        <w:t xml:space="preserve"> Son </w:t>
      </w:r>
      <w:r w:rsidRPr="007167FC">
        <w:rPr>
          <w:rFonts w:ascii="Palatino Linotype" w:hAnsi="Palatino Linotype" w:cs="Arial"/>
          <w:b/>
          <w:i/>
        </w:rPr>
        <w:t>autoridades en materia de catastro</w:t>
      </w:r>
      <w:r w:rsidRPr="007167FC">
        <w:rPr>
          <w:rFonts w:ascii="Palatino Linotype" w:hAnsi="Palatino Linotype" w:cs="Arial"/>
          <w:i/>
        </w:rPr>
        <w:t xml:space="preserve">: </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t>IV. El ayuntamiento y el servidor público que éste designe como titular del área de catastro municipal,</w:t>
      </w:r>
      <w:r w:rsidRPr="007167FC">
        <w:rPr>
          <w:rFonts w:ascii="Palatino Linotype" w:hAnsi="Palatino Linotype" w:cs="Arial"/>
          <w:i/>
        </w:rPr>
        <w:t xml:space="preserve"> quien deberá estar debidamente certificado o certificarse en un plazo máximo de seis meses contados a partir de su designación, ante la Comisión Certificadora de Competencia Laboral de los Servidores Públicos del Estado de México en al menos tres de las ocho unidades de competencia laboral que integran a las normas institucionales vigentes en materia de catastro.</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Las facultades y obligaciones que en materia catastral correspondan a estas autoridades, son aquellas que se encuentran conferidas en los términos del LIGECEM, este Título, su reglamento, el Manual Catastral y demás disposiciones aplicables en la materia.</w:t>
      </w:r>
    </w:p>
    <w:p w:rsidR="00EB32F6" w:rsidRPr="007167FC" w:rsidRDefault="00EB32F6" w:rsidP="00EB32F6">
      <w:pPr>
        <w:ind w:left="851" w:right="901"/>
        <w:jc w:val="both"/>
        <w:rPr>
          <w:rFonts w:ascii="Palatino Linotype" w:hAnsi="Palatino Linotype" w:cs="Arial"/>
          <w:b/>
          <w:i/>
        </w:rPr>
      </w:pPr>
      <w:r w:rsidRPr="007167FC">
        <w:rPr>
          <w:rFonts w:ascii="Palatino Linotype" w:hAnsi="Palatino Linotype" w:cs="Arial"/>
          <w:b/>
          <w:i/>
        </w:rPr>
        <w:t>Artículo 171.- Los Ayuntamientos</w:t>
      </w:r>
      <w:r w:rsidRPr="007167FC">
        <w:rPr>
          <w:rFonts w:ascii="Palatino Linotype" w:hAnsi="Palatino Linotype" w:cs="Arial"/>
          <w:i/>
        </w:rPr>
        <w:t xml:space="preserve">, además de las atribuciones que este Código y otros ordenamientos les confieran en materia catastral, </w:t>
      </w:r>
      <w:r w:rsidRPr="007167FC">
        <w:rPr>
          <w:rFonts w:ascii="Palatino Linotype" w:hAnsi="Palatino Linotype" w:cs="Arial"/>
          <w:b/>
          <w:i/>
        </w:rPr>
        <w:t>tendrán las facultades y obligaciones siguientes:</w:t>
      </w:r>
    </w:p>
    <w:p w:rsidR="00EB32F6" w:rsidRPr="007167FC" w:rsidRDefault="00EB32F6" w:rsidP="00EB32F6">
      <w:pPr>
        <w:ind w:left="851" w:right="901"/>
        <w:jc w:val="both"/>
        <w:rPr>
          <w:rFonts w:ascii="Palatino Linotype" w:hAnsi="Palatino Linotype" w:cs="Arial"/>
          <w:b/>
          <w:i/>
        </w:rPr>
      </w:pPr>
      <w:r w:rsidRPr="007167FC">
        <w:rPr>
          <w:rFonts w:ascii="Palatino Linotype" w:hAnsi="Palatino Linotype" w:cs="Arial"/>
          <w:b/>
          <w:i/>
        </w:rPr>
        <w:t>…</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t xml:space="preserve">II. Identificar en forma precisa los inmuebles ubicados dentro del territorio municipal, mediante la localización geográfica </w:t>
      </w:r>
      <w:r w:rsidRPr="007167FC">
        <w:rPr>
          <w:rFonts w:ascii="Palatino Linotype" w:hAnsi="Palatino Linotype" w:cs="Arial"/>
          <w:i/>
        </w:rPr>
        <w:t>y asignación de la clave catastral que le corresponda.</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w:t>
      </w:r>
    </w:p>
    <w:p w:rsidR="00EB32F6" w:rsidRPr="007167FC" w:rsidRDefault="00EB32F6" w:rsidP="00EB32F6">
      <w:pPr>
        <w:ind w:left="851" w:right="901"/>
        <w:jc w:val="both"/>
        <w:rPr>
          <w:rFonts w:ascii="Palatino Linotype" w:hAnsi="Palatino Linotype" w:cs="Arial"/>
          <w:b/>
          <w:i/>
        </w:rPr>
      </w:pPr>
      <w:r w:rsidRPr="007167FC">
        <w:rPr>
          <w:rFonts w:ascii="Palatino Linotype" w:hAnsi="Palatino Linotype" w:cs="Arial"/>
          <w:b/>
          <w:i/>
        </w:rPr>
        <w:t>V.</w:t>
      </w:r>
      <w:r w:rsidRPr="007167FC">
        <w:rPr>
          <w:rFonts w:ascii="Palatino Linotype" w:hAnsi="Palatino Linotype" w:cs="Arial"/>
          <w:i/>
        </w:rPr>
        <w:t xml:space="preserve"> </w:t>
      </w:r>
      <w:r w:rsidRPr="007167FC">
        <w:rPr>
          <w:rFonts w:ascii="Palatino Linotype" w:hAnsi="Palatino Linotype" w:cs="Arial"/>
          <w:b/>
          <w:i/>
        </w:rPr>
        <w:t xml:space="preserve">Proporcionar al IGECEM </w:t>
      </w:r>
      <w:r w:rsidRPr="007167FC">
        <w:rPr>
          <w:rFonts w:ascii="Palatino Linotype" w:hAnsi="Palatino Linotype" w:cs="Arial"/>
          <w:i/>
        </w:rPr>
        <w:t xml:space="preserve">dentro de los plazos que señale el LIGECEM, este Título, su reglamento, el Manual Catastral y demás disposiciones aplicables en la materia, las propuestas, reportes, informes y </w:t>
      </w:r>
      <w:r w:rsidRPr="007167FC">
        <w:rPr>
          <w:rFonts w:ascii="Palatino Linotype" w:hAnsi="Palatino Linotype" w:cs="Arial"/>
          <w:b/>
          <w:i/>
        </w:rPr>
        <w:t>documentos, para integrar, conservar y mantener actualizada la información catastral del Estado.</w:t>
      </w:r>
    </w:p>
    <w:p w:rsidR="00EB32F6" w:rsidRPr="007167FC" w:rsidRDefault="00EB32F6" w:rsidP="00EB32F6">
      <w:pPr>
        <w:ind w:left="851" w:right="901"/>
        <w:jc w:val="both"/>
        <w:rPr>
          <w:rFonts w:ascii="Palatino Linotype" w:hAnsi="Palatino Linotype" w:cs="Arial"/>
          <w:b/>
          <w:i/>
        </w:rPr>
      </w:pPr>
      <w:r w:rsidRPr="007167FC">
        <w:rPr>
          <w:rFonts w:ascii="Palatino Linotype" w:hAnsi="Palatino Linotype" w:cs="Arial"/>
          <w:b/>
          <w:i/>
        </w:rPr>
        <w:lastRenderedPageBreak/>
        <w:t>VI. Integrar, conservar y mantener actualizados los registros gráfico y alfanumérico de los inmuebles ubicados en el territorio del municipio.</w:t>
      </w:r>
    </w:p>
    <w:p w:rsidR="00EB32F6" w:rsidRPr="007167FC" w:rsidRDefault="00EB32F6" w:rsidP="00EB32F6">
      <w:pPr>
        <w:ind w:left="851" w:right="901"/>
        <w:jc w:val="both"/>
        <w:rPr>
          <w:rFonts w:ascii="Palatino Linotype" w:hAnsi="Palatino Linotype" w:cs="Arial"/>
          <w:i/>
        </w:rPr>
      </w:pP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 xml:space="preserve">VI. </w:t>
      </w:r>
      <w:r w:rsidRPr="007167FC">
        <w:rPr>
          <w:rFonts w:ascii="Palatino Linotype" w:hAnsi="Palatino Linotype" w:cs="Arial"/>
          <w:b/>
          <w:i/>
        </w:rPr>
        <w:t>Integrar, conservar y mantener actualizados los registros gráfico</w:t>
      </w:r>
      <w:r w:rsidRPr="007167FC">
        <w:rPr>
          <w:rFonts w:ascii="Palatino Linotype" w:hAnsi="Palatino Linotype" w:cs="Arial"/>
          <w:i/>
        </w:rPr>
        <w:t xml:space="preserve"> y alfanumérico de los </w:t>
      </w:r>
      <w:r w:rsidRPr="007167FC">
        <w:rPr>
          <w:rFonts w:ascii="Palatino Linotype" w:hAnsi="Palatino Linotype" w:cs="Arial"/>
          <w:b/>
          <w:i/>
        </w:rPr>
        <w:t>inmuebles ubicados en el territorio del municipio</w:t>
      </w:r>
      <w:r w:rsidRPr="007167FC">
        <w:rPr>
          <w:rFonts w:ascii="Palatino Linotype" w:hAnsi="Palatino Linotype" w:cs="Arial"/>
          <w:i/>
        </w:rPr>
        <w:t xml:space="preserve">. </w:t>
      </w:r>
    </w:p>
    <w:p w:rsidR="00EB32F6" w:rsidRPr="007167FC" w:rsidRDefault="00EB32F6" w:rsidP="00EB32F6">
      <w:pPr>
        <w:ind w:left="851" w:right="901"/>
        <w:jc w:val="both"/>
        <w:rPr>
          <w:rFonts w:ascii="Palatino Linotype" w:hAnsi="Palatino Linotype"/>
          <w:b/>
          <w:i/>
        </w:rPr>
      </w:pPr>
      <w:r w:rsidRPr="007167FC">
        <w:rPr>
          <w:rFonts w:ascii="Palatino Linotype" w:hAnsi="Palatino Linotype"/>
          <w:b/>
          <w:i/>
        </w:rPr>
        <w:t>…</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b/>
          <w:i/>
        </w:rPr>
        <w:t>Artículo 174 Bis.-</w:t>
      </w:r>
      <w:r w:rsidRPr="007167FC">
        <w:rPr>
          <w:rFonts w:ascii="Palatino Linotype" w:hAnsi="Palatino Linotype"/>
          <w:i/>
        </w:rPr>
        <w:t xml:space="preserve"> La autoridad catastral municipal, enviará al IGECEM la información actualizada de los registros gráfico y alfanumérico, dentro de los primeros diez días posteriores al mes de que se informe, a efecto de revisar y validar la información para integrar y actualizar el padrón catastral del Estado.”</w:t>
      </w:r>
    </w:p>
    <w:p w:rsidR="00EB32F6" w:rsidRPr="007167FC" w:rsidRDefault="00EB32F6" w:rsidP="00EB32F6">
      <w:pPr>
        <w:spacing w:line="360" w:lineRule="auto"/>
        <w:jc w:val="both"/>
        <w:rPr>
          <w:rFonts w:ascii="Palatino Linotype" w:hAnsi="Palatino Linotype" w:cs="Arial"/>
          <w:lang w:eastAsia="es-CO"/>
        </w:rPr>
      </w:pPr>
    </w:p>
    <w:p w:rsidR="00EB32F6" w:rsidRPr="007167FC" w:rsidRDefault="00EB32F6" w:rsidP="00EB32F6">
      <w:pPr>
        <w:widowControl w:val="0"/>
        <w:autoSpaceDE w:val="0"/>
        <w:autoSpaceDN w:val="0"/>
        <w:adjustRightInd w:val="0"/>
        <w:spacing w:line="360" w:lineRule="auto"/>
        <w:jc w:val="both"/>
        <w:rPr>
          <w:rFonts w:ascii="Palatino Linotype" w:hAnsi="Palatino Linotype"/>
        </w:rPr>
      </w:pPr>
      <w:r w:rsidRPr="007167FC">
        <w:rPr>
          <w:rFonts w:ascii="Palatino Linotype" w:hAnsi="Palatino Linotype"/>
        </w:rPr>
        <w:t>Por su parte, el Manual Catastral del Estado de México, precisa lo siguiente:</w:t>
      </w:r>
    </w:p>
    <w:p w:rsidR="00EB32F6" w:rsidRPr="007167FC" w:rsidRDefault="00EB32F6" w:rsidP="00EB32F6">
      <w:pPr>
        <w:widowControl w:val="0"/>
        <w:autoSpaceDE w:val="0"/>
        <w:autoSpaceDN w:val="0"/>
        <w:adjustRightInd w:val="0"/>
        <w:jc w:val="both"/>
        <w:rPr>
          <w:rFonts w:ascii="Palatino Linotype" w:hAnsi="Palatino Linotype"/>
        </w:rPr>
      </w:pP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rPr>
        <w:t>“</w:t>
      </w:r>
      <w:r w:rsidRPr="007167FC">
        <w:rPr>
          <w:rFonts w:ascii="Palatino Linotype" w:hAnsi="Palatino Linotype" w:cs="Arial"/>
          <w:b/>
          <w:i/>
        </w:rPr>
        <w:t>I. ATENCIÓN AL PÚBLICO Y CONTROL DE GESTIÓN PARA LA PRESTACIÓN DE SERVICIOS Y GENERACIÓN DE PRODUCTOS CATASTRALES</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w:t>
      </w:r>
    </w:p>
    <w:p w:rsidR="00EB32F6" w:rsidRPr="007167FC" w:rsidRDefault="00EB32F6" w:rsidP="00EB32F6">
      <w:pPr>
        <w:ind w:left="851" w:right="901"/>
        <w:jc w:val="both"/>
        <w:rPr>
          <w:rFonts w:ascii="Palatino Linotype" w:hAnsi="Palatino Linotype" w:cs="Arial"/>
          <w:b/>
          <w:i/>
        </w:rPr>
      </w:pPr>
      <w:r w:rsidRPr="007167FC">
        <w:rPr>
          <w:rFonts w:ascii="Palatino Linotype" w:hAnsi="Palatino Linotype" w:cs="Arial"/>
          <w:b/>
          <w:i/>
        </w:rPr>
        <w:t>1.3. POLÍTICAS GENERALES</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t>ACGC014. Los servicios catastrales que presta el ayuntamiento son</w:t>
      </w:r>
      <w:r w:rsidRPr="007167FC">
        <w:rPr>
          <w:rFonts w:ascii="Palatino Linotype" w:hAnsi="Palatino Linotype" w:cs="Arial"/>
          <w:i/>
        </w:rPr>
        <w:t>:</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 xml:space="preserve">• </w:t>
      </w:r>
      <w:r w:rsidRPr="007167FC">
        <w:rPr>
          <w:rFonts w:ascii="Palatino Linotype" w:hAnsi="Palatino Linotype" w:cs="Arial"/>
          <w:b/>
          <w:i/>
        </w:rPr>
        <w:t>Actualización del padrón catastral</w:t>
      </w:r>
      <w:r w:rsidRPr="007167FC">
        <w:rPr>
          <w:rFonts w:ascii="Palatino Linotype" w:hAnsi="Palatino Linotype" w:cs="Arial"/>
          <w:i/>
        </w:rPr>
        <w:t xml:space="preserve"> derivada de subdivisión, fusión, lotificación, relotificación, conjuntos urbanos, afectaciones y modificación de linderos, previa autorización emitida por la autoridad competente. </w:t>
      </w:r>
    </w:p>
    <w:p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w:t>
      </w:r>
    </w:p>
    <w:p w:rsidR="00EB32F6" w:rsidRPr="007167FC" w:rsidRDefault="00EB32F6" w:rsidP="00EB32F6">
      <w:pPr>
        <w:spacing w:line="360" w:lineRule="auto"/>
        <w:jc w:val="both"/>
        <w:rPr>
          <w:rFonts w:ascii="Palatino Linotype" w:hAnsi="Palatino Linotype" w:cs="Arial"/>
          <w:lang w:eastAsia="es-CO"/>
        </w:rPr>
      </w:pPr>
    </w:p>
    <w:p w:rsidR="00EB32F6" w:rsidRPr="007167FC" w:rsidRDefault="00EB32F6" w:rsidP="00EB32F6">
      <w:pPr>
        <w:spacing w:line="360" w:lineRule="auto"/>
        <w:jc w:val="both"/>
        <w:rPr>
          <w:rFonts w:ascii="Palatino Linotype" w:hAnsi="Palatino Linotype"/>
        </w:rPr>
      </w:pPr>
      <w:r w:rsidRPr="007167FC">
        <w:rPr>
          <w:rFonts w:ascii="Palatino Linotype" w:hAnsi="Palatino Linotype"/>
          <w:color w:val="222222"/>
          <w:lang w:eastAsia="es-MX"/>
        </w:rPr>
        <w:lastRenderedPageBreak/>
        <w:t xml:space="preserve">No obstante a lo anterior y aunque la información solicitada se trate de información que posee, administra y genera </w:t>
      </w:r>
      <w:r w:rsidRPr="007167FC">
        <w:rPr>
          <w:rFonts w:ascii="Palatino Linotype" w:hAnsi="Palatino Linotype"/>
          <w:b/>
          <w:color w:val="222222"/>
          <w:lang w:eastAsia="es-MX"/>
        </w:rPr>
        <w:t>EL SUJETO OBLIGADO</w:t>
      </w:r>
      <w:r w:rsidRPr="007167FC">
        <w:rPr>
          <w:rFonts w:ascii="Palatino Linotype" w:hAnsi="Palatino Linotype"/>
          <w:color w:val="222222"/>
          <w:lang w:eastAsia="es-MX"/>
        </w:rPr>
        <w:t xml:space="preserve">, es de señalar que corresponde a información </w:t>
      </w:r>
      <w:r w:rsidRPr="007167FC">
        <w:rPr>
          <w:rFonts w:ascii="Palatino Linotype" w:hAnsi="Palatino Linotype"/>
        </w:rPr>
        <w:t xml:space="preserve">que por mandato de Ley debe clasificarse como confidencial, por encontrarse relacionada con las claves catastrales y la ubicación exacta de cada inmueble. </w:t>
      </w:r>
    </w:p>
    <w:p w:rsidR="00EB32F6" w:rsidRPr="007167FC" w:rsidRDefault="00EB32F6" w:rsidP="00EB32F6">
      <w:pPr>
        <w:spacing w:line="360" w:lineRule="auto"/>
        <w:jc w:val="both"/>
        <w:rPr>
          <w:rFonts w:ascii="Palatino Linotype" w:hAnsi="Palatino Linotype"/>
        </w:rPr>
      </w:pPr>
    </w:p>
    <w:p w:rsidR="00EB32F6" w:rsidRPr="007167FC" w:rsidRDefault="00EB32F6" w:rsidP="00EB32F6">
      <w:pPr>
        <w:spacing w:line="360" w:lineRule="auto"/>
        <w:jc w:val="both"/>
        <w:rPr>
          <w:rFonts w:ascii="Palatino Linotype" w:hAnsi="Palatino Linotype"/>
        </w:rPr>
      </w:pPr>
      <w:r w:rsidRPr="007167FC">
        <w:rPr>
          <w:rFonts w:ascii="Palatino Linotype" w:hAnsi="Palatino Linotype"/>
        </w:rPr>
        <w:t xml:space="preserve">Así, </w:t>
      </w:r>
      <w:r w:rsidRPr="007167FC">
        <w:rPr>
          <w:rFonts w:ascii="Palatino Linotype" w:hAnsi="Palatino Linotype"/>
          <w:color w:val="222222"/>
          <w:lang w:eastAsia="es-MX"/>
        </w:rPr>
        <w:t xml:space="preserve">es importante destacar que conforme al artículo 179 </w:t>
      </w:r>
      <w:r w:rsidRPr="007167FC">
        <w:rPr>
          <w:rFonts w:ascii="Palatino Linotype" w:hAnsi="Palatino Linotype"/>
        </w:rPr>
        <w:t>del Código Financiero del Estado de México y Municipios, se entiende por clave catastral, al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rsidR="00EB32F6" w:rsidRPr="007167FC" w:rsidRDefault="00EB32F6" w:rsidP="00EB32F6">
      <w:pPr>
        <w:spacing w:line="360" w:lineRule="auto"/>
        <w:jc w:val="both"/>
        <w:rPr>
          <w:rFonts w:ascii="Palatino Linotype" w:hAnsi="Palatino Linotype"/>
        </w:rPr>
      </w:pPr>
    </w:p>
    <w:p w:rsidR="00EB32F6" w:rsidRPr="007167FC" w:rsidRDefault="00EB32F6" w:rsidP="00EB32F6">
      <w:pPr>
        <w:spacing w:line="360" w:lineRule="auto"/>
        <w:jc w:val="both"/>
        <w:rPr>
          <w:rFonts w:ascii="Palatino Linotype" w:hAnsi="Palatino Linotype"/>
          <w:bCs/>
        </w:rPr>
      </w:pPr>
      <w:r w:rsidRPr="007167FC">
        <w:rPr>
          <w:rFonts w:ascii="Palatino Linotype" w:hAnsi="Palatino Linotype" w:cs="Arial"/>
        </w:rPr>
        <w:t xml:space="preserve">Por lo anterior, es claro que el padrón catastral que tiene a su cargo el Ayuntamiento, debe clasificarse como confidencial, entendiéndose por </w:t>
      </w:r>
      <w:r w:rsidRPr="007167FC">
        <w:rPr>
          <w:rFonts w:ascii="Palatino Linotype" w:hAnsi="Palatino Linotype"/>
        </w:rPr>
        <w:t xml:space="preserve">información confidencial, aquellos datos personales, datos personales sensibles e información privada, cuyas acepciones legales las </w:t>
      </w:r>
      <w:r w:rsidRPr="007167FC">
        <w:rPr>
          <w:rFonts w:ascii="Palatino Linotype" w:hAnsi="Palatino Linotype" w:cs="Arial"/>
        </w:rPr>
        <w:t>podemos</w:t>
      </w:r>
      <w:r w:rsidRPr="007167FC">
        <w:rPr>
          <w:rFonts w:ascii="Palatino Linotype" w:hAnsi="Palatino Linotype"/>
        </w:rPr>
        <w:t xml:space="preserve"> encontrar en los artículos 3, fracciones XXI y XXIII de</w:t>
      </w:r>
      <w:r w:rsidRPr="007167FC">
        <w:rPr>
          <w:rFonts w:ascii="Palatino Linotype" w:hAnsi="Palatino Linotype"/>
          <w:bCs/>
        </w:rPr>
        <w:t xml:space="preserve"> la Ley de Transparencia y Acceso a la Información Pública del </w:t>
      </w:r>
      <w:r w:rsidRPr="007167FC">
        <w:rPr>
          <w:rFonts w:ascii="Palatino Linotype" w:hAnsi="Palatino Linotype"/>
        </w:rPr>
        <w:t>Estado</w:t>
      </w:r>
      <w:r w:rsidRPr="007167FC">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rsidR="00EB32F6" w:rsidRPr="007167FC" w:rsidRDefault="00EB32F6" w:rsidP="00EB32F6">
      <w:pPr>
        <w:jc w:val="both"/>
        <w:rPr>
          <w:rFonts w:ascii="Palatino Linotype" w:hAnsi="Palatino Linotype"/>
          <w:bCs/>
        </w:rPr>
      </w:pPr>
    </w:p>
    <w:p w:rsidR="00EB32F6" w:rsidRPr="007167FC" w:rsidRDefault="00EB32F6" w:rsidP="00EB32F6">
      <w:pPr>
        <w:ind w:left="851" w:right="899"/>
        <w:jc w:val="center"/>
        <w:rPr>
          <w:rFonts w:ascii="Palatino Linotype" w:hAnsi="Palatino Linotype" w:cs="Arial"/>
          <w:i/>
          <w:lang w:eastAsia="es-MX"/>
        </w:rPr>
      </w:pPr>
      <w:r w:rsidRPr="007167FC">
        <w:rPr>
          <w:rFonts w:ascii="Palatino Linotype" w:hAnsi="Palatino Linotype" w:cs="Arial"/>
          <w:b/>
          <w:i/>
          <w:lang w:eastAsia="es-MX"/>
        </w:rPr>
        <w:lastRenderedPageBreak/>
        <w:t>“Ley de Transparencia y Acceso a la Información Pública del Estado de México y Municipios</w:t>
      </w:r>
    </w:p>
    <w:p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b/>
          <w:i/>
          <w:lang w:eastAsia="es-MX"/>
        </w:rPr>
        <w:t>Artículo 3</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Para los efectos de la presente Ley se entenderá por</w:t>
      </w:r>
      <w:r w:rsidRPr="007167FC">
        <w:rPr>
          <w:rFonts w:ascii="Palatino Linotype" w:hAnsi="Palatino Linotype" w:cs="Arial"/>
          <w:i/>
          <w:lang w:eastAsia="es-MX"/>
        </w:rPr>
        <w:t xml:space="preserve">: </w:t>
      </w:r>
    </w:p>
    <w:p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i/>
          <w:lang w:eastAsia="es-MX"/>
        </w:rPr>
        <w:t>[…]</w:t>
      </w:r>
    </w:p>
    <w:p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b/>
          <w:i/>
          <w:lang w:eastAsia="es-MX"/>
        </w:rPr>
        <w:t>XXI.</w:t>
      </w:r>
      <w:r w:rsidRPr="007167FC">
        <w:rPr>
          <w:rFonts w:ascii="Palatino Linotype" w:hAnsi="Palatino Linotype" w:cs="Arial"/>
          <w:i/>
          <w:lang w:eastAsia="es-MX"/>
        </w:rPr>
        <w:tab/>
      </w:r>
      <w:r w:rsidRPr="007167FC">
        <w:rPr>
          <w:rFonts w:ascii="Palatino Linotype" w:hAnsi="Palatino Linotype" w:cs="Arial"/>
          <w:b/>
          <w:i/>
          <w:u w:val="single"/>
          <w:lang w:eastAsia="es-MX"/>
        </w:rPr>
        <w:t>Información confidencial</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Se considera como información confidencial</w:t>
      </w:r>
      <w:r w:rsidRPr="007167FC">
        <w:rPr>
          <w:rFonts w:ascii="Palatino Linotype" w:hAnsi="Palatino Linotype" w:cs="Arial"/>
          <w:i/>
          <w:lang w:eastAsia="es-MX"/>
        </w:rPr>
        <w:t xml:space="preserve"> los secretos bancario, fiduciario, industrial, comercial, fiscal, bursátil y postal, </w:t>
      </w:r>
      <w:r w:rsidRPr="007167FC">
        <w:rPr>
          <w:rFonts w:ascii="Palatino Linotype" w:hAnsi="Palatino Linotype" w:cs="Arial"/>
          <w:b/>
          <w:i/>
          <w:u w:val="single"/>
          <w:lang w:eastAsia="es-MX"/>
        </w:rPr>
        <w:t>cuya titularidad corresponda a particulares</w:t>
      </w:r>
      <w:r w:rsidRPr="007167FC">
        <w:rPr>
          <w:rFonts w:ascii="Palatino Linotype" w:hAnsi="Palatino Linotype" w:cs="Arial"/>
          <w:i/>
          <w:lang w:eastAsia="es-MX"/>
        </w:rPr>
        <w:t xml:space="preserve">, sujetos de derecho internacional o a sujetos obligados </w:t>
      </w:r>
      <w:r w:rsidRPr="007167FC">
        <w:rPr>
          <w:rFonts w:ascii="Palatino Linotype" w:hAnsi="Palatino Linotype" w:cs="Arial"/>
          <w:b/>
          <w:i/>
          <w:u w:val="single"/>
          <w:lang w:eastAsia="es-MX"/>
        </w:rPr>
        <w:t>cuando no involucren el ejercicio de recursos públicos</w:t>
      </w:r>
      <w:r w:rsidRPr="007167FC">
        <w:rPr>
          <w:rFonts w:ascii="Palatino Linotype" w:hAnsi="Palatino Linotype" w:cs="Arial"/>
          <w:i/>
          <w:lang w:eastAsia="es-MX"/>
        </w:rPr>
        <w:t>;</w:t>
      </w:r>
    </w:p>
    <w:p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i/>
          <w:lang w:eastAsia="es-MX"/>
        </w:rPr>
        <w:t>[…]</w:t>
      </w:r>
    </w:p>
    <w:p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b/>
          <w:i/>
          <w:lang w:eastAsia="es-MX"/>
        </w:rPr>
        <w:t>XXIII</w:t>
      </w:r>
      <w:r w:rsidRPr="007167FC">
        <w:rPr>
          <w:rFonts w:ascii="Palatino Linotype" w:hAnsi="Palatino Linotype" w:cs="Arial"/>
          <w:i/>
          <w:lang w:eastAsia="es-MX"/>
        </w:rPr>
        <w:t>.</w:t>
      </w:r>
      <w:r w:rsidRPr="007167FC">
        <w:rPr>
          <w:rFonts w:ascii="Palatino Linotype" w:hAnsi="Palatino Linotype" w:cs="Arial"/>
          <w:i/>
          <w:lang w:eastAsia="es-MX"/>
        </w:rPr>
        <w:tab/>
      </w:r>
      <w:r w:rsidRPr="007167FC">
        <w:rPr>
          <w:rFonts w:ascii="Palatino Linotype" w:hAnsi="Palatino Linotype" w:cs="Arial"/>
          <w:b/>
          <w:i/>
          <w:u w:val="single"/>
          <w:lang w:eastAsia="es-MX"/>
        </w:rPr>
        <w:t>Información privada</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La contenida en documentos públicos</w:t>
      </w:r>
      <w:r w:rsidRPr="007167FC">
        <w:rPr>
          <w:rFonts w:ascii="Palatino Linotype" w:hAnsi="Palatino Linotype" w:cs="Arial"/>
          <w:i/>
          <w:lang w:eastAsia="es-MX"/>
        </w:rPr>
        <w:t xml:space="preserve"> o privados </w:t>
      </w:r>
      <w:r w:rsidRPr="007167FC">
        <w:rPr>
          <w:rFonts w:ascii="Palatino Linotype" w:hAnsi="Palatino Linotype" w:cs="Arial"/>
          <w:b/>
          <w:i/>
          <w:u w:val="single"/>
          <w:lang w:eastAsia="es-MX"/>
        </w:rPr>
        <w:t>que refiera a la vida privada y/o los datos personales, que no son de acceso público</w:t>
      </w:r>
      <w:r w:rsidRPr="007167FC">
        <w:rPr>
          <w:rFonts w:ascii="Palatino Linotype" w:hAnsi="Palatino Linotype" w:cs="Arial"/>
          <w:i/>
          <w:lang w:eastAsia="es-MX"/>
        </w:rPr>
        <w:t>;</w:t>
      </w:r>
    </w:p>
    <w:p w:rsidR="00EB32F6" w:rsidRPr="007167FC" w:rsidRDefault="00EB32F6" w:rsidP="00EB32F6">
      <w:pPr>
        <w:ind w:left="851" w:right="899"/>
        <w:jc w:val="center"/>
        <w:rPr>
          <w:rFonts w:ascii="Palatino Linotype" w:hAnsi="Palatino Linotype" w:cs="Arial"/>
          <w:i/>
          <w:lang w:eastAsia="es-MX"/>
        </w:rPr>
      </w:pPr>
      <w:r w:rsidRPr="007167FC">
        <w:rPr>
          <w:rFonts w:ascii="Palatino Linotype" w:hAnsi="Palatino Linotype" w:cs="Arial"/>
          <w:b/>
          <w:i/>
          <w:lang w:eastAsia="es-MX"/>
        </w:rPr>
        <w:t>Ley de Protección de Datos Personales en Posesión de Sujetos Obligados del Estado de México y Municipios</w:t>
      </w:r>
    </w:p>
    <w:p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b/>
          <w:i/>
          <w:lang w:eastAsia="es-MX"/>
        </w:rPr>
        <w:t>Artículo 4</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Para los efectos de esta Ley se entenderá por</w:t>
      </w:r>
      <w:r w:rsidRPr="007167FC">
        <w:rPr>
          <w:rFonts w:ascii="Palatino Linotype" w:hAnsi="Palatino Linotype" w:cs="Arial"/>
          <w:i/>
          <w:lang w:eastAsia="es-MX"/>
        </w:rPr>
        <w:t>:</w:t>
      </w:r>
    </w:p>
    <w:p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i/>
          <w:lang w:eastAsia="es-MX"/>
        </w:rPr>
        <w:t>[…]</w:t>
      </w:r>
    </w:p>
    <w:p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b/>
          <w:i/>
          <w:lang w:eastAsia="es-MX"/>
        </w:rPr>
        <w:t xml:space="preserve">XI. </w:t>
      </w:r>
      <w:r w:rsidRPr="007167FC">
        <w:rPr>
          <w:rFonts w:ascii="Palatino Linotype" w:hAnsi="Palatino Linotype" w:cs="Arial"/>
          <w:b/>
          <w:i/>
          <w:u w:val="single"/>
          <w:lang w:eastAsia="es-MX"/>
        </w:rPr>
        <w:t>Datos personales</w:t>
      </w:r>
      <w:r w:rsidRPr="007167FC">
        <w:rPr>
          <w:rFonts w:ascii="Palatino Linotype" w:hAnsi="Palatino Linotype" w:cs="Arial"/>
          <w:i/>
          <w:lang w:eastAsia="es-MX"/>
        </w:rPr>
        <w:t xml:space="preserve">: a </w:t>
      </w:r>
      <w:r w:rsidRPr="007167FC">
        <w:rPr>
          <w:rFonts w:ascii="Palatino Linotype" w:hAnsi="Palatino Linotype" w:cs="Arial"/>
          <w:b/>
          <w:i/>
          <w:u w:val="single"/>
          <w:lang w:eastAsia="es-MX"/>
        </w:rPr>
        <w:t>la información concerniente a una persona física o jurídica colectiva identificada o identificable</w:t>
      </w:r>
      <w:r w:rsidRPr="007167FC">
        <w:rPr>
          <w:rFonts w:ascii="Palatino Linotype" w:hAnsi="Palatino Linotype" w:cs="Arial"/>
          <w:i/>
          <w:lang w:eastAsia="es-MX"/>
        </w:rPr>
        <w:t xml:space="preserve">, establecida en cualquier formato o modalidad, y que esté almacenada en los sistemas y bases de datos, </w:t>
      </w:r>
      <w:r w:rsidRPr="007167FC">
        <w:rPr>
          <w:rFonts w:ascii="Palatino Linotype" w:hAnsi="Palatino Linotype" w:cs="Arial"/>
          <w:b/>
          <w:i/>
          <w:u w:val="single"/>
          <w:lang w:eastAsia="es-MX"/>
        </w:rPr>
        <w:t>se considerará que una persona es identificable cuando su identidad pueda determinarse directa o indirectamente</w:t>
      </w:r>
      <w:r w:rsidRPr="007167FC">
        <w:rPr>
          <w:rFonts w:ascii="Palatino Linotype" w:hAnsi="Palatino Linotype" w:cs="Arial"/>
          <w:i/>
          <w:lang w:eastAsia="es-MX"/>
        </w:rPr>
        <w:t xml:space="preserve"> a través de cualquier documento informativo físico o electrónico. </w:t>
      </w:r>
    </w:p>
    <w:p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b/>
          <w:i/>
          <w:lang w:eastAsia="es-MX"/>
        </w:rPr>
        <w:t xml:space="preserve">XII. </w:t>
      </w:r>
      <w:r w:rsidRPr="007167FC">
        <w:rPr>
          <w:rFonts w:ascii="Palatino Linotype" w:hAnsi="Palatino Linotype" w:cs="Arial"/>
          <w:b/>
          <w:i/>
          <w:u w:val="single"/>
          <w:lang w:eastAsia="es-MX"/>
        </w:rPr>
        <w:t>Datos personales sensibles</w:t>
      </w:r>
      <w:r w:rsidRPr="007167FC">
        <w:rPr>
          <w:rFonts w:ascii="Palatino Linotype" w:hAnsi="Palatino Linotype" w:cs="Arial"/>
          <w:i/>
          <w:lang w:eastAsia="es-MX"/>
        </w:rPr>
        <w:t xml:space="preserve">: a las </w:t>
      </w:r>
      <w:r w:rsidRPr="007167FC">
        <w:rPr>
          <w:rFonts w:ascii="Palatino Linotype" w:hAnsi="Palatino Linotype" w:cs="Arial"/>
          <w:b/>
          <w:i/>
          <w:u w:val="single"/>
          <w:lang w:eastAsia="es-MX"/>
        </w:rPr>
        <w:t>referentes de la esfera de su titular cuya utilización indebida pueda dar origen a discriminación o conlleve un riesgo grave</w:t>
      </w:r>
      <w:r w:rsidRPr="007167FC">
        <w:rPr>
          <w:rFonts w:ascii="Palatino Linotype" w:hAnsi="Palatino Linotype" w:cs="Arial"/>
          <w:i/>
          <w:lang w:eastAsia="es-MX"/>
        </w:rPr>
        <w:t xml:space="preserve"> para éste. De manera enunciativa más no limitativa, </w:t>
      </w:r>
      <w:r w:rsidRPr="007167FC">
        <w:rPr>
          <w:rFonts w:ascii="Palatino Linotype" w:hAnsi="Palatino Linotype" w:cs="Arial"/>
          <w:b/>
          <w:i/>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7167FC">
        <w:rPr>
          <w:rFonts w:ascii="Palatino Linotype" w:hAnsi="Palatino Linotype" w:cs="Arial"/>
          <w:i/>
          <w:lang w:eastAsia="es-MX"/>
        </w:rPr>
        <w:t>.”</w:t>
      </w:r>
    </w:p>
    <w:p w:rsidR="00EB32F6" w:rsidRPr="007167FC" w:rsidRDefault="00EB32F6" w:rsidP="00EB32F6">
      <w:pPr>
        <w:ind w:left="851" w:right="899"/>
        <w:jc w:val="both"/>
        <w:rPr>
          <w:rFonts w:ascii="Palatino Linotype" w:hAnsi="Palatino Linotype" w:cs="Arial"/>
          <w:lang w:eastAsia="es-MX"/>
        </w:rPr>
      </w:pPr>
      <w:r w:rsidRPr="007167FC">
        <w:rPr>
          <w:rFonts w:ascii="Palatino Linotype" w:hAnsi="Palatino Linotype" w:cs="Arial"/>
          <w:lang w:eastAsia="es-MX"/>
        </w:rPr>
        <w:lastRenderedPageBreak/>
        <w:t>(Énfasis añadido)</w:t>
      </w:r>
    </w:p>
    <w:p w:rsidR="00EB32F6" w:rsidRPr="007167FC" w:rsidRDefault="00EB32F6" w:rsidP="00EB32F6">
      <w:pPr>
        <w:ind w:left="709" w:right="709"/>
        <w:jc w:val="both"/>
        <w:rPr>
          <w:rFonts w:ascii="Palatino Linotype" w:hAnsi="Palatino Linotype" w:cs="Arial"/>
          <w:lang w:eastAsia="es-MX"/>
        </w:rPr>
      </w:pPr>
    </w:p>
    <w:p w:rsidR="00EB32F6" w:rsidRPr="007167FC" w:rsidRDefault="00EB32F6" w:rsidP="00EB32F6">
      <w:pPr>
        <w:widowControl w:val="0"/>
        <w:autoSpaceDE w:val="0"/>
        <w:autoSpaceDN w:val="0"/>
        <w:adjustRightInd w:val="0"/>
        <w:spacing w:line="360" w:lineRule="auto"/>
        <w:jc w:val="both"/>
        <w:rPr>
          <w:rFonts w:ascii="Palatino Linotype" w:eastAsia="Arial Unicode MS" w:hAnsi="Palatino Linotype" w:cs="Arial"/>
        </w:rPr>
      </w:pPr>
      <w:r w:rsidRPr="007167FC">
        <w:rPr>
          <w:rFonts w:ascii="Palatino Linotype" w:hAnsi="Palatino Linotype" w:cs="Arial"/>
          <w:bCs/>
        </w:rPr>
        <w:t xml:space="preserve">De una interpretación armónica y sistemática de dichos preceptos jurídicos, podemos advertir que la </w:t>
      </w:r>
      <w:r w:rsidRPr="007167FC">
        <w:rPr>
          <w:rFonts w:ascii="Palatino Linotype" w:hAnsi="Palatino Linotype"/>
          <w:bCs/>
        </w:rPr>
        <w:t>información</w:t>
      </w:r>
      <w:r w:rsidRPr="007167FC">
        <w:rPr>
          <w:rFonts w:ascii="Palatino Linotype" w:hAnsi="Palatino Linotype" w:cs="Arial"/>
          <w:bCs/>
        </w:rPr>
        <w:t xml:space="preserve"> privada es aquella contenida en documentos de orden público que se </w:t>
      </w:r>
      <w:r w:rsidRPr="007167FC">
        <w:rPr>
          <w:rFonts w:ascii="Palatino Linotype" w:hAnsi="Palatino Linotype" w:cs="Arial"/>
        </w:rPr>
        <w:t>refiera</w:t>
      </w:r>
      <w:r w:rsidRPr="007167FC">
        <w:rPr>
          <w:rFonts w:ascii="Palatino Linotype" w:hAnsi="Palatino Linotype" w:cs="Arial"/>
          <w:bCs/>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7167FC">
        <w:rPr>
          <w:rFonts w:ascii="Palatino Linotype" w:eastAsia="Arial Unicode MS" w:hAnsi="Palatino Linotype" w:cs="Arial"/>
        </w:rPr>
        <w:t xml:space="preserve">siempre que </w:t>
      </w:r>
      <w:r w:rsidRPr="007167FC">
        <w:rPr>
          <w:rFonts w:ascii="Palatino Linotype" w:hAnsi="Palatino Linotype" w:cs="Arial"/>
          <w:b/>
          <w:u w:val="single"/>
          <w:lang w:eastAsia="es-MX"/>
        </w:rPr>
        <w:t>no involucren el ejercicio de recursos públicos</w:t>
      </w:r>
      <w:r w:rsidRPr="007167FC">
        <w:rPr>
          <w:rFonts w:ascii="Palatino Linotype" w:eastAsia="Arial Unicode MS" w:hAnsi="Palatino Linotype" w:cs="Arial"/>
        </w:rPr>
        <w:t>.</w:t>
      </w:r>
    </w:p>
    <w:p w:rsidR="00EB32F6" w:rsidRPr="007167FC" w:rsidRDefault="00EB32F6" w:rsidP="00EB32F6">
      <w:pPr>
        <w:widowControl w:val="0"/>
        <w:autoSpaceDE w:val="0"/>
        <w:autoSpaceDN w:val="0"/>
        <w:adjustRightInd w:val="0"/>
        <w:spacing w:line="360" w:lineRule="auto"/>
        <w:jc w:val="both"/>
        <w:rPr>
          <w:rFonts w:ascii="Palatino Linotype" w:eastAsia="Arial Unicode MS" w:hAnsi="Palatino Linotype" w:cs="Arial"/>
        </w:rPr>
      </w:pPr>
      <w:r w:rsidRPr="007167FC">
        <w:rPr>
          <w:rFonts w:ascii="Palatino Linotype" w:hAnsi="Palatino Linotype" w:cs="Arial"/>
          <w:bCs/>
        </w:rPr>
        <w:t xml:space="preserve">En ese tenor, existe información </w:t>
      </w:r>
      <w:r w:rsidRPr="007167FC">
        <w:rPr>
          <w:rFonts w:ascii="Palatino Linotype" w:eastAsia="Arial Unicode MS" w:hAnsi="Palatino Linotype" w:cs="Arial"/>
        </w:rPr>
        <w:t>personal</w:t>
      </w:r>
      <w:r w:rsidRPr="007167FC">
        <w:rPr>
          <w:rFonts w:ascii="Palatino Linotype" w:hAnsi="Palatino Linotype" w:cs="Arial"/>
          <w:lang w:eastAsia="es-MX"/>
        </w:rPr>
        <w:t xml:space="preserve"> que tiene un grado de sensibilidad tal, que su revelación </w:t>
      </w:r>
      <w:r w:rsidRPr="007167FC">
        <w:rPr>
          <w:rFonts w:ascii="Palatino Linotype" w:hAnsi="Palatino Linotype" w:cs="Arial"/>
        </w:rPr>
        <w:t>puede</w:t>
      </w:r>
      <w:r w:rsidRPr="007167FC">
        <w:rPr>
          <w:rFonts w:ascii="Palatino Linotype" w:hAnsi="Palatino Linotype" w:cs="Arial"/>
          <w:lang w:eastAsia="es-MX"/>
        </w:rPr>
        <w:t xml:space="preserve"> poner en riesgo a las personas, las cuales, sin oponerse a lo anterior, son susceptibles de </w:t>
      </w:r>
      <w:r w:rsidRPr="007167FC">
        <w:rPr>
          <w:rFonts w:ascii="Palatino Linotype" w:hAnsi="Palatino Linotype" w:cs="Arial"/>
          <w:bCs/>
        </w:rPr>
        <w:t>clasificarse</w:t>
      </w:r>
      <w:r w:rsidRPr="007167FC">
        <w:rPr>
          <w:rFonts w:ascii="Palatino Linotype" w:hAnsi="Palatino Linotype" w:cs="Arial"/>
          <w:lang w:eastAsia="es-MX"/>
        </w:rPr>
        <w:t xml:space="preserve"> como confidenciales, como lo son origen étnico o racial; características físicas; </w:t>
      </w:r>
      <w:r w:rsidRPr="007167FC">
        <w:rPr>
          <w:rFonts w:ascii="Palatino Linotype" w:hAnsi="Palatino Linotype"/>
          <w:bCs/>
        </w:rPr>
        <w:t>características</w:t>
      </w:r>
      <w:r w:rsidRPr="007167FC">
        <w:rPr>
          <w:rFonts w:ascii="Palatino Linotype" w:hAnsi="Palatino Linotype" w:cs="Arial"/>
          <w:lang w:eastAsia="es-MX"/>
        </w:rPr>
        <w:t xml:space="preserve"> morales; características emocionales; vida afectiva; vida familiar; </w:t>
      </w:r>
      <w:r w:rsidRPr="007167FC">
        <w:rPr>
          <w:rFonts w:ascii="Palatino Linotype" w:hAnsi="Palatino Linotype" w:cs="Arial"/>
          <w:b/>
          <w:lang w:eastAsia="es-MX"/>
        </w:rPr>
        <w:t>domicilio particular</w:t>
      </w:r>
      <w:r w:rsidRPr="007167FC">
        <w:rPr>
          <w:rFonts w:ascii="Palatino Linotype" w:hAnsi="Palatino Linotype" w:cs="Arial"/>
          <w:lang w:eastAsia="es-MX"/>
        </w:rPr>
        <w:t xml:space="preserve">; número telefónico particular; </w:t>
      </w:r>
      <w:r w:rsidRPr="007167FC">
        <w:rPr>
          <w:rFonts w:ascii="Palatino Linotype" w:hAnsi="Palatino Linotype" w:cs="Arial"/>
          <w:b/>
          <w:lang w:eastAsia="es-MX"/>
        </w:rPr>
        <w:t>patrimonio</w:t>
      </w:r>
      <w:r w:rsidRPr="007167FC">
        <w:rPr>
          <w:rFonts w:ascii="Palatino Linotype" w:hAnsi="Palatino Linotype" w:cs="Arial"/>
          <w:lang w:eastAsia="es-MX"/>
        </w:rPr>
        <w:t>; ideología; opinión política; creencia o convicción religiosa; creencia o convicción filosófica; estado de salud física; estado de salud mental; estado civil; preferencia sexual; y otras análogas que afecten su intimidad,</w:t>
      </w:r>
      <w:r w:rsidRPr="007167FC">
        <w:rPr>
          <w:rFonts w:ascii="Palatino Linotype" w:eastAsia="Arial Unicode MS" w:hAnsi="Palatino Linotype" w:cs="Arial"/>
        </w:rPr>
        <w:t xml:space="preserve"> que pongan en riesgo la vida, seguridad o salud de las mismas.</w:t>
      </w:r>
    </w:p>
    <w:p w:rsidR="00EB32F6" w:rsidRPr="007167FC" w:rsidRDefault="00EB32F6" w:rsidP="00EB32F6">
      <w:pPr>
        <w:widowControl w:val="0"/>
        <w:autoSpaceDE w:val="0"/>
        <w:autoSpaceDN w:val="0"/>
        <w:adjustRightInd w:val="0"/>
        <w:spacing w:line="360" w:lineRule="auto"/>
        <w:jc w:val="both"/>
        <w:rPr>
          <w:rFonts w:ascii="Palatino Linotype" w:eastAsia="Arial Unicode MS" w:hAnsi="Palatino Linotype" w:cs="Arial"/>
        </w:rPr>
      </w:pPr>
    </w:p>
    <w:p w:rsidR="00EB32F6" w:rsidRPr="007167FC" w:rsidRDefault="00EB32F6" w:rsidP="00EB32F6">
      <w:pPr>
        <w:widowControl w:val="0"/>
        <w:autoSpaceDE w:val="0"/>
        <w:autoSpaceDN w:val="0"/>
        <w:adjustRightInd w:val="0"/>
        <w:spacing w:line="360" w:lineRule="auto"/>
        <w:jc w:val="both"/>
        <w:rPr>
          <w:rFonts w:ascii="Palatino Linotype" w:hAnsi="Palatino Linotype"/>
        </w:rPr>
      </w:pPr>
      <w:r w:rsidRPr="007167FC">
        <w:rPr>
          <w:rFonts w:ascii="Palatino Linotype" w:eastAsia="Arial Unicode MS" w:hAnsi="Palatino Linotype" w:cs="Arial"/>
        </w:rPr>
        <w:t xml:space="preserve">Por cuanto hace al domicilio, sirve </w:t>
      </w:r>
      <w:r w:rsidRPr="007167FC">
        <w:rPr>
          <w:rFonts w:ascii="Palatino Linotype" w:hAnsi="Palatino Linotype" w:cs="Arial"/>
          <w:lang w:val="es-ES"/>
        </w:rPr>
        <w:t xml:space="preserve">de apoyo a lo anterior, </w:t>
      </w:r>
      <w:r w:rsidRPr="007167FC">
        <w:rPr>
          <w:rFonts w:ascii="Palatino Linotype" w:hAnsi="Palatino Linotype" w:cs="Arial"/>
        </w:rPr>
        <w:t xml:space="preserve">la Tesis Aislada con número de registro </w:t>
      </w:r>
      <w:r w:rsidRPr="007167FC">
        <w:rPr>
          <w:rFonts w:ascii="Palatino Linotype" w:eastAsia="Arial Unicode MS" w:hAnsi="Palatino Linotype" w:cs="Arial"/>
        </w:rPr>
        <w:t>2000979</w:t>
      </w:r>
      <w:r w:rsidRPr="007167FC">
        <w:rPr>
          <w:rFonts w:ascii="Palatino Linotype" w:hAnsi="Palatino Linotype" w:cs="Arial"/>
          <w:lang w:val="es-ES_tradnl"/>
        </w:rPr>
        <w:t xml:space="preserve">, </w:t>
      </w:r>
      <w:r w:rsidRPr="007167FC">
        <w:rPr>
          <w:rFonts w:ascii="Palatino Linotype" w:hAnsi="Palatino Linotype"/>
        </w:rPr>
        <w:t xml:space="preserve">de la Décima Época de la </w:t>
      </w:r>
      <w:r w:rsidRPr="007167FC">
        <w:rPr>
          <w:rFonts w:ascii="Palatino Linotype" w:hAnsi="Palatino Linotype" w:cs="Arial"/>
          <w:lang w:val="es-ES_tradnl"/>
        </w:rPr>
        <w:t xml:space="preserve">Primera </w:t>
      </w:r>
      <w:r w:rsidRPr="007167FC">
        <w:rPr>
          <w:rFonts w:ascii="Palatino Linotype" w:hAnsi="Palatino Linotype"/>
        </w:rPr>
        <w:t xml:space="preserve">Sala de la Suprema Corte de Justicia de la Nación, publicada en la página </w:t>
      </w:r>
      <w:r w:rsidRPr="007167FC">
        <w:rPr>
          <w:rFonts w:ascii="Palatino Linotype" w:eastAsia="Arial Unicode MS" w:hAnsi="Palatino Linotype" w:cs="Arial"/>
        </w:rPr>
        <w:t xml:space="preserve">258 </w:t>
      </w:r>
      <w:r w:rsidRPr="007167FC">
        <w:rPr>
          <w:rFonts w:ascii="Palatino Linotype" w:hAnsi="Palatino Linotype"/>
        </w:rPr>
        <w:t xml:space="preserve">del Libro IX, Tomo 1 de junio de 2012, en el Semanario Judicial de la Federación, misma que refiere lo siguiente: </w:t>
      </w:r>
    </w:p>
    <w:p w:rsidR="00EB32F6" w:rsidRPr="007167FC" w:rsidRDefault="00EB32F6" w:rsidP="00EB32F6">
      <w:pPr>
        <w:widowControl w:val="0"/>
        <w:autoSpaceDE w:val="0"/>
        <w:autoSpaceDN w:val="0"/>
        <w:adjustRightInd w:val="0"/>
        <w:jc w:val="both"/>
        <w:rPr>
          <w:rFonts w:ascii="Palatino Linotype" w:hAnsi="Palatino Linotype"/>
        </w:rPr>
      </w:pPr>
    </w:p>
    <w:p w:rsidR="00EB32F6" w:rsidRPr="007167FC" w:rsidRDefault="00EB32F6" w:rsidP="00EB32F6">
      <w:pPr>
        <w:ind w:left="851" w:right="899"/>
        <w:jc w:val="both"/>
        <w:rPr>
          <w:rFonts w:ascii="Palatino Linotype" w:eastAsia="Arial Unicode MS" w:hAnsi="Palatino Linotype" w:cs="Arial"/>
          <w:i/>
        </w:rPr>
      </w:pPr>
      <w:r w:rsidRPr="007167FC">
        <w:rPr>
          <w:rFonts w:ascii="Palatino Linotype" w:eastAsia="Arial Unicode MS" w:hAnsi="Palatino Linotype" w:cs="Arial"/>
          <w:b/>
          <w:i/>
        </w:rPr>
        <w:t>“DOMICILIO. SU CONCEPTO PARA EFECTOS DE PROTECCIÓN CONSTITUCIONAL.</w:t>
      </w:r>
      <w:r w:rsidRPr="007167FC">
        <w:rPr>
          <w:rFonts w:ascii="Palatino Linotype" w:eastAsia="Arial Unicode MS" w:hAnsi="Palatino Linotype" w:cs="Arial"/>
          <w:i/>
        </w:rPr>
        <w:t xml:space="preserve"> El concepto de domicilio que contempla el artículo 16 de la Constitución Política de los Estados Unidos Mexicanos, no coincide plenamente con </w:t>
      </w:r>
      <w:r w:rsidRPr="007167FC">
        <w:rPr>
          <w:rFonts w:ascii="Palatino Linotype" w:eastAsia="Arial Unicode MS" w:hAnsi="Palatino Linotype" w:cs="Arial"/>
          <w:i/>
        </w:rPr>
        <w:lastRenderedPageBreak/>
        <w:t xml:space="preserve">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roulottes, campers o </w:t>
      </w:r>
      <w:r w:rsidRPr="007167FC">
        <w:rPr>
          <w:rFonts w:ascii="Palatino Linotype" w:eastAsia="Arial Unicode MS" w:hAnsi="Palatino Linotype" w:cs="Arial"/>
          <w:i/>
        </w:rPr>
        <w:lastRenderedPageBreak/>
        <w:t>autocaravanas, los cuales gozarán de protección constitucional cuando sean aptos para servir de auténtica vivienda.</w:t>
      </w:r>
    </w:p>
    <w:p w:rsidR="00EB32F6" w:rsidRPr="007167FC" w:rsidRDefault="00EB32F6" w:rsidP="00EB32F6">
      <w:pPr>
        <w:ind w:left="851" w:right="899"/>
        <w:jc w:val="both"/>
        <w:rPr>
          <w:rFonts w:ascii="Palatino Linotype" w:eastAsia="Arial Unicode MS" w:hAnsi="Palatino Linotype" w:cs="Arial"/>
          <w:i/>
        </w:rPr>
      </w:pPr>
      <w:r w:rsidRPr="007167FC">
        <w:rPr>
          <w:rFonts w:ascii="Palatino Linotype" w:eastAsia="Arial Unicode MS" w:hAnsi="Palatino Linotype" w:cs="Arial"/>
          <w:i/>
        </w:rPr>
        <w:t>Amparo directo en revisión 2420/</w:t>
      </w:r>
      <w:r w:rsidRPr="007167FC">
        <w:rPr>
          <w:rFonts w:ascii="Palatino Linotype" w:hAnsi="Palatino Linotype" w:cs="Arial"/>
          <w:i/>
          <w:lang w:eastAsia="es-MX"/>
        </w:rPr>
        <w:t>2011</w:t>
      </w:r>
      <w:r w:rsidRPr="007167FC">
        <w:rPr>
          <w:rFonts w:ascii="Palatino Linotype" w:eastAsia="Arial Unicode MS" w:hAnsi="Palatino Linotype" w:cs="Arial"/>
          <w:i/>
        </w:rPr>
        <w:t>. 11 de abril de 2012. Cinco votos. Ponente: Arturo Zaldívar Lelo de Larrea. Secretario: Javier Mijangos y González.”</w:t>
      </w:r>
    </w:p>
    <w:p w:rsidR="00EB32F6" w:rsidRPr="007167FC" w:rsidRDefault="00EB32F6" w:rsidP="00EB32F6">
      <w:pPr>
        <w:ind w:left="709" w:right="709"/>
        <w:jc w:val="both"/>
        <w:rPr>
          <w:rFonts w:ascii="Palatino Linotype" w:eastAsia="Arial Unicode MS" w:hAnsi="Palatino Linotype" w:cs="Arial"/>
          <w:i/>
        </w:rPr>
      </w:pPr>
    </w:p>
    <w:p w:rsidR="00EB32F6" w:rsidRPr="007167FC" w:rsidRDefault="00EB32F6" w:rsidP="00EB32F6">
      <w:pPr>
        <w:spacing w:line="360" w:lineRule="auto"/>
        <w:jc w:val="both"/>
        <w:rPr>
          <w:rFonts w:ascii="Palatino Linotype" w:hAnsi="Palatino Linotype" w:cs="Arial"/>
          <w:bCs/>
        </w:rPr>
      </w:pPr>
      <w:r w:rsidRPr="007167FC">
        <w:rPr>
          <w:rFonts w:ascii="Palatino Linotype" w:hAnsi="Palatino Linotype" w:cs="Arial"/>
          <w:bCs/>
        </w:rPr>
        <w:t xml:space="preserve">En ese tenor, se reitera que la información solicitada por la hoy </w:t>
      </w:r>
      <w:r w:rsidRPr="007167FC">
        <w:rPr>
          <w:rFonts w:ascii="Palatino Linotype" w:hAnsi="Palatino Linotype" w:cs="Arial"/>
          <w:b/>
          <w:bCs/>
        </w:rPr>
        <w:t>RECURRENTE</w:t>
      </w:r>
      <w:r w:rsidRPr="007167FC">
        <w:rPr>
          <w:rFonts w:ascii="Palatino Linotype" w:hAnsi="Palatino Linotype" w:cs="Arial"/>
          <w:bCs/>
        </w:rPr>
        <w:t xml:space="preserve"> consistente en claves catastrales</w:t>
      </w:r>
      <w:r w:rsidRPr="007167FC">
        <w:rPr>
          <w:rFonts w:ascii="Palatino Linotype" w:hAnsi="Palatino Linotype"/>
        </w:rPr>
        <w:t>, por lo que, se trata de</w:t>
      </w:r>
      <w:r w:rsidRPr="007167FC">
        <w:rPr>
          <w:rFonts w:ascii="Palatino Linotype" w:hAnsi="Palatino Linotype" w:cs="Arial"/>
        </w:rPr>
        <w:t xml:space="preserve"> información privada que sólo le atañe a sus titulares, máxime que se trata de información que no es referente a </w:t>
      </w:r>
      <w:r w:rsidRPr="007167FC">
        <w:rPr>
          <w:rFonts w:ascii="Palatino Linotype" w:hAnsi="Palatino Linotype" w:cs="Arial"/>
          <w:bCs/>
        </w:rPr>
        <w:t>servidores públicos sino de particulares.</w:t>
      </w:r>
    </w:p>
    <w:p w:rsidR="00EB32F6" w:rsidRPr="007167FC" w:rsidRDefault="00EB32F6" w:rsidP="00EB32F6">
      <w:pPr>
        <w:spacing w:line="360" w:lineRule="auto"/>
        <w:jc w:val="both"/>
        <w:rPr>
          <w:rFonts w:ascii="Palatino Linotype" w:hAnsi="Palatino Linotype" w:cs="Arial"/>
          <w:bCs/>
        </w:rPr>
      </w:pPr>
    </w:p>
    <w:p w:rsidR="00EB32F6" w:rsidRPr="007167FC" w:rsidRDefault="00EB32F6" w:rsidP="00EB32F6">
      <w:pPr>
        <w:spacing w:line="360" w:lineRule="auto"/>
        <w:jc w:val="both"/>
        <w:rPr>
          <w:rFonts w:ascii="Palatino Linotype" w:hAnsi="Palatino Linotype" w:cs="Arial"/>
        </w:rPr>
      </w:pPr>
      <w:r w:rsidRPr="007167FC">
        <w:rPr>
          <w:rFonts w:ascii="Palatino Linotype" w:hAnsi="Palatino Linotype"/>
        </w:rPr>
        <w:t xml:space="preserve">Lo anterior es así, pues no debe perderse de vista que </w:t>
      </w:r>
      <w:r w:rsidRPr="007167FC">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rsidR="00EB32F6" w:rsidRPr="007167FC" w:rsidRDefault="00EB32F6" w:rsidP="00EB32F6">
      <w:pPr>
        <w:autoSpaceDE w:val="0"/>
        <w:autoSpaceDN w:val="0"/>
        <w:adjustRightInd w:val="0"/>
        <w:spacing w:line="360" w:lineRule="auto"/>
        <w:ind w:right="49"/>
        <w:jc w:val="both"/>
        <w:rPr>
          <w:rFonts w:ascii="Palatino Linotype" w:hAnsi="Palatino Linotype" w:cs="Arial"/>
        </w:rPr>
      </w:pPr>
    </w:p>
    <w:p w:rsidR="00EB32F6" w:rsidRPr="007167FC" w:rsidRDefault="00EB32F6" w:rsidP="00EB32F6">
      <w:pPr>
        <w:autoSpaceDE w:val="0"/>
        <w:autoSpaceDN w:val="0"/>
        <w:adjustRightInd w:val="0"/>
        <w:spacing w:line="360" w:lineRule="auto"/>
        <w:ind w:right="49"/>
        <w:jc w:val="both"/>
        <w:rPr>
          <w:rFonts w:ascii="Palatino Linotype" w:hAnsi="Palatino Linotype" w:cs="Arial"/>
        </w:rPr>
      </w:pPr>
      <w:r w:rsidRPr="007167FC">
        <w:rPr>
          <w:rFonts w:ascii="Palatino Linotype" w:hAnsi="Palatino Linotype" w:cs="Arial"/>
        </w:rPr>
        <w:t xml:space="preserve">Atento a ello, </w:t>
      </w:r>
      <w:r w:rsidRPr="007167FC">
        <w:rPr>
          <w:rFonts w:ascii="Palatino Linotype" w:eastAsia="Calibri" w:hAnsi="Palatino Linotype" w:cs="Arial"/>
          <w:lang w:val="es-ES" w:eastAsia="es-MX"/>
        </w:rPr>
        <w:t xml:space="preserve">procedente la clasificación de la información de conformidad con lo </w:t>
      </w:r>
      <w:r w:rsidRPr="007167FC">
        <w:rPr>
          <w:rFonts w:ascii="Palatino Linotype" w:hAnsi="Palatino Linotype" w:cs="Arial"/>
        </w:rPr>
        <w:t>dispuesto en los artículos 3, fracciones IX, XX y XXI y 91 de la Ley de Transparencia y Acceso a la Información Pública del Estado de México y Municipios que establecen:</w:t>
      </w:r>
    </w:p>
    <w:p w:rsidR="00EB32F6" w:rsidRPr="007167FC" w:rsidRDefault="00EB32F6" w:rsidP="00EB32F6">
      <w:pPr>
        <w:ind w:right="49"/>
        <w:jc w:val="both"/>
        <w:rPr>
          <w:rFonts w:ascii="Palatino Linotype" w:hAnsi="Palatino Linotype" w:cs="Arial"/>
        </w:rPr>
      </w:pPr>
    </w:p>
    <w:p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“Artículo 3.</w:t>
      </w:r>
      <w:r w:rsidRPr="007167FC">
        <w:rPr>
          <w:rFonts w:ascii="Palatino Linotype" w:hAnsi="Palatino Linotype" w:cs="Arial"/>
          <w:i/>
        </w:rPr>
        <w:t xml:space="preserve"> Para los efectos de la presente Ley se entenderá por:</w:t>
      </w:r>
    </w:p>
    <w:p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i/>
        </w:rPr>
        <w:t>[…]</w:t>
      </w:r>
    </w:p>
    <w:p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lastRenderedPageBreak/>
        <w:t>IX. Datos personales:</w:t>
      </w:r>
      <w:r w:rsidRPr="007167FC">
        <w:rPr>
          <w:rFonts w:ascii="Palatino Linotype" w:hAnsi="Palatino Linotype" w:cs="Arial"/>
          <w:i/>
        </w:rPr>
        <w:t xml:space="preserve"> La información concerniente a una persona, identificada o identificable según lo dispuesto por la Ley de Protección de Datos Personales del Estado de México; </w:t>
      </w:r>
    </w:p>
    <w:p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XX.</w:t>
      </w:r>
      <w:r w:rsidRPr="007167FC">
        <w:rPr>
          <w:rFonts w:ascii="Palatino Linotype" w:hAnsi="Palatino Linotype" w:cs="Arial"/>
          <w:i/>
        </w:rPr>
        <w:t xml:space="preserve"> </w:t>
      </w:r>
      <w:r w:rsidRPr="007167FC">
        <w:rPr>
          <w:rFonts w:ascii="Palatino Linotype" w:hAnsi="Palatino Linotype" w:cs="Arial"/>
          <w:b/>
          <w:i/>
        </w:rPr>
        <w:t>Información clasificada:</w:t>
      </w:r>
      <w:r w:rsidRPr="007167FC">
        <w:rPr>
          <w:rFonts w:ascii="Palatino Linotype" w:hAnsi="Palatino Linotype" w:cs="Arial"/>
          <w:i/>
        </w:rPr>
        <w:t xml:space="preserve"> Aquella considerada por la presente Ley como reservada o confidencial;</w:t>
      </w:r>
    </w:p>
    <w:p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XXI.</w:t>
      </w:r>
      <w:r w:rsidRPr="007167FC">
        <w:rPr>
          <w:rFonts w:ascii="Palatino Linotype" w:hAnsi="Palatino Linotype" w:cs="Arial"/>
          <w:i/>
        </w:rPr>
        <w:t xml:space="preserve"> </w:t>
      </w:r>
      <w:r w:rsidRPr="007167FC">
        <w:rPr>
          <w:rFonts w:ascii="Palatino Linotype" w:hAnsi="Palatino Linotype" w:cs="Arial"/>
          <w:b/>
          <w:i/>
        </w:rPr>
        <w:t>Información confidencial:</w:t>
      </w:r>
      <w:r w:rsidRPr="007167F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i/>
        </w:rPr>
        <w:t>[…]</w:t>
      </w:r>
    </w:p>
    <w:p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b/>
          <w:i/>
          <w:lang w:eastAsia="es-MX"/>
        </w:rPr>
        <w:t>XXIII</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Información privada</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La contenida en documentos públicos</w:t>
      </w:r>
      <w:r w:rsidRPr="007167FC">
        <w:rPr>
          <w:rFonts w:ascii="Palatino Linotype" w:hAnsi="Palatino Linotype" w:cs="Arial"/>
          <w:i/>
          <w:lang w:eastAsia="es-MX"/>
        </w:rPr>
        <w:t xml:space="preserve"> o privados </w:t>
      </w:r>
      <w:r w:rsidRPr="007167FC">
        <w:rPr>
          <w:rFonts w:ascii="Palatino Linotype" w:hAnsi="Palatino Linotype" w:cs="Arial"/>
          <w:b/>
          <w:i/>
          <w:u w:val="single"/>
          <w:lang w:eastAsia="es-MX"/>
        </w:rPr>
        <w:t>que refiera a la vida privada y/o los datos personales, que no son de acceso público</w:t>
      </w:r>
      <w:r w:rsidRPr="007167FC">
        <w:rPr>
          <w:rFonts w:ascii="Palatino Linotype" w:hAnsi="Palatino Linotype" w:cs="Arial"/>
          <w:i/>
          <w:lang w:eastAsia="es-MX"/>
        </w:rPr>
        <w:t>;</w:t>
      </w:r>
    </w:p>
    <w:p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i/>
        </w:rPr>
        <w:t xml:space="preserve"> […]</w:t>
      </w:r>
    </w:p>
    <w:p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 xml:space="preserve">Artículo 91. </w:t>
      </w:r>
      <w:r w:rsidRPr="007167FC">
        <w:rPr>
          <w:rFonts w:ascii="Palatino Linotype" w:hAnsi="Palatino Linotype" w:cs="Arial"/>
          <w:i/>
        </w:rPr>
        <w:t>El acceso a la información pública será restringido excepcionalmente, cuando ésta sea clasificada como reservada o confidencial.</w:t>
      </w:r>
    </w:p>
    <w:p w:rsidR="00EB32F6" w:rsidRPr="007167FC" w:rsidRDefault="00EB32F6" w:rsidP="00EB32F6">
      <w:pPr>
        <w:autoSpaceDE w:val="0"/>
        <w:autoSpaceDN w:val="0"/>
        <w:adjustRightInd w:val="0"/>
        <w:ind w:right="49"/>
        <w:jc w:val="both"/>
        <w:rPr>
          <w:rFonts w:ascii="Palatino Linotype" w:eastAsia="Calibri" w:hAnsi="Palatino Linotype" w:cs="Bookman Old Style,Bold"/>
          <w:bCs/>
          <w:color w:val="0D0D0D"/>
        </w:rPr>
      </w:pPr>
    </w:p>
    <w:p w:rsidR="00EB32F6" w:rsidRPr="007167FC" w:rsidRDefault="00EB32F6" w:rsidP="00EB32F6">
      <w:pPr>
        <w:autoSpaceDE w:val="0"/>
        <w:autoSpaceDN w:val="0"/>
        <w:adjustRightInd w:val="0"/>
        <w:spacing w:line="360" w:lineRule="auto"/>
        <w:ind w:right="49"/>
        <w:jc w:val="both"/>
        <w:rPr>
          <w:rFonts w:ascii="Palatino Linotype" w:hAnsi="Palatino Linotype" w:cs="Arial"/>
          <w:lang w:val="es-ES_tradnl"/>
        </w:rPr>
      </w:pPr>
      <w:r w:rsidRPr="007167FC">
        <w:rPr>
          <w:rFonts w:ascii="Palatino Linotype" w:eastAsia="Calibri" w:hAnsi="Palatino Linotype" w:cs="Bookman Old Style,Bold"/>
          <w:bCs/>
          <w:color w:val="0D0D0D"/>
        </w:rPr>
        <w:t xml:space="preserve">No obstante, es de precisar que la clasificación de la información no se da por el simple mandato de la ley, sino que </w:t>
      </w:r>
      <w:r w:rsidRPr="007167FC">
        <w:rPr>
          <w:rFonts w:ascii="Palatino Linotype" w:hAnsi="Palatino Linotype"/>
        </w:rPr>
        <w:t xml:space="preserve">es necesario que </w:t>
      </w:r>
      <w:r w:rsidRPr="007167FC">
        <w:rPr>
          <w:rFonts w:ascii="Palatino Linotype" w:hAnsi="Palatino Linotype"/>
          <w:b/>
        </w:rPr>
        <w:t xml:space="preserve">EL SUJETO OBLIGADO </w:t>
      </w:r>
      <w:r w:rsidRPr="007167FC">
        <w:rPr>
          <w:rFonts w:ascii="Palatino Linotype" w:hAnsi="Palatino Linotype"/>
        </w:rPr>
        <w:t xml:space="preserve">emita el </w:t>
      </w:r>
      <w:r w:rsidRPr="007167FC">
        <w:rPr>
          <w:rFonts w:ascii="Palatino Linotype" w:eastAsia="Calibri" w:hAnsi="Palatino Linotype" w:cs="Bookman Old Style,Bold"/>
          <w:bCs/>
          <w:color w:val="0D0D0D"/>
        </w:rPr>
        <w:t xml:space="preserve">Acuerdo de clasificación de la información como confidencial, cumpliendo con la </w:t>
      </w:r>
      <w:r w:rsidRPr="007167FC">
        <w:rPr>
          <w:rFonts w:ascii="Palatino Linotype" w:hAnsi="Palatino Linotype" w:cs="Arial"/>
          <w:lang w:val="es-ES_tradnl"/>
        </w:rPr>
        <w:t xml:space="preserve">forma y formalidades que la ley impone; </w:t>
      </w:r>
      <w:r w:rsidRPr="007167FC">
        <w:rPr>
          <w:rFonts w:ascii="Palatino Linotype" w:hAnsi="Palatino Linotype" w:cs="Arial"/>
        </w:rPr>
        <w:t>es</w:t>
      </w:r>
      <w:r w:rsidRPr="007167FC">
        <w:rPr>
          <w:rFonts w:ascii="Palatino Linotype" w:hAnsi="Palatino Linotype" w:cs="Arial"/>
          <w:lang w:val="es-ES_tradnl"/>
        </w:rPr>
        <w:t xml:space="preserve"> decir, mediante acuerdo debidamente fundado y motivado, en términos de los numerales 49, fracción VIII, 132 fracciones I, II y III, </w:t>
      </w:r>
      <w:r w:rsidRPr="007167FC">
        <w:rPr>
          <w:rFonts w:ascii="Palatino Linotype" w:hAnsi="Palatino Linotype" w:cs="Arial"/>
        </w:rPr>
        <w:t xml:space="preserve">y 143, fracción I </w:t>
      </w:r>
      <w:r w:rsidRPr="007167FC">
        <w:rPr>
          <w:rFonts w:ascii="Palatino Linotype" w:hAnsi="Palatino Linotype" w:cs="Arial"/>
          <w:lang w:val="es-ES_tradnl"/>
        </w:rPr>
        <w:t xml:space="preserve">de la Ley de Transparencia y Acceso a la Información Pública del Estado de México y Municipios, los cuales disponen lo siguiente: </w:t>
      </w:r>
    </w:p>
    <w:p w:rsidR="00EB32F6" w:rsidRPr="007167FC" w:rsidRDefault="00EB32F6" w:rsidP="00EB32F6">
      <w:pPr>
        <w:autoSpaceDE w:val="0"/>
        <w:autoSpaceDN w:val="0"/>
        <w:adjustRightInd w:val="0"/>
        <w:ind w:right="49"/>
        <w:jc w:val="both"/>
        <w:rPr>
          <w:rFonts w:ascii="Palatino Linotype" w:hAnsi="Palatino Linotype" w:cs="Arial"/>
          <w:lang w:val="es-ES_tradnl"/>
        </w:rPr>
      </w:pP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 xml:space="preserve">“Artículo 49. </w:t>
      </w:r>
      <w:r w:rsidRPr="007167FC">
        <w:rPr>
          <w:rFonts w:ascii="Palatino Linotype" w:hAnsi="Palatino Linotype" w:cs="Arial"/>
          <w:i/>
          <w:lang w:eastAsia="es-MX"/>
        </w:rPr>
        <w:t>Los Comités de Transparencia tendrán las siguientes atribuciones:</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VIII.</w:t>
      </w:r>
      <w:r w:rsidRPr="007167FC">
        <w:rPr>
          <w:rFonts w:ascii="Palatino Linotype" w:hAnsi="Palatino Linotype" w:cs="Arial"/>
          <w:i/>
          <w:lang w:eastAsia="es-MX"/>
        </w:rPr>
        <w:t xml:space="preserve"> Aprobar, modificar o revocar la clasificación de la información;</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lastRenderedPageBreak/>
        <w:t>Artículo 132.</w:t>
      </w:r>
      <w:r w:rsidRPr="007167FC">
        <w:rPr>
          <w:rFonts w:ascii="Palatino Linotype" w:hAnsi="Palatino Linotype" w:cs="Arial"/>
          <w:i/>
          <w:lang w:eastAsia="es-MX"/>
        </w:rPr>
        <w:t xml:space="preserve"> La clasificación de la información se llevará a cabo en el momento en que:</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I.</w:t>
      </w:r>
      <w:r w:rsidRPr="007167FC">
        <w:rPr>
          <w:rFonts w:ascii="Palatino Linotype" w:hAnsi="Palatino Linotype" w:cs="Arial"/>
          <w:i/>
          <w:lang w:eastAsia="es-MX"/>
        </w:rPr>
        <w:t xml:space="preserve"> Se reciba una solicitud de acceso a la información;</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II.</w:t>
      </w:r>
      <w:r w:rsidRPr="007167FC">
        <w:rPr>
          <w:rFonts w:ascii="Palatino Linotype" w:hAnsi="Palatino Linotype" w:cs="Arial"/>
          <w:i/>
          <w:lang w:eastAsia="es-MX"/>
        </w:rPr>
        <w:t xml:space="preserve"> Se determine mediante resolución de autoridad competente; o</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i/>
          <w:lang w:eastAsia="es-MX"/>
        </w:rPr>
        <w:t>III. Se generen versiones públicas para dar cumplimiento a las obligaciones de transparencia previstas en esta Ley.</w:t>
      </w:r>
    </w:p>
    <w:p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Artículo 143.</w:t>
      </w:r>
      <w:r w:rsidRPr="007167FC">
        <w:rPr>
          <w:rFonts w:ascii="Palatino Linotype" w:hAnsi="Palatino Linotype" w:cs="Arial"/>
          <w:i/>
        </w:rPr>
        <w:t xml:space="preserve"> </w:t>
      </w:r>
      <w:r w:rsidRPr="007167FC">
        <w:rPr>
          <w:rFonts w:ascii="Palatino Linotype" w:hAnsi="Palatino Linotype" w:cs="Arial"/>
          <w:i/>
          <w:u w:val="single"/>
        </w:rPr>
        <w:t>Para los efectos de esta Ley se considera información confidencial, la clasificada como tal, de manera permanente, por su naturaleza, cuando</w:t>
      </w:r>
      <w:r w:rsidRPr="007167FC">
        <w:rPr>
          <w:rFonts w:ascii="Palatino Linotype" w:hAnsi="Palatino Linotype" w:cs="Arial"/>
          <w:i/>
        </w:rPr>
        <w:t>:</w:t>
      </w:r>
    </w:p>
    <w:p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I.</w:t>
      </w:r>
      <w:r w:rsidRPr="007167FC">
        <w:rPr>
          <w:rFonts w:ascii="Palatino Linotype" w:hAnsi="Palatino Linotype" w:cs="Arial"/>
          <w:i/>
        </w:rPr>
        <w:t xml:space="preserve"> </w:t>
      </w:r>
      <w:r w:rsidRPr="007167FC">
        <w:rPr>
          <w:rFonts w:ascii="Palatino Linotype" w:hAnsi="Palatino Linotype" w:cs="Arial"/>
          <w:i/>
          <w:u w:val="single"/>
        </w:rPr>
        <w:t>Se refiera a la información privada y los datos personales concernientes a una persona física o jurídico colectiva identificada o identificable</w:t>
      </w:r>
      <w:r w:rsidRPr="007167FC">
        <w:rPr>
          <w:rFonts w:ascii="Palatino Linotype" w:hAnsi="Palatino Linotype" w:cs="Arial"/>
          <w:i/>
        </w:rPr>
        <w:t>;</w:t>
      </w:r>
    </w:p>
    <w:p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II.</w:t>
      </w:r>
      <w:r w:rsidRPr="007167FC">
        <w:rPr>
          <w:rFonts w:ascii="Palatino Linotype" w:hAnsi="Palatino Linotype" w:cs="Arial"/>
          <w:i/>
        </w:rPr>
        <w:t xml:space="preserve"> </w:t>
      </w:r>
      <w:r w:rsidRPr="007167FC">
        <w:rPr>
          <w:rFonts w:ascii="Palatino Linotype"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III.</w:t>
      </w:r>
      <w:r w:rsidRPr="007167FC">
        <w:rPr>
          <w:rFonts w:ascii="Palatino Linotype" w:hAnsi="Palatino Linotype" w:cs="Arial"/>
          <w:i/>
        </w:rPr>
        <w:t xml:space="preserve"> La que presenten los particulares a los sujetos obligados, de conformidad con lo dispuesto por las leyes o los tratados internacionales.</w:t>
      </w:r>
    </w:p>
    <w:p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EB32F6" w:rsidRPr="007167FC" w:rsidRDefault="00EB32F6" w:rsidP="00EB32F6">
      <w:pPr>
        <w:ind w:left="851" w:right="851"/>
        <w:jc w:val="both"/>
        <w:rPr>
          <w:rFonts w:ascii="Palatino Linotype" w:hAnsi="Palatino Linotype" w:cs="Arial"/>
          <w:b/>
          <w:i/>
        </w:rPr>
      </w:pPr>
      <w:r w:rsidRPr="007167FC">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w:t>
      </w:r>
      <w:r w:rsidRPr="007167FC">
        <w:rPr>
          <w:rFonts w:ascii="Palatino Linotype" w:hAnsi="Palatino Linotype" w:cs="Arial"/>
          <w:b/>
          <w:i/>
        </w:rPr>
        <w:t>”</w:t>
      </w:r>
    </w:p>
    <w:p w:rsidR="00EB32F6" w:rsidRPr="007167FC" w:rsidRDefault="00EB32F6" w:rsidP="00EB32F6">
      <w:pPr>
        <w:ind w:left="851" w:right="851"/>
        <w:jc w:val="both"/>
        <w:rPr>
          <w:rFonts w:ascii="Palatino Linotype" w:hAnsi="Palatino Linotype" w:cs="Arial"/>
          <w:b/>
          <w:i/>
        </w:rPr>
      </w:pPr>
    </w:p>
    <w:p w:rsidR="00EB32F6" w:rsidRPr="007167FC" w:rsidRDefault="00EB32F6" w:rsidP="00EB32F6">
      <w:pPr>
        <w:autoSpaceDE w:val="0"/>
        <w:autoSpaceDN w:val="0"/>
        <w:adjustRightInd w:val="0"/>
        <w:spacing w:line="360" w:lineRule="auto"/>
        <w:ind w:right="49"/>
        <w:jc w:val="both"/>
        <w:rPr>
          <w:rFonts w:ascii="Palatino Linotype" w:hAnsi="Palatino Linotype" w:cs="Arial"/>
          <w:lang w:val="es-ES_tradnl"/>
        </w:rPr>
      </w:pPr>
      <w:r w:rsidRPr="007167FC">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rsidR="00EB32F6" w:rsidRPr="007167FC" w:rsidRDefault="00EB32F6" w:rsidP="00EB32F6">
      <w:pPr>
        <w:jc w:val="both"/>
        <w:rPr>
          <w:rFonts w:ascii="Palatino Linotype" w:hAnsi="Palatino Linotype" w:cs="Arial"/>
          <w:lang w:val="es-ES_tradnl"/>
        </w:rPr>
      </w:pP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“Cuarto.</w:t>
      </w:r>
      <w:r w:rsidRPr="007167FC">
        <w:rPr>
          <w:rFonts w:ascii="Palatino Linotype" w:hAnsi="Palatino Linotype" w:cs="Arial"/>
          <w:i/>
          <w:lang w:eastAsia="es-MX"/>
        </w:rPr>
        <w:t xml:space="preserve"> Para clasificar la información como reservada o </w:t>
      </w:r>
      <w:r w:rsidRPr="007167FC">
        <w:rPr>
          <w:rFonts w:ascii="Palatino Linotype" w:hAnsi="Palatino Linotype" w:cs="Arial"/>
          <w:b/>
          <w:i/>
          <w:lang w:eastAsia="es-MX"/>
        </w:rPr>
        <w:t>confidencial</w:t>
      </w:r>
      <w:r w:rsidRPr="007167FC">
        <w:rPr>
          <w:rFonts w:ascii="Palatino Linotype" w:hAnsi="Palatino Linotype" w:cs="Arial"/>
          <w:i/>
          <w:lang w:eastAsia="es-MX"/>
        </w:rPr>
        <w:t xml:space="preserve">, de manera </w:t>
      </w:r>
      <w:r w:rsidRPr="007167FC">
        <w:rPr>
          <w:rFonts w:ascii="Palatino Linotype" w:hAnsi="Palatino Linotype" w:cs="Arial"/>
          <w:b/>
          <w:i/>
          <w:lang w:eastAsia="es-MX"/>
        </w:rPr>
        <w:t>total</w:t>
      </w:r>
      <w:r w:rsidRPr="007167FC">
        <w:rPr>
          <w:rFonts w:ascii="Palatino Linotype" w:hAnsi="Palatino Linotype" w:cs="Arial"/>
          <w:i/>
          <w:lang w:eastAsia="es-MX"/>
        </w:rPr>
        <w:t xml:space="preserve"> o parcial, el titular del área del sujeto obligado deberá atender lo dispuesto por </w:t>
      </w:r>
      <w:r w:rsidRPr="007167FC">
        <w:rPr>
          <w:rFonts w:ascii="Palatino Linotype" w:hAnsi="Palatino Linotype" w:cs="Arial"/>
          <w:i/>
          <w:lang w:eastAsia="es-MX"/>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i/>
          <w:lang w:eastAsia="es-MX"/>
        </w:rPr>
        <w:t>Los sujetos obligados deberán aplicar, de manera estricta, las excepciones al derecho de acceso a la información y sólo podrán invocarlas cuando acrediten su procedencia.</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Quinto.</w:t>
      </w:r>
      <w:r w:rsidRPr="007167FC">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7167FC">
        <w:rPr>
          <w:rFonts w:ascii="Palatino Linotype" w:hAnsi="Palatino Linotype" w:cs="Arial"/>
          <w:b/>
          <w:i/>
          <w:lang w:eastAsia="es-MX"/>
        </w:rPr>
        <w:t>fundar y motivar debidamente la clasificación de la información ante una solicitud de acceso</w:t>
      </w:r>
      <w:r w:rsidRPr="007167FC">
        <w:rPr>
          <w:rFonts w:ascii="Palatino Linotype" w:hAnsi="Palatino Linotype" w:cs="Arial"/>
          <w:i/>
          <w:lang w:eastAsia="es-MX"/>
        </w:rPr>
        <w:t xml:space="preserve"> o al momento en que generen versiones públicas para dar cumplimiento a las obligaciones de transparencia, observando lo dispuesto en la Ley General y las demás disposiciones aplicables en la materia.</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Sexto.</w:t>
      </w:r>
      <w:r w:rsidRPr="007167FC">
        <w:rPr>
          <w:rFonts w:ascii="Palatino Linotype" w:hAnsi="Palatino Linotype" w:cs="Arial"/>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La clasificación de información</w:t>
      </w:r>
      <w:r w:rsidRPr="007167FC">
        <w:rPr>
          <w:rFonts w:ascii="Palatino Linotype" w:hAnsi="Palatino Linotype" w:cs="Arial"/>
          <w:i/>
          <w:lang w:eastAsia="es-MX"/>
        </w:rPr>
        <w:t xml:space="preserve"> se realizará conforme a un </w:t>
      </w:r>
      <w:r w:rsidRPr="007167FC">
        <w:rPr>
          <w:rFonts w:ascii="Palatino Linotype" w:hAnsi="Palatino Linotype" w:cs="Arial"/>
          <w:b/>
          <w:i/>
          <w:lang w:eastAsia="es-MX"/>
        </w:rPr>
        <w:t>análisis caso por caso</w:t>
      </w:r>
      <w:r w:rsidRPr="007167FC">
        <w:rPr>
          <w:rFonts w:ascii="Palatino Linotype" w:hAnsi="Palatino Linotype" w:cs="Arial"/>
          <w:i/>
          <w:lang w:eastAsia="es-MX"/>
        </w:rPr>
        <w:t>, mediante la aplicación de la prueba de daño y de interés público.</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Séptimo.</w:t>
      </w:r>
      <w:r w:rsidRPr="007167FC">
        <w:rPr>
          <w:rFonts w:ascii="Palatino Linotype" w:hAnsi="Palatino Linotype" w:cs="Arial"/>
          <w:i/>
          <w:lang w:eastAsia="es-MX"/>
        </w:rPr>
        <w:t xml:space="preserve"> La clasificación de la información se llevará a cabo en el momento en que:</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I.</w:t>
      </w:r>
      <w:r w:rsidRPr="007167FC">
        <w:rPr>
          <w:rFonts w:ascii="Palatino Linotype" w:hAnsi="Palatino Linotype" w:cs="Arial"/>
          <w:i/>
          <w:lang w:eastAsia="es-MX"/>
        </w:rPr>
        <w:t xml:space="preserve"> Se reciba una solicitud de acceso a la información;</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II.</w:t>
      </w:r>
      <w:r w:rsidRPr="007167FC">
        <w:rPr>
          <w:rFonts w:ascii="Palatino Linotype" w:hAnsi="Palatino Linotype" w:cs="Arial"/>
          <w:i/>
          <w:lang w:eastAsia="es-MX"/>
        </w:rPr>
        <w:t xml:space="preserve"> Se determine mediante resolución de autoridad competente, o</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III.</w:t>
      </w:r>
      <w:r w:rsidRPr="007167FC">
        <w:rPr>
          <w:rFonts w:ascii="Palatino Linotype" w:hAnsi="Palatino Linotype" w:cs="Arial"/>
          <w:i/>
          <w:lang w:eastAsia="es-MX"/>
        </w:rPr>
        <w:t xml:space="preserve"> Se generen versiones públicas para dar cumplimiento a las obligaciones de transparencia previstas en la Ley General, la Ley Federal y las correspondientes de las entidades federativas.</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i/>
          <w:lang w:eastAsia="es-MX"/>
        </w:rPr>
        <w:t>Los titulares de las áreas deberán revisar la clasificación al momento de la recepción de una solicitud de acceso a la información, para verificar si encuadra en una causal de reserva o de confidencialidad.</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lastRenderedPageBreak/>
        <w:t>Octavo.</w:t>
      </w:r>
      <w:r w:rsidRPr="007167FC">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i/>
          <w:lang w:eastAsia="es-MX"/>
        </w:rPr>
        <w:t>Para motivar la clasificación se deberán señalar las razones o circunstancias especiales que lo llevaron a concluir que el caso particular se ajusta al supuesto previsto por la norma legal invocada como fundamento.</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i/>
          <w:lang w:eastAsia="es-MX"/>
        </w:rPr>
        <w:t>En caso de referirse a información reservada, la motivación de la clasificación también deberá comprender las circunstancias que justifican el establecimiento de determinado plazo de reserva.</w:t>
      </w:r>
    </w:p>
    <w:p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EB32F6" w:rsidRPr="007167FC" w:rsidRDefault="00EB32F6" w:rsidP="00EB32F6">
      <w:pPr>
        <w:ind w:left="851" w:right="902"/>
        <w:jc w:val="both"/>
        <w:rPr>
          <w:rFonts w:ascii="Palatino Linotype" w:hAnsi="Palatino Linotype" w:cs="Arial"/>
          <w:b/>
          <w:i/>
          <w:lang w:eastAsia="es-MX"/>
        </w:rPr>
      </w:pPr>
      <w:r w:rsidRPr="007167FC">
        <w:rPr>
          <w:rFonts w:ascii="Palatino Linotype" w:hAnsi="Palatino Linotype" w:cs="Arial"/>
          <w:i/>
          <w:lang w:eastAsia="es-MX"/>
        </w:rPr>
        <w:t>Los documentos contenidos en los archivos históricos y los identificados como históricos confidenciales no serán susceptibles de clasificación como reservados.</w:t>
      </w:r>
      <w:r w:rsidRPr="007167FC">
        <w:rPr>
          <w:rFonts w:ascii="Palatino Linotype" w:hAnsi="Palatino Linotype" w:cs="Arial"/>
          <w:b/>
          <w:i/>
          <w:lang w:eastAsia="es-MX"/>
        </w:rPr>
        <w:t>”</w:t>
      </w:r>
    </w:p>
    <w:p w:rsidR="00EB32F6" w:rsidRPr="007167FC" w:rsidRDefault="00EB32F6" w:rsidP="00EB32F6">
      <w:pPr>
        <w:ind w:left="851" w:right="902"/>
        <w:jc w:val="both"/>
        <w:rPr>
          <w:rFonts w:ascii="Palatino Linotype" w:hAnsi="Palatino Linotype" w:cs="Arial"/>
          <w:i/>
          <w:lang w:eastAsia="es-MX"/>
        </w:rPr>
      </w:pPr>
    </w:p>
    <w:p w:rsidR="00EB32F6" w:rsidRPr="007167FC" w:rsidRDefault="00EB32F6" w:rsidP="00EB32F6">
      <w:pPr>
        <w:spacing w:line="360" w:lineRule="auto"/>
        <w:jc w:val="both"/>
        <w:rPr>
          <w:rFonts w:ascii="Palatino Linotype" w:hAnsi="Palatino Linotype" w:cs="Arial"/>
        </w:rPr>
      </w:pPr>
      <w:r w:rsidRPr="007167FC">
        <w:rPr>
          <w:rFonts w:ascii="Palatino Linotype" w:hAnsi="Palatino Linotype" w:cs="Arial"/>
        </w:rPr>
        <w:t xml:space="preserve">De lo anterior, se puede advertir que para clasificar la información como confidencial, se debe emitir un Acuerdo debidamente fundado y motivado en el que </w:t>
      </w:r>
      <w:r w:rsidRPr="007167FC">
        <w:rPr>
          <w:rFonts w:ascii="Palatino Linotype" w:hAnsi="Palatino Linotype" w:cs="Arial"/>
          <w:b/>
        </w:rPr>
        <w:t>EL SUJETO OBLIGADO</w:t>
      </w:r>
      <w:r w:rsidRPr="007167FC">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rsidR="00EB32F6" w:rsidRPr="007167FC" w:rsidRDefault="00EB32F6" w:rsidP="00EB32F6">
      <w:pPr>
        <w:spacing w:line="360" w:lineRule="auto"/>
        <w:jc w:val="both"/>
        <w:rPr>
          <w:rFonts w:ascii="Palatino Linotype" w:hAnsi="Palatino Linotype" w:cs="Arial"/>
        </w:rPr>
      </w:pPr>
    </w:p>
    <w:p w:rsidR="00EB32F6" w:rsidRPr="007167FC" w:rsidRDefault="00EB32F6" w:rsidP="00EB32F6">
      <w:pPr>
        <w:autoSpaceDE w:val="0"/>
        <w:autoSpaceDN w:val="0"/>
        <w:adjustRightInd w:val="0"/>
        <w:spacing w:line="360" w:lineRule="auto"/>
        <w:ind w:right="49"/>
        <w:jc w:val="both"/>
        <w:rPr>
          <w:rFonts w:ascii="Palatino Linotype" w:hAnsi="Palatino Linotype" w:cs="Arial"/>
        </w:rPr>
      </w:pPr>
      <w:r w:rsidRPr="007167FC">
        <w:rPr>
          <w:rFonts w:ascii="Palatino Linotype" w:eastAsia="Calibri" w:hAnsi="Palatino Linotype" w:cs="Bookman Old Style,Bold"/>
          <w:bCs/>
          <w:color w:val="0D0D0D"/>
        </w:rPr>
        <w:t xml:space="preserve">Lo anterior es así, pues como ya se señaló la clasificación de la información no se da por el simple mandato de la Ley, sino que </w:t>
      </w:r>
      <w:r w:rsidRPr="007167FC">
        <w:rPr>
          <w:rFonts w:ascii="Palatino Linotype" w:hAnsi="Palatino Linotype"/>
        </w:rPr>
        <w:t xml:space="preserve">es necesario que </w:t>
      </w:r>
      <w:r w:rsidRPr="007167FC">
        <w:rPr>
          <w:rFonts w:ascii="Palatino Linotype" w:hAnsi="Palatino Linotype"/>
          <w:b/>
        </w:rPr>
        <w:t xml:space="preserve">EL SUJETO OBLIGADO </w:t>
      </w:r>
      <w:r w:rsidRPr="007167FC">
        <w:rPr>
          <w:rFonts w:ascii="Palatino Linotype" w:hAnsi="Palatino Linotype"/>
        </w:rPr>
        <w:t xml:space="preserve">cuando clasifique un documento, ya sea en todo o en parte, debe atender lo dispuesto por </w:t>
      </w:r>
      <w:r w:rsidRPr="007167FC">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7167FC">
        <w:rPr>
          <w:rFonts w:ascii="Palatino Linotype" w:hAnsi="Palatino Linotype" w:cs="Arial"/>
          <w:b/>
        </w:rPr>
        <w:lastRenderedPageBreak/>
        <w:t>SUJETO OBLIGADO</w:t>
      </w:r>
      <w:r w:rsidRPr="007167FC">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rsidR="00EB32F6" w:rsidRPr="007167FC" w:rsidRDefault="00EB32F6" w:rsidP="00EB32F6">
      <w:pPr>
        <w:autoSpaceDE w:val="0"/>
        <w:autoSpaceDN w:val="0"/>
        <w:adjustRightInd w:val="0"/>
        <w:spacing w:line="360" w:lineRule="auto"/>
        <w:ind w:right="49"/>
        <w:jc w:val="both"/>
        <w:rPr>
          <w:rFonts w:ascii="Palatino Linotype" w:eastAsia="MS Mincho" w:hAnsi="Palatino Linotype"/>
          <w:lang w:val="es-ES_tradnl"/>
        </w:rPr>
      </w:pPr>
    </w:p>
    <w:p w:rsidR="00EB32F6" w:rsidRPr="007167FC" w:rsidRDefault="00EB32F6" w:rsidP="00EB32F6">
      <w:pPr>
        <w:spacing w:line="360" w:lineRule="auto"/>
        <w:jc w:val="both"/>
        <w:rPr>
          <w:rFonts w:ascii="Palatino Linotype" w:hAnsi="Palatino Linotype" w:cs="Arial"/>
        </w:rPr>
      </w:pPr>
      <w:r w:rsidRPr="007167FC">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rsidR="00EB32F6" w:rsidRPr="007167FC" w:rsidRDefault="00EB32F6" w:rsidP="00EB32F6">
      <w:pPr>
        <w:jc w:val="both"/>
        <w:rPr>
          <w:rFonts w:ascii="Palatino Linotype" w:hAnsi="Palatino Linotype"/>
          <w:color w:val="000000"/>
        </w:rPr>
      </w:pPr>
    </w:p>
    <w:p w:rsidR="00EB32F6" w:rsidRPr="007167FC" w:rsidRDefault="00EB32F6" w:rsidP="00EB32F6">
      <w:pPr>
        <w:ind w:left="993" w:right="1041"/>
        <w:jc w:val="both"/>
        <w:rPr>
          <w:rFonts w:ascii="Palatino Linotype" w:hAnsi="Palatino Linotype"/>
          <w:i/>
        </w:rPr>
      </w:pPr>
      <w:r w:rsidRPr="007167FC">
        <w:rPr>
          <w:rFonts w:ascii="Palatino Linotype" w:hAnsi="Palatino Linotype"/>
          <w:i/>
          <w:color w:val="000000"/>
        </w:rPr>
        <w:t>“</w:t>
      </w:r>
      <w:r w:rsidRPr="007167FC">
        <w:rPr>
          <w:rFonts w:ascii="Palatino Linotype" w:hAnsi="Palatino Linotype"/>
          <w:b/>
          <w:i/>
        </w:rPr>
        <w:t>Artículo 149.</w:t>
      </w:r>
      <w:r w:rsidRPr="007167FC">
        <w:rPr>
          <w:rFonts w:ascii="Palatino Linotype" w:hAnsi="Palatino Linotype"/>
          <w:i/>
        </w:rPr>
        <w:t xml:space="preserve"> El </w:t>
      </w:r>
      <w:r w:rsidRPr="007167FC">
        <w:rPr>
          <w:rFonts w:ascii="Palatino Linotype" w:hAnsi="Palatino Linotype"/>
          <w:b/>
          <w:i/>
        </w:rPr>
        <w:t>acuerdo que clasifique la información como confidencial</w:t>
      </w:r>
      <w:r w:rsidRPr="007167FC">
        <w:rPr>
          <w:rFonts w:ascii="Palatino Linotype" w:hAnsi="Palatino Linotype"/>
          <w:i/>
        </w:rPr>
        <w:t xml:space="preserve"> deberá contener un razonamiento lógico en el que demuestre que la información se encuentra en alguna o algunas de las hipótesis previstas en la presente Ley.”</w:t>
      </w:r>
    </w:p>
    <w:p w:rsidR="00EB32F6" w:rsidRPr="007167FC" w:rsidRDefault="00EB32F6" w:rsidP="00EB32F6">
      <w:pPr>
        <w:ind w:left="993" w:right="1041"/>
        <w:jc w:val="both"/>
        <w:rPr>
          <w:rFonts w:ascii="Palatino Linotype" w:hAnsi="Palatino Linotype" w:cs="Arial"/>
          <w:i/>
        </w:rPr>
      </w:pPr>
    </w:p>
    <w:p w:rsidR="00EB32F6" w:rsidRPr="007167FC" w:rsidRDefault="00EB32F6" w:rsidP="00EB32F6">
      <w:pPr>
        <w:spacing w:line="360" w:lineRule="auto"/>
        <w:jc w:val="both"/>
        <w:rPr>
          <w:rFonts w:ascii="Palatino Linotype" w:hAnsi="Palatino Linotype" w:cs="Arial"/>
          <w:lang w:eastAsia="es-CO"/>
        </w:rPr>
      </w:pPr>
    </w:p>
    <w:p w:rsidR="00EB32F6" w:rsidRPr="007167FC" w:rsidRDefault="00EB32F6" w:rsidP="00EB32F6">
      <w:pPr>
        <w:spacing w:line="360" w:lineRule="auto"/>
        <w:jc w:val="both"/>
        <w:rPr>
          <w:rFonts w:ascii="Palatino Linotype" w:hAnsi="Palatino Linotype" w:cs="Arial"/>
          <w:lang w:eastAsia="es-CO"/>
        </w:rPr>
      </w:pPr>
      <w:r w:rsidRPr="007167FC">
        <w:rPr>
          <w:rFonts w:ascii="Palatino Linotype" w:hAnsi="Palatino Linotype" w:cs="Arial"/>
          <w:lang w:eastAsia="es-CO"/>
        </w:rPr>
        <w:t xml:space="preserve">En consecuencia, </w:t>
      </w:r>
      <w:r w:rsidRPr="007167FC">
        <w:rPr>
          <w:rFonts w:ascii="Palatino Linotype" w:hAnsi="Palatino Linotype" w:cs="Arial"/>
          <w:b/>
          <w:lang w:eastAsia="es-CO"/>
        </w:rPr>
        <w:t>EL SUJETO OBLIGADO</w:t>
      </w:r>
      <w:r w:rsidRPr="007167FC">
        <w:rPr>
          <w:rFonts w:ascii="Palatino Linotype" w:hAnsi="Palatino Linotype" w:cs="Arial"/>
          <w:lang w:eastAsia="es-CO"/>
        </w:rPr>
        <w:t xml:space="preserve"> en el caso en estudio, deberá hacer entrega del Acuerdo de clasificación de la información como confidencial del padrón catastral, conforme a lo que ha sido señalado en la presente resolución, emitido por su Comité de Transparencia en observancia de los que señala la Ley de Transparencia Local.</w:t>
      </w:r>
    </w:p>
    <w:p w:rsidR="00EB32F6" w:rsidRPr="007167FC" w:rsidRDefault="00EB32F6" w:rsidP="00EB32F6">
      <w:pPr>
        <w:spacing w:before="100" w:beforeAutospacing="1" w:after="100" w:afterAutospacing="1" w:line="360" w:lineRule="auto"/>
        <w:contextualSpacing/>
        <w:jc w:val="both"/>
        <w:rPr>
          <w:rFonts w:ascii="Palatino Linotype" w:hAnsi="Palatino Linotype"/>
          <w:color w:val="000000" w:themeColor="text1"/>
          <w:lang w:val="es-ES"/>
        </w:rPr>
      </w:pPr>
    </w:p>
    <w:p w:rsidR="00EB32F6" w:rsidRPr="007167FC" w:rsidRDefault="00EB32F6" w:rsidP="00EB32F6">
      <w:pPr>
        <w:spacing w:before="100" w:beforeAutospacing="1" w:after="100" w:afterAutospacing="1" w:line="360" w:lineRule="auto"/>
        <w:contextualSpacing/>
        <w:jc w:val="both"/>
        <w:rPr>
          <w:rFonts w:ascii="Palatino Linotype" w:hAnsi="Palatino Linotype" w:cs="Arial"/>
          <w:lang w:val="es-ES"/>
        </w:rPr>
      </w:pPr>
      <w:r w:rsidRPr="007167FC">
        <w:rPr>
          <w:rFonts w:ascii="Palatino Linotype" w:hAnsi="Palatino Linotype" w:cs="Arial"/>
          <w:lang w:val="es-ES"/>
        </w:rPr>
        <w:t xml:space="preserve">Una vez precisado lo anterior, </w:t>
      </w:r>
      <w:r w:rsidRPr="007167FC">
        <w:rPr>
          <w:rFonts w:ascii="Palatino Linotype" w:hAnsi="Palatino Linotype"/>
          <w:lang w:val="es-AR"/>
        </w:rPr>
        <w:t xml:space="preserve">es importante señalar </w:t>
      </w:r>
      <w:r w:rsidRPr="007167FC">
        <w:rPr>
          <w:rFonts w:ascii="Palatino Linotype" w:hAnsi="Palatino Linotype" w:cs="Arial"/>
          <w:lang w:val="es-ES"/>
        </w:rPr>
        <w:t xml:space="preserve">que el particular </w:t>
      </w:r>
      <w:r w:rsidRPr="007167FC">
        <w:rPr>
          <w:rFonts w:ascii="Palatino Linotype" w:hAnsi="Palatino Linotype"/>
          <w:lang w:val="es-ES"/>
        </w:rPr>
        <w:t xml:space="preserve">al momento de presentar su solicitud de acceso a la información, omitió precisar la temporalidad; sin embargo, </w:t>
      </w:r>
      <w:r w:rsidRPr="007167FC">
        <w:rPr>
          <w:rFonts w:ascii="Palatino Linotype" w:hAnsi="Palatino Linotype" w:cs="Arial"/>
          <w:lang w:val="es-ES"/>
        </w:rPr>
        <w:t xml:space="preserve">es importante referir que los solicitantes de información no son expertos o especialistas en la materia, por lo que es deber de los Sujetos Obligados orientarlos o requerirlos para que </w:t>
      </w:r>
      <w:r w:rsidRPr="007167FC">
        <w:rPr>
          <w:rFonts w:ascii="Palatino Linotype" w:hAnsi="Palatino Linotype" w:cs="Arial"/>
          <w:lang w:val="es-ES"/>
        </w:rPr>
        <w:lastRenderedPageBreak/>
        <w:t>indiquen otros elementos que complementen, corrijan o amplíen los datos proporcionados o bien, precisen la información.</w:t>
      </w:r>
    </w:p>
    <w:p w:rsidR="00EB32F6" w:rsidRPr="007167FC" w:rsidRDefault="00EB32F6" w:rsidP="00EB32F6">
      <w:pPr>
        <w:spacing w:line="360" w:lineRule="auto"/>
        <w:contextualSpacing/>
        <w:jc w:val="both"/>
        <w:rPr>
          <w:rFonts w:ascii="Palatino Linotype" w:hAnsi="Palatino Linotype" w:cs="Arial"/>
        </w:rPr>
      </w:pPr>
    </w:p>
    <w:p w:rsidR="00EB32F6" w:rsidRPr="007167FC" w:rsidRDefault="00EB32F6" w:rsidP="00EB32F6">
      <w:pPr>
        <w:spacing w:line="360" w:lineRule="auto"/>
        <w:contextualSpacing/>
        <w:jc w:val="both"/>
        <w:rPr>
          <w:rFonts w:ascii="Palatino Linotype" w:hAnsi="Palatino Linotype" w:cs="Arial"/>
          <w:color w:val="000000" w:themeColor="text1"/>
          <w:lang w:val="es-ES"/>
        </w:rPr>
      </w:pPr>
      <w:r w:rsidRPr="007167FC">
        <w:rPr>
          <w:rFonts w:ascii="Palatino Linotype" w:hAnsi="Palatino Linotype" w:cs="Arial"/>
        </w:rPr>
        <w:t xml:space="preserve">Bajo ese contexto, este Órgano Garante en el ámbito de sus atribuciones establecidas en los artículos 13 y 181 de la Ley de Transparencia y Acceso a la Información Pública del Estado de México y Municipios; </w:t>
      </w:r>
      <w:r w:rsidRPr="007167FC">
        <w:rPr>
          <w:rFonts w:ascii="Palatino Linotype" w:hAnsi="Palatino Linotype"/>
        </w:rPr>
        <w:t xml:space="preserve">bajo el amparo del principio de máxima publicidad y pro persona; </w:t>
      </w:r>
      <w:r w:rsidRPr="007167FC">
        <w:rPr>
          <w:rFonts w:ascii="Palatino Linotype" w:hAnsi="Palatino Linotype" w:cs="Arial"/>
          <w:color w:val="000000" w:themeColor="text1"/>
          <w:lang w:val="es-ES"/>
        </w:rPr>
        <w:t>determina que la información solicitada corresponderá a la generada, poseída o administrada vigente a la fecha de la solicitud, es decir al 25 de noviembre de 2019.</w:t>
      </w:r>
    </w:p>
    <w:p w:rsidR="00EB32F6" w:rsidRPr="007167FC" w:rsidRDefault="00EB32F6" w:rsidP="00EB32F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7167FC">
        <w:rPr>
          <w:rFonts w:ascii="Palatino Linotype" w:hAnsi="Palatino Linotype" w:cs="Arial"/>
        </w:rPr>
        <w:t xml:space="preserve">Bajo ese contexto, este Instituto analizó la totalidad de constancias que integran el expediente electrónico del </w:t>
      </w:r>
      <w:r w:rsidRPr="007167FC">
        <w:rPr>
          <w:rFonts w:ascii="Palatino Linotype" w:hAnsi="Palatino Linotype" w:cs="Arial"/>
          <w:b/>
        </w:rPr>
        <w:t>SAIMEX</w:t>
      </w:r>
      <w:r w:rsidRPr="007167FC">
        <w:rPr>
          <w:rFonts w:ascii="Palatino Linotype" w:hAnsi="Palatino Linotype" w:cs="Arial"/>
        </w:rPr>
        <w:t xml:space="preserve"> y advirtió que las razones o motivos de inconformidad hechos valer por </w:t>
      </w:r>
      <w:r w:rsidRPr="007167FC">
        <w:rPr>
          <w:rFonts w:ascii="Palatino Linotype" w:hAnsi="Palatino Linotype" w:cs="Arial"/>
          <w:b/>
        </w:rPr>
        <w:t>EL RECURRENTE</w:t>
      </w:r>
      <w:r w:rsidRPr="007167FC">
        <w:rPr>
          <w:rFonts w:ascii="Palatino Linotype" w:hAnsi="Palatino Linotype" w:cs="Arial"/>
        </w:rPr>
        <w:t xml:space="preserve"> devienen </w:t>
      </w:r>
      <w:r w:rsidRPr="007167FC">
        <w:rPr>
          <w:rFonts w:ascii="Palatino Linotype" w:hAnsi="Palatino Linotype" w:cs="Arial"/>
          <w:b/>
        </w:rPr>
        <w:t>fundados</w:t>
      </w:r>
      <w:r w:rsidRPr="007167FC">
        <w:rPr>
          <w:rFonts w:ascii="Palatino Linotype" w:hAnsi="Palatino Linotype" w:cs="Arial"/>
        </w:rPr>
        <w:t xml:space="preserve"> y suficientes para </w:t>
      </w:r>
      <w:r w:rsidRPr="007167FC">
        <w:rPr>
          <w:rFonts w:ascii="Palatino Linotype" w:hAnsi="Palatino Linotype" w:cs="Arial"/>
          <w:b/>
        </w:rPr>
        <w:t>REVOCAR</w:t>
      </w:r>
      <w:r w:rsidRPr="007167FC">
        <w:rPr>
          <w:rFonts w:ascii="Palatino Linotype" w:hAnsi="Palatino Linotype" w:cs="Arial"/>
        </w:rPr>
        <w:t xml:space="preserve"> la respuesta del </w:t>
      </w:r>
      <w:r w:rsidRPr="007167FC">
        <w:rPr>
          <w:rFonts w:ascii="Palatino Linotype" w:hAnsi="Palatino Linotype" w:cs="Arial"/>
          <w:b/>
        </w:rPr>
        <w:t>SUJETO OBLIGADO</w:t>
      </w:r>
      <w:r w:rsidRPr="007167FC">
        <w:rPr>
          <w:rFonts w:ascii="Palatino Linotype" w:hAnsi="Palatino Linotype" w:cs="Arial"/>
        </w:rPr>
        <w:t>, en atención a las Consideraciones de hecho y de derecho siguientes:</w:t>
      </w:r>
    </w:p>
    <w:p w:rsidR="00EB32F6" w:rsidRPr="00EB32F6" w:rsidRDefault="00EB32F6" w:rsidP="00EB32F6">
      <w:pPr>
        <w:spacing w:before="100" w:beforeAutospacing="1" w:after="100" w:afterAutospacing="1" w:line="360" w:lineRule="auto"/>
        <w:ind w:right="49"/>
        <w:jc w:val="both"/>
        <w:rPr>
          <w:rFonts w:ascii="Palatino Linotype" w:hAnsi="Palatino Linotype" w:cs="Arial"/>
        </w:rPr>
      </w:pPr>
      <w:r w:rsidRPr="007167FC">
        <w:rPr>
          <w:rFonts w:ascii="Palatino Linotype" w:hAnsi="Palatino Linotype"/>
          <w:lang w:eastAsia="es-MX"/>
        </w:rPr>
        <w:t>Antes de concluir, es de señalar que</w:t>
      </w:r>
      <w:r w:rsidRPr="007167FC">
        <w:rPr>
          <w:rFonts w:ascii="Palatino Linotype" w:hAnsi="Palatino Linotype" w:cs="Arial"/>
        </w:rPr>
        <w:t xml:space="preserve">, como ya se mencionó, </w:t>
      </w:r>
      <w:r w:rsidRPr="007167FC">
        <w:rPr>
          <w:rFonts w:ascii="Palatino Linotype" w:eastAsia="Calibri" w:hAnsi="Palatino Linotype" w:cs="Arial"/>
          <w:b/>
        </w:rPr>
        <w:t xml:space="preserve">EL SUJETO OBLIGADO </w:t>
      </w:r>
      <w:r w:rsidRPr="007167FC">
        <w:rPr>
          <w:rFonts w:ascii="Palatino Linotype" w:eastAsia="Calibri" w:hAnsi="Palatino Linotype" w:cs="Arial"/>
        </w:rPr>
        <w:t>no dio curso a la solicitud, máxime que con los elementos señalados en la solicitud por el particular, pudo atenderse la solicitud de mérito; por ello,</w:t>
      </w:r>
      <w:r w:rsidRPr="007167FC">
        <w:rPr>
          <w:rFonts w:ascii="Palatino Linotype" w:hAnsi="Palatino Linotype" w:cs="Arial"/>
        </w:rPr>
        <w:t xml:space="preserve"> </w:t>
      </w:r>
      <w:r w:rsidRPr="007167FC">
        <w:rPr>
          <w:rFonts w:ascii="Palatino Linotype" w:hAnsi="Palatino Linotype" w:cs="Arial"/>
          <w:b/>
        </w:rPr>
        <w:t>se ordena dar vista al Titular de la Contraloría Interna y Órgano de Control y Vigilancia de este Instituto</w:t>
      </w:r>
      <w:r w:rsidRPr="007167FC">
        <w:rPr>
          <w:rFonts w:ascii="Palatino Linotype" w:hAnsi="Palatino Linotype" w:cs="Arial"/>
        </w:rPr>
        <w:t>, para que resuelva lo conducente y determine, en su caso, el grado de responsabilidad en el incumplimiento de las obligaciones establecidas en la Ley de Transparencia y Acceso a la Información Pública del Estado de México y Municipios.</w:t>
      </w:r>
    </w:p>
    <w:p w:rsidR="00CD0242" w:rsidRPr="00C43915" w:rsidRDefault="00CD0242" w:rsidP="00CD0242">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En ese tenor, debe tenerse en cuenta que el artículo sexto de nuestra Carta Magna estipula lo siguiente:</w:t>
      </w:r>
    </w:p>
    <w:p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b/>
          <w:bCs/>
          <w:i/>
          <w:sz w:val="24"/>
          <w:szCs w:val="24"/>
        </w:rPr>
        <w:lastRenderedPageBreak/>
        <w:t xml:space="preserve">Artículo 6o. </w:t>
      </w:r>
      <w:r w:rsidRPr="00C43915">
        <w:rPr>
          <w:rFonts w:ascii="Palatino Linotype" w:hAnsi="Palatino Linotype"/>
          <w:i/>
          <w:sz w:val="24"/>
          <w:szCs w:val="24"/>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3915">
        <w:rPr>
          <w:rFonts w:ascii="Palatino Linotype" w:hAnsi="Palatino Linotype"/>
          <w:b/>
          <w:i/>
          <w:sz w:val="24"/>
          <w:szCs w:val="24"/>
        </w:rPr>
        <w:t>El derecho a la información será garantizado por el Estado</w:t>
      </w:r>
      <w:r w:rsidRPr="00C43915">
        <w:rPr>
          <w:rFonts w:ascii="Palatino Linotype" w:hAnsi="Palatino Linotype"/>
          <w:i/>
          <w:sz w:val="24"/>
          <w:szCs w:val="24"/>
        </w:rPr>
        <w:t xml:space="preserve">. </w:t>
      </w:r>
    </w:p>
    <w:p w:rsidR="00CD0242" w:rsidRPr="00C43915" w:rsidRDefault="00CD0242" w:rsidP="00CD0242">
      <w:pPr>
        <w:pStyle w:val="Sinespaciado"/>
        <w:ind w:left="567" w:right="616"/>
        <w:jc w:val="both"/>
        <w:rPr>
          <w:rFonts w:ascii="Palatino Linotype" w:hAnsi="Palatino Linotype"/>
          <w:i/>
          <w:sz w:val="24"/>
          <w:szCs w:val="24"/>
        </w:rPr>
      </w:pPr>
    </w:p>
    <w:p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Toda persona tiene derecho al libre acceso a información plural y oportuna, así como a buscar, recibir y difundir información e ideas de toda índole por cualquier medio de expresión. </w:t>
      </w:r>
    </w:p>
    <w:p w:rsidR="00CD0242" w:rsidRPr="00C43915" w:rsidRDefault="00CD0242" w:rsidP="00CD0242">
      <w:pPr>
        <w:pStyle w:val="Sinespaciado"/>
        <w:ind w:left="567" w:right="616"/>
        <w:jc w:val="both"/>
        <w:rPr>
          <w:rFonts w:ascii="Palatino Linotype" w:hAnsi="Palatino Linotype"/>
          <w:i/>
          <w:sz w:val="24"/>
          <w:szCs w:val="24"/>
        </w:rPr>
      </w:pPr>
    </w:p>
    <w:p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 </w:t>
      </w:r>
    </w:p>
    <w:p w:rsidR="00CD0242" w:rsidRPr="00C43915" w:rsidRDefault="00CD0242" w:rsidP="00CD0242">
      <w:pPr>
        <w:pStyle w:val="Sinespaciado"/>
        <w:ind w:left="567" w:right="616"/>
        <w:jc w:val="both"/>
        <w:rPr>
          <w:rFonts w:ascii="Palatino Linotype" w:hAnsi="Palatino Linotype"/>
          <w:i/>
          <w:sz w:val="24"/>
          <w:szCs w:val="24"/>
        </w:rPr>
      </w:pPr>
    </w:p>
    <w:p w:rsidR="00CD0242" w:rsidRPr="00C43915" w:rsidRDefault="00CD0242" w:rsidP="00CD0242">
      <w:pPr>
        <w:pStyle w:val="Sinespaciado"/>
        <w:ind w:left="567" w:right="616"/>
        <w:jc w:val="both"/>
        <w:rPr>
          <w:rFonts w:ascii="Palatino Linotype" w:hAnsi="Palatino Linotype"/>
          <w:b/>
          <w:i/>
          <w:sz w:val="24"/>
          <w:szCs w:val="24"/>
          <w:u w:val="single"/>
        </w:rPr>
      </w:pPr>
      <w:r w:rsidRPr="00C43915">
        <w:rPr>
          <w:rFonts w:ascii="Palatino Linotype" w:hAnsi="Palatino Linotype"/>
          <w:b/>
          <w:i/>
          <w:sz w:val="24"/>
          <w:szCs w:val="24"/>
          <w:u w:val="single"/>
        </w:rPr>
        <w:t xml:space="preserve">Para efectos de lo dispuesto en el presente artículo se observará lo siguiente: </w:t>
      </w:r>
    </w:p>
    <w:p w:rsidR="00CD0242" w:rsidRPr="00C43915" w:rsidRDefault="00CD0242" w:rsidP="00CD0242">
      <w:pPr>
        <w:pStyle w:val="Sinespaciado"/>
        <w:ind w:left="567" w:right="616"/>
        <w:jc w:val="both"/>
        <w:rPr>
          <w:rFonts w:ascii="Palatino Linotype" w:hAnsi="Palatino Linotype"/>
          <w:b/>
          <w:bCs/>
          <w:i/>
          <w:sz w:val="24"/>
          <w:szCs w:val="24"/>
        </w:rPr>
      </w:pPr>
    </w:p>
    <w:p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b/>
          <w:bCs/>
          <w:i/>
          <w:sz w:val="24"/>
          <w:szCs w:val="24"/>
          <w:u w:val="single"/>
        </w:rPr>
        <w:t xml:space="preserve">A. </w:t>
      </w:r>
      <w:r w:rsidRPr="00C43915">
        <w:rPr>
          <w:rFonts w:ascii="Palatino Linotype" w:hAnsi="Palatino Linotype"/>
          <w:b/>
          <w:i/>
          <w:sz w:val="24"/>
          <w:szCs w:val="24"/>
          <w:u w:val="single"/>
        </w:rPr>
        <w:t>Para el ejercicio del derecho de acceso a la información, la Federación y las entidades federativas, en el ámbito de sus respectivas competencias, se regirán por los siguientes principios y bases:</w:t>
      </w:r>
      <w:r w:rsidRPr="00C43915">
        <w:rPr>
          <w:rFonts w:ascii="Palatino Linotype" w:hAnsi="Palatino Linotype"/>
          <w:i/>
          <w:sz w:val="24"/>
          <w:szCs w:val="24"/>
        </w:rPr>
        <w:t xml:space="preserve"> </w:t>
      </w:r>
    </w:p>
    <w:p w:rsidR="00CD0242" w:rsidRPr="00C43915" w:rsidRDefault="00CD0242" w:rsidP="00CD0242">
      <w:pPr>
        <w:pStyle w:val="Sinespaciado"/>
        <w:ind w:left="567" w:right="616"/>
        <w:jc w:val="both"/>
        <w:rPr>
          <w:rFonts w:ascii="Palatino Linotype" w:hAnsi="Palatino Linotype"/>
          <w:b/>
          <w:bCs/>
          <w:i/>
          <w:sz w:val="24"/>
          <w:szCs w:val="24"/>
        </w:rPr>
      </w:pPr>
    </w:p>
    <w:p w:rsidR="00CD0242" w:rsidRPr="00C43915" w:rsidRDefault="00CD0242" w:rsidP="00CD0242">
      <w:pPr>
        <w:pStyle w:val="Sinespaciado"/>
        <w:numPr>
          <w:ilvl w:val="0"/>
          <w:numId w:val="42"/>
        </w:numPr>
        <w:ind w:right="616"/>
        <w:jc w:val="both"/>
        <w:rPr>
          <w:rFonts w:ascii="Palatino Linotype" w:hAnsi="Palatino Linotype"/>
          <w:i/>
          <w:sz w:val="24"/>
          <w:szCs w:val="24"/>
        </w:rPr>
      </w:pPr>
      <w:r w:rsidRPr="00C43915">
        <w:rPr>
          <w:rFonts w:ascii="Palatino Linotype" w:hAnsi="Palatino Linotype"/>
          <w:b/>
          <w:i/>
          <w:sz w:val="24"/>
          <w:szCs w:val="24"/>
          <w:u w:val="single"/>
        </w:rPr>
        <w:t>Toda la información en posesión de cualquier autoridad, entidad, órgano y organismo de los Poderes Ejecutivo, Legislativo y Judicial, órganos autónomos, partidos políticos, fideicomisos y fondos públicos, así como de cualquier persona física</w:t>
      </w:r>
      <w:r w:rsidRPr="000A4806">
        <w:rPr>
          <w:rFonts w:ascii="Palatino Linotype" w:hAnsi="Palatino Linotype"/>
          <w:b/>
          <w:i/>
          <w:sz w:val="24"/>
          <w:szCs w:val="24"/>
          <w:u w:val="single"/>
        </w:rPr>
        <w:t>, moral</w:t>
      </w:r>
      <w:r w:rsidRPr="00C43915">
        <w:rPr>
          <w:rFonts w:ascii="Palatino Linotype" w:hAnsi="Palatino Linotype"/>
          <w:i/>
          <w:sz w:val="24"/>
          <w:szCs w:val="24"/>
        </w:rPr>
        <w:t xml:space="preserve"> o sindicato </w:t>
      </w:r>
      <w:r w:rsidRPr="00C43915">
        <w:rPr>
          <w:rFonts w:ascii="Palatino Linotype" w:hAnsi="Palatino Linotype"/>
          <w:b/>
          <w:i/>
          <w:sz w:val="24"/>
          <w:szCs w:val="24"/>
          <w:u w:val="single"/>
        </w:rPr>
        <w:t>que reciba y ejerza recursos públicos o realice actos de autoridad en el ámbito</w:t>
      </w:r>
      <w:r w:rsidRPr="00C43915">
        <w:rPr>
          <w:rFonts w:ascii="Palatino Linotype" w:hAnsi="Palatino Linotype"/>
          <w:i/>
          <w:sz w:val="24"/>
          <w:szCs w:val="24"/>
        </w:rPr>
        <w:t xml:space="preserve"> federal, estatal y </w:t>
      </w:r>
      <w:r w:rsidRPr="00C43915">
        <w:rPr>
          <w:rFonts w:ascii="Palatino Linotype" w:hAnsi="Palatino Linotype"/>
          <w:b/>
          <w:i/>
          <w:sz w:val="24"/>
          <w:szCs w:val="24"/>
          <w:u w:val="single"/>
        </w:rPr>
        <w:t xml:space="preserve">municipal, es pública y sólo podrá ser reservada temporalmente por , razones de interés público y seguridad nacional, en los términos que fijen las leyes. </w:t>
      </w:r>
      <w:r w:rsidRPr="00C43915">
        <w:rPr>
          <w:rFonts w:ascii="Palatino Linotype" w:hAnsi="Palatino Linotype"/>
          <w:i/>
          <w:sz w:val="24"/>
          <w:szCs w:val="24"/>
        </w:rPr>
        <w:t>En la interpretación de este derecho deberá prevalecer el principio de máxima publicidad</w:t>
      </w:r>
      <w:r w:rsidRPr="00C43915">
        <w:rPr>
          <w:rFonts w:ascii="Palatino Linotype" w:hAnsi="Palatino Linotype"/>
          <w:b/>
          <w:i/>
          <w:sz w:val="24"/>
          <w:szCs w:val="24"/>
          <w:u w:val="single"/>
        </w:rPr>
        <w:t>.</w:t>
      </w:r>
      <w:r w:rsidRPr="00C43915">
        <w:rPr>
          <w:rFonts w:ascii="Palatino Linotype" w:hAnsi="Palatino Linotype"/>
          <w:i/>
          <w:sz w:val="24"/>
          <w:szCs w:val="24"/>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rsidR="00CD0242" w:rsidRPr="00C43915" w:rsidRDefault="00CD0242" w:rsidP="00CD0242">
      <w:pPr>
        <w:pStyle w:val="Sinespaciado"/>
        <w:ind w:left="1287" w:right="616"/>
        <w:jc w:val="both"/>
        <w:rPr>
          <w:rFonts w:ascii="Palatino Linotype" w:hAnsi="Palatino Linotype"/>
          <w:i/>
          <w:sz w:val="24"/>
          <w:szCs w:val="24"/>
        </w:rPr>
      </w:pPr>
    </w:p>
    <w:p w:rsidR="00CD0242" w:rsidRPr="00C43915" w:rsidRDefault="00CD0242" w:rsidP="00CD0242">
      <w:pPr>
        <w:pStyle w:val="Sinespaciado"/>
        <w:numPr>
          <w:ilvl w:val="0"/>
          <w:numId w:val="42"/>
        </w:numPr>
        <w:ind w:right="616"/>
        <w:jc w:val="both"/>
        <w:rPr>
          <w:rFonts w:ascii="Palatino Linotype" w:hAnsi="Palatino Linotype"/>
          <w:i/>
          <w:sz w:val="24"/>
          <w:szCs w:val="24"/>
        </w:rPr>
      </w:pPr>
      <w:r w:rsidRPr="00C43915">
        <w:rPr>
          <w:rFonts w:ascii="Palatino Linotype" w:hAnsi="Palatino Linotype"/>
          <w:b/>
          <w:i/>
          <w:sz w:val="24"/>
          <w:szCs w:val="24"/>
          <w:u w:val="single"/>
        </w:rPr>
        <w:t>La información que se refiere a la vida privada y los datos personales será protegida en los términos y con las excepciones que fijen las leyes.</w:t>
      </w:r>
      <w:r w:rsidRPr="00C43915">
        <w:rPr>
          <w:rFonts w:ascii="Palatino Linotype" w:hAnsi="Palatino Linotype"/>
          <w:i/>
          <w:sz w:val="24"/>
          <w:szCs w:val="24"/>
        </w:rPr>
        <w:t xml:space="preserve"> </w:t>
      </w:r>
    </w:p>
    <w:p w:rsidR="00CD0242" w:rsidRPr="00C43915" w:rsidRDefault="00CD0242" w:rsidP="00CD0242">
      <w:pPr>
        <w:pStyle w:val="Prrafodelista"/>
        <w:rPr>
          <w:rFonts w:ascii="Palatino Linotype" w:hAnsi="Palatino Linotype"/>
          <w:i/>
        </w:rPr>
      </w:pPr>
    </w:p>
    <w:p w:rsidR="00CD0242" w:rsidRPr="00C43915" w:rsidRDefault="00CD0242" w:rsidP="00CD0242">
      <w:pPr>
        <w:pStyle w:val="Sinespaciado"/>
        <w:numPr>
          <w:ilvl w:val="0"/>
          <w:numId w:val="42"/>
        </w:numPr>
        <w:ind w:right="616"/>
        <w:jc w:val="both"/>
        <w:rPr>
          <w:rFonts w:ascii="Palatino Linotype" w:hAnsi="Palatino Linotype"/>
          <w:i/>
          <w:sz w:val="24"/>
          <w:szCs w:val="24"/>
        </w:rPr>
      </w:pPr>
      <w:r w:rsidRPr="00C43915">
        <w:rPr>
          <w:rFonts w:ascii="Palatino Linotype" w:hAnsi="Palatino Linotype"/>
          <w:i/>
          <w:sz w:val="24"/>
          <w:szCs w:val="24"/>
        </w:rPr>
        <w:t>…</w:t>
      </w:r>
    </w:p>
    <w:p w:rsidR="00CD0242" w:rsidRPr="00C43915" w:rsidRDefault="00CD0242" w:rsidP="00CD0242">
      <w:pPr>
        <w:pStyle w:val="Sinespaciado"/>
        <w:spacing w:line="360" w:lineRule="auto"/>
        <w:jc w:val="both"/>
        <w:rPr>
          <w:rFonts w:ascii="Palatino Linotype" w:hAnsi="Palatino Linotype"/>
          <w:sz w:val="24"/>
          <w:szCs w:val="24"/>
        </w:rPr>
      </w:pPr>
    </w:p>
    <w:p w:rsidR="00CD0242" w:rsidRDefault="00CD0242" w:rsidP="00CD0242">
      <w:pPr>
        <w:pStyle w:val="Sinespaciado"/>
        <w:spacing w:line="360" w:lineRule="auto"/>
        <w:jc w:val="both"/>
        <w:rPr>
          <w:rFonts w:ascii="Palatino Linotype" w:hAnsi="Palatino Linotype"/>
          <w:sz w:val="24"/>
          <w:szCs w:val="24"/>
        </w:rPr>
      </w:pPr>
      <w:r w:rsidRPr="00C43915">
        <w:rPr>
          <w:rFonts w:ascii="Palatino Linotype" w:hAnsi="Palatino Linotype"/>
          <w:sz w:val="24"/>
          <w:szCs w:val="24"/>
        </w:rPr>
        <w:t>Asimismo, es necesario dejar establecido que el segundo párrafo del artículo 16 de la Constitución Política de los Estados Unidos Mexicanos, a la letra dice:</w:t>
      </w:r>
    </w:p>
    <w:p w:rsidR="00CD0242" w:rsidRPr="006C1CED" w:rsidRDefault="00CD0242" w:rsidP="00CD0242">
      <w:pPr>
        <w:pStyle w:val="Sinespaciado"/>
        <w:spacing w:line="360" w:lineRule="auto"/>
        <w:jc w:val="both"/>
        <w:rPr>
          <w:rFonts w:ascii="Palatino Linotype" w:hAnsi="Palatino Linotype"/>
          <w:sz w:val="16"/>
          <w:szCs w:val="24"/>
        </w:rPr>
      </w:pPr>
    </w:p>
    <w:p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w:t>
      </w:r>
      <w:r w:rsidRPr="00C43915">
        <w:rPr>
          <w:rFonts w:ascii="Palatino Linotype" w:hAnsi="Palatino Linotype"/>
          <w:b/>
          <w:i/>
          <w:sz w:val="24"/>
          <w:szCs w:val="24"/>
          <w:u w:val="single"/>
        </w:rPr>
        <w:t>Toda persona tiene derecho a la protección de sus datos personales</w:t>
      </w:r>
      <w:r w:rsidRPr="00C43915">
        <w:rPr>
          <w:rFonts w:ascii="Palatino Linotype" w:hAnsi="Palatino Linotype"/>
          <w:i/>
          <w:sz w:val="24"/>
          <w:szCs w:val="24"/>
        </w:rPr>
        <w:t xml:space="preserve">, al acceso, rectificación y cancelación de los mismos, así como a manifestar su oposición, </w:t>
      </w:r>
      <w:r w:rsidRPr="00C43915">
        <w:rPr>
          <w:rFonts w:ascii="Palatino Linotype" w:hAnsi="Palatino Linotype"/>
          <w:b/>
          <w:i/>
          <w:sz w:val="24"/>
          <w:szCs w:val="24"/>
          <w:u w:val="single"/>
        </w:rPr>
        <w:t>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C43915">
        <w:rPr>
          <w:rFonts w:ascii="Palatino Linotype" w:hAnsi="Palatino Linotype"/>
          <w:i/>
          <w:sz w:val="24"/>
          <w:szCs w:val="24"/>
        </w:rPr>
        <w:t>”</w:t>
      </w:r>
    </w:p>
    <w:p w:rsidR="00CD0242" w:rsidRPr="00C43915" w:rsidRDefault="00CD0242" w:rsidP="00CD0242">
      <w:pPr>
        <w:pStyle w:val="Sinespaciado"/>
        <w:spacing w:line="360" w:lineRule="auto"/>
        <w:ind w:right="616"/>
        <w:jc w:val="both"/>
        <w:rPr>
          <w:rFonts w:ascii="Palatino Linotype" w:hAnsi="Palatino Linotype"/>
          <w:i/>
          <w:sz w:val="24"/>
          <w:szCs w:val="24"/>
        </w:rPr>
      </w:pPr>
    </w:p>
    <w:p w:rsidR="00CD0242" w:rsidRPr="009071F6" w:rsidRDefault="00CD0242" w:rsidP="00CD0242">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 xml:space="preserve">De la interpretación de los numerales citados, se tiene que la información en posesión de cualquier autoridad, entidad, órgano y organismo de los Poderes Ejecutivo, Legislativo y Judicial, así como de cualquier persona física, moral o sindicato que reciba y ejerza recursos públicos o realice actos de autoridad en el ámbito federal, estatal o municipal, es pública y sólo podrá ser reservada temporalmente por razones de interés público y seguridad nacional, en los términos </w:t>
      </w:r>
      <w:r>
        <w:rPr>
          <w:rFonts w:ascii="Palatino Linotype" w:hAnsi="Palatino Linotype"/>
          <w:sz w:val="24"/>
          <w:szCs w:val="24"/>
        </w:rPr>
        <w:t xml:space="preserve">que fijen las leyes. Por tanto, </w:t>
      </w:r>
      <w:r w:rsidRPr="00C43915">
        <w:rPr>
          <w:rFonts w:ascii="Palatino Linotype" w:hAnsi="Palatino Linotype"/>
          <w:sz w:val="24"/>
          <w:szCs w:val="24"/>
        </w:rPr>
        <w:t>se puede colegir que la información que posee el Sujeto Obligado respecto a</w:t>
      </w:r>
      <w:r>
        <w:rPr>
          <w:rFonts w:ascii="Palatino Linotype" w:hAnsi="Palatino Linotype"/>
          <w:sz w:val="24"/>
          <w:szCs w:val="24"/>
        </w:rPr>
        <w:t xml:space="preserve"> la licencia de  construcción otorgada</w:t>
      </w:r>
      <w:r w:rsidRPr="00C43915">
        <w:rPr>
          <w:rFonts w:ascii="Palatino Linotype" w:hAnsi="Palatino Linotype"/>
          <w:sz w:val="24"/>
          <w:szCs w:val="24"/>
        </w:rPr>
        <w:t xml:space="preserve"> para la </w:t>
      </w:r>
      <w:r>
        <w:rPr>
          <w:rFonts w:ascii="Palatino Linotype" w:hAnsi="Palatino Linotype"/>
          <w:sz w:val="24"/>
          <w:szCs w:val="24"/>
        </w:rPr>
        <w:t>obra privada</w:t>
      </w:r>
      <w:r w:rsidRPr="00C43915">
        <w:rPr>
          <w:rFonts w:ascii="Palatino Linotype" w:hAnsi="Palatino Linotype"/>
          <w:sz w:val="24"/>
          <w:szCs w:val="24"/>
        </w:rPr>
        <w:t xml:space="preserve"> es pública, por lo que es dable que se lleve </w:t>
      </w:r>
      <w:r>
        <w:rPr>
          <w:rFonts w:ascii="Palatino Linotype" w:hAnsi="Palatino Linotype"/>
          <w:sz w:val="24"/>
          <w:szCs w:val="24"/>
        </w:rPr>
        <w:t>a cabo su entrega al Recurrente</w:t>
      </w:r>
      <w:r w:rsidRPr="00C43915">
        <w:rPr>
          <w:rFonts w:ascii="Palatino Linotype" w:hAnsi="Palatino Linotype"/>
          <w:sz w:val="24"/>
          <w:szCs w:val="24"/>
        </w:rPr>
        <w:t>, también es procedente que en los documentos en donde conste dicha informació</w:t>
      </w:r>
      <w:r>
        <w:rPr>
          <w:rFonts w:ascii="Palatino Linotype" w:hAnsi="Palatino Linotype"/>
          <w:sz w:val="24"/>
          <w:szCs w:val="24"/>
        </w:rPr>
        <w:t>n se teste el nombre del perito</w:t>
      </w:r>
      <w:r w:rsidRPr="00C43915">
        <w:rPr>
          <w:rFonts w:ascii="Palatino Linotype" w:hAnsi="Palatino Linotype"/>
          <w:sz w:val="24"/>
          <w:szCs w:val="24"/>
        </w:rPr>
        <w:t xml:space="preserve">, pues éste se considera un </w:t>
      </w:r>
      <w:r w:rsidRPr="00C43915">
        <w:rPr>
          <w:rFonts w:ascii="Palatino Linotype" w:hAnsi="Palatino Linotype"/>
          <w:b/>
          <w:sz w:val="24"/>
          <w:szCs w:val="24"/>
        </w:rPr>
        <w:t>dato personal</w:t>
      </w:r>
      <w:r w:rsidRPr="00C43915">
        <w:rPr>
          <w:rFonts w:ascii="Palatino Linotype" w:hAnsi="Palatino Linotype"/>
          <w:sz w:val="24"/>
          <w:szCs w:val="24"/>
        </w:rPr>
        <w:t xml:space="preserve">, que está protegido por una de las dos leyes que rige al Instituto, </w:t>
      </w:r>
      <w:r w:rsidRPr="00C43915">
        <w:rPr>
          <w:rFonts w:ascii="Palatino Linotype" w:hAnsi="Palatino Linotype"/>
          <w:sz w:val="24"/>
          <w:szCs w:val="24"/>
        </w:rPr>
        <w:lastRenderedPageBreak/>
        <w:t xml:space="preserve">además de que no se actualiza la hipótesis establecida en el mismo artículo 6 constitucional, apartado A, inciso I, respecto a que se trate de una persona física </w:t>
      </w:r>
      <w:r>
        <w:rPr>
          <w:rFonts w:ascii="Palatino Linotype" w:hAnsi="Palatino Linotype"/>
          <w:sz w:val="24"/>
          <w:szCs w:val="24"/>
        </w:rPr>
        <w:t xml:space="preserve">o moral </w:t>
      </w:r>
      <w:r w:rsidRPr="00C43915">
        <w:rPr>
          <w:rFonts w:ascii="Palatino Linotype" w:hAnsi="Palatino Linotype"/>
          <w:sz w:val="24"/>
          <w:szCs w:val="24"/>
        </w:rPr>
        <w:t>que reciba y ejerza recursos públicos o realice actos de autoridad en el cualquier ámbito.</w:t>
      </w:r>
    </w:p>
    <w:p w:rsidR="00CD0242" w:rsidRDefault="00CD0242" w:rsidP="00CD0242">
      <w:pPr>
        <w:autoSpaceDE w:val="0"/>
        <w:autoSpaceDN w:val="0"/>
        <w:adjustRightInd w:val="0"/>
        <w:spacing w:after="0" w:line="360" w:lineRule="auto"/>
        <w:jc w:val="both"/>
        <w:rPr>
          <w:rFonts w:ascii="Palatino Linotype" w:hAnsi="Palatino Linotype" w:cs="Arial"/>
          <w:b/>
        </w:rPr>
      </w:pPr>
    </w:p>
    <w:p w:rsidR="00EB32F6" w:rsidRPr="00791B46" w:rsidRDefault="006A71AB" w:rsidP="00EB32F6">
      <w:pPr>
        <w:tabs>
          <w:tab w:val="left" w:pos="7938"/>
        </w:tabs>
        <w:spacing w:line="360" w:lineRule="auto"/>
        <w:jc w:val="both"/>
        <w:rPr>
          <w:rFonts w:ascii="Palatino Linotype" w:eastAsia="Arial Unicode MS" w:hAnsi="Palatino Linotype" w:cs="Arial"/>
          <w:b/>
        </w:rPr>
      </w:pPr>
      <w:r>
        <w:rPr>
          <w:rFonts w:ascii="Palatino Linotype" w:eastAsia="Arial Unicode MS" w:hAnsi="Palatino Linotype" w:cs="Arial"/>
          <w:b/>
        </w:rPr>
        <w:t xml:space="preserve">I. </w:t>
      </w:r>
      <w:r w:rsidR="00EB32F6" w:rsidRPr="003A3989">
        <w:rPr>
          <w:rFonts w:ascii="Palatino Linotype" w:eastAsia="Arial Unicode MS" w:hAnsi="Palatino Linotype" w:cs="Arial"/>
          <w:b/>
        </w:rPr>
        <w:t>Vista al Órgano Interno de Control</w:t>
      </w:r>
      <w:r w:rsidR="00EB32F6">
        <w:rPr>
          <w:rFonts w:ascii="Palatino Linotype" w:eastAsia="Arial Unicode MS" w:hAnsi="Palatino Linotype" w:cs="Arial"/>
          <w:b/>
        </w:rPr>
        <w:t>.</w:t>
      </w:r>
    </w:p>
    <w:p w:rsidR="00EB32F6" w:rsidRPr="00697CB9" w:rsidRDefault="00EB32F6" w:rsidP="00EB32F6">
      <w:pPr>
        <w:pStyle w:val="Prrafodelista"/>
        <w:tabs>
          <w:tab w:val="left" w:pos="426"/>
        </w:tabs>
        <w:spacing w:line="360" w:lineRule="auto"/>
        <w:ind w:left="0"/>
        <w:jc w:val="both"/>
        <w:rPr>
          <w:rFonts w:ascii="Palatino Linotype" w:eastAsia="MS Mincho" w:hAnsi="Palatino Linotype" w:cs="Arial"/>
          <w:color w:val="000000" w:themeColor="text1"/>
        </w:rPr>
      </w:pPr>
      <w:r w:rsidRPr="00697CB9">
        <w:rPr>
          <w:rFonts w:ascii="Palatino Linotype" w:hAnsi="Palatino Linotype"/>
        </w:rPr>
        <w:t xml:space="preserve">Por ello, es conveniente señalar la </w:t>
      </w:r>
      <w:r w:rsidRPr="00697CB9">
        <w:rPr>
          <w:rFonts w:ascii="Palatino Linotype" w:hAnsi="Palatino Linotype"/>
          <w:b/>
        </w:rPr>
        <w:t>fracción X, del artículo 36, de la Ley de Transparencia y Acceso a la Información Pública del Estado de México y Municipios</w:t>
      </w:r>
      <w:r w:rsidRPr="00697CB9">
        <w:rPr>
          <w:rFonts w:ascii="Palatino Linotype" w:hAnsi="Palatino Linotype"/>
        </w:rPr>
        <w:t>, que establece:</w:t>
      </w:r>
    </w:p>
    <w:p w:rsidR="00EB32F6" w:rsidRPr="00697CB9" w:rsidRDefault="00EB32F6" w:rsidP="00EB32F6">
      <w:pPr>
        <w:pStyle w:val="Prrafodelista"/>
        <w:tabs>
          <w:tab w:val="left" w:pos="426"/>
        </w:tabs>
        <w:spacing w:line="360" w:lineRule="auto"/>
        <w:ind w:left="0"/>
        <w:jc w:val="both"/>
        <w:rPr>
          <w:rFonts w:ascii="Palatino Linotype" w:eastAsia="MS Mincho" w:hAnsi="Palatino Linotype" w:cs="Arial"/>
          <w:color w:val="000000" w:themeColor="text1"/>
        </w:rPr>
      </w:pPr>
    </w:p>
    <w:p w:rsidR="00EB32F6" w:rsidRPr="00697CB9" w:rsidRDefault="00EB32F6" w:rsidP="00EB32F6">
      <w:pPr>
        <w:spacing w:line="360" w:lineRule="auto"/>
        <w:ind w:left="567" w:right="616"/>
        <w:jc w:val="both"/>
        <w:rPr>
          <w:rFonts w:ascii="Palatino Linotype" w:hAnsi="Palatino Linotype"/>
          <w:i/>
        </w:rPr>
      </w:pPr>
      <w:r w:rsidRPr="00697CB9">
        <w:rPr>
          <w:rFonts w:ascii="Palatino Linotype" w:hAnsi="Palatino Linotype"/>
          <w:b/>
          <w:i/>
        </w:rPr>
        <w:t>“Artículo 36.</w:t>
      </w:r>
      <w:r w:rsidRPr="00697CB9">
        <w:rPr>
          <w:rFonts w:ascii="Palatino Linotype" w:hAnsi="Palatino Linotype"/>
          <w:i/>
        </w:rPr>
        <w:t xml:space="preserve"> El Instituto tendrá, en el ámbito de su competencia, las siguientes atribuciones:</w:t>
      </w:r>
    </w:p>
    <w:p w:rsidR="00EB32F6" w:rsidRPr="00697CB9" w:rsidRDefault="00EB32F6" w:rsidP="00EB32F6">
      <w:pPr>
        <w:spacing w:line="360" w:lineRule="auto"/>
        <w:ind w:left="567" w:right="616"/>
        <w:jc w:val="both"/>
        <w:rPr>
          <w:rFonts w:ascii="Palatino Linotype" w:hAnsi="Palatino Linotype"/>
          <w:i/>
        </w:rPr>
      </w:pPr>
      <w:r w:rsidRPr="00697CB9">
        <w:rPr>
          <w:rFonts w:ascii="Palatino Linotype" w:hAnsi="Palatino Linotype"/>
          <w:i/>
        </w:rPr>
        <w:t>(…)</w:t>
      </w:r>
    </w:p>
    <w:p w:rsidR="00EB32F6" w:rsidRDefault="00EB32F6" w:rsidP="00EB32F6">
      <w:pPr>
        <w:spacing w:line="360" w:lineRule="auto"/>
        <w:ind w:left="567" w:right="616"/>
        <w:jc w:val="both"/>
        <w:rPr>
          <w:rFonts w:ascii="Palatino Linotype" w:hAnsi="Palatino Linotype"/>
          <w:b/>
          <w:i/>
        </w:rPr>
      </w:pPr>
    </w:p>
    <w:p w:rsidR="00EB32F6" w:rsidRPr="00697CB9" w:rsidRDefault="00EB32F6" w:rsidP="00EB32F6">
      <w:pPr>
        <w:spacing w:line="360" w:lineRule="auto"/>
        <w:ind w:left="567" w:right="616"/>
        <w:jc w:val="both"/>
        <w:rPr>
          <w:rFonts w:ascii="Palatino Linotype" w:hAnsi="Palatino Linotype"/>
          <w:i/>
        </w:rPr>
      </w:pPr>
      <w:r w:rsidRPr="00697CB9">
        <w:rPr>
          <w:rFonts w:ascii="Palatino Linotype" w:hAnsi="Palatino Linotype"/>
          <w:b/>
          <w:i/>
        </w:rPr>
        <w:t>X. Hacer del conocimiento del órgano de control interno o equivalente de cada Sujeto Obligado las infracciones a esta Ley;</w:t>
      </w:r>
      <w:r w:rsidRPr="00697CB9">
        <w:rPr>
          <w:rFonts w:ascii="Palatino Linotype" w:hAnsi="Palatino Linotype"/>
          <w:i/>
        </w:rPr>
        <w:t>”</w:t>
      </w:r>
    </w:p>
    <w:p w:rsidR="00EB32F6" w:rsidRPr="00697CB9" w:rsidRDefault="00EB32F6" w:rsidP="00EB32F6">
      <w:pPr>
        <w:pStyle w:val="Prrafodelista"/>
        <w:tabs>
          <w:tab w:val="left" w:pos="426"/>
        </w:tabs>
        <w:spacing w:line="360" w:lineRule="auto"/>
        <w:ind w:left="0"/>
        <w:jc w:val="both"/>
        <w:rPr>
          <w:rFonts w:ascii="Palatino Linotype" w:eastAsia="MS Mincho" w:hAnsi="Palatino Linotype" w:cs="Arial"/>
          <w:color w:val="000000" w:themeColor="text1"/>
        </w:rPr>
      </w:pPr>
    </w:p>
    <w:p w:rsidR="00EB32F6" w:rsidRPr="00697CB9" w:rsidRDefault="00EB32F6" w:rsidP="00EB32F6">
      <w:pPr>
        <w:pStyle w:val="Prrafodelista"/>
        <w:tabs>
          <w:tab w:val="left" w:pos="426"/>
        </w:tabs>
        <w:spacing w:line="360" w:lineRule="auto"/>
        <w:ind w:left="0"/>
        <w:jc w:val="both"/>
        <w:rPr>
          <w:rFonts w:ascii="Palatino Linotype" w:eastAsia="MS Mincho" w:hAnsi="Palatino Linotype" w:cs="Arial"/>
          <w:color w:val="000000" w:themeColor="text1"/>
        </w:rPr>
      </w:pPr>
      <w:r w:rsidRPr="00697CB9">
        <w:rPr>
          <w:rFonts w:ascii="Palatino Linotype" w:hAnsi="Palatino Linotype"/>
        </w:rPr>
        <w:t xml:space="preserve">Asimismo, este Pleno hará del conocimiento al Órgano de Control Interno de este Instituto las infracciones en que el </w:t>
      </w:r>
      <w:r w:rsidRPr="00697CB9">
        <w:rPr>
          <w:rFonts w:ascii="Palatino Linotype" w:hAnsi="Palatino Linotype"/>
          <w:b/>
        </w:rPr>
        <w:t>Sujeto Obligado</w:t>
      </w:r>
      <w:r w:rsidRPr="00697CB9">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697CB9">
        <w:rPr>
          <w:rFonts w:ascii="Palatino Linotype" w:eastAsia="MS Mincho" w:hAnsi="Palatino Linotype" w:cs="Arial"/>
        </w:rPr>
        <w:t xml:space="preserve">en la </w:t>
      </w:r>
      <w:r w:rsidRPr="00697CB9">
        <w:rPr>
          <w:rFonts w:ascii="Palatino Linotype" w:eastAsia="MS Mincho" w:hAnsi="Palatino Linotype" w:cs="Arial"/>
          <w:b/>
        </w:rPr>
        <w:t>Ley de Transparencia Acceso a la Información Pública del Estado de México y Municipios específicamente en sus artículos 190 y 223,</w:t>
      </w:r>
      <w:r w:rsidRPr="00697CB9">
        <w:rPr>
          <w:rFonts w:ascii="Palatino Linotype" w:eastAsia="MS Mincho" w:hAnsi="Palatino Linotype" w:cs="Arial"/>
        </w:rPr>
        <w:t xml:space="preserve"> que señalan lo siguiente:</w:t>
      </w:r>
    </w:p>
    <w:p w:rsidR="00EB32F6" w:rsidRPr="00697CB9" w:rsidRDefault="00EB32F6" w:rsidP="00EB32F6">
      <w:pPr>
        <w:pStyle w:val="Prrafodelista"/>
        <w:tabs>
          <w:tab w:val="left" w:pos="426"/>
        </w:tabs>
        <w:spacing w:line="360" w:lineRule="auto"/>
        <w:ind w:left="0"/>
        <w:jc w:val="both"/>
        <w:rPr>
          <w:rFonts w:ascii="Palatino Linotype" w:eastAsia="MS Mincho" w:hAnsi="Palatino Linotype" w:cs="Arial"/>
          <w:color w:val="000000" w:themeColor="text1"/>
        </w:rPr>
      </w:pPr>
    </w:p>
    <w:p w:rsidR="00EB32F6" w:rsidRPr="00697CB9" w:rsidRDefault="00EB32F6" w:rsidP="00EB32F6">
      <w:pPr>
        <w:tabs>
          <w:tab w:val="left" w:pos="567"/>
        </w:tabs>
        <w:ind w:left="567" w:right="618"/>
        <w:jc w:val="both"/>
        <w:rPr>
          <w:rFonts w:ascii="Palatino Linotype" w:hAnsi="Palatino Linotype"/>
          <w:i/>
        </w:rPr>
      </w:pPr>
      <w:r w:rsidRPr="00697CB9">
        <w:rPr>
          <w:rFonts w:ascii="Palatino Linotype" w:hAnsi="Palatino Linotype"/>
          <w:i/>
        </w:rPr>
        <w:t>“</w:t>
      </w:r>
      <w:r w:rsidRPr="00697CB9">
        <w:rPr>
          <w:rFonts w:ascii="Palatino Linotype" w:hAnsi="Palatino Linotype"/>
          <w:b/>
          <w:i/>
        </w:rPr>
        <w:t>Artículo 190.</w:t>
      </w:r>
      <w:r w:rsidRPr="00697CB9">
        <w:rPr>
          <w:rFonts w:ascii="Palatino Linotype" w:hAnsi="Palatino Linotype"/>
          <w:i/>
        </w:rPr>
        <w:t xml:space="preserve"> </w:t>
      </w:r>
      <w:r w:rsidRPr="00697CB9">
        <w:rPr>
          <w:rFonts w:ascii="Palatino Linotype" w:hAnsi="Palatino Linotype"/>
          <w:i/>
          <w:u w:val="single"/>
        </w:rPr>
        <w:t>Cuando el Instituto determine durante la sustanciación del recurso de revisión que pudo haberse incurrido en una probable responsabilidad por el incumplimiento a las obligaciones</w:t>
      </w:r>
      <w:r w:rsidRPr="00697CB9">
        <w:rPr>
          <w:rFonts w:ascii="Palatino Linotype" w:hAnsi="Palatino Linotype"/>
          <w:i/>
        </w:rPr>
        <w:t xml:space="preserve"> previstas en esta Ley y las demás disposiciones jurídicas aplicables en la materia, </w:t>
      </w:r>
      <w:r w:rsidRPr="00697CB9">
        <w:rPr>
          <w:rFonts w:ascii="Palatino Linotype" w:hAnsi="Palatino Linotype"/>
          <w:i/>
          <w:u w:val="single"/>
        </w:rPr>
        <w:t xml:space="preserve">deberá hacerlo del conocimiento del órgano de control interno </w:t>
      </w:r>
      <w:r w:rsidRPr="00697CB9">
        <w:rPr>
          <w:rFonts w:ascii="Palatino Linotype" w:hAnsi="Palatino Linotype"/>
          <w:i/>
        </w:rPr>
        <w:t>de la instancia competente para que éste inicie, en su caso, el procedimiento de responsabilidad respectivo, cuyo resultado deberá de ser informado al Instituto.</w:t>
      </w:r>
    </w:p>
    <w:p w:rsidR="00EB32F6" w:rsidRPr="00697CB9" w:rsidRDefault="00EB32F6" w:rsidP="00EB32F6">
      <w:pPr>
        <w:tabs>
          <w:tab w:val="left" w:pos="567"/>
        </w:tabs>
        <w:ind w:left="567" w:right="618"/>
        <w:jc w:val="both"/>
        <w:rPr>
          <w:rFonts w:ascii="Palatino Linotype" w:hAnsi="Palatino Linotype"/>
          <w:i/>
        </w:rPr>
      </w:pPr>
    </w:p>
    <w:p w:rsidR="00EB32F6" w:rsidRPr="00697CB9" w:rsidRDefault="00EB32F6" w:rsidP="00EB32F6">
      <w:pPr>
        <w:tabs>
          <w:tab w:val="left" w:pos="567"/>
        </w:tabs>
        <w:ind w:left="567" w:right="618"/>
        <w:jc w:val="both"/>
        <w:rPr>
          <w:rFonts w:ascii="Palatino Linotype" w:hAnsi="Palatino Linotype"/>
          <w:i/>
          <w:u w:val="single"/>
        </w:rPr>
      </w:pPr>
      <w:r w:rsidRPr="00697CB9">
        <w:rPr>
          <w:rFonts w:ascii="Palatino Linotype" w:hAnsi="Palatino Linotype"/>
          <w:b/>
          <w:i/>
        </w:rPr>
        <w:t>Artículo 223.</w:t>
      </w:r>
      <w:r w:rsidRPr="00697CB9">
        <w:rPr>
          <w:rFonts w:ascii="Palatino Linotype" w:hAnsi="Palatino Linotype"/>
          <w:i/>
        </w:rPr>
        <w:t xml:space="preserve"> </w:t>
      </w:r>
      <w:r w:rsidRPr="00697CB9">
        <w:rPr>
          <w:rFonts w:ascii="Palatino Linotype" w:hAnsi="Palatino Linotype"/>
          <w:i/>
          <w:u w:val="single"/>
        </w:rPr>
        <w:t>El Instituto dará vista a la Contraloría Interna y Órgano de Control y Vigilancia</w:t>
      </w:r>
      <w:r w:rsidRPr="00697CB9">
        <w:rPr>
          <w:rFonts w:ascii="Palatino Linotype" w:hAnsi="Palatino Linotype"/>
          <w:i/>
        </w:rPr>
        <w:t xml:space="preserve"> en términos de la Ley de Responsabilidades de los Servidores Públicos del Estado y Municipios, </w:t>
      </w:r>
      <w:r w:rsidRPr="00697CB9">
        <w:rPr>
          <w:rFonts w:ascii="Palatino Linotype" w:hAnsi="Palatino Linotype"/>
          <w:i/>
          <w:u w:val="single"/>
        </w:rPr>
        <w:t>para que determine el grado de responsabilidad de quienes incumplan con las obligaciones de la presente Ley.</w:t>
      </w:r>
      <w:r w:rsidRPr="00697CB9">
        <w:rPr>
          <w:rFonts w:ascii="Palatino Linotype" w:hAnsi="Palatino Linotype"/>
          <w:i/>
        </w:rPr>
        <w:t>”</w:t>
      </w:r>
    </w:p>
    <w:p w:rsidR="00EB32F6" w:rsidRPr="00697CB9" w:rsidRDefault="00EB32F6" w:rsidP="00EB32F6">
      <w:pPr>
        <w:tabs>
          <w:tab w:val="left" w:pos="567"/>
        </w:tabs>
        <w:ind w:left="567" w:right="618"/>
        <w:jc w:val="both"/>
        <w:rPr>
          <w:rFonts w:ascii="Palatino Linotype" w:hAnsi="Palatino Linotype"/>
        </w:rPr>
      </w:pPr>
      <w:r w:rsidRPr="00697CB9">
        <w:rPr>
          <w:rFonts w:ascii="Palatino Linotype" w:hAnsi="Palatino Linotype"/>
        </w:rPr>
        <w:t>(Énfasis añadido)</w:t>
      </w:r>
    </w:p>
    <w:p w:rsidR="00EB32F6" w:rsidRPr="00697CB9" w:rsidRDefault="00EB32F6" w:rsidP="00EB32F6">
      <w:pPr>
        <w:pStyle w:val="Prrafodelista"/>
        <w:tabs>
          <w:tab w:val="left" w:pos="426"/>
        </w:tabs>
        <w:spacing w:line="360" w:lineRule="auto"/>
        <w:ind w:left="0"/>
        <w:jc w:val="both"/>
        <w:rPr>
          <w:rFonts w:ascii="Palatino Linotype" w:eastAsia="MS Mincho" w:hAnsi="Palatino Linotype" w:cs="Arial"/>
          <w:color w:val="000000" w:themeColor="text1"/>
        </w:rPr>
      </w:pPr>
    </w:p>
    <w:p w:rsidR="00EB32F6" w:rsidRPr="00357774" w:rsidRDefault="00EB32F6" w:rsidP="00EB32F6">
      <w:pPr>
        <w:pStyle w:val="Prrafodelista"/>
        <w:tabs>
          <w:tab w:val="left" w:pos="426"/>
        </w:tabs>
        <w:spacing w:line="360" w:lineRule="auto"/>
        <w:ind w:left="0"/>
        <w:jc w:val="both"/>
        <w:rPr>
          <w:rFonts w:ascii="Palatino Linotype" w:eastAsia="MS Mincho" w:hAnsi="Palatino Linotype" w:cs="Arial"/>
          <w:color w:val="000000" w:themeColor="text1"/>
        </w:rPr>
      </w:pPr>
      <w:r w:rsidRPr="00357774">
        <w:rPr>
          <w:rFonts w:ascii="Palatino Linotype" w:eastAsia="Calibri" w:hAnsi="Palatino Linotype" w:cs="Arial"/>
          <w:color w:val="000000"/>
          <w:lang w:eastAsia="es-MX"/>
        </w:rPr>
        <w:t xml:space="preserve">Lo anterior, en razón de que, el </w:t>
      </w:r>
      <w:r w:rsidRPr="00357774">
        <w:rPr>
          <w:rFonts w:ascii="Palatino Linotype" w:eastAsia="Calibri" w:hAnsi="Palatino Linotype" w:cs="Arial"/>
          <w:b/>
          <w:color w:val="000000"/>
          <w:lang w:eastAsia="es-MX"/>
        </w:rPr>
        <w:t>Sujeto Obligado</w:t>
      </w:r>
      <w:r>
        <w:rPr>
          <w:rFonts w:ascii="Palatino Linotype" w:eastAsia="Calibri" w:hAnsi="Palatino Linotype" w:cs="Arial"/>
          <w:color w:val="000000"/>
          <w:lang w:eastAsia="es-MX"/>
        </w:rPr>
        <w:t xml:space="preserve"> dejó visibles datos susceptibles de clasificación</w:t>
      </w:r>
      <w:r w:rsidRPr="00357774">
        <w:rPr>
          <w:rFonts w:ascii="Palatino Linotype" w:eastAsia="Calibri" w:hAnsi="Palatino Linotype" w:cs="Arial"/>
          <w:color w:val="000000"/>
          <w:lang w:eastAsia="es-MX"/>
        </w:rPr>
        <w:t>.</w:t>
      </w:r>
    </w:p>
    <w:p w:rsidR="00EB32F6" w:rsidRPr="00357774" w:rsidRDefault="00EB32F6" w:rsidP="00EB32F6">
      <w:pPr>
        <w:pStyle w:val="Prrafodelista"/>
        <w:tabs>
          <w:tab w:val="left" w:pos="426"/>
        </w:tabs>
        <w:spacing w:line="360" w:lineRule="auto"/>
        <w:ind w:left="0"/>
        <w:jc w:val="both"/>
        <w:rPr>
          <w:rFonts w:ascii="Palatino Linotype" w:eastAsia="MS Mincho" w:hAnsi="Palatino Linotype" w:cs="Arial"/>
          <w:color w:val="000000" w:themeColor="text1"/>
        </w:rPr>
      </w:pPr>
    </w:p>
    <w:p w:rsidR="00EB32F6" w:rsidRDefault="00EB32F6" w:rsidP="00EB32F6">
      <w:pPr>
        <w:pStyle w:val="Prrafodelista"/>
        <w:tabs>
          <w:tab w:val="left" w:pos="426"/>
        </w:tabs>
        <w:spacing w:line="360" w:lineRule="auto"/>
        <w:ind w:left="0"/>
        <w:jc w:val="both"/>
        <w:rPr>
          <w:rFonts w:ascii="Palatino Linotype" w:eastAsia="Calibri" w:hAnsi="Palatino Linotype" w:cs="Arial"/>
          <w:color w:val="000000"/>
          <w:lang w:eastAsia="es-MX"/>
        </w:rPr>
      </w:pPr>
      <w:r w:rsidRPr="00357774">
        <w:rPr>
          <w:rFonts w:ascii="Palatino Linotype" w:eastAsia="Calibri" w:hAnsi="Palatino Linotype" w:cs="Arial"/>
          <w:color w:val="000000"/>
          <w:lang w:eastAsia="es-MX"/>
        </w:rPr>
        <w:t>Por lo tanto,</w:t>
      </w:r>
      <w:r w:rsidRPr="00697CB9">
        <w:rPr>
          <w:rFonts w:ascii="Palatino Linotype" w:eastAsia="Calibri" w:hAnsi="Palatino Linotype" w:cs="Arial"/>
          <w:color w:val="000000"/>
          <w:lang w:eastAsia="es-MX"/>
        </w:rPr>
        <w:t xml:space="preserve"> es menester dar vista al Órgano de Control Interno de este Instituto para que en ejercicio de sus atribuciones atienda las directivas marcadas en la propia </w:t>
      </w:r>
    </w:p>
    <w:p w:rsidR="00EB32F6" w:rsidRDefault="00EB32F6" w:rsidP="00EB32F6">
      <w:pPr>
        <w:pStyle w:val="Prrafodelista"/>
        <w:tabs>
          <w:tab w:val="left" w:pos="426"/>
        </w:tabs>
        <w:spacing w:line="360" w:lineRule="auto"/>
        <w:ind w:left="0"/>
        <w:jc w:val="both"/>
        <w:rPr>
          <w:rFonts w:ascii="Palatino Linotype" w:eastAsia="Calibri" w:hAnsi="Palatino Linotype" w:cs="Arial"/>
          <w:color w:val="000000"/>
          <w:lang w:eastAsia="es-MX"/>
        </w:rPr>
      </w:pPr>
    </w:p>
    <w:p w:rsidR="006A71AB" w:rsidRDefault="00EB32F6" w:rsidP="006A71AB">
      <w:pPr>
        <w:shd w:val="clear" w:color="auto" w:fill="FFFFFF"/>
        <w:spacing w:line="360" w:lineRule="auto"/>
        <w:jc w:val="both"/>
        <w:rPr>
          <w:rFonts w:ascii="Palatino Linotype" w:hAnsi="Palatino Linotype" w:cs="Arial"/>
          <w:color w:val="000000"/>
          <w:sz w:val="24"/>
          <w:lang w:eastAsia="es-MX"/>
        </w:rPr>
      </w:pPr>
      <w:r w:rsidRPr="00644807">
        <w:rPr>
          <w:rFonts w:ascii="Palatino Linotype" w:hAnsi="Palatino Linotype" w:cs="Arial"/>
          <w:color w:val="000000"/>
          <w:sz w:val="24"/>
          <w:lang w:eastAsia="es-MX"/>
        </w:rPr>
        <w:t xml:space="preserve">Es necesario resaltar que el recurso de revisión previsto en la Ley de la materia no es el medio para investigar y en su caso, sancionar a servidores públicos por las probables violaciones a la ley de la materia; sin embargo, dado que se dejaron a la vista datos susceptibles de clasificarse y en esas condiciones se entregó la información a un tercero, sin tomar las medidas de seguridad adecuadas, es que se dará vista al Órgano Interno de Control de este Instituto para que en ejercicio de sus atribuciones realice las </w:t>
      </w:r>
      <w:r w:rsidRPr="00644807">
        <w:rPr>
          <w:rFonts w:ascii="Palatino Linotype" w:hAnsi="Palatino Linotype" w:cs="Arial"/>
          <w:color w:val="000000"/>
          <w:sz w:val="24"/>
          <w:lang w:eastAsia="es-MX"/>
        </w:rPr>
        <w:lastRenderedPageBreak/>
        <w:t>investigaciones pertinentes por la puesta a la vista de datos susceptible de clasificarse, es decir, por las omisiones detectadas y atribuibles al Sujeto Obligado.</w:t>
      </w:r>
    </w:p>
    <w:p w:rsidR="006A71AB" w:rsidRPr="006A71AB" w:rsidRDefault="006A71AB" w:rsidP="006A71AB">
      <w:pPr>
        <w:shd w:val="clear" w:color="auto" w:fill="FFFFFF"/>
        <w:spacing w:line="360" w:lineRule="auto"/>
        <w:jc w:val="both"/>
        <w:rPr>
          <w:rFonts w:ascii="Palatino Linotype" w:hAnsi="Palatino Linotype" w:cs="Arial"/>
          <w:color w:val="000000"/>
          <w:sz w:val="24"/>
          <w:lang w:eastAsia="es-MX"/>
        </w:rPr>
      </w:pPr>
      <w:r w:rsidRPr="006A71AB">
        <w:rPr>
          <w:rFonts w:ascii="Palatino Linotype" w:eastAsia="Times New Roman" w:hAnsi="Palatino Linotype" w:cs="Times New Roman"/>
          <w:b/>
          <w:bCs/>
          <w:iCs/>
          <w:color w:val="000000"/>
          <w:sz w:val="24"/>
          <w:szCs w:val="24"/>
          <w:lang w:eastAsia="es-MX"/>
        </w:rPr>
        <w:t>II.        Vista a la Dirección de Datos Personales</w:t>
      </w:r>
    </w:p>
    <w:p w:rsidR="006A71AB" w:rsidRPr="006A71AB" w:rsidRDefault="006A71AB" w:rsidP="006A71AB">
      <w:pPr>
        <w:shd w:val="clear" w:color="auto" w:fill="FFFFFF"/>
        <w:spacing w:after="0" w:line="360" w:lineRule="auto"/>
        <w:ind w:right="34"/>
        <w:jc w:val="both"/>
        <w:rPr>
          <w:rFonts w:ascii="Times New Roman" w:eastAsia="Times New Roman" w:hAnsi="Times New Roman" w:cs="Times New Roman"/>
          <w:color w:val="222222"/>
          <w:sz w:val="24"/>
          <w:szCs w:val="24"/>
          <w:lang w:eastAsia="es-MX"/>
        </w:rPr>
      </w:pPr>
      <w:r w:rsidRPr="006A71AB">
        <w:rPr>
          <w:rFonts w:ascii="Palatino Linotype" w:eastAsia="Times New Roman" w:hAnsi="Palatino Linotype" w:cs="Times New Roman"/>
          <w:color w:val="000000"/>
          <w:sz w:val="24"/>
          <w:szCs w:val="24"/>
          <w:lang w:val="es-ES" w:eastAsia="es-MX"/>
        </w:rPr>
        <w:t>No pasa desapercibido para esta ponencia mencionar que dentro de las documentales inmersas en el expediente del SAIMEX, el Sujeto Obligado a través de la etapa de manifestaciones remitió un documento denominado </w:t>
      </w:r>
      <w:r w:rsidRPr="006A71AB">
        <w:rPr>
          <w:rFonts w:ascii="Palatino Linotype" w:eastAsia="Times New Roman" w:hAnsi="Palatino Linotype" w:cs="Times New Roman"/>
          <w:b/>
          <w:bCs/>
          <w:color w:val="222222"/>
          <w:sz w:val="24"/>
          <w:szCs w:val="24"/>
          <w:lang w:val="es-ES" w:eastAsia="es-MX"/>
        </w:rPr>
        <w:t>nomina.xlsx, </w:t>
      </w:r>
      <w:r w:rsidRPr="006A71AB">
        <w:rPr>
          <w:rFonts w:ascii="Palatino Linotype" w:eastAsia="Times New Roman" w:hAnsi="Palatino Linotype" w:cs="Times New Roman"/>
          <w:color w:val="222222"/>
          <w:sz w:val="24"/>
          <w:szCs w:val="24"/>
          <w:lang w:val="es-ES" w:eastAsia="es-MX"/>
        </w:rPr>
        <w:t>archivo en Excel que contiene la nómina de fecha del dieciséis al treinta y uno de octubre de dos mil diecinueve, en donde se puede observar datos susceptibles de ser testados, 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sin embargo, si bien es cierto que la imposición de medidas de apremio al Sujeto Obligado no es materia del presente medio de impugnación, también lo es que, de conformidad con lo establecido en el artículo 36, fracción X, de la Ley de la materia, </w:t>
      </w:r>
      <w:r w:rsidRPr="006A71AB">
        <w:rPr>
          <w:rFonts w:ascii="Palatino Linotype" w:eastAsia="Times New Roman" w:hAnsi="Palatino Linotype" w:cs="Times New Roman"/>
          <w:b/>
          <w:bCs/>
          <w:color w:val="222222"/>
          <w:sz w:val="24"/>
          <w:szCs w:val="24"/>
          <w:lang w:val="es-ES" w:eastAsia="es-MX"/>
        </w:rPr>
        <w:t>se ordena dar vista al Titular de la Contraloría Interna y Órgano de Control y Vigilancia de este Instituto</w:t>
      </w:r>
      <w:r w:rsidRPr="006A71AB">
        <w:rPr>
          <w:rFonts w:ascii="Palatino Linotype" w:eastAsia="Times New Roman" w:hAnsi="Palatino Linotype" w:cs="Times New Roman"/>
          <w:color w:val="222222"/>
          <w:sz w:val="24"/>
          <w:szCs w:val="24"/>
          <w:lang w:val="es-ES" w:eastAsia="es-MX"/>
        </w:rPr>
        <w:t>, de conformidad con el artículo 190, de la Ley de Transparencia y Acceso a la Información Pública del Estado de México y Municipios, a efecto de que determine lo conducente.</w:t>
      </w:r>
    </w:p>
    <w:p w:rsidR="006A71AB" w:rsidRPr="006A71AB" w:rsidRDefault="006A71AB" w:rsidP="006A71AB">
      <w:pPr>
        <w:shd w:val="clear" w:color="auto" w:fill="FFFFFF"/>
        <w:spacing w:after="0" w:line="360" w:lineRule="auto"/>
        <w:ind w:left="705"/>
        <w:jc w:val="both"/>
        <w:rPr>
          <w:rFonts w:ascii="Times New Roman" w:eastAsia="Times New Roman" w:hAnsi="Times New Roman" w:cs="Times New Roman"/>
          <w:color w:val="222222"/>
          <w:sz w:val="24"/>
          <w:szCs w:val="24"/>
          <w:lang w:eastAsia="es-MX"/>
        </w:rPr>
      </w:pPr>
      <w:r w:rsidRPr="006A71AB">
        <w:rPr>
          <w:rFonts w:ascii="Palatino Linotype" w:eastAsia="Times New Roman" w:hAnsi="Palatino Linotype" w:cs="Times New Roman"/>
          <w:color w:val="222222"/>
          <w:sz w:val="24"/>
          <w:szCs w:val="24"/>
          <w:lang w:eastAsia="es-MX"/>
        </w:rPr>
        <w:t> </w:t>
      </w:r>
    </w:p>
    <w:p w:rsidR="006A71AB" w:rsidRPr="006A71AB" w:rsidRDefault="006A71AB" w:rsidP="006A71AB">
      <w:p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6A71AB">
        <w:rPr>
          <w:rFonts w:ascii="Palatino Linotype" w:eastAsia="Times New Roman" w:hAnsi="Palatino Linotype" w:cs="Times New Roman"/>
          <w:color w:val="222222"/>
          <w:sz w:val="24"/>
          <w:szCs w:val="24"/>
          <w:lang w:val="es-ES_tradnl" w:eastAsia="es-MX"/>
        </w:rPr>
        <w:t>Asimismo, se hará del conocimiento de la Dirección de Protección de Datos Personales de este Instituto de las posibles infracciones en que el </w:t>
      </w:r>
      <w:r w:rsidRPr="006A71AB">
        <w:rPr>
          <w:rFonts w:ascii="Palatino Linotype" w:eastAsia="Times New Roman" w:hAnsi="Palatino Linotype" w:cs="Times New Roman"/>
          <w:b/>
          <w:bCs/>
          <w:color w:val="222222"/>
          <w:sz w:val="24"/>
          <w:szCs w:val="24"/>
          <w:lang w:val="es-ES_tradnl" w:eastAsia="es-MX"/>
        </w:rPr>
        <w:t>Sujeto Obligado</w:t>
      </w:r>
      <w:r w:rsidRPr="006A71AB">
        <w:rPr>
          <w:rFonts w:ascii="Palatino Linotype" w:eastAsia="Times New Roman" w:hAnsi="Palatino Linotype" w:cs="Times New Roman"/>
          <w:color w:val="222222"/>
          <w:sz w:val="24"/>
          <w:szCs w:val="24"/>
          <w:lang w:val="es-ES_tradnl" w:eastAsia="es-MX"/>
        </w:rPr>
        <w:t> incurrió, </w:t>
      </w:r>
      <w:r w:rsidRPr="006A71AB">
        <w:rPr>
          <w:rFonts w:ascii="Palatino Linotype" w:eastAsia="Times New Roman" w:hAnsi="Palatino Linotype" w:cs="Times New Roman"/>
          <w:color w:val="222222"/>
          <w:sz w:val="24"/>
          <w:szCs w:val="24"/>
          <w:lang w:val="es-ES" w:eastAsia="es-MX"/>
        </w:rPr>
        <w:t xml:space="preserve">para que en ejercicio de sus atribuciones contenidas en el numeral 23, fracciones V, XI y XII, del Reglamento Interior del Instituto de Transparencia, Acceso a la Información </w:t>
      </w:r>
      <w:r w:rsidRPr="006A71AB">
        <w:rPr>
          <w:rFonts w:ascii="Palatino Linotype" w:eastAsia="Times New Roman" w:hAnsi="Palatino Linotype" w:cs="Times New Roman"/>
          <w:color w:val="222222"/>
          <w:sz w:val="24"/>
          <w:szCs w:val="24"/>
          <w:lang w:val="es-ES" w:eastAsia="es-MX"/>
        </w:rPr>
        <w:lastRenderedPageBreak/>
        <w:t>Pública y Protección de Datos Personales del Estado de México y Municipios, atienda las directivas marcadas en la propia Ley de la materia, como consecuencia de que el </w:t>
      </w:r>
      <w:r w:rsidRPr="006A71AB">
        <w:rPr>
          <w:rFonts w:ascii="Palatino Linotype" w:eastAsia="Times New Roman" w:hAnsi="Palatino Linotype" w:cs="Times New Roman"/>
          <w:b/>
          <w:bCs/>
          <w:color w:val="222222"/>
          <w:sz w:val="24"/>
          <w:szCs w:val="24"/>
          <w:lang w:val="es-ES" w:eastAsia="es-MX"/>
        </w:rPr>
        <w:t>SUJETO OBLIGADO</w:t>
      </w:r>
      <w:r w:rsidRPr="006A71AB">
        <w:rPr>
          <w:rFonts w:ascii="Palatino Linotype" w:eastAsia="Times New Roman" w:hAnsi="Palatino Linotype" w:cs="Times New Roman"/>
          <w:color w:val="222222"/>
          <w:sz w:val="24"/>
          <w:szCs w:val="24"/>
          <w:lang w:val="es-ES" w:eastAsia="es-MX"/>
        </w:rPr>
        <w:t>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rsidR="00EB32F6" w:rsidRPr="002B3B66" w:rsidRDefault="00EB32F6" w:rsidP="00EB32F6">
      <w:pPr>
        <w:pStyle w:val="Prrafodelista"/>
        <w:spacing w:line="360" w:lineRule="auto"/>
        <w:ind w:left="0" w:right="51"/>
        <w:jc w:val="both"/>
        <w:rPr>
          <w:rFonts w:ascii="Palatino Linotype" w:hAnsi="Palatino Linotype" w:cs="Arial"/>
        </w:rPr>
      </w:pPr>
    </w:p>
    <w:p w:rsidR="00EB32F6" w:rsidRPr="001403A3" w:rsidRDefault="00EB32F6" w:rsidP="00EB32F6">
      <w:pPr>
        <w:spacing w:after="0" w:line="360" w:lineRule="auto"/>
        <w:jc w:val="both"/>
        <w:rPr>
          <w:rFonts w:ascii="Palatino Linotype" w:hAnsi="Palatino Linotype" w:cs="Arial"/>
          <w:bCs/>
          <w:sz w:val="24"/>
          <w:szCs w:val="24"/>
        </w:rPr>
      </w:pPr>
      <w:r w:rsidRPr="001403A3">
        <w:rPr>
          <w:rFonts w:ascii="Palatino Linotype" w:hAnsi="Palatino Linotype" w:cs="Arial"/>
          <w:bCs/>
          <w:sz w:val="24"/>
          <w:szCs w:val="24"/>
        </w:rPr>
        <w:t>En mérito de lo expuesto en líneas anteriores, res</w:t>
      </w:r>
      <w:r w:rsidR="002C2175">
        <w:rPr>
          <w:rFonts w:ascii="Palatino Linotype" w:hAnsi="Palatino Linotype" w:cs="Arial"/>
          <w:bCs/>
          <w:sz w:val="24"/>
          <w:szCs w:val="24"/>
        </w:rPr>
        <w:t xml:space="preserve">ultan parcialmente fundados los </w:t>
      </w:r>
      <w:r w:rsidRPr="001403A3">
        <w:rPr>
          <w:rFonts w:ascii="Palatino Linotype" w:hAnsi="Palatino Linotype" w:cs="Arial"/>
          <w:bCs/>
          <w:sz w:val="24"/>
          <w:szCs w:val="24"/>
        </w:rPr>
        <w:t xml:space="preserve">motivos de inconformidad que arguye </w:t>
      </w:r>
      <w:r w:rsidRPr="002B3B66">
        <w:rPr>
          <w:rFonts w:ascii="Palatino Linotype" w:hAnsi="Palatino Linotype" w:cs="Arial"/>
          <w:bCs/>
          <w:sz w:val="24"/>
          <w:szCs w:val="24"/>
        </w:rPr>
        <w:t>el</w:t>
      </w:r>
      <w:r w:rsidRPr="001403A3">
        <w:rPr>
          <w:rFonts w:ascii="Palatino Linotype" w:hAnsi="Palatino Linotype" w:cs="Arial"/>
          <w:bCs/>
          <w:sz w:val="24"/>
          <w:szCs w:val="24"/>
        </w:rPr>
        <w:t xml:space="preserve"> </w:t>
      </w:r>
      <w:r w:rsidRPr="001403A3">
        <w:rPr>
          <w:rFonts w:ascii="Palatino Linotype" w:hAnsi="Palatino Linotype" w:cs="Arial"/>
          <w:b/>
          <w:bCs/>
          <w:sz w:val="24"/>
          <w:szCs w:val="24"/>
        </w:rPr>
        <w:t>recurrente</w:t>
      </w:r>
      <w:r w:rsidRPr="001403A3">
        <w:rPr>
          <w:rFonts w:ascii="Palatino Linotype" w:hAnsi="Palatino Linotype" w:cs="Arial"/>
          <w:bCs/>
          <w:sz w:val="24"/>
          <w:szCs w:val="24"/>
        </w:rPr>
        <w:t xml:space="preserve"> en su medio de impugnación que fue materia de estudio, por ello con fundamento en la </w:t>
      </w:r>
      <w:r>
        <w:rPr>
          <w:rFonts w:ascii="Palatino Linotype" w:hAnsi="Palatino Linotype" w:cs="Arial"/>
          <w:bCs/>
          <w:sz w:val="24"/>
          <w:szCs w:val="24"/>
        </w:rPr>
        <w:t>primera</w:t>
      </w:r>
      <w:r w:rsidRPr="001403A3">
        <w:rPr>
          <w:rFonts w:ascii="Palatino Linotype" w:hAnsi="Palatino Linotype" w:cs="Arial"/>
          <w:bCs/>
          <w:sz w:val="24"/>
          <w:szCs w:val="24"/>
        </w:rPr>
        <w:t xml:space="preserve"> hipótesis de la fracción III del artículo 186, de la Ley de Transparencia y Acceso a la Información Pública del Estado de México y Municipios, se </w:t>
      </w:r>
      <w:r>
        <w:rPr>
          <w:rFonts w:ascii="Palatino Linotype" w:hAnsi="Palatino Linotype" w:cs="Arial"/>
          <w:b/>
          <w:bCs/>
          <w:sz w:val="24"/>
          <w:szCs w:val="24"/>
        </w:rPr>
        <w:t>REVOCA</w:t>
      </w:r>
      <w:r w:rsidRPr="001403A3">
        <w:rPr>
          <w:rFonts w:ascii="Palatino Linotype" w:hAnsi="Palatino Linotype" w:cs="Arial"/>
          <w:bCs/>
          <w:sz w:val="24"/>
          <w:szCs w:val="24"/>
        </w:rPr>
        <w:t xml:space="preserve"> la respuesta a la solicitud de información número </w:t>
      </w:r>
      <w:r w:rsidRPr="00EB32F6">
        <w:rPr>
          <w:rFonts w:ascii="Palatino Linotype" w:hAnsi="Palatino Linotype" w:cs="Arial"/>
          <w:b/>
          <w:bCs/>
          <w:sz w:val="24"/>
          <w:szCs w:val="24"/>
        </w:rPr>
        <w:t>00514/ECATZIN/IP/2019</w:t>
      </w:r>
      <w:r w:rsidRPr="001403A3">
        <w:rPr>
          <w:rFonts w:ascii="Palatino Linotype" w:hAnsi="Palatino Linotype" w:cs="Arial"/>
          <w:bCs/>
          <w:sz w:val="24"/>
          <w:szCs w:val="24"/>
        </w:rPr>
        <w:t>, que ha sido materia del presente fallo.</w:t>
      </w:r>
    </w:p>
    <w:p w:rsidR="00CD0242" w:rsidRPr="003D584C" w:rsidRDefault="00CD0242" w:rsidP="00CD0242">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expuesto y fundado es de resolverse y;</w:t>
      </w:r>
    </w:p>
    <w:p w:rsidR="00402DCD" w:rsidRDefault="00402DCD" w:rsidP="00402DCD">
      <w:pPr>
        <w:spacing w:after="0" w:line="360" w:lineRule="auto"/>
        <w:jc w:val="center"/>
        <w:rPr>
          <w:rFonts w:ascii="Palatino Linotype" w:eastAsia="Times New Roman" w:hAnsi="Palatino Linotype"/>
          <w:b/>
          <w:bCs/>
          <w:spacing w:val="60"/>
          <w:sz w:val="24"/>
          <w:szCs w:val="24"/>
          <w:lang w:val="es-ES_tradnl"/>
        </w:rPr>
      </w:pPr>
    </w:p>
    <w:p w:rsidR="00D60608" w:rsidRPr="007167FC" w:rsidRDefault="00D60608" w:rsidP="00D60608">
      <w:pPr>
        <w:spacing w:before="240" w:after="100" w:afterAutospacing="1" w:line="360" w:lineRule="auto"/>
        <w:jc w:val="center"/>
        <w:rPr>
          <w:rFonts w:ascii="Palatino Linotype" w:hAnsi="Palatino Linotype"/>
          <w:b/>
          <w:bCs/>
          <w:spacing w:val="60"/>
          <w:sz w:val="28"/>
        </w:rPr>
      </w:pPr>
      <w:r w:rsidRPr="007167FC">
        <w:rPr>
          <w:rFonts w:ascii="Palatino Linotype" w:hAnsi="Palatino Linotype"/>
          <w:b/>
          <w:bCs/>
          <w:spacing w:val="60"/>
          <w:sz w:val="28"/>
        </w:rPr>
        <w:t>RESUELVE</w:t>
      </w:r>
    </w:p>
    <w:p w:rsidR="00D60608" w:rsidRPr="00E76752" w:rsidRDefault="00D60608" w:rsidP="00E76752">
      <w:pPr>
        <w:spacing w:line="360" w:lineRule="auto"/>
        <w:jc w:val="both"/>
        <w:rPr>
          <w:rFonts w:ascii="Palatino Linotype" w:hAnsi="Palatino Linotype"/>
          <w:sz w:val="24"/>
        </w:rPr>
      </w:pPr>
      <w:r w:rsidRPr="00E76752">
        <w:rPr>
          <w:rFonts w:ascii="Palatino Linotype" w:hAnsi="Palatino Linotype"/>
          <w:b/>
          <w:sz w:val="28"/>
        </w:rPr>
        <w:t>PRIMERO</w:t>
      </w:r>
      <w:r w:rsidRPr="00E76752">
        <w:rPr>
          <w:rFonts w:ascii="Palatino Linotype" w:hAnsi="Palatino Linotype"/>
          <w:sz w:val="24"/>
        </w:rPr>
        <w:t xml:space="preserve">. Se </w:t>
      </w:r>
      <w:r w:rsidRPr="00E76752">
        <w:rPr>
          <w:rFonts w:ascii="Palatino Linotype" w:hAnsi="Palatino Linotype"/>
          <w:b/>
          <w:sz w:val="24"/>
        </w:rPr>
        <w:t>REVOCA</w:t>
      </w:r>
      <w:r w:rsidRPr="00E76752">
        <w:rPr>
          <w:rFonts w:ascii="Palatino Linotype" w:hAnsi="Palatino Linotype"/>
          <w:sz w:val="24"/>
        </w:rPr>
        <w:t xml:space="preserve"> la respuesta entregada por el Sujeto Obligado a la solicitud de información número </w:t>
      </w:r>
      <w:r w:rsidRPr="00E76752">
        <w:rPr>
          <w:rFonts w:ascii="Palatino Linotype" w:hAnsi="Palatino Linotype"/>
          <w:b/>
          <w:sz w:val="24"/>
        </w:rPr>
        <w:t>00514/ECATZIN/IP/2019</w:t>
      </w:r>
      <w:r w:rsidRPr="00E76752">
        <w:rPr>
          <w:rFonts w:ascii="Palatino Linotype" w:hAnsi="Palatino Linotype"/>
          <w:sz w:val="24"/>
        </w:rPr>
        <w:t xml:space="preserve">, ya que resultan fundadas las </w:t>
      </w:r>
      <w:r w:rsidRPr="00E76752">
        <w:rPr>
          <w:rFonts w:ascii="Palatino Linotype" w:hAnsi="Palatino Linotype"/>
          <w:sz w:val="24"/>
        </w:rPr>
        <w:lastRenderedPageBreak/>
        <w:t>razones o motivos de inconformidad que arguye el recurrente, en términos del Considerando Cuarto de la presente resolución.</w:t>
      </w:r>
    </w:p>
    <w:p w:rsidR="00AA00B8" w:rsidRDefault="001C5E1A" w:rsidP="00AA00B8">
      <w:pPr>
        <w:spacing w:after="0" w:line="360" w:lineRule="auto"/>
        <w:jc w:val="both"/>
        <w:rPr>
          <w:rFonts w:ascii="Palatino Linotype" w:hAnsi="Palatino Linotype" w:cs="Arial"/>
          <w:sz w:val="24"/>
          <w:szCs w:val="24"/>
        </w:rPr>
      </w:pPr>
      <w:r w:rsidRPr="001C5E1A">
        <w:rPr>
          <w:rFonts w:ascii="Palatino Linotype" w:hAnsi="Palatino Linotype" w:cs="Arial"/>
          <w:b/>
          <w:sz w:val="28"/>
          <w:szCs w:val="24"/>
        </w:rPr>
        <w:t>SEGUNDO.</w:t>
      </w:r>
      <w:r w:rsidRPr="001C5E1A">
        <w:rPr>
          <w:rFonts w:ascii="Palatino Linotype" w:hAnsi="Palatino Linotype" w:cs="Arial"/>
          <w:sz w:val="24"/>
          <w:szCs w:val="24"/>
        </w:rPr>
        <w:t xml:space="preserve"> </w:t>
      </w:r>
      <w:r w:rsidR="00AA00B8">
        <w:rPr>
          <w:rFonts w:ascii="Palatino Linotype" w:hAnsi="Palatino Linotype" w:cs="Arial"/>
          <w:sz w:val="24"/>
          <w:szCs w:val="24"/>
        </w:rPr>
        <w:t>Se ordena al Sujeto Obligado</w:t>
      </w:r>
      <w:r w:rsidR="00AA00B8">
        <w:rPr>
          <w:rFonts w:ascii="Palatino Linotype" w:hAnsi="Palatino Linotype" w:cs="Arial"/>
          <w:sz w:val="23"/>
          <w:szCs w:val="23"/>
        </w:rPr>
        <w:t>,</w:t>
      </w:r>
      <w:r w:rsidR="00AA00B8">
        <w:rPr>
          <w:rFonts w:ascii="Palatino Linotype" w:hAnsi="Palatino Linotype" w:cs="Arial"/>
          <w:sz w:val="24"/>
          <w:szCs w:val="24"/>
        </w:rPr>
        <w:t xml:space="preserve"> haga entrega al recurrente en términos del Considerando Cuarto de la presente r</w:t>
      </w:r>
      <w:r w:rsidR="00F32574">
        <w:rPr>
          <w:rFonts w:ascii="Palatino Linotype" w:hAnsi="Palatino Linotype" w:cs="Arial"/>
          <w:sz w:val="24"/>
          <w:szCs w:val="24"/>
        </w:rPr>
        <w:t>esolución, a través del SAIMEX</w:t>
      </w:r>
      <w:r w:rsidR="00AA00B8" w:rsidRPr="007C4552">
        <w:rPr>
          <w:rFonts w:ascii="Palatino Linotype" w:hAnsi="Palatino Linotype" w:cs="Arial"/>
          <w:sz w:val="24"/>
          <w:szCs w:val="24"/>
        </w:rPr>
        <w:t xml:space="preserve">, </w:t>
      </w:r>
      <w:r w:rsidR="00F32574">
        <w:rPr>
          <w:rFonts w:ascii="Palatino Linotype" w:hAnsi="Palatino Linotype" w:cs="Arial"/>
          <w:sz w:val="24"/>
          <w:szCs w:val="24"/>
        </w:rPr>
        <w:t>de lo siguiente</w:t>
      </w:r>
      <w:r w:rsidR="00AA00B8">
        <w:rPr>
          <w:rFonts w:ascii="Palatino Linotype" w:hAnsi="Palatino Linotype" w:cs="Arial"/>
          <w:sz w:val="24"/>
          <w:szCs w:val="24"/>
        </w:rPr>
        <w:t>:</w:t>
      </w:r>
    </w:p>
    <w:p w:rsidR="00D60608" w:rsidRDefault="00AA00B8" w:rsidP="00E76752">
      <w:pPr>
        <w:ind w:left="851" w:right="902"/>
        <w:jc w:val="both"/>
        <w:rPr>
          <w:rFonts w:ascii="Palatino Linotype" w:hAnsi="Palatino Linotype"/>
          <w:i/>
          <w:iCs/>
          <w:color w:val="222222"/>
          <w:sz w:val="24"/>
          <w:szCs w:val="24"/>
          <w:lang w:eastAsia="es-MX"/>
        </w:rPr>
      </w:pPr>
      <w:r w:rsidRPr="001C5E1A">
        <w:rPr>
          <w:rFonts w:ascii="Palatino Linotype" w:hAnsi="Palatino Linotype"/>
          <w:i/>
          <w:iCs/>
          <w:color w:val="000000" w:themeColor="text1"/>
          <w:sz w:val="24"/>
          <w:szCs w:val="24"/>
          <w:lang w:eastAsia="es-MX"/>
        </w:rPr>
        <w:t xml:space="preserve"> </w:t>
      </w:r>
      <w:r w:rsidR="001C5E1A" w:rsidRPr="001C5E1A">
        <w:rPr>
          <w:rFonts w:ascii="Palatino Linotype" w:hAnsi="Palatino Linotype"/>
          <w:i/>
          <w:iCs/>
          <w:color w:val="000000" w:themeColor="text1"/>
          <w:sz w:val="24"/>
          <w:szCs w:val="24"/>
          <w:lang w:eastAsia="es-MX"/>
        </w:rPr>
        <w:t>“</w:t>
      </w:r>
      <w:r w:rsidR="001C5E1A" w:rsidRPr="001C5E1A">
        <w:rPr>
          <w:rFonts w:ascii="Palatino Linotype" w:hAnsi="Palatino Linotype"/>
          <w:i/>
          <w:iCs/>
          <w:color w:val="222222"/>
          <w:sz w:val="24"/>
          <w:szCs w:val="24"/>
          <w:lang w:eastAsia="es-MX"/>
        </w:rPr>
        <w:t>El Acuerdo que apruebe el Comité de Transparencia mediante el cual se clasifiquen como confidencial el padrón catastral en términos de lo dispuesto por el artículo 143 de la Ley de Transparencia y Acceso a la Información Pública del Estado de México y Municipios.”</w:t>
      </w:r>
    </w:p>
    <w:p w:rsidR="00D55028" w:rsidRPr="00E76752" w:rsidRDefault="00D55028" w:rsidP="00E76752">
      <w:pPr>
        <w:ind w:left="851" w:right="902"/>
        <w:jc w:val="both"/>
        <w:rPr>
          <w:rFonts w:ascii="Palatino Linotype" w:hAnsi="Palatino Linotype"/>
          <w:i/>
          <w:iCs/>
          <w:color w:val="222222"/>
          <w:sz w:val="24"/>
          <w:szCs w:val="24"/>
          <w:lang w:eastAsia="es-MX"/>
        </w:rPr>
      </w:pPr>
    </w:p>
    <w:p w:rsidR="00D60608" w:rsidRPr="00E76752" w:rsidRDefault="00E76752" w:rsidP="00AA00B8">
      <w:pPr>
        <w:widowControl w:val="0"/>
        <w:tabs>
          <w:tab w:val="left" w:pos="1701"/>
        </w:tabs>
        <w:autoSpaceDE w:val="0"/>
        <w:autoSpaceDN w:val="0"/>
        <w:adjustRightInd w:val="0"/>
        <w:spacing w:before="240" w:after="100" w:afterAutospacing="1" w:line="360" w:lineRule="auto"/>
        <w:jc w:val="both"/>
        <w:rPr>
          <w:rFonts w:ascii="Palatino Linotype" w:hAnsi="Palatino Linotype"/>
          <w:sz w:val="24"/>
          <w:shd w:val="clear" w:color="auto" w:fill="FFFFFF"/>
        </w:rPr>
      </w:pPr>
      <w:r w:rsidRPr="00E76752">
        <w:rPr>
          <w:rFonts w:ascii="Palatino Linotype" w:hAnsi="Palatino Linotype"/>
          <w:b/>
          <w:sz w:val="28"/>
          <w:szCs w:val="17"/>
          <w:lang w:eastAsia="es-ES_tradnl"/>
        </w:rPr>
        <w:t>TERCERO.</w:t>
      </w:r>
      <w:r>
        <w:rPr>
          <w:rFonts w:ascii="Palatino Linotype" w:hAnsi="Palatino Linotype"/>
          <w:b/>
          <w:szCs w:val="17"/>
          <w:lang w:eastAsia="es-ES_tradnl"/>
        </w:rPr>
        <w:t xml:space="preserve"> </w:t>
      </w:r>
      <w:r w:rsidR="00D60608" w:rsidRPr="00E76752">
        <w:rPr>
          <w:rFonts w:ascii="Palatino Linotype" w:hAnsi="Palatino Linotype"/>
          <w:b/>
          <w:sz w:val="24"/>
          <w:szCs w:val="17"/>
          <w:lang w:eastAsia="es-ES_tradnl"/>
        </w:rPr>
        <w:t>Notifíquese</w:t>
      </w:r>
      <w:r w:rsidR="00D60608" w:rsidRPr="00E76752">
        <w:rPr>
          <w:rFonts w:ascii="Palatino Linotype" w:hAnsi="Palatino Linotype"/>
          <w:sz w:val="24"/>
          <w:szCs w:val="17"/>
          <w:lang w:eastAsia="es-ES_tradnl"/>
        </w:rPr>
        <w:t xml:space="preserve"> </w:t>
      </w:r>
      <w:r w:rsidR="00D60608" w:rsidRPr="00E76752">
        <w:rPr>
          <w:rFonts w:ascii="Palatino Linotype" w:hAnsi="Palatino Linotype"/>
          <w:sz w:val="24"/>
          <w:shd w:val="clear" w:color="auto" w:fill="FFFFFF"/>
        </w:rPr>
        <w:t xml:space="preserve">al </w:t>
      </w:r>
      <w:r w:rsidR="00D60608" w:rsidRPr="00E76752">
        <w:rPr>
          <w:rFonts w:ascii="Palatino Linotype" w:hAnsi="Palatino Linotype" w:cs="Arial"/>
          <w:sz w:val="24"/>
        </w:rPr>
        <w:t>Titular</w:t>
      </w:r>
      <w:r w:rsidR="00D60608" w:rsidRPr="00E76752">
        <w:rPr>
          <w:rFonts w:ascii="Palatino Linotype" w:hAnsi="Palatino Linotype"/>
          <w:sz w:val="24"/>
          <w:shd w:val="clear" w:color="auto" w:fill="FFFFFF"/>
        </w:rPr>
        <w:t xml:space="preserve"> de la Unidad de Transparencia del</w:t>
      </w:r>
      <w:r w:rsidR="00D60608" w:rsidRPr="00E76752">
        <w:rPr>
          <w:rStyle w:val="apple-converted-space"/>
          <w:rFonts w:ascii="Palatino Linotype" w:hAnsi="Palatino Linotype"/>
          <w:b/>
          <w:sz w:val="24"/>
          <w:shd w:val="clear" w:color="auto" w:fill="FFFFFF"/>
        </w:rPr>
        <w:t xml:space="preserve"> </w:t>
      </w:r>
      <w:r w:rsidR="00D60608" w:rsidRPr="00E76752">
        <w:rPr>
          <w:rFonts w:ascii="Palatino Linotype" w:hAnsi="Palatino Linotype"/>
          <w:b/>
          <w:sz w:val="24"/>
          <w:shd w:val="clear" w:color="auto" w:fill="FFFFFF"/>
        </w:rPr>
        <w:t>SUJETO OBLIGADO</w:t>
      </w:r>
      <w:r w:rsidR="00D60608" w:rsidRPr="00E76752">
        <w:rPr>
          <w:rFonts w:ascii="Palatino Linotype" w:hAnsi="Palatino Linotype"/>
          <w:sz w:val="24"/>
          <w:shd w:val="clear" w:color="auto" w:fill="FFFFFF"/>
        </w:rPr>
        <w:t xml:space="preserve"> para que, </w:t>
      </w:r>
      <w:r w:rsidR="00D60608" w:rsidRPr="00E76752">
        <w:rPr>
          <w:rFonts w:ascii="Palatino Linotype" w:hAnsi="Palatino Linotype" w:cs="Arial"/>
          <w:sz w:val="24"/>
        </w:rPr>
        <w:t>conforme</w:t>
      </w:r>
      <w:r w:rsidR="00D60608" w:rsidRPr="00E76752">
        <w:rPr>
          <w:rFonts w:ascii="Palatino Linotype" w:hAnsi="Palatino Linotype"/>
          <w:sz w:val="24"/>
          <w:shd w:val="clear" w:color="auto" w:fill="FFFFFF"/>
        </w:rPr>
        <w:t xml:space="preserve"> a los artículos 186, último párrafo y 189, párrafo segundo de la Ley de </w:t>
      </w:r>
      <w:r w:rsidR="00D60608" w:rsidRPr="00E76752">
        <w:rPr>
          <w:rFonts w:ascii="Palatino Linotype" w:hAnsi="Palatino Linotype"/>
          <w:sz w:val="24"/>
          <w:szCs w:val="17"/>
          <w:lang w:eastAsia="es-ES_tradnl"/>
        </w:rPr>
        <w:t>Transparencia</w:t>
      </w:r>
      <w:r w:rsidR="00D60608" w:rsidRPr="00E76752">
        <w:rPr>
          <w:rFonts w:ascii="Palatino Linotype" w:hAnsi="Palatino Linotype"/>
          <w:sz w:val="24"/>
          <w:shd w:val="clear" w:color="auto" w:fill="FFFFFF"/>
        </w:rPr>
        <w:t xml:space="preserve"> y </w:t>
      </w:r>
      <w:r w:rsidR="00D60608" w:rsidRPr="00E76752">
        <w:rPr>
          <w:rFonts w:ascii="Palatino Linotype" w:hAnsi="Palatino Linotype" w:cs="Arial"/>
          <w:sz w:val="24"/>
        </w:rPr>
        <w:t>Acceso</w:t>
      </w:r>
      <w:r w:rsidR="00D60608" w:rsidRPr="00E76752">
        <w:rPr>
          <w:rFonts w:ascii="Palatino Linotype" w:hAnsi="Palatino Linotype"/>
          <w:sz w:val="24"/>
          <w:shd w:val="clear" w:color="auto" w:fill="FFFFFF"/>
        </w:rPr>
        <w:t xml:space="preserve"> a la Información Pública del Estado de México y Municipios, dé </w:t>
      </w:r>
      <w:r w:rsidR="00D60608" w:rsidRPr="00E76752">
        <w:rPr>
          <w:rFonts w:ascii="Palatino Linotype" w:hAnsi="Palatino Linotype" w:cs="Arial"/>
          <w:sz w:val="24"/>
        </w:rPr>
        <w:t>cumplimiento</w:t>
      </w:r>
      <w:r w:rsidR="00D60608" w:rsidRPr="00E76752">
        <w:rPr>
          <w:rFonts w:ascii="Palatino Linotype" w:hAnsi="Palatino Linotype"/>
          <w:sz w:val="24"/>
          <w:shd w:val="clear" w:color="auto" w:fill="FFFFFF"/>
        </w:rPr>
        <w:t xml:space="preserve"> a lo ordenado dentro del plazo de diez días hábiles, debiendo informar a este Instituto en un plazo </w:t>
      </w:r>
      <w:r w:rsidR="00D60608" w:rsidRPr="00E76752">
        <w:rPr>
          <w:rFonts w:ascii="Palatino Linotype" w:eastAsiaTheme="minorEastAsia" w:hAnsi="Palatino Linotype"/>
          <w:sz w:val="24"/>
          <w:szCs w:val="17"/>
          <w:lang w:eastAsia="es-ES_tradnl"/>
        </w:rPr>
        <w:t>de</w:t>
      </w:r>
      <w:r w:rsidR="00D60608" w:rsidRPr="00E76752">
        <w:rPr>
          <w:rFonts w:ascii="Palatino Linotype" w:hAnsi="Palatino Linotype"/>
          <w:sz w:val="24"/>
          <w:shd w:val="clear" w:color="auto" w:fill="FFFFFF"/>
        </w:rPr>
        <w:t xml:space="preserve"> tres días hábiles siguientes sobre el cumplimiento dado a la resolución.</w:t>
      </w:r>
    </w:p>
    <w:p w:rsidR="00D60608" w:rsidRPr="00E76752" w:rsidRDefault="00E76752" w:rsidP="00E76752">
      <w:pPr>
        <w:widowControl w:val="0"/>
        <w:tabs>
          <w:tab w:val="left" w:pos="1701"/>
        </w:tabs>
        <w:autoSpaceDE w:val="0"/>
        <w:autoSpaceDN w:val="0"/>
        <w:adjustRightInd w:val="0"/>
        <w:spacing w:before="240" w:after="100" w:afterAutospacing="1" w:line="360" w:lineRule="auto"/>
        <w:jc w:val="both"/>
        <w:rPr>
          <w:rFonts w:ascii="Palatino Linotype" w:hAnsi="Palatino Linotype"/>
          <w:szCs w:val="17"/>
          <w:lang w:eastAsia="es-ES_tradnl"/>
        </w:rPr>
      </w:pPr>
      <w:r>
        <w:rPr>
          <w:rFonts w:ascii="Palatino Linotype" w:hAnsi="Palatino Linotype"/>
          <w:b/>
          <w:sz w:val="28"/>
          <w:szCs w:val="17"/>
          <w:lang w:eastAsia="es-ES_tradnl"/>
        </w:rPr>
        <w:t xml:space="preserve">CUARTO. </w:t>
      </w:r>
      <w:r w:rsidR="00D60608" w:rsidRPr="00E76752">
        <w:rPr>
          <w:rFonts w:ascii="Palatino Linotype" w:hAnsi="Palatino Linotype"/>
          <w:b/>
          <w:szCs w:val="17"/>
          <w:lang w:eastAsia="es-ES_tradnl"/>
        </w:rPr>
        <w:t>Notifíquese</w:t>
      </w:r>
      <w:r w:rsidR="00D60608" w:rsidRPr="00E76752">
        <w:rPr>
          <w:rFonts w:ascii="Palatino Linotype" w:hAnsi="Palatino Linotype"/>
          <w:szCs w:val="17"/>
          <w:lang w:eastAsia="es-ES_tradnl"/>
        </w:rPr>
        <w:t xml:space="preserve"> al</w:t>
      </w:r>
      <w:r w:rsidR="00D60608" w:rsidRPr="00E76752">
        <w:rPr>
          <w:rFonts w:ascii="Palatino Linotype" w:hAnsi="Palatino Linotype" w:cs="Arial"/>
          <w:b/>
        </w:rPr>
        <w:t xml:space="preserve"> RECURRENTE</w:t>
      </w:r>
      <w:r w:rsidR="00D60608" w:rsidRPr="00E76752">
        <w:rPr>
          <w:rFonts w:ascii="Palatino Linotype" w:hAnsi="Palatino Linotype"/>
          <w:szCs w:val="17"/>
          <w:lang w:eastAsia="es-ES_tradnl"/>
        </w:rPr>
        <w:t xml:space="preserve"> la </w:t>
      </w:r>
      <w:r w:rsidR="00D60608" w:rsidRPr="00E76752">
        <w:rPr>
          <w:rFonts w:ascii="Palatino Linotype" w:hAnsi="Palatino Linotype" w:cs="Arial"/>
        </w:rPr>
        <w:t>presente</w:t>
      </w:r>
      <w:r w:rsidR="00D60608" w:rsidRPr="00E76752">
        <w:rPr>
          <w:rFonts w:ascii="Palatino Linotype" w:hAnsi="Palatino Linotype"/>
          <w:szCs w:val="17"/>
          <w:lang w:eastAsia="es-ES_tradnl"/>
        </w:rPr>
        <w:t xml:space="preserve"> </w:t>
      </w:r>
      <w:r w:rsidR="00D60608" w:rsidRPr="00E76752">
        <w:rPr>
          <w:rFonts w:ascii="Palatino Linotype" w:hAnsi="Palatino Linotype"/>
          <w:shd w:val="clear" w:color="auto" w:fill="FFFFFF"/>
        </w:rPr>
        <w:t>resolución</w:t>
      </w:r>
      <w:r w:rsidR="00D60608" w:rsidRPr="00E76752">
        <w:rPr>
          <w:rFonts w:ascii="Palatino Linotype" w:hAnsi="Palatino Linotype"/>
          <w:szCs w:val="17"/>
          <w:lang w:eastAsia="es-ES_tradnl"/>
        </w:rPr>
        <w:t>.</w:t>
      </w:r>
    </w:p>
    <w:p w:rsidR="00D60608" w:rsidRPr="00E76752" w:rsidRDefault="00E76752" w:rsidP="00E76752">
      <w:pPr>
        <w:widowControl w:val="0"/>
        <w:tabs>
          <w:tab w:val="left" w:pos="1701"/>
        </w:tabs>
        <w:autoSpaceDE w:val="0"/>
        <w:autoSpaceDN w:val="0"/>
        <w:adjustRightInd w:val="0"/>
        <w:spacing w:before="240" w:after="100" w:afterAutospacing="1" w:line="360" w:lineRule="auto"/>
        <w:jc w:val="both"/>
        <w:rPr>
          <w:rFonts w:ascii="Palatino Linotype" w:hAnsi="Palatino Linotype"/>
          <w:szCs w:val="17"/>
          <w:lang w:eastAsia="es-ES_tradnl"/>
        </w:rPr>
      </w:pPr>
      <w:r>
        <w:rPr>
          <w:rFonts w:ascii="Palatino Linotype" w:hAnsi="Palatino Linotype"/>
          <w:b/>
          <w:sz w:val="28"/>
          <w:szCs w:val="17"/>
          <w:lang w:eastAsia="es-ES_tradnl"/>
        </w:rPr>
        <w:t xml:space="preserve">QUINTO. </w:t>
      </w:r>
      <w:r w:rsidR="00D60608" w:rsidRPr="00E76752">
        <w:rPr>
          <w:rFonts w:ascii="Palatino Linotype" w:hAnsi="Palatino Linotype"/>
          <w:b/>
          <w:szCs w:val="17"/>
          <w:lang w:eastAsia="es-ES_tradnl"/>
        </w:rPr>
        <w:t>Hágase</w:t>
      </w:r>
      <w:r w:rsidR="00D60608" w:rsidRPr="00E76752">
        <w:rPr>
          <w:rFonts w:ascii="Palatino Linotype" w:hAnsi="Palatino Linotype"/>
          <w:szCs w:val="17"/>
          <w:lang w:eastAsia="es-ES_tradnl"/>
        </w:rPr>
        <w:t xml:space="preserve"> </w:t>
      </w:r>
      <w:r w:rsidR="00D60608" w:rsidRPr="00E76752">
        <w:rPr>
          <w:rFonts w:ascii="Palatino Linotype" w:hAnsi="Palatino Linotype"/>
          <w:b/>
          <w:szCs w:val="17"/>
          <w:lang w:eastAsia="es-ES_tradnl"/>
        </w:rPr>
        <w:t>del conocimiento</w:t>
      </w:r>
      <w:r w:rsidR="00D60608" w:rsidRPr="00E76752">
        <w:rPr>
          <w:rFonts w:ascii="Palatino Linotype" w:hAnsi="Palatino Linotype"/>
          <w:szCs w:val="17"/>
          <w:lang w:eastAsia="es-ES_tradnl"/>
        </w:rPr>
        <w:t xml:space="preserve"> </w:t>
      </w:r>
      <w:r w:rsidR="00D60608" w:rsidRPr="00E76752">
        <w:rPr>
          <w:rFonts w:ascii="Palatino Linotype" w:hAnsi="Palatino Linotype"/>
        </w:rPr>
        <w:t>del</w:t>
      </w:r>
      <w:r w:rsidR="00D60608" w:rsidRPr="00E76752">
        <w:rPr>
          <w:rFonts w:ascii="Palatino Linotype" w:hAnsi="Palatino Linotype" w:cs="Arial"/>
          <w:b/>
        </w:rPr>
        <w:t xml:space="preserve"> RECURRENTE</w:t>
      </w:r>
      <w:r w:rsidR="00D60608" w:rsidRPr="00E76752">
        <w:rPr>
          <w:rFonts w:ascii="Palatino Linotype" w:hAnsi="Palatino Linotype"/>
        </w:rPr>
        <w:t xml:space="preserve"> </w:t>
      </w:r>
      <w:r w:rsidR="00D60608" w:rsidRPr="00E76752">
        <w:rPr>
          <w:rFonts w:ascii="Palatino Linotype" w:hAnsi="Palatino Linotype"/>
          <w:szCs w:val="17"/>
          <w:lang w:eastAsia="es-ES_tradnl"/>
        </w:rPr>
        <w:t xml:space="preserve">que, de conformidad </w:t>
      </w:r>
      <w:r w:rsidR="00D60608" w:rsidRPr="00E76752">
        <w:rPr>
          <w:rFonts w:ascii="Palatino Linotype" w:hAnsi="Palatino Linotype" w:cs="Arial"/>
        </w:rPr>
        <w:t>con</w:t>
      </w:r>
      <w:r w:rsidR="00D60608" w:rsidRPr="00E76752">
        <w:rPr>
          <w:rFonts w:ascii="Palatino Linotype" w:hAnsi="Palatino Linotype"/>
          <w:szCs w:val="17"/>
          <w:lang w:eastAsia="es-ES_tradnl"/>
        </w:rPr>
        <w:t xml:space="preserve"> lo </w:t>
      </w:r>
      <w:r w:rsidR="00D60608" w:rsidRPr="00E76752">
        <w:rPr>
          <w:rFonts w:ascii="Palatino Linotype" w:hAnsi="Palatino Linotype" w:cs="Arial"/>
        </w:rPr>
        <w:t>establecido</w:t>
      </w:r>
      <w:r w:rsidR="00D60608" w:rsidRPr="00E76752">
        <w:rPr>
          <w:rFonts w:ascii="Palatino Linotype" w:hAnsi="Palatino Linotype"/>
          <w:szCs w:val="17"/>
          <w:lang w:eastAsia="es-ES_tradnl"/>
        </w:rPr>
        <w:t xml:space="preserve"> en el artículo 196 de la Ley de </w:t>
      </w:r>
      <w:r w:rsidR="00D60608" w:rsidRPr="00E76752">
        <w:rPr>
          <w:rFonts w:ascii="Palatino Linotype" w:hAnsi="Palatino Linotype" w:cs="Arial"/>
        </w:rPr>
        <w:t>Transparencia</w:t>
      </w:r>
      <w:r w:rsidR="00D60608" w:rsidRPr="00E76752">
        <w:rPr>
          <w:rFonts w:ascii="Palatino Linotype" w:hAnsi="Palatino Linotype"/>
          <w:szCs w:val="17"/>
          <w:lang w:eastAsia="es-ES_tradnl"/>
        </w:rPr>
        <w:t xml:space="preserve"> y </w:t>
      </w:r>
      <w:r w:rsidR="00D60608" w:rsidRPr="00E76752">
        <w:rPr>
          <w:rFonts w:ascii="Palatino Linotype" w:hAnsi="Palatino Linotype" w:cs="Arial"/>
        </w:rPr>
        <w:t>Acceso</w:t>
      </w:r>
      <w:r w:rsidR="00D60608" w:rsidRPr="00E76752">
        <w:rPr>
          <w:rFonts w:ascii="Palatino Linotype" w:hAnsi="Palatino Linotype"/>
          <w:szCs w:val="17"/>
          <w:lang w:eastAsia="es-ES_tradnl"/>
        </w:rPr>
        <w:t xml:space="preserve"> a la Información </w:t>
      </w:r>
      <w:r w:rsidR="00D60608" w:rsidRPr="00E76752">
        <w:rPr>
          <w:rFonts w:ascii="Palatino Linotype" w:hAnsi="Palatino Linotype"/>
          <w:lang w:eastAsia="es-ES_tradnl"/>
        </w:rPr>
        <w:t>Pública</w:t>
      </w:r>
      <w:r w:rsidR="00D60608" w:rsidRPr="00E76752">
        <w:rPr>
          <w:rFonts w:ascii="Palatino Linotype" w:hAnsi="Palatino Linotype"/>
          <w:szCs w:val="17"/>
          <w:lang w:eastAsia="es-ES_tradnl"/>
        </w:rPr>
        <w:t xml:space="preserve"> del Estado de México y Municipios, podrá impugnarla vía Juicio de Amparo en los términos de las leyes aplicables.</w:t>
      </w:r>
    </w:p>
    <w:p w:rsidR="007D2A7D" w:rsidRPr="00E76752" w:rsidRDefault="00E76752" w:rsidP="00E76752">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szCs w:val="17"/>
          <w:lang w:eastAsia="es-ES_tradnl"/>
        </w:rPr>
      </w:pPr>
      <w:r>
        <w:rPr>
          <w:rFonts w:ascii="Palatino Linotype" w:hAnsi="Palatino Linotype"/>
          <w:b/>
          <w:color w:val="222222"/>
          <w:sz w:val="28"/>
          <w:szCs w:val="17"/>
          <w:lang w:eastAsia="es-ES_tradnl"/>
        </w:rPr>
        <w:t xml:space="preserve">SEXTO. </w:t>
      </w:r>
      <w:r w:rsidR="00D60608" w:rsidRPr="00E76752">
        <w:rPr>
          <w:rFonts w:ascii="Palatino Linotype" w:hAnsi="Palatino Linotype"/>
          <w:b/>
          <w:color w:val="222222"/>
          <w:szCs w:val="17"/>
          <w:lang w:eastAsia="es-ES_tradnl"/>
        </w:rPr>
        <w:t xml:space="preserve">Gírese oficio </w:t>
      </w:r>
      <w:r w:rsidR="00D60608" w:rsidRPr="00E76752">
        <w:rPr>
          <w:rFonts w:ascii="Palatino Linotype" w:hAnsi="Palatino Linotype"/>
          <w:color w:val="222222"/>
          <w:szCs w:val="17"/>
          <w:lang w:eastAsia="es-ES_tradnl"/>
        </w:rPr>
        <w:t xml:space="preserve">al Titular de la Contraloría Interna y Órgano de Control y Vigilancia </w:t>
      </w:r>
      <w:r w:rsidR="00D60608" w:rsidRPr="00E76752">
        <w:rPr>
          <w:rFonts w:ascii="Palatino Linotype" w:hAnsi="Palatino Linotype"/>
          <w:color w:val="222222"/>
          <w:szCs w:val="17"/>
          <w:lang w:eastAsia="es-ES_tradnl"/>
        </w:rPr>
        <w:lastRenderedPageBreak/>
        <w:t xml:space="preserve">de este Instituto, de conformidad con el artículo 190 de la Ley de Transparencia y Acceso a la Información Pública del Estado de México y Municipios, a fin de que determine lo conducente en términos del Considerando </w:t>
      </w:r>
      <w:r w:rsidR="00E80AB6">
        <w:rPr>
          <w:rFonts w:ascii="Palatino Linotype" w:hAnsi="Palatino Linotype"/>
          <w:b/>
          <w:color w:val="222222"/>
          <w:szCs w:val="17"/>
          <w:lang w:eastAsia="es-ES_tradnl"/>
        </w:rPr>
        <w:t>CUARTO</w:t>
      </w:r>
      <w:r w:rsidR="00D60608" w:rsidRPr="00E76752">
        <w:rPr>
          <w:rFonts w:ascii="Palatino Linotype" w:hAnsi="Palatino Linotype"/>
          <w:color w:val="222222"/>
          <w:szCs w:val="17"/>
          <w:lang w:eastAsia="es-ES_tradnl"/>
        </w:rPr>
        <w:t xml:space="preserve"> de la presente resolución.</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w:t>
      </w:r>
      <w:r w:rsidR="00307C1D">
        <w:rPr>
          <w:rFonts w:ascii="Palatino Linotype" w:hAnsi="Palatino Linotype" w:cs="Arial"/>
          <w:sz w:val="24"/>
          <w:szCs w:val="24"/>
        </w:rPr>
        <w:t>EN LA NOVENA</w:t>
      </w:r>
      <w:r w:rsidR="008B5D83">
        <w:rPr>
          <w:rFonts w:ascii="Palatino Linotype" w:hAnsi="Palatino Linotype" w:cs="Arial"/>
          <w:sz w:val="24"/>
          <w:szCs w:val="24"/>
        </w:rPr>
        <w:t xml:space="preserve"> SESIÓN ORDINARIA CELEBRADA EL </w:t>
      </w:r>
      <w:r w:rsidR="00307C1D">
        <w:rPr>
          <w:rFonts w:ascii="Palatino Linotype" w:hAnsi="Palatino Linotype" w:cs="Arial"/>
          <w:sz w:val="24"/>
          <w:szCs w:val="24"/>
        </w:rPr>
        <w:t xml:space="preserve">ONCE DE MARZO </w:t>
      </w:r>
      <w:r w:rsidR="008B5D83">
        <w:rPr>
          <w:rFonts w:ascii="Palatino Linotype" w:hAnsi="Palatino Linotype" w:cs="Arial"/>
          <w:sz w:val="24"/>
          <w:szCs w:val="24"/>
        </w:rPr>
        <w:t>DE DOS MIL VEINTE</w:t>
      </w:r>
      <w:r w:rsidRPr="007D2A7D">
        <w:rPr>
          <w:rFonts w:ascii="Palatino Linotype" w:hAnsi="Palatino Linotype" w:cs="Arial"/>
          <w:sz w:val="24"/>
          <w:szCs w:val="24"/>
        </w:rPr>
        <w:t xml:space="preserve">, ANTE EL SECRETARIO TÉCNICO DEL PLENO, ALEXIS TAPIA RAMÍREZ. </w:t>
      </w:r>
      <w:r w:rsidR="00446095">
        <w:rPr>
          <w:rFonts w:ascii="Palatino Linotype" w:hAnsi="Palatino Linotype" w:cs="Arial"/>
          <w:sz w:val="24"/>
          <w:szCs w:val="24"/>
        </w:rPr>
        <w:t>====</w:t>
      </w:r>
      <w:r w:rsidR="00307C1D">
        <w:rPr>
          <w:rFonts w:ascii="Palatino Linotype" w:hAnsi="Palatino Linotype" w:cs="Arial"/>
          <w:sz w:val="24"/>
          <w:szCs w:val="24"/>
        </w:rPr>
        <w:t>========</w:t>
      </w:r>
      <w:r w:rsidR="00446095">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7D2A7D" w:rsidRDefault="007D2A7D" w:rsidP="007D2A7D">
      <w:pPr>
        <w:spacing w:line="360" w:lineRule="auto"/>
        <w:jc w:val="both"/>
        <w:rPr>
          <w:rFonts w:ascii="Palatino Linotype" w:hAnsi="Palatino Linotype"/>
          <w:b/>
        </w:rPr>
      </w:pPr>
    </w:p>
    <w:p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03E756EE" wp14:editId="5CFE9D3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56E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EE1F5AA" wp14:editId="2D9A3474">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F5AA"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FDB1ABD" wp14:editId="639D7AE8">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1ABD"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v:textbox>
                <w10:wrap anchorx="margin"/>
              </v:shape>
            </w:pict>
          </mc:Fallback>
        </mc:AlternateContent>
      </w:r>
    </w:p>
    <w:p w:rsidR="007D2A7D" w:rsidRPr="00D54B7D" w:rsidRDefault="007D2A7D" w:rsidP="007D2A7D">
      <w:pPr>
        <w:spacing w:line="360" w:lineRule="auto"/>
        <w:rPr>
          <w:rFonts w:ascii="Palatino Linotype" w:hAnsi="Palatino Linotype"/>
          <w:b/>
        </w:rPr>
      </w:pPr>
    </w:p>
    <w:p w:rsidR="007D2A7D" w:rsidRPr="00D54B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sz w:val="18"/>
          <w:szCs w:val="18"/>
        </w:rPr>
      </w:pPr>
    </w:p>
    <w:p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2B81039A" wp14:editId="0F740550">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039A"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70FC83C9" wp14:editId="225898E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83C9"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v:textbox>
                <w10:wrap anchorx="margin"/>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cs="Arial"/>
          <w:szCs w:val="20"/>
        </w:rPr>
      </w:pPr>
    </w:p>
    <w:p w:rsidR="007D2A7D" w:rsidRPr="00EA5483" w:rsidRDefault="007D2A7D" w:rsidP="007D2A7D">
      <w:pPr>
        <w:spacing w:line="360" w:lineRule="auto"/>
        <w:rPr>
          <w:rFonts w:ascii="Palatino Linotype" w:hAnsi="Palatino Linotype" w:cs="Arial"/>
          <w:sz w:val="20"/>
          <w:szCs w:val="20"/>
        </w:rPr>
      </w:pPr>
    </w:p>
    <w:p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3BEF8CF2" wp14:editId="6FFEF960">
                <wp:simplePos x="0" y="0"/>
                <wp:positionH relativeFrom="page">
                  <wp:posOffset>2209800</wp:posOffset>
                </wp:positionH>
                <wp:positionV relativeFrom="paragraph">
                  <wp:posOffset>52706</wp:posOffset>
                </wp:positionV>
                <wp:extent cx="3152775" cy="692150"/>
                <wp:effectExtent l="0" t="0" r="28575" b="12700"/>
                <wp:wrapNone/>
                <wp:docPr id="24" name="Cuadro de texto 24"/>
                <wp:cNvGraphicFramePr/>
                <a:graphic xmlns:a="http://schemas.openxmlformats.org/drawingml/2006/main">
                  <a:graphicData uri="http://schemas.microsoft.com/office/word/2010/wordprocessingShape">
                    <wps:wsp>
                      <wps:cNvSpPr txBox="1"/>
                      <wps:spPr>
                        <a:xfrm>
                          <a:off x="0" y="0"/>
                          <a:ext cx="3152775"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8CF2" id="Cuadro de texto 24" o:spid="_x0000_s1031" type="#_x0000_t202" style="position:absolute;margin-left:174pt;margin-top:4.15pt;width:248.25pt;height:5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" fillcolor="white [3201]" strokecolor="white [3212]" strokeweight=".5pt">
                <v:textbo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cs="Arial"/>
          <w:sz w:val="18"/>
          <w:szCs w:val="18"/>
        </w:rPr>
      </w:pPr>
    </w:p>
    <w:p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Esta hoja corresponde a la resolución de fecha</w:t>
      </w:r>
      <w:r w:rsidR="004C0E2C">
        <w:rPr>
          <w:rFonts w:ascii="Palatino Linotype" w:hAnsi="Palatino Linotype" w:cs="Arial"/>
          <w:sz w:val="20"/>
          <w:szCs w:val="20"/>
        </w:rPr>
        <w:t xml:space="preserve"> </w:t>
      </w:r>
      <w:r w:rsidR="00870BF2">
        <w:rPr>
          <w:rFonts w:ascii="Palatino Linotype" w:hAnsi="Palatino Linotype" w:cs="Arial"/>
          <w:sz w:val="20"/>
          <w:szCs w:val="20"/>
        </w:rPr>
        <w:t>once</w:t>
      </w:r>
      <w:r w:rsidR="00D55028">
        <w:rPr>
          <w:rFonts w:ascii="Palatino Linotype" w:hAnsi="Palatino Linotype" w:cs="Arial"/>
          <w:sz w:val="20"/>
          <w:szCs w:val="20"/>
        </w:rPr>
        <w:t xml:space="preserve"> de marzo</w:t>
      </w:r>
      <w:r w:rsidR="008B5D83">
        <w:rPr>
          <w:rFonts w:ascii="Palatino Linotype" w:hAnsi="Palatino Linotype" w:cs="Arial"/>
          <w:sz w:val="20"/>
          <w:szCs w:val="20"/>
        </w:rPr>
        <w:t xml:space="preserve"> de dos mil veinte</w:t>
      </w:r>
      <w:r w:rsidRPr="00363A57">
        <w:rPr>
          <w:rFonts w:ascii="Palatino Linotype" w:hAnsi="Palatino Linotype" w:cs="Arial"/>
          <w:sz w:val="20"/>
          <w:szCs w:val="20"/>
        </w:rPr>
        <w:t xml:space="preserve">, emitida en el recurso de revisión </w:t>
      </w:r>
      <w:r w:rsidR="00307C1D">
        <w:rPr>
          <w:rFonts w:ascii="Palatino Linotype" w:hAnsi="Palatino Linotype" w:cs="Arial"/>
          <w:bCs/>
          <w:sz w:val="20"/>
          <w:szCs w:val="20"/>
          <w:lang w:eastAsia="es-MX"/>
        </w:rPr>
        <w:t>10095</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7E2E80" w:rsidRPr="00AA4F9A" w:rsidRDefault="003B0177" w:rsidP="00EA5483">
      <w:pPr>
        <w:spacing w:after="0" w:line="240" w:lineRule="auto"/>
        <w:jc w:val="both"/>
        <w:rPr>
          <w:rFonts w:ascii="Palatino Linotype" w:hAnsi="Palatino Linotype"/>
          <w:bCs/>
          <w:sz w:val="16"/>
          <w:szCs w:val="16"/>
          <w:lang w:eastAsia="es-MX"/>
        </w:rPr>
      </w:pPr>
      <w:r>
        <w:rPr>
          <w:rFonts w:ascii="Palatino Linotype" w:hAnsi="Palatino Linotype"/>
          <w:sz w:val="20"/>
          <w:szCs w:val="20"/>
        </w:rPr>
        <w:t>OSAM/FJJC</w:t>
      </w: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F30" w:rsidRDefault="00A20F30" w:rsidP="007E2E80">
      <w:pPr>
        <w:spacing w:after="0" w:line="240" w:lineRule="auto"/>
      </w:pPr>
      <w:r>
        <w:separator/>
      </w:r>
    </w:p>
  </w:endnote>
  <w:endnote w:type="continuationSeparator" w:id="0">
    <w:p w:rsidR="00A20F30" w:rsidRDefault="00A20F30"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5FC0">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5FC0">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5F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5FC0">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F30" w:rsidRDefault="00A20F30" w:rsidP="007E2E80">
      <w:pPr>
        <w:spacing w:after="0" w:line="240" w:lineRule="auto"/>
      </w:pPr>
      <w:r>
        <w:separator/>
      </w:r>
    </w:p>
  </w:footnote>
  <w:footnote w:type="continuationSeparator" w:id="0">
    <w:p w:rsidR="00A20F30" w:rsidRDefault="00A20F30" w:rsidP="007E2E80">
      <w:pPr>
        <w:spacing w:after="0" w:line="240" w:lineRule="auto"/>
      </w:pPr>
      <w:r>
        <w:continuationSeparator/>
      </w:r>
    </w:p>
  </w:footnote>
  <w:footnote w:id="1">
    <w:p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10490" w:type="dxa"/>
      <w:tblInd w:w="-851" w:type="dxa"/>
      <w:tblCellMar>
        <w:left w:w="70" w:type="dxa"/>
        <w:right w:w="70" w:type="dxa"/>
      </w:tblCellMar>
      <w:tblLook w:val="04A0" w:firstRow="1" w:lastRow="0" w:firstColumn="1" w:lastColumn="0" w:noHBand="0" w:noVBand="1"/>
    </w:tblPr>
    <w:tblGrid>
      <w:gridCol w:w="6380"/>
      <w:gridCol w:w="4110"/>
    </w:tblGrid>
    <w:tr w:rsidR="00295503" w:rsidTr="00E3420A">
      <w:trPr>
        <w:trHeight w:val="227"/>
      </w:trPr>
      <w:tc>
        <w:tcPr>
          <w:tcW w:w="6380" w:type="dxa"/>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295503" w:rsidRDefault="00B222CA" w:rsidP="00E3420A">
          <w:pPr>
            <w:spacing w:after="120" w:line="256" w:lineRule="auto"/>
            <w:ind w:right="72"/>
            <w:rPr>
              <w:rFonts w:ascii="Palatino Linotype" w:hAnsi="Palatino Linotype" w:cs="Arial"/>
              <w:szCs w:val="20"/>
            </w:rPr>
          </w:pPr>
          <w:r>
            <w:rPr>
              <w:rFonts w:ascii="Palatino Linotype" w:hAnsi="Palatino Linotype" w:cs="Arial"/>
              <w:bCs/>
              <w:sz w:val="24"/>
              <w:lang w:eastAsia="es-MX"/>
            </w:rPr>
            <w:t>10095</w:t>
          </w:r>
          <w:r w:rsidR="00295503">
            <w:rPr>
              <w:rFonts w:ascii="Palatino Linotype" w:hAnsi="Palatino Linotype" w:cs="Arial"/>
              <w:bCs/>
              <w:sz w:val="24"/>
              <w:lang w:eastAsia="es-MX"/>
            </w:rPr>
            <w:t>/INFOEM/IP/RR/2019</w:t>
          </w:r>
        </w:p>
      </w:tc>
    </w:tr>
    <w:tr w:rsidR="00295503" w:rsidTr="00E3420A">
      <w:trPr>
        <w:trHeight w:val="242"/>
      </w:trPr>
      <w:tc>
        <w:tcPr>
          <w:tcW w:w="6380"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295503" w:rsidRDefault="00E3420A" w:rsidP="00B222CA">
          <w:pPr>
            <w:spacing w:after="120" w:line="256" w:lineRule="auto"/>
            <w:ind w:right="72"/>
            <w:rPr>
              <w:rFonts w:ascii="Palatino Linotype" w:hAnsi="Palatino Linotype" w:cs="Arial"/>
              <w:szCs w:val="20"/>
            </w:rPr>
          </w:pPr>
          <w:r>
            <w:rPr>
              <w:rFonts w:ascii="Palatino Linotype" w:hAnsi="Palatino Linotype" w:cs="Arial"/>
            </w:rPr>
            <w:t>Ayuntamiento d</w:t>
          </w:r>
          <w:r w:rsidR="00B222CA">
            <w:rPr>
              <w:rFonts w:ascii="Palatino Linotype" w:hAnsi="Palatino Linotype" w:cs="Arial"/>
            </w:rPr>
            <w:t>e Ecatzingo</w:t>
          </w:r>
        </w:p>
      </w:tc>
    </w:tr>
    <w:tr w:rsidR="00295503" w:rsidTr="00E3420A">
      <w:trPr>
        <w:trHeight w:val="342"/>
      </w:trPr>
      <w:tc>
        <w:tcPr>
          <w:tcW w:w="6380"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110" w:type="dxa"/>
          <w:hideMark/>
        </w:tcPr>
        <w:p w:rsidR="00295503" w:rsidRDefault="00295503" w:rsidP="00E3420A">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6" w:type="dxa"/>
      <w:jc w:val="center"/>
      <w:tblLayout w:type="fixed"/>
      <w:tblCellMar>
        <w:left w:w="70" w:type="dxa"/>
        <w:right w:w="70" w:type="dxa"/>
      </w:tblCellMar>
      <w:tblLook w:val="04A0" w:firstRow="1" w:lastRow="0" w:firstColumn="1" w:lastColumn="0" w:noHBand="0" w:noVBand="1"/>
    </w:tblPr>
    <w:tblGrid>
      <w:gridCol w:w="5675"/>
      <w:gridCol w:w="4111"/>
    </w:tblGrid>
    <w:tr w:rsidR="00295503" w:rsidTr="00E3420A">
      <w:trPr>
        <w:trHeight w:val="227"/>
        <w:jc w:val="center"/>
      </w:trPr>
      <w:tc>
        <w:tcPr>
          <w:tcW w:w="5675"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295503" w:rsidRPr="00B4142F" w:rsidRDefault="00B222CA" w:rsidP="00E3420A">
          <w:pPr>
            <w:spacing w:after="120" w:line="256" w:lineRule="auto"/>
            <w:ind w:right="72"/>
            <w:rPr>
              <w:rFonts w:ascii="Palatino Linotype" w:hAnsi="Palatino Linotype" w:cs="Arial"/>
              <w:szCs w:val="20"/>
            </w:rPr>
          </w:pPr>
          <w:r>
            <w:rPr>
              <w:rFonts w:ascii="Palatino Linotype" w:hAnsi="Palatino Linotype" w:cs="Arial"/>
              <w:bCs/>
              <w:sz w:val="24"/>
              <w:lang w:eastAsia="es-MX"/>
            </w:rPr>
            <w:t>10095</w:t>
          </w:r>
          <w:r w:rsidR="00295503">
            <w:rPr>
              <w:rFonts w:ascii="Palatino Linotype" w:hAnsi="Palatino Linotype" w:cs="Arial"/>
              <w:bCs/>
              <w:sz w:val="24"/>
              <w:lang w:eastAsia="es-MX"/>
            </w:rPr>
            <w:t>/INFOEM/IP/RR/2019</w:t>
          </w:r>
        </w:p>
      </w:tc>
    </w:tr>
    <w:tr w:rsidR="00295503" w:rsidTr="00E3420A">
      <w:trPr>
        <w:trHeight w:val="196"/>
        <w:jc w:val="center"/>
      </w:trPr>
      <w:tc>
        <w:tcPr>
          <w:tcW w:w="5675"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4111" w:type="dxa"/>
          <w:hideMark/>
        </w:tcPr>
        <w:p w:rsidR="00295503" w:rsidRPr="00E3420A" w:rsidRDefault="006E5FC0" w:rsidP="00E3420A">
          <w:pPr>
            <w:spacing w:after="120" w:line="256" w:lineRule="auto"/>
            <w:ind w:right="72"/>
            <w:rPr>
              <w:rFonts w:ascii="Palatino Linotype" w:hAnsi="Palatino Linotype" w:cs="Arial"/>
            </w:rPr>
          </w:pPr>
          <w:r>
            <w:rPr>
              <w:rFonts w:ascii="Palatino Linotype" w:hAnsi="Palatino Linotype" w:cs="Arial"/>
            </w:rPr>
            <w:t>xxxx</w:t>
          </w:r>
        </w:p>
      </w:tc>
    </w:tr>
    <w:tr w:rsidR="00295503" w:rsidTr="00E3420A">
      <w:trPr>
        <w:trHeight w:val="242"/>
        <w:jc w:val="center"/>
      </w:trPr>
      <w:tc>
        <w:tcPr>
          <w:tcW w:w="5675"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295503" w:rsidRPr="0022281E" w:rsidRDefault="002F1B8A" w:rsidP="00B222CA">
          <w:pPr>
            <w:spacing w:after="120" w:line="256" w:lineRule="auto"/>
            <w:ind w:right="72"/>
            <w:rPr>
              <w:rFonts w:ascii="Palatino Linotype" w:hAnsi="Palatino Linotype" w:cs="Arial"/>
            </w:rPr>
          </w:pPr>
          <w:r w:rsidRPr="002F1B8A">
            <w:rPr>
              <w:rFonts w:ascii="Palatino Linotype" w:hAnsi="Palatino Linotype" w:cs="Arial"/>
            </w:rPr>
            <w:t xml:space="preserve">Ayuntamiento de </w:t>
          </w:r>
          <w:r w:rsidR="00B222CA">
            <w:rPr>
              <w:rFonts w:ascii="Palatino Linotype" w:hAnsi="Palatino Linotype" w:cs="Arial"/>
            </w:rPr>
            <w:t>Ecatzingo</w:t>
          </w:r>
        </w:p>
      </w:tc>
    </w:tr>
    <w:tr w:rsidR="00295503" w:rsidTr="00E3420A">
      <w:trPr>
        <w:trHeight w:val="342"/>
        <w:jc w:val="center"/>
      </w:trPr>
      <w:tc>
        <w:tcPr>
          <w:tcW w:w="5675" w:type="dxa"/>
          <w:hideMark/>
        </w:tcPr>
        <w:p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295503" w:rsidRDefault="00295503" w:rsidP="00E3420A">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E6EDC"/>
    <w:multiLevelType w:val="hybridMultilevel"/>
    <w:tmpl w:val="7E4005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13B3280"/>
    <w:multiLevelType w:val="hybridMultilevel"/>
    <w:tmpl w:val="45263A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3A5C0C"/>
    <w:multiLevelType w:val="hybridMultilevel"/>
    <w:tmpl w:val="15E8E0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A7699F"/>
    <w:multiLevelType w:val="hybridMultilevel"/>
    <w:tmpl w:val="7DAA8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CE5CF7"/>
    <w:multiLevelType w:val="hybridMultilevel"/>
    <w:tmpl w:val="CE681642"/>
    <w:lvl w:ilvl="0" w:tplc="080A000F">
      <w:start w:val="1"/>
      <w:numFmt w:val="decimal"/>
      <w:lvlText w:val="%1."/>
      <w:lvlJc w:val="left"/>
      <w:pPr>
        <w:ind w:left="3338" w:hanging="360"/>
      </w:pPr>
      <w:rPr>
        <w:rFonts w:hint="default"/>
      </w:rPr>
    </w:lvl>
    <w:lvl w:ilvl="1" w:tplc="080A0019" w:tentative="1">
      <w:start w:val="1"/>
      <w:numFmt w:val="lowerLetter"/>
      <w:lvlText w:val="%2."/>
      <w:lvlJc w:val="left"/>
      <w:pPr>
        <w:ind w:left="4058" w:hanging="360"/>
      </w:pPr>
    </w:lvl>
    <w:lvl w:ilvl="2" w:tplc="080A001B" w:tentative="1">
      <w:start w:val="1"/>
      <w:numFmt w:val="lowerRoman"/>
      <w:lvlText w:val="%3."/>
      <w:lvlJc w:val="right"/>
      <w:pPr>
        <w:ind w:left="4778" w:hanging="180"/>
      </w:pPr>
    </w:lvl>
    <w:lvl w:ilvl="3" w:tplc="080A000F" w:tentative="1">
      <w:start w:val="1"/>
      <w:numFmt w:val="decimal"/>
      <w:lvlText w:val="%4."/>
      <w:lvlJc w:val="left"/>
      <w:pPr>
        <w:ind w:left="5498" w:hanging="360"/>
      </w:pPr>
    </w:lvl>
    <w:lvl w:ilvl="4" w:tplc="080A0019" w:tentative="1">
      <w:start w:val="1"/>
      <w:numFmt w:val="lowerLetter"/>
      <w:lvlText w:val="%5."/>
      <w:lvlJc w:val="left"/>
      <w:pPr>
        <w:ind w:left="6218" w:hanging="360"/>
      </w:pPr>
    </w:lvl>
    <w:lvl w:ilvl="5" w:tplc="080A001B" w:tentative="1">
      <w:start w:val="1"/>
      <w:numFmt w:val="lowerRoman"/>
      <w:lvlText w:val="%6."/>
      <w:lvlJc w:val="right"/>
      <w:pPr>
        <w:ind w:left="6938" w:hanging="180"/>
      </w:pPr>
    </w:lvl>
    <w:lvl w:ilvl="6" w:tplc="080A000F" w:tentative="1">
      <w:start w:val="1"/>
      <w:numFmt w:val="decimal"/>
      <w:lvlText w:val="%7."/>
      <w:lvlJc w:val="left"/>
      <w:pPr>
        <w:ind w:left="7658" w:hanging="360"/>
      </w:pPr>
    </w:lvl>
    <w:lvl w:ilvl="7" w:tplc="080A0019" w:tentative="1">
      <w:start w:val="1"/>
      <w:numFmt w:val="lowerLetter"/>
      <w:lvlText w:val="%8."/>
      <w:lvlJc w:val="left"/>
      <w:pPr>
        <w:ind w:left="8378" w:hanging="360"/>
      </w:pPr>
    </w:lvl>
    <w:lvl w:ilvl="8" w:tplc="080A001B" w:tentative="1">
      <w:start w:val="1"/>
      <w:numFmt w:val="lowerRoman"/>
      <w:lvlText w:val="%9."/>
      <w:lvlJc w:val="right"/>
      <w:pPr>
        <w:ind w:left="9098" w:hanging="180"/>
      </w:pPr>
    </w:lvl>
  </w:abstractNum>
  <w:abstractNum w:abstractNumId="19"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D1F6BF4"/>
    <w:multiLevelType w:val="multilevel"/>
    <w:tmpl w:val="70E8E3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5294B75"/>
    <w:multiLevelType w:val="hybridMultilevel"/>
    <w:tmpl w:val="F6EEC3AA"/>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0"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8745C8"/>
    <w:multiLevelType w:val="hybridMultilevel"/>
    <w:tmpl w:val="B25E5C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1524853"/>
    <w:multiLevelType w:val="hybridMultilevel"/>
    <w:tmpl w:val="0A8AC5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F06273"/>
    <w:multiLevelType w:val="hybridMultilevel"/>
    <w:tmpl w:val="1EB0C8E4"/>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3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A4945F9"/>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DF582C"/>
    <w:multiLevelType w:val="hybridMultilevel"/>
    <w:tmpl w:val="A30219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D145B2"/>
    <w:multiLevelType w:val="hybridMultilevel"/>
    <w:tmpl w:val="CE6816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42"/>
  </w:num>
  <w:num w:numId="5">
    <w:abstractNumId w:val="8"/>
  </w:num>
  <w:num w:numId="6">
    <w:abstractNumId w:val="4"/>
  </w:num>
  <w:num w:numId="7">
    <w:abstractNumId w:val="24"/>
  </w:num>
  <w:num w:numId="8">
    <w:abstractNumId w:val="22"/>
  </w:num>
  <w:num w:numId="9">
    <w:abstractNumId w:val="36"/>
  </w:num>
  <w:num w:numId="10">
    <w:abstractNumId w:val="10"/>
  </w:num>
  <w:num w:numId="11">
    <w:abstractNumId w:val="37"/>
  </w:num>
  <w:num w:numId="12">
    <w:abstractNumId w:val="28"/>
  </w:num>
  <w:num w:numId="13">
    <w:abstractNumId w:val="26"/>
  </w:num>
  <w:num w:numId="14">
    <w:abstractNumId w:val="17"/>
  </w:num>
  <w:num w:numId="15">
    <w:abstractNumId w:val="3"/>
  </w:num>
  <w:num w:numId="16">
    <w:abstractNumId w:val="12"/>
  </w:num>
  <w:num w:numId="17">
    <w:abstractNumId w:val="21"/>
  </w:num>
  <w:num w:numId="18">
    <w:abstractNumId w:val="34"/>
  </w:num>
  <w:num w:numId="19">
    <w:abstractNumId w:val="31"/>
  </w:num>
  <w:num w:numId="20">
    <w:abstractNumId w:val="19"/>
  </w:num>
  <w:num w:numId="21">
    <w:abstractNumId w:val="14"/>
  </w:num>
  <w:num w:numId="22">
    <w:abstractNumId w:val="20"/>
  </w:num>
  <w:num w:numId="23">
    <w:abstractNumId w:val="16"/>
  </w:num>
  <w:num w:numId="24">
    <w:abstractNumId w:val="23"/>
  </w:num>
  <w:num w:numId="25">
    <w:abstractNumId w:val="15"/>
  </w:num>
  <w:num w:numId="26">
    <w:abstractNumId w:val="13"/>
  </w:num>
  <w:num w:numId="27">
    <w:abstractNumId w:val="41"/>
  </w:num>
  <w:num w:numId="28">
    <w:abstractNumId w:val="2"/>
  </w:num>
  <w:num w:numId="29">
    <w:abstractNumId w:val="18"/>
  </w:num>
  <w:num w:numId="30">
    <w:abstractNumId w:val="29"/>
  </w:num>
  <w:num w:numId="31">
    <w:abstractNumId w:val="35"/>
  </w:num>
  <w:num w:numId="32">
    <w:abstractNumId w:val="33"/>
  </w:num>
  <w:num w:numId="33">
    <w:abstractNumId w:val="9"/>
  </w:num>
  <w:num w:numId="34">
    <w:abstractNumId w:val="38"/>
  </w:num>
  <w:num w:numId="35">
    <w:abstractNumId w:val="6"/>
  </w:num>
  <w:num w:numId="36">
    <w:abstractNumId w:val="32"/>
  </w:num>
  <w:num w:numId="37">
    <w:abstractNumId w:val="27"/>
  </w:num>
  <w:num w:numId="38">
    <w:abstractNumId w:val="40"/>
  </w:num>
  <w:num w:numId="39">
    <w:abstractNumId w:val="25"/>
  </w:num>
  <w:num w:numId="40">
    <w:abstractNumId w:val="5"/>
  </w:num>
  <w:num w:numId="41">
    <w:abstractNumId w:val="7"/>
  </w:num>
  <w:num w:numId="42">
    <w:abstractNumId w:val="3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1A1"/>
    <w:rsid w:val="00011DF7"/>
    <w:rsid w:val="000142DD"/>
    <w:rsid w:val="000146A2"/>
    <w:rsid w:val="00014D80"/>
    <w:rsid w:val="000158D7"/>
    <w:rsid w:val="00015A5D"/>
    <w:rsid w:val="000162E3"/>
    <w:rsid w:val="0001668C"/>
    <w:rsid w:val="00020FB0"/>
    <w:rsid w:val="00022E72"/>
    <w:rsid w:val="0002549D"/>
    <w:rsid w:val="00025CE7"/>
    <w:rsid w:val="000271EB"/>
    <w:rsid w:val="000276E0"/>
    <w:rsid w:val="00031486"/>
    <w:rsid w:val="00032841"/>
    <w:rsid w:val="00032DBD"/>
    <w:rsid w:val="00033949"/>
    <w:rsid w:val="00033A37"/>
    <w:rsid w:val="000353D4"/>
    <w:rsid w:val="00037385"/>
    <w:rsid w:val="000402BD"/>
    <w:rsid w:val="00041CEC"/>
    <w:rsid w:val="00042292"/>
    <w:rsid w:val="00043018"/>
    <w:rsid w:val="00046BD6"/>
    <w:rsid w:val="00050A9C"/>
    <w:rsid w:val="00051311"/>
    <w:rsid w:val="00053C9B"/>
    <w:rsid w:val="00057570"/>
    <w:rsid w:val="00061447"/>
    <w:rsid w:val="0006592E"/>
    <w:rsid w:val="000674FE"/>
    <w:rsid w:val="0007328F"/>
    <w:rsid w:val="000738E9"/>
    <w:rsid w:val="0008042E"/>
    <w:rsid w:val="0008795C"/>
    <w:rsid w:val="0009497C"/>
    <w:rsid w:val="00095218"/>
    <w:rsid w:val="00095BEB"/>
    <w:rsid w:val="000A27C1"/>
    <w:rsid w:val="000A3FE4"/>
    <w:rsid w:val="000A7188"/>
    <w:rsid w:val="000A7989"/>
    <w:rsid w:val="000B0485"/>
    <w:rsid w:val="000B377B"/>
    <w:rsid w:val="000B6962"/>
    <w:rsid w:val="000B7CC1"/>
    <w:rsid w:val="000C0566"/>
    <w:rsid w:val="000C29EF"/>
    <w:rsid w:val="000C3FE2"/>
    <w:rsid w:val="000D203E"/>
    <w:rsid w:val="000D47AB"/>
    <w:rsid w:val="000D65BE"/>
    <w:rsid w:val="000D6982"/>
    <w:rsid w:val="000D756B"/>
    <w:rsid w:val="000E48EE"/>
    <w:rsid w:val="000E7C0A"/>
    <w:rsid w:val="000F199E"/>
    <w:rsid w:val="000F3722"/>
    <w:rsid w:val="000F5647"/>
    <w:rsid w:val="000F74DE"/>
    <w:rsid w:val="001001E8"/>
    <w:rsid w:val="0010112C"/>
    <w:rsid w:val="001050A6"/>
    <w:rsid w:val="00106160"/>
    <w:rsid w:val="001110E1"/>
    <w:rsid w:val="00114C3C"/>
    <w:rsid w:val="00116B4C"/>
    <w:rsid w:val="00117668"/>
    <w:rsid w:val="00122CD0"/>
    <w:rsid w:val="00122FA2"/>
    <w:rsid w:val="0012508A"/>
    <w:rsid w:val="0013112A"/>
    <w:rsid w:val="001324C5"/>
    <w:rsid w:val="00132E9F"/>
    <w:rsid w:val="00135494"/>
    <w:rsid w:val="0013562E"/>
    <w:rsid w:val="0013615C"/>
    <w:rsid w:val="001367E5"/>
    <w:rsid w:val="00136A4D"/>
    <w:rsid w:val="00140AE4"/>
    <w:rsid w:val="00140C2F"/>
    <w:rsid w:val="0014191F"/>
    <w:rsid w:val="00143AC6"/>
    <w:rsid w:val="0014447C"/>
    <w:rsid w:val="00147DC5"/>
    <w:rsid w:val="001510E8"/>
    <w:rsid w:val="001552E9"/>
    <w:rsid w:val="00155A17"/>
    <w:rsid w:val="00162176"/>
    <w:rsid w:val="00163A72"/>
    <w:rsid w:val="00165929"/>
    <w:rsid w:val="00166046"/>
    <w:rsid w:val="00166FB7"/>
    <w:rsid w:val="00175D49"/>
    <w:rsid w:val="00180F6B"/>
    <w:rsid w:val="00182616"/>
    <w:rsid w:val="00184156"/>
    <w:rsid w:val="00185B2E"/>
    <w:rsid w:val="0018661B"/>
    <w:rsid w:val="00195C41"/>
    <w:rsid w:val="001A1418"/>
    <w:rsid w:val="001A17B9"/>
    <w:rsid w:val="001A4700"/>
    <w:rsid w:val="001C08CD"/>
    <w:rsid w:val="001C0CE9"/>
    <w:rsid w:val="001C145C"/>
    <w:rsid w:val="001C4644"/>
    <w:rsid w:val="001C48A7"/>
    <w:rsid w:val="001C5E1A"/>
    <w:rsid w:val="001C6BED"/>
    <w:rsid w:val="001D0F61"/>
    <w:rsid w:val="001D1103"/>
    <w:rsid w:val="001D6114"/>
    <w:rsid w:val="001D61D0"/>
    <w:rsid w:val="001E07AC"/>
    <w:rsid w:val="001E1E50"/>
    <w:rsid w:val="001E40B4"/>
    <w:rsid w:val="001E60B7"/>
    <w:rsid w:val="001E6163"/>
    <w:rsid w:val="001F021C"/>
    <w:rsid w:val="001F2BC9"/>
    <w:rsid w:val="001F4BD9"/>
    <w:rsid w:val="001F50B1"/>
    <w:rsid w:val="001F5577"/>
    <w:rsid w:val="001F60B6"/>
    <w:rsid w:val="001F7259"/>
    <w:rsid w:val="001F7A32"/>
    <w:rsid w:val="00201358"/>
    <w:rsid w:val="00203FA5"/>
    <w:rsid w:val="00206A76"/>
    <w:rsid w:val="002079AF"/>
    <w:rsid w:val="00207ACC"/>
    <w:rsid w:val="00207DA3"/>
    <w:rsid w:val="002108D8"/>
    <w:rsid w:val="00211473"/>
    <w:rsid w:val="00212498"/>
    <w:rsid w:val="00213EE6"/>
    <w:rsid w:val="00216B8D"/>
    <w:rsid w:val="0022281E"/>
    <w:rsid w:val="002252AD"/>
    <w:rsid w:val="0022636E"/>
    <w:rsid w:val="00226AA4"/>
    <w:rsid w:val="00227096"/>
    <w:rsid w:val="002313C3"/>
    <w:rsid w:val="00231CB8"/>
    <w:rsid w:val="0023677E"/>
    <w:rsid w:val="002402B8"/>
    <w:rsid w:val="002450D9"/>
    <w:rsid w:val="00247E1F"/>
    <w:rsid w:val="00250E12"/>
    <w:rsid w:val="00254523"/>
    <w:rsid w:val="002572CF"/>
    <w:rsid w:val="0026175D"/>
    <w:rsid w:val="0026191D"/>
    <w:rsid w:val="002667B2"/>
    <w:rsid w:val="00266A2B"/>
    <w:rsid w:val="00271762"/>
    <w:rsid w:val="00275E42"/>
    <w:rsid w:val="0027680C"/>
    <w:rsid w:val="00280B7B"/>
    <w:rsid w:val="00282690"/>
    <w:rsid w:val="002842C8"/>
    <w:rsid w:val="0028585E"/>
    <w:rsid w:val="00287072"/>
    <w:rsid w:val="00290397"/>
    <w:rsid w:val="00290E5F"/>
    <w:rsid w:val="00295503"/>
    <w:rsid w:val="0029694E"/>
    <w:rsid w:val="00296F49"/>
    <w:rsid w:val="002A1927"/>
    <w:rsid w:val="002A6F1B"/>
    <w:rsid w:val="002B1519"/>
    <w:rsid w:val="002B3CDB"/>
    <w:rsid w:val="002B4E64"/>
    <w:rsid w:val="002B5B14"/>
    <w:rsid w:val="002C2175"/>
    <w:rsid w:val="002C2A2E"/>
    <w:rsid w:val="002C2D19"/>
    <w:rsid w:val="002C529C"/>
    <w:rsid w:val="002C56B2"/>
    <w:rsid w:val="002D4991"/>
    <w:rsid w:val="002D6110"/>
    <w:rsid w:val="002D68CD"/>
    <w:rsid w:val="002E1A7E"/>
    <w:rsid w:val="002E22D8"/>
    <w:rsid w:val="002E2D4C"/>
    <w:rsid w:val="002E6036"/>
    <w:rsid w:val="002F044A"/>
    <w:rsid w:val="002F0481"/>
    <w:rsid w:val="002F160B"/>
    <w:rsid w:val="002F17FB"/>
    <w:rsid w:val="002F1B8A"/>
    <w:rsid w:val="002F47D7"/>
    <w:rsid w:val="00301A01"/>
    <w:rsid w:val="003021C1"/>
    <w:rsid w:val="00303FAF"/>
    <w:rsid w:val="00304C91"/>
    <w:rsid w:val="00307784"/>
    <w:rsid w:val="00307C1D"/>
    <w:rsid w:val="00310760"/>
    <w:rsid w:val="00310802"/>
    <w:rsid w:val="00311191"/>
    <w:rsid w:val="0031181E"/>
    <w:rsid w:val="00312E7E"/>
    <w:rsid w:val="00315192"/>
    <w:rsid w:val="00322280"/>
    <w:rsid w:val="00326D4D"/>
    <w:rsid w:val="00327932"/>
    <w:rsid w:val="00336EDF"/>
    <w:rsid w:val="00340ADC"/>
    <w:rsid w:val="00344583"/>
    <w:rsid w:val="00344AC7"/>
    <w:rsid w:val="00347674"/>
    <w:rsid w:val="00353E3E"/>
    <w:rsid w:val="00360745"/>
    <w:rsid w:val="00363308"/>
    <w:rsid w:val="00365ADF"/>
    <w:rsid w:val="00365E81"/>
    <w:rsid w:val="00366574"/>
    <w:rsid w:val="003666BD"/>
    <w:rsid w:val="00366D3F"/>
    <w:rsid w:val="00374450"/>
    <w:rsid w:val="00375FF5"/>
    <w:rsid w:val="0037690F"/>
    <w:rsid w:val="00382724"/>
    <w:rsid w:val="0038385D"/>
    <w:rsid w:val="003908F4"/>
    <w:rsid w:val="003919AC"/>
    <w:rsid w:val="00391F94"/>
    <w:rsid w:val="003938B0"/>
    <w:rsid w:val="00394D50"/>
    <w:rsid w:val="00395C1A"/>
    <w:rsid w:val="003A13D2"/>
    <w:rsid w:val="003A3096"/>
    <w:rsid w:val="003A361B"/>
    <w:rsid w:val="003A5FDC"/>
    <w:rsid w:val="003A666F"/>
    <w:rsid w:val="003B0177"/>
    <w:rsid w:val="003B2BFE"/>
    <w:rsid w:val="003B5524"/>
    <w:rsid w:val="003B5DB2"/>
    <w:rsid w:val="003B7801"/>
    <w:rsid w:val="003C3124"/>
    <w:rsid w:val="003C6B46"/>
    <w:rsid w:val="003C71D4"/>
    <w:rsid w:val="003C74AF"/>
    <w:rsid w:val="003D16FF"/>
    <w:rsid w:val="003D2672"/>
    <w:rsid w:val="003D27CF"/>
    <w:rsid w:val="003D2A1C"/>
    <w:rsid w:val="003D3420"/>
    <w:rsid w:val="003E08B9"/>
    <w:rsid w:val="003E11C8"/>
    <w:rsid w:val="003E48DC"/>
    <w:rsid w:val="003E4E42"/>
    <w:rsid w:val="003F046E"/>
    <w:rsid w:val="003F1987"/>
    <w:rsid w:val="00400852"/>
    <w:rsid w:val="00402DCD"/>
    <w:rsid w:val="00404F9D"/>
    <w:rsid w:val="00405574"/>
    <w:rsid w:val="00406B61"/>
    <w:rsid w:val="00407282"/>
    <w:rsid w:val="00410A41"/>
    <w:rsid w:val="00411B3E"/>
    <w:rsid w:val="004132B8"/>
    <w:rsid w:val="00417EBD"/>
    <w:rsid w:val="00420EDD"/>
    <w:rsid w:val="004215EB"/>
    <w:rsid w:val="00423C27"/>
    <w:rsid w:val="00423E44"/>
    <w:rsid w:val="00424A8A"/>
    <w:rsid w:val="00425199"/>
    <w:rsid w:val="004320E1"/>
    <w:rsid w:val="00432724"/>
    <w:rsid w:val="00435B99"/>
    <w:rsid w:val="00443826"/>
    <w:rsid w:val="004440A9"/>
    <w:rsid w:val="00444E88"/>
    <w:rsid w:val="00446095"/>
    <w:rsid w:val="0045270C"/>
    <w:rsid w:val="0045396C"/>
    <w:rsid w:val="00455633"/>
    <w:rsid w:val="0045574D"/>
    <w:rsid w:val="00456A5F"/>
    <w:rsid w:val="004572BE"/>
    <w:rsid w:val="00460C54"/>
    <w:rsid w:val="004617C7"/>
    <w:rsid w:val="004625C1"/>
    <w:rsid w:val="004657BE"/>
    <w:rsid w:val="00471A0C"/>
    <w:rsid w:val="004737E6"/>
    <w:rsid w:val="004739C9"/>
    <w:rsid w:val="00473B0B"/>
    <w:rsid w:val="004807F7"/>
    <w:rsid w:val="00481A0C"/>
    <w:rsid w:val="004830B5"/>
    <w:rsid w:val="00484E47"/>
    <w:rsid w:val="00485D00"/>
    <w:rsid w:val="004868ED"/>
    <w:rsid w:val="00487B8B"/>
    <w:rsid w:val="00496755"/>
    <w:rsid w:val="00497B93"/>
    <w:rsid w:val="004A0A0B"/>
    <w:rsid w:val="004A12A6"/>
    <w:rsid w:val="004A51FF"/>
    <w:rsid w:val="004B05FA"/>
    <w:rsid w:val="004B2C63"/>
    <w:rsid w:val="004B4721"/>
    <w:rsid w:val="004C0E2C"/>
    <w:rsid w:val="004C2C30"/>
    <w:rsid w:val="004C51D1"/>
    <w:rsid w:val="004C5A29"/>
    <w:rsid w:val="004C7E18"/>
    <w:rsid w:val="004D6AB3"/>
    <w:rsid w:val="004E103F"/>
    <w:rsid w:val="004E3718"/>
    <w:rsid w:val="004E6BB7"/>
    <w:rsid w:val="004F03B7"/>
    <w:rsid w:val="004F239F"/>
    <w:rsid w:val="004F4660"/>
    <w:rsid w:val="004F483E"/>
    <w:rsid w:val="004F4B8F"/>
    <w:rsid w:val="005008B6"/>
    <w:rsid w:val="0050104C"/>
    <w:rsid w:val="005023F4"/>
    <w:rsid w:val="005033CC"/>
    <w:rsid w:val="0050556D"/>
    <w:rsid w:val="00512824"/>
    <w:rsid w:val="00516BA8"/>
    <w:rsid w:val="005209D1"/>
    <w:rsid w:val="0052393E"/>
    <w:rsid w:val="00524986"/>
    <w:rsid w:val="00525BC2"/>
    <w:rsid w:val="005328FB"/>
    <w:rsid w:val="00533FBC"/>
    <w:rsid w:val="00537419"/>
    <w:rsid w:val="00537D90"/>
    <w:rsid w:val="00541B17"/>
    <w:rsid w:val="005421C7"/>
    <w:rsid w:val="00542DC1"/>
    <w:rsid w:val="005448FA"/>
    <w:rsid w:val="00544D3F"/>
    <w:rsid w:val="00560791"/>
    <w:rsid w:val="005636C7"/>
    <w:rsid w:val="00566699"/>
    <w:rsid w:val="00567185"/>
    <w:rsid w:val="00571F8D"/>
    <w:rsid w:val="00572DFB"/>
    <w:rsid w:val="005733EB"/>
    <w:rsid w:val="00574300"/>
    <w:rsid w:val="0057534D"/>
    <w:rsid w:val="00577E1C"/>
    <w:rsid w:val="00584792"/>
    <w:rsid w:val="0058697B"/>
    <w:rsid w:val="00590126"/>
    <w:rsid w:val="005904F0"/>
    <w:rsid w:val="00591988"/>
    <w:rsid w:val="00592D52"/>
    <w:rsid w:val="00596856"/>
    <w:rsid w:val="005A117C"/>
    <w:rsid w:val="005A3835"/>
    <w:rsid w:val="005A6F55"/>
    <w:rsid w:val="005B2A31"/>
    <w:rsid w:val="005B50EC"/>
    <w:rsid w:val="005B6302"/>
    <w:rsid w:val="005B7E58"/>
    <w:rsid w:val="005C04BF"/>
    <w:rsid w:val="005C057C"/>
    <w:rsid w:val="005C2579"/>
    <w:rsid w:val="005C5D3C"/>
    <w:rsid w:val="005C76D5"/>
    <w:rsid w:val="005D02A8"/>
    <w:rsid w:val="005D5EEB"/>
    <w:rsid w:val="005D6173"/>
    <w:rsid w:val="005E3F88"/>
    <w:rsid w:val="005F0A37"/>
    <w:rsid w:val="005F45E7"/>
    <w:rsid w:val="005F698E"/>
    <w:rsid w:val="0060031A"/>
    <w:rsid w:val="00600575"/>
    <w:rsid w:val="00600D67"/>
    <w:rsid w:val="006019B3"/>
    <w:rsid w:val="00604FFE"/>
    <w:rsid w:val="0060633A"/>
    <w:rsid w:val="006073A6"/>
    <w:rsid w:val="006105E0"/>
    <w:rsid w:val="006110C1"/>
    <w:rsid w:val="006149F1"/>
    <w:rsid w:val="00617C09"/>
    <w:rsid w:val="00620FA6"/>
    <w:rsid w:val="00622912"/>
    <w:rsid w:val="00622EBF"/>
    <w:rsid w:val="006246A5"/>
    <w:rsid w:val="00624B90"/>
    <w:rsid w:val="0062686A"/>
    <w:rsid w:val="00627F9C"/>
    <w:rsid w:val="00631F1B"/>
    <w:rsid w:val="00631FF9"/>
    <w:rsid w:val="006333B7"/>
    <w:rsid w:val="00633C3F"/>
    <w:rsid w:val="00634607"/>
    <w:rsid w:val="00640D07"/>
    <w:rsid w:val="00642541"/>
    <w:rsid w:val="00644363"/>
    <w:rsid w:val="006446F7"/>
    <w:rsid w:val="00646CFB"/>
    <w:rsid w:val="00647B4C"/>
    <w:rsid w:val="00650E10"/>
    <w:rsid w:val="00652906"/>
    <w:rsid w:val="00653751"/>
    <w:rsid w:val="0065519D"/>
    <w:rsid w:val="00656672"/>
    <w:rsid w:val="00660EDD"/>
    <w:rsid w:val="00661204"/>
    <w:rsid w:val="006621E2"/>
    <w:rsid w:val="00664D8F"/>
    <w:rsid w:val="00664EBB"/>
    <w:rsid w:val="0066596B"/>
    <w:rsid w:val="0066610F"/>
    <w:rsid w:val="00673D7C"/>
    <w:rsid w:val="006749FD"/>
    <w:rsid w:val="00676C32"/>
    <w:rsid w:val="006809F5"/>
    <w:rsid w:val="00680D39"/>
    <w:rsid w:val="00686046"/>
    <w:rsid w:val="0068613E"/>
    <w:rsid w:val="006866ED"/>
    <w:rsid w:val="00690F01"/>
    <w:rsid w:val="00692BD6"/>
    <w:rsid w:val="0069776E"/>
    <w:rsid w:val="006A0513"/>
    <w:rsid w:val="006A0ADE"/>
    <w:rsid w:val="006A1F7F"/>
    <w:rsid w:val="006A29C5"/>
    <w:rsid w:val="006A3A54"/>
    <w:rsid w:val="006A561E"/>
    <w:rsid w:val="006A71AB"/>
    <w:rsid w:val="006A729B"/>
    <w:rsid w:val="006B070F"/>
    <w:rsid w:val="006B169F"/>
    <w:rsid w:val="006B4DFD"/>
    <w:rsid w:val="006B5E24"/>
    <w:rsid w:val="006C43CE"/>
    <w:rsid w:val="006C6176"/>
    <w:rsid w:val="006C79C8"/>
    <w:rsid w:val="006D01DC"/>
    <w:rsid w:val="006D1136"/>
    <w:rsid w:val="006D254A"/>
    <w:rsid w:val="006D4AD4"/>
    <w:rsid w:val="006D780C"/>
    <w:rsid w:val="006E0601"/>
    <w:rsid w:val="006E2D42"/>
    <w:rsid w:val="006E40E1"/>
    <w:rsid w:val="006E42A5"/>
    <w:rsid w:val="006E546F"/>
    <w:rsid w:val="006E5FC0"/>
    <w:rsid w:val="006E6394"/>
    <w:rsid w:val="006E6C81"/>
    <w:rsid w:val="006F06F0"/>
    <w:rsid w:val="006F18FD"/>
    <w:rsid w:val="006F2785"/>
    <w:rsid w:val="006F4103"/>
    <w:rsid w:val="006F4A35"/>
    <w:rsid w:val="00700170"/>
    <w:rsid w:val="00702DB6"/>
    <w:rsid w:val="00705D1C"/>
    <w:rsid w:val="00705EC4"/>
    <w:rsid w:val="00707021"/>
    <w:rsid w:val="0070728A"/>
    <w:rsid w:val="0071210D"/>
    <w:rsid w:val="0071524B"/>
    <w:rsid w:val="007158BB"/>
    <w:rsid w:val="00717FEF"/>
    <w:rsid w:val="007218F2"/>
    <w:rsid w:val="00724F5C"/>
    <w:rsid w:val="007256EA"/>
    <w:rsid w:val="00730DE0"/>
    <w:rsid w:val="00732584"/>
    <w:rsid w:val="0073345D"/>
    <w:rsid w:val="0073758D"/>
    <w:rsid w:val="0074093D"/>
    <w:rsid w:val="00751BBC"/>
    <w:rsid w:val="0075676A"/>
    <w:rsid w:val="0076120C"/>
    <w:rsid w:val="007619EE"/>
    <w:rsid w:val="00763D73"/>
    <w:rsid w:val="007640C8"/>
    <w:rsid w:val="00764E46"/>
    <w:rsid w:val="007676AF"/>
    <w:rsid w:val="00767E91"/>
    <w:rsid w:val="007718D6"/>
    <w:rsid w:val="00776087"/>
    <w:rsid w:val="00785145"/>
    <w:rsid w:val="0078567E"/>
    <w:rsid w:val="00786497"/>
    <w:rsid w:val="007867F3"/>
    <w:rsid w:val="00790289"/>
    <w:rsid w:val="0079496F"/>
    <w:rsid w:val="00794D57"/>
    <w:rsid w:val="00795882"/>
    <w:rsid w:val="00797BE3"/>
    <w:rsid w:val="007A0571"/>
    <w:rsid w:val="007A223B"/>
    <w:rsid w:val="007A4E13"/>
    <w:rsid w:val="007B0292"/>
    <w:rsid w:val="007B0E30"/>
    <w:rsid w:val="007B1050"/>
    <w:rsid w:val="007B571C"/>
    <w:rsid w:val="007C11C3"/>
    <w:rsid w:val="007C4552"/>
    <w:rsid w:val="007C7C37"/>
    <w:rsid w:val="007D0CFF"/>
    <w:rsid w:val="007D2A7D"/>
    <w:rsid w:val="007D4A6F"/>
    <w:rsid w:val="007D79C6"/>
    <w:rsid w:val="007E2E80"/>
    <w:rsid w:val="007E39F7"/>
    <w:rsid w:val="007E738C"/>
    <w:rsid w:val="007F054B"/>
    <w:rsid w:val="007F1984"/>
    <w:rsid w:val="007F282E"/>
    <w:rsid w:val="007F3B32"/>
    <w:rsid w:val="007F4CDF"/>
    <w:rsid w:val="007F7846"/>
    <w:rsid w:val="0080248F"/>
    <w:rsid w:val="008041A7"/>
    <w:rsid w:val="008103B2"/>
    <w:rsid w:val="0081117B"/>
    <w:rsid w:val="0081299A"/>
    <w:rsid w:val="00821898"/>
    <w:rsid w:val="00823454"/>
    <w:rsid w:val="00824894"/>
    <w:rsid w:val="00830360"/>
    <w:rsid w:val="008307E5"/>
    <w:rsid w:val="00836B75"/>
    <w:rsid w:val="00840BAD"/>
    <w:rsid w:val="0084469C"/>
    <w:rsid w:val="008455DC"/>
    <w:rsid w:val="00853CC3"/>
    <w:rsid w:val="00854307"/>
    <w:rsid w:val="00854B64"/>
    <w:rsid w:val="008659E5"/>
    <w:rsid w:val="00867D56"/>
    <w:rsid w:val="00870064"/>
    <w:rsid w:val="00870BF2"/>
    <w:rsid w:val="008725EE"/>
    <w:rsid w:val="00872B5C"/>
    <w:rsid w:val="008731D1"/>
    <w:rsid w:val="008827DE"/>
    <w:rsid w:val="00882E8A"/>
    <w:rsid w:val="0088402D"/>
    <w:rsid w:val="00887852"/>
    <w:rsid w:val="00887AB7"/>
    <w:rsid w:val="00892543"/>
    <w:rsid w:val="008A1C19"/>
    <w:rsid w:val="008A46B7"/>
    <w:rsid w:val="008A75B0"/>
    <w:rsid w:val="008B2BCF"/>
    <w:rsid w:val="008B5D83"/>
    <w:rsid w:val="008C0E72"/>
    <w:rsid w:val="008C0F70"/>
    <w:rsid w:val="008C2010"/>
    <w:rsid w:val="008C2971"/>
    <w:rsid w:val="008C651F"/>
    <w:rsid w:val="008C7CEB"/>
    <w:rsid w:val="008D0121"/>
    <w:rsid w:val="008D17A8"/>
    <w:rsid w:val="008E2B54"/>
    <w:rsid w:val="008E34F3"/>
    <w:rsid w:val="008E4CCE"/>
    <w:rsid w:val="008E572E"/>
    <w:rsid w:val="008E63C2"/>
    <w:rsid w:val="008E7522"/>
    <w:rsid w:val="008F3BD7"/>
    <w:rsid w:val="00903599"/>
    <w:rsid w:val="00905CE1"/>
    <w:rsid w:val="00907584"/>
    <w:rsid w:val="00910396"/>
    <w:rsid w:val="00912536"/>
    <w:rsid w:val="009151CF"/>
    <w:rsid w:val="009272C6"/>
    <w:rsid w:val="00930F68"/>
    <w:rsid w:val="0093166C"/>
    <w:rsid w:val="00932791"/>
    <w:rsid w:val="009339EC"/>
    <w:rsid w:val="00936CE7"/>
    <w:rsid w:val="0093743A"/>
    <w:rsid w:val="00942349"/>
    <w:rsid w:val="00943711"/>
    <w:rsid w:val="00943B37"/>
    <w:rsid w:val="00943C14"/>
    <w:rsid w:val="00950ABA"/>
    <w:rsid w:val="00954DC1"/>
    <w:rsid w:val="009556DD"/>
    <w:rsid w:val="00960197"/>
    <w:rsid w:val="00960D8F"/>
    <w:rsid w:val="0096284F"/>
    <w:rsid w:val="0096359D"/>
    <w:rsid w:val="00963CE5"/>
    <w:rsid w:val="009664C0"/>
    <w:rsid w:val="00967024"/>
    <w:rsid w:val="00967270"/>
    <w:rsid w:val="0097416D"/>
    <w:rsid w:val="009759F9"/>
    <w:rsid w:val="00984CA8"/>
    <w:rsid w:val="009859B8"/>
    <w:rsid w:val="00986407"/>
    <w:rsid w:val="0099000E"/>
    <w:rsid w:val="009908A1"/>
    <w:rsid w:val="00992548"/>
    <w:rsid w:val="009949F2"/>
    <w:rsid w:val="00994FE7"/>
    <w:rsid w:val="009962BD"/>
    <w:rsid w:val="009962CF"/>
    <w:rsid w:val="009A4A97"/>
    <w:rsid w:val="009A73F7"/>
    <w:rsid w:val="009A778F"/>
    <w:rsid w:val="009A7CBC"/>
    <w:rsid w:val="009B205B"/>
    <w:rsid w:val="009B3592"/>
    <w:rsid w:val="009B3F62"/>
    <w:rsid w:val="009B70C3"/>
    <w:rsid w:val="009B7245"/>
    <w:rsid w:val="009C031E"/>
    <w:rsid w:val="009C0B28"/>
    <w:rsid w:val="009C1EA2"/>
    <w:rsid w:val="009C3FC7"/>
    <w:rsid w:val="009C67FA"/>
    <w:rsid w:val="009D01EE"/>
    <w:rsid w:val="009D1E63"/>
    <w:rsid w:val="009D34B0"/>
    <w:rsid w:val="009D494F"/>
    <w:rsid w:val="009D4DDB"/>
    <w:rsid w:val="009D56AA"/>
    <w:rsid w:val="009E0089"/>
    <w:rsid w:val="009E2FAF"/>
    <w:rsid w:val="009E396D"/>
    <w:rsid w:val="009E43E1"/>
    <w:rsid w:val="009E58AC"/>
    <w:rsid w:val="009E7128"/>
    <w:rsid w:val="009F223E"/>
    <w:rsid w:val="009F7B22"/>
    <w:rsid w:val="00A01F59"/>
    <w:rsid w:val="00A06551"/>
    <w:rsid w:val="00A066AD"/>
    <w:rsid w:val="00A10000"/>
    <w:rsid w:val="00A1069F"/>
    <w:rsid w:val="00A10775"/>
    <w:rsid w:val="00A10DEC"/>
    <w:rsid w:val="00A112EB"/>
    <w:rsid w:val="00A151AA"/>
    <w:rsid w:val="00A20F30"/>
    <w:rsid w:val="00A2199B"/>
    <w:rsid w:val="00A22469"/>
    <w:rsid w:val="00A239BB"/>
    <w:rsid w:val="00A25EBC"/>
    <w:rsid w:val="00A26AC5"/>
    <w:rsid w:val="00A27EF6"/>
    <w:rsid w:val="00A3134D"/>
    <w:rsid w:val="00A32F36"/>
    <w:rsid w:val="00A33B3A"/>
    <w:rsid w:val="00A35B31"/>
    <w:rsid w:val="00A4214D"/>
    <w:rsid w:val="00A62727"/>
    <w:rsid w:val="00A65C29"/>
    <w:rsid w:val="00A666CE"/>
    <w:rsid w:val="00A74344"/>
    <w:rsid w:val="00A80852"/>
    <w:rsid w:val="00A81B29"/>
    <w:rsid w:val="00A823B0"/>
    <w:rsid w:val="00A854D1"/>
    <w:rsid w:val="00A871F0"/>
    <w:rsid w:val="00A9102C"/>
    <w:rsid w:val="00A9172E"/>
    <w:rsid w:val="00A94B95"/>
    <w:rsid w:val="00A94BF6"/>
    <w:rsid w:val="00A95C1F"/>
    <w:rsid w:val="00AA00B8"/>
    <w:rsid w:val="00AA072F"/>
    <w:rsid w:val="00AA4CE7"/>
    <w:rsid w:val="00AA4F9A"/>
    <w:rsid w:val="00AA5A0A"/>
    <w:rsid w:val="00AB1AF3"/>
    <w:rsid w:val="00AB481C"/>
    <w:rsid w:val="00AB5115"/>
    <w:rsid w:val="00AB63C1"/>
    <w:rsid w:val="00AB6FE4"/>
    <w:rsid w:val="00AD0168"/>
    <w:rsid w:val="00AD3C94"/>
    <w:rsid w:val="00AD4AD8"/>
    <w:rsid w:val="00AD7189"/>
    <w:rsid w:val="00AE658B"/>
    <w:rsid w:val="00AF03D2"/>
    <w:rsid w:val="00AF145F"/>
    <w:rsid w:val="00AF1C82"/>
    <w:rsid w:val="00AF1F1C"/>
    <w:rsid w:val="00AF2D17"/>
    <w:rsid w:val="00B05A6A"/>
    <w:rsid w:val="00B06F82"/>
    <w:rsid w:val="00B070F5"/>
    <w:rsid w:val="00B1130B"/>
    <w:rsid w:val="00B12CBA"/>
    <w:rsid w:val="00B12ECB"/>
    <w:rsid w:val="00B16CAC"/>
    <w:rsid w:val="00B222CA"/>
    <w:rsid w:val="00B2541A"/>
    <w:rsid w:val="00B303EA"/>
    <w:rsid w:val="00B31ACE"/>
    <w:rsid w:val="00B31BB2"/>
    <w:rsid w:val="00B33A21"/>
    <w:rsid w:val="00B34950"/>
    <w:rsid w:val="00B36915"/>
    <w:rsid w:val="00B37304"/>
    <w:rsid w:val="00B374EF"/>
    <w:rsid w:val="00B40D19"/>
    <w:rsid w:val="00B501B2"/>
    <w:rsid w:val="00B50E01"/>
    <w:rsid w:val="00B51B2F"/>
    <w:rsid w:val="00B53B46"/>
    <w:rsid w:val="00B549E1"/>
    <w:rsid w:val="00B56587"/>
    <w:rsid w:val="00B649E6"/>
    <w:rsid w:val="00B74CBF"/>
    <w:rsid w:val="00B75842"/>
    <w:rsid w:val="00B77734"/>
    <w:rsid w:val="00B80B55"/>
    <w:rsid w:val="00B81C51"/>
    <w:rsid w:val="00B844F7"/>
    <w:rsid w:val="00B87C53"/>
    <w:rsid w:val="00B926B6"/>
    <w:rsid w:val="00B93C5C"/>
    <w:rsid w:val="00B97CAC"/>
    <w:rsid w:val="00BA11F9"/>
    <w:rsid w:val="00BA15EF"/>
    <w:rsid w:val="00BA6922"/>
    <w:rsid w:val="00BA69A0"/>
    <w:rsid w:val="00BA79BA"/>
    <w:rsid w:val="00BB2359"/>
    <w:rsid w:val="00BB707A"/>
    <w:rsid w:val="00BC55DA"/>
    <w:rsid w:val="00BC64D4"/>
    <w:rsid w:val="00BC7355"/>
    <w:rsid w:val="00BD174F"/>
    <w:rsid w:val="00BD1DE7"/>
    <w:rsid w:val="00BD20DA"/>
    <w:rsid w:val="00BD2A68"/>
    <w:rsid w:val="00BD6AD7"/>
    <w:rsid w:val="00BE100C"/>
    <w:rsid w:val="00BE48F3"/>
    <w:rsid w:val="00BE6D77"/>
    <w:rsid w:val="00BF0AEC"/>
    <w:rsid w:val="00BF123B"/>
    <w:rsid w:val="00BF123D"/>
    <w:rsid w:val="00BF28CF"/>
    <w:rsid w:val="00BF3765"/>
    <w:rsid w:val="00BF5EE2"/>
    <w:rsid w:val="00BF6904"/>
    <w:rsid w:val="00BF69B1"/>
    <w:rsid w:val="00C01402"/>
    <w:rsid w:val="00C034B9"/>
    <w:rsid w:val="00C10AAE"/>
    <w:rsid w:val="00C115F4"/>
    <w:rsid w:val="00C11DA2"/>
    <w:rsid w:val="00C13AF9"/>
    <w:rsid w:val="00C2107B"/>
    <w:rsid w:val="00C23F8A"/>
    <w:rsid w:val="00C2473C"/>
    <w:rsid w:val="00C25822"/>
    <w:rsid w:val="00C25B89"/>
    <w:rsid w:val="00C277F4"/>
    <w:rsid w:val="00C322FF"/>
    <w:rsid w:val="00C337F0"/>
    <w:rsid w:val="00C33986"/>
    <w:rsid w:val="00C34B47"/>
    <w:rsid w:val="00C35F18"/>
    <w:rsid w:val="00C40345"/>
    <w:rsid w:val="00C40AF4"/>
    <w:rsid w:val="00C44F56"/>
    <w:rsid w:val="00C51D29"/>
    <w:rsid w:val="00C52208"/>
    <w:rsid w:val="00C60835"/>
    <w:rsid w:val="00C67A59"/>
    <w:rsid w:val="00C8573E"/>
    <w:rsid w:val="00C868EA"/>
    <w:rsid w:val="00C90CE9"/>
    <w:rsid w:val="00C911DE"/>
    <w:rsid w:val="00C921D5"/>
    <w:rsid w:val="00C93EEE"/>
    <w:rsid w:val="00C95F13"/>
    <w:rsid w:val="00CA2ED9"/>
    <w:rsid w:val="00CA3DD3"/>
    <w:rsid w:val="00CA5EC1"/>
    <w:rsid w:val="00CA7274"/>
    <w:rsid w:val="00CB66EA"/>
    <w:rsid w:val="00CC0F90"/>
    <w:rsid w:val="00CD0242"/>
    <w:rsid w:val="00CD4230"/>
    <w:rsid w:val="00CD5D9E"/>
    <w:rsid w:val="00CE15C8"/>
    <w:rsid w:val="00CE36B2"/>
    <w:rsid w:val="00CF27C6"/>
    <w:rsid w:val="00CF505E"/>
    <w:rsid w:val="00CF66C4"/>
    <w:rsid w:val="00CF7E3D"/>
    <w:rsid w:val="00CF7FF3"/>
    <w:rsid w:val="00D01B24"/>
    <w:rsid w:val="00D020E2"/>
    <w:rsid w:val="00D033C3"/>
    <w:rsid w:val="00D04234"/>
    <w:rsid w:val="00D04E44"/>
    <w:rsid w:val="00D0540D"/>
    <w:rsid w:val="00D0673B"/>
    <w:rsid w:val="00D0685A"/>
    <w:rsid w:val="00D10718"/>
    <w:rsid w:val="00D12B3C"/>
    <w:rsid w:val="00D13B83"/>
    <w:rsid w:val="00D14D51"/>
    <w:rsid w:val="00D14E3B"/>
    <w:rsid w:val="00D20888"/>
    <w:rsid w:val="00D23F11"/>
    <w:rsid w:val="00D26FCF"/>
    <w:rsid w:val="00D30AE7"/>
    <w:rsid w:val="00D310C4"/>
    <w:rsid w:val="00D313B5"/>
    <w:rsid w:val="00D31A7C"/>
    <w:rsid w:val="00D32449"/>
    <w:rsid w:val="00D32E6F"/>
    <w:rsid w:val="00D37095"/>
    <w:rsid w:val="00D425F0"/>
    <w:rsid w:val="00D46D29"/>
    <w:rsid w:val="00D50CEC"/>
    <w:rsid w:val="00D50CF7"/>
    <w:rsid w:val="00D5329C"/>
    <w:rsid w:val="00D54889"/>
    <w:rsid w:val="00D55028"/>
    <w:rsid w:val="00D5599E"/>
    <w:rsid w:val="00D57072"/>
    <w:rsid w:val="00D57A8D"/>
    <w:rsid w:val="00D57C7A"/>
    <w:rsid w:val="00D60608"/>
    <w:rsid w:val="00D61A59"/>
    <w:rsid w:val="00D633B6"/>
    <w:rsid w:val="00D64F6D"/>
    <w:rsid w:val="00D70758"/>
    <w:rsid w:val="00D72377"/>
    <w:rsid w:val="00D75DD0"/>
    <w:rsid w:val="00D760EF"/>
    <w:rsid w:val="00D77F62"/>
    <w:rsid w:val="00D80239"/>
    <w:rsid w:val="00D82C3F"/>
    <w:rsid w:val="00D845DD"/>
    <w:rsid w:val="00D84D1B"/>
    <w:rsid w:val="00D85C97"/>
    <w:rsid w:val="00D85DC5"/>
    <w:rsid w:val="00D867E7"/>
    <w:rsid w:val="00D91B98"/>
    <w:rsid w:val="00D93EFB"/>
    <w:rsid w:val="00DA0E70"/>
    <w:rsid w:val="00DA1B7C"/>
    <w:rsid w:val="00DA21DB"/>
    <w:rsid w:val="00DA5A00"/>
    <w:rsid w:val="00DA6917"/>
    <w:rsid w:val="00DB01B2"/>
    <w:rsid w:val="00DB07E3"/>
    <w:rsid w:val="00DB3486"/>
    <w:rsid w:val="00DB5FF7"/>
    <w:rsid w:val="00DC0CB0"/>
    <w:rsid w:val="00DC1191"/>
    <w:rsid w:val="00DC1E65"/>
    <w:rsid w:val="00DC4292"/>
    <w:rsid w:val="00DC46ED"/>
    <w:rsid w:val="00DC4E35"/>
    <w:rsid w:val="00DD0417"/>
    <w:rsid w:val="00DD13E2"/>
    <w:rsid w:val="00DD2781"/>
    <w:rsid w:val="00DD2D53"/>
    <w:rsid w:val="00DD5971"/>
    <w:rsid w:val="00DD5DC9"/>
    <w:rsid w:val="00DD70BA"/>
    <w:rsid w:val="00DD77A6"/>
    <w:rsid w:val="00DE0587"/>
    <w:rsid w:val="00DE16E2"/>
    <w:rsid w:val="00DE7F8B"/>
    <w:rsid w:val="00DF0AF9"/>
    <w:rsid w:val="00DF1527"/>
    <w:rsid w:val="00DF1643"/>
    <w:rsid w:val="00DF2F2C"/>
    <w:rsid w:val="00DF3485"/>
    <w:rsid w:val="00DF51C8"/>
    <w:rsid w:val="00DF5AC8"/>
    <w:rsid w:val="00DF5C1F"/>
    <w:rsid w:val="00DF641D"/>
    <w:rsid w:val="00E014FE"/>
    <w:rsid w:val="00E04409"/>
    <w:rsid w:val="00E13529"/>
    <w:rsid w:val="00E1520C"/>
    <w:rsid w:val="00E21619"/>
    <w:rsid w:val="00E23E06"/>
    <w:rsid w:val="00E25492"/>
    <w:rsid w:val="00E2672A"/>
    <w:rsid w:val="00E30734"/>
    <w:rsid w:val="00E308F0"/>
    <w:rsid w:val="00E30F8E"/>
    <w:rsid w:val="00E31685"/>
    <w:rsid w:val="00E322DC"/>
    <w:rsid w:val="00E323DF"/>
    <w:rsid w:val="00E3420A"/>
    <w:rsid w:val="00E35357"/>
    <w:rsid w:val="00E37AA1"/>
    <w:rsid w:val="00E426C9"/>
    <w:rsid w:val="00E4299C"/>
    <w:rsid w:val="00E44BD3"/>
    <w:rsid w:val="00E46554"/>
    <w:rsid w:val="00E50BBA"/>
    <w:rsid w:val="00E50EFF"/>
    <w:rsid w:val="00E50F4B"/>
    <w:rsid w:val="00E51947"/>
    <w:rsid w:val="00E52335"/>
    <w:rsid w:val="00E53096"/>
    <w:rsid w:val="00E543A2"/>
    <w:rsid w:val="00E55D39"/>
    <w:rsid w:val="00E56111"/>
    <w:rsid w:val="00E57725"/>
    <w:rsid w:val="00E60476"/>
    <w:rsid w:val="00E61468"/>
    <w:rsid w:val="00E62416"/>
    <w:rsid w:val="00E65AE8"/>
    <w:rsid w:val="00E70CAE"/>
    <w:rsid w:val="00E70CC2"/>
    <w:rsid w:val="00E70D08"/>
    <w:rsid w:val="00E726BA"/>
    <w:rsid w:val="00E72712"/>
    <w:rsid w:val="00E765F1"/>
    <w:rsid w:val="00E76752"/>
    <w:rsid w:val="00E80AB6"/>
    <w:rsid w:val="00E820A0"/>
    <w:rsid w:val="00E83DA0"/>
    <w:rsid w:val="00E915B8"/>
    <w:rsid w:val="00E91A96"/>
    <w:rsid w:val="00E93579"/>
    <w:rsid w:val="00E94CAE"/>
    <w:rsid w:val="00E94ED4"/>
    <w:rsid w:val="00E9538B"/>
    <w:rsid w:val="00EA0886"/>
    <w:rsid w:val="00EA2AAB"/>
    <w:rsid w:val="00EA328E"/>
    <w:rsid w:val="00EA5483"/>
    <w:rsid w:val="00EA5C81"/>
    <w:rsid w:val="00EA6220"/>
    <w:rsid w:val="00EB2068"/>
    <w:rsid w:val="00EB32F6"/>
    <w:rsid w:val="00EC1776"/>
    <w:rsid w:val="00EC4B6A"/>
    <w:rsid w:val="00EC63B8"/>
    <w:rsid w:val="00EC7387"/>
    <w:rsid w:val="00EC786A"/>
    <w:rsid w:val="00ED4829"/>
    <w:rsid w:val="00ED60C2"/>
    <w:rsid w:val="00ED634A"/>
    <w:rsid w:val="00ED78F3"/>
    <w:rsid w:val="00EE03F5"/>
    <w:rsid w:val="00EE08F5"/>
    <w:rsid w:val="00EE153C"/>
    <w:rsid w:val="00EE30D2"/>
    <w:rsid w:val="00EE5CE9"/>
    <w:rsid w:val="00EF1ED5"/>
    <w:rsid w:val="00EF2ED6"/>
    <w:rsid w:val="00EF4D17"/>
    <w:rsid w:val="00EF6B28"/>
    <w:rsid w:val="00EF7D17"/>
    <w:rsid w:val="00F07676"/>
    <w:rsid w:val="00F07DC2"/>
    <w:rsid w:val="00F1001D"/>
    <w:rsid w:val="00F1657E"/>
    <w:rsid w:val="00F1770B"/>
    <w:rsid w:val="00F2178A"/>
    <w:rsid w:val="00F2343A"/>
    <w:rsid w:val="00F3053C"/>
    <w:rsid w:val="00F31534"/>
    <w:rsid w:val="00F32574"/>
    <w:rsid w:val="00F344ED"/>
    <w:rsid w:val="00F3549C"/>
    <w:rsid w:val="00F44637"/>
    <w:rsid w:val="00F45389"/>
    <w:rsid w:val="00F46398"/>
    <w:rsid w:val="00F464D3"/>
    <w:rsid w:val="00F4708B"/>
    <w:rsid w:val="00F5274A"/>
    <w:rsid w:val="00F53B53"/>
    <w:rsid w:val="00F55B9E"/>
    <w:rsid w:val="00F562AF"/>
    <w:rsid w:val="00F612DC"/>
    <w:rsid w:val="00F66A72"/>
    <w:rsid w:val="00F70A50"/>
    <w:rsid w:val="00F70E82"/>
    <w:rsid w:val="00F75079"/>
    <w:rsid w:val="00F7667E"/>
    <w:rsid w:val="00F77C60"/>
    <w:rsid w:val="00F80CF6"/>
    <w:rsid w:val="00F83F9F"/>
    <w:rsid w:val="00F8521C"/>
    <w:rsid w:val="00F86466"/>
    <w:rsid w:val="00F8666D"/>
    <w:rsid w:val="00F91340"/>
    <w:rsid w:val="00F92D09"/>
    <w:rsid w:val="00F96AD5"/>
    <w:rsid w:val="00FA0A04"/>
    <w:rsid w:val="00FA47E2"/>
    <w:rsid w:val="00FA6706"/>
    <w:rsid w:val="00FB1DCE"/>
    <w:rsid w:val="00FB2F77"/>
    <w:rsid w:val="00FB55E9"/>
    <w:rsid w:val="00FB59DF"/>
    <w:rsid w:val="00FB68FF"/>
    <w:rsid w:val="00FB767E"/>
    <w:rsid w:val="00FC4E72"/>
    <w:rsid w:val="00FC4F62"/>
    <w:rsid w:val="00FC716A"/>
    <w:rsid w:val="00FC7D8B"/>
    <w:rsid w:val="00FD27EA"/>
    <w:rsid w:val="00FD3A3C"/>
    <w:rsid w:val="00FD46F4"/>
    <w:rsid w:val="00FD4EB1"/>
    <w:rsid w:val="00FD677B"/>
    <w:rsid w:val="00FD7EE2"/>
    <w:rsid w:val="00FE2C5E"/>
    <w:rsid w:val="00FE705A"/>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CEC"/>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CC0F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224602">
      <w:bodyDiv w:val="1"/>
      <w:marLeft w:val="0"/>
      <w:marRight w:val="0"/>
      <w:marTop w:val="0"/>
      <w:marBottom w:val="0"/>
      <w:divBdr>
        <w:top w:val="none" w:sz="0" w:space="0" w:color="auto"/>
        <w:left w:val="none" w:sz="0" w:space="0" w:color="auto"/>
        <w:bottom w:val="none" w:sz="0" w:space="0" w:color="auto"/>
        <w:right w:val="none" w:sz="0" w:space="0" w:color="auto"/>
      </w:divBdr>
    </w:div>
    <w:div w:id="446966668">
      <w:bodyDiv w:val="1"/>
      <w:marLeft w:val="0"/>
      <w:marRight w:val="0"/>
      <w:marTop w:val="0"/>
      <w:marBottom w:val="0"/>
      <w:divBdr>
        <w:top w:val="none" w:sz="0" w:space="0" w:color="auto"/>
        <w:left w:val="none" w:sz="0" w:space="0" w:color="auto"/>
        <w:bottom w:val="none" w:sz="0" w:space="0" w:color="auto"/>
        <w:right w:val="none" w:sz="0" w:space="0" w:color="auto"/>
      </w:divBdr>
    </w:div>
    <w:div w:id="453212118">
      <w:bodyDiv w:val="1"/>
      <w:marLeft w:val="0"/>
      <w:marRight w:val="0"/>
      <w:marTop w:val="0"/>
      <w:marBottom w:val="0"/>
      <w:divBdr>
        <w:top w:val="none" w:sz="0" w:space="0" w:color="auto"/>
        <w:left w:val="none" w:sz="0" w:space="0" w:color="auto"/>
        <w:bottom w:val="none" w:sz="0" w:space="0" w:color="auto"/>
        <w:right w:val="none" w:sz="0" w:space="0" w:color="auto"/>
      </w:divBdr>
    </w:div>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704477049">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3062562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48807208">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633634811">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88044126">
      <w:bodyDiv w:val="1"/>
      <w:marLeft w:val="0"/>
      <w:marRight w:val="0"/>
      <w:marTop w:val="0"/>
      <w:marBottom w:val="0"/>
      <w:divBdr>
        <w:top w:val="none" w:sz="0" w:space="0" w:color="auto"/>
        <w:left w:val="none" w:sz="0" w:space="0" w:color="auto"/>
        <w:bottom w:val="none" w:sz="0" w:space="0" w:color="auto"/>
        <w:right w:val="none" w:sz="0" w:space="0" w:color="auto"/>
      </w:divBdr>
    </w:div>
    <w:div w:id="19999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F37D-9E84-430C-A0E0-E613FB5D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9732</Words>
  <Characters>53532</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2020-03-12T20:27:00Z</cp:lastPrinted>
  <dcterms:created xsi:type="dcterms:W3CDTF">2020-04-23T07:13:00Z</dcterms:created>
  <dcterms:modified xsi:type="dcterms:W3CDTF">2020-04-23T07:13:00Z</dcterms:modified>
</cp:coreProperties>
</file>