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4E" w:rsidRPr="00E42755" w:rsidRDefault="00DC5C4E" w:rsidP="00921942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7653D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D47375">
        <w:rPr>
          <w:rFonts w:ascii="Palatino Linotype" w:hAnsi="Palatino Linotype" w:cs="Arial"/>
          <w:b/>
        </w:rPr>
        <w:t xml:space="preserve">DÉCIMA </w:t>
      </w:r>
      <w:r w:rsidR="00B81345">
        <w:rPr>
          <w:rFonts w:ascii="Palatino Linotype" w:hAnsi="Palatino Linotype" w:cs="Arial"/>
          <w:b/>
        </w:rPr>
        <w:t>NOVENA</w:t>
      </w:r>
      <w:r>
        <w:rPr>
          <w:rFonts w:ascii="Palatino Linotype" w:hAnsi="Palatino Linotype" w:cs="Arial"/>
          <w:b/>
        </w:rPr>
        <w:t xml:space="preserve"> </w:t>
      </w:r>
      <w:r w:rsidRPr="0007653D">
        <w:rPr>
          <w:rFonts w:ascii="Palatino Linotype" w:hAnsi="Palatino Linotype" w:cs="Arial"/>
          <w:b/>
        </w:rPr>
        <w:t xml:space="preserve">SESIÓN ORDINARIA DE </w:t>
      </w:r>
      <w:r w:rsidR="00B81345">
        <w:rPr>
          <w:rFonts w:ascii="Palatino Linotype" w:hAnsi="Palatino Linotype" w:cs="Arial"/>
          <w:b/>
        </w:rPr>
        <w:t>VEINTIDÓS</w:t>
      </w:r>
      <w:r w:rsidR="00D47375">
        <w:rPr>
          <w:rFonts w:ascii="Palatino Linotype" w:hAnsi="Palatino Linotype" w:cs="Arial"/>
          <w:b/>
        </w:rPr>
        <w:t xml:space="preserve"> DE MAYO</w:t>
      </w:r>
      <w:r w:rsidR="0008364B">
        <w:rPr>
          <w:rFonts w:ascii="Palatino Linotype" w:hAnsi="Palatino Linotype" w:cs="Arial"/>
          <w:b/>
        </w:rPr>
        <w:t xml:space="preserve"> </w:t>
      </w:r>
      <w:r w:rsidR="005912F1">
        <w:rPr>
          <w:rFonts w:ascii="Palatino Linotype" w:hAnsi="Palatino Linotype" w:cs="Arial"/>
          <w:b/>
        </w:rPr>
        <w:t>DE DOS MIL DIECI</w:t>
      </w:r>
      <w:r w:rsidR="0028076C">
        <w:rPr>
          <w:rFonts w:ascii="Palatino Linotype" w:hAnsi="Palatino Linotype" w:cs="Arial"/>
          <w:b/>
        </w:rPr>
        <w:t>NUEVE</w:t>
      </w:r>
      <w:r w:rsidRPr="0007653D">
        <w:rPr>
          <w:rFonts w:ascii="Palatino Linotype" w:hAnsi="Palatino Linotype" w:cs="Arial"/>
          <w:b/>
        </w:rPr>
        <w:t>, EN EL RECURSO DE REVISIÓN 0</w:t>
      </w:r>
      <w:r w:rsidR="00B81345">
        <w:rPr>
          <w:rFonts w:ascii="Palatino Linotype" w:hAnsi="Palatino Linotype" w:cs="Arial"/>
          <w:b/>
        </w:rPr>
        <w:t>1416</w:t>
      </w:r>
      <w:r w:rsidR="00D47375">
        <w:rPr>
          <w:rFonts w:ascii="Palatino Linotype" w:hAnsi="Palatino Linotype" w:cs="Arial"/>
          <w:b/>
        </w:rPr>
        <w:t>/INFOEM/IP/RR/2019</w:t>
      </w:r>
      <w:r w:rsidRPr="00E42755">
        <w:rPr>
          <w:rFonts w:ascii="Palatino Linotype" w:eastAsia="Calibri" w:hAnsi="Palatino Linotype" w:cs="Arial"/>
          <w:b/>
          <w:color w:val="000000"/>
        </w:rPr>
        <w:t>.</w:t>
      </w:r>
    </w:p>
    <w:p w:rsidR="00DC5C4E" w:rsidRPr="00E42755" w:rsidRDefault="00DC5C4E" w:rsidP="00921942">
      <w:pPr>
        <w:widowControl w:val="0"/>
        <w:tabs>
          <w:tab w:val="left" w:pos="1740"/>
        </w:tabs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</w:t>
      </w:r>
      <w:r w:rsidR="00A32D0F">
        <w:rPr>
          <w:rFonts w:ascii="Palatino Linotype" w:hAnsi="Palatino Linotype" w:cs="Arial"/>
        </w:rPr>
        <w:t>,</w:t>
      </w:r>
      <w:r w:rsidRPr="00E42755">
        <w:rPr>
          <w:rFonts w:ascii="Palatino Linotype" w:hAnsi="Palatino Linotype" w:cs="Arial"/>
        </w:rPr>
        <w:t xml:space="preserve">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 xml:space="preserve">respecto de la resolución dictada en el recurso de revisión </w:t>
      </w:r>
      <w:r w:rsidRPr="00E42755">
        <w:rPr>
          <w:rFonts w:ascii="Palatino Linotype" w:eastAsia="Calibri" w:hAnsi="Palatino Linotype" w:cs="Arial"/>
          <w:b/>
          <w:color w:val="000000"/>
        </w:rPr>
        <w:t>0</w:t>
      </w:r>
      <w:r w:rsidR="00561D1D">
        <w:rPr>
          <w:rFonts w:ascii="Palatino Linotype" w:eastAsia="Calibri" w:hAnsi="Palatino Linotype" w:cs="Arial"/>
          <w:b/>
          <w:color w:val="000000"/>
        </w:rPr>
        <w:t>1416</w:t>
      </w:r>
      <w:r w:rsidR="00AD7F4F">
        <w:rPr>
          <w:rFonts w:ascii="Palatino Linotype" w:eastAsia="Calibri" w:hAnsi="Palatino Linotype" w:cs="Arial"/>
          <w:b/>
          <w:color w:val="000000"/>
        </w:rPr>
        <w:t>/</w:t>
      </w:r>
      <w:r w:rsidRPr="00E42755">
        <w:rPr>
          <w:rFonts w:ascii="Palatino Linotype" w:eastAsia="Calibri" w:hAnsi="Palatino Linotype" w:cs="Arial"/>
          <w:b/>
          <w:color w:val="000000"/>
        </w:rPr>
        <w:t>INFOEM/IP/RR/201</w:t>
      </w:r>
      <w:r w:rsidR="00D47375">
        <w:rPr>
          <w:rFonts w:ascii="Palatino Linotype" w:eastAsia="Calibri" w:hAnsi="Palatino Linotype" w:cs="Arial"/>
          <w:b/>
          <w:color w:val="000000"/>
        </w:rPr>
        <w:t>9</w:t>
      </w:r>
      <w:r w:rsidRPr="00E42755">
        <w:rPr>
          <w:rFonts w:ascii="Palatino Linotype" w:hAnsi="Palatino Linotype" w:cs="Arial"/>
        </w:rPr>
        <w:t>, pronunciada por el Pleno de este Instituto ante el proyecto presentado por</w:t>
      </w:r>
      <w:r w:rsidR="00B851D8">
        <w:rPr>
          <w:rFonts w:ascii="Palatino Linotype" w:hAnsi="Palatino Linotype" w:cs="Arial"/>
        </w:rPr>
        <w:t xml:space="preserve"> </w:t>
      </w:r>
      <w:proofErr w:type="spellStart"/>
      <w:r w:rsidR="00B851D8">
        <w:rPr>
          <w:rFonts w:ascii="Palatino Linotype" w:hAnsi="Palatino Linotype" w:cs="Arial"/>
        </w:rPr>
        <w:t>returno</w:t>
      </w:r>
      <w:proofErr w:type="spellEnd"/>
      <w:r w:rsidR="00B851D8">
        <w:rPr>
          <w:rFonts w:ascii="Palatino Linotype" w:hAnsi="Palatino Linotype" w:cs="Arial"/>
        </w:rPr>
        <w:t xml:space="preserve"> por</w:t>
      </w:r>
      <w:r w:rsidRPr="00E42755">
        <w:rPr>
          <w:rFonts w:ascii="Palatino Linotype" w:hAnsi="Palatino Linotype" w:cs="Arial"/>
        </w:rPr>
        <w:t xml:space="preserve"> </w:t>
      </w:r>
      <w:r w:rsidR="00B851D8">
        <w:rPr>
          <w:rFonts w:ascii="Palatino Linotype" w:hAnsi="Palatino Linotype" w:cs="Arial"/>
        </w:rPr>
        <w:t>la Comisionada Presidenta</w:t>
      </w:r>
      <w:r w:rsidR="005912F1">
        <w:rPr>
          <w:rFonts w:ascii="Palatino Linotype" w:hAnsi="Palatino Linotype" w:cs="Arial"/>
        </w:rPr>
        <w:t xml:space="preserve"> </w:t>
      </w:r>
      <w:r w:rsidR="00B851D8">
        <w:rPr>
          <w:rFonts w:ascii="Palatino Linotype" w:hAnsi="Palatino Linotype" w:cs="Arial"/>
          <w:b/>
        </w:rPr>
        <w:t>ZULEMA MARTÍNEZ SÁNCHEZ</w:t>
      </w:r>
      <w:r w:rsidRPr="0007653D">
        <w:rPr>
          <w:rFonts w:ascii="Palatino Linotype" w:hAnsi="Palatino Linotype" w:cs="Arial"/>
        </w:rPr>
        <w:t xml:space="preserve">, </w:t>
      </w:r>
      <w:r w:rsidRPr="00E42755">
        <w:rPr>
          <w:rFonts w:ascii="Palatino Linotype" w:hAnsi="Palatino Linotype" w:cs="Arial"/>
        </w:rPr>
        <w:t>que es del tenor siguiente</w:t>
      </w:r>
      <w:r w:rsidR="0023402B">
        <w:rPr>
          <w:rFonts w:ascii="Palatino Linotype" w:hAnsi="Palatino Linotype" w:cs="Arial"/>
        </w:rPr>
        <w:t>.</w:t>
      </w:r>
    </w:p>
    <w:p w:rsidR="00B058E5" w:rsidRDefault="00DC5C4E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 xml:space="preserve">e esencialmente el estudio realizado en la resolución del </w:t>
      </w:r>
      <w:r w:rsidRPr="00D93A88">
        <w:rPr>
          <w:rFonts w:ascii="Palatino Linotype" w:hAnsi="Palatino Linotype"/>
        </w:rPr>
        <w:t>recurso de revis</w:t>
      </w:r>
      <w:r>
        <w:rPr>
          <w:rFonts w:ascii="Palatino Linotype" w:hAnsi="Palatino Linotype"/>
        </w:rPr>
        <w:t xml:space="preserve">ión; empero, </w:t>
      </w:r>
      <w:r w:rsidRPr="00D93A88">
        <w:rPr>
          <w:rFonts w:ascii="Palatino Linotype" w:hAnsi="Palatino Linotype"/>
        </w:rPr>
        <w:t>consider</w:t>
      </w:r>
      <w:r>
        <w:rPr>
          <w:rFonts w:ascii="Palatino Linotype" w:hAnsi="Palatino Linotype"/>
        </w:rPr>
        <w:t>o</w:t>
      </w:r>
      <w:r w:rsidRPr="00D93A88">
        <w:rPr>
          <w:rFonts w:ascii="Palatino Linotype" w:hAnsi="Palatino Linotype"/>
        </w:rPr>
        <w:t xml:space="preserve"> necesario </w:t>
      </w:r>
      <w:r w:rsidR="002736FF">
        <w:rPr>
          <w:rFonts w:ascii="Palatino Linotype" w:hAnsi="Palatino Linotype"/>
        </w:rPr>
        <w:t>precisar algunas cuestiones</w:t>
      </w:r>
      <w:r w:rsidRPr="00D93A88">
        <w:rPr>
          <w:rFonts w:ascii="Palatino Linotype" w:hAnsi="Palatino Linotype"/>
        </w:rPr>
        <w:t xml:space="preserve"> de hecho y de derecho</w:t>
      </w:r>
      <w:r>
        <w:rPr>
          <w:rFonts w:ascii="Palatino Linotype" w:hAnsi="Palatino Linotype"/>
        </w:rPr>
        <w:t>, tocante a</w:t>
      </w:r>
      <w:r w:rsidR="009F03BA">
        <w:rPr>
          <w:rFonts w:ascii="Palatino Linotype" w:hAnsi="Palatino Linotype"/>
        </w:rPr>
        <w:t xml:space="preserve"> </w:t>
      </w:r>
      <w:r w:rsidR="00AD7F4F">
        <w:rPr>
          <w:rFonts w:ascii="Palatino Linotype" w:hAnsi="Palatino Linotype"/>
        </w:rPr>
        <w:t>l</w:t>
      </w:r>
      <w:r w:rsidR="009F03BA">
        <w:rPr>
          <w:rFonts w:ascii="Palatino Linotype" w:hAnsi="Palatino Linotype"/>
        </w:rPr>
        <w:t xml:space="preserve">a </w:t>
      </w:r>
      <w:r w:rsidR="00D47375">
        <w:rPr>
          <w:rFonts w:ascii="Palatino Linotype" w:hAnsi="Palatino Linotype"/>
        </w:rPr>
        <w:t>temporalidad</w:t>
      </w:r>
      <w:r w:rsidR="0028076C">
        <w:rPr>
          <w:rFonts w:ascii="Palatino Linotype" w:hAnsi="Palatino Linotype"/>
        </w:rPr>
        <w:t xml:space="preserve"> de la información </w:t>
      </w:r>
      <w:r w:rsidR="009F03BA">
        <w:rPr>
          <w:rFonts w:ascii="Palatino Linotype" w:hAnsi="Palatino Linotype"/>
        </w:rPr>
        <w:t xml:space="preserve">que se ordena </w:t>
      </w:r>
      <w:r w:rsidR="0028076C">
        <w:rPr>
          <w:rFonts w:ascii="Palatino Linotype" w:hAnsi="Palatino Linotype"/>
        </w:rPr>
        <w:t xml:space="preserve">su entrega </w:t>
      </w:r>
      <w:r w:rsidR="009F03BA">
        <w:rPr>
          <w:rFonts w:ascii="Palatino Linotype" w:hAnsi="Palatino Linotype"/>
        </w:rPr>
        <w:t>en la</w:t>
      </w:r>
      <w:r>
        <w:rPr>
          <w:rFonts w:ascii="Palatino Linotype" w:hAnsi="Palatino Linotype"/>
        </w:rPr>
        <w:t xml:space="preserve"> resolución correspondiente</w:t>
      </w:r>
      <w:r w:rsidRPr="00D93A88">
        <w:rPr>
          <w:rFonts w:ascii="Palatino Linotype" w:hAnsi="Palatino Linotype"/>
        </w:rPr>
        <w:t>.</w:t>
      </w:r>
    </w:p>
    <w:p w:rsidR="00D47375" w:rsidRDefault="00DC5C4E" w:rsidP="00D47375">
      <w:pPr>
        <w:tabs>
          <w:tab w:val="left" w:pos="0"/>
          <w:tab w:val="left" w:pos="426"/>
        </w:tabs>
        <w:spacing w:line="360" w:lineRule="auto"/>
        <w:jc w:val="both"/>
        <w:rPr>
          <w:rFonts w:ascii="Palatino Linotype" w:eastAsia="MS Mincho" w:hAnsi="Palatino Linotype" w:cs="Arial"/>
        </w:rPr>
      </w:pPr>
      <w:r w:rsidRPr="00D47375">
        <w:rPr>
          <w:rFonts w:ascii="Palatino Linotype" w:hAnsi="Palatino Linotype"/>
        </w:rPr>
        <w:t xml:space="preserve">Al respecto, tal y como quedó debidamente asentado en la resolución materia del presente voto, el particular </w:t>
      </w:r>
      <w:r w:rsidR="007B2574" w:rsidRPr="00D47375">
        <w:rPr>
          <w:rFonts w:ascii="Palatino Linotype" w:hAnsi="Palatino Linotype"/>
        </w:rPr>
        <w:t>requirió del</w:t>
      </w:r>
      <w:r w:rsidR="00017A8B" w:rsidRPr="00D47375">
        <w:rPr>
          <w:rFonts w:ascii="Palatino Linotype" w:hAnsi="Palatino Linotype"/>
        </w:rPr>
        <w:t xml:space="preserve"> </w:t>
      </w:r>
      <w:r w:rsidR="0008364B" w:rsidRPr="00D47375">
        <w:rPr>
          <w:rFonts w:ascii="Palatino Linotype" w:hAnsi="Palatino Linotype"/>
        </w:rPr>
        <w:t xml:space="preserve"> </w:t>
      </w:r>
      <w:r w:rsidR="009C0FF6" w:rsidRPr="009C0FF6">
        <w:rPr>
          <w:rFonts w:ascii="Palatino Linotype" w:hAnsi="Palatino Linotype"/>
          <w:b/>
          <w:bCs/>
          <w:color w:val="000000"/>
          <w:szCs w:val="22"/>
        </w:rPr>
        <w:t>Ayuntamiento de Tecámac</w:t>
      </w:r>
      <w:r w:rsidR="000A2370" w:rsidRPr="00D47375">
        <w:rPr>
          <w:rFonts w:ascii="Palatino Linotype" w:hAnsi="Palatino Linotype"/>
        </w:rPr>
        <w:t xml:space="preserve">, en lo subsecuente </w:t>
      </w:r>
      <w:r w:rsidR="00040986" w:rsidRPr="00D47375">
        <w:rPr>
          <w:rFonts w:ascii="Palatino Linotype" w:hAnsi="Palatino Linotype"/>
          <w:b/>
        </w:rPr>
        <w:t xml:space="preserve">EL </w:t>
      </w:r>
      <w:r w:rsidRPr="00D47375">
        <w:rPr>
          <w:rFonts w:ascii="Palatino Linotype" w:hAnsi="Palatino Linotype"/>
          <w:b/>
        </w:rPr>
        <w:t>SUJETO OBLIGADO</w:t>
      </w:r>
      <w:r w:rsidR="00D47375" w:rsidRPr="00D47375">
        <w:rPr>
          <w:rFonts w:ascii="Palatino Linotype" w:eastAsia="MS Mincho" w:hAnsi="Palatino Linotype" w:cs="Arial"/>
        </w:rPr>
        <w:t>,</w:t>
      </w:r>
      <w:r w:rsidR="00D47375" w:rsidRPr="00D47375">
        <w:rPr>
          <w:rFonts w:ascii="Palatino Linotype" w:eastAsia="MS Mincho" w:hAnsi="Palatino Linotype" w:cs="Arial"/>
          <w:b/>
        </w:rPr>
        <w:t xml:space="preserve"> </w:t>
      </w:r>
      <w:r w:rsidR="00D47375" w:rsidRPr="00D47375">
        <w:rPr>
          <w:rFonts w:ascii="Palatino Linotype" w:eastAsia="MS Mincho" w:hAnsi="Palatino Linotype" w:cs="Arial"/>
        </w:rPr>
        <w:t>lo siguiente:</w:t>
      </w:r>
    </w:p>
    <w:p w:rsidR="009C0FF6" w:rsidRDefault="009C0FF6" w:rsidP="009C0FF6">
      <w:pPr>
        <w:tabs>
          <w:tab w:val="left" w:pos="4667"/>
        </w:tabs>
        <w:ind w:left="851" w:right="757"/>
        <w:jc w:val="both"/>
        <w:rPr>
          <w:rFonts w:ascii="Palatino Linotype" w:hAnsi="Palatino Linotype" w:cs="Tahoma"/>
          <w:bCs/>
          <w:sz w:val="22"/>
          <w:szCs w:val="22"/>
        </w:rPr>
      </w:pPr>
      <w:r>
        <w:rPr>
          <w:rFonts w:ascii="Palatino Linotype" w:hAnsi="Palatino Linotype" w:cs="Tahoma"/>
          <w:bCs/>
          <w:i/>
          <w:sz w:val="22"/>
          <w:szCs w:val="22"/>
        </w:rPr>
        <w:lastRenderedPageBreak/>
        <w:t>“</w:t>
      </w:r>
      <w:r w:rsidRPr="00CF5FAB">
        <w:rPr>
          <w:rFonts w:ascii="Palatino Linotype" w:hAnsi="Palatino Linotype" w:cs="Tahoma"/>
          <w:bCs/>
          <w:i/>
          <w:sz w:val="22"/>
          <w:szCs w:val="22"/>
        </w:rPr>
        <w:t xml:space="preserve">solicito el </w:t>
      </w:r>
      <w:proofErr w:type="spellStart"/>
      <w:r w:rsidRPr="00CF5FAB">
        <w:rPr>
          <w:rFonts w:ascii="Palatino Linotype" w:hAnsi="Palatino Linotype" w:cs="Tahoma"/>
          <w:bCs/>
          <w:i/>
          <w:sz w:val="22"/>
          <w:szCs w:val="22"/>
        </w:rPr>
        <w:t>numero</w:t>
      </w:r>
      <w:proofErr w:type="spellEnd"/>
      <w:r w:rsidRPr="00CF5FAB">
        <w:rPr>
          <w:rFonts w:ascii="Palatino Linotype" w:hAnsi="Palatino Linotype" w:cs="Tahoma"/>
          <w:bCs/>
          <w:i/>
          <w:sz w:val="22"/>
          <w:szCs w:val="22"/>
        </w:rPr>
        <w:t xml:space="preserve"> total de elementos de seguridad </w:t>
      </w:r>
      <w:proofErr w:type="spellStart"/>
      <w:r w:rsidRPr="00CF5FAB">
        <w:rPr>
          <w:rFonts w:ascii="Palatino Linotype" w:hAnsi="Palatino Linotype" w:cs="Tahoma"/>
          <w:bCs/>
          <w:i/>
          <w:sz w:val="22"/>
          <w:szCs w:val="22"/>
        </w:rPr>
        <w:t>publica</w:t>
      </w:r>
      <w:proofErr w:type="spellEnd"/>
      <w:r w:rsidRPr="00CF5FAB">
        <w:rPr>
          <w:rFonts w:ascii="Palatino Linotype" w:hAnsi="Palatino Linotype" w:cs="Tahoma"/>
          <w:bCs/>
          <w:i/>
          <w:sz w:val="22"/>
          <w:szCs w:val="22"/>
        </w:rPr>
        <w:t xml:space="preserve">, </w:t>
      </w:r>
      <w:proofErr w:type="spellStart"/>
      <w:r w:rsidRPr="00CF5FAB">
        <w:rPr>
          <w:rFonts w:ascii="Palatino Linotype" w:hAnsi="Palatino Linotype" w:cs="Tahoma"/>
          <w:bCs/>
          <w:i/>
          <w:sz w:val="22"/>
          <w:szCs w:val="22"/>
        </w:rPr>
        <w:t>transito</w:t>
      </w:r>
      <w:proofErr w:type="spellEnd"/>
      <w:r w:rsidRPr="00CF5FAB">
        <w:rPr>
          <w:rFonts w:ascii="Palatino Linotype" w:hAnsi="Palatino Linotype" w:cs="Tahoma"/>
          <w:bCs/>
          <w:i/>
          <w:sz w:val="22"/>
          <w:szCs w:val="22"/>
        </w:rPr>
        <w:t xml:space="preserve"> y vialidad municipal, </w:t>
      </w:r>
      <w:proofErr w:type="spellStart"/>
      <w:r w:rsidRPr="00CF5FAB">
        <w:rPr>
          <w:rFonts w:ascii="Palatino Linotype" w:hAnsi="Palatino Linotype" w:cs="Tahoma"/>
          <w:bCs/>
          <w:i/>
          <w:sz w:val="22"/>
          <w:szCs w:val="22"/>
        </w:rPr>
        <w:t>proteccion</w:t>
      </w:r>
      <w:proofErr w:type="spellEnd"/>
      <w:r w:rsidRPr="00CF5FAB">
        <w:rPr>
          <w:rFonts w:ascii="Palatino Linotype" w:hAnsi="Palatino Linotype" w:cs="Tahoma"/>
          <w:bCs/>
          <w:i/>
          <w:sz w:val="22"/>
          <w:szCs w:val="22"/>
        </w:rPr>
        <w:t xml:space="preserve"> civil y bomberos, </w:t>
      </w:r>
      <w:proofErr w:type="spellStart"/>
      <w:r w:rsidRPr="00CF5FAB">
        <w:rPr>
          <w:rFonts w:ascii="Palatino Linotype" w:hAnsi="Palatino Linotype" w:cs="Tahoma"/>
          <w:bCs/>
          <w:i/>
          <w:sz w:val="22"/>
          <w:szCs w:val="22"/>
        </w:rPr>
        <w:t>numero</w:t>
      </w:r>
      <w:proofErr w:type="spellEnd"/>
      <w:r w:rsidRPr="00CF5FAB">
        <w:rPr>
          <w:rFonts w:ascii="Palatino Linotype" w:hAnsi="Palatino Linotype" w:cs="Tahoma"/>
          <w:bCs/>
          <w:i/>
          <w:sz w:val="22"/>
          <w:szCs w:val="22"/>
        </w:rPr>
        <w:t xml:space="preserve"> total de cuadrantes en el Municipio con sus respectivas zonas y colonias del Ayuntamiento de Tecámac</w:t>
      </w:r>
      <w:r>
        <w:rPr>
          <w:rFonts w:ascii="Palatino Linotype" w:hAnsi="Palatino Linotype" w:cs="Tahoma"/>
          <w:bCs/>
          <w:i/>
          <w:sz w:val="22"/>
          <w:szCs w:val="22"/>
        </w:rPr>
        <w:t>”</w:t>
      </w:r>
      <w:r w:rsidRPr="00CF5FAB">
        <w:rPr>
          <w:rFonts w:ascii="Palatino Linotype" w:hAnsi="Palatino Linotype" w:cs="Tahoma"/>
          <w:bCs/>
          <w:i/>
          <w:sz w:val="22"/>
          <w:szCs w:val="22"/>
        </w:rPr>
        <w:t>.</w:t>
      </w:r>
      <w:r w:rsidRPr="00CF5FAB">
        <w:rPr>
          <w:rFonts w:ascii="Palatino Linotype" w:hAnsi="Palatino Linotype" w:cs="Tahoma"/>
          <w:bCs/>
          <w:sz w:val="22"/>
          <w:szCs w:val="22"/>
        </w:rPr>
        <w:t xml:space="preserve"> (</w:t>
      </w:r>
      <w:r w:rsidRPr="00CF5FAB">
        <w:rPr>
          <w:rFonts w:ascii="Palatino Linotype" w:hAnsi="Palatino Linotype" w:cs="Tahoma"/>
          <w:bCs/>
          <w:i/>
          <w:sz w:val="22"/>
          <w:szCs w:val="22"/>
        </w:rPr>
        <w:t>Sic.</w:t>
      </w:r>
      <w:r w:rsidRPr="00CF5FAB">
        <w:rPr>
          <w:rFonts w:ascii="Palatino Linotype" w:hAnsi="Palatino Linotype" w:cs="Tahoma"/>
          <w:bCs/>
          <w:sz w:val="22"/>
          <w:szCs w:val="22"/>
        </w:rPr>
        <w:t>)</w:t>
      </w:r>
    </w:p>
    <w:p w:rsidR="009C0FF6" w:rsidRPr="00CF5FAB" w:rsidRDefault="009C0FF6" w:rsidP="009C0FF6">
      <w:pPr>
        <w:tabs>
          <w:tab w:val="left" w:pos="4667"/>
        </w:tabs>
        <w:ind w:left="851" w:right="757"/>
        <w:jc w:val="both"/>
        <w:rPr>
          <w:rFonts w:ascii="Palatino Linotype" w:hAnsi="Palatino Linotype" w:cs="Tahoma"/>
          <w:bCs/>
          <w:i/>
          <w:sz w:val="22"/>
          <w:szCs w:val="22"/>
        </w:rPr>
      </w:pPr>
    </w:p>
    <w:p w:rsidR="003C4874" w:rsidRDefault="000F4B5B" w:rsidP="003C4874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/>
        </w:rPr>
      </w:pPr>
      <w:r>
        <w:rPr>
          <w:rFonts w:ascii="Palatino Linotype" w:hAnsi="Palatino Linotype" w:cs="Arial"/>
        </w:rPr>
        <w:t xml:space="preserve">Del expediente electrónico del </w:t>
      </w:r>
      <w:r w:rsidRPr="00D87598">
        <w:rPr>
          <w:rFonts w:ascii="Palatino Linotype" w:hAnsi="Palatino Linotype" w:cs="Arial"/>
        </w:rPr>
        <w:t>Sistema de Acceso a la Información Mexiquens</w:t>
      </w:r>
      <w:r>
        <w:rPr>
          <w:rFonts w:ascii="Palatino Linotype" w:hAnsi="Palatino Linotype" w:cs="Arial"/>
        </w:rPr>
        <w:t xml:space="preserve">e, </w:t>
      </w:r>
      <w:r w:rsidRPr="00674996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</w:rPr>
        <w:t xml:space="preserve">se puede apreciar que </w:t>
      </w:r>
      <w:r w:rsidRPr="00B57FE6">
        <w:rPr>
          <w:rFonts w:ascii="Palatino Linotype" w:hAnsi="Palatino Linotype" w:cs="Arial"/>
          <w:b/>
        </w:rPr>
        <w:t>EL SUJETO OBLIGADO</w:t>
      </w:r>
      <w:r w:rsidRPr="00AD7F4F">
        <w:rPr>
          <w:rFonts w:ascii="Palatino Linotype" w:hAnsi="Palatino Linotype" w:cs="Arial"/>
        </w:rPr>
        <w:t xml:space="preserve">, </w:t>
      </w:r>
      <w:r w:rsidR="003C4874">
        <w:rPr>
          <w:rFonts w:ascii="Palatino Linotype" w:eastAsia="Calibri" w:hAnsi="Palatino Linotype"/>
        </w:rPr>
        <w:t xml:space="preserve">mediante respuesta </w:t>
      </w:r>
      <w:r w:rsidR="00C07D30" w:rsidRPr="00C07D30">
        <w:rPr>
          <w:rFonts w:ascii="Palatino Linotype" w:eastAsia="Calibri" w:hAnsi="Palatino Linotype"/>
        </w:rPr>
        <w:t xml:space="preserve">informó, a través de un oficio generado por el Titular de la Unidad Municipal de Protección Civil y Bomberos, que son 61 elementos (57 operativos y 4 Administrativos). De igual manera que cuenta con una subestación en los Héroes Tecámac, y un módulo en los Reyes </w:t>
      </w:r>
      <w:proofErr w:type="spellStart"/>
      <w:r w:rsidR="00C07D30" w:rsidRPr="00C07D30">
        <w:rPr>
          <w:rFonts w:ascii="Palatino Linotype" w:eastAsia="Calibri" w:hAnsi="Palatino Linotype"/>
        </w:rPr>
        <w:t>Acozac</w:t>
      </w:r>
      <w:proofErr w:type="spellEnd"/>
      <w:r w:rsidR="00C07D30" w:rsidRPr="00C07D30">
        <w:rPr>
          <w:rFonts w:ascii="Palatino Linotype" w:eastAsia="Calibri" w:hAnsi="Palatino Linotype"/>
        </w:rPr>
        <w:t>. Asimismo, remitió la relación del personal adscrito a la Unidad de Protección Civil y Bomberos.</w:t>
      </w:r>
    </w:p>
    <w:p w:rsidR="007B2296" w:rsidRDefault="000F4B5B" w:rsidP="003C4874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0F4B5B">
        <w:rPr>
          <w:rFonts w:ascii="Palatino Linotype" w:hAnsi="Palatino Linotype"/>
        </w:rPr>
        <w:t xml:space="preserve">Inconforme con la respuesta, el hoy </w:t>
      </w:r>
      <w:r w:rsidRPr="000F4B5B">
        <w:rPr>
          <w:rFonts w:ascii="Palatino Linotype" w:hAnsi="Palatino Linotype"/>
          <w:b/>
        </w:rPr>
        <w:t>RECURRENTE</w:t>
      </w:r>
      <w:r w:rsidRPr="000F4B5B">
        <w:rPr>
          <w:rFonts w:ascii="Palatino Linotype" w:hAnsi="Palatino Linotype"/>
        </w:rPr>
        <w:t xml:space="preserve"> interpuso el recurso de re</w:t>
      </w:r>
      <w:r w:rsidR="002736FF">
        <w:rPr>
          <w:rFonts w:ascii="Palatino Linotype" w:hAnsi="Palatino Linotype"/>
        </w:rPr>
        <w:t>visión de mérito en donde señaló</w:t>
      </w:r>
      <w:r w:rsidRPr="000F4B5B">
        <w:rPr>
          <w:rFonts w:ascii="Palatino Linotype" w:hAnsi="Palatino Linotype"/>
        </w:rPr>
        <w:t xml:space="preserve"> como razones o motivos de inconformidad lo siguiente:</w:t>
      </w:r>
    </w:p>
    <w:p w:rsidR="007B2296" w:rsidRPr="006661F3" w:rsidRDefault="000F4B5B" w:rsidP="00921942">
      <w:pPr>
        <w:spacing w:before="100" w:beforeAutospacing="1" w:after="100" w:afterAutospacing="1"/>
        <w:ind w:left="851" w:right="757"/>
        <w:jc w:val="both"/>
        <w:rPr>
          <w:rFonts w:ascii="Palatino Linotype" w:hAnsi="Palatino Linotype"/>
          <w:sz w:val="22"/>
          <w:szCs w:val="22"/>
        </w:rPr>
      </w:pPr>
      <w:r w:rsidRPr="000F4B5B">
        <w:rPr>
          <w:rFonts w:ascii="Palatino Linotype" w:hAnsi="Palatino Linotype"/>
          <w:i/>
          <w:color w:val="000000"/>
          <w:sz w:val="22"/>
          <w:szCs w:val="22"/>
        </w:rPr>
        <w:t>“</w:t>
      </w:r>
      <w:r w:rsidR="00C07D30" w:rsidRPr="00C07D30">
        <w:rPr>
          <w:rFonts w:ascii="Palatino Linotype" w:hAnsi="Palatino Linotype"/>
          <w:i/>
          <w:sz w:val="22"/>
          <w:szCs w:val="22"/>
        </w:rPr>
        <w:t xml:space="preserve">falta mencionar la </w:t>
      </w:r>
      <w:proofErr w:type="spellStart"/>
      <w:r w:rsidR="00C07D30" w:rsidRPr="00C07D30">
        <w:rPr>
          <w:rFonts w:ascii="Palatino Linotype" w:hAnsi="Palatino Linotype"/>
          <w:i/>
          <w:sz w:val="22"/>
          <w:szCs w:val="22"/>
        </w:rPr>
        <w:t>relacion</w:t>
      </w:r>
      <w:proofErr w:type="spellEnd"/>
      <w:r w:rsidR="00C07D30" w:rsidRPr="00C07D30">
        <w:rPr>
          <w:rFonts w:ascii="Palatino Linotype" w:hAnsi="Palatino Linotype"/>
          <w:i/>
          <w:sz w:val="22"/>
          <w:szCs w:val="22"/>
        </w:rPr>
        <w:t xml:space="preserve"> de elementos de SEGURIDAD PUBLICA, TRANSITO Y VIALIDAD MUNICIPAL, falta el </w:t>
      </w:r>
      <w:proofErr w:type="spellStart"/>
      <w:r w:rsidR="00C07D30" w:rsidRPr="00C07D30">
        <w:rPr>
          <w:rFonts w:ascii="Palatino Linotype" w:hAnsi="Palatino Linotype"/>
          <w:i/>
          <w:sz w:val="22"/>
          <w:szCs w:val="22"/>
        </w:rPr>
        <w:t>numero</w:t>
      </w:r>
      <w:proofErr w:type="spellEnd"/>
      <w:r w:rsidR="00C07D30" w:rsidRPr="00C07D30">
        <w:rPr>
          <w:rFonts w:ascii="Palatino Linotype" w:hAnsi="Palatino Linotype"/>
          <w:i/>
          <w:sz w:val="22"/>
          <w:szCs w:val="22"/>
        </w:rPr>
        <w:t xml:space="preserve"> total de cuadrantes en el municipio con sus respectivas zonas y colonias de Tecámac. </w:t>
      </w:r>
      <w:proofErr w:type="spellStart"/>
      <w:r w:rsidR="00C07D30" w:rsidRPr="00C07D30">
        <w:rPr>
          <w:rFonts w:ascii="Palatino Linotype" w:hAnsi="Palatino Linotype"/>
          <w:i/>
          <w:sz w:val="22"/>
          <w:szCs w:val="22"/>
        </w:rPr>
        <w:t>Unicamente</w:t>
      </w:r>
      <w:proofErr w:type="spellEnd"/>
      <w:r w:rsidR="00C07D30" w:rsidRPr="00C07D30">
        <w:rPr>
          <w:rFonts w:ascii="Palatino Linotype" w:hAnsi="Palatino Linotype"/>
          <w:i/>
          <w:sz w:val="22"/>
          <w:szCs w:val="22"/>
        </w:rPr>
        <w:t xml:space="preserve"> se entrega </w:t>
      </w:r>
      <w:proofErr w:type="spellStart"/>
      <w:r w:rsidR="00C07D30" w:rsidRPr="00C07D30">
        <w:rPr>
          <w:rFonts w:ascii="Palatino Linotype" w:hAnsi="Palatino Linotype"/>
          <w:i/>
          <w:sz w:val="22"/>
          <w:szCs w:val="22"/>
        </w:rPr>
        <w:t>relacion</w:t>
      </w:r>
      <w:proofErr w:type="spellEnd"/>
      <w:r w:rsidR="00C07D30" w:rsidRPr="00C07D30">
        <w:rPr>
          <w:rFonts w:ascii="Palatino Linotype" w:hAnsi="Palatino Linotype"/>
          <w:i/>
          <w:sz w:val="22"/>
          <w:szCs w:val="22"/>
        </w:rPr>
        <w:t xml:space="preserve"> del personal de </w:t>
      </w:r>
      <w:proofErr w:type="spellStart"/>
      <w:r w:rsidR="00C07D30" w:rsidRPr="00C07D30">
        <w:rPr>
          <w:rFonts w:ascii="Palatino Linotype" w:hAnsi="Palatino Linotype"/>
          <w:i/>
          <w:sz w:val="22"/>
          <w:szCs w:val="22"/>
        </w:rPr>
        <w:t>proteccion</w:t>
      </w:r>
      <w:proofErr w:type="spellEnd"/>
      <w:r w:rsidR="00C07D30" w:rsidRPr="00C07D30">
        <w:rPr>
          <w:rFonts w:ascii="Palatino Linotype" w:hAnsi="Palatino Linotype"/>
          <w:i/>
          <w:sz w:val="22"/>
          <w:szCs w:val="22"/>
        </w:rPr>
        <w:t xml:space="preserve"> civil y bomberos. Anexo documento</w:t>
      </w:r>
      <w:r w:rsidRPr="000F4B5B">
        <w:rPr>
          <w:rFonts w:ascii="Palatino Linotype" w:hAnsi="Palatino Linotype"/>
          <w:i/>
          <w:color w:val="000000"/>
          <w:sz w:val="22"/>
          <w:szCs w:val="22"/>
        </w:rPr>
        <w:t>” (sic)</w:t>
      </w:r>
    </w:p>
    <w:p w:rsidR="00AD7F4F" w:rsidRDefault="00DC5C4E" w:rsidP="00921942">
      <w:pPr>
        <w:spacing w:before="100" w:beforeAutospacing="1" w:after="100" w:afterAutospacing="1" w:line="360" w:lineRule="auto"/>
        <w:ind w:right="49"/>
        <w:jc w:val="both"/>
        <w:rPr>
          <w:rFonts w:ascii="Palatino Linotype" w:eastAsia="Calibri" w:hAnsi="Palatino Linotype" w:cs="Arial"/>
          <w:color w:val="000000" w:themeColor="text1"/>
        </w:rPr>
      </w:pPr>
      <w:r>
        <w:rPr>
          <w:rFonts w:ascii="Palatino Linotype" w:hAnsi="Palatino Linotype" w:cs="Arial"/>
        </w:rPr>
        <w:t>Así, del estudio d</w:t>
      </w:r>
      <w:r>
        <w:rPr>
          <w:rFonts w:ascii="Palatino Linotype" w:hAnsi="Palatino Linotype"/>
        </w:rPr>
        <w:t xml:space="preserve">el </w:t>
      </w:r>
      <w:r w:rsidRPr="00A01905">
        <w:rPr>
          <w:rFonts w:ascii="Palatino Linotype" w:hAnsi="Palatino Linotype"/>
        </w:rPr>
        <w:t>expediente electrónico</w:t>
      </w:r>
      <w:r>
        <w:rPr>
          <w:rFonts w:ascii="Palatino Linotype" w:hAnsi="Palatino Linotype" w:cs="Arial"/>
        </w:rPr>
        <w:t>, l</w:t>
      </w:r>
      <w:r w:rsidR="000F4B5B">
        <w:rPr>
          <w:rFonts w:ascii="Palatino Linotype" w:hAnsi="Palatino Linotype" w:cs="Arial"/>
        </w:rPr>
        <w:t xml:space="preserve">a Ponencia </w:t>
      </w:r>
      <w:proofErr w:type="spellStart"/>
      <w:r w:rsidR="000F4B5B">
        <w:rPr>
          <w:rFonts w:ascii="Palatino Linotype" w:hAnsi="Palatino Linotype" w:cs="Arial"/>
        </w:rPr>
        <w:t>Resolutora</w:t>
      </w:r>
      <w:proofErr w:type="spellEnd"/>
      <w:r w:rsidR="000F4B5B">
        <w:rPr>
          <w:rFonts w:ascii="Palatino Linotype" w:hAnsi="Palatino Linotype" w:cs="Arial"/>
        </w:rPr>
        <w:t xml:space="preserve"> determinó </w:t>
      </w:r>
      <w:r w:rsidR="00C07D30">
        <w:rPr>
          <w:rFonts w:ascii="Palatino Linotype" w:hAnsi="Palatino Linotype" w:cs="Arial"/>
          <w:b/>
        </w:rPr>
        <w:t>MODICAR</w:t>
      </w:r>
      <w:r w:rsidR="00AD7F4F" w:rsidRPr="00AD7F4F">
        <w:rPr>
          <w:rFonts w:ascii="Palatino Linotype" w:hAnsi="Palatino Linotype" w:cs="Arial"/>
        </w:rPr>
        <w:t xml:space="preserve"> la respuesta proporcionada por </w:t>
      </w:r>
      <w:r w:rsidR="009F03BA">
        <w:rPr>
          <w:rFonts w:ascii="Palatino Linotype" w:hAnsi="Palatino Linotype" w:cs="Arial"/>
          <w:b/>
        </w:rPr>
        <w:t>EL SUJETO OBLIGADO</w:t>
      </w:r>
      <w:r w:rsidR="00EE1DA7">
        <w:rPr>
          <w:rFonts w:ascii="Palatino Linotype" w:hAnsi="Palatino Linotype" w:cs="Arial"/>
        </w:rPr>
        <w:t xml:space="preserve"> y</w:t>
      </w:r>
      <w:r w:rsidR="00AD7F4F" w:rsidRPr="00AD7F4F">
        <w:rPr>
          <w:rFonts w:ascii="Palatino Linotype" w:hAnsi="Palatino Linotype" w:cs="Arial"/>
        </w:rPr>
        <w:t xml:space="preserve"> </w:t>
      </w:r>
      <w:r w:rsidR="00AD7F4F">
        <w:rPr>
          <w:rFonts w:ascii="Palatino Linotype" w:hAnsi="Palatino Linotype" w:cs="Arial"/>
        </w:rPr>
        <w:t>ordenar</w:t>
      </w:r>
      <w:r w:rsidR="00AD7F4F" w:rsidRPr="00AD7F4F">
        <w:rPr>
          <w:rFonts w:ascii="Palatino Linotype" w:hAnsi="Palatino Linotype" w:cs="Arial"/>
        </w:rPr>
        <w:t xml:space="preserve"> </w:t>
      </w:r>
      <w:r w:rsidR="002F61B0">
        <w:rPr>
          <w:rFonts w:ascii="Palatino Linotype" w:hAnsi="Palatino Linotype" w:cs="Arial"/>
        </w:rPr>
        <w:t xml:space="preserve">le hiciera </w:t>
      </w:r>
      <w:r w:rsidR="00AD7F4F" w:rsidRPr="00AD7F4F">
        <w:rPr>
          <w:rFonts w:ascii="Palatino Linotype" w:hAnsi="Palatino Linotype" w:cs="Arial"/>
        </w:rPr>
        <w:t xml:space="preserve">entrega </w:t>
      </w:r>
      <w:r w:rsidR="00C07D30" w:rsidRPr="00C07D30">
        <w:rPr>
          <w:rFonts w:ascii="Palatino Linotype" w:hAnsi="Palatino Linotype" w:cs="Arial"/>
        </w:rPr>
        <w:t>de ser el caso en versión pública, vía el Sistema de Acceso a la Información Mexiquense (SAIMEX), el documento que dé cuenta de:</w:t>
      </w:r>
      <w:r>
        <w:rPr>
          <w:rFonts w:ascii="Palatino Linotype" w:eastAsia="Calibri" w:hAnsi="Palatino Linotype" w:cs="Arial"/>
          <w:color w:val="000000" w:themeColor="text1"/>
        </w:rPr>
        <w:t>.</w:t>
      </w:r>
      <w:r w:rsidR="00697966">
        <w:rPr>
          <w:rFonts w:ascii="Palatino Linotype" w:eastAsia="Calibri" w:hAnsi="Palatino Linotype" w:cs="Arial"/>
          <w:color w:val="000000" w:themeColor="text1"/>
        </w:rPr>
        <w:t xml:space="preserve"> </w:t>
      </w:r>
    </w:p>
    <w:p w:rsidR="00C07D30" w:rsidRPr="00C07D30" w:rsidRDefault="00C07D30" w:rsidP="00C07D30">
      <w:pPr>
        <w:pStyle w:val="Prrafodelista"/>
        <w:numPr>
          <w:ilvl w:val="0"/>
          <w:numId w:val="11"/>
        </w:numPr>
        <w:ind w:left="993" w:right="757"/>
        <w:jc w:val="both"/>
        <w:rPr>
          <w:rFonts w:ascii="Palatino Linotype" w:eastAsia="Calibri" w:hAnsi="Palatino Linotype" w:cs="Tahoma"/>
          <w:i/>
          <w:sz w:val="22"/>
          <w:szCs w:val="22"/>
          <w:lang w:eastAsia="es-ES_tradnl"/>
        </w:rPr>
      </w:pPr>
      <w:r w:rsidRPr="00C07D30">
        <w:rPr>
          <w:rFonts w:ascii="Palatino Linotype" w:eastAsia="Calibri" w:hAnsi="Palatino Linotype" w:cs="Tahoma"/>
          <w:i/>
          <w:sz w:val="22"/>
          <w:szCs w:val="22"/>
          <w:lang w:eastAsia="es-ES_tradnl"/>
        </w:rPr>
        <w:t>Número total de elementos de seguridad pública, tránsito y vialidad municipal.</w:t>
      </w:r>
    </w:p>
    <w:p w:rsidR="00C07D30" w:rsidRPr="00C07D30" w:rsidRDefault="00C07D30" w:rsidP="00C07D30">
      <w:pPr>
        <w:pStyle w:val="Prrafodelista"/>
        <w:numPr>
          <w:ilvl w:val="0"/>
          <w:numId w:val="11"/>
        </w:numPr>
        <w:ind w:left="993" w:right="757"/>
        <w:jc w:val="both"/>
        <w:rPr>
          <w:rFonts w:ascii="Palatino Linotype" w:eastAsia="Calibri" w:hAnsi="Palatino Linotype" w:cs="Tahoma"/>
          <w:i/>
          <w:sz w:val="22"/>
          <w:szCs w:val="22"/>
          <w:lang w:eastAsia="es-ES_tradnl"/>
        </w:rPr>
      </w:pPr>
      <w:r w:rsidRPr="00C07D30">
        <w:rPr>
          <w:rFonts w:ascii="Palatino Linotype" w:eastAsia="Calibri" w:hAnsi="Palatino Linotype" w:cs="Tahoma"/>
          <w:i/>
          <w:sz w:val="22"/>
          <w:szCs w:val="22"/>
          <w:lang w:eastAsia="es-ES_tradnl"/>
        </w:rPr>
        <w:t>Total de cuadrantes en el Municipio con sus respectivas zonas y colonias.</w:t>
      </w:r>
    </w:p>
    <w:p w:rsidR="00C07D30" w:rsidRPr="00CF5FAB" w:rsidRDefault="00C07D30" w:rsidP="00C07D30">
      <w:pPr>
        <w:spacing w:line="360" w:lineRule="auto"/>
        <w:jc w:val="both"/>
        <w:rPr>
          <w:rFonts w:ascii="Palatino Linotype" w:eastAsia="Calibri" w:hAnsi="Palatino Linotype" w:cs="Tahoma"/>
          <w:sz w:val="22"/>
          <w:szCs w:val="22"/>
          <w:lang w:eastAsia="es-ES_tradnl"/>
        </w:rPr>
      </w:pPr>
    </w:p>
    <w:p w:rsidR="00C07D30" w:rsidRDefault="00C07D30" w:rsidP="00C07D30">
      <w:pPr>
        <w:shd w:val="clear" w:color="auto" w:fill="FFFFFF" w:themeFill="background1"/>
        <w:ind w:left="709" w:right="1183"/>
        <w:jc w:val="both"/>
        <w:rPr>
          <w:rFonts w:ascii="Palatino Linotype" w:hAnsi="Palatino Linotype" w:cs="Tahoma"/>
          <w:i/>
          <w:sz w:val="22"/>
          <w:szCs w:val="22"/>
        </w:rPr>
      </w:pPr>
      <w:r w:rsidRPr="00C07D30">
        <w:rPr>
          <w:rFonts w:ascii="Palatino Linotype" w:hAnsi="Palatino Linotype" w:cs="Tahoma"/>
          <w:i/>
          <w:sz w:val="22"/>
          <w:szCs w:val="22"/>
        </w:rPr>
        <w:lastRenderedPageBreak/>
        <w:t>Junto con las versiones públicas se deberá entregar el Acuerdo de Clasificación del Comité de Transparencia mediante el cual se funde y motive la eliminación de la información reservada y confidencial, en términos de los artículos 49, fracciones II y VII, 140, fracción IV, 143, fracción I y 149, de la Ley de Transparencia y Acceso a la Información Pública del Estado de México y Municipios.</w:t>
      </w:r>
    </w:p>
    <w:p w:rsidR="00C07D30" w:rsidRPr="00C07D30" w:rsidRDefault="00C07D30" w:rsidP="00C07D30">
      <w:pPr>
        <w:shd w:val="clear" w:color="auto" w:fill="FFFFFF" w:themeFill="background1"/>
        <w:ind w:left="709" w:right="1183"/>
        <w:jc w:val="both"/>
        <w:rPr>
          <w:rFonts w:ascii="Palatino Linotype" w:eastAsia="Calibri" w:hAnsi="Palatino Linotype" w:cs="Tahoma"/>
          <w:i/>
          <w:sz w:val="22"/>
          <w:szCs w:val="22"/>
          <w:lang w:eastAsia="es-ES_tradnl"/>
        </w:rPr>
      </w:pPr>
    </w:p>
    <w:p w:rsidR="00EE1DA7" w:rsidRDefault="00EB4B5E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>Es por ello que</w:t>
      </w:r>
      <w:r w:rsidR="00DC5C4E" w:rsidRPr="004F3DBF">
        <w:rPr>
          <w:rFonts w:ascii="Palatino Linotype" w:hAnsi="Palatino Linotype" w:cs="Arial"/>
          <w:lang w:val="es-MX"/>
        </w:rPr>
        <w:t xml:space="preserve">, la que suscribe reitera, que si bien coincide en términos generales con el estudio de la resolución en comento, difiero respecto </w:t>
      </w:r>
      <w:r w:rsidR="00A32D0F">
        <w:rPr>
          <w:rFonts w:ascii="Palatino Linotype" w:hAnsi="Palatino Linotype" w:cs="Arial"/>
          <w:lang w:val="es-MX"/>
        </w:rPr>
        <w:t>a que</w:t>
      </w:r>
      <w:r w:rsidR="00A04DA7">
        <w:rPr>
          <w:rFonts w:ascii="Palatino Linotype" w:hAnsi="Palatino Linotype" w:cs="Arial"/>
          <w:lang w:val="es-MX"/>
        </w:rPr>
        <w:t xml:space="preserve"> no</w:t>
      </w:r>
      <w:r w:rsidR="00A32D0F">
        <w:rPr>
          <w:rFonts w:ascii="Palatino Linotype" w:hAnsi="Palatino Linotype" w:cs="Arial"/>
          <w:lang w:val="es-MX"/>
        </w:rPr>
        <w:t xml:space="preserve"> se haya ordenado </w:t>
      </w:r>
      <w:r w:rsidR="00A04DA7">
        <w:rPr>
          <w:rFonts w:ascii="Palatino Linotype" w:hAnsi="Palatino Linotype" w:cs="Arial"/>
          <w:lang w:val="es-MX"/>
        </w:rPr>
        <w:t>de manera específica</w:t>
      </w:r>
      <w:r>
        <w:rPr>
          <w:rFonts w:ascii="Palatino Linotype" w:hAnsi="Palatino Linotype" w:cs="Arial"/>
          <w:lang w:val="es-MX"/>
        </w:rPr>
        <w:t xml:space="preserve"> la temporalidad de la información en el </w:t>
      </w:r>
      <w:r w:rsidR="00A04DA7">
        <w:rPr>
          <w:rFonts w:ascii="Palatino Linotype" w:hAnsi="Palatino Linotype" w:cs="Arial"/>
          <w:lang w:val="es-MX"/>
        </w:rPr>
        <w:t xml:space="preserve">resolutivo segundo </w:t>
      </w:r>
      <w:r w:rsidR="00561D1D">
        <w:rPr>
          <w:rFonts w:ascii="Palatino Linotype" w:hAnsi="Palatino Linotype" w:cs="Arial"/>
          <w:lang w:val="es-MX"/>
        </w:rPr>
        <w:t>por lo que hace a los puntos 1 y</w:t>
      </w:r>
      <w:r w:rsidR="00424B23">
        <w:rPr>
          <w:rFonts w:ascii="Palatino Linotype" w:hAnsi="Palatino Linotype" w:cs="Arial"/>
          <w:lang w:val="es-MX"/>
        </w:rPr>
        <w:t xml:space="preserve"> </w:t>
      </w:r>
      <w:r w:rsidR="00561D1D">
        <w:rPr>
          <w:rFonts w:ascii="Palatino Linotype" w:hAnsi="Palatino Linotype" w:cs="Arial"/>
          <w:lang w:val="es-MX"/>
        </w:rPr>
        <w:t>2</w:t>
      </w:r>
      <w:r w:rsidR="00B31789">
        <w:rPr>
          <w:rFonts w:ascii="Palatino Linotype" w:hAnsi="Palatino Linotype" w:cs="Arial"/>
          <w:lang w:val="es-MX"/>
        </w:rPr>
        <w:t>.</w:t>
      </w:r>
    </w:p>
    <w:p w:rsidR="002F61B0" w:rsidRDefault="002F61B0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B6256D">
        <w:rPr>
          <w:rFonts w:ascii="Palatino Linotype" w:hAnsi="Palatino Linotype" w:cs="Arial"/>
          <w:bCs/>
        </w:rPr>
        <w:t>Es necesario recalcar que, la</w:t>
      </w:r>
      <w:r>
        <w:rPr>
          <w:rFonts w:ascii="Palatino Linotype" w:hAnsi="Palatino Linotype" w:cs="Arial"/>
          <w:bCs/>
        </w:rPr>
        <w:t xml:space="preserve"> que suscribe considera</w:t>
      </w:r>
      <w:r w:rsidRPr="00B6256D">
        <w:rPr>
          <w:rFonts w:ascii="Palatino Linotype" w:hAnsi="Palatino Linotype" w:cs="Arial"/>
          <w:bCs/>
        </w:rPr>
        <w:t xml:space="preserve"> </w:t>
      </w:r>
      <w:r>
        <w:rPr>
          <w:rFonts w:ascii="Palatino Linotype" w:hAnsi="Palatino Linotype" w:cs="Arial"/>
          <w:bCs/>
        </w:rPr>
        <w:t xml:space="preserve"> que si bien la </w:t>
      </w:r>
      <w:r w:rsidRPr="00B6256D">
        <w:rPr>
          <w:rFonts w:ascii="Palatino Linotype" w:hAnsi="Palatino Linotype" w:cs="Arial"/>
          <w:bCs/>
        </w:rPr>
        <w:t xml:space="preserve">particular al momento de presentar su solicitud de información no precisó temporalidad alguna respecto de la cual requería la información; </w:t>
      </w:r>
      <w:r>
        <w:rPr>
          <w:rFonts w:ascii="Palatino Linotype" w:hAnsi="Palatino Linotype" w:cs="Arial"/>
          <w:bCs/>
        </w:rPr>
        <w:t xml:space="preserve">la Ponencia </w:t>
      </w:r>
      <w:proofErr w:type="spellStart"/>
      <w:r>
        <w:rPr>
          <w:rFonts w:ascii="Palatino Linotype" w:hAnsi="Palatino Linotype" w:cs="Arial"/>
          <w:bCs/>
        </w:rPr>
        <w:t>Resolutora</w:t>
      </w:r>
      <w:proofErr w:type="spellEnd"/>
      <w:r>
        <w:rPr>
          <w:rFonts w:ascii="Palatino Linotype" w:hAnsi="Palatino Linotype" w:cs="Arial"/>
          <w:bCs/>
        </w:rPr>
        <w:t xml:space="preserve"> debió</w:t>
      </w:r>
      <w:r w:rsidRPr="00B6256D">
        <w:rPr>
          <w:rFonts w:ascii="Palatino Linotype" w:hAnsi="Palatino Linotype" w:cs="Arial"/>
          <w:bCs/>
        </w:rPr>
        <w:t xml:space="preserve"> determina</w:t>
      </w:r>
      <w:r>
        <w:rPr>
          <w:rFonts w:ascii="Palatino Linotype" w:hAnsi="Palatino Linotype" w:cs="Arial"/>
          <w:bCs/>
        </w:rPr>
        <w:t>r el</w:t>
      </w:r>
      <w:r w:rsidRPr="00B6256D">
        <w:rPr>
          <w:rFonts w:ascii="Palatino Linotype" w:hAnsi="Palatino Linotype" w:cs="Arial"/>
          <w:bCs/>
        </w:rPr>
        <w:t xml:space="preserve"> suplir la deficiencia en la solicitud de información en términos de los artículos 13 y 181, párrafo cuarto de la Ley de la materia, a fin de precisar que la temporalidad </w:t>
      </w:r>
      <w:r>
        <w:rPr>
          <w:rFonts w:ascii="Palatino Linotype" w:hAnsi="Palatino Linotype" w:cs="Arial"/>
          <w:bCs/>
        </w:rPr>
        <w:t xml:space="preserve">de la información </w:t>
      </w:r>
      <w:r w:rsidRPr="00B6256D">
        <w:rPr>
          <w:rFonts w:ascii="Palatino Linotype" w:hAnsi="Palatino Linotype" w:cs="Arial"/>
          <w:bCs/>
        </w:rPr>
        <w:t xml:space="preserve">de la cual </w:t>
      </w:r>
      <w:r w:rsidRPr="00B6256D">
        <w:rPr>
          <w:rFonts w:ascii="Palatino Linotype" w:hAnsi="Palatino Linotype" w:cs="Arial"/>
          <w:b/>
          <w:bCs/>
        </w:rPr>
        <w:t xml:space="preserve">EL SUJETO OBLIGADO </w:t>
      </w:r>
      <w:r>
        <w:rPr>
          <w:rFonts w:ascii="Palatino Linotype" w:hAnsi="Palatino Linotype" w:cs="Arial"/>
          <w:bCs/>
        </w:rPr>
        <w:t>debía hacer entrega</w:t>
      </w:r>
      <w:r w:rsidRPr="00B6256D">
        <w:rPr>
          <w:rFonts w:ascii="Palatino Linotype" w:hAnsi="Palatino Linotype" w:cs="Arial"/>
          <w:bCs/>
        </w:rPr>
        <w:t xml:space="preserve"> </w:t>
      </w:r>
      <w:r>
        <w:rPr>
          <w:rFonts w:ascii="Palatino Linotype" w:hAnsi="Palatino Linotype" w:cs="Arial"/>
          <w:bCs/>
        </w:rPr>
        <w:t>correspondería</w:t>
      </w:r>
      <w:r w:rsidRPr="00B6256D">
        <w:rPr>
          <w:rFonts w:ascii="Palatino Linotype" w:hAnsi="Palatino Linotype" w:cs="Arial"/>
          <w:bCs/>
        </w:rPr>
        <w:t xml:space="preserve"> </w:t>
      </w:r>
      <w:r>
        <w:rPr>
          <w:rFonts w:ascii="Palatino Linotype" w:hAnsi="Palatino Linotype" w:cs="Arial"/>
          <w:bCs/>
        </w:rPr>
        <w:t>a la fecha en que fue ingresada la solicitud de información, es decir al 28 de febrero de la presente anualidad.</w:t>
      </w:r>
    </w:p>
    <w:p w:rsidR="00EB4B5E" w:rsidRDefault="00EB4B5E" w:rsidP="00EB4B5E">
      <w:pPr>
        <w:spacing w:line="360" w:lineRule="auto"/>
        <w:jc w:val="both"/>
        <w:rPr>
          <w:rFonts w:ascii="Palatino Linotype" w:hAnsi="Palatino Linotype" w:cs="Arial"/>
          <w:lang w:val="es-MX"/>
        </w:rPr>
      </w:pPr>
      <w:r w:rsidRPr="00057956">
        <w:rPr>
          <w:rFonts w:ascii="Palatino Linotype" w:hAnsi="Palatino Linotype" w:cs="Arial"/>
          <w:lang w:val="es-MX"/>
        </w:rPr>
        <w:t xml:space="preserve">En ese sentido, la que suscribe reitera, que si bien coincide en términos generales con el estudio de la resolución en comento, considero que debió evaluarse la entrega de </w:t>
      </w:r>
      <w:r>
        <w:rPr>
          <w:rFonts w:ascii="Palatino Linotype" w:hAnsi="Palatino Linotype" w:cs="Arial"/>
          <w:lang w:val="es-MX"/>
        </w:rPr>
        <w:t xml:space="preserve">la </w:t>
      </w:r>
      <w:r w:rsidRPr="00057956">
        <w:rPr>
          <w:rFonts w:ascii="Palatino Linotype" w:hAnsi="Palatino Linotype" w:cs="Arial"/>
          <w:lang w:val="es-MX"/>
        </w:rPr>
        <w:t xml:space="preserve">información que </w:t>
      </w:r>
      <w:r>
        <w:rPr>
          <w:rFonts w:ascii="Palatino Linotype" w:hAnsi="Palatino Linotype" w:cs="Arial"/>
          <w:lang w:val="es-MX"/>
        </w:rPr>
        <w:t>diera mayor certeza jurídica al</w:t>
      </w:r>
      <w:r>
        <w:rPr>
          <w:rFonts w:ascii="Palatino Linotype" w:hAnsi="Palatino Linotype" w:cs="Arial"/>
          <w:b/>
          <w:lang w:val="es-MX"/>
        </w:rPr>
        <w:t xml:space="preserve"> R</w:t>
      </w:r>
      <w:r w:rsidRPr="00057956">
        <w:rPr>
          <w:rFonts w:ascii="Palatino Linotype" w:hAnsi="Palatino Linotype" w:cs="Arial"/>
          <w:b/>
          <w:lang w:val="es-MX"/>
        </w:rPr>
        <w:t>ECURRENTE</w:t>
      </w:r>
      <w:r>
        <w:rPr>
          <w:rFonts w:ascii="Palatino Linotype" w:hAnsi="Palatino Linotype" w:cs="Arial"/>
          <w:lang w:val="es-MX"/>
        </w:rPr>
        <w:t>, atendiendo al principio de máxima publicidad que se consagra en el artículo 4</w:t>
      </w:r>
      <w:r w:rsidR="00424B23">
        <w:rPr>
          <w:rFonts w:ascii="Palatino Linotype" w:hAnsi="Palatino Linotype" w:cs="Arial"/>
          <w:lang w:val="es-MX"/>
        </w:rPr>
        <w:t>, así como el numeral 9</w:t>
      </w:r>
      <w:r>
        <w:rPr>
          <w:rFonts w:ascii="Palatino Linotype" w:hAnsi="Palatino Linotype" w:cs="Arial"/>
          <w:lang w:val="es-MX"/>
        </w:rPr>
        <w:t xml:space="preserve"> de la Ley de la materia.</w:t>
      </w:r>
    </w:p>
    <w:p w:rsidR="00EB4B5E" w:rsidRPr="00122905" w:rsidRDefault="00EB4B5E" w:rsidP="00EB4B5E">
      <w:pPr>
        <w:ind w:left="709" w:right="757"/>
        <w:jc w:val="both"/>
        <w:rPr>
          <w:rFonts w:ascii="Palatino Linotype" w:hAnsi="Palatino Linotype" w:cs="Arial"/>
          <w:i/>
          <w:sz w:val="22"/>
          <w:lang w:val="es-MX"/>
        </w:rPr>
      </w:pPr>
      <w:r>
        <w:rPr>
          <w:rFonts w:ascii="Palatino Linotype" w:hAnsi="Palatino Linotype" w:cs="Arial"/>
          <w:b/>
          <w:i/>
          <w:sz w:val="22"/>
          <w:lang w:val="es-MX"/>
        </w:rPr>
        <w:t>“</w:t>
      </w:r>
      <w:r w:rsidRPr="00122905">
        <w:rPr>
          <w:rFonts w:ascii="Palatino Linotype" w:hAnsi="Palatino Linotype" w:cs="Arial"/>
          <w:b/>
          <w:i/>
          <w:sz w:val="22"/>
          <w:lang w:val="es-MX"/>
        </w:rPr>
        <w:t>Artículo 4.</w:t>
      </w:r>
      <w:r w:rsidRPr="00122905">
        <w:rPr>
          <w:rFonts w:ascii="Palatino Linotype" w:hAnsi="Palatino Linotype" w:cs="Arial"/>
          <w:i/>
          <w:sz w:val="22"/>
          <w:lang w:val="es-MX"/>
        </w:rPr>
        <w:t xml:space="preserve"> El derecho humano de acceso a la información pública es la prerrogativa de las personas para buscar, difundir, investigar, recabar, recibir y solicitar información pública, sin necesidad de acreditar personalidad ni interés jurídico.</w:t>
      </w:r>
    </w:p>
    <w:p w:rsidR="00EB4B5E" w:rsidRPr="00122905" w:rsidRDefault="00EB4B5E" w:rsidP="00EB4B5E">
      <w:pPr>
        <w:ind w:left="709" w:right="757"/>
        <w:jc w:val="both"/>
        <w:rPr>
          <w:rFonts w:ascii="Palatino Linotype" w:hAnsi="Palatino Linotype" w:cs="Arial"/>
          <w:i/>
          <w:sz w:val="22"/>
          <w:lang w:val="es-MX"/>
        </w:rPr>
      </w:pPr>
    </w:p>
    <w:p w:rsidR="00EB4B5E" w:rsidRDefault="00EB4B5E" w:rsidP="00EB4B5E">
      <w:pPr>
        <w:ind w:left="709" w:right="757"/>
        <w:jc w:val="both"/>
        <w:rPr>
          <w:rFonts w:ascii="Palatino Linotype" w:hAnsi="Palatino Linotype" w:cs="Arial"/>
          <w:i/>
          <w:sz w:val="22"/>
          <w:lang w:val="es-MX"/>
        </w:rPr>
      </w:pPr>
      <w:r w:rsidRPr="00122905">
        <w:rPr>
          <w:rFonts w:ascii="Palatino Linotype" w:hAnsi="Palatino Linotype" w:cs="Arial"/>
          <w:i/>
          <w:sz w:val="22"/>
          <w:lang w:val="es-MX"/>
        </w:rPr>
        <w:t xml:space="preserve">Toda la información generada, obtenida, adquirida, transformada, administrada o en posesión de los sujetos obligados es pública y accesible de manera permanente a cualquier persona, en los términos y condiciones que se establezcan en los tratados internacionales de los que el Estado mexicano sea parte, en la Ley General, la presente Ley y demás disposiciones de la materia, </w:t>
      </w:r>
      <w:r w:rsidRPr="00122905">
        <w:rPr>
          <w:rFonts w:ascii="Palatino Linotype" w:hAnsi="Palatino Linotype" w:cs="Arial"/>
          <w:b/>
          <w:i/>
          <w:sz w:val="22"/>
          <w:lang w:val="es-MX"/>
        </w:rPr>
        <w:t>privilegiando el principio de máxima publicidad de la información</w:t>
      </w:r>
      <w:r w:rsidRPr="00122905">
        <w:rPr>
          <w:rFonts w:ascii="Palatino Linotype" w:hAnsi="Palatino Linotype" w:cs="Arial"/>
          <w:i/>
          <w:sz w:val="22"/>
          <w:lang w:val="es-MX"/>
        </w:rPr>
        <w:t>. Solo podrá ser clasificada excepcionalmente como reservada temporalmente por razones de interés público, en los términos de las causas legítimas y estrictamente necesarias previstas por esta Ley</w:t>
      </w:r>
      <w:r>
        <w:rPr>
          <w:rFonts w:ascii="Palatino Linotype" w:hAnsi="Palatino Linotype" w:cs="Arial"/>
          <w:i/>
          <w:sz w:val="22"/>
          <w:lang w:val="es-MX"/>
        </w:rPr>
        <w:t xml:space="preserve">…” </w:t>
      </w:r>
    </w:p>
    <w:p w:rsidR="00424B23" w:rsidRPr="00FB66FE" w:rsidRDefault="00424B23" w:rsidP="00424B23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i/>
          <w:color w:val="000000"/>
          <w:sz w:val="22"/>
        </w:rPr>
      </w:pPr>
      <w:r w:rsidRPr="00FB66FE">
        <w:rPr>
          <w:rFonts w:ascii="Palatino Linotype" w:hAnsi="Palatino Linotype"/>
          <w:b/>
          <w:i/>
          <w:color w:val="000000"/>
          <w:sz w:val="22"/>
        </w:rPr>
        <w:t>Artículo 9.</w:t>
      </w:r>
      <w:r w:rsidRPr="00FB66FE">
        <w:rPr>
          <w:rFonts w:ascii="Palatino Linotype" w:hAnsi="Palatino Linotype"/>
          <w:i/>
          <w:color w:val="000000"/>
          <w:sz w:val="22"/>
        </w:rPr>
        <w:t xml:space="preserve"> El Instituto deberá regir su funcionamiento de acuerdo a los siguientes principios:</w:t>
      </w:r>
    </w:p>
    <w:p w:rsidR="00424B23" w:rsidRPr="00827FC6" w:rsidRDefault="00424B23" w:rsidP="00424B23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i/>
          <w:color w:val="000000"/>
          <w:sz w:val="22"/>
        </w:rPr>
      </w:pPr>
      <w:r w:rsidRPr="00FB66FE">
        <w:rPr>
          <w:rFonts w:ascii="Palatino Linotype" w:hAnsi="Palatino Linotype"/>
          <w:b/>
          <w:i/>
          <w:color w:val="000000"/>
          <w:sz w:val="22"/>
        </w:rPr>
        <w:t>I.</w:t>
      </w:r>
      <w:r w:rsidRPr="00FB66FE">
        <w:rPr>
          <w:rFonts w:ascii="Palatino Linotype" w:hAnsi="Palatino Linotype"/>
          <w:b/>
          <w:i/>
          <w:color w:val="000000"/>
          <w:sz w:val="22"/>
        </w:rPr>
        <w:tab/>
        <w:t>Certeza:</w:t>
      </w:r>
      <w:r w:rsidRPr="00FB66FE">
        <w:rPr>
          <w:rFonts w:ascii="Palatino Linotype" w:hAnsi="Palatino Linotype"/>
          <w:i/>
          <w:color w:val="000000"/>
          <w:sz w:val="22"/>
        </w:rPr>
        <w:t xml:space="preserve"> Principio que </w:t>
      </w:r>
      <w:r w:rsidRPr="00424B23">
        <w:rPr>
          <w:rFonts w:ascii="Palatino Linotype" w:hAnsi="Palatino Linotype"/>
          <w:b/>
          <w:i/>
          <w:color w:val="000000"/>
          <w:sz w:val="22"/>
        </w:rPr>
        <w:t>otorga seguridad y certidumbre jurídica a los particulares</w:t>
      </w:r>
      <w:r w:rsidRPr="00FB66FE">
        <w:rPr>
          <w:rFonts w:ascii="Palatino Linotype" w:hAnsi="Palatino Linotype"/>
          <w:i/>
          <w:color w:val="000000"/>
          <w:sz w:val="22"/>
        </w:rPr>
        <w:t>, en virtud de que permite conocer si las acciones del Instituto son apegadas a derecho y garantiza que los procedimientos sean completamente verificables, fidedignos y confiables;</w:t>
      </w:r>
    </w:p>
    <w:p w:rsidR="00EB4B5E" w:rsidRDefault="00EB4B5E" w:rsidP="009374DD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 lo anterior, la que suscribe co</w:t>
      </w:r>
      <w:r w:rsidR="00093DB5">
        <w:rPr>
          <w:rFonts w:ascii="Palatino Linotype" w:hAnsi="Palatino Linotype" w:cs="Arial"/>
        </w:rPr>
        <w:t xml:space="preserve">nsidera que se debieron ordenar </w:t>
      </w:r>
      <w:r w:rsidR="002C081A">
        <w:rPr>
          <w:rFonts w:ascii="Palatino Linotype" w:hAnsi="Palatino Linotype" w:cs="Arial"/>
        </w:rPr>
        <w:t xml:space="preserve">tanto el </w:t>
      </w:r>
      <w:r w:rsidR="00093DB5">
        <w:rPr>
          <w:rFonts w:ascii="Palatino Linotype" w:hAnsi="Palatino Linotype" w:cs="Arial"/>
        </w:rPr>
        <w:t>n</w:t>
      </w:r>
      <w:r w:rsidR="00093DB5" w:rsidRPr="00093DB5">
        <w:rPr>
          <w:rFonts w:ascii="Palatino Linotype" w:hAnsi="Palatino Linotype" w:cs="Arial"/>
        </w:rPr>
        <w:t xml:space="preserve">úmero total de elementos de </w:t>
      </w:r>
      <w:r w:rsidR="00C246B7">
        <w:rPr>
          <w:rFonts w:ascii="Palatino Linotype" w:hAnsi="Palatino Linotype" w:cs="Arial"/>
        </w:rPr>
        <w:t>Seguridad Pública, Tránsito y</w:t>
      </w:r>
      <w:r w:rsidR="00C246B7" w:rsidRPr="00093DB5">
        <w:rPr>
          <w:rFonts w:ascii="Palatino Linotype" w:hAnsi="Palatino Linotype" w:cs="Arial"/>
        </w:rPr>
        <w:t xml:space="preserve"> Vialidad Municipal</w:t>
      </w:r>
      <w:r w:rsidR="002C081A">
        <w:rPr>
          <w:rFonts w:ascii="Palatino Linotype" w:hAnsi="Palatino Linotype" w:cs="Arial"/>
        </w:rPr>
        <w:t>, como el t</w:t>
      </w:r>
      <w:r w:rsidR="002C081A" w:rsidRPr="002C081A">
        <w:rPr>
          <w:rFonts w:ascii="Palatino Linotype" w:hAnsi="Palatino Linotype" w:cs="Arial"/>
        </w:rPr>
        <w:t>otal de cuadrantes en el Municipio con sus respectivas zonas y colonias</w:t>
      </w:r>
      <w:r>
        <w:rPr>
          <w:rFonts w:ascii="Palatino Linotype" w:hAnsi="Palatino Linotype" w:cs="Arial"/>
        </w:rPr>
        <w:t xml:space="preserve"> a la fecha de la s</w:t>
      </w:r>
      <w:r w:rsidR="002C081A">
        <w:rPr>
          <w:rFonts w:ascii="Palatino Linotype" w:hAnsi="Palatino Linotype" w:cs="Arial"/>
        </w:rPr>
        <w:t>olicitud, es decir, el 28</w:t>
      </w:r>
      <w:r>
        <w:rPr>
          <w:rFonts w:ascii="Palatino Linotype" w:hAnsi="Palatino Linotype" w:cs="Arial"/>
        </w:rPr>
        <w:t xml:space="preserve"> de febrero de 2019, ya que no se deja en claro </w:t>
      </w:r>
      <w:r w:rsidR="002C081A">
        <w:rPr>
          <w:rFonts w:ascii="Palatino Linotype" w:hAnsi="Palatino Linotype" w:cs="Arial"/>
        </w:rPr>
        <w:t>h</w:t>
      </w:r>
      <w:r w:rsidR="000B62C3">
        <w:rPr>
          <w:rFonts w:ascii="Palatino Linotype" w:hAnsi="Palatino Linotype" w:cs="Arial"/>
        </w:rPr>
        <w:t>asta que fecha</w:t>
      </w:r>
      <w:r w:rsidR="00C246B7">
        <w:rPr>
          <w:rFonts w:ascii="Palatino Linotype" w:hAnsi="Palatino Linotype" w:cs="Arial"/>
        </w:rPr>
        <w:t xml:space="preserve"> abarca la búsqueda y entrega de la información</w:t>
      </w:r>
      <w:r>
        <w:rPr>
          <w:rFonts w:ascii="Palatino Linotype" w:hAnsi="Palatino Linotype" w:cs="Arial"/>
        </w:rPr>
        <w:t>.</w:t>
      </w:r>
    </w:p>
    <w:p w:rsidR="00EB4B5E" w:rsidRDefault="00EB4B5E" w:rsidP="009374DD">
      <w:pPr>
        <w:spacing w:line="360" w:lineRule="auto"/>
        <w:jc w:val="both"/>
        <w:rPr>
          <w:rFonts w:ascii="Palatino Linotype" w:hAnsi="Palatino Linotype" w:cs="Arial"/>
        </w:rPr>
      </w:pPr>
    </w:p>
    <w:p w:rsidR="00093DB5" w:rsidRDefault="00EB4B5E" w:rsidP="00EB4B5E">
      <w:pPr>
        <w:spacing w:line="360" w:lineRule="auto"/>
        <w:jc w:val="both"/>
        <w:rPr>
          <w:rFonts w:ascii="Palatino Linotype" w:hAnsi="Palatino Linotype" w:cs="Arial"/>
        </w:rPr>
      </w:pPr>
      <w:r w:rsidRPr="00057956">
        <w:rPr>
          <w:rFonts w:ascii="Palatino Linotype" w:hAnsi="Palatino Linotype" w:cs="Arial"/>
          <w:lang w:val="es-MX"/>
        </w:rPr>
        <w:t>En ese sentido, la que suscribe reitera, que si bien comparto en términos generales el estudio de la resolución en comento</w:t>
      </w:r>
      <w:r>
        <w:rPr>
          <w:rFonts w:ascii="Palatino Linotype" w:hAnsi="Palatino Linotype" w:cs="Arial"/>
          <w:lang w:val="es-MX"/>
        </w:rPr>
        <w:t>,</w:t>
      </w:r>
      <w:r w:rsidRPr="00057956">
        <w:rPr>
          <w:rFonts w:ascii="Palatino Linotype" w:hAnsi="Palatino Linotype" w:cs="Arial"/>
          <w:lang w:val="es-MX"/>
        </w:rPr>
        <w:t xml:space="preserve"> </w:t>
      </w:r>
      <w:r w:rsidRPr="00057956">
        <w:rPr>
          <w:rFonts w:ascii="Palatino Linotype" w:hAnsi="Palatino Linotype" w:cs="Arial"/>
        </w:rPr>
        <w:t xml:space="preserve">se emite </w:t>
      </w:r>
      <w:r w:rsidRPr="00057956">
        <w:rPr>
          <w:rFonts w:ascii="Palatino Linotype" w:hAnsi="Palatino Linotype" w:cs="Arial"/>
          <w:b/>
        </w:rPr>
        <w:t>VOTO PARTICULAR</w:t>
      </w:r>
      <w:r w:rsidRPr="00057956">
        <w:rPr>
          <w:rFonts w:ascii="Palatino Linotype" w:hAnsi="Palatino Linotype" w:cs="Arial"/>
          <w:lang w:val="es-MX"/>
        </w:rPr>
        <w:t xml:space="preserve"> </w:t>
      </w:r>
      <w:r>
        <w:rPr>
          <w:rFonts w:ascii="Palatino Linotype" w:hAnsi="Palatino Linotype" w:cs="Arial"/>
          <w:lang w:val="es-MX"/>
        </w:rPr>
        <w:t xml:space="preserve">pues </w:t>
      </w:r>
      <w:r w:rsidRPr="00057956">
        <w:rPr>
          <w:rFonts w:ascii="Palatino Linotype" w:hAnsi="Palatino Linotype" w:cs="Arial"/>
          <w:lang w:val="es-MX"/>
        </w:rPr>
        <w:t xml:space="preserve">considero que la Ponencia </w:t>
      </w:r>
      <w:proofErr w:type="spellStart"/>
      <w:r w:rsidRPr="00057956">
        <w:rPr>
          <w:rFonts w:ascii="Palatino Linotype" w:hAnsi="Palatino Linotype" w:cs="Arial"/>
          <w:lang w:val="es-MX"/>
        </w:rPr>
        <w:t>Resolutora</w:t>
      </w:r>
      <w:proofErr w:type="spellEnd"/>
      <w:r w:rsidRPr="00057956">
        <w:rPr>
          <w:rFonts w:ascii="Palatino Linotype" w:hAnsi="Palatino Linotype" w:cs="Arial"/>
          <w:lang w:val="es-MX"/>
        </w:rPr>
        <w:t xml:space="preserve"> debió pronunciarse respecto </w:t>
      </w:r>
      <w:r>
        <w:rPr>
          <w:rFonts w:ascii="Palatino Linotype" w:hAnsi="Palatino Linotype" w:cs="Arial"/>
          <w:lang w:val="es-MX"/>
        </w:rPr>
        <w:t xml:space="preserve">a que se pudiera colmar lo requerido por el </w:t>
      </w:r>
      <w:r w:rsidRPr="00122905">
        <w:rPr>
          <w:rFonts w:ascii="Palatino Linotype" w:hAnsi="Palatino Linotype" w:cs="Arial"/>
          <w:lang w:val="es-MX"/>
        </w:rPr>
        <w:t>ahora</w:t>
      </w:r>
      <w:r>
        <w:rPr>
          <w:rFonts w:ascii="Palatino Linotype" w:hAnsi="Palatino Linotype" w:cs="Arial"/>
          <w:b/>
          <w:lang w:val="es-MX"/>
        </w:rPr>
        <w:t xml:space="preserve"> </w:t>
      </w:r>
      <w:r w:rsidRPr="00122905">
        <w:rPr>
          <w:rFonts w:ascii="Palatino Linotype" w:hAnsi="Palatino Linotype" w:cs="Arial"/>
          <w:b/>
          <w:lang w:val="es-MX"/>
        </w:rPr>
        <w:t>RECURRENTE</w:t>
      </w:r>
      <w:r>
        <w:rPr>
          <w:rFonts w:ascii="Palatino Linotype" w:hAnsi="Palatino Linotype" w:cs="Arial"/>
          <w:lang w:val="es-MX"/>
        </w:rPr>
        <w:t xml:space="preserve">, a fin de </w:t>
      </w:r>
      <w:r w:rsidRPr="00057956">
        <w:rPr>
          <w:rFonts w:ascii="Palatino Linotype" w:hAnsi="Palatino Linotype" w:cs="Arial"/>
        </w:rPr>
        <w:t>otorga</w:t>
      </w:r>
      <w:r>
        <w:rPr>
          <w:rFonts w:ascii="Palatino Linotype" w:hAnsi="Palatino Linotype" w:cs="Arial"/>
        </w:rPr>
        <w:t>r</w:t>
      </w:r>
      <w:r w:rsidRPr="00057956">
        <w:rPr>
          <w:rFonts w:ascii="Palatino Linotype" w:hAnsi="Palatino Linotype" w:cs="Arial"/>
        </w:rPr>
        <w:t xml:space="preserve"> mayor certeza jurídica </w:t>
      </w:r>
      <w:r>
        <w:rPr>
          <w:rFonts w:ascii="Palatino Linotype" w:hAnsi="Palatino Linotype" w:cs="Arial"/>
        </w:rPr>
        <w:t>a éste</w:t>
      </w:r>
      <w:r w:rsidRPr="00057956">
        <w:rPr>
          <w:rFonts w:ascii="Palatino Linotype" w:hAnsi="Palatino Linotype" w:cs="Arial"/>
        </w:rPr>
        <w:t xml:space="preserve"> de conformidad con lo señalado en el artículo 9 fracción I de la Ley de Transparencia y Acceso a la Información Pública del Estado de México y Municipios</w:t>
      </w:r>
      <w:r>
        <w:rPr>
          <w:rFonts w:ascii="Palatino Linotype" w:hAnsi="Palatino Linotype" w:cs="Arial"/>
        </w:rPr>
        <w:t xml:space="preserve">, ordenando </w:t>
      </w:r>
      <w:r w:rsidR="000B62C3">
        <w:rPr>
          <w:rFonts w:ascii="Palatino Linotype" w:hAnsi="Palatino Linotype" w:cs="Arial"/>
        </w:rPr>
        <w:t>tanto el n</w:t>
      </w:r>
      <w:r w:rsidR="000B62C3" w:rsidRPr="00093DB5">
        <w:rPr>
          <w:rFonts w:ascii="Palatino Linotype" w:hAnsi="Palatino Linotype" w:cs="Arial"/>
        </w:rPr>
        <w:t>úmero total de elementos de seguridad pública, tránsito y vialidad municipal</w:t>
      </w:r>
      <w:r w:rsidR="000B62C3">
        <w:rPr>
          <w:rFonts w:ascii="Palatino Linotype" w:hAnsi="Palatino Linotype" w:cs="Arial"/>
        </w:rPr>
        <w:t>, como el t</w:t>
      </w:r>
      <w:r w:rsidR="000B62C3" w:rsidRPr="002C081A">
        <w:rPr>
          <w:rFonts w:ascii="Palatino Linotype" w:hAnsi="Palatino Linotype" w:cs="Arial"/>
        </w:rPr>
        <w:t>otal de cuadrantes en el Municipio con sus respectivas zonas y colonias</w:t>
      </w:r>
      <w:r w:rsidR="000B62C3">
        <w:rPr>
          <w:rFonts w:ascii="Palatino Linotype" w:hAnsi="Palatino Linotype" w:cs="Arial"/>
        </w:rPr>
        <w:t xml:space="preserve"> a la fecha de la solicitud, es decir, el 28 de febrero de 2019.</w:t>
      </w:r>
    </w:p>
    <w:p w:rsidR="002F61B0" w:rsidRDefault="002F61B0" w:rsidP="00EB4B5E">
      <w:pPr>
        <w:spacing w:line="360" w:lineRule="auto"/>
        <w:jc w:val="both"/>
        <w:rPr>
          <w:rFonts w:ascii="Palatino Linotype" w:hAnsi="Palatino Linotype" w:cs="Arial"/>
        </w:rPr>
      </w:pPr>
    </w:p>
    <w:p w:rsidR="002F61B0" w:rsidRDefault="002F61B0" w:rsidP="00EB4B5E">
      <w:pPr>
        <w:spacing w:line="360" w:lineRule="auto"/>
        <w:jc w:val="both"/>
        <w:rPr>
          <w:rFonts w:ascii="Palatino Linotype" w:hAnsi="Palatino Linotype" w:cs="Arial"/>
        </w:rPr>
      </w:pPr>
    </w:p>
    <w:p w:rsidR="002F61B0" w:rsidRDefault="002F61B0" w:rsidP="00EB4B5E">
      <w:pPr>
        <w:spacing w:line="360" w:lineRule="auto"/>
        <w:jc w:val="both"/>
        <w:rPr>
          <w:rFonts w:ascii="Palatino Linotype" w:hAnsi="Palatino Linotype" w:cs="Arial"/>
        </w:rPr>
      </w:pPr>
    </w:p>
    <w:p w:rsidR="002F61B0" w:rsidRDefault="002F61B0" w:rsidP="00EB4B5E">
      <w:pPr>
        <w:spacing w:line="360" w:lineRule="auto"/>
        <w:jc w:val="both"/>
        <w:rPr>
          <w:rFonts w:ascii="Palatino Linotype" w:hAnsi="Palatino Linotype" w:cs="Arial"/>
        </w:rPr>
      </w:pPr>
    </w:p>
    <w:p w:rsidR="002F61B0" w:rsidRDefault="002F61B0" w:rsidP="00EB4B5E">
      <w:pPr>
        <w:spacing w:line="360" w:lineRule="auto"/>
        <w:jc w:val="both"/>
        <w:rPr>
          <w:rFonts w:ascii="Palatino Linotype" w:hAnsi="Palatino Linotype" w:cs="Arial"/>
        </w:rPr>
      </w:pPr>
    </w:p>
    <w:p w:rsidR="004965EF" w:rsidRDefault="004965EF" w:rsidP="00EB4B5E">
      <w:pPr>
        <w:spacing w:line="360" w:lineRule="auto"/>
        <w:jc w:val="both"/>
        <w:rPr>
          <w:rFonts w:ascii="Palatino Linotype" w:hAnsi="Palatino Linotype" w:cs="Arial"/>
        </w:rPr>
      </w:pPr>
    </w:p>
    <w:p w:rsidR="004965EF" w:rsidRDefault="004965EF" w:rsidP="00EB4B5E">
      <w:pPr>
        <w:spacing w:line="360" w:lineRule="auto"/>
        <w:jc w:val="both"/>
        <w:rPr>
          <w:rFonts w:ascii="Palatino Linotype" w:hAnsi="Palatino Linotype" w:cs="Arial"/>
        </w:rPr>
      </w:pPr>
    </w:p>
    <w:p w:rsidR="004965EF" w:rsidRDefault="004965EF" w:rsidP="00EB4B5E">
      <w:pPr>
        <w:spacing w:line="360" w:lineRule="auto"/>
        <w:jc w:val="both"/>
        <w:rPr>
          <w:rFonts w:ascii="Palatino Linotype" w:hAnsi="Palatino Linotype" w:cs="Arial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9701AB" w:rsidRPr="001950C9">
        <w:trPr>
          <w:jc w:val="center"/>
        </w:trPr>
        <w:tc>
          <w:tcPr>
            <w:tcW w:w="4393" w:type="dxa"/>
          </w:tcPr>
          <w:p w:rsidR="009701AB" w:rsidRPr="001950C9" w:rsidRDefault="009701AB" w:rsidP="00424B23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9701AB" w:rsidRDefault="009701AB" w:rsidP="004965EF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  <w:p w:rsidR="007C1773" w:rsidRPr="001950C9" w:rsidRDefault="001C1392" w:rsidP="004965EF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  <w:bookmarkStart w:id="0" w:name="_GoBack"/>
            <w:bookmarkEnd w:id="0"/>
          </w:p>
        </w:tc>
      </w:tr>
    </w:tbl>
    <w:p w:rsidR="00E2541D" w:rsidRDefault="00E2541D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3B3C95" w:rsidRDefault="003B3C95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2F61B0" w:rsidRDefault="002F61B0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2F61B0" w:rsidRDefault="002F61B0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2F61B0" w:rsidRDefault="002F61B0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2F61B0" w:rsidRDefault="002F61B0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2F61B0" w:rsidRDefault="002F61B0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2F61B0" w:rsidRDefault="002F61B0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2F61B0" w:rsidRDefault="002F61B0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2F61B0" w:rsidRDefault="002F61B0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463EE4" w:rsidRDefault="009701AB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</w:t>
      </w:r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al voto particular emitido en la resolución del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 de revisión 0</w:t>
      </w:r>
      <w:r w:rsidR="000B62C3">
        <w:rPr>
          <w:rFonts w:ascii="Palatino Linotype" w:eastAsia="Calibri" w:hAnsi="Palatino Linotype" w:cs="Arial"/>
          <w:color w:val="000000" w:themeColor="text1"/>
          <w:sz w:val="20"/>
          <w:szCs w:val="20"/>
        </w:rPr>
        <w:t>1416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</w:t>
      </w:r>
      <w:r w:rsidR="00EB4B5E">
        <w:rPr>
          <w:rFonts w:ascii="Palatino Linotype" w:eastAsia="Calibri" w:hAnsi="Palatino Linotype" w:cs="Arial"/>
          <w:color w:val="000000" w:themeColor="text1"/>
          <w:sz w:val="20"/>
          <w:szCs w:val="20"/>
        </w:rPr>
        <w:t>9</w:t>
      </w:r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aprobada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</w:t>
      </w:r>
      <w:r w:rsidR="00101A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0B62C3">
        <w:rPr>
          <w:rFonts w:ascii="Palatino Linotype" w:eastAsia="Calibri" w:hAnsi="Palatino Linotype" w:cs="Arial"/>
          <w:color w:val="000000" w:themeColor="text1"/>
          <w:sz w:val="20"/>
          <w:szCs w:val="20"/>
        </w:rPr>
        <w:t>veintidós</w:t>
      </w:r>
      <w:r w:rsidR="00EB4B5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mayo de dos mil diecinueve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:rsidR="004965EF" w:rsidRPr="004965EF" w:rsidRDefault="004965EF" w:rsidP="00B058E5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4965EF" w:rsidRPr="004965EF" w:rsidRDefault="00EB4B5E" w:rsidP="00B058E5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  <w:r>
        <w:rPr>
          <w:rFonts w:ascii="Palatino Linotype" w:eastAsia="Calibri" w:hAnsi="Palatino Linotype" w:cs="Arial"/>
          <w:color w:val="000000" w:themeColor="text1"/>
          <w:sz w:val="18"/>
          <w:szCs w:val="18"/>
        </w:rPr>
        <w:t>ATU</w:t>
      </w:r>
      <w:r w:rsidR="009701AB" w:rsidRPr="00C60EC0">
        <w:rPr>
          <w:rFonts w:ascii="Palatino Linotype" w:eastAsia="Calibri" w:hAnsi="Palatino Linotype" w:cs="Arial"/>
          <w:color w:val="000000" w:themeColor="text1"/>
          <w:sz w:val="18"/>
          <w:szCs w:val="18"/>
        </w:rPr>
        <w:t>/</w:t>
      </w:r>
      <w:r w:rsidR="006661F3">
        <w:rPr>
          <w:rFonts w:ascii="Palatino Linotype" w:eastAsia="Calibri" w:hAnsi="Palatino Linotype" w:cs="Arial"/>
          <w:color w:val="000000" w:themeColor="text1"/>
          <w:sz w:val="18"/>
          <w:szCs w:val="18"/>
        </w:rPr>
        <w:t>EJCA</w:t>
      </w:r>
    </w:p>
    <w:sectPr w:rsidR="004965EF" w:rsidRPr="004965EF" w:rsidSect="00017A8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F29" w:rsidRDefault="00D55F29" w:rsidP="00E41B3B">
      <w:r>
        <w:separator/>
      </w:r>
    </w:p>
  </w:endnote>
  <w:endnote w:type="continuationSeparator" w:id="0">
    <w:p w:rsidR="00D55F29" w:rsidRDefault="00D55F29" w:rsidP="00E4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5C7C8F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1C1392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1C1392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5C7C8F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F29" w:rsidRDefault="00D55F29" w:rsidP="00E41B3B">
      <w:r>
        <w:separator/>
      </w:r>
    </w:p>
  </w:footnote>
  <w:footnote w:type="continuationSeparator" w:id="0">
    <w:p w:rsidR="00D55F29" w:rsidRDefault="00D55F29" w:rsidP="00E4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1C139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101AC9">
      <w:rPr>
        <w:rFonts w:ascii="Palatino Linotype" w:hAnsi="Palatino Linotype" w:cs="Arial"/>
        <w:sz w:val="20"/>
        <w:szCs w:val="20"/>
      </w:rPr>
      <w:t>0</w:t>
    </w:r>
    <w:r w:rsidR="00B81345">
      <w:rPr>
        <w:rFonts w:ascii="Palatino Linotype" w:hAnsi="Palatino Linotype" w:cs="Arial"/>
        <w:sz w:val="20"/>
        <w:szCs w:val="20"/>
      </w:rPr>
      <w:t>1416</w:t>
    </w:r>
    <w:r>
      <w:rPr>
        <w:rFonts w:ascii="Palatino Linotype" w:hAnsi="Palatino Linotype" w:cs="Arial"/>
        <w:sz w:val="20"/>
        <w:szCs w:val="20"/>
      </w:rPr>
      <w:t>/INFOEM/IP</w:t>
    </w:r>
    <w:r w:rsidRPr="00706042">
      <w:rPr>
        <w:rFonts w:ascii="Palatino Linotype" w:hAnsi="Palatino Linotype" w:cs="Arial"/>
        <w:sz w:val="20"/>
        <w:szCs w:val="20"/>
      </w:rPr>
      <w:t>/RR/201</w:t>
    </w:r>
    <w:r w:rsidR="00D47375">
      <w:rPr>
        <w:rFonts w:ascii="Palatino Linotype" w:hAnsi="Palatino Linotype" w:cs="Arial"/>
        <w:sz w:val="20"/>
        <w:szCs w:val="20"/>
      </w:rPr>
      <w:t>9</w:t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C7C8F" w:rsidRDefault="001C1392" w:rsidP="00DC5C4E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61.3pt;height:92.15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1C139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10D7"/>
    <w:multiLevelType w:val="hybridMultilevel"/>
    <w:tmpl w:val="4B0A3A74"/>
    <w:lvl w:ilvl="0" w:tplc="ED124AB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12741"/>
    <w:multiLevelType w:val="hybridMultilevel"/>
    <w:tmpl w:val="58DC57B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77671"/>
    <w:multiLevelType w:val="hybridMultilevel"/>
    <w:tmpl w:val="01380F20"/>
    <w:lvl w:ilvl="0" w:tplc="95FA2414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>
      <w:start w:val="1"/>
      <w:numFmt w:val="lowerRoman"/>
      <w:lvlText w:val="%3."/>
      <w:lvlJc w:val="right"/>
      <w:pPr>
        <w:ind w:left="2509" w:hanging="180"/>
      </w:pPr>
    </w:lvl>
    <w:lvl w:ilvl="3" w:tplc="080A000F">
      <w:start w:val="1"/>
      <w:numFmt w:val="decimal"/>
      <w:lvlText w:val="%4."/>
      <w:lvlJc w:val="left"/>
      <w:pPr>
        <w:ind w:left="3229" w:hanging="360"/>
      </w:pPr>
    </w:lvl>
    <w:lvl w:ilvl="4" w:tplc="080A0019">
      <w:start w:val="1"/>
      <w:numFmt w:val="lowerLetter"/>
      <w:lvlText w:val="%5."/>
      <w:lvlJc w:val="left"/>
      <w:pPr>
        <w:ind w:left="3949" w:hanging="360"/>
      </w:pPr>
    </w:lvl>
    <w:lvl w:ilvl="5" w:tplc="080A001B">
      <w:start w:val="1"/>
      <w:numFmt w:val="lowerRoman"/>
      <w:lvlText w:val="%6."/>
      <w:lvlJc w:val="right"/>
      <w:pPr>
        <w:ind w:left="4669" w:hanging="180"/>
      </w:pPr>
    </w:lvl>
    <w:lvl w:ilvl="6" w:tplc="080A000F">
      <w:start w:val="1"/>
      <w:numFmt w:val="decimal"/>
      <w:lvlText w:val="%7."/>
      <w:lvlJc w:val="left"/>
      <w:pPr>
        <w:ind w:left="5389" w:hanging="360"/>
      </w:pPr>
    </w:lvl>
    <w:lvl w:ilvl="7" w:tplc="080A0019">
      <w:start w:val="1"/>
      <w:numFmt w:val="lowerLetter"/>
      <w:lvlText w:val="%8."/>
      <w:lvlJc w:val="left"/>
      <w:pPr>
        <w:ind w:left="6109" w:hanging="360"/>
      </w:pPr>
    </w:lvl>
    <w:lvl w:ilvl="8" w:tplc="080A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317490"/>
    <w:multiLevelType w:val="hybridMultilevel"/>
    <w:tmpl w:val="ED8244CC"/>
    <w:lvl w:ilvl="0" w:tplc="CF48A988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color w:val="auto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E3CC9"/>
    <w:multiLevelType w:val="hybridMultilevel"/>
    <w:tmpl w:val="39A60316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1E90FBC"/>
    <w:multiLevelType w:val="hybridMultilevel"/>
    <w:tmpl w:val="B32881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D49AF"/>
    <w:multiLevelType w:val="hybridMultilevel"/>
    <w:tmpl w:val="4E7C5E5A"/>
    <w:lvl w:ilvl="0" w:tplc="3A623E6E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D42EC"/>
    <w:multiLevelType w:val="hybridMultilevel"/>
    <w:tmpl w:val="FE2C9C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B0BDF"/>
    <w:multiLevelType w:val="hybridMultilevel"/>
    <w:tmpl w:val="B5FCFC60"/>
    <w:lvl w:ilvl="0" w:tplc="5CB64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EC13A13"/>
    <w:multiLevelType w:val="hybridMultilevel"/>
    <w:tmpl w:val="75A8470A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AB"/>
    <w:rsid w:val="00017A8B"/>
    <w:rsid w:val="00030D77"/>
    <w:rsid w:val="00036109"/>
    <w:rsid w:val="00040986"/>
    <w:rsid w:val="000450C7"/>
    <w:rsid w:val="00061245"/>
    <w:rsid w:val="000764D8"/>
    <w:rsid w:val="0008364B"/>
    <w:rsid w:val="00090AAC"/>
    <w:rsid w:val="00093DB5"/>
    <w:rsid w:val="000A2370"/>
    <w:rsid w:val="000A6958"/>
    <w:rsid w:val="000B62C3"/>
    <w:rsid w:val="000C21C4"/>
    <w:rsid w:val="000C4E8E"/>
    <w:rsid w:val="000D1E51"/>
    <w:rsid w:val="000F4B5B"/>
    <w:rsid w:val="00101AC9"/>
    <w:rsid w:val="00122242"/>
    <w:rsid w:val="00124EC1"/>
    <w:rsid w:val="0013375F"/>
    <w:rsid w:val="00141D1C"/>
    <w:rsid w:val="00146755"/>
    <w:rsid w:val="0016404C"/>
    <w:rsid w:val="00164D8A"/>
    <w:rsid w:val="0019398B"/>
    <w:rsid w:val="001A75D6"/>
    <w:rsid w:val="001A7CEE"/>
    <w:rsid w:val="001C1392"/>
    <w:rsid w:val="001C3DCD"/>
    <w:rsid w:val="001F2929"/>
    <w:rsid w:val="001F3E40"/>
    <w:rsid w:val="00216380"/>
    <w:rsid w:val="0023402B"/>
    <w:rsid w:val="00270A69"/>
    <w:rsid w:val="002736FF"/>
    <w:rsid w:val="00276FEB"/>
    <w:rsid w:val="0028076C"/>
    <w:rsid w:val="00296C85"/>
    <w:rsid w:val="002C081A"/>
    <w:rsid w:val="002C638A"/>
    <w:rsid w:val="002C6BDE"/>
    <w:rsid w:val="002F61B0"/>
    <w:rsid w:val="003026B4"/>
    <w:rsid w:val="0031149D"/>
    <w:rsid w:val="00324EBE"/>
    <w:rsid w:val="0037342D"/>
    <w:rsid w:val="003948FF"/>
    <w:rsid w:val="003B3C95"/>
    <w:rsid w:val="003C2F6A"/>
    <w:rsid w:val="003C4874"/>
    <w:rsid w:val="003C59DF"/>
    <w:rsid w:val="003C6346"/>
    <w:rsid w:val="00420511"/>
    <w:rsid w:val="00424B23"/>
    <w:rsid w:val="00437359"/>
    <w:rsid w:val="00440036"/>
    <w:rsid w:val="00446B28"/>
    <w:rsid w:val="00463EE4"/>
    <w:rsid w:val="0048476A"/>
    <w:rsid w:val="004965EF"/>
    <w:rsid w:val="004B2FA5"/>
    <w:rsid w:val="0053148C"/>
    <w:rsid w:val="00561D1D"/>
    <w:rsid w:val="005912F1"/>
    <w:rsid w:val="005A28E4"/>
    <w:rsid w:val="005A4D7F"/>
    <w:rsid w:val="005C7C8F"/>
    <w:rsid w:val="005F3E71"/>
    <w:rsid w:val="0063516A"/>
    <w:rsid w:val="00654FE9"/>
    <w:rsid w:val="006661F3"/>
    <w:rsid w:val="00672FC7"/>
    <w:rsid w:val="00674996"/>
    <w:rsid w:val="006801D4"/>
    <w:rsid w:val="00690DF8"/>
    <w:rsid w:val="00697966"/>
    <w:rsid w:val="006A1C64"/>
    <w:rsid w:val="006B109D"/>
    <w:rsid w:val="006B30CD"/>
    <w:rsid w:val="006F6B31"/>
    <w:rsid w:val="00700C49"/>
    <w:rsid w:val="00712C80"/>
    <w:rsid w:val="007170C1"/>
    <w:rsid w:val="00725B3B"/>
    <w:rsid w:val="00746B10"/>
    <w:rsid w:val="0075431D"/>
    <w:rsid w:val="00756313"/>
    <w:rsid w:val="0075716F"/>
    <w:rsid w:val="007706AF"/>
    <w:rsid w:val="007B2296"/>
    <w:rsid w:val="007B2574"/>
    <w:rsid w:val="007C1773"/>
    <w:rsid w:val="007C7A0C"/>
    <w:rsid w:val="00804F36"/>
    <w:rsid w:val="0081020C"/>
    <w:rsid w:val="00811B0B"/>
    <w:rsid w:val="00820D1B"/>
    <w:rsid w:val="00842E34"/>
    <w:rsid w:val="008542C4"/>
    <w:rsid w:val="00864D3F"/>
    <w:rsid w:val="00891373"/>
    <w:rsid w:val="008A35FA"/>
    <w:rsid w:val="008A3F00"/>
    <w:rsid w:val="008B0732"/>
    <w:rsid w:val="008C16DF"/>
    <w:rsid w:val="008E0C2E"/>
    <w:rsid w:val="008E5C82"/>
    <w:rsid w:val="00921942"/>
    <w:rsid w:val="009701AB"/>
    <w:rsid w:val="00990B93"/>
    <w:rsid w:val="009B3920"/>
    <w:rsid w:val="009B519C"/>
    <w:rsid w:val="009C0FF6"/>
    <w:rsid w:val="009D1CB5"/>
    <w:rsid w:val="009F03BA"/>
    <w:rsid w:val="00A04DA7"/>
    <w:rsid w:val="00A32D0F"/>
    <w:rsid w:val="00A502D2"/>
    <w:rsid w:val="00A6557D"/>
    <w:rsid w:val="00A66652"/>
    <w:rsid w:val="00A96975"/>
    <w:rsid w:val="00A97455"/>
    <w:rsid w:val="00AA7CAA"/>
    <w:rsid w:val="00AD7F4F"/>
    <w:rsid w:val="00AE18DA"/>
    <w:rsid w:val="00AE24EF"/>
    <w:rsid w:val="00AF5C44"/>
    <w:rsid w:val="00B058E5"/>
    <w:rsid w:val="00B3071D"/>
    <w:rsid w:val="00B31789"/>
    <w:rsid w:val="00B32F9D"/>
    <w:rsid w:val="00B53B13"/>
    <w:rsid w:val="00B716F8"/>
    <w:rsid w:val="00B81345"/>
    <w:rsid w:val="00B851D8"/>
    <w:rsid w:val="00C07CE2"/>
    <w:rsid w:val="00C07D30"/>
    <w:rsid w:val="00C225E5"/>
    <w:rsid w:val="00C246B7"/>
    <w:rsid w:val="00C34357"/>
    <w:rsid w:val="00C35879"/>
    <w:rsid w:val="00C60EC0"/>
    <w:rsid w:val="00C76527"/>
    <w:rsid w:val="00CB6159"/>
    <w:rsid w:val="00CB71BF"/>
    <w:rsid w:val="00CC4E44"/>
    <w:rsid w:val="00CD7154"/>
    <w:rsid w:val="00CE0D21"/>
    <w:rsid w:val="00CE1537"/>
    <w:rsid w:val="00CE70C8"/>
    <w:rsid w:val="00CF6A3A"/>
    <w:rsid w:val="00D22D52"/>
    <w:rsid w:val="00D47375"/>
    <w:rsid w:val="00D55F29"/>
    <w:rsid w:val="00D724F4"/>
    <w:rsid w:val="00D81261"/>
    <w:rsid w:val="00D87598"/>
    <w:rsid w:val="00DC5C4E"/>
    <w:rsid w:val="00DC6C4E"/>
    <w:rsid w:val="00DF4164"/>
    <w:rsid w:val="00E20B21"/>
    <w:rsid w:val="00E2541D"/>
    <w:rsid w:val="00E415A4"/>
    <w:rsid w:val="00E41B3B"/>
    <w:rsid w:val="00E55769"/>
    <w:rsid w:val="00E77C64"/>
    <w:rsid w:val="00EB4B5E"/>
    <w:rsid w:val="00ED3750"/>
    <w:rsid w:val="00ED4954"/>
    <w:rsid w:val="00ED78BB"/>
    <w:rsid w:val="00EE1DA7"/>
    <w:rsid w:val="00EF0A6E"/>
    <w:rsid w:val="00F109D1"/>
    <w:rsid w:val="00F11378"/>
    <w:rsid w:val="00F26150"/>
    <w:rsid w:val="00F4326E"/>
    <w:rsid w:val="00F50C10"/>
    <w:rsid w:val="00F64CC1"/>
    <w:rsid w:val="00F9070F"/>
    <w:rsid w:val="00FA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82A9501-7244-4876-9EA1-195B12D8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48F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3948FF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3948FF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948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semiHidden/>
    <w:unhideWhenUsed/>
    <w:rsid w:val="007B25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B257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E0E44-E829-4AA2-B5CD-F35C449C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1127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PONENCIA EAY</cp:lastModifiedBy>
  <cp:revision>6</cp:revision>
  <cp:lastPrinted>2019-05-23T18:35:00Z</cp:lastPrinted>
  <dcterms:created xsi:type="dcterms:W3CDTF">2019-05-23T18:40:00Z</dcterms:created>
  <dcterms:modified xsi:type="dcterms:W3CDTF">2019-07-05T00:46:00Z</dcterms:modified>
</cp:coreProperties>
</file>