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09A08C" w14:textId="7D076474" w:rsidR="0030072F" w:rsidRPr="00E42755" w:rsidRDefault="0007653D" w:rsidP="007F2E0C">
      <w:pPr>
        <w:widowControl w:val="0"/>
        <w:spacing w:before="100" w:beforeAutospacing="1" w:after="100" w:afterAutospacing="1" w:line="360" w:lineRule="auto"/>
        <w:ind w:right="-164"/>
        <w:contextualSpacing/>
        <w:jc w:val="both"/>
        <w:rPr>
          <w:rFonts w:ascii="Palatino Linotype" w:eastAsia="Calibri" w:hAnsi="Palatino Linotype" w:cs="Arial"/>
          <w:b/>
          <w:color w:val="000000"/>
        </w:rPr>
      </w:pPr>
      <w:r w:rsidRPr="0007653D">
        <w:rPr>
          <w:rFonts w:ascii="Palatino Linotype" w:hAnsi="Palatino Linotype" w:cs="Arial"/>
          <w:b/>
        </w:rPr>
        <w:t xml:space="preserve">VOTO PARTICULAR QUE FORMULA LA COMISIONADA EVA ABAID YAPUR, EN RELACIÓN CON LA RESOLUCIÓN DICTADA POR EL PLENO DEL INSTITUTO DE TRANSPARENCIA, ACCESO A LA INFORMACIÓN PÚBLICA Y PROTECCIÓN DE </w:t>
      </w:r>
      <w:r w:rsidR="000C2CF9" w:rsidRPr="0007653D">
        <w:rPr>
          <w:rFonts w:ascii="Palatino Linotype" w:hAnsi="Palatino Linotype" w:cs="Arial"/>
          <w:b/>
        </w:rPr>
        <w:t xml:space="preserve">DATOS PERSONALES DEL ESTADO DE MÉXICO Y MUNICIPIOS, EN LA </w:t>
      </w:r>
      <w:r w:rsidR="000C2CF9">
        <w:rPr>
          <w:rFonts w:ascii="Palatino Linotype" w:hAnsi="Palatino Linotype" w:cs="Arial"/>
          <w:b/>
        </w:rPr>
        <w:t xml:space="preserve">TRIGÉSIMA </w:t>
      </w:r>
      <w:r w:rsidR="00840ED1">
        <w:rPr>
          <w:rFonts w:ascii="Palatino Linotype" w:hAnsi="Palatino Linotype" w:cs="Arial"/>
          <w:b/>
        </w:rPr>
        <w:t>OCTAVA</w:t>
      </w:r>
      <w:r w:rsidR="000C2CF9" w:rsidRPr="0007653D">
        <w:rPr>
          <w:rFonts w:ascii="Palatino Linotype" w:hAnsi="Palatino Linotype" w:cs="Arial"/>
          <w:b/>
        </w:rPr>
        <w:t xml:space="preserve"> SESIÓN ORDINARIA DE </w:t>
      </w:r>
      <w:r w:rsidR="00840ED1">
        <w:rPr>
          <w:rFonts w:ascii="Palatino Linotype" w:hAnsi="Palatino Linotype" w:cs="Arial"/>
          <w:b/>
        </w:rPr>
        <w:t>DIECI</w:t>
      </w:r>
      <w:r w:rsidR="000C2CF9">
        <w:rPr>
          <w:rFonts w:ascii="Palatino Linotype" w:hAnsi="Palatino Linotype" w:cs="Arial"/>
          <w:b/>
        </w:rPr>
        <w:t xml:space="preserve">SÉIS DE OCTUBRE </w:t>
      </w:r>
      <w:r w:rsidR="00840ED1">
        <w:rPr>
          <w:rFonts w:ascii="Palatino Linotype" w:hAnsi="Palatino Linotype" w:cs="Arial"/>
          <w:b/>
        </w:rPr>
        <w:t>DE DOS MIL DIECINUEVE</w:t>
      </w:r>
      <w:r w:rsidR="00DA5209" w:rsidRPr="0007653D">
        <w:rPr>
          <w:rFonts w:ascii="Palatino Linotype" w:hAnsi="Palatino Linotype" w:cs="Arial"/>
          <w:b/>
        </w:rPr>
        <w:t xml:space="preserve">, </w:t>
      </w:r>
      <w:r w:rsidR="00D557C2" w:rsidRPr="0007653D">
        <w:rPr>
          <w:rFonts w:ascii="Palatino Linotype" w:hAnsi="Palatino Linotype" w:cs="Arial"/>
          <w:b/>
        </w:rPr>
        <w:t>EN</w:t>
      </w:r>
      <w:r w:rsidR="00DA5209" w:rsidRPr="0007653D">
        <w:rPr>
          <w:rFonts w:ascii="Palatino Linotype" w:hAnsi="Palatino Linotype" w:cs="Arial"/>
          <w:b/>
        </w:rPr>
        <w:t xml:space="preserve"> </w:t>
      </w:r>
      <w:r w:rsidR="002D4526" w:rsidRPr="0007653D">
        <w:rPr>
          <w:rFonts w:ascii="Palatino Linotype" w:hAnsi="Palatino Linotype" w:cs="Arial"/>
          <w:b/>
        </w:rPr>
        <w:t>EL RECURSO DE REVISIÓN 0</w:t>
      </w:r>
      <w:r w:rsidR="00840ED1">
        <w:rPr>
          <w:rFonts w:ascii="Palatino Linotype" w:hAnsi="Palatino Linotype" w:cs="Arial"/>
          <w:b/>
        </w:rPr>
        <w:t>6339/INFOEM/IP/RR/2019</w:t>
      </w:r>
      <w:r w:rsidR="002D4526" w:rsidRPr="00E42755">
        <w:rPr>
          <w:rFonts w:ascii="Palatino Linotype" w:eastAsia="Calibri" w:hAnsi="Palatino Linotype" w:cs="Arial"/>
          <w:b/>
          <w:color w:val="000000"/>
        </w:rPr>
        <w:t>.</w:t>
      </w:r>
    </w:p>
    <w:p w14:paraId="2661160B" w14:textId="77777777" w:rsidR="0030072F" w:rsidRPr="00E42755" w:rsidRDefault="0030072F" w:rsidP="007F2E0C">
      <w:pPr>
        <w:widowControl w:val="0"/>
        <w:spacing w:before="100" w:beforeAutospacing="1" w:after="100" w:afterAutospacing="1"/>
        <w:ind w:right="-164"/>
        <w:contextualSpacing/>
        <w:jc w:val="both"/>
        <w:rPr>
          <w:rFonts w:ascii="Palatino Linotype" w:hAnsi="Palatino Linotype" w:cs="Arial"/>
          <w:b/>
        </w:rPr>
      </w:pPr>
    </w:p>
    <w:p w14:paraId="6E5C15CB" w14:textId="4E6EA905" w:rsidR="00840ED1" w:rsidRPr="00057956" w:rsidRDefault="00840ED1" w:rsidP="007F2E0C">
      <w:pPr>
        <w:spacing w:before="100" w:beforeAutospacing="1" w:after="100" w:afterAutospacing="1" w:line="360" w:lineRule="auto"/>
        <w:contextualSpacing/>
        <w:jc w:val="both"/>
        <w:rPr>
          <w:rFonts w:ascii="Palatino Linotype" w:hAnsi="Palatino Linotype" w:cs="Arial"/>
        </w:rPr>
      </w:pPr>
      <w:r w:rsidRPr="00057956">
        <w:rPr>
          <w:rFonts w:ascii="Palatino Linotype" w:hAnsi="Palatino Linotype" w:cs="Arial"/>
        </w:rPr>
        <w:t>Con fundamento en lo dispuesto por el artículo 14, fracciones X y XI del Reglamento Interior del Instituto de Transparencia, Acceso a la Información Pública y Protección de Datos Personales del Estado de México y Municipios, la que suscribe</w:t>
      </w:r>
      <w:r w:rsidRPr="00057956">
        <w:rPr>
          <w:rFonts w:ascii="Palatino Linotype" w:hAnsi="Palatino Linotype" w:cs="Arial"/>
          <w:b/>
          <w:lang w:val="es-ES_tradnl"/>
        </w:rPr>
        <w:t xml:space="preserve"> </w:t>
      </w:r>
      <w:r w:rsidRPr="00057956">
        <w:rPr>
          <w:rFonts w:ascii="Palatino Linotype" w:hAnsi="Palatino Linotype" w:cs="Arial"/>
          <w:b/>
        </w:rPr>
        <w:t xml:space="preserve">EVA ABAID YAPUR </w:t>
      </w:r>
      <w:r w:rsidRPr="00057956">
        <w:rPr>
          <w:rFonts w:ascii="Palatino Linotype" w:hAnsi="Palatino Linotype" w:cs="Arial"/>
        </w:rPr>
        <w:t xml:space="preserve">emite </w:t>
      </w:r>
      <w:r w:rsidRPr="00057956">
        <w:rPr>
          <w:rFonts w:ascii="Palatino Linotype" w:hAnsi="Palatino Linotype" w:cs="Arial"/>
          <w:b/>
        </w:rPr>
        <w:t xml:space="preserve">VOTO PARTICULAR </w:t>
      </w:r>
      <w:r w:rsidRPr="00057956">
        <w:rPr>
          <w:rFonts w:ascii="Palatino Linotype" w:hAnsi="Palatino Linotype" w:cs="Arial"/>
        </w:rPr>
        <w:t xml:space="preserve">respecto de la resolución dictada en el recurso de revisión </w:t>
      </w:r>
      <w:r w:rsidRPr="00057956">
        <w:rPr>
          <w:rFonts w:ascii="Palatino Linotype" w:eastAsia="Calibri" w:hAnsi="Palatino Linotype" w:cs="Arial"/>
          <w:b/>
          <w:color w:val="000000"/>
        </w:rPr>
        <w:t>0</w:t>
      </w:r>
      <w:r>
        <w:rPr>
          <w:rFonts w:ascii="Palatino Linotype" w:eastAsia="Calibri" w:hAnsi="Palatino Linotype" w:cs="Arial"/>
          <w:b/>
          <w:color w:val="000000"/>
        </w:rPr>
        <w:t>6339</w:t>
      </w:r>
      <w:r w:rsidRPr="00057956">
        <w:rPr>
          <w:rFonts w:ascii="Palatino Linotype" w:eastAsia="Calibri" w:hAnsi="Palatino Linotype" w:cs="Arial"/>
          <w:b/>
          <w:color w:val="000000"/>
        </w:rPr>
        <w:t>/INFOEM/IP/RR/201</w:t>
      </w:r>
      <w:r>
        <w:rPr>
          <w:rFonts w:ascii="Palatino Linotype" w:eastAsia="Calibri" w:hAnsi="Palatino Linotype" w:cs="Arial"/>
          <w:b/>
          <w:color w:val="000000"/>
        </w:rPr>
        <w:t>9</w:t>
      </w:r>
      <w:r w:rsidRPr="00057956">
        <w:rPr>
          <w:rFonts w:ascii="Palatino Linotype" w:hAnsi="Palatino Linotype" w:cs="Arial"/>
        </w:rPr>
        <w:t xml:space="preserve">, pronunciada por el Pleno de este Instituto ante el proyecto presentado por </w:t>
      </w:r>
      <w:r>
        <w:rPr>
          <w:rFonts w:ascii="Palatino Linotype" w:hAnsi="Palatino Linotype" w:cs="Arial"/>
        </w:rPr>
        <w:t>la</w:t>
      </w:r>
      <w:r w:rsidRPr="00057956">
        <w:rPr>
          <w:rFonts w:ascii="Palatino Linotype" w:hAnsi="Palatino Linotype" w:cs="Arial"/>
        </w:rPr>
        <w:t xml:space="preserve"> Comisionad</w:t>
      </w:r>
      <w:r>
        <w:rPr>
          <w:rFonts w:ascii="Palatino Linotype" w:hAnsi="Palatino Linotype" w:cs="Arial"/>
        </w:rPr>
        <w:t xml:space="preserve">o </w:t>
      </w:r>
      <w:r>
        <w:rPr>
          <w:rFonts w:ascii="Palatino Linotype" w:hAnsi="Palatino Linotype" w:cs="Arial"/>
          <w:b/>
        </w:rPr>
        <w:t>JAVIER MARTÍNEZ CRUZ</w:t>
      </w:r>
      <w:r w:rsidRPr="00057956">
        <w:rPr>
          <w:rFonts w:ascii="Palatino Linotype" w:hAnsi="Palatino Linotype" w:cs="Arial"/>
        </w:rPr>
        <w:t>, que es del tenor siguiente.</w:t>
      </w:r>
    </w:p>
    <w:p w14:paraId="4D8FE5C3" w14:textId="77777777" w:rsidR="0030072F" w:rsidRPr="00E42755" w:rsidRDefault="0030072F" w:rsidP="007F2E0C">
      <w:pPr>
        <w:widowControl w:val="0"/>
        <w:spacing w:before="100" w:beforeAutospacing="1" w:after="100" w:afterAutospacing="1"/>
        <w:ind w:right="-164"/>
        <w:contextualSpacing/>
        <w:jc w:val="both"/>
        <w:rPr>
          <w:rFonts w:ascii="Palatino Linotype" w:hAnsi="Palatino Linotype" w:cs="Arial"/>
        </w:rPr>
      </w:pPr>
    </w:p>
    <w:p w14:paraId="3802A3D4" w14:textId="124932D1" w:rsidR="0007653D" w:rsidRDefault="0007653D" w:rsidP="007F2E0C">
      <w:pPr>
        <w:spacing w:before="100" w:beforeAutospacing="1" w:after="100" w:afterAutospacing="1" w:line="360" w:lineRule="auto"/>
        <w:contextualSpacing/>
        <w:jc w:val="both"/>
        <w:rPr>
          <w:rFonts w:ascii="Palatino Linotype" w:hAnsi="Palatino Linotype"/>
        </w:rPr>
      </w:pPr>
      <w:r w:rsidRPr="00D93A88">
        <w:rPr>
          <w:rFonts w:ascii="Palatino Linotype" w:hAnsi="Palatino Linotype"/>
        </w:rPr>
        <w:t>Es de destacar,</w:t>
      </w:r>
      <w:r>
        <w:rPr>
          <w:rFonts w:ascii="Palatino Linotype" w:hAnsi="Palatino Linotype"/>
        </w:rPr>
        <w:t xml:space="preserve"> que la suscrita</w:t>
      </w:r>
      <w:r w:rsidRPr="00D93A88">
        <w:rPr>
          <w:rFonts w:ascii="Palatino Linotype" w:hAnsi="Palatino Linotype"/>
        </w:rPr>
        <w:t xml:space="preserve"> compart</w:t>
      </w:r>
      <w:r>
        <w:rPr>
          <w:rFonts w:ascii="Palatino Linotype" w:hAnsi="Palatino Linotype"/>
        </w:rPr>
        <w:t xml:space="preserve">e </w:t>
      </w:r>
      <w:r w:rsidR="00A04C79">
        <w:rPr>
          <w:rFonts w:ascii="Palatino Linotype" w:hAnsi="Palatino Linotype"/>
        </w:rPr>
        <w:t xml:space="preserve">esencialmente el estudio realizado en la resolución </w:t>
      </w:r>
      <w:r>
        <w:rPr>
          <w:rFonts w:ascii="Palatino Linotype" w:hAnsi="Palatino Linotype"/>
        </w:rPr>
        <w:t xml:space="preserve">del </w:t>
      </w:r>
      <w:r w:rsidRPr="00D93A88">
        <w:rPr>
          <w:rFonts w:ascii="Palatino Linotype" w:hAnsi="Palatino Linotype"/>
        </w:rPr>
        <w:t>recurso de revis</w:t>
      </w:r>
      <w:r w:rsidR="00D557C2">
        <w:rPr>
          <w:rFonts w:ascii="Palatino Linotype" w:hAnsi="Palatino Linotype"/>
        </w:rPr>
        <w:t xml:space="preserve">ión; empero, </w:t>
      </w:r>
      <w:r w:rsidRPr="00D93A88">
        <w:rPr>
          <w:rFonts w:ascii="Palatino Linotype" w:hAnsi="Palatino Linotype"/>
        </w:rPr>
        <w:t>consider</w:t>
      </w:r>
      <w:r>
        <w:rPr>
          <w:rFonts w:ascii="Palatino Linotype" w:hAnsi="Palatino Linotype"/>
        </w:rPr>
        <w:t>o</w:t>
      </w:r>
      <w:r w:rsidRPr="00D93A88">
        <w:rPr>
          <w:rFonts w:ascii="Palatino Linotype" w:hAnsi="Palatino Linotype"/>
        </w:rPr>
        <w:t xml:space="preserve"> necesario precisar algunas consideraciones de hecho y de derecho</w:t>
      </w:r>
      <w:r>
        <w:rPr>
          <w:rFonts w:ascii="Palatino Linotype" w:hAnsi="Palatino Linotype"/>
        </w:rPr>
        <w:t xml:space="preserve">, </w:t>
      </w:r>
      <w:r w:rsidR="00840ED1">
        <w:rPr>
          <w:rFonts w:ascii="Palatino Linotype" w:hAnsi="Palatino Linotype"/>
        </w:rPr>
        <w:t>tocante a la información que se ordena.</w:t>
      </w:r>
    </w:p>
    <w:p w14:paraId="5853D40E" w14:textId="77777777" w:rsidR="0007653D" w:rsidRPr="00D93A88" w:rsidRDefault="0007653D" w:rsidP="007F2E0C">
      <w:pPr>
        <w:widowControl w:val="0"/>
        <w:spacing w:before="100" w:beforeAutospacing="1" w:after="100" w:afterAutospacing="1"/>
        <w:ind w:right="-164"/>
        <w:contextualSpacing/>
        <w:jc w:val="both"/>
        <w:rPr>
          <w:rFonts w:ascii="Palatino Linotype" w:hAnsi="Palatino Linotype"/>
        </w:rPr>
      </w:pPr>
    </w:p>
    <w:p w14:paraId="41B8FD48" w14:textId="0C41F53C" w:rsidR="001059D0" w:rsidRDefault="0007653D" w:rsidP="007F2E0C">
      <w:pPr>
        <w:spacing w:before="100" w:beforeAutospacing="1" w:after="100" w:afterAutospacing="1" w:line="360" w:lineRule="auto"/>
        <w:contextualSpacing/>
        <w:jc w:val="both"/>
        <w:rPr>
          <w:rFonts w:ascii="Palatino Linotype" w:hAnsi="Palatino Linotype" w:cs="Arial"/>
        </w:rPr>
      </w:pPr>
      <w:r>
        <w:rPr>
          <w:rFonts w:ascii="Palatino Linotype" w:hAnsi="Palatino Linotype"/>
        </w:rPr>
        <w:t>Al respecto, t</w:t>
      </w:r>
      <w:r w:rsidRPr="00D93A88">
        <w:rPr>
          <w:rFonts w:ascii="Palatino Linotype" w:hAnsi="Palatino Linotype"/>
        </w:rPr>
        <w:t xml:space="preserve">al y como quedó debidamente asentado en la resolución materia del presente voto, el particular </w:t>
      </w:r>
      <w:r w:rsidR="008C0700">
        <w:rPr>
          <w:rFonts w:ascii="Palatino Linotype" w:hAnsi="Palatino Linotype"/>
        </w:rPr>
        <w:t>requirió de</w:t>
      </w:r>
      <w:r w:rsidR="00840ED1">
        <w:rPr>
          <w:rFonts w:ascii="Palatino Linotype" w:hAnsi="Palatino Linotype"/>
        </w:rPr>
        <w:t xml:space="preserve"> </w:t>
      </w:r>
      <w:r w:rsidR="00840ED1">
        <w:rPr>
          <w:rFonts w:ascii="Palatino Linotype" w:hAnsi="Palatino Linotype"/>
          <w:b/>
        </w:rPr>
        <w:t xml:space="preserve">Ayuntamiento de Tenancingo </w:t>
      </w:r>
      <w:r w:rsidR="00840ED1">
        <w:rPr>
          <w:rFonts w:ascii="Palatino Linotype" w:hAnsi="Palatino Linotype"/>
        </w:rPr>
        <w:t xml:space="preserve">en lo sucesivo </w:t>
      </w:r>
      <w:r w:rsidR="00840ED1">
        <w:rPr>
          <w:rFonts w:ascii="Palatino Linotype" w:hAnsi="Palatino Linotype"/>
          <w:b/>
        </w:rPr>
        <w:t xml:space="preserve">EL </w:t>
      </w:r>
      <w:r w:rsidR="008C0700" w:rsidRPr="008C0700">
        <w:rPr>
          <w:rFonts w:ascii="Palatino Linotype" w:hAnsi="Palatino Linotype"/>
          <w:b/>
        </w:rPr>
        <w:t>SUJETO OBLIGADO</w:t>
      </w:r>
      <w:r w:rsidR="008C0700" w:rsidRPr="008C0700">
        <w:rPr>
          <w:rFonts w:ascii="Palatino Linotype" w:hAnsi="Palatino Linotype"/>
        </w:rPr>
        <w:t xml:space="preserve"> </w:t>
      </w:r>
      <w:r w:rsidR="003102FA">
        <w:rPr>
          <w:rFonts w:ascii="Palatino Linotype" w:hAnsi="Palatino Linotype"/>
        </w:rPr>
        <w:t>vía SAIMEX,</w:t>
      </w:r>
      <w:r w:rsidR="000D66DE" w:rsidRPr="000D66DE">
        <w:rPr>
          <w:rFonts w:ascii="Palatino Linotype" w:hAnsi="Palatino Linotype" w:cs="Arial"/>
        </w:rPr>
        <w:t xml:space="preserve"> </w:t>
      </w:r>
      <w:r w:rsidR="00840ED1">
        <w:rPr>
          <w:rFonts w:ascii="Palatino Linotype" w:hAnsi="Palatino Linotype" w:cs="Arial"/>
        </w:rPr>
        <w:t>la información que a continuación se desagrega:</w:t>
      </w:r>
    </w:p>
    <w:p w14:paraId="484AB58A" w14:textId="77777777" w:rsidR="00840ED1" w:rsidRDefault="00840ED1" w:rsidP="007F2E0C">
      <w:pPr>
        <w:spacing w:before="100" w:beforeAutospacing="1" w:after="100" w:afterAutospacing="1" w:line="360" w:lineRule="auto"/>
        <w:contextualSpacing/>
        <w:jc w:val="both"/>
        <w:rPr>
          <w:rFonts w:ascii="Palatino Linotype" w:hAnsi="Palatino Linotype" w:cs="Arial"/>
        </w:rPr>
      </w:pPr>
    </w:p>
    <w:p w14:paraId="24334558" w14:textId="0132E000" w:rsidR="00840ED1" w:rsidRDefault="00840ED1" w:rsidP="007F2E0C">
      <w:pPr>
        <w:spacing w:before="100" w:beforeAutospacing="1" w:after="100" w:afterAutospacing="1"/>
        <w:ind w:left="851" w:right="902"/>
        <w:contextualSpacing/>
        <w:jc w:val="both"/>
        <w:rPr>
          <w:rFonts w:ascii="Palatino Linotype" w:hAnsi="Palatino Linotype"/>
          <w:i/>
          <w:sz w:val="22"/>
          <w:szCs w:val="22"/>
        </w:rPr>
      </w:pPr>
      <w:r w:rsidRPr="00840ED1">
        <w:rPr>
          <w:rFonts w:ascii="Palatino Linotype" w:hAnsi="Palatino Linotype"/>
          <w:i/>
          <w:sz w:val="22"/>
          <w:szCs w:val="22"/>
        </w:rPr>
        <w:t>“lista completa de los empleados del ayuntamiento de los ejercicios 2018 y 2019;</w:t>
      </w:r>
      <w:r>
        <w:rPr>
          <w:rFonts w:ascii="Palatino Linotype" w:hAnsi="Palatino Linotype"/>
          <w:i/>
          <w:sz w:val="22"/>
          <w:szCs w:val="22"/>
        </w:rPr>
        <w:t xml:space="preserve"> y, </w:t>
      </w:r>
    </w:p>
    <w:p w14:paraId="29C548CC" w14:textId="77777777" w:rsidR="00840ED1" w:rsidRPr="00840ED1" w:rsidRDefault="00840ED1" w:rsidP="007F2E0C">
      <w:pPr>
        <w:spacing w:before="100" w:beforeAutospacing="1" w:after="100" w:afterAutospacing="1"/>
        <w:ind w:left="851" w:right="902"/>
        <w:contextualSpacing/>
        <w:jc w:val="both"/>
        <w:rPr>
          <w:rFonts w:ascii="Palatino Linotype" w:hAnsi="Palatino Linotype"/>
          <w:i/>
          <w:sz w:val="22"/>
          <w:szCs w:val="22"/>
        </w:rPr>
      </w:pPr>
    </w:p>
    <w:p w14:paraId="10B0B9D1" w14:textId="0B7DBF00" w:rsidR="00840ED1" w:rsidRPr="00840ED1" w:rsidRDefault="00840ED1" w:rsidP="007F2E0C">
      <w:pPr>
        <w:spacing w:before="100" w:beforeAutospacing="1" w:after="100" w:afterAutospacing="1"/>
        <w:ind w:left="851" w:right="902"/>
        <w:contextualSpacing/>
        <w:jc w:val="both"/>
        <w:rPr>
          <w:rFonts w:ascii="Palatino Linotype" w:hAnsi="Palatino Linotype"/>
          <w:i/>
          <w:sz w:val="22"/>
          <w:szCs w:val="22"/>
        </w:rPr>
      </w:pPr>
      <w:r w:rsidRPr="00840ED1">
        <w:rPr>
          <w:rFonts w:ascii="Palatino Linotype" w:hAnsi="Palatino Linotype"/>
          <w:i/>
          <w:sz w:val="22"/>
          <w:szCs w:val="22"/>
        </w:rPr>
        <w:t>Nombres de la deuda pública adquirida  de los ejercicios 2016,2017 y 2018”</w:t>
      </w:r>
    </w:p>
    <w:p w14:paraId="406410DC" w14:textId="1698455E" w:rsidR="00B57FE6" w:rsidRDefault="00B57FE6" w:rsidP="007F2E0C">
      <w:pPr>
        <w:spacing w:before="100" w:beforeAutospacing="1" w:after="100" w:afterAutospacing="1" w:line="360" w:lineRule="auto"/>
        <w:contextualSpacing/>
        <w:jc w:val="both"/>
        <w:rPr>
          <w:rFonts w:ascii="Palatino Linotype" w:hAnsi="Palatino Linotype" w:cs="Arial"/>
        </w:rPr>
      </w:pPr>
      <w:r>
        <w:rPr>
          <w:rFonts w:ascii="Palatino Linotype" w:hAnsi="Palatino Linotype" w:cs="Arial"/>
        </w:rPr>
        <w:lastRenderedPageBreak/>
        <w:t xml:space="preserve">En respuesta, </w:t>
      </w:r>
      <w:r w:rsidRPr="00B57FE6">
        <w:rPr>
          <w:rFonts w:ascii="Palatino Linotype" w:hAnsi="Palatino Linotype" w:cs="Arial"/>
          <w:b/>
        </w:rPr>
        <w:t>EL SUJETO OBLIGADO</w:t>
      </w:r>
      <w:r>
        <w:rPr>
          <w:rFonts w:ascii="Palatino Linotype" w:hAnsi="Palatino Linotype" w:cs="Arial"/>
        </w:rPr>
        <w:t xml:space="preserve"> </w:t>
      </w:r>
      <w:r w:rsidR="001059D0">
        <w:rPr>
          <w:rFonts w:ascii="Palatino Linotype" w:hAnsi="Palatino Linotype" w:cs="Arial"/>
        </w:rPr>
        <w:t xml:space="preserve">informó </w:t>
      </w:r>
      <w:r w:rsidR="0041327F">
        <w:rPr>
          <w:rFonts w:ascii="Palatino Linotype" w:hAnsi="Palatino Linotype" w:cs="Arial"/>
        </w:rPr>
        <w:t>toralmente que tras haber realizado una búsqueda exhaustiva no se encontró documentación respecto a la información requerida.</w:t>
      </w:r>
    </w:p>
    <w:p w14:paraId="5E13C59C" w14:textId="77777777" w:rsidR="00E9559B" w:rsidRDefault="00E9559B" w:rsidP="007F2E0C">
      <w:pPr>
        <w:spacing w:before="100" w:beforeAutospacing="1" w:after="100" w:afterAutospacing="1" w:line="360" w:lineRule="auto"/>
        <w:contextualSpacing/>
        <w:jc w:val="both"/>
        <w:rPr>
          <w:rFonts w:ascii="Palatino Linotype" w:hAnsi="Palatino Linotype" w:cs="Arial"/>
        </w:rPr>
      </w:pPr>
    </w:p>
    <w:p w14:paraId="4DA79B0A" w14:textId="77777777" w:rsidR="00E9559B" w:rsidRDefault="00E9559B" w:rsidP="007F2E0C">
      <w:pPr>
        <w:spacing w:before="100" w:beforeAutospacing="1" w:after="100" w:afterAutospacing="1" w:line="360" w:lineRule="auto"/>
        <w:contextualSpacing/>
        <w:jc w:val="both"/>
        <w:rPr>
          <w:rFonts w:ascii="Palatino Linotype" w:hAnsi="Palatino Linotype"/>
        </w:rPr>
      </w:pPr>
      <w:r>
        <w:rPr>
          <w:rFonts w:ascii="Palatino Linotype" w:hAnsi="Palatino Linotype"/>
        </w:rPr>
        <w:t xml:space="preserve">Inconforme con la respuesta otorgada por parte del </w:t>
      </w:r>
      <w:r w:rsidRPr="002A0E79">
        <w:rPr>
          <w:rFonts w:ascii="Palatino Linotype" w:hAnsi="Palatino Linotype"/>
          <w:b/>
        </w:rPr>
        <w:t>SUJETO OBLIGADO</w:t>
      </w:r>
      <w:r>
        <w:rPr>
          <w:rFonts w:ascii="Palatino Linotype" w:hAnsi="Palatino Linotype"/>
          <w:b/>
        </w:rPr>
        <w:t xml:space="preserve">, EL RECURRENTE </w:t>
      </w:r>
      <w:r>
        <w:rPr>
          <w:rFonts w:ascii="Palatino Linotype" w:hAnsi="Palatino Linotype"/>
        </w:rPr>
        <w:t>interpuso el recurso de revisión de mérito, mediante el cual señaló como acto impugnado:</w:t>
      </w:r>
    </w:p>
    <w:p w14:paraId="31F3AD0B" w14:textId="77777777" w:rsidR="00E9559B" w:rsidRDefault="00E9559B" w:rsidP="007F2E0C">
      <w:pPr>
        <w:spacing w:before="100" w:beforeAutospacing="1" w:after="100" w:afterAutospacing="1" w:line="360" w:lineRule="auto"/>
        <w:contextualSpacing/>
        <w:jc w:val="both"/>
        <w:rPr>
          <w:rFonts w:ascii="Palatino Linotype" w:hAnsi="Palatino Linotype"/>
        </w:rPr>
      </w:pPr>
    </w:p>
    <w:p w14:paraId="6C4253BD" w14:textId="77777777" w:rsidR="00E9559B" w:rsidRPr="00840ED1" w:rsidRDefault="00E9559B" w:rsidP="007F2E0C">
      <w:pPr>
        <w:spacing w:before="100" w:beforeAutospacing="1" w:after="100" w:afterAutospacing="1"/>
        <w:ind w:left="851" w:right="902"/>
        <w:contextualSpacing/>
        <w:jc w:val="both"/>
        <w:rPr>
          <w:rFonts w:ascii="Palatino Linotype" w:hAnsi="Palatino Linotype"/>
          <w:i/>
          <w:sz w:val="22"/>
          <w:szCs w:val="22"/>
        </w:rPr>
      </w:pPr>
      <w:r>
        <w:rPr>
          <w:rFonts w:ascii="Palatino Linotype" w:hAnsi="Palatino Linotype"/>
          <w:i/>
          <w:sz w:val="22"/>
          <w:szCs w:val="22"/>
        </w:rPr>
        <w:t>“</w:t>
      </w:r>
      <w:r w:rsidRPr="00840ED1">
        <w:rPr>
          <w:rFonts w:ascii="Palatino Linotype" w:hAnsi="Palatino Linotype"/>
          <w:i/>
          <w:sz w:val="22"/>
          <w:szCs w:val="22"/>
        </w:rPr>
        <w:t>Conocer el proceso de búsqueda exhaustiva</w:t>
      </w:r>
      <w:r>
        <w:rPr>
          <w:rFonts w:ascii="Palatino Linotype" w:hAnsi="Palatino Linotype"/>
          <w:i/>
          <w:sz w:val="22"/>
          <w:szCs w:val="22"/>
        </w:rPr>
        <w:t>”</w:t>
      </w:r>
    </w:p>
    <w:p w14:paraId="27E48581" w14:textId="77777777" w:rsidR="00E9559B" w:rsidRDefault="00E9559B" w:rsidP="007F2E0C">
      <w:pPr>
        <w:spacing w:before="100" w:beforeAutospacing="1" w:after="100" w:afterAutospacing="1" w:line="360" w:lineRule="auto"/>
        <w:contextualSpacing/>
        <w:jc w:val="both"/>
        <w:rPr>
          <w:rFonts w:ascii="Palatino Linotype" w:hAnsi="Palatino Linotype" w:cs="Arial"/>
        </w:rPr>
      </w:pPr>
    </w:p>
    <w:p w14:paraId="3790EB82" w14:textId="5F80A5E4" w:rsidR="00E9559B" w:rsidRDefault="00E9559B" w:rsidP="007F2E0C">
      <w:pPr>
        <w:spacing w:before="100" w:beforeAutospacing="1" w:after="100" w:afterAutospacing="1" w:line="360" w:lineRule="auto"/>
        <w:contextualSpacing/>
        <w:jc w:val="both"/>
        <w:rPr>
          <w:rFonts w:ascii="Palatino Linotype" w:hAnsi="Palatino Linotype" w:cs="Arial"/>
        </w:rPr>
      </w:pPr>
      <w:r>
        <w:rPr>
          <w:rFonts w:ascii="Palatino Linotype" w:hAnsi="Palatino Linotype" w:cs="Arial"/>
        </w:rPr>
        <w:t>Asimismo, como manifestó como razones o motivos de inconformidad:</w:t>
      </w:r>
    </w:p>
    <w:p w14:paraId="41EA7B40" w14:textId="77777777" w:rsidR="0041327F" w:rsidRDefault="0041327F" w:rsidP="007F2E0C">
      <w:pPr>
        <w:spacing w:before="100" w:beforeAutospacing="1" w:after="100" w:afterAutospacing="1" w:line="360" w:lineRule="auto"/>
        <w:contextualSpacing/>
        <w:jc w:val="both"/>
        <w:rPr>
          <w:rFonts w:ascii="Palatino Linotype" w:hAnsi="Palatino Linotype" w:cs="Arial"/>
        </w:rPr>
      </w:pPr>
    </w:p>
    <w:p w14:paraId="65690194" w14:textId="5CDF046F" w:rsidR="00E9559B" w:rsidRPr="00E9559B" w:rsidRDefault="00E9559B" w:rsidP="007F2E0C">
      <w:pPr>
        <w:spacing w:before="100" w:beforeAutospacing="1" w:after="100" w:afterAutospacing="1"/>
        <w:ind w:left="851" w:right="902"/>
        <w:contextualSpacing/>
        <w:jc w:val="both"/>
        <w:rPr>
          <w:rFonts w:ascii="Palatino Linotype" w:hAnsi="Palatino Linotype" w:cs="Arial"/>
          <w:i/>
          <w:sz w:val="22"/>
          <w:szCs w:val="22"/>
        </w:rPr>
      </w:pPr>
      <w:r w:rsidRPr="00E9559B">
        <w:rPr>
          <w:rFonts w:ascii="Palatino Linotype" w:hAnsi="Palatino Linotype" w:cs="Arial"/>
          <w:i/>
          <w:sz w:val="22"/>
          <w:szCs w:val="22"/>
        </w:rPr>
        <w:t xml:space="preserve">Me gustaría con </w:t>
      </w:r>
      <w:proofErr w:type="spellStart"/>
      <w:r w:rsidRPr="00E9559B">
        <w:rPr>
          <w:rFonts w:ascii="Palatino Linotype" w:hAnsi="Palatino Linotype" w:cs="Arial"/>
          <w:i/>
          <w:sz w:val="22"/>
          <w:szCs w:val="22"/>
        </w:rPr>
        <w:t>con</w:t>
      </w:r>
      <w:proofErr w:type="spellEnd"/>
      <w:r w:rsidRPr="00E9559B">
        <w:rPr>
          <w:rFonts w:ascii="Palatino Linotype" w:hAnsi="Palatino Linotype" w:cs="Arial"/>
          <w:i/>
          <w:sz w:val="22"/>
          <w:szCs w:val="22"/>
        </w:rPr>
        <w:t xml:space="preserve"> una copia simple de la resolución del Comité de Transparencia sobre la inexistencia de la información solicitada</w:t>
      </w:r>
    </w:p>
    <w:p w14:paraId="086E7E3C" w14:textId="77777777" w:rsidR="00E9559B" w:rsidRDefault="00E9559B" w:rsidP="007F2E0C">
      <w:pPr>
        <w:spacing w:before="100" w:beforeAutospacing="1" w:after="100" w:afterAutospacing="1" w:line="360" w:lineRule="auto"/>
        <w:contextualSpacing/>
        <w:jc w:val="both"/>
        <w:rPr>
          <w:rFonts w:ascii="Palatino Linotype" w:hAnsi="Palatino Linotype" w:cs="Arial"/>
        </w:rPr>
      </w:pPr>
    </w:p>
    <w:p w14:paraId="74E9F3C4" w14:textId="486674C3" w:rsidR="00B5072E" w:rsidRDefault="007C0FDA" w:rsidP="007F2E0C">
      <w:pPr>
        <w:spacing w:before="100" w:beforeAutospacing="1" w:after="100" w:afterAutospacing="1" w:line="360" w:lineRule="auto"/>
        <w:contextualSpacing/>
        <w:jc w:val="both"/>
        <w:rPr>
          <w:rFonts w:ascii="Palatino Linotype" w:hAnsi="Palatino Linotype" w:cs="Arial"/>
        </w:rPr>
      </w:pPr>
      <w:r>
        <w:rPr>
          <w:rFonts w:ascii="Palatino Linotype" w:hAnsi="Palatino Linotype" w:cs="Arial"/>
        </w:rPr>
        <w:t xml:space="preserve">Así, </w:t>
      </w:r>
      <w:r w:rsidR="00B5072E">
        <w:rPr>
          <w:rFonts w:ascii="Palatino Linotype" w:hAnsi="Palatino Linotype" w:cs="Arial"/>
        </w:rPr>
        <w:t>de</w:t>
      </w:r>
      <w:r>
        <w:rPr>
          <w:rFonts w:ascii="Palatino Linotype" w:hAnsi="Palatino Linotype" w:cs="Arial"/>
        </w:rPr>
        <w:t xml:space="preserve">l estudio </w:t>
      </w:r>
      <w:r w:rsidR="00B5072E">
        <w:rPr>
          <w:rFonts w:ascii="Palatino Linotype" w:hAnsi="Palatino Linotype" w:cs="Arial"/>
        </w:rPr>
        <w:t>d</w:t>
      </w:r>
      <w:r w:rsidR="00B5072E">
        <w:rPr>
          <w:rFonts w:ascii="Palatino Linotype" w:hAnsi="Palatino Linotype"/>
        </w:rPr>
        <w:t xml:space="preserve">el </w:t>
      </w:r>
      <w:r w:rsidR="00B5072E" w:rsidRPr="00A01905">
        <w:rPr>
          <w:rFonts w:ascii="Palatino Linotype" w:hAnsi="Palatino Linotype"/>
        </w:rPr>
        <w:t>expediente electrónico del SAIMEX</w:t>
      </w:r>
      <w:r>
        <w:rPr>
          <w:rFonts w:ascii="Palatino Linotype" w:hAnsi="Palatino Linotype" w:cs="Arial"/>
        </w:rPr>
        <w:t xml:space="preserve">, </w:t>
      </w:r>
      <w:r w:rsidR="0007653D">
        <w:rPr>
          <w:rFonts w:ascii="Palatino Linotype" w:hAnsi="Palatino Linotype" w:cs="Arial"/>
        </w:rPr>
        <w:t>la Ponencia Resolut</w:t>
      </w:r>
      <w:r w:rsidR="00414E48">
        <w:rPr>
          <w:rFonts w:ascii="Palatino Linotype" w:hAnsi="Palatino Linotype" w:cs="Arial"/>
        </w:rPr>
        <w:t>o</w:t>
      </w:r>
      <w:r w:rsidR="0007653D">
        <w:rPr>
          <w:rFonts w:ascii="Palatino Linotype" w:hAnsi="Palatino Linotype" w:cs="Arial"/>
        </w:rPr>
        <w:t>ra determinó</w:t>
      </w:r>
      <w:r>
        <w:rPr>
          <w:rFonts w:ascii="Palatino Linotype" w:hAnsi="Palatino Linotype" w:cs="Arial"/>
        </w:rPr>
        <w:t xml:space="preserve"> </w:t>
      </w:r>
      <w:r w:rsidR="000D136C" w:rsidRPr="00E27F2A">
        <w:rPr>
          <w:rFonts w:ascii="Palatino Linotype" w:hAnsi="Palatino Linotype" w:cs="Arial"/>
          <w:b/>
        </w:rPr>
        <w:t>MODIFICAR</w:t>
      </w:r>
      <w:r w:rsidR="00B5072E">
        <w:rPr>
          <w:rFonts w:ascii="Palatino Linotype" w:hAnsi="Palatino Linotype" w:cs="Arial"/>
        </w:rPr>
        <w:t xml:space="preserve"> la respuesta del </w:t>
      </w:r>
      <w:r w:rsidR="00B5072E" w:rsidRPr="006879A6">
        <w:rPr>
          <w:rFonts w:ascii="Palatino Linotype" w:hAnsi="Palatino Linotype" w:cs="Arial"/>
          <w:b/>
        </w:rPr>
        <w:t xml:space="preserve">SUJETO OBLIGADO </w:t>
      </w:r>
      <w:r w:rsidR="00B5072E">
        <w:rPr>
          <w:rFonts w:ascii="Palatino Linotype" w:hAnsi="Palatino Linotype" w:cs="Arial"/>
        </w:rPr>
        <w:t xml:space="preserve">y ordenar </w:t>
      </w:r>
      <w:r w:rsidR="000D136C" w:rsidRPr="00265F75">
        <w:rPr>
          <w:rFonts w:ascii="Palatino Linotype" w:hAnsi="Palatino Linotype" w:cs="Arial"/>
        </w:rPr>
        <w:t xml:space="preserve">la entrega </w:t>
      </w:r>
      <w:r w:rsidR="00E9559B">
        <w:rPr>
          <w:rFonts w:ascii="Palatino Linotype" w:hAnsi="Palatino Linotype" w:cs="Arial"/>
        </w:rPr>
        <w:t xml:space="preserve">en términos de los considerandos </w:t>
      </w:r>
      <w:r w:rsidR="00E9559B">
        <w:rPr>
          <w:rFonts w:ascii="Palatino Linotype" w:hAnsi="Palatino Linotype" w:cs="Arial"/>
          <w:b/>
        </w:rPr>
        <w:t xml:space="preserve">CUARO </w:t>
      </w:r>
      <w:r w:rsidR="00E9559B">
        <w:rPr>
          <w:rFonts w:ascii="Palatino Linotype" w:hAnsi="Palatino Linotype" w:cs="Arial"/>
        </w:rPr>
        <w:t xml:space="preserve">y </w:t>
      </w:r>
      <w:r w:rsidR="00E9559B">
        <w:rPr>
          <w:rFonts w:ascii="Palatino Linotype" w:hAnsi="Palatino Linotype" w:cs="Arial"/>
          <w:b/>
        </w:rPr>
        <w:t xml:space="preserve">QUINTO </w:t>
      </w:r>
      <w:r w:rsidR="00E9559B" w:rsidRPr="00E9559B">
        <w:rPr>
          <w:rFonts w:ascii="Palatino Linotype" w:hAnsi="Palatino Linotype" w:cs="Arial"/>
        </w:rPr>
        <w:t>de la siguiente información</w:t>
      </w:r>
      <w:r w:rsidR="00E9559B">
        <w:rPr>
          <w:rFonts w:ascii="Palatino Linotype" w:hAnsi="Palatino Linotype" w:cs="Arial"/>
        </w:rPr>
        <w:t>:</w:t>
      </w:r>
    </w:p>
    <w:p w14:paraId="1D9A2B11" w14:textId="77777777" w:rsidR="00E9559B" w:rsidRDefault="00E9559B" w:rsidP="007F2E0C">
      <w:pPr>
        <w:spacing w:before="100" w:beforeAutospacing="1" w:after="100" w:afterAutospacing="1" w:line="360" w:lineRule="auto"/>
        <w:contextualSpacing/>
        <w:jc w:val="both"/>
        <w:rPr>
          <w:rFonts w:ascii="Palatino Linotype" w:hAnsi="Palatino Linotype" w:cs="Arial"/>
        </w:rPr>
      </w:pPr>
    </w:p>
    <w:p w14:paraId="4A9A11F0" w14:textId="77777777" w:rsidR="007F2E0C" w:rsidRPr="007F2E0C" w:rsidRDefault="007F2E0C" w:rsidP="007F2E0C">
      <w:pPr>
        <w:spacing w:before="100" w:beforeAutospacing="1" w:after="100" w:afterAutospacing="1"/>
        <w:ind w:left="851" w:right="902"/>
        <w:contextualSpacing/>
        <w:jc w:val="both"/>
        <w:rPr>
          <w:rFonts w:ascii="Palatino Linotype" w:hAnsi="Palatino Linotype" w:cs="Arial"/>
          <w:i/>
          <w:sz w:val="22"/>
          <w:szCs w:val="22"/>
        </w:rPr>
      </w:pPr>
      <w:r w:rsidRPr="007F2E0C">
        <w:rPr>
          <w:rFonts w:ascii="Palatino Linotype" w:hAnsi="Palatino Linotype"/>
          <w:i/>
          <w:sz w:val="22"/>
          <w:szCs w:val="22"/>
          <w:lang w:eastAsia="es-MX"/>
        </w:rPr>
        <w:t>Deuda pública adquirida por el municipio en los ejercicios 2016, 2017 y 2018</w:t>
      </w:r>
      <w:r w:rsidRPr="007F2E0C">
        <w:rPr>
          <w:rFonts w:ascii="Palatino Linotype" w:hAnsi="Palatino Linotype" w:cs="Arial"/>
          <w:i/>
          <w:sz w:val="22"/>
          <w:szCs w:val="22"/>
        </w:rPr>
        <w:t xml:space="preserve">. </w:t>
      </w:r>
    </w:p>
    <w:p w14:paraId="5EA21B9A" w14:textId="77777777" w:rsidR="007F2E0C" w:rsidRPr="007F2E0C" w:rsidRDefault="007F2E0C" w:rsidP="007F2E0C">
      <w:pPr>
        <w:spacing w:before="100" w:beforeAutospacing="1" w:after="100" w:afterAutospacing="1"/>
        <w:ind w:left="851" w:right="902"/>
        <w:contextualSpacing/>
        <w:jc w:val="both"/>
        <w:rPr>
          <w:rFonts w:ascii="Palatino Linotype" w:hAnsi="Palatino Linotype" w:cs="Arial"/>
          <w:i/>
          <w:sz w:val="22"/>
          <w:szCs w:val="22"/>
        </w:rPr>
      </w:pPr>
    </w:p>
    <w:p w14:paraId="13AEFCE8" w14:textId="77777777" w:rsidR="007F2E0C" w:rsidRPr="007F2E0C" w:rsidRDefault="007F2E0C" w:rsidP="007F2E0C">
      <w:pPr>
        <w:spacing w:before="100" w:beforeAutospacing="1" w:after="100" w:afterAutospacing="1"/>
        <w:ind w:left="851" w:right="902"/>
        <w:contextualSpacing/>
        <w:jc w:val="both"/>
        <w:rPr>
          <w:rFonts w:ascii="Palatino Linotype" w:hAnsi="Palatino Linotype"/>
          <w:i/>
          <w:sz w:val="22"/>
          <w:szCs w:val="22"/>
        </w:rPr>
      </w:pPr>
      <w:r w:rsidRPr="007F2E0C">
        <w:rPr>
          <w:rFonts w:ascii="Palatino Linotype" w:hAnsi="Palatino Linotype" w:cs="Arial"/>
          <w:i/>
          <w:sz w:val="22"/>
          <w:szCs w:val="22"/>
        </w:rPr>
        <w:t>De ser necesaria la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 la parte recurrente, mismo que igualmente hará de su conocimiento.</w:t>
      </w:r>
    </w:p>
    <w:p w14:paraId="0C09CE8C" w14:textId="77777777" w:rsidR="007F2E0C" w:rsidRPr="007F2E0C" w:rsidRDefault="007F2E0C" w:rsidP="007F2E0C">
      <w:pPr>
        <w:spacing w:before="100" w:beforeAutospacing="1" w:after="100" w:afterAutospacing="1"/>
        <w:ind w:left="851" w:right="902"/>
        <w:contextualSpacing/>
        <w:jc w:val="both"/>
        <w:rPr>
          <w:rFonts w:ascii="Palatino Linotype" w:hAnsi="Palatino Linotype"/>
          <w:i/>
          <w:sz w:val="22"/>
          <w:szCs w:val="22"/>
        </w:rPr>
      </w:pPr>
    </w:p>
    <w:p w14:paraId="3B290628" w14:textId="77777777" w:rsidR="007F2E0C" w:rsidRPr="007F2E0C" w:rsidRDefault="007F2E0C" w:rsidP="007F2E0C">
      <w:pPr>
        <w:spacing w:before="100" w:beforeAutospacing="1" w:after="100" w:afterAutospacing="1"/>
        <w:ind w:left="851" w:right="902"/>
        <w:contextualSpacing/>
        <w:jc w:val="both"/>
        <w:rPr>
          <w:rFonts w:ascii="Palatino Linotype" w:hAnsi="Palatino Linotype"/>
          <w:i/>
          <w:sz w:val="22"/>
          <w:szCs w:val="22"/>
        </w:rPr>
      </w:pPr>
      <w:r w:rsidRPr="007F2E0C">
        <w:rPr>
          <w:rFonts w:ascii="Palatino Linotype" w:hAnsi="Palatino Linotype"/>
          <w:i/>
          <w:sz w:val="22"/>
          <w:szCs w:val="22"/>
        </w:rPr>
        <w:t xml:space="preserve">De ser el caso que posterior a la previa búsqueda exhaustiva y razonable no se localizará la información requerida en el </w:t>
      </w:r>
      <w:r w:rsidRPr="007F2E0C">
        <w:rPr>
          <w:rFonts w:ascii="Palatino Linotype" w:hAnsi="Palatino Linotype"/>
          <w:b/>
          <w:i/>
          <w:sz w:val="22"/>
          <w:szCs w:val="22"/>
        </w:rPr>
        <w:t xml:space="preserve">punto 1, </w:t>
      </w:r>
      <w:r w:rsidRPr="007F2E0C">
        <w:rPr>
          <w:rFonts w:ascii="Palatino Linotype" w:hAnsi="Palatino Linotype"/>
          <w:i/>
          <w:sz w:val="22"/>
          <w:szCs w:val="22"/>
        </w:rPr>
        <w:t xml:space="preserve">se deberá emitir el Acuerdo de Inexistencia del Comité de Transparencia, en términos de los artículos 19, último párrafo, 169 y 170 de Ley de Transparencia y Acceso a la Información Pública del Estado de México y Municipios, en el </w:t>
      </w:r>
      <w:r w:rsidRPr="007F2E0C">
        <w:rPr>
          <w:rFonts w:ascii="Palatino Linotype" w:hAnsi="Palatino Linotype"/>
          <w:i/>
          <w:sz w:val="22"/>
          <w:szCs w:val="22"/>
        </w:rPr>
        <w:lastRenderedPageBreak/>
        <w:t>que se funden y motiven las razones por las cuales no se generó, poseyó y/o administro la información.</w:t>
      </w:r>
    </w:p>
    <w:p w14:paraId="0EA4A6AE" w14:textId="77777777" w:rsidR="009E5EDA" w:rsidRDefault="009E5EDA" w:rsidP="007F2E0C">
      <w:pPr>
        <w:spacing w:before="100" w:beforeAutospacing="1" w:after="100" w:afterAutospacing="1" w:line="360" w:lineRule="auto"/>
        <w:contextualSpacing/>
        <w:jc w:val="both"/>
        <w:rPr>
          <w:rFonts w:ascii="Palatino Linotype" w:hAnsi="Palatino Linotype" w:cs="Arial"/>
          <w:b/>
          <w:lang w:val="es-MX"/>
        </w:rPr>
      </w:pPr>
    </w:p>
    <w:p w14:paraId="5B8EA361" w14:textId="3BEABD2B" w:rsidR="00140D18" w:rsidRDefault="00140D18" w:rsidP="00140D18">
      <w:pPr>
        <w:spacing w:line="360" w:lineRule="auto"/>
        <w:jc w:val="both"/>
        <w:rPr>
          <w:rFonts w:ascii="Palatino Linotype" w:hAnsi="Palatino Linotype"/>
        </w:rPr>
      </w:pPr>
      <w:r>
        <w:rPr>
          <w:rFonts w:ascii="Palatino Linotype" w:hAnsi="Palatino Linotype" w:cs="Arial"/>
        </w:rPr>
        <w:t xml:space="preserve">En ese sentido, </w:t>
      </w:r>
      <w:r w:rsidRPr="00D93A88">
        <w:rPr>
          <w:rFonts w:ascii="Palatino Linotype" w:hAnsi="Palatino Linotype"/>
        </w:rPr>
        <w:t>l</w:t>
      </w:r>
      <w:r>
        <w:rPr>
          <w:rFonts w:ascii="Palatino Linotype" w:hAnsi="Palatino Linotype"/>
        </w:rPr>
        <w:t>a</w:t>
      </w:r>
      <w:r w:rsidRPr="00D93A88">
        <w:rPr>
          <w:rFonts w:ascii="Palatino Linotype" w:hAnsi="Palatino Linotype"/>
        </w:rPr>
        <w:t xml:space="preserve"> que suscribe</w:t>
      </w:r>
      <w:r>
        <w:rPr>
          <w:rFonts w:ascii="Palatino Linotype" w:hAnsi="Palatino Linotype" w:cs="Arial"/>
        </w:rPr>
        <w:t xml:space="preserve"> reitera, que </w:t>
      </w:r>
      <w:r>
        <w:rPr>
          <w:rFonts w:ascii="Palatino Linotype" w:hAnsi="Palatino Linotype"/>
        </w:rPr>
        <w:t xml:space="preserve">si bien coincide en términos generales en el estudio de la resolución en comento, </w:t>
      </w:r>
      <w:r w:rsidRPr="00D93A88">
        <w:rPr>
          <w:rFonts w:ascii="Palatino Linotype" w:hAnsi="Palatino Linotype"/>
        </w:rPr>
        <w:t>dif</w:t>
      </w:r>
      <w:r>
        <w:rPr>
          <w:rFonts w:ascii="Palatino Linotype" w:hAnsi="Palatino Linotype"/>
        </w:rPr>
        <w:t xml:space="preserve">iero </w:t>
      </w:r>
      <w:r w:rsidRPr="00D93A88">
        <w:rPr>
          <w:rFonts w:ascii="Palatino Linotype" w:hAnsi="Palatino Linotype"/>
        </w:rPr>
        <w:t>respecto a</w:t>
      </w:r>
      <w:r>
        <w:rPr>
          <w:rFonts w:ascii="Palatino Linotype" w:hAnsi="Palatino Linotype"/>
        </w:rPr>
        <w:t xml:space="preserve">l pronunciamiento realizado por la Ponencia Resolutora con relación a no realizar un análisis de la totalidad de la respuesta del </w:t>
      </w:r>
      <w:r w:rsidRPr="00832A39">
        <w:rPr>
          <w:rFonts w:ascii="Palatino Linotype" w:hAnsi="Palatino Linotype"/>
          <w:b/>
        </w:rPr>
        <w:t>SUJETO OBLIGADO</w:t>
      </w:r>
      <w:r>
        <w:rPr>
          <w:rFonts w:ascii="Palatino Linotype" w:hAnsi="Palatino Linotype"/>
        </w:rPr>
        <w:t xml:space="preserve"> por considerar como actos consentidos el hecho que el ahora </w:t>
      </w:r>
      <w:r w:rsidRPr="00832A39">
        <w:rPr>
          <w:rFonts w:ascii="Palatino Linotype" w:hAnsi="Palatino Linotype"/>
          <w:b/>
        </w:rPr>
        <w:t>RECURRENTE</w:t>
      </w:r>
      <w:r>
        <w:rPr>
          <w:rFonts w:ascii="Palatino Linotype" w:hAnsi="Palatino Linotype"/>
        </w:rPr>
        <w:t xml:space="preserve"> no se inconformó de toda la información que solicitó. Lo anterior es así, en razón de que, se advierte que como</w:t>
      </w:r>
      <w:r>
        <w:rPr>
          <w:rFonts w:ascii="Palatino Linotype" w:hAnsi="Palatino Linotype" w:cs="Arial"/>
        </w:rPr>
        <w:t xml:space="preserve"> acto impugnado señaló conocer el proceso de búsqueda exhaustiva y en razón de ello se debió entrar al estudio de la totalidad de la información solicitada, ya que </w:t>
      </w:r>
      <w:r>
        <w:rPr>
          <w:rFonts w:ascii="Palatino Linotype" w:hAnsi="Palatino Linotype"/>
        </w:rPr>
        <w:t xml:space="preserve">si bien </w:t>
      </w:r>
      <w:r w:rsidRPr="002E5711">
        <w:rPr>
          <w:rFonts w:ascii="Palatino Linotype" w:hAnsi="Palatino Linotype"/>
          <w:b/>
        </w:rPr>
        <w:t>EL</w:t>
      </w:r>
      <w:r>
        <w:rPr>
          <w:rFonts w:ascii="Palatino Linotype" w:hAnsi="Palatino Linotype"/>
        </w:rPr>
        <w:t xml:space="preserve"> </w:t>
      </w:r>
      <w:r w:rsidRPr="002E5711">
        <w:rPr>
          <w:rFonts w:ascii="Palatino Linotype" w:hAnsi="Palatino Linotype"/>
          <w:b/>
        </w:rPr>
        <w:t>RECURRENTE</w:t>
      </w:r>
      <w:r>
        <w:rPr>
          <w:rFonts w:ascii="Palatino Linotype" w:hAnsi="Palatino Linotype"/>
        </w:rPr>
        <w:t xml:space="preserve"> se pronunció en sus motivos o razones de inconformidad respecto a solicitar una copia simple de la resolución del comité de transparencia respecto a la inexistencia de la información solicitada, lo cierto es que con el hecho de que en el acto que impugna se haya manifestado la respuesta otorgada por el </w:t>
      </w:r>
      <w:r>
        <w:rPr>
          <w:rFonts w:ascii="Palatino Linotype" w:hAnsi="Palatino Linotype"/>
          <w:b/>
        </w:rPr>
        <w:t>SUJETO OBLIGADO</w:t>
      </w:r>
      <w:r>
        <w:rPr>
          <w:rFonts w:ascii="Palatino Linotype" w:hAnsi="Palatino Linotype"/>
        </w:rPr>
        <w:t>, se debe entrar al estudio de la totalidad de la información por todos los rubros requeridos.</w:t>
      </w:r>
    </w:p>
    <w:p w14:paraId="0A1E9942" w14:textId="25A1755E" w:rsidR="00140D18" w:rsidRDefault="00140D18" w:rsidP="00140D18">
      <w:pPr>
        <w:spacing w:line="360" w:lineRule="auto"/>
        <w:jc w:val="both"/>
        <w:rPr>
          <w:rFonts w:ascii="Palatino Linotype" w:hAnsi="Palatino Linotype"/>
        </w:rPr>
      </w:pPr>
    </w:p>
    <w:p w14:paraId="52EA245C" w14:textId="5E950182" w:rsidR="00140D18" w:rsidRDefault="00140D18" w:rsidP="00140D18">
      <w:pPr>
        <w:spacing w:line="360" w:lineRule="auto"/>
        <w:jc w:val="both"/>
        <w:rPr>
          <w:rFonts w:ascii="Palatino Linotype" w:eastAsia="Arial Unicode MS" w:hAnsi="Palatino Linotype" w:cs="Arial"/>
        </w:rPr>
      </w:pPr>
      <w:r>
        <w:rPr>
          <w:rFonts w:ascii="Palatino Linotype" w:hAnsi="Palatino Linotype"/>
        </w:rPr>
        <w:t xml:space="preserve">En este contexto, es de resaltar que en el estudio del recurso de revisión que realiza la Ponencia, se señala que </w:t>
      </w:r>
      <w:r w:rsidRPr="002E5711">
        <w:rPr>
          <w:rFonts w:ascii="Palatino Linotype" w:hAnsi="Palatino Linotype"/>
          <w:b/>
        </w:rPr>
        <w:t>EL RECURRENTE</w:t>
      </w:r>
      <w:r>
        <w:rPr>
          <w:rFonts w:ascii="Palatino Linotype" w:hAnsi="Palatino Linotype"/>
        </w:rPr>
        <w:t xml:space="preserve"> </w:t>
      </w:r>
      <w:r>
        <w:rPr>
          <w:rFonts w:ascii="Palatino Linotype" w:hAnsi="Palatino Linotype" w:cs="Arial"/>
        </w:rPr>
        <w:t xml:space="preserve">no impugnó todos los rubros vertidos como respuesta por parte del </w:t>
      </w:r>
      <w:r w:rsidRPr="00832A39">
        <w:rPr>
          <w:rFonts w:ascii="Palatino Linotype" w:hAnsi="Palatino Linotype" w:cs="Arial"/>
          <w:b/>
        </w:rPr>
        <w:t>SUJETO OBLIGADO</w:t>
      </w:r>
      <w:r>
        <w:rPr>
          <w:rFonts w:ascii="Palatino Linotype" w:hAnsi="Palatino Linotype" w:cs="Arial"/>
        </w:rPr>
        <w:t xml:space="preserve">, declarando </w:t>
      </w:r>
      <w:r w:rsidRPr="00F06505">
        <w:rPr>
          <w:rFonts w:ascii="Palatino Linotype" w:hAnsi="Palatino Linotype" w:cs="Arial"/>
          <w:i/>
        </w:rPr>
        <w:t>“Actos Consentidos”</w:t>
      </w:r>
      <w:r>
        <w:rPr>
          <w:rFonts w:ascii="Palatino Linotype" w:eastAsia="Arial Unicode MS" w:hAnsi="Palatino Linotype" w:cs="Arial"/>
        </w:rPr>
        <w:t xml:space="preserve">; por lo que, no pueden producirse efectos jurídicos tendientes a revocar, confirmar o modificar el acto reclamado, situación que no es procedente en virtud que al momento en que el </w:t>
      </w:r>
      <w:r w:rsidRPr="00646A97">
        <w:rPr>
          <w:rFonts w:ascii="Palatino Linotype" w:eastAsia="Arial Unicode MS" w:hAnsi="Palatino Linotype" w:cs="Arial"/>
          <w:b/>
        </w:rPr>
        <w:t>RECURRENTE</w:t>
      </w:r>
      <w:r>
        <w:rPr>
          <w:rFonts w:ascii="Palatino Linotype" w:eastAsia="Arial Unicode MS" w:hAnsi="Palatino Linotype" w:cs="Arial"/>
        </w:rPr>
        <w:t xml:space="preserve"> señala como acto impugnado la respuesta proporcionada, se insiste que debió entrar la Ponencia al estudio de cada uno de los puntos solicitados por el particular en la solicitud </w:t>
      </w:r>
      <w:r>
        <w:rPr>
          <w:rFonts w:ascii="Palatino Linotype" w:hAnsi="Palatino Linotype" w:cs="Arial"/>
          <w:b/>
          <w:lang w:val="es-MX" w:eastAsia="es-MX"/>
        </w:rPr>
        <w:t>00065/TENANCIN</w:t>
      </w:r>
      <w:r w:rsidRPr="00F73D4A">
        <w:rPr>
          <w:rFonts w:ascii="Palatino Linotype" w:hAnsi="Palatino Linotype" w:cs="Arial"/>
          <w:b/>
          <w:lang w:val="es-MX" w:eastAsia="es-MX"/>
        </w:rPr>
        <w:t>/IP/201</w:t>
      </w:r>
      <w:r>
        <w:rPr>
          <w:rFonts w:ascii="Palatino Linotype" w:hAnsi="Palatino Linotype" w:cs="Arial"/>
          <w:b/>
          <w:lang w:val="es-MX" w:eastAsia="es-MX"/>
        </w:rPr>
        <w:t>9</w:t>
      </w:r>
      <w:r>
        <w:rPr>
          <w:rFonts w:ascii="Palatino Linotype" w:eastAsia="Arial Unicode MS" w:hAnsi="Palatino Linotype" w:cs="Arial"/>
          <w:b/>
        </w:rPr>
        <w:t>.</w:t>
      </w:r>
    </w:p>
    <w:p w14:paraId="3B5A6BC3" w14:textId="25BF2D23" w:rsidR="00140D18" w:rsidRDefault="00140D18" w:rsidP="00140D18">
      <w:pPr>
        <w:spacing w:line="360" w:lineRule="auto"/>
        <w:jc w:val="both"/>
        <w:rPr>
          <w:rFonts w:ascii="Palatino Linotype" w:hAnsi="Palatino Linotype" w:cs="Arial"/>
          <w:bCs/>
          <w:lang w:val="es-MX"/>
        </w:rPr>
      </w:pPr>
      <w:r>
        <w:rPr>
          <w:rFonts w:ascii="Palatino Linotype" w:hAnsi="Palatino Linotype"/>
        </w:rPr>
        <w:lastRenderedPageBreak/>
        <w:t>Lo anterior, máxime</w:t>
      </w:r>
      <w:r w:rsidRPr="00E27F2A">
        <w:rPr>
          <w:rFonts w:ascii="Palatino Linotype" w:hAnsi="Palatino Linotype" w:cs="Arial"/>
        </w:rPr>
        <w:t xml:space="preserve"> que de conformidad con el artículo </w:t>
      </w:r>
      <w:r>
        <w:rPr>
          <w:rFonts w:ascii="Palatino Linotype" w:hAnsi="Palatino Linotype" w:cs="Arial"/>
          <w:bCs/>
          <w:lang w:val="es-MX"/>
        </w:rPr>
        <w:t>a</w:t>
      </w:r>
      <w:r w:rsidRPr="00AD6AAD">
        <w:rPr>
          <w:rFonts w:ascii="Palatino Linotype" w:hAnsi="Palatino Linotype" w:cs="Arial"/>
          <w:bCs/>
          <w:lang w:val="es-MX"/>
        </w:rPr>
        <w:t xml:space="preserve">rtículo </w:t>
      </w:r>
      <w:r>
        <w:rPr>
          <w:rFonts w:ascii="Palatino Linotype" w:hAnsi="Palatino Linotype" w:cs="Arial"/>
          <w:bCs/>
          <w:lang w:val="es-MX"/>
        </w:rPr>
        <w:t>8 de la Ley de Transparencia y Acceso a la Información Pública del Estado de México y Municipios que señala:</w:t>
      </w:r>
    </w:p>
    <w:p w14:paraId="16E4E40B" w14:textId="77777777" w:rsidR="00140D18" w:rsidRDefault="00140D18" w:rsidP="00140D18">
      <w:pPr>
        <w:spacing w:line="360" w:lineRule="auto"/>
        <w:jc w:val="both"/>
        <w:rPr>
          <w:rFonts w:ascii="Palatino Linotype" w:hAnsi="Palatino Linotype" w:cs="Arial"/>
          <w:bCs/>
          <w:lang w:val="es-MX"/>
        </w:rPr>
      </w:pPr>
    </w:p>
    <w:p w14:paraId="660D496B" w14:textId="77777777" w:rsidR="00140D18" w:rsidRPr="007C7551" w:rsidRDefault="00140D18" w:rsidP="00140D18">
      <w:pPr>
        <w:spacing w:line="276" w:lineRule="auto"/>
        <w:ind w:left="426" w:right="1325"/>
        <w:jc w:val="both"/>
        <w:rPr>
          <w:rFonts w:ascii="Palatino Linotype" w:hAnsi="Palatino Linotype" w:cs="Arial"/>
          <w:bCs/>
          <w:i/>
          <w:sz w:val="22"/>
          <w:lang w:val="es-MX"/>
        </w:rPr>
      </w:pPr>
      <w:r w:rsidRPr="007C7551">
        <w:rPr>
          <w:rFonts w:ascii="Palatino Linotype" w:hAnsi="Palatino Linotype" w:cs="Arial"/>
          <w:b/>
          <w:bCs/>
          <w:i/>
          <w:sz w:val="22"/>
          <w:lang w:val="es-MX"/>
        </w:rPr>
        <w:t>Artículo 8</w:t>
      </w:r>
      <w:r w:rsidRPr="007C7551">
        <w:rPr>
          <w:rFonts w:ascii="Palatino Linotype" w:hAnsi="Palatino Linotype" w:cs="Arial"/>
          <w:bCs/>
          <w:i/>
          <w:sz w:val="22"/>
          <w:lang w:val="es-MX"/>
        </w:rPr>
        <w:t>.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14:paraId="26C67C64" w14:textId="77777777" w:rsidR="00140D18" w:rsidRPr="007C7551" w:rsidRDefault="00140D18" w:rsidP="00140D18">
      <w:pPr>
        <w:spacing w:line="276" w:lineRule="auto"/>
        <w:ind w:left="426" w:right="1325"/>
        <w:jc w:val="both"/>
        <w:rPr>
          <w:rFonts w:ascii="Palatino Linotype" w:hAnsi="Palatino Linotype" w:cs="Arial"/>
          <w:bCs/>
          <w:i/>
          <w:sz w:val="22"/>
          <w:lang w:val="es-MX"/>
        </w:rPr>
      </w:pPr>
    </w:p>
    <w:p w14:paraId="279EDF19" w14:textId="77777777" w:rsidR="00140D18" w:rsidRPr="007C7551" w:rsidRDefault="00140D18" w:rsidP="00140D18">
      <w:pPr>
        <w:spacing w:line="276" w:lineRule="auto"/>
        <w:ind w:left="426" w:right="1325"/>
        <w:jc w:val="both"/>
        <w:rPr>
          <w:sz w:val="22"/>
        </w:rPr>
      </w:pPr>
      <w:r w:rsidRPr="007C7551">
        <w:rPr>
          <w:rFonts w:ascii="Palatino Linotype" w:hAnsi="Palatino Linotype" w:cs="Arial"/>
          <w:bCs/>
          <w:i/>
          <w:sz w:val="22"/>
          <w:lang w:val="es-MX"/>
        </w:rPr>
        <w:t xml:space="preserve">En la aplicación e interpretación de la presente Ley </w:t>
      </w:r>
      <w:r w:rsidRPr="007C7551">
        <w:rPr>
          <w:rFonts w:ascii="Palatino Linotype" w:hAnsi="Palatino Linotype" w:cs="Arial"/>
          <w:bCs/>
          <w:i/>
          <w:sz w:val="22"/>
          <w:u w:val="single"/>
          <w:lang w:val="es-MX"/>
        </w:rPr>
        <w:t>deberá prevalecer el principio de máxima publicidad</w:t>
      </w:r>
      <w:r w:rsidRPr="007C7551">
        <w:rPr>
          <w:rFonts w:ascii="Palatino Linotype" w:hAnsi="Palatino Linotype" w:cs="Arial"/>
          <w:bCs/>
          <w:i/>
          <w:sz w:val="22"/>
          <w:lang w:val="es-MX"/>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w:t>
      </w:r>
      <w:r w:rsidRPr="007C7551">
        <w:rPr>
          <w:rFonts w:ascii="Palatino Linotype" w:hAnsi="Palatino Linotype" w:cs="Arial"/>
          <w:bCs/>
          <w:i/>
          <w:sz w:val="22"/>
          <w:u w:val="single"/>
          <w:lang w:val="es-MX"/>
        </w:rPr>
        <w:t>favoreciendo en todo tiempo a las personas la protección más amplia, atendiendo al principio pro persona</w:t>
      </w:r>
      <w:r w:rsidRPr="007C7551">
        <w:rPr>
          <w:rFonts w:ascii="Palatino Linotype" w:hAnsi="Palatino Linotype" w:cs="Arial"/>
          <w:bCs/>
          <w:i/>
          <w:sz w:val="22"/>
          <w:lang w:val="es-MX"/>
        </w:rPr>
        <w:t>...</w:t>
      </w:r>
      <w:r w:rsidRPr="007C7551">
        <w:rPr>
          <w:sz w:val="22"/>
        </w:rPr>
        <w:t xml:space="preserve"> </w:t>
      </w:r>
    </w:p>
    <w:p w14:paraId="14E18299" w14:textId="77777777" w:rsidR="00140D18" w:rsidRDefault="00140D18" w:rsidP="00140D18">
      <w:pPr>
        <w:spacing w:line="276" w:lineRule="auto"/>
        <w:ind w:left="426" w:right="1325"/>
        <w:jc w:val="both"/>
      </w:pPr>
    </w:p>
    <w:p w14:paraId="2A5BEA1F" w14:textId="77777777" w:rsidR="00140D18" w:rsidRDefault="00140D18" w:rsidP="00140D18">
      <w:pPr>
        <w:spacing w:line="360" w:lineRule="auto"/>
        <w:jc w:val="both"/>
        <w:rPr>
          <w:rFonts w:ascii="Palatino Linotype" w:hAnsi="Palatino Linotype" w:cs="Arial"/>
        </w:rPr>
      </w:pPr>
      <w:r>
        <w:rPr>
          <w:rFonts w:ascii="Palatino Linotype" w:hAnsi="Palatino Linotype" w:cs="Arial"/>
        </w:rPr>
        <w:t xml:space="preserve">En este sentido en conveniente invocar </w:t>
      </w:r>
      <w:r w:rsidRPr="007C7551">
        <w:rPr>
          <w:rFonts w:ascii="Palatino Linotype" w:hAnsi="Palatino Linotype" w:cs="Arial"/>
        </w:rPr>
        <w:t>la tesis 1a. CCCXXVII/2014 (10a.)</w:t>
      </w:r>
      <w:r>
        <w:rPr>
          <w:rFonts w:ascii="Palatino Linotype" w:hAnsi="Palatino Linotype" w:cs="Arial"/>
        </w:rPr>
        <w:t xml:space="preserve"> emitida por la </w:t>
      </w:r>
      <w:r w:rsidRPr="007C7551">
        <w:rPr>
          <w:rFonts w:ascii="Palatino Linotype" w:hAnsi="Palatino Linotype" w:cs="Arial"/>
        </w:rPr>
        <w:t xml:space="preserve">Primera Sala de la Suprema Corte de Justicia de la Nación, </w:t>
      </w:r>
      <w:r>
        <w:rPr>
          <w:rFonts w:ascii="Palatino Linotype" w:hAnsi="Palatino Linotype" w:cs="Arial"/>
        </w:rPr>
        <w:t>cuyo sentido es el siguiente:</w:t>
      </w:r>
    </w:p>
    <w:p w14:paraId="23316621" w14:textId="77777777" w:rsidR="00140D18" w:rsidRDefault="00140D18" w:rsidP="00140D18">
      <w:pPr>
        <w:spacing w:line="360" w:lineRule="auto"/>
        <w:jc w:val="both"/>
        <w:rPr>
          <w:rFonts w:ascii="Palatino Linotype" w:hAnsi="Palatino Linotype" w:cs="Arial"/>
        </w:rPr>
      </w:pPr>
    </w:p>
    <w:p w14:paraId="3927C2AD" w14:textId="77777777" w:rsidR="00140D18" w:rsidRPr="007C7551" w:rsidRDefault="00140D18" w:rsidP="00140D18">
      <w:pPr>
        <w:ind w:left="426" w:right="1325"/>
        <w:jc w:val="both"/>
        <w:rPr>
          <w:rFonts w:ascii="Palatino Linotype" w:hAnsi="Palatino Linotype" w:cs="Arial"/>
          <w:bCs/>
          <w:i/>
          <w:sz w:val="22"/>
          <w:lang w:val="es-MX"/>
        </w:rPr>
      </w:pPr>
      <w:r w:rsidRPr="007C7551">
        <w:rPr>
          <w:rFonts w:ascii="Palatino Linotype" w:hAnsi="Palatino Linotype" w:cs="Arial"/>
          <w:bCs/>
          <w:i/>
          <w:sz w:val="22"/>
          <w:lang w:val="es-MX"/>
        </w:rPr>
        <w:t xml:space="preserve">Época: Décima Época </w:t>
      </w:r>
    </w:p>
    <w:p w14:paraId="456433A6" w14:textId="77777777" w:rsidR="00140D18" w:rsidRPr="007C7551" w:rsidRDefault="00140D18" w:rsidP="00140D18">
      <w:pPr>
        <w:ind w:left="426" w:right="1325"/>
        <w:jc w:val="both"/>
        <w:rPr>
          <w:rFonts w:ascii="Palatino Linotype" w:hAnsi="Palatino Linotype" w:cs="Arial"/>
          <w:bCs/>
          <w:i/>
          <w:sz w:val="22"/>
          <w:lang w:val="es-MX"/>
        </w:rPr>
      </w:pPr>
      <w:r w:rsidRPr="007C7551">
        <w:rPr>
          <w:rFonts w:ascii="Palatino Linotype" w:hAnsi="Palatino Linotype" w:cs="Arial"/>
          <w:bCs/>
          <w:i/>
          <w:sz w:val="22"/>
          <w:lang w:val="es-MX"/>
        </w:rPr>
        <w:t xml:space="preserve">Registro: 2007561 </w:t>
      </w:r>
    </w:p>
    <w:p w14:paraId="301E481D" w14:textId="77777777" w:rsidR="00140D18" w:rsidRPr="007C7551" w:rsidRDefault="00140D18" w:rsidP="00140D18">
      <w:pPr>
        <w:ind w:left="426" w:right="1325"/>
        <w:jc w:val="both"/>
        <w:rPr>
          <w:rFonts w:ascii="Palatino Linotype" w:hAnsi="Palatino Linotype" w:cs="Arial"/>
          <w:bCs/>
          <w:i/>
          <w:sz w:val="22"/>
          <w:lang w:val="es-MX"/>
        </w:rPr>
      </w:pPr>
      <w:r w:rsidRPr="007C7551">
        <w:rPr>
          <w:rFonts w:ascii="Palatino Linotype" w:hAnsi="Palatino Linotype" w:cs="Arial"/>
          <w:bCs/>
          <w:i/>
          <w:sz w:val="22"/>
          <w:lang w:val="es-MX"/>
        </w:rPr>
        <w:t xml:space="preserve">Instancia: Primera Sala </w:t>
      </w:r>
    </w:p>
    <w:p w14:paraId="14C14E17" w14:textId="77777777" w:rsidR="00140D18" w:rsidRPr="007C7551" w:rsidRDefault="00140D18" w:rsidP="00140D18">
      <w:pPr>
        <w:ind w:left="426" w:right="1325"/>
        <w:jc w:val="both"/>
        <w:rPr>
          <w:rFonts w:ascii="Palatino Linotype" w:hAnsi="Palatino Linotype" w:cs="Arial"/>
          <w:bCs/>
          <w:i/>
          <w:sz w:val="22"/>
          <w:lang w:val="es-MX"/>
        </w:rPr>
      </w:pPr>
      <w:r w:rsidRPr="007C7551">
        <w:rPr>
          <w:rFonts w:ascii="Palatino Linotype" w:hAnsi="Palatino Linotype" w:cs="Arial"/>
          <w:bCs/>
          <w:i/>
          <w:sz w:val="22"/>
          <w:lang w:val="es-MX"/>
        </w:rPr>
        <w:t xml:space="preserve">Tipo de Tesis: Aislada </w:t>
      </w:r>
    </w:p>
    <w:p w14:paraId="56DD7BC1" w14:textId="77777777" w:rsidR="00140D18" w:rsidRPr="007C7551" w:rsidRDefault="00140D18" w:rsidP="00140D18">
      <w:pPr>
        <w:ind w:left="426" w:right="1325"/>
        <w:jc w:val="both"/>
        <w:rPr>
          <w:rFonts w:ascii="Palatino Linotype" w:hAnsi="Palatino Linotype" w:cs="Arial"/>
          <w:bCs/>
          <w:i/>
          <w:sz w:val="22"/>
          <w:lang w:val="es-MX"/>
        </w:rPr>
      </w:pPr>
      <w:r w:rsidRPr="007C7551">
        <w:rPr>
          <w:rFonts w:ascii="Palatino Linotype" w:hAnsi="Palatino Linotype" w:cs="Arial"/>
          <w:bCs/>
          <w:i/>
          <w:sz w:val="22"/>
          <w:lang w:val="es-MX"/>
        </w:rPr>
        <w:t xml:space="preserve">Fuente: Gaceta del Semanario Judicial de la Federación </w:t>
      </w:r>
    </w:p>
    <w:p w14:paraId="09E18C2F" w14:textId="77777777" w:rsidR="00140D18" w:rsidRPr="007C7551" w:rsidRDefault="00140D18" w:rsidP="00140D18">
      <w:pPr>
        <w:ind w:left="426" w:right="1325"/>
        <w:jc w:val="both"/>
        <w:rPr>
          <w:rFonts w:ascii="Palatino Linotype" w:hAnsi="Palatino Linotype" w:cs="Arial"/>
          <w:bCs/>
          <w:i/>
          <w:sz w:val="22"/>
          <w:lang w:val="es-MX"/>
        </w:rPr>
      </w:pPr>
      <w:r w:rsidRPr="007C7551">
        <w:rPr>
          <w:rFonts w:ascii="Palatino Linotype" w:hAnsi="Palatino Linotype" w:cs="Arial"/>
          <w:bCs/>
          <w:i/>
          <w:sz w:val="22"/>
          <w:lang w:val="es-MX"/>
        </w:rPr>
        <w:t xml:space="preserve">Libro 11, Octubre de 2014, Tomo I </w:t>
      </w:r>
    </w:p>
    <w:p w14:paraId="2CCB9E39" w14:textId="77777777" w:rsidR="00140D18" w:rsidRPr="007C7551" w:rsidRDefault="00140D18" w:rsidP="00140D18">
      <w:pPr>
        <w:ind w:left="426" w:right="1325"/>
        <w:jc w:val="both"/>
        <w:rPr>
          <w:rFonts w:ascii="Palatino Linotype" w:hAnsi="Palatino Linotype" w:cs="Arial"/>
          <w:bCs/>
          <w:i/>
          <w:sz w:val="22"/>
          <w:lang w:val="es-MX"/>
        </w:rPr>
      </w:pPr>
      <w:r w:rsidRPr="007C7551">
        <w:rPr>
          <w:rFonts w:ascii="Palatino Linotype" w:hAnsi="Palatino Linotype" w:cs="Arial"/>
          <w:bCs/>
          <w:i/>
          <w:sz w:val="22"/>
          <w:lang w:val="es-MX"/>
        </w:rPr>
        <w:t xml:space="preserve">Materia(s): Constitucional, Común </w:t>
      </w:r>
    </w:p>
    <w:p w14:paraId="1A81BE8F" w14:textId="77777777" w:rsidR="00140D18" w:rsidRPr="007C7551" w:rsidRDefault="00140D18" w:rsidP="00140D18">
      <w:pPr>
        <w:ind w:left="426" w:right="1325"/>
        <w:jc w:val="both"/>
        <w:rPr>
          <w:rFonts w:ascii="Palatino Linotype" w:hAnsi="Palatino Linotype" w:cs="Arial"/>
          <w:bCs/>
          <w:i/>
          <w:sz w:val="22"/>
          <w:lang w:val="es-MX"/>
        </w:rPr>
      </w:pPr>
      <w:r w:rsidRPr="007C7551">
        <w:rPr>
          <w:rFonts w:ascii="Palatino Linotype" w:hAnsi="Palatino Linotype" w:cs="Arial"/>
          <w:bCs/>
          <w:i/>
          <w:sz w:val="22"/>
          <w:lang w:val="es-MX"/>
        </w:rPr>
        <w:t xml:space="preserve">Tesis: 1a. CCCXXVII/2014 (10a.) </w:t>
      </w:r>
    </w:p>
    <w:p w14:paraId="7E784338" w14:textId="77777777" w:rsidR="00140D18" w:rsidRPr="007C7551" w:rsidRDefault="00140D18" w:rsidP="00140D18">
      <w:pPr>
        <w:ind w:left="426" w:right="1325"/>
        <w:jc w:val="both"/>
        <w:rPr>
          <w:rFonts w:ascii="Palatino Linotype" w:hAnsi="Palatino Linotype" w:cs="Arial"/>
          <w:bCs/>
          <w:i/>
          <w:sz w:val="22"/>
          <w:lang w:val="es-MX"/>
        </w:rPr>
      </w:pPr>
      <w:r w:rsidRPr="007C7551">
        <w:rPr>
          <w:rFonts w:ascii="Palatino Linotype" w:hAnsi="Palatino Linotype" w:cs="Arial"/>
          <w:bCs/>
          <w:i/>
          <w:sz w:val="22"/>
          <w:lang w:val="es-MX"/>
        </w:rPr>
        <w:t xml:space="preserve">Página: 613 </w:t>
      </w:r>
    </w:p>
    <w:p w14:paraId="66B7C24A" w14:textId="77777777" w:rsidR="00140D18" w:rsidRPr="007C7551" w:rsidRDefault="00140D18" w:rsidP="00140D18">
      <w:pPr>
        <w:ind w:left="426" w:right="1325"/>
        <w:jc w:val="both"/>
        <w:rPr>
          <w:rFonts w:ascii="Palatino Linotype" w:hAnsi="Palatino Linotype" w:cs="Arial"/>
          <w:bCs/>
          <w:i/>
          <w:sz w:val="22"/>
          <w:lang w:val="es-MX"/>
        </w:rPr>
      </w:pPr>
    </w:p>
    <w:p w14:paraId="32A56FF8" w14:textId="77777777" w:rsidR="00140D18" w:rsidRPr="007C7551" w:rsidRDefault="00140D18" w:rsidP="00140D18">
      <w:pPr>
        <w:ind w:left="426" w:right="1325"/>
        <w:jc w:val="both"/>
        <w:rPr>
          <w:rFonts w:ascii="Palatino Linotype" w:hAnsi="Palatino Linotype" w:cs="Arial"/>
          <w:bCs/>
          <w:i/>
          <w:sz w:val="22"/>
          <w:lang w:val="es-MX"/>
        </w:rPr>
      </w:pPr>
      <w:r w:rsidRPr="007C7551">
        <w:rPr>
          <w:rFonts w:ascii="Palatino Linotype" w:hAnsi="Palatino Linotype" w:cs="Arial"/>
          <w:bCs/>
          <w:i/>
          <w:sz w:val="22"/>
          <w:lang w:val="es-MX"/>
        </w:rPr>
        <w:t>PRINCIPIO PRO PERSONA. REQUISITOS MÍNIMOS PARA QUE SE ATIENDA EL FONDO DE LA SOLICITUD DE SU APLICACIÓN, O LA IMPUGNACIÓN DE SU OMISIÓN POR LA AUTORIDAD RESPONSABLE.</w:t>
      </w:r>
    </w:p>
    <w:p w14:paraId="0FC543D4" w14:textId="77777777" w:rsidR="00140D18" w:rsidRPr="007C7551" w:rsidRDefault="00140D18" w:rsidP="00140D18">
      <w:pPr>
        <w:ind w:left="426" w:right="1325"/>
        <w:jc w:val="both"/>
        <w:rPr>
          <w:rFonts w:ascii="Palatino Linotype" w:hAnsi="Palatino Linotype" w:cs="Arial"/>
          <w:bCs/>
          <w:i/>
          <w:sz w:val="22"/>
          <w:lang w:val="es-MX"/>
        </w:rPr>
      </w:pPr>
    </w:p>
    <w:p w14:paraId="1DC7E17A" w14:textId="77777777" w:rsidR="00140D18" w:rsidRPr="007C7551" w:rsidRDefault="00140D18" w:rsidP="00140D18">
      <w:pPr>
        <w:ind w:left="426" w:right="1325"/>
        <w:jc w:val="both"/>
        <w:rPr>
          <w:rFonts w:ascii="Palatino Linotype" w:hAnsi="Palatino Linotype" w:cs="Arial"/>
          <w:bCs/>
          <w:i/>
          <w:sz w:val="22"/>
          <w:lang w:val="es-MX"/>
        </w:rPr>
      </w:pPr>
      <w:r w:rsidRPr="007C7551">
        <w:rPr>
          <w:rFonts w:ascii="Palatino Linotype" w:hAnsi="Palatino Linotype" w:cs="Arial"/>
          <w:bCs/>
          <w:i/>
          <w:sz w:val="22"/>
          <w:lang w:val="es-MX"/>
        </w:rPr>
        <w:lastRenderedPageBreak/>
        <w:t xml:space="preserve">El artículo 1o. de la Constitución Política de los Estados Unidos Mexicanos impone a las autoridades el deber de aplicar el principio pro persona como un criterio de interpretación de las normas relativas a derechos humanos, el cual busca maximizar su vigencia y respeto, para optar por la aplicación o interpretación de la norma que los favorezca en mayor medida, o bien, que implique menores restricciones a su ejercicio. Así, como deber, se entiende que dicho principio es aplicable de oficio, cuando el Juez o tribunal considere necesario acudir a este criterio interpretativo para resolver los casos puestos a su consideración, pero también es factible que el quejoso en un juicio de amparo se inconforme con su falta de aplicación, o bien, solicite al órgano jurisdiccional llevar a cabo tal ejercicio interpretativo, y esta petición, para ser atendida de fondo, requiere del cumplimiento de una carga mínima; por lo que, tomando en cuenta la regla de expresar con claridad lo pedido y la causa de pedir, así como los conceptos de violación que causa el acto reclamado, es necesario que la solicitud para aplicar el principio citado o la impugnación de no haberse realizado por la autoridad responsable, dirigida al tribunal de amparo, reúna los siguientes requisitos mínimos: a) pedir la aplicación del principio o impugnar su falta de aplicación por la autoridad responsable; b) señalar cuál es el derecho humano o fundamental cuya maximización se pretende; c) indicar la norma cuya aplicación debe preferirse o la interpretación que resulta más favorable hacia el derecho fundamental; y, d) precisar los motivos para preferirlos en lugar de otras normas o interpretaciones posibles. En ese sentido, con el primer requisito se evita toda duda o incertidumbre sobre lo que se pretende del tribunal; el segundo obedece al objeto del principio </w:t>
      </w:r>
      <w:proofErr w:type="spellStart"/>
      <w:r w:rsidRPr="007C7551">
        <w:rPr>
          <w:rFonts w:ascii="Palatino Linotype" w:hAnsi="Palatino Linotype" w:cs="Arial"/>
          <w:bCs/>
          <w:i/>
          <w:sz w:val="22"/>
          <w:lang w:val="es-MX"/>
        </w:rPr>
        <w:t>pro</w:t>
      </w:r>
      <w:proofErr w:type="spellEnd"/>
      <w:r w:rsidRPr="007C7551">
        <w:rPr>
          <w:rFonts w:ascii="Palatino Linotype" w:hAnsi="Palatino Linotype" w:cs="Arial"/>
          <w:bCs/>
          <w:i/>
          <w:sz w:val="22"/>
          <w:lang w:val="es-MX"/>
        </w:rPr>
        <w:t xml:space="preserve"> persona, pues para realizarlo debe conocerse cuál es el derecho humano que se busca maximizar, aunado a que, como el juicio de amparo es un medio de control de constitucionalidad, es necesario que el quejoso indique cuál es la parte del parámetro de control de regularidad constitucional que está siendo afectada; finalmente, el tercero y el cuarto requisitos cumplen la función de esclarecer al tribunal cuál es la disyuntiva de elección entre dos o más normas o interpretaciones, y los motivos para estimar que la propuesta por el quejoso es de mayor protección al derecho fundamental. De ahí que con tales elementos, el órgano jurisdiccional de amparo podrá estar en condiciones de establecer si la aplicación del principio referido, propuesta por el quejoso, es viable o no en el caso particular del conocimiento.</w:t>
      </w:r>
    </w:p>
    <w:p w14:paraId="62EBC290" w14:textId="77777777" w:rsidR="00140D18" w:rsidRDefault="00140D18" w:rsidP="00140D18">
      <w:pPr>
        <w:spacing w:line="360" w:lineRule="auto"/>
        <w:jc w:val="both"/>
        <w:rPr>
          <w:rFonts w:ascii="Palatino Linotype" w:hAnsi="Palatino Linotype" w:cs="Arial"/>
        </w:rPr>
      </w:pPr>
    </w:p>
    <w:p w14:paraId="104E1555" w14:textId="0993E9BB" w:rsidR="00E27F2A" w:rsidRPr="00E27F2A" w:rsidRDefault="00140D18" w:rsidP="00140D18">
      <w:pPr>
        <w:spacing w:before="100" w:beforeAutospacing="1" w:after="100" w:afterAutospacing="1" w:line="360" w:lineRule="auto"/>
        <w:contextualSpacing/>
        <w:jc w:val="both"/>
        <w:rPr>
          <w:rFonts w:ascii="Palatino Linotype" w:hAnsi="Palatino Linotype" w:cs="Arial"/>
          <w:b/>
        </w:rPr>
      </w:pPr>
      <w:r>
        <w:rPr>
          <w:rFonts w:ascii="Palatino Linotype" w:hAnsi="Palatino Linotype" w:cs="Arial"/>
        </w:rPr>
        <w:t xml:space="preserve">En razón de los derechos </w:t>
      </w:r>
      <w:r>
        <w:rPr>
          <w:rFonts w:ascii="Palatino Linotype" w:hAnsi="Palatino Linotype" w:cs="Arial"/>
          <w:i/>
        </w:rPr>
        <w:t xml:space="preserve">supra </w:t>
      </w:r>
      <w:r>
        <w:rPr>
          <w:rFonts w:ascii="Palatino Linotype" w:hAnsi="Palatino Linotype" w:cs="Arial"/>
        </w:rPr>
        <w:t xml:space="preserve">citados, se advierte arriba que atendiendo a los principios pro persona y de máxima publicidad, se debió verificar si la respuesta proporcionada por </w:t>
      </w:r>
      <w:r w:rsidRPr="00832A39">
        <w:rPr>
          <w:rFonts w:ascii="Palatino Linotype" w:hAnsi="Palatino Linotype" w:cs="Arial"/>
          <w:b/>
        </w:rPr>
        <w:t>EL SUJETO OBLIGADO</w:t>
      </w:r>
      <w:r>
        <w:rPr>
          <w:rFonts w:ascii="Palatino Linotype" w:hAnsi="Palatino Linotype" w:cs="Arial"/>
        </w:rPr>
        <w:t xml:space="preserve"> satisfizo total o parcialmente la solicitud realizada por </w:t>
      </w:r>
      <w:r w:rsidRPr="00832A39">
        <w:rPr>
          <w:rFonts w:ascii="Palatino Linotype" w:hAnsi="Palatino Linotype" w:cs="Arial"/>
          <w:b/>
        </w:rPr>
        <w:t>EL RECURRENTE</w:t>
      </w:r>
      <w:r>
        <w:rPr>
          <w:rFonts w:ascii="Palatino Linotype" w:hAnsi="Palatino Linotype" w:cs="Arial"/>
        </w:rPr>
        <w:t xml:space="preserve">; por lo que la que suscribe emite </w:t>
      </w:r>
      <w:r w:rsidRPr="00832A39">
        <w:rPr>
          <w:rFonts w:ascii="Palatino Linotype" w:hAnsi="Palatino Linotype" w:cs="Arial"/>
          <w:b/>
        </w:rPr>
        <w:t>VOTO PARTICULAR</w:t>
      </w:r>
      <w:r>
        <w:rPr>
          <w:rFonts w:ascii="Palatino Linotype" w:hAnsi="Palatino Linotype" w:cs="Arial"/>
        </w:rPr>
        <w:t xml:space="preserve">; pues, se insiste </w:t>
      </w:r>
      <w:r>
        <w:rPr>
          <w:rFonts w:ascii="Palatino Linotype" w:hAnsi="Palatino Linotype" w:cs="Arial"/>
        </w:rPr>
        <w:lastRenderedPageBreak/>
        <w:t xml:space="preserve">nuevamente que la Ponencia Resolutora debió realizar el estudio de la totalidad de la información proporcionada por </w:t>
      </w:r>
      <w:r>
        <w:rPr>
          <w:rFonts w:ascii="Palatino Linotype" w:hAnsi="Palatino Linotype" w:cs="Arial"/>
          <w:b/>
        </w:rPr>
        <w:t xml:space="preserve">EL SUJETO </w:t>
      </w:r>
      <w:r w:rsidRPr="007D29A5">
        <w:rPr>
          <w:rFonts w:ascii="Palatino Linotype" w:hAnsi="Palatino Linotype" w:cs="Arial"/>
          <w:b/>
        </w:rPr>
        <w:t>OBLIGADO</w:t>
      </w:r>
      <w:r>
        <w:rPr>
          <w:rFonts w:ascii="Palatino Linotype" w:hAnsi="Palatino Linotype" w:cs="Arial"/>
        </w:rPr>
        <w:t xml:space="preserve"> en su respuesta y determinar si esta colma el derecho de acceso a la información del particular.</w:t>
      </w:r>
    </w:p>
    <w:tbl>
      <w:tblPr>
        <w:tblW w:w="4393" w:type="dxa"/>
        <w:jc w:val="center"/>
        <w:tblLayout w:type="fixed"/>
        <w:tblLook w:val="04A0" w:firstRow="1" w:lastRow="0" w:firstColumn="1" w:lastColumn="0" w:noHBand="0" w:noVBand="1"/>
      </w:tblPr>
      <w:tblGrid>
        <w:gridCol w:w="4393"/>
      </w:tblGrid>
      <w:tr w:rsidR="00EB7480" w:rsidRPr="001950C9" w14:paraId="2B315DB7" w14:textId="77777777" w:rsidTr="00EB7480">
        <w:trPr>
          <w:jc w:val="center"/>
        </w:trPr>
        <w:tc>
          <w:tcPr>
            <w:tcW w:w="4393" w:type="dxa"/>
          </w:tcPr>
          <w:p w14:paraId="06C91E4F" w14:textId="77777777" w:rsidR="00EB7480" w:rsidRPr="001950C9" w:rsidRDefault="00EB7480" w:rsidP="007F2E0C">
            <w:pPr>
              <w:spacing w:before="100" w:beforeAutospacing="1" w:after="100" w:afterAutospacing="1"/>
              <w:contextualSpacing/>
              <w:jc w:val="center"/>
              <w:rPr>
                <w:rFonts w:ascii="Palatino Linotype" w:hAnsi="Palatino Linotype"/>
                <w:b/>
              </w:rPr>
            </w:pPr>
          </w:p>
          <w:p w14:paraId="55E6491E" w14:textId="77777777" w:rsidR="005B773B" w:rsidRDefault="005B773B" w:rsidP="007F2E0C">
            <w:pPr>
              <w:spacing w:before="100" w:beforeAutospacing="1" w:after="100" w:afterAutospacing="1"/>
              <w:contextualSpacing/>
              <w:jc w:val="center"/>
              <w:rPr>
                <w:rFonts w:ascii="Palatino Linotype" w:hAnsi="Palatino Linotype"/>
                <w:b/>
              </w:rPr>
            </w:pPr>
          </w:p>
          <w:p w14:paraId="0F587272" w14:textId="77777777" w:rsidR="00E9559B" w:rsidRDefault="00E9559B" w:rsidP="007F2E0C">
            <w:pPr>
              <w:spacing w:before="100" w:beforeAutospacing="1" w:after="100" w:afterAutospacing="1"/>
              <w:contextualSpacing/>
              <w:jc w:val="center"/>
              <w:rPr>
                <w:rFonts w:ascii="Palatino Linotype" w:hAnsi="Palatino Linotype"/>
                <w:b/>
              </w:rPr>
            </w:pPr>
          </w:p>
          <w:p w14:paraId="4F2B4762" w14:textId="77777777" w:rsidR="00E9559B" w:rsidRDefault="00E9559B" w:rsidP="007F2E0C">
            <w:pPr>
              <w:spacing w:before="100" w:beforeAutospacing="1" w:after="100" w:afterAutospacing="1"/>
              <w:contextualSpacing/>
              <w:jc w:val="center"/>
              <w:rPr>
                <w:rFonts w:ascii="Palatino Linotype" w:hAnsi="Palatino Linotype"/>
                <w:b/>
              </w:rPr>
            </w:pPr>
          </w:p>
          <w:p w14:paraId="688C95CE" w14:textId="77777777" w:rsidR="00265F75" w:rsidRPr="001950C9" w:rsidRDefault="00265F75" w:rsidP="007F2E0C">
            <w:pPr>
              <w:spacing w:before="100" w:beforeAutospacing="1" w:after="100" w:afterAutospacing="1"/>
              <w:contextualSpacing/>
              <w:jc w:val="center"/>
              <w:rPr>
                <w:rFonts w:ascii="Palatino Linotype" w:hAnsi="Palatino Linotype"/>
                <w:b/>
              </w:rPr>
            </w:pPr>
          </w:p>
          <w:p w14:paraId="48D8BC66" w14:textId="77777777" w:rsidR="00EB7480" w:rsidRDefault="00EB7480" w:rsidP="007F2E0C">
            <w:pPr>
              <w:spacing w:before="100" w:beforeAutospacing="1" w:after="100" w:afterAutospacing="1"/>
              <w:contextualSpacing/>
              <w:jc w:val="center"/>
              <w:rPr>
                <w:rFonts w:ascii="Palatino Linotype" w:hAnsi="Palatino Linotype"/>
                <w:b/>
              </w:rPr>
            </w:pPr>
          </w:p>
          <w:p w14:paraId="200A42EF" w14:textId="77777777" w:rsidR="00703A00" w:rsidRDefault="00703A00" w:rsidP="007F2E0C">
            <w:pPr>
              <w:spacing w:before="100" w:beforeAutospacing="1" w:after="100" w:afterAutospacing="1"/>
              <w:contextualSpacing/>
              <w:jc w:val="center"/>
              <w:rPr>
                <w:rFonts w:ascii="Palatino Linotype" w:hAnsi="Palatino Linotype"/>
                <w:b/>
              </w:rPr>
            </w:pPr>
          </w:p>
          <w:p w14:paraId="44B691DB" w14:textId="77777777" w:rsidR="00703A00" w:rsidRDefault="00703A00" w:rsidP="007F2E0C">
            <w:pPr>
              <w:spacing w:before="100" w:beforeAutospacing="1" w:after="100" w:afterAutospacing="1"/>
              <w:contextualSpacing/>
              <w:jc w:val="center"/>
              <w:rPr>
                <w:rFonts w:ascii="Palatino Linotype" w:hAnsi="Palatino Linotype"/>
                <w:b/>
              </w:rPr>
            </w:pPr>
          </w:p>
          <w:p w14:paraId="2B065FE4" w14:textId="77777777" w:rsidR="00703A00" w:rsidRDefault="00703A00" w:rsidP="007F2E0C">
            <w:pPr>
              <w:spacing w:before="100" w:beforeAutospacing="1" w:after="100" w:afterAutospacing="1"/>
              <w:contextualSpacing/>
              <w:jc w:val="center"/>
              <w:rPr>
                <w:rFonts w:ascii="Palatino Linotype" w:hAnsi="Palatino Linotype"/>
                <w:b/>
              </w:rPr>
            </w:pPr>
          </w:p>
          <w:p w14:paraId="103DF9DF" w14:textId="77777777" w:rsidR="00703A00" w:rsidRDefault="00703A00" w:rsidP="007F2E0C">
            <w:pPr>
              <w:spacing w:before="100" w:beforeAutospacing="1" w:after="100" w:afterAutospacing="1"/>
              <w:contextualSpacing/>
              <w:jc w:val="center"/>
              <w:rPr>
                <w:rFonts w:ascii="Palatino Linotype" w:hAnsi="Palatino Linotype"/>
                <w:b/>
              </w:rPr>
            </w:pPr>
          </w:p>
          <w:p w14:paraId="3EC52370" w14:textId="77777777" w:rsidR="00703A00" w:rsidRDefault="00703A00" w:rsidP="007F2E0C">
            <w:pPr>
              <w:spacing w:before="100" w:beforeAutospacing="1" w:after="100" w:afterAutospacing="1"/>
              <w:contextualSpacing/>
              <w:jc w:val="center"/>
              <w:rPr>
                <w:rFonts w:ascii="Palatino Linotype" w:hAnsi="Palatino Linotype"/>
                <w:b/>
              </w:rPr>
            </w:pPr>
          </w:p>
          <w:p w14:paraId="34A7A4DF" w14:textId="77777777" w:rsidR="00703A00" w:rsidRDefault="00703A00" w:rsidP="007F2E0C">
            <w:pPr>
              <w:spacing w:before="100" w:beforeAutospacing="1" w:after="100" w:afterAutospacing="1"/>
              <w:contextualSpacing/>
              <w:jc w:val="center"/>
              <w:rPr>
                <w:rFonts w:ascii="Palatino Linotype" w:hAnsi="Palatino Linotype"/>
                <w:b/>
              </w:rPr>
            </w:pPr>
          </w:p>
          <w:p w14:paraId="3DC06E4B" w14:textId="77777777" w:rsidR="00EB7480" w:rsidRPr="001950C9" w:rsidRDefault="00EB7480" w:rsidP="007F2E0C">
            <w:pPr>
              <w:spacing w:before="100" w:beforeAutospacing="1" w:after="100" w:afterAutospacing="1"/>
              <w:contextualSpacing/>
              <w:jc w:val="center"/>
              <w:rPr>
                <w:rFonts w:ascii="Palatino Linotype" w:hAnsi="Palatino Linotype"/>
                <w:b/>
              </w:rPr>
            </w:pPr>
            <w:r w:rsidRPr="001950C9">
              <w:rPr>
                <w:rFonts w:ascii="Palatino Linotype" w:hAnsi="Palatino Linotype"/>
                <w:b/>
              </w:rPr>
              <w:t xml:space="preserve">EVA ABAID YAPUR </w:t>
            </w:r>
          </w:p>
          <w:p w14:paraId="47A662E2" w14:textId="77777777" w:rsidR="00BC5D71" w:rsidRDefault="00EB7480" w:rsidP="00703A00">
            <w:pPr>
              <w:spacing w:before="100" w:beforeAutospacing="1" w:after="100" w:afterAutospacing="1"/>
              <w:contextualSpacing/>
              <w:jc w:val="center"/>
              <w:rPr>
                <w:rFonts w:ascii="Palatino Linotype" w:hAnsi="Palatino Linotype"/>
                <w:b/>
              </w:rPr>
            </w:pPr>
            <w:r w:rsidRPr="001950C9">
              <w:rPr>
                <w:rFonts w:ascii="Palatino Linotype" w:hAnsi="Palatino Linotype"/>
                <w:b/>
              </w:rPr>
              <w:t>COMISIONADA</w:t>
            </w:r>
          </w:p>
          <w:p w14:paraId="3529F033" w14:textId="24F0B603" w:rsidR="008E093B" w:rsidRDefault="008E093B" w:rsidP="00703A00">
            <w:pPr>
              <w:spacing w:before="100" w:beforeAutospacing="1" w:after="100" w:afterAutospacing="1"/>
              <w:contextualSpacing/>
              <w:jc w:val="center"/>
              <w:rPr>
                <w:rFonts w:ascii="Palatino Linotype" w:hAnsi="Palatino Linotype"/>
                <w:b/>
              </w:rPr>
            </w:pPr>
            <w:r>
              <w:rPr>
                <w:rFonts w:ascii="Palatino Linotype" w:hAnsi="Palatino Linotype"/>
                <w:b/>
              </w:rPr>
              <w:t>(RÚBRICA)</w:t>
            </w:r>
          </w:p>
          <w:p w14:paraId="2772608D" w14:textId="3B57D3FD" w:rsidR="0072367B" w:rsidRPr="001950C9" w:rsidRDefault="0072367B" w:rsidP="00703A00">
            <w:pPr>
              <w:spacing w:before="100" w:beforeAutospacing="1" w:after="100" w:afterAutospacing="1"/>
              <w:contextualSpacing/>
              <w:jc w:val="center"/>
              <w:rPr>
                <w:rFonts w:ascii="Palatino Linotype" w:hAnsi="Palatino Linotype"/>
                <w:b/>
              </w:rPr>
            </w:pPr>
          </w:p>
        </w:tc>
      </w:tr>
    </w:tbl>
    <w:p w14:paraId="4704ED41" w14:textId="77777777" w:rsidR="001950C9" w:rsidRDefault="001950C9" w:rsidP="007F2E0C">
      <w:pPr>
        <w:spacing w:before="100" w:beforeAutospacing="1" w:after="100" w:afterAutospacing="1"/>
        <w:contextualSpacing/>
        <w:jc w:val="both"/>
        <w:rPr>
          <w:rFonts w:ascii="Palatino Linotype" w:eastAsia="Calibri" w:hAnsi="Palatino Linotype" w:cs="Arial"/>
          <w:color w:val="000000" w:themeColor="text1"/>
          <w:sz w:val="20"/>
          <w:szCs w:val="20"/>
        </w:rPr>
      </w:pPr>
    </w:p>
    <w:p w14:paraId="1CD2135B" w14:textId="77777777" w:rsidR="00414E7B" w:rsidRDefault="00414E7B" w:rsidP="007F2E0C">
      <w:pPr>
        <w:spacing w:before="100" w:beforeAutospacing="1" w:after="100" w:afterAutospacing="1"/>
        <w:contextualSpacing/>
        <w:jc w:val="both"/>
        <w:rPr>
          <w:rFonts w:ascii="Palatino Linotype" w:eastAsia="Calibri" w:hAnsi="Palatino Linotype" w:cs="Arial"/>
          <w:color w:val="000000" w:themeColor="text1"/>
          <w:sz w:val="20"/>
          <w:szCs w:val="20"/>
        </w:rPr>
      </w:pPr>
      <w:bookmarkStart w:id="0" w:name="_GoBack"/>
      <w:bookmarkEnd w:id="0"/>
    </w:p>
    <w:p w14:paraId="04FE978C" w14:textId="77777777" w:rsidR="00414E7B" w:rsidRDefault="00414E7B" w:rsidP="007F2E0C">
      <w:pPr>
        <w:spacing w:before="100" w:beforeAutospacing="1" w:after="100" w:afterAutospacing="1"/>
        <w:contextualSpacing/>
        <w:jc w:val="both"/>
        <w:rPr>
          <w:rFonts w:ascii="Palatino Linotype" w:eastAsia="Calibri" w:hAnsi="Palatino Linotype" w:cs="Arial"/>
          <w:color w:val="000000" w:themeColor="text1"/>
          <w:sz w:val="20"/>
          <w:szCs w:val="20"/>
        </w:rPr>
      </w:pPr>
    </w:p>
    <w:p w14:paraId="36089134" w14:textId="77777777" w:rsidR="00414E7B" w:rsidRDefault="00414E7B" w:rsidP="007F2E0C">
      <w:pPr>
        <w:spacing w:before="100" w:beforeAutospacing="1" w:after="100" w:afterAutospacing="1"/>
        <w:contextualSpacing/>
        <w:jc w:val="both"/>
        <w:rPr>
          <w:rFonts w:ascii="Palatino Linotype" w:eastAsia="Calibri" w:hAnsi="Palatino Linotype" w:cs="Arial"/>
          <w:color w:val="000000" w:themeColor="text1"/>
          <w:sz w:val="20"/>
          <w:szCs w:val="20"/>
        </w:rPr>
      </w:pPr>
    </w:p>
    <w:p w14:paraId="01B74C57" w14:textId="77777777" w:rsidR="00414E7B" w:rsidRDefault="00414E7B" w:rsidP="007F2E0C">
      <w:pPr>
        <w:spacing w:before="100" w:beforeAutospacing="1" w:after="100" w:afterAutospacing="1"/>
        <w:contextualSpacing/>
        <w:jc w:val="both"/>
        <w:rPr>
          <w:rFonts w:ascii="Palatino Linotype" w:eastAsia="Calibri" w:hAnsi="Palatino Linotype" w:cs="Arial"/>
          <w:color w:val="000000" w:themeColor="text1"/>
          <w:sz w:val="20"/>
          <w:szCs w:val="20"/>
        </w:rPr>
      </w:pPr>
    </w:p>
    <w:p w14:paraId="6FF84DEA" w14:textId="77777777" w:rsidR="00414E7B" w:rsidRDefault="00414E7B" w:rsidP="007F2E0C">
      <w:pPr>
        <w:spacing w:before="100" w:beforeAutospacing="1" w:after="100" w:afterAutospacing="1"/>
        <w:contextualSpacing/>
        <w:jc w:val="both"/>
        <w:rPr>
          <w:rFonts w:ascii="Palatino Linotype" w:eastAsia="Calibri" w:hAnsi="Palatino Linotype" w:cs="Arial"/>
          <w:color w:val="000000" w:themeColor="text1"/>
          <w:sz w:val="20"/>
          <w:szCs w:val="20"/>
        </w:rPr>
      </w:pPr>
    </w:p>
    <w:p w14:paraId="1E6CD615" w14:textId="77777777" w:rsidR="00703A00" w:rsidRDefault="00703A00" w:rsidP="007F2E0C">
      <w:pPr>
        <w:spacing w:before="100" w:beforeAutospacing="1" w:after="100" w:afterAutospacing="1"/>
        <w:contextualSpacing/>
        <w:jc w:val="both"/>
        <w:rPr>
          <w:rFonts w:ascii="Palatino Linotype" w:eastAsia="Calibri" w:hAnsi="Palatino Linotype" w:cs="Arial"/>
          <w:color w:val="000000" w:themeColor="text1"/>
          <w:sz w:val="20"/>
          <w:szCs w:val="20"/>
        </w:rPr>
      </w:pPr>
    </w:p>
    <w:p w14:paraId="31DC7416" w14:textId="77777777" w:rsidR="00703A00" w:rsidRDefault="00703A00" w:rsidP="007F2E0C">
      <w:pPr>
        <w:spacing w:before="100" w:beforeAutospacing="1" w:after="100" w:afterAutospacing="1"/>
        <w:contextualSpacing/>
        <w:jc w:val="both"/>
        <w:rPr>
          <w:rFonts w:ascii="Palatino Linotype" w:eastAsia="Calibri" w:hAnsi="Palatino Linotype" w:cs="Arial"/>
          <w:color w:val="000000" w:themeColor="text1"/>
          <w:sz w:val="20"/>
          <w:szCs w:val="20"/>
        </w:rPr>
      </w:pPr>
    </w:p>
    <w:p w14:paraId="715E305A" w14:textId="77777777" w:rsidR="00703A00" w:rsidRDefault="00703A00" w:rsidP="007F2E0C">
      <w:pPr>
        <w:spacing w:before="100" w:beforeAutospacing="1" w:after="100" w:afterAutospacing="1"/>
        <w:contextualSpacing/>
        <w:jc w:val="both"/>
        <w:rPr>
          <w:rFonts w:ascii="Palatino Linotype" w:eastAsia="Calibri" w:hAnsi="Palatino Linotype" w:cs="Arial"/>
          <w:color w:val="000000" w:themeColor="text1"/>
          <w:sz w:val="20"/>
          <w:szCs w:val="20"/>
        </w:rPr>
      </w:pPr>
    </w:p>
    <w:p w14:paraId="4571EE06" w14:textId="77777777" w:rsidR="00703A00" w:rsidRDefault="00703A00" w:rsidP="007F2E0C">
      <w:pPr>
        <w:spacing w:before="100" w:beforeAutospacing="1" w:after="100" w:afterAutospacing="1"/>
        <w:contextualSpacing/>
        <w:jc w:val="both"/>
        <w:rPr>
          <w:rFonts w:ascii="Palatino Linotype" w:eastAsia="Calibri" w:hAnsi="Palatino Linotype" w:cs="Arial"/>
          <w:color w:val="000000" w:themeColor="text1"/>
          <w:sz w:val="20"/>
          <w:szCs w:val="20"/>
        </w:rPr>
      </w:pPr>
    </w:p>
    <w:p w14:paraId="745BFF70" w14:textId="77777777" w:rsidR="00265F75" w:rsidRDefault="00265F75" w:rsidP="007F2E0C">
      <w:pPr>
        <w:spacing w:before="100" w:beforeAutospacing="1" w:after="100" w:afterAutospacing="1"/>
        <w:contextualSpacing/>
        <w:jc w:val="both"/>
        <w:rPr>
          <w:rFonts w:ascii="Palatino Linotype" w:eastAsia="Calibri" w:hAnsi="Palatino Linotype" w:cs="Arial"/>
          <w:color w:val="000000" w:themeColor="text1"/>
          <w:sz w:val="20"/>
          <w:szCs w:val="20"/>
        </w:rPr>
      </w:pPr>
    </w:p>
    <w:p w14:paraId="6D080AA0" w14:textId="77777777" w:rsidR="00265F75" w:rsidRDefault="00265F75" w:rsidP="007F2E0C">
      <w:pPr>
        <w:spacing w:before="100" w:beforeAutospacing="1" w:after="100" w:afterAutospacing="1"/>
        <w:contextualSpacing/>
        <w:jc w:val="both"/>
        <w:rPr>
          <w:rFonts w:ascii="Palatino Linotype" w:eastAsia="Calibri" w:hAnsi="Palatino Linotype" w:cs="Arial"/>
          <w:color w:val="000000" w:themeColor="text1"/>
          <w:sz w:val="20"/>
          <w:szCs w:val="20"/>
        </w:rPr>
      </w:pPr>
    </w:p>
    <w:p w14:paraId="402CF48B" w14:textId="77777777" w:rsidR="001950C9" w:rsidRDefault="001950C9" w:rsidP="007F2E0C">
      <w:pPr>
        <w:spacing w:before="100" w:beforeAutospacing="1" w:after="100" w:afterAutospacing="1"/>
        <w:contextualSpacing/>
        <w:jc w:val="both"/>
        <w:rPr>
          <w:rFonts w:ascii="Palatino Linotype" w:eastAsia="Calibri" w:hAnsi="Palatino Linotype" w:cs="Arial"/>
          <w:color w:val="000000" w:themeColor="text1"/>
          <w:sz w:val="20"/>
          <w:szCs w:val="20"/>
        </w:rPr>
      </w:pPr>
    </w:p>
    <w:p w14:paraId="1F0C7E9B" w14:textId="33A06DF3" w:rsidR="0030072F" w:rsidRDefault="0030072F" w:rsidP="007F2E0C">
      <w:pPr>
        <w:spacing w:before="100" w:beforeAutospacing="1" w:after="100" w:afterAutospacing="1"/>
        <w:contextualSpacing/>
        <w:jc w:val="both"/>
        <w:rPr>
          <w:rFonts w:ascii="Palatino Linotype" w:eastAsia="Calibri" w:hAnsi="Palatino Linotype" w:cs="Arial"/>
          <w:color w:val="000000" w:themeColor="text1"/>
          <w:sz w:val="20"/>
          <w:szCs w:val="20"/>
        </w:rPr>
      </w:pPr>
      <w:r w:rsidRPr="001950C9">
        <w:rPr>
          <w:rFonts w:ascii="Palatino Linotype" w:eastAsia="Calibri" w:hAnsi="Palatino Linotype" w:cs="Arial"/>
          <w:color w:val="000000" w:themeColor="text1"/>
          <w:sz w:val="20"/>
          <w:szCs w:val="20"/>
        </w:rPr>
        <w:t xml:space="preserve">Esta hoja corresponde al voto particular emitido en </w:t>
      </w:r>
      <w:r w:rsidR="00703A00">
        <w:rPr>
          <w:rFonts w:ascii="Palatino Linotype" w:eastAsia="Calibri" w:hAnsi="Palatino Linotype" w:cs="Arial"/>
          <w:color w:val="000000" w:themeColor="text1"/>
          <w:sz w:val="20"/>
          <w:szCs w:val="20"/>
        </w:rPr>
        <w:t>la resolución d</w:t>
      </w:r>
      <w:r w:rsidRPr="001950C9">
        <w:rPr>
          <w:rFonts w:ascii="Palatino Linotype" w:eastAsia="Calibri" w:hAnsi="Palatino Linotype" w:cs="Arial"/>
          <w:color w:val="000000" w:themeColor="text1"/>
          <w:sz w:val="20"/>
          <w:szCs w:val="20"/>
        </w:rPr>
        <w:t>el recurso de revisión 0</w:t>
      </w:r>
      <w:r w:rsidR="00E9559B">
        <w:rPr>
          <w:rFonts w:ascii="Palatino Linotype" w:eastAsia="Calibri" w:hAnsi="Palatino Linotype" w:cs="Arial"/>
          <w:color w:val="000000" w:themeColor="text1"/>
          <w:sz w:val="20"/>
          <w:szCs w:val="20"/>
        </w:rPr>
        <w:t>6339</w:t>
      </w:r>
      <w:r w:rsidRPr="001950C9">
        <w:rPr>
          <w:rFonts w:ascii="Palatino Linotype" w:eastAsia="Calibri" w:hAnsi="Palatino Linotype" w:cs="Arial"/>
          <w:color w:val="000000" w:themeColor="text1"/>
          <w:sz w:val="20"/>
          <w:szCs w:val="20"/>
        </w:rPr>
        <w:t>/INFOEM/IP/RR/201</w:t>
      </w:r>
      <w:r w:rsidR="005D2098">
        <w:rPr>
          <w:rFonts w:ascii="Palatino Linotype" w:eastAsia="Calibri" w:hAnsi="Palatino Linotype" w:cs="Arial"/>
          <w:color w:val="000000" w:themeColor="text1"/>
          <w:sz w:val="20"/>
          <w:szCs w:val="20"/>
        </w:rPr>
        <w:t>9</w:t>
      </w:r>
      <w:r w:rsidRPr="001950C9">
        <w:rPr>
          <w:rFonts w:ascii="Palatino Linotype" w:eastAsia="Calibri" w:hAnsi="Palatino Linotype" w:cs="Arial"/>
          <w:color w:val="000000" w:themeColor="text1"/>
          <w:sz w:val="20"/>
          <w:szCs w:val="20"/>
        </w:rPr>
        <w:t xml:space="preserve">, aprobado el </w:t>
      </w:r>
      <w:r w:rsidR="00E9559B">
        <w:rPr>
          <w:rFonts w:ascii="Palatino Linotype" w:eastAsia="Calibri" w:hAnsi="Palatino Linotype" w:cs="Arial"/>
          <w:color w:val="000000" w:themeColor="text1"/>
          <w:sz w:val="20"/>
          <w:szCs w:val="20"/>
        </w:rPr>
        <w:t>dieciséis</w:t>
      </w:r>
      <w:r w:rsidR="00646A97">
        <w:rPr>
          <w:rFonts w:ascii="Palatino Linotype" w:eastAsia="Calibri" w:hAnsi="Palatino Linotype" w:cs="Arial"/>
          <w:color w:val="000000" w:themeColor="text1"/>
          <w:sz w:val="20"/>
          <w:szCs w:val="20"/>
        </w:rPr>
        <w:t xml:space="preserve"> de octubre</w:t>
      </w:r>
      <w:r w:rsidR="00E9559B">
        <w:rPr>
          <w:rFonts w:ascii="Palatino Linotype" w:eastAsia="Calibri" w:hAnsi="Palatino Linotype" w:cs="Arial"/>
          <w:color w:val="000000" w:themeColor="text1"/>
          <w:sz w:val="20"/>
          <w:szCs w:val="20"/>
        </w:rPr>
        <w:t xml:space="preserve"> de dos mil diecinueve</w:t>
      </w:r>
      <w:r w:rsidRPr="001950C9">
        <w:rPr>
          <w:rFonts w:ascii="Palatino Linotype" w:eastAsia="Calibri" w:hAnsi="Palatino Linotype" w:cs="Arial"/>
          <w:color w:val="000000" w:themeColor="text1"/>
          <w:sz w:val="20"/>
          <w:szCs w:val="20"/>
        </w:rPr>
        <w:t>.</w:t>
      </w:r>
    </w:p>
    <w:p w14:paraId="505D99A7" w14:textId="77777777" w:rsidR="00703A00" w:rsidRPr="00703A00" w:rsidRDefault="00703A00" w:rsidP="007F2E0C">
      <w:pPr>
        <w:spacing w:before="100" w:beforeAutospacing="1" w:after="100" w:afterAutospacing="1"/>
        <w:contextualSpacing/>
        <w:jc w:val="both"/>
        <w:rPr>
          <w:rFonts w:ascii="Palatino Linotype" w:eastAsia="Calibri" w:hAnsi="Palatino Linotype" w:cs="Arial"/>
          <w:color w:val="000000" w:themeColor="text1"/>
          <w:sz w:val="8"/>
          <w:szCs w:val="8"/>
        </w:rPr>
      </w:pPr>
    </w:p>
    <w:p w14:paraId="2390E1F1" w14:textId="0D52C52F" w:rsidR="009D63A9" w:rsidRPr="00EB7480" w:rsidRDefault="0030072F" w:rsidP="007F2E0C">
      <w:pPr>
        <w:spacing w:before="100" w:beforeAutospacing="1" w:after="100" w:afterAutospacing="1"/>
        <w:contextualSpacing/>
        <w:jc w:val="both"/>
        <w:rPr>
          <w:rFonts w:ascii="Palatino Linotype" w:eastAsia="Calibri" w:hAnsi="Palatino Linotype" w:cs="Arial"/>
          <w:color w:val="000000" w:themeColor="text1"/>
          <w:sz w:val="20"/>
          <w:szCs w:val="20"/>
        </w:rPr>
      </w:pPr>
      <w:r w:rsidRPr="00EB7480">
        <w:rPr>
          <w:rFonts w:ascii="Palatino Linotype" w:eastAsia="Calibri" w:hAnsi="Palatino Linotype" w:cs="Arial"/>
          <w:color w:val="000000" w:themeColor="text1"/>
          <w:sz w:val="20"/>
          <w:szCs w:val="20"/>
        </w:rPr>
        <w:t>YSM/</w:t>
      </w:r>
      <w:r w:rsidR="001950C9">
        <w:rPr>
          <w:rFonts w:ascii="Palatino Linotype" w:eastAsia="Calibri" w:hAnsi="Palatino Linotype" w:cs="Arial"/>
          <w:color w:val="000000" w:themeColor="text1"/>
          <w:sz w:val="20"/>
          <w:szCs w:val="20"/>
        </w:rPr>
        <w:t>ATU</w:t>
      </w:r>
      <w:r w:rsidR="00E9559B">
        <w:rPr>
          <w:rFonts w:ascii="Palatino Linotype" w:eastAsia="Calibri" w:hAnsi="Palatino Linotype" w:cs="Arial"/>
          <w:color w:val="000000" w:themeColor="text1"/>
          <w:sz w:val="20"/>
          <w:szCs w:val="20"/>
        </w:rPr>
        <w:t>/LGMJ</w:t>
      </w:r>
    </w:p>
    <w:sectPr w:rsidR="009D63A9" w:rsidRPr="00EB7480" w:rsidSect="009D63A9">
      <w:headerReference w:type="even" r:id="rId8"/>
      <w:headerReference w:type="default" r:id="rId9"/>
      <w:footerReference w:type="default" r:id="rId10"/>
      <w:headerReference w:type="first" r:id="rId11"/>
      <w:pgSz w:w="12240" w:h="15840"/>
      <w:pgMar w:top="1701" w:right="1134" w:bottom="1701" w:left="1134" w:header="708" w:footer="59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1F69BD" w14:textId="77777777" w:rsidR="00414242" w:rsidRDefault="00414242" w:rsidP="00C80F8C">
      <w:r>
        <w:separator/>
      </w:r>
    </w:p>
  </w:endnote>
  <w:endnote w:type="continuationSeparator" w:id="0">
    <w:p w14:paraId="39D9A117" w14:textId="77777777" w:rsidR="00414242" w:rsidRDefault="00414242"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E183EC" w14:textId="77777777" w:rsidR="000412FB" w:rsidRDefault="000412FB" w:rsidP="003056D9">
    <w:pPr>
      <w:pStyle w:val="Piedepgina"/>
      <w:tabs>
        <w:tab w:val="clear" w:pos="4252"/>
        <w:tab w:val="left" w:pos="4228"/>
      </w:tabs>
      <w:rPr>
        <w:rFonts w:ascii="Palatino Linotype" w:hAnsi="Palatino Linotype" w:cs="Arial"/>
        <w:b/>
        <w:bCs/>
        <w:sz w:val="20"/>
        <w:szCs w:val="20"/>
      </w:rPr>
    </w:pPr>
  </w:p>
  <w:p w14:paraId="1C26389C" w14:textId="77777777" w:rsidR="003056D9" w:rsidRDefault="003056D9" w:rsidP="003056D9">
    <w:pPr>
      <w:pStyle w:val="Piedepgina"/>
      <w:tabs>
        <w:tab w:val="clear" w:pos="4252"/>
        <w:tab w:val="left" w:pos="4228"/>
      </w:tabs>
      <w:rPr>
        <w:rFonts w:ascii="Palatino Linotype" w:hAnsi="Palatino Linotype" w:cs="Arial"/>
        <w:b/>
        <w:bCs/>
        <w:sz w:val="20"/>
        <w:szCs w:val="20"/>
      </w:rPr>
    </w:pPr>
  </w:p>
  <w:p w14:paraId="7694619B" w14:textId="676EB295" w:rsidR="003056D9" w:rsidRDefault="003056D9" w:rsidP="003056D9">
    <w:pPr>
      <w:pStyle w:val="Piedepgina"/>
      <w:tabs>
        <w:tab w:val="clear" w:pos="4252"/>
        <w:tab w:val="left" w:pos="4228"/>
      </w:tabs>
      <w:rPr>
        <w:rFonts w:ascii="Palatino Linotype" w:hAnsi="Palatino Linotype" w:cs="Arial"/>
        <w:b/>
        <w:bCs/>
        <w:sz w:val="20"/>
        <w:szCs w:val="20"/>
      </w:rPr>
    </w:pPr>
  </w:p>
  <w:p w14:paraId="390F141A" w14:textId="77777777" w:rsidR="00455CB3" w:rsidRDefault="00455CB3" w:rsidP="000E2B1A">
    <w:pPr>
      <w:pStyle w:val="Piedepgina"/>
      <w:rPr>
        <w:rFonts w:ascii="Palatino Linotype" w:hAnsi="Palatino Linotype" w:cs="Arial"/>
        <w:b/>
        <w:bCs/>
        <w:sz w:val="20"/>
        <w:szCs w:val="20"/>
      </w:rPr>
    </w:pPr>
  </w:p>
  <w:p w14:paraId="122599E5" w14:textId="77777777" w:rsidR="003056D9" w:rsidRPr="00F12350" w:rsidRDefault="003056D9"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8E093B">
      <w:rPr>
        <w:rFonts w:ascii="Palatino Linotype" w:hAnsi="Palatino Linotype" w:cs="Arial"/>
        <w:b/>
        <w:bCs/>
        <w:noProof/>
        <w:sz w:val="20"/>
        <w:szCs w:val="20"/>
      </w:rPr>
      <w:t>5</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8E093B">
      <w:rPr>
        <w:rFonts w:ascii="Palatino Linotype" w:hAnsi="Palatino Linotype" w:cs="Arial"/>
        <w:b/>
        <w:bCs/>
        <w:noProof/>
        <w:sz w:val="20"/>
        <w:szCs w:val="20"/>
      </w:rPr>
      <w:t>6</w:t>
    </w:r>
    <w:r w:rsidRPr="00F12350">
      <w:rPr>
        <w:rFonts w:ascii="Palatino Linotype" w:hAnsi="Palatino Linotype" w:cs="Arial"/>
        <w:b/>
        <w:bCs/>
        <w:sz w:val="20"/>
        <w:szCs w:val="20"/>
      </w:rPr>
      <w:fldChar w:fldCharType="end"/>
    </w:r>
  </w:p>
  <w:p w14:paraId="14A770F8" w14:textId="77777777" w:rsidR="006F30F8" w:rsidRDefault="006F30F8"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99A5A8" w14:textId="77777777" w:rsidR="00414242" w:rsidRDefault="00414242" w:rsidP="00C80F8C">
      <w:r>
        <w:separator/>
      </w:r>
    </w:p>
  </w:footnote>
  <w:footnote w:type="continuationSeparator" w:id="0">
    <w:p w14:paraId="0644B877" w14:textId="77777777" w:rsidR="00414242" w:rsidRDefault="00414242"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1969BE" w14:textId="4DD2E2A6" w:rsidR="0034309A" w:rsidRDefault="008E093B">
    <w:pPr>
      <w:pStyle w:val="Encabezado"/>
    </w:pPr>
    <w:r>
      <w:rPr>
        <w:noProof/>
      </w:rPr>
      <w:pict w14:anchorId="33D001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50" type="#_x0000_t136" style="position:absolute;margin-left:0;margin-top:0;width:611.25pt;height:91.65pt;rotation:315;z-index:-251654144;mso-position-horizontal:center;mso-position-horizontal-relative:margin;mso-position-vertical:center;mso-position-vertical-relative:margin" o:allowincell="f" fillcolor="#e5b8b7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62159F" w14:textId="74AB4099" w:rsidR="0034309A" w:rsidRDefault="0034309A" w:rsidP="0034309A">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8240" behindDoc="1" locked="0" layoutInCell="1" allowOverlap="1" wp14:anchorId="46D381A4" wp14:editId="1E2E918C">
          <wp:simplePos x="0" y="0"/>
          <wp:positionH relativeFrom="column">
            <wp:posOffset>-631825</wp:posOffset>
          </wp:positionH>
          <wp:positionV relativeFrom="paragraph">
            <wp:posOffset>-357979</wp:posOffset>
          </wp:positionV>
          <wp:extent cx="7604125" cy="9903460"/>
          <wp:effectExtent l="0" t="0" r="0" b="254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07B61D73" w14:textId="6FB744F0" w:rsidR="0034309A" w:rsidRPr="00703A00" w:rsidRDefault="0034309A" w:rsidP="0034309A">
    <w:pPr>
      <w:pStyle w:val="Encabezado"/>
      <w:tabs>
        <w:tab w:val="clear" w:pos="4252"/>
        <w:tab w:val="clear" w:pos="8504"/>
        <w:tab w:val="left" w:pos="2326"/>
      </w:tabs>
      <w:jc w:val="right"/>
      <w:rPr>
        <w:rFonts w:ascii="Palatino Linotype" w:hAnsi="Palatino Linotype"/>
        <w:sz w:val="22"/>
      </w:rPr>
    </w:pPr>
  </w:p>
  <w:p w14:paraId="71104997" w14:textId="2E4CF7F8" w:rsidR="00634485" w:rsidRDefault="00634485" w:rsidP="0034309A">
    <w:pPr>
      <w:pStyle w:val="Encabezado"/>
      <w:tabs>
        <w:tab w:val="clear" w:pos="4252"/>
        <w:tab w:val="clear" w:pos="8504"/>
        <w:tab w:val="left" w:pos="2326"/>
      </w:tabs>
      <w:jc w:val="right"/>
      <w:rPr>
        <w:rFonts w:ascii="Palatino Linotype" w:hAnsi="Palatino Linotype" w:cs="Arial"/>
        <w:sz w:val="20"/>
        <w:szCs w:val="20"/>
      </w:rPr>
    </w:pPr>
  </w:p>
  <w:p w14:paraId="5605195D" w14:textId="64DCA5D8" w:rsidR="00EB7480" w:rsidRDefault="00703A00" w:rsidP="0034309A">
    <w:pPr>
      <w:pStyle w:val="Encabezado"/>
      <w:tabs>
        <w:tab w:val="clear" w:pos="4252"/>
        <w:tab w:val="clear" w:pos="8504"/>
        <w:tab w:val="left" w:pos="2326"/>
      </w:tabs>
      <w:jc w:val="right"/>
      <w:rPr>
        <w:rFonts w:ascii="Palatino Linotype" w:hAnsi="Palatino Linotype" w:cs="Arial"/>
        <w:sz w:val="20"/>
        <w:szCs w:val="20"/>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14:paraId="333995A2" w14:textId="68DA2FF5" w:rsidR="0030072F" w:rsidRDefault="008E093B" w:rsidP="005B773B">
    <w:pPr>
      <w:pStyle w:val="Encabezado"/>
      <w:tabs>
        <w:tab w:val="clear" w:pos="4252"/>
        <w:tab w:val="clear" w:pos="8504"/>
        <w:tab w:val="left" w:pos="2326"/>
      </w:tabs>
      <w:spacing w:after="240"/>
      <w:jc w:val="right"/>
      <w:rPr>
        <w:rFonts w:ascii="Palatino Linotype" w:hAnsi="Palatino Linotype" w:cs="Arial"/>
        <w:sz w:val="20"/>
        <w:szCs w:val="20"/>
      </w:rPr>
    </w:pPr>
    <w:r>
      <w:rPr>
        <w:noProof/>
      </w:rPr>
      <w:pict w14:anchorId="38BFA9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1" type="#_x0000_t136" style="position:absolute;left:0;text-align:left;margin-left:0;margin-top:0;width:693.3pt;height:93.55pt;rotation:315;z-index:-251652096;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r w:rsidR="00703A00" w:rsidRPr="00706042">
      <w:rPr>
        <w:rFonts w:ascii="Palatino Linotype" w:hAnsi="Palatino Linotype" w:cs="Arial"/>
        <w:sz w:val="20"/>
        <w:szCs w:val="20"/>
      </w:rPr>
      <w:t xml:space="preserve">RECURSO DE REVISIÓN </w:t>
    </w:r>
    <w:r w:rsidR="00703A00">
      <w:rPr>
        <w:rFonts w:ascii="Palatino Linotype" w:hAnsi="Palatino Linotype" w:cs="Arial"/>
        <w:sz w:val="20"/>
        <w:szCs w:val="20"/>
      </w:rPr>
      <w:t>06339/INFOEM/IP</w:t>
    </w:r>
    <w:r w:rsidR="00703A00" w:rsidRPr="00706042">
      <w:rPr>
        <w:rFonts w:ascii="Palatino Linotype" w:hAnsi="Palatino Linotype" w:cs="Arial"/>
        <w:sz w:val="20"/>
        <w:szCs w:val="20"/>
      </w:rPr>
      <w:t>/RR/201</w:t>
    </w:r>
    <w:r w:rsidR="00703A00">
      <w:rPr>
        <w:rFonts w:ascii="Palatino Linotype" w:hAnsi="Palatino Linotype" w:cs="Arial"/>
        <w:sz w:val="20"/>
        <w:szCs w:val="20"/>
      </w:rPr>
      <w:t>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F7B53A" w14:textId="7CCC1D43" w:rsidR="0034309A" w:rsidRDefault="008E093B">
    <w:pPr>
      <w:pStyle w:val="Encabezado"/>
    </w:pPr>
    <w:r>
      <w:rPr>
        <w:noProof/>
      </w:rPr>
      <w:pict w14:anchorId="216D65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49" type="#_x0000_t136" style="position:absolute;margin-left:0;margin-top:0;width:611.25pt;height:91.65pt;rotation:315;z-index:-251656192;mso-position-horizontal:center;mso-position-horizontal-relative:margin;mso-position-vertical:center;mso-position-vertical-relative:margin" o:allowincell="f" fillcolor="#e5b8b7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16172"/>
    <w:multiLevelType w:val="hybridMultilevel"/>
    <w:tmpl w:val="82CAE9BE"/>
    <w:lvl w:ilvl="0" w:tplc="CDEC5E8E">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F63D8B"/>
    <w:multiLevelType w:val="hybridMultilevel"/>
    <w:tmpl w:val="716470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BB96A75"/>
    <w:multiLevelType w:val="hybridMultilevel"/>
    <w:tmpl w:val="BB02CA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57877F7"/>
    <w:multiLevelType w:val="hybridMultilevel"/>
    <w:tmpl w:val="7C543340"/>
    <w:lvl w:ilvl="0" w:tplc="82FC6E80">
      <w:start w:val="1"/>
      <w:numFmt w:val="decimal"/>
      <w:lvlText w:val="%1."/>
      <w:lvlJc w:val="left"/>
      <w:pPr>
        <w:ind w:left="420" w:hanging="360"/>
      </w:pPr>
      <w:rPr>
        <w:rFonts w:cs="Times New Roman"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4" w15:restartNumberingAfterBreak="0">
    <w:nsid w:val="3B887FD3"/>
    <w:multiLevelType w:val="hybridMultilevel"/>
    <w:tmpl w:val="9F307D16"/>
    <w:lvl w:ilvl="0" w:tplc="080A0017">
      <w:start w:val="1"/>
      <w:numFmt w:val="lowerLetter"/>
      <w:lvlText w:val="%1)"/>
      <w:lvlJc w:val="left"/>
      <w:pPr>
        <w:ind w:left="1068" w:hanging="360"/>
      </w:pPr>
      <w:rPr>
        <w:rFonts w:hint="default"/>
      </w:rPr>
    </w:lvl>
    <w:lvl w:ilvl="1" w:tplc="080A0003">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5" w15:restartNumberingAfterBreak="0">
    <w:nsid w:val="69996C86"/>
    <w:multiLevelType w:val="hybridMultilevel"/>
    <w:tmpl w:val="D38657C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19A5"/>
    <w:rsid w:val="0000387C"/>
    <w:rsid w:val="0001751C"/>
    <w:rsid w:val="00017D16"/>
    <w:rsid w:val="000412FB"/>
    <w:rsid w:val="00055107"/>
    <w:rsid w:val="0006079D"/>
    <w:rsid w:val="0007653D"/>
    <w:rsid w:val="00082101"/>
    <w:rsid w:val="0008542A"/>
    <w:rsid w:val="0008745A"/>
    <w:rsid w:val="00092678"/>
    <w:rsid w:val="00095B30"/>
    <w:rsid w:val="000B3FFD"/>
    <w:rsid w:val="000C2CF9"/>
    <w:rsid w:val="000C4453"/>
    <w:rsid w:val="000D136C"/>
    <w:rsid w:val="000D66DE"/>
    <w:rsid w:val="000E2B1A"/>
    <w:rsid w:val="000E4C17"/>
    <w:rsid w:val="00102EEC"/>
    <w:rsid w:val="0010583C"/>
    <w:rsid w:val="001059D0"/>
    <w:rsid w:val="00117749"/>
    <w:rsid w:val="00123644"/>
    <w:rsid w:val="0013735C"/>
    <w:rsid w:val="00140058"/>
    <w:rsid w:val="00140D18"/>
    <w:rsid w:val="00175DEE"/>
    <w:rsid w:val="00187FFD"/>
    <w:rsid w:val="001950C9"/>
    <w:rsid w:val="001A5699"/>
    <w:rsid w:val="001D3F57"/>
    <w:rsid w:val="001E757E"/>
    <w:rsid w:val="001E763C"/>
    <w:rsid w:val="002314AA"/>
    <w:rsid w:val="0023504D"/>
    <w:rsid w:val="00237A37"/>
    <w:rsid w:val="0024119C"/>
    <w:rsid w:val="0025202C"/>
    <w:rsid w:val="002562CC"/>
    <w:rsid w:val="00265F75"/>
    <w:rsid w:val="002940F8"/>
    <w:rsid w:val="002B7856"/>
    <w:rsid w:val="002D3BBD"/>
    <w:rsid w:val="002D4526"/>
    <w:rsid w:val="002D69E1"/>
    <w:rsid w:val="002E5711"/>
    <w:rsid w:val="0030072F"/>
    <w:rsid w:val="003031E1"/>
    <w:rsid w:val="003056D9"/>
    <w:rsid w:val="003102FA"/>
    <w:rsid w:val="0034309A"/>
    <w:rsid w:val="00351129"/>
    <w:rsid w:val="00352E58"/>
    <w:rsid w:val="0037321B"/>
    <w:rsid w:val="003A6F70"/>
    <w:rsid w:val="003C23BE"/>
    <w:rsid w:val="003C28FC"/>
    <w:rsid w:val="003C2D10"/>
    <w:rsid w:val="003C7226"/>
    <w:rsid w:val="003D1C14"/>
    <w:rsid w:val="003F0C49"/>
    <w:rsid w:val="003F4C9C"/>
    <w:rsid w:val="0040475C"/>
    <w:rsid w:val="00410D1F"/>
    <w:rsid w:val="0041327F"/>
    <w:rsid w:val="00414242"/>
    <w:rsid w:val="00414E48"/>
    <w:rsid w:val="00414E7B"/>
    <w:rsid w:val="004179B7"/>
    <w:rsid w:val="004315BB"/>
    <w:rsid w:val="0044271B"/>
    <w:rsid w:val="00443646"/>
    <w:rsid w:val="0044475B"/>
    <w:rsid w:val="00455CB3"/>
    <w:rsid w:val="004661D2"/>
    <w:rsid w:val="004776FF"/>
    <w:rsid w:val="004B7325"/>
    <w:rsid w:val="004C40EA"/>
    <w:rsid w:val="004C64D9"/>
    <w:rsid w:val="004D0A26"/>
    <w:rsid w:val="00500FFD"/>
    <w:rsid w:val="00516914"/>
    <w:rsid w:val="005236B6"/>
    <w:rsid w:val="005318AB"/>
    <w:rsid w:val="005321E3"/>
    <w:rsid w:val="00552317"/>
    <w:rsid w:val="00562649"/>
    <w:rsid w:val="00575235"/>
    <w:rsid w:val="0058067E"/>
    <w:rsid w:val="0058639E"/>
    <w:rsid w:val="005870DF"/>
    <w:rsid w:val="00592A18"/>
    <w:rsid w:val="005B773B"/>
    <w:rsid w:val="005C66D4"/>
    <w:rsid w:val="005D14C4"/>
    <w:rsid w:val="005D1946"/>
    <w:rsid w:val="005D2098"/>
    <w:rsid w:val="00612544"/>
    <w:rsid w:val="006301B2"/>
    <w:rsid w:val="00634485"/>
    <w:rsid w:val="00646A97"/>
    <w:rsid w:val="00672211"/>
    <w:rsid w:val="006824EF"/>
    <w:rsid w:val="00684492"/>
    <w:rsid w:val="00694EB3"/>
    <w:rsid w:val="006967D4"/>
    <w:rsid w:val="006A496D"/>
    <w:rsid w:val="006C0991"/>
    <w:rsid w:val="006D6457"/>
    <w:rsid w:val="006E6389"/>
    <w:rsid w:val="006F30F8"/>
    <w:rsid w:val="00703A00"/>
    <w:rsid w:val="00712BC2"/>
    <w:rsid w:val="0071346B"/>
    <w:rsid w:val="00721966"/>
    <w:rsid w:val="0072367B"/>
    <w:rsid w:val="00724599"/>
    <w:rsid w:val="00736C06"/>
    <w:rsid w:val="007416E3"/>
    <w:rsid w:val="00742010"/>
    <w:rsid w:val="00772360"/>
    <w:rsid w:val="007A4AB6"/>
    <w:rsid w:val="007B6E55"/>
    <w:rsid w:val="007C0FDA"/>
    <w:rsid w:val="007C3C0E"/>
    <w:rsid w:val="007D0FEE"/>
    <w:rsid w:val="007F2E0C"/>
    <w:rsid w:val="008217CD"/>
    <w:rsid w:val="00840ED1"/>
    <w:rsid w:val="00846A21"/>
    <w:rsid w:val="008556C3"/>
    <w:rsid w:val="00892AFC"/>
    <w:rsid w:val="008C0700"/>
    <w:rsid w:val="008C0C70"/>
    <w:rsid w:val="008C17F2"/>
    <w:rsid w:val="008D1526"/>
    <w:rsid w:val="008D584A"/>
    <w:rsid w:val="008E093B"/>
    <w:rsid w:val="00926A92"/>
    <w:rsid w:val="0093343E"/>
    <w:rsid w:val="00953EC8"/>
    <w:rsid w:val="00966E59"/>
    <w:rsid w:val="00975AA3"/>
    <w:rsid w:val="00975EB9"/>
    <w:rsid w:val="009773AF"/>
    <w:rsid w:val="00986740"/>
    <w:rsid w:val="009A271C"/>
    <w:rsid w:val="009A67F5"/>
    <w:rsid w:val="009B65F4"/>
    <w:rsid w:val="009C2F32"/>
    <w:rsid w:val="009C46BF"/>
    <w:rsid w:val="009D63A9"/>
    <w:rsid w:val="009E5EDA"/>
    <w:rsid w:val="00A032F1"/>
    <w:rsid w:val="00A04C79"/>
    <w:rsid w:val="00A14B1D"/>
    <w:rsid w:val="00A40057"/>
    <w:rsid w:val="00A4593D"/>
    <w:rsid w:val="00A53958"/>
    <w:rsid w:val="00A60D1E"/>
    <w:rsid w:val="00A81140"/>
    <w:rsid w:val="00A824CA"/>
    <w:rsid w:val="00AB21DA"/>
    <w:rsid w:val="00AC248E"/>
    <w:rsid w:val="00AC3F99"/>
    <w:rsid w:val="00AD13E4"/>
    <w:rsid w:val="00AD6AAD"/>
    <w:rsid w:val="00AE2B18"/>
    <w:rsid w:val="00AF0B38"/>
    <w:rsid w:val="00AF3F82"/>
    <w:rsid w:val="00B0588F"/>
    <w:rsid w:val="00B151A8"/>
    <w:rsid w:val="00B27BE5"/>
    <w:rsid w:val="00B337A5"/>
    <w:rsid w:val="00B35A45"/>
    <w:rsid w:val="00B4641E"/>
    <w:rsid w:val="00B46E78"/>
    <w:rsid w:val="00B5072E"/>
    <w:rsid w:val="00B53290"/>
    <w:rsid w:val="00B57FE6"/>
    <w:rsid w:val="00B64C77"/>
    <w:rsid w:val="00B650A8"/>
    <w:rsid w:val="00B80485"/>
    <w:rsid w:val="00B95BF7"/>
    <w:rsid w:val="00BC5D71"/>
    <w:rsid w:val="00BD7483"/>
    <w:rsid w:val="00C1644D"/>
    <w:rsid w:val="00C30621"/>
    <w:rsid w:val="00C307F0"/>
    <w:rsid w:val="00C4493E"/>
    <w:rsid w:val="00C766EF"/>
    <w:rsid w:val="00C80F8C"/>
    <w:rsid w:val="00CA047D"/>
    <w:rsid w:val="00CC5EAB"/>
    <w:rsid w:val="00CF30E8"/>
    <w:rsid w:val="00D01B99"/>
    <w:rsid w:val="00D22D87"/>
    <w:rsid w:val="00D46C00"/>
    <w:rsid w:val="00D557C2"/>
    <w:rsid w:val="00D64F32"/>
    <w:rsid w:val="00DA5209"/>
    <w:rsid w:val="00DD6A6C"/>
    <w:rsid w:val="00DF733A"/>
    <w:rsid w:val="00E10A96"/>
    <w:rsid w:val="00E146AA"/>
    <w:rsid w:val="00E27F2A"/>
    <w:rsid w:val="00E313C4"/>
    <w:rsid w:val="00E42755"/>
    <w:rsid w:val="00E43B8E"/>
    <w:rsid w:val="00E45B76"/>
    <w:rsid w:val="00E46383"/>
    <w:rsid w:val="00E50E30"/>
    <w:rsid w:val="00E76ECF"/>
    <w:rsid w:val="00E8209A"/>
    <w:rsid w:val="00E9559B"/>
    <w:rsid w:val="00EA27CB"/>
    <w:rsid w:val="00EA5EEB"/>
    <w:rsid w:val="00EA7874"/>
    <w:rsid w:val="00EB7480"/>
    <w:rsid w:val="00EB7DE6"/>
    <w:rsid w:val="00EB7F1A"/>
    <w:rsid w:val="00EC0002"/>
    <w:rsid w:val="00ED5EE9"/>
    <w:rsid w:val="00F06505"/>
    <w:rsid w:val="00F36CDE"/>
    <w:rsid w:val="00F44E84"/>
    <w:rsid w:val="00F548A9"/>
    <w:rsid w:val="00F54D8B"/>
    <w:rsid w:val="00F57D55"/>
    <w:rsid w:val="00F92F15"/>
    <w:rsid w:val="00F9624E"/>
    <w:rsid w:val="00FA6221"/>
    <w:rsid w:val="00FB48D6"/>
    <w:rsid w:val="00FE7408"/>
    <w:rsid w:val="00FF1996"/>
    <w:rsid w:val="00FF4757"/>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3E8CC70D"/>
  <w14:defaultImageDpi w14:val="300"/>
  <w15:docId w15:val="{CB145698-DBB4-44F1-B466-BEE779D8F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58639E"/>
    <w:pPr>
      <w:ind w:left="720"/>
      <w:contextualSpacing/>
    </w:pPr>
  </w:style>
  <w:style w:type="paragraph" w:customStyle="1" w:styleId="Default">
    <w:name w:val="Default"/>
    <w:rsid w:val="0058639E"/>
    <w:pPr>
      <w:autoSpaceDE w:val="0"/>
      <w:autoSpaceDN w:val="0"/>
      <w:adjustRightInd w:val="0"/>
    </w:pPr>
    <w:rPr>
      <w:rFonts w:ascii="Arial" w:hAnsi="Arial" w:cs="Arial"/>
      <w:color w:val="000000"/>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E2B1A"/>
    <w:rPr>
      <w:rFonts w:ascii="Times New Roman" w:eastAsia="Times New Roman" w:hAnsi="Times New Roman" w:cs="Times New Roman"/>
      <w:lang w:val="es-ES"/>
    </w:rPr>
  </w:style>
  <w:style w:type="paragraph" w:styleId="Sinespaciado">
    <w:name w:val="No Spacing"/>
    <w:aliases w:val="Francesa"/>
    <w:link w:val="SinespaciadoCar"/>
    <w:uiPriority w:val="1"/>
    <w:qFormat/>
    <w:rsid w:val="008C0700"/>
    <w:rPr>
      <w:rFonts w:ascii="Times New Roman" w:eastAsia="Times New Roman" w:hAnsi="Times New Roman" w:cs="Times New Roman"/>
      <w:lang w:val="es-MX"/>
    </w:rPr>
  </w:style>
  <w:style w:type="character" w:customStyle="1" w:styleId="SinespaciadoCar">
    <w:name w:val="Sin espaciado Car"/>
    <w:aliases w:val="Francesa Car"/>
    <w:link w:val="Sinespaciado"/>
    <w:uiPriority w:val="1"/>
    <w:locked/>
    <w:rsid w:val="008C0700"/>
    <w:rPr>
      <w:rFonts w:ascii="Times New Roman" w:eastAsia="Times New Roman" w:hAnsi="Times New Roman" w:cs="Times New Roman"/>
      <w:lang w:val="es-MX"/>
    </w:rPr>
  </w:style>
  <w:style w:type="character" w:customStyle="1" w:styleId="normaltextrun">
    <w:name w:val="normaltextrun"/>
    <w:basedOn w:val="Fuentedeprrafopredeter"/>
    <w:rsid w:val="002D69E1"/>
  </w:style>
  <w:style w:type="paragraph" w:customStyle="1" w:styleId="paragraph">
    <w:name w:val="paragraph"/>
    <w:basedOn w:val="Normal"/>
    <w:rsid w:val="002D69E1"/>
    <w:pPr>
      <w:spacing w:before="100" w:beforeAutospacing="1" w:after="100" w:afterAutospacing="1"/>
    </w:pPr>
    <w:rPr>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76660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1B96E9-A720-4504-87F0-379FD4AF0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1559</Words>
  <Characters>8579</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INFOEM usuario 2019</cp:lastModifiedBy>
  <cp:revision>7</cp:revision>
  <cp:lastPrinted>2019-10-21T21:15:00Z</cp:lastPrinted>
  <dcterms:created xsi:type="dcterms:W3CDTF">2019-10-21T21:15:00Z</dcterms:created>
  <dcterms:modified xsi:type="dcterms:W3CDTF">2019-10-25T20:04:00Z</dcterms:modified>
</cp:coreProperties>
</file>