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0E" w:rsidRPr="00F23EC6" w:rsidRDefault="000F5E0E" w:rsidP="00F23EC6">
      <w:pPr>
        <w:spacing w:before="240" w:after="240" w:line="360" w:lineRule="auto"/>
        <w:ind w:right="-142"/>
        <w:jc w:val="center"/>
        <w:rPr>
          <w:rFonts w:ascii="Palatino Linotype" w:eastAsiaTheme="minorEastAsia" w:hAnsi="Palatino Linotype"/>
          <w:b/>
          <w:sz w:val="24"/>
          <w:szCs w:val="24"/>
          <w:lang w:val="es-ES_tradnl" w:eastAsia="es-ES"/>
        </w:rPr>
      </w:pPr>
      <w:r w:rsidRPr="00F23EC6">
        <w:rPr>
          <w:rFonts w:ascii="Palatino Linotype" w:eastAsiaTheme="minorEastAsia" w:hAnsi="Palatino Linotype"/>
          <w:b/>
          <w:sz w:val="24"/>
          <w:szCs w:val="24"/>
          <w:lang w:val="es-ES_tradnl" w:eastAsia="es-ES"/>
        </w:rPr>
        <w:t>LÍNEAS ARGUMENTATIVAS</w:t>
      </w:r>
    </w:p>
    <w:p w:rsidR="00C856CA" w:rsidRPr="00F23EC6" w:rsidRDefault="00C856CA" w:rsidP="00F23EC6">
      <w:pPr>
        <w:pStyle w:val="Prrafodelista"/>
        <w:spacing w:before="240" w:after="360" w:line="360" w:lineRule="auto"/>
        <w:ind w:left="0"/>
        <w:jc w:val="both"/>
        <w:rPr>
          <w:rFonts w:ascii="Palatino Linotype" w:hAnsi="Palatino Linotype"/>
          <w:sz w:val="24"/>
          <w:szCs w:val="24"/>
        </w:rPr>
      </w:pPr>
      <w:r w:rsidRPr="00F23EC6">
        <w:rPr>
          <w:rFonts w:ascii="Palatino Linotype" w:hAnsi="Palatino Linotype"/>
          <w:b/>
          <w:sz w:val="24"/>
          <w:szCs w:val="24"/>
        </w:rPr>
        <w:t>NEGATIVA FICTA, NO EXISTE PLAZO PERENTORIO PARA INTERPONER EL RECURSO.</w:t>
      </w:r>
      <w:r w:rsidRPr="00F23EC6">
        <w:rPr>
          <w:rFonts w:ascii="Palatino Linotype" w:hAnsi="Palatino Linotype"/>
          <w:sz w:val="24"/>
          <w:szCs w:val="24"/>
        </w:rPr>
        <w:t xml:space="preserve"> Tratándose de negativa ficta no existe plazo para la interposición del recurso de revisión por tratarse de una afectación continua al Derecho de Acceso a la Información Pública.</w:t>
      </w:r>
    </w:p>
    <w:p w:rsidR="00C856CA" w:rsidRPr="00F23EC6" w:rsidRDefault="00C856CA" w:rsidP="00F23EC6">
      <w:pPr>
        <w:spacing w:before="240" w:after="360" w:line="360" w:lineRule="auto"/>
        <w:contextualSpacing/>
        <w:jc w:val="both"/>
        <w:rPr>
          <w:rFonts w:ascii="Palatino Linotype" w:eastAsia="Times New Roman" w:hAnsi="Palatino Linotype"/>
          <w:sz w:val="24"/>
          <w:szCs w:val="24"/>
        </w:rPr>
      </w:pPr>
      <w:r w:rsidRPr="00F23EC6">
        <w:rPr>
          <w:rFonts w:ascii="Palatino Linotype" w:eastAsia="Times New Roman" w:hAnsi="Palatino Linotype"/>
          <w:b/>
          <w:sz w:val="24"/>
          <w:szCs w:val="24"/>
        </w:rPr>
        <w:t>DEBERES DE LAS AUTORIDADES.</w:t>
      </w:r>
      <w:r w:rsidRPr="00F23EC6">
        <w:rPr>
          <w:rFonts w:ascii="Palatino Linotype" w:eastAsia="Times New Roman" w:hAnsi="Palatino Linotype"/>
          <w:sz w:val="24"/>
          <w:szCs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C856CA" w:rsidRPr="00F23EC6" w:rsidRDefault="00C856CA" w:rsidP="00F23EC6">
      <w:pPr>
        <w:spacing w:before="240" w:after="360" w:line="360" w:lineRule="auto"/>
        <w:contextualSpacing/>
        <w:jc w:val="both"/>
        <w:rPr>
          <w:rFonts w:ascii="Palatino Linotype" w:eastAsia="Times New Roman" w:hAnsi="Palatino Linotype"/>
          <w:sz w:val="24"/>
          <w:szCs w:val="24"/>
        </w:rPr>
      </w:pPr>
    </w:p>
    <w:p w:rsidR="000F5E0E" w:rsidRPr="00F23EC6" w:rsidRDefault="00C856CA" w:rsidP="00F23EC6">
      <w:pPr>
        <w:spacing w:after="0" w:line="360" w:lineRule="auto"/>
        <w:contextualSpacing/>
        <w:jc w:val="both"/>
        <w:rPr>
          <w:rFonts w:ascii="Palatino Linotype" w:eastAsia="Times New Roman" w:hAnsi="Palatino Linotype" w:cs="Arial"/>
          <w:sz w:val="24"/>
          <w:szCs w:val="24"/>
          <w:lang w:val="es-ES_tradnl" w:eastAsia="es-MX"/>
        </w:rPr>
      </w:pPr>
      <w:r w:rsidRPr="00F23EC6">
        <w:rPr>
          <w:rFonts w:ascii="Palatino Linotype" w:hAnsi="Palatino Linotype"/>
          <w:b/>
          <w:sz w:val="24"/>
          <w:szCs w:val="24"/>
        </w:rPr>
        <w:t>PRORROGAS INDEBIDAS</w:t>
      </w:r>
      <w:r w:rsidRPr="00F23EC6">
        <w:rPr>
          <w:rFonts w:ascii="Palatino Linotype" w:hAnsi="Palatino Linotype"/>
          <w:sz w:val="24"/>
          <w:szCs w:val="24"/>
        </w:rPr>
        <w:t xml:space="preserve">. </w:t>
      </w:r>
      <w:r w:rsidRPr="00F23EC6">
        <w:rPr>
          <w:rFonts w:ascii="Palatino Linotype" w:eastAsia="Times New Roman" w:hAnsi="Palatino Linotype" w:cs="Arial"/>
          <w:color w:val="000000"/>
          <w:sz w:val="24"/>
          <w:szCs w:val="24"/>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rsidR="000F5E0E" w:rsidRPr="00F23EC6" w:rsidRDefault="000F5E0E" w:rsidP="00F23EC6">
      <w:pPr>
        <w:spacing w:after="0" w:line="360" w:lineRule="auto"/>
        <w:jc w:val="both"/>
        <w:rPr>
          <w:rFonts w:ascii="Palatino Linotype" w:eastAsia="Calibri" w:hAnsi="Palatino Linotype" w:cs="Times New Roman"/>
          <w:b/>
          <w:sz w:val="24"/>
          <w:szCs w:val="24"/>
          <w:lang w:val="es-ES_tradnl" w:eastAsia="es-ES"/>
        </w:rPr>
      </w:pPr>
    </w:p>
    <w:p w:rsidR="000F5E0E" w:rsidRPr="00F23EC6" w:rsidRDefault="000F5E0E" w:rsidP="00F23EC6">
      <w:pPr>
        <w:spacing w:after="0" w:line="360" w:lineRule="auto"/>
        <w:jc w:val="both"/>
        <w:rPr>
          <w:rFonts w:ascii="Palatino Linotype" w:eastAsia="Calibri" w:hAnsi="Palatino Linotype" w:cs="Times New Roman"/>
          <w:sz w:val="24"/>
          <w:szCs w:val="24"/>
          <w:lang w:val="es-ES_tradnl" w:eastAsia="es-ES"/>
        </w:rPr>
      </w:pPr>
      <w:r w:rsidRPr="00F23EC6">
        <w:rPr>
          <w:rFonts w:ascii="Palatino Linotype" w:eastAsia="Calibri" w:hAnsi="Palatino Linotype" w:cs="Times New Roman"/>
          <w:b/>
          <w:sz w:val="24"/>
          <w:szCs w:val="24"/>
          <w:lang w:val="es-ES_tradnl" w:eastAsia="es-ES"/>
        </w:rPr>
        <w:t>DE LA GARANTÍA DE PROPORCIONAR LA INFORMACIÓN PÚBLICA GUBERNAMENTAL.</w:t>
      </w:r>
      <w:r w:rsidRPr="00F23EC6">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0F5E0E" w:rsidRPr="00F23EC6" w:rsidRDefault="000F5E0E" w:rsidP="00F23EC6">
      <w:pPr>
        <w:spacing w:before="240" w:after="240" w:line="360" w:lineRule="auto"/>
        <w:ind w:right="-142"/>
        <w:jc w:val="center"/>
        <w:rPr>
          <w:rFonts w:ascii="Palatino Linotype" w:eastAsiaTheme="minorEastAsia" w:hAnsi="Palatino Linotype"/>
          <w:sz w:val="24"/>
          <w:szCs w:val="24"/>
          <w:lang w:val="es-ES_tradnl" w:eastAsia="es-ES"/>
        </w:rPr>
      </w:pPr>
      <w:r w:rsidRPr="00F23EC6">
        <w:rPr>
          <w:rFonts w:ascii="Palatino Linotype" w:eastAsiaTheme="minorEastAsia" w:hAnsi="Palatino Linotype"/>
          <w:b/>
          <w:sz w:val="24"/>
          <w:szCs w:val="24"/>
          <w:lang w:val="es-ES_tradnl" w:eastAsia="es-ES"/>
        </w:rPr>
        <w:lastRenderedPageBreak/>
        <w:t>Índice</w:t>
      </w:r>
      <w:r w:rsidRPr="00F23EC6">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rFonts w:eastAsiaTheme="minorHAnsi"/>
        </w:rPr>
      </w:sdtEndPr>
      <w:sdtContent>
        <w:p w:rsidR="000F5E0E" w:rsidRPr="00F23EC6" w:rsidRDefault="000F5E0E" w:rsidP="00F23EC6">
          <w:pPr>
            <w:keepNext/>
            <w:keepLines/>
            <w:spacing w:after="0" w:line="360" w:lineRule="auto"/>
            <w:ind w:right="-142"/>
            <w:jc w:val="both"/>
            <w:rPr>
              <w:rFonts w:ascii="Palatino Linotype" w:eastAsiaTheme="majorEastAsia" w:hAnsi="Palatino Linotype" w:cstheme="majorBidi"/>
              <w:b/>
              <w:sz w:val="24"/>
              <w:szCs w:val="24"/>
              <w:lang w:eastAsia="es-MX"/>
            </w:rPr>
          </w:pPr>
        </w:p>
        <w:p w:rsidR="00397FF8" w:rsidRPr="00F23EC6" w:rsidRDefault="000F5E0E" w:rsidP="00F23EC6">
          <w:pPr>
            <w:pStyle w:val="TDC1"/>
            <w:ind w:left="0"/>
            <w:rPr>
              <w:rFonts w:ascii="Palatino Linotype" w:eastAsiaTheme="minorEastAsia" w:hAnsi="Palatino Linotype"/>
              <w:noProof/>
              <w:sz w:val="24"/>
              <w:szCs w:val="24"/>
              <w:lang w:eastAsia="es-MX"/>
            </w:rPr>
          </w:pPr>
          <w:r w:rsidRPr="00F23EC6">
            <w:rPr>
              <w:rFonts w:ascii="Palatino Linotype" w:eastAsiaTheme="minorEastAsia" w:hAnsi="Palatino Linotype"/>
              <w:b/>
              <w:sz w:val="24"/>
              <w:szCs w:val="24"/>
              <w:lang w:val="es-ES_tradnl" w:eastAsia="es-ES"/>
            </w:rPr>
            <w:fldChar w:fldCharType="begin"/>
          </w:r>
          <w:r w:rsidRPr="00F23EC6">
            <w:rPr>
              <w:rFonts w:ascii="Palatino Linotype" w:eastAsiaTheme="minorEastAsia" w:hAnsi="Palatino Linotype"/>
              <w:b/>
              <w:sz w:val="24"/>
              <w:szCs w:val="24"/>
              <w:lang w:val="es-ES_tradnl" w:eastAsia="es-ES"/>
            </w:rPr>
            <w:instrText xml:space="preserve"> TOC \o "1-3" \h \z \u </w:instrText>
          </w:r>
          <w:r w:rsidRPr="00F23EC6">
            <w:rPr>
              <w:rFonts w:ascii="Palatino Linotype" w:eastAsiaTheme="minorEastAsia" w:hAnsi="Palatino Linotype"/>
              <w:b/>
              <w:sz w:val="24"/>
              <w:szCs w:val="24"/>
              <w:lang w:val="es-ES_tradnl" w:eastAsia="es-ES"/>
            </w:rPr>
            <w:fldChar w:fldCharType="separate"/>
          </w:r>
          <w:hyperlink w:anchor="_Toc20305936" w:history="1">
            <w:r w:rsidR="00397FF8" w:rsidRPr="00F23EC6">
              <w:rPr>
                <w:rStyle w:val="Hipervnculo"/>
                <w:rFonts w:ascii="Palatino Linotype" w:eastAsiaTheme="majorEastAsia" w:hAnsi="Palatino Linotype" w:cstheme="majorBidi"/>
                <w:b/>
                <w:noProof/>
                <w:sz w:val="24"/>
                <w:szCs w:val="24"/>
              </w:rPr>
              <w:t>A N T E C E D E N T E S</w:t>
            </w:r>
            <w:r w:rsidR="00397FF8" w:rsidRPr="00F23EC6">
              <w:rPr>
                <w:rFonts w:ascii="Palatino Linotype" w:hAnsi="Palatino Linotype"/>
                <w:noProof/>
                <w:webHidden/>
                <w:sz w:val="24"/>
                <w:szCs w:val="24"/>
              </w:rPr>
              <w:tab/>
            </w:r>
            <w:r w:rsidR="00397FF8" w:rsidRPr="00F23EC6">
              <w:rPr>
                <w:rFonts w:ascii="Palatino Linotype" w:hAnsi="Palatino Linotype"/>
                <w:noProof/>
                <w:webHidden/>
                <w:sz w:val="24"/>
                <w:szCs w:val="24"/>
              </w:rPr>
              <w:fldChar w:fldCharType="begin"/>
            </w:r>
            <w:r w:rsidR="00397FF8" w:rsidRPr="00F23EC6">
              <w:rPr>
                <w:rFonts w:ascii="Palatino Linotype" w:hAnsi="Palatino Linotype"/>
                <w:noProof/>
                <w:webHidden/>
                <w:sz w:val="24"/>
                <w:szCs w:val="24"/>
              </w:rPr>
              <w:instrText xml:space="preserve"> PAGEREF _Toc20305936 \h </w:instrText>
            </w:r>
            <w:r w:rsidR="00397FF8" w:rsidRPr="00F23EC6">
              <w:rPr>
                <w:rFonts w:ascii="Palatino Linotype" w:hAnsi="Palatino Linotype"/>
                <w:noProof/>
                <w:webHidden/>
                <w:sz w:val="24"/>
                <w:szCs w:val="24"/>
              </w:rPr>
            </w:r>
            <w:r w:rsidR="00397FF8" w:rsidRPr="00F23EC6">
              <w:rPr>
                <w:rFonts w:ascii="Palatino Linotype" w:hAnsi="Palatino Linotype"/>
                <w:noProof/>
                <w:webHidden/>
                <w:sz w:val="24"/>
                <w:szCs w:val="24"/>
              </w:rPr>
              <w:fldChar w:fldCharType="separate"/>
            </w:r>
            <w:r w:rsidR="00A254AE">
              <w:rPr>
                <w:rFonts w:ascii="Palatino Linotype" w:hAnsi="Palatino Linotype"/>
                <w:noProof/>
                <w:webHidden/>
                <w:sz w:val="24"/>
                <w:szCs w:val="24"/>
              </w:rPr>
              <w:t>3</w:t>
            </w:r>
            <w:r w:rsidR="00397FF8" w:rsidRPr="00F23EC6">
              <w:rPr>
                <w:rFonts w:ascii="Palatino Linotype" w:hAnsi="Palatino Linotype"/>
                <w:noProof/>
                <w:webHidden/>
                <w:sz w:val="24"/>
                <w:szCs w:val="24"/>
              </w:rPr>
              <w:fldChar w:fldCharType="end"/>
            </w:r>
          </w:hyperlink>
        </w:p>
        <w:p w:rsidR="00397FF8" w:rsidRPr="00F23EC6" w:rsidRDefault="00026E9C" w:rsidP="00F23EC6">
          <w:pPr>
            <w:pStyle w:val="TDC1"/>
            <w:ind w:left="0"/>
            <w:rPr>
              <w:rFonts w:ascii="Palatino Linotype" w:eastAsiaTheme="minorEastAsia" w:hAnsi="Palatino Linotype"/>
              <w:noProof/>
              <w:sz w:val="24"/>
              <w:szCs w:val="24"/>
              <w:lang w:eastAsia="es-MX"/>
            </w:rPr>
          </w:pPr>
          <w:hyperlink w:anchor="_Toc20305937" w:history="1">
            <w:r w:rsidR="00397FF8" w:rsidRPr="00F23EC6">
              <w:rPr>
                <w:rStyle w:val="Hipervnculo"/>
                <w:rFonts w:ascii="Palatino Linotype" w:eastAsiaTheme="majorEastAsia" w:hAnsi="Palatino Linotype" w:cstheme="majorBidi"/>
                <w:b/>
                <w:noProof/>
                <w:sz w:val="24"/>
                <w:szCs w:val="24"/>
              </w:rPr>
              <w:t>C O N S I D E R A N D O</w:t>
            </w:r>
            <w:r w:rsidR="00397FF8" w:rsidRPr="00F23EC6">
              <w:rPr>
                <w:rFonts w:ascii="Palatino Linotype" w:hAnsi="Palatino Linotype"/>
                <w:noProof/>
                <w:webHidden/>
                <w:sz w:val="24"/>
                <w:szCs w:val="24"/>
              </w:rPr>
              <w:tab/>
            </w:r>
            <w:r w:rsidR="00397FF8" w:rsidRPr="00F23EC6">
              <w:rPr>
                <w:rFonts w:ascii="Palatino Linotype" w:hAnsi="Palatino Linotype"/>
                <w:noProof/>
                <w:webHidden/>
                <w:sz w:val="24"/>
                <w:szCs w:val="24"/>
              </w:rPr>
              <w:fldChar w:fldCharType="begin"/>
            </w:r>
            <w:r w:rsidR="00397FF8" w:rsidRPr="00F23EC6">
              <w:rPr>
                <w:rFonts w:ascii="Palatino Linotype" w:hAnsi="Palatino Linotype"/>
                <w:noProof/>
                <w:webHidden/>
                <w:sz w:val="24"/>
                <w:szCs w:val="24"/>
              </w:rPr>
              <w:instrText xml:space="preserve"> PAGEREF _Toc20305937 \h </w:instrText>
            </w:r>
            <w:r w:rsidR="00397FF8" w:rsidRPr="00F23EC6">
              <w:rPr>
                <w:rFonts w:ascii="Palatino Linotype" w:hAnsi="Palatino Linotype"/>
                <w:noProof/>
                <w:webHidden/>
                <w:sz w:val="24"/>
                <w:szCs w:val="24"/>
              </w:rPr>
            </w:r>
            <w:r w:rsidR="00397FF8" w:rsidRPr="00F23EC6">
              <w:rPr>
                <w:rFonts w:ascii="Palatino Linotype" w:hAnsi="Palatino Linotype"/>
                <w:noProof/>
                <w:webHidden/>
                <w:sz w:val="24"/>
                <w:szCs w:val="24"/>
              </w:rPr>
              <w:fldChar w:fldCharType="separate"/>
            </w:r>
            <w:r w:rsidR="00A254AE">
              <w:rPr>
                <w:rFonts w:ascii="Palatino Linotype" w:hAnsi="Palatino Linotype"/>
                <w:noProof/>
                <w:webHidden/>
                <w:sz w:val="24"/>
                <w:szCs w:val="24"/>
              </w:rPr>
              <w:t>25</w:t>
            </w:r>
            <w:r w:rsidR="00397FF8" w:rsidRPr="00F23EC6">
              <w:rPr>
                <w:rFonts w:ascii="Palatino Linotype" w:hAnsi="Palatino Linotype"/>
                <w:noProof/>
                <w:webHidden/>
                <w:sz w:val="24"/>
                <w:szCs w:val="24"/>
              </w:rPr>
              <w:fldChar w:fldCharType="end"/>
            </w:r>
          </w:hyperlink>
        </w:p>
        <w:p w:rsidR="00397FF8" w:rsidRPr="00F23EC6" w:rsidRDefault="00026E9C" w:rsidP="00F23EC6">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20305938" w:history="1">
            <w:r w:rsidR="00397FF8" w:rsidRPr="00F23EC6">
              <w:rPr>
                <w:rStyle w:val="Hipervnculo"/>
                <w:rFonts w:ascii="Palatino Linotype" w:eastAsiaTheme="majorEastAsia" w:hAnsi="Palatino Linotype" w:cstheme="majorBidi"/>
                <w:b/>
                <w:noProof/>
                <w:sz w:val="24"/>
                <w:szCs w:val="24"/>
              </w:rPr>
              <w:t>PRIMERO. De la competencia.</w:t>
            </w:r>
            <w:r w:rsidR="00397FF8" w:rsidRPr="00F23EC6">
              <w:rPr>
                <w:rFonts w:ascii="Palatino Linotype" w:hAnsi="Palatino Linotype"/>
                <w:noProof/>
                <w:webHidden/>
                <w:sz w:val="24"/>
                <w:szCs w:val="24"/>
              </w:rPr>
              <w:tab/>
            </w:r>
            <w:r w:rsidR="00397FF8" w:rsidRPr="00F23EC6">
              <w:rPr>
                <w:rFonts w:ascii="Palatino Linotype" w:hAnsi="Palatino Linotype"/>
                <w:noProof/>
                <w:webHidden/>
                <w:sz w:val="24"/>
                <w:szCs w:val="24"/>
              </w:rPr>
              <w:fldChar w:fldCharType="begin"/>
            </w:r>
            <w:r w:rsidR="00397FF8" w:rsidRPr="00F23EC6">
              <w:rPr>
                <w:rFonts w:ascii="Palatino Linotype" w:hAnsi="Palatino Linotype"/>
                <w:noProof/>
                <w:webHidden/>
                <w:sz w:val="24"/>
                <w:szCs w:val="24"/>
              </w:rPr>
              <w:instrText xml:space="preserve"> PAGEREF _Toc20305938 \h </w:instrText>
            </w:r>
            <w:r w:rsidR="00397FF8" w:rsidRPr="00F23EC6">
              <w:rPr>
                <w:rFonts w:ascii="Palatino Linotype" w:hAnsi="Palatino Linotype"/>
                <w:noProof/>
                <w:webHidden/>
                <w:sz w:val="24"/>
                <w:szCs w:val="24"/>
              </w:rPr>
            </w:r>
            <w:r w:rsidR="00397FF8" w:rsidRPr="00F23EC6">
              <w:rPr>
                <w:rFonts w:ascii="Palatino Linotype" w:hAnsi="Palatino Linotype"/>
                <w:noProof/>
                <w:webHidden/>
                <w:sz w:val="24"/>
                <w:szCs w:val="24"/>
              </w:rPr>
              <w:fldChar w:fldCharType="separate"/>
            </w:r>
            <w:r w:rsidR="00A254AE">
              <w:rPr>
                <w:rFonts w:ascii="Palatino Linotype" w:hAnsi="Palatino Linotype"/>
                <w:noProof/>
                <w:webHidden/>
                <w:sz w:val="24"/>
                <w:szCs w:val="24"/>
              </w:rPr>
              <w:t>25</w:t>
            </w:r>
            <w:r w:rsidR="00397FF8" w:rsidRPr="00F23EC6">
              <w:rPr>
                <w:rFonts w:ascii="Palatino Linotype" w:hAnsi="Palatino Linotype"/>
                <w:noProof/>
                <w:webHidden/>
                <w:sz w:val="24"/>
                <w:szCs w:val="24"/>
              </w:rPr>
              <w:fldChar w:fldCharType="end"/>
            </w:r>
          </w:hyperlink>
        </w:p>
        <w:p w:rsidR="00397FF8" w:rsidRPr="00F23EC6" w:rsidRDefault="00026E9C" w:rsidP="00F23EC6">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20305939" w:history="1">
            <w:r w:rsidR="00397FF8" w:rsidRPr="00F23EC6">
              <w:rPr>
                <w:rStyle w:val="Hipervnculo"/>
                <w:rFonts w:ascii="Palatino Linotype" w:eastAsiaTheme="majorEastAsia" w:hAnsi="Palatino Linotype" w:cstheme="majorBidi"/>
                <w:b/>
                <w:noProof/>
                <w:sz w:val="24"/>
                <w:szCs w:val="24"/>
              </w:rPr>
              <w:t>SEGUNDO. De la oportunidad y procedencia.</w:t>
            </w:r>
            <w:r w:rsidR="00397FF8" w:rsidRPr="00F23EC6">
              <w:rPr>
                <w:rFonts w:ascii="Palatino Linotype" w:hAnsi="Palatino Linotype"/>
                <w:noProof/>
                <w:webHidden/>
                <w:sz w:val="24"/>
                <w:szCs w:val="24"/>
              </w:rPr>
              <w:tab/>
            </w:r>
            <w:r w:rsidR="00397FF8" w:rsidRPr="00F23EC6">
              <w:rPr>
                <w:rFonts w:ascii="Palatino Linotype" w:hAnsi="Palatino Linotype"/>
                <w:noProof/>
                <w:webHidden/>
                <w:sz w:val="24"/>
                <w:szCs w:val="24"/>
              </w:rPr>
              <w:fldChar w:fldCharType="begin"/>
            </w:r>
            <w:r w:rsidR="00397FF8" w:rsidRPr="00F23EC6">
              <w:rPr>
                <w:rFonts w:ascii="Palatino Linotype" w:hAnsi="Palatino Linotype"/>
                <w:noProof/>
                <w:webHidden/>
                <w:sz w:val="24"/>
                <w:szCs w:val="24"/>
              </w:rPr>
              <w:instrText xml:space="preserve"> PAGEREF _Toc20305939 \h </w:instrText>
            </w:r>
            <w:r w:rsidR="00397FF8" w:rsidRPr="00F23EC6">
              <w:rPr>
                <w:rFonts w:ascii="Palatino Linotype" w:hAnsi="Palatino Linotype"/>
                <w:noProof/>
                <w:webHidden/>
                <w:sz w:val="24"/>
                <w:szCs w:val="24"/>
              </w:rPr>
            </w:r>
            <w:r w:rsidR="00397FF8" w:rsidRPr="00F23EC6">
              <w:rPr>
                <w:rFonts w:ascii="Palatino Linotype" w:hAnsi="Palatino Linotype"/>
                <w:noProof/>
                <w:webHidden/>
                <w:sz w:val="24"/>
                <w:szCs w:val="24"/>
              </w:rPr>
              <w:fldChar w:fldCharType="separate"/>
            </w:r>
            <w:r w:rsidR="00A254AE">
              <w:rPr>
                <w:rFonts w:ascii="Palatino Linotype" w:hAnsi="Palatino Linotype"/>
                <w:noProof/>
                <w:webHidden/>
                <w:sz w:val="24"/>
                <w:szCs w:val="24"/>
              </w:rPr>
              <w:t>25</w:t>
            </w:r>
            <w:r w:rsidR="00397FF8" w:rsidRPr="00F23EC6">
              <w:rPr>
                <w:rFonts w:ascii="Palatino Linotype" w:hAnsi="Palatino Linotype"/>
                <w:noProof/>
                <w:webHidden/>
                <w:sz w:val="24"/>
                <w:szCs w:val="24"/>
              </w:rPr>
              <w:fldChar w:fldCharType="end"/>
            </w:r>
          </w:hyperlink>
        </w:p>
        <w:p w:rsidR="00397FF8" w:rsidRPr="00F23EC6" w:rsidRDefault="00026E9C" w:rsidP="00F23EC6">
          <w:pPr>
            <w:pStyle w:val="TDC1"/>
            <w:ind w:left="0"/>
            <w:rPr>
              <w:rFonts w:ascii="Palatino Linotype" w:eastAsiaTheme="minorEastAsia" w:hAnsi="Palatino Linotype"/>
              <w:noProof/>
              <w:sz w:val="24"/>
              <w:szCs w:val="24"/>
              <w:lang w:eastAsia="es-MX"/>
            </w:rPr>
          </w:pPr>
          <w:hyperlink w:anchor="_Toc20305940" w:history="1">
            <w:r w:rsidR="00397FF8" w:rsidRPr="00F23EC6">
              <w:rPr>
                <w:rStyle w:val="Hipervnculo"/>
                <w:rFonts w:ascii="Palatino Linotype" w:eastAsia="MS Mincho" w:hAnsi="Palatino Linotype" w:cstheme="majorBidi"/>
                <w:b/>
                <w:noProof/>
                <w:sz w:val="24"/>
                <w:szCs w:val="24"/>
                <w:lang w:val="es-ES_tradnl" w:eastAsia="es-ES"/>
              </w:rPr>
              <w:t>TERCERO. De previo y especial pronunciamiento.</w:t>
            </w:r>
            <w:r w:rsidR="00397FF8" w:rsidRPr="00F23EC6">
              <w:rPr>
                <w:rFonts w:ascii="Palatino Linotype" w:hAnsi="Palatino Linotype"/>
                <w:noProof/>
                <w:webHidden/>
                <w:sz w:val="24"/>
                <w:szCs w:val="24"/>
              </w:rPr>
              <w:tab/>
            </w:r>
            <w:r w:rsidR="00397FF8" w:rsidRPr="00F23EC6">
              <w:rPr>
                <w:rFonts w:ascii="Palatino Linotype" w:hAnsi="Palatino Linotype"/>
                <w:noProof/>
                <w:webHidden/>
                <w:sz w:val="24"/>
                <w:szCs w:val="24"/>
              </w:rPr>
              <w:fldChar w:fldCharType="begin"/>
            </w:r>
            <w:r w:rsidR="00397FF8" w:rsidRPr="00F23EC6">
              <w:rPr>
                <w:rFonts w:ascii="Palatino Linotype" w:hAnsi="Palatino Linotype"/>
                <w:noProof/>
                <w:webHidden/>
                <w:sz w:val="24"/>
                <w:szCs w:val="24"/>
              </w:rPr>
              <w:instrText xml:space="preserve"> PAGEREF _Toc20305940 \h </w:instrText>
            </w:r>
            <w:r w:rsidR="00397FF8" w:rsidRPr="00F23EC6">
              <w:rPr>
                <w:rFonts w:ascii="Palatino Linotype" w:hAnsi="Palatino Linotype"/>
                <w:noProof/>
                <w:webHidden/>
                <w:sz w:val="24"/>
                <w:szCs w:val="24"/>
              </w:rPr>
            </w:r>
            <w:r w:rsidR="00397FF8" w:rsidRPr="00F23EC6">
              <w:rPr>
                <w:rFonts w:ascii="Palatino Linotype" w:hAnsi="Palatino Linotype"/>
                <w:noProof/>
                <w:webHidden/>
                <w:sz w:val="24"/>
                <w:szCs w:val="24"/>
              </w:rPr>
              <w:fldChar w:fldCharType="separate"/>
            </w:r>
            <w:r w:rsidR="00A254AE">
              <w:rPr>
                <w:rFonts w:ascii="Palatino Linotype" w:hAnsi="Palatino Linotype"/>
                <w:noProof/>
                <w:webHidden/>
                <w:sz w:val="24"/>
                <w:szCs w:val="24"/>
              </w:rPr>
              <w:t>29</w:t>
            </w:r>
            <w:r w:rsidR="00397FF8" w:rsidRPr="00F23EC6">
              <w:rPr>
                <w:rFonts w:ascii="Palatino Linotype" w:hAnsi="Palatino Linotype"/>
                <w:noProof/>
                <w:webHidden/>
                <w:sz w:val="24"/>
                <w:szCs w:val="24"/>
              </w:rPr>
              <w:fldChar w:fldCharType="end"/>
            </w:r>
          </w:hyperlink>
        </w:p>
        <w:p w:rsidR="00397FF8" w:rsidRPr="00F23EC6" w:rsidRDefault="00026E9C" w:rsidP="00F23EC6">
          <w:pPr>
            <w:pStyle w:val="TDC1"/>
            <w:ind w:left="0"/>
            <w:rPr>
              <w:rFonts w:ascii="Palatino Linotype" w:eastAsiaTheme="minorEastAsia" w:hAnsi="Palatino Linotype"/>
              <w:noProof/>
              <w:sz w:val="24"/>
              <w:szCs w:val="24"/>
              <w:lang w:eastAsia="es-MX"/>
            </w:rPr>
          </w:pPr>
          <w:hyperlink w:anchor="_Toc20305941" w:history="1">
            <w:r w:rsidR="00397FF8" w:rsidRPr="00F23EC6">
              <w:rPr>
                <w:rStyle w:val="Hipervnculo"/>
                <w:rFonts w:ascii="Palatino Linotype" w:eastAsia="MS Mincho" w:hAnsi="Palatino Linotype" w:cstheme="majorBidi"/>
                <w:b/>
                <w:noProof/>
                <w:sz w:val="24"/>
                <w:szCs w:val="24"/>
                <w:lang w:val="es-ES_tradnl" w:eastAsia="es-ES"/>
              </w:rPr>
              <w:t xml:space="preserve">CUARTO. Del planteamiento de la </w:t>
            </w:r>
            <w:r w:rsidR="00397FF8" w:rsidRPr="00F23EC6">
              <w:rPr>
                <w:rStyle w:val="Hipervnculo"/>
                <w:rFonts w:ascii="Palatino Linotype" w:eastAsia="MS Mincho" w:hAnsi="Palatino Linotype" w:cstheme="majorBidi"/>
                <w:b/>
                <w:i/>
                <w:noProof/>
                <w:sz w:val="24"/>
                <w:szCs w:val="24"/>
                <w:lang w:val="es-ES_tradnl" w:eastAsia="es-ES"/>
              </w:rPr>
              <w:t>Litis</w:t>
            </w:r>
            <w:r w:rsidR="00397FF8" w:rsidRPr="00F23EC6">
              <w:rPr>
                <w:rStyle w:val="Hipervnculo"/>
                <w:rFonts w:ascii="Palatino Linotype" w:eastAsia="MS Mincho" w:hAnsi="Palatino Linotype" w:cstheme="majorBidi"/>
                <w:b/>
                <w:noProof/>
                <w:sz w:val="24"/>
                <w:szCs w:val="24"/>
                <w:lang w:val="es-ES_tradnl" w:eastAsia="es-ES"/>
              </w:rPr>
              <w:t>.</w:t>
            </w:r>
            <w:r w:rsidR="00397FF8" w:rsidRPr="00F23EC6">
              <w:rPr>
                <w:rFonts w:ascii="Palatino Linotype" w:hAnsi="Palatino Linotype"/>
                <w:noProof/>
                <w:webHidden/>
                <w:sz w:val="24"/>
                <w:szCs w:val="24"/>
              </w:rPr>
              <w:tab/>
            </w:r>
            <w:r w:rsidR="00397FF8" w:rsidRPr="00F23EC6">
              <w:rPr>
                <w:rFonts w:ascii="Palatino Linotype" w:hAnsi="Palatino Linotype"/>
                <w:noProof/>
                <w:webHidden/>
                <w:sz w:val="24"/>
                <w:szCs w:val="24"/>
              </w:rPr>
              <w:fldChar w:fldCharType="begin"/>
            </w:r>
            <w:r w:rsidR="00397FF8" w:rsidRPr="00F23EC6">
              <w:rPr>
                <w:rFonts w:ascii="Palatino Linotype" w:hAnsi="Palatino Linotype"/>
                <w:noProof/>
                <w:webHidden/>
                <w:sz w:val="24"/>
                <w:szCs w:val="24"/>
              </w:rPr>
              <w:instrText xml:space="preserve"> PAGEREF _Toc20305941 \h </w:instrText>
            </w:r>
            <w:r w:rsidR="00397FF8" w:rsidRPr="00F23EC6">
              <w:rPr>
                <w:rFonts w:ascii="Palatino Linotype" w:hAnsi="Palatino Linotype"/>
                <w:noProof/>
                <w:webHidden/>
                <w:sz w:val="24"/>
                <w:szCs w:val="24"/>
              </w:rPr>
            </w:r>
            <w:r w:rsidR="00397FF8" w:rsidRPr="00F23EC6">
              <w:rPr>
                <w:rFonts w:ascii="Palatino Linotype" w:hAnsi="Palatino Linotype"/>
                <w:noProof/>
                <w:webHidden/>
                <w:sz w:val="24"/>
                <w:szCs w:val="24"/>
              </w:rPr>
              <w:fldChar w:fldCharType="separate"/>
            </w:r>
            <w:r w:rsidR="00A254AE">
              <w:rPr>
                <w:rFonts w:ascii="Palatino Linotype" w:hAnsi="Palatino Linotype"/>
                <w:noProof/>
                <w:webHidden/>
                <w:sz w:val="24"/>
                <w:szCs w:val="24"/>
              </w:rPr>
              <w:t>31</w:t>
            </w:r>
            <w:r w:rsidR="00397FF8" w:rsidRPr="00F23EC6">
              <w:rPr>
                <w:rFonts w:ascii="Palatino Linotype" w:hAnsi="Palatino Linotype"/>
                <w:noProof/>
                <w:webHidden/>
                <w:sz w:val="24"/>
                <w:szCs w:val="24"/>
              </w:rPr>
              <w:fldChar w:fldCharType="end"/>
            </w:r>
          </w:hyperlink>
        </w:p>
        <w:p w:rsidR="00397FF8" w:rsidRPr="00F23EC6" w:rsidRDefault="00026E9C" w:rsidP="00F23EC6">
          <w:pPr>
            <w:pStyle w:val="TDC1"/>
            <w:ind w:left="0"/>
            <w:rPr>
              <w:rFonts w:ascii="Palatino Linotype" w:eastAsiaTheme="minorEastAsia" w:hAnsi="Palatino Linotype"/>
              <w:noProof/>
              <w:sz w:val="24"/>
              <w:szCs w:val="24"/>
              <w:lang w:eastAsia="es-MX"/>
            </w:rPr>
          </w:pPr>
          <w:hyperlink w:anchor="_Toc20305942" w:history="1">
            <w:r w:rsidR="00397FF8" w:rsidRPr="00F23EC6">
              <w:rPr>
                <w:rStyle w:val="Hipervnculo"/>
                <w:rFonts w:ascii="Palatino Linotype" w:eastAsia="MS Gothic" w:hAnsi="Palatino Linotype" w:cstheme="majorBidi"/>
                <w:b/>
                <w:noProof/>
                <w:sz w:val="24"/>
                <w:szCs w:val="24"/>
                <w:lang w:val="es-ES_tradnl" w:eastAsia="es-ES"/>
              </w:rPr>
              <w:t>QUINTO. Del estudio y resolución del recurso de revisión.</w:t>
            </w:r>
            <w:r w:rsidR="00397FF8" w:rsidRPr="00F23EC6">
              <w:rPr>
                <w:rFonts w:ascii="Palatino Linotype" w:hAnsi="Palatino Linotype"/>
                <w:noProof/>
                <w:webHidden/>
                <w:sz w:val="24"/>
                <w:szCs w:val="24"/>
              </w:rPr>
              <w:tab/>
            </w:r>
            <w:r w:rsidR="00397FF8" w:rsidRPr="00F23EC6">
              <w:rPr>
                <w:rFonts w:ascii="Palatino Linotype" w:hAnsi="Palatino Linotype"/>
                <w:noProof/>
                <w:webHidden/>
                <w:sz w:val="24"/>
                <w:szCs w:val="24"/>
              </w:rPr>
              <w:fldChar w:fldCharType="begin"/>
            </w:r>
            <w:r w:rsidR="00397FF8" w:rsidRPr="00F23EC6">
              <w:rPr>
                <w:rFonts w:ascii="Palatino Linotype" w:hAnsi="Palatino Linotype"/>
                <w:noProof/>
                <w:webHidden/>
                <w:sz w:val="24"/>
                <w:szCs w:val="24"/>
              </w:rPr>
              <w:instrText xml:space="preserve"> PAGEREF _Toc20305942 \h </w:instrText>
            </w:r>
            <w:r w:rsidR="00397FF8" w:rsidRPr="00F23EC6">
              <w:rPr>
                <w:rFonts w:ascii="Palatino Linotype" w:hAnsi="Palatino Linotype"/>
                <w:noProof/>
                <w:webHidden/>
                <w:sz w:val="24"/>
                <w:szCs w:val="24"/>
              </w:rPr>
            </w:r>
            <w:r w:rsidR="00397FF8" w:rsidRPr="00F23EC6">
              <w:rPr>
                <w:rFonts w:ascii="Palatino Linotype" w:hAnsi="Palatino Linotype"/>
                <w:noProof/>
                <w:webHidden/>
                <w:sz w:val="24"/>
                <w:szCs w:val="24"/>
              </w:rPr>
              <w:fldChar w:fldCharType="separate"/>
            </w:r>
            <w:r w:rsidR="00A254AE">
              <w:rPr>
                <w:rFonts w:ascii="Palatino Linotype" w:hAnsi="Palatino Linotype"/>
                <w:noProof/>
                <w:webHidden/>
                <w:sz w:val="24"/>
                <w:szCs w:val="24"/>
              </w:rPr>
              <w:t>33</w:t>
            </w:r>
            <w:r w:rsidR="00397FF8" w:rsidRPr="00F23EC6">
              <w:rPr>
                <w:rFonts w:ascii="Palatino Linotype" w:hAnsi="Palatino Linotype"/>
                <w:noProof/>
                <w:webHidden/>
                <w:sz w:val="24"/>
                <w:szCs w:val="24"/>
              </w:rPr>
              <w:fldChar w:fldCharType="end"/>
            </w:r>
          </w:hyperlink>
        </w:p>
        <w:p w:rsidR="00397FF8" w:rsidRPr="00F23EC6" w:rsidRDefault="00026E9C" w:rsidP="00F23EC6">
          <w:pPr>
            <w:pStyle w:val="TDC1"/>
            <w:tabs>
              <w:tab w:val="left" w:pos="660"/>
            </w:tabs>
            <w:ind w:left="0"/>
            <w:rPr>
              <w:rFonts w:ascii="Palatino Linotype" w:eastAsiaTheme="minorEastAsia" w:hAnsi="Palatino Linotype"/>
              <w:noProof/>
              <w:sz w:val="24"/>
              <w:szCs w:val="24"/>
              <w:lang w:eastAsia="es-MX"/>
            </w:rPr>
          </w:pPr>
          <w:hyperlink w:anchor="_Toc20305943" w:history="1">
            <w:r w:rsidR="00397FF8" w:rsidRPr="00F23EC6">
              <w:rPr>
                <w:rStyle w:val="Hipervnculo"/>
                <w:rFonts w:ascii="Palatino Linotype" w:hAnsi="Palatino Linotype"/>
                <w:b/>
                <w:i/>
                <w:noProof/>
                <w:sz w:val="24"/>
                <w:szCs w:val="24"/>
                <w:lang w:val="es-ES_tradnl" w:eastAsia="es-MX"/>
              </w:rPr>
              <w:t>I.</w:t>
            </w:r>
            <w:r w:rsidR="00397FF8" w:rsidRPr="00F23EC6">
              <w:rPr>
                <w:rFonts w:ascii="Palatino Linotype" w:eastAsiaTheme="minorEastAsia" w:hAnsi="Palatino Linotype"/>
                <w:noProof/>
                <w:sz w:val="24"/>
                <w:szCs w:val="24"/>
                <w:lang w:eastAsia="es-MX"/>
              </w:rPr>
              <w:tab/>
            </w:r>
            <w:r w:rsidR="00397FF8" w:rsidRPr="00F23EC6">
              <w:rPr>
                <w:rStyle w:val="Hipervnculo"/>
                <w:rFonts w:ascii="Palatino Linotype" w:eastAsia="MS Gothic" w:hAnsi="Palatino Linotype" w:cstheme="majorBidi"/>
                <w:b/>
                <w:i/>
                <w:noProof/>
                <w:sz w:val="24"/>
                <w:szCs w:val="24"/>
              </w:rPr>
              <w:t>El derecho de acceso a la información publica</w:t>
            </w:r>
            <w:r w:rsidR="00397FF8" w:rsidRPr="00F23EC6">
              <w:rPr>
                <w:rStyle w:val="Hipervnculo"/>
                <w:rFonts w:ascii="Palatino Linotype" w:eastAsia="MS Mincho" w:hAnsi="Palatino Linotype" w:cs="Arial"/>
                <w:b/>
                <w:i/>
                <w:noProof/>
                <w:sz w:val="24"/>
                <w:szCs w:val="24"/>
                <w:lang w:val="es-ES_tradnl" w:eastAsia="es-MX"/>
              </w:rPr>
              <w:t>.</w:t>
            </w:r>
            <w:r w:rsidR="00397FF8" w:rsidRPr="00F23EC6">
              <w:rPr>
                <w:rFonts w:ascii="Palatino Linotype" w:hAnsi="Palatino Linotype"/>
                <w:noProof/>
                <w:webHidden/>
                <w:sz w:val="24"/>
                <w:szCs w:val="24"/>
              </w:rPr>
              <w:tab/>
            </w:r>
            <w:r w:rsidR="00397FF8" w:rsidRPr="00F23EC6">
              <w:rPr>
                <w:rFonts w:ascii="Palatino Linotype" w:hAnsi="Palatino Linotype"/>
                <w:noProof/>
                <w:webHidden/>
                <w:sz w:val="24"/>
                <w:szCs w:val="24"/>
              </w:rPr>
              <w:fldChar w:fldCharType="begin"/>
            </w:r>
            <w:r w:rsidR="00397FF8" w:rsidRPr="00F23EC6">
              <w:rPr>
                <w:rFonts w:ascii="Palatino Linotype" w:hAnsi="Palatino Linotype"/>
                <w:noProof/>
                <w:webHidden/>
                <w:sz w:val="24"/>
                <w:szCs w:val="24"/>
              </w:rPr>
              <w:instrText xml:space="preserve"> PAGEREF _Toc20305943 \h </w:instrText>
            </w:r>
            <w:r w:rsidR="00397FF8" w:rsidRPr="00F23EC6">
              <w:rPr>
                <w:rFonts w:ascii="Palatino Linotype" w:hAnsi="Palatino Linotype"/>
                <w:noProof/>
                <w:webHidden/>
                <w:sz w:val="24"/>
                <w:szCs w:val="24"/>
              </w:rPr>
            </w:r>
            <w:r w:rsidR="00397FF8" w:rsidRPr="00F23EC6">
              <w:rPr>
                <w:rFonts w:ascii="Palatino Linotype" w:hAnsi="Palatino Linotype"/>
                <w:noProof/>
                <w:webHidden/>
                <w:sz w:val="24"/>
                <w:szCs w:val="24"/>
              </w:rPr>
              <w:fldChar w:fldCharType="separate"/>
            </w:r>
            <w:r w:rsidR="00A254AE">
              <w:rPr>
                <w:rFonts w:ascii="Palatino Linotype" w:hAnsi="Palatino Linotype"/>
                <w:noProof/>
                <w:webHidden/>
                <w:sz w:val="24"/>
                <w:szCs w:val="24"/>
              </w:rPr>
              <w:t>33</w:t>
            </w:r>
            <w:r w:rsidR="00397FF8" w:rsidRPr="00F23EC6">
              <w:rPr>
                <w:rFonts w:ascii="Palatino Linotype" w:hAnsi="Palatino Linotype"/>
                <w:noProof/>
                <w:webHidden/>
                <w:sz w:val="24"/>
                <w:szCs w:val="24"/>
              </w:rPr>
              <w:fldChar w:fldCharType="end"/>
            </w:r>
          </w:hyperlink>
        </w:p>
        <w:p w:rsidR="00397FF8" w:rsidRPr="00F23EC6" w:rsidRDefault="00026E9C" w:rsidP="00F23EC6">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20305944" w:history="1">
            <w:r w:rsidR="00397FF8" w:rsidRPr="00F23EC6">
              <w:rPr>
                <w:rStyle w:val="Hipervnculo"/>
                <w:rFonts w:ascii="Palatino Linotype" w:eastAsia="MS Mincho" w:hAnsi="Palatino Linotype" w:cstheme="majorBidi"/>
                <w:b/>
                <w:i/>
                <w:noProof/>
                <w:sz w:val="24"/>
                <w:szCs w:val="24"/>
                <w:lang w:val="es-ES_tradnl" w:eastAsia="es-ES"/>
              </w:rPr>
              <w:t>II. De la fuente obligacional del Sujeto Obligado.</w:t>
            </w:r>
            <w:r w:rsidR="00397FF8" w:rsidRPr="00F23EC6">
              <w:rPr>
                <w:rFonts w:ascii="Palatino Linotype" w:hAnsi="Palatino Linotype"/>
                <w:noProof/>
                <w:webHidden/>
                <w:sz w:val="24"/>
                <w:szCs w:val="24"/>
              </w:rPr>
              <w:tab/>
            </w:r>
            <w:r w:rsidR="00397FF8" w:rsidRPr="00F23EC6">
              <w:rPr>
                <w:rFonts w:ascii="Palatino Linotype" w:hAnsi="Palatino Linotype"/>
                <w:noProof/>
                <w:webHidden/>
                <w:sz w:val="24"/>
                <w:szCs w:val="24"/>
              </w:rPr>
              <w:fldChar w:fldCharType="begin"/>
            </w:r>
            <w:r w:rsidR="00397FF8" w:rsidRPr="00F23EC6">
              <w:rPr>
                <w:rFonts w:ascii="Palatino Linotype" w:hAnsi="Palatino Linotype"/>
                <w:noProof/>
                <w:webHidden/>
                <w:sz w:val="24"/>
                <w:szCs w:val="24"/>
              </w:rPr>
              <w:instrText xml:space="preserve"> PAGEREF _Toc20305944 \h </w:instrText>
            </w:r>
            <w:r w:rsidR="00397FF8" w:rsidRPr="00F23EC6">
              <w:rPr>
                <w:rFonts w:ascii="Palatino Linotype" w:hAnsi="Palatino Linotype"/>
                <w:noProof/>
                <w:webHidden/>
                <w:sz w:val="24"/>
                <w:szCs w:val="24"/>
              </w:rPr>
            </w:r>
            <w:r w:rsidR="00397FF8" w:rsidRPr="00F23EC6">
              <w:rPr>
                <w:rFonts w:ascii="Palatino Linotype" w:hAnsi="Palatino Linotype"/>
                <w:noProof/>
                <w:webHidden/>
                <w:sz w:val="24"/>
                <w:szCs w:val="24"/>
              </w:rPr>
              <w:fldChar w:fldCharType="separate"/>
            </w:r>
            <w:r w:rsidR="00A254AE">
              <w:rPr>
                <w:rFonts w:ascii="Palatino Linotype" w:hAnsi="Palatino Linotype"/>
                <w:noProof/>
                <w:webHidden/>
                <w:sz w:val="24"/>
                <w:szCs w:val="24"/>
              </w:rPr>
              <w:t>35</w:t>
            </w:r>
            <w:r w:rsidR="00397FF8" w:rsidRPr="00F23EC6">
              <w:rPr>
                <w:rFonts w:ascii="Palatino Linotype" w:hAnsi="Palatino Linotype"/>
                <w:noProof/>
                <w:webHidden/>
                <w:sz w:val="24"/>
                <w:szCs w:val="24"/>
              </w:rPr>
              <w:fldChar w:fldCharType="end"/>
            </w:r>
          </w:hyperlink>
        </w:p>
        <w:p w:rsidR="00397FF8" w:rsidRPr="00F23EC6" w:rsidRDefault="00026E9C" w:rsidP="00F23EC6">
          <w:pPr>
            <w:pStyle w:val="TDC1"/>
            <w:ind w:left="0"/>
            <w:rPr>
              <w:rFonts w:ascii="Palatino Linotype" w:eastAsiaTheme="minorEastAsia" w:hAnsi="Palatino Linotype"/>
              <w:noProof/>
              <w:sz w:val="24"/>
              <w:szCs w:val="24"/>
              <w:lang w:eastAsia="es-MX"/>
            </w:rPr>
          </w:pPr>
          <w:hyperlink w:anchor="_Toc20305945" w:history="1">
            <w:r w:rsidR="00397FF8" w:rsidRPr="00F23EC6">
              <w:rPr>
                <w:rStyle w:val="Hipervnculo"/>
                <w:rFonts w:ascii="Palatino Linotype" w:eastAsia="MS Gothic" w:hAnsi="Palatino Linotype" w:cstheme="majorBidi"/>
                <w:b/>
                <w:noProof/>
                <w:sz w:val="24"/>
                <w:szCs w:val="24"/>
                <w:lang w:val="es-ES_tradnl"/>
              </w:rPr>
              <w:t>SEXTO. De la Versión Pública</w:t>
            </w:r>
            <w:r w:rsidR="00397FF8" w:rsidRPr="00F23EC6">
              <w:rPr>
                <w:rFonts w:ascii="Palatino Linotype" w:hAnsi="Palatino Linotype"/>
                <w:noProof/>
                <w:webHidden/>
                <w:sz w:val="24"/>
                <w:szCs w:val="24"/>
              </w:rPr>
              <w:tab/>
            </w:r>
            <w:r w:rsidR="00397FF8" w:rsidRPr="00F23EC6">
              <w:rPr>
                <w:rFonts w:ascii="Palatino Linotype" w:hAnsi="Palatino Linotype"/>
                <w:noProof/>
                <w:webHidden/>
                <w:sz w:val="24"/>
                <w:szCs w:val="24"/>
              </w:rPr>
              <w:fldChar w:fldCharType="begin"/>
            </w:r>
            <w:r w:rsidR="00397FF8" w:rsidRPr="00F23EC6">
              <w:rPr>
                <w:rFonts w:ascii="Palatino Linotype" w:hAnsi="Palatino Linotype"/>
                <w:noProof/>
                <w:webHidden/>
                <w:sz w:val="24"/>
                <w:szCs w:val="24"/>
              </w:rPr>
              <w:instrText xml:space="preserve"> PAGEREF _Toc20305945 \h </w:instrText>
            </w:r>
            <w:r w:rsidR="00397FF8" w:rsidRPr="00F23EC6">
              <w:rPr>
                <w:rFonts w:ascii="Palatino Linotype" w:hAnsi="Palatino Linotype"/>
                <w:noProof/>
                <w:webHidden/>
                <w:sz w:val="24"/>
                <w:szCs w:val="24"/>
              </w:rPr>
            </w:r>
            <w:r w:rsidR="00397FF8" w:rsidRPr="00F23EC6">
              <w:rPr>
                <w:rFonts w:ascii="Palatino Linotype" w:hAnsi="Palatino Linotype"/>
                <w:noProof/>
                <w:webHidden/>
                <w:sz w:val="24"/>
                <w:szCs w:val="24"/>
              </w:rPr>
              <w:fldChar w:fldCharType="separate"/>
            </w:r>
            <w:r w:rsidR="00A254AE">
              <w:rPr>
                <w:rFonts w:ascii="Palatino Linotype" w:hAnsi="Palatino Linotype"/>
                <w:noProof/>
                <w:webHidden/>
                <w:sz w:val="24"/>
                <w:szCs w:val="24"/>
              </w:rPr>
              <w:t>64</w:t>
            </w:r>
            <w:r w:rsidR="00397FF8" w:rsidRPr="00F23EC6">
              <w:rPr>
                <w:rFonts w:ascii="Palatino Linotype" w:hAnsi="Palatino Linotype"/>
                <w:noProof/>
                <w:webHidden/>
                <w:sz w:val="24"/>
                <w:szCs w:val="24"/>
              </w:rPr>
              <w:fldChar w:fldCharType="end"/>
            </w:r>
          </w:hyperlink>
        </w:p>
        <w:p w:rsidR="00397FF8" w:rsidRPr="00F23EC6" w:rsidRDefault="00026E9C" w:rsidP="00F23EC6">
          <w:pPr>
            <w:pStyle w:val="TDC1"/>
            <w:ind w:left="0"/>
            <w:rPr>
              <w:rFonts w:ascii="Palatino Linotype" w:eastAsiaTheme="minorEastAsia" w:hAnsi="Palatino Linotype"/>
              <w:noProof/>
              <w:sz w:val="24"/>
              <w:szCs w:val="24"/>
              <w:lang w:eastAsia="es-MX"/>
            </w:rPr>
          </w:pPr>
          <w:hyperlink w:anchor="_Toc20305946" w:history="1">
            <w:r w:rsidR="00397FF8" w:rsidRPr="00F23EC6">
              <w:rPr>
                <w:rStyle w:val="Hipervnculo"/>
                <w:rFonts w:ascii="Palatino Linotype" w:eastAsia="MS Gothic" w:hAnsi="Palatino Linotype" w:cstheme="majorBidi"/>
                <w:b/>
                <w:noProof/>
                <w:sz w:val="24"/>
                <w:szCs w:val="24"/>
                <w:lang w:val="es-ES_tradnl"/>
              </w:rPr>
              <w:t>SÉPTIMO. Vista a los órganos de control interno.</w:t>
            </w:r>
            <w:r w:rsidR="00397FF8" w:rsidRPr="00F23EC6">
              <w:rPr>
                <w:rFonts w:ascii="Palatino Linotype" w:hAnsi="Palatino Linotype"/>
                <w:noProof/>
                <w:webHidden/>
                <w:sz w:val="24"/>
                <w:szCs w:val="24"/>
              </w:rPr>
              <w:tab/>
            </w:r>
            <w:r w:rsidR="00397FF8" w:rsidRPr="00F23EC6">
              <w:rPr>
                <w:rFonts w:ascii="Palatino Linotype" w:hAnsi="Palatino Linotype"/>
                <w:noProof/>
                <w:webHidden/>
                <w:sz w:val="24"/>
                <w:szCs w:val="24"/>
              </w:rPr>
              <w:fldChar w:fldCharType="begin"/>
            </w:r>
            <w:r w:rsidR="00397FF8" w:rsidRPr="00F23EC6">
              <w:rPr>
                <w:rFonts w:ascii="Palatino Linotype" w:hAnsi="Palatino Linotype"/>
                <w:noProof/>
                <w:webHidden/>
                <w:sz w:val="24"/>
                <w:szCs w:val="24"/>
              </w:rPr>
              <w:instrText xml:space="preserve"> PAGEREF _Toc20305946 \h </w:instrText>
            </w:r>
            <w:r w:rsidR="00397FF8" w:rsidRPr="00F23EC6">
              <w:rPr>
                <w:rFonts w:ascii="Palatino Linotype" w:hAnsi="Palatino Linotype"/>
                <w:noProof/>
                <w:webHidden/>
                <w:sz w:val="24"/>
                <w:szCs w:val="24"/>
              </w:rPr>
            </w:r>
            <w:r w:rsidR="00397FF8" w:rsidRPr="00F23EC6">
              <w:rPr>
                <w:rFonts w:ascii="Palatino Linotype" w:hAnsi="Palatino Linotype"/>
                <w:noProof/>
                <w:webHidden/>
                <w:sz w:val="24"/>
                <w:szCs w:val="24"/>
              </w:rPr>
              <w:fldChar w:fldCharType="separate"/>
            </w:r>
            <w:r w:rsidR="00A254AE">
              <w:rPr>
                <w:rFonts w:ascii="Palatino Linotype" w:hAnsi="Palatino Linotype"/>
                <w:noProof/>
                <w:webHidden/>
                <w:sz w:val="24"/>
                <w:szCs w:val="24"/>
              </w:rPr>
              <w:t>85</w:t>
            </w:r>
            <w:r w:rsidR="00397FF8" w:rsidRPr="00F23EC6">
              <w:rPr>
                <w:rFonts w:ascii="Palatino Linotype" w:hAnsi="Palatino Linotype"/>
                <w:noProof/>
                <w:webHidden/>
                <w:sz w:val="24"/>
                <w:szCs w:val="24"/>
              </w:rPr>
              <w:fldChar w:fldCharType="end"/>
            </w:r>
          </w:hyperlink>
        </w:p>
        <w:p w:rsidR="00397FF8" w:rsidRPr="00F23EC6" w:rsidRDefault="00F23EC6" w:rsidP="00F23EC6">
          <w:pPr>
            <w:pStyle w:val="TDC1"/>
            <w:ind w:left="0"/>
            <w:rPr>
              <w:rFonts w:ascii="Palatino Linotype" w:eastAsiaTheme="minorEastAsia" w:hAnsi="Palatino Linotype"/>
              <w:noProof/>
              <w:sz w:val="24"/>
              <w:szCs w:val="24"/>
              <w:lang w:eastAsia="es-MX"/>
            </w:rPr>
          </w:pPr>
          <w:r>
            <w:rPr>
              <w:rFonts w:ascii="Palatino Linotype" w:eastAsia="Calibri"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672576" behindDoc="0" locked="0" layoutInCell="1" allowOverlap="1">
                    <wp:simplePos x="0" y="0"/>
                    <wp:positionH relativeFrom="margin">
                      <wp:posOffset>-978</wp:posOffset>
                    </wp:positionH>
                    <wp:positionV relativeFrom="paragraph">
                      <wp:posOffset>304645</wp:posOffset>
                    </wp:positionV>
                    <wp:extent cx="5551170" cy="2206625"/>
                    <wp:effectExtent l="19050" t="19050" r="11430" b="22225"/>
                    <wp:wrapNone/>
                    <wp:docPr id="2" name="Conector recto 2"/>
                    <wp:cNvGraphicFramePr/>
                    <a:graphic xmlns:a="http://schemas.openxmlformats.org/drawingml/2006/main">
                      <a:graphicData uri="http://schemas.microsoft.com/office/word/2010/wordprocessingShape">
                        <wps:wsp>
                          <wps:cNvCnPr/>
                          <wps:spPr>
                            <a:xfrm flipH="1" flipV="1">
                              <a:off x="0" y="0"/>
                              <a:ext cx="5551170" cy="22066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22660" id="Conector recto 2" o:spid="_x0000_s1026" style="position:absolute;flip:x 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24pt" to="437pt,1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" strokecolor="#5b9bd5 [3204]" strokeweight="3pt">
                    <v:stroke joinstyle="miter"/>
                    <w10:wrap anchorx="margin"/>
                  </v:line>
                </w:pict>
              </mc:Fallback>
            </mc:AlternateContent>
          </w:r>
          <w:hyperlink w:anchor="_Toc20305947" w:history="1">
            <w:r w:rsidR="00397FF8" w:rsidRPr="00F23EC6">
              <w:rPr>
                <w:rStyle w:val="Hipervnculo"/>
                <w:rFonts w:ascii="Palatino Linotype" w:eastAsia="Calibri" w:hAnsi="Palatino Linotype" w:cstheme="majorBidi"/>
                <w:b/>
                <w:noProof/>
                <w:sz w:val="24"/>
                <w:szCs w:val="24"/>
                <w:lang w:val="es-ES" w:eastAsia="es-ES"/>
              </w:rPr>
              <w:t>R E S O L U T I V O S</w:t>
            </w:r>
            <w:r w:rsidR="00397FF8" w:rsidRPr="00F23EC6">
              <w:rPr>
                <w:rFonts w:ascii="Palatino Linotype" w:hAnsi="Palatino Linotype"/>
                <w:noProof/>
                <w:webHidden/>
                <w:sz w:val="24"/>
                <w:szCs w:val="24"/>
              </w:rPr>
              <w:tab/>
            </w:r>
            <w:r w:rsidR="00397FF8" w:rsidRPr="00F23EC6">
              <w:rPr>
                <w:rFonts w:ascii="Palatino Linotype" w:hAnsi="Palatino Linotype"/>
                <w:noProof/>
                <w:webHidden/>
                <w:sz w:val="24"/>
                <w:szCs w:val="24"/>
              </w:rPr>
              <w:fldChar w:fldCharType="begin"/>
            </w:r>
            <w:r w:rsidR="00397FF8" w:rsidRPr="00F23EC6">
              <w:rPr>
                <w:rFonts w:ascii="Palatino Linotype" w:hAnsi="Palatino Linotype"/>
                <w:noProof/>
                <w:webHidden/>
                <w:sz w:val="24"/>
                <w:szCs w:val="24"/>
              </w:rPr>
              <w:instrText xml:space="preserve"> PAGEREF _Toc20305947 \h </w:instrText>
            </w:r>
            <w:r w:rsidR="00397FF8" w:rsidRPr="00F23EC6">
              <w:rPr>
                <w:rFonts w:ascii="Palatino Linotype" w:hAnsi="Palatino Linotype"/>
                <w:noProof/>
                <w:webHidden/>
                <w:sz w:val="24"/>
                <w:szCs w:val="24"/>
              </w:rPr>
            </w:r>
            <w:r w:rsidR="00397FF8" w:rsidRPr="00F23EC6">
              <w:rPr>
                <w:rFonts w:ascii="Palatino Linotype" w:hAnsi="Palatino Linotype"/>
                <w:noProof/>
                <w:webHidden/>
                <w:sz w:val="24"/>
                <w:szCs w:val="24"/>
              </w:rPr>
              <w:fldChar w:fldCharType="separate"/>
            </w:r>
            <w:r w:rsidR="00A254AE">
              <w:rPr>
                <w:rFonts w:ascii="Palatino Linotype" w:hAnsi="Palatino Linotype"/>
                <w:noProof/>
                <w:webHidden/>
                <w:sz w:val="24"/>
                <w:szCs w:val="24"/>
              </w:rPr>
              <w:t>88</w:t>
            </w:r>
            <w:r w:rsidR="00397FF8" w:rsidRPr="00F23EC6">
              <w:rPr>
                <w:rFonts w:ascii="Palatino Linotype" w:hAnsi="Palatino Linotype"/>
                <w:noProof/>
                <w:webHidden/>
                <w:sz w:val="24"/>
                <w:szCs w:val="24"/>
              </w:rPr>
              <w:fldChar w:fldCharType="end"/>
            </w:r>
          </w:hyperlink>
        </w:p>
        <w:p w:rsidR="000F5E0E" w:rsidRPr="00F23EC6" w:rsidRDefault="000F5E0E" w:rsidP="00F23EC6">
          <w:pPr>
            <w:pStyle w:val="Sinespaciado"/>
            <w:spacing w:line="360" w:lineRule="auto"/>
            <w:rPr>
              <w:rFonts w:ascii="Palatino Linotype" w:hAnsi="Palatino Linotype"/>
              <w:sz w:val="24"/>
              <w:szCs w:val="24"/>
              <w:lang w:val="es-ES" w:eastAsia="es-ES"/>
            </w:rPr>
          </w:pPr>
          <w:r w:rsidRPr="00F23EC6">
            <w:rPr>
              <w:rFonts w:ascii="Palatino Linotype" w:hAnsi="Palatino Linotype"/>
              <w:b/>
              <w:sz w:val="24"/>
              <w:szCs w:val="24"/>
              <w:lang w:val="es-ES" w:eastAsia="es-ES"/>
            </w:rPr>
            <w:fldChar w:fldCharType="end"/>
          </w:r>
        </w:p>
      </w:sdtContent>
    </w:sdt>
    <w:p w:rsidR="00F23EC6" w:rsidRDefault="00F23EC6" w:rsidP="00F23EC6">
      <w:pPr>
        <w:spacing w:before="240" w:after="240" w:line="360" w:lineRule="auto"/>
        <w:jc w:val="both"/>
        <w:rPr>
          <w:rFonts w:ascii="Palatino Linotype" w:eastAsiaTheme="minorEastAsia" w:hAnsi="Palatino Linotype"/>
          <w:sz w:val="24"/>
          <w:szCs w:val="24"/>
          <w:lang w:val="es-ES_tradnl" w:eastAsia="es-ES"/>
        </w:rPr>
      </w:pPr>
    </w:p>
    <w:p w:rsidR="000F5E0E" w:rsidRPr="00F23EC6" w:rsidRDefault="000F5E0E" w:rsidP="00F23EC6">
      <w:pPr>
        <w:spacing w:before="240" w:after="240" w:line="360" w:lineRule="auto"/>
        <w:jc w:val="both"/>
        <w:rPr>
          <w:rFonts w:ascii="Palatino Linotype" w:eastAsiaTheme="minorEastAsia" w:hAnsi="Palatino Linotype"/>
          <w:sz w:val="24"/>
          <w:szCs w:val="24"/>
          <w:lang w:val="es-ES_tradnl" w:eastAsia="es-ES"/>
        </w:rPr>
      </w:pPr>
      <w:r w:rsidRPr="00F23EC6">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w:t>
      </w:r>
      <w:r w:rsidR="00F23EC6">
        <w:rPr>
          <w:rFonts w:ascii="Palatino Linotype" w:eastAsiaTheme="minorEastAsia" w:hAnsi="Palatino Linotype"/>
          <w:sz w:val="24"/>
          <w:szCs w:val="24"/>
          <w:lang w:val="es-ES_tradnl" w:eastAsia="es-ES"/>
        </w:rPr>
        <w:t xml:space="preserve">stado de México; de fecha dos (02) de octubre </w:t>
      </w:r>
      <w:r w:rsidRPr="00F23EC6">
        <w:rPr>
          <w:rFonts w:ascii="Palatino Linotype" w:eastAsiaTheme="minorEastAsia" w:hAnsi="Palatino Linotype"/>
          <w:sz w:val="24"/>
          <w:szCs w:val="24"/>
          <w:lang w:val="es-ES_tradnl" w:eastAsia="es-ES"/>
        </w:rPr>
        <w:t>de dos mil diecinueve.</w:t>
      </w:r>
    </w:p>
    <w:p w:rsidR="000F5E0E" w:rsidRPr="00F23EC6" w:rsidRDefault="000F5E0E" w:rsidP="00F23EC6">
      <w:pPr>
        <w:spacing w:before="240" w:after="360" w:line="360" w:lineRule="auto"/>
        <w:jc w:val="both"/>
        <w:rPr>
          <w:rFonts w:ascii="Palatino Linotype" w:eastAsiaTheme="minorEastAsia" w:hAnsi="Palatino Linotype"/>
          <w:sz w:val="24"/>
          <w:szCs w:val="24"/>
          <w:lang w:val="es-ES_tradnl" w:eastAsia="es-ES"/>
        </w:rPr>
      </w:pPr>
      <w:r w:rsidRPr="00F23EC6">
        <w:rPr>
          <w:rFonts w:ascii="Palatino Linotype" w:eastAsiaTheme="minorEastAsia" w:hAnsi="Palatino Linotype"/>
          <w:b/>
          <w:sz w:val="24"/>
          <w:szCs w:val="24"/>
          <w:lang w:val="es-ES_tradnl" w:eastAsia="es-ES"/>
        </w:rPr>
        <w:t>VISTO</w:t>
      </w:r>
      <w:r w:rsidR="00397FF8" w:rsidRPr="00F23EC6">
        <w:rPr>
          <w:rFonts w:ascii="Palatino Linotype" w:eastAsiaTheme="minorEastAsia" w:hAnsi="Palatino Linotype"/>
          <w:b/>
          <w:sz w:val="24"/>
          <w:szCs w:val="24"/>
          <w:lang w:val="es-ES_tradnl" w:eastAsia="es-ES"/>
        </w:rPr>
        <w:t>S</w:t>
      </w:r>
      <w:r w:rsidRPr="00F23EC6">
        <w:rPr>
          <w:rFonts w:ascii="Palatino Linotype" w:eastAsiaTheme="minorEastAsia" w:hAnsi="Palatino Linotype"/>
          <w:sz w:val="24"/>
          <w:szCs w:val="24"/>
          <w:lang w:val="es-ES_tradnl" w:eastAsia="es-ES"/>
        </w:rPr>
        <w:t xml:space="preserve"> </w:t>
      </w:r>
      <w:r w:rsidR="00397FF8" w:rsidRPr="00F23EC6">
        <w:rPr>
          <w:rFonts w:ascii="Palatino Linotype" w:eastAsiaTheme="minorEastAsia" w:hAnsi="Palatino Linotype"/>
          <w:sz w:val="24"/>
          <w:szCs w:val="24"/>
          <w:lang w:val="es-ES_tradnl" w:eastAsia="es-ES"/>
        </w:rPr>
        <w:t>los</w:t>
      </w:r>
      <w:r w:rsidRPr="00F23EC6">
        <w:rPr>
          <w:rFonts w:ascii="Palatino Linotype" w:eastAsiaTheme="minorEastAsia" w:hAnsi="Palatino Linotype"/>
          <w:sz w:val="24"/>
          <w:szCs w:val="24"/>
          <w:lang w:val="es-ES_tradnl" w:eastAsia="es-ES"/>
        </w:rPr>
        <w:t xml:space="preserve"> expediente</w:t>
      </w:r>
      <w:r w:rsidR="00397FF8" w:rsidRPr="00F23EC6">
        <w:rPr>
          <w:rFonts w:ascii="Palatino Linotype" w:eastAsiaTheme="minorEastAsia" w:hAnsi="Palatino Linotype"/>
          <w:sz w:val="24"/>
          <w:szCs w:val="24"/>
          <w:lang w:val="es-ES_tradnl" w:eastAsia="es-ES"/>
        </w:rPr>
        <w:t>s</w:t>
      </w:r>
      <w:r w:rsidRPr="00F23EC6">
        <w:rPr>
          <w:rFonts w:ascii="Palatino Linotype" w:eastAsiaTheme="minorEastAsia" w:hAnsi="Palatino Linotype"/>
          <w:sz w:val="24"/>
          <w:szCs w:val="24"/>
          <w:lang w:val="es-ES_tradnl" w:eastAsia="es-ES"/>
        </w:rPr>
        <w:t xml:space="preserve"> electrónico</w:t>
      </w:r>
      <w:r w:rsidR="00397FF8" w:rsidRPr="00F23EC6">
        <w:rPr>
          <w:rFonts w:ascii="Palatino Linotype" w:eastAsiaTheme="minorEastAsia" w:hAnsi="Palatino Linotype"/>
          <w:sz w:val="24"/>
          <w:szCs w:val="24"/>
          <w:lang w:val="es-ES_tradnl" w:eastAsia="es-ES"/>
        </w:rPr>
        <w:t>s</w:t>
      </w:r>
      <w:r w:rsidRPr="00F23EC6">
        <w:rPr>
          <w:rFonts w:ascii="Palatino Linotype" w:eastAsiaTheme="minorEastAsia" w:hAnsi="Palatino Linotype"/>
          <w:sz w:val="24"/>
          <w:szCs w:val="24"/>
          <w:lang w:val="es-ES_tradnl" w:eastAsia="es-ES"/>
        </w:rPr>
        <w:t xml:space="preserve"> formado</w:t>
      </w:r>
      <w:r w:rsidR="00397FF8" w:rsidRPr="00F23EC6">
        <w:rPr>
          <w:rFonts w:ascii="Palatino Linotype" w:eastAsiaTheme="minorEastAsia" w:hAnsi="Palatino Linotype"/>
          <w:sz w:val="24"/>
          <w:szCs w:val="24"/>
          <w:lang w:val="es-ES_tradnl" w:eastAsia="es-ES"/>
        </w:rPr>
        <w:t>s</w:t>
      </w:r>
      <w:r w:rsidRPr="00F23EC6">
        <w:rPr>
          <w:rFonts w:ascii="Palatino Linotype" w:eastAsiaTheme="minorEastAsia" w:hAnsi="Palatino Linotype"/>
          <w:sz w:val="24"/>
          <w:szCs w:val="24"/>
          <w:lang w:val="es-ES_tradnl" w:eastAsia="es-ES"/>
        </w:rPr>
        <w:t xml:space="preserve"> con motivo de</w:t>
      </w:r>
      <w:r w:rsidR="00EA35BA" w:rsidRPr="00F23EC6">
        <w:rPr>
          <w:rFonts w:ascii="Palatino Linotype" w:eastAsiaTheme="minorEastAsia" w:hAnsi="Palatino Linotype"/>
          <w:sz w:val="24"/>
          <w:szCs w:val="24"/>
          <w:lang w:val="es-ES_tradnl" w:eastAsia="es-ES"/>
        </w:rPr>
        <w:t xml:space="preserve"> </w:t>
      </w:r>
      <w:r w:rsidRPr="00F23EC6">
        <w:rPr>
          <w:rFonts w:ascii="Palatino Linotype" w:eastAsiaTheme="minorEastAsia" w:hAnsi="Palatino Linotype"/>
          <w:sz w:val="24"/>
          <w:szCs w:val="24"/>
          <w:lang w:val="es-ES_tradnl" w:eastAsia="es-ES"/>
        </w:rPr>
        <w:t>l</w:t>
      </w:r>
      <w:r w:rsidR="00EA35BA" w:rsidRPr="00F23EC6">
        <w:rPr>
          <w:rFonts w:ascii="Palatino Linotype" w:eastAsiaTheme="minorEastAsia" w:hAnsi="Palatino Linotype"/>
          <w:sz w:val="24"/>
          <w:szCs w:val="24"/>
          <w:lang w:val="es-ES_tradnl" w:eastAsia="es-ES"/>
        </w:rPr>
        <w:t>os</w:t>
      </w:r>
      <w:r w:rsidRPr="00F23EC6">
        <w:rPr>
          <w:rFonts w:ascii="Palatino Linotype" w:eastAsiaTheme="minorEastAsia" w:hAnsi="Palatino Linotype"/>
          <w:sz w:val="24"/>
          <w:szCs w:val="24"/>
          <w:lang w:val="es-ES_tradnl" w:eastAsia="es-ES"/>
        </w:rPr>
        <w:t xml:space="preserve"> recurso</w:t>
      </w:r>
      <w:r w:rsidR="00EA35BA" w:rsidRPr="00F23EC6">
        <w:rPr>
          <w:rFonts w:ascii="Palatino Linotype" w:eastAsiaTheme="minorEastAsia" w:hAnsi="Palatino Linotype"/>
          <w:sz w:val="24"/>
          <w:szCs w:val="24"/>
          <w:lang w:val="es-ES_tradnl" w:eastAsia="es-ES"/>
        </w:rPr>
        <w:t>s</w:t>
      </w:r>
      <w:r w:rsidRPr="00F23EC6">
        <w:rPr>
          <w:rFonts w:ascii="Palatino Linotype" w:eastAsiaTheme="minorEastAsia" w:hAnsi="Palatino Linotype"/>
          <w:sz w:val="24"/>
          <w:szCs w:val="24"/>
          <w:lang w:val="es-ES_tradnl" w:eastAsia="es-ES"/>
        </w:rPr>
        <w:t xml:space="preserve"> de revisión </w:t>
      </w:r>
      <w:r w:rsidR="00B57D87" w:rsidRPr="00F23EC6">
        <w:rPr>
          <w:rFonts w:ascii="Palatino Linotype" w:eastAsiaTheme="minorEastAsia" w:hAnsi="Palatino Linotype" w:cs="Arial"/>
          <w:b/>
          <w:bCs/>
          <w:sz w:val="24"/>
          <w:szCs w:val="24"/>
          <w:lang w:val="es-ES_tradnl" w:eastAsia="es-ES"/>
        </w:rPr>
        <w:t>06203/INFOEM/IP/RR/2019, 06204/INFOEM/IP/RR/2019, 06205/INFOEM/IP/RR/2019, 06206/INFOEM/IP/RR/2019, 06207/INFOEM/IP/RR/2019, 06208/INFOEM/IP/RR/2019, 06209/INFOEM/IP/RR/2019, 06210/INFOEM/IP/RR/2019, 06211/INFOEM/IP/RR/2019, 06212/INFOEM/IP/RR/2019, 06213/INFOEM/IP/RR/2019, 06214/INFOEM/IP/RR/2019, 06215/INFOEM/IP/RR/2019</w:t>
      </w:r>
      <w:r w:rsidRPr="00F23EC6">
        <w:rPr>
          <w:rFonts w:ascii="Palatino Linotype" w:eastAsiaTheme="minorEastAsia" w:hAnsi="Palatino Linotype" w:cs="Arial"/>
          <w:b/>
          <w:bCs/>
          <w:sz w:val="24"/>
          <w:szCs w:val="24"/>
          <w:lang w:val="es-ES_tradnl" w:eastAsia="es-ES"/>
        </w:rPr>
        <w:t xml:space="preserve"> </w:t>
      </w:r>
      <w:r w:rsidRPr="00F23EC6">
        <w:rPr>
          <w:rFonts w:ascii="Palatino Linotype" w:eastAsiaTheme="minorEastAsia" w:hAnsi="Palatino Linotype"/>
          <w:sz w:val="24"/>
          <w:szCs w:val="24"/>
          <w:lang w:val="es-ES_tradnl" w:eastAsia="es-ES"/>
        </w:rPr>
        <w:t>promovido por</w:t>
      </w:r>
      <w:r w:rsidR="006C1483" w:rsidRPr="00F23EC6">
        <w:rPr>
          <w:rFonts w:ascii="Palatino Linotype" w:eastAsiaTheme="minorEastAsia" w:hAnsi="Palatino Linotype"/>
          <w:sz w:val="24"/>
          <w:szCs w:val="24"/>
          <w:lang w:val="es-ES_tradnl" w:eastAsia="es-ES"/>
        </w:rPr>
        <w:t xml:space="preserve"> </w:t>
      </w:r>
      <w:r w:rsidR="00643B19" w:rsidRPr="00643B19">
        <w:rPr>
          <w:rFonts w:ascii="Palatino Linotype" w:eastAsiaTheme="minorEastAsia" w:hAnsi="Palatino Linotype"/>
          <w:b/>
          <w:sz w:val="24"/>
          <w:szCs w:val="24"/>
          <w:highlight w:val="black"/>
          <w:lang w:val="es-ES_tradnl" w:eastAsia="es-ES"/>
        </w:rPr>
        <w:t>-------</w:t>
      </w:r>
      <w:r w:rsidRPr="00F23EC6">
        <w:rPr>
          <w:rFonts w:ascii="Palatino Linotype" w:eastAsiaTheme="minorEastAsia" w:hAnsi="Palatino Linotype"/>
          <w:b/>
          <w:sz w:val="24"/>
          <w:szCs w:val="24"/>
          <w:lang w:val="es-ES_tradnl" w:eastAsia="es-ES"/>
        </w:rPr>
        <w:t xml:space="preserve">, </w:t>
      </w:r>
      <w:r w:rsidRPr="00F23EC6">
        <w:rPr>
          <w:rFonts w:ascii="Palatino Linotype" w:eastAsiaTheme="minorEastAsia" w:hAnsi="Palatino Linotype" w:cs="Arial"/>
          <w:sz w:val="24"/>
          <w:szCs w:val="24"/>
          <w:lang w:val="es-ES_tradnl" w:eastAsia="es-ES"/>
        </w:rPr>
        <w:t xml:space="preserve">en su calidad de </w:t>
      </w:r>
      <w:r w:rsidRPr="00F23EC6">
        <w:rPr>
          <w:rFonts w:ascii="Palatino Linotype" w:eastAsiaTheme="minorEastAsia" w:hAnsi="Palatino Linotype" w:cs="Arial"/>
          <w:b/>
          <w:sz w:val="24"/>
          <w:szCs w:val="24"/>
          <w:lang w:val="es-ES_tradnl" w:eastAsia="es-ES"/>
        </w:rPr>
        <w:t>RECURRENTE</w:t>
      </w:r>
      <w:r w:rsidRPr="00F23EC6">
        <w:rPr>
          <w:rFonts w:ascii="Palatino Linotype" w:eastAsiaTheme="minorEastAsia" w:hAnsi="Palatino Linotype" w:cs="Arial"/>
          <w:sz w:val="24"/>
          <w:szCs w:val="24"/>
          <w:lang w:val="es-ES_tradnl" w:eastAsia="es-ES"/>
        </w:rPr>
        <w:t>, en contra de la</w:t>
      </w:r>
      <w:r w:rsidR="00F23EC6">
        <w:rPr>
          <w:rFonts w:ascii="Palatino Linotype" w:eastAsiaTheme="minorEastAsia" w:hAnsi="Palatino Linotype" w:cs="Arial"/>
          <w:sz w:val="24"/>
          <w:szCs w:val="24"/>
          <w:lang w:val="es-ES_tradnl" w:eastAsia="es-ES"/>
        </w:rPr>
        <w:t>s</w:t>
      </w:r>
      <w:r w:rsidR="006C1483" w:rsidRPr="00F23EC6">
        <w:rPr>
          <w:rFonts w:ascii="Palatino Linotype" w:eastAsiaTheme="minorEastAsia" w:hAnsi="Palatino Linotype" w:cs="Arial"/>
          <w:sz w:val="24"/>
          <w:szCs w:val="24"/>
          <w:lang w:val="es-ES_tradnl" w:eastAsia="es-ES"/>
        </w:rPr>
        <w:t xml:space="preserve"> falta</w:t>
      </w:r>
      <w:r w:rsidR="00F23EC6">
        <w:rPr>
          <w:rFonts w:ascii="Palatino Linotype" w:eastAsiaTheme="minorEastAsia" w:hAnsi="Palatino Linotype" w:cs="Arial"/>
          <w:sz w:val="24"/>
          <w:szCs w:val="24"/>
          <w:lang w:val="es-ES_tradnl" w:eastAsia="es-ES"/>
        </w:rPr>
        <w:t>s</w:t>
      </w:r>
      <w:r w:rsidR="006C1483" w:rsidRPr="00F23EC6">
        <w:rPr>
          <w:rFonts w:ascii="Palatino Linotype" w:eastAsiaTheme="minorEastAsia" w:hAnsi="Palatino Linotype" w:cs="Arial"/>
          <w:sz w:val="24"/>
          <w:szCs w:val="24"/>
          <w:lang w:val="es-ES_tradnl" w:eastAsia="es-ES"/>
        </w:rPr>
        <w:t xml:space="preserve"> de</w:t>
      </w:r>
      <w:r w:rsidRPr="00F23EC6">
        <w:rPr>
          <w:rFonts w:ascii="Palatino Linotype" w:eastAsiaTheme="minorEastAsia" w:hAnsi="Palatino Linotype" w:cs="Arial"/>
          <w:sz w:val="24"/>
          <w:szCs w:val="24"/>
          <w:lang w:val="es-ES_tradnl" w:eastAsia="es-ES"/>
        </w:rPr>
        <w:t xml:space="preserve"> respuesta</w:t>
      </w:r>
      <w:r w:rsidR="00F23EC6">
        <w:rPr>
          <w:rFonts w:ascii="Palatino Linotype" w:eastAsiaTheme="minorEastAsia" w:hAnsi="Palatino Linotype" w:cs="Arial"/>
          <w:sz w:val="24"/>
          <w:szCs w:val="24"/>
          <w:lang w:val="es-ES_tradnl" w:eastAsia="es-ES"/>
        </w:rPr>
        <w:t>s</w:t>
      </w:r>
      <w:r w:rsidRPr="00F23EC6">
        <w:rPr>
          <w:rFonts w:ascii="Palatino Linotype" w:eastAsiaTheme="minorEastAsia" w:hAnsi="Palatino Linotype" w:cs="Arial"/>
          <w:sz w:val="24"/>
          <w:szCs w:val="24"/>
          <w:lang w:val="es-ES_tradnl" w:eastAsia="es-ES"/>
        </w:rPr>
        <w:t xml:space="preserve"> del </w:t>
      </w:r>
      <w:r w:rsidR="00B57D87" w:rsidRPr="00F23EC6">
        <w:rPr>
          <w:rFonts w:ascii="Palatino Linotype" w:eastAsiaTheme="minorEastAsia" w:hAnsi="Palatino Linotype" w:cs="Arial"/>
          <w:b/>
          <w:sz w:val="24"/>
          <w:szCs w:val="24"/>
          <w:lang w:val="es-ES_tradnl" w:eastAsia="es-ES"/>
        </w:rPr>
        <w:t>Sistema Municipal Para el Desarrollo Integral de la Familia de Tecámac</w:t>
      </w:r>
      <w:r w:rsidR="006C1483" w:rsidRPr="00F23EC6">
        <w:rPr>
          <w:rFonts w:ascii="Palatino Linotype" w:eastAsiaTheme="minorEastAsia" w:hAnsi="Palatino Linotype" w:cs="Arial"/>
          <w:b/>
          <w:sz w:val="24"/>
          <w:szCs w:val="24"/>
          <w:lang w:val="es-ES_tradnl" w:eastAsia="es-ES"/>
        </w:rPr>
        <w:t xml:space="preserve">, </w:t>
      </w:r>
      <w:r w:rsidRPr="00F23EC6">
        <w:rPr>
          <w:rFonts w:ascii="Palatino Linotype" w:eastAsiaTheme="minorEastAsia" w:hAnsi="Palatino Linotype"/>
          <w:sz w:val="24"/>
          <w:szCs w:val="24"/>
          <w:lang w:val="es-ES_tradnl" w:eastAsia="es-ES"/>
        </w:rPr>
        <w:t>en lo sucesivo el</w:t>
      </w:r>
      <w:r w:rsidRPr="00F23EC6">
        <w:rPr>
          <w:rFonts w:ascii="Palatino Linotype" w:eastAsiaTheme="minorEastAsia" w:hAnsi="Palatino Linotype"/>
          <w:b/>
          <w:sz w:val="24"/>
          <w:szCs w:val="24"/>
          <w:lang w:val="es-ES_tradnl" w:eastAsia="es-ES"/>
        </w:rPr>
        <w:t xml:space="preserve"> SUJETO OBLIGADO, </w:t>
      </w:r>
      <w:r w:rsidRPr="00F23EC6">
        <w:rPr>
          <w:rFonts w:ascii="Palatino Linotype" w:eastAsiaTheme="minorEastAsia" w:hAnsi="Palatino Linotype"/>
          <w:sz w:val="24"/>
          <w:szCs w:val="24"/>
          <w:lang w:val="es-ES_tradnl" w:eastAsia="es-ES"/>
        </w:rPr>
        <w:t xml:space="preserve">se procede a dictar la presente resolución, con base en los siguientes: </w:t>
      </w:r>
    </w:p>
    <w:p w:rsidR="000F5E0E" w:rsidRDefault="000F5E0E" w:rsidP="00F23EC6">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20305936"/>
      <w:r w:rsidRPr="00F23EC6">
        <w:rPr>
          <w:rFonts w:ascii="Palatino Linotype" w:eastAsiaTheme="majorEastAsia" w:hAnsi="Palatino Linotype" w:cstheme="majorBidi"/>
          <w:b/>
          <w:sz w:val="24"/>
          <w:szCs w:val="24"/>
        </w:rPr>
        <w:t>A N T E C E D E N T E S</w:t>
      </w:r>
      <w:bookmarkEnd w:id="0"/>
    </w:p>
    <w:p w:rsidR="00F23EC6" w:rsidRPr="00F23EC6" w:rsidRDefault="00F23EC6" w:rsidP="00F23EC6">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0F5E0E" w:rsidRPr="00F23EC6" w:rsidRDefault="000F5E0E" w:rsidP="00F23EC6">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F23EC6">
        <w:rPr>
          <w:rFonts w:ascii="Palatino Linotype" w:eastAsia="Calibri" w:hAnsi="Palatino Linotype" w:cs="Arial"/>
          <w:sz w:val="24"/>
          <w:szCs w:val="24"/>
          <w:lang w:val="es-ES" w:eastAsia="es-ES"/>
        </w:rPr>
        <w:t xml:space="preserve">El día </w:t>
      </w:r>
      <w:r w:rsidR="00B57D87" w:rsidRPr="00F23EC6">
        <w:rPr>
          <w:rFonts w:ascii="Palatino Linotype" w:eastAsia="Calibri" w:hAnsi="Palatino Linotype" w:cs="Arial"/>
          <w:sz w:val="24"/>
          <w:szCs w:val="24"/>
          <w:lang w:val="es-ES" w:eastAsia="es-ES"/>
        </w:rPr>
        <w:t>diecinueve</w:t>
      </w:r>
      <w:r w:rsidR="00EA35BA" w:rsidRPr="00F23EC6">
        <w:rPr>
          <w:rFonts w:ascii="Palatino Linotype" w:eastAsia="Calibri" w:hAnsi="Palatino Linotype" w:cs="Arial"/>
          <w:sz w:val="24"/>
          <w:szCs w:val="24"/>
          <w:lang w:val="es-ES" w:eastAsia="es-ES"/>
        </w:rPr>
        <w:t xml:space="preserve"> (</w:t>
      </w:r>
      <w:r w:rsidR="00B57D87" w:rsidRPr="00F23EC6">
        <w:rPr>
          <w:rFonts w:ascii="Palatino Linotype" w:eastAsia="Calibri" w:hAnsi="Palatino Linotype" w:cs="Arial"/>
          <w:sz w:val="24"/>
          <w:szCs w:val="24"/>
          <w:lang w:val="es-ES" w:eastAsia="es-ES"/>
        </w:rPr>
        <w:t>19</w:t>
      </w:r>
      <w:r w:rsidR="006C1483" w:rsidRPr="00F23EC6">
        <w:rPr>
          <w:rFonts w:ascii="Palatino Linotype" w:eastAsia="Calibri" w:hAnsi="Palatino Linotype" w:cs="Arial"/>
          <w:sz w:val="24"/>
          <w:szCs w:val="24"/>
          <w:lang w:val="es-ES" w:eastAsia="es-ES"/>
        </w:rPr>
        <w:t>) de</w:t>
      </w:r>
      <w:r w:rsidR="00EA35BA" w:rsidRPr="00F23EC6">
        <w:rPr>
          <w:rFonts w:ascii="Palatino Linotype" w:eastAsia="Calibri" w:hAnsi="Palatino Linotype" w:cs="Arial"/>
          <w:sz w:val="24"/>
          <w:szCs w:val="24"/>
          <w:lang w:val="es-ES" w:eastAsia="es-ES"/>
        </w:rPr>
        <w:t xml:space="preserve"> </w:t>
      </w:r>
      <w:r w:rsidR="00B57D87" w:rsidRPr="00F23EC6">
        <w:rPr>
          <w:rFonts w:ascii="Palatino Linotype" w:eastAsia="Calibri" w:hAnsi="Palatino Linotype" w:cs="Arial"/>
          <w:sz w:val="24"/>
          <w:szCs w:val="24"/>
          <w:lang w:val="es-ES" w:eastAsia="es-ES"/>
        </w:rPr>
        <w:t>junio</w:t>
      </w:r>
      <w:r w:rsidRPr="00F23EC6">
        <w:rPr>
          <w:rFonts w:ascii="Palatino Linotype" w:eastAsia="Calibri" w:hAnsi="Palatino Linotype" w:cs="Arial"/>
          <w:sz w:val="24"/>
          <w:szCs w:val="24"/>
          <w:lang w:val="es-ES" w:eastAsia="es-ES"/>
        </w:rPr>
        <w:t xml:space="preserve"> de dos mil diecinueve,</w:t>
      </w:r>
      <w:r w:rsidRPr="00F23EC6">
        <w:rPr>
          <w:rFonts w:ascii="Palatino Linotype" w:eastAsia="Calibri" w:hAnsi="Palatino Linotype" w:cs="Times New Roman"/>
          <w:sz w:val="24"/>
          <w:szCs w:val="24"/>
          <w:lang w:val="es-ES" w:eastAsia="es-ES"/>
        </w:rPr>
        <w:t xml:space="preserve"> se</w:t>
      </w:r>
      <w:r w:rsidRPr="00F23EC6">
        <w:rPr>
          <w:rFonts w:ascii="Palatino Linotype" w:eastAsiaTheme="minorEastAsia" w:hAnsi="Palatino Linotype"/>
          <w:b/>
          <w:sz w:val="24"/>
          <w:szCs w:val="24"/>
          <w:lang w:val="es-ES_tradnl" w:eastAsia="es-ES"/>
        </w:rPr>
        <w:t xml:space="preserve"> </w:t>
      </w:r>
      <w:r w:rsidRPr="00F23EC6">
        <w:rPr>
          <w:rFonts w:ascii="Palatino Linotype" w:eastAsiaTheme="minorEastAsia" w:hAnsi="Palatino Linotype"/>
          <w:sz w:val="24"/>
          <w:szCs w:val="24"/>
          <w:lang w:val="es-ES_tradnl" w:eastAsia="es-ES"/>
        </w:rPr>
        <w:t xml:space="preserve">presentó </w:t>
      </w:r>
      <w:r w:rsidRPr="00F23EC6">
        <w:rPr>
          <w:rFonts w:ascii="Palatino Linotype" w:eastAsia="Calibri" w:hAnsi="Palatino Linotype" w:cs="Arial"/>
          <w:sz w:val="24"/>
          <w:szCs w:val="24"/>
          <w:lang w:val="es-ES" w:eastAsia="es-ES"/>
        </w:rPr>
        <w:t xml:space="preserve">ante el </w:t>
      </w:r>
      <w:r w:rsidRPr="00F23EC6">
        <w:rPr>
          <w:rFonts w:ascii="Palatino Linotype" w:eastAsia="Calibri" w:hAnsi="Palatino Linotype" w:cs="Arial"/>
          <w:b/>
          <w:sz w:val="24"/>
          <w:szCs w:val="24"/>
          <w:lang w:val="es-ES" w:eastAsia="es-ES"/>
        </w:rPr>
        <w:t>SUJETO OBLIGADO,</w:t>
      </w:r>
      <w:r w:rsidRPr="00F23EC6">
        <w:rPr>
          <w:rFonts w:ascii="Palatino Linotype" w:eastAsia="Calibri" w:hAnsi="Palatino Linotype" w:cs="Arial"/>
          <w:sz w:val="24"/>
          <w:szCs w:val="24"/>
          <w:lang w:val="es-ES_tradnl" w:eastAsia="es-ES"/>
        </w:rPr>
        <w:t xml:space="preserve"> vía </w:t>
      </w:r>
      <w:r w:rsidRPr="00F23EC6">
        <w:rPr>
          <w:rFonts w:ascii="Palatino Linotype" w:eastAsia="Calibri" w:hAnsi="Palatino Linotype" w:cs="Arial"/>
          <w:sz w:val="24"/>
          <w:szCs w:val="24"/>
          <w:lang w:val="es-ES" w:eastAsia="es-ES"/>
        </w:rPr>
        <w:t xml:space="preserve">Sistema de Acceso a la Información Mexiquense </w:t>
      </w:r>
      <w:r w:rsidRPr="00F23EC6">
        <w:rPr>
          <w:rFonts w:ascii="Palatino Linotype" w:eastAsia="Calibri" w:hAnsi="Palatino Linotype" w:cs="Arial"/>
          <w:sz w:val="24"/>
          <w:szCs w:val="24"/>
          <w:lang w:val="es-ES" w:eastAsia="es-ES"/>
        </w:rPr>
        <w:lastRenderedPageBreak/>
        <w:t>(SAIMEX), la</w:t>
      </w:r>
      <w:r w:rsidR="00EA35BA" w:rsidRPr="00F23EC6">
        <w:rPr>
          <w:rFonts w:ascii="Palatino Linotype" w:eastAsia="Calibri" w:hAnsi="Palatino Linotype" w:cs="Arial"/>
          <w:sz w:val="24"/>
          <w:szCs w:val="24"/>
          <w:lang w:val="es-ES" w:eastAsia="es-ES"/>
        </w:rPr>
        <w:t>s</w:t>
      </w:r>
      <w:r w:rsidRPr="00F23EC6">
        <w:rPr>
          <w:rFonts w:ascii="Palatino Linotype" w:eastAsia="Calibri" w:hAnsi="Palatino Linotype" w:cs="Arial"/>
          <w:sz w:val="24"/>
          <w:szCs w:val="24"/>
          <w:lang w:val="es-ES" w:eastAsia="es-ES"/>
        </w:rPr>
        <w:t xml:space="preserve"> solicitud</w:t>
      </w:r>
      <w:r w:rsidR="00EA35BA" w:rsidRPr="00F23EC6">
        <w:rPr>
          <w:rFonts w:ascii="Palatino Linotype" w:eastAsia="Calibri" w:hAnsi="Palatino Linotype" w:cs="Arial"/>
          <w:sz w:val="24"/>
          <w:szCs w:val="24"/>
          <w:lang w:val="es-ES" w:eastAsia="es-ES"/>
        </w:rPr>
        <w:t>es</w:t>
      </w:r>
      <w:r w:rsidRPr="00F23EC6">
        <w:rPr>
          <w:rFonts w:ascii="Palatino Linotype" w:eastAsia="Calibri" w:hAnsi="Palatino Linotype" w:cs="Arial"/>
          <w:sz w:val="24"/>
          <w:szCs w:val="24"/>
          <w:lang w:val="es-ES" w:eastAsia="es-ES"/>
        </w:rPr>
        <w:t xml:space="preserve"> de información pública</w:t>
      </w:r>
      <w:r w:rsidR="00397FF8" w:rsidRPr="00F23EC6">
        <w:rPr>
          <w:rFonts w:ascii="Palatino Linotype" w:eastAsia="Calibri" w:hAnsi="Palatino Linotype" w:cs="Arial"/>
          <w:sz w:val="24"/>
          <w:szCs w:val="24"/>
          <w:lang w:val="es-ES" w:eastAsia="es-ES"/>
        </w:rPr>
        <w:t>s</w:t>
      </w:r>
      <w:r w:rsidRPr="00F23EC6">
        <w:rPr>
          <w:rFonts w:ascii="Palatino Linotype" w:eastAsia="Calibri" w:hAnsi="Palatino Linotype" w:cs="Arial"/>
          <w:sz w:val="24"/>
          <w:szCs w:val="24"/>
          <w:lang w:val="es-ES" w:eastAsia="es-ES"/>
        </w:rPr>
        <w:t xml:space="preserve"> registrada</w:t>
      </w:r>
      <w:r w:rsidR="00EA35BA" w:rsidRPr="00F23EC6">
        <w:rPr>
          <w:rFonts w:ascii="Palatino Linotype" w:eastAsia="Calibri" w:hAnsi="Palatino Linotype" w:cs="Arial"/>
          <w:sz w:val="24"/>
          <w:szCs w:val="24"/>
          <w:lang w:val="es-ES" w:eastAsia="es-ES"/>
        </w:rPr>
        <w:t xml:space="preserve">s con </w:t>
      </w:r>
      <w:r w:rsidRPr="00F23EC6">
        <w:rPr>
          <w:rFonts w:ascii="Palatino Linotype" w:eastAsia="Calibri" w:hAnsi="Palatino Linotype" w:cs="Arial"/>
          <w:sz w:val="24"/>
          <w:szCs w:val="24"/>
          <w:lang w:val="es-ES" w:eastAsia="es-ES"/>
        </w:rPr>
        <w:t>l</w:t>
      </w:r>
      <w:r w:rsidR="00EA35BA" w:rsidRPr="00F23EC6">
        <w:rPr>
          <w:rFonts w:ascii="Palatino Linotype" w:eastAsia="Calibri" w:hAnsi="Palatino Linotype" w:cs="Arial"/>
          <w:sz w:val="24"/>
          <w:szCs w:val="24"/>
          <w:lang w:val="es-ES" w:eastAsia="es-ES"/>
        </w:rPr>
        <w:t>os</w:t>
      </w:r>
      <w:r w:rsidRPr="00F23EC6">
        <w:rPr>
          <w:rFonts w:ascii="Palatino Linotype" w:eastAsia="Calibri" w:hAnsi="Palatino Linotype" w:cs="Arial"/>
          <w:sz w:val="24"/>
          <w:szCs w:val="24"/>
          <w:lang w:val="es-ES" w:eastAsia="es-ES"/>
        </w:rPr>
        <w:t xml:space="preserve"> número</w:t>
      </w:r>
      <w:r w:rsidR="00EA35BA" w:rsidRPr="00F23EC6">
        <w:rPr>
          <w:rFonts w:ascii="Palatino Linotype" w:eastAsia="Calibri" w:hAnsi="Palatino Linotype" w:cs="Arial"/>
          <w:sz w:val="24"/>
          <w:szCs w:val="24"/>
          <w:lang w:val="es-ES" w:eastAsia="es-ES"/>
        </w:rPr>
        <w:t>s</w:t>
      </w:r>
      <w:r w:rsidRPr="00F23EC6">
        <w:rPr>
          <w:rFonts w:ascii="Palatino Linotype" w:eastAsia="Calibri" w:hAnsi="Palatino Linotype" w:cs="Arial"/>
          <w:sz w:val="24"/>
          <w:szCs w:val="24"/>
          <w:lang w:val="es-ES" w:eastAsia="es-ES"/>
        </w:rPr>
        <w:t xml:space="preserve"> </w:t>
      </w:r>
      <w:r w:rsidR="00B57D87" w:rsidRPr="00F23EC6">
        <w:rPr>
          <w:rFonts w:ascii="Palatino Linotype" w:eastAsia="Times New Roman" w:hAnsi="Palatino Linotype" w:cs="Arial"/>
          <w:b/>
          <w:sz w:val="24"/>
          <w:szCs w:val="24"/>
          <w:lang w:val="es-ES" w:eastAsia="es-ES"/>
        </w:rPr>
        <w:t>00044/DIFTECAMAC/IP/2019, 00032/DIFTECAMAC/IP/2019, 00033/DIFTECAMAC/IP/2019, 00034/DIFTECAMAC/IP/2019, 00035/DIFTECAMAC/IP/2019, 00036/DIFTECAMAC/IP/2019, 00037/DIFTECAMAC/IP/2019, 00038/DIFTECAMAC/IP/2019, 00039/DIFTECAMAC/IP/2019, 00040/DIFTECAMAC/IP/2019, 00041/DIFTECAMAC/IP/2019, 00042/DIFTECAMAC/IP/2019 y 00043/DIFTECAMAC/IP/2019</w:t>
      </w:r>
      <w:r w:rsidRPr="00F23EC6">
        <w:rPr>
          <w:rFonts w:ascii="Palatino Linotype" w:eastAsia="Calibri" w:hAnsi="Palatino Linotype" w:cs="Arial"/>
          <w:sz w:val="24"/>
          <w:szCs w:val="24"/>
          <w:lang w:val="es-ES" w:eastAsia="es-ES"/>
        </w:rPr>
        <w:t>, mediante la</w:t>
      </w:r>
      <w:r w:rsidR="00B57D87" w:rsidRPr="00F23EC6">
        <w:rPr>
          <w:rFonts w:ascii="Palatino Linotype" w:eastAsia="Calibri" w:hAnsi="Palatino Linotype" w:cs="Arial"/>
          <w:sz w:val="24"/>
          <w:szCs w:val="24"/>
          <w:lang w:val="es-ES" w:eastAsia="es-ES"/>
        </w:rPr>
        <w:t>s</w:t>
      </w:r>
      <w:r w:rsidRPr="00F23EC6">
        <w:rPr>
          <w:rFonts w:ascii="Palatino Linotype" w:eastAsia="Calibri" w:hAnsi="Palatino Linotype" w:cs="Arial"/>
          <w:sz w:val="24"/>
          <w:szCs w:val="24"/>
          <w:lang w:val="es-ES" w:eastAsia="es-ES"/>
        </w:rPr>
        <w:t xml:space="preserve"> cual</w:t>
      </w:r>
      <w:r w:rsidR="00B57D87" w:rsidRPr="00F23EC6">
        <w:rPr>
          <w:rFonts w:ascii="Palatino Linotype" w:eastAsia="Calibri" w:hAnsi="Palatino Linotype" w:cs="Arial"/>
          <w:sz w:val="24"/>
          <w:szCs w:val="24"/>
          <w:lang w:val="es-ES" w:eastAsia="es-ES"/>
        </w:rPr>
        <w:t>es</w:t>
      </w:r>
      <w:r w:rsidRPr="00F23EC6">
        <w:rPr>
          <w:rFonts w:ascii="Palatino Linotype" w:eastAsia="Calibri" w:hAnsi="Palatino Linotype" w:cs="Arial"/>
          <w:sz w:val="24"/>
          <w:szCs w:val="24"/>
          <w:lang w:val="es-ES" w:eastAsia="es-ES"/>
        </w:rPr>
        <w:t xml:space="preserve"> se requirió</w:t>
      </w:r>
      <w:r w:rsidR="00397FF8" w:rsidRPr="00F23EC6">
        <w:rPr>
          <w:rFonts w:ascii="Palatino Linotype" w:eastAsia="Calibri" w:hAnsi="Palatino Linotype" w:cs="Arial"/>
          <w:sz w:val="24"/>
          <w:szCs w:val="24"/>
          <w:lang w:val="es-ES" w:eastAsia="es-ES"/>
        </w:rPr>
        <w:t xml:space="preserve"> la información siguiente</w:t>
      </w:r>
      <w:r w:rsidRPr="00F23EC6">
        <w:rPr>
          <w:rFonts w:ascii="Palatino Linotype" w:eastAsia="Calibri" w:hAnsi="Palatino Linotype" w:cs="Arial"/>
          <w:sz w:val="24"/>
          <w:szCs w:val="24"/>
          <w:lang w:val="es-ES" w:eastAsia="es-ES"/>
        </w:rPr>
        <w:t>:</w:t>
      </w:r>
    </w:p>
    <w:p w:rsidR="000F5E0E" w:rsidRPr="00F23EC6" w:rsidRDefault="000F5E0E" w:rsidP="00F23EC6">
      <w:pPr>
        <w:spacing w:before="240" w:after="240" w:line="360" w:lineRule="auto"/>
        <w:ind w:right="-142"/>
        <w:contextualSpacing/>
        <w:jc w:val="both"/>
        <w:rPr>
          <w:rFonts w:ascii="Palatino Linotype" w:eastAsia="Calibri" w:hAnsi="Palatino Linotype" w:cs="Arial"/>
          <w:sz w:val="24"/>
          <w:szCs w:val="24"/>
          <w:lang w:val="es-ES" w:eastAsia="es-ES"/>
        </w:rPr>
      </w:pP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r w:rsidRPr="00F23EC6">
        <w:rPr>
          <w:rFonts w:ascii="Palatino Linotype" w:eastAsia="Times New Roman" w:hAnsi="Palatino Linotype" w:cs="Times New Roman"/>
          <w:i/>
          <w:sz w:val="24"/>
          <w:szCs w:val="24"/>
          <w:lang w:eastAsia="es-MX"/>
        </w:rPr>
        <w:t>"18.- 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LA INFORMACIÓN LA SOLICITO EN FORMATO PDF Y EN FORMATO ABIERTO POR SISTEMA SAIMEX, DEL SUJETO OBLIGADO DIF TECAMAC."</w:t>
      </w: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r w:rsidRPr="00F23EC6">
        <w:rPr>
          <w:rFonts w:ascii="Palatino Linotype" w:eastAsia="Times New Roman" w:hAnsi="Palatino Linotype" w:cs="Times New Roman"/>
          <w:i/>
          <w:sz w:val="24"/>
          <w:szCs w:val="24"/>
          <w:lang w:eastAsia="es-MX"/>
        </w:rPr>
        <w:t>"8.- CON FUNDAMENTO EN LA LEY DE TRANSPARENCIA Y ACCESO A LA INFORMACIÓN PÚBLICA DEL ESTADO DE MÉXICO Y MUNICIPIOS CAPÍTULO III DE LAS OBLIGACIONES DE TRANSPARENCIA ESPECÍFICAS DE LOS SUJETOS OBLIGADOS ARTÍCULO 94. ADEMÁS DE LAS OBLIGACIONES DE TRANSPARENCIA COMÚN A QUE SE REFIERE EL CAPÍTULO II DE ESTE TÍTULO, LOS SUJETOS OBLIGADOS DEL PODER EJECUTIVO LOCAL Y MUNICIPALES, DEBERÁN PONER A DISPOSICIÓN DEL PÚBLICO Y ACTUALIZAR LA SIGUIENTE INFORMACIÓN: FRACCIÓN II. ADICIONALMENTE EN EL CASO DE LOS MUNICIPIOS: A) EL CONTENIDO DE LAS GACETAS MUNICIPALES, LAS CUALES DEBERÁN COMPRENDER LOS RESOLUTIVOS Y ACUERDOS APROBADOS POR LOS AYUNTAMIENTOS; B) LAS ACTAS DE SESIONES DE CABILDO, LOS CONTROLES DE ASISTENCIA DE LOS INTEGRANTES DEL AYUNTAMIENTO A LAS SESIONES DE CABILDO Y EL SENTIDO DE VOTACIÓN DE LOS MIEMBROS DEL CABILDO SOBRE LAS INICIATIVAS O ACUERDOS; C) LOS PARTICIPACIONES Y APORTACIONES DERIVADAS DE LA LEY DE COORDINACIÓN FISCAL; Y D) LOS RECURSOS FEDERALES ESTABLECIDOS EN EL TÍTULO SEGUNDO. DEL FEDERALISMO DEL PRESUPUESTO DE EGRESOS DE LA FEDERACIÓN EN SUS CONCEPTOS DE: A. SUBSIDIOS FEDERALES; Y B. RECURSOS DEL RAMO 23. PROVISIONES SALARIALES Y ECONÓMICAS. SOLICITO LA INFORMACIÓN DE ACUERDO AL SISTEMA O SUJETO OBLIGADO DIF TECAMAC YA QUE ELLOS TIENEN SESIONES DE CONSEJO Y SU INFORMACIÓN FINANCIERA, LA INFORMACIÓN LA SOLICITO EN FORMATO PDF Y EN FORMATO ABIERTO POR SISTEMA SAIMEX DEL SUJETO OBLIGADO DIF TECÁMAC DEL PRIMER TRIMESTRE DEL AÑO 2019.</w:t>
      </w: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r w:rsidRPr="00F23EC6">
        <w:rPr>
          <w:rFonts w:ascii="Palatino Linotype" w:eastAsia="Times New Roman" w:hAnsi="Palatino Linotype" w:cs="Times New Roman"/>
          <w:i/>
          <w:sz w:val="24"/>
          <w:szCs w:val="24"/>
          <w:lang w:eastAsia="es-MX"/>
        </w:rPr>
        <w:t>"9.- CON FUNDAMENTO EN LA LEY DE TRANSPARENCIA Y ACCESO A LA INFORMACIÓN PÚBLICA DEL ESTADO DE MÉXICO Y MUNICIPIOS CAPÍTULO III DE LAS OBLIGACIONES DE TRANSPARENCIA ESPECÍFICAS DE LOS SUJETOS OBLIGADOS ARTÍCULO 94. ADEMÁS DE LAS OBLIGACIONES DE TRANSPARENCIA COMÚN A QUE SE REFIERE EL CAPÍTULO II DE ESTE TÍTULO, LOS SUJETOS OBLIGADOS DEL PODER EJECUTIVO LOCAL Y MUNICIPALES, DEBERÁN PONER A DISPOSICIÓN DEL PÚBLICO Y ACTUALIZAR LA SIGUIENTE INFORMACIÓN: FRACCIÓN I. EN EL CASO DEL PODER EJECUTIVO Y LOS MUNICIPIOS, EN EL ÁMBITO DE SU COMPETENCIA: A) EL PLAN ESTATAL DE DESARROLLO Y PLAN DE DESARROLLO MUNICIPAL; B) EL PRESUPUESTO DE EGRESOS Y LAS FÓRMULAS DE DISTRIBUCIÓN DE LOS RECURSOS OTORGADOS; LA INFORMACIÓN LA SOLICITO EN FORMATO PDF Y EN FORMATO ABIERTO POR SISTEMA SAIMEX DEL SUJETO OBLIGADO DIF TECÁMAC DEL PRIMER TRIMESTRE DEL AÑO 2019."</w:t>
      </w: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r w:rsidRPr="00F23EC6">
        <w:rPr>
          <w:rFonts w:ascii="Palatino Linotype" w:eastAsia="Times New Roman" w:hAnsi="Palatino Linotype" w:cs="Times New Roman"/>
          <w:i/>
          <w:sz w:val="24"/>
          <w:szCs w:val="24"/>
          <w:lang w:eastAsia="es-MX"/>
        </w:rPr>
        <w:t>"10.- 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XLIII. LAS ACTAS Y RESOLUCIONES DEL COMITÉ DE TRANSPARENCIA DE LOS SUJETOS OBLIGADOS; LA INFORMACIÓN LA SOLICITO EN FORMATO PDF Y EN FORMATO ABIERTO POR SISTEMA SAIMEX DEL SUJETO OBLIGADO DIF TECÁMAC DEL 01 DE ENERO AL 15 DE JUNIO DEL AÑO 2019."</w:t>
      </w: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r w:rsidRPr="00F23EC6">
        <w:rPr>
          <w:rFonts w:ascii="Palatino Linotype" w:eastAsia="Times New Roman" w:hAnsi="Palatino Linotype" w:cs="Times New Roman"/>
          <w:i/>
          <w:sz w:val="24"/>
          <w:szCs w:val="24"/>
          <w:lang w:eastAsia="es-MX"/>
        </w:rPr>
        <w:t>"11.- 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XXXVI. PADRÓN DE PROVEEDORES Y CONTRATISTAS; LA INFORMACIÓN LA SOLICITO EN FORMATO PDF Y EN FORMATO ABIERTO POR SISTEMA SAIMEX DEL SUJETO OBLIGADO DIF TECÁMAC DEL PRIMER TRIMESTRE DEL AÑO 2019."</w:t>
      </w: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r w:rsidRPr="00F23EC6">
        <w:rPr>
          <w:rFonts w:ascii="Palatino Linotype" w:eastAsia="Times New Roman" w:hAnsi="Palatino Linotype" w:cs="Times New Roman"/>
          <w:i/>
          <w:sz w:val="24"/>
          <w:szCs w:val="24"/>
          <w:lang w:eastAsia="es-MX"/>
        </w:rPr>
        <w:t>"12.- 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XXV. LA INFORMACIÓN FINANCIERA SOBRE EL PRESUPUESTO ASIGNADO, ASÍ COMO LOS INFORMES DEL EJERCICIO TRIMESTRAL DEL GASTO, EN TÉRMINOS DE LA LEY GENERAL DE CONTABILIDAD GUBERNAMENTAL Y DEMÁS DISPOSICIONES JURÍDICAS APLICABLES; XXVI. LA INFORMACIÓN RELATIVA A LA DEUDA PÚBLICA, EN TÉRMINOS DE LAS DISPOSICIONES JURÍDICAS APLICABLES: LOS DATOS DE TODOS LOS FINANCIAMIENTOS CONTRATADOS, ASÍ COMO DE LOS MOVIMIENTOS QUE SE EFECTÚEN, EN LA QUE SE INCLUYA: A) LOS MONTOS DE FINANCIAMIENTO CONTRATADOS; B) LOS PLAZOS; C) LAS TASAS DE INTERÉS; Y D) LAS GARANTÍAS. XXVII. LOS MONTOS DESTINADOS A GASTOS RELATIVOS A TODOS LOS PROGRAMAS Y CAMPAÑAS DE COMUNICACIÓN SOCIAL Y PUBLICIDAD OFICIAL DESGLOSADA POR TIPO DE MEDIO, PROVEEDORES, NÚMERO DE CONTRATO Y CONCEPTO; XXVIII. LOS INFORMES DE RESULTADOS DE LAS AUDITORÍAS AL EJERCICIO PRESUPUESTAL DE CADA SUJETO OBLIGADO QUE SE REALICEN Y, EN SU CASO, LAS ACLARACIONES QUE CORRESPONDAN; 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A) DE LICITACIONES PÚBLICAS O PROCEDIMIENTOS DE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DE LAS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TERMINACIÓN; Y 11) EL FINIQUITO. XXX. EL RESULTADO DE LA DICTAMINACIÓN DE LOS ESTADOS FINANCIEROS; LA INFORMACIÓN LA SOLICITO EN FORMATO PDF Y EN FORMATO ABIERTO POR SISTEMA SAIMEX DEL SUJETO OBLIGADO DIF TECÁMAC DEL PRIMER TRIMESTRE DEL AÑO 2019."</w:t>
      </w: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r w:rsidRPr="00F23EC6">
        <w:rPr>
          <w:rFonts w:ascii="Palatino Linotype" w:eastAsia="Times New Roman" w:hAnsi="Palatino Linotype" w:cs="Times New Roman"/>
          <w:i/>
          <w:sz w:val="24"/>
          <w:szCs w:val="24"/>
          <w:lang w:eastAsia="es-MX"/>
        </w:rPr>
        <w:t>"13.- 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XXIII. LOS SERVICIOS QUE OFRECEN SEÑALANDO LOS REQUISITOS PARA ACCEDER A ELLOS, ASÍ COMO LOS TIEMPOS DE RESPUESTA; XXIV. LOS TRÁMITES, REQUISITOS Y FORMATOS QUE OFRECEN, ASÍ COMO LOS TIEMPOS DE RESPUESTA; LA INFORMACIÓN LA SOLICITO EN FORMATO PDF Y EN FORMATO ABIERTO POR SISTEMA SAIMEX DEL SUJETO OBLIGADO DIF TECÁMAC DEL PRIMER TRIMESTRE DEL AÑO 2019 DE TODAS Y CADA UNA DE LAS ÁREAS QUE COMPRENDEN EL SUJETO OBLIGADO, ASÍ MISMO EL INFORME DETALLADO DEL PRIMER TRIMESTRE Y ACTAS DE SESIONES DEL COMITÉ DE MEJORA REGULATORIA, ASÍ COMO EL CATÁLOGO DE TRÁMITES Y SERVICIOS APROBADO POR EL MISMO COMITÉ."</w:t>
      </w: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r w:rsidRPr="00F23EC6">
        <w:rPr>
          <w:rFonts w:ascii="Palatino Linotype" w:eastAsia="Times New Roman" w:hAnsi="Palatino Linotype" w:cs="Times New Roman"/>
          <w:i/>
          <w:sz w:val="24"/>
          <w:szCs w:val="24"/>
          <w:lang w:eastAsia="es-MX"/>
        </w:rPr>
        <w:t>"14.- 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XXI. LA INFORMACIÓN CURRICULAR, DESDE EL NIVEL DE JEFE DE DEPARTAMENTO O EQUIVALENTE, HASTA EL TITULAR DEL SUJETO OBLIGADO, ASÍ COMO, EN SU CASO, LAS SANCIONES ADMINISTRATIVAS DE QUE HAYA SIDO OBJETO; LA INFORMACIÓN LA SOLICITO EN FORMATO PDF Y EN FORMATO ABIERTO POR SISTEMA SAIMEX DEL SUJETO OBLIGADO DIF TECÁMAC DEL PRIMER TRIMESTRE DEL AÑO 2019 DE TODOS Y CADA UNO DE LOS TITULARES DE LAS ÁREAS QUE COMPRENDEN EL SUJETO OBLIGADO."</w:t>
      </w: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r w:rsidRPr="00F23EC6">
        <w:rPr>
          <w:rFonts w:ascii="Palatino Linotype" w:eastAsia="Times New Roman" w:hAnsi="Palatino Linotype" w:cs="Times New Roman"/>
          <w:i/>
          <w:sz w:val="24"/>
          <w:szCs w:val="24"/>
          <w:lang w:eastAsia="es-MX"/>
        </w:rPr>
        <w:t>"15.- 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XVII. DIRECCIÓN ELECTRÓNICA DONDE PODRÁN RECIBIRSE LAS SOLICITUDES PARA OBTENER LA INFORMACIÓN, ASÍ COMO EL REGISTRO DE LAS SOLICITUDES RECIBIDAS Y ATENDIDAS; LA INFORMACIÓN LA SOLICITO EN FORMATO PDF Y EN FORMATO ABIERTO POR SISTEMA SAIMEX DEL SUJETO OBLIGADO DIF TECÁMAC DE LOS AÑOS 2013, 2014, 2015, 2016, 2017, 2018 Y HASTA EL 15 DE JUNIO DEL AÑO 2019 DE TODAS Y CADA UNA DE LAS ÁREAS A LAS QUE FUERON TURNADAS A TODAS Y QUE COMPRENDEN EL SUJETO OBLIGADO DIF TECAMAC."</w:t>
      </w: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r w:rsidRPr="00F23EC6">
        <w:rPr>
          <w:rFonts w:ascii="Palatino Linotype" w:eastAsia="Times New Roman" w:hAnsi="Palatino Linotype" w:cs="Times New Roman"/>
          <w:i/>
          <w:sz w:val="24"/>
          <w:szCs w:val="24"/>
          <w:lang w:eastAsia="es-MX"/>
        </w:rPr>
        <w:t>"16.- 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LA INFORMACIÓN LA SOLICITO EN FORMATO PDF Y EN FORMATO ABIERTO POR SISTEMA SAIMEX, DEL PRIMER TRIMESTRE DEL AÑO 2019 DE TODAS Y CADA UNA DE LAS AEAS QUE COMPRENDEN EL SUJETO OBLIGADO DIF TECAMAC."</w:t>
      </w: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r w:rsidRPr="00F23EC6">
        <w:rPr>
          <w:rFonts w:ascii="Palatino Linotype" w:eastAsia="Times New Roman" w:hAnsi="Palatino Linotype" w:cs="Times New Roman"/>
          <w:i/>
          <w:sz w:val="24"/>
          <w:szCs w:val="24"/>
          <w:lang w:eastAsia="es-MX"/>
        </w:rPr>
        <w:t>"17.- 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LA INFORMACIÓN LA SOLICITO EN FORMATO PDF Y EN FORMATO ABIERTO POR SISTEMA SAIMEX DEL SUJETO OBLIGADO DIF TECAMAC DEL PRIMER TRIMESTRE DEL AÑO 2019 DE TODAS Y CADA UNA DE LAS AREAS QUE COMPRENDEN EL SUJETO OBLIGADO."</w:t>
      </w: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r w:rsidRPr="00F23EC6">
        <w:rPr>
          <w:rFonts w:ascii="Palatino Linotype" w:eastAsia="Times New Roman" w:hAnsi="Palatino Linotype" w:cs="Times New Roman"/>
          <w:i/>
          <w:sz w:val="24"/>
          <w:szCs w:val="24"/>
          <w:lang w:eastAsia="es-MX"/>
        </w:rPr>
        <w:t>"18.- 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IV. LAS METAS, OBJETIVOS E INDICADORES DE LAS ÁREAS DE LOS SUJETOS OBLIGADOS DE CONFORMIDAD CON LOS PROGRAMAS DE TRABAJO E INFORMES ANUALES DE ACTIVIDADES DE ACUERDO CON EL PLAN ESTATAL DE DESARROLLO, PLAN DE DESARROLLO MUNICIPAL, EN SU CASO Y DEMÁS ORDENAMIENTOS APLICABLES; V. LOS INDICADORES RELACIONADOS CON TEMAS DE INTERÉS PÚBLICO O TRASCENDENCIA SOCIAL QUE, CONFORME A SUS FUNCIONES, DEBAN ESTABLECER, ASÍ COMO LAS MATRICES ELABORADAS PARA TAL EFECTO; VI. LOS INDICADORES QUE PERMITAN RENDIR CUENTA DE SUS OBJETIVOS Y RESULTADOS, ASÍ COMO LAS MATRICES ELABORADAS PARA TAL EFECTO; LA INFORMACIÓN LA SOLICITO EN FORMATO PDF Y EN FORMATO ABIERTO POR SISTEMA SAIMEX DEL SUJETO OBLIGADO DIF TECAMAC DEL PRIMER TRIMESTRE DEL AÑO 2019 DE TODAS Y CADA UNA DE LAS AREAS QUE COMPRENDEN EL SUJETO OBLIGADO."</w:t>
      </w:r>
    </w:p>
    <w:p w:rsidR="00B57D87"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p>
    <w:p w:rsidR="000F5E0E" w:rsidRPr="00F23EC6" w:rsidRDefault="00B57D87" w:rsidP="00F23EC6">
      <w:pPr>
        <w:spacing w:after="0" w:line="360" w:lineRule="auto"/>
        <w:ind w:left="567" w:right="616"/>
        <w:jc w:val="both"/>
        <w:rPr>
          <w:rFonts w:ascii="Palatino Linotype" w:eastAsia="Times New Roman" w:hAnsi="Palatino Linotype" w:cs="Times New Roman"/>
          <w:i/>
          <w:sz w:val="24"/>
          <w:szCs w:val="24"/>
          <w:lang w:eastAsia="es-MX"/>
        </w:rPr>
      </w:pPr>
      <w:r w:rsidRPr="00F23EC6">
        <w:rPr>
          <w:rFonts w:ascii="Palatino Linotype" w:eastAsia="Times New Roman" w:hAnsi="Palatino Linotype" w:cs="Times New Roman"/>
          <w:i/>
          <w:sz w:val="24"/>
          <w:szCs w:val="24"/>
          <w:lang w:eastAsia="es-MX"/>
        </w:rPr>
        <w:t>"17.- 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III. LAS FACULTADES DE CADA ÁREA; LA INFORMACIÓN LA SOLICITO EN FORMATO PDF Y EN FORMATO ABIERTO POR SISTEMA SAIMEX DEL SUJETO OBLIGADO DIF TECAMAC DEL PRIMER TRIMESTRE DEL AÑO 2019."</w:t>
      </w:r>
      <w:r w:rsidR="00EA35BA" w:rsidRPr="00F23EC6">
        <w:rPr>
          <w:rFonts w:ascii="Palatino Linotype" w:eastAsia="Times New Roman" w:hAnsi="Palatino Linotype" w:cs="Times New Roman"/>
          <w:i/>
          <w:sz w:val="24"/>
          <w:szCs w:val="24"/>
          <w:lang w:eastAsia="es-MX"/>
        </w:rPr>
        <w:t xml:space="preserve"> (Sic)</w:t>
      </w:r>
    </w:p>
    <w:p w:rsidR="000F5E0E" w:rsidRPr="00F23EC6" w:rsidRDefault="000F5E0E" w:rsidP="00F23EC6">
      <w:pPr>
        <w:spacing w:after="0" w:line="360" w:lineRule="auto"/>
        <w:ind w:right="616"/>
        <w:jc w:val="both"/>
        <w:rPr>
          <w:rFonts w:ascii="Palatino Linotype" w:eastAsia="Times New Roman" w:hAnsi="Palatino Linotype" w:cs="Times New Roman"/>
          <w:i/>
          <w:sz w:val="24"/>
          <w:szCs w:val="24"/>
          <w:lang w:eastAsia="es-MX"/>
        </w:rPr>
      </w:pPr>
    </w:p>
    <w:p w:rsidR="000F5E0E" w:rsidRPr="00F23EC6" w:rsidRDefault="000F5E0E" w:rsidP="00F23EC6">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F23EC6">
        <w:rPr>
          <w:rFonts w:ascii="Palatino Linotype" w:eastAsia="Times New Roman" w:hAnsi="Palatino Linotype" w:cs="Arial"/>
          <w:sz w:val="24"/>
          <w:szCs w:val="24"/>
          <w:lang w:val="es-ES" w:eastAsia="es-ES"/>
        </w:rPr>
        <w:t>Señaló como modalidad de entrega de la información</w:t>
      </w:r>
      <w:r w:rsidRPr="00F23EC6">
        <w:rPr>
          <w:rFonts w:ascii="Palatino Linotype" w:eastAsia="Times New Roman" w:hAnsi="Palatino Linotype" w:cs="Arial"/>
          <w:b/>
          <w:sz w:val="24"/>
          <w:szCs w:val="24"/>
          <w:lang w:val="es-ES" w:eastAsia="es-ES"/>
        </w:rPr>
        <w:t>:</w:t>
      </w:r>
      <w:r w:rsidRPr="00F23EC6">
        <w:rPr>
          <w:rFonts w:ascii="Palatino Linotype" w:eastAsia="Times New Roman" w:hAnsi="Palatino Linotype" w:cs="Arial"/>
          <w:sz w:val="24"/>
          <w:szCs w:val="24"/>
          <w:lang w:val="es-ES" w:eastAsia="es-ES"/>
        </w:rPr>
        <w:t xml:space="preserve"> a través del </w:t>
      </w:r>
      <w:r w:rsidRPr="00F23EC6">
        <w:rPr>
          <w:rFonts w:ascii="Palatino Linotype" w:eastAsia="Times New Roman" w:hAnsi="Palatino Linotype" w:cs="Arial"/>
          <w:b/>
          <w:sz w:val="24"/>
          <w:szCs w:val="24"/>
          <w:lang w:val="es-ES" w:eastAsia="es-ES"/>
        </w:rPr>
        <w:t>SAIMEX</w:t>
      </w:r>
      <w:r w:rsidR="00C96E7C" w:rsidRPr="00F23EC6">
        <w:rPr>
          <w:rFonts w:ascii="Palatino Linotype" w:eastAsia="Times New Roman" w:hAnsi="Palatino Linotype" w:cs="Arial"/>
          <w:b/>
          <w:sz w:val="24"/>
          <w:szCs w:val="24"/>
          <w:lang w:val="es-ES" w:eastAsia="es-ES"/>
        </w:rPr>
        <w:t>.</w:t>
      </w:r>
    </w:p>
    <w:p w:rsidR="00397FF8" w:rsidRPr="00F23EC6" w:rsidRDefault="00397FF8" w:rsidP="00F23EC6">
      <w:pPr>
        <w:spacing w:after="0" w:line="360" w:lineRule="auto"/>
        <w:contextualSpacing/>
        <w:jc w:val="both"/>
        <w:rPr>
          <w:rFonts w:ascii="Palatino Linotype" w:eastAsia="Times New Roman" w:hAnsi="Palatino Linotype" w:cs="Arial"/>
          <w:sz w:val="24"/>
          <w:szCs w:val="24"/>
          <w:lang w:val="es-ES" w:eastAsia="es-ES"/>
        </w:rPr>
      </w:pPr>
    </w:p>
    <w:p w:rsidR="006C1483" w:rsidRPr="00F23EC6" w:rsidRDefault="000F5E0E" w:rsidP="00F23EC6">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23EC6">
        <w:rPr>
          <w:rFonts w:ascii="Palatino Linotype" w:eastAsiaTheme="minorEastAsia" w:hAnsi="Palatino Linotype" w:cs="Arial"/>
          <w:sz w:val="24"/>
          <w:szCs w:val="24"/>
          <w:lang w:val="es-ES_tradnl" w:eastAsia="es-ES"/>
        </w:rPr>
        <w:t xml:space="preserve">El  </w:t>
      </w:r>
      <w:r w:rsidRPr="00F23EC6">
        <w:rPr>
          <w:rFonts w:ascii="Palatino Linotype" w:eastAsiaTheme="minorEastAsia" w:hAnsi="Palatino Linotype" w:cs="Arial"/>
          <w:b/>
          <w:sz w:val="24"/>
          <w:szCs w:val="24"/>
          <w:lang w:val="es-ES_tradnl" w:eastAsia="es-ES"/>
        </w:rPr>
        <w:t xml:space="preserve">SUJETO OBLIGADO </w:t>
      </w:r>
      <w:r w:rsidR="006C1483" w:rsidRPr="00F23EC6">
        <w:rPr>
          <w:rFonts w:ascii="Palatino Linotype" w:eastAsiaTheme="minorEastAsia" w:hAnsi="Palatino Linotype" w:cs="Arial"/>
          <w:sz w:val="24"/>
          <w:szCs w:val="24"/>
          <w:lang w:val="es-ES_tradnl" w:eastAsia="es-ES"/>
        </w:rPr>
        <w:t xml:space="preserve">fue omiso </w:t>
      </w:r>
      <w:r w:rsidR="00EA35BA" w:rsidRPr="00F23EC6">
        <w:rPr>
          <w:rFonts w:ascii="Palatino Linotype" w:eastAsiaTheme="minorEastAsia" w:hAnsi="Palatino Linotype" w:cs="Arial"/>
          <w:sz w:val="24"/>
          <w:szCs w:val="24"/>
          <w:lang w:val="es-ES_tradnl" w:eastAsia="es-ES"/>
        </w:rPr>
        <w:t>en</w:t>
      </w:r>
      <w:r w:rsidR="006C1483" w:rsidRPr="00F23EC6">
        <w:rPr>
          <w:rFonts w:ascii="Palatino Linotype" w:eastAsiaTheme="minorEastAsia" w:hAnsi="Palatino Linotype" w:cs="Arial"/>
          <w:b/>
          <w:sz w:val="24"/>
          <w:szCs w:val="24"/>
          <w:lang w:val="es-ES_tradnl" w:eastAsia="es-ES"/>
        </w:rPr>
        <w:t xml:space="preserve"> </w:t>
      </w:r>
      <w:r w:rsidR="006C1483" w:rsidRPr="00F23EC6">
        <w:rPr>
          <w:rFonts w:ascii="Palatino Linotype" w:eastAsiaTheme="minorEastAsia" w:hAnsi="Palatino Linotype" w:cs="Arial"/>
          <w:sz w:val="24"/>
          <w:szCs w:val="24"/>
          <w:lang w:val="es-ES_tradnl" w:eastAsia="es-ES"/>
        </w:rPr>
        <w:t>emitir</w:t>
      </w:r>
      <w:r w:rsidRPr="00F23EC6">
        <w:rPr>
          <w:rFonts w:ascii="Palatino Linotype" w:eastAsiaTheme="minorEastAsia" w:hAnsi="Palatino Linotype" w:cs="Arial"/>
          <w:sz w:val="24"/>
          <w:szCs w:val="24"/>
          <w:lang w:val="es-ES_tradnl" w:eastAsia="es-ES"/>
        </w:rPr>
        <w:t xml:space="preserve"> </w:t>
      </w:r>
      <w:r w:rsidR="00EA35BA" w:rsidRPr="00F23EC6">
        <w:rPr>
          <w:rFonts w:ascii="Palatino Linotype" w:eastAsiaTheme="minorEastAsia" w:hAnsi="Palatino Linotype" w:cs="Arial"/>
          <w:sz w:val="24"/>
          <w:szCs w:val="24"/>
          <w:lang w:val="es-ES_tradnl" w:eastAsia="es-ES"/>
        </w:rPr>
        <w:t>r</w:t>
      </w:r>
      <w:r w:rsidRPr="00F23EC6">
        <w:rPr>
          <w:rFonts w:ascii="Palatino Linotype" w:eastAsiaTheme="minorEastAsia" w:hAnsi="Palatino Linotype" w:cs="Arial"/>
          <w:sz w:val="24"/>
          <w:szCs w:val="24"/>
          <w:lang w:val="es-ES_tradnl" w:eastAsia="es-ES"/>
        </w:rPr>
        <w:t>espuesta a la</w:t>
      </w:r>
      <w:r w:rsidR="00EC48A5" w:rsidRPr="00F23EC6">
        <w:rPr>
          <w:rFonts w:ascii="Palatino Linotype" w:eastAsiaTheme="minorEastAsia" w:hAnsi="Palatino Linotype" w:cs="Arial"/>
          <w:sz w:val="24"/>
          <w:szCs w:val="24"/>
          <w:lang w:val="es-ES_tradnl" w:eastAsia="es-ES"/>
        </w:rPr>
        <w:t>s</w:t>
      </w:r>
      <w:r w:rsidRPr="00F23EC6">
        <w:rPr>
          <w:rFonts w:ascii="Palatino Linotype" w:eastAsiaTheme="minorEastAsia" w:hAnsi="Palatino Linotype" w:cs="Arial"/>
          <w:sz w:val="24"/>
          <w:szCs w:val="24"/>
          <w:lang w:val="es-ES_tradnl" w:eastAsia="es-ES"/>
        </w:rPr>
        <w:t xml:space="preserve"> sol</w:t>
      </w:r>
      <w:r w:rsidR="00EA35BA" w:rsidRPr="00F23EC6">
        <w:rPr>
          <w:rFonts w:ascii="Palatino Linotype" w:eastAsiaTheme="minorEastAsia" w:hAnsi="Palatino Linotype" w:cs="Arial"/>
          <w:sz w:val="24"/>
          <w:szCs w:val="24"/>
          <w:lang w:val="es-ES_tradnl" w:eastAsia="es-ES"/>
        </w:rPr>
        <w:t>icitud</w:t>
      </w:r>
      <w:r w:rsidR="00EC48A5" w:rsidRPr="00F23EC6">
        <w:rPr>
          <w:rFonts w:ascii="Palatino Linotype" w:eastAsiaTheme="minorEastAsia" w:hAnsi="Palatino Linotype" w:cs="Arial"/>
          <w:sz w:val="24"/>
          <w:szCs w:val="24"/>
          <w:lang w:val="es-ES_tradnl" w:eastAsia="es-ES"/>
        </w:rPr>
        <w:t>es</w:t>
      </w:r>
      <w:r w:rsidR="00EA35BA" w:rsidRPr="00F23EC6">
        <w:rPr>
          <w:rFonts w:ascii="Palatino Linotype" w:eastAsiaTheme="minorEastAsia" w:hAnsi="Palatino Linotype" w:cs="Arial"/>
          <w:sz w:val="24"/>
          <w:szCs w:val="24"/>
          <w:lang w:val="es-ES_tradnl" w:eastAsia="es-ES"/>
        </w:rPr>
        <w:t xml:space="preserve"> de información</w:t>
      </w:r>
      <w:r w:rsidR="006C1483" w:rsidRPr="00F23EC6">
        <w:rPr>
          <w:rFonts w:ascii="Palatino Linotype" w:eastAsiaTheme="minorEastAsia" w:hAnsi="Palatino Linotype" w:cs="Arial"/>
          <w:b/>
          <w:sz w:val="24"/>
          <w:szCs w:val="24"/>
          <w:lang w:val="es-ES_tradnl" w:eastAsia="es-ES"/>
        </w:rPr>
        <w:t>.</w:t>
      </w:r>
    </w:p>
    <w:p w:rsidR="006C1483" w:rsidRPr="00F23EC6" w:rsidRDefault="006C1483" w:rsidP="00F23EC6">
      <w:pPr>
        <w:spacing w:before="240" w:after="240" w:line="360" w:lineRule="auto"/>
        <w:contextualSpacing/>
        <w:jc w:val="both"/>
        <w:rPr>
          <w:rFonts w:ascii="Palatino Linotype" w:eastAsiaTheme="minorEastAsia" w:hAnsi="Palatino Linotype" w:cs="Arial"/>
          <w:i/>
          <w:sz w:val="24"/>
          <w:szCs w:val="24"/>
          <w:lang w:val="es-ES_tradnl" w:eastAsia="es-ES"/>
        </w:rPr>
      </w:pPr>
    </w:p>
    <w:p w:rsidR="000F5E0E" w:rsidRPr="00F23EC6" w:rsidRDefault="00397FF8" w:rsidP="00F23EC6">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23EC6">
        <w:rPr>
          <w:rFonts w:ascii="Palatino Linotype" w:eastAsia="Calibri" w:hAnsi="Palatino Linotype" w:cs="Arial"/>
          <w:sz w:val="24"/>
          <w:szCs w:val="24"/>
          <w:lang w:val="es-AR" w:eastAsia="es-ES"/>
        </w:rPr>
        <w:t>El</w:t>
      </w:r>
      <w:r w:rsidR="00EA35BA" w:rsidRPr="00F23EC6">
        <w:rPr>
          <w:rFonts w:ascii="Palatino Linotype" w:eastAsia="Calibri" w:hAnsi="Palatino Linotype" w:cs="Arial"/>
          <w:sz w:val="24"/>
          <w:szCs w:val="24"/>
          <w:lang w:val="es-AR" w:eastAsia="es-ES"/>
        </w:rPr>
        <w:t xml:space="preserve"> día</w:t>
      </w:r>
      <w:r w:rsidR="000F5E0E" w:rsidRPr="00F23EC6">
        <w:rPr>
          <w:rFonts w:ascii="Palatino Linotype" w:eastAsia="Times New Roman" w:hAnsi="Palatino Linotype" w:cs="Arial"/>
          <w:sz w:val="24"/>
          <w:szCs w:val="24"/>
          <w:lang w:val="es-ES" w:eastAsia="es-ES"/>
        </w:rPr>
        <w:t xml:space="preserve"> </w:t>
      </w:r>
      <w:r w:rsidR="00EC48A5" w:rsidRPr="00F23EC6">
        <w:rPr>
          <w:rFonts w:ascii="Palatino Linotype" w:eastAsia="Times New Roman" w:hAnsi="Palatino Linotype" w:cs="Arial"/>
          <w:b/>
          <w:sz w:val="24"/>
          <w:szCs w:val="24"/>
          <w:lang w:val="es-ES" w:eastAsia="es-ES"/>
        </w:rPr>
        <w:t>doce</w:t>
      </w:r>
      <w:r w:rsidR="00EA35BA" w:rsidRPr="00F23EC6">
        <w:rPr>
          <w:rFonts w:ascii="Palatino Linotype" w:eastAsia="Times New Roman" w:hAnsi="Palatino Linotype" w:cs="Arial"/>
          <w:b/>
          <w:sz w:val="24"/>
          <w:szCs w:val="24"/>
          <w:lang w:val="es-ES" w:eastAsia="es-ES"/>
        </w:rPr>
        <w:t xml:space="preserve"> (1</w:t>
      </w:r>
      <w:r w:rsidR="00EC48A5" w:rsidRPr="00F23EC6">
        <w:rPr>
          <w:rFonts w:ascii="Palatino Linotype" w:eastAsia="Times New Roman" w:hAnsi="Palatino Linotype" w:cs="Arial"/>
          <w:b/>
          <w:sz w:val="24"/>
          <w:szCs w:val="24"/>
          <w:lang w:val="es-ES" w:eastAsia="es-ES"/>
        </w:rPr>
        <w:t>2</w:t>
      </w:r>
      <w:r w:rsidR="00EA35BA" w:rsidRPr="00F23EC6">
        <w:rPr>
          <w:rFonts w:ascii="Palatino Linotype" w:eastAsia="Times New Roman" w:hAnsi="Palatino Linotype" w:cs="Arial"/>
          <w:b/>
          <w:sz w:val="24"/>
          <w:szCs w:val="24"/>
          <w:lang w:val="es-ES" w:eastAsia="es-ES"/>
        </w:rPr>
        <w:t xml:space="preserve">) de julio </w:t>
      </w:r>
      <w:r w:rsidR="000F5E0E" w:rsidRPr="00F23EC6">
        <w:rPr>
          <w:rFonts w:ascii="Palatino Linotype" w:eastAsia="Times New Roman" w:hAnsi="Palatino Linotype" w:cs="Arial"/>
          <w:sz w:val="24"/>
          <w:szCs w:val="24"/>
          <w:lang w:val="es-ES" w:eastAsia="es-ES"/>
        </w:rPr>
        <w:t>de dos mil diecinueve, el particular interpuso l</w:t>
      </w:r>
      <w:r w:rsidR="00EA35BA" w:rsidRPr="00F23EC6">
        <w:rPr>
          <w:rFonts w:ascii="Palatino Linotype" w:eastAsia="Times New Roman" w:hAnsi="Palatino Linotype" w:cs="Arial"/>
          <w:sz w:val="24"/>
          <w:szCs w:val="24"/>
          <w:lang w:val="es-ES" w:eastAsia="es-ES"/>
        </w:rPr>
        <w:t>os</w:t>
      </w:r>
      <w:r w:rsidR="000F5E0E" w:rsidRPr="00F23EC6">
        <w:rPr>
          <w:rFonts w:ascii="Palatino Linotype" w:eastAsia="Times New Roman" w:hAnsi="Palatino Linotype" w:cs="Arial"/>
          <w:sz w:val="24"/>
          <w:szCs w:val="24"/>
          <w:lang w:val="es-ES" w:eastAsia="es-ES"/>
        </w:rPr>
        <w:t xml:space="preserve"> recurso</w:t>
      </w:r>
      <w:r w:rsidR="00EA35BA" w:rsidRPr="00F23EC6">
        <w:rPr>
          <w:rFonts w:ascii="Palatino Linotype" w:eastAsia="Times New Roman" w:hAnsi="Palatino Linotype" w:cs="Arial"/>
          <w:sz w:val="24"/>
          <w:szCs w:val="24"/>
          <w:lang w:val="es-ES" w:eastAsia="es-ES"/>
        </w:rPr>
        <w:t>s</w:t>
      </w:r>
      <w:r w:rsidR="000F5E0E" w:rsidRPr="00F23EC6">
        <w:rPr>
          <w:rFonts w:ascii="Palatino Linotype" w:eastAsia="Times New Roman" w:hAnsi="Palatino Linotype" w:cs="Arial"/>
          <w:sz w:val="24"/>
          <w:szCs w:val="24"/>
          <w:lang w:val="es-ES" w:eastAsia="es-ES"/>
        </w:rPr>
        <w:t xml:space="preserve"> de revisión, en contra de la</w:t>
      </w:r>
      <w:r w:rsidR="006C1483" w:rsidRPr="00F23EC6">
        <w:rPr>
          <w:rFonts w:ascii="Palatino Linotype" w:eastAsia="Times New Roman" w:hAnsi="Palatino Linotype" w:cs="Arial"/>
          <w:sz w:val="24"/>
          <w:szCs w:val="24"/>
          <w:lang w:val="es-ES" w:eastAsia="es-ES"/>
        </w:rPr>
        <w:t xml:space="preserve"> falta de</w:t>
      </w:r>
      <w:r w:rsidR="000F5E0E" w:rsidRPr="00F23EC6">
        <w:rPr>
          <w:rFonts w:ascii="Palatino Linotype" w:eastAsia="Times New Roman" w:hAnsi="Palatino Linotype" w:cs="Arial"/>
          <w:sz w:val="24"/>
          <w:szCs w:val="24"/>
          <w:lang w:val="es-ES" w:eastAsia="es-ES"/>
        </w:rPr>
        <w:t xml:space="preserve"> respuesta, señalando </w:t>
      </w:r>
      <w:r w:rsidR="00EC48A5" w:rsidRPr="00F23EC6">
        <w:rPr>
          <w:rFonts w:ascii="Palatino Linotype" w:eastAsia="Times New Roman" w:hAnsi="Palatino Linotype" w:cs="Arial"/>
          <w:sz w:val="24"/>
          <w:szCs w:val="24"/>
          <w:lang w:val="es-ES" w:eastAsia="es-ES"/>
        </w:rPr>
        <w:t xml:space="preserve">en todos y cada uno </w:t>
      </w:r>
      <w:r w:rsidR="000F5E0E" w:rsidRPr="00F23EC6">
        <w:rPr>
          <w:rFonts w:ascii="Palatino Linotype" w:eastAsia="Times New Roman" w:hAnsi="Palatino Linotype" w:cs="Arial"/>
          <w:sz w:val="24"/>
          <w:szCs w:val="24"/>
          <w:lang w:val="es-ES" w:eastAsia="es-ES"/>
        </w:rPr>
        <w:t>como:</w:t>
      </w:r>
      <w:bookmarkStart w:id="1" w:name="_Toc462307683"/>
      <w:bookmarkStart w:id="2" w:name="_Toc472427085"/>
      <w:bookmarkStart w:id="3" w:name="_Toc472500652"/>
    </w:p>
    <w:p w:rsidR="000F5E0E" w:rsidRPr="00F23EC6" w:rsidRDefault="000F5E0E" w:rsidP="00F23EC6">
      <w:pPr>
        <w:spacing w:before="240" w:after="240" w:line="360" w:lineRule="auto"/>
        <w:contextualSpacing/>
        <w:jc w:val="both"/>
        <w:rPr>
          <w:rFonts w:ascii="Palatino Linotype" w:eastAsiaTheme="minorEastAsia" w:hAnsi="Palatino Linotype" w:cs="Arial"/>
          <w:i/>
          <w:sz w:val="24"/>
          <w:szCs w:val="24"/>
          <w:lang w:val="es-ES_tradnl" w:eastAsia="es-ES"/>
        </w:rPr>
      </w:pPr>
    </w:p>
    <w:p w:rsidR="000F5E0E" w:rsidRPr="00F23EC6" w:rsidRDefault="000F5E0E" w:rsidP="00F23EC6">
      <w:pPr>
        <w:numPr>
          <w:ilvl w:val="0"/>
          <w:numId w:val="3"/>
        </w:numPr>
        <w:spacing w:after="0" w:line="360" w:lineRule="auto"/>
        <w:ind w:left="993" w:right="616" w:hanging="426"/>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F23EC6">
        <w:rPr>
          <w:rFonts w:ascii="Palatino Linotype" w:eastAsiaTheme="majorEastAsia" w:hAnsi="Palatino Linotype" w:cstheme="majorBidi"/>
          <w:b/>
          <w:sz w:val="24"/>
          <w:szCs w:val="24"/>
          <w:lang w:val="es-ES" w:eastAsia="es-ES"/>
        </w:rPr>
        <w:t>Acto impugnado</w:t>
      </w:r>
      <w:r w:rsidRPr="00F23EC6">
        <w:rPr>
          <w:rFonts w:ascii="Palatino Linotype" w:eastAsiaTheme="majorEastAsia" w:hAnsi="Palatino Linotype" w:cstheme="majorBidi"/>
          <w:b/>
          <w:i/>
          <w:sz w:val="24"/>
          <w:szCs w:val="24"/>
          <w:lang w:val="es-ES" w:eastAsia="es-ES"/>
        </w:rPr>
        <w:t>:</w:t>
      </w:r>
      <w:bookmarkEnd w:id="1"/>
      <w:bookmarkEnd w:id="2"/>
      <w:bookmarkEnd w:id="3"/>
      <w:r w:rsidRPr="00F23EC6">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0F5E0E" w:rsidRPr="00F23EC6" w:rsidRDefault="000F5E0E" w:rsidP="00F23EC6">
      <w:pPr>
        <w:spacing w:after="0" w:line="360" w:lineRule="auto"/>
        <w:ind w:left="993" w:right="616" w:hanging="426"/>
        <w:contextualSpacing/>
        <w:jc w:val="both"/>
        <w:rPr>
          <w:rFonts w:ascii="Palatino Linotype" w:eastAsiaTheme="majorEastAsia" w:hAnsi="Palatino Linotype" w:cstheme="majorBidi"/>
          <w:b/>
          <w:sz w:val="24"/>
          <w:szCs w:val="24"/>
          <w:lang w:val="es-ES" w:eastAsia="es-ES"/>
        </w:rPr>
      </w:pPr>
    </w:p>
    <w:p w:rsidR="000F5E0E" w:rsidRPr="00F23EC6" w:rsidRDefault="00322D7A" w:rsidP="00F23EC6">
      <w:pPr>
        <w:spacing w:after="0" w:line="360" w:lineRule="auto"/>
        <w:ind w:left="993" w:right="616" w:hanging="426"/>
        <w:contextualSpacing/>
        <w:jc w:val="both"/>
        <w:rPr>
          <w:rFonts w:ascii="Palatino Linotype" w:eastAsiaTheme="majorEastAsia" w:hAnsi="Palatino Linotype" w:cstheme="majorBidi"/>
          <w:b/>
          <w:i/>
          <w:sz w:val="24"/>
          <w:szCs w:val="24"/>
          <w:lang w:val="es-ES" w:eastAsia="es-ES"/>
        </w:rPr>
      </w:pPr>
      <w:r w:rsidRPr="00F23EC6">
        <w:rPr>
          <w:rFonts w:ascii="Palatino Linotype" w:eastAsiaTheme="majorEastAsia" w:hAnsi="Palatino Linotype" w:cstheme="majorBidi"/>
          <w:i/>
          <w:sz w:val="24"/>
          <w:szCs w:val="24"/>
          <w:lang w:val="es-ES" w:eastAsia="es-ES"/>
        </w:rPr>
        <w:t xml:space="preserve"> </w:t>
      </w:r>
      <w:r w:rsidR="000F5E0E" w:rsidRPr="00F23EC6">
        <w:rPr>
          <w:rFonts w:ascii="Palatino Linotype" w:eastAsiaTheme="majorEastAsia" w:hAnsi="Palatino Linotype" w:cstheme="majorBidi"/>
          <w:i/>
          <w:sz w:val="24"/>
          <w:szCs w:val="24"/>
          <w:lang w:val="es-ES" w:eastAsia="es-ES"/>
        </w:rPr>
        <w:t>“</w:t>
      </w:r>
      <w:r w:rsidR="00EC48A5" w:rsidRPr="00F23EC6">
        <w:rPr>
          <w:rFonts w:ascii="Palatino Linotype" w:eastAsiaTheme="majorEastAsia" w:hAnsi="Palatino Linotype" w:cstheme="majorBidi"/>
          <w:i/>
          <w:sz w:val="24"/>
          <w:szCs w:val="24"/>
          <w:lang w:val="es-ES" w:eastAsia="es-ES"/>
        </w:rPr>
        <w:t xml:space="preserve">NULA RESPUESTA POR PARTE DEL SUJETO OBLIGADO </w:t>
      </w:r>
      <w:r w:rsidR="000F5E0E" w:rsidRPr="00F23EC6">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0F5E0E" w:rsidRPr="00F23EC6">
        <w:rPr>
          <w:rFonts w:ascii="Palatino Linotype" w:eastAsia="Calibri" w:hAnsi="Palatino Linotype" w:cs="Arial"/>
          <w:i/>
          <w:sz w:val="24"/>
          <w:szCs w:val="24"/>
          <w:lang w:val="es-ES" w:eastAsia="es-ES"/>
        </w:rPr>
        <w:t xml:space="preserve">; </w:t>
      </w:r>
      <w:r w:rsidR="000F5E0E" w:rsidRPr="00F23EC6">
        <w:rPr>
          <w:rFonts w:ascii="Palatino Linotype" w:eastAsia="Calibri" w:hAnsi="Palatino Linotype" w:cs="Arial"/>
          <w:sz w:val="24"/>
          <w:szCs w:val="24"/>
          <w:lang w:val="es-ES" w:eastAsia="es-ES"/>
        </w:rPr>
        <w:t xml:space="preserve">y como </w:t>
      </w:r>
    </w:p>
    <w:p w:rsidR="000F5E0E" w:rsidRPr="00F23EC6" w:rsidRDefault="000F5E0E" w:rsidP="00F23EC6">
      <w:pPr>
        <w:spacing w:after="0" w:line="360" w:lineRule="auto"/>
        <w:ind w:left="993" w:right="-142" w:hanging="426"/>
        <w:contextualSpacing/>
        <w:jc w:val="both"/>
        <w:rPr>
          <w:rFonts w:ascii="Palatino Linotype" w:eastAsiaTheme="minorEastAsia" w:hAnsi="Palatino Linotype" w:cs="Arial"/>
          <w:i/>
          <w:sz w:val="24"/>
          <w:szCs w:val="24"/>
          <w:lang w:val="es-ES_tradnl" w:eastAsia="es-ES"/>
        </w:rPr>
      </w:pPr>
    </w:p>
    <w:p w:rsidR="000F5E0E" w:rsidRPr="00F23EC6" w:rsidRDefault="000F5E0E" w:rsidP="00F23EC6">
      <w:pPr>
        <w:numPr>
          <w:ilvl w:val="0"/>
          <w:numId w:val="3"/>
        </w:numPr>
        <w:spacing w:after="0" w:line="360" w:lineRule="auto"/>
        <w:ind w:left="993" w:right="616" w:hanging="426"/>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F23EC6">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F23EC6">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0F5E0E" w:rsidRPr="00F23EC6" w:rsidRDefault="000F5E0E" w:rsidP="00F23EC6">
      <w:pPr>
        <w:spacing w:after="0" w:line="360" w:lineRule="auto"/>
        <w:ind w:left="993" w:right="616" w:hanging="426"/>
        <w:contextualSpacing/>
        <w:jc w:val="both"/>
        <w:rPr>
          <w:rFonts w:ascii="Palatino Linotype" w:eastAsiaTheme="majorEastAsia" w:hAnsi="Palatino Linotype" w:cstheme="majorBidi"/>
          <w:b/>
          <w:i/>
          <w:sz w:val="24"/>
          <w:szCs w:val="24"/>
          <w:lang w:val="es-ES" w:eastAsia="es-ES"/>
        </w:rPr>
      </w:pPr>
    </w:p>
    <w:p w:rsidR="000F5E0E" w:rsidRPr="00F23EC6" w:rsidRDefault="000F5E0E" w:rsidP="00F23EC6">
      <w:pPr>
        <w:spacing w:after="0" w:line="360" w:lineRule="auto"/>
        <w:ind w:left="993" w:right="616" w:hanging="426"/>
        <w:contextualSpacing/>
        <w:jc w:val="both"/>
        <w:rPr>
          <w:rFonts w:ascii="Palatino Linotype" w:eastAsiaTheme="majorEastAsia" w:hAnsi="Palatino Linotype" w:cstheme="majorBidi"/>
          <w:b/>
          <w:i/>
          <w:sz w:val="24"/>
          <w:szCs w:val="24"/>
          <w:lang w:val="es-ES" w:eastAsia="es-ES"/>
        </w:rPr>
      </w:pPr>
      <w:r w:rsidRPr="00F23EC6">
        <w:rPr>
          <w:rFonts w:ascii="Palatino Linotype" w:eastAsiaTheme="minorEastAsia" w:hAnsi="Palatino Linotype"/>
          <w:i/>
          <w:sz w:val="24"/>
          <w:szCs w:val="24"/>
          <w:lang w:val="es-ES_tradnl" w:eastAsia="es-ES"/>
        </w:rPr>
        <w:t>“</w:t>
      </w:r>
      <w:r w:rsidR="00EC48A5" w:rsidRPr="00F23EC6">
        <w:rPr>
          <w:rFonts w:ascii="Palatino Linotype" w:eastAsiaTheme="minorEastAsia" w:hAnsi="Palatino Linotype"/>
          <w:i/>
          <w:sz w:val="24"/>
          <w:szCs w:val="24"/>
          <w:lang w:eastAsia="es-ES"/>
        </w:rPr>
        <w:t>NULA RESPUESTA POR PARTE DEL SUJETO OBLIGADO</w:t>
      </w:r>
      <w:r w:rsidRPr="00F23EC6">
        <w:rPr>
          <w:rFonts w:ascii="Palatino Linotype" w:eastAsiaTheme="minorEastAsia" w:hAnsi="Palatino Linotype"/>
          <w:i/>
          <w:sz w:val="24"/>
          <w:szCs w:val="24"/>
          <w:lang w:val="es-ES_tradnl" w:eastAsia="es-ES"/>
        </w:rPr>
        <w:t xml:space="preserve">” </w:t>
      </w:r>
      <w:r w:rsidRPr="00F23EC6">
        <w:rPr>
          <w:rFonts w:ascii="Palatino Linotype" w:eastAsiaTheme="minorEastAsia" w:hAnsi="Palatino Linotype" w:cs="Arial"/>
          <w:i/>
          <w:sz w:val="24"/>
          <w:szCs w:val="24"/>
          <w:lang w:val="es-ES_tradnl" w:eastAsia="es-ES"/>
        </w:rPr>
        <w:t>(Sic)</w:t>
      </w:r>
    </w:p>
    <w:p w:rsidR="00322D7A" w:rsidRPr="00F23EC6" w:rsidRDefault="00322D7A" w:rsidP="00F23EC6">
      <w:pPr>
        <w:spacing w:after="0" w:line="360" w:lineRule="auto"/>
        <w:ind w:right="-142"/>
        <w:contextualSpacing/>
        <w:jc w:val="both"/>
        <w:rPr>
          <w:rFonts w:ascii="Palatino Linotype" w:eastAsiaTheme="minorEastAsia" w:hAnsi="Palatino Linotype" w:cs="Arial"/>
          <w:sz w:val="24"/>
          <w:szCs w:val="24"/>
          <w:lang w:val="es-ES_tradnl" w:eastAsia="es-ES"/>
        </w:rPr>
      </w:pPr>
    </w:p>
    <w:p w:rsidR="00322D7A" w:rsidRPr="00F23EC6" w:rsidRDefault="00322D7A" w:rsidP="00F23EC6">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sz w:val="24"/>
          <w:szCs w:val="24"/>
        </w:rPr>
      </w:pPr>
      <w:r w:rsidRPr="00F23EC6">
        <w:rPr>
          <w:rFonts w:ascii="Palatino Linotype" w:eastAsia="Times New Roman" w:hAnsi="Palatino Linotype" w:cs="Arial"/>
          <w:sz w:val="24"/>
          <w:szCs w:val="24"/>
        </w:rPr>
        <w:t>C</w:t>
      </w:r>
      <w:r w:rsidRPr="00F23EC6">
        <w:rPr>
          <w:rFonts w:ascii="Palatino Linotype" w:hAnsi="Palatino Linotype" w:cs="Arial"/>
          <w:bCs/>
          <w:sz w:val="24"/>
          <w:szCs w:val="24"/>
        </w:rPr>
        <w:t xml:space="preserve">on fundamento en lo dispuesto por el </w:t>
      </w:r>
      <w:r w:rsidRPr="00F23EC6">
        <w:rPr>
          <w:rFonts w:ascii="Palatino Linotype" w:eastAsia="Calibri" w:hAnsi="Palatino Linotype" w:cs="Arial"/>
          <w:sz w:val="24"/>
          <w:szCs w:val="24"/>
          <w:lang w:val="es-ES"/>
        </w:rPr>
        <w:t xml:space="preserve">artículo 185 fracción I de la </w:t>
      </w:r>
      <w:r w:rsidRPr="00F23EC6">
        <w:rPr>
          <w:rFonts w:ascii="Palatino Linotype" w:eastAsia="Calibri" w:hAnsi="Palatino Linotype" w:cs="Arial"/>
          <w:b/>
          <w:sz w:val="24"/>
          <w:szCs w:val="24"/>
          <w:lang w:val="es-ES"/>
        </w:rPr>
        <w:t xml:space="preserve">Ley de Transparencia y Acceso a la Información Pública del Estado de México y Municipios </w:t>
      </w:r>
      <w:r w:rsidR="00EC48A5" w:rsidRPr="00F23EC6">
        <w:rPr>
          <w:rFonts w:ascii="Palatino Linotype" w:eastAsia="Times New Roman" w:hAnsi="Palatino Linotype" w:cs="Arial"/>
          <w:sz w:val="24"/>
          <w:szCs w:val="24"/>
          <w:lang w:val="es-ES"/>
        </w:rPr>
        <w:t>se turnaron</w:t>
      </w:r>
      <w:r w:rsidRPr="00F23EC6">
        <w:rPr>
          <w:rFonts w:ascii="Palatino Linotype" w:eastAsia="Times New Roman" w:hAnsi="Palatino Linotype" w:cs="Arial"/>
          <w:sz w:val="24"/>
          <w:szCs w:val="24"/>
          <w:lang w:val="es-ES"/>
        </w:rPr>
        <w:t xml:space="preserve"> l</w:t>
      </w:r>
      <w:r w:rsidR="00EC48A5" w:rsidRPr="00F23EC6">
        <w:rPr>
          <w:rFonts w:ascii="Palatino Linotype" w:eastAsia="Times New Roman" w:hAnsi="Palatino Linotype" w:cs="Arial"/>
          <w:sz w:val="24"/>
          <w:szCs w:val="24"/>
          <w:lang w:val="es-ES"/>
        </w:rPr>
        <w:t>os</w:t>
      </w:r>
      <w:r w:rsidRPr="00F23EC6">
        <w:rPr>
          <w:rFonts w:ascii="Palatino Linotype" w:eastAsia="Times New Roman" w:hAnsi="Palatino Linotype" w:cs="Arial"/>
          <w:sz w:val="24"/>
          <w:szCs w:val="24"/>
          <w:lang w:val="es-ES"/>
        </w:rPr>
        <w:t xml:space="preserve"> recurso</w:t>
      </w:r>
      <w:r w:rsidR="00EC48A5" w:rsidRPr="00F23EC6">
        <w:rPr>
          <w:rFonts w:ascii="Palatino Linotype" w:eastAsia="Times New Roman" w:hAnsi="Palatino Linotype" w:cs="Arial"/>
          <w:sz w:val="24"/>
          <w:szCs w:val="24"/>
          <w:lang w:val="es-ES"/>
        </w:rPr>
        <w:t>s</w:t>
      </w:r>
      <w:r w:rsidR="00397FF8" w:rsidRPr="00F23EC6">
        <w:rPr>
          <w:rFonts w:ascii="Palatino Linotype" w:eastAsia="Times New Roman" w:hAnsi="Palatino Linotype" w:cs="Arial"/>
          <w:sz w:val="24"/>
          <w:szCs w:val="24"/>
          <w:lang w:val="es-ES"/>
        </w:rPr>
        <w:t xml:space="preserve"> de revisión</w:t>
      </w:r>
      <w:r w:rsidRPr="00F23EC6">
        <w:rPr>
          <w:rFonts w:ascii="Palatino Linotype" w:eastAsia="Times New Roman" w:hAnsi="Palatino Linotype" w:cs="Arial"/>
          <w:sz w:val="24"/>
          <w:szCs w:val="24"/>
          <w:lang w:val="es-ES"/>
        </w:rPr>
        <w:t xml:space="preserve"> con el objeto de </w:t>
      </w:r>
      <w:r w:rsidRPr="00F23EC6">
        <w:rPr>
          <w:rFonts w:ascii="Palatino Linotype" w:eastAsia="Times New Roman" w:hAnsi="Palatino Linotype" w:cs="Arial"/>
          <w:sz w:val="24"/>
          <w:szCs w:val="24"/>
        </w:rPr>
        <w:t xml:space="preserve">su análisis, posteriormente el Pleno </w:t>
      </w:r>
      <w:r w:rsidRPr="00F23EC6">
        <w:rPr>
          <w:rFonts w:ascii="Palatino Linotype" w:eastAsia="MS Mincho" w:hAnsi="Palatino Linotype" w:cs="Arial"/>
          <w:sz w:val="24"/>
          <w:szCs w:val="24"/>
        </w:rPr>
        <w:t>de este Órgano Autónomo, en la</w:t>
      </w:r>
      <w:r w:rsidRPr="00F23EC6">
        <w:rPr>
          <w:rFonts w:ascii="Palatino Linotype" w:eastAsia="MS Mincho" w:hAnsi="Palatino Linotype" w:cs="Arial"/>
          <w:b/>
          <w:sz w:val="24"/>
          <w:szCs w:val="24"/>
        </w:rPr>
        <w:t xml:space="preserve"> Vigésima </w:t>
      </w:r>
      <w:r w:rsidR="00EA0E6C" w:rsidRPr="00F23EC6">
        <w:rPr>
          <w:rFonts w:ascii="Palatino Linotype" w:eastAsia="MS Mincho" w:hAnsi="Palatino Linotype" w:cs="Arial"/>
          <w:b/>
          <w:sz w:val="24"/>
          <w:szCs w:val="24"/>
        </w:rPr>
        <w:t>Octava</w:t>
      </w:r>
      <w:r w:rsidRPr="00F23EC6">
        <w:rPr>
          <w:rFonts w:ascii="Palatino Linotype" w:eastAsia="MS Mincho" w:hAnsi="Palatino Linotype" w:cs="Arial"/>
          <w:b/>
          <w:sz w:val="24"/>
          <w:szCs w:val="24"/>
        </w:rPr>
        <w:t xml:space="preserve"> </w:t>
      </w:r>
      <w:r w:rsidRPr="00F23EC6">
        <w:rPr>
          <w:rFonts w:ascii="Palatino Linotype" w:eastAsia="MS Mincho" w:hAnsi="Palatino Linotype" w:cs="Arial"/>
          <w:sz w:val="24"/>
          <w:szCs w:val="24"/>
        </w:rPr>
        <w:t xml:space="preserve">Sesión Ordinaria de fecha </w:t>
      </w:r>
      <w:r w:rsidR="00EA0E6C" w:rsidRPr="00F23EC6">
        <w:rPr>
          <w:rFonts w:ascii="Palatino Linotype" w:eastAsia="MS Mincho" w:hAnsi="Palatino Linotype" w:cs="Arial"/>
          <w:b/>
          <w:sz w:val="24"/>
          <w:szCs w:val="24"/>
        </w:rPr>
        <w:t>siete</w:t>
      </w:r>
      <w:r w:rsidRPr="00F23EC6">
        <w:rPr>
          <w:rFonts w:ascii="Palatino Linotype" w:eastAsia="MS Mincho" w:hAnsi="Palatino Linotype" w:cs="Arial"/>
          <w:b/>
          <w:sz w:val="24"/>
          <w:szCs w:val="24"/>
        </w:rPr>
        <w:t xml:space="preserve"> (</w:t>
      </w:r>
      <w:r w:rsidR="00EA0E6C" w:rsidRPr="00F23EC6">
        <w:rPr>
          <w:rFonts w:ascii="Palatino Linotype" w:eastAsia="MS Mincho" w:hAnsi="Palatino Linotype" w:cs="Arial"/>
          <w:b/>
          <w:sz w:val="24"/>
          <w:szCs w:val="24"/>
        </w:rPr>
        <w:t>07</w:t>
      </w:r>
      <w:r w:rsidRPr="00F23EC6">
        <w:rPr>
          <w:rFonts w:ascii="Palatino Linotype" w:eastAsia="MS Mincho" w:hAnsi="Palatino Linotype" w:cs="Arial"/>
          <w:b/>
          <w:sz w:val="24"/>
          <w:szCs w:val="24"/>
        </w:rPr>
        <w:t xml:space="preserve">) de </w:t>
      </w:r>
      <w:r w:rsidR="00EA0E6C" w:rsidRPr="00F23EC6">
        <w:rPr>
          <w:rFonts w:ascii="Palatino Linotype" w:eastAsia="MS Mincho" w:hAnsi="Palatino Linotype" w:cs="Arial"/>
          <w:b/>
          <w:sz w:val="24"/>
          <w:szCs w:val="24"/>
        </w:rPr>
        <w:t>agost</w:t>
      </w:r>
      <w:r w:rsidRPr="00F23EC6">
        <w:rPr>
          <w:rFonts w:ascii="Palatino Linotype" w:eastAsia="MS Mincho" w:hAnsi="Palatino Linotype" w:cs="Arial"/>
          <w:b/>
          <w:sz w:val="24"/>
          <w:szCs w:val="24"/>
        </w:rPr>
        <w:t>o dos mil diecinueve</w:t>
      </w:r>
      <w:r w:rsidRPr="00F23EC6">
        <w:rPr>
          <w:rFonts w:ascii="Palatino Linotype" w:eastAsia="MS Mincho" w:hAnsi="Palatino Linotype" w:cs="Arial"/>
          <w:sz w:val="24"/>
          <w:szCs w:val="24"/>
        </w:rPr>
        <w:t xml:space="preserve"> ordenó la acumulación d</w:t>
      </w:r>
      <w:proofErr w:type="spellStart"/>
      <w:r w:rsidRPr="00F23EC6">
        <w:rPr>
          <w:rFonts w:ascii="Palatino Linotype" w:eastAsia="Times New Roman" w:hAnsi="Palatino Linotype" w:cs="Arial"/>
          <w:sz w:val="24"/>
          <w:szCs w:val="24"/>
          <w:lang w:val="es-ES"/>
        </w:rPr>
        <w:t>e</w:t>
      </w:r>
      <w:proofErr w:type="spellEnd"/>
      <w:r w:rsidRPr="00F23EC6">
        <w:rPr>
          <w:rFonts w:ascii="Palatino Linotype" w:eastAsia="Times New Roman" w:hAnsi="Palatino Linotype" w:cs="Arial"/>
          <w:sz w:val="24"/>
          <w:szCs w:val="24"/>
          <w:lang w:val="es-ES"/>
        </w:rPr>
        <w:t xml:space="preserve"> los recursos de revisión</w:t>
      </w:r>
      <w:r w:rsidRPr="00F23EC6">
        <w:rPr>
          <w:rFonts w:ascii="Palatino Linotype" w:eastAsia="Times New Roman" w:hAnsi="Palatino Linotype" w:cs="Arial"/>
          <w:b/>
          <w:sz w:val="24"/>
          <w:szCs w:val="24"/>
          <w:lang w:val="es-ES"/>
        </w:rPr>
        <w:t xml:space="preserve">; </w:t>
      </w:r>
      <w:r w:rsidRPr="00F23EC6">
        <w:rPr>
          <w:rFonts w:ascii="Palatino Linotype" w:eastAsia="MS Mincho" w:hAnsi="Palatino Linotype" w:cs="Arial"/>
          <w:sz w:val="24"/>
          <w:szCs w:val="24"/>
        </w:rPr>
        <w:t>a efecto de que ésta Ponencia formulara y presentara el proyecto de resolución correspondiente</w:t>
      </w:r>
      <w:r w:rsidRPr="00F23EC6">
        <w:rPr>
          <w:rFonts w:ascii="Palatino Linotype" w:eastAsia="Times New Roman" w:hAnsi="Palatino Linotype" w:cs="Arial"/>
          <w:sz w:val="24"/>
          <w:szCs w:val="24"/>
        </w:rPr>
        <w:t xml:space="preserve"> de conformidad con el numeral ONCE incisos b) y c) de los </w:t>
      </w:r>
      <w:r w:rsidRPr="00F23EC6">
        <w:rPr>
          <w:rFonts w:ascii="Palatino Linotype" w:eastAsia="Times New Roman" w:hAnsi="Palatino Linotype" w:cs="Arial"/>
          <w:b/>
          <w:sz w:val="24"/>
          <w:szCs w:val="24"/>
        </w:rPr>
        <w:t>Lineamientos para la Recepción, Trámite y Resolución de las Solicitudes de Acceso a la Información Pública, así como de los Recursos de Revisión que deberán observar los Sujetos Obligados por la Ley de Transparencia Estatal</w:t>
      </w:r>
      <w:r w:rsidRPr="00F23EC6">
        <w:rPr>
          <w:rFonts w:ascii="Palatino Linotype" w:hAnsi="Palatino Linotype"/>
          <w:i/>
          <w:sz w:val="24"/>
          <w:szCs w:val="24"/>
          <w:vertAlign w:val="superscript"/>
        </w:rPr>
        <w:footnoteReference w:id="1"/>
      </w:r>
      <w:r w:rsidRPr="00F23EC6">
        <w:rPr>
          <w:rFonts w:ascii="Palatino Linotype" w:eastAsia="Times New Roman" w:hAnsi="Palatino Linotype" w:cs="Arial"/>
          <w:sz w:val="24"/>
          <w:szCs w:val="24"/>
        </w:rPr>
        <w:t>, que señala:</w:t>
      </w:r>
    </w:p>
    <w:p w:rsidR="00322D7A" w:rsidRPr="00F23EC6" w:rsidRDefault="00322D7A" w:rsidP="00F23EC6">
      <w:pPr>
        <w:pStyle w:val="Prrafodelista"/>
        <w:tabs>
          <w:tab w:val="left" w:pos="0"/>
        </w:tabs>
        <w:spacing w:line="360" w:lineRule="auto"/>
        <w:ind w:left="0" w:right="49"/>
        <w:jc w:val="both"/>
        <w:rPr>
          <w:rFonts w:ascii="Palatino Linotype" w:eastAsia="Times New Roman" w:hAnsi="Palatino Linotype" w:cs="Arial"/>
          <w:sz w:val="24"/>
          <w:szCs w:val="24"/>
        </w:rPr>
      </w:pPr>
    </w:p>
    <w:p w:rsidR="00322D7A" w:rsidRPr="00F23EC6" w:rsidRDefault="00322D7A" w:rsidP="00F23EC6">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F23EC6">
        <w:rPr>
          <w:rFonts w:ascii="Palatino Linotype" w:eastAsia="Times New Roman" w:hAnsi="Palatino Linotype" w:cs="Arial"/>
          <w:b/>
          <w:i/>
          <w:sz w:val="24"/>
          <w:szCs w:val="24"/>
        </w:rPr>
        <w:t>ONCE.</w:t>
      </w:r>
      <w:r w:rsidRPr="00F23EC6">
        <w:rPr>
          <w:rFonts w:ascii="Palatino Linotype" w:eastAsia="Times New Roman"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rsidR="00322D7A" w:rsidRPr="00F23EC6" w:rsidRDefault="00322D7A" w:rsidP="00F23EC6">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F23EC6">
        <w:rPr>
          <w:rFonts w:ascii="Palatino Linotype" w:eastAsia="Times New Roman" w:hAnsi="Palatino Linotype" w:cs="Arial"/>
          <w:i/>
          <w:sz w:val="24"/>
          <w:szCs w:val="24"/>
        </w:rPr>
        <w:t>…</w:t>
      </w:r>
    </w:p>
    <w:p w:rsidR="00322D7A" w:rsidRPr="00F23EC6" w:rsidRDefault="00322D7A" w:rsidP="00F23EC6">
      <w:pPr>
        <w:spacing w:before="240" w:after="240" w:line="360" w:lineRule="auto"/>
        <w:ind w:left="567" w:right="567"/>
        <w:jc w:val="both"/>
        <w:rPr>
          <w:rFonts w:ascii="Palatino Linotype" w:eastAsia="Times New Roman" w:hAnsi="Palatino Linotype" w:cs="Times New Roman"/>
          <w:i/>
          <w:color w:val="000000"/>
          <w:sz w:val="24"/>
          <w:szCs w:val="24"/>
        </w:rPr>
      </w:pPr>
      <w:r w:rsidRPr="00F23EC6">
        <w:rPr>
          <w:rFonts w:ascii="Palatino Linotype" w:eastAsia="Times New Roman" w:hAnsi="Palatino Linotype" w:cs="Times New Roman"/>
          <w:i/>
          <w:color w:val="000000"/>
          <w:sz w:val="24"/>
          <w:szCs w:val="24"/>
        </w:rPr>
        <w:t>b) Las partes o los actos impugnados sean iguales</w:t>
      </w:r>
    </w:p>
    <w:p w:rsidR="00322D7A" w:rsidRPr="00F23EC6" w:rsidRDefault="00322D7A" w:rsidP="00F23EC6">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F23EC6">
        <w:rPr>
          <w:rFonts w:ascii="Palatino Linotype" w:eastAsia="Times New Roman" w:hAnsi="Palatino Linotype" w:cs="Arial"/>
          <w:i/>
          <w:sz w:val="24"/>
          <w:szCs w:val="24"/>
        </w:rPr>
        <w:t>c) Cuando se trate del mismo solicitante, el mismo SUJETO OBLIGADO, aunque se trate de solicitudes diversas;</w:t>
      </w:r>
    </w:p>
    <w:p w:rsidR="00322D7A" w:rsidRPr="00F23EC6" w:rsidRDefault="00322D7A" w:rsidP="00F23EC6">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F23EC6">
        <w:rPr>
          <w:rFonts w:ascii="Palatino Linotype" w:eastAsia="Times New Roman" w:hAnsi="Palatino Linotype" w:cs="Arial"/>
          <w:i/>
          <w:sz w:val="24"/>
          <w:szCs w:val="24"/>
        </w:rPr>
        <w:t>(…)</w:t>
      </w:r>
    </w:p>
    <w:p w:rsidR="00322D7A" w:rsidRPr="00F23EC6" w:rsidRDefault="00322D7A" w:rsidP="00F23EC6">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F23EC6">
        <w:rPr>
          <w:rFonts w:ascii="Palatino Linotype" w:hAnsi="Palatino Linotype"/>
          <w:sz w:val="24"/>
          <w:szCs w:val="24"/>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22D7A" w:rsidRPr="00F23EC6" w:rsidRDefault="00322D7A" w:rsidP="00F23EC6">
      <w:pPr>
        <w:pStyle w:val="Prrafodelista"/>
        <w:spacing w:before="240" w:after="240" w:line="360" w:lineRule="auto"/>
        <w:ind w:left="360"/>
        <w:jc w:val="both"/>
        <w:rPr>
          <w:rFonts w:ascii="Palatino Linotype" w:hAnsi="Palatino Linotype"/>
          <w:i/>
          <w:sz w:val="24"/>
          <w:szCs w:val="24"/>
        </w:rPr>
      </w:pPr>
    </w:p>
    <w:p w:rsidR="00322D7A" w:rsidRPr="00F23EC6" w:rsidRDefault="00322D7A" w:rsidP="00A254AE">
      <w:pPr>
        <w:pStyle w:val="Prrafodelista"/>
        <w:spacing w:before="240" w:after="240" w:line="360" w:lineRule="auto"/>
        <w:ind w:left="709" w:right="616"/>
        <w:rPr>
          <w:rFonts w:ascii="Palatino Linotype" w:hAnsi="Palatino Linotype"/>
          <w:b/>
          <w:i/>
          <w:sz w:val="24"/>
          <w:szCs w:val="24"/>
        </w:rPr>
      </w:pPr>
      <w:r w:rsidRPr="00F23EC6">
        <w:rPr>
          <w:rFonts w:ascii="Palatino Linotype" w:hAnsi="Palatino Linotype"/>
          <w:b/>
          <w:i/>
          <w:sz w:val="24"/>
          <w:szCs w:val="24"/>
        </w:rPr>
        <w:t>Código de Procedimientos Administrativos del Estado de México</w:t>
      </w:r>
    </w:p>
    <w:p w:rsidR="00322D7A" w:rsidRPr="00F23EC6" w:rsidRDefault="00322D7A" w:rsidP="00F23EC6">
      <w:pPr>
        <w:pStyle w:val="Prrafodelista"/>
        <w:spacing w:before="240" w:after="240" w:line="360" w:lineRule="auto"/>
        <w:ind w:left="709" w:right="616"/>
        <w:jc w:val="both"/>
        <w:rPr>
          <w:rFonts w:ascii="Palatino Linotype" w:hAnsi="Palatino Linotype"/>
          <w:i/>
          <w:sz w:val="24"/>
          <w:szCs w:val="24"/>
        </w:rPr>
      </w:pPr>
      <w:r w:rsidRPr="00F23EC6">
        <w:rPr>
          <w:rFonts w:ascii="Palatino Linotype" w:hAnsi="Palatino Linotype"/>
          <w:i/>
          <w:sz w:val="24"/>
          <w:szCs w:val="24"/>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22D7A" w:rsidRPr="00F23EC6" w:rsidRDefault="00322D7A" w:rsidP="00F23EC6">
      <w:pPr>
        <w:pStyle w:val="Prrafodelista"/>
        <w:spacing w:before="240" w:after="240" w:line="360" w:lineRule="auto"/>
        <w:ind w:left="709" w:right="616"/>
        <w:jc w:val="both"/>
        <w:rPr>
          <w:rFonts w:ascii="Palatino Linotype" w:hAnsi="Palatino Linotype"/>
          <w:i/>
          <w:sz w:val="24"/>
          <w:szCs w:val="24"/>
        </w:rPr>
      </w:pPr>
    </w:p>
    <w:p w:rsidR="00322D7A" w:rsidRPr="00F23EC6" w:rsidRDefault="00322D7A" w:rsidP="00F23EC6">
      <w:pPr>
        <w:pStyle w:val="Prrafodelista"/>
        <w:spacing w:before="240" w:after="240" w:line="360" w:lineRule="auto"/>
        <w:ind w:left="709" w:right="616"/>
        <w:jc w:val="center"/>
        <w:rPr>
          <w:rFonts w:ascii="Palatino Linotype" w:hAnsi="Palatino Linotype"/>
          <w:b/>
          <w:i/>
          <w:sz w:val="24"/>
          <w:szCs w:val="24"/>
        </w:rPr>
      </w:pPr>
      <w:r w:rsidRPr="00F23EC6">
        <w:rPr>
          <w:rFonts w:ascii="Palatino Linotype" w:hAnsi="Palatino Linotype"/>
          <w:b/>
          <w:i/>
          <w:sz w:val="24"/>
          <w:szCs w:val="24"/>
        </w:rPr>
        <w:t>Ley de Transparencia y Acceso a la Información Pública del Estado de México y Municipios</w:t>
      </w:r>
    </w:p>
    <w:p w:rsidR="00322D7A" w:rsidRPr="00F23EC6" w:rsidRDefault="00322D7A" w:rsidP="00F23EC6">
      <w:pPr>
        <w:pStyle w:val="Prrafodelista"/>
        <w:spacing w:before="240" w:after="240" w:line="360" w:lineRule="auto"/>
        <w:ind w:left="709" w:right="616"/>
        <w:jc w:val="both"/>
        <w:rPr>
          <w:rFonts w:ascii="Palatino Linotype" w:hAnsi="Palatino Linotype"/>
          <w:i/>
          <w:sz w:val="24"/>
          <w:szCs w:val="24"/>
        </w:rPr>
      </w:pPr>
      <w:r w:rsidRPr="00F23EC6">
        <w:rPr>
          <w:rFonts w:ascii="Palatino Linotype" w:hAnsi="Palatino Linotype"/>
          <w:i/>
          <w:sz w:val="24"/>
          <w:szCs w:val="24"/>
        </w:rPr>
        <w:t>“Artículo 195. En la tramitación del recurso de revisión se aplicarán supletoriamente las disposiciones contenidas en el Código de Procedimientos Administrativos del Estado de México.”</w:t>
      </w:r>
    </w:p>
    <w:p w:rsidR="00322D7A" w:rsidRPr="00F23EC6" w:rsidRDefault="00322D7A" w:rsidP="00F23EC6">
      <w:pPr>
        <w:pStyle w:val="Prrafodelista"/>
        <w:spacing w:before="240" w:after="240" w:line="360" w:lineRule="auto"/>
        <w:ind w:left="709" w:right="616"/>
        <w:jc w:val="both"/>
        <w:rPr>
          <w:rFonts w:ascii="Palatino Linotype" w:hAnsi="Palatino Linotype"/>
          <w:b/>
          <w:sz w:val="24"/>
          <w:szCs w:val="24"/>
        </w:rPr>
      </w:pPr>
      <w:r w:rsidRPr="00F23EC6">
        <w:rPr>
          <w:rFonts w:ascii="Palatino Linotype" w:hAnsi="Palatino Linotype"/>
          <w:b/>
          <w:sz w:val="24"/>
          <w:szCs w:val="24"/>
        </w:rPr>
        <w:t>(Énfasis añadido)</w:t>
      </w:r>
    </w:p>
    <w:p w:rsidR="000F5E0E" w:rsidRPr="00F23EC6" w:rsidRDefault="000F5E0E" w:rsidP="00F23EC6">
      <w:pPr>
        <w:spacing w:after="0" w:line="360" w:lineRule="auto"/>
        <w:ind w:right="-142"/>
        <w:contextualSpacing/>
        <w:rPr>
          <w:rFonts w:ascii="Palatino Linotype" w:eastAsiaTheme="minorEastAsia" w:hAnsi="Palatino Linotype"/>
          <w:i/>
          <w:color w:val="000000"/>
          <w:sz w:val="24"/>
          <w:szCs w:val="24"/>
          <w:lang w:val="es-ES_tradnl" w:eastAsia="es-ES"/>
        </w:rPr>
      </w:pPr>
    </w:p>
    <w:p w:rsidR="00305EC4" w:rsidRPr="00F23EC6" w:rsidRDefault="000F5E0E" w:rsidP="00F23EC6">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F23EC6">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305EC4" w:rsidRPr="00F23EC6">
        <w:rPr>
          <w:rFonts w:ascii="Palatino Linotype" w:eastAsia="Calibri" w:hAnsi="Palatino Linotype" w:cs="Arial"/>
          <w:sz w:val="24"/>
          <w:szCs w:val="24"/>
          <w:lang w:val="es-ES" w:eastAsia="es-ES"/>
        </w:rPr>
        <w:t xml:space="preserve"> </w:t>
      </w:r>
      <w:r w:rsidRPr="00F23EC6">
        <w:rPr>
          <w:rFonts w:ascii="Palatino Linotype" w:eastAsia="Calibri" w:hAnsi="Palatino Linotype" w:cs="Arial"/>
          <w:sz w:val="24"/>
          <w:szCs w:val="24"/>
          <w:lang w:val="es-ES" w:eastAsia="es-ES"/>
        </w:rPr>
        <w:t>l</w:t>
      </w:r>
      <w:r w:rsidR="00305EC4" w:rsidRPr="00F23EC6">
        <w:rPr>
          <w:rFonts w:ascii="Palatino Linotype" w:eastAsia="Calibri" w:hAnsi="Palatino Linotype" w:cs="Arial"/>
          <w:sz w:val="24"/>
          <w:szCs w:val="24"/>
          <w:lang w:val="es-ES" w:eastAsia="es-ES"/>
        </w:rPr>
        <w:t>os</w:t>
      </w:r>
      <w:r w:rsidRPr="00F23EC6">
        <w:rPr>
          <w:rFonts w:ascii="Palatino Linotype" w:eastAsia="Calibri" w:hAnsi="Palatino Linotype" w:cs="Arial"/>
          <w:sz w:val="24"/>
          <w:szCs w:val="24"/>
          <w:lang w:val="es-ES" w:eastAsia="es-ES"/>
        </w:rPr>
        <w:t xml:space="preserve"> acuerdo</w:t>
      </w:r>
      <w:r w:rsidR="00305EC4" w:rsidRPr="00F23EC6">
        <w:rPr>
          <w:rFonts w:ascii="Palatino Linotype" w:eastAsia="Calibri" w:hAnsi="Palatino Linotype" w:cs="Arial"/>
          <w:sz w:val="24"/>
          <w:szCs w:val="24"/>
          <w:lang w:val="es-ES" w:eastAsia="es-ES"/>
        </w:rPr>
        <w:t>s</w:t>
      </w:r>
      <w:r w:rsidRPr="00F23EC6">
        <w:rPr>
          <w:rFonts w:ascii="Palatino Linotype" w:eastAsia="Calibri" w:hAnsi="Palatino Linotype" w:cs="Arial"/>
          <w:sz w:val="24"/>
          <w:szCs w:val="24"/>
          <w:lang w:val="es-ES" w:eastAsia="es-ES"/>
        </w:rPr>
        <w:t xml:space="preserve"> de admisión de fecha </w:t>
      </w:r>
      <w:r w:rsidR="00EA0E6C" w:rsidRPr="00F23EC6">
        <w:rPr>
          <w:rFonts w:ascii="Palatino Linotype" w:eastAsia="Calibri" w:hAnsi="Palatino Linotype" w:cs="Arial"/>
          <w:b/>
          <w:sz w:val="24"/>
          <w:szCs w:val="24"/>
          <w:lang w:val="es-ES" w:eastAsia="es-ES"/>
        </w:rPr>
        <w:t>uno</w:t>
      </w:r>
      <w:r w:rsidR="006C1483" w:rsidRPr="00F23EC6">
        <w:rPr>
          <w:rFonts w:ascii="Palatino Linotype" w:eastAsia="Calibri" w:hAnsi="Palatino Linotype" w:cs="Arial"/>
          <w:b/>
          <w:sz w:val="24"/>
          <w:szCs w:val="24"/>
          <w:lang w:val="es-ES" w:eastAsia="es-ES"/>
        </w:rPr>
        <w:t xml:space="preserve"> (</w:t>
      </w:r>
      <w:r w:rsidR="00305EC4" w:rsidRPr="00F23EC6">
        <w:rPr>
          <w:rFonts w:ascii="Palatino Linotype" w:eastAsia="Calibri" w:hAnsi="Palatino Linotype" w:cs="Arial"/>
          <w:b/>
          <w:sz w:val="24"/>
          <w:szCs w:val="24"/>
          <w:lang w:val="es-ES" w:eastAsia="es-ES"/>
        </w:rPr>
        <w:t>0</w:t>
      </w:r>
      <w:r w:rsidR="00EA0E6C" w:rsidRPr="00F23EC6">
        <w:rPr>
          <w:rFonts w:ascii="Palatino Linotype" w:eastAsia="Calibri" w:hAnsi="Palatino Linotype" w:cs="Arial"/>
          <w:b/>
          <w:sz w:val="24"/>
          <w:szCs w:val="24"/>
          <w:lang w:val="es-ES" w:eastAsia="es-ES"/>
        </w:rPr>
        <w:t>1</w:t>
      </w:r>
      <w:r w:rsidR="006C1483" w:rsidRPr="00F23EC6">
        <w:rPr>
          <w:rFonts w:ascii="Palatino Linotype" w:eastAsia="Calibri" w:hAnsi="Palatino Linotype" w:cs="Arial"/>
          <w:b/>
          <w:sz w:val="24"/>
          <w:szCs w:val="24"/>
          <w:lang w:val="es-ES" w:eastAsia="es-ES"/>
        </w:rPr>
        <w:t>)</w:t>
      </w:r>
      <w:r w:rsidR="00305EC4" w:rsidRPr="00F23EC6">
        <w:rPr>
          <w:rFonts w:ascii="Palatino Linotype" w:eastAsia="Calibri" w:hAnsi="Palatino Linotype" w:cs="Arial"/>
          <w:b/>
          <w:sz w:val="24"/>
          <w:szCs w:val="24"/>
          <w:lang w:val="es-ES" w:eastAsia="es-ES"/>
        </w:rPr>
        <w:t xml:space="preserve"> </w:t>
      </w:r>
      <w:r w:rsidR="006C1483" w:rsidRPr="00F23EC6">
        <w:rPr>
          <w:rFonts w:ascii="Palatino Linotype" w:eastAsia="Calibri" w:hAnsi="Palatino Linotype" w:cs="Arial"/>
          <w:b/>
          <w:sz w:val="24"/>
          <w:szCs w:val="24"/>
          <w:lang w:val="es-ES" w:eastAsia="es-ES"/>
        </w:rPr>
        <w:t xml:space="preserve">de </w:t>
      </w:r>
      <w:r w:rsidR="00EA0E6C" w:rsidRPr="00F23EC6">
        <w:rPr>
          <w:rFonts w:ascii="Palatino Linotype" w:eastAsia="Calibri" w:hAnsi="Palatino Linotype" w:cs="Arial"/>
          <w:b/>
          <w:sz w:val="24"/>
          <w:szCs w:val="24"/>
          <w:lang w:val="es-ES" w:eastAsia="es-ES"/>
        </w:rPr>
        <w:t>agost</w:t>
      </w:r>
      <w:r w:rsidR="00305EC4" w:rsidRPr="00F23EC6">
        <w:rPr>
          <w:rFonts w:ascii="Palatino Linotype" w:eastAsia="Calibri" w:hAnsi="Palatino Linotype" w:cs="Arial"/>
          <w:b/>
          <w:sz w:val="24"/>
          <w:szCs w:val="24"/>
          <w:lang w:val="es-ES" w:eastAsia="es-ES"/>
        </w:rPr>
        <w:t>o</w:t>
      </w:r>
      <w:r w:rsidRPr="00F23EC6">
        <w:rPr>
          <w:rFonts w:ascii="Palatino Linotype" w:eastAsia="Calibri" w:hAnsi="Palatino Linotype" w:cs="Arial"/>
          <w:sz w:val="24"/>
          <w:szCs w:val="24"/>
          <w:lang w:val="es-ES" w:eastAsia="es-ES"/>
        </w:rPr>
        <w:t xml:space="preserve"> </w:t>
      </w:r>
      <w:r w:rsidRPr="00F23EC6">
        <w:rPr>
          <w:rFonts w:ascii="Palatino Linotype" w:eastAsia="Calibri" w:hAnsi="Palatino Linotype" w:cs="Arial"/>
          <w:b/>
          <w:sz w:val="24"/>
          <w:szCs w:val="24"/>
          <w:lang w:val="es-ES" w:eastAsia="es-ES"/>
        </w:rPr>
        <w:t>de dos mil diecinueve</w:t>
      </w:r>
      <w:r w:rsidRPr="00F23EC6">
        <w:rPr>
          <w:rFonts w:ascii="Palatino Linotype" w:eastAsia="Calibri" w:hAnsi="Palatino Linotype" w:cs="Arial"/>
          <w:sz w:val="24"/>
          <w:szCs w:val="24"/>
          <w:lang w:val="es-ES" w:eastAsia="es-ES"/>
        </w:rPr>
        <w:t xml:space="preserve">, puso a disposición de las partes el expediente electrónico </w:t>
      </w:r>
      <w:r w:rsidRPr="00F23EC6">
        <w:rPr>
          <w:rFonts w:ascii="Palatino Linotype" w:eastAsia="Calibri" w:hAnsi="Palatino Linotype" w:cs="Arial"/>
          <w:sz w:val="24"/>
          <w:szCs w:val="24"/>
          <w:lang w:val="es-ES_tradnl" w:eastAsia="es-ES"/>
        </w:rPr>
        <w:t xml:space="preserve">vía </w:t>
      </w:r>
      <w:r w:rsidRPr="00F23EC6">
        <w:rPr>
          <w:rFonts w:ascii="Palatino Linotype" w:eastAsia="Calibri" w:hAnsi="Palatino Linotype" w:cs="Arial"/>
          <w:sz w:val="24"/>
          <w:szCs w:val="24"/>
          <w:lang w:val="es-ES" w:eastAsia="es-ES"/>
        </w:rPr>
        <w:t xml:space="preserve">Sistema de Acceso a la Información Mexiquense </w:t>
      </w:r>
      <w:r w:rsidRPr="00F23EC6">
        <w:rPr>
          <w:rFonts w:ascii="Palatino Linotype" w:eastAsia="Calibri" w:hAnsi="Palatino Linotype" w:cs="Arial"/>
          <w:b/>
          <w:sz w:val="24"/>
          <w:szCs w:val="24"/>
          <w:lang w:val="es-ES" w:eastAsia="es-ES"/>
        </w:rPr>
        <w:t xml:space="preserve">SAIMEX </w:t>
      </w:r>
      <w:r w:rsidRPr="00F23EC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23EC6">
        <w:rPr>
          <w:rFonts w:ascii="Palatino Linotype" w:eastAsia="Calibri" w:hAnsi="Palatino Linotype" w:cs="Arial"/>
          <w:b/>
          <w:sz w:val="24"/>
          <w:szCs w:val="24"/>
          <w:lang w:val="es-ES" w:eastAsia="es-ES"/>
        </w:rPr>
        <w:t>SUJETO OBLIGADO</w:t>
      </w:r>
      <w:r w:rsidRPr="00F23EC6">
        <w:rPr>
          <w:rFonts w:ascii="Palatino Linotype" w:eastAsia="Calibri" w:hAnsi="Palatino Linotype" w:cs="Arial"/>
          <w:sz w:val="24"/>
          <w:szCs w:val="24"/>
          <w:lang w:val="es-ES" w:eastAsia="es-ES"/>
        </w:rPr>
        <w:t xml:space="preserve"> presentará el I</w:t>
      </w:r>
      <w:r w:rsidR="006C1483" w:rsidRPr="00F23EC6">
        <w:rPr>
          <w:rFonts w:ascii="Palatino Linotype" w:eastAsia="Calibri" w:hAnsi="Palatino Linotype" w:cs="Arial"/>
          <w:sz w:val="24"/>
          <w:szCs w:val="24"/>
          <w:lang w:val="es-ES" w:eastAsia="es-ES"/>
        </w:rPr>
        <w:t xml:space="preserve">nforme Justificado procedente, </w:t>
      </w:r>
      <w:r w:rsidR="00305EC4" w:rsidRPr="00F23EC6">
        <w:rPr>
          <w:rFonts w:ascii="Palatino Linotype" w:eastAsia="Calibri" w:hAnsi="Palatino Linotype" w:cs="Arial"/>
          <w:sz w:val="24"/>
          <w:szCs w:val="24"/>
          <w:lang w:val="es-ES" w:eastAsia="es-ES"/>
        </w:rPr>
        <w:t>contexto</w:t>
      </w:r>
      <w:r w:rsidR="006C1483" w:rsidRPr="00F23EC6">
        <w:rPr>
          <w:rFonts w:ascii="Palatino Linotype" w:eastAsia="Calibri" w:hAnsi="Palatino Linotype" w:cs="Arial"/>
          <w:sz w:val="24"/>
          <w:szCs w:val="24"/>
          <w:lang w:val="es-ES" w:eastAsia="es-ES"/>
        </w:rPr>
        <w:t xml:space="preserve"> que no ocurrió.</w:t>
      </w:r>
      <w:r w:rsidR="00EA0E6C" w:rsidRPr="00F23EC6">
        <w:rPr>
          <w:rFonts w:ascii="Palatino Linotype" w:eastAsia="Calibri" w:hAnsi="Palatino Linotype" w:cs="Arial"/>
          <w:sz w:val="24"/>
          <w:szCs w:val="24"/>
          <w:lang w:val="es-ES" w:eastAsia="es-ES"/>
        </w:rPr>
        <w:t xml:space="preserve"> </w:t>
      </w:r>
      <w:r w:rsidR="00305EC4" w:rsidRPr="00F23EC6">
        <w:rPr>
          <w:rFonts w:ascii="Palatino Linotype" w:eastAsiaTheme="minorEastAsia" w:hAnsi="Palatino Linotype"/>
          <w:color w:val="000000"/>
          <w:sz w:val="24"/>
          <w:szCs w:val="24"/>
          <w:lang w:val="es-ES_tradnl" w:eastAsia="es-ES"/>
        </w:rPr>
        <w:t>Por su parte, el hoy recurrente, dejo de realizar manifestaciones que a su derecho convinieran</w:t>
      </w:r>
      <w:r w:rsidR="00305EC4" w:rsidRPr="00F23EC6">
        <w:rPr>
          <w:rFonts w:ascii="Palatino Linotype" w:eastAsiaTheme="minorEastAsia" w:hAnsi="Palatino Linotype"/>
          <w:b/>
          <w:color w:val="000000"/>
          <w:sz w:val="24"/>
          <w:szCs w:val="24"/>
          <w:lang w:val="es-ES_tradnl" w:eastAsia="es-ES"/>
        </w:rPr>
        <w:t>.</w:t>
      </w:r>
    </w:p>
    <w:p w:rsidR="000F5E0E" w:rsidRPr="00F23EC6" w:rsidRDefault="000F5E0E" w:rsidP="00F23EC6">
      <w:pPr>
        <w:spacing w:before="240" w:after="240" w:line="360" w:lineRule="auto"/>
        <w:ind w:right="-142"/>
        <w:contextualSpacing/>
        <w:jc w:val="both"/>
        <w:rPr>
          <w:rFonts w:ascii="Palatino Linotype" w:eastAsiaTheme="minorEastAsia" w:hAnsi="Palatino Linotype"/>
          <w:i/>
          <w:color w:val="000000"/>
          <w:sz w:val="24"/>
          <w:szCs w:val="24"/>
          <w:lang w:val="es-ES_tradnl" w:eastAsia="es-ES"/>
        </w:rPr>
      </w:pPr>
    </w:p>
    <w:p w:rsidR="006C1483" w:rsidRPr="00F23EC6" w:rsidRDefault="00397FF8" w:rsidP="00F23EC6">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F23EC6">
        <w:rPr>
          <w:rFonts w:ascii="Palatino Linotype" w:eastAsiaTheme="minorEastAsia" w:hAnsi="Palatino Linotype"/>
          <w:sz w:val="24"/>
          <w:szCs w:val="24"/>
          <w:lang w:val="es-ES_tradnl" w:eastAsia="es-ES"/>
        </w:rPr>
        <w:t xml:space="preserve">El Comisionado Ponente decretó </w:t>
      </w:r>
      <w:r w:rsidR="000F5E0E" w:rsidRPr="00F23EC6">
        <w:rPr>
          <w:rFonts w:ascii="Palatino Linotype" w:eastAsiaTheme="minorEastAsia" w:hAnsi="Palatino Linotype"/>
          <w:sz w:val="24"/>
          <w:szCs w:val="24"/>
          <w:lang w:val="es-ES_tradnl" w:eastAsia="es-ES"/>
        </w:rPr>
        <w:t>l</w:t>
      </w:r>
      <w:r w:rsidRPr="00F23EC6">
        <w:rPr>
          <w:rFonts w:ascii="Palatino Linotype" w:eastAsiaTheme="minorEastAsia" w:hAnsi="Palatino Linotype"/>
          <w:sz w:val="24"/>
          <w:szCs w:val="24"/>
          <w:lang w:val="es-ES_tradnl" w:eastAsia="es-ES"/>
        </w:rPr>
        <w:t>os</w:t>
      </w:r>
      <w:r w:rsidR="000F5E0E" w:rsidRPr="00F23EC6">
        <w:rPr>
          <w:rFonts w:ascii="Palatino Linotype" w:eastAsiaTheme="minorEastAsia" w:hAnsi="Palatino Linotype"/>
          <w:sz w:val="24"/>
          <w:szCs w:val="24"/>
          <w:lang w:val="es-ES_tradnl" w:eastAsia="es-ES"/>
        </w:rPr>
        <w:t xml:space="preserve"> cierre</w:t>
      </w:r>
      <w:r w:rsidRPr="00F23EC6">
        <w:rPr>
          <w:rFonts w:ascii="Palatino Linotype" w:eastAsiaTheme="minorEastAsia" w:hAnsi="Palatino Linotype"/>
          <w:sz w:val="24"/>
          <w:szCs w:val="24"/>
          <w:lang w:val="es-ES_tradnl" w:eastAsia="es-ES"/>
        </w:rPr>
        <w:t>s</w:t>
      </w:r>
      <w:r w:rsidR="000F5E0E" w:rsidRPr="00F23EC6">
        <w:rPr>
          <w:rFonts w:ascii="Palatino Linotype" w:eastAsiaTheme="minorEastAsia" w:hAnsi="Palatino Linotype"/>
          <w:sz w:val="24"/>
          <w:szCs w:val="24"/>
          <w:lang w:val="es-ES_tradnl" w:eastAsia="es-ES"/>
        </w:rPr>
        <w:t xml:space="preserve"> de instrucción</w:t>
      </w:r>
      <w:r w:rsidR="000F5E0E" w:rsidRPr="00F23EC6">
        <w:rPr>
          <w:rFonts w:ascii="Palatino Linotype" w:eastAsiaTheme="minorEastAsia" w:hAnsi="Palatino Linotype" w:cs="Arial"/>
          <w:sz w:val="24"/>
          <w:szCs w:val="24"/>
          <w:lang w:val="es-ES_tradnl" w:eastAsia="es-ES"/>
        </w:rPr>
        <w:t xml:space="preserve"> </w:t>
      </w:r>
      <w:r w:rsidR="000F5E0E" w:rsidRPr="00F23EC6">
        <w:rPr>
          <w:rFonts w:ascii="Palatino Linotype" w:eastAsiaTheme="minorEastAsia" w:hAnsi="Palatino Linotype"/>
          <w:sz w:val="24"/>
          <w:szCs w:val="24"/>
          <w:lang w:val="es-ES_tradnl" w:eastAsia="es-ES"/>
        </w:rPr>
        <w:t>mediante acuerdo</w:t>
      </w:r>
      <w:r w:rsidR="00EA0E6C" w:rsidRPr="00F23EC6">
        <w:rPr>
          <w:rFonts w:ascii="Palatino Linotype" w:eastAsiaTheme="minorEastAsia" w:hAnsi="Palatino Linotype"/>
          <w:sz w:val="24"/>
          <w:szCs w:val="24"/>
          <w:lang w:val="es-ES_tradnl" w:eastAsia="es-ES"/>
        </w:rPr>
        <w:t>s</w:t>
      </w:r>
      <w:r w:rsidR="000F5E0E" w:rsidRPr="00F23EC6">
        <w:rPr>
          <w:rFonts w:ascii="Palatino Linotype" w:eastAsiaTheme="minorEastAsia" w:hAnsi="Palatino Linotype"/>
          <w:sz w:val="24"/>
          <w:szCs w:val="24"/>
          <w:lang w:val="es-ES_tradnl" w:eastAsia="es-ES"/>
        </w:rPr>
        <w:t xml:space="preserve"> de fecha </w:t>
      </w:r>
      <w:r w:rsidR="00EA0E6C" w:rsidRPr="00F23EC6">
        <w:rPr>
          <w:rFonts w:ascii="Palatino Linotype" w:eastAsiaTheme="minorEastAsia" w:hAnsi="Palatino Linotype"/>
          <w:b/>
          <w:sz w:val="24"/>
          <w:szCs w:val="24"/>
          <w:lang w:val="es-ES_tradnl" w:eastAsia="es-ES"/>
        </w:rPr>
        <w:t>veinti</w:t>
      </w:r>
      <w:r w:rsidR="00854675" w:rsidRPr="00F23EC6">
        <w:rPr>
          <w:rFonts w:ascii="Palatino Linotype" w:eastAsiaTheme="minorEastAsia" w:hAnsi="Palatino Linotype"/>
          <w:b/>
          <w:sz w:val="24"/>
          <w:szCs w:val="24"/>
          <w:lang w:val="es-ES_tradnl" w:eastAsia="es-ES"/>
        </w:rPr>
        <w:t>c</w:t>
      </w:r>
      <w:r w:rsidR="00EA0E6C" w:rsidRPr="00F23EC6">
        <w:rPr>
          <w:rFonts w:ascii="Palatino Linotype" w:eastAsiaTheme="minorEastAsia" w:hAnsi="Palatino Linotype"/>
          <w:b/>
          <w:sz w:val="24"/>
          <w:szCs w:val="24"/>
          <w:lang w:val="es-ES_tradnl" w:eastAsia="es-ES"/>
        </w:rPr>
        <w:t>inc</w:t>
      </w:r>
      <w:r w:rsidR="00854675" w:rsidRPr="00F23EC6">
        <w:rPr>
          <w:rFonts w:ascii="Palatino Linotype" w:eastAsiaTheme="minorEastAsia" w:hAnsi="Palatino Linotype"/>
          <w:b/>
          <w:sz w:val="24"/>
          <w:szCs w:val="24"/>
          <w:lang w:val="es-ES_tradnl" w:eastAsia="es-ES"/>
        </w:rPr>
        <w:t>o</w:t>
      </w:r>
      <w:r w:rsidR="000F5E0E" w:rsidRPr="00F23EC6">
        <w:rPr>
          <w:rFonts w:ascii="Palatino Linotype" w:eastAsiaTheme="minorEastAsia" w:hAnsi="Palatino Linotype"/>
          <w:b/>
          <w:sz w:val="24"/>
          <w:szCs w:val="24"/>
          <w:lang w:val="es-ES_tradnl" w:eastAsia="es-ES"/>
        </w:rPr>
        <w:t xml:space="preserve"> </w:t>
      </w:r>
      <w:r w:rsidR="00854675" w:rsidRPr="00F23EC6">
        <w:rPr>
          <w:rFonts w:ascii="Palatino Linotype" w:eastAsiaTheme="minorEastAsia" w:hAnsi="Palatino Linotype"/>
          <w:b/>
          <w:sz w:val="24"/>
          <w:szCs w:val="24"/>
          <w:lang w:val="es-ES_tradnl" w:eastAsia="es-ES"/>
        </w:rPr>
        <w:t>(</w:t>
      </w:r>
      <w:r w:rsidR="00EA0E6C" w:rsidRPr="00F23EC6">
        <w:rPr>
          <w:rFonts w:ascii="Palatino Linotype" w:eastAsiaTheme="minorEastAsia" w:hAnsi="Palatino Linotype"/>
          <w:b/>
          <w:sz w:val="24"/>
          <w:szCs w:val="24"/>
          <w:lang w:val="es-ES_tradnl" w:eastAsia="es-ES"/>
        </w:rPr>
        <w:t>25</w:t>
      </w:r>
      <w:r w:rsidR="006C1483" w:rsidRPr="00F23EC6">
        <w:rPr>
          <w:rFonts w:ascii="Palatino Linotype" w:eastAsiaTheme="minorEastAsia" w:hAnsi="Palatino Linotype"/>
          <w:b/>
          <w:sz w:val="24"/>
          <w:szCs w:val="24"/>
          <w:lang w:val="es-ES_tradnl" w:eastAsia="es-ES"/>
        </w:rPr>
        <w:t xml:space="preserve">) de </w:t>
      </w:r>
      <w:r w:rsidR="00854675" w:rsidRPr="00F23EC6">
        <w:rPr>
          <w:rFonts w:ascii="Palatino Linotype" w:eastAsiaTheme="minorEastAsia" w:hAnsi="Palatino Linotype"/>
          <w:b/>
          <w:sz w:val="24"/>
          <w:szCs w:val="24"/>
          <w:lang w:val="es-ES_tradnl" w:eastAsia="es-ES"/>
        </w:rPr>
        <w:t>septiembre</w:t>
      </w:r>
      <w:r w:rsidR="00854675" w:rsidRPr="00F23EC6">
        <w:rPr>
          <w:rFonts w:ascii="Palatino Linotype" w:eastAsiaTheme="minorEastAsia" w:hAnsi="Palatino Linotype"/>
          <w:sz w:val="24"/>
          <w:szCs w:val="24"/>
          <w:lang w:val="es-ES_tradnl" w:eastAsia="es-ES"/>
        </w:rPr>
        <w:t xml:space="preserve"> </w:t>
      </w:r>
      <w:r w:rsidR="00854675" w:rsidRPr="00F23EC6">
        <w:rPr>
          <w:rFonts w:ascii="Palatino Linotype" w:eastAsiaTheme="minorEastAsia" w:hAnsi="Palatino Linotype"/>
          <w:b/>
          <w:sz w:val="24"/>
          <w:szCs w:val="24"/>
          <w:lang w:val="es-ES_tradnl" w:eastAsia="es-ES"/>
        </w:rPr>
        <w:t>de dos mil diecinueve</w:t>
      </w:r>
      <w:r w:rsidR="00516285" w:rsidRPr="00F23EC6">
        <w:rPr>
          <w:rFonts w:ascii="Palatino Linotype" w:eastAsiaTheme="minorEastAsia" w:hAnsi="Palatino Linotype"/>
          <w:sz w:val="24"/>
          <w:szCs w:val="24"/>
          <w:lang w:val="es-ES_tradnl" w:eastAsia="es-ES"/>
        </w:rPr>
        <w:t>; asimismo en misma fecha</w:t>
      </w:r>
      <w:r w:rsidR="000F5E0E" w:rsidRPr="00F23EC6">
        <w:rPr>
          <w:rFonts w:ascii="Palatino Linotype" w:eastAsiaTheme="minorEastAsia" w:hAnsi="Palatino Linotype" w:cs="Arial"/>
          <w:sz w:val="24"/>
          <w:szCs w:val="24"/>
          <w:lang w:val="es-ES_tradnl" w:eastAsia="es-ES"/>
        </w:rPr>
        <w:t xml:space="preserve"> se acordó la ampliación del plazo </w:t>
      </w:r>
      <w:r w:rsidR="00854675" w:rsidRPr="00F23EC6">
        <w:rPr>
          <w:rFonts w:ascii="Palatino Linotype" w:eastAsiaTheme="minorEastAsia" w:hAnsi="Palatino Linotype" w:cs="Arial"/>
          <w:sz w:val="24"/>
          <w:szCs w:val="24"/>
          <w:lang w:val="es-ES_tradnl" w:eastAsia="es-ES"/>
        </w:rPr>
        <w:t>del termino para resolver</w:t>
      </w:r>
      <w:r w:rsidR="000F5E0E" w:rsidRPr="00F23EC6">
        <w:rPr>
          <w:rFonts w:ascii="Palatino Linotype" w:eastAsiaTheme="minorEastAsia" w:hAnsi="Palatino Linotype" w:cs="Arial"/>
          <w:sz w:val="24"/>
          <w:szCs w:val="24"/>
          <w:lang w:val="es-ES_tradnl" w:eastAsia="es-ES"/>
        </w:rPr>
        <w:t xml:space="preserve">, a efecto de </w:t>
      </w:r>
      <w:r w:rsidR="00854675" w:rsidRPr="00F23EC6">
        <w:rPr>
          <w:rFonts w:ascii="Palatino Linotype" w:eastAsiaTheme="minorEastAsia" w:hAnsi="Palatino Linotype" w:cs="Arial"/>
          <w:sz w:val="24"/>
          <w:szCs w:val="24"/>
          <w:lang w:val="es-ES_tradnl" w:eastAsia="es-ES"/>
        </w:rPr>
        <w:t>un mejor proveer en su estudio y resolución</w:t>
      </w:r>
      <w:r w:rsidR="000F5E0E" w:rsidRPr="00F23EC6">
        <w:rPr>
          <w:rFonts w:ascii="Palatino Linotype" w:eastAsiaTheme="minorEastAsia" w:hAnsi="Palatino Linotype" w:cs="Arial"/>
          <w:sz w:val="24"/>
          <w:szCs w:val="24"/>
          <w:lang w:val="es-ES_tradnl" w:eastAsia="es-ES"/>
        </w:rPr>
        <w:t xml:space="preserve">, por lo que no habiendo más que hacer constar, y </w:t>
      </w:r>
    </w:p>
    <w:p w:rsidR="005A001E" w:rsidRDefault="005A001E" w:rsidP="00F23EC6">
      <w:pPr>
        <w:spacing w:line="360" w:lineRule="auto"/>
        <w:jc w:val="center"/>
        <w:rPr>
          <w:rFonts w:ascii="Palatino Linotype" w:eastAsia="Calibri" w:hAnsi="Palatino Linotype" w:cs="Arial"/>
          <w:sz w:val="24"/>
          <w:szCs w:val="24"/>
          <w:lang w:val="es-ES" w:eastAsia="es-ES"/>
        </w:rPr>
      </w:pPr>
    </w:p>
    <w:p w:rsidR="00F23EC6" w:rsidRDefault="00F23EC6" w:rsidP="00F23EC6">
      <w:pPr>
        <w:spacing w:line="360" w:lineRule="auto"/>
        <w:jc w:val="center"/>
        <w:rPr>
          <w:rFonts w:ascii="Palatino Linotype" w:eastAsia="Calibri" w:hAnsi="Palatino Linotype" w:cs="Arial"/>
          <w:sz w:val="24"/>
          <w:szCs w:val="24"/>
          <w:lang w:val="es-ES" w:eastAsia="es-ES"/>
        </w:rPr>
      </w:pPr>
    </w:p>
    <w:p w:rsidR="00F23EC6" w:rsidRDefault="00F23EC6" w:rsidP="00F23EC6">
      <w:pPr>
        <w:spacing w:line="360" w:lineRule="auto"/>
        <w:jc w:val="center"/>
        <w:rPr>
          <w:rFonts w:ascii="Palatino Linotype" w:eastAsia="Calibri" w:hAnsi="Palatino Linotype" w:cs="Arial"/>
          <w:sz w:val="24"/>
          <w:szCs w:val="24"/>
          <w:lang w:val="es-ES" w:eastAsia="es-ES"/>
        </w:rPr>
      </w:pPr>
    </w:p>
    <w:p w:rsidR="00F23EC6" w:rsidRPr="00F23EC6" w:rsidRDefault="00F23EC6" w:rsidP="00F23EC6">
      <w:pPr>
        <w:spacing w:line="360" w:lineRule="auto"/>
        <w:jc w:val="center"/>
        <w:rPr>
          <w:rFonts w:ascii="Palatino Linotype" w:eastAsia="Calibri" w:hAnsi="Palatino Linotype" w:cs="Arial"/>
          <w:sz w:val="24"/>
          <w:szCs w:val="24"/>
          <w:lang w:val="es-ES" w:eastAsia="es-ES"/>
        </w:rPr>
      </w:pPr>
    </w:p>
    <w:p w:rsidR="000F5E0E" w:rsidRPr="00F23EC6" w:rsidRDefault="000F5E0E" w:rsidP="00F23EC6">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20305937"/>
      <w:r w:rsidRPr="00F23EC6">
        <w:rPr>
          <w:rFonts w:ascii="Palatino Linotype" w:eastAsiaTheme="majorEastAsia" w:hAnsi="Palatino Linotype" w:cstheme="majorBidi"/>
          <w:b/>
          <w:sz w:val="24"/>
          <w:szCs w:val="24"/>
        </w:rPr>
        <w:t>C O N S I D E R A N D O</w:t>
      </w:r>
      <w:bookmarkEnd w:id="55"/>
    </w:p>
    <w:p w:rsidR="000F5E0E" w:rsidRPr="00F23EC6" w:rsidRDefault="000F5E0E" w:rsidP="00F23EC6">
      <w:pPr>
        <w:spacing w:after="0" w:line="360" w:lineRule="auto"/>
        <w:ind w:right="-142"/>
        <w:rPr>
          <w:rFonts w:ascii="Palatino Linotype" w:eastAsiaTheme="minorEastAsia" w:hAnsi="Palatino Linotype"/>
          <w:sz w:val="24"/>
          <w:szCs w:val="24"/>
        </w:rPr>
      </w:pPr>
    </w:p>
    <w:p w:rsidR="000F5E0E" w:rsidRPr="00F23EC6" w:rsidRDefault="000F5E0E" w:rsidP="00F23EC6">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20305938"/>
      <w:r w:rsidRPr="00F23EC6">
        <w:rPr>
          <w:rFonts w:ascii="Palatino Linotype" w:eastAsiaTheme="majorEastAsia" w:hAnsi="Palatino Linotype" w:cstheme="majorBidi"/>
          <w:b/>
          <w:sz w:val="24"/>
          <w:szCs w:val="24"/>
        </w:rPr>
        <w:t>PRIMERO. De la competencia.</w:t>
      </w:r>
      <w:bookmarkEnd w:id="56"/>
    </w:p>
    <w:p w:rsidR="000F5E0E" w:rsidRPr="00F23EC6" w:rsidRDefault="000F5E0E" w:rsidP="00F23EC6">
      <w:pPr>
        <w:spacing w:after="0" w:line="360" w:lineRule="auto"/>
        <w:ind w:right="-142"/>
        <w:rPr>
          <w:rFonts w:ascii="Palatino Linotype" w:eastAsiaTheme="minorEastAsia" w:hAnsi="Palatino Linotype"/>
          <w:sz w:val="24"/>
          <w:szCs w:val="24"/>
        </w:rPr>
      </w:pPr>
    </w:p>
    <w:p w:rsidR="000F5E0E" w:rsidRPr="00F23EC6" w:rsidRDefault="000F5E0E" w:rsidP="00F23EC6">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F23EC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23EC6">
        <w:rPr>
          <w:rFonts w:ascii="Palatino Linotype" w:eastAsia="Calibri" w:hAnsi="Palatino Linotype" w:cs="Times New Roman"/>
          <w:b/>
          <w:sz w:val="24"/>
          <w:szCs w:val="24"/>
          <w:lang w:val="es-ES" w:eastAsia="es-ES"/>
        </w:rPr>
        <w:t>Constitución Política de los Estados Unidos Mexicanos</w:t>
      </w:r>
      <w:r w:rsidRPr="00F23EC6">
        <w:rPr>
          <w:rFonts w:ascii="Palatino Linotype" w:eastAsia="Calibri" w:hAnsi="Palatino Linotype" w:cs="Times New Roman"/>
          <w:sz w:val="24"/>
          <w:szCs w:val="24"/>
          <w:lang w:val="es-ES" w:eastAsia="es-ES"/>
        </w:rPr>
        <w:t xml:space="preserve">; 5, párrafos </w:t>
      </w:r>
      <w:r w:rsidRPr="00F23EC6">
        <w:rPr>
          <w:rFonts w:ascii="Palatino Linotype" w:eastAsiaTheme="minorEastAsia" w:hAnsi="Palatino Linotype" w:cs="Arial"/>
          <w:bCs/>
          <w:color w:val="222222"/>
          <w:sz w:val="24"/>
          <w:szCs w:val="24"/>
          <w:lang w:val="es-ES" w:eastAsia="es-ES"/>
        </w:rPr>
        <w:t xml:space="preserve"> vigésimo </w:t>
      </w:r>
      <w:r w:rsidR="00854675" w:rsidRPr="00F23EC6">
        <w:rPr>
          <w:rFonts w:ascii="Palatino Linotype" w:eastAsiaTheme="minorEastAsia" w:hAnsi="Palatino Linotype" w:cs="Arial"/>
          <w:bCs/>
          <w:color w:val="222222"/>
          <w:sz w:val="24"/>
          <w:szCs w:val="24"/>
          <w:lang w:val="es-ES" w:eastAsia="es-ES"/>
        </w:rPr>
        <w:t>segundo;</w:t>
      </w:r>
      <w:r w:rsidRPr="00F23EC6">
        <w:rPr>
          <w:rFonts w:ascii="Palatino Linotype" w:eastAsiaTheme="minorEastAsia" w:hAnsi="Palatino Linotype" w:cs="Arial"/>
          <w:bCs/>
          <w:color w:val="222222"/>
          <w:sz w:val="24"/>
          <w:szCs w:val="24"/>
          <w:lang w:val="es-ES" w:eastAsia="es-ES"/>
        </w:rPr>
        <w:t xml:space="preserve"> vigésimo </w:t>
      </w:r>
      <w:r w:rsidR="00854675" w:rsidRPr="00F23EC6">
        <w:rPr>
          <w:rFonts w:ascii="Palatino Linotype" w:eastAsiaTheme="minorEastAsia" w:hAnsi="Palatino Linotype" w:cs="Arial"/>
          <w:bCs/>
          <w:color w:val="222222"/>
          <w:sz w:val="24"/>
          <w:szCs w:val="24"/>
          <w:lang w:val="es-ES" w:eastAsia="es-ES"/>
        </w:rPr>
        <w:t>tercero</w:t>
      </w:r>
      <w:r w:rsidRPr="00F23EC6">
        <w:rPr>
          <w:rFonts w:ascii="Palatino Linotype" w:eastAsiaTheme="minorEastAsia" w:hAnsi="Palatino Linotype" w:cs="Arial"/>
          <w:bCs/>
          <w:color w:val="222222"/>
          <w:sz w:val="24"/>
          <w:szCs w:val="24"/>
          <w:lang w:val="es-ES" w:eastAsia="es-ES"/>
        </w:rPr>
        <w:t xml:space="preserve"> </w:t>
      </w:r>
      <w:r w:rsidR="00854675" w:rsidRPr="00F23EC6">
        <w:rPr>
          <w:rFonts w:ascii="Palatino Linotype" w:eastAsiaTheme="minorEastAsia" w:hAnsi="Palatino Linotype" w:cs="Arial"/>
          <w:bCs/>
          <w:color w:val="222222"/>
          <w:sz w:val="24"/>
          <w:szCs w:val="24"/>
          <w:lang w:val="es-ES" w:eastAsia="es-ES"/>
        </w:rPr>
        <w:t xml:space="preserve">y vigésimo cuarto </w:t>
      </w:r>
      <w:r w:rsidRPr="00F23EC6">
        <w:rPr>
          <w:rFonts w:ascii="Palatino Linotype" w:eastAsia="Calibri" w:hAnsi="Palatino Linotype" w:cs="Times New Roman"/>
          <w:sz w:val="24"/>
          <w:szCs w:val="24"/>
          <w:lang w:val="es-ES" w:eastAsia="es-ES"/>
        </w:rPr>
        <w:t xml:space="preserve">fracciones IV y V de la </w:t>
      </w:r>
      <w:r w:rsidRPr="00F23EC6">
        <w:rPr>
          <w:rFonts w:ascii="Palatino Linotype" w:eastAsia="Calibri" w:hAnsi="Palatino Linotype" w:cs="Times New Roman"/>
          <w:b/>
          <w:sz w:val="24"/>
          <w:szCs w:val="24"/>
          <w:lang w:val="es-ES" w:eastAsia="es-ES"/>
        </w:rPr>
        <w:t>Constitución Política del Estado Libre y Soberano de México</w:t>
      </w:r>
      <w:r w:rsidRPr="00F23EC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23EC6">
        <w:rPr>
          <w:rFonts w:ascii="Palatino Linotype" w:eastAsia="Calibri" w:hAnsi="Palatino Linotype" w:cs="Arial"/>
          <w:sz w:val="24"/>
          <w:szCs w:val="24"/>
          <w:lang w:val="es-ES" w:eastAsia="es-ES"/>
        </w:rPr>
        <w:t xml:space="preserve">de la </w:t>
      </w:r>
      <w:r w:rsidRPr="00F23EC6">
        <w:rPr>
          <w:rFonts w:ascii="Palatino Linotype" w:eastAsia="Calibri" w:hAnsi="Palatino Linotype" w:cs="Arial"/>
          <w:b/>
          <w:sz w:val="24"/>
          <w:szCs w:val="24"/>
          <w:lang w:val="es-ES" w:eastAsia="es-ES"/>
        </w:rPr>
        <w:t>Ley de Transparencia y Acceso a la Información Pública del Estado de México y Municipios</w:t>
      </w:r>
      <w:r w:rsidRPr="00F23EC6">
        <w:rPr>
          <w:rFonts w:ascii="Palatino Linotype" w:eastAsia="Calibri" w:hAnsi="Palatino Linotype" w:cs="Arial"/>
          <w:sz w:val="24"/>
          <w:szCs w:val="24"/>
          <w:lang w:val="es-ES" w:eastAsia="es-ES"/>
        </w:rPr>
        <w:t xml:space="preserve">; y 7, 9 fracciones I y XXIV, y 11 del </w:t>
      </w:r>
      <w:r w:rsidRPr="00F23EC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23EC6">
        <w:rPr>
          <w:rFonts w:ascii="Palatino Linotype" w:eastAsiaTheme="minorEastAsia" w:hAnsi="Palatino Linotype"/>
          <w:sz w:val="24"/>
          <w:szCs w:val="24"/>
          <w:lang w:val="es-ES_tradnl" w:eastAsia="es-ES"/>
        </w:rPr>
        <w:t>.</w:t>
      </w:r>
    </w:p>
    <w:p w:rsidR="005A001E" w:rsidRPr="00F23EC6" w:rsidRDefault="005A001E" w:rsidP="00F23EC6">
      <w:pPr>
        <w:keepNext/>
        <w:keepLines/>
        <w:spacing w:before="40" w:after="0" w:line="360" w:lineRule="auto"/>
        <w:ind w:right="-142"/>
        <w:outlineLvl w:val="1"/>
        <w:rPr>
          <w:rFonts w:ascii="Palatino Linotype" w:eastAsiaTheme="majorEastAsia" w:hAnsi="Palatino Linotype" w:cstheme="majorBidi"/>
          <w:b/>
          <w:sz w:val="24"/>
          <w:szCs w:val="24"/>
        </w:rPr>
      </w:pPr>
    </w:p>
    <w:p w:rsidR="000F5E0E" w:rsidRPr="00F23EC6" w:rsidRDefault="000F5E0E" w:rsidP="00F23EC6">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20305939"/>
      <w:r w:rsidRPr="00F23EC6">
        <w:rPr>
          <w:rFonts w:ascii="Palatino Linotype" w:eastAsiaTheme="majorEastAsia" w:hAnsi="Palatino Linotype" w:cstheme="majorBidi"/>
          <w:b/>
          <w:sz w:val="24"/>
          <w:szCs w:val="24"/>
        </w:rPr>
        <w:t>SEGUNDO. De la oportunidad y procedencia.</w:t>
      </w:r>
      <w:bookmarkEnd w:id="57"/>
    </w:p>
    <w:p w:rsidR="000F5E0E" w:rsidRPr="00F23EC6" w:rsidRDefault="000F5E0E" w:rsidP="00F23EC6">
      <w:pPr>
        <w:keepNext/>
        <w:keepLines/>
        <w:spacing w:before="40" w:after="0" w:line="360" w:lineRule="auto"/>
        <w:ind w:right="-142"/>
        <w:outlineLvl w:val="1"/>
        <w:rPr>
          <w:rFonts w:ascii="Palatino Linotype" w:eastAsiaTheme="majorEastAsia" w:hAnsi="Palatino Linotype" w:cstheme="majorBidi"/>
          <w:b/>
          <w:sz w:val="24"/>
          <w:szCs w:val="24"/>
        </w:rPr>
      </w:pPr>
    </w:p>
    <w:p w:rsidR="006C1483" w:rsidRPr="00F23EC6" w:rsidRDefault="006C1483" w:rsidP="00F23EC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F23EC6">
        <w:rPr>
          <w:rFonts w:ascii="Palatino Linotype" w:eastAsia="Calibri" w:hAnsi="Palatino Linotype" w:cs="Arial"/>
          <w:sz w:val="24"/>
          <w:szCs w:val="24"/>
          <w:lang w:val="es-ES_tradnl" w:eastAsia="es-ES"/>
        </w:rPr>
        <w:t xml:space="preserve">Es de precisar, que la Ley de Transparencia y Acceso a la Información Pública del </w:t>
      </w:r>
      <w:r w:rsidRPr="00F23EC6">
        <w:rPr>
          <w:rFonts w:ascii="Palatino Linotype" w:eastAsia="Calibri" w:hAnsi="Palatino Linotype" w:cs="Times New Roman"/>
          <w:sz w:val="24"/>
          <w:szCs w:val="24"/>
          <w:lang w:val="es-ES_tradnl" w:eastAsia="es-ES"/>
        </w:rPr>
        <w:t>Estado</w:t>
      </w:r>
      <w:r w:rsidRPr="00F23EC6">
        <w:rPr>
          <w:rFonts w:ascii="Palatino Linotype" w:eastAsia="Calibri" w:hAnsi="Palatino Linotype" w:cs="Arial"/>
          <w:sz w:val="24"/>
          <w:szCs w:val="24"/>
          <w:lang w:val="es-ES_tradnl" w:eastAsia="es-ES"/>
        </w:rPr>
        <w:t xml:space="preserve"> de México y Municipios, en sus artículos 166 y 178 describen la procedencia del recurso de revisión, asimismo señala que el plazo del </w:t>
      </w:r>
      <w:r w:rsidRPr="00F23EC6">
        <w:rPr>
          <w:rFonts w:ascii="Palatino Linotype" w:eastAsia="Calibri" w:hAnsi="Palatino Linotype" w:cs="Arial"/>
          <w:b/>
          <w:sz w:val="24"/>
          <w:szCs w:val="24"/>
          <w:lang w:val="es-ES_tradnl" w:eastAsia="es-ES"/>
        </w:rPr>
        <w:t>SUJETO OBLIGADO</w:t>
      </w:r>
      <w:r w:rsidRPr="00F23EC6">
        <w:rPr>
          <w:rFonts w:ascii="Palatino Linotype" w:eastAsia="Calibri" w:hAnsi="Palatino Linotype" w:cs="Arial"/>
          <w:sz w:val="24"/>
          <w:szCs w:val="24"/>
          <w:lang w:val="es-ES_tradnl"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C1483" w:rsidRPr="00F23EC6" w:rsidRDefault="006C1483" w:rsidP="00F23EC6">
      <w:pPr>
        <w:spacing w:after="0" w:line="360" w:lineRule="auto"/>
        <w:ind w:right="34"/>
        <w:contextualSpacing/>
        <w:jc w:val="both"/>
        <w:rPr>
          <w:rFonts w:ascii="Palatino Linotype" w:eastAsia="Calibri" w:hAnsi="Palatino Linotype" w:cs="Arial"/>
          <w:sz w:val="24"/>
          <w:szCs w:val="24"/>
          <w:lang w:val="es-ES_tradnl" w:eastAsia="es-ES"/>
        </w:rPr>
      </w:pPr>
    </w:p>
    <w:p w:rsidR="006C1483" w:rsidRPr="00F23EC6" w:rsidRDefault="006C1483" w:rsidP="00F23EC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F23EC6">
        <w:rPr>
          <w:rFonts w:ascii="Palatino Linotype" w:eastAsia="Calibri" w:hAnsi="Palatino Linotype" w:cs="Arial"/>
          <w:sz w:val="24"/>
          <w:szCs w:val="24"/>
          <w:lang w:val="es-ES_tradnl" w:eastAsia="es-E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rsidR="006C1483" w:rsidRPr="00F23EC6" w:rsidRDefault="006C1483" w:rsidP="00F23EC6">
      <w:pPr>
        <w:spacing w:after="0" w:line="360" w:lineRule="auto"/>
        <w:ind w:right="34"/>
        <w:contextualSpacing/>
        <w:jc w:val="both"/>
        <w:rPr>
          <w:rFonts w:ascii="Palatino Linotype" w:eastAsia="Calibri" w:hAnsi="Palatino Linotype" w:cs="Arial"/>
          <w:sz w:val="24"/>
          <w:szCs w:val="24"/>
          <w:lang w:val="es-ES_tradnl" w:eastAsia="es-ES"/>
        </w:rPr>
      </w:pPr>
    </w:p>
    <w:p w:rsidR="006C1483" w:rsidRPr="00F23EC6" w:rsidRDefault="006C1483" w:rsidP="00F23EC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F23EC6">
        <w:rPr>
          <w:rFonts w:ascii="Palatino Linotype" w:eastAsia="Calibri" w:hAnsi="Palatino Linotype" w:cs="Arial"/>
          <w:sz w:val="24"/>
          <w:szCs w:val="24"/>
          <w:lang w:val="es-ES_tradnl" w:eastAsia="es-ES"/>
        </w:rPr>
        <w:t>Así pues,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6C1483" w:rsidRPr="00F23EC6" w:rsidRDefault="006C1483" w:rsidP="00F23EC6">
      <w:pPr>
        <w:spacing w:after="0" w:line="360" w:lineRule="auto"/>
        <w:ind w:left="567" w:right="616"/>
        <w:contextualSpacing/>
        <w:jc w:val="center"/>
        <w:rPr>
          <w:rFonts w:ascii="Palatino Linotype" w:eastAsia="Calibri" w:hAnsi="Palatino Linotype" w:cs="Arial"/>
          <w:sz w:val="24"/>
          <w:szCs w:val="24"/>
          <w:lang w:val="es-ES_tradnl" w:eastAsia="es-ES"/>
        </w:rPr>
      </w:pPr>
      <w:r w:rsidRPr="00F23EC6">
        <w:rPr>
          <w:rFonts w:ascii="Palatino Linotype" w:eastAsia="Calibri" w:hAnsi="Palatino Linotype" w:cs="Arial"/>
          <w:sz w:val="24"/>
          <w:szCs w:val="24"/>
          <w:lang w:val="es-ES_tradnl" w:eastAsia="es-ES"/>
        </w:rPr>
        <w:t>“Criterio 0001-15</w:t>
      </w:r>
    </w:p>
    <w:p w:rsidR="006C1483" w:rsidRPr="00F23EC6" w:rsidRDefault="006C1483" w:rsidP="00F23EC6">
      <w:pPr>
        <w:spacing w:after="0" w:line="360" w:lineRule="auto"/>
        <w:ind w:left="567" w:right="616"/>
        <w:contextualSpacing/>
        <w:jc w:val="both"/>
        <w:rPr>
          <w:rFonts w:ascii="Palatino Linotype" w:eastAsia="Calibri" w:hAnsi="Palatino Linotype" w:cs="Arial"/>
          <w:i/>
          <w:sz w:val="24"/>
          <w:szCs w:val="24"/>
          <w:lang w:val="es-ES_tradnl" w:eastAsia="es-ES"/>
        </w:rPr>
      </w:pPr>
      <w:r w:rsidRPr="00F23EC6">
        <w:rPr>
          <w:rFonts w:ascii="Palatino Linotype" w:eastAsia="Calibri" w:hAnsi="Palatino Linotype" w:cs="Arial"/>
          <w:b/>
          <w:i/>
          <w:sz w:val="24"/>
          <w:szCs w:val="24"/>
          <w:lang w:val="es-ES_tradnl" w:eastAsia="es-ES"/>
        </w:rPr>
        <w:t>NEGATIVA FICTA. PLAZO PARA INTERPONER EL RECURSO DE REVISIÓN TRATÁNDOSE DE</w:t>
      </w:r>
      <w:r w:rsidRPr="00F23EC6">
        <w:rPr>
          <w:rFonts w:ascii="Palatino Linotype" w:eastAsia="Calibri"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C1483" w:rsidRPr="00F23EC6" w:rsidRDefault="006C1483" w:rsidP="00F23EC6">
      <w:pPr>
        <w:spacing w:after="0" w:line="360" w:lineRule="auto"/>
        <w:ind w:right="616"/>
        <w:contextualSpacing/>
        <w:jc w:val="both"/>
        <w:rPr>
          <w:rFonts w:ascii="Palatino Linotype" w:eastAsia="Calibri" w:hAnsi="Palatino Linotype" w:cs="Arial"/>
          <w:i/>
          <w:sz w:val="24"/>
          <w:szCs w:val="24"/>
          <w:lang w:val="es-ES_tradnl" w:eastAsia="es-ES"/>
        </w:rPr>
      </w:pPr>
    </w:p>
    <w:p w:rsidR="006C1483" w:rsidRPr="00F23EC6" w:rsidRDefault="006C1483" w:rsidP="00F23EC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F23EC6">
        <w:rPr>
          <w:rFonts w:ascii="Palatino Linotype" w:eastAsia="Calibri" w:hAnsi="Palatino Linotype" w:cs="Arial"/>
          <w:sz w:val="24"/>
          <w:szCs w:val="24"/>
          <w:lang w:val="es-ES_tradnl" w:eastAsia="es-ES"/>
        </w:rPr>
        <w:t>Por consiguiente, tratándose de negativa ficta no existe plazo para la interposición del recurso de revisión por tratarse de una afectación continua al Derecho de Acceso a la Información Pública.</w:t>
      </w:r>
    </w:p>
    <w:p w:rsidR="006C1483" w:rsidRPr="00F23EC6" w:rsidRDefault="006C1483" w:rsidP="00F23EC6">
      <w:pPr>
        <w:spacing w:after="0" w:line="360" w:lineRule="auto"/>
        <w:ind w:right="34"/>
        <w:contextualSpacing/>
        <w:jc w:val="both"/>
        <w:rPr>
          <w:rFonts w:ascii="Palatino Linotype" w:eastAsia="Calibri" w:hAnsi="Palatino Linotype" w:cs="Arial"/>
          <w:sz w:val="24"/>
          <w:szCs w:val="24"/>
          <w:lang w:val="es-ES_tradnl" w:eastAsia="es-ES"/>
        </w:rPr>
      </w:pPr>
    </w:p>
    <w:p w:rsidR="00A623B7" w:rsidRDefault="006C1483" w:rsidP="00F23EC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F23EC6">
        <w:rPr>
          <w:rFonts w:ascii="Palatino Linotype" w:eastAsia="Calibri" w:hAnsi="Palatino Linotype" w:cs="Arial"/>
          <w:sz w:val="24"/>
          <w:szCs w:val="24"/>
          <w:lang w:val="es-ES_tradnl"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F23EC6">
        <w:rPr>
          <w:rFonts w:ascii="Palatino Linotype" w:eastAsia="Calibri" w:hAnsi="Palatino Linotype" w:cs="Arial"/>
          <w:b/>
          <w:sz w:val="24"/>
          <w:szCs w:val="24"/>
          <w:lang w:val="es-ES_tradnl" w:eastAsia="es-ES"/>
        </w:rPr>
        <w:t xml:space="preserve">SUJETO OBLIGADO. </w:t>
      </w:r>
    </w:p>
    <w:p w:rsidR="00F23EC6" w:rsidRPr="00F23EC6" w:rsidRDefault="00F23EC6" w:rsidP="00F23EC6">
      <w:pPr>
        <w:spacing w:after="0" w:line="360" w:lineRule="auto"/>
        <w:ind w:right="34"/>
        <w:contextualSpacing/>
        <w:jc w:val="both"/>
        <w:rPr>
          <w:rFonts w:ascii="Palatino Linotype" w:eastAsia="Calibri" w:hAnsi="Palatino Linotype" w:cs="Arial"/>
          <w:sz w:val="24"/>
          <w:szCs w:val="24"/>
          <w:lang w:val="es-ES_tradnl" w:eastAsia="es-ES"/>
        </w:rPr>
      </w:pPr>
    </w:p>
    <w:p w:rsidR="000F5E0E" w:rsidRPr="00F23EC6" w:rsidRDefault="00A623B7" w:rsidP="00F23EC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F23EC6">
        <w:rPr>
          <w:rFonts w:ascii="Palatino Linotype" w:hAnsi="Palatino Linotype" w:cs="Arial"/>
          <w:sz w:val="24"/>
          <w:szCs w:val="24"/>
        </w:rPr>
        <w:t>E</w:t>
      </w:r>
      <w:r w:rsidR="000F5E0E" w:rsidRPr="00F23EC6">
        <w:rPr>
          <w:rFonts w:ascii="Palatino Linotype" w:hAnsi="Palatino Linotype" w:cs="Arial"/>
          <w:sz w:val="24"/>
          <w:szCs w:val="24"/>
        </w:rPr>
        <w:t xml:space="preserve">l </w:t>
      </w:r>
      <w:r w:rsidR="00333587" w:rsidRPr="00F23EC6">
        <w:rPr>
          <w:rFonts w:ascii="Palatino Linotype" w:hAnsi="Palatino Linotype" w:cs="Arial"/>
          <w:sz w:val="24"/>
          <w:szCs w:val="24"/>
        </w:rPr>
        <w:t>r</w:t>
      </w:r>
      <w:r w:rsidR="000F5E0E" w:rsidRPr="00F23EC6">
        <w:rPr>
          <w:rFonts w:ascii="Palatino Linotype" w:hAnsi="Palatino Linotype" w:cs="Arial"/>
          <w:sz w:val="24"/>
          <w:szCs w:val="24"/>
        </w:rPr>
        <w:t xml:space="preserve">ecurso </w:t>
      </w:r>
      <w:r w:rsidR="00333587" w:rsidRPr="00F23EC6">
        <w:rPr>
          <w:rFonts w:ascii="Palatino Linotype" w:hAnsi="Palatino Linotype" w:cs="Arial"/>
          <w:sz w:val="24"/>
          <w:szCs w:val="24"/>
        </w:rPr>
        <w:t>de r</w:t>
      </w:r>
      <w:r w:rsidR="000F5E0E" w:rsidRPr="00F23EC6">
        <w:rPr>
          <w:rFonts w:ascii="Palatino Linotype" w:hAnsi="Palatino Linotype" w:cs="Arial"/>
          <w:sz w:val="24"/>
          <w:szCs w:val="24"/>
        </w:rPr>
        <w:t xml:space="preserve">evisión tiene como finalidad reparar cualquier posible afectación al derecho de acceso a la información pública en términos del Título Octavo de la </w:t>
      </w:r>
      <w:r w:rsidR="000F5E0E" w:rsidRPr="00F23EC6">
        <w:rPr>
          <w:rFonts w:ascii="Palatino Linotype" w:hAnsi="Palatino Linotype" w:cs="Arial"/>
          <w:b/>
          <w:sz w:val="24"/>
          <w:szCs w:val="24"/>
        </w:rPr>
        <w:t>Ley de Transparencia y Acceso a la Información Pública del Estado de México y Municipios</w:t>
      </w:r>
      <w:r w:rsidR="000F5E0E" w:rsidRPr="00F23EC6">
        <w:rPr>
          <w:rFonts w:ascii="Palatino Linotype" w:hAnsi="Palatino Linotype" w:cs="Arial"/>
          <w:sz w:val="24"/>
          <w:szCs w:val="24"/>
        </w:rPr>
        <w:t xml:space="preserve">, y determinar la confirmación; revocación o modificación; </w:t>
      </w:r>
      <w:proofErr w:type="spellStart"/>
      <w:r w:rsidR="000F5E0E" w:rsidRPr="00F23EC6">
        <w:rPr>
          <w:rFonts w:ascii="Palatino Linotype" w:hAnsi="Palatino Linotype" w:cs="Arial"/>
          <w:sz w:val="24"/>
          <w:szCs w:val="24"/>
        </w:rPr>
        <w:t>desechamiento</w:t>
      </w:r>
      <w:proofErr w:type="spellEnd"/>
      <w:r w:rsidR="000F5E0E" w:rsidRPr="00F23EC6">
        <w:rPr>
          <w:rFonts w:ascii="Palatino Linotype" w:hAnsi="Palatino Linotype" w:cs="Arial"/>
          <w:sz w:val="24"/>
          <w:szCs w:val="24"/>
        </w:rPr>
        <w:t xml:space="preserve"> o sobreseimiento; y en su caso ordenar la entrega de la información.</w:t>
      </w:r>
    </w:p>
    <w:p w:rsidR="00F23EC6" w:rsidRPr="00F23EC6" w:rsidRDefault="00F23EC6" w:rsidP="00F23EC6">
      <w:pPr>
        <w:spacing w:after="0" w:line="360" w:lineRule="auto"/>
        <w:ind w:right="34"/>
        <w:contextualSpacing/>
        <w:jc w:val="both"/>
        <w:rPr>
          <w:rFonts w:ascii="Palatino Linotype" w:eastAsia="Calibri" w:hAnsi="Palatino Linotype" w:cs="Arial"/>
          <w:sz w:val="24"/>
          <w:szCs w:val="24"/>
          <w:lang w:val="es-ES_tradnl" w:eastAsia="es-ES"/>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F23EC6">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E27790" w:rsidRPr="00F23EC6" w:rsidRDefault="00E27790" w:rsidP="00F23EC6">
      <w:pPr>
        <w:pStyle w:val="Prrafodelista"/>
        <w:spacing w:line="360" w:lineRule="auto"/>
        <w:rPr>
          <w:rFonts w:ascii="Palatino Linotype" w:eastAsia="Calibri" w:hAnsi="Palatino Linotype" w:cs="Times New Roman"/>
          <w:sz w:val="24"/>
          <w:szCs w:val="24"/>
          <w:lang w:val="es-ES" w:eastAsia="es-ES"/>
        </w:rPr>
      </w:pPr>
    </w:p>
    <w:p w:rsidR="00E27790" w:rsidRDefault="00854675" w:rsidP="00F23EC6">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8" w:name="_Toc20305940"/>
      <w:r w:rsidRPr="00F23EC6">
        <w:rPr>
          <w:rFonts w:ascii="Palatino Linotype" w:eastAsia="MS Mincho" w:hAnsi="Palatino Linotype" w:cstheme="majorBidi"/>
          <w:b/>
          <w:sz w:val="24"/>
          <w:szCs w:val="24"/>
          <w:lang w:val="es-ES_tradnl" w:eastAsia="es-ES"/>
        </w:rPr>
        <w:t>TERCERO. De previo y especial pronunciamiento.</w:t>
      </w:r>
      <w:bookmarkEnd w:id="58"/>
    </w:p>
    <w:p w:rsidR="00F23EC6" w:rsidRPr="00F23EC6" w:rsidRDefault="00F23EC6" w:rsidP="00F23EC6">
      <w:pPr>
        <w:keepNext/>
        <w:keepLines/>
        <w:spacing w:before="240" w:after="0" w:line="360" w:lineRule="auto"/>
        <w:outlineLvl w:val="0"/>
        <w:rPr>
          <w:rFonts w:ascii="Palatino Linotype" w:eastAsia="MS Mincho" w:hAnsi="Palatino Linotype" w:cstheme="majorBidi"/>
          <w:b/>
          <w:sz w:val="12"/>
          <w:szCs w:val="24"/>
          <w:lang w:val="es-ES_tradnl" w:eastAsia="es-ES"/>
        </w:rPr>
      </w:pPr>
    </w:p>
    <w:p w:rsidR="008A7178" w:rsidRPr="00F23EC6" w:rsidRDefault="008A7178" w:rsidP="00F23EC6">
      <w:pPr>
        <w:numPr>
          <w:ilvl w:val="0"/>
          <w:numId w:val="2"/>
        </w:numPr>
        <w:spacing w:after="0" w:line="360" w:lineRule="auto"/>
        <w:ind w:left="0" w:firstLine="0"/>
        <w:contextualSpacing/>
        <w:jc w:val="both"/>
        <w:rPr>
          <w:rFonts w:ascii="Palatino Linotype" w:hAnsi="Palatino Linotype"/>
          <w:sz w:val="24"/>
          <w:szCs w:val="24"/>
        </w:rPr>
      </w:pPr>
      <w:r w:rsidRPr="00F23EC6">
        <w:rPr>
          <w:rFonts w:ascii="Palatino Linotype" w:eastAsia="Calibri" w:hAnsi="Palatino Linotype" w:cs="Arial"/>
          <w:sz w:val="24"/>
          <w:szCs w:val="24"/>
          <w:lang w:val="es-ES_tradnl" w:eastAsia="es-ES"/>
        </w:rPr>
        <w:t>De</w:t>
      </w:r>
      <w:r w:rsidRPr="00F23EC6">
        <w:rPr>
          <w:rFonts w:ascii="Palatino Linotype" w:hAnsi="Palatino Linotype"/>
          <w:sz w:val="24"/>
          <w:szCs w:val="24"/>
        </w:rPr>
        <w:t xml:space="preserv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8A7178" w:rsidRPr="00F23EC6" w:rsidRDefault="008A7178" w:rsidP="00F23EC6">
      <w:pPr>
        <w:spacing w:after="0" w:line="360" w:lineRule="auto"/>
        <w:contextualSpacing/>
        <w:jc w:val="both"/>
        <w:rPr>
          <w:rFonts w:ascii="Palatino Linotype" w:hAnsi="Palatino Linotype"/>
          <w:sz w:val="24"/>
          <w:szCs w:val="24"/>
        </w:rPr>
      </w:pPr>
    </w:p>
    <w:p w:rsidR="008A7178" w:rsidRPr="00F23EC6" w:rsidRDefault="008A7178" w:rsidP="00F23EC6">
      <w:pPr>
        <w:numPr>
          <w:ilvl w:val="0"/>
          <w:numId w:val="2"/>
        </w:numPr>
        <w:spacing w:after="0" w:line="360" w:lineRule="auto"/>
        <w:ind w:left="0" w:firstLine="0"/>
        <w:contextualSpacing/>
        <w:jc w:val="both"/>
        <w:rPr>
          <w:rFonts w:ascii="Palatino Linotype" w:hAnsi="Palatino Linotype"/>
          <w:sz w:val="24"/>
          <w:szCs w:val="24"/>
        </w:rPr>
      </w:pPr>
      <w:r w:rsidRPr="00F23EC6">
        <w:rPr>
          <w:rFonts w:ascii="Palatino Linotype" w:eastAsia="Calibri" w:hAnsi="Palatino Linotype" w:cs="Arial"/>
          <w:sz w:val="24"/>
          <w:szCs w:val="24"/>
          <w:lang w:val="es-ES_tradnl" w:eastAsia="es-ES"/>
        </w:rPr>
        <w:t>Esto</w:t>
      </w:r>
      <w:r w:rsidRPr="00F23EC6">
        <w:rPr>
          <w:rFonts w:ascii="Palatino Linotype" w:hAnsi="Palatino Linotype"/>
          <w:sz w:val="24"/>
          <w:szCs w:val="24"/>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A7178" w:rsidRDefault="008A7178" w:rsidP="00F23EC6">
      <w:pPr>
        <w:numPr>
          <w:ilvl w:val="0"/>
          <w:numId w:val="2"/>
        </w:numPr>
        <w:spacing w:after="0" w:line="360" w:lineRule="auto"/>
        <w:ind w:left="0" w:firstLine="0"/>
        <w:contextualSpacing/>
        <w:jc w:val="both"/>
        <w:rPr>
          <w:rFonts w:ascii="Palatino Linotype" w:hAnsi="Palatino Linotype"/>
          <w:sz w:val="24"/>
          <w:szCs w:val="24"/>
        </w:rPr>
      </w:pPr>
      <w:r w:rsidRPr="00F23EC6">
        <w:rPr>
          <w:rFonts w:ascii="Palatino Linotype" w:eastAsia="Calibri" w:hAnsi="Palatino Linotype" w:cs="Arial"/>
          <w:sz w:val="24"/>
          <w:szCs w:val="24"/>
          <w:lang w:val="es-ES_tradnl" w:eastAsia="es-ES"/>
        </w:rPr>
        <w:t>Por</w:t>
      </w:r>
      <w:r w:rsidRPr="00F23EC6">
        <w:rPr>
          <w:rFonts w:ascii="Palatino Linotype" w:hAnsi="Palatino Linotype"/>
          <w:sz w:val="24"/>
          <w:szCs w:val="24"/>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23EC6" w:rsidRPr="00F23EC6" w:rsidRDefault="00F23EC6" w:rsidP="00F23EC6">
      <w:pPr>
        <w:spacing w:after="0" w:line="360" w:lineRule="auto"/>
        <w:contextualSpacing/>
        <w:jc w:val="both"/>
        <w:rPr>
          <w:rFonts w:ascii="Palatino Linotype" w:hAnsi="Palatino Linotype"/>
          <w:sz w:val="24"/>
          <w:szCs w:val="24"/>
        </w:rPr>
      </w:pPr>
    </w:p>
    <w:p w:rsidR="008A7178" w:rsidRDefault="008A7178" w:rsidP="00F23EC6">
      <w:pPr>
        <w:numPr>
          <w:ilvl w:val="0"/>
          <w:numId w:val="2"/>
        </w:numPr>
        <w:spacing w:after="0" w:line="360" w:lineRule="auto"/>
        <w:ind w:left="0" w:firstLine="0"/>
        <w:contextualSpacing/>
        <w:jc w:val="both"/>
        <w:rPr>
          <w:rFonts w:ascii="Palatino Linotype" w:hAnsi="Palatino Linotype"/>
          <w:sz w:val="24"/>
          <w:szCs w:val="24"/>
        </w:rPr>
      </w:pPr>
      <w:r w:rsidRPr="00F23EC6">
        <w:rPr>
          <w:rFonts w:ascii="Palatino Linotype" w:eastAsia="Calibri" w:hAnsi="Palatino Linotype" w:cs="Arial"/>
          <w:sz w:val="24"/>
          <w:szCs w:val="24"/>
          <w:lang w:val="es-ES_tradnl" w:eastAsia="es-ES"/>
        </w:rPr>
        <w:t>En</w:t>
      </w:r>
      <w:r w:rsidRPr="00F23EC6">
        <w:rPr>
          <w:rFonts w:ascii="Palatino Linotype" w:hAnsi="Palatino Linotype"/>
          <w:sz w:val="24"/>
          <w:szCs w:val="24"/>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23EC6" w:rsidRPr="00F23EC6" w:rsidRDefault="00F23EC6" w:rsidP="00F23EC6">
      <w:pPr>
        <w:spacing w:after="0" w:line="360" w:lineRule="auto"/>
        <w:contextualSpacing/>
        <w:jc w:val="both"/>
        <w:rPr>
          <w:rFonts w:ascii="Palatino Linotype" w:hAnsi="Palatino Linotype"/>
          <w:sz w:val="24"/>
          <w:szCs w:val="24"/>
        </w:rPr>
      </w:pPr>
    </w:p>
    <w:p w:rsidR="008A7178" w:rsidRPr="00F23EC6" w:rsidRDefault="008A7178" w:rsidP="00F23EC6">
      <w:pPr>
        <w:numPr>
          <w:ilvl w:val="0"/>
          <w:numId w:val="2"/>
        </w:numPr>
        <w:spacing w:after="0" w:line="360" w:lineRule="auto"/>
        <w:ind w:left="0" w:firstLine="0"/>
        <w:contextualSpacing/>
        <w:jc w:val="both"/>
        <w:rPr>
          <w:rFonts w:ascii="Palatino Linotype" w:hAnsi="Palatino Linotype"/>
          <w:sz w:val="24"/>
          <w:szCs w:val="24"/>
        </w:rPr>
      </w:pPr>
      <w:r w:rsidRPr="00F23EC6">
        <w:rPr>
          <w:rFonts w:ascii="Palatino Linotype" w:eastAsia="Calibri" w:hAnsi="Palatino Linotype" w:cs="Arial"/>
          <w:sz w:val="24"/>
          <w:szCs w:val="24"/>
          <w:lang w:val="es-ES_tradnl" w:eastAsia="es-ES"/>
        </w:rPr>
        <w:t>Por</w:t>
      </w:r>
      <w:r w:rsidRPr="00F23EC6">
        <w:rPr>
          <w:rFonts w:ascii="Palatino Linotype" w:hAnsi="Palatino Linotype"/>
          <w:sz w:val="24"/>
          <w:szCs w:val="24"/>
        </w:rPr>
        <w:t xml:space="preserve"> lo que el nombre del solicitando y recurrente no puede ser considerado un requisito indispensable de </w:t>
      </w:r>
      <w:proofErr w:type="spellStart"/>
      <w:r w:rsidRPr="00F23EC6">
        <w:rPr>
          <w:rFonts w:ascii="Palatino Linotype" w:hAnsi="Palatino Linotype"/>
          <w:sz w:val="24"/>
          <w:szCs w:val="24"/>
        </w:rPr>
        <w:t>procedibilidad</w:t>
      </w:r>
      <w:proofErr w:type="spellEnd"/>
      <w:r w:rsidRPr="00F23EC6">
        <w:rPr>
          <w:rFonts w:ascii="Palatino Linotype" w:hAnsi="Palatino Linotype"/>
          <w:sz w:val="24"/>
          <w:szCs w:val="24"/>
        </w:rPr>
        <w:t xml:space="preserve"> del recurso de revisión que nos ocupa, ya que el acceso a la información no está condicionado a acreditar algún interés ya sea jurídico o legítimo, máxime que es un elemento subsanable por este Órgano </w:t>
      </w:r>
      <w:proofErr w:type="spellStart"/>
      <w:r w:rsidRPr="00F23EC6">
        <w:rPr>
          <w:rFonts w:ascii="Palatino Linotype" w:hAnsi="Palatino Linotype"/>
          <w:sz w:val="24"/>
          <w:szCs w:val="24"/>
        </w:rPr>
        <w:t>Resolutor</w:t>
      </w:r>
      <w:proofErr w:type="spellEnd"/>
      <w:r w:rsidRPr="00F23EC6">
        <w:rPr>
          <w:rFonts w:ascii="Palatino Linotype" w:hAnsi="Palatino Linotype"/>
          <w:sz w:val="24"/>
          <w:szCs w:val="24"/>
        </w:rPr>
        <w:t>.</w:t>
      </w:r>
    </w:p>
    <w:p w:rsidR="00397FF8" w:rsidRPr="00F23EC6" w:rsidRDefault="00397FF8" w:rsidP="00F23EC6">
      <w:pPr>
        <w:pStyle w:val="Prrafodelista"/>
        <w:spacing w:line="360" w:lineRule="auto"/>
        <w:rPr>
          <w:rFonts w:ascii="Palatino Linotype" w:hAnsi="Palatino Linotype"/>
          <w:sz w:val="24"/>
          <w:szCs w:val="24"/>
        </w:rPr>
      </w:pPr>
    </w:p>
    <w:p w:rsidR="000F5E0E" w:rsidRPr="00F23EC6" w:rsidRDefault="00854675" w:rsidP="00F23EC6">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9" w:name="_Toc2881747"/>
      <w:bookmarkStart w:id="60" w:name="_Toc20305941"/>
      <w:r w:rsidRPr="00F23EC6">
        <w:rPr>
          <w:rFonts w:ascii="Palatino Linotype" w:eastAsia="MS Mincho" w:hAnsi="Palatino Linotype" w:cstheme="majorBidi"/>
          <w:b/>
          <w:sz w:val="24"/>
          <w:szCs w:val="24"/>
          <w:lang w:val="es-ES_tradnl" w:eastAsia="es-ES"/>
        </w:rPr>
        <w:t>CUART</w:t>
      </w:r>
      <w:r w:rsidR="000F5E0E" w:rsidRPr="00F23EC6">
        <w:rPr>
          <w:rFonts w:ascii="Palatino Linotype" w:eastAsia="MS Mincho" w:hAnsi="Palatino Linotype" w:cstheme="majorBidi"/>
          <w:b/>
          <w:sz w:val="24"/>
          <w:szCs w:val="24"/>
          <w:lang w:val="es-ES_tradnl" w:eastAsia="es-ES"/>
        </w:rPr>
        <w:t xml:space="preserve">O. Del planteamiento de la </w:t>
      </w:r>
      <w:r w:rsidR="000F5E0E" w:rsidRPr="00F23EC6">
        <w:rPr>
          <w:rFonts w:ascii="Palatino Linotype" w:eastAsia="MS Mincho" w:hAnsi="Palatino Linotype" w:cstheme="majorBidi"/>
          <w:b/>
          <w:i/>
          <w:sz w:val="24"/>
          <w:szCs w:val="24"/>
          <w:lang w:val="es-ES_tradnl" w:eastAsia="es-ES"/>
        </w:rPr>
        <w:t>Litis</w:t>
      </w:r>
      <w:r w:rsidR="000F5E0E" w:rsidRPr="00F23EC6">
        <w:rPr>
          <w:rFonts w:ascii="Palatino Linotype" w:eastAsia="MS Mincho" w:hAnsi="Palatino Linotype" w:cstheme="majorBidi"/>
          <w:b/>
          <w:sz w:val="24"/>
          <w:szCs w:val="24"/>
          <w:lang w:val="es-ES_tradnl" w:eastAsia="es-ES"/>
        </w:rPr>
        <w:t>.</w:t>
      </w:r>
      <w:bookmarkEnd w:id="59"/>
      <w:bookmarkEnd w:id="60"/>
    </w:p>
    <w:p w:rsidR="000F5E0E" w:rsidRPr="00F23EC6" w:rsidRDefault="000F5E0E" w:rsidP="00F23EC6">
      <w:pPr>
        <w:spacing w:after="0" w:line="360" w:lineRule="auto"/>
        <w:contextualSpacing/>
        <w:jc w:val="both"/>
        <w:rPr>
          <w:rFonts w:ascii="Palatino Linotype" w:hAnsi="Palatino Linotype" w:cs="Arial"/>
          <w:sz w:val="24"/>
          <w:szCs w:val="24"/>
          <w:lang w:val="es-ES_tradnl"/>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p>
    <w:p w:rsidR="000F5E0E" w:rsidRPr="00F23EC6" w:rsidRDefault="000F5E0E" w:rsidP="00F23EC6">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F23EC6">
        <w:rPr>
          <w:rFonts w:ascii="Palatino Linotype" w:hAnsi="Palatino Linotype" w:cs="Arial"/>
          <w:sz w:val="24"/>
          <w:szCs w:val="24"/>
          <w:lang w:val="es-ES_tradnl"/>
        </w:rPr>
        <w:t>En consecuencia, la</w:t>
      </w:r>
      <w:r w:rsidRPr="00F23EC6">
        <w:rPr>
          <w:rFonts w:ascii="Palatino Linotype" w:hAnsi="Palatino Linotype" w:cs="Arial"/>
          <w:i/>
          <w:sz w:val="24"/>
          <w:szCs w:val="24"/>
          <w:lang w:val="es-ES_tradnl"/>
        </w:rPr>
        <w:t xml:space="preserve"> Litis</w:t>
      </w:r>
      <w:r w:rsidRPr="00F23EC6">
        <w:rPr>
          <w:rFonts w:ascii="Palatino Linotype" w:hAnsi="Palatino Linotype" w:cs="Arial"/>
          <w:sz w:val="24"/>
          <w:szCs w:val="24"/>
          <w:lang w:val="es-ES_tradnl"/>
        </w:rPr>
        <w:t xml:space="preserve"> del presente asunto corresponde en </w:t>
      </w:r>
      <w:r w:rsidR="00E27790" w:rsidRPr="00F23EC6">
        <w:rPr>
          <w:rFonts w:ascii="Palatino Linotype" w:hAnsi="Palatino Linotype" w:cs="Arial"/>
          <w:sz w:val="24"/>
          <w:szCs w:val="24"/>
          <w:lang w:val="es-ES_tradnl"/>
        </w:rPr>
        <w:t>comprobar</w:t>
      </w:r>
      <w:r w:rsidRPr="00F23EC6">
        <w:rPr>
          <w:rFonts w:ascii="Palatino Linotype" w:hAnsi="Palatino Linotype" w:cs="Arial"/>
          <w:sz w:val="24"/>
          <w:szCs w:val="24"/>
          <w:lang w:val="es-ES_tradnl"/>
        </w:rPr>
        <w:t xml:space="preserve"> si el </w:t>
      </w:r>
      <w:r w:rsidRPr="00F23EC6">
        <w:rPr>
          <w:rFonts w:ascii="Palatino Linotype" w:hAnsi="Palatino Linotype" w:cs="Arial"/>
          <w:b/>
          <w:sz w:val="24"/>
          <w:szCs w:val="24"/>
          <w:lang w:val="es-ES_tradnl"/>
        </w:rPr>
        <w:t>SUJETO OBLIGADO</w:t>
      </w:r>
      <w:r w:rsidRPr="00F23EC6">
        <w:rPr>
          <w:rFonts w:ascii="Palatino Linotype" w:hAnsi="Palatino Linotype" w:cs="Arial"/>
          <w:sz w:val="24"/>
          <w:szCs w:val="24"/>
          <w:lang w:val="es-ES_tradnl"/>
        </w:rPr>
        <w:t xml:space="preserve"> cuenta con la información de acuerdo con sus facultades, competencias y atribuciones, lo anterior, a efecto de verificar </w:t>
      </w:r>
      <w:r w:rsidR="00A623B7" w:rsidRPr="00F23EC6">
        <w:rPr>
          <w:rFonts w:ascii="Palatino Linotype" w:hAnsi="Palatino Linotype" w:cs="Arial"/>
          <w:sz w:val="24"/>
          <w:szCs w:val="24"/>
          <w:lang w:val="es-ES_tradnl"/>
        </w:rPr>
        <w:t>si es</w:t>
      </w:r>
      <w:r w:rsidRPr="00F23EC6">
        <w:rPr>
          <w:rFonts w:ascii="Palatino Linotype" w:hAnsi="Palatino Linotype" w:cs="Arial"/>
          <w:sz w:val="24"/>
          <w:szCs w:val="24"/>
          <w:lang w:val="es-ES_tradnl"/>
        </w:rPr>
        <w:t xml:space="preserve"> susceptible de entregar la información que está siendo requerida.</w:t>
      </w:r>
    </w:p>
    <w:p w:rsidR="000F5E0E" w:rsidRPr="00F23EC6" w:rsidRDefault="000F5E0E" w:rsidP="00F23EC6">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A623B7" w:rsidRPr="00F23EC6" w:rsidRDefault="00A623B7" w:rsidP="00F23EC6">
      <w:pPr>
        <w:numPr>
          <w:ilvl w:val="0"/>
          <w:numId w:val="2"/>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F23EC6">
        <w:rPr>
          <w:rFonts w:ascii="Palatino Linotype" w:eastAsiaTheme="minorEastAsia" w:hAnsi="Palatino Linotype" w:cs="Arial"/>
          <w:color w:val="222222"/>
          <w:sz w:val="24"/>
          <w:szCs w:val="24"/>
          <w:lang w:val="es-ES_tradnl" w:eastAsia="es-ES"/>
        </w:rPr>
        <w:t xml:space="preserve">Es necesario también precisar que el </w:t>
      </w:r>
      <w:r w:rsidR="00E27790" w:rsidRPr="00F23EC6">
        <w:rPr>
          <w:rFonts w:ascii="Palatino Linotype" w:eastAsiaTheme="minorEastAsia" w:hAnsi="Palatino Linotype" w:cs="Arial"/>
          <w:b/>
          <w:color w:val="222222"/>
          <w:sz w:val="24"/>
          <w:szCs w:val="24"/>
          <w:lang w:val="es-ES_tradnl" w:eastAsia="es-ES"/>
        </w:rPr>
        <w:t xml:space="preserve">SUJETO OBLIGADO </w:t>
      </w:r>
      <w:r w:rsidRPr="00F23EC6">
        <w:rPr>
          <w:rFonts w:ascii="Palatino Linotype" w:eastAsiaTheme="minorEastAsia" w:hAnsi="Palatino Linotype" w:cs="Arial"/>
          <w:color w:val="222222"/>
          <w:sz w:val="24"/>
          <w:szCs w:val="24"/>
          <w:lang w:val="es-ES_tradnl" w:eastAsia="es-ES"/>
        </w:rPr>
        <w:t>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A623B7" w:rsidRPr="00F23EC6" w:rsidRDefault="00A623B7" w:rsidP="00F23EC6">
      <w:pPr>
        <w:spacing w:after="0" w:line="360" w:lineRule="auto"/>
        <w:contextualSpacing/>
        <w:jc w:val="both"/>
        <w:rPr>
          <w:rFonts w:ascii="Palatino Linotype" w:eastAsiaTheme="minorEastAsia" w:hAnsi="Palatino Linotype" w:cs="Arial"/>
          <w:sz w:val="24"/>
          <w:szCs w:val="24"/>
          <w:lang w:val="es-ES_tradnl" w:eastAsia="es-ES"/>
        </w:rPr>
      </w:pPr>
    </w:p>
    <w:p w:rsidR="00A623B7" w:rsidRPr="00F23EC6" w:rsidRDefault="00A623B7" w:rsidP="00F23EC6">
      <w:pPr>
        <w:shd w:val="clear" w:color="auto" w:fill="FFFFFF"/>
        <w:spacing w:after="0" w:line="360" w:lineRule="auto"/>
        <w:ind w:left="567" w:right="616"/>
        <w:jc w:val="both"/>
        <w:rPr>
          <w:rFonts w:ascii="Palatino Linotype" w:eastAsia="Times New Roman" w:hAnsi="Palatino Linotype" w:cs="Arial"/>
          <w:i/>
          <w:iCs/>
          <w:color w:val="222222"/>
          <w:sz w:val="24"/>
          <w:szCs w:val="24"/>
          <w:lang w:val="es-ES_tradnl" w:eastAsia="es-ES"/>
        </w:rPr>
      </w:pPr>
      <w:r w:rsidRPr="00F23EC6">
        <w:rPr>
          <w:rFonts w:ascii="Palatino Linotype" w:eastAsia="Times New Roman" w:hAnsi="Palatino Linotype" w:cs="Arial"/>
          <w:b/>
          <w:bCs/>
          <w:i/>
          <w:iCs/>
          <w:color w:val="222222"/>
          <w:sz w:val="24"/>
          <w:szCs w:val="24"/>
          <w:lang w:val="es-ES_tradnl" w:eastAsia="es-ES"/>
        </w:rPr>
        <w:t>QUEJA, RECURSO DE. LA OMISION DE RENDIR EL INFORME RESPECTIVO NO IMPIDE QUE SE RESUELV</w:t>
      </w:r>
      <w:r w:rsidRPr="00F23EC6">
        <w:rPr>
          <w:rFonts w:ascii="Palatino Linotype" w:eastAsia="Times New Roman" w:hAnsi="Palatino Linotype" w:cs="Arial"/>
          <w:i/>
          <w:iCs/>
          <w:color w:val="222222"/>
          <w:sz w:val="24"/>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A623B7" w:rsidRPr="00F23EC6" w:rsidRDefault="00A623B7" w:rsidP="00F23EC6">
      <w:pPr>
        <w:shd w:val="clear" w:color="auto" w:fill="FFFFFF"/>
        <w:spacing w:after="0" w:line="360" w:lineRule="auto"/>
        <w:ind w:right="567"/>
        <w:jc w:val="both"/>
        <w:rPr>
          <w:rFonts w:ascii="Palatino Linotype" w:eastAsia="Times New Roman" w:hAnsi="Palatino Linotype" w:cs="Arial"/>
          <w:color w:val="222222"/>
          <w:sz w:val="24"/>
          <w:szCs w:val="24"/>
          <w:lang w:val="es-ES" w:eastAsia="es-ES"/>
        </w:rPr>
      </w:pPr>
    </w:p>
    <w:p w:rsidR="00A623B7" w:rsidRPr="00F23EC6" w:rsidRDefault="00A623B7" w:rsidP="00F23EC6">
      <w:pPr>
        <w:numPr>
          <w:ilvl w:val="0"/>
          <w:numId w:val="2"/>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F23EC6">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F23EC6">
        <w:rPr>
          <w:rFonts w:ascii="Palatino Linotype" w:eastAsiaTheme="minorEastAsia" w:hAnsi="Palatino Linotype" w:cs="Arial"/>
          <w:b/>
          <w:bCs/>
          <w:color w:val="222222"/>
          <w:sz w:val="24"/>
          <w:szCs w:val="24"/>
          <w:lang w:val="es-ES_tradnl" w:eastAsia="es-ES"/>
        </w:rPr>
        <w:t>SUJETO OBLIGADO</w:t>
      </w:r>
      <w:r w:rsidRPr="00F23EC6">
        <w:rPr>
          <w:rFonts w:ascii="Palatino Linotype" w:eastAsiaTheme="minorEastAsia" w:hAnsi="Palatino Linotype" w:cs="Arial"/>
          <w:color w:val="222222"/>
          <w:sz w:val="24"/>
          <w:szCs w:val="24"/>
          <w:lang w:val="es-ES_tradnl" w:eastAsia="es-ES"/>
        </w:rPr>
        <w:t> pierda la oportunidad de justificar su falta de respuesta y manifestar lo que a su derecho convenga.</w:t>
      </w:r>
    </w:p>
    <w:p w:rsidR="00A623B7" w:rsidRPr="00F23EC6" w:rsidRDefault="00A623B7" w:rsidP="00F23EC6">
      <w:pPr>
        <w:spacing w:line="360" w:lineRule="auto"/>
        <w:rPr>
          <w:rFonts w:ascii="Palatino Linotype" w:eastAsia="MS Mincho" w:hAnsi="Palatino Linotype" w:cs="Arial"/>
          <w:sz w:val="24"/>
          <w:szCs w:val="24"/>
          <w:lang w:val="es-ES_tradnl" w:eastAsia="es-ES"/>
        </w:rPr>
      </w:pPr>
    </w:p>
    <w:p w:rsidR="008A7178" w:rsidRPr="00F23EC6" w:rsidRDefault="000F5E0E" w:rsidP="00F23EC6">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F23EC6">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F23EC6">
        <w:rPr>
          <w:rFonts w:ascii="Palatino Linotype" w:eastAsia="MS Mincho" w:hAnsi="Palatino Linotype" w:cs="Times New Roman"/>
          <w:b/>
          <w:sz w:val="24"/>
          <w:szCs w:val="24"/>
          <w:lang w:val="es-ES_tradnl" w:eastAsia="es-ES"/>
        </w:rPr>
        <w:t>fr</w:t>
      </w:r>
      <w:r w:rsidR="00E27790" w:rsidRPr="00F23EC6">
        <w:rPr>
          <w:rFonts w:ascii="Palatino Linotype" w:eastAsia="MS Mincho" w:hAnsi="Palatino Linotype" w:cs="Times New Roman"/>
          <w:b/>
          <w:sz w:val="24"/>
          <w:szCs w:val="24"/>
          <w:lang w:val="es-ES_tradnl" w:eastAsia="es-ES"/>
        </w:rPr>
        <w:t xml:space="preserve">acción </w:t>
      </w:r>
      <w:r w:rsidR="00E25598" w:rsidRPr="00F23EC6">
        <w:rPr>
          <w:rFonts w:ascii="Palatino Linotype" w:eastAsia="MS Mincho" w:hAnsi="Palatino Linotype" w:cs="Times New Roman"/>
          <w:b/>
          <w:sz w:val="24"/>
          <w:szCs w:val="24"/>
          <w:lang w:val="es-ES_tradnl" w:eastAsia="es-ES"/>
        </w:rPr>
        <w:t>VI</w:t>
      </w:r>
      <w:r w:rsidR="00A623B7" w:rsidRPr="00F23EC6">
        <w:rPr>
          <w:rFonts w:ascii="Palatino Linotype" w:eastAsia="MS Mincho" w:hAnsi="Palatino Linotype" w:cs="Times New Roman"/>
          <w:b/>
          <w:sz w:val="24"/>
          <w:szCs w:val="24"/>
          <w:lang w:val="es-ES_tradnl" w:eastAsia="es-ES"/>
        </w:rPr>
        <w:t>I</w:t>
      </w:r>
      <w:r w:rsidRPr="00F23EC6">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00F23EC6">
        <w:rPr>
          <w:rFonts w:ascii="Palatino Linotype" w:eastAsia="MS Mincho" w:hAnsi="Palatino Linotype" w:cs="Times New Roman"/>
          <w:sz w:val="24"/>
          <w:szCs w:val="24"/>
          <w:lang w:val="es-ES_tradnl" w:eastAsia="es-ES"/>
        </w:rPr>
        <w:t>.</w:t>
      </w:r>
    </w:p>
    <w:p w:rsidR="000F5E0E" w:rsidRPr="00F23EC6" w:rsidRDefault="00C856CA" w:rsidP="00F23EC6">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20305942"/>
      <w:r w:rsidRPr="00F23EC6">
        <w:rPr>
          <w:rFonts w:ascii="Palatino Linotype" w:eastAsia="MS Gothic" w:hAnsi="Palatino Linotype" w:cstheme="majorBidi"/>
          <w:b/>
          <w:sz w:val="24"/>
          <w:szCs w:val="24"/>
          <w:lang w:val="es-ES_tradnl" w:eastAsia="es-ES"/>
        </w:rPr>
        <w:t>QUIN</w:t>
      </w:r>
      <w:r w:rsidR="000F5E0E" w:rsidRPr="00F23EC6">
        <w:rPr>
          <w:rFonts w:ascii="Palatino Linotype" w:eastAsia="MS Gothic" w:hAnsi="Palatino Linotype" w:cstheme="majorBidi"/>
          <w:b/>
          <w:sz w:val="24"/>
          <w:szCs w:val="24"/>
          <w:lang w:val="es-ES_tradnl" w:eastAsia="es-ES"/>
        </w:rPr>
        <w:t>TO. Del estudio y resolución del recurso de revisión.</w:t>
      </w:r>
      <w:bookmarkEnd w:id="69"/>
      <w:bookmarkEnd w:id="70"/>
    </w:p>
    <w:p w:rsidR="000F5E0E" w:rsidRPr="00F23EC6" w:rsidRDefault="000F5E0E" w:rsidP="00F23EC6">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1" w:name="_Toc536726461"/>
      <w:bookmarkStart w:id="72" w:name="_Toc20305943"/>
      <w:r w:rsidRPr="00F23EC6">
        <w:rPr>
          <w:rFonts w:ascii="Palatino Linotype" w:eastAsia="MS Gothic" w:hAnsi="Palatino Linotype" w:cstheme="majorBidi"/>
          <w:b/>
          <w:i/>
          <w:noProof/>
          <w:sz w:val="24"/>
          <w:szCs w:val="24"/>
        </w:rPr>
        <w:t>El derecho de acceso a la información publica</w:t>
      </w:r>
      <w:bookmarkEnd w:id="71"/>
      <w:r w:rsidRPr="00F23EC6">
        <w:rPr>
          <w:rFonts w:ascii="Palatino Linotype" w:eastAsia="MS Mincho" w:hAnsi="Palatino Linotype" w:cs="Arial"/>
          <w:b/>
          <w:i/>
          <w:sz w:val="24"/>
          <w:szCs w:val="24"/>
          <w:lang w:val="es-ES_tradnl" w:eastAsia="es-MX"/>
        </w:rPr>
        <w:t>.</w:t>
      </w:r>
      <w:bookmarkEnd w:id="72"/>
    </w:p>
    <w:p w:rsidR="000F5E0E" w:rsidRPr="00F23EC6" w:rsidRDefault="000F5E0E" w:rsidP="00F23EC6">
      <w:pPr>
        <w:spacing w:after="0" w:line="360" w:lineRule="auto"/>
        <w:contextualSpacing/>
        <w:rPr>
          <w:rFonts w:ascii="Palatino Linotype" w:eastAsia="MS Mincho" w:hAnsi="Palatino Linotype" w:cs="Arial"/>
          <w:sz w:val="24"/>
          <w:szCs w:val="24"/>
          <w:lang w:val="es-ES_tradnl" w:eastAsia="es-MX"/>
        </w:rPr>
      </w:pPr>
    </w:p>
    <w:p w:rsidR="000F5E0E" w:rsidRPr="00F23EC6" w:rsidRDefault="000F5E0E" w:rsidP="00F23EC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23EC6">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0F5E0E" w:rsidRPr="00F23EC6" w:rsidRDefault="000F5E0E" w:rsidP="00F23EC6">
      <w:pPr>
        <w:spacing w:after="0" w:line="360" w:lineRule="auto"/>
        <w:ind w:right="49"/>
        <w:contextualSpacing/>
        <w:jc w:val="both"/>
        <w:rPr>
          <w:rFonts w:ascii="Palatino Linotype" w:eastAsia="MS Mincho" w:hAnsi="Palatino Linotype" w:cs="Times New Roman"/>
          <w:sz w:val="24"/>
          <w:szCs w:val="24"/>
          <w:lang w:val="es-ES_tradnl" w:eastAsia="es-ES"/>
        </w:rPr>
      </w:pPr>
    </w:p>
    <w:p w:rsidR="000F5E0E" w:rsidRPr="00F23EC6" w:rsidRDefault="000F5E0E" w:rsidP="00F23EC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23EC6">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F5E0E" w:rsidRPr="00F23EC6" w:rsidRDefault="000F5E0E" w:rsidP="00F23EC6">
      <w:pPr>
        <w:spacing w:after="0" w:line="360" w:lineRule="auto"/>
        <w:ind w:right="49"/>
        <w:contextualSpacing/>
        <w:jc w:val="both"/>
        <w:rPr>
          <w:rFonts w:ascii="Palatino Linotype" w:eastAsia="MS Mincho" w:hAnsi="Palatino Linotype" w:cs="Times New Roman"/>
          <w:sz w:val="24"/>
          <w:szCs w:val="24"/>
          <w:lang w:val="es-ES_tradnl" w:eastAsia="es-ES"/>
        </w:rPr>
      </w:pPr>
    </w:p>
    <w:p w:rsidR="000F5E0E" w:rsidRPr="00F23EC6" w:rsidRDefault="000F5E0E" w:rsidP="00F23EC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23EC6">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0F5E0E" w:rsidRPr="00F23EC6" w:rsidRDefault="000F5E0E" w:rsidP="00F23EC6">
      <w:pPr>
        <w:spacing w:after="0" w:line="360" w:lineRule="auto"/>
        <w:contextualSpacing/>
        <w:rPr>
          <w:rFonts w:ascii="Palatino Linotype" w:eastAsia="MS Mincho" w:hAnsi="Palatino Linotype" w:cs="Times New Roman"/>
          <w:sz w:val="24"/>
          <w:szCs w:val="24"/>
          <w:lang w:val="es-ES_tradnl" w:eastAsia="es-ES"/>
        </w:rPr>
      </w:pPr>
    </w:p>
    <w:p w:rsidR="000F5E0E" w:rsidRPr="00F23EC6" w:rsidRDefault="000F5E0E" w:rsidP="00F23EC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23EC6">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w:t>
      </w:r>
      <w:r w:rsidR="00A623B7" w:rsidRPr="00F23EC6">
        <w:rPr>
          <w:rFonts w:ascii="Palatino Linotype" w:eastAsia="MS Mincho" w:hAnsi="Palatino Linotype" w:cs="Times New Roman"/>
          <w:sz w:val="24"/>
          <w:szCs w:val="24"/>
          <w:lang w:val="es-ES_tradnl" w:eastAsia="es-ES"/>
        </w:rPr>
        <w:t>Ley.” situación que no ocurrió en el presente caso.</w:t>
      </w:r>
    </w:p>
    <w:p w:rsidR="000F5E0E" w:rsidRPr="00F23EC6" w:rsidRDefault="000F5E0E" w:rsidP="00F23EC6">
      <w:pPr>
        <w:spacing w:after="0" w:line="360" w:lineRule="auto"/>
        <w:ind w:right="34"/>
        <w:contextualSpacing/>
        <w:jc w:val="both"/>
        <w:rPr>
          <w:rFonts w:ascii="Palatino Linotype" w:eastAsia="MS Mincho" w:hAnsi="Palatino Linotype" w:cs="Times New Roman"/>
          <w:sz w:val="24"/>
          <w:szCs w:val="24"/>
          <w:lang w:val="es-ES_tradnl" w:eastAsia="es-ES"/>
        </w:rPr>
      </w:pPr>
    </w:p>
    <w:p w:rsidR="00A623B7" w:rsidRDefault="00A623B7" w:rsidP="00F23EC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3EC6">
        <w:rPr>
          <w:rFonts w:ascii="Palatino Linotype" w:eastAsia="MS Mincho" w:hAnsi="Palatino Linotype" w:cs="Arial"/>
          <w:sz w:val="24"/>
          <w:szCs w:val="24"/>
          <w:lang w:val="es-ES_tradnl" w:eastAsia="es-ES"/>
        </w:rPr>
        <w:t xml:space="preserve">En el presente recurso es menester señalar que el </w:t>
      </w:r>
      <w:r w:rsidRPr="00F23EC6">
        <w:rPr>
          <w:rFonts w:ascii="Palatino Linotype" w:eastAsia="MS Mincho" w:hAnsi="Palatino Linotype" w:cs="Arial"/>
          <w:b/>
          <w:sz w:val="24"/>
          <w:szCs w:val="24"/>
          <w:lang w:val="es-ES_tradnl" w:eastAsia="es-ES"/>
        </w:rPr>
        <w:t xml:space="preserve">SUJETO OBLIGADO </w:t>
      </w:r>
      <w:r w:rsidRPr="00F23EC6">
        <w:rPr>
          <w:rFonts w:ascii="Palatino Linotype" w:eastAsia="MS Mincho" w:hAnsi="Palatino Linotype" w:cs="Arial"/>
          <w:sz w:val="24"/>
          <w:szCs w:val="24"/>
          <w:lang w:val="es-ES_tradnl" w:eastAsia="es-ES"/>
        </w:rPr>
        <w:t xml:space="preserve">fue omiso en pronunciarse respecto a si genera, posee o administra la información requerida además de que no proporcionar documento alguno que permita deducir dicha circunstancia; por lo que, resulta evidente que las razones o motivos de inconformidad hechos valer por la Recurrente resultan fundadas y procedentes, en virtud de que efectivamente </w:t>
      </w:r>
      <w:r w:rsidRPr="00F23EC6">
        <w:rPr>
          <w:rFonts w:ascii="Palatino Linotype" w:eastAsia="MS Mincho" w:hAnsi="Palatino Linotype" w:cs="Arial"/>
          <w:b/>
          <w:sz w:val="24"/>
          <w:szCs w:val="24"/>
          <w:lang w:val="es-ES_tradnl" w:eastAsia="es-ES"/>
        </w:rPr>
        <w:t>SUJETO OBLIGADO</w:t>
      </w:r>
      <w:r w:rsidRPr="00F23EC6">
        <w:rPr>
          <w:rFonts w:ascii="Palatino Linotype" w:eastAsia="MS Mincho" w:hAnsi="Palatino Linotype" w:cs="Arial"/>
          <w:sz w:val="24"/>
          <w:szCs w:val="24"/>
          <w:lang w:val="es-ES_tradnl" w:eastAsia="es-ES"/>
        </w:rPr>
        <w:t xml:space="preserve"> fue omiso en dar efectivo trámite a la solicitud de información formulada por el particular y ante la falta de respuesta como de Informe Justificado, se procede analizar si el Sujeto Obligado,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F23EC6" w:rsidRPr="00F23EC6" w:rsidRDefault="00F23EC6" w:rsidP="00F23EC6">
      <w:pPr>
        <w:spacing w:after="0" w:line="360" w:lineRule="auto"/>
        <w:ind w:right="34"/>
        <w:contextualSpacing/>
        <w:jc w:val="both"/>
        <w:rPr>
          <w:rFonts w:ascii="Palatino Linotype" w:eastAsia="MS Mincho" w:hAnsi="Palatino Linotype" w:cs="Arial"/>
          <w:sz w:val="24"/>
          <w:szCs w:val="24"/>
          <w:lang w:val="es-ES_tradnl" w:eastAsia="es-ES"/>
        </w:rPr>
      </w:pPr>
    </w:p>
    <w:p w:rsidR="000F5E0E" w:rsidRDefault="000F5E0E" w:rsidP="00F23EC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3EC6">
        <w:rPr>
          <w:rFonts w:ascii="Palatino Linotype" w:eastAsia="MS Mincho" w:hAnsi="Palatino Linotype" w:cs="Times New Roman"/>
          <w:sz w:val="24"/>
          <w:szCs w:val="24"/>
          <w:lang w:val="es-ES_tradnl" w:eastAsia="es-ES"/>
        </w:rPr>
        <w:t>Derivado</w:t>
      </w:r>
      <w:r w:rsidRPr="00F23EC6">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F23EC6" w:rsidRPr="00F23EC6" w:rsidRDefault="00F23EC6" w:rsidP="00F23EC6">
      <w:pPr>
        <w:spacing w:after="0" w:line="360" w:lineRule="auto"/>
        <w:ind w:right="34"/>
        <w:contextualSpacing/>
        <w:jc w:val="both"/>
        <w:rPr>
          <w:rFonts w:ascii="Palatino Linotype" w:eastAsia="MS Mincho" w:hAnsi="Palatino Linotype" w:cs="Arial"/>
          <w:sz w:val="24"/>
          <w:szCs w:val="24"/>
          <w:lang w:val="es-ES_tradnl" w:eastAsia="es-ES"/>
        </w:rPr>
      </w:pPr>
    </w:p>
    <w:p w:rsidR="000F5E0E" w:rsidRDefault="000F5E0E" w:rsidP="00F23EC6">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3" w:name="_Toc20305944"/>
      <w:r w:rsidRPr="00F23EC6">
        <w:rPr>
          <w:rFonts w:ascii="Palatino Linotype" w:eastAsia="MS Mincho" w:hAnsi="Palatino Linotype" w:cstheme="majorBidi"/>
          <w:b/>
          <w:i/>
          <w:sz w:val="24"/>
          <w:szCs w:val="24"/>
          <w:lang w:val="es-ES_tradnl" w:eastAsia="es-ES"/>
        </w:rPr>
        <w:t xml:space="preserve">II. </w:t>
      </w:r>
      <w:r w:rsidR="00A623B7" w:rsidRPr="00F23EC6">
        <w:rPr>
          <w:rFonts w:ascii="Palatino Linotype" w:eastAsia="MS Mincho" w:hAnsi="Palatino Linotype" w:cstheme="majorBidi"/>
          <w:b/>
          <w:i/>
          <w:sz w:val="24"/>
          <w:szCs w:val="24"/>
          <w:lang w:val="es-ES_tradnl" w:eastAsia="es-ES"/>
        </w:rPr>
        <w:t>De la fuente obligacional del Sujeto Obligado.</w:t>
      </w:r>
      <w:bookmarkEnd w:id="73"/>
    </w:p>
    <w:p w:rsidR="00F23EC6" w:rsidRPr="00F23EC6" w:rsidRDefault="00F23EC6" w:rsidP="00F23EC6">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A623B7" w:rsidRPr="00F23EC6" w:rsidRDefault="00A623B7" w:rsidP="00F23EC6">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F23EC6">
        <w:rPr>
          <w:rFonts w:ascii="Palatino Linotype" w:eastAsia="MS Mincho" w:hAnsi="Palatino Linotype" w:cstheme="majorBidi"/>
          <w:sz w:val="24"/>
          <w:szCs w:val="24"/>
          <w:lang w:val="es-ES_tradnl" w:eastAsia="es-ES"/>
        </w:rPr>
        <w:t>Previo al análisis</w:t>
      </w:r>
      <w:r w:rsidR="008A7178" w:rsidRPr="00F23EC6">
        <w:rPr>
          <w:rFonts w:ascii="Palatino Linotype" w:eastAsia="MS Mincho" w:hAnsi="Palatino Linotype" w:cstheme="majorBidi"/>
          <w:sz w:val="24"/>
          <w:szCs w:val="24"/>
          <w:lang w:val="es-ES_tradnl" w:eastAsia="es-ES"/>
        </w:rPr>
        <w:t>,</w:t>
      </w:r>
      <w:r w:rsidRPr="00F23EC6">
        <w:rPr>
          <w:rFonts w:ascii="Palatino Linotype" w:eastAsia="MS Mincho" w:hAnsi="Palatino Linotype" w:cstheme="majorBidi"/>
          <w:sz w:val="24"/>
          <w:szCs w:val="24"/>
          <w:lang w:val="es-ES_tradnl" w:eastAsia="es-ES"/>
        </w:rPr>
        <w:t xml:space="preserve"> es necesario precisar la información </w:t>
      </w:r>
      <w:r w:rsidR="00362893" w:rsidRPr="00F23EC6">
        <w:rPr>
          <w:rFonts w:ascii="Palatino Linotype" w:eastAsia="MS Mincho" w:hAnsi="Palatino Linotype" w:cstheme="majorBidi"/>
          <w:sz w:val="24"/>
          <w:szCs w:val="24"/>
          <w:lang w:val="es-ES_tradnl" w:eastAsia="es-ES"/>
        </w:rPr>
        <w:t xml:space="preserve">toral </w:t>
      </w:r>
      <w:r w:rsidRPr="00F23EC6">
        <w:rPr>
          <w:rFonts w:ascii="Palatino Linotype" w:eastAsia="MS Mincho" w:hAnsi="Palatino Linotype" w:cstheme="majorBidi"/>
          <w:sz w:val="24"/>
          <w:szCs w:val="24"/>
          <w:lang w:val="es-ES_tradnl" w:eastAsia="es-ES"/>
        </w:rPr>
        <w:t>a la que pretende acceder el particular, a</w:t>
      </w:r>
      <w:r w:rsidR="00362893" w:rsidRPr="00F23EC6">
        <w:rPr>
          <w:rFonts w:ascii="Palatino Linotype" w:eastAsia="MS Mincho" w:hAnsi="Palatino Linotype" w:cstheme="majorBidi"/>
          <w:sz w:val="24"/>
          <w:szCs w:val="24"/>
          <w:lang w:val="es-ES_tradnl" w:eastAsia="es-ES"/>
        </w:rPr>
        <w:t xml:space="preserve"> saber</w:t>
      </w:r>
      <w:r w:rsidRPr="00F23EC6">
        <w:rPr>
          <w:rFonts w:ascii="Palatino Linotype" w:eastAsia="MS Mincho" w:hAnsi="Palatino Linotype" w:cstheme="majorBidi"/>
          <w:sz w:val="24"/>
          <w:szCs w:val="24"/>
          <w:lang w:val="es-ES_tradnl" w:eastAsia="es-ES"/>
        </w:rPr>
        <w:t>:</w:t>
      </w:r>
    </w:p>
    <w:p w:rsidR="008A7178"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Estructura orgánica</w:t>
      </w:r>
    </w:p>
    <w:p w:rsidR="008A7178" w:rsidRPr="00F23EC6" w:rsidRDefault="008A7178"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0577F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Gacetas municipales</w:t>
      </w:r>
    </w:p>
    <w:p w:rsidR="000577FB" w:rsidRPr="00F23EC6" w:rsidRDefault="000577F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0577F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Actas de sesiones de cabildo</w:t>
      </w:r>
    </w:p>
    <w:p w:rsidR="000577FB" w:rsidRPr="00F23EC6" w:rsidRDefault="000577F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0577F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Controles de asistencia de los integrantes del ayuntamiento a las sesiones de cabildo y el sentido de votación de los miembros del cabildo sobre las iniciativas o acuerdos</w:t>
      </w:r>
    </w:p>
    <w:p w:rsidR="000577FB" w:rsidRPr="00F23EC6" w:rsidRDefault="000577F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0577F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 xml:space="preserve">Participaciones y aportaciones derivadas de la ley de coordinación fiscal; </w:t>
      </w:r>
    </w:p>
    <w:p w:rsidR="000577FB" w:rsidRPr="00F23EC6" w:rsidRDefault="000577F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8A7178"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Los recursos federales establecidos en el título segundo. Del federalismo del presupuesto de egresos de la federación en sus conceptos de: a. Subsidios federales; y b. Recursos del ramo 23. Provisiones salariales y económicas</w:t>
      </w:r>
      <w:r w:rsidR="000577FB" w:rsidRPr="00F23EC6">
        <w:rPr>
          <w:rFonts w:ascii="Palatino Linotype" w:eastAsia="MS Mincho" w:hAnsi="Palatino Linotype" w:cstheme="majorBidi"/>
          <w:b/>
          <w:sz w:val="24"/>
          <w:szCs w:val="24"/>
          <w:lang w:val="es-ES_tradnl" w:eastAsia="es-ES"/>
        </w:rPr>
        <w:t>.</w:t>
      </w:r>
    </w:p>
    <w:p w:rsidR="00061BF5" w:rsidRPr="00F23EC6" w:rsidRDefault="00061BF5" w:rsidP="00F23EC6">
      <w:pPr>
        <w:pStyle w:val="Prrafodelista"/>
        <w:spacing w:line="360" w:lineRule="auto"/>
        <w:rPr>
          <w:rFonts w:ascii="Palatino Linotype" w:eastAsia="MS Mincho" w:hAnsi="Palatino Linotype" w:cstheme="majorBidi"/>
          <w:b/>
          <w:sz w:val="24"/>
          <w:szCs w:val="24"/>
          <w:lang w:val="es-ES_tradnl" w:eastAsia="es-ES"/>
        </w:rPr>
      </w:pPr>
    </w:p>
    <w:p w:rsidR="000577F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 xml:space="preserve">Plan estatal de desarrollo y plan de desarrollo municipal; </w:t>
      </w:r>
    </w:p>
    <w:p w:rsidR="008A7178"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Presupuesto de egresos y las fórmulas de distribución de los recursos otorgados;</w:t>
      </w:r>
    </w:p>
    <w:p w:rsidR="008A7178" w:rsidRPr="00F23EC6" w:rsidRDefault="008A7178"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8A7178"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 xml:space="preserve">Actas y resoluciones del comité de transparencia </w:t>
      </w:r>
    </w:p>
    <w:p w:rsidR="000577FB" w:rsidRPr="00F23EC6" w:rsidRDefault="000577F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8A7178"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Padrón de proveedores y contratistas</w:t>
      </w:r>
    </w:p>
    <w:p w:rsidR="008A7178" w:rsidRPr="00F23EC6" w:rsidRDefault="008A7178"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0577F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 xml:space="preserve">La información financiera sobre el presupuesto asignado, </w:t>
      </w:r>
    </w:p>
    <w:p w:rsidR="000577FB" w:rsidRPr="00F23EC6" w:rsidRDefault="000577F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0577F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Informes del ejercicio trimestral del gasto</w:t>
      </w:r>
    </w:p>
    <w:p w:rsidR="000577FB" w:rsidRPr="00F23EC6" w:rsidRDefault="000577F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0577F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La información relativa a la deuda pública</w:t>
      </w:r>
    </w:p>
    <w:p w:rsidR="000577FB" w:rsidRPr="00F23EC6" w:rsidRDefault="000577F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0577F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 xml:space="preserve">Los datos de todos los financiamientos contratados, así como de los movimientos que se efectúen, en la que se incluya: a) los montos de financiamiento contratados; b) los plazos; c) las tasas de interés; y d) las garantías. </w:t>
      </w:r>
    </w:p>
    <w:p w:rsidR="000577FB" w:rsidRPr="00F23EC6" w:rsidRDefault="000577F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0577F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 xml:space="preserve">Los montos destinados a gastos relativos a todos los programas y campañas de comunicación social y publicidad oficial desglosada por tipo de medio, proveedores, número de contrato y concepto; </w:t>
      </w:r>
    </w:p>
    <w:p w:rsidR="000577FB" w:rsidRPr="00F23EC6" w:rsidRDefault="000577F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0577F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Los informes de resultados de las auditorías al ejercicio presupuestal de cada sujeto obligado que se realicen y, en su caso, las aclaraciones que correspondan</w:t>
      </w:r>
    </w:p>
    <w:p w:rsidR="000577FB" w:rsidRPr="00F23EC6" w:rsidRDefault="000577F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0577F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Procesos y resultados sobre procedimientos de adjudicación directa, invitación restringida y licitación de cualquier naturaleza, incluyendo la versión pública del expediente respectivo y de los contratos celebrados, que deberán contener, por los menos, lo siguiente: a) de licitaciones públicas o procedimientos de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de las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terminación; y 11) el finiquito</w:t>
      </w:r>
    </w:p>
    <w:p w:rsidR="000577FB" w:rsidRPr="00F23EC6" w:rsidRDefault="000577F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8A7178"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 xml:space="preserve">El resultado de la </w:t>
      </w:r>
      <w:proofErr w:type="spellStart"/>
      <w:r w:rsidRPr="00F23EC6">
        <w:rPr>
          <w:rFonts w:ascii="Palatino Linotype" w:eastAsia="MS Mincho" w:hAnsi="Palatino Linotype" w:cstheme="majorBidi"/>
          <w:b/>
          <w:sz w:val="24"/>
          <w:szCs w:val="24"/>
          <w:lang w:val="es-ES_tradnl" w:eastAsia="es-ES"/>
        </w:rPr>
        <w:t>dictaminación</w:t>
      </w:r>
      <w:proofErr w:type="spellEnd"/>
      <w:r w:rsidRPr="00F23EC6">
        <w:rPr>
          <w:rFonts w:ascii="Palatino Linotype" w:eastAsia="MS Mincho" w:hAnsi="Palatino Linotype" w:cstheme="majorBidi"/>
          <w:b/>
          <w:sz w:val="24"/>
          <w:szCs w:val="24"/>
          <w:lang w:val="es-ES_tradnl" w:eastAsia="es-ES"/>
        </w:rPr>
        <w:t xml:space="preserve"> de los estados financieros;</w:t>
      </w:r>
    </w:p>
    <w:p w:rsidR="000577FB" w:rsidRPr="00F23EC6" w:rsidRDefault="000577F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DF29D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 xml:space="preserve">De los programas de subsidios, estímulos y apoyos; los servicios que ofrecen señalando los requisitos para acceder a ellos, así como los tiempos de respuesta, y los trámites, requisitos y formatos que ofrecen, así como los tiempos de respuesta, del primer trimestre de </w:t>
      </w:r>
      <w:r w:rsidR="008A7178" w:rsidRPr="00F23EC6">
        <w:rPr>
          <w:rFonts w:ascii="Palatino Linotype" w:eastAsia="MS Mincho" w:hAnsi="Palatino Linotype" w:cstheme="majorBidi"/>
          <w:b/>
          <w:sz w:val="24"/>
          <w:szCs w:val="24"/>
          <w:lang w:val="es-ES_tradnl" w:eastAsia="es-ES"/>
        </w:rPr>
        <w:t xml:space="preserve">2019 </w:t>
      </w:r>
    </w:p>
    <w:p w:rsidR="00DF29DB" w:rsidRPr="00F23EC6" w:rsidRDefault="00DF29D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8A7178"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Informe detallado del primer trimestre y actas de sesiones del comité de mejora regulatoria, así como el catálogo de trámites y servicios aprobado por el mismo comité.</w:t>
      </w:r>
    </w:p>
    <w:p w:rsidR="008A7178" w:rsidRPr="00F23EC6" w:rsidRDefault="008A7178"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8A7178"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Información curricular, desde el nivel de jefe de departamento o equivalente, hasta el titular del sujeto obligado, así como, en su caso, las sanciones administrativas de que haya sido objeto</w:t>
      </w:r>
      <w:r w:rsidR="003B47EC" w:rsidRPr="00F23EC6">
        <w:rPr>
          <w:rFonts w:ascii="Palatino Linotype" w:eastAsia="MS Mincho" w:hAnsi="Palatino Linotype" w:cstheme="majorBidi"/>
          <w:b/>
          <w:sz w:val="24"/>
          <w:szCs w:val="24"/>
          <w:lang w:val="es-ES_tradnl" w:eastAsia="es-ES"/>
        </w:rPr>
        <w:t>.</w:t>
      </w:r>
    </w:p>
    <w:p w:rsidR="008A7178" w:rsidRPr="00F23EC6" w:rsidRDefault="008A7178"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3B47EC"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 xml:space="preserve">Dirección electrónica donde </w:t>
      </w:r>
      <w:r w:rsidR="003B47EC" w:rsidRPr="00F23EC6">
        <w:rPr>
          <w:rFonts w:ascii="Palatino Linotype" w:eastAsia="MS Mincho" w:hAnsi="Palatino Linotype" w:cstheme="majorBidi"/>
          <w:b/>
          <w:sz w:val="24"/>
          <w:szCs w:val="24"/>
          <w:lang w:val="es-ES_tradnl" w:eastAsia="es-ES"/>
        </w:rPr>
        <w:t>pueden</w:t>
      </w:r>
      <w:r w:rsidRPr="00F23EC6">
        <w:rPr>
          <w:rFonts w:ascii="Palatino Linotype" w:eastAsia="MS Mincho" w:hAnsi="Palatino Linotype" w:cstheme="majorBidi"/>
          <w:b/>
          <w:sz w:val="24"/>
          <w:szCs w:val="24"/>
          <w:lang w:val="es-ES_tradnl" w:eastAsia="es-ES"/>
        </w:rPr>
        <w:t xml:space="preserve"> recibirse solicitudes para obtener la información, así como el registro de las solicitudes recibidas y atendidas</w:t>
      </w:r>
      <w:r w:rsidR="003B47EC" w:rsidRPr="00F23EC6">
        <w:rPr>
          <w:rFonts w:ascii="Palatino Linotype" w:eastAsia="MS Mincho" w:hAnsi="Palatino Linotype" w:cstheme="majorBidi"/>
          <w:b/>
          <w:sz w:val="24"/>
          <w:szCs w:val="24"/>
          <w:lang w:val="es-ES_tradnl" w:eastAsia="es-ES"/>
        </w:rPr>
        <w:t xml:space="preserve">, </w:t>
      </w:r>
      <w:r w:rsidRPr="00F23EC6">
        <w:rPr>
          <w:rFonts w:ascii="Palatino Linotype" w:eastAsia="MS Mincho" w:hAnsi="Palatino Linotype" w:cstheme="majorBidi"/>
          <w:b/>
          <w:sz w:val="24"/>
          <w:szCs w:val="24"/>
          <w:lang w:val="es-ES_tradnl" w:eastAsia="es-ES"/>
        </w:rPr>
        <w:t>áreas a las que fueron turnadas</w:t>
      </w:r>
      <w:r w:rsidR="003B47EC" w:rsidRPr="00F23EC6">
        <w:rPr>
          <w:rFonts w:ascii="Palatino Linotype" w:eastAsia="MS Mincho" w:hAnsi="Palatino Linotype" w:cstheme="majorBidi"/>
          <w:b/>
          <w:sz w:val="24"/>
          <w:szCs w:val="24"/>
          <w:lang w:val="es-ES_tradnl" w:eastAsia="es-ES"/>
        </w:rPr>
        <w:t>,</w:t>
      </w:r>
      <w:r w:rsidRPr="00F23EC6">
        <w:rPr>
          <w:rFonts w:ascii="Palatino Linotype" w:eastAsia="MS Mincho" w:hAnsi="Palatino Linotype" w:cstheme="majorBidi"/>
          <w:b/>
          <w:sz w:val="24"/>
          <w:szCs w:val="24"/>
          <w:lang w:val="es-ES_tradnl" w:eastAsia="es-ES"/>
        </w:rPr>
        <w:t xml:space="preserve"> del</w:t>
      </w:r>
      <w:r w:rsidR="008A7178" w:rsidRPr="00F23EC6">
        <w:rPr>
          <w:rFonts w:ascii="Palatino Linotype" w:eastAsia="MS Mincho" w:hAnsi="Palatino Linotype" w:cstheme="majorBidi"/>
          <w:b/>
          <w:sz w:val="24"/>
          <w:szCs w:val="24"/>
          <w:lang w:val="es-ES_tradnl" w:eastAsia="es-ES"/>
        </w:rPr>
        <w:t xml:space="preserve"> 2013</w:t>
      </w:r>
      <w:r w:rsidR="003B47EC" w:rsidRPr="00F23EC6">
        <w:rPr>
          <w:rFonts w:ascii="Palatino Linotype" w:eastAsia="MS Mincho" w:hAnsi="Palatino Linotype" w:cstheme="majorBidi"/>
          <w:b/>
          <w:sz w:val="24"/>
          <w:szCs w:val="24"/>
          <w:lang w:val="es-ES_tradnl" w:eastAsia="es-ES"/>
        </w:rPr>
        <w:t xml:space="preserve"> a</w:t>
      </w:r>
      <w:r w:rsidRPr="00F23EC6">
        <w:rPr>
          <w:rFonts w:ascii="Palatino Linotype" w:eastAsia="MS Mincho" w:hAnsi="Palatino Linotype" w:cstheme="majorBidi"/>
          <w:b/>
          <w:sz w:val="24"/>
          <w:szCs w:val="24"/>
          <w:lang w:val="es-ES_tradnl" w:eastAsia="es-ES"/>
        </w:rPr>
        <w:t>l 15 de junio del año 2019</w:t>
      </w:r>
    </w:p>
    <w:p w:rsidR="003B47EC" w:rsidRPr="00F23EC6" w:rsidRDefault="003B47EC"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8A7178"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Remuneración bruta y neta de todos los servidores públicos de base o de confianza, de todas las percepciones, incluyendo sueldos, prestaciones, gratificaciones, primas, comisiones, dietas, bonos, estímulos, ingresos y sistemas de compensación, del primer trimestre de</w:t>
      </w:r>
      <w:r w:rsidR="003B47EC" w:rsidRPr="00F23EC6">
        <w:rPr>
          <w:rFonts w:ascii="Palatino Linotype" w:eastAsia="MS Mincho" w:hAnsi="Palatino Linotype" w:cstheme="majorBidi"/>
          <w:b/>
          <w:sz w:val="24"/>
          <w:szCs w:val="24"/>
          <w:lang w:val="es-ES_tradnl" w:eastAsia="es-ES"/>
        </w:rPr>
        <w:t xml:space="preserve"> </w:t>
      </w:r>
      <w:r w:rsidR="008A7178" w:rsidRPr="00F23EC6">
        <w:rPr>
          <w:rFonts w:ascii="Palatino Linotype" w:eastAsia="MS Mincho" w:hAnsi="Palatino Linotype" w:cstheme="majorBidi"/>
          <w:b/>
          <w:sz w:val="24"/>
          <w:szCs w:val="24"/>
          <w:lang w:val="es-ES_tradnl" w:eastAsia="es-ES"/>
        </w:rPr>
        <w:t>2019</w:t>
      </w:r>
    </w:p>
    <w:p w:rsidR="008A7178" w:rsidRPr="00F23EC6" w:rsidRDefault="008A7178"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3B47EC"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El directorio de todos los servidores públicos, a partir del nivel de jefe de departamento o su equivalente o de menor nivel</w:t>
      </w:r>
      <w:r w:rsidR="003B47EC" w:rsidRPr="00F23EC6">
        <w:rPr>
          <w:rFonts w:ascii="Palatino Linotype" w:eastAsia="MS Mincho" w:hAnsi="Palatino Linotype" w:cstheme="majorBidi"/>
          <w:b/>
          <w:sz w:val="24"/>
          <w:szCs w:val="24"/>
          <w:lang w:val="es-ES_tradnl" w:eastAsia="es-ES"/>
        </w:rPr>
        <w:t>,</w:t>
      </w:r>
      <w:r w:rsidRPr="00F23EC6">
        <w:rPr>
          <w:rFonts w:ascii="Palatino Linotype" w:eastAsia="MS Mincho" w:hAnsi="Palatino Linotype" w:cstheme="majorBidi"/>
          <w:b/>
          <w:sz w:val="24"/>
          <w:szCs w:val="24"/>
          <w:lang w:val="es-ES_tradnl" w:eastAsia="es-ES"/>
        </w:rPr>
        <w:t xml:space="preserve"> del primer trimestre de</w:t>
      </w:r>
      <w:r w:rsidR="008A7178" w:rsidRPr="00F23EC6">
        <w:rPr>
          <w:rFonts w:ascii="Palatino Linotype" w:eastAsia="MS Mincho" w:hAnsi="Palatino Linotype" w:cstheme="majorBidi"/>
          <w:b/>
          <w:sz w:val="24"/>
          <w:szCs w:val="24"/>
          <w:lang w:val="es-ES_tradnl" w:eastAsia="es-ES"/>
        </w:rPr>
        <w:t xml:space="preserve"> 2019</w:t>
      </w:r>
      <w:r w:rsidR="003B47EC" w:rsidRPr="00F23EC6">
        <w:rPr>
          <w:rFonts w:ascii="Palatino Linotype" w:eastAsia="MS Mincho" w:hAnsi="Palatino Linotype" w:cstheme="majorBidi"/>
          <w:b/>
          <w:sz w:val="24"/>
          <w:szCs w:val="24"/>
          <w:lang w:val="es-ES_tradnl" w:eastAsia="es-ES"/>
        </w:rPr>
        <w:t>;</w:t>
      </w:r>
    </w:p>
    <w:p w:rsidR="003B47EC" w:rsidRPr="00F23EC6" w:rsidRDefault="003B47EC"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3B47EC"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Las metas, objetivos e indicadores de las áreas</w:t>
      </w:r>
    </w:p>
    <w:p w:rsidR="003B47EC" w:rsidRPr="00F23EC6" w:rsidRDefault="003B47EC"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DF29D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Los indicadores relacionados con temas de interés público o trascendencia social que, conforme a sus funciones, deban establecer, así como las matrices elaboradas para tal efecto</w:t>
      </w:r>
    </w:p>
    <w:p w:rsidR="00DF29DB" w:rsidRPr="00F23EC6" w:rsidRDefault="00DF29D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DF29DB"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Los indicadores que permitan rendir cuenta de sus objetivos y resultados, así como las matrices elaboradas para tal efecto, del primer trimestre de</w:t>
      </w:r>
      <w:r w:rsidR="008A7178" w:rsidRPr="00F23EC6">
        <w:rPr>
          <w:rFonts w:ascii="Palatino Linotype" w:eastAsia="MS Mincho" w:hAnsi="Palatino Linotype" w:cstheme="majorBidi"/>
          <w:b/>
          <w:sz w:val="24"/>
          <w:szCs w:val="24"/>
          <w:lang w:val="es-ES_tradnl" w:eastAsia="es-ES"/>
        </w:rPr>
        <w:t xml:space="preserve"> 2019 </w:t>
      </w:r>
    </w:p>
    <w:p w:rsidR="00DF29DB" w:rsidRPr="00F23EC6" w:rsidRDefault="00DF29DB"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A623B7" w:rsidRPr="00F23EC6" w:rsidRDefault="00DF29DB" w:rsidP="00F23EC6">
      <w:pPr>
        <w:pStyle w:val="Prrafodelista"/>
        <w:numPr>
          <w:ilvl w:val="0"/>
          <w:numId w:val="12"/>
        </w:numPr>
        <w:spacing w:after="120" w:line="360" w:lineRule="auto"/>
        <w:ind w:right="616"/>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Facultades de cada área, del primer trimestre del año 2019."</w:t>
      </w:r>
    </w:p>
    <w:p w:rsidR="008A7178" w:rsidRPr="00F23EC6" w:rsidRDefault="008A7178" w:rsidP="00F23EC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A623B7" w:rsidRPr="00F23EC6" w:rsidRDefault="00A623B7" w:rsidP="00F23EC6">
      <w:pPr>
        <w:spacing w:after="120" w:line="360" w:lineRule="auto"/>
        <w:ind w:right="49"/>
        <w:contextualSpacing/>
        <w:jc w:val="both"/>
        <w:rPr>
          <w:rFonts w:ascii="Palatino Linotype" w:eastAsia="MS Mincho" w:hAnsi="Palatino Linotype" w:cstheme="majorBidi"/>
          <w:sz w:val="24"/>
          <w:szCs w:val="24"/>
          <w:lang w:val="es-ES_tradnl" w:eastAsia="es-ES"/>
        </w:rPr>
      </w:pPr>
    </w:p>
    <w:p w:rsidR="003A1D3B" w:rsidRPr="00F23EC6" w:rsidRDefault="00061BF5" w:rsidP="00F23EC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3EC6">
        <w:rPr>
          <w:rFonts w:ascii="Palatino Linotype" w:eastAsia="MS Mincho" w:hAnsi="Palatino Linotype" w:cs="Arial"/>
          <w:sz w:val="24"/>
          <w:szCs w:val="24"/>
          <w:lang w:val="es-ES_tradnl" w:eastAsia="es-ES"/>
        </w:rPr>
        <w:t>Al respecto, l</w:t>
      </w:r>
      <w:r w:rsidR="003A1D3B" w:rsidRPr="00F23EC6">
        <w:rPr>
          <w:rFonts w:ascii="Palatino Linotype" w:eastAsia="MS Mincho" w:hAnsi="Palatino Linotype" w:cs="Arial"/>
          <w:sz w:val="24"/>
          <w:szCs w:val="24"/>
          <w:lang w:val="es-ES_tradnl" w:eastAsia="es-ES"/>
        </w:rPr>
        <w:t>a Ley de Transparencia y Acceso a la Información Pública del Estado de México y Municipios, prevé en su artículo 23, lo siguiente:</w:t>
      </w:r>
    </w:p>
    <w:p w:rsidR="003A1D3B" w:rsidRPr="00F23EC6" w:rsidRDefault="003A1D3B" w:rsidP="00F23EC6">
      <w:pPr>
        <w:spacing w:after="0" w:line="360" w:lineRule="auto"/>
        <w:contextualSpacing/>
        <w:rPr>
          <w:rFonts w:ascii="Palatino Linotype" w:eastAsia="MS Mincho" w:hAnsi="Palatino Linotype" w:cs="Arial"/>
          <w:sz w:val="24"/>
          <w:szCs w:val="24"/>
          <w:lang w:val="es-ES_tradnl" w:eastAsia="es-ES"/>
        </w:rPr>
      </w:pPr>
    </w:p>
    <w:p w:rsidR="003A1D3B" w:rsidRPr="00F23EC6" w:rsidRDefault="003A1D3B" w:rsidP="00F23EC6">
      <w:pPr>
        <w:spacing w:after="0" w:line="360" w:lineRule="auto"/>
        <w:ind w:left="567" w:right="616"/>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F23EC6">
        <w:rPr>
          <w:rFonts w:ascii="Palatino Linotype" w:eastAsia="MS Mincho" w:hAnsi="Palatino Linotype" w:cs="Times New Roman"/>
          <w:b/>
          <w:i/>
          <w:sz w:val="24"/>
          <w:szCs w:val="24"/>
          <w:lang w:val="es-ES_tradnl" w:eastAsia="es-ES"/>
        </w:rPr>
        <w:t>proteger</w:t>
      </w:r>
      <w:r w:rsidRPr="00F23EC6">
        <w:rPr>
          <w:rFonts w:ascii="Palatino Linotype" w:eastAsia="MS Mincho" w:hAnsi="Palatino Linotype" w:cs="Arial"/>
          <w:b/>
          <w:i/>
          <w:sz w:val="24"/>
          <w:szCs w:val="24"/>
          <w:lang w:val="es-ES_tradnl" w:eastAsia="es-ES"/>
        </w:rPr>
        <w:t xml:space="preserve"> los datos personales que obren en su poder</w:t>
      </w:r>
      <w:r w:rsidRPr="00F23EC6">
        <w:rPr>
          <w:rFonts w:ascii="Palatino Linotype" w:eastAsia="MS Mincho" w:hAnsi="Palatino Linotype" w:cs="Arial"/>
          <w:i/>
          <w:sz w:val="24"/>
          <w:szCs w:val="24"/>
          <w:lang w:val="es-ES_tradnl" w:eastAsia="es-ES"/>
        </w:rPr>
        <w:t>:</w:t>
      </w:r>
    </w:p>
    <w:p w:rsidR="003A1D3B" w:rsidRPr="00F23EC6" w:rsidRDefault="003A1D3B" w:rsidP="00F23EC6">
      <w:pPr>
        <w:spacing w:after="0" w:line="360" w:lineRule="auto"/>
        <w:ind w:left="567" w:right="616"/>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i/>
          <w:sz w:val="24"/>
          <w:szCs w:val="24"/>
          <w:lang w:val="es-ES_tradnl" w:eastAsia="es-ES"/>
        </w:rPr>
        <w:t>…</w:t>
      </w:r>
    </w:p>
    <w:p w:rsidR="003A1D3B" w:rsidRPr="00F23EC6" w:rsidRDefault="003A1D3B" w:rsidP="00F23EC6">
      <w:pPr>
        <w:spacing w:after="0" w:line="360" w:lineRule="auto"/>
        <w:ind w:left="567" w:right="616"/>
        <w:jc w:val="both"/>
        <w:rPr>
          <w:rFonts w:ascii="Palatino Linotype" w:eastAsia="MS Mincho" w:hAnsi="Palatino Linotype" w:cs="Arial"/>
          <w:b/>
          <w:i/>
          <w:sz w:val="24"/>
          <w:szCs w:val="24"/>
          <w:lang w:val="es-ES_tradnl" w:eastAsia="es-ES"/>
        </w:rPr>
      </w:pPr>
      <w:r w:rsidRPr="00F23EC6">
        <w:rPr>
          <w:rFonts w:ascii="Palatino Linotype" w:eastAsia="MS Mincho" w:hAnsi="Palatino Linotype" w:cs="Arial"/>
          <w:b/>
          <w:i/>
          <w:sz w:val="24"/>
          <w:szCs w:val="24"/>
          <w:lang w:val="es-ES_tradnl" w:eastAsia="es-ES"/>
        </w:rPr>
        <w:t xml:space="preserve">IV. </w:t>
      </w:r>
      <w:r w:rsidRPr="00F23EC6">
        <w:rPr>
          <w:rFonts w:ascii="Palatino Linotype" w:eastAsia="MS Mincho" w:hAnsi="Palatino Linotype" w:cs="Arial"/>
          <w:b/>
          <w:i/>
          <w:sz w:val="24"/>
          <w:szCs w:val="24"/>
          <w:u w:val="single"/>
          <w:lang w:val="es-ES_tradnl" w:eastAsia="es-ES"/>
        </w:rPr>
        <w:t>Los ayuntamientos y las dependencias, organismos, órganos y entidades de la administración municipal;</w:t>
      </w:r>
    </w:p>
    <w:p w:rsidR="003A1D3B" w:rsidRPr="00F23EC6" w:rsidRDefault="003A1D3B" w:rsidP="00F23EC6">
      <w:pPr>
        <w:spacing w:after="0" w:line="360" w:lineRule="auto"/>
        <w:ind w:left="567" w:right="616"/>
        <w:jc w:val="both"/>
        <w:rPr>
          <w:rFonts w:ascii="Palatino Linotype" w:eastAsia="MS Mincho" w:hAnsi="Palatino Linotype" w:cs="Arial"/>
          <w:b/>
          <w:i/>
          <w:sz w:val="24"/>
          <w:szCs w:val="24"/>
          <w:lang w:val="es-ES_tradnl" w:eastAsia="es-ES"/>
        </w:rPr>
      </w:pPr>
      <w:r w:rsidRPr="00F23EC6">
        <w:rPr>
          <w:rFonts w:ascii="Palatino Linotype" w:eastAsia="MS Mincho" w:hAnsi="Palatino Linotype" w:cs="Arial"/>
          <w:b/>
          <w:i/>
          <w:sz w:val="24"/>
          <w:szCs w:val="24"/>
          <w:lang w:val="es-ES_tradnl" w:eastAsia="es-ES"/>
        </w:rPr>
        <w:t>…</w:t>
      </w:r>
    </w:p>
    <w:p w:rsidR="003A1D3B" w:rsidRPr="00F23EC6" w:rsidRDefault="003A1D3B" w:rsidP="00F23EC6">
      <w:pPr>
        <w:spacing w:after="0" w:line="360" w:lineRule="auto"/>
        <w:ind w:left="567" w:right="616"/>
        <w:jc w:val="both"/>
        <w:rPr>
          <w:rFonts w:ascii="Palatino Linotype" w:eastAsia="MS Mincho" w:hAnsi="Palatino Linotype" w:cs="Times New Roman"/>
          <w:b/>
          <w:i/>
          <w:sz w:val="24"/>
          <w:szCs w:val="24"/>
          <w:lang w:val="es-ES_tradnl" w:eastAsia="es-ES"/>
        </w:rPr>
      </w:pPr>
      <w:r w:rsidRPr="00F23EC6">
        <w:rPr>
          <w:rFonts w:ascii="Palatino Linotype" w:eastAsia="MS Mincho" w:hAnsi="Palatino Linotype" w:cs="Times New Roman"/>
          <w:b/>
          <w:i/>
          <w:sz w:val="24"/>
          <w:szCs w:val="24"/>
          <w:lang w:val="es-ES_tradnl" w:eastAsia="es-ES"/>
        </w:rPr>
        <w:t>Los sujetos obligados deberán hacer pública toda aquella información relativa a los montos y las personas a quienes entreguen, por cualquier motivo, recursos públicos</w:t>
      </w:r>
      <w:r w:rsidRPr="00F23EC6">
        <w:rPr>
          <w:rFonts w:ascii="Palatino Linotype" w:eastAsia="MS Mincho" w:hAnsi="Palatino Linotype" w:cs="Times New Roman"/>
          <w:i/>
          <w:sz w:val="24"/>
          <w:szCs w:val="24"/>
          <w:lang w:val="es-ES_tradnl" w:eastAsia="es-ES"/>
        </w:rPr>
        <w:t xml:space="preserve">, </w:t>
      </w:r>
      <w:r w:rsidRPr="00F23EC6">
        <w:rPr>
          <w:rFonts w:ascii="Palatino Linotype" w:eastAsia="MS Mincho" w:hAnsi="Palatino Linotype" w:cs="Times New Roman"/>
          <w:b/>
          <w:i/>
          <w:sz w:val="24"/>
          <w:szCs w:val="24"/>
          <w:lang w:val="es-ES_tradnl" w:eastAsia="es-ES"/>
        </w:rPr>
        <w:t>así como</w:t>
      </w:r>
      <w:r w:rsidRPr="00F23EC6">
        <w:rPr>
          <w:rFonts w:ascii="Palatino Linotype" w:eastAsia="MS Mincho" w:hAnsi="Palatino Linotype" w:cs="Times New Roman"/>
          <w:i/>
          <w:sz w:val="24"/>
          <w:szCs w:val="24"/>
          <w:lang w:val="es-ES_tradnl" w:eastAsia="es-ES"/>
        </w:rPr>
        <w:t xml:space="preserve"> </w:t>
      </w:r>
      <w:r w:rsidRPr="00F23EC6">
        <w:rPr>
          <w:rFonts w:ascii="Palatino Linotype" w:eastAsia="MS Mincho" w:hAnsi="Palatino Linotype" w:cs="Times New Roman"/>
          <w:b/>
          <w:i/>
          <w:sz w:val="24"/>
          <w:szCs w:val="24"/>
          <w:lang w:val="es-ES_tradnl" w:eastAsia="es-ES"/>
        </w:rPr>
        <w:t>los informes que dichas personas les entreguen sobre el uso y destino de dichos recursos.</w:t>
      </w:r>
    </w:p>
    <w:p w:rsidR="003A1D3B" w:rsidRPr="00F23EC6" w:rsidRDefault="003A1D3B" w:rsidP="00F23EC6">
      <w:pPr>
        <w:spacing w:after="0" w:line="360" w:lineRule="auto"/>
        <w:ind w:left="567" w:right="616"/>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3A1D3B" w:rsidRDefault="003A1D3B" w:rsidP="00F23EC6">
      <w:pPr>
        <w:spacing w:after="0" w:line="360" w:lineRule="auto"/>
        <w:ind w:left="567" w:right="757"/>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i/>
          <w:sz w:val="24"/>
          <w:szCs w:val="24"/>
          <w:lang w:val="es-ES_tradnl" w:eastAsia="es-ES"/>
        </w:rPr>
        <w:t>(Énfasis añadido)</w:t>
      </w:r>
    </w:p>
    <w:p w:rsidR="00F23EC6" w:rsidRPr="00F23EC6" w:rsidRDefault="00F23EC6" w:rsidP="00F23EC6">
      <w:pPr>
        <w:spacing w:after="0" w:line="360" w:lineRule="auto"/>
        <w:ind w:left="567" w:right="757"/>
        <w:jc w:val="both"/>
        <w:rPr>
          <w:rFonts w:ascii="Palatino Linotype" w:eastAsia="MS Mincho" w:hAnsi="Palatino Linotype" w:cs="Arial"/>
          <w:i/>
          <w:sz w:val="24"/>
          <w:szCs w:val="24"/>
          <w:lang w:val="es-ES_tradnl" w:eastAsia="es-ES"/>
        </w:rPr>
      </w:pPr>
    </w:p>
    <w:p w:rsidR="003A1D3B" w:rsidRDefault="003A1D3B" w:rsidP="00F23EC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3EC6">
        <w:rPr>
          <w:rFonts w:ascii="Palatino Linotype" w:eastAsia="MS Mincho" w:hAnsi="Palatino Linotype" w:cs="Arial"/>
          <w:sz w:val="24"/>
          <w:szCs w:val="24"/>
          <w:lang w:val="es-ES_tradnl" w:eastAsia="es-ES"/>
        </w:rPr>
        <w:t xml:space="preserve">Es así que, conforme al precepto legal citado, se desprende que el derecho de acceso a la información pública es un derecho individual que puede ser ejercido ante cualquier autoridad y en caso específico, ante el </w:t>
      </w:r>
      <w:r w:rsidR="00B57D87" w:rsidRPr="00F23EC6">
        <w:rPr>
          <w:rFonts w:ascii="Palatino Linotype" w:eastAsia="MS Mincho" w:hAnsi="Palatino Linotype" w:cs="Arial"/>
          <w:sz w:val="24"/>
          <w:szCs w:val="24"/>
          <w:lang w:val="es-ES_tradnl" w:eastAsia="es-ES"/>
        </w:rPr>
        <w:t>Sistema Municipal Para el Desarrollo Integral de la Familia de Tecámac</w:t>
      </w:r>
      <w:r w:rsidRPr="00F23EC6">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F23EC6" w:rsidRPr="00F23EC6" w:rsidRDefault="00F23EC6" w:rsidP="00F23EC6">
      <w:pPr>
        <w:spacing w:after="0" w:line="360" w:lineRule="auto"/>
        <w:ind w:right="34"/>
        <w:contextualSpacing/>
        <w:jc w:val="both"/>
        <w:rPr>
          <w:rFonts w:ascii="Palatino Linotype" w:eastAsia="MS Mincho" w:hAnsi="Palatino Linotype" w:cs="Arial"/>
          <w:sz w:val="24"/>
          <w:szCs w:val="24"/>
          <w:lang w:val="es-ES_tradnl" w:eastAsia="es-ES"/>
        </w:rPr>
      </w:pPr>
    </w:p>
    <w:p w:rsidR="007B27A3" w:rsidRPr="00F23EC6" w:rsidRDefault="00061BF5" w:rsidP="00F23EC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3EC6">
        <w:rPr>
          <w:rFonts w:ascii="Palatino Linotype" w:eastAsia="MS Mincho" w:hAnsi="Palatino Linotype" w:cs="Arial"/>
          <w:sz w:val="24"/>
          <w:szCs w:val="24"/>
          <w:lang w:val="es-ES_tradnl" w:eastAsia="es-ES"/>
        </w:rPr>
        <w:t>Ahora bien</w:t>
      </w:r>
      <w:r w:rsidR="005F3E21" w:rsidRPr="00F23EC6">
        <w:rPr>
          <w:rFonts w:ascii="Palatino Linotype" w:eastAsia="MS Mincho" w:hAnsi="Palatino Linotype" w:cs="Arial"/>
          <w:sz w:val="24"/>
          <w:szCs w:val="24"/>
          <w:lang w:val="es-ES_tradnl" w:eastAsia="es-ES"/>
        </w:rPr>
        <w:t>, de las solicitudes de información planteadas se observ</w:t>
      </w:r>
      <w:r w:rsidR="00D92B84" w:rsidRPr="00F23EC6">
        <w:rPr>
          <w:rFonts w:ascii="Palatino Linotype" w:eastAsia="MS Mincho" w:hAnsi="Palatino Linotype" w:cs="Arial"/>
          <w:sz w:val="24"/>
          <w:szCs w:val="24"/>
          <w:lang w:val="es-ES_tradnl" w:eastAsia="es-ES"/>
        </w:rPr>
        <w:t xml:space="preserve">a que el particular las formulo con base en el Capítulo III de la Ley de Transparencia y Acceso a la Información Pública del Estado de México y Municipios </w:t>
      </w:r>
      <w:r w:rsidR="00EC4C51" w:rsidRPr="00F23EC6">
        <w:rPr>
          <w:rFonts w:ascii="Palatino Linotype" w:eastAsia="MS Mincho" w:hAnsi="Palatino Linotype" w:cs="Arial"/>
          <w:sz w:val="24"/>
          <w:szCs w:val="24"/>
          <w:lang w:val="es-ES_tradnl" w:eastAsia="es-ES"/>
        </w:rPr>
        <w:t>denominado d</w:t>
      </w:r>
      <w:r w:rsidR="00D92B84" w:rsidRPr="00F23EC6">
        <w:rPr>
          <w:rFonts w:ascii="Palatino Linotype" w:eastAsia="MS Mincho" w:hAnsi="Palatino Linotype" w:cs="Arial"/>
          <w:sz w:val="24"/>
          <w:szCs w:val="24"/>
          <w:lang w:val="es-ES_tradnl" w:eastAsia="es-ES"/>
        </w:rPr>
        <w:t>e las Obligaciones de Transparencia Específicas de los Sujetos Obligados</w:t>
      </w:r>
      <w:r w:rsidR="007B27A3" w:rsidRPr="00F23EC6">
        <w:rPr>
          <w:rFonts w:ascii="Palatino Linotype" w:eastAsia="MS Mincho" w:hAnsi="Palatino Linotype" w:cs="Arial"/>
          <w:sz w:val="24"/>
          <w:szCs w:val="24"/>
          <w:lang w:val="es-ES_tradnl" w:eastAsia="es-ES"/>
        </w:rPr>
        <w:t>, mismo que en su artículo 94 señala que dicho Capitulo establece además de las obligaciones de transparencia común a que se refiere el Capítulo II, que los sujetos obligados del Poder Ejecutivo Local y municipales, deberán poner a disposición del público y actualizar diversa información, de la que se advierte la que ya ha tenido a bien solicitar el particular, que en obvio de repeticiones innecesarias se omite su transcripción.</w:t>
      </w:r>
    </w:p>
    <w:p w:rsidR="006B2701" w:rsidRPr="00F23EC6" w:rsidRDefault="006B2701" w:rsidP="00F23EC6">
      <w:pPr>
        <w:spacing w:after="0" w:line="360" w:lineRule="auto"/>
        <w:ind w:right="34"/>
        <w:contextualSpacing/>
        <w:jc w:val="both"/>
        <w:rPr>
          <w:rFonts w:ascii="Palatino Linotype" w:eastAsia="MS Mincho" w:hAnsi="Palatino Linotype" w:cs="Arial"/>
          <w:sz w:val="24"/>
          <w:szCs w:val="24"/>
          <w:lang w:val="es-ES_tradnl" w:eastAsia="es-ES"/>
        </w:rPr>
      </w:pPr>
    </w:p>
    <w:p w:rsidR="006B2701" w:rsidRPr="00F23EC6" w:rsidRDefault="006B2701" w:rsidP="00F23EC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3EC6">
        <w:rPr>
          <w:rFonts w:ascii="Palatino Linotype" w:eastAsia="MS Mincho" w:hAnsi="Palatino Linotype" w:cs="Arial"/>
          <w:sz w:val="24"/>
          <w:szCs w:val="24"/>
          <w:lang w:val="es-ES_tradnl" w:eastAsia="es-ES"/>
        </w:rPr>
        <w:t xml:space="preserve">En ese sentido entonces, los Sujetos Obligados tienen la responsabilidad de transparentar sus gestiones y rendir cuentas a la sociedad; prevaleciendo el principio de máxima publicidad, favoreciendo en todo tiempo a las personas la protección más amplia, atendiendo al principio </w:t>
      </w:r>
      <w:proofErr w:type="spellStart"/>
      <w:r w:rsidRPr="00F23EC6">
        <w:rPr>
          <w:rFonts w:ascii="Palatino Linotype" w:eastAsia="MS Mincho" w:hAnsi="Palatino Linotype" w:cs="Arial"/>
          <w:sz w:val="24"/>
          <w:szCs w:val="24"/>
          <w:lang w:val="es-ES_tradnl" w:eastAsia="es-ES"/>
        </w:rPr>
        <w:t>pro</w:t>
      </w:r>
      <w:proofErr w:type="spellEnd"/>
      <w:r w:rsidRPr="00F23EC6">
        <w:rPr>
          <w:rFonts w:ascii="Palatino Linotype" w:eastAsia="MS Mincho" w:hAnsi="Palatino Linotype" w:cs="Arial"/>
          <w:sz w:val="24"/>
          <w:szCs w:val="24"/>
          <w:lang w:val="es-ES_tradnl" w:eastAsia="es-ES"/>
        </w:rPr>
        <w:t xml:space="preserve"> persona y garantizando que la entrega de la información sea accesible, actualizada, completa, congruente, confiable, verificable, veraz, integral, oportuna y expedita, por lo que atenderá las necesidades del derecho de acceso a la información de toda persona.</w:t>
      </w:r>
    </w:p>
    <w:p w:rsidR="006B2701" w:rsidRPr="00F23EC6" w:rsidRDefault="006B2701" w:rsidP="00F23EC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3EC6">
        <w:rPr>
          <w:rFonts w:ascii="Palatino Linotype" w:eastAsia="MS Mincho" w:hAnsi="Palatino Linotype" w:cs="Arial"/>
          <w:sz w:val="24"/>
          <w:szCs w:val="24"/>
          <w:lang w:val="es-ES_tradnl" w:eastAsia="es-ES"/>
        </w:rPr>
        <w:t>Luego entonces, para el cumplimiento de los objetivos de la Ley, los Sujetos Obligados deben cumplir con las obligaciones del Capítulo de mérito, según corresponda, de acuerdo a su naturaleza</w:t>
      </w:r>
    </w:p>
    <w:p w:rsidR="006B2701" w:rsidRPr="00F23EC6" w:rsidRDefault="006B2701" w:rsidP="00F23EC6">
      <w:pPr>
        <w:spacing w:after="0" w:line="360" w:lineRule="auto"/>
        <w:ind w:left="360" w:right="34"/>
        <w:contextualSpacing/>
        <w:jc w:val="both"/>
        <w:rPr>
          <w:rFonts w:ascii="Palatino Linotype" w:eastAsia="MS Mincho" w:hAnsi="Palatino Linotype" w:cs="Arial"/>
          <w:sz w:val="24"/>
          <w:szCs w:val="24"/>
          <w:lang w:val="es-ES_tradnl" w:eastAsia="es-ES"/>
        </w:rPr>
      </w:pPr>
    </w:p>
    <w:p w:rsidR="006B2701" w:rsidRPr="00F23EC6" w:rsidRDefault="00A66B82" w:rsidP="00F23EC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23EC6">
        <w:rPr>
          <w:rFonts w:ascii="Palatino Linotype" w:eastAsia="MS Mincho" w:hAnsi="Palatino Linotype" w:cs="Arial"/>
          <w:sz w:val="24"/>
          <w:szCs w:val="24"/>
          <w:lang w:val="es-ES_tradnl" w:eastAsia="es-ES"/>
        </w:rPr>
        <w:t>Luego entonces, l</w:t>
      </w:r>
      <w:r w:rsidR="006B2701" w:rsidRPr="00F23EC6">
        <w:rPr>
          <w:rFonts w:ascii="Palatino Linotype" w:eastAsia="MS Mincho" w:hAnsi="Palatino Linotype" w:cs="Arial"/>
          <w:sz w:val="24"/>
          <w:szCs w:val="24"/>
          <w:lang w:val="es-ES_tradnl" w:eastAsia="es-ES"/>
        </w:rPr>
        <w:t>os Sujetos Obligados serán los responsables del cumplimiento de las obligaciones, procesos, procedimientos y responsabilidades establecidas en la Ley General y la Ley de Transparencia y Acceso a la Información Pública del Estado de México y Municipios, en los tér</w:t>
      </w:r>
      <w:r w:rsidRPr="00F23EC6">
        <w:rPr>
          <w:rFonts w:ascii="Palatino Linotype" w:eastAsia="MS Mincho" w:hAnsi="Palatino Linotype" w:cs="Arial"/>
          <w:sz w:val="24"/>
          <w:szCs w:val="24"/>
          <w:lang w:val="es-ES_tradnl" w:eastAsia="es-ES"/>
        </w:rPr>
        <w:t>minos que las mismas determinen, por lo que</w:t>
      </w:r>
      <w:r w:rsidR="006B2701" w:rsidRPr="00F23EC6">
        <w:rPr>
          <w:rFonts w:ascii="Palatino Linotype" w:eastAsia="MS Mincho" w:hAnsi="Palatino Linotype" w:cs="Arial"/>
          <w:sz w:val="24"/>
          <w:szCs w:val="24"/>
          <w:lang w:val="es-ES_tradnl" w:eastAsia="es-ES"/>
        </w:rPr>
        <w:t xml:space="preserve"> deberán dar cumplimiento a las obligaciones establecidas en </w:t>
      </w:r>
      <w:r w:rsidRPr="00F23EC6">
        <w:rPr>
          <w:rFonts w:ascii="Palatino Linotype" w:eastAsia="MS Mincho" w:hAnsi="Palatino Linotype" w:cs="Arial"/>
          <w:sz w:val="24"/>
          <w:szCs w:val="24"/>
          <w:lang w:val="es-ES_tradnl" w:eastAsia="es-ES"/>
        </w:rPr>
        <w:t>el Capítulo de referencia</w:t>
      </w:r>
      <w:r w:rsidR="006B2701" w:rsidRPr="00F23EC6">
        <w:rPr>
          <w:rFonts w:ascii="Palatino Linotype" w:eastAsia="MS Mincho" w:hAnsi="Palatino Linotype" w:cs="Arial"/>
          <w:sz w:val="24"/>
          <w:szCs w:val="24"/>
          <w:lang w:val="es-ES_tradnl" w:eastAsia="es-ES"/>
        </w:rPr>
        <w:t xml:space="preserve"> por sí mismos, a través de sus propias áreas, Unidades de Transparencia y Comités de Transparencia. </w:t>
      </w:r>
    </w:p>
    <w:p w:rsidR="00A66B82" w:rsidRPr="00F23EC6" w:rsidRDefault="00A66B82" w:rsidP="00F23EC6">
      <w:pPr>
        <w:pStyle w:val="Prrafodelista"/>
        <w:spacing w:line="360" w:lineRule="auto"/>
        <w:rPr>
          <w:rFonts w:ascii="Palatino Linotype" w:eastAsia="MS Mincho" w:hAnsi="Palatino Linotype" w:cs="Arial"/>
          <w:sz w:val="24"/>
          <w:szCs w:val="24"/>
          <w:lang w:val="es-ES_tradnl" w:eastAsia="es-ES"/>
        </w:rPr>
      </w:pPr>
    </w:p>
    <w:p w:rsidR="005D30E6" w:rsidRPr="00F23EC6" w:rsidRDefault="00A66B82" w:rsidP="00F23EC6">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sz w:val="24"/>
          <w:szCs w:val="24"/>
        </w:rPr>
      </w:pPr>
      <w:r w:rsidRPr="00F23EC6">
        <w:rPr>
          <w:rFonts w:ascii="Palatino Linotype" w:eastAsia="Calibri" w:hAnsi="Palatino Linotype" w:cs="Arial"/>
          <w:color w:val="000000" w:themeColor="text1"/>
          <w:sz w:val="24"/>
          <w:szCs w:val="24"/>
        </w:rPr>
        <w:t>No obstante lo anterior, como ya se ha referido</w:t>
      </w:r>
      <w:r w:rsidR="005D30E6" w:rsidRPr="00F23EC6">
        <w:rPr>
          <w:rFonts w:ascii="Palatino Linotype" w:eastAsia="Calibri" w:hAnsi="Palatino Linotype" w:cs="Arial"/>
          <w:color w:val="000000" w:themeColor="text1"/>
          <w:sz w:val="24"/>
          <w:szCs w:val="24"/>
        </w:rPr>
        <w:t xml:space="preserve"> el</w:t>
      </w:r>
      <w:r w:rsidR="005D30E6" w:rsidRPr="00F23EC6">
        <w:rPr>
          <w:rFonts w:ascii="Palatino Linotype" w:hAnsi="Palatino Linotype" w:cs="Arial"/>
          <w:color w:val="000000" w:themeColor="text1"/>
          <w:sz w:val="24"/>
          <w:szCs w:val="24"/>
        </w:rPr>
        <w:t xml:space="preserve"> </w:t>
      </w:r>
      <w:r w:rsidR="005D30E6" w:rsidRPr="00F23EC6">
        <w:rPr>
          <w:rFonts w:ascii="Palatino Linotype" w:hAnsi="Palatino Linotype" w:cs="Arial"/>
          <w:b/>
          <w:color w:val="000000" w:themeColor="text1"/>
          <w:sz w:val="24"/>
          <w:szCs w:val="24"/>
        </w:rPr>
        <w:t>SUJETO OBLIGADO</w:t>
      </w:r>
      <w:r w:rsidR="005D30E6" w:rsidRPr="00F23EC6">
        <w:rPr>
          <w:rFonts w:ascii="Palatino Linotype" w:hAnsi="Palatino Linotype" w:cs="Arial"/>
          <w:color w:val="000000" w:themeColor="text1"/>
          <w:sz w:val="24"/>
          <w:szCs w:val="24"/>
        </w:rPr>
        <w:t xml:space="preserve"> omitió enviar respuesta y tampoco envió informe justificado para manifestar lo que a su derecho asistiera y conviniera o bien para entregar lo solicitado, información a la que le reviste el carácter de </w:t>
      </w:r>
      <w:r w:rsidR="005D30E6" w:rsidRPr="00F23EC6">
        <w:rPr>
          <w:rFonts w:ascii="Palatino Linotype" w:hAnsi="Palatino Linotype" w:cs="Arial"/>
          <w:b/>
          <w:color w:val="000000" w:themeColor="text1"/>
          <w:sz w:val="24"/>
          <w:szCs w:val="24"/>
          <w:u w:val="single"/>
        </w:rPr>
        <w:t>pública</w:t>
      </w:r>
      <w:r w:rsidR="005D30E6" w:rsidRPr="00F23EC6">
        <w:rPr>
          <w:rFonts w:ascii="Palatino Linotype" w:hAnsi="Palatino Linotype" w:cs="Arial"/>
          <w:color w:val="000000" w:themeColor="text1"/>
          <w:sz w:val="24"/>
          <w:szCs w:val="24"/>
        </w:rPr>
        <w:t xml:space="preserve">, de conformidad con </w:t>
      </w:r>
      <w:r w:rsidR="005D30E6" w:rsidRPr="00F23EC6">
        <w:rPr>
          <w:rFonts w:ascii="Palatino Linotype" w:eastAsia="MS Mincho" w:hAnsi="Palatino Linotype" w:cs="Arial"/>
          <w:color w:val="000000" w:themeColor="text1"/>
          <w:sz w:val="24"/>
          <w:szCs w:val="24"/>
        </w:rPr>
        <w:t xml:space="preserve">el artículo 70 de la </w:t>
      </w:r>
      <w:r w:rsidR="005D30E6" w:rsidRPr="00F23EC6">
        <w:rPr>
          <w:rFonts w:ascii="Palatino Linotype" w:eastAsia="MS Mincho" w:hAnsi="Palatino Linotype" w:cs="Arial"/>
          <w:b/>
          <w:color w:val="000000" w:themeColor="text1"/>
          <w:sz w:val="24"/>
          <w:szCs w:val="24"/>
        </w:rPr>
        <w:t>Ley General de Transparencia y Acceso a la Información Pública</w:t>
      </w:r>
      <w:r w:rsidR="005D30E6" w:rsidRPr="00F23EC6">
        <w:rPr>
          <w:rFonts w:ascii="Palatino Linotype" w:eastAsia="MS Mincho" w:hAnsi="Palatino Linotype" w:cs="Arial"/>
          <w:color w:val="000000" w:themeColor="text1"/>
          <w:sz w:val="24"/>
          <w:szCs w:val="24"/>
        </w:rPr>
        <w:t xml:space="preserve"> que dispone lo siguiente:</w:t>
      </w:r>
    </w:p>
    <w:p w:rsidR="00A66B82" w:rsidRPr="00F23EC6" w:rsidRDefault="00A66B82" w:rsidP="00F23EC6">
      <w:pPr>
        <w:pStyle w:val="Prrafodelista"/>
        <w:spacing w:line="360" w:lineRule="auto"/>
        <w:rPr>
          <w:rFonts w:ascii="Palatino Linotype" w:eastAsia="Times New Roman" w:hAnsi="Palatino Linotype" w:cs="Arial"/>
          <w:color w:val="000000" w:themeColor="text1"/>
          <w:sz w:val="24"/>
          <w:szCs w:val="24"/>
        </w:rPr>
      </w:pPr>
    </w:p>
    <w:p w:rsidR="00A66B82" w:rsidRPr="00F23EC6" w:rsidRDefault="00A66B82" w:rsidP="00F23EC6">
      <w:pPr>
        <w:pStyle w:val="Prrafodelista"/>
        <w:spacing w:before="240" w:after="240" w:line="360" w:lineRule="auto"/>
        <w:ind w:left="0"/>
        <w:jc w:val="both"/>
        <w:rPr>
          <w:rFonts w:ascii="Palatino Linotype" w:eastAsia="Times New Roman" w:hAnsi="Palatino Linotype" w:cs="Arial"/>
          <w:color w:val="000000" w:themeColor="text1"/>
          <w:sz w:val="24"/>
          <w:szCs w:val="24"/>
        </w:rPr>
      </w:pPr>
    </w:p>
    <w:p w:rsidR="00A66B82" w:rsidRPr="00F23EC6" w:rsidRDefault="00A66B82" w:rsidP="00F23EC6">
      <w:pPr>
        <w:spacing w:line="360" w:lineRule="auto"/>
        <w:jc w:val="center"/>
        <w:rPr>
          <w:rFonts w:ascii="Palatino Linotype" w:eastAsia="Times New Roman" w:hAnsi="Palatino Linotype" w:cs="Arial"/>
          <w:color w:val="000000" w:themeColor="text1"/>
          <w:sz w:val="24"/>
          <w:szCs w:val="24"/>
        </w:rPr>
      </w:pPr>
      <w:r w:rsidRPr="00F23EC6">
        <w:rPr>
          <w:rFonts w:ascii="Palatino Linotype" w:hAnsi="Palatino Linotype"/>
          <w:noProof/>
          <w:sz w:val="24"/>
          <w:szCs w:val="24"/>
          <w:lang w:eastAsia="es-MX"/>
        </w:rPr>
        <w:drawing>
          <wp:inline distT="0" distB="0" distL="0" distR="0" wp14:anchorId="56540E56" wp14:editId="10EBBA5A">
            <wp:extent cx="4572000" cy="6515100"/>
            <wp:effectExtent l="19050" t="19050" r="1905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000" cy="6515100"/>
                    </a:xfrm>
                    <a:prstGeom prst="rect">
                      <a:avLst/>
                    </a:prstGeom>
                    <a:ln>
                      <a:solidFill>
                        <a:schemeClr val="tx1"/>
                      </a:solidFill>
                    </a:ln>
                  </pic:spPr>
                </pic:pic>
              </a:graphicData>
            </a:graphic>
          </wp:inline>
        </w:drawing>
      </w:r>
    </w:p>
    <w:p w:rsidR="00A66B82" w:rsidRPr="00F23EC6" w:rsidRDefault="00A66B82" w:rsidP="00F23EC6">
      <w:pPr>
        <w:spacing w:line="360" w:lineRule="auto"/>
        <w:jc w:val="center"/>
        <w:rPr>
          <w:rFonts w:ascii="Palatino Linotype" w:eastAsia="Times New Roman" w:hAnsi="Palatino Linotype" w:cs="Arial"/>
          <w:color w:val="000000" w:themeColor="text1"/>
          <w:sz w:val="24"/>
          <w:szCs w:val="24"/>
        </w:rPr>
      </w:pPr>
      <w:r w:rsidRPr="00F23EC6">
        <w:rPr>
          <w:rFonts w:ascii="Palatino Linotype" w:hAnsi="Palatino Linotype"/>
          <w:noProof/>
          <w:sz w:val="24"/>
          <w:szCs w:val="24"/>
          <w:lang w:eastAsia="es-MX"/>
        </w:rPr>
        <w:drawing>
          <wp:inline distT="0" distB="0" distL="0" distR="0" wp14:anchorId="7C8F0DAE" wp14:editId="61E5466D">
            <wp:extent cx="4648200" cy="6477000"/>
            <wp:effectExtent l="19050" t="19050" r="19050" b="190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8200" cy="6477000"/>
                    </a:xfrm>
                    <a:prstGeom prst="rect">
                      <a:avLst/>
                    </a:prstGeom>
                    <a:ln>
                      <a:solidFill>
                        <a:schemeClr val="tx1"/>
                      </a:solidFill>
                    </a:ln>
                  </pic:spPr>
                </pic:pic>
              </a:graphicData>
            </a:graphic>
          </wp:inline>
        </w:drawing>
      </w:r>
    </w:p>
    <w:p w:rsidR="00A66B82" w:rsidRPr="00F23EC6" w:rsidRDefault="00A66B82" w:rsidP="00F23EC6">
      <w:pPr>
        <w:spacing w:line="360" w:lineRule="auto"/>
        <w:jc w:val="center"/>
        <w:rPr>
          <w:rFonts w:ascii="Palatino Linotype" w:eastAsia="Times New Roman" w:hAnsi="Palatino Linotype" w:cs="Arial"/>
          <w:color w:val="000000" w:themeColor="text1"/>
          <w:sz w:val="24"/>
          <w:szCs w:val="24"/>
        </w:rPr>
      </w:pPr>
      <w:r w:rsidRPr="00F23EC6">
        <w:rPr>
          <w:rFonts w:ascii="Palatino Linotype" w:hAnsi="Palatino Linotype"/>
          <w:noProof/>
          <w:sz w:val="24"/>
          <w:szCs w:val="24"/>
          <w:lang w:eastAsia="es-MX"/>
        </w:rPr>
        <w:drawing>
          <wp:inline distT="0" distB="0" distL="0" distR="0" wp14:anchorId="795BBF65" wp14:editId="27146864">
            <wp:extent cx="4657725" cy="6753225"/>
            <wp:effectExtent l="19050" t="19050" r="28575" b="285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57725" cy="6753225"/>
                    </a:xfrm>
                    <a:prstGeom prst="rect">
                      <a:avLst/>
                    </a:prstGeom>
                    <a:ln>
                      <a:solidFill>
                        <a:schemeClr val="tx1"/>
                      </a:solidFill>
                    </a:ln>
                  </pic:spPr>
                </pic:pic>
              </a:graphicData>
            </a:graphic>
          </wp:inline>
        </w:drawing>
      </w:r>
    </w:p>
    <w:p w:rsidR="00A66B82" w:rsidRPr="00F23EC6" w:rsidRDefault="00A66B82" w:rsidP="00F23EC6">
      <w:pPr>
        <w:spacing w:line="360" w:lineRule="auto"/>
        <w:jc w:val="center"/>
        <w:rPr>
          <w:rFonts w:ascii="Palatino Linotype" w:eastAsia="Times New Roman" w:hAnsi="Palatino Linotype" w:cs="Arial"/>
          <w:color w:val="000000" w:themeColor="text1"/>
          <w:sz w:val="24"/>
          <w:szCs w:val="24"/>
        </w:rPr>
      </w:pPr>
      <w:r w:rsidRPr="00F23EC6">
        <w:rPr>
          <w:rFonts w:ascii="Palatino Linotype" w:hAnsi="Palatino Linotype"/>
          <w:noProof/>
          <w:sz w:val="24"/>
          <w:szCs w:val="24"/>
          <w:lang w:eastAsia="es-MX"/>
        </w:rPr>
        <w:drawing>
          <wp:inline distT="0" distB="0" distL="0" distR="0" wp14:anchorId="727EBE9A" wp14:editId="285B908D">
            <wp:extent cx="4648200" cy="6543675"/>
            <wp:effectExtent l="19050" t="19050" r="19050" b="285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48200" cy="6543675"/>
                    </a:xfrm>
                    <a:prstGeom prst="rect">
                      <a:avLst/>
                    </a:prstGeom>
                    <a:ln>
                      <a:solidFill>
                        <a:schemeClr val="tx1"/>
                      </a:solidFill>
                    </a:ln>
                  </pic:spPr>
                </pic:pic>
              </a:graphicData>
            </a:graphic>
          </wp:inline>
        </w:drawing>
      </w:r>
    </w:p>
    <w:p w:rsidR="005D30E6" w:rsidRPr="00F23EC6" w:rsidRDefault="005D30E6" w:rsidP="00F23EC6">
      <w:pPr>
        <w:pStyle w:val="Prrafodelista"/>
        <w:numPr>
          <w:ilvl w:val="0"/>
          <w:numId w:val="2"/>
        </w:numPr>
        <w:spacing w:before="240" w:after="240" w:line="360" w:lineRule="auto"/>
        <w:ind w:left="0" w:firstLine="0"/>
        <w:jc w:val="both"/>
        <w:rPr>
          <w:rFonts w:ascii="Palatino Linotype" w:eastAsia="MS Mincho" w:hAnsi="Palatino Linotype" w:cs="Arial"/>
          <w:color w:val="000000" w:themeColor="text1"/>
          <w:sz w:val="24"/>
          <w:szCs w:val="24"/>
        </w:rPr>
      </w:pPr>
      <w:r w:rsidRPr="00F23EC6">
        <w:rPr>
          <w:rFonts w:ascii="Palatino Linotype" w:eastAsia="MS Mincho" w:hAnsi="Palatino Linotype" w:cs="Arial"/>
          <w:color w:val="000000" w:themeColor="text1"/>
          <w:sz w:val="24"/>
          <w:szCs w:val="24"/>
        </w:rPr>
        <w:t xml:space="preserve">Robustece lo anterior, el artículo 92, fracción VIII de la </w:t>
      </w:r>
      <w:r w:rsidRPr="00F23EC6">
        <w:rPr>
          <w:rFonts w:ascii="Palatino Linotype" w:eastAsia="MS Mincho" w:hAnsi="Palatino Linotype" w:cs="Arial"/>
          <w:b/>
          <w:color w:val="000000" w:themeColor="text1"/>
          <w:sz w:val="24"/>
          <w:szCs w:val="24"/>
        </w:rPr>
        <w:t>Ley de Transparencia y Acceso a la Información Pública del Estado de México y Municipios</w:t>
      </w:r>
      <w:r w:rsidRPr="00F23EC6">
        <w:rPr>
          <w:rFonts w:ascii="Palatino Linotype" w:eastAsia="MS Mincho" w:hAnsi="Palatino Linotype" w:cs="Arial"/>
          <w:color w:val="000000" w:themeColor="text1"/>
          <w:sz w:val="24"/>
          <w:szCs w:val="24"/>
        </w:rPr>
        <w:t>, señala:</w:t>
      </w:r>
    </w:p>
    <w:p w:rsidR="005D30E6" w:rsidRPr="00F23EC6" w:rsidRDefault="00A66B82" w:rsidP="00F23EC6">
      <w:pPr>
        <w:spacing w:line="360" w:lineRule="auto"/>
        <w:contextualSpacing/>
        <w:jc w:val="center"/>
        <w:rPr>
          <w:rFonts w:ascii="Palatino Linotype" w:eastAsia="MS Mincho" w:hAnsi="Palatino Linotype" w:cs="Arial"/>
          <w:color w:val="000000" w:themeColor="text1"/>
          <w:sz w:val="24"/>
          <w:szCs w:val="24"/>
        </w:rPr>
      </w:pPr>
      <w:r w:rsidRPr="00F23EC6">
        <w:rPr>
          <w:rFonts w:ascii="Palatino Linotype" w:eastAsia="MS Mincho" w:hAnsi="Palatino Linotype" w:cs="Arial"/>
          <w:noProof/>
          <w:color w:val="000000" w:themeColor="text1"/>
          <w:sz w:val="24"/>
          <w:szCs w:val="24"/>
          <w:lang w:eastAsia="es-MX"/>
        </w:rPr>
        <w:drawing>
          <wp:inline distT="0" distB="0" distL="0" distR="0">
            <wp:extent cx="5463091" cy="5518150"/>
            <wp:effectExtent l="19050" t="19050" r="23495" b="2540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4764" cy="5519840"/>
                    </a:xfrm>
                    <a:prstGeom prst="rect">
                      <a:avLst/>
                    </a:prstGeom>
                    <a:noFill/>
                    <a:ln>
                      <a:solidFill>
                        <a:schemeClr val="tx1"/>
                      </a:solidFill>
                    </a:ln>
                  </pic:spPr>
                </pic:pic>
              </a:graphicData>
            </a:graphic>
          </wp:inline>
        </w:drawing>
      </w:r>
    </w:p>
    <w:p w:rsidR="00A66B82" w:rsidRPr="00F23EC6" w:rsidRDefault="00A66B82" w:rsidP="00F23EC6">
      <w:pPr>
        <w:spacing w:line="360" w:lineRule="auto"/>
        <w:contextualSpacing/>
        <w:jc w:val="right"/>
        <w:rPr>
          <w:rFonts w:ascii="Palatino Linotype" w:eastAsia="MS Mincho" w:hAnsi="Palatino Linotype" w:cs="Arial"/>
          <w:color w:val="000000" w:themeColor="text1"/>
          <w:sz w:val="24"/>
          <w:szCs w:val="24"/>
        </w:rPr>
      </w:pPr>
      <w:r w:rsidRPr="00F23EC6">
        <w:rPr>
          <w:rFonts w:ascii="Palatino Linotype" w:eastAsia="MS Mincho" w:hAnsi="Palatino Linotype" w:cs="Arial"/>
          <w:noProof/>
          <w:color w:val="000000" w:themeColor="text1"/>
          <w:sz w:val="24"/>
          <w:szCs w:val="24"/>
          <w:lang w:eastAsia="es-MX"/>
        </w:rPr>
        <w:drawing>
          <wp:inline distT="0" distB="0" distL="0" distR="0">
            <wp:extent cx="5449209" cy="6565900"/>
            <wp:effectExtent l="19050" t="19050" r="18415" b="2540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3135" cy="6570631"/>
                    </a:xfrm>
                    <a:prstGeom prst="rect">
                      <a:avLst/>
                    </a:prstGeom>
                    <a:noFill/>
                    <a:ln>
                      <a:solidFill>
                        <a:schemeClr val="tx1"/>
                      </a:solidFill>
                    </a:ln>
                  </pic:spPr>
                </pic:pic>
              </a:graphicData>
            </a:graphic>
          </wp:inline>
        </w:drawing>
      </w:r>
    </w:p>
    <w:p w:rsidR="00A66B82" w:rsidRPr="00F23EC6" w:rsidRDefault="00A66B82" w:rsidP="00F23EC6">
      <w:pPr>
        <w:spacing w:line="360" w:lineRule="auto"/>
        <w:contextualSpacing/>
        <w:jc w:val="center"/>
        <w:rPr>
          <w:rFonts w:ascii="Palatino Linotype" w:eastAsia="MS Mincho" w:hAnsi="Palatino Linotype" w:cs="Arial"/>
          <w:color w:val="000000" w:themeColor="text1"/>
          <w:sz w:val="24"/>
          <w:szCs w:val="24"/>
        </w:rPr>
      </w:pPr>
      <w:r w:rsidRPr="00F23EC6">
        <w:rPr>
          <w:rFonts w:ascii="Palatino Linotype" w:eastAsia="MS Mincho" w:hAnsi="Palatino Linotype" w:cs="Arial"/>
          <w:noProof/>
          <w:color w:val="000000" w:themeColor="text1"/>
          <w:sz w:val="24"/>
          <w:szCs w:val="24"/>
          <w:lang w:eastAsia="es-MX"/>
        </w:rPr>
        <w:drawing>
          <wp:inline distT="0" distB="0" distL="0" distR="0">
            <wp:extent cx="5312188" cy="6400800"/>
            <wp:effectExtent l="19050" t="19050" r="22225" b="190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4376" cy="6403437"/>
                    </a:xfrm>
                    <a:prstGeom prst="rect">
                      <a:avLst/>
                    </a:prstGeom>
                    <a:noFill/>
                    <a:ln>
                      <a:solidFill>
                        <a:schemeClr val="tx1"/>
                      </a:solidFill>
                    </a:ln>
                  </pic:spPr>
                </pic:pic>
              </a:graphicData>
            </a:graphic>
          </wp:inline>
        </w:drawing>
      </w:r>
    </w:p>
    <w:p w:rsidR="00466635" w:rsidRPr="00F23EC6" w:rsidRDefault="00466635" w:rsidP="00F23EC6">
      <w:pPr>
        <w:spacing w:line="360" w:lineRule="auto"/>
        <w:contextualSpacing/>
        <w:jc w:val="center"/>
        <w:rPr>
          <w:rFonts w:ascii="Palatino Linotype" w:eastAsia="MS Mincho" w:hAnsi="Palatino Linotype" w:cs="Arial"/>
          <w:color w:val="000000" w:themeColor="text1"/>
          <w:sz w:val="24"/>
          <w:szCs w:val="24"/>
        </w:rPr>
      </w:pPr>
      <w:r w:rsidRPr="00F23EC6">
        <w:rPr>
          <w:rFonts w:ascii="Palatino Linotype" w:eastAsia="MS Mincho" w:hAnsi="Palatino Linotype" w:cs="Arial"/>
          <w:noProof/>
          <w:color w:val="000000" w:themeColor="text1"/>
          <w:sz w:val="24"/>
          <w:szCs w:val="24"/>
          <w:lang w:eastAsia="es-MX"/>
        </w:rPr>
        <w:drawing>
          <wp:inline distT="0" distB="0" distL="0" distR="0">
            <wp:extent cx="5379101" cy="6426200"/>
            <wp:effectExtent l="19050" t="19050" r="12065" b="1270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2478" cy="6430234"/>
                    </a:xfrm>
                    <a:prstGeom prst="rect">
                      <a:avLst/>
                    </a:prstGeom>
                    <a:noFill/>
                    <a:ln>
                      <a:solidFill>
                        <a:schemeClr val="tx1"/>
                      </a:solidFill>
                    </a:ln>
                  </pic:spPr>
                </pic:pic>
              </a:graphicData>
            </a:graphic>
          </wp:inline>
        </w:drawing>
      </w:r>
    </w:p>
    <w:p w:rsidR="00466635" w:rsidRPr="00F23EC6" w:rsidRDefault="00466635" w:rsidP="00F23EC6">
      <w:pPr>
        <w:spacing w:line="360" w:lineRule="auto"/>
        <w:contextualSpacing/>
        <w:jc w:val="center"/>
        <w:rPr>
          <w:rFonts w:ascii="Palatino Linotype" w:eastAsia="MS Mincho" w:hAnsi="Palatino Linotype" w:cs="Arial"/>
          <w:color w:val="000000" w:themeColor="text1"/>
          <w:sz w:val="24"/>
          <w:szCs w:val="24"/>
        </w:rPr>
      </w:pPr>
      <w:r w:rsidRPr="00F23EC6">
        <w:rPr>
          <w:rFonts w:ascii="Palatino Linotype" w:eastAsia="MS Mincho" w:hAnsi="Palatino Linotype" w:cs="Arial"/>
          <w:noProof/>
          <w:color w:val="000000" w:themeColor="text1"/>
          <w:sz w:val="24"/>
          <w:szCs w:val="24"/>
          <w:lang w:eastAsia="es-MX"/>
        </w:rPr>
        <w:drawing>
          <wp:inline distT="0" distB="0" distL="0" distR="0">
            <wp:extent cx="5397500" cy="6358123"/>
            <wp:effectExtent l="19050" t="19050" r="12700" b="2413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9427" cy="6360393"/>
                    </a:xfrm>
                    <a:prstGeom prst="rect">
                      <a:avLst/>
                    </a:prstGeom>
                    <a:noFill/>
                    <a:ln>
                      <a:solidFill>
                        <a:schemeClr val="tx1"/>
                      </a:solidFill>
                    </a:ln>
                  </pic:spPr>
                </pic:pic>
              </a:graphicData>
            </a:graphic>
          </wp:inline>
        </w:drawing>
      </w:r>
    </w:p>
    <w:p w:rsidR="00466635" w:rsidRPr="00F23EC6" w:rsidRDefault="00466635" w:rsidP="00F23EC6">
      <w:pPr>
        <w:spacing w:line="360" w:lineRule="auto"/>
        <w:contextualSpacing/>
        <w:jc w:val="center"/>
        <w:rPr>
          <w:rFonts w:ascii="Palatino Linotype" w:eastAsia="MS Mincho" w:hAnsi="Palatino Linotype" w:cs="Arial"/>
          <w:color w:val="000000" w:themeColor="text1"/>
          <w:sz w:val="24"/>
          <w:szCs w:val="24"/>
        </w:rPr>
      </w:pPr>
      <w:r w:rsidRPr="00F23EC6">
        <w:rPr>
          <w:rFonts w:ascii="Palatino Linotype" w:eastAsia="MS Mincho" w:hAnsi="Palatino Linotype" w:cs="Arial"/>
          <w:noProof/>
          <w:color w:val="000000" w:themeColor="text1"/>
          <w:sz w:val="24"/>
          <w:szCs w:val="24"/>
          <w:lang w:eastAsia="es-MX"/>
        </w:rPr>
        <w:drawing>
          <wp:inline distT="0" distB="0" distL="0" distR="0">
            <wp:extent cx="5156469" cy="3714750"/>
            <wp:effectExtent l="19050" t="19050" r="25400" b="190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9944" cy="3717254"/>
                    </a:xfrm>
                    <a:prstGeom prst="rect">
                      <a:avLst/>
                    </a:prstGeom>
                    <a:noFill/>
                    <a:ln>
                      <a:solidFill>
                        <a:schemeClr val="tx1"/>
                      </a:solidFill>
                    </a:ln>
                  </pic:spPr>
                </pic:pic>
              </a:graphicData>
            </a:graphic>
          </wp:inline>
        </w:drawing>
      </w:r>
    </w:p>
    <w:p w:rsidR="005D30E6" w:rsidRPr="00F23EC6" w:rsidRDefault="005D30E6" w:rsidP="00F23EC6">
      <w:pPr>
        <w:pStyle w:val="Prrafodelista"/>
        <w:numPr>
          <w:ilvl w:val="0"/>
          <w:numId w:val="2"/>
        </w:numPr>
        <w:spacing w:after="0" w:line="360" w:lineRule="auto"/>
        <w:ind w:left="0" w:firstLine="0"/>
        <w:jc w:val="both"/>
        <w:rPr>
          <w:rFonts w:ascii="Palatino Linotype" w:hAnsi="Palatino Linotype" w:cs="Arial"/>
          <w:sz w:val="24"/>
          <w:szCs w:val="24"/>
          <w:lang w:val="es-ES"/>
        </w:rPr>
      </w:pPr>
      <w:r w:rsidRPr="00F23EC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466635" w:rsidRPr="00F23EC6" w:rsidRDefault="00466635" w:rsidP="00F23EC6">
      <w:pPr>
        <w:spacing w:line="360" w:lineRule="auto"/>
        <w:ind w:left="567" w:right="567"/>
        <w:jc w:val="center"/>
        <w:rPr>
          <w:rFonts w:ascii="Palatino Linotype" w:hAnsi="Palatino Linotype" w:cs="Arial"/>
          <w:b/>
          <w:i/>
          <w:sz w:val="24"/>
          <w:szCs w:val="24"/>
          <w:lang w:val="es-ES"/>
        </w:rPr>
      </w:pPr>
    </w:p>
    <w:p w:rsidR="00466635" w:rsidRPr="00F23EC6" w:rsidRDefault="00466635" w:rsidP="00F23EC6">
      <w:pPr>
        <w:spacing w:line="360" w:lineRule="auto"/>
        <w:ind w:left="567" w:right="567"/>
        <w:jc w:val="center"/>
        <w:rPr>
          <w:rFonts w:ascii="Palatino Linotype" w:hAnsi="Palatino Linotype" w:cs="Arial"/>
          <w:b/>
          <w:i/>
          <w:sz w:val="24"/>
          <w:szCs w:val="24"/>
          <w:lang w:val="es-ES"/>
        </w:rPr>
      </w:pPr>
    </w:p>
    <w:p w:rsidR="005D30E6" w:rsidRPr="00F23EC6" w:rsidRDefault="005D30E6" w:rsidP="00F23EC6">
      <w:pPr>
        <w:spacing w:line="360" w:lineRule="auto"/>
        <w:ind w:left="567" w:right="567"/>
        <w:jc w:val="center"/>
        <w:rPr>
          <w:rFonts w:ascii="Palatino Linotype" w:hAnsi="Palatino Linotype" w:cs="Arial"/>
          <w:b/>
          <w:i/>
          <w:sz w:val="24"/>
          <w:szCs w:val="24"/>
          <w:lang w:val="es-ES"/>
        </w:rPr>
      </w:pPr>
      <w:r w:rsidRPr="00F23EC6">
        <w:rPr>
          <w:rFonts w:ascii="Palatino Linotype" w:hAnsi="Palatino Linotype" w:cs="Arial"/>
          <w:b/>
          <w:i/>
          <w:sz w:val="24"/>
          <w:szCs w:val="24"/>
          <w:lang w:val="es-ES"/>
        </w:rPr>
        <w:t>“Criterio 01/2003.</w:t>
      </w:r>
    </w:p>
    <w:p w:rsidR="00AE379B" w:rsidRPr="00F23EC6" w:rsidRDefault="005D30E6" w:rsidP="00F23EC6">
      <w:pPr>
        <w:spacing w:line="360" w:lineRule="auto"/>
        <w:ind w:left="567" w:right="567"/>
        <w:jc w:val="both"/>
        <w:rPr>
          <w:rFonts w:ascii="Palatino Linotype" w:hAnsi="Palatino Linotype" w:cs="Arial"/>
          <w:i/>
          <w:sz w:val="24"/>
          <w:szCs w:val="24"/>
          <w:lang w:val="es-ES"/>
        </w:rPr>
      </w:pPr>
      <w:r w:rsidRPr="00F23EC6">
        <w:rPr>
          <w:rFonts w:ascii="Palatino Linotype" w:hAnsi="Palatino Linotype" w:cs="Arial"/>
          <w:b/>
          <w:i/>
          <w:sz w:val="24"/>
          <w:szCs w:val="24"/>
          <w:lang w:val="es-ES"/>
        </w:rPr>
        <w:t>“INGRESOS DE LOS SERVIDORES PÚBLICOS. CONSTITUYEN INFORMACIÓN PÚBLICA AÚN Y CUANDO SU DIFUSIÓN PUEDE AFECTAR LA VIDA O LA SEGURIDAD DE AQUELLOS.</w:t>
      </w:r>
      <w:r w:rsidRPr="00F23EC6">
        <w:rPr>
          <w:rFonts w:ascii="Palatino Linotype" w:hAnsi="Palatino Linotype" w:cs="Arial"/>
          <w:i/>
          <w:sz w:val="24"/>
          <w:szCs w:val="24"/>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23EC6">
        <w:rPr>
          <w:rFonts w:ascii="Palatino Linotype" w:hAnsi="Palatino Linotype" w:cs="Arial"/>
          <w:b/>
          <w:i/>
          <w:sz w:val="24"/>
          <w:szCs w:val="24"/>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23EC6">
        <w:rPr>
          <w:rFonts w:ascii="Palatino Linotype" w:hAnsi="Palatino Linotype" w:cs="Arial"/>
          <w:i/>
          <w:sz w:val="24"/>
          <w:szCs w:val="24"/>
          <w:lang w:val="es-ES"/>
        </w:rPr>
        <w:t>…”</w:t>
      </w:r>
    </w:p>
    <w:p w:rsidR="005D30E6" w:rsidRPr="00F23EC6" w:rsidRDefault="005D30E6" w:rsidP="00F23EC6">
      <w:pPr>
        <w:spacing w:line="360" w:lineRule="auto"/>
        <w:ind w:left="567" w:right="567"/>
        <w:jc w:val="center"/>
        <w:rPr>
          <w:rFonts w:ascii="Palatino Linotype" w:hAnsi="Palatino Linotype" w:cs="Arial"/>
          <w:b/>
          <w:i/>
          <w:sz w:val="24"/>
          <w:szCs w:val="24"/>
          <w:lang w:val="es-ES"/>
        </w:rPr>
      </w:pPr>
      <w:r w:rsidRPr="00F23EC6">
        <w:rPr>
          <w:rFonts w:ascii="Palatino Linotype" w:hAnsi="Palatino Linotype" w:cs="Arial"/>
          <w:b/>
          <w:i/>
          <w:sz w:val="24"/>
          <w:szCs w:val="24"/>
          <w:lang w:val="es-ES"/>
        </w:rPr>
        <w:t>“Criterio 02/2003.</w:t>
      </w:r>
    </w:p>
    <w:p w:rsidR="005D30E6" w:rsidRPr="00F23EC6" w:rsidRDefault="005D30E6" w:rsidP="00F23EC6">
      <w:pPr>
        <w:spacing w:line="360" w:lineRule="auto"/>
        <w:ind w:left="567" w:right="567"/>
        <w:jc w:val="both"/>
        <w:rPr>
          <w:rFonts w:ascii="Palatino Linotype" w:hAnsi="Palatino Linotype" w:cs="Arial"/>
          <w:i/>
          <w:sz w:val="24"/>
          <w:szCs w:val="24"/>
          <w:lang w:val="es-ES"/>
        </w:rPr>
      </w:pPr>
      <w:r w:rsidRPr="00F23EC6">
        <w:rPr>
          <w:rFonts w:ascii="Palatino Linotype" w:hAnsi="Palatino Linotype" w:cs="Arial"/>
          <w:b/>
          <w:i/>
          <w:sz w:val="24"/>
          <w:szCs w:val="24"/>
          <w:lang w:val="es-ES"/>
        </w:rPr>
        <w:t>INGRESOS DE LOS SERVIDORES PÚBLICOS, SON INFORMACIÓN PÚBLICA AÚN Y CUANDO CONSTITUYEN DATOS PERSONALES QUE SE REFIEREN AL PATRIMONIO DE AQUÉLLOS.</w:t>
      </w:r>
      <w:r w:rsidRPr="00F23EC6">
        <w:rPr>
          <w:rFonts w:ascii="Palatino Linotype" w:hAnsi="Palatino Linotype" w:cs="Arial"/>
          <w:i/>
          <w:sz w:val="24"/>
          <w:szCs w:val="24"/>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23EC6">
        <w:rPr>
          <w:rFonts w:ascii="Palatino Linotype" w:hAnsi="Palatino Linotype" w:cs="Arial"/>
          <w:b/>
          <w:i/>
          <w:sz w:val="24"/>
          <w:szCs w:val="24"/>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23EC6">
        <w:rPr>
          <w:rFonts w:ascii="Palatino Linotype" w:hAnsi="Palatino Linotype" w:cs="Arial"/>
          <w:i/>
          <w:sz w:val="24"/>
          <w:szCs w:val="24"/>
          <w:lang w:val="es-ES"/>
        </w:rPr>
        <w:t xml:space="preserve"> el sistema de compensación…”</w:t>
      </w:r>
    </w:p>
    <w:p w:rsidR="005D30E6" w:rsidRPr="00F23EC6" w:rsidRDefault="005D30E6" w:rsidP="00F23EC6">
      <w:pPr>
        <w:spacing w:line="360" w:lineRule="auto"/>
        <w:ind w:left="567" w:right="567"/>
        <w:jc w:val="both"/>
        <w:rPr>
          <w:rFonts w:ascii="Palatino Linotype" w:hAnsi="Palatino Linotype" w:cs="Arial"/>
          <w:i/>
          <w:sz w:val="24"/>
          <w:szCs w:val="24"/>
          <w:lang w:val="es-ES"/>
        </w:rPr>
      </w:pPr>
      <w:r w:rsidRPr="00F23EC6">
        <w:rPr>
          <w:rFonts w:ascii="Palatino Linotype" w:hAnsi="Palatino Linotype" w:cs="Arial"/>
          <w:i/>
          <w:sz w:val="24"/>
          <w:szCs w:val="24"/>
          <w:lang w:val="es-ES"/>
        </w:rPr>
        <w:t>(Énfasis añadido)</w:t>
      </w:r>
    </w:p>
    <w:p w:rsidR="00AE379B" w:rsidRPr="00F23EC6" w:rsidRDefault="00AE379B" w:rsidP="00F23EC6">
      <w:pPr>
        <w:pStyle w:val="Prrafodelista"/>
        <w:spacing w:after="0" w:line="360" w:lineRule="auto"/>
        <w:ind w:left="0"/>
        <w:jc w:val="both"/>
        <w:rPr>
          <w:rFonts w:ascii="Palatino Linotype" w:hAnsi="Palatino Linotype"/>
          <w:sz w:val="24"/>
          <w:szCs w:val="24"/>
        </w:rPr>
      </w:pPr>
    </w:p>
    <w:p w:rsidR="00AE379B" w:rsidRPr="00F23EC6" w:rsidRDefault="00AE379B" w:rsidP="00F23EC6">
      <w:pPr>
        <w:pStyle w:val="Prrafodelista"/>
        <w:numPr>
          <w:ilvl w:val="0"/>
          <w:numId w:val="2"/>
        </w:numPr>
        <w:spacing w:after="0" w:line="360" w:lineRule="auto"/>
        <w:ind w:left="0" w:firstLine="0"/>
        <w:jc w:val="both"/>
        <w:rPr>
          <w:rFonts w:ascii="Palatino Linotype" w:hAnsi="Palatino Linotype"/>
          <w:sz w:val="24"/>
          <w:szCs w:val="24"/>
        </w:rPr>
      </w:pPr>
      <w:r w:rsidRPr="00F23EC6">
        <w:rPr>
          <w:rFonts w:ascii="Palatino Linotype" w:hAnsi="Palatino Linotype"/>
          <w:sz w:val="24"/>
          <w:szCs w:val="24"/>
        </w:rPr>
        <w:t xml:space="preserve">Atento a lo anterior, es información que el </w:t>
      </w:r>
      <w:r w:rsidRPr="00F23EC6">
        <w:rPr>
          <w:rFonts w:ascii="Palatino Linotype" w:hAnsi="Palatino Linotype"/>
          <w:b/>
          <w:sz w:val="24"/>
          <w:szCs w:val="24"/>
        </w:rPr>
        <w:t xml:space="preserve">SUJETO OBLIGADO </w:t>
      </w:r>
      <w:r w:rsidRPr="00F23EC6">
        <w:rPr>
          <w:rFonts w:ascii="Palatino Linotype" w:hAnsi="Palatino Linotype"/>
          <w:sz w:val="24"/>
          <w:szCs w:val="24"/>
        </w:rPr>
        <w:t xml:space="preserve">en ejercicio de sus atribuciones y de sus funciones de derecho público, debe generar, poseer y administrar, debiendo para tal efecto publicarla en su portal de transparencia del Sistema de Información Pública Mexiquense (IPOMEX), ya que como ha quedado plenamente identificado, la información corresponde a información pública de oficio y a obligaciones de transparencia común </w:t>
      </w:r>
      <w:r w:rsidR="003834B4" w:rsidRPr="00F23EC6">
        <w:rPr>
          <w:rFonts w:ascii="Palatino Linotype" w:hAnsi="Palatino Linotype"/>
          <w:sz w:val="24"/>
          <w:szCs w:val="24"/>
        </w:rPr>
        <w:t xml:space="preserve">por lo </w:t>
      </w:r>
      <w:r w:rsidRPr="00F23EC6">
        <w:rPr>
          <w:rFonts w:ascii="Palatino Linotype" w:hAnsi="Palatino Linotype"/>
          <w:sz w:val="24"/>
          <w:szCs w:val="24"/>
        </w:rPr>
        <w:t>que los municipios deben poner</w:t>
      </w:r>
      <w:r w:rsidR="003834B4" w:rsidRPr="00F23EC6">
        <w:rPr>
          <w:rFonts w:ascii="Palatino Linotype" w:hAnsi="Palatino Linotype"/>
          <w:sz w:val="24"/>
          <w:szCs w:val="24"/>
        </w:rPr>
        <w:t>la</w:t>
      </w:r>
      <w:r w:rsidRPr="00F23EC6">
        <w:rPr>
          <w:rFonts w:ascii="Palatino Linotype" w:hAnsi="Palatino Linotype"/>
          <w:sz w:val="24"/>
          <w:szCs w:val="24"/>
        </w:rPr>
        <w:t xml:space="preserve"> a disposición de manera permanente y actualizada en los sistemas habilitados para ello, de acuerdo a la normatividad aplicable</w:t>
      </w:r>
      <w:r w:rsidR="00072700" w:rsidRPr="00F23EC6">
        <w:rPr>
          <w:rFonts w:ascii="Palatino Linotype" w:hAnsi="Palatino Linotype"/>
          <w:sz w:val="24"/>
          <w:szCs w:val="24"/>
        </w:rPr>
        <w:t>; luego entonces es dable ordenar su entrega, de ser el caso en versión pública, acompañada del acuerdo del Comité de Transparencia, emita para tal efecto y lo ponga a disposición del hoy recurrente.</w:t>
      </w:r>
    </w:p>
    <w:p w:rsidR="00072700" w:rsidRPr="00F23EC6" w:rsidRDefault="00072700" w:rsidP="00F23EC6">
      <w:pPr>
        <w:pStyle w:val="Prrafodelista"/>
        <w:spacing w:after="0" w:line="360" w:lineRule="auto"/>
        <w:ind w:left="0"/>
        <w:jc w:val="both"/>
        <w:rPr>
          <w:rFonts w:ascii="Palatino Linotype" w:hAnsi="Palatino Linotype"/>
          <w:sz w:val="24"/>
          <w:szCs w:val="24"/>
        </w:rPr>
      </w:pPr>
    </w:p>
    <w:p w:rsidR="00AE379B" w:rsidRPr="00F23EC6" w:rsidRDefault="003834B4" w:rsidP="00F23EC6">
      <w:pPr>
        <w:pStyle w:val="Prrafodelista"/>
        <w:numPr>
          <w:ilvl w:val="0"/>
          <w:numId w:val="2"/>
        </w:numPr>
        <w:spacing w:after="0" w:line="360" w:lineRule="auto"/>
        <w:ind w:left="0" w:firstLine="0"/>
        <w:jc w:val="both"/>
        <w:rPr>
          <w:rFonts w:ascii="Palatino Linotype" w:hAnsi="Palatino Linotype"/>
          <w:sz w:val="24"/>
          <w:szCs w:val="24"/>
        </w:rPr>
      </w:pPr>
      <w:r w:rsidRPr="00F23EC6">
        <w:rPr>
          <w:rFonts w:ascii="Palatino Linotype" w:hAnsi="Palatino Linotype"/>
          <w:sz w:val="24"/>
          <w:szCs w:val="24"/>
        </w:rPr>
        <w:t>Por otro lado, n</w:t>
      </w:r>
      <w:r w:rsidR="00AE379B" w:rsidRPr="00F23EC6">
        <w:rPr>
          <w:rFonts w:ascii="Palatino Linotype" w:hAnsi="Palatino Linotype"/>
          <w:sz w:val="24"/>
          <w:szCs w:val="24"/>
        </w:rPr>
        <w:t xml:space="preserve">o pasa </w:t>
      </w:r>
      <w:r w:rsidR="00D856CD" w:rsidRPr="00F23EC6">
        <w:rPr>
          <w:rFonts w:ascii="Palatino Linotype" w:hAnsi="Palatino Linotype"/>
          <w:sz w:val="24"/>
          <w:szCs w:val="24"/>
        </w:rPr>
        <w:t>desapercibida</w:t>
      </w:r>
      <w:r w:rsidR="00AE379B" w:rsidRPr="00F23EC6">
        <w:rPr>
          <w:rFonts w:ascii="Palatino Linotype" w:hAnsi="Palatino Linotype"/>
          <w:sz w:val="24"/>
          <w:szCs w:val="24"/>
        </w:rPr>
        <w:t xml:space="preserve"> para este Órgano Garante que e</w:t>
      </w:r>
      <w:r w:rsidR="00D856CD" w:rsidRPr="00F23EC6">
        <w:rPr>
          <w:rFonts w:ascii="Palatino Linotype" w:hAnsi="Palatino Linotype"/>
          <w:sz w:val="24"/>
          <w:szCs w:val="24"/>
        </w:rPr>
        <w:t xml:space="preserve">l particular recurrente en alguno de los puntos que integran sus solicitudes de información, no refirió temporalidad alguna. </w:t>
      </w:r>
      <w:r w:rsidRPr="00F23EC6">
        <w:rPr>
          <w:rFonts w:ascii="Palatino Linotype" w:hAnsi="Palatino Linotype"/>
          <w:sz w:val="24"/>
          <w:szCs w:val="24"/>
        </w:rPr>
        <w:t>Atento a lo anterior,</w:t>
      </w:r>
      <w:r w:rsidR="00AE379B" w:rsidRPr="00F23EC6">
        <w:rPr>
          <w:rFonts w:ascii="Palatino Linotype" w:hAnsi="Palatino Linotype"/>
          <w:sz w:val="24"/>
          <w:szCs w:val="24"/>
        </w:rPr>
        <w:t xml:space="preserve"> este Instituto con fundamento en los artículos 13 y 181, párrafo cuarto de la Ley de Transparencia y Acceso a la Información Pública de la entidad, y en atención a la fecha de la solicitud, determina que el lapso temporal que en todo caso deba entregarse de la información referida, es la generada en el último año previo a la presentación de la solicitud, es decir, del </w:t>
      </w:r>
      <w:r w:rsidRPr="00F23EC6">
        <w:rPr>
          <w:rFonts w:ascii="Palatino Linotype" w:hAnsi="Palatino Linotype"/>
          <w:sz w:val="24"/>
          <w:szCs w:val="24"/>
        </w:rPr>
        <w:t>diecinueve</w:t>
      </w:r>
      <w:r w:rsidR="00AE379B" w:rsidRPr="00F23EC6">
        <w:rPr>
          <w:rFonts w:ascii="Palatino Linotype" w:hAnsi="Palatino Linotype"/>
          <w:sz w:val="24"/>
          <w:szCs w:val="24"/>
        </w:rPr>
        <w:t xml:space="preserve"> (</w:t>
      </w:r>
      <w:r w:rsidRPr="00F23EC6">
        <w:rPr>
          <w:rFonts w:ascii="Palatino Linotype" w:hAnsi="Palatino Linotype"/>
          <w:sz w:val="24"/>
          <w:szCs w:val="24"/>
        </w:rPr>
        <w:t>19</w:t>
      </w:r>
      <w:r w:rsidR="00AE379B" w:rsidRPr="00F23EC6">
        <w:rPr>
          <w:rFonts w:ascii="Palatino Linotype" w:hAnsi="Palatino Linotype"/>
          <w:sz w:val="24"/>
          <w:szCs w:val="24"/>
        </w:rPr>
        <w:t xml:space="preserve">) de </w:t>
      </w:r>
      <w:r w:rsidRPr="00F23EC6">
        <w:rPr>
          <w:rFonts w:ascii="Palatino Linotype" w:hAnsi="Palatino Linotype"/>
          <w:sz w:val="24"/>
          <w:szCs w:val="24"/>
        </w:rPr>
        <w:t>juni</w:t>
      </w:r>
      <w:r w:rsidR="00AE379B" w:rsidRPr="00F23EC6">
        <w:rPr>
          <w:rFonts w:ascii="Palatino Linotype" w:hAnsi="Palatino Linotype"/>
          <w:sz w:val="24"/>
          <w:szCs w:val="24"/>
        </w:rPr>
        <w:t>o de dos mil dieci</w:t>
      </w:r>
      <w:r w:rsidRPr="00F23EC6">
        <w:rPr>
          <w:rFonts w:ascii="Palatino Linotype" w:hAnsi="Palatino Linotype"/>
          <w:sz w:val="24"/>
          <w:szCs w:val="24"/>
        </w:rPr>
        <w:t>ocho</w:t>
      </w:r>
      <w:r w:rsidR="00AE379B" w:rsidRPr="00F23EC6">
        <w:rPr>
          <w:rFonts w:ascii="Palatino Linotype" w:hAnsi="Palatino Linotype"/>
          <w:sz w:val="24"/>
          <w:szCs w:val="24"/>
        </w:rPr>
        <w:t xml:space="preserve"> al </w:t>
      </w:r>
      <w:r w:rsidRPr="00F23EC6">
        <w:rPr>
          <w:rFonts w:ascii="Palatino Linotype" w:hAnsi="Palatino Linotype"/>
          <w:sz w:val="24"/>
          <w:szCs w:val="24"/>
        </w:rPr>
        <w:t>diecinueve</w:t>
      </w:r>
      <w:r w:rsidR="00AE379B" w:rsidRPr="00F23EC6">
        <w:rPr>
          <w:rFonts w:ascii="Palatino Linotype" w:hAnsi="Palatino Linotype"/>
          <w:sz w:val="24"/>
          <w:szCs w:val="24"/>
        </w:rPr>
        <w:t xml:space="preserve"> (</w:t>
      </w:r>
      <w:r w:rsidRPr="00F23EC6">
        <w:rPr>
          <w:rFonts w:ascii="Palatino Linotype" w:hAnsi="Palatino Linotype"/>
          <w:sz w:val="24"/>
          <w:szCs w:val="24"/>
        </w:rPr>
        <w:t>19</w:t>
      </w:r>
      <w:r w:rsidR="00AE379B" w:rsidRPr="00F23EC6">
        <w:rPr>
          <w:rFonts w:ascii="Palatino Linotype" w:hAnsi="Palatino Linotype"/>
          <w:sz w:val="24"/>
          <w:szCs w:val="24"/>
        </w:rPr>
        <w:t xml:space="preserve">) de </w:t>
      </w:r>
      <w:r w:rsidRPr="00F23EC6">
        <w:rPr>
          <w:rFonts w:ascii="Palatino Linotype" w:hAnsi="Palatino Linotype"/>
          <w:sz w:val="24"/>
          <w:szCs w:val="24"/>
        </w:rPr>
        <w:t>juni</w:t>
      </w:r>
      <w:r w:rsidR="00AE379B" w:rsidRPr="00F23EC6">
        <w:rPr>
          <w:rFonts w:ascii="Palatino Linotype" w:hAnsi="Palatino Linotype"/>
          <w:sz w:val="24"/>
          <w:szCs w:val="24"/>
        </w:rPr>
        <w:t>o de dos mil dieci</w:t>
      </w:r>
      <w:r w:rsidRPr="00F23EC6">
        <w:rPr>
          <w:rFonts w:ascii="Palatino Linotype" w:hAnsi="Palatino Linotype"/>
          <w:sz w:val="24"/>
          <w:szCs w:val="24"/>
        </w:rPr>
        <w:t>nueve</w:t>
      </w:r>
      <w:r w:rsidR="00AE379B" w:rsidRPr="00F23EC6">
        <w:rPr>
          <w:rFonts w:ascii="Palatino Linotype" w:hAnsi="Palatino Linotype"/>
          <w:sz w:val="24"/>
          <w:szCs w:val="24"/>
        </w:rPr>
        <w:t>.</w:t>
      </w:r>
    </w:p>
    <w:p w:rsidR="003834B4" w:rsidRPr="00F23EC6" w:rsidRDefault="003834B4" w:rsidP="00F23EC6">
      <w:pPr>
        <w:pStyle w:val="Prrafodelista"/>
        <w:spacing w:after="0" w:line="360" w:lineRule="auto"/>
        <w:ind w:left="0"/>
        <w:jc w:val="both"/>
        <w:rPr>
          <w:rFonts w:ascii="Palatino Linotype" w:hAnsi="Palatino Linotype"/>
          <w:sz w:val="24"/>
          <w:szCs w:val="24"/>
        </w:rPr>
      </w:pPr>
    </w:p>
    <w:p w:rsidR="00AE379B" w:rsidRPr="00F23EC6" w:rsidRDefault="00AE379B" w:rsidP="00F23EC6">
      <w:pPr>
        <w:pStyle w:val="Prrafodelista"/>
        <w:numPr>
          <w:ilvl w:val="0"/>
          <w:numId w:val="2"/>
        </w:numPr>
        <w:spacing w:after="0" w:line="360" w:lineRule="auto"/>
        <w:ind w:left="0" w:firstLine="0"/>
        <w:jc w:val="both"/>
        <w:rPr>
          <w:rFonts w:ascii="Palatino Linotype" w:hAnsi="Palatino Linotype"/>
          <w:sz w:val="24"/>
          <w:szCs w:val="24"/>
        </w:rPr>
      </w:pPr>
      <w:r w:rsidRPr="00F23EC6">
        <w:rPr>
          <w:rFonts w:ascii="Palatino Linotype" w:hAnsi="Palatino Linotype"/>
          <w:sz w:val="24"/>
          <w:szCs w:val="24"/>
        </w:rPr>
        <w:t>Sirve de sustento a lo anterior el criterio número 9/13 emitido por el entonces Instituto Federal de Acceso a la Información Pública, cuyo texto y sentido literal es el siguiente:</w:t>
      </w:r>
    </w:p>
    <w:p w:rsidR="003834B4" w:rsidRPr="00F23EC6" w:rsidRDefault="003834B4" w:rsidP="00F23EC6">
      <w:pPr>
        <w:pStyle w:val="Prrafodelista"/>
        <w:spacing w:line="360" w:lineRule="auto"/>
        <w:rPr>
          <w:rFonts w:ascii="Palatino Linotype" w:hAnsi="Palatino Linotype"/>
          <w:sz w:val="24"/>
          <w:szCs w:val="24"/>
        </w:rPr>
      </w:pPr>
    </w:p>
    <w:p w:rsidR="008A071D" w:rsidRPr="008A071D" w:rsidRDefault="00AE379B" w:rsidP="008A071D">
      <w:pPr>
        <w:spacing w:line="360" w:lineRule="auto"/>
        <w:ind w:left="851" w:right="567"/>
        <w:jc w:val="both"/>
        <w:rPr>
          <w:rFonts w:ascii="Palatino Linotype" w:hAnsi="Palatino Linotype"/>
          <w:i/>
          <w:sz w:val="24"/>
          <w:szCs w:val="24"/>
        </w:rPr>
      </w:pPr>
      <w:r w:rsidRPr="00F23EC6">
        <w:rPr>
          <w:rFonts w:ascii="Palatino Linotype" w:hAnsi="Palatino Linotype"/>
          <w:sz w:val="24"/>
          <w:szCs w:val="24"/>
        </w:rPr>
        <w:t xml:space="preserve"> </w:t>
      </w:r>
      <w:r w:rsidRPr="00F23EC6">
        <w:rPr>
          <w:rFonts w:ascii="Palatino Linotype" w:hAnsi="Palatino Linotype"/>
          <w:i/>
          <w:sz w:val="24"/>
          <w:szCs w:val="24"/>
        </w:rPr>
        <w:t>“</w:t>
      </w:r>
      <w:r w:rsidRPr="00F23EC6">
        <w:rPr>
          <w:rFonts w:ascii="Palatino Linotype" w:hAnsi="Palatino Linotype"/>
          <w:b/>
          <w:i/>
          <w:sz w:val="24"/>
          <w:szCs w:val="24"/>
        </w:rPr>
        <w:t>Periodo de búsqueda de la información, cuando no se precisa en la solicitud de información.</w:t>
      </w:r>
      <w:r w:rsidRPr="00F23EC6">
        <w:rPr>
          <w:rFonts w:ascii="Palatino Linotype" w:hAnsi="Palatino Linotype"/>
          <w:i/>
          <w:sz w:val="24"/>
          <w:szCs w:val="24"/>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w:t>
      </w:r>
      <w:r w:rsidRPr="00F23EC6">
        <w:rPr>
          <w:rFonts w:ascii="Palatino Linotype" w:hAnsi="Palatino Linotype"/>
          <w:b/>
          <w:i/>
          <w:sz w:val="24"/>
          <w:szCs w:val="24"/>
        </w:rPr>
        <w:t>que su requerimiento se refiere al del año inmediato anterior</w:t>
      </w:r>
      <w:r w:rsidRPr="00F23EC6">
        <w:rPr>
          <w:rFonts w:ascii="Palatino Linotype" w:hAnsi="Palatino Linotype"/>
          <w:i/>
          <w:sz w:val="24"/>
          <w:szCs w:val="24"/>
        </w:rPr>
        <w:t xml:space="preserve"> contado a partir de la fecha en que se presentó la solicitud. Lo anterior permite que los sujetos obligados cuenten con mayores elementos para precisar y locali</w:t>
      </w:r>
      <w:r w:rsidR="008A071D">
        <w:rPr>
          <w:rFonts w:ascii="Palatino Linotype" w:hAnsi="Palatino Linotype"/>
          <w:i/>
          <w:sz w:val="24"/>
          <w:szCs w:val="24"/>
        </w:rPr>
        <w:t>zar la información solicitada.”</w:t>
      </w:r>
    </w:p>
    <w:p w:rsidR="00D856CD" w:rsidRPr="00F23EC6" w:rsidRDefault="00D856CD" w:rsidP="00F23EC6">
      <w:pPr>
        <w:pStyle w:val="Prrafodelista"/>
        <w:numPr>
          <w:ilvl w:val="0"/>
          <w:numId w:val="2"/>
        </w:numPr>
        <w:spacing w:after="0" w:line="360" w:lineRule="auto"/>
        <w:ind w:left="0" w:firstLine="0"/>
        <w:jc w:val="both"/>
        <w:rPr>
          <w:rFonts w:ascii="Palatino Linotype" w:hAnsi="Palatino Linotype"/>
          <w:sz w:val="24"/>
          <w:szCs w:val="24"/>
        </w:rPr>
      </w:pPr>
      <w:r w:rsidRPr="00F23EC6">
        <w:rPr>
          <w:rFonts w:ascii="Palatino Linotype" w:hAnsi="Palatino Linotype"/>
          <w:sz w:val="24"/>
          <w:szCs w:val="24"/>
        </w:rPr>
        <w:t xml:space="preserve">Asimismo por cuanto hace a la estructura orgánica del </w:t>
      </w:r>
      <w:r w:rsidRPr="00F23EC6">
        <w:rPr>
          <w:rFonts w:ascii="Palatino Linotype" w:hAnsi="Palatino Linotype"/>
          <w:b/>
          <w:sz w:val="24"/>
          <w:szCs w:val="24"/>
        </w:rPr>
        <w:t>SUJETO OBLIGADO,</w:t>
      </w:r>
      <w:r w:rsidRPr="00F23EC6">
        <w:rPr>
          <w:rFonts w:ascii="Palatino Linotype" w:hAnsi="Palatino Linotype"/>
          <w:sz w:val="24"/>
          <w:szCs w:val="24"/>
        </w:rPr>
        <w:t xml:space="preserve"> resulta conveniente la entrega de dicho soporte documental correspondiente a la actual administración pública municipal.</w:t>
      </w:r>
    </w:p>
    <w:p w:rsidR="00D856CD" w:rsidRPr="00F23EC6" w:rsidRDefault="00D856CD" w:rsidP="00F23EC6">
      <w:pPr>
        <w:pStyle w:val="Prrafodelista"/>
        <w:spacing w:after="0" w:line="360" w:lineRule="auto"/>
        <w:ind w:left="0"/>
        <w:jc w:val="both"/>
        <w:rPr>
          <w:rFonts w:ascii="Palatino Linotype" w:hAnsi="Palatino Linotype"/>
          <w:sz w:val="24"/>
          <w:szCs w:val="24"/>
        </w:rPr>
      </w:pPr>
    </w:p>
    <w:p w:rsidR="003834B4" w:rsidRPr="00F23EC6" w:rsidRDefault="003834B4" w:rsidP="00F23EC6">
      <w:pPr>
        <w:pStyle w:val="Prrafodelista"/>
        <w:numPr>
          <w:ilvl w:val="0"/>
          <w:numId w:val="2"/>
        </w:numPr>
        <w:spacing w:after="0" w:line="360" w:lineRule="auto"/>
        <w:ind w:left="0" w:firstLine="0"/>
        <w:jc w:val="both"/>
        <w:rPr>
          <w:rFonts w:ascii="Palatino Linotype" w:hAnsi="Palatino Linotype"/>
          <w:sz w:val="24"/>
          <w:szCs w:val="24"/>
        </w:rPr>
      </w:pPr>
      <w:r w:rsidRPr="00F23EC6">
        <w:rPr>
          <w:rFonts w:ascii="Palatino Linotype" w:hAnsi="Palatino Linotype"/>
          <w:sz w:val="24"/>
          <w:szCs w:val="24"/>
        </w:rPr>
        <w:t>Por otro lado, el particular en algunos puntos de sus solicitudes de información, señalo su pretensión de que la información le fuera entregada en datos abiertos. En este tenor, como lo indica la Ley General de Transparencia y Acceso a la Información Pública</w:t>
      </w:r>
      <w:r w:rsidRPr="00F23EC6">
        <w:rPr>
          <w:rStyle w:val="Refdenotaalpie"/>
          <w:rFonts w:ascii="Palatino Linotype" w:eastAsia="Times New Roman" w:hAnsi="Palatino Linotype" w:cs="Arial"/>
          <w:sz w:val="24"/>
          <w:szCs w:val="24"/>
        </w:rPr>
        <w:footnoteReference w:id="2"/>
      </w:r>
      <w:r w:rsidRPr="00F23EC6">
        <w:rPr>
          <w:rFonts w:ascii="Palatino Linotype" w:hAnsi="Palatino Linotype"/>
          <w:sz w:val="24"/>
          <w:szCs w:val="24"/>
        </w:rPr>
        <w:t>, 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p>
    <w:p w:rsidR="00DE64CD" w:rsidRPr="00F23EC6" w:rsidRDefault="00DE64CD" w:rsidP="00F23EC6">
      <w:pPr>
        <w:pStyle w:val="Prrafodelista"/>
        <w:spacing w:after="0" w:line="360" w:lineRule="auto"/>
        <w:ind w:left="0"/>
        <w:jc w:val="both"/>
        <w:rPr>
          <w:rFonts w:ascii="Palatino Linotype" w:hAnsi="Palatino Linotype"/>
          <w:sz w:val="24"/>
          <w:szCs w:val="24"/>
        </w:rPr>
      </w:pPr>
    </w:p>
    <w:p w:rsidR="003834B4" w:rsidRPr="00F23EC6" w:rsidRDefault="003834B4" w:rsidP="00F23EC6">
      <w:pPr>
        <w:pStyle w:val="Prrafodelista"/>
        <w:numPr>
          <w:ilvl w:val="0"/>
          <w:numId w:val="2"/>
        </w:numPr>
        <w:spacing w:after="0" w:line="360" w:lineRule="auto"/>
        <w:ind w:left="0" w:firstLine="0"/>
        <w:jc w:val="both"/>
        <w:rPr>
          <w:rFonts w:ascii="Palatino Linotype" w:hAnsi="Palatino Linotype"/>
          <w:color w:val="222222"/>
          <w:sz w:val="24"/>
          <w:szCs w:val="24"/>
          <w:shd w:val="clear" w:color="auto" w:fill="FFFFFF"/>
        </w:rPr>
      </w:pPr>
      <w:r w:rsidRPr="00F23EC6">
        <w:rPr>
          <w:rFonts w:ascii="Palatino Linotype" w:hAnsi="Palatino Linotype"/>
          <w:sz w:val="24"/>
          <w:szCs w:val="24"/>
        </w:rPr>
        <w:t xml:space="preserve">Así pues, no obstante que la Ley General de Transparencia establece que los Organismos Garantes promoverán la publicación de la información precisamente en datos abiertos y accesibles y en este sentido, </w:t>
      </w:r>
      <w:r w:rsidRPr="00F23EC6">
        <w:rPr>
          <w:rFonts w:ascii="Palatino Linotype" w:eastAsia="Times New Roman" w:hAnsi="Palatino Linotype" w:cs="Arial"/>
          <w:sz w:val="24"/>
          <w:szCs w:val="24"/>
        </w:rPr>
        <w:t>este Organismo no está en posibilidades de ordenar al Sujeto Obligado, la entrega de la información en la forma en la que la requiere, ello en virtud de que el Sujeto Obligado no cuenta con una fuente obligaci</w:t>
      </w:r>
      <w:r w:rsidR="003A2984" w:rsidRPr="00F23EC6">
        <w:rPr>
          <w:rFonts w:ascii="Palatino Linotype" w:eastAsia="Times New Roman" w:hAnsi="Palatino Linotype" w:cs="Arial"/>
          <w:sz w:val="24"/>
          <w:szCs w:val="24"/>
        </w:rPr>
        <w:t>onal que lo constriña a tener todos los</w:t>
      </w:r>
      <w:r w:rsidRPr="00F23EC6">
        <w:rPr>
          <w:rFonts w:ascii="Palatino Linotype" w:eastAsia="Times New Roman" w:hAnsi="Palatino Linotype" w:cs="Arial"/>
          <w:sz w:val="24"/>
          <w:szCs w:val="24"/>
        </w:rPr>
        <w:t xml:space="preserve"> documento</w:t>
      </w:r>
      <w:r w:rsidR="003A2984" w:rsidRPr="00F23EC6">
        <w:rPr>
          <w:rFonts w:ascii="Palatino Linotype" w:eastAsia="Times New Roman" w:hAnsi="Palatino Linotype" w:cs="Arial"/>
          <w:sz w:val="24"/>
          <w:szCs w:val="24"/>
        </w:rPr>
        <w:t>s requeridos en esa modalidad</w:t>
      </w:r>
      <w:r w:rsidRPr="00F23EC6">
        <w:rPr>
          <w:rFonts w:ascii="Palatino Linotype" w:eastAsia="Times New Roman" w:hAnsi="Palatino Linotype" w:cs="Arial"/>
          <w:sz w:val="24"/>
          <w:szCs w:val="24"/>
        </w:rPr>
        <w:t xml:space="preserve">. </w:t>
      </w:r>
    </w:p>
    <w:p w:rsidR="00DE64CD" w:rsidRPr="00F23EC6" w:rsidRDefault="00DE64CD" w:rsidP="00F23EC6">
      <w:pPr>
        <w:pStyle w:val="Prrafodelista"/>
        <w:spacing w:line="360" w:lineRule="auto"/>
        <w:rPr>
          <w:rFonts w:ascii="Palatino Linotype" w:hAnsi="Palatino Linotype"/>
          <w:color w:val="222222"/>
          <w:sz w:val="24"/>
          <w:szCs w:val="24"/>
          <w:shd w:val="clear" w:color="auto" w:fill="FFFFFF"/>
        </w:rPr>
      </w:pPr>
    </w:p>
    <w:p w:rsidR="00AE379B" w:rsidRPr="00F23EC6" w:rsidRDefault="003834B4" w:rsidP="00F23EC6">
      <w:pPr>
        <w:pStyle w:val="Prrafodelista"/>
        <w:numPr>
          <w:ilvl w:val="0"/>
          <w:numId w:val="2"/>
        </w:numPr>
        <w:spacing w:after="0" w:line="360" w:lineRule="auto"/>
        <w:ind w:left="0" w:firstLine="0"/>
        <w:jc w:val="both"/>
        <w:rPr>
          <w:rFonts w:ascii="Palatino Linotype" w:hAnsi="Palatino Linotype" w:cs="Arial"/>
          <w:i/>
          <w:sz w:val="24"/>
          <w:szCs w:val="24"/>
          <w:lang w:val="es-ES"/>
        </w:rPr>
      </w:pPr>
      <w:r w:rsidRPr="00F23EC6">
        <w:rPr>
          <w:rFonts w:ascii="Palatino Linotype" w:hAnsi="Palatino Linotype"/>
          <w:sz w:val="24"/>
          <w:szCs w:val="24"/>
        </w:rPr>
        <w:t>Lo</w:t>
      </w:r>
      <w:r w:rsidRPr="00F23EC6">
        <w:rPr>
          <w:rFonts w:ascii="Palatino Linotype" w:eastAsia="Times New Roman" w:hAnsi="Palatino Linotype" w:cs="Arial"/>
          <w:sz w:val="24"/>
          <w:szCs w:val="24"/>
        </w:rPr>
        <w:t xml:space="preserve"> anterior, no significa que los Sujetos Obligados no promuevan el uso de datos abiertos en la elaboración de información; simplemente se trata de que el derecho de acceso a la información es un derecho de acceso a documentos cuya finalidad es satisfacer el derecho mediante la entrega de los soportes documentales, tal y como obren en sus archivos; sin embargo, como se mencionó, el Sujeto Obligado no se encuentra obligado a generar dicha información.</w:t>
      </w:r>
    </w:p>
    <w:p w:rsidR="003A2984" w:rsidRPr="00F23EC6" w:rsidRDefault="003A2984" w:rsidP="00F23EC6">
      <w:pPr>
        <w:pStyle w:val="Prrafodelista"/>
        <w:spacing w:line="360" w:lineRule="auto"/>
        <w:rPr>
          <w:rFonts w:ascii="Palatino Linotype" w:hAnsi="Palatino Linotype" w:cs="Arial"/>
          <w:i/>
          <w:sz w:val="24"/>
          <w:szCs w:val="24"/>
          <w:lang w:val="es-ES"/>
        </w:rPr>
      </w:pPr>
    </w:p>
    <w:p w:rsidR="00097802" w:rsidRPr="00F23EC6" w:rsidRDefault="003A2984" w:rsidP="00F23EC6">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sz w:val="24"/>
          <w:szCs w:val="24"/>
        </w:rPr>
      </w:pPr>
      <w:r w:rsidRPr="00F23EC6">
        <w:rPr>
          <w:rFonts w:ascii="Palatino Linotype" w:hAnsi="Palatino Linotype" w:cs="Arial"/>
          <w:sz w:val="24"/>
          <w:szCs w:val="24"/>
          <w:lang w:val="es-ES"/>
        </w:rPr>
        <w:t>Por otro lado</w:t>
      </w:r>
      <w:r w:rsidR="00097802" w:rsidRPr="00F23EC6">
        <w:rPr>
          <w:rFonts w:ascii="Palatino Linotype" w:hAnsi="Palatino Linotype" w:cs="Arial"/>
          <w:sz w:val="24"/>
          <w:szCs w:val="24"/>
          <w:lang w:val="es-ES"/>
        </w:rPr>
        <w:t xml:space="preserve">, es dable señalar que la información requerida al tratarse de obligaciones de transparencia común, que el </w:t>
      </w:r>
      <w:r w:rsidR="00097802" w:rsidRPr="00F23EC6">
        <w:rPr>
          <w:rFonts w:ascii="Palatino Linotype" w:hAnsi="Palatino Linotype" w:cs="Arial"/>
          <w:b/>
          <w:sz w:val="24"/>
          <w:szCs w:val="24"/>
          <w:lang w:val="es-ES"/>
        </w:rPr>
        <w:t xml:space="preserve">SUJETO OBLIGADO </w:t>
      </w:r>
      <w:r w:rsidR="00097802" w:rsidRPr="00F23EC6">
        <w:rPr>
          <w:rFonts w:ascii="Palatino Linotype" w:hAnsi="Palatino Linotype" w:cs="Arial"/>
          <w:sz w:val="24"/>
          <w:szCs w:val="24"/>
          <w:lang w:val="es-ES"/>
        </w:rPr>
        <w:t xml:space="preserve"> ya debiera tener disponible en su portal de transparencia; de ser el caso que para dar cumplimiento al presente proveído opte por entregar los hipervínculos en los que conste la información, es de señalarse que</w:t>
      </w:r>
      <w:r w:rsidR="00097802" w:rsidRPr="00F23EC6">
        <w:rPr>
          <w:rFonts w:ascii="Palatino Linotype" w:eastAsia="MS Mincho" w:hAnsi="Palatino Linotype" w:cs="Times New Roman"/>
          <w:color w:val="000000"/>
          <w:sz w:val="24"/>
          <w:szCs w:val="24"/>
        </w:rPr>
        <w:t xml:space="preserve"> la </w:t>
      </w:r>
      <w:r w:rsidR="00097802" w:rsidRPr="00F23EC6">
        <w:rPr>
          <w:rFonts w:ascii="Palatino Linotype" w:eastAsia="Times New Roman" w:hAnsi="Palatino Linotype" w:cs="Arial"/>
          <w:b/>
          <w:sz w:val="24"/>
          <w:szCs w:val="24"/>
          <w:lang w:val="es-ES"/>
        </w:rPr>
        <w:t>Ley de Transparencia y Acceso a la Información Pública del Estado de México y Municipios</w:t>
      </w:r>
      <w:r w:rsidR="00097802" w:rsidRPr="00F23EC6">
        <w:rPr>
          <w:rFonts w:ascii="Palatino Linotype" w:eastAsia="Times New Roman" w:hAnsi="Palatino Linotype" w:cs="Arial"/>
          <w:sz w:val="24"/>
          <w:szCs w:val="24"/>
          <w:lang w:val="es-ES"/>
        </w:rPr>
        <w:t xml:space="preserve"> en primer término que en la entrega de información se deberá garantizar entre otras cosas que esta sea accesible, verificable, veraz, oportuna y expedita, atendiendo las necesidades del derecho de acceso a la información de toda persona, y en segundo lugar, que cuando la información requerida por el solicitante ya esté disponible en formatos disponibles en internet se hará saber al particular la fuente, el lugar y la forma en que puede consultar, reproducir o adquirir dicha información, fuente que deberá ser precisa y concreta  y no debe implicar que el solicitante realice una búsqueda en toda la información que se encuentre disponible; así lo disponen los artículos 11 y 161 de la ley en cita que a la letra dicen: </w:t>
      </w:r>
    </w:p>
    <w:p w:rsidR="00097802" w:rsidRPr="00F23EC6" w:rsidRDefault="00097802" w:rsidP="00F23EC6">
      <w:pPr>
        <w:pStyle w:val="Prrafodelista"/>
        <w:spacing w:before="240" w:after="240" w:line="360" w:lineRule="auto"/>
        <w:ind w:left="0" w:right="49"/>
        <w:jc w:val="both"/>
        <w:rPr>
          <w:rFonts w:ascii="Palatino Linotype" w:eastAsia="Times New Roman" w:hAnsi="Palatino Linotype" w:cs="Arial"/>
          <w:sz w:val="24"/>
          <w:szCs w:val="24"/>
          <w:lang w:val="es-ES"/>
        </w:rPr>
      </w:pPr>
    </w:p>
    <w:p w:rsidR="00097802" w:rsidRPr="00F23EC6" w:rsidRDefault="00097802" w:rsidP="00F23EC6">
      <w:pPr>
        <w:pStyle w:val="Prrafodelista"/>
        <w:spacing w:before="240" w:after="240" w:line="360" w:lineRule="auto"/>
        <w:ind w:left="851" w:right="567"/>
        <w:jc w:val="both"/>
        <w:rPr>
          <w:rFonts w:ascii="Palatino Linotype" w:hAnsi="Palatino Linotype"/>
          <w:i/>
          <w:sz w:val="24"/>
          <w:szCs w:val="24"/>
        </w:rPr>
      </w:pPr>
      <w:r w:rsidRPr="00F23EC6">
        <w:rPr>
          <w:rFonts w:ascii="Palatino Linotype" w:hAnsi="Palatino Linotype"/>
          <w:b/>
          <w:i/>
          <w:sz w:val="24"/>
          <w:szCs w:val="24"/>
        </w:rPr>
        <w:t>“Artículo 11.</w:t>
      </w:r>
      <w:r w:rsidRPr="00F23EC6">
        <w:rPr>
          <w:rFonts w:ascii="Palatino Linotype" w:hAnsi="Palatino Linotype"/>
          <w:i/>
          <w:sz w:val="24"/>
          <w:szCs w:val="24"/>
        </w:rPr>
        <w:t xml:space="preserve"> En la generación, publicación y </w:t>
      </w:r>
      <w:r w:rsidRPr="00F23EC6">
        <w:rPr>
          <w:rFonts w:ascii="Palatino Linotype" w:hAnsi="Palatino Linotype"/>
          <w:b/>
          <w:i/>
          <w:sz w:val="24"/>
          <w:szCs w:val="24"/>
        </w:rPr>
        <w:t>entrega de información</w:t>
      </w:r>
      <w:r w:rsidRPr="00F23EC6">
        <w:rPr>
          <w:rFonts w:ascii="Palatino Linotype" w:hAnsi="Palatino Linotype"/>
          <w:i/>
          <w:sz w:val="24"/>
          <w:szCs w:val="24"/>
        </w:rPr>
        <w:t xml:space="preserve">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rsidR="00097802" w:rsidRPr="00F23EC6" w:rsidRDefault="00097802" w:rsidP="00F23EC6">
      <w:pPr>
        <w:pStyle w:val="Prrafodelista"/>
        <w:spacing w:before="240" w:after="240" w:line="360" w:lineRule="auto"/>
        <w:ind w:left="851" w:right="567"/>
        <w:jc w:val="both"/>
        <w:rPr>
          <w:rFonts w:ascii="Palatino Linotype" w:hAnsi="Palatino Linotype"/>
          <w:i/>
          <w:sz w:val="24"/>
          <w:szCs w:val="24"/>
        </w:rPr>
      </w:pPr>
      <w:r w:rsidRPr="00F23EC6">
        <w:rPr>
          <w:rFonts w:ascii="Palatino Linotype" w:hAnsi="Palatino Linotype"/>
          <w:i/>
          <w:sz w:val="24"/>
          <w:szCs w:val="24"/>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rsidR="00097802" w:rsidRPr="00F23EC6" w:rsidRDefault="00097802" w:rsidP="00F23EC6">
      <w:pPr>
        <w:pStyle w:val="Prrafodelista"/>
        <w:spacing w:before="240" w:after="240" w:line="360" w:lineRule="auto"/>
        <w:ind w:left="851" w:right="567"/>
        <w:jc w:val="both"/>
        <w:rPr>
          <w:rFonts w:ascii="Palatino Linotype" w:eastAsia="MS Mincho" w:hAnsi="Palatino Linotype" w:cs="Times New Roman"/>
          <w:i/>
          <w:color w:val="000000"/>
          <w:sz w:val="24"/>
          <w:szCs w:val="24"/>
        </w:rPr>
      </w:pPr>
    </w:p>
    <w:p w:rsidR="00097802" w:rsidRPr="00F23EC6" w:rsidRDefault="00097802" w:rsidP="00F23EC6">
      <w:pPr>
        <w:pStyle w:val="Prrafodelista"/>
        <w:spacing w:before="240" w:after="240" w:line="360" w:lineRule="auto"/>
        <w:ind w:left="851" w:right="567"/>
        <w:jc w:val="both"/>
        <w:rPr>
          <w:rFonts w:ascii="Palatino Linotype" w:eastAsia="Calibri" w:hAnsi="Palatino Linotype" w:cs="Arial"/>
          <w:sz w:val="24"/>
          <w:szCs w:val="24"/>
          <w:lang w:val="es-ES_tradnl" w:eastAsia="es-MX"/>
        </w:rPr>
      </w:pPr>
      <w:r w:rsidRPr="00F23EC6">
        <w:rPr>
          <w:rFonts w:ascii="Palatino Linotype" w:hAnsi="Palatino Linotype"/>
          <w:b/>
          <w:i/>
          <w:sz w:val="24"/>
          <w:szCs w:val="24"/>
        </w:rPr>
        <w:t>Artículo 161.</w:t>
      </w:r>
      <w:r w:rsidRPr="00F23EC6">
        <w:rPr>
          <w:rFonts w:ascii="Palatino Linotype" w:hAnsi="Palatino Linotype"/>
          <w:i/>
          <w:sz w:val="24"/>
          <w:szCs w:val="24"/>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w:t>
      </w:r>
      <w:r w:rsidRPr="00F23EC6">
        <w:rPr>
          <w:rFonts w:ascii="Palatino Linotype" w:hAnsi="Palatino Linotype"/>
          <w:b/>
          <w:i/>
          <w:sz w:val="24"/>
          <w:szCs w:val="24"/>
        </w:rPr>
        <w:t xml:space="preserve"> </w:t>
      </w:r>
      <w:r w:rsidRPr="00F23EC6">
        <w:rPr>
          <w:rFonts w:ascii="Palatino Linotype" w:hAnsi="Palatino Linotype"/>
          <w:i/>
          <w:sz w:val="24"/>
          <w:szCs w:val="24"/>
        </w:rPr>
        <w:t xml:space="preserve">cinco días hábiles. </w:t>
      </w:r>
      <w:r w:rsidRPr="00F23EC6">
        <w:rPr>
          <w:rFonts w:ascii="Palatino Linotype" w:hAnsi="Palatino Linotype"/>
          <w:b/>
          <w:i/>
          <w:sz w:val="24"/>
          <w:szCs w:val="24"/>
        </w:rPr>
        <w:t xml:space="preserve">La fuente deberá ser precisa y concreta y no debe implicar que el solicitante realice una búsqueda en toda la información que </w:t>
      </w:r>
      <w:r w:rsidRPr="00F23EC6">
        <w:rPr>
          <w:rFonts w:ascii="Palatino Linotype" w:eastAsia="Calibri" w:hAnsi="Palatino Linotype" w:cs="Arial"/>
          <w:sz w:val="24"/>
          <w:szCs w:val="24"/>
          <w:lang w:val="es-ES_tradnl" w:eastAsia="es-MX"/>
        </w:rPr>
        <w:t>se encuentre disponible.”</w:t>
      </w:r>
    </w:p>
    <w:p w:rsidR="00D856CD" w:rsidRPr="00F23EC6" w:rsidRDefault="00D856CD" w:rsidP="00F23EC6">
      <w:pPr>
        <w:pStyle w:val="Prrafodelista"/>
        <w:spacing w:before="240" w:after="240" w:line="360" w:lineRule="auto"/>
        <w:ind w:left="851" w:right="567"/>
        <w:jc w:val="both"/>
        <w:rPr>
          <w:rFonts w:ascii="Palatino Linotype" w:eastAsia="Calibri" w:hAnsi="Palatino Linotype" w:cs="Arial"/>
          <w:sz w:val="24"/>
          <w:szCs w:val="24"/>
          <w:lang w:val="es-ES_tradnl" w:eastAsia="es-MX"/>
        </w:rPr>
      </w:pPr>
    </w:p>
    <w:p w:rsidR="00D856CD" w:rsidRPr="00F23EC6" w:rsidRDefault="00D856CD" w:rsidP="00F23EC6">
      <w:pPr>
        <w:pStyle w:val="Prrafodelista"/>
        <w:numPr>
          <w:ilvl w:val="0"/>
          <w:numId w:val="2"/>
        </w:numPr>
        <w:spacing w:before="240" w:after="240" w:line="360" w:lineRule="auto"/>
        <w:ind w:left="0" w:right="49" w:firstLine="0"/>
        <w:jc w:val="both"/>
        <w:rPr>
          <w:rFonts w:ascii="Palatino Linotype" w:eastAsia="Times New Roman" w:hAnsi="Palatino Linotype" w:cs="Arial"/>
          <w:sz w:val="24"/>
          <w:szCs w:val="24"/>
          <w:lang w:val="es-ES"/>
        </w:rPr>
      </w:pPr>
      <w:r w:rsidRPr="00F23EC6">
        <w:rPr>
          <w:rFonts w:ascii="Palatino Linotype" w:eastAsia="Times New Roman" w:hAnsi="Palatino Linotype" w:cs="Arial"/>
          <w:sz w:val="24"/>
          <w:szCs w:val="24"/>
          <w:lang w:val="es-ES"/>
        </w:rPr>
        <w:t xml:space="preserve">Finalmente, no pasa por desapercibido a esta Ponencia </w:t>
      </w:r>
      <w:proofErr w:type="spellStart"/>
      <w:r w:rsidRPr="00F23EC6">
        <w:rPr>
          <w:rFonts w:ascii="Palatino Linotype" w:eastAsia="Times New Roman" w:hAnsi="Palatino Linotype" w:cs="Arial"/>
          <w:sz w:val="24"/>
          <w:szCs w:val="24"/>
          <w:lang w:val="es-ES"/>
        </w:rPr>
        <w:t>Resolutora</w:t>
      </w:r>
      <w:proofErr w:type="spellEnd"/>
      <w:r w:rsidRPr="00F23EC6">
        <w:rPr>
          <w:rFonts w:ascii="Palatino Linotype" w:eastAsia="Times New Roman" w:hAnsi="Palatino Linotype" w:cs="Arial"/>
          <w:sz w:val="24"/>
          <w:szCs w:val="24"/>
          <w:lang w:val="es-ES"/>
        </w:rPr>
        <w:t xml:space="preserve"> que diversas solicitudes de información planteadas fueron hechas con base en la ley de la materia; sin embargo muchas de ellas dada su propia y especial naturaleza </w:t>
      </w:r>
      <w:r w:rsidR="00443A02" w:rsidRPr="00F23EC6">
        <w:rPr>
          <w:rFonts w:ascii="Palatino Linotype" w:eastAsia="Times New Roman" w:hAnsi="Palatino Linotype" w:cs="Arial"/>
          <w:sz w:val="24"/>
          <w:szCs w:val="24"/>
          <w:lang w:val="es-ES"/>
        </w:rPr>
        <w:t>atañen al Ayuntamiento de Tecámac, no así al Sistema Municipal Para el Desarrollo Integral de la Familia de Tecámac, que de acuerdo al vigente Bando Municipal del SUJETO OBLIGADO pertenece a la administración pública municipal descentralizada.</w:t>
      </w:r>
    </w:p>
    <w:p w:rsidR="00443A02" w:rsidRPr="00F23EC6" w:rsidRDefault="00443A02" w:rsidP="00F23EC6">
      <w:pPr>
        <w:pStyle w:val="Prrafodelista"/>
        <w:spacing w:before="240" w:after="240" w:line="360" w:lineRule="auto"/>
        <w:ind w:left="0" w:right="49"/>
        <w:jc w:val="both"/>
        <w:rPr>
          <w:rFonts w:ascii="Palatino Linotype" w:eastAsia="Times New Roman" w:hAnsi="Palatino Linotype" w:cs="Arial"/>
          <w:sz w:val="24"/>
          <w:szCs w:val="24"/>
          <w:lang w:val="es-ES"/>
        </w:rPr>
      </w:pPr>
    </w:p>
    <w:p w:rsidR="00443A02" w:rsidRPr="00F23EC6" w:rsidRDefault="00443A02" w:rsidP="00F23EC6">
      <w:pPr>
        <w:pStyle w:val="Prrafodelista"/>
        <w:numPr>
          <w:ilvl w:val="0"/>
          <w:numId w:val="2"/>
        </w:numPr>
        <w:spacing w:before="240" w:after="240" w:line="360" w:lineRule="auto"/>
        <w:ind w:left="0" w:right="49" w:firstLine="0"/>
        <w:jc w:val="both"/>
        <w:rPr>
          <w:rFonts w:ascii="Palatino Linotype" w:eastAsia="Times New Roman" w:hAnsi="Palatino Linotype" w:cs="Arial"/>
          <w:sz w:val="24"/>
          <w:szCs w:val="24"/>
          <w:lang w:val="es-ES"/>
        </w:rPr>
      </w:pPr>
      <w:r w:rsidRPr="00F23EC6">
        <w:rPr>
          <w:rFonts w:ascii="Palatino Linotype" w:eastAsia="Times New Roman" w:hAnsi="Palatino Linotype" w:cs="Arial"/>
          <w:sz w:val="24"/>
          <w:szCs w:val="24"/>
          <w:lang w:val="es-ES"/>
        </w:rPr>
        <w:t>Por su parte, la Ley que crea los Organismos Públicos Descentralizados de Asistencia Social, de carácter municipal, denominados "Sistemas Municipales Para el Desarrollo Integral de la Familia</w:t>
      </w:r>
      <w:r w:rsidRPr="00F23EC6">
        <w:rPr>
          <w:rFonts w:ascii="Palatino Linotype" w:hAnsi="Palatino Linotype"/>
          <w:sz w:val="24"/>
          <w:szCs w:val="24"/>
        </w:rPr>
        <w:t xml:space="preserve"> </w:t>
      </w:r>
      <w:r w:rsidRPr="00F23EC6">
        <w:rPr>
          <w:rFonts w:ascii="Palatino Linotype" w:eastAsia="Times New Roman" w:hAnsi="Palatino Linotype" w:cs="Arial"/>
          <w:sz w:val="24"/>
          <w:szCs w:val="24"/>
          <w:lang w:val="es-ES"/>
        </w:rPr>
        <w:t>establece en su artículo 3, que serán sus objetivos los siguientes:</w:t>
      </w:r>
    </w:p>
    <w:p w:rsidR="00443A02" w:rsidRPr="00F23EC6" w:rsidRDefault="00443A02" w:rsidP="00F23EC6">
      <w:pPr>
        <w:pStyle w:val="Prrafodelista"/>
        <w:spacing w:before="240" w:after="240" w:line="360" w:lineRule="auto"/>
        <w:ind w:left="360" w:right="49"/>
        <w:jc w:val="both"/>
        <w:rPr>
          <w:rFonts w:ascii="Palatino Linotype" w:eastAsia="Times New Roman" w:hAnsi="Palatino Linotype" w:cs="Arial"/>
          <w:sz w:val="24"/>
          <w:szCs w:val="24"/>
          <w:lang w:val="es-ES"/>
        </w:rPr>
      </w:pPr>
    </w:p>
    <w:p w:rsidR="00443A02" w:rsidRPr="00F23EC6" w:rsidRDefault="00443A02" w:rsidP="00F23EC6">
      <w:pPr>
        <w:pStyle w:val="Prrafodelista"/>
        <w:spacing w:before="240" w:after="240" w:line="360" w:lineRule="auto"/>
        <w:ind w:left="360" w:right="474"/>
        <w:jc w:val="both"/>
        <w:rPr>
          <w:rFonts w:ascii="Palatino Linotype" w:eastAsia="Times New Roman" w:hAnsi="Palatino Linotype" w:cs="Arial"/>
          <w:i/>
          <w:sz w:val="24"/>
          <w:szCs w:val="24"/>
          <w:lang w:val="es-ES"/>
        </w:rPr>
      </w:pPr>
      <w:r w:rsidRPr="00F23EC6">
        <w:rPr>
          <w:rFonts w:ascii="Palatino Linotype" w:eastAsia="Times New Roman" w:hAnsi="Palatino Linotype" w:cs="Arial"/>
          <w:i/>
          <w:sz w:val="24"/>
          <w:szCs w:val="24"/>
          <w:lang w:val="es-ES"/>
        </w:rPr>
        <w:t>“Artículo 3. Los organismos a que se refiere esta Ley tendrán los siguientes objetivos de asistencia social, protección de niñas, niños y adolescentes y beneficio colectivo:</w:t>
      </w:r>
    </w:p>
    <w:p w:rsidR="00443A02" w:rsidRPr="00F23EC6" w:rsidRDefault="00443A02" w:rsidP="00F23EC6">
      <w:pPr>
        <w:pStyle w:val="Prrafodelista"/>
        <w:spacing w:before="240" w:after="240" w:line="360" w:lineRule="auto"/>
        <w:ind w:left="360" w:right="474"/>
        <w:jc w:val="both"/>
        <w:rPr>
          <w:rFonts w:ascii="Palatino Linotype" w:eastAsia="Times New Roman" w:hAnsi="Palatino Linotype" w:cs="Arial"/>
          <w:i/>
          <w:sz w:val="24"/>
          <w:szCs w:val="24"/>
          <w:lang w:val="es-ES"/>
        </w:rPr>
      </w:pPr>
      <w:r w:rsidRPr="00F23EC6">
        <w:rPr>
          <w:rFonts w:ascii="Palatino Linotype" w:eastAsia="Times New Roman" w:hAnsi="Palatino Linotype" w:cs="Arial"/>
          <w:i/>
          <w:sz w:val="24"/>
          <w:szCs w:val="24"/>
          <w:lang w:val="es-ES"/>
        </w:rPr>
        <w:t>I.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w:t>
      </w:r>
    </w:p>
    <w:p w:rsidR="00443A02" w:rsidRPr="00F23EC6" w:rsidRDefault="00443A02" w:rsidP="00F23EC6">
      <w:pPr>
        <w:pStyle w:val="Prrafodelista"/>
        <w:spacing w:before="240" w:after="240" w:line="360" w:lineRule="auto"/>
        <w:ind w:left="360" w:right="474"/>
        <w:jc w:val="both"/>
        <w:rPr>
          <w:rFonts w:ascii="Palatino Linotype" w:eastAsia="Times New Roman" w:hAnsi="Palatino Linotype" w:cs="Arial"/>
          <w:i/>
          <w:sz w:val="24"/>
          <w:szCs w:val="24"/>
          <w:lang w:val="es-ES"/>
        </w:rPr>
      </w:pPr>
      <w:r w:rsidRPr="00F23EC6">
        <w:rPr>
          <w:rFonts w:ascii="Palatino Linotype" w:eastAsia="Times New Roman" w:hAnsi="Palatino Linotype" w:cs="Arial"/>
          <w:i/>
          <w:sz w:val="24"/>
          <w:szCs w:val="24"/>
          <w:lang w:val="es-ES"/>
        </w:rPr>
        <w:t>II. Promover los mínimos de bienestar social y el desarrollo de la comunidad, para crear mejores condiciones de vida a los habitantes del Municipio;</w:t>
      </w:r>
    </w:p>
    <w:p w:rsidR="00443A02" w:rsidRPr="00F23EC6" w:rsidRDefault="00443A02" w:rsidP="00F23EC6">
      <w:pPr>
        <w:pStyle w:val="Prrafodelista"/>
        <w:spacing w:before="240" w:after="240" w:line="360" w:lineRule="auto"/>
        <w:ind w:left="360" w:right="474"/>
        <w:jc w:val="both"/>
        <w:rPr>
          <w:rFonts w:ascii="Palatino Linotype" w:eastAsia="Times New Roman" w:hAnsi="Palatino Linotype" w:cs="Arial"/>
          <w:i/>
          <w:sz w:val="24"/>
          <w:szCs w:val="24"/>
          <w:lang w:val="es-ES"/>
        </w:rPr>
      </w:pPr>
      <w:r w:rsidRPr="00F23EC6">
        <w:rPr>
          <w:rFonts w:ascii="Palatino Linotype" w:eastAsia="Times New Roman" w:hAnsi="Palatino Linotype" w:cs="Arial"/>
          <w:i/>
          <w:sz w:val="24"/>
          <w:szCs w:val="24"/>
          <w:lang w:val="es-ES"/>
        </w:rPr>
        <w:t>III. Fomentar la educación escolar y extra-escolar e impulsar el sano crecimiento físico y mental de la niñez;</w:t>
      </w:r>
    </w:p>
    <w:p w:rsidR="00443A02" w:rsidRPr="00F23EC6" w:rsidRDefault="00443A02" w:rsidP="00F23EC6">
      <w:pPr>
        <w:pStyle w:val="Prrafodelista"/>
        <w:spacing w:before="240" w:after="240" w:line="360" w:lineRule="auto"/>
        <w:ind w:left="360" w:right="474"/>
        <w:jc w:val="both"/>
        <w:rPr>
          <w:rFonts w:ascii="Palatino Linotype" w:eastAsia="Times New Roman" w:hAnsi="Palatino Linotype" w:cs="Arial"/>
          <w:i/>
          <w:sz w:val="24"/>
          <w:szCs w:val="24"/>
          <w:lang w:val="es-ES"/>
        </w:rPr>
      </w:pPr>
      <w:r w:rsidRPr="00F23EC6">
        <w:rPr>
          <w:rFonts w:ascii="Palatino Linotype" w:eastAsia="Times New Roman" w:hAnsi="Palatino Linotype" w:cs="Arial"/>
          <w:i/>
          <w:sz w:val="24"/>
          <w:szCs w:val="24"/>
          <w:lang w:val="es-ES"/>
        </w:rPr>
        <w:t>IV. Coordinar las actividades que en materia de asistencia social realicen otras Instituciones públicas o privadas en el municipio;</w:t>
      </w:r>
    </w:p>
    <w:p w:rsidR="00443A02" w:rsidRPr="00F23EC6" w:rsidRDefault="00443A02" w:rsidP="00F23EC6">
      <w:pPr>
        <w:pStyle w:val="Prrafodelista"/>
        <w:spacing w:before="240" w:after="240" w:line="360" w:lineRule="auto"/>
        <w:ind w:left="360" w:right="474"/>
        <w:jc w:val="both"/>
        <w:rPr>
          <w:rFonts w:ascii="Palatino Linotype" w:eastAsia="Times New Roman" w:hAnsi="Palatino Linotype" w:cs="Arial"/>
          <w:i/>
          <w:sz w:val="24"/>
          <w:szCs w:val="24"/>
          <w:lang w:val="es-ES"/>
        </w:rPr>
      </w:pPr>
      <w:r w:rsidRPr="00F23EC6">
        <w:rPr>
          <w:rFonts w:ascii="Palatino Linotype" w:eastAsia="Times New Roman" w:hAnsi="Palatino Linotype" w:cs="Arial"/>
          <w:i/>
          <w:sz w:val="24"/>
          <w:szCs w:val="24"/>
          <w:lang w:val="es-ES"/>
        </w:rPr>
        <w:t>V. Impulsar, promover o gestionar la creación de Instituciones o establecimientos de asistencia social, en beneficio de niñas, niños y adolescentes en estado de abandono, de adultos mayores y de personas con discapacidad sin recursos.</w:t>
      </w:r>
    </w:p>
    <w:p w:rsidR="00443A02" w:rsidRPr="00F23EC6" w:rsidRDefault="00443A02" w:rsidP="00F23EC6">
      <w:pPr>
        <w:pStyle w:val="Prrafodelista"/>
        <w:spacing w:before="240" w:after="240" w:line="360" w:lineRule="auto"/>
        <w:ind w:left="360" w:right="474"/>
        <w:jc w:val="both"/>
        <w:rPr>
          <w:rFonts w:ascii="Palatino Linotype" w:eastAsia="Times New Roman" w:hAnsi="Palatino Linotype" w:cs="Arial"/>
          <w:i/>
          <w:sz w:val="24"/>
          <w:szCs w:val="24"/>
          <w:lang w:val="es-ES"/>
        </w:rPr>
      </w:pPr>
      <w:r w:rsidRPr="00F23EC6">
        <w:rPr>
          <w:rFonts w:ascii="Palatino Linotype" w:eastAsia="Times New Roman" w:hAnsi="Palatino Linotype" w:cs="Arial"/>
          <w:i/>
          <w:sz w:val="24"/>
          <w:szCs w:val="24"/>
          <w:lang w:val="es-ES"/>
        </w:rPr>
        <w:t>VI. Prestar servicios jurídicos y de orientación social a niñas, niños adolescentes, adultos mayores y personas con discapacidad carentes de recursos económicos, así como a la familia para su integración y bienestar.</w:t>
      </w:r>
    </w:p>
    <w:p w:rsidR="00443A02" w:rsidRPr="00F23EC6" w:rsidRDefault="00443A02" w:rsidP="00F23EC6">
      <w:pPr>
        <w:pStyle w:val="Prrafodelista"/>
        <w:spacing w:before="240" w:after="240" w:line="360" w:lineRule="auto"/>
        <w:ind w:left="360" w:right="474"/>
        <w:jc w:val="both"/>
        <w:rPr>
          <w:rFonts w:ascii="Palatino Linotype" w:eastAsia="Times New Roman" w:hAnsi="Palatino Linotype" w:cs="Arial"/>
          <w:i/>
          <w:sz w:val="24"/>
          <w:szCs w:val="24"/>
          <w:lang w:val="es-ES"/>
        </w:rPr>
      </w:pPr>
      <w:r w:rsidRPr="00F23EC6">
        <w:rPr>
          <w:rFonts w:ascii="Palatino Linotype" w:eastAsia="Times New Roman" w:hAnsi="Palatino Linotype" w:cs="Arial"/>
          <w:i/>
          <w:sz w:val="24"/>
          <w:szCs w:val="24"/>
          <w:lang w:val="es-ES"/>
        </w:rPr>
        <w:t>VII. Proteger de manera integral los derechos de niñas, niños y adolescentes y restituirlos en caso de vulneración de los mismos, a través de las medidas especiales de protección que sean necesarias.</w:t>
      </w:r>
    </w:p>
    <w:p w:rsidR="00443A02" w:rsidRPr="00F23EC6" w:rsidRDefault="00443A02" w:rsidP="00F23EC6">
      <w:pPr>
        <w:pStyle w:val="Prrafodelista"/>
        <w:spacing w:before="240" w:after="240" w:line="360" w:lineRule="auto"/>
        <w:ind w:left="360" w:right="474"/>
        <w:jc w:val="both"/>
        <w:rPr>
          <w:rFonts w:ascii="Palatino Linotype" w:eastAsia="Times New Roman" w:hAnsi="Palatino Linotype" w:cs="Arial"/>
          <w:i/>
          <w:sz w:val="24"/>
          <w:szCs w:val="24"/>
          <w:lang w:val="es-ES"/>
        </w:rPr>
      </w:pPr>
      <w:r w:rsidRPr="00F23EC6">
        <w:rPr>
          <w:rFonts w:ascii="Palatino Linotype" w:eastAsia="Times New Roman" w:hAnsi="Palatino Linotype" w:cs="Arial"/>
          <w:i/>
          <w:sz w:val="24"/>
          <w:szCs w:val="24"/>
          <w:lang w:val="es-ES"/>
        </w:rPr>
        <w:t>VIII. Procurar permanentemente la adecuación de los objetivos y programas del Sistema Municipal y los que lleve a cabo el Sistema para el Desarrollo Integral de la Familia del Estado de México, a través de acuerdos, convenios o cualquier figura jurídica, encaminados a la protección de la infancia y adolescencia y la obtención del bienestar social.</w:t>
      </w:r>
    </w:p>
    <w:p w:rsidR="00443A02" w:rsidRPr="00F23EC6" w:rsidRDefault="00443A02" w:rsidP="00F23EC6">
      <w:pPr>
        <w:pStyle w:val="Prrafodelista"/>
        <w:spacing w:before="240" w:after="240" w:line="360" w:lineRule="auto"/>
        <w:ind w:left="360" w:right="474"/>
        <w:jc w:val="both"/>
        <w:rPr>
          <w:rFonts w:ascii="Palatino Linotype" w:eastAsia="Times New Roman" w:hAnsi="Palatino Linotype" w:cs="Arial"/>
          <w:i/>
          <w:sz w:val="24"/>
          <w:szCs w:val="24"/>
          <w:lang w:val="es-ES"/>
        </w:rPr>
      </w:pPr>
      <w:r w:rsidRPr="00F23EC6">
        <w:rPr>
          <w:rFonts w:ascii="Palatino Linotype" w:eastAsia="Times New Roman" w:hAnsi="Palatino Linotype" w:cs="Arial"/>
          <w:i/>
          <w:sz w:val="24"/>
          <w:szCs w:val="24"/>
          <w:lang w:val="es-ES"/>
        </w:rPr>
        <w:t>IX. Impulsar acciones para promover el desarrollo humano integral de los adultos mayores, coadyuvando para que sus distintas capacidades sean valoradas y aprovechadas en el desarrollo comunitario, económico y social.</w:t>
      </w:r>
    </w:p>
    <w:p w:rsidR="00443A02" w:rsidRPr="00F23EC6" w:rsidRDefault="00443A02" w:rsidP="00F23EC6">
      <w:pPr>
        <w:pStyle w:val="Prrafodelista"/>
        <w:spacing w:before="240" w:after="240" w:line="360" w:lineRule="auto"/>
        <w:ind w:left="360" w:right="474"/>
        <w:jc w:val="both"/>
        <w:rPr>
          <w:rFonts w:ascii="Palatino Linotype" w:eastAsia="Times New Roman" w:hAnsi="Palatino Linotype" w:cs="Arial"/>
          <w:i/>
          <w:sz w:val="24"/>
          <w:szCs w:val="24"/>
          <w:lang w:val="es-ES"/>
        </w:rPr>
      </w:pPr>
      <w:r w:rsidRPr="00F23EC6">
        <w:rPr>
          <w:rFonts w:ascii="Palatino Linotype" w:eastAsia="Times New Roman" w:hAnsi="Palatino Linotype" w:cs="Arial"/>
          <w:i/>
          <w:sz w:val="24"/>
          <w:szCs w:val="24"/>
          <w:lang w:val="es-ES"/>
        </w:rPr>
        <w:t>X. Las demás que le encomienden las leyes.”</w:t>
      </w:r>
    </w:p>
    <w:p w:rsidR="00443A02" w:rsidRPr="00F23EC6" w:rsidRDefault="00443A02" w:rsidP="00F23EC6">
      <w:pPr>
        <w:pStyle w:val="Prrafodelista"/>
        <w:spacing w:before="240" w:after="240" w:line="360" w:lineRule="auto"/>
        <w:ind w:left="360" w:right="474"/>
        <w:jc w:val="both"/>
        <w:rPr>
          <w:rFonts w:ascii="Palatino Linotype" w:eastAsia="Times New Roman" w:hAnsi="Palatino Linotype" w:cs="Arial"/>
          <w:i/>
          <w:sz w:val="24"/>
          <w:szCs w:val="24"/>
          <w:lang w:val="es-ES"/>
        </w:rPr>
      </w:pPr>
    </w:p>
    <w:p w:rsidR="00072700" w:rsidRPr="008A071D" w:rsidRDefault="00443A02" w:rsidP="008A071D">
      <w:pPr>
        <w:pStyle w:val="Prrafodelista"/>
        <w:numPr>
          <w:ilvl w:val="0"/>
          <w:numId w:val="2"/>
        </w:numPr>
        <w:spacing w:before="240" w:after="240" w:line="360" w:lineRule="auto"/>
        <w:ind w:left="0" w:right="49" w:firstLine="0"/>
        <w:jc w:val="both"/>
        <w:rPr>
          <w:rStyle w:val="Refdenotaalpie"/>
          <w:rFonts w:ascii="Palatino Linotype" w:eastAsia="Times New Roman" w:hAnsi="Palatino Linotype" w:cs="Arial"/>
          <w:i/>
          <w:sz w:val="24"/>
          <w:szCs w:val="24"/>
          <w:vertAlign w:val="baseline"/>
          <w:lang w:val="es-ES"/>
        </w:rPr>
      </w:pPr>
      <w:r w:rsidRPr="00F23EC6">
        <w:rPr>
          <w:rFonts w:ascii="Palatino Linotype" w:eastAsia="Calibri" w:hAnsi="Palatino Linotype" w:cs="Arial"/>
          <w:sz w:val="24"/>
          <w:szCs w:val="24"/>
          <w:lang w:val="es-ES_tradnl" w:eastAsia="es-MX"/>
        </w:rPr>
        <w:t>Luego entonces, se insiste que diversos puntos planteados en las solicitudes de información, atañen a las facultades y atribuciones del Ayuntamiento de Tecámac, quien es un Sujeto Obligado diverso al que ocupa el presente proveído; sin embargo aún y cuando es un ente distinto quien genera parte de la información</w:t>
      </w:r>
      <w:r w:rsidR="00534F04" w:rsidRPr="00F23EC6">
        <w:rPr>
          <w:rFonts w:ascii="Palatino Linotype" w:eastAsia="Calibri" w:hAnsi="Palatino Linotype" w:cs="Arial"/>
          <w:sz w:val="24"/>
          <w:szCs w:val="24"/>
          <w:lang w:val="es-ES_tradnl" w:eastAsia="es-MX"/>
        </w:rPr>
        <w:t xml:space="preserve"> solicitada</w:t>
      </w:r>
      <w:r w:rsidRPr="00F23EC6">
        <w:rPr>
          <w:rFonts w:ascii="Palatino Linotype" w:eastAsia="Calibri" w:hAnsi="Palatino Linotype" w:cs="Arial"/>
          <w:sz w:val="24"/>
          <w:szCs w:val="24"/>
          <w:lang w:val="es-ES_tradnl" w:eastAsia="es-MX"/>
        </w:rPr>
        <w:t xml:space="preserve">, no </w:t>
      </w:r>
      <w:r w:rsidR="00534F04" w:rsidRPr="00F23EC6">
        <w:rPr>
          <w:rFonts w:ascii="Palatino Linotype" w:eastAsia="Calibri" w:hAnsi="Palatino Linotype" w:cs="Arial"/>
          <w:sz w:val="24"/>
          <w:szCs w:val="24"/>
          <w:lang w:val="es-ES_tradnl" w:eastAsia="es-MX"/>
        </w:rPr>
        <w:t xml:space="preserve">es </w:t>
      </w:r>
      <w:r w:rsidRPr="00F23EC6">
        <w:rPr>
          <w:rFonts w:ascii="Palatino Linotype" w:eastAsia="Calibri" w:hAnsi="Palatino Linotype" w:cs="Arial"/>
          <w:sz w:val="24"/>
          <w:szCs w:val="24"/>
          <w:lang w:val="es-ES_tradnl" w:eastAsia="es-MX"/>
        </w:rPr>
        <w:t xml:space="preserve">obstáculo para que eventualmente el </w:t>
      </w:r>
      <w:r w:rsidRPr="00F23EC6">
        <w:rPr>
          <w:rFonts w:ascii="Palatino Linotype" w:hAnsi="Palatino Linotype"/>
          <w:b/>
          <w:sz w:val="24"/>
          <w:szCs w:val="24"/>
        </w:rPr>
        <w:t xml:space="preserve">Sistema Municipal Para el Desarrollo Integral de la Familia de Tecámac, </w:t>
      </w:r>
      <w:r w:rsidRPr="00F23EC6">
        <w:rPr>
          <w:rFonts w:ascii="Palatino Linotype" w:hAnsi="Palatino Linotype"/>
          <w:sz w:val="24"/>
          <w:szCs w:val="24"/>
        </w:rPr>
        <w:t>la posea y administre,</w:t>
      </w:r>
      <w:r w:rsidR="00534F04" w:rsidRPr="00F23EC6">
        <w:rPr>
          <w:rFonts w:ascii="Palatino Linotype" w:hAnsi="Palatino Linotype"/>
          <w:sz w:val="24"/>
          <w:szCs w:val="24"/>
        </w:rPr>
        <w:t xml:space="preserve"> de lo cual tampoco se tiene certeza dado el silencio administrativo que existió en las solicitudes de información.</w:t>
      </w:r>
      <w:bookmarkStart w:id="74" w:name="_Toc536726465"/>
    </w:p>
    <w:p w:rsidR="000F5E0E" w:rsidRPr="00F23EC6" w:rsidRDefault="00C856CA" w:rsidP="00F23EC6">
      <w:pPr>
        <w:keepNext/>
        <w:keepLines/>
        <w:spacing w:before="240" w:after="0" w:line="360" w:lineRule="auto"/>
        <w:outlineLvl w:val="0"/>
        <w:rPr>
          <w:rFonts w:ascii="Palatino Linotype" w:eastAsia="MS Gothic" w:hAnsi="Palatino Linotype" w:cstheme="majorBidi"/>
          <w:b/>
          <w:sz w:val="24"/>
          <w:szCs w:val="24"/>
          <w:lang w:val="es-ES_tradnl"/>
        </w:rPr>
      </w:pPr>
      <w:bookmarkStart w:id="75" w:name="_Toc20305945"/>
      <w:r w:rsidRPr="00F23EC6">
        <w:rPr>
          <w:rFonts w:ascii="Palatino Linotype" w:eastAsia="MS Gothic" w:hAnsi="Palatino Linotype" w:cstheme="majorBidi"/>
          <w:b/>
          <w:sz w:val="24"/>
          <w:szCs w:val="24"/>
          <w:lang w:val="es-ES_tradnl"/>
        </w:rPr>
        <w:t>SEX</w:t>
      </w:r>
      <w:r w:rsidR="000F5E0E" w:rsidRPr="00F23EC6">
        <w:rPr>
          <w:rFonts w:ascii="Palatino Linotype" w:eastAsia="MS Gothic" w:hAnsi="Palatino Linotype" w:cstheme="majorBidi"/>
          <w:b/>
          <w:sz w:val="24"/>
          <w:szCs w:val="24"/>
          <w:lang w:val="es-ES_tradnl"/>
        </w:rPr>
        <w:t>TO. De la Versión Pública</w:t>
      </w:r>
      <w:bookmarkEnd w:id="74"/>
      <w:bookmarkEnd w:id="75"/>
      <w:r w:rsidR="000F5E0E" w:rsidRPr="00F23EC6">
        <w:rPr>
          <w:rFonts w:ascii="Palatino Linotype" w:eastAsia="MS Gothic" w:hAnsi="Palatino Linotype" w:cstheme="majorBidi"/>
          <w:b/>
          <w:sz w:val="24"/>
          <w:szCs w:val="24"/>
          <w:lang w:val="es-ES_tradnl"/>
        </w:rPr>
        <w:t xml:space="preserve"> </w:t>
      </w:r>
    </w:p>
    <w:p w:rsidR="000F5E0E" w:rsidRPr="00F23EC6" w:rsidRDefault="000F5E0E" w:rsidP="00F23EC6">
      <w:pPr>
        <w:pStyle w:val="Prrafodelista"/>
        <w:numPr>
          <w:ilvl w:val="0"/>
          <w:numId w:val="2"/>
        </w:numPr>
        <w:spacing w:before="240" w:after="240" w:line="360" w:lineRule="auto"/>
        <w:ind w:left="0" w:right="49" w:firstLine="0"/>
        <w:jc w:val="both"/>
        <w:rPr>
          <w:rFonts w:ascii="Palatino Linotype" w:eastAsia="MS Mincho" w:hAnsi="Palatino Linotype" w:cs="Times New Roman"/>
          <w:sz w:val="24"/>
          <w:szCs w:val="24"/>
          <w:lang w:val="es-ES_tradnl" w:eastAsia="es-ES"/>
        </w:rPr>
      </w:pPr>
      <w:r w:rsidRPr="00F23EC6">
        <w:rPr>
          <w:rFonts w:ascii="Palatino Linotype" w:eastAsia="Calibri" w:hAnsi="Palatino Linotype" w:cs="Arial"/>
          <w:sz w:val="24"/>
          <w:szCs w:val="24"/>
          <w:lang w:val="es-ES_tradnl" w:eastAsia="es-MX"/>
        </w:rPr>
        <w:t xml:space="preserve">Como ya se ha señalado en el considerando anteriormente </w:t>
      </w:r>
      <w:r w:rsidRPr="00F23EC6">
        <w:rPr>
          <w:rFonts w:ascii="Palatino Linotype" w:eastAsia="Calibri" w:hAnsi="Palatino Linotype" w:cs="Arial"/>
          <w:sz w:val="24"/>
          <w:szCs w:val="24"/>
          <w:lang w:val="es-ES" w:eastAsia="es-MX"/>
        </w:rPr>
        <w:t xml:space="preserve">el </w:t>
      </w:r>
      <w:r w:rsidRPr="00F23EC6">
        <w:rPr>
          <w:rFonts w:ascii="Palatino Linotype" w:eastAsia="Calibri" w:hAnsi="Palatino Linotype" w:cs="Arial"/>
          <w:b/>
          <w:sz w:val="24"/>
          <w:szCs w:val="24"/>
          <w:lang w:val="es-ES" w:eastAsia="es-MX"/>
        </w:rPr>
        <w:t>SUJETO OBLIGADO,</w:t>
      </w:r>
      <w:r w:rsidRPr="00F23EC6">
        <w:rPr>
          <w:rFonts w:ascii="Palatino Linotype" w:eastAsia="Calibri" w:hAnsi="Palatino Linotype" w:cs="Arial"/>
          <w:sz w:val="24"/>
          <w:szCs w:val="24"/>
          <w:lang w:val="es-ES" w:eastAsia="es-MX"/>
        </w:rPr>
        <w:t xml:space="preserve"> deberá entregar </w:t>
      </w:r>
      <w:r w:rsidR="0067655D" w:rsidRPr="00F23EC6">
        <w:rPr>
          <w:rFonts w:ascii="Palatino Linotype" w:eastAsia="Calibri" w:hAnsi="Palatino Linotype" w:cs="Arial"/>
          <w:sz w:val="24"/>
          <w:szCs w:val="24"/>
          <w:lang w:val="es-ES" w:eastAsia="es-MX"/>
        </w:rPr>
        <w:t xml:space="preserve">la Nómina General de todo el personal </w:t>
      </w:r>
      <w:r w:rsidRPr="00F23EC6">
        <w:rPr>
          <w:rFonts w:ascii="Palatino Linotype" w:eastAsia="Calibri" w:hAnsi="Palatino Linotype" w:cs="Arial"/>
          <w:sz w:val="24"/>
          <w:szCs w:val="24"/>
          <w:lang w:val="es-ES" w:eastAsia="es-MX"/>
        </w:rPr>
        <w:t xml:space="preserve">que laboran en el </w:t>
      </w:r>
      <w:r w:rsidR="00B57D87" w:rsidRPr="00F23EC6">
        <w:rPr>
          <w:rFonts w:ascii="Palatino Linotype" w:eastAsia="Calibri" w:hAnsi="Palatino Linotype" w:cs="Arial"/>
          <w:sz w:val="24"/>
          <w:szCs w:val="24"/>
          <w:lang w:val="es-ES" w:eastAsia="es-MX"/>
        </w:rPr>
        <w:t>Sistema Municipal Para el Desarrollo Integral de la Familia de Tecámac</w:t>
      </w:r>
      <w:r w:rsidR="00362893" w:rsidRPr="00F23EC6">
        <w:rPr>
          <w:rFonts w:ascii="Palatino Linotype" w:eastAsia="Calibri" w:hAnsi="Palatino Linotype" w:cs="Arial"/>
          <w:sz w:val="24"/>
          <w:szCs w:val="24"/>
          <w:lang w:val="es-ES_tradnl" w:eastAsia="es-MX"/>
        </w:rPr>
        <w:t>, correspondiente a</w:t>
      </w:r>
      <w:r w:rsidR="0067655D" w:rsidRPr="00F23EC6">
        <w:rPr>
          <w:rFonts w:ascii="Palatino Linotype" w:eastAsia="Calibri" w:hAnsi="Palatino Linotype" w:cs="Arial"/>
          <w:sz w:val="24"/>
          <w:szCs w:val="24"/>
          <w:lang w:val="es-ES_tradnl" w:eastAsia="es-MX"/>
        </w:rPr>
        <w:t>l</w:t>
      </w:r>
      <w:r w:rsidR="00362893" w:rsidRPr="00F23EC6">
        <w:rPr>
          <w:rFonts w:ascii="Palatino Linotype" w:eastAsia="Calibri" w:hAnsi="Palatino Linotype" w:cs="Arial"/>
          <w:sz w:val="24"/>
          <w:szCs w:val="24"/>
          <w:lang w:val="es-ES_tradnl" w:eastAsia="es-MX"/>
        </w:rPr>
        <w:t xml:space="preserve"> mes</w:t>
      </w:r>
      <w:r w:rsidR="0067655D" w:rsidRPr="00F23EC6">
        <w:rPr>
          <w:rFonts w:ascii="Palatino Linotype" w:eastAsia="Calibri" w:hAnsi="Palatino Linotype" w:cs="Arial"/>
          <w:sz w:val="24"/>
          <w:szCs w:val="24"/>
          <w:lang w:val="es-ES_tradnl" w:eastAsia="es-MX"/>
        </w:rPr>
        <w:t xml:space="preserve"> de febrero de la presente anualidad.</w:t>
      </w:r>
    </w:p>
    <w:p w:rsidR="000F5E0E" w:rsidRPr="00F23EC6" w:rsidRDefault="000F5E0E" w:rsidP="00F23EC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23EC6">
        <w:rPr>
          <w:rFonts w:ascii="Palatino Linotype" w:eastAsia="MS Mincho" w:hAnsi="Palatino Linotype" w:cs="Arial"/>
          <w:color w:val="000000"/>
          <w:sz w:val="24"/>
          <w:szCs w:val="24"/>
          <w:lang w:val="es-ES_tradnl" w:eastAsia="es-ES"/>
        </w:rPr>
        <w:t xml:space="preserve">Asimismo debe destacarse que debido a la naturaleza de la información ordenada, </w:t>
      </w:r>
      <w:r w:rsidR="00362893" w:rsidRPr="00F23EC6">
        <w:rPr>
          <w:rFonts w:ascii="Palatino Linotype" w:eastAsia="MS Mincho" w:hAnsi="Palatino Linotype" w:cs="Arial"/>
          <w:color w:val="000000"/>
          <w:sz w:val="24"/>
          <w:szCs w:val="24"/>
          <w:lang w:val="es-ES_tradnl" w:eastAsia="es-ES"/>
        </w:rPr>
        <w:t>obran</w:t>
      </w:r>
      <w:r w:rsidRPr="00F23EC6">
        <w:rPr>
          <w:rFonts w:ascii="Palatino Linotype" w:eastAsia="MS Mincho" w:hAnsi="Palatino Linotype" w:cs="Arial"/>
          <w:color w:val="000000"/>
          <w:sz w:val="24"/>
          <w:szCs w:val="24"/>
          <w:lang w:val="es-ES_tradnl" w:eastAsia="es-ES"/>
        </w:rPr>
        <w:t xml:space="preserve">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23EC6">
        <w:rPr>
          <w:rFonts w:ascii="Palatino Linotype" w:eastAsia="MS Mincho" w:hAnsi="Palatino Linotype" w:cs="Arial"/>
          <w:b/>
          <w:color w:val="000000"/>
          <w:sz w:val="24"/>
          <w:szCs w:val="24"/>
          <w:u w:val="single"/>
          <w:lang w:val="es-ES_tradnl" w:eastAsia="es-ES"/>
        </w:rPr>
        <w:t>versión pública</w:t>
      </w:r>
      <w:r w:rsidRPr="00F23EC6">
        <w:rPr>
          <w:rFonts w:ascii="Palatino Linotype" w:eastAsia="MS Mincho" w:hAnsi="Palatino Linotype" w:cs="Arial"/>
          <w:color w:val="000000"/>
          <w:sz w:val="24"/>
          <w:szCs w:val="24"/>
          <w:lang w:val="es-ES_tradnl" w:eastAsia="es-ES"/>
        </w:rPr>
        <w:t xml:space="preserve"> </w:t>
      </w:r>
      <w:r w:rsidRPr="00F23EC6">
        <w:rPr>
          <w:rFonts w:ascii="Palatino Linotype" w:eastAsia="MS Mincho" w:hAnsi="Palatino Linotype" w:cs="Arial"/>
          <w:sz w:val="24"/>
          <w:szCs w:val="24"/>
          <w:lang w:val="es-ES_tradnl" w:eastAsia="es-ES"/>
        </w:rPr>
        <w:t>del</w:t>
      </w:r>
      <w:r w:rsidRPr="00F23EC6">
        <w:rPr>
          <w:rFonts w:ascii="Palatino Linotype" w:eastAsia="MS Mincho" w:hAnsi="Palatino Linotype" w:cs="Arial"/>
          <w:color w:val="000000"/>
          <w:sz w:val="24"/>
          <w:szCs w:val="24"/>
          <w:lang w:val="es-ES_tradnl" w:eastAsia="es-ES"/>
        </w:rPr>
        <w:t xml:space="preserve"> documento por las consideraciones que se estimen pertinentes.</w:t>
      </w:r>
    </w:p>
    <w:p w:rsidR="000F5E0E" w:rsidRPr="00F23EC6" w:rsidRDefault="000F5E0E" w:rsidP="00F23EC6">
      <w:pPr>
        <w:spacing w:after="0" w:line="360" w:lineRule="auto"/>
        <w:contextualSpacing/>
        <w:jc w:val="both"/>
        <w:rPr>
          <w:rFonts w:ascii="Palatino Linotype" w:eastAsia="MS Mincho" w:hAnsi="Palatino Linotype" w:cs="Times New Roman"/>
          <w:sz w:val="24"/>
          <w:szCs w:val="24"/>
          <w:lang w:val="es-ES_tradnl" w:eastAsia="es-ES"/>
        </w:rPr>
      </w:pPr>
    </w:p>
    <w:p w:rsidR="000F5E0E" w:rsidRPr="00F23EC6" w:rsidRDefault="000F5E0E" w:rsidP="00F23EC6">
      <w:pPr>
        <w:numPr>
          <w:ilvl w:val="0"/>
          <w:numId w:val="5"/>
        </w:numPr>
        <w:spacing w:line="360" w:lineRule="auto"/>
        <w:ind w:left="0" w:firstLine="0"/>
        <w:contextualSpacing/>
        <w:rPr>
          <w:rFonts w:ascii="Palatino Linotype" w:eastAsia="MS Gothic" w:hAnsi="Palatino Linotype" w:cs="Times New Roman"/>
          <w:b/>
          <w:sz w:val="24"/>
          <w:szCs w:val="24"/>
          <w:lang w:val="es-ES_tradnl"/>
        </w:rPr>
      </w:pPr>
      <w:bookmarkStart w:id="76" w:name="_Toc487025371"/>
      <w:bookmarkStart w:id="77" w:name="_Toc493790439"/>
      <w:bookmarkStart w:id="78" w:name="_Toc495606559"/>
      <w:bookmarkStart w:id="79" w:name="_Toc517362231"/>
      <w:bookmarkStart w:id="80" w:name="_Toc523159043"/>
      <w:bookmarkStart w:id="81" w:name="_Toc536726466"/>
      <w:r w:rsidRPr="00F23EC6">
        <w:rPr>
          <w:rFonts w:ascii="Palatino Linotype" w:eastAsia="MS Gothic" w:hAnsi="Palatino Linotype" w:cs="Times New Roman"/>
          <w:b/>
          <w:sz w:val="24"/>
          <w:szCs w:val="24"/>
          <w:lang w:val="es-ES_tradnl"/>
        </w:rPr>
        <w:t>Requisitos previos.</w:t>
      </w:r>
      <w:bookmarkEnd w:id="76"/>
      <w:bookmarkEnd w:id="77"/>
      <w:bookmarkEnd w:id="78"/>
      <w:bookmarkEnd w:id="79"/>
      <w:bookmarkEnd w:id="80"/>
      <w:bookmarkEnd w:id="81"/>
    </w:p>
    <w:p w:rsidR="000F5E0E" w:rsidRPr="00F23EC6" w:rsidRDefault="000F5E0E" w:rsidP="00F23EC6">
      <w:pPr>
        <w:spacing w:after="0" w:line="360" w:lineRule="auto"/>
        <w:rPr>
          <w:rFonts w:ascii="Palatino Linotype" w:eastAsia="MS Mincho" w:hAnsi="Palatino Linotype" w:cs="Times New Roman"/>
          <w:noProof/>
          <w:sz w:val="24"/>
          <w:szCs w:val="24"/>
          <w:lang w:val="es-ES_tradnl"/>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23EC6">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C856CA" w:rsidRPr="00F23EC6" w:rsidRDefault="00C856CA" w:rsidP="00F23EC6">
      <w:pPr>
        <w:spacing w:after="0" w:line="360" w:lineRule="auto"/>
        <w:contextualSpacing/>
        <w:jc w:val="both"/>
        <w:rPr>
          <w:rFonts w:ascii="Palatino Linotype" w:eastAsia="Calibri" w:hAnsi="Palatino Linotype" w:cs="Arial"/>
          <w:sz w:val="24"/>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23EC6">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0F5E0E" w:rsidRPr="00F23EC6" w:rsidRDefault="000F5E0E" w:rsidP="00F23EC6">
      <w:pPr>
        <w:spacing w:after="0" w:line="360" w:lineRule="auto"/>
        <w:contextualSpacing/>
        <w:rPr>
          <w:rFonts w:ascii="Palatino Linotype" w:eastAsia="Calibri" w:hAnsi="Palatino Linotype" w:cs="Arial"/>
          <w:sz w:val="24"/>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23EC6">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0F5E0E" w:rsidRPr="00F23EC6" w:rsidRDefault="000F5E0E" w:rsidP="00F23EC6">
      <w:pPr>
        <w:spacing w:after="0" w:line="360" w:lineRule="auto"/>
        <w:contextualSpacing/>
        <w:rPr>
          <w:rFonts w:ascii="Palatino Linotype" w:eastAsia="Calibri" w:hAnsi="Palatino Linotype" w:cs="Arial"/>
          <w:sz w:val="24"/>
          <w:szCs w:val="24"/>
          <w:lang w:val="es-ES_tradnl" w:eastAsia="es-MX"/>
        </w:rPr>
      </w:pPr>
    </w:p>
    <w:p w:rsidR="000F5E0E" w:rsidRPr="00F23EC6" w:rsidRDefault="000F5E0E" w:rsidP="00F23EC6">
      <w:pPr>
        <w:numPr>
          <w:ilvl w:val="0"/>
          <w:numId w:val="5"/>
        </w:numPr>
        <w:spacing w:line="360" w:lineRule="auto"/>
        <w:ind w:left="0" w:firstLine="0"/>
        <w:contextualSpacing/>
        <w:rPr>
          <w:rFonts w:ascii="Palatino Linotype" w:eastAsia="MS Gothic" w:hAnsi="Palatino Linotype" w:cs="Times New Roman"/>
          <w:b/>
          <w:sz w:val="24"/>
          <w:szCs w:val="24"/>
          <w:lang w:val="es-ES_tradnl"/>
        </w:rPr>
      </w:pPr>
      <w:bookmarkStart w:id="82" w:name="_Toc487025372"/>
      <w:bookmarkStart w:id="83" w:name="_Toc493790440"/>
      <w:bookmarkStart w:id="84" w:name="_Toc495606560"/>
      <w:bookmarkStart w:id="85" w:name="_Toc517362232"/>
      <w:bookmarkStart w:id="86" w:name="_Toc523159044"/>
      <w:bookmarkStart w:id="87" w:name="_Toc536726467"/>
      <w:r w:rsidRPr="00F23EC6">
        <w:rPr>
          <w:rFonts w:ascii="Palatino Linotype" w:eastAsia="MS Gothic" w:hAnsi="Palatino Linotype" w:cs="Times New Roman"/>
          <w:b/>
          <w:sz w:val="24"/>
          <w:szCs w:val="24"/>
          <w:lang w:val="es-ES_tradnl"/>
        </w:rPr>
        <w:t>Supuesto de clasificación.</w:t>
      </w:r>
      <w:bookmarkEnd w:id="82"/>
      <w:bookmarkEnd w:id="83"/>
      <w:bookmarkEnd w:id="84"/>
      <w:bookmarkEnd w:id="85"/>
      <w:bookmarkEnd w:id="86"/>
      <w:bookmarkEnd w:id="87"/>
    </w:p>
    <w:p w:rsidR="000F5E0E" w:rsidRPr="00F23EC6" w:rsidRDefault="000F5E0E" w:rsidP="00F23EC6">
      <w:pPr>
        <w:spacing w:after="0" w:line="360" w:lineRule="auto"/>
        <w:rPr>
          <w:rFonts w:ascii="Palatino Linotype" w:eastAsia="MS Mincho" w:hAnsi="Palatino Linotype" w:cs="Times New Roman"/>
          <w:noProof/>
          <w:sz w:val="24"/>
          <w:szCs w:val="24"/>
          <w:lang w:val="es-ES_tradnl"/>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23EC6">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F23EC6">
        <w:rPr>
          <w:rFonts w:ascii="Palatino Linotype" w:eastAsia="MS Mincho" w:hAnsi="Palatino Linotype" w:cs="Arial"/>
          <w:sz w:val="24"/>
          <w:szCs w:val="24"/>
          <w:lang w:val="es-ES_tradnl" w:eastAsia="es-ES"/>
        </w:rPr>
        <w:t>Acceso</w:t>
      </w:r>
      <w:r w:rsidRPr="00F23EC6">
        <w:rPr>
          <w:rFonts w:ascii="Palatino Linotype" w:eastAsia="Calibri" w:hAnsi="Palatino Linotype" w:cs="Arial"/>
          <w:sz w:val="24"/>
          <w:szCs w:val="24"/>
          <w:lang w:val="es-ES_tradnl" w:eastAsia="es-MX"/>
        </w:rPr>
        <w:t xml:space="preserve"> a la Información Pública del Estado de México y Municipios.</w:t>
      </w:r>
    </w:p>
    <w:p w:rsidR="000F5E0E" w:rsidRPr="00F23EC6" w:rsidRDefault="000F5E0E" w:rsidP="00F23EC6">
      <w:pPr>
        <w:spacing w:after="0" w:line="360" w:lineRule="auto"/>
        <w:contextualSpacing/>
        <w:jc w:val="both"/>
        <w:rPr>
          <w:rFonts w:ascii="Palatino Linotype" w:eastAsia="Calibri" w:hAnsi="Palatino Linotype" w:cs="Arial"/>
          <w:sz w:val="24"/>
          <w:szCs w:val="24"/>
          <w:lang w:val="es-ES_tradnl" w:eastAsia="es-MX"/>
        </w:rPr>
      </w:pPr>
    </w:p>
    <w:p w:rsidR="000F5E0E" w:rsidRPr="00F23EC6" w:rsidRDefault="000F5E0E" w:rsidP="00F23EC6">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b/>
          <w:bCs/>
          <w:i/>
          <w:sz w:val="24"/>
          <w:szCs w:val="24"/>
          <w:lang w:val="es-ES_tradnl" w:eastAsia="es-ES"/>
        </w:rPr>
        <w:t xml:space="preserve">Artículo 3. </w:t>
      </w:r>
      <w:r w:rsidRPr="00F23EC6">
        <w:rPr>
          <w:rFonts w:ascii="Palatino Linotype" w:eastAsia="MS Mincho" w:hAnsi="Palatino Linotype" w:cs="Arial"/>
          <w:i/>
          <w:sz w:val="24"/>
          <w:szCs w:val="24"/>
          <w:lang w:val="es-ES_tradnl" w:eastAsia="es-ES"/>
        </w:rPr>
        <w:t>Para los efectos de la presente Ley se entenderá por:</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 xml:space="preserve"> (…)</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XX. Información clasificada: Aquella considerada por la presente Ley como reservada o confidencial;</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F23EC6">
        <w:rPr>
          <w:rFonts w:ascii="Palatino Linotype" w:eastAsia="Calibri" w:hAnsi="Palatino Linotype" w:cs="Arial"/>
          <w:i/>
          <w:sz w:val="24"/>
          <w:szCs w:val="24"/>
          <w:lang w:val="es-ES_tradnl" w:eastAsia="es-MX"/>
        </w:rPr>
        <w:t>jurídico</w:t>
      </w:r>
      <w:proofErr w:type="gramEnd"/>
      <w:r w:rsidRPr="00F23EC6">
        <w:rPr>
          <w:rFonts w:ascii="Palatino Linotype" w:eastAsia="Calibri" w:hAnsi="Palatino Linotype" w:cs="Arial"/>
          <w:i/>
          <w:sz w:val="24"/>
          <w:szCs w:val="24"/>
          <w:lang w:val="es-ES_tradnl" w:eastAsia="es-MX"/>
        </w:rPr>
        <w:t xml:space="preserve"> colectiva identificada o identificable;</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0F5E0E" w:rsidRPr="00F23EC6" w:rsidRDefault="000F5E0E" w:rsidP="00F23EC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23EC6">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F5E0E" w:rsidRPr="00F23EC6" w:rsidRDefault="000F5E0E" w:rsidP="00F23EC6">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23EC6">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F23EC6">
        <w:rPr>
          <w:rFonts w:ascii="Palatino Linotype" w:eastAsia="MS Mincho" w:hAnsi="Palatino Linotype" w:cs="Arial"/>
          <w:sz w:val="24"/>
          <w:szCs w:val="24"/>
          <w:vertAlign w:val="superscript"/>
          <w:lang w:val="es-ES_tradnl" w:eastAsia="es-ES"/>
        </w:rPr>
        <w:footnoteReference w:id="3"/>
      </w:r>
      <w:r w:rsidRPr="00F23EC6">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0F5E0E" w:rsidRPr="00F23EC6" w:rsidRDefault="000F5E0E" w:rsidP="00F23EC6">
      <w:pPr>
        <w:spacing w:after="0" w:line="360" w:lineRule="auto"/>
        <w:contextualSpacing/>
        <w:rPr>
          <w:rFonts w:ascii="Palatino Linotype" w:eastAsia="Calibri" w:hAnsi="Palatino Linotype" w:cs="Arial"/>
          <w:sz w:val="24"/>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23EC6">
        <w:rPr>
          <w:rFonts w:ascii="Palatino Linotype" w:eastAsia="MS Mincho" w:hAnsi="Palatino Linotype" w:cs="Arial"/>
          <w:sz w:val="24"/>
          <w:szCs w:val="24"/>
          <w:lang w:val="es-ES_tradnl" w:eastAsia="es-ES"/>
        </w:rPr>
        <w:t xml:space="preserve">Una vez hecho lo </w:t>
      </w:r>
      <w:r w:rsidRPr="00F23EC6">
        <w:rPr>
          <w:rFonts w:ascii="Palatino Linotype" w:eastAsia="MS Mincho" w:hAnsi="Palatino Linotype" w:cs="Times New Roman"/>
          <w:sz w:val="24"/>
          <w:szCs w:val="24"/>
          <w:lang w:val="es-ES_tradnl" w:eastAsia="es-ES"/>
        </w:rPr>
        <w:t>anterior</w:t>
      </w:r>
      <w:r w:rsidRPr="00F23EC6">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0F5E0E" w:rsidRPr="00F23EC6" w:rsidRDefault="000F5E0E" w:rsidP="00F23EC6">
      <w:pPr>
        <w:spacing w:line="360" w:lineRule="auto"/>
        <w:rPr>
          <w:rFonts w:ascii="Palatino Linotype" w:eastAsia="Calibri" w:hAnsi="Palatino Linotype" w:cs="Arial"/>
          <w:sz w:val="24"/>
          <w:szCs w:val="24"/>
          <w:lang w:val="es-ES_tradnl" w:eastAsia="es-MX"/>
        </w:rPr>
      </w:pPr>
    </w:p>
    <w:p w:rsidR="008A071D" w:rsidRPr="008A071D" w:rsidRDefault="000F5E0E" w:rsidP="00F23EC6">
      <w:pPr>
        <w:spacing w:line="360" w:lineRule="auto"/>
        <w:rPr>
          <w:rFonts w:ascii="Palatino Linotype" w:eastAsia="MS Gothic" w:hAnsi="Palatino Linotype" w:cs="Times New Roman"/>
          <w:b/>
          <w:sz w:val="24"/>
          <w:szCs w:val="24"/>
          <w:lang w:val="es-ES_tradnl"/>
        </w:rPr>
      </w:pPr>
      <w:bookmarkStart w:id="88" w:name="_Toc486509923"/>
      <w:bookmarkStart w:id="89" w:name="_Toc487025373"/>
      <w:bookmarkStart w:id="90" w:name="_Toc493790441"/>
      <w:bookmarkStart w:id="91" w:name="_Toc495606561"/>
      <w:bookmarkStart w:id="92" w:name="_Toc517362233"/>
      <w:bookmarkStart w:id="93" w:name="_Toc523159045"/>
      <w:bookmarkStart w:id="94" w:name="_Toc536726468"/>
      <w:r w:rsidRPr="00F23EC6">
        <w:rPr>
          <w:rFonts w:ascii="Palatino Linotype" w:eastAsia="MS Gothic" w:hAnsi="Palatino Linotype" w:cs="Times New Roman"/>
          <w:b/>
          <w:sz w:val="24"/>
          <w:szCs w:val="24"/>
          <w:lang w:val="es-ES_tradnl"/>
        </w:rPr>
        <w:t>La intervención del Comité de Transparencia.</w:t>
      </w:r>
      <w:bookmarkEnd w:id="88"/>
      <w:bookmarkEnd w:id="89"/>
      <w:bookmarkEnd w:id="90"/>
      <w:bookmarkEnd w:id="91"/>
      <w:bookmarkEnd w:id="92"/>
      <w:bookmarkEnd w:id="93"/>
      <w:bookmarkEnd w:id="94"/>
    </w:p>
    <w:p w:rsidR="000F5E0E" w:rsidRPr="00F23EC6" w:rsidRDefault="000F5E0E" w:rsidP="00F23EC6">
      <w:pPr>
        <w:numPr>
          <w:ilvl w:val="0"/>
          <w:numId w:val="6"/>
        </w:numPr>
        <w:spacing w:line="360" w:lineRule="auto"/>
        <w:ind w:left="0" w:firstLine="0"/>
        <w:contextualSpacing/>
        <w:rPr>
          <w:rFonts w:ascii="Palatino Linotype" w:eastAsia="MS Gothic" w:hAnsi="Palatino Linotype" w:cs="Times New Roman"/>
          <w:b/>
          <w:sz w:val="24"/>
          <w:szCs w:val="24"/>
          <w:lang w:val="es-ES_tradnl" w:eastAsia="es-ES"/>
        </w:rPr>
      </w:pPr>
      <w:bookmarkStart w:id="95" w:name="_Toc487025374"/>
      <w:bookmarkStart w:id="96" w:name="_Toc493790442"/>
      <w:bookmarkStart w:id="97" w:name="_Toc495606562"/>
      <w:bookmarkStart w:id="98" w:name="_Toc517362234"/>
      <w:bookmarkStart w:id="99" w:name="_Toc523159046"/>
      <w:bookmarkStart w:id="100" w:name="_Toc536726469"/>
      <w:r w:rsidRPr="00F23EC6">
        <w:rPr>
          <w:rFonts w:ascii="Palatino Linotype" w:eastAsia="MS Gothic" w:hAnsi="Palatino Linotype" w:cs="Times New Roman"/>
          <w:b/>
          <w:sz w:val="24"/>
          <w:szCs w:val="24"/>
          <w:lang w:val="es-ES_tradnl" w:eastAsia="es-ES"/>
        </w:rPr>
        <w:t>Formalidades para emitir el acuerdo de clasificación.</w:t>
      </w:r>
      <w:bookmarkEnd w:id="95"/>
      <w:bookmarkEnd w:id="96"/>
      <w:bookmarkEnd w:id="97"/>
      <w:bookmarkEnd w:id="98"/>
      <w:bookmarkEnd w:id="99"/>
      <w:bookmarkEnd w:id="100"/>
    </w:p>
    <w:p w:rsidR="000F5E0E" w:rsidRPr="00F23EC6" w:rsidRDefault="000F5E0E" w:rsidP="00F23EC6">
      <w:pPr>
        <w:spacing w:after="0" w:line="360" w:lineRule="auto"/>
        <w:rPr>
          <w:rFonts w:ascii="Palatino Linotype" w:eastAsia="MS Mincho" w:hAnsi="Palatino Linotype" w:cs="Times New Roman"/>
          <w:noProof/>
          <w:sz w:val="24"/>
          <w:szCs w:val="24"/>
          <w:lang w:val="es-ES_tradnl" w:eastAsia="es-ES"/>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23EC6">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F23EC6">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F23EC6">
        <w:rPr>
          <w:rFonts w:ascii="Palatino Linotype" w:eastAsia="MS Mincho" w:hAnsi="Palatino Linotype" w:cs="Times New Roman"/>
          <w:sz w:val="24"/>
          <w:szCs w:val="24"/>
          <w:lang w:val="es-ES_tradnl" w:eastAsia="es-ES"/>
        </w:rPr>
        <w:t>Desclasificación</w:t>
      </w:r>
      <w:r w:rsidRPr="00F23EC6">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0F5E0E" w:rsidRPr="00F23EC6" w:rsidRDefault="000F5E0E" w:rsidP="00F23EC6">
      <w:pPr>
        <w:spacing w:after="0" w:line="360" w:lineRule="auto"/>
        <w:ind w:left="567" w:right="616"/>
        <w:contextualSpacing/>
        <w:jc w:val="both"/>
        <w:rPr>
          <w:rFonts w:ascii="Palatino Linotype" w:eastAsia="Calibri" w:hAnsi="Palatino Linotype" w:cs="Arial"/>
          <w:sz w:val="24"/>
          <w:szCs w:val="24"/>
          <w:lang w:val="es-ES_tradnl" w:eastAsia="es-MX"/>
        </w:rPr>
      </w:pPr>
    </w:p>
    <w:p w:rsidR="000F5E0E" w:rsidRPr="00F23EC6" w:rsidRDefault="000F5E0E" w:rsidP="00F23EC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F23EC6">
        <w:rPr>
          <w:rFonts w:ascii="Palatino Linotype" w:eastAsia="MS Mincho" w:hAnsi="Palatino Linotype" w:cs="Bookman Old Style,Bold"/>
          <w:b/>
          <w:bCs/>
          <w:i/>
          <w:sz w:val="24"/>
          <w:szCs w:val="24"/>
          <w:lang w:val="es-ES_tradnl" w:eastAsia="es-ES"/>
        </w:rPr>
        <w:t xml:space="preserve">Artículo 128. </w:t>
      </w:r>
      <w:r w:rsidRPr="00F23EC6">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F23EC6">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0F5E0E" w:rsidRPr="00F23EC6" w:rsidRDefault="000F5E0E" w:rsidP="00F23EC6">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F23EC6">
        <w:rPr>
          <w:rFonts w:ascii="Palatino Linotype" w:eastAsia="MS Mincho" w:hAnsi="Palatino Linotype" w:cs="Arial"/>
          <w:b/>
          <w:i/>
          <w:sz w:val="24"/>
          <w:szCs w:val="24"/>
          <w:lang w:val="es-ES_tradnl"/>
        </w:rPr>
        <w:t>Artículo 149</w:t>
      </w:r>
      <w:r w:rsidRPr="00F23EC6">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0F5E0E" w:rsidRPr="00F23EC6" w:rsidRDefault="000F5E0E" w:rsidP="00F23EC6">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F23EC6">
        <w:rPr>
          <w:rFonts w:ascii="Palatino Linotype" w:eastAsia="MS Mincho" w:hAnsi="Palatino Linotype" w:cs="Times New Roman"/>
          <w:b/>
          <w:i/>
          <w:sz w:val="24"/>
          <w:szCs w:val="24"/>
          <w:lang w:val="es-ES_tradnl" w:eastAsia="es-ES"/>
        </w:rPr>
        <w:t>Segundo</w:t>
      </w:r>
      <w:r w:rsidRPr="00F23EC6">
        <w:rPr>
          <w:rFonts w:ascii="Palatino Linotype" w:eastAsia="MS Mincho" w:hAnsi="Palatino Linotype" w:cs="Times New Roman"/>
          <w:i/>
          <w:sz w:val="24"/>
          <w:szCs w:val="24"/>
          <w:lang w:val="es-ES_tradnl" w:eastAsia="es-ES"/>
        </w:rPr>
        <w:t>. Para efectos de los presentes Lineamientos Generales, se entenderá por:</w:t>
      </w:r>
    </w:p>
    <w:p w:rsidR="000F5E0E" w:rsidRPr="00F23EC6" w:rsidRDefault="000F5E0E" w:rsidP="00F23EC6">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F23EC6">
        <w:rPr>
          <w:rFonts w:ascii="Palatino Linotype" w:eastAsia="MS Mincho" w:hAnsi="Palatino Linotype" w:cs="Times New Roman"/>
          <w:b/>
          <w:i/>
          <w:sz w:val="24"/>
          <w:szCs w:val="24"/>
          <w:lang w:val="es-ES_tradnl" w:eastAsia="es-ES"/>
        </w:rPr>
        <w:t>IV. Comité de Transparencia</w:t>
      </w:r>
      <w:r w:rsidRPr="00F23EC6">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F23EC6">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F23EC6">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0F5E0E" w:rsidRPr="00F23EC6" w:rsidRDefault="000F5E0E" w:rsidP="00F23EC6">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F23EC6">
        <w:rPr>
          <w:rFonts w:ascii="Palatino Linotype" w:eastAsia="MS Mincho" w:hAnsi="Palatino Linotype" w:cs="Arial"/>
          <w:b/>
          <w:i/>
          <w:sz w:val="24"/>
          <w:szCs w:val="24"/>
          <w:lang w:val="es-ES_tradnl"/>
        </w:rPr>
        <w:t>Quincuagésimo sexto</w:t>
      </w:r>
      <w:r w:rsidRPr="00F23EC6">
        <w:rPr>
          <w:rFonts w:ascii="Palatino Linotype" w:eastAsia="MS Mincho" w:hAnsi="Palatino Linotype" w:cs="Arial"/>
          <w:i/>
          <w:sz w:val="24"/>
          <w:szCs w:val="24"/>
          <w:lang w:val="es-ES_tradnl"/>
        </w:rPr>
        <w:t xml:space="preserve">. La versión pública del documento o expediente que contenga partes o secciones reservadas o </w:t>
      </w:r>
      <w:r w:rsidRPr="00F23EC6">
        <w:rPr>
          <w:rFonts w:ascii="Palatino Linotype" w:eastAsia="MS Mincho" w:hAnsi="Palatino Linotype" w:cs="Arial"/>
          <w:b/>
          <w:i/>
          <w:sz w:val="24"/>
          <w:szCs w:val="24"/>
          <w:lang w:val="es-ES_tradnl"/>
        </w:rPr>
        <w:t>confidenciales</w:t>
      </w:r>
      <w:r w:rsidRPr="00F23EC6">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0F5E0E" w:rsidRPr="00F23EC6" w:rsidRDefault="000F5E0E" w:rsidP="00F23EC6">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F23EC6">
        <w:rPr>
          <w:rFonts w:ascii="Palatino Linotype" w:eastAsia="MS Mincho" w:hAnsi="Palatino Linotype" w:cs="Arial"/>
          <w:b/>
          <w:i/>
          <w:sz w:val="24"/>
          <w:szCs w:val="24"/>
          <w:lang w:val="es-ES_tradnl"/>
        </w:rPr>
        <w:t>Quincuagésimo séptimo</w:t>
      </w:r>
      <w:r w:rsidRPr="00F23EC6">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0F5E0E" w:rsidRPr="00F23EC6" w:rsidRDefault="000F5E0E" w:rsidP="00F23EC6">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F23EC6">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0F5E0E" w:rsidRPr="00F23EC6" w:rsidRDefault="000F5E0E" w:rsidP="00F23EC6">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F23EC6">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0F5E0E" w:rsidRPr="00F23EC6" w:rsidRDefault="000F5E0E" w:rsidP="00F23EC6">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0F5E0E" w:rsidRPr="00F23EC6" w:rsidRDefault="000F5E0E" w:rsidP="00F23EC6">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0F5E0E" w:rsidRPr="00F23EC6" w:rsidRDefault="000F5E0E" w:rsidP="00F23EC6">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b/>
          <w:i/>
          <w:sz w:val="24"/>
          <w:szCs w:val="24"/>
          <w:lang w:val="es-ES_tradnl" w:eastAsia="es-ES"/>
        </w:rPr>
        <w:t>Quincuagésimo octavo.</w:t>
      </w:r>
      <w:r w:rsidRPr="00F23EC6">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0F5E0E" w:rsidRPr="00F23EC6" w:rsidRDefault="000F5E0E" w:rsidP="00F23EC6">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23EC6">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F23EC6">
        <w:rPr>
          <w:rFonts w:ascii="Palatino Linotype" w:eastAsia="MS Mincho" w:hAnsi="Palatino Linotype" w:cs="Times New Roman"/>
          <w:sz w:val="24"/>
          <w:szCs w:val="24"/>
          <w:lang w:val="es-ES_tradnl" w:eastAsia="es-ES"/>
        </w:rPr>
        <w:t>integrantes</w:t>
      </w:r>
      <w:r w:rsidRPr="00F23EC6">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0F5E0E" w:rsidRPr="00F23EC6" w:rsidRDefault="000F5E0E" w:rsidP="00F23EC6">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23EC6">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0F5E0E" w:rsidRPr="00F23EC6" w:rsidRDefault="000F5E0E" w:rsidP="00F23EC6">
      <w:pPr>
        <w:spacing w:after="0" w:line="360" w:lineRule="auto"/>
        <w:contextualSpacing/>
        <w:rPr>
          <w:rFonts w:ascii="Palatino Linotype" w:eastAsia="Calibri" w:hAnsi="Palatino Linotype" w:cs="Arial"/>
          <w:sz w:val="24"/>
          <w:szCs w:val="24"/>
          <w:lang w:val="es-ES_tradnl" w:eastAsia="es-MX"/>
        </w:rPr>
      </w:pPr>
    </w:p>
    <w:p w:rsidR="000F5E0E" w:rsidRPr="00F23EC6" w:rsidRDefault="000F5E0E" w:rsidP="00F23EC6">
      <w:pPr>
        <w:spacing w:line="360" w:lineRule="auto"/>
        <w:rPr>
          <w:rFonts w:ascii="Palatino Linotype" w:eastAsia="MS Gothic" w:hAnsi="Palatino Linotype" w:cs="Times New Roman"/>
          <w:b/>
          <w:sz w:val="24"/>
          <w:szCs w:val="24"/>
          <w:lang w:val="es-ES_tradnl" w:eastAsia="es-ES"/>
        </w:rPr>
      </w:pPr>
      <w:bookmarkStart w:id="101" w:name="_Toc486509925"/>
      <w:bookmarkStart w:id="102" w:name="_Toc487025375"/>
      <w:bookmarkStart w:id="103" w:name="_Toc493790443"/>
      <w:bookmarkStart w:id="104" w:name="_Toc495606563"/>
      <w:bookmarkStart w:id="105" w:name="_Toc517362235"/>
      <w:bookmarkStart w:id="106" w:name="_Toc523159047"/>
      <w:bookmarkStart w:id="107" w:name="_Toc536726470"/>
      <w:r w:rsidRPr="00F23EC6">
        <w:rPr>
          <w:rFonts w:ascii="Palatino Linotype" w:eastAsia="MS Gothic" w:hAnsi="Palatino Linotype" w:cs="Times New Roman"/>
          <w:b/>
          <w:sz w:val="24"/>
          <w:szCs w:val="24"/>
          <w:lang w:val="es-ES_tradnl" w:eastAsia="es-ES"/>
        </w:rPr>
        <w:t>II. Requisitos de fondo del acuerdo de clasificación</w:t>
      </w:r>
      <w:bookmarkEnd w:id="101"/>
      <w:bookmarkEnd w:id="102"/>
      <w:bookmarkEnd w:id="103"/>
      <w:bookmarkEnd w:id="104"/>
      <w:bookmarkEnd w:id="105"/>
      <w:bookmarkEnd w:id="106"/>
      <w:bookmarkEnd w:id="107"/>
    </w:p>
    <w:p w:rsidR="000F5E0E" w:rsidRPr="00F23EC6" w:rsidRDefault="000F5E0E" w:rsidP="00F23EC6">
      <w:pPr>
        <w:spacing w:after="0" w:line="360" w:lineRule="auto"/>
        <w:contextualSpacing/>
        <w:rPr>
          <w:rFonts w:ascii="Palatino Linotype" w:eastAsia="Calibri" w:hAnsi="Palatino Linotype" w:cs="Arial"/>
          <w:sz w:val="24"/>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23EC6">
        <w:rPr>
          <w:rFonts w:ascii="Palatino Linotype" w:eastAsia="MS Mincho" w:hAnsi="Palatino Linotype" w:cs="Arial"/>
          <w:sz w:val="24"/>
          <w:szCs w:val="24"/>
          <w:lang w:val="es-ES_tradnl" w:eastAsia="es-ES"/>
        </w:rPr>
        <w:t xml:space="preserve">Como se ha señalado antes, al hacer el juicio de subsunción o encaje entre el </w:t>
      </w:r>
      <w:r w:rsidRPr="00F23EC6">
        <w:rPr>
          <w:rFonts w:ascii="Palatino Linotype" w:eastAsia="Times New Roman" w:hAnsi="Palatino Linotype" w:cs="Arial"/>
          <w:sz w:val="24"/>
          <w:szCs w:val="24"/>
          <w:lang w:val="es-ES_tradnl" w:eastAsia="es-MX"/>
        </w:rPr>
        <w:t>supuesto</w:t>
      </w:r>
      <w:r w:rsidRPr="00F23EC6">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0F5E0E" w:rsidRPr="00F23EC6" w:rsidRDefault="000F5E0E" w:rsidP="00F23EC6">
      <w:pPr>
        <w:spacing w:after="0" w:line="360" w:lineRule="auto"/>
        <w:contextualSpacing/>
        <w:jc w:val="both"/>
        <w:rPr>
          <w:rFonts w:ascii="Palatino Linotype" w:eastAsia="Calibri" w:hAnsi="Palatino Linotype" w:cs="Arial"/>
          <w:sz w:val="24"/>
          <w:szCs w:val="24"/>
          <w:lang w:val="es-ES_tradnl" w:eastAsia="es-MX"/>
        </w:rPr>
      </w:pPr>
    </w:p>
    <w:p w:rsidR="000F5E0E" w:rsidRPr="00F23EC6" w:rsidRDefault="000F5E0E" w:rsidP="00F23EC6">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F23EC6">
        <w:rPr>
          <w:rFonts w:ascii="Palatino Linotype" w:eastAsia="MS Mincho" w:hAnsi="Palatino Linotype" w:cs="Bookman Old Style,Bold"/>
          <w:b/>
          <w:bCs/>
          <w:i/>
          <w:sz w:val="24"/>
          <w:szCs w:val="24"/>
          <w:lang w:val="es-ES_tradnl" w:eastAsia="es-ES"/>
        </w:rPr>
        <w:t xml:space="preserve">Artículo 131. </w:t>
      </w:r>
      <w:r w:rsidRPr="00F23EC6">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F23EC6">
        <w:rPr>
          <w:rFonts w:ascii="Palatino Linotype" w:eastAsia="MS Mincho" w:hAnsi="Palatino Linotype" w:cs="Bookman Old Style"/>
          <w:b/>
          <w:i/>
          <w:sz w:val="24"/>
          <w:szCs w:val="24"/>
          <w:lang w:val="es-ES_tradnl" w:eastAsia="es-ES"/>
        </w:rPr>
        <w:t>en tal caso deberá fundar y motivar debidamente la clasificación de la información,</w:t>
      </w:r>
      <w:r w:rsidRPr="00F23EC6">
        <w:rPr>
          <w:rFonts w:ascii="Palatino Linotype" w:eastAsia="MS Mincho" w:hAnsi="Palatino Linotype" w:cs="Bookman Old Style"/>
          <w:i/>
          <w:sz w:val="24"/>
          <w:szCs w:val="24"/>
          <w:lang w:val="es-ES_tradnl" w:eastAsia="es-ES"/>
        </w:rPr>
        <w:t xml:space="preserve"> de conformidad con lo previsto en la presente Ley.</w:t>
      </w:r>
    </w:p>
    <w:p w:rsidR="000F5E0E" w:rsidRPr="00F23EC6" w:rsidRDefault="00FA329E" w:rsidP="00F23EC6">
      <w:pPr>
        <w:tabs>
          <w:tab w:val="left" w:pos="2031"/>
        </w:tabs>
        <w:autoSpaceDE w:val="0"/>
        <w:autoSpaceDN w:val="0"/>
        <w:adjustRightInd w:val="0"/>
        <w:spacing w:after="0" w:line="360" w:lineRule="auto"/>
        <w:ind w:left="567" w:right="50"/>
        <w:contextualSpacing/>
        <w:jc w:val="both"/>
        <w:rPr>
          <w:rFonts w:ascii="Palatino Linotype" w:eastAsia="MS Mincho" w:hAnsi="Palatino Linotype" w:cs="Arial"/>
          <w:sz w:val="24"/>
          <w:szCs w:val="24"/>
          <w:lang w:val="es-ES_tradnl" w:eastAsia="es-ES"/>
        </w:rPr>
      </w:pPr>
      <w:r w:rsidRPr="00F23EC6">
        <w:rPr>
          <w:rFonts w:ascii="Palatino Linotype" w:eastAsia="MS Mincho" w:hAnsi="Palatino Linotype" w:cs="Arial"/>
          <w:sz w:val="24"/>
          <w:szCs w:val="24"/>
          <w:lang w:val="es-ES_tradnl" w:eastAsia="es-ES"/>
        </w:rPr>
        <w:tab/>
      </w: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23EC6">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F23EC6">
        <w:rPr>
          <w:rFonts w:ascii="Palatino Linotype" w:eastAsia="Times New Roman" w:hAnsi="Palatino Linotype" w:cs="Arial"/>
          <w:sz w:val="24"/>
          <w:szCs w:val="24"/>
          <w:lang w:val="es-ES_tradnl" w:eastAsia="es-MX"/>
        </w:rPr>
        <w:t>la</w:t>
      </w:r>
      <w:r w:rsidRPr="00F23EC6">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0F5E0E" w:rsidRPr="00F23EC6" w:rsidRDefault="000F5E0E" w:rsidP="00F23EC6">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F23EC6">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0F5E0E" w:rsidRPr="00F23EC6" w:rsidRDefault="000F5E0E" w:rsidP="00F23EC6">
      <w:pPr>
        <w:spacing w:after="0" w:line="360" w:lineRule="auto"/>
        <w:contextualSpacing/>
        <w:rPr>
          <w:rFonts w:ascii="Palatino Linotype" w:eastAsia="Calibri" w:hAnsi="Palatino Linotype" w:cs="Arial"/>
          <w:sz w:val="24"/>
          <w:szCs w:val="24"/>
          <w:lang w:val="es-ES_tradnl" w:eastAsia="es-MX"/>
        </w:rPr>
      </w:pPr>
    </w:p>
    <w:p w:rsidR="000F5E0E" w:rsidRPr="00F23EC6" w:rsidRDefault="000F5E0E" w:rsidP="00F23EC6">
      <w:pPr>
        <w:spacing w:after="0" w:line="360" w:lineRule="auto"/>
        <w:ind w:left="567" w:right="616"/>
        <w:contextualSpacing/>
        <w:jc w:val="both"/>
        <w:rPr>
          <w:rFonts w:ascii="Palatino Linotype" w:eastAsia="Calibri" w:hAnsi="Palatino Linotype" w:cs="Arial"/>
          <w:sz w:val="24"/>
          <w:szCs w:val="24"/>
          <w:lang w:val="es-ES_tradnl" w:eastAsia="es-MX"/>
        </w:rPr>
      </w:pPr>
    </w:p>
    <w:p w:rsidR="000F5E0E" w:rsidRPr="00F23EC6" w:rsidRDefault="000F5E0E" w:rsidP="00F23EC6">
      <w:pPr>
        <w:spacing w:after="0" w:line="360" w:lineRule="auto"/>
        <w:ind w:left="567" w:right="616"/>
        <w:contextualSpacing/>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b/>
          <w:i/>
          <w:sz w:val="24"/>
          <w:szCs w:val="24"/>
          <w:lang w:val="es-ES_tradnl" w:eastAsia="es-ES"/>
        </w:rPr>
        <w:t>FUNDAMENTACIÓN Y MOTIVACIÓN.</w:t>
      </w:r>
      <w:r w:rsidRPr="00F23EC6">
        <w:rPr>
          <w:rFonts w:ascii="Palatino Linotype" w:eastAsia="MS Mincho" w:hAnsi="Palatino Linotype" w:cs="Arial"/>
          <w:i/>
          <w:sz w:val="24"/>
          <w:szCs w:val="24"/>
          <w:lang w:val="es-ES_tradnl" w:eastAsia="es-ES"/>
        </w:rPr>
        <w:t xml:space="preserve"> La </w:t>
      </w:r>
      <w:r w:rsidRPr="00F23EC6">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23EC6">
        <w:rPr>
          <w:rFonts w:ascii="Palatino Linotype" w:eastAsia="MS Mincho" w:hAnsi="Palatino Linotype" w:cs="Arial"/>
          <w:i/>
          <w:sz w:val="24"/>
          <w:szCs w:val="24"/>
          <w:lang w:val="es-ES_tradnl" w:eastAsia="es-ES"/>
        </w:rPr>
        <w:t>.</w:t>
      </w:r>
    </w:p>
    <w:p w:rsidR="000F5E0E" w:rsidRPr="00F23EC6" w:rsidRDefault="000F5E0E" w:rsidP="00F23EC6">
      <w:pPr>
        <w:spacing w:after="0" w:line="360" w:lineRule="auto"/>
        <w:ind w:left="567" w:right="616"/>
        <w:contextualSpacing/>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i/>
          <w:sz w:val="24"/>
          <w:szCs w:val="24"/>
          <w:lang w:val="es-ES_tradnl" w:eastAsia="es-ES"/>
        </w:rPr>
        <w:t>SEGUNDO TRIBUNAL COLEGIADO DEL SEXTO CIRCUITO.</w:t>
      </w:r>
    </w:p>
    <w:p w:rsidR="000F5E0E" w:rsidRPr="00F23EC6" w:rsidRDefault="000F5E0E" w:rsidP="00F23EC6">
      <w:pPr>
        <w:spacing w:after="0" w:line="360" w:lineRule="auto"/>
        <w:ind w:left="567" w:right="616"/>
        <w:contextualSpacing/>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0F5E0E" w:rsidRPr="00F23EC6" w:rsidRDefault="000F5E0E" w:rsidP="00F23EC6">
      <w:pPr>
        <w:spacing w:after="0" w:line="360" w:lineRule="auto"/>
        <w:ind w:left="567" w:right="616"/>
        <w:contextualSpacing/>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F23EC6">
        <w:rPr>
          <w:rFonts w:ascii="Palatino Linotype" w:eastAsia="MS Mincho" w:hAnsi="Palatino Linotype" w:cs="Arial"/>
          <w:i/>
          <w:sz w:val="24"/>
          <w:szCs w:val="24"/>
          <w:lang w:val="es-ES_tradnl" w:eastAsia="es-ES"/>
        </w:rPr>
        <w:t>Esponda</w:t>
      </w:r>
      <w:proofErr w:type="spellEnd"/>
      <w:r w:rsidRPr="00F23EC6">
        <w:rPr>
          <w:rFonts w:ascii="Palatino Linotype" w:eastAsia="MS Mincho" w:hAnsi="Palatino Linotype" w:cs="Arial"/>
          <w:i/>
          <w:sz w:val="24"/>
          <w:szCs w:val="24"/>
          <w:lang w:val="es-ES_tradnl" w:eastAsia="es-ES"/>
        </w:rPr>
        <w:t xml:space="preserve"> Rincón.</w:t>
      </w:r>
    </w:p>
    <w:p w:rsidR="000F5E0E" w:rsidRPr="00F23EC6" w:rsidRDefault="000F5E0E" w:rsidP="00F23EC6">
      <w:pPr>
        <w:spacing w:after="0" w:line="360" w:lineRule="auto"/>
        <w:ind w:left="567" w:right="616"/>
        <w:contextualSpacing/>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i/>
          <w:sz w:val="24"/>
          <w:szCs w:val="24"/>
          <w:lang w:val="es-ES_tradnl" w:eastAsia="es-ES"/>
        </w:rPr>
        <w:t xml:space="preserve">Amparo en revisión 333/88. </w:t>
      </w:r>
      <w:proofErr w:type="spellStart"/>
      <w:r w:rsidRPr="00F23EC6">
        <w:rPr>
          <w:rFonts w:ascii="Palatino Linotype" w:eastAsia="MS Mincho" w:hAnsi="Palatino Linotype" w:cs="Arial"/>
          <w:i/>
          <w:sz w:val="24"/>
          <w:szCs w:val="24"/>
          <w:lang w:val="es-ES_tradnl" w:eastAsia="es-ES"/>
        </w:rPr>
        <w:t>Adilia</w:t>
      </w:r>
      <w:proofErr w:type="spellEnd"/>
      <w:r w:rsidRPr="00F23EC6">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0F5E0E" w:rsidRPr="00F23EC6" w:rsidRDefault="000F5E0E" w:rsidP="00F23EC6">
      <w:pPr>
        <w:spacing w:after="0" w:line="360" w:lineRule="auto"/>
        <w:ind w:left="567" w:right="616"/>
        <w:contextualSpacing/>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F23EC6">
        <w:rPr>
          <w:rFonts w:ascii="Palatino Linotype" w:eastAsia="MS Mincho" w:hAnsi="Palatino Linotype" w:cs="Arial"/>
          <w:i/>
          <w:sz w:val="24"/>
          <w:szCs w:val="24"/>
          <w:lang w:val="es-ES_tradnl" w:eastAsia="es-ES"/>
        </w:rPr>
        <w:t>Goyzueta</w:t>
      </w:r>
      <w:proofErr w:type="spellEnd"/>
      <w:r w:rsidRPr="00F23EC6">
        <w:rPr>
          <w:rFonts w:ascii="Palatino Linotype" w:eastAsia="MS Mincho" w:hAnsi="Palatino Linotype" w:cs="Arial"/>
          <w:i/>
          <w:sz w:val="24"/>
          <w:szCs w:val="24"/>
          <w:lang w:val="es-ES_tradnl" w:eastAsia="es-ES"/>
        </w:rPr>
        <w:t>. Secretario: Gonzalo Carrera Molina.</w:t>
      </w:r>
    </w:p>
    <w:p w:rsidR="000F5E0E" w:rsidRPr="00F23EC6" w:rsidRDefault="000F5E0E" w:rsidP="00F23EC6">
      <w:pPr>
        <w:spacing w:after="0" w:line="360" w:lineRule="auto"/>
        <w:ind w:left="567" w:right="616"/>
        <w:contextualSpacing/>
        <w:jc w:val="both"/>
        <w:rPr>
          <w:rFonts w:ascii="Palatino Linotype" w:eastAsia="MS Mincho" w:hAnsi="Palatino Linotype" w:cs="Arial"/>
          <w:i/>
          <w:sz w:val="24"/>
          <w:szCs w:val="24"/>
          <w:lang w:val="es-ES_tradnl" w:eastAsia="es-ES"/>
        </w:rPr>
      </w:pPr>
      <w:r w:rsidRPr="00F23EC6">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F23EC6">
        <w:rPr>
          <w:rFonts w:ascii="Palatino Linotype" w:eastAsia="MS Mincho" w:hAnsi="Palatino Linotype" w:cs="Arial"/>
          <w:i/>
          <w:sz w:val="24"/>
          <w:szCs w:val="24"/>
          <w:lang w:val="es-ES_tradnl" w:eastAsia="es-ES"/>
        </w:rPr>
        <w:t>Baigts</w:t>
      </w:r>
      <w:proofErr w:type="spellEnd"/>
      <w:r w:rsidRPr="00F23EC6">
        <w:rPr>
          <w:rFonts w:ascii="Palatino Linotype" w:eastAsia="MS Mincho" w:hAnsi="Palatino Linotype" w:cs="Arial"/>
          <w:i/>
          <w:sz w:val="24"/>
          <w:szCs w:val="24"/>
          <w:lang w:val="es-ES_tradnl" w:eastAsia="es-ES"/>
        </w:rPr>
        <w:t xml:space="preserve"> Muñoz.</w:t>
      </w:r>
    </w:p>
    <w:p w:rsidR="000F5E0E" w:rsidRPr="00F23EC6" w:rsidRDefault="000F5E0E" w:rsidP="00F23EC6">
      <w:pPr>
        <w:spacing w:after="0" w:line="360" w:lineRule="auto"/>
        <w:ind w:right="618"/>
        <w:contextualSpacing/>
        <w:jc w:val="both"/>
        <w:rPr>
          <w:rFonts w:ascii="Palatino Linotype" w:eastAsia="MS Mincho" w:hAnsi="Palatino Linotype" w:cs="Arial"/>
          <w:i/>
          <w:sz w:val="24"/>
          <w:szCs w:val="24"/>
          <w:lang w:val="es-ES_tradnl" w:eastAsia="es-ES"/>
        </w:rPr>
      </w:pPr>
    </w:p>
    <w:p w:rsidR="000F5E0E" w:rsidRPr="00F23EC6" w:rsidRDefault="000F5E0E" w:rsidP="00F23EC6">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F23EC6">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F5E0E" w:rsidRPr="00F23EC6" w:rsidRDefault="000F5E0E" w:rsidP="00F23EC6">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F23EC6">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F23EC6">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F23EC6">
        <w:rPr>
          <w:rFonts w:ascii="Palatino Linotype" w:eastAsia="MS Mincho" w:hAnsi="Palatino Linotype" w:cs="Times New Roman"/>
          <w:color w:val="000000"/>
          <w:sz w:val="24"/>
          <w:szCs w:val="24"/>
          <w:lang w:val="es-ES_tradnl" w:eastAsia="es-ES"/>
        </w:rPr>
        <w:footnoteReference w:id="4"/>
      </w:r>
      <w:r w:rsidRPr="00F23EC6">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F23EC6">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F23EC6">
        <w:rPr>
          <w:rFonts w:ascii="Palatino Linotype" w:eastAsia="MS Mincho" w:hAnsi="Palatino Linotype" w:cs="Times New Roman"/>
          <w:color w:val="000000"/>
          <w:sz w:val="24"/>
          <w:szCs w:val="24"/>
          <w:lang w:val="es-ES_tradnl" w:eastAsia="es-ES"/>
        </w:rPr>
        <w:t xml:space="preserve"> </w:t>
      </w:r>
      <w:r w:rsidRPr="00F23EC6">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resistencia sindical, caja de ahorro, seguro de vida, los Códigos Bidimensionales, también denominados Códigos QR</w:t>
      </w:r>
      <w:r w:rsidRPr="00F23EC6">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F23EC6">
        <w:rPr>
          <w:rFonts w:ascii="Palatino Linotype" w:eastAsia="Calibri" w:hAnsi="Palatino Linotype" w:cs="Arial"/>
          <w:bCs/>
          <w:sz w:val="24"/>
          <w:szCs w:val="24"/>
          <w:lang w:val="es-ES_tradnl" w:eastAsia="es-ES"/>
        </w:rPr>
        <w:t xml:space="preserve">ofrezcan la información requerida. </w:t>
      </w:r>
    </w:p>
    <w:p w:rsidR="000F5E0E" w:rsidRPr="00F23EC6" w:rsidRDefault="000F5E0E" w:rsidP="00F23EC6">
      <w:pPr>
        <w:spacing w:after="0" w:line="360" w:lineRule="auto"/>
        <w:contextualSpacing/>
        <w:rPr>
          <w:rFonts w:ascii="Palatino Linotype" w:eastAsia="Calibri" w:hAnsi="Palatino Linotype" w:cs="Arial"/>
          <w:bCs/>
          <w:sz w:val="24"/>
          <w:szCs w:val="24"/>
          <w:lang w:val="es-ES_tradnl" w:eastAsia="es-ES"/>
        </w:rPr>
      </w:pPr>
    </w:p>
    <w:p w:rsidR="000F5E0E" w:rsidRPr="00F23EC6" w:rsidRDefault="000F5E0E" w:rsidP="00F23EC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23EC6">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0F5E0E" w:rsidRPr="00F23EC6" w:rsidRDefault="000F5E0E" w:rsidP="00F23EC6">
      <w:pPr>
        <w:spacing w:after="0" w:line="360" w:lineRule="auto"/>
        <w:contextualSpacing/>
        <w:rPr>
          <w:rFonts w:ascii="Palatino Linotype" w:eastAsia="MS Mincho" w:hAnsi="Palatino Linotype" w:cs="Arial"/>
          <w:sz w:val="24"/>
          <w:szCs w:val="24"/>
          <w:lang w:val="es-ES_tradnl" w:eastAsia="es-MX"/>
        </w:rPr>
      </w:pPr>
    </w:p>
    <w:p w:rsidR="000F5E0E" w:rsidRPr="00F23EC6" w:rsidRDefault="000F5E0E" w:rsidP="00F23EC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23EC6">
        <w:rPr>
          <w:rFonts w:ascii="Palatino Linotype" w:eastAsia="MS Mincho" w:hAnsi="Palatino Linotype" w:cs="Arial"/>
          <w:sz w:val="24"/>
          <w:szCs w:val="24"/>
          <w:lang w:val="es-ES_tradnl" w:eastAsia="es-MX"/>
        </w:rPr>
        <w:t xml:space="preserve">Por cuanto hace al </w:t>
      </w:r>
      <w:r w:rsidRPr="00F23EC6">
        <w:rPr>
          <w:rFonts w:ascii="Palatino Linotype" w:eastAsia="MS Mincho" w:hAnsi="Palatino Linotype" w:cs="Arial"/>
          <w:b/>
          <w:sz w:val="24"/>
          <w:szCs w:val="24"/>
          <w:lang w:val="es-ES_tradnl" w:eastAsia="es-MX"/>
        </w:rPr>
        <w:t>Registro Federal de Contribuyentes</w:t>
      </w:r>
      <w:r w:rsidRPr="00F23EC6">
        <w:rPr>
          <w:rFonts w:ascii="Palatino Linotype" w:eastAsia="MS Mincho" w:hAnsi="Palatino Linotype" w:cs="Arial"/>
          <w:sz w:val="24"/>
          <w:szCs w:val="24"/>
          <w:lang w:val="es-ES_tradnl" w:eastAsia="es-MX"/>
        </w:rPr>
        <w:t xml:space="preserve"> </w:t>
      </w:r>
      <w:r w:rsidRPr="00F23EC6">
        <w:rPr>
          <w:rFonts w:ascii="Palatino Linotype" w:eastAsia="MS Mincho" w:hAnsi="Palatino Linotype" w:cs="Arial"/>
          <w:b/>
          <w:sz w:val="24"/>
          <w:szCs w:val="24"/>
          <w:lang w:val="es-ES_tradnl" w:eastAsia="es-MX"/>
        </w:rPr>
        <w:t>de las personas físicas</w:t>
      </w:r>
      <w:r w:rsidRPr="00F23EC6">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F23EC6">
        <w:rPr>
          <w:rFonts w:ascii="Palatino Linotype" w:eastAsia="MS Mincho" w:hAnsi="Palatino Linotype" w:cs="Times New Roman"/>
          <w:sz w:val="24"/>
          <w:szCs w:val="24"/>
          <w:lang w:val="es-ES_tradnl" w:eastAsia="es-ES"/>
        </w:rPr>
        <w:t xml:space="preserve"> y finalmente la </w:t>
      </w:r>
      <w:proofErr w:type="spellStart"/>
      <w:r w:rsidRPr="00F23EC6">
        <w:rPr>
          <w:rFonts w:ascii="Palatino Linotype" w:eastAsia="MS Mincho" w:hAnsi="Palatino Linotype" w:cs="Times New Roman"/>
          <w:sz w:val="24"/>
          <w:szCs w:val="24"/>
          <w:lang w:val="es-ES_tradnl" w:eastAsia="es-ES"/>
        </w:rPr>
        <w:t>homoclave</w:t>
      </w:r>
      <w:proofErr w:type="spellEnd"/>
      <w:r w:rsidRPr="00F23EC6">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0F5E0E" w:rsidRPr="00F23EC6" w:rsidRDefault="000F5E0E" w:rsidP="00F23EC6">
      <w:pPr>
        <w:spacing w:after="0" w:line="360" w:lineRule="auto"/>
        <w:contextualSpacing/>
        <w:rPr>
          <w:rFonts w:ascii="Palatino Linotype" w:eastAsia="MS Mincho" w:hAnsi="Palatino Linotype" w:cs="Arial"/>
          <w:sz w:val="24"/>
          <w:szCs w:val="24"/>
          <w:lang w:val="es-ES_tradnl" w:eastAsia="es-MX"/>
        </w:rPr>
      </w:pPr>
    </w:p>
    <w:p w:rsidR="000F5E0E" w:rsidRPr="00F23EC6" w:rsidRDefault="000F5E0E" w:rsidP="00F23EC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23EC6">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0F5E0E" w:rsidRPr="00F23EC6" w:rsidRDefault="000F5E0E" w:rsidP="00F23EC6">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0F5E0E" w:rsidRPr="00F23EC6" w:rsidRDefault="000F5E0E" w:rsidP="00F23EC6">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F23EC6">
        <w:rPr>
          <w:rFonts w:ascii="Palatino Linotype" w:eastAsia="MS Mincho" w:hAnsi="Palatino Linotype" w:cs="Arial"/>
          <w:bCs/>
          <w:i/>
          <w:sz w:val="24"/>
          <w:szCs w:val="24"/>
          <w:lang w:val="es-ES_tradnl" w:eastAsia="es-ES"/>
        </w:rPr>
        <w:t>“</w:t>
      </w:r>
      <w:r w:rsidRPr="00F23EC6">
        <w:rPr>
          <w:rFonts w:ascii="Palatino Linotype" w:eastAsia="MS Mincho" w:hAnsi="Palatino Linotype" w:cs="Arial"/>
          <w:b/>
          <w:bCs/>
          <w:i/>
          <w:sz w:val="24"/>
          <w:szCs w:val="24"/>
          <w:lang w:val="es-ES_tradnl" w:eastAsia="es-ES"/>
        </w:rPr>
        <w:t>Registro Federal de Contribuyentes (RFC) de personas físicas</w:t>
      </w:r>
      <w:r w:rsidRPr="00F23EC6">
        <w:rPr>
          <w:rFonts w:ascii="Palatino Linotype" w:eastAsia="MS Mincho" w:hAnsi="Palatino Linotype" w:cs="Arial"/>
          <w:bCs/>
          <w:i/>
          <w:sz w:val="24"/>
          <w:szCs w:val="24"/>
          <w:lang w:val="es-ES_tradnl" w:eastAsia="es-ES"/>
        </w:rPr>
        <w:t xml:space="preserve">. El RFC es una clave de carácter fiscal, </w:t>
      </w:r>
      <w:proofErr w:type="gramStart"/>
      <w:r w:rsidRPr="00F23EC6">
        <w:rPr>
          <w:rFonts w:ascii="Palatino Linotype" w:eastAsia="MS Mincho" w:hAnsi="Palatino Linotype" w:cs="Arial"/>
          <w:bCs/>
          <w:i/>
          <w:sz w:val="24"/>
          <w:szCs w:val="24"/>
          <w:lang w:val="es-ES_tradnl" w:eastAsia="es-ES"/>
        </w:rPr>
        <w:t>única</w:t>
      </w:r>
      <w:proofErr w:type="gramEnd"/>
      <w:r w:rsidRPr="00F23EC6">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0F5E0E" w:rsidRPr="00F23EC6" w:rsidRDefault="000F5E0E" w:rsidP="00F23EC6">
      <w:pPr>
        <w:spacing w:after="0" w:line="360" w:lineRule="auto"/>
        <w:ind w:left="567" w:right="616"/>
        <w:jc w:val="both"/>
        <w:rPr>
          <w:rFonts w:ascii="Palatino Linotype" w:eastAsia="MS Mincho" w:hAnsi="Palatino Linotype" w:cs="Arial"/>
          <w:bCs/>
          <w:i/>
          <w:sz w:val="24"/>
          <w:szCs w:val="24"/>
          <w:lang w:val="es-ES_tradnl" w:eastAsia="es-ES"/>
        </w:rPr>
      </w:pPr>
      <w:r w:rsidRPr="00F23EC6">
        <w:rPr>
          <w:rFonts w:ascii="Palatino Linotype" w:eastAsia="MS Mincho" w:hAnsi="Palatino Linotype" w:cs="Arial"/>
          <w:bCs/>
          <w:i/>
          <w:sz w:val="24"/>
          <w:szCs w:val="24"/>
          <w:lang w:val="es-ES_tradnl" w:eastAsia="es-ES"/>
        </w:rPr>
        <w:t>Resoluciones:</w:t>
      </w:r>
    </w:p>
    <w:p w:rsidR="000F5E0E" w:rsidRPr="00F23EC6" w:rsidRDefault="000F5E0E" w:rsidP="00F23EC6">
      <w:pPr>
        <w:spacing w:after="0" w:line="360" w:lineRule="auto"/>
        <w:ind w:left="567" w:right="616"/>
        <w:jc w:val="both"/>
        <w:rPr>
          <w:rFonts w:ascii="Palatino Linotype" w:eastAsia="MS Mincho" w:hAnsi="Palatino Linotype" w:cs="Arial"/>
          <w:bCs/>
          <w:i/>
          <w:sz w:val="24"/>
          <w:szCs w:val="24"/>
          <w:lang w:val="es-ES_tradnl" w:eastAsia="es-ES"/>
        </w:rPr>
      </w:pPr>
      <w:r w:rsidRPr="00F23EC6">
        <w:rPr>
          <w:rFonts w:ascii="Palatino Linotype" w:eastAsia="MS Mincho" w:hAnsi="Palatino Linotype" w:cs="Arial"/>
          <w:bCs/>
          <w:i/>
          <w:sz w:val="24"/>
          <w:szCs w:val="24"/>
          <w:lang w:val="es-ES_tradnl" w:eastAsia="es-ES"/>
        </w:rPr>
        <w:t>•</w:t>
      </w:r>
      <w:r w:rsidRPr="00F23EC6">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0F5E0E" w:rsidRPr="00F23EC6" w:rsidRDefault="000F5E0E" w:rsidP="00F23EC6">
      <w:pPr>
        <w:spacing w:after="0" w:line="360" w:lineRule="auto"/>
        <w:ind w:left="567" w:right="616"/>
        <w:jc w:val="both"/>
        <w:rPr>
          <w:rFonts w:ascii="Palatino Linotype" w:eastAsia="MS Mincho" w:hAnsi="Palatino Linotype" w:cs="Arial"/>
          <w:bCs/>
          <w:i/>
          <w:sz w:val="24"/>
          <w:szCs w:val="24"/>
          <w:lang w:val="es-ES_tradnl" w:eastAsia="es-ES"/>
        </w:rPr>
      </w:pPr>
      <w:r w:rsidRPr="00F23EC6">
        <w:rPr>
          <w:rFonts w:ascii="Palatino Linotype" w:eastAsia="MS Mincho" w:hAnsi="Palatino Linotype" w:cs="Arial"/>
          <w:bCs/>
          <w:i/>
          <w:sz w:val="24"/>
          <w:szCs w:val="24"/>
          <w:lang w:val="es-ES_tradnl" w:eastAsia="es-ES"/>
        </w:rPr>
        <w:t>•</w:t>
      </w:r>
      <w:r w:rsidRPr="00F23EC6">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F23EC6">
        <w:rPr>
          <w:rFonts w:ascii="Palatino Linotype" w:eastAsia="MS Mincho" w:hAnsi="Palatino Linotype" w:cs="Arial"/>
          <w:bCs/>
          <w:i/>
          <w:sz w:val="24"/>
          <w:szCs w:val="24"/>
          <w:lang w:val="es-ES_tradnl" w:eastAsia="es-ES"/>
        </w:rPr>
        <w:t>Rosendoevgueni</w:t>
      </w:r>
      <w:proofErr w:type="spellEnd"/>
      <w:r w:rsidRPr="00F23EC6">
        <w:rPr>
          <w:rFonts w:ascii="Palatino Linotype" w:eastAsia="MS Mincho" w:hAnsi="Palatino Linotype" w:cs="Arial"/>
          <w:bCs/>
          <w:i/>
          <w:sz w:val="24"/>
          <w:szCs w:val="24"/>
          <w:lang w:val="es-ES_tradnl" w:eastAsia="es-ES"/>
        </w:rPr>
        <w:t xml:space="preserve"> Monterrey </w:t>
      </w:r>
      <w:proofErr w:type="spellStart"/>
      <w:r w:rsidRPr="00F23EC6">
        <w:rPr>
          <w:rFonts w:ascii="Palatino Linotype" w:eastAsia="MS Mincho" w:hAnsi="Palatino Linotype" w:cs="Arial"/>
          <w:bCs/>
          <w:i/>
          <w:sz w:val="24"/>
          <w:szCs w:val="24"/>
          <w:lang w:val="es-ES_tradnl" w:eastAsia="es-ES"/>
        </w:rPr>
        <w:t>Chepov</w:t>
      </w:r>
      <w:proofErr w:type="spellEnd"/>
      <w:r w:rsidRPr="00F23EC6">
        <w:rPr>
          <w:rFonts w:ascii="Palatino Linotype" w:eastAsia="MS Mincho" w:hAnsi="Palatino Linotype" w:cs="Arial"/>
          <w:bCs/>
          <w:i/>
          <w:sz w:val="24"/>
          <w:szCs w:val="24"/>
          <w:lang w:val="es-ES_tradnl" w:eastAsia="es-ES"/>
        </w:rPr>
        <w:t xml:space="preserve">. </w:t>
      </w:r>
    </w:p>
    <w:p w:rsidR="000F5E0E" w:rsidRPr="00F23EC6" w:rsidRDefault="000F5E0E" w:rsidP="00F23EC6">
      <w:pPr>
        <w:spacing w:after="0" w:line="360" w:lineRule="auto"/>
        <w:ind w:left="567" w:right="616"/>
        <w:jc w:val="both"/>
        <w:rPr>
          <w:rFonts w:ascii="Palatino Linotype" w:eastAsia="MS Mincho" w:hAnsi="Palatino Linotype" w:cs="Arial"/>
          <w:bCs/>
          <w:i/>
          <w:sz w:val="24"/>
          <w:szCs w:val="24"/>
          <w:lang w:val="es-ES_tradnl" w:eastAsia="es-ES"/>
        </w:rPr>
      </w:pPr>
      <w:r w:rsidRPr="00F23EC6">
        <w:rPr>
          <w:rFonts w:ascii="Palatino Linotype" w:eastAsia="MS Mincho" w:hAnsi="Palatino Linotype" w:cs="Arial"/>
          <w:bCs/>
          <w:i/>
          <w:sz w:val="24"/>
          <w:szCs w:val="24"/>
          <w:lang w:val="es-ES_tradnl" w:eastAsia="es-ES"/>
        </w:rPr>
        <w:t>•</w:t>
      </w:r>
      <w:r w:rsidRPr="00F23EC6">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0F5E0E" w:rsidRPr="00F23EC6" w:rsidRDefault="000F5E0E" w:rsidP="00F23EC6">
      <w:pPr>
        <w:spacing w:after="0" w:line="360" w:lineRule="auto"/>
        <w:ind w:left="567" w:right="616"/>
        <w:jc w:val="both"/>
        <w:rPr>
          <w:rFonts w:ascii="Palatino Linotype" w:eastAsia="MS Mincho" w:hAnsi="Palatino Linotype" w:cs="Arial"/>
          <w:bCs/>
          <w:sz w:val="24"/>
          <w:szCs w:val="24"/>
          <w:lang w:val="es-ES_tradnl" w:eastAsia="es-ES"/>
        </w:rPr>
      </w:pPr>
      <w:r w:rsidRPr="00F23EC6">
        <w:rPr>
          <w:rFonts w:ascii="Palatino Linotype" w:eastAsia="MS Mincho" w:hAnsi="Palatino Linotype" w:cs="Arial"/>
          <w:bCs/>
          <w:sz w:val="24"/>
          <w:szCs w:val="24"/>
          <w:lang w:val="es-ES_tradnl" w:eastAsia="es-ES"/>
        </w:rPr>
        <w:t>(Énfasis añadido)</w:t>
      </w:r>
    </w:p>
    <w:p w:rsidR="000F5E0E" w:rsidRPr="00F23EC6" w:rsidRDefault="000F5E0E" w:rsidP="00F23EC6">
      <w:pPr>
        <w:spacing w:after="0" w:line="360" w:lineRule="auto"/>
        <w:jc w:val="both"/>
        <w:rPr>
          <w:rFonts w:ascii="Palatino Linotype" w:eastAsia="MS Mincho" w:hAnsi="Palatino Linotype" w:cs="Arial"/>
          <w:sz w:val="24"/>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23EC6">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F23EC6">
        <w:rPr>
          <w:rFonts w:ascii="Palatino Linotype" w:eastAsia="MS Mincho" w:hAnsi="Palatino Linotype" w:cs="Arial"/>
          <w:sz w:val="24"/>
          <w:szCs w:val="24"/>
          <w:lang w:val="es-ES_tradnl" w:eastAsia="es-MX"/>
        </w:rPr>
        <w:t>homoclave</w:t>
      </w:r>
      <w:proofErr w:type="spellEnd"/>
      <w:r w:rsidRPr="00F23EC6">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F23EC6">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F23EC6">
        <w:rPr>
          <w:rFonts w:ascii="Palatino Linotype" w:eastAsia="MS Mincho" w:hAnsi="Palatino Linotype" w:cs="Arial"/>
          <w:sz w:val="24"/>
          <w:szCs w:val="24"/>
          <w:lang w:val="es-ES_tradnl" w:eastAsia="es-MX"/>
        </w:rPr>
        <w:t>.</w:t>
      </w:r>
    </w:p>
    <w:p w:rsidR="000F5E0E" w:rsidRPr="00F23EC6" w:rsidRDefault="000F5E0E" w:rsidP="00F23EC6">
      <w:pPr>
        <w:spacing w:after="0" w:line="360" w:lineRule="auto"/>
        <w:contextualSpacing/>
        <w:jc w:val="both"/>
        <w:rPr>
          <w:rFonts w:ascii="Palatino Linotype" w:eastAsia="MS Mincho" w:hAnsi="Palatino Linotype" w:cs="Arial"/>
          <w:sz w:val="24"/>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23EC6">
        <w:rPr>
          <w:rFonts w:ascii="Palatino Linotype" w:eastAsia="MS Mincho" w:hAnsi="Palatino Linotype" w:cs="Arial"/>
          <w:sz w:val="24"/>
          <w:szCs w:val="24"/>
          <w:lang w:val="es-ES_tradnl" w:eastAsia="es-MX"/>
        </w:rPr>
        <w:t xml:space="preserve">Por cuanto hace a la </w:t>
      </w:r>
      <w:r w:rsidRPr="00F23EC6">
        <w:rPr>
          <w:rFonts w:ascii="Palatino Linotype" w:eastAsia="MS Mincho" w:hAnsi="Palatino Linotype" w:cs="Arial"/>
          <w:b/>
          <w:sz w:val="24"/>
          <w:szCs w:val="24"/>
          <w:lang w:val="es-ES_tradnl" w:eastAsia="es-ES"/>
        </w:rPr>
        <w:t xml:space="preserve">Clave Única de Registro de Población, </w:t>
      </w:r>
      <w:r w:rsidRPr="00F23EC6">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F5E0E" w:rsidRPr="00F23EC6" w:rsidRDefault="000F5E0E" w:rsidP="00F23EC6">
      <w:pPr>
        <w:spacing w:after="0" w:line="360" w:lineRule="auto"/>
        <w:jc w:val="both"/>
        <w:rPr>
          <w:rFonts w:ascii="Palatino Linotype" w:eastAsia="MS Mincho" w:hAnsi="Palatino Linotype" w:cs="Arial"/>
          <w:sz w:val="24"/>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23EC6">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0F5E0E" w:rsidRPr="00F23EC6" w:rsidRDefault="000F5E0E" w:rsidP="00F23EC6">
      <w:pPr>
        <w:spacing w:after="0" w:line="360" w:lineRule="auto"/>
        <w:ind w:right="616"/>
        <w:rPr>
          <w:rFonts w:ascii="Palatino Linotype" w:eastAsia="MS Mincho" w:hAnsi="Palatino Linotype" w:cs="Arial"/>
          <w:sz w:val="24"/>
          <w:szCs w:val="24"/>
          <w:lang w:val="es-ES_tradnl" w:eastAsia="es-MX"/>
        </w:rPr>
      </w:pPr>
    </w:p>
    <w:p w:rsidR="000F5E0E" w:rsidRPr="00F23EC6" w:rsidRDefault="000F5E0E" w:rsidP="00F23EC6">
      <w:pPr>
        <w:spacing w:after="0" w:line="360" w:lineRule="auto"/>
        <w:ind w:left="567" w:right="616"/>
        <w:jc w:val="both"/>
        <w:rPr>
          <w:rFonts w:ascii="Palatino Linotype" w:eastAsia="MS Mincho" w:hAnsi="Palatino Linotype" w:cs="Arial"/>
          <w:i/>
          <w:sz w:val="24"/>
          <w:szCs w:val="24"/>
          <w:lang w:val="es-ES_tradnl" w:eastAsia="es-MX"/>
        </w:rPr>
      </w:pPr>
      <w:r w:rsidRPr="00F23EC6">
        <w:rPr>
          <w:rFonts w:ascii="Palatino Linotype" w:eastAsia="MS Mincho" w:hAnsi="Palatino Linotype" w:cs="Arial,Bold"/>
          <w:b/>
          <w:bCs/>
          <w:i/>
          <w:sz w:val="24"/>
          <w:szCs w:val="24"/>
          <w:lang w:val="es-ES_tradnl" w:eastAsia="es-MX"/>
        </w:rPr>
        <w:t xml:space="preserve">“Artículo 86. </w:t>
      </w:r>
      <w:r w:rsidRPr="00F23EC6">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0F5E0E" w:rsidRPr="00F23EC6" w:rsidRDefault="000F5E0E" w:rsidP="00F23EC6">
      <w:pPr>
        <w:spacing w:after="0" w:line="360" w:lineRule="auto"/>
        <w:ind w:left="567" w:right="616"/>
        <w:jc w:val="both"/>
        <w:rPr>
          <w:rFonts w:ascii="Palatino Linotype" w:eastAsia="MS Mincho" w:hAnsi="Palatino Linotype" w:cs="Arial"/>
          <w:i/>
          <w:sz w:val="24"/>
          <w:szCs w:val="24"/>
          <w:lang w:val="es-ES_tradnl" w:eastAsia="es-MX"/>
        </w:rPr>
      </w:pPr>
    </w:p>
    <w:p w:rsidR="000F5E0E" w:rsidRPr="00F23EC6" w:rsidRDefault="000F5E0E" w:rsidP="00F23EC6">
      <w:pPr>
        <w:spacing w:after="0" w:line="360" w:lineRule="auto"/>
        <w:ind w:left="567" w:right="616"/>
        <w:jc w:val="both"/>
        <w:rPr>
          <w:rFonts w:ascii="Palatino Linotype" w:eastAsia="MS Mincho" w:hAnsi="Palatino Linotype" w:cs="Arial"/>
          <w:i/>
          <w:sz w:val="24"/>
          <w:szCs w:val="24"/>
          <w:lang w:val="es-ES_tradnl" w:eastAsia="es-MX"/>
        </w:rPr>
      </w:pPr>
      <w:r w:rsidRPr="00F23EC6">
        <w:rPr>
          <w:rFonts w:ascii="Palatino Linotype" w:eastAsia="MS Mincho" w:hAnsi="Palatino Linotype" w:cs="Arial,Bold"/>
          <w:b/>
          <w:bCs/>
          <w:i/>
          <w:sz w:val="24"/>
          <w:szCs w:val="24"/>
          <w:lang w:val="es-ES_tradnl" w:eastAsia="es-MX"/>
        </w:rPr>
        <w:t xml:space="preserve">Artículo 91. </w:t>
      </w:r>
      <w:r w:rsidRPr="00F23EC6">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0F5E0E" w:rsidRPr="008A071D" w:rsidRDefault="000F5E0E" w:rsidP="00F23EC6">
      <w:pPr>
        <w:spacing w:after="0" w:line="360" w:lineRule="auto"/>
        <w:ind w:left="567"/>
        <w:rPr>
          <w:rFonts w:ascii="Palatino Linotype" w:eastAsia="MS Mincho" w:hAnsi="Palatino Linotype" w:cs="Arial"/>
          <w:sz w:val="12"/>
          <w:szCs w:val="24"/>
          <w:lang w:val="es-ES_tradnl" w:eastAsia="es-MX"/>
        </w:rPr>
      </w:pPr>
    </w:p>
    <w:p w:rsidR="000F5E0E" w:rsidRPr="00F23EC6" w:rsidRDefault="000F5E0E" w:rsidP="00F23EC6">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F23EC6">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F23EC6">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F23EC6">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0F5E0E" w:rsidRPr="008A071D" w:rsidRDefault="000F5E0E" w:rsidP="00F23EC6">
      <w:pPr>
        <w:shd w:val="clear" w:color="auto" w:fill="FFFFFF"/>
        <w:spacing w:after="0" w:line="360" w:lineRule="auto"/>
        <w:contextualSpacing/>
        <w:jc w:val="both"/>
        <w:rPr>
          <w:rFonts w:ascii="Palatino Linotype" w:eastAsia="MS Mincho" w:hAnsi="Palatino Linotype" w:cs="Times New Roman"/>
          <w:sz w:val="12"/>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23EC6">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0F5E0E" w:rsidRPr="00F23EC6" w:rsidRDefault="000F5E0E" w:rsidP="00F23EC6">
      <w:pPr>
        <w:spacing w:after="0" w:line="360" w:lineRule="auto"/>
        <w:jc w:val="both"/>
        <w:rPr>
          <w:rFonts w:ascii="Palatino Linotype" w:eastAsia="MS Mincho" w:hAnsi="Palatino Linotype" w:cs="Arial"/>
          <w:sz w:val="24"/>
          <w:szCs w:val="24"/>
          <w:lang w:val="es-ES_tradnl" w:eastAsia="es-MX"/>
        </w:rPr>
      </w:pPr>
    </w:p>
    <w:p w:rsidR="000F5E0E" w:rsidRPr="00F23EC6" w:rsidRDefault="000F5E0E" w:rsidP="00F23EC6">
      <w:pPr>
        <w:spacing w:after="0" w:line="360" w:lineRule="auto"/>
        <w:ind w:left="567" w:right="616"/>
        <w:jc w:val="both"/>
        <w:rPr>
          <w:rFonts w:ascii="Palatino Linotype" w:eastAsia="MS Mincho" w:hAnsi="Palatino Linotype" w:cs="Arial"/>
          <w:bCs/>
          <w:i/>
          <w:sz w:val="24"/>
          <w:szCs w:val="24"/>
          <w:lang w:val="es-ES_tradnl" w:eastAsia="es-MX"/>
        </w:rPr>
      </w:pPr>
      <w:r w:rsidRPr="00F23EC6">
        <w:rPr>
          <w:rFonts w:ascii="Palatino Linotype" w:eastAsia="MS Mincho" w:hAnsi="Palatino Linotype" w:cs="Arial"/>
          <w:bCs/>
          <w:i/>
          <w:sz w:val="24"/>
          <w:szCs w:val="24"/>
          <w:lang w:val="es-ES_tradnl" w:eastAsia="es-MX"/>
        </w:rPr>
        <w:t>“</w:t>
      </w:r>
      <w:r w:rsidRPr="00F23EC6">
        <w:rPr>
          <w:rFonts w:ascii="Palatino Linotype" w:eastAsia="MS Mincho" w:hAnsi="Palatino Linotype" w:cs="Arial"/>
          <w:b/>
          <w:bCs/>
          <w:i/>
          <w:sz w:val="24"/>
          <w:szCs w:val="24"/>
          <w:lang w:val="es-ES_tradnl" w:eastAsia="es-MX"/>
        </w:rPr>
        <w:t>Clave Única de Registro de Población (CURP)</w:t>
      </w:r>
      <w:r w:rsidRPr="00F23EC6">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F5E0E" w:rsidRPr="00F23EC6" w:rsidRDefault="000F5E0E" w:rsidP="00F23EC6">
      <w:pPr>
        <w:spacing w:after="0" w:line="360" w:lineRule="auto"/>
        <w:ind w:left="567" w:right="616"/>
        <w:jc w:val="both"/>
        <w:rPr>
          <w:rFonts w:ascii="Palatino Linotype" w:eastAsia="MS Mincho" w:hAnsi="Palatino Linotype" w:cs="Arial"/>
          <w:bCs/>
          <w:i/>
          <w:sz w:val="24"/>
          <w:szCs w:val="24"/>
          <w:lang w:val="es-ES_tradnl" w:eastAsia="es-MX"/>
        </w:rPr>
      </w:pPr>
      <w:r w:rsidRPr="00F23EC6">
        <w:rPr>
          <w:rFonts w:ascii="Palatino Linotype" w:eastAsia="MS Mincho" w:hAnsi="Palatino Linotype" w:cs="Arial"/>
          <w:bCs/>
          <w:i/>
          <w:sz w:val="24"/>
          <w:szCs w:val="24"/>
          <w:lang w:val="es-ES_tradnl" w:eastAsia="es-MX"/>
        </w:rPr>
        <w:t>Resoluciones:</w:t>
      </w:r>
    </w:p>
    <w:p w:rsidR="000F5E0E" w:rsidRPr="00F23EC6" w:rsidRDefault="000F5E0E" w:rsidP="00F23EC6">
      <w:pPr>
        <w:spacing w:after="0" w:line="360" w:lineRule="auto"/>
        <w:ind w:left="567" w:right="616"/>
        <w:jc w:val="both"/>
        <w:rPr>
          <w:rFonts w:ascii="Palatino Linotype" w:eastAsia="MS Mincho" w:hAnsi="Palatino Linotype" w:cs="Arial"/>
          <w:bCs/>
          <w:i/>
          <w:sz w:val="24"/>
          <w:szCs w:val="24"/>
          <w:lang w:val="es-ES_tradnl" w:eastAsia="es-MX"/>
        </w:rPr>
      </w:pPr>
      <w:r w:rsidRPr="00F23EC6">
        <w:rPr>
          <w:rFonts w:ascii="Palatino Linotype" w:eastAsia="MS Mincho" w:hAnsi="Palatino Linotype" w:cs="Arial"/>
          <w:bCs/>
          <w:i/>
          <w:sz w:val="24"/>
          <w:szCs w:val="24"/>
          <w:lang w:val="es-ES_tradnl" w:eastAsia="es-MX"/>
        </w:rPr>
        <w:t>•</w:t>
      </w:r>
      <w:r w:rsidRPr="00F23EC6">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F23EC6">
        <w:rPr>
          <w:rFonts w:ascii="Palatino Linotype" w:eastAsia="MS Mincho" w:hAnsi="Palatino Linotype" w:cs="Arial"/>
          <w:bCs/>
          <w:i/>
          <w:sz w:val="24"/>
          <w:szCs w:val="24"/>
          <w:lang w:val="es-ES_tradnl" w:eastAsia="es-MX"/>
        </w:rPr>
        <w:t>Rosendoevgueni</w:t>
      </w:r>
      <w:proofErr w:type="spellEnd"/>
      <w:r w:rsidRPr="00F23EC6">
        <w:rPr>
          <w:rFonts w:ascii="Palatino Linotype" w:eastAsia="MS Mincho" w:hAnsi="Palatino Linotype" w:cs="Arial"/>
          <w:bCs/>
          <w:i/>
          <w:sz w:val="24"/>
          <w:szCs w:val="24"/>
          <w:lang w:val="es-ES_tradnl" w:eastAsia="es-MX"/>
        </w:rPr>
        <w:t xml:space="preserve"> Monterrey </w:t>
      </w:r>
      <w:proofErr w:type="spellStart"/>
      <w:r w:rsidRPr="00F23EC6">
        <w:rPr>
          <w:rFonts w:ascii="Palatino Linotype" w:eastAsia="MS Mincho" w:hAnsi="Palatino Linotype" w:cs="Arial"/>
          <w:bCs/>
          <w:i/>
          <w:sz w:val="24"/>
          <w:szCs w:val="24"/>
          <w:lang w:val="es-ES_tradnl" w:eastAsia="es-MX"/>
        </w:rPr>
        <w:t>Chepov</w:t>
      </w:r>
      <w:proofErr w:type="spellEnd"/>
      <w:r w:rsidRPr="00F23EC6">
        <w:rPr>
          <w:rFonts w:ascii="Palatino Linotype" w:eastAsia="MS Mincho" w:hAnsi="Palatino Linotype" w:cs="Arial"/>
          <w:bCs/>
          <w:i/>
          <w:sz w:val="24"/>
          <w:szCs w:val="24"/>
          <w:lang w:val="es-ES_tradnl" w:eastAsia="es-MX"/>
        </w:rPr>
        <w:t>.</w:t>
      </w:r>
    </w:p>
    <w:p w:rsidR="000F5E0E" w:rsidRPr="00F23EC6" w:rsidRDefault="000F5E0E" w:rsidP="00F23EC6">
      <w:pPr>
        <w:spacing w:after="0" w:line="360" w:lineRule="auto"/>
        <w:ind w:left="567" w:right="616"/>
        <w:jc w:val="both"/>
        <w:rPr>
          <w:rFonts w:ascii="Palatino Linotype" w:eastAsia="MS Mincho" w:hAnsi="Palatino Linotype" w:cs="Arial"/>
          <w:bCs/>
          <w:i/>
          <w:sz w:val="24"/>
          <w:szCs w:val="24"/>
          <w:lang w:val="es-ES_tradnl" w:eastAsia="es-MX"/>
        </w:rPr>
      </w:pPr>
      <w:r w:rsidRPr="00F23EC6">
        <w:rPr>
          <w:rFonts w:ascii="Palatino Linotype" w:eastAsia="MS Mincho" w:hAnsi="Palatino Linotype" w:cs="Arial"/>
          <w:bCs/>
          <w:i/>
          <w:sz w:val="24"/>
          <w:szCs w:val="24"/>
          <w:lang w:val="es-ES_tradnl" w:eastAsia="es-MX"/>
        </w:rPr>
        <w:t>•</w:t>
      </w:r>
      <w:r w:rsidRPr="00F23EC6">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0F5E0E" w:rsidRPr="00F23EC6" w:rsidRDefault="000F5E0E" w:rsidP="00F23EC6">
      <w:pPr>
        <w:spacing w:after="0" w:line="360" w:lineRule="auto"/>
        <w:ind w:left="567" w:right="616"/>
        <w:jc w:val="both"/>
        <w:rPr>
          <w:rFonts w:ascii="Palatino Linotype" w:eastAsia="MS Mincho" w:hAnsi="Palatino Linotype" w:cs="Arial"/>
          <w:i/>
          <w:sz w:val="24"/>
          <w:szCs w:val="24"/>
          <w:lang w:val="es-ES_tradnl" w:eastAsia="es-MX"/>
        </w:rPr>
      </w:pPr>
      <w:r w:rsidRPr="00F23EC6">
        <w:rPr>
          <w:rFonts w:ascii="Palatino Linotype" w:eastAsia="MS Mincho" w:hAnsi="Palatino Linotype" w:cs="Arial"/>
          <w:bCs/>
          <w:i/>
          <w:sz w:val="24"/>
          <w:szCs w:val="24"/>
          <w:lang w:val="es-ES_tradnl" w:eastAsia="es-MX"/>
        </w:rPr>
        <w:t>•</w:t>
      </w:r>
      <w:r w:rsidRPr="00F23EC6">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F23EC6">
        <w:rPr>
          <w:rFonts w:ascii="Palatino Linotype" w:eastAsia="MS Mincho" w:hAnsi="Palatino Linotype" w:cs="Arial"/>
          <w:i/>
          <w:sz w:val="24"/>
          <w:szCs w:val="24"/>
          <w:lang w:val="es-ES_tradnl" w:eastAsia="es-MX"/>
        </w:rPr>
        <w:t>” (SIC)</w:t>
      </w:r>
    </w:p>
    <w:p w:rsidR="000F5E0E" w:rsidRPr="008A071D" w:rsidRDefault="000F5E0E" w:rsidP="00F23EC6">
      <w:pPr>
        <w:spacing w:after="0" w:line="360" w:lineRule="auto"/>
        <w:ind w:right="757"/>
        <w:jc w:val="both"/>
        <w:rPr>
          <w:rFonts w:ascii="Palatino Linotype" w:eastAsia="MS Mincho" w:hAnsi="Palatino Linotype" w:cs="Arial"/>
          <w:i/>
          <w:sz w:val="12"/>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23EC6">
        <w:rPr>
          <w:rFonts w:ascii="Palatino Linotype" w:eastAsia="MS Mincho" w:hAnsi="Palatino Linotype" w:cs="Arial"/>
          <w:sz w:val="24"/>
          <w:szCs w:val="24"/>
          <w:lang w:val="es-ES_tradnl" w:eastAsia="es-MX"/>
        </w:rPr>
        <w:t xml:space="preserve">De lo anterior, se desprende que la </w:t>
      </w:r>
      <w:r w:rsidRPr="00F23EC6">
        <w:rPr>
          <w:rFonts w:ascii="Palatino Linotype" w:eastAsia="MS Mincho" w:hAnsi="Palatino Linotype" w:cs="Times New Roman"/>
          <w:sz w:val="24"/>
          <w:szCs w:val="24"/>
          <w:lang w:val="es-ES_tradnl" w:eastAsia="es-MX"/>
        </w:rPr>
        <w:t xml:space="preserve">Clave Única de Registro de Población, </w:t>
      </w:r>
      <w:r w:rsidRPr="00F23EC6">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F5E0E" w:rsidRPr="00F23EC6" w:rsidRDefault="000F5E0E" w:rsidP="00F23EC6">
      <w:pPr>
        <w:spacing w:after="0" w:line="360" w:lineRule="auto"/>
        <w:contextualSpacing/>
        <w:jc w:val="both"/>
        <w:rPr>
          <w:rFonts w:ascii="Palatino Linotype" w:eastAsia="MS Mincho" w:hAnsi="Palatino Linotype" w:cs="Arial"/>
          <w:sz w:val="24"/>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23EC6">
        <w:rPr>
          <w:rFonts w:ascii="Palatino Linotype" w:eastAsia="MS Mincho" w:hAnsi="Palatino Linotype" w:cs="Arial"/>
          <w:sz w:val="24"/>
          <w:szCs w:val="24"/>
          <w:lang w:val="es-ES_tradnl" w:eastAsia="es-MX"/>
        </w:rPr>
        <w:t xml:space="preserve">Por cuanto hace a la </w:t>
      </w:r>
      <w:r w:rsidRPr="00F23EC6">
        <w:rPr>
          <w:rFonts w:ascii="Palatino Linotype" w:eastAsia="MS Mincho" w:hAnsi="Palatino Linotype" w:cs="Arial"/>
          <w:b/>
          <w:sz w:val="24"/>
          <w:szCs w:val="24"/>
          <w:lang w:val="es-ES_tradnl" w:eastAsia="es-ES"/>
        </w:rPr>
        <w:t>Clave de cualquier tipo de seguridad social</w:t>
      </w:r>
      <w:r w:rsidRPr="00F23EC6">
        <w:rPr>
          <w:rFonts w:ascii="Palatino Linotype" w:eastAsia="MS Mincho" w:hAnsi="Palatino Linotype" w:cs="Arial"/>
          <w:sz w:val="24"/>
          <w:szCs w:val="24"/>
          <w:lang w:val="es-ES_tradnl" w:eastAsia="es-ES"/>
        </w:rPr>
        <w:t xml:space="preserve"> (ISSEMYM, u otros), está integrado por una </w:t>
      </w:r>
      <w:r w:rsidRPr="00F23EC6">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23EC6">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F23EC6">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F23EC6">
        <w:rPr>
          <w:rFonts w:ascii="Palatino Linotype" w:eastAsia="MS Mincho" w:hAnsi="Palatino Linotype" w:cs="Arial"/>
          <w:sz w:val="24"/>
          <w:szCs w:val="24"/>
          <w:lang w:val="es-ES_tradnl" w:eastAsia="es-MX"/>
        </w:rPr>
        <w:t>.</w:t>
      </w:r>
    </w:p>
    <w:p w:rsidR="000F5E0E" w:rsidRPr="008A071D" w:rsidRDefault="000F5E0E" w:rsidP="00F23EC6">
      <w:pPr>
        <w:spacing w:after="0" w:line="360" w:lineRule="auto"/>
        <w:contextualSpacing/>
        <w:rPr>
          <w:rFonts w:ascii="Palatino Linotype" w:eastAsia="MS Mincho" w:hAnsi="Palatino Linotype" w:cs="Arial"/>
          <w:sz w:val="12"/>
          <w:szCs w:val="24"/>
          <w:lang w:val="es-ES_tradnl" w:eastAsia="es-ES"/>
        </w:rPr>
      </w:pPr>
    </w:p>
    <w:p w:rsidR="000F5E0E" w:rsidRPr="00F23EC6" w:rsidRDefault="000F5E0E" w:rsidP="00F23EC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23EC6">
        <w:rPr>
          <w:rFonts w:ascii="Palatino Linotype" w:eastAsia="MS Mincho" w:hAnsi="Palatino Linotype" w:cs="Arial"/>
          <w:sz w:val="24"/>
          <w:szCs w:val="24"/>
          <w:lang w:val="es-ES_tradnl" w:eastAsia="es-ES"/>
        </w:rPr>
        <w:t xml:space="preserve">Respecto de los </w:t>
      </w:r>
      <w:r w:rsidRPr="00F23EC6">
        <w:rPr>
          <w:rFonts w:ascii="Palatino Linotype" w:eastAsia="MS Mincho" w:hAnsi="Palatino Linotype" w:cs="Arial"/>
          <w:b/>
          <w:sz w:val="24"/>
          <w:szCs w:val="24"/>
          <w:lang w:val="es-ES_tradnl" w:eastAsia="es-ES"/>
        </w:rPr>
        <w:t>préstamos o descuentos</w:t>
      </w:r>
      <w:r w:rsidRPr="00F23EC6">
        <w:rPr>
          <w:rFonts w:ascii="Palatino Linotype" w:eastAsia="MS Mincho" w:hAnsi="Palatino Linotype" w:cs="Arial"/>
          <w:sz w:val="24"/>
          <w:szCs w:val="24"/>
          <w:lang w:val="es-ES_tradnl" w:eastAsia="es-ES"/>
        </w:rPr>
        <w:t xml:space="preserve"> </w:t>
      </w:r>
      <w:r w:rsidRPr="00F23EC6">
        <w:rPr>
          <w:rFonts w:ascii="Palatino Linotype" w:eastAsia="MS Mincho" w:hAnsi="Palatino Linotype" w:cs="Arial"/>
          <w:b/>
          <w:sz w:val="24"/>
          <w:szCs w:val="24"/>
          <w:lang w:val="es-ES_tradnl" w:eastAsia="es-ES"/>
        </w:rPr>
        <w:t>de carácter personal</w:t>
      </w:r>
      <w:r w:rsidRPr="00F23EC6">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F23EC6">
        <w:rPr>
          <w:rFonts w:ascii="Palatino Linotype" w:eastAsia="MS Mincho" w:hAnsi="Palatino Linotype" w:cs="Arial"/>
          <w:sz w:val="24"/>
          <w:szCs w:val="24"/>
          <w:lang w:val="es-ES_tradnl" w:eastAsia="es-MX"/>
        </w:rPr>
        <w:t>favorecer  en la transparencia y rendición de cuentas, sino, por el contrario con ello se violentaría la</w:t>
      </w:r>
      <w:r w:rsidRPr="00F23EC6">
        <w:rPr>
          <w:rFonts w:ascii="Palatino Linotype" w:eastAsia="MS Mincho" w:hAnsi="Palatino Linotype" w:cs="Times New Roman"/>
          <w:sz w:val="24"/>
          <w:szCs w:val="24"/>
          <w:lang w:val="es-ES_tradnl" w:eastAsia="es-ES"/>
        </w:rPr>
        <w:t xml:space="preserve"> </w:t>
      </w:r>
      <w:r w:rsidRPr="00F23EC6">
        <w:rPr>
          <w:rFonts w:ascii="Palatino Linotype" w:eastAsia="MS Mincho" w:hAnsi="Palatino Linotype" w:cs="Arial"/>
          <w:sz w:val="24"/>
          <w:szCs w:val="24"/>
          <w:lang w:val="es-ES_tradnl" w:eastAsia="es-MX"/>
        </w:rPr>
        <w:t>protección de información confidencial, porque incide en la intimidad de un individuo</w:t>
      </w:r>
      <w:r w:rsidRPr="00F23EC6">
        <w:rPr>
          <w:rFonts w:ascii="Palatino Linotype" w:eastAsia="MS Mincho" w:hAnsi="Palatino Linotype" w:cs="Times New Roman"/>
          <w:sz w:val="24"/>
          <w:szCs w:val="24"/>
          <w:lang w:val="es-ES_tradnl" w:eastAsia="es-ES"/>
        </w:rPr>
        <w:t xml:space="preserve"> </w:t>
      </w:r>
      <w:r w:rsidRPr="00F23EC6">
        <w:rPr>
          <w:rFonts w:ascii="Palatino Linotype" w:eastAsia="MS Mincho" w:hAnsi="Palatino Linotype" w:cs="Arial"/>
          <w:sz w:val="24"/>
          <w:szCs w:val="24"/>
          <w:lang w:val="es-ES_tradnl" w:eastAsia="es-MX"/>
        </w:rPr>
        <w:t>identificado.</w:t>
      </w:r>
    </w:p>
    <w:p w:rsidR="000F5E0E" w:rsidRPr="008A071D" w:rsidRDefault="000F5E0E" w:rsidP="00F23EC6">
      <w:pPr>
        <w:spacing w:after="0" w:line="360" w:lineRule="auto"/>
        <w:contextualSpacing/>
        <w:rPr>
          <w:rFonts w:ascii="Palatino Linotype" w:eastAsia="MS Mincho" w:hAnsi="Palatino Linotype" w:cs="Arial"/>
          <w:sz w:val="12"/>
          <w:szCs w:val="24"/>
          <w:lang w:val="es-ES_tradnl" w:eastAsia="es-MX"/>
        </w:rPr>
      </w:pPr>
    </w:p>
    <w:p w:rsidR="000F5E0E" w:rsidRPr="00F23EC6" w:rsidRDefault="000F5E0E" w:rsidP="00F23EC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23EC6">
        <w:rPr>
          <w:rFonts w:ascii="Palatino Linotype" w:eastAsia="MS Mincho" w:hAnsi="Palatino Linotype" w:cs="Arial"/>
          <w:sz w:val="24"/>
          <w:szCs w:val="24"/>
          <w:lang w:val="es-ES_tradnl" w:eastAsia="es-MX"/>
        </w:rPr>
        <w:t xml:space="preserve">Por su parte, el </w:t>
      </w:r>
      <w:r w:rsidRPr="00F23EC6">
        <w:rPr>
          <w:rFonts w:ascii="Palatino Linotype" w:eastAsia="MS Mincho" w:hAnsi="Palatino Linotype" w:cs="Arial"/>
          <w:sz w:val="24"/>
          <w:szCs w:val="24"/>
          <w:lang w:val="es-ES_tradnl" w:eastAsia="es-ES"/>
        </w:rPr>
        <w:t>artículo 84 de la Ley del Trabajo de los Servidores Públicos del Estado y Municipios, señala:</w:t>
      </w:r>
    </w:p>
    <w:p w:rsidR="000F5E0E" w:rsidRPr="00F23EC6" w:rsidRDefault="000F5E0E" w:rsidP="00F23EC6">
      <w:pPr>
        <w:spacing w:after="0" w:line="360" w:lineRule="auto"/>
        <w:jc w:val="both"/>
        <w:rPr>
          <w:rFonts w:ascii="Palatino Linotype" w:eastAsia="MS Mincho" w:hAnsi="Palatino Linotype" w:cs="Arial"/>
          <w:sz w:val="24"/>
          <w:szCs w:val="24"/>
          <w:lang w:val="es-ES_tradnl" w:eastAsia="es-ES"/>
        </w:rPr>
      </w:pPr>
    </w:p>
    <w:p w:rsidR="000F5E0E" w:rsidRPr="00F23EC6" w:rsidRDefault="000F5E0E" w:rsidP="00F23EC6">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F23EC6">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rsidR="000F5E0E" w:rsidRPr="00F23EC6" w:rsidRDefault="000F5E0E" w:rsidP="00F23EC6">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F23EC6">
        <w:rPr>
          <w:rFonts w:ascii="Palatino Linotype" w:eastAsia="MS Mincho" w:hAnsi="Palatino Linotype" w:cs="Arial"/>
          <w:bCs/>
          <w:i/>
          <w:sz w:val="24"/>
          <w:szCs w:val="24"/>
          <w:lang w:val="es-ES_tradnl" w:eastAsia="es-ES"/>
        </w:rPr>
        <w:t>I. Gravámenes fiscales relacionados con el sueldo;</w:t>
      </w:r>
    </w:p>
    <w:p w:rsidR="000F5E0E" w:rsidRPr="00F23EC6" w:rsidRDefault="000F5E0E" w:rsidP="00F23EC6">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F23EC6">
        <w:rPr>
          <w:rFonts w:ascii="Palatino Linotype" w:eastAsia="MS Mincho"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0F5E0E" w:rsidRPr="00F23EC6" w:rsidRDefault="000F5E0E" w:rsidP="00F23EC6">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F23EC6">
        <w:rPr>
          <w:rFonts w:ascii="Palatino Linotype" w:eastAsia="MS Mincho" w:hAnsi="Palatino Linotype" w:cs="Arial"/>
          <w:bCs/>
          <w:i/>
          <w:sz w:val="24"/>
          <w:szCs w:val="24"/>
          <w:lang w:val="es-ES_tradnl" w:eastAsia="es-ES"/>
        </w:rPr>
        <w:t>III. Cuotas sindicales;</w:t>
      </w:r>
    </w:p>
    <w:p w:rsidR="000F5E0E" w:rsidRPr="00F23EC6" w:rsidRDefault="000F5E0E" w:rsidP="00F23EC6">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F23EC6">
        <w:rPr>
          <w:rFonts w:ascii="Palatino Linotype" w:eastAsia="MS Mincho" w:hAnsi="Palatino Linotype" w:cs="Arial"/>
          <w:bCs/>
          <w:i/>
          <w:sz w:val="24"/>
          <w:szCs w:val="24"/>
          <w:lang w:val="es-ES_tradnl" w:eastAsia="es-ES"/>
        </w:rPr>
        <w:t>IV. Cuotas de aportación a fondos para la constitución de cooperativas y de cajas de ahorro, siempre que el servidor público hubiese manifestado previamente, de manera expresa, su conformidad;</w:t>
      </w:r>
    </w:p>
    <w:p w:rsidR="000F5E0E" w:rsidRPr="00F23EC6" w:rsidRDefault="000F5E0E" w:rsidP="00F23EC6">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F23EC6">
        <w:rPr>
          <w:rFonts w:ascii="Palatino Linotype" w:eastAsia="MS Mincho"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rsidR="000F5E0E" w:rsidRPr="00F23EC6" w:rsidRDefault="000F5E0E" w:rsidP="00F23EC6">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F23EC6">
        <w:rPr>
          <w:rFonts w:ascii="Palatino Linotype" w:eastAsia="MS Mincho"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rsidR="000F5E0E" w:rsidRPr="00F23EC6" w:rsidRDefault="000F5E0E" w:rsidP="00F23EC6">
      <w:pPr>
        <w:spacing w:after="0" w:line="360" w:lineRule="auto"/>
        <w:ind w:left="567" w:right="616"/>
        <w:jc w:val="both"/>
        <w:rPr>
          <w:rFonts w:ascii="Palatino Linotype" w:eastAsia="MS Mincho" w:hAnsi="Palatino Linotype" w:cs="Arial"/>
          <w:bCs/>
          <w:i/>
          <w:sz w:val="24"/>
          <w:szCs w:val="24"/>
          <w:lang w:val="es-ES_tradnl" w:eastAsia="es-ES"/>
        </w:rPr>
      </w:pPr>
      <w:r w:rsidRPr="00F23EC6">
        <w:rPr>
          <w:rFonts w:ascii="Palatino Linotype" w:eastAsia="MS Mincho" w:hAnsi="Palatino Linotype" w:cs="Arial"/>
          <w:bCs/>
          <w:i/>
          <w:sz w:val="24"/>
          <w:szCs w:val="24"/>
          <w:lang w:val="es-ES_tradnl" w:eastAsia="es-ES"/>
        </w:rPr>
        <w:t>VII. Faltas de puntualidad o de asistencia injustificadas;</w:t>
      </w:r>
    </w:p>
    <w:p w:rsidR="000F5E0E" w:rsidRPr="00F23EC6" w:rsidRDefault="000F5E0E" w:rsidP="00F23EC6">
      <w:pPr>
        <w:spacing w:after="0" w:line="360" w:lineRule="auto"/>
        <w:ind w:left="567" w:right="616"/>
        <w:jc w:val="both"/>
        <w:rPr>
          <w:rFonts w:ascii="Palatino Linotype" w:eastAsia="MS Mincho" w:hAnsi="Palatino Linotype" w:cs="Arial"/>
          <w:bCs/>
          <w:i/>
          <w:sz w:val="24"/>
          <w:szCs w:val="24"/>
          <w:lang w:val="es-ES_tradnl" w:eastAsia="es-ES"/>
        </w:rPr>
      </w:pPr>
      <w:r w:rsidRPr="00F23EC6">
        <w:rPr>
          <w:rFonts w:ascii="Palatino Linotype" w:eastAsia="MS Mincho" w:hAnsi="Palatino Linotype" w:cs="Arial"/>
          <w:b/>
          <w:bCs/>
          <w:i/>
          <w:sz w:val="24"/>
          <w:szCs w:val="24"/>
          <w:lang w:val="es-ES_tradnl" w:eastAsia="es-ES"/>
        </w:rPr>
        <w:t>VIII. Pensiones alimenticias ordenadas por la autoridad judicial;</w:t>
      </w:r>
      <w:r w:rsidRPr="00F23EC6">
        <w:rPr>
          <w:rFonts w:ascii="Palatino Linotype" w:eastAsia="MS Mincho" w:hAnsi="Palatino Linotype" w:cs="Arial"/>
          <w:bCs/>
          <w:i/>
          <w:sz w:val="24"/>
          <w:szCs w:val="24"/>
          <w:lang w:val="es-ES_tradnl" w:eastAsia="es-ES"/>
        </w:rPr>
        <w:t xml:space="preserve"> o</w:t>
      </w:r>
    </w:p>
    <w:p w:rsidR="000F5E0E" w:rsidRPr="00F23EC6" w:rsidRDefault="000F5E0E" w:rsidP="00F23EC6">
      <w:pPr>
        <w:spacing w:after="0" w:line="360" w:lineRule="auto"/>
        <w:ind w:left="567" w:right="616"/>
        <w:jc w:val="both"/>
        <w:rPr>
          <w:rFonts w:ascii="Palatino Linotype" w:eastAsia="MS Mincho" w:hAnsi="Palatino Linotype" w:cs="Arial"/>
          <w:b/>
          <w:bCs/>
          <w:i/>
          <w:sz w:val="24"/>
          <w:szCs w:val="24"/>
          <w:lang w:val="es-ES_tradnl" w:eastAsia="es-ES"/>
        </w:rPr>
      </w:pPr>
      <w:r w:rsidRPr="00F23EC6">
        <w:rPr>
          <w:rFonts w:ascii="Palatino Linotype" w:eastAsia="MS Mincho" w:hAnsi="Palatino Linotype" w:cs="Arial"/>
          <w:b/>
          <w:bCs/>
          <w:i/>
          <w:sz w:val="24"/>
          <w:szCs w:val="24"/>
          <w:lang w:val="es-ES_tradnl" w:eastAsia="es-ES"/>
        </w:rPr>
        <w:t>IX. Cualquier otro convenido con instituciones de servicios y aceptado por el servidor público.</w:t>
      </w:r>
    </w:p>
    <w:p w:rsidR="000F5E0E" w:rsidRPr="00F23EC6" w:rsidRDefault="000F5E0E" w:rsidP="00F23EC6">
      <w:pPr>
        <w:spacing w:after="0" w:line="360" w:lineRule="auto"/>
        <w:ind w:left="567" w:right="616"/>
        <w:jc w:val="both"/>
        <w:rPr>
          <w:rFonts w:ascii="Palatino Linotype" w:eastAsia="MS Mincho" w:hAnsi="Palatino Linotype" w:cs="Arial"/>
          <w:bCs/>
          <w:i/>
          <w:sz w:val="24"/>
          <w:szCs w:val="24"/>
          <w:lang w:val="es-ES_tradnl" w:eastAsia="es-ES"/>
        </w:rPr>
      </w:pPr>
      <w:r w:rsidRPr="00F23EC6">
        <w:rPr>
          <w:rFonts w:ascii="Palatino Linotype" w:eastAsia="MS Mincho"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072700" w:rsidRPr="008A071D" w:rsidRDefault="00072700" w:rsidP="00F23EC6">
      <w:pPr>
        <w:spacing w:after="0" w:line="360" w:lineRule="auto"/>
        <w:ind w:left="567" w:right="616"/>
        <w:jc w:val="both"/>
        <w:rPr>
          <w:rFonts w:ascii="Palatino Linotype" w:eastAsia="MS Mincho" w:hAnsi="Palatino Linotype" w:cs="Arial"/>
          <w:b/>
          <w:bCs/>
          <w:i/>
          <w:sz w:val="12"/>
          <w:szCs w:val="24"/>
          <w:lang w:val="es-ES_tradnl" w:eastAsia="es-ES"/>
        </w:rPr>
      </w:pPr>
    </w:p>
    <w:p w:rsidR="000F5E0E" w:rsidRPr="00F23EC6" w:rsidRDefault="000F5E0E" w:rsidP="00F23EC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F23EC6">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F23EC6">
        <w:rPr>
          <w:rFonts w:ascii="Palatino Linotype" w:eastAsia="MS Mincho" w:hAnsi="Palatino Linotype" w:cs="Arial"/>
          <w:b/>
          <w:sz w:val="24"/>
          <w:szCs w:val="24"/>
          <w:lang w:val="es-ES_tradnl" w:eastAsia="es-ES"/>
        </w:rPr>
        <w:t>descuentos por pensiones alimenticias o créditos adquiridos</w:t>
      </w:r>
      <w:r w:rsidRPr="00F23EC6">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rsidR="000F5E0E" w:rsidRPr="008A071D" w:rsidRDefault="000F5E0E" w:rsidP="00F23EC6">
      <w:pPr>
        <w:spacing w:after="0" w:line="360" w:lineRule="auto"/>
        <w:contextualSpacing/>
        <w:jc w:val="both"/>
        <w:rPr>
          <w:rFonts w:ascii="Palatino Linotype" w:eastAsia="MS Mincho" w:hAnsi="Palatino Linotype" w:cs="Arial"/>
          <w:sz w:val="14"/>
          <w:szCs w:val="24"/>
          <w:lang w:val="es-ES_tradnl" w:eastAsia="es-ES"/>
        </w:rPr>
      </w:pPr>
    </w:p>
    <w:p w:rsidR="000F5E0E" w:rsidRPr="00F23EC6" w:rsidRDefault="000F5E0E" w:rsidP="00F23EC6">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F23EC6">
        <w:rPr>
          <w:rFonts w:ascii="Palatino Linotype" w:eastAsia="MS Mincho" w:hAnsi="Palatino Linotype" w:cs="Arial"/>
          <w:sz w:val="24"/>
          <w:szCs w:val="24"/>
          <w:lang w:val="es-ES_tradnl" w:eastAsia="es-ES"/>
        </w:rPr>
        <w:t xml:space="preserve">Por ende, en el presente caso, </w:t>
      </w:r>
      <w:r w:rsidRPr="00F23EC6">
        <w:rPr>
          <w:rFonts w:ascii="Palatino Linotype" w:eastAsia="MS Mincho" w:hAnsi="Palatino Linotype" w:cs="Arial"/>
          <w:b/>
          <w:sz w:val="24"/>
          <w:szCs w:val="24"/>
          <w:lang w:val="es-ES_tradnl" w:eastAsia="es-ES"/>
        </w:rPr>
        <w:t>EL SUJETO OBLIGADO</w:t>
      </w:r>
      <w:r w:rsidRPr="00F23EC6">
        <w:rPr>
          <w:rFonts w:ascii="Palatino Linotype" w:eastAsia="MS Mincho" w:hAnsi="Palatino Linotype" w:cs="Arial"/>
          <w:sz w:val="24"/>
          <w:szCs w:val="24"/>
          <w:lang w:val="es-ES_tradnl" w:eastAsia="es-ES"/>
        </w:rPr>
        <w:t xml:space="preserve"> debe </w:t>
      </w:r>
      <w:r w:rsidRPr="00F23EC6">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F23EC6">
        <w:rPr>
          <w:rFonts w:ascii="Palatino Linotype" w:eastAsia="MS Mincho" w:hAnsi="Palatino Linotype" w:cs="Arial"/>
          <w:b/>
          <w:sz w:val="24"/>
          <w:szCs w:val="24"/>
          <w:lang w:val="es-ES_tradnl" w:eastAsia="es-MX"/>
        </w:rPr>
        <w:t>EL SUJETO OBLIGADO</w:t>
      </w:r>
      <w:r w:rsidRPr="00F23EC6">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F23EC6">
        <w:rPr>
          <w:rFonts w:ascii="Palatino Linotype" w:eastAsia="MS Mincho" w:hAnsi="Palatino Linotype" w:cs="Arial"/>
          <w:b/>
          <w:sz w:val="24"/>
          <w:szCs w:val="24"/>
          <w:lang w:val="es-ES_tradnl" w:eastAsia="es-MX"/>
        </w:rPr>
        <w:t>SUJETO OBLIGADO</w:t>
      </w:r>
      <w:r w:rsidRPr="00F23EC6">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F23EC6">
        <w:rPr>
          <w:rFonts w:ascii="Palatino Linotype" w:eastAsia="MS Mincho" w:hAnsi="Palatino Linotype" w:cs="Arial"/>
          <w:color w:val="FF0000"/>
          <w:sz w:val="24"/>
          <w:szCs w:val="24"/>
          <w:lang w:val="es-ES_tradnl" w:eastAsia="es-MX"/>
        </w:rPr>
        <w:t>.</w:t>
      </w:r>
    </w:p>
    <w:p w:rsidR="000F5E0E" w:rsidRPr="008A071D" w:rsidRDefault="000F5E0E" w:rsidP="00F23EC6">
      <w:pPr>
        <w:pStyle w:val="Prrafodelista"/>
        <w:spacing w:line="360" w:lineRule="auto"/>
        <w:rPr>
          <w:rFonts w:ascii="Palatino Linotype" w:eastAsia="MS Mincho" w:hAnsi="Palatino Linotype" w:cs="Arial"/>
          <w:color w:val="FF0000"/>
          <w:sz w:val="12"/>
          <w:szCs w:val="24"/>
          <w:lang w:val="es-ES_tradnl" w:eastAsia="es-ES"/>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F23EC6">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F5E0E" w:rsidRPr="00F23EC6" w:rsidRDefault="000F5E0E" w:rsidP="00F23EC6">
      <w:pPr>
        <w:spacing w:after="0" w:line="360" w:lineRule="auto"/>
        <w:contextualSpacing/>
        <w:jc w:val="both"/>
        <w:rPr>
          <w:rFonts w:ascii="Palatino Linotype" w:eastAsia="Calibri" w:hAnsi="Palatino Linotype" w:cs="Arial"/>
          <w:bCs/>
          <w:sz w:val="24"/>
          <w:szCs w:val="24"/>
          <w:lang w:val="es-ES_tradnl" w:eastAsia="es-ES"/>
        </w:rPr>
      </w:pPr>
    </w:p>
    <w:p w:rsidR="000F5E0E" w:rsidRPr="00F23EC6" w:rsidRDefault="000F5E0E" w:rsidP="00F23EC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F23EC6">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F5E0E" w:rsidRPr="008A071D" w:rsidRDefault="000F5E0E" w:rsidP="00F23EC6">
      <w:pPr>
        <w:spacing w:after="0" w:line="360" w:lineRule="auto"/>
        <w:contextualSpacing/>
        <w:jc w:val="both"/>
        <w:rPr>
          <w:rFonts w:ascii="Palatino Linotype" w:eastAsia="Calibri" w:hAnsi="Palatino Linotype" w:cs="Arial"/>
          <w:bCs/>
          <w:sz w:val="12"/>
          <w:szCs w:val="24"/>
          <w:lang w:val="es-ES_tradnl" w:eastAsia="es-ES"/>
        </w:rPr>
      </w:pPr>
    </w:p>
    <w:p w:rsidR="00362893" w:rsidRPr="008A071D" w:rsidRDefault="000F5E0E" w:rsidP="008A071D">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23EC6">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72700" w:rsidRPr="008A071D" w:rsidRDefault="00072700" w:rsidP="008A071D">
      <w:pPr>
        <w:spacing w:line="360" w:lineRule="auto"/>
        <w:rPr>
          <w:rFonts w:ascii="Palatino Linotype" w:eastAsia="MS Mincho" w:hAnsi="Palatino Linotype" w:cs="Arial"/>
          <w:sz w:val="12"/>
          <w:szCs w:val="24"/>
          <w:lang w:val="es-ES_tradnl" w:eastAsia="es-MX"/>
        </w:rPr>
      </w:pPr>
    </w:p>
    <w:p w:rsidR="00866A72" w:rsidRPr="00F23EC6" w:rsidRDefault="00C856CA" w:rsidP="00F23EC6">
      <w:pPr>
        <w:keepNext/>
        <w:keepLines/>
        <w:spacing w:before="240" w:after="0" w:line="360" w:lineRule="auto"/>
        <w:outlineLvl w:val="0"/>
        <w:rPr>
          <w:rFonts w:ascii="Palatino Linotype" w:eastAsia="MS Gothic" w:hAnsi="Palatino Linotype" w:cstheme="majorBidi"/>
          <w:b/>
          <w:sz w:val="24"/>
          <w:szCs w:val="24"/>
          <w:lang w:val="es-ES_tradnl"/>
        </w:rPr>
      </w:pPr>
      <w:bookmarkStart w:id="108" w:name="_Toc7696375"/>
      <w:bookmarkStart w:id="109" w:name="_Toc20305946"/>
      <w:r w:rsidRPr="00F23EC6">
        <w:rPr>
          <w:rFonts w:ascii="Palatino Linotype" w:eastAsia="MS Gothic" w:hAnsi="Palatino Linotype" w:cstheme="majorBidi"/>
          <w:b/>
          <w:sz w:val="24"/>
          <w:szCs w:val="24"/>
          <w:lang w:val="es-ES_tradnl"/>
        </w:rPr>
        <w:t>SÉPTIM</w:t>
      </w:r>
      <w:r w:rsidR="00866A72" w:rsidRPr="00F23EC6">
        <w:rPr>
          <w:rFonts w:ascii="Palatino Linotype" w:eastAsia="MS Gothic" w:hAnsi="Palatino Linotype" w:cstheme="majorBidi"/>
          <w:b/>
          <w:sz w:val="24"/>
          <w:szCs w:val="24"/>
          <w:lang w:val="es-ES_tradnl"/>
        </w:rPr>
        <w:t>O.</w:t>
      </w:r>
      <w:bookmarkStart w:id="110" w:name="_Toc486525259"/>
      <w:bookmarkStart w:id="111" w:name="_Toc503367745"/>
      <w:bookmarkStart w:id="112" w:name="_Toc509505058"/>
      <w:r w:rsidR="00866A72" w:rsidRPr="00F23EC6">
        <w:rPr>
          <w:rFonts w:ascii="Palatino Linotype" w:eastAsia="MS Gothic" w:hAnsi="Palatino Linotype" w:cstheme="majorBidi"/>
          <w:b/>
          <w:sz w:val="24"/>
          <w:szCs w:val="24"/>
          <w:lang w:val="es-ES_tradnl"/>
        </w:rPr>
        <w:t xml:space="preserve"> Vista a los órganos de control interno</w:t>
      </w:r>
      <w:bookmarkEnd w:id="108"/>
      <w:bookmarkEnd w:id="110"/>
      <w:bookmarkEnd w:id="111"/>
      <w:bookmarkEnd w:id="112"/>
      <w:r w:rsidR="00866A72" w:rsidRPr="00F23EC6">
        <w:rPr>
          <w:rFonts w:ascii="Palatino Linotype" w:eastAsia="MS Gothic" w:hAnsi="Palatino Linotype" w:cstheme="majorBidi"/>
          <w:b/>
          <w:sz w:val="24"/>
          <w:szCs w:val="24"/>
          <w:lang w:val="es-ES_tradnl"/>
        </w:rPr>
        <w:t>.</w:t>
      </w:r>
      <w:bookmarkEnd w:id="109"/>
    </w:p>
    <w:p w:rsidR="00866A72" w:rsidRPr="008A071D" w:rsidRDefault="00866A72" w:rsidP="00F23EC6">
      <w:pPr>
        <w:spacing w:after="0" w:line="360" w:lineRule="auto"/>
        <w:rPr>
          <w:rFonts w:ascii="Palatino Linotype" w:eastAsia="MS Mincho" w:hAnsi="Palatino Linotype" w:cs="Times New Roman"/>
          <w:sz w:val="12"/>
          <w:szCs w:val="24"/>
          <w:lang w:val="es-ES_tradnl"/>
        </w:rPr>
      </w:pPr>
    </w:p>
    <w:p w:rsidR="00866A72" w:rsidRPr="00F23EC6" w:rsidRDefault="00866A72" w:rsidP="00F23EC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23EC6">
        <w:rPr>
          <w:rFonts w:ascii="Palatino Linotype" w:eastAsia="MS Mincho" w:hAnsi="Palatino Linotype" w:cs="Times New Roman"/>
          <w:sz w:val="24"/>
          <w:szCs w:val="24"/>
          <w:lang w:val="es-ES_tradnl" w:eastAsia="es-ES"/>
        </w:rPr>
        <w:t xml:space="preserve">Es </w:t>
      </w:r>
      <w:r w:rsidRPr="00F23EC6">
        <w:rPr>
          <w:rFonts w:ascii="Palatino Linotype" w:eastAsia="Times New Roman" w:hAnsi="Palatino Linotype" w:cs="Arial"/>
          <w:sz w:val="24"/>
          <w:szCs w:val="24"/>
          <w:lang w:val="es-ES_tradnl" w:eastAsia="es-ES"/>
        </w:rPr>
        <w:t>necesario</w:t>
      </w:r>
      <w:r w:rsidRPr="00F23EC6">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F23EC6">
        <w:rPr>
          <w:rFonts w:ascii="Palatino Linotype" w:eastAsia="MS Mincho" w:hAnsi="Palatino Linotype" w:cs="Times New Roman"/>
          <w:b/>
          <w:sz w:val="24"/>
          <w:szCs w:val="24"/>
          <w:u w:val="single"/>
          <w:lang w:val="es-ES_tradnl" w:eastAsia="es-ES"/>
        </w:rPr>
        <w:t>por la omisión de la entrega de información pública;</w:t>
      </w:r>
      <w:r w:rsidRPr="00F23EC6">
        <w:rPr>
          <w:rFonts w:ascii="Palatino Linotype" w:eastAsia="MS Mincho" w:hAnsi="Palatino Linotype" w:cs="Times New Roman"/>
          <w:sz w:val="24"/>
          <w:szCs w:val="24"/>
          <w:lang w:val="es-ES_tradnl" w:eastAsia="es-ES"/>
        </w:rPr>
        <w:t xml:space="preserve"> </w:t>
      </w:r>
      <w:r w:rsidR="00072700" w:rsidRPr="00F23EC6">
        <w:rPr>
          <w:rFonts w:ascii="Palatino Linotype" w:eastAsia="MS Mincho" w:hAnsi="Palatino Linotype" w:cs="Times New Roman"/>
          <w:sz w:val="24"/>
          <w:szCs w:val="24"/>
          <w:lang w:val="es-ES_tradnl" w:eastAsia="es-ES"/>
        </w:rPr>
        <w:t>por lo que</w:t>
      </w:r>
      <w:r w:rsidRPr="00F23EC6">
        <w:rPr>
          <w:rFonts w:ascii="Palatino Linotype" w:eastAsia="MS Mincho" w:hAnsi="Palatino Linotype" w:cs="Times New Roman"/>
          <w:sz w:val="24"/>
          <w:szCs w:val="24"/>
          <w:lang w:val="es-ES_tradnl" w:eastAsia="es-ES"/>
        </w:rPr>
        <w:t xml:space="preserve"> se dará vista al área competente para que en ejercicio de sus atribuciones realice las investigaciones pertinentes por las omisiones detectadas atribuibles al Sujeto Obligado.</w:t>
      </w:r>
    </w:p>
    <w:p w:rsidR="00866A72" w:rsidRPr="008A071D" w:rsidRDefault="00866A72" w:rsidP="00F23EC6">
      <w:pPr>
        <w:spacing w:after="0" w:line="360" w:lineRule="auto"/>
        <w:contextualSpacing/>
        <w:jc w:val="both"/>
        <w:rPr>
          <w:rFonts w:ascii="Palatino Linotype" w:eastAsia="MS Mincho" w:hAnsi="Palatino Linotype" w:cs="Times New Roman"/>
          <w:sz w:val="12"/>
          <w:szCs w:val="24"/>
          <w:lang w:val="es-ES_tradnl" w:eastAsia="es-ES"/>
        </w:rPr>
      </w:pPr>
    </w:p>
    <w:p w:rsidR="00866A72" w:rsidRPr="00F23EC6" w:rsidRDefault="00866A72" w:rsidP="00F23EC6">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23EC6">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866A72" w:rsidRPr="00F23EC6" w:rsidRDefault="00866A72" w:rsidP="00F23EC6">
      <w:pPr>
        <w:spacing w:after="0" w:line="360" w:lineRule="auto"/>
        <w:contextualSpacing/>
        <w:rPr>
          <w:rFonts w:ascii="Palatino Linotype" w:eastAsia="MS Mincho" w:hAnsi="Palatino Linotype" w:cs="Times New Roman"/>
          <w:noProof/>
          <w:sz w:val="24"/>
          <w:szCs w:val="24"/>
          <w:lang w:val="es-ES_tradnl" w:eastAsia="es-ES"/>
        </w:rPr>
      </w:pPr>
    </w:p>
    <w:p w:rsidR="00866A72" w:rsidRPr="00F23EC6" w:rsidRDefault="00866A72" w:rsidP="00F23EC6">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23EC6">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866A72" w:rsidRPr="00F23EC6" w:rsidRDefault="00866A72" w:rsidP="00F23EC6">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23EC6">
        <w:rPr>
          <w:rFonts w:ascii="Palatino Linotype" w:eastAsia="MS Mincho" w:hAnsi="Palatino Linotype" w:cs="Times New Roman"/>
          <w:i/>
          <w:sz w:val="24"/>
          <w:szCs w:val="24"/>
          <w:lang w:val="es-ES_tradnl" w:eastAsia="es-ES"/>
        </w:rPr>
        <w:t>…</w:t>
      </w:r>
    </w:p>
    <w:p w:rsidR="00866A72" w:rsidRPr="00F23EC6" w:rsidRDefault="00866A72" w:rsidP="00F23EC6">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23EC6">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866A72" w:rsidRPr="00F23EC6" w:rsidRDefault="00866A72" w:rsidP="00F23EC6">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23EC6">
        <w:rPr>
          <w:rFonts w:ascii="Palatino Linotype" w:eastAsia="MS Mincho" w:hAnsi="Palatino Linotype" w:cs="Times New Roman"/>
          <w:i/>
          <w:sz w:val="24"/>
          <w:szCs w:val="24"/>
          <w:lang w:val="es-ES_tradnl" w:eastAsia="es-ES"/>
        </w:rPr>
        <w:t>…”</w:t>
      </w:r>
    </w:p>
    <w:p w:rsidR="00072700" w:rsidRPr="008A071D" w:rsidRDefault="00072700" w:rsidP="00F23EC6">
      <w:pPr>
        <w:spacing w:after="0" w:line="360" w:lineRule="auto"/>
        <w:ind w:left="567" w:right="616"/>
        <w:contextualSpacing/>
        <w:jc w:val="both"/>
        <w:rPr>
          <w:rFonts w:ascii="Palatino Linotype" w:eastAsia="MS Mincho" w:hAnsi="Palatino Linotype" w:cs="Times New Roman"/>
          <w:i/>
          <w:sz w:val="12"/>
          <w:szCs w:val="24"/>
          <w:lang w:val="es-ES_tradnl" w:eastAsia="es-ES"/>
        </w:rPr>
      </w:pPr>
    </w:p>
    <w:p w:rsidR="00866A72" w:rsidRPr="00F23EC6" w:rsidRDefault="00866A72" w:rsidP="00F23EC6">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F23EC6">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F23EC6">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866A72" w:rsidRPr="00F23EC6" w:rsidRDefault="00866A72" w:rsidP="00F23EC6">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866A72" w:rsidRPr="00F23EC6" w:rsidRDefault="00866A72" w:rsidP="00F23EC6">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23EC6">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66A72" w:rsidRPr="00F23EC6" w:rsidRDefault="00866A72" w:rsidP="00F23EC6">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23EC6">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866A72" w:rsidRPr="00F23EC6" w:rsidRDefault="00866A72" w:rsidP="00F23EC6">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23EC6">
        <w:rPr>
          <w:rFonts w:ascii="Palatino Linotype" w:eastAsia="MS Mincho" w:hAnsi="Palatino Linotype" w:cs="Times New Roman"/>
          <w:i/>
          <w:sz w:val="24"/>
          <w:szCs w:val="24"/>
          <w:lang w:val="es-ES_tradnl" w:eastAsia="es-ES"/>
        </w:rPr>
        <w:t>…</w:t>
      </w:r>
    </w:p>
    <w:p w:rsidR="00866A72" w:rsidRPr="00F23EC6" w:rsidRDefault="00866A72" w:rsidP="00F23EC6">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23EC6">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F23EC6">
        <w:rPr>
          <w:rFonts w:ascii="Palatino Linotype" w:eastAsia="MS Mincho" w:hAnsi="Palatino Linotype" w:cs="Times New Roman"/>
          <w:i/>
          <w:sz w:val="24"/>
          <w:szCs w:val="24"/>
          <w:lang w:val="es-ES_tradnl" w:eastAsia="es-ES"/>
        </w:rPr>
        <w:t>;</w:t>
      </w:r>
    </w:p>
    <w:p w:rsidR="00866A72" w:rsidRPr="00F23EC6" w:rsidRDefault="00866A72" w:rsidP="00F23EC6">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23EC6">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F23EC6">
        <w:rPr>
          <w:rFonts w:ascii="Palatino Linotype" w:eastAsia="MS Mincho" w:hAnsi="Palatino Linotype" w:cs="Times New Roman"/>
          <w:i/>
          <w:sz w:val="24"/>
          <w:szCs w:val="24"/>
          <w:lang w:val="es-ES_tradnl" w:eastAsia="es-ES"/>
        </w:rPr>
        <w:t>;</w:t>
      </w:r>
    </w:p>
    <w:p w:rsidR="00866A72" w:rsidRPr="00F23EC6" w:rsidRDefault="00866A72" w:rsidP="00F23EC6">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23EC6">
        <w:rPr>
          <w:rFonts w:ascii="Palatino Linotype" w:eastAsia="MS Mincho" w:hAnsi="Palatino Linotype" w:cs="Times New Roman"/>
          <w:i/>
          <w:sz w:val="24"/>
          <w:szCs w:val="24"/>
          <w:lang w:val="es-ES_tradnl" w:eastAsia="es-ES"/>
        </w:rPr>
        <w:t>…</w:t>
      </w:r>
    </w:p>
    <w:p w:rsidR="00866A72" w:rsidRPr="00F23EC6" w:rsidRDefault="00866A72" w:rsidP="00F23EC6">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23EC6">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66A72" w:rsidRPr="008A071D" w:rsidRDefault="00866A72" w:rsidP="008A071D">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F23EC6">
        <w:rPr>
          <w:rFonts w:ascii="Palatino Linotype" w:eastAsia="MS Mincho" w:hAnsi="Palatino Linotype" w:cs="Times New Roman"/>
          <w:i/>
          <w:sz w:val="24"/>
          <w:szCs w:val="24"/>
          <w:lang w:val="es-ES_tradnl" w:eastAsia="es-ES"/>
        </w:rPr>
        <w:t>(Énfasis añadido)</w:t>
      </w:r>
    </w:p>
    <w:p w:rsidR="00866A72" w:rsidRPr="00F23EC6" w:rsidRDefault="00866A72" w:rsidP="00F23EC6">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23EC6">
        <w:rPr>
          <w:rFonts w:ascii="Palatino Linotype" w:eastAsia="MS Mincho" w:hAnsi="Palatino Linotype" w:cs="Times New Roman"/>
          <w:sz w:val="24"/>
          <w:szCs w:val="24"/>
          <w:lang w:val="es-ES_tradnl" w:eastAsia="es-ES"/>
        </w:rPr>
        <w:t>Consecuentemente</w:t>
      </w:r>
      <w:r w:rsidRPr="00F23EC6">
        <w:rPr>
          <w:rFonts w:ascii="Palatino Linotype" w:eastAsia="MS Mincho" w:hAnsi="Palatino Linotype" w:cs="Arial"/>
          <w:color w:val="000000"/>
          <w:sz w:val="24"/>
          <w:szCs w:val="24"/>
          <w:lang w:val="es-ES_tradnl" w:eastAsia="es-ES"/>
        </w:rPr>
        <w:t xml:space="preserve">, en términos del artículo 179 fracciones I </w:t>
      </w:r>
      <w:r w:rsidR="00362893" w:rsidRPr="00F23EC6">
        <w:rPr>
          <w:rFonts w:ascii="Palatino Linotype" w:eastAsia="MS Mincho" w:hAnsi="Palatino Linotype" w:cs="Times New Roman"/>
          <w:sz w:val="24"/>
          <w:szCs w:val="24"/>
          <w:lang w:val="es-ES_tradnl" w:eastAsia="es-ES"/>
        </w:rPr>
        <w:t>resulta</w:t>
      </w:r>
      <w:r w:rsidRPr="00F23EC6">
        <w:rPr>
          <w:rFonts w:ascii="Palatino Linotype" w:eastAsia="MS Mincho" w:hAnsi="Palatino Linotype" w:cs="Times New Roman"/>
          <w:sz w:val="24"/>
          <w:szCs w:val="24"/>
          <w:lang w:val="es-ES_tradnl" w:eastAsia="es-ES"/>
        </w:rPr>
        <w:t xml:space="preserve"> </w:t>
      </w:r>
      <w:r w:rsidRPr="00F23EC6">
        <w:rPr>
          <w:rFonts w:ascii="Palatino Linotype" w:eastAsia="Times New Roman" w:hAnsi="Palatino Linotype" w:cs="Arial"/>
          <w:sz w:val="24"/>
          <w:szCs w:val="24"/>
          <w:lang w:val="es-ES_tradnl" w:eastAsia="es-ES"/>
        </w:rPr>
        <w:t>fundadas las</w:t>
      </w:r>
      <w:r w:rsidRPr="00F23EC6">
        <w:rPr>
          <w:rFonts w:ascii="Palatino Linotype" w:eastAsia="Times New Roman" w:hAnsi="Palatino Linotype" w:cs="Arial"/>
          <w:b/>
          <w:sz w:val="24"/>
          <w:szCs w:val="24"/>
          <w:lang w:val="es-ES_tradnl" w:eastAsia="es-ES"/>
        </w:rPr>
        <w:t xml:space="preserve"> </w:t>
      </w:r>
      <w:r w:rsidRPr="00F23EC6">
        <w:rPr>
          <w:rFonts w:ascii="Palatino Linotype" w:eastAsia="Times New Roman" w:hAnsi="Palatino Linotype" w:cs="Arial"/>
          <w:sz w:val="24"/>
          <w:szCs w:val="24"/>
          <w:lang w:val="es-ES_tradnl" w:eastAsia="es-ES"/>
        </w:rPr>
        <w:t xml:space="preserve">razones o motivos de inconformidad hechos valer por la recurrente </w:t>
      </w:r>
      <w:r w:rsidRPr="00F23EC6">
        <w:rPr>
          <w:rFonts w:ascii="Palatino Linotype" w:eastAsia="Calibri" w:hAnsi="Palatino Linotype" w:cs="Arial"/>
          <w:sz w:val="24"/>
          <w:szCs w:val="24"/>
          <w:lang w:val="es-ES_tradnl" w:eastAsia="es-ES"/>
        </w:rPr>
        <w:t xml:space="preserve">en el recurso de revisión en </w:t>
      </w:r>
      <w:r w:rsidR="00207A29" w:rsidRPr="00F23EC6">
        <w:rPr>
          <w:rFonts w:ascii="Palatino Linotype" w:eastAsia="Calibri" w:hAnsi="Palatino Linotype" w:cs="Arial"/>
          <w:sz w:val="24"/>
          <w:szCs w:val="24"/>
          <w:lang w:val="es-ES_tradnl" w:eastAsia="es-ES"/>
        </w:rPr>
        <w:t>mérito</w:t>
      </w:r>
      <w:r w:rsidRPr="00F23EC6">
        <w:rPr>
          <w:rFonts w:ascii="Palatino Linotype" w:eastAsia="Calibri" w:hAnsi="Palatino Linotype" w:cs="Arial"/>
          <w:sz w:val="24"/>
          <w:szCs w:val="24"/>
          <w:lang w:val="es-ES_tradnl" w:eastAsia="es-ES"/>
        </w:rPr>
        <w:t xml:space="preserve">, </w:t>
      </w:r>
      <w:r w:rsidRPr="00F23EC6">
        <w:rPr>
          <w:rFonts w:ascii="Palatino Linotype" w:eastAsia="Calibri" w:hAnsi="Palatino Linotype" w:cs="Arial"/>
          <w:b/>
          <w:sz w:val="24"/>
          <w:szCs w:val="24"/>
          <w:lang w:val="es-ES_tradnl" w:eastAsia="es-ES"/>
        </w:rPr>
        <w:t>en razón de la negativa de la información solicitada</w:t>
      </w:r>
      <w:r w:rsidR="00362893" w:rsidRPr="00F23EC6">
        <w:rPr>
          <w:rFonts w:ascii="Palatino Linotype" w:eastAsia="Calibri" w:hAnsi="Palatino Linotype" w:cs="Arial"/>
          <w:b/>
          <w:sz w:val="24"/>
          <w:szCs w:val="24"/>
          <w:lang w:val="es-ES_tradnl" w:eastAsia="es-ES"/>
        </w:rPr>
        <w:t>.</w:t>
      </w:r>
      <w:r w:rsidRPr="00F23EC6">
        <w:rPr>
          <w:rFonts w:ascii="Palatino Linotype" w:eastAsia="Calibri" w:hAnsi="Palatino Linotype" w:cs="Arial"/>
          <w:sz w:val="24"/>
          <w:szCs w:val="24"/>
          <w:lang w:val="es-ES_tradnl" w:eastAsia="es-ES"/>
        </w:rPr>
        <w:t xml:space="preserve"> </w:t>
      </w:r>
    </w:p>
    <w:p w:rsidR="00866A72" w:rsidRPr="008A071D" w:rsidRDefault="00866A72" w:rsidP="00F23EC6">
      <w:pPr>
        <w:spacing w:after="0" w:line="360" w:lineRule="auto"/>
        <w:contextualSpacing/>
        <w:rPr>
          <w:rFonts w:ascii="Palatino Linotype" w:eastAsia="MS Mincho" w:hAnsi="Palatino Linotype" w:cs="Times New Roman"/>
          <w:sz w:val="12"/>
          <w:szCs w:val="24"/>
          <w:lang w:val="es-ES_tradnl" w:eastAsia="es-ES"/>
        </w:rPr>
      </w:pPr>
    </w:p>
    <w:p w:rsidR="000F5E0E" w:rsidRPr="00F23EC6" w:rsidRDefault="000F5E0E" w:rsidP="00F23EC6">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bookmarkStart w:id="113" w:name="_Toc454968928"/>
      <w:bookmarkStart w:id="114" w:name="_Toc455743517"/>
      <w:bookmarkStart w:id="115" w:name="_Toc458016386"/>
      <w:bookmarkStart w:id="116" w:name="_Toc461555893"/>
      <w:bookmarkStart w:id="117" w:name="_Toc462307690"/>
      <w:bookmarkStart w:id="118" w:name="_Toc475005143"/>
      <w:bookmarkStart w:id="119" w:name="_Toc499659080"/>
      <w:bookmarkEnd w:id="61"/>
      <w:bookmarkEnd w:id="62"/>
      <w:bookmarkEnd w:id="63"/>
      <w:bookmarkEnd w:id="64"/>
      <w:bookmarkEnd w:id="65"/>
      <w:bookmarkEnd w:id="66"/>
      <w:bookmarkEnd w:id="67"/>
      <w:bookmarkEnd w:id="68"/>
      <w:r w:rsidRPr="00F23EC6">
        <w:rPr>
          <w:rFonts w:ascii="Palatino Linotype" w:eastAsia="Times New Roman" w:hAnsi="Palatino Linotype"/>
          <w:sz w:val="24"/>
          <w:szCs w:val="24"/>
          <w:lang w:val="es-ES_tradnl" w:eastAsia="es-ES"/>
        </w:rPr>
        <w:t xml:space="preserve">Por lo anteriormente expuesto y fundado este </w:t>
      </w:r>
      <w:r w:rsidRPr="00F23EC6">
        <w:rPr>
          <w:rFonts w:ascii="Palatino Linotype" w:eastAsia="Times New Roman" w:hAnsi="Palatino Linotype"/>
          <w:b/>
          <w:sz w:val="24"/>
          <w:szCs w:val="24"/>
          <w:lang w:val="es-ES_tradnl" w:eastAsia="es-ES"/>
        </w:rPr>
        <w:t>ÓRGANO GARANTE</w:t>
      </w:r>
      <w:r w:rsidRPr="00F23EC6">
        <w:rPr>
          <w:rFonts w:ascii="Palatino Linotype" w:eastAsia="Times New Roman" w:hAnsi="Palatino Linotype"/>
          <w:sz w:val="24"/>
          <w:szCs w:val="24"/>
          <w:lang w:val="es-ES_tradnl" w:eastAsia="es-ES"/>
        </w:rPr>
        <w:t xml:space="preserve"> emite los siguientes.</w:t>
      </w:r>
    </w:p>
    <w:p w:rsidR="000F5E0E" w:rsidRPr="00F23EC6" w:rsidRDefault="000F5E0E" w:rsidP="00F23EC6">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120" w:name="_Toc447183492"/>
      <w:bookmarkStart w:id="121" w:name="_Toc450120667"/>
      <w:bookmarkStart w:id="122" w:name="_Toc461555895"/>
      <w:bookmarkStart w:id="123" w:name="_Toc20305947"/>
      <w:bookmarkEnd w:id="113"/>
      <w:bookmarkEnd w:id="114"/>
      <w:bookmarkEnd w:id="115"/>
      <w:bookmarkEnd w:id="116"/>
      <w:bookmarkEnd w:id="117"/>
      <w:bookmarkEnd w:id="118"/>
      <w:bookmarkEnd w:id="119"/>
      <w:r w:rsidRPr="00F23EC6">
        <w:rPr>
          <w:rFonts w:ascii="Palatino Linotype" w:eastAsia="Calibri" w:hAnsi="Palatino Linotype" w:cstheme="majorBidi"/>
          <w:b/>
          <w:sz w:val="24"/>
          <w:szCs w:val="24"/>
          <w:lang w:val="es-ES" w:eastAsia="es-ES"/>
        </w:rPr>
        <w:t>R E S O L U T I V O S</w:t>
      </w:r>
      <w:bookmarkEnd w:id="120"/>
      <w:bookmarkEnd w:id="121"/>
      <w:bookmarkEnd w:id="122"/>
      <w:bookmarkEnd w:id="123"/>
    </w:p>
    <w:p w:rsidR="000F5E0E" w:rsidRPr="00F23EC6" w:rsidRDefault="000F5E0E" w:rsidP="00F23EC6">
      <w:pPr>
        <w:spacing w:line="360" w:lineRule="auto"/>
        <w:rPr>
          <w:rFonts w:ascii="Palatino Linotype" w:hAnsi="Palatino Linotype"/>
          <w:sz w:val="24"/>
          <w:szCs w:val="24"/>
          <w:lang w:val="es-ES" w:eastAsia="es-ES"/>
        </w:rPr>
      </w:pPr>
    </w:p>
    <w:p w:rsidR="000F5E0E" w:rsidRPr="00F23EC6" w:rsidRDefault="000F5E0E" w:rsidP="00F23EC6">
      <w:pPr>
        <w:spacing w:before="240" w:after="360" w:line="360" w:lineRule="auto"/>
        <w:ind w:right="-142"/>
        <w:jc w:val="both"/>
        <w:rPr>
          <w:rFonts w:ascii="Palatino Linotype" w:eastAsia="Times New Roman" w:hAnsi="Palatino Linotype" w:cs="Arial"/>
          <w:sz w:val="24"/>
          <w:szCs w:val="24"/>
          <w:lang w:val="es-ES" w:eastAsia="es-ES"/>
        </w:rPr>
      </w:pPr>
      <w:r w:rsidRPr="00F23EC6">
        <w:rPr>
          <w:rFonts w:ascii="Palatino Linotype" w:eastAsia="Times New Roman" w:hAnsi="Palatino Linotype" w:cs="Arial"/>
          <w:b/>
          <w:sz w:val="24"/>
          <w:szCs w:val="24"/>
          <w:lang w:val="es-ES_tradnl" w:eastAsia="es-ES"/>
        </w:rPr>
        <w:t>PRIMERO</w:t>
      </w:r>
      <w:r w:rsidRPr="00F23EC6">
        <w:rPr>
          <w:rFonts w:ascii="Palatino Linotype" w:eastAsia="Times New Roman" w:hAnsi="Palatino Linotype" w:cs="Arial"/>
          <w:sz w:val="24"/>
          <w:szCs w:val="24"/>
          <w:lang w:val="es-ES" w:eastAsia="es-ES"/>
        </w:rPr>
        <w:t xml:space="preserve">. </w:t>
      </w:r>
      <w:r w:rsidRPr="00F23EC6">
        <w:rPr>
          <w:rFonts w:ascii="Palatino Linotype" w:eastAsia="Times New Roman" w:hAnsi="Palatino Linotype" w:cs="Arial"/>
          <w:sz w:val="24"/>
          <w:szCs w:val="24"/>
        </w:rPr>
        <w:t>Resultan fundadas las</w:t>
      </w:r>
      <w:r w:rsidRPr="00F23EC6">
        <w:rPr>
          <w:rFonts w:ascii="Palatino Linotype" w:eastAsia="Times New Roman" w:hAnsi="Palatino Linotype" w:cs="Arial"/>
          <w:b/>
          <w:sz w:val="24"/>
          <w:szCs w:val="24"/>
        </w:rPr>
        <w:t xml:space="preserve"> </w:t>
      </w:r>
      <w:r w:rsidRPr="00F23EC6">
        <w:rPr>
          <w:rFonts w:ascii="Palatino Linotype" w:eastAsia="Times New Roman" w:hAnsi="Palatino Linotype" w:cs="Arial"/>
          <w:sz w:val="24"/>
          <w:szCs w:val="24"/>
          <w:lang w:val="es-ES"/>
        </w:rPr>
        <w:t xml:space="preserve">razones o motivos de inconformidad hechos valer </w:t>
      </w:r>
      <w:r w:rsidR="00D92CC1" w:rsidRPr="00F23EC6">
        <w:rPr>
          <w:rFonts w:ascii="Palatino Linotype" w:eastAsia="Calibri" w:hAnsi="Palatino Linotype" w:cs="Arial"/>
          <w:sz w:val="24"/>
          <w:szCs w:val="24"/>
          <w:lang w:val="es-ES"/>
        </w:rPr>
        <w:t xml:space="preserve">en </w:t>
      </w:r>
      <w:r w:rsidRPr="00F23EC6">
        <w:rPr>
          <w:rFonts w:ascii="Palatino Linotype" w:eastAsia="Calibri" w:hAnsi="Palatino Linotype" w:cs="Arial"/>
          <w:sz w:val="24"/>
          <w:szCs w:val="24"/>
          <w:lang w:val="es-ES"/>
        </w:rPr>
        <w:t>l</w:t>
      </w:r>
      <w:r w:rsidR="00D92CC1" w:rsidRPr="00F23EC6">
        <w:rPr>
          <w:rFonts w:ascii="Palatino Linotype" w:eastAsia="Calibri" w:hAnsi="Palatino Linotype" w:cs="Arial"/>
          <w:sz w:val="24"/>
          <w:szCs w:val="24"/>
          <w:lang w:val="es-ES"/>
        </w:rPr>
        <w:t>os</w:t>
      </w:r>
      <w:r w:rsidRPr="00F23EC6">
        <w:rPr>
          <w:rFonts w:ascii="Palatino Linotype" w:eastAsia="Calibri" w:hAnsi="Palatino Linotype" w:cs="Arial"/>
          <w:sz w:val="24"/>
          <w:szCs w:val="24"/>
          <w:lang w:val="es-ES"/>
        </w:rPr>
        <w:t xml:space="preserve"> recurso</w:t>
      </w:r>
      <w:r w:rsidR="00D92CC1" w:rsidRPr="00F23EC6">
        <w:rPr>
          <w:rFonts w:ascii="Palatino Linotype" w:eastAsia="Calibri" w:hAnsi="Palatino Linotype" w:cs="Arial"/>
          <w:sz w:val="24"/>
          <w:szCs w:val="24"/>
          <w:lang w:val="es-ES"/>
        </w:rPr>
        <w:t>s</w:t>
      </w:r>
      <w:r w:rsidRPr="00F23EC6">
        <w:rPr>
          <w:rFonts w:ascii="Palatino Linotype" w:eastAsia="Calibri" w:hAnsi="Palatino Linotype" w:cs="Arial"/>
          <w:sz w:val="24"/>
          <w:szCs w:val="24"/>
          <w:lang w:val="es-ES"/>
        </w:rPr>
        <w:t xml:space="preserve"> de revisión </w:t>
      </w:r>
      <w:r w:rsidR="00072700" w:rsidRPr="00F23EC6">
        <w:rPr>
          <w:rFonts w:ascii="Palatino Linotype" w:eastAsiaTheme="minorEastAsia" w:hAnsi="Palatino Linotype" w:cs="Arial"/>
          <w:b/>
          <w:bCs/>
          <w:sz w:val="24"/>
          <w:szCs w:val="24"/>
          <w:lang w:val="es-ES_tradnl" w:eastAsia="es-ES"/>
        </w:rPr>
        <w:t xml:space="preserve">06203/INFOEM/IP/RR/2019, 06204/INFOEM/IP/RR/2019, 06205/INFOEM/IP/RR/2019, 06206/INFOEM/IP/RR/2019, 06207/INFOEM/IP/RR/2019, 06208/INFOEM/IP/RR/2019, 06209/INFOEM/IP/RR/2019, 06210/INFOEM/IP/RR/2019, 06211/INFOEM/IP/RR/2019, 06212/INFOEM/IP/RR/2019, 06213/INFOEM/IP/RR/2019, 06214/INFOEM/IP/RR/2019 y 06215/INFOEM/IP/RR/2019 acumulados, </w:t>
      </w:r>
      <w:r w:rsidRPr="00F23EC6">
        <w:rPr>
          <w:rFonts w:ascii="Palatino Linotype" w:hAnsi="Palatino Linotype" w:cs="Arial"/>
          <w:bCs/>
          <w:sz w:val="24"/>
          <w:szCs w:val="24"/>
          <w:lang w:eastAsia="es-MX"/>
        </w:rPr>
        <w:t xml:space="preserve">en términos del </w:t>
      </w:r>
      <w:r w:rsidRPr="00F23EC6">
        <w:rPr>
          <w:rFonts w:ascii="Palatino Linotype" w:hAnsi="Palatino Linotype" w:cs="Arial"/>
          <w:b/>
          <w:bCs/>
          <w:sz w:val="24"/>
          <w:szCs w:val="24"/>
          <w:lang w:eastAsia="es-MX"/>
        </w:rPr>
        <w:t xml:space="preserve">Considerando QUINTO </w:t>
      </w:r>
      <w:r w:rsidR="00F22D4A" w:rsidRPr="00F23EC6">
        <w:rPr>
          <w:rFonts w:ascii="Palatino Linotype" w:hAnsi="Palatino Linotype" w:cs="Arial"/>
          <w:b/>
          <w:bCs/>
          <w:sz w:val="24"/>
          <w:szCs w:val="24"/>
          <w:lang w:eastAsia="es-MX"/>
        </w:rPr>
        <w:t xml:space="preserve">y SEXTO </w:t>
      </w:r>
      <w:r w:rsidRPr="00F23EC6">
        <w:rPr>
          <w:rFonts w:ascii="Palatino Linotype" w:hAnsi="Palatino Linotype" w:cs="Arial"/>
          <w:bCs/>
          <w:sz w:val="24"/>
          <w:szCs w:val="24"/>
          <w:lang w:eastAsia="es-MX"/>
        </w:rPr>
        <w:t>de la presente resolución.</w:t>
      </w:r>
    </w:p>
    <w:p w:rsidR="000F5E0E" w:rsidRPr="00F23EC6" w:rsidRDefault="000F5E0E" w:rsidP="00F23EC6">
      <w:pPr>
        <w:spacing w:before="240" w:after="360" w:line="360" w:lineRule="auto"/>
        <w:ind w:right="-142"/>
        <w:jc w:val="both"/>
        <w:rPr>
          <w:rFonts w:ascii="Palatino Linotype" w:eastAsia="Calibri" w:hAnsi="Palatino Linotype" w:cs="Arial"/>
          <w:sz w:val="24"/>
          <w:szCs w:val="24"/>
          <w:lang w:val="es-ES" w:eastAsia="es-ES"/>
        </w:rPr>
      </w:pPr>
      <w:r w:rsidRPr="00F23EC6">
        <w:rPr>
          <w:rFonts w:ascii="Palatino Linotype" w:eastAsiaTheme="minorEastAsia" w:hAnsi="Palatino Linotype"/>
          <w:b/>
          <w:sz w:val="24"/>
          <w:szCs w:val="24"/>
          <w:lang w:val="es-ES_tradnl" w:eastAsia="es-ES"/>
        </w:rPr>
        <w:t>SEGUNDO.</w:t>
      </w:r>
      <w:r w:rsidRPr="00F23EC6">
        <w:rPr>
          <w:rFonts w:ascii="Palatino Linotype" w:eastAsiaTheme="majorEastAsia" w:hAnsi="Palatino Linotype" w:cstheme="majorBidi"/>
          <w:b/>
          <w:color w:val="2E74B5" w:themeColor="accent1" w:themeShade="BF"/>
          <w:sz w:val="24"/>
          <w:szCs w:val="24"/>
          <w:lang w:val="es-ES_tradnl" w:eastAsia="es-ES"/>
        </w:rPr>
        <w:t xml:space="preserve"> </w:t>
      </w:r>
      <w:r w:rsidRPr="00F23EC6">
        <w:rPr>
          <w:rFonts w:ascii="Palatino Linotype" w:eastAsia="Calibri" w:hAnsi="Palatino Linotype" w:cs="Arial"/>
          <w:sz w:val="24"/>
          <w:szCs w:val="24"/>
          <w:lang w:val="es-ES" w:eastAsia="es-ES"/>
        </w:rPr>
        <w:t>Se</w:t>
      </w:r>
      <w:r w:rsidRPr="00F23EC6">
        <w:rPr>
          <w:rFonts w:ascii="Palatino Linotype" w:eastAsia="Calibri" w:hAnsi="Palatino Linotype" w:cs="Arial"/>
          <w:b/>
          <w:sz w:val="24"/>
          <w:szCs w:val="24"/>
          <w:lang w:val="es-ES" w:eastAsia="es-ES"/>
        </w:rPr>
        <w:t xml:space="preserve"> </w:t>
      </w:r>
      <w:r w:rsidR="00866A72" w:rsidRPr="00F23EC6">
        <w:rPr>
          <w:rFonts w:ascii="Palatino Linotype" w:eastAsia="Calibri" w:hAnsi="Palatino Linotype" w:cs="Arial"/>
          <w:b/>
          <w:sz w:val="24"/>
          <w:szCs w:val="24"/>
          <w:lang w:val="es-ES" w:eastAsia="es-ES"/>
        </w:rPr>
        <w:t>ORDENA</w:t>
      </w:r>
      <w:r w:rsidRPr="00F23EC6">
        <w:rPr>
          <w:rFonts w:ascii="Palatino Linotype" w:eastAsia="Calibri" w:hAnsi="Palatino Linotype" w:cs="Arial"/>
          <w:b/>
          <w:sz w:val="24"/>
          <w:szCs w:val="24"/>
          <w:lang w:val="es-ES" w:eastAsia="es-ES"/>
        </w:rPr>
        <w:t xml:space="preserve"> </w:t>
      </w:r>
      <w:r w:rsidRPr="00F23EC6">
        <w:rPr>
          <w:rFonts w:ascii="Palatino Linotype" w:eastAsia="Calibri" w:hAnsi="Palatino Linotype" w:cs="Arial"/>
          <w:sz w:val="24"/>
          <w:szCs w:val="24"/>
          <w:lang w:val="es-ES" w:eastAsia="es-ES"/>
        </w:rPr>
        <w:t xml:space="preserve">al </w:t>
      </w:r>
      <w:r w:rsidR="00B57D87" w:rsidRPr="00F23EC6">
        <w:rPr>
          <w:rFonts w:ascii="Palatino Linotype" w:hAnsi="Palatino Linotype"/>
          <w:b/>
          <w:sz w:val="24"/>
          <w:szCs w:val="24"/>
        </w:rPr>
        <w:t>Sistema Municipal Para el Desarrollo Integral de la Familia de Tecámac</w:t>
      </w:r>
      <w:r w:rsidR="00866A72" w:rsidRPr="00F23EC6">
        <w:rPr>
          <w:rFonts w:ascii="Palatino Linotype" w:hAnsi="Palatino Linotype"/>
          <w:b/>
          <w:sz w:val="24"/>
          <w:szCs w:val="24"/>
        </w:rPr>
        <w:t xml:space="preserve">, </w:t>
      </w:r>
      <w:r w:rsidRPr="00F23EC6">
        <w:rPr>
          <w:rFonts w:ascii="Palatino Linotype" w:eastAsia="Calibri" w:hAnsi="Palatino Linotype" w:cs="Arial"/>
          <w:sz w:val="24"/>
          <w:szCs w:val="24"/>
          <w:lang w:val="es-ES" w:eastAsia="es-ES"/>
        </w:rPr>
        <w:t xml:space="preserve">entregar vía Sistema de Acceso a la Información Mexiquense </w:t>
      </w:r>
      <w:r w:rsidRPr="00F23EC6">
        <w:rPr>
          <w:rFonts w:ascii="Palatino Linotype" w:eastAsia="Calibri" w:hAnsi="Palatino Linotype" w:cs="Arial"/>
          <w:b/>
          <w:sz w:val="24"/>
          <w:szCs w:val="24"/>
          <w:lang w:val="es-ES" w:eastAsia="es-ES"/>
        </w:rPr>
        <w:t xml:space="preserve">(SAIMEX) </w:t>
      </w:r>
      <w:r w:rsidR="00072700" w:rsidRPr="00F23EC6">
        <w:rPr>
          <w:rFonts w:ascii="Palatino Linotype" w:eastAsia="Calibri" w:hAnsi="Palatino Linotype" w:cs="Arial"/>
          <w:sz w:val="24"/>
          <w:szCs w:val="24"/>
          <w:lang w:val="es-ES" w:eastAsia="es-ES"/>
        </w:rPr>
        <w:t xml:space="preserve">de ser el caso </w:t>
      </w:r>
      <w:r w:rsidRPr="00F23EC6">
        <w:rPr>
          <w:rFonts w:ascii="Palatino Linotype" w:eastAsia="Calibri" w:hAnsi="Palatino Linotype" w:cs="Arial"/>
          <w:sz w:val="24"/>
          <w:szCs w:val="24"/>
          <w:lang w:val="es-ES" w:eastAsia="es-ES"/>
        </w:rPr>
        <w:t xml:space="preserve">en versión pública, la siguiente información: </w:t>
      </w:r>
    </w:p>
    <w:p w:rsidR="00534F04" w:rsidRPr="00F23EC6" w:rsidRDefault="00534F04" w:rsidP="00F23EC6">
      <w:pPr>
        <w:spacing w:line="360" w:lineRule="auto"/>
        <w:ind w:left="851" w:hanging="425"/>
        <w:jc w:val="both"/>
        <w:rPr>
          <w:rFonts w:ascii="Palatino Linotype" w:hAnsi="Palatino Linotype"/>
          <w:b/>
          <w:sz w:val="24"/>
          <w:szCs w:val="24"/>
        </w:rPr>
      </w:pPr>
      <w:r w:rsidRPr="00F23EC6">
        <w:rPr>
          <w:rFonts w:ascii="Palatino Linotype" w:hAnsi="Palatino Linotype"/>
          <w:b/>
          <w:color w:val="000000"/>
          <w:sz w:val="24"/>
          <w:szCs w:val="24"/>
        </w:rPr>
        <w:t>De la actual administración pública municipal:</w:t>
      </w:r>
    </w:p>
    <w:p w:rsidR="00534F04" w:rsidRPr="008A071D" w:rsidRDefault="00534F04" w:rsidP="008A071D">
      <w:pPr>
        <w:pStyle w:val="Prrafodelista"/>
        <w:numPr>
          <w:ilvl w:val="0"/>
          <w:numId w:val="16"/>
        </w:numPr>
        <w:spacing w:line="360" w:lineRule="auto"/>
        <w:ind w:left="851" w:hanging="425"/>
        <w:jc w:val="both"/>
        <w:rPr>
          <w:rFonts w:ascii="Palatino Linotype" w:hAnsi="Palatino Linotype"/>
          <w:sz w:val="24"/>
          <w:szCs w:val="24"/>
        </w:rPr>
      </w:pPr>
      <w:r w:rsidRPr="00F23EC6">
        <w:rPr>
          <w:rFonts w:ascii="Palatino Linotype" w:hAnsi="Palatino Linotype"/>
          <w:color w:val="000000"/>
          <w:sz w:val="24"/>
          <w:szCs w:val="24"/>
        </w:rPr>
        <w:t>Estructura orgánica;</w:t>
      </w:r>
    </w:p>
    <w:p w:rsidR="00534F04" w:rsidRPr="00F23EC6" w:rsidRDefault="00534F04" w:rsidP="00F23EC6">
      <w:pPr>
        <w:spacing w:line="360" w:lineRule="auto"/>
        <w:ind w:left="851" w:hanging="425"/>
        <w:jc w:val="both"/>
        <w:rPr>
          <w:rFonts w:ascii="Palatino Linotype" w:hAnsi="Palatino Linotype"/>
          <w:b/>
          <w:color w:val="000000"/>
          <w:sz w:val="24"/>
          <w:szCs w:val="24"/>
        </w:rPr>
      </w:pPr>
      <w:r w:rsidRPr="00F23EC6">
        <w:rPr>
          <w:rFonts w:ascii="Palatino Linotype" w:hAnsi="Palatino Linotype"/>
          <w:b/>
          <w:color w:val="000000"/>
          <w:sz w:val="24"/>
          <w:szCs w:val="24"/>
        </w:rPr>
        <w:t xml:space="preserve">De 2013 al </w:t>
      </w:r>
      <w:r w:rsidRPr="00F23EC6">
        <w:rPr>
          <w:rFonts w:ascii="Palatino Linotype" w:eastAsia="MS Mincho" w:hAnsi="Palatino Linotype" w:cstheme="majorBidi"/>
          <w:b/>
          <w:sz w:val="24"/>
          <w:szCs w:val="24"/>
          <w:lang w:val="es-ES_tradnl" w:eastAsia="es-ES"/>
        </w:rPr>
        <w:t>15 de junio del año 2019:</w:t>
      </w:r>
    </w:p>
    <w:p w:rsidR="00534F04" w:rsidRPr="008A071D" w:rsidRDefault="00534F04" w:rsidP="008A071D">
      <w:pPr>
        <w:pStyle w:val="Prrafodelista"/>
        <w:numPr>
          <w:ilvl w:val="0"/>
          <w:numId w:val="16"/>
        </w:numPr>
        <w:spacing w:after="120" w:line="360" w:lineRule="auto"/>
        <w:ind w:left="851" w:right="616" w:hanging="425"/>
        <w:jc w:val="both"/>
        <w:rPr>
          <w:rFonts w:ascii="Palatino Linotype" w:eastAsia="MS Mincho" w:hAnsi="Palatino Linotype" w:cstheme="majorBidi"/>
          <w:sz w:val="24"/>
          <w:szCs w:val="24"/>
          <w:lang w:val="es-ES_tradnl" w:eastAsia="es-ES"/>
        </w:rPr>
      </w:pPr>
      <w:r w:rsidRPr="00F23EC6">
        <w:rPr>
          <w:rFonts w:ascii="Palatino Linotype" w:eastAsia="MS Mincho" w:hAnsi="Palatino Linotype" w:cstheme="majorBidi"/>
          <w:sz w:val="24"/>
          <w:szCs w:val="24"/>
          <w:lang w:val="es-ES_tradnl" w:eastAsia="es-ES"/>
        </w:rPr>
        <w:t>Dirección electrónica donde se reciben solicitudes de  información; registro de solicitudes recibidas y atendidas; áreas a las que fueron turnadas;</w:t>
      </w:r>
    </w:p>
    <w:p w:rsidR="00534F04" w:rsidRPr="00F23EC6" w:rsidRDefault="00534F04" w:rsidP="00F23EC6">
      <w:pPr>
        <w:spacing w:after="0" w:line="360" w:lineRule="auto"/>
        <w:ind w:left="851" w:right="618" w:hanging="425"/>
        <w:jc w:val="both"/>
        <w:rPr>
          <w:rFonts w:ascii="Palatino Linotype" w:eastAsia="MS Mincho" w:hAnsi="Palatino Linotype" w:cstheme="majorBidi"/>
          <w:b/>
          <w:sz w:val="24"/>
          <w:szCs w:val="24"/>
          <w:lang w:val="es-ES_tradnl" w:eastAsia="es-ES"/>
        </w:rPr>
      </w:pPr>
      <w:r w:rsidRPr="00F23EC6">
        <w:rPr>
          <w:rFonts w:ascii="Palatino Linotype" w:eastAsia="MS Mincho" w:hAnsi="Palatino Linotype" w:cstheme="majorBidi"/>
          <w:b/>
          <w:sz w:val="24"/>
          <w:szCs w:val="24"/>
          <w:lang w:val="es-ES_tradnl" w:eastAsia="es-ES"/>
        </w:rPr>
        <w:t>Del primer trimestre de 2019:</w:t>
      </w:r>
    </w:p>
    <w:p w:rsidR="00534F04" w:rsidRDefault="00534F04" w:rsidP="008A071D">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Gacetas municipales; actas de sesiones de cabildo, controles de asistencia de los integrantes del ayuntamiento a las sesiones de cabildo, sentido de votación de los miembros del cabildo sobre las iniciativas o acuerdos, participaciones y aportaciones derivadas de la ley de coordinación fiscal, recursos federales establecidos en el título segundo del federalismo del presupuesto de egresos de la federación en sus conceptos de: a. subsidios federales; y b. recursos del ramo 23;</w:t>
      </w:r>
    </w:p>
    <w:p w:rsidR="008A071D" w:rsidRPr="008A071D" w:rsidRDefault="008A071D" w:rsidP="008A071D">
      <w:pPr>
        <w:pStyle w:val="Prrafodelista"/>
        <w:spacing w:line="360" w:lineRule="auto"/>
        <w:ind w:left="851"/>
        <w:jc w:val="both"/>
        <w:rPr>
          <w:rFonts w:ascii="Palatino Linotype" w:hAnsi="Palatino Linotype"/>
          <w:color w:val="000000"/>
          <w:sz w:val="24"/>
          <w:szCs w:val="24"/>
        </w:rPr>
      </w:pPr>
    </w:p>
    <w:p w:rsidR="00534F04" w:rsidRDefault="00534F04" w:rsidP="008A071D">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Provisiones salariales y económicas;</w:t>
      </w:r>
    </w:p>
    <w:p w:rsidR="008A071D" w:rsidRPr="008A071D" w:rsidRDefault="008A071D" w:rsidP="008A071D">
      <w:pPr>
        <w:spacing w:line="360" w:lineRule="auto"/>
        <w:jc w:val="both"/>
        <w:rPr>
          <w:rFonts w:ascii="Palatino Linotype" w:hAnsi="Palatino Linotype"/>
          <w:color w:val="000000"/>
          <w:sz w:val="12"/>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Plan estatal de desarrollo y plan de desarrollo municipal;</w:t>
      </w:r>
    </w:p>
    <w:p w:rsidR="00534F04" w:rsidRPr="00F23EC6" w:rsidRDefault="00534F04" w:rsidP="00F23EC6">
      <w:pPr>
        <w:spacing w:line="360" w:lineRule="auto"/>
        <w:ind w:left="851" w:hanging="425"/>
        <w:jc w:val="both"/>
        <w:rPr>
          <w:rFonts w:ascii="Palatino Linotype" w:hAnsi="Palatino Linotype"/>
          <w:color w:val="000000"/>
          <w:sz w:val="24"/>
          <w:szCs w:val="24"/>
        </w:rPr>
      </w:pPr>
    </w:p>
    <w:p w:rsidR="00534F04" w:rsidRDefault="00534F04" w:rsidP="008A071D">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Presupuesto de egresos y las fórmulas de distribución de los recursos otorgados;</w:t>
      </w:r>
    </w:p>
    <w:p w:rsidR="008A071D" w:rsidRPr="008A071D" w:rsidRDefault="008A071D" w:rsidP="008A071D">
      <w:pPr>
        <w:spacing w:line="360" w:lineRule="auto"/>
        <w:jc w:val="both"/>
        <w:rPr>
          <w:rFonts w:ascii="Palatino Linotype" w:hAnsi="Palatino Linotype"/>
          <w:color w:val="000000"/>
          <w:sz w:val="2"/>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Actas y resoluciones del Comité de Transparencia;</w:t>
      </w:r>
    </w:p>
    <w:p w:rsidR="00534F04" w:rsidRPr="008A071D" w:rsidRDefault="00534F04" w:rsidP="00F23EC6">
      <w:pPr>
        <w:spacing w:line="360" w:lineRule="auto"/>
        <w:ind w:left="851" w:hanging="425"/>
        <w:jc w:val="both"/>
        <w:rPr>
          <w:rFonts w:ascii="Palatino Linotype" w:hAnsi="Palatino Linotype"/>
          <w:color w:val="000000"/>
          <w:sz w:val="10"/>
          <w:szCs w:val="24"/>
        </w:rPr>
      </w:pPr>
    </w:p>
    <w:p w:rsidR="00534F04"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 xml:space="preserve">Padrón de proveedores y contratistas; </w:t>
      </w:r>
    </w:p>
    <w:p w:rsidR="008A071D" w:rsidRPr="008A071D" w:rsidRDefault="008A071D" w:rsidP="008A071D">
      <w:pPr>
        <w:spacing w:line="360" w:lineRule="auto"/>
        <w:jc w:val="both"/>
        <w:rPr>
          <w:rFonts w:ascii="Palatino Linotype" w:hAnsi="Palatino Linotype"/>
          <w:color w:val="000000"/>
          <w:sz w:val="12"/>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Información financiera sobre el presupuesto asignado, así como los informes del ejercicio trimestral del gasto;</w:t>
      </w:r>
    </w:p>
    <w:p w:rsidR="00534F04" w:rsidRPr="00F23EC6" w:rsidRDefault="00534F04" w:rsidP="00F23EC6">
      <w:pPr>
        <w:pStyle w:val="Prrafodelista"/>
        <w:spacing w:line="360" w:lineRule="auto"/>
        <w:ind w:left="851" w:hanging="425"/>
        <w:jc w:val="both"/>
        <w:rPr>
          <w:rFonts w:ascii="Palatino Linotype" w:hAnsi="Palatino Linotype"/>
          <w:color w:val="000000"/>
          <w:sz w:val="24"/>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 xml:space="preserve">Información relativa a la deuda pública; </w:t>
      </w:r>
    </w:p>
    <w:p w:rsidR="00534F04" w:rsidRPr="00F23EC6" w:rsidRDefault="00534F04" w:rsidP="00F23EC6">
      <w:pPr>
        <w:pStyle w:val="Prrafodelista"/>
        <w:spacing w:line="360" w:lineRule="auto"/>
        <w:ind w:left="851" w:hanging="425"/>
        <w:jc w:val="both"/>
        <w:rPr>
          <w:rFonts w:ascii="Palatino Linotype" w:hAnsi="Palatino Linotype"/>
          <w:color w:val="000000"/>
          <w:sz w:val="24"/>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 xml:space="preserve">Resultado de la </w:t>
      </w:r>
      <w:proofErr w:type="spellStart"/>
      <w:r w:rsidRPr="00F23EC6">
        <w:rPr>
          <w:rFonts w:ascii="Palatino Linotype" w:hAnsi="Palatino Linotype"/>
          <w:color w:val="000000"/>
          <w:sz w:val="24"/>
          <w:szCs w:val="24"/>
        </w:rPr>
        <w:t>dictaminación</w:t>
      </w:r>
      <w:proofErr w:type="spellEnd"/>
      <w:r w:rsidRPr="00F23EC6">
        <w:rPr>
          <w:rFonts w:ascii="Palatino Linotype" w:hAnsi="Palatino Linotype"/>
          <w:color w:val="000000"/>
          <w:sz w:val="24"/>
          <w:szCs w:val="24"/>
        </w:rPr>
        <w:t xml:space="preserve"> de los estados financieros;</w:t>
      </w:r>
    </w:p>
    <w:p w:rsidR="00534F04" w:rsidRPr="00F23EC6" w:rsidRDefault="00534F04" w:rsidP="00F23EC6">
      <w:pPr>
        <w:spacing w:line="360" w:lineRule="auto"/>
        <w:ind w:left="851" w:hanging="425"/>
        <w:jc w:val="both"/>
        <w:rPr>
          <w:rFonts w:ascii="Palatino Linotype" w:hAnsi="Palatino Linotype"/>
          <w:color w:val="000000"/>
          <w:sz w:val="24"/>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eastAsia="MS Mincho" w:hAnsi="Palatino Linotype" w:cstheme="majorBidi"/>
          <w:sz w:val="24"/>
          <w:szCs w:val="24"/>
          <w:lang w:val="es-ES_tradnl" w:eastAsia="es-ES"/>
        </w:rPr>
        <w:t>De los programas de subsidios, estímulos y apoyos;</w:t>
      </w:r>
      <w:r w:rsidRPr="00F23EC6">
        <w:rPr>
          <w:rFonts w:ascii="Palatino Linotype" w:hAnsi="Palatino Linotype"/>
          <w:color w:val="000000"/>
          <w:sz w:val="24"/>
          <w:szCs w:val="24"/>
        </w:rPr>
        <w:t xml:space="preserve"> los servicios que ofrecen señalando los requisitos para acceder a ellos, así como los tiempos de respuesta; los trámites, requisitos y formatos que ofrecen, así como los tiempos de respuesta; </w:t>
      </w:r>
    </w:p>
    <w:p w:rsidR="00534F04" w:rsidRPr="00F23EC6" w:rsidRDefault="00534F04" w:rsidP="00F23EC6">
      <w:pPr>
        <w:spacing w:line="360" w:lineRule="auto"/>
        <w:ind w:left="851" w:hanging="425"/>
        <w:jc w:val="both"/>
        <w:rPr>
          <w:rFonts w:ascii="Palatino Linotype" w:hAnsi="Palatino Linotype"/>
          <w:color w:val="000000"/>
          <w:sz w:val="24"/>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 xml:space="preserve">Información curricular, desde el nivel de jefe de departamento o equivalente, hasta el titular del sujeto obligado, así como, en su caso, las sanciones administrativas de que haya sido objeto; </w:t>
      </w:r>
    </w:p>
    <w:p w:rsidR="00534F04" w:rsidRPr="00F23EC6" w:rsidRDefault="00534F04" w:rsidP="00F23EC6">
      <w:pPr>
        <w:pStyle w:val="Prrafodelista"/>
        <w:spacing w:line="360" w:lineRule="auto"/>
        <w:ind w:left="851" w:hanging="425"/>
        <w:rPr>
          <w:rFonts w:ascii="Palatino Linotype" w:hAnsi="Palatino Linotype"/>
          <w:color w:val="000000"/>
          <w:sz w:val="24"/>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Metas, objetivos e indicadores de las áreas;</w:t>
      </w:r>
    </w:p>
    <w:p w:rsidR="00534F04" w:rsidRPr="00F23EC6" w:rsidRDefault="00534F04" w:rsidP="00F23EC6">
      <w:pPr>
        <w:pStyle w:val="Prrafodelista"/>
        <w:spacing w:line="360" w:lineRule="auto"/>
        <w:ind w:left="851" w:hanging="425"/>
        <w:rPr>
          <w:rFonts w:ascii="Palatino Linotype" w:hAnsi="Palatino Linotype"/>
          <w:color w:val="000000"/>
          <w:sz w:val="24"/>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Indicadores relacionados con temas de interés público o trascendencia social, así como las matrices elaboradas para tal efecto;</w:t>
      </w:r>
    </w:p>
    <w:p w:rsidR="00534F04" w:rsidRPr="00F23EC6" w:rsidRDefault="00534F04" w:rsidP="00F23EC6">
      <w:pPr>
        <w:pStyle w:val="Prrafodelista"/>
        <w:spacing w:line="360" w:lineRule="auto"/>
        <w:ind w:left="851" w:hanging="425"/>
        <w:rPr>
          <w:rFonts w:ascii="Palatino Linotype" w:hAnsi="Palatino Linotype"/>
          <w:color w:val="000000"/>
          <w:sz w:val="24"/>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 xml:space="preserve">Indicadores que permitan rendir cuenta de sus objetivos y resultados, así como las matrices elaboradas para tal efecto; </w:t>
      </w:r>
    </w:p>
    <w:p w:rsidR="00534F04" w:rsidRPr="00F23EC6" w:rsidRDefault="00534F04" w:rsidP="00F23EC6">
      <w:pPr>
        <w:pStyle w:val="Prrafodelista"/>
        <w:spacing w:line="360" w:lineRule="auto"/>
        <w:ind w:left="851" w:hanging="425"/>
        <w:rPr>
          <w:rFonts w:ascii="Palatino Linotype" w:hAnsi="Palatino Linotype"/>
          <w:color w:val="000000"/>
          <w:sz w:val="24"/>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Remuneración bruta y neta de todos los servidores públicos de base o de confianza,  incluyendo sueldos, prestaciones, gratificaciones, primas, comisiones, dietas, bonos, estímulos, ingresos y sistemas de compensación;</w:t>
      </w:r>
    </w:p>
    <w:p w:rsidR="00534F04" w:rsidRPr="00F23EC6" w:rsidRDefault="00534F04" w:rsidP="00F23EC6">
      <w:pPr>
        <w:pStyle w:val="Prrafodelista"/>
        <w:spacing w:line="360" w:lineRule="auto"/>
        <w:ind w:left="851" w:hanging="425"/>
        <w:rPr>
          <w:rFonts w:ascii="Palatino Linotype" w:hAnsi="Palatino Linotype"/>
          <w:color w:val="000000"/>
          <w:sz w:val="24"/>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Directorio de los servidores públicos;</w:t>
      </w:r>
    </w:p>
    <w:p w:rsidR="00534F04" w:rsidRPr="00F23EC6" w:rsidRDefault="00534F04" w:rsidP="00F23EC6">
      <w:pPr>
        <w:pStyle w:val="Prrafodelista"/>
        <w:spacing w:line="360" w:lineRule="auto"/>
        <w:ind w:left="851" w:hanging="425"/>
        <w:rPr>
          <w:rFonts w:ascii="Palatino Linotype" w:hAnsi="Palatino Linotype"/>
          <w:color w:val="000000"/>
          <w:sz w:val="24"/>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Facultades de cada área;</w:t>
      </w:r>
    </w:p>
    <w:p w:rsidR="00534F04" w:rsidRPr="00F23EC6" w:rsidRDefault="00534F04" w:rsidP="00F23EC6">
      <w:pPr>
        <w:pStyle w:val="Prrafodelista"/>
        <w:spacing w:line="360" w:lineRule="auto"/>
        <w:ind w:left="851" w:hanging="425"/>
        <w:rPr>
          <w:rFonts w:ascii="Palatino Linotype" w:hAnsi="Palatino Linotype"/>
          <w:color w:val="000000"/>
          <w:sz w:val="24"/>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Informe detallado, actas de sesiones del Comité de Mejora Regulatoria y el catálogo de trámites y servicios aprobado por el mismo Comité;</w:t>
      </w:r>
    </w:p>
    <w:p w:rsidR="00534F04" w:rsidRPr="008A071D" w:rsidRDefault="00534F04" w:rsidP="00F23EC6">
      <w:pPr>
        <w:spacing w:line="360" w:lineRule="auto"/>
        <w:ind w:left="851" w:hanging="425"/>
        <w:jc w:val="both"/>
        <w:rPr>
          <w:rFonts w:ascii="Palatino Linotype" w:hAnsi="Palatino Linotype"/>
          <w:color w:val="000000"/>
          <w:sz w:val="12"/>
          <w:szCs w:val="24"/>
        </w:rPr>
      </w:pPr>
    </w:p>
    <w:p w:rsidR="00534F04" w:rsidRPr="00F23EC6" w:rsidRDefault="00534F04" w:rsidP="00F23EC6">
      <w:pPr>
        <w:spacing w:before="240" w:after="360" w:line="360" w:lineRule="auto"/>
        <w:ind w:left="851" w:right="-142" w:hanging="425"/>
        <w:jc w:val="both"/>
        <w:rPr>
          <w:rFonts w:ascii="Palatino Linotype" w:eastAsia="Calibri" w:hAnsi="Palatino Linotype" w:cs="Arial"/>
          <w:b/>
          <w:sz w:val="24"/>
          <w:szCs w:val="24"/>
          <w:lang w:val="es-ES" w:eastAsia="es-ES"/>
        </w:rPr>
      </w:pPr>
      <w:r w:rsidRPr="00F23EC6">
        <w:rPr>
          <w:rFonts w:ascii="Palatino Linotype" w:eastAsia="Calibri" w:hAnsi="Palatino Linotype" w:cs="Arial"/>
          <w:b/>
          <w:sz w:val="24"/>
          <w:szCs w:val="24"/>
          <w:lang w:val="es-ES" w:eastAsia="es-ES"/>
        </w:rPr>
        <w:t>Del 19 de junio de 2018 al 19 de junio de 2019:</w:t>
      </w: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Todos los financiamientos contratados, así como de los movimientos que se efectúen, en la que se incluya: a) los montos de financiamiento contratados; b) los plazos; c) las tasas de interés; y d) las garantías. xxvii. los montos destinados a gastos relativos a todos los programas y campañas de comunicación social y publicidad oficial del que se advierta el tipo de medio, proveedores, número de contrato y concepto;</w:t>
      </w:r>
    </w:p>
    <w:p w:rsidR="00534F04" w:rsidRPr="00F23EC6" w:rsidRDefault="00534F04" w:rsidP="00F23EC6">
      <w:pPr>
        <w:pStyle w:val="Prrafodelista"/>
        <w:spacing w:line="360" w:lineRule="auto"/>
        <w:ind w:left="851" w:hanging="425"/>
        <w:jc w:val="both"/>
        <w:rPr>
          <w:rFonts w:ascii="Palatino Linotype" w:hAnsi="Palatino Linotype"/>
          <w:color w:val="000000"/>
          <w:sz w:val="24"/>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Informes de resultados de las auditorías al ejercicio presupuestal y, en su caso, las aclaraciones que correspondan; y</w:t>
      </w:r>
    </w:p>
    <w:p w:rsidR="00534F04" w:rsidRPr="00F23EC6" w:rsidRDefault="00534F04" w:rsidP="00F23EC6">
      <w:pPr>
        <w:pStyle w:val="Prrafodelista"/>
        <w:spacing w:line="360" w:lineRule="auto"/>
        <w:ind w:left="851" w:hanging="425"/>
        <w:jc w:val="both"/>
        <w:rPr>
          <w:rFonts w:ascii="Palatino Linotype" w:hAnsi="Palatino Linotype"/>
          <w:color w:val="000000"/>
          <w:sz w:val="24"/>
          <w:szCs w:val="24"/>
        </w:rPr>
      </w:pPr>
    </w:p>
    <w:p w:rsidR="00534F04" w:rsidRPr="00F23EC6" w:rsidRDefault="00534F04" w:rsidP="00F23EC6">
      <w:pPr>
        <w:pStyle w:val="Prrafodelista"/>
        <w:numPr>
          <w:ilvl w:val="0"/>
          <w:numId w:val="16"/>
        </w:numPr>
        <w:spacing w:line="360" w:lineRule="auto"/>
        <w:ind w:left="851" w:hanging="425"/>
        <w:jc w:val="both"/>
        <w:rPr>
          <w:rFonts w:ascii="Palatino Linotype" w:hAnsi="Palatino Linotype"/>
          <w:color w:val="000000"/>
          <w:sz w:val="24"/>
          <w:szCs w:val="24"/>
        </w:rPr>
      </w:pPr>
      <w:r w:rsidRPr="00F23EC6">
        <w:rPr>
          <w:rFonts w:ascii="Palatino Linotype" w:hAnsi="Palatino Linotype"/>
          <w:color w:val="000000"/>
          <w:sz w:val="24"/>
          <w:szCs w:val="24"/>
        </w:rPr>
        <w:t xml:space="preserve">Procesos y resultados sobre procedimientos de adjudicación directa, invitación restringida y licitación de cualquier naturaleza, incluyendo la versión pública del expediente respectivo y de los contratos celebrados, de los que se advierta: a) de licitaciones públicas o procedimientos de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de las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terminación; y 11) el finiquito. </w:t>
      </w:r>
    </w:p>
    <w:p w:rsidR="000F5E0E" w:rsidRPr="00F23EC6" w:rsidRDefault="000F5E0E" w:rsidP="00F23EC6">
      <w:pPr>
        <w:spacing w:before="240" w:after="360" w:line="360" w:lineRule="auto"/>
        <w:ind w:right="-142"/>
        <w:jc w:val="both"/>
        <w:rPr>
          <w:rFonts w:ascii="Palatino Linotype" w:eastAsia="Calibri" w:hAnsi="Palatino Linotype" w:cs="Arial"/>
          <w:sz w:val="24"/>
          <w:szCs w:val="24"/>
        </w:rPr>
      </w:pPr>
      <w:r w:rsidRPr="00F23EC6">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formulen y se ponga a disposición</w:t>
      </w:r>
      <w:r w:rsidR="00F22D4A" w:rsidRPr="00F23EC6">
        <w:rPr>
          <w:rFonts w:ascii="Palatino Linotype" w:eastAsia="Calibri" w:hAnsi="Palatino Linotype" w:cs="Arial"/>
          <w:sz w:val="24"/>
          <w:szCs w:val="24"/>
        </w:rPr>
        <w:t xml:space="preserve"> del </w:t>
      </w:r>
      <w:r w:rsidR="00F22D4A" w:rsidRPr="00F23EC6">
        <w:rPr>
          <w:rFonts w:ascii="Palatino Linotype" w:eastAsia="Calibri" w:hAnsi="Palatino Linotype" w:cs="Arial"/>
          <w:b/>
          <w:sz w:val="24"/>
          <w:szCs w:val="24"/>
        </w:rPr>
        <w:t>RECURRENTE.</w:t>
      </w:r>
    </w:p>
    <w:p w:rsidR="000F5E0E" w:rsidRPr="00F23EC6" w:rsidRDefault="000F5E0E" w:rsidP="00F23EC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4" w:name="_Toc503891610"/>
      <w:bookmarkStart w:id="125" w:name="_Toc453696503"/>
      <w:bookmarkStart w:id="126" w:name="_Toc454301156"/>
      <w:bookmarkStart w:id="127" w:name="_Toc462653938"/>
      <w:bookmarkStart w:id="128" w:name="_Toc477891769"/>
      <w:bookmarkStart w:id="129" w:name="_Toc477891859"/>
      <w:bookmarkStart w:id="130" w:name="_Toc481576260"/>
      <w:bookmarkStart w:id="131" w:name="_Toc492590392"/>
      <w:r w:rsidRPr="00F23EC6">
        <w:rPr>
          <w:rFonts w:ascii="Palatino Linotype" w:eastAsia="Palatino Linotype" w:hAnsi="Palatino Linotype" w:cs="Palatino Linotype"/>
          <w:b/>
          <w:sz w:val="24"/>
          <w:szCs w:val="24"/>
          <w:lang w:val="es-ES_tradnl" w:eastAsia="es-ES"/>
        </w:rPr>
        <w:t xml:space="preserve">TERCERO. Notifíquese </w:t>
      </w:r>
      <w:r w:rsidRPr="00F23EC6">
        <w:rPr>
          <w:rFonts w:ascii="Palatino Linotype" w:eastAsia="Palatino Linotype" w:hAnsi="Palatino Linotype" w:cs="Palatino Linotype"/>
          <w:sz w:val="24"/>
          <w:szCs w:val="24"/>
          <w:lang w:val="es-ES_tradnl" w:eastAsia="es-ES"/>
        </w:rPr>
        <w:t xml:space="preserve">al Titular de la Unidad de Transparencia del </w:t>
      </w:r>
      <w:r w:rsidRPr="00F23EC6">
        <w:rPr>
          <w:rFonts w:ascii="Palatino Linotype" w:eastAsia="Palatino Linotype" w:hAnsi="Palatino Linotype" w:cs="Palatino Linotype"/>
          <w:b/>
          <w:sz w:val="24"/>
          <w:szCs w:val="24"/>
          <w:lang w:val="es-ES_tradnl" w:eastAsia="es-ES"/>
        </w:rPr>
        <w:t>SUJETO OBLIGADO</w:t>
      </w:r>
      <w:r w:rsidRPr="00F23EC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23EC6">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0F5E0E" w:rsidRPr="00F23EC6" w:rsidRDefault="000F5E0E" w:rsidP="00F23EC6">
      <w:pPr>
        <w:shd w:val="clear" w:color="auto" w:fill="FFFFFF"/>
        <w:spacing w:after="0" w:line="360" w:lineRule="auto"/>
        <w:jc w:val="both"/>
        <w:rPr>
          <w:rFonts w:ascii="Palatino Linotype" w:eastAsia="Times New Roman" w:hAnsi="Palatino Linotype" w:cs="Arial"/>
          <w:b/>
          <w:sz w:val="24"/>
          <w:szCs w:val="24"/>
          <w:lang w:val="es-ES_tradnl" w:eastAsia="es-ES"/>
        </w:rPr>
      </w:pPr>
    </w:p>
    <w:p w:rsidR="000F5E0E" w:rsidRPr="00F23EC6" w:rsidRDefault="000F5E0E" w:rsidP="00F23EC6">
      <w:pPr>
        <w:shd w:val="clear" w:color="auto" w:fill="FFFFFF"/>
        <w:spacing w:after="0" w:line="360" w:lineRule="auto"/>
        <w:jc w:val="both"/>
        <w:rPr>
          <w:rFonts w:ascii="Palatino Linotype" w:eastAsiaTheme="minorEastAsia" w:hAnsi="Palatino Linotype"/>
          <w:sz w:val="24"/>
          <w:szCs w:val="24"/>
          <w:lang w:val="es-ES_tradnl" w:eastAsia="es-ES"/>
        </w:rPr>
      </w:pPr>
      <w:r w:rsidRPr="00F23EC6">
        <w:rPr>
          <w:rFonts w:ascii="Palatino Linotype" w:eastAsia="Times New Roman" w:hAnsi="Palatino Linotype" w:cs="Arial"/>
          <w:b/>
          <w:sz w:val="24"/>
          <w:szCs w:val="24"/>
          <w:lang w:val="es-ES_tradnl" w:eastAsia="es-ES"/>
        </w:rPr>
        <w:t xml:space="preserve">CUARTO. </w:t>
      </w:r>
      <w:r w:rsidRPr="00F23EC6">
        <w:rPr>
          <w:rFonts w:ascii="Palatino Linotype" w:eastAsia="Times New Roman" w:hAnsi="Palatino Linotype" w:cs="Times New Roman"/>
          <w:b/>
          <w:bCs/>
          <w:color w:val="222222"/>
          <w:sz w:val="24"/>
          <w:szCs w:val="24"/>
          <w:lang w:val="es-ES" w:eastAsia="es-ES"/>
        </w:rPr>
        <w:t>Notifíquese a</w:t>
      </w:r>
      <w:r w:rsidR="007F681A" w:rsidRPr="00F23EC6">
        <w:rPr>
          <w:rFonts w:ascii="Palatino Linotype" w:eastAsiaTheme="minorEastAsia" w:hAnsi="Palatino Linotype"/>
          <w:b/>
          <w:sz w:val="24"/>
          <w:szCs w:val="24"/>
          <w:lang w:val="es-ES_tradnl" w:eastAsia="es-ES"/>
        </w:rPr>
        <w:t xml:space="preserve"> </w:t>
      </w:r>
      <w:r w:rsidR="00643B19" w:rsidRPr="00643B19">
        <w:rPr>
          <w:rFonts w:ascii="Palatino Linotype" w:eastAsia="Times New Roman" w:hAnsi="Palatino Linotype" w:cs="Times New Roman"/>
          <w:b/>
          <w:bCs/>
          <w:color w:val="222222"/>
          <w:sz w:val="24"/>
          <w:szCs w:val="24"/>
          <w:highlight w:val="black"/>
          <w:lang w:val="es-ES_tradnl" w:eastAsia="es-ES"/>
        </w:rPr>
        <w:t>------</w:t>
      </w:r>
      <w:r w:rsidRPr="00F23EC6">
        <w:rPr>
          <w:rFonts w:ascii="Palatino Linotype" w:eastAsiaTheme="minorEastAsia" w:hAnsi="Palatino Linotype"/>
          <w:b/>
          <w:sz w:val="24"/>
          <w:szCs w:val="24"/>
          <w:lang w:val="es-ES_tradnl" w:eastAsia="es-ES"/>
        </w:rPr>
        <w:t xml:space="preserve">, </w:t>
      </w:r>
      <w:r w:rsidRPr="00F23EC6">
        <w:rPr>
          <w:rFonts w:ascii="Palatino Linotype" w:eastAsiaTheme="minorEastAsia" w:hAnsi="Palatino Linotype"/>
          <w:sz w:val="24"/>
          <w:szCs w:val="24"/>
          <w:lang w:val="es-ES_tradnl" w:eastAsia="es-ES"/>
        </w:rPr>
        <w:t xml:space="preserve">la presente resolución. </w:t>
      </w:r>
    </w:p>
    <w:p w:rsidR="000F5E0E" w:rsidRPr="00F23EC6" w:rsidRDefault="000F5E0E" w:rsidP="00F23EC6">
      <w:pPr>
        <w:shd w:val="clear" w:color="auto" w:fill="FFFFFF"/>
        <w:spacing w:after="0" w:line="360" w:lineRule="auto"/>
        <w:jc w:val="both"/>
        <w:rPr>
          <w:rFonts w:ascii="Palatino Linotype" w:eastAsiaTheme="minorEastAsia" w:hAnsi="Palatino Linotype"/>
          <w:sz w:val="24"/>
          <w:szCs w:val="24"/>
          <w:lang w:val="es-ES_tradnl" w:eastAsia="es-ES"/>
        </w:rPr>
      </w:pPr>
    </w:p>
    <w:p w:rsidR="000F5E0E" w:rsidRPr="00F23EC6" w:rsidRDefault="000F5E0E" w:rsidP="00F23EC6">
      <w:pPr>
        <w:shd w:val="clear" w:color="auto" w:fill="FFFFFF"/>
        <w:spacing w:after="0" w:line="360" w:lineRule="auto"/>
        <w:jc w:val="both"/>
        <w:rPr>
          <w:rFonts w:ascii="Palatino Linotype" w:eastAsia="MS Mincho" w:hAnsi="Palatino Linotype" w:cs="Times New Roman"/>
          <w:sz w:val="24"/>
          <w:szCs w:val="24"/>
          <w:lang w:val="es-ES" w:eastAsia="es-ES"/>
        </w:rPr>
      </w:pPr>
      <w:r w:rsidRPr="00F23EC6">
        <w:rPr>
          <w:rFonts w:ascii="Palatino Linotype" w:eastAsia="MS Mincho" w:hAnsi="Palatino Linotype" w:cs="Times New Roman"/>
          <w:b/>
          <w:sz w:val="24"/>
          <w:szCs w:val="24"/>
          <w:lang w:eastAsia="es-ES"/>
        </w:rPr>
        <w:t>QUINTO.</w:t>
      </w:r>
      <w:r w:rsidRPr="00F23EC6">
        <w:rPr>
          <w:rFonts w:ascii="Palatino Linotype" w:eastAsia="MS Mincho" w:hAnsi="Palatino Linotype" w:cs="Times New Roman"/>
          <w:sz w:val="24"/>
          <w:szCs w:val="24"/>
          <w:lang w:eastAsia="es-ES"/>
        </w:rPr>
        <w:t xml:space="preserve"> </w:t>
      </w:r>
      <w:r w:rsidRPr="00F23EC6">
        <w:rPr>
          <w:rFonts w:ascii="Palatino Linotype" w:eastAsia="MS Mincho" w:hAnsi="Palatino Linotype" w:cs="Times New Roman"/>
          <w:sz w:val="24"/>
          <w:szCs w:val="24"/>
          <w:lang w:val="es-ES" w:eastAsia="es-ES"/>
        </w:rPr>
        <w:t xml:space="preserve">Se hace del conocimiento de </w:t>
      </w:r>
      <w:r w:rsidR="00643B19" w:rsidRPr="00643B19">
        <w:rPr>
          <w:rFonts w:ascii="Palatino Linotype" w:eastAsiaTheme="minorEastAsia" w:hAnsi="Palatino Linotype"/>
          <w:b/>
          <w:sz w:val="24"/>
          <w:szCs w:val="24"/>
          <w:highlight w:val="black"/>
          <w:lang w:val="es-ES_tradnl" w:eastAsia="es-ES"/>
        </w:rPr>
        <w:t>------</w:t>
      </w:r>
      <w:r w:rsidR="007F681A" w:rsidRPr="00F23EC6">
        <w:rPr>
          <w:rFonts w:ascii="Palatino Linotype" w:eastAsia="MS Mincho" w:hAnsi="Palatino Linotype" w:cs="Times New Roman"/>
          <w:sz w:val="24"/>
          <w:szCs w:val="24"/>
          <w:lang w:val="es-ES" w:eastAsia="es-ES"/>
        </w:rPr>
        <w:t xml:space="preserve"> </w:t>
      </w:r>
      <w:r w:rsidRPr="00F23EC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23EC6">
        <w:rPr>
          <w:rFonts w:ascii="Palatino Linotype" w:eastAsia="MS Mincho" w:hAnsi="Palatino Linotype" w:cs="Times New Roman"/>
          <w:bCs/>
          <w:sz w:val="24"/>
          <w:szCs w:val="24"/>
          <w:lang w:val="es-ES" w:eastAsia="es-ES"/>
        </w:rPr>
        <w:t>vía juicio de amparo</w:t>
      </w:r>
      <w:r w:rsidRPr="00F23EC6">
        <w:rPr>
          <w:rFonts w:ascii="Palatino Linotype" w:eastAsia="MS Mincho" w:hAnsi="Palatino Linotype" w:cs="Times New Roman"/>
          <w:sz w:val="24"/>
          <w:szCs w:val="24"/>
          <w:lang w:val="es-ES" w:eastAsia="es-ES"/>
        </w:rPr>
        <w:t> en los términos de las leyes aplicables.</w:t>
      </w:r>
    </w:p>
    <w:p w:rsidR="007F681A" w:rsidRPr="00F23EC6" w:rsidRDefault="007F681A" w:rsidP="00F23EC6">
      <w:pPr>
        <w:shd w:val="clear" w:color="auto" w:fill="FFFFFF"/>
        <w:spacing w:after="0" w:line="360" w:lineRule="auto"/>
        <w:jc w:val="both"/>
        <w:rPr>
          <w:rFonts w:ascii="Palatino Linotype" w:eastAsia="MS Mincho" w:hAnsi="Palatino Linotype" w:cs="Times New Roman"/>
          <w:b/>
          <w:sz w:val="24"/>
          <w:szCs w:val="24"/>
          <w:lang w:val="es-ES_tradnl" w:eastAsia="es-ES"/>
        </w:rPr>
      </w:pPr>
    </w:p>
    <w:p w:rsidR="008A071D" w:rsidRPr="008A071D" w:rsidRDefault="007F681A" w:rsidP="00F23EC6">
      <w:pPr>
        <w:shd w:val="clear" w:color="auto" w:fill="FFFFFF"/>
        <w:spacing w:after="0" w:line="360" w:lineRule="auto"/>
        <w:jc w:val="both"/>
        <w:rPr>
          <w:rFonts w:ascii="Palatino Linotype" w:eastAsia="MS Mincho" w:hAnsi="Palatino Linotype" w:cs="Times New Roman"/>
          <w:b/>
          <w:sz w:val="24"/>
          <w:szCs w:val="24"/>
          <w:lang w:val="es-ES_tradnl" w:eastAsia="es-ES"/>
        </w:rPr>
      </w:pPr>
      <w:r w:rsidRPr="00F23EC6">
        <w:rPr>
          <w:rFonts w:ascii="Palatino Linotype" w:eastAsia="MS Mincho" w:hAnsi="Palatino Linotype" w:cs="Times New Roman"/>
          <w:b/>
          <w:sz w:val="24"/>
          <w:szCs w:val="24"/>
          <w:lang w:val="es-ES_tradnl" w:eastAsia="es-ES"/>
        </w:rPr>
        <w:t xml:space="preserve">SEXTO. </w:t>
      </w:r>
      <w:r w:rsidRPr="00F23EC6">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F23EC6">
        <w:rPr>
          <w:rFonts w:ascii="Palatino Linotype" w:eastAsia="MS Mincho" w:hAnsi="Palatino Linotype" w:cs="Times New Roman"/>
          <w:b/>
          <w:sz w:val="24"/>
          <w:szCs w:val="24"/>
          <w:lang w:val="es-ES_tradnl" w:eastAsia="es-ES"/>
        </w:rPr>
        <w:t>S</w:t>
      </w:r>
      <w:r w:rsidR="00D92CC1" w:rsidRPr="00F23EC6">
        <w:rPr>
          <w:rFonts w:ascii="Palatino Linotype" w:eastAsia="MS Mincho" w:hAnsi="Palatino Linotype" w:cs="Times New Roman"/>
          <w:b/>
          <w:sz w:val="24"/>
          <w:szCs w:val="24"/>
          <w:lang w:val="es-ES_tradnl" w:eastAsia="es-ES"/>
        </w:rPr>
        <w:t>ÉPTIM</w:t>
      </w:r>
      <w:r w:rsidRPr="00F23EC6">
        <w:rPr>
          <w:rFonts w:ascii="Palatino Linotype" w:eastAsia="MS Mincho" w:hAnsi="Palatino Linotype" w:cs="Times New Roman"/>
          <w:b/>
          <w:sz w:val="24"/>
          <w:szCs w:val="24"/>
          <w:lang w:val="es-ES_tradnl" w:eastAsia="es-ES"/>
        </w:rPr>
        <w:t>O.</w:t>
      </w:r>
    </w:p>
    <w:bookmarkEnd w:id="124"/>
    <w:bookmarkEnd w:id="125"/>
    <w:bookmarkEnd w:id="126"/>
    <w:bookmarkEnd w:id="127"/>
    <w:bookmarkEnd w:id="128"/>
    <w:bookmarkEnd w:id="129"/>
    <w:bookmarkEnd w:id="130"/>
    <w:bookmarkEnd w:id="131"/>
    <w:p w:rsidR="000F5E0E" w:rsidRPr="00F23EC6" w:rsidRDefault="000F5E0E" w:rsidP="00F23EC6">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r w:rsidRPr="00F23EC6">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8A071D" w:rsidRPr="00F23EC6">
        <w:rPr>
          <w:rFonts w:ascii="Palatino Linotype" w:eastAsiaTheme="minorEastAsia" w:hAnsi="Palatino Linotype"/>
          <w:sz w:val="24"/>
          <w:szCs w:val="24"/>
          <w:lang w:val="es-ES_tradnl" w:eastAsia="es-ES"/>
        </w:rPr>
        <w:t>MARTÍNEZ</w:t>
      </w:r>
      <w:r w:rsidRPr="00F23EC6">
        <w:rPr>
          <w:rFonts w:ascii="Palatino Linotype" w:eastAsiaTheme="minorEastAsia" w:hAnsi="Palatino Linotype"/>
          <w:sz w:val="24"/>
          <w:szCs w:val="24"/>
          <w:lang w:val="es-ES_tradnl" w:eastAsia="es-ES"/>
        </w:rPr>
        <w:t xml:space="preserve"> </w:t>
      </w:r>
      <w:r w:rsidR="008A071D" w:rsidRPr="00F23EC6">
        <w:rPr>
          <w:rFonts w:ascii="Palatino Linotype" w:eastAsiaTheme="minorEastAsia" w:hAnsi="Palatino Linotype"/>
          <w:sz w:val="24"/>
          <w:szCs w:val="24"/>
          <w:lang w:val="es-ES_tradnl" w:eastAsia="es-ES"/>
        </w:rPr>
        <w:t>SÁNCHEZ</w:t>
      </w:r>
      <w:r w:rsidRPr="00F23EC6">
        <w:rPr>
          <w:rFonts w:ascii="Palatino Linotype" w:eastAsiaTheme="minorEastAsia" w:hAnsi="Palatino Linotype"/>
          <w:sz w:val="24"/>
          <w:szCs w:val="24"/>
          <w:lang w:val="es-ES_tradnl" w:eastAsia="es-ES"/>
        </w:rPr>
        <w:t>; EVA ABAID YAPUR; JOSÉ GUADALUPE LUNA HERNÁNDEZ; JAVIER MARTÍNEZ CRUZ Y LU</w:t>
      </w:r>
      <w:r w:rsidR="008A071D">
        <w:rPr>
          <w:rFonts w:ascii="Palatino Linotype" w:eastAsiaTheme="minorEastAsia" w:hAnsi="Palatino Linotype"/>
          <w:sz w:val="24"/>
          <w:szCs w:val="24"/>
          <w:lang w:val="es-ES_tradnl" w:eastAsia="es-ES"/>
        </w:rPr>
        <w:t>IS GUSTAVO PARRA NORIEGA; EN LA TRIGÉSIMA SÉXTA</w:t>
      </w:r>
      <w:r w:rsidRPr="00F23EC6">
        <w:rPr>
          <w:rFonts w:ascii="Palatino Linotype" w:eastAsiaTheme="minorEastAsia" w:hAnsi="Palatino Linotype"/>
          <w:sz w:val="24"/>
          <w:szCs w:val="24"/>
          <w:lang w:val="es-ES_tradnl" w:eastAsia="es-ES"/>
        </w:rPr>
        <w:t xml:space="preserve"> SESIÓ</w:t>
      </w:r>
      <w:r w:rsidR="008A071D">
        <w:rPr>
          <w:rFonts w:ascii="Palatino Linotype" w:eastAsiaTheme="minorEastAsia" w:hAnsi="Palatino Linotype"/>
          <w:sz w:val="24"/>
          <w:szCs w:val="24"/>
          <w:lang w:val="es-ES_tradnl" w:eastAsia="es-ES"/>
        </w:rPr>
        <w:t>N ORDINARIA CELEBRADA EL DOS (02) DE O</w:t>
      </w:r>
      <w:bookmarkStart w:id="132" w:name="_GoBack"/>
      <w:bookmarkEnd w:id="132"/>
      <w:r w:rsidR="008A071D">
        <w:rPr>
          <w:rFonts w:ascii="Palatino Linotype" w:eastAsiaTheme="minorEastAsia" w:hAnsi="Palatino Linotype"/>
          <w:sz w:val="24"/>
          <w:szCs w:val="24"/>
          <w:lang w:val="es-ES_tradnl" w:eastAsia="es-ES"/>
        </w:rPr>
        <w:t xml:space="preserve">CTUBRE </w:t>
      </w:r>
      <w:r w:rsidRPr="00F23EC6">
        <w:rPr>
          <w:rFonts w:ascii="Palatino Linotype" w:eastAsiaTheme="minorEastAsia" w:hAnsi="Palatino Linotype"/>
          <w:sz w:val="24"/>
          <w:szCs w:val="24"/>
          <w:lang w:val="es-ES_tradnl" w:eastAsia="es-ES"/>
        </w:rPr>
        <w:t>DE DOS MIL DIECINUEVE, ANTE EL SECRETARIO TÉCNICO DEL PLENO</w:t>
      </w:r>
      <w:r w:rsidR="008A071D">
        <w:rPr>
          <w:rFonts w:ascii="Palatino Linotype" w:eastAsiaTheme="minorEastAsia" w:hAnsi="Palatino Linotype"/>
          <w:sz w:val="24"/>
          <w:szCs w:val="24"/>
          <w:lang w:val="es-ES_tradnl" w:eastAsia="es-ES"/>
        </w:rPr>
        <w:t>,</w:t>
      </w:r>
      <w:r w:rsidRPr="00F23EC6">
        <w:rPr>
          <w:rFonts w:ascii="Palatino Linotype" w:eastAsiaTheme="minorEastAsia" w:hAnsi="Palatino Linotype"/>
          <w:sz w:val="24"/>
          <w:szCs w:val="24"/>
          <w:lang w:val="es-ES_tradnl" w:eastAsia="es-ES"/>
        </w:rPr>
        <w:t xml:space="preserve"> ALEXIS TAPIA RAMÍREZ.</w:t>
      </w:r>
      <w:r w:rsidRPr="00F23EC6">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0F5E0E" w:rsidRPr="00F23EC6" w:rsidTr="003A1D3B">
        <w:trPr>
          <w:trHeight w:val="1168"/>
        </w:trPr>
        <w:tc>
          <w:tcPr>
            <w:tcW w:w="8697" w:type="dxa"/>
            <w:gridSpan w:val="2"/>
            <w:vAlign w:val="center"/>
          </w:tcPr>
          <w:p w:rsidR="008A071D" w:rsidRDefault="008A071D" w:rsidP="00F23EC6">
            <w:pPr>
              <w:spacing w:line="360" w:lineRule="auto"/>
              <w:ind w:right="-142"/>
              <w:jc w:val="center"/>
              <w:rPr>
                <w:rFonts w:ascii="Palatino Linotype" w:eastAsiaTheme="minorEastAsia" w:hAnsi="Palatino Linotype" w:cs="Times New Roman"/>
                <w:b/>
              </w:rPr>
            </w:pPr>
          </w:p>
          <w:p w:rsidR="008A071D" w:rsidRDefault="008A071D" w:rsidP="00F23EC6">
            <w:pPr>
              <w:spacing w:line="360" w:lineRule="auto"/>
              <w:ind w:right="-142"/>
              <w:jc w:val="center"/>
              <w:rPr>
                <w:rFonts w:ascii="Palatino Linotype" w:eastAsiaTheme="minorEastAsia" w:hAnsi="Palatino Linotype" w:cs="Times New Roman"/>
                <w:b/>
              </w:rPr>
            </w:pPr>
          </w:p>
          <w:p w:rsidR="000F5E0E" w:rsidRPr="00F23EC6" w:rsidRDefault="000F5E0E" w:rsidP="00F23EC6">
            <w:pPr>
              <w:spacing w:line="360" w:lineRule="auto"/>
              <w:ind w:right="-142"/>
              <w:jc w:val="center"/>
              <w:rPr>
                <w:rFonts w:ascii="Palatino Linotype" w:eastAsiaTheme="minorEastAsia" w:hAnsi="Palatino Linotype" w:cs="Times New Roman"/>
                <w:b/>
              </w:rPr>
            </w:pPr>
            <w:r w:rsidRPr="00F23EC6">
              <w:rPr>
                <w:rFonts w:ascii="Palatino Linotype" w:eastAsiaTheme="minorEastAsia" w:hAnsi="Palatino Linotype" w:cs="Times New Roman"/>
                <w:b/>
              </w:rPr>
              <w:t>Zulema Martínez Sánchez</w:t>
            </w:r>
          </w:p>
          <w:p w:rsidR="000F5E0E" w:rsidRPr="00F23EC6" w:rsidRDefault="000F5E0E" w:rsidP="00F23EC6">
            <w:pPr>
              <w:spacing w:line="360" w:lineRule="auto"/>
              <w:ind w:right="-142"/>
              <w:jc w:val="center"/>
              <w:rPr>
                <w:rFonts w:ascii="Palatino Linotype" w:eastAsiaTheme="minorEastAsia" w:hAnsi="Palatino Linotype" w:cs="Times New Roman"/>
              </w:rPr>
            </w:pPr>
            <w:r w:rsidRPr="00F23EC6">
              <w:rPr>
                <w:rFonts w:ascii="Palatino Linotype" w:eastAsiaTheme="minorEastAsia" w:hAnsi="Palatino Linotype" w:cs="Times New Roman"/>
              </w:rPr>
              <w:t>Comisionada Presidenta</w:t>
            </w:r>
          </w:p>
          <w:p w:rsidR="000F5E0E" w:rsidRPr="00F23EC6" w:rsidRDefault="000F5E0E" w:rsidP="00F23EC6">
            <w:pPr>
              <w:spacing w:line="360" w:lineRule="auto"/>
              <w:ind w:right="-142"/>
              <w:jc w:val="center"/>
              <w:rPr>
                <w:rFonts w:ascii="Palatino Linotype" w:eastAsiaTheme="minorEastAsia" w:hAnsi="Palatino Linotype" w:cs="Times New Roman"/>
              </w:rPr>
            </w:pPr>
            <w:r w:rsidRPr="00F23EC6">
              <w:rPr>
                <w:rFonts w:ascii="Palatino Linotype" w:eastAsiaTheme="minorEastAsia" w:hAnsi="Palatino Linotype" w:cs="Times New Roman"/>
              </w:rPr>
              <w:t>(Rúbrica)</w:t>
            </w:r>
          </w:p>
        </w:tc>
      </w:tr>
      <w:tr w:rsidR="000F5E0E" w:rsidRPr="00F23EC6" w:rsidTr="003A1D3B">
        <w:trPr>
          <w:trHeight w:val="1395"/>
        </w:trPr>
        <w:tc>
          <w:tcPr>
            <w:tcW w:w="4348" w:type="dxa"/>
            <w:vAlign w:val="center"/>
          </w:tcPr>
          <w:p w:rsidR="000F5E0E" w:rsidRPr="008A071D" w:rsidRDefault="000F5E0E" w:rsidP="008A071D">
            <w:pPr>
              <w:spacing w:line="360" w:lineRule="auto"/>
              <w:ind w:right="-142"/>
              <w:rPr>
                <w:rFonts w:ascii="Palatino Linotype" w:eastAsiaTheme="minorEastAsia" w:hAnsi="Palatino Linotype" w:cs="Times New Roman"/>
                <w:b/>
                <w:sz w:val="6"/>
              </w:rPr>
            </w:pPr>
          </w:p>
          <w:p w:rsidR="000F5E0E" w:rsidRPr="00F23EC6" w:rsidRDefault="000F5E0E" w:rsidP="00F23EC6">
            <w:pPr>
              <w:spacing w:line="360" w:lineRule="auto"/>
              <w:ind w:right="-142"/>
              <w:jc w:val="center"/>
              <w:rPr>
                <w:rFonts w:ascii="Palatino Linotype" w:eastAsiaTheme="minorEastAsia" w:hAnsi="Palatino Linotype" w:cs="Times New Roman"/>
                <w:b/>
              </w:rPr>
            </w:pPr>
            <w:r w:rsidRPr="00F23EC6">
              <w:rPr>
                <w:rFonts w:ascii="Palatino Linotype" w:eastAsiaTheme="minorEastAsia" w:hAnsi="Palatino Linotype" w:cs="Times New Roman"/>
                <w:b/>
              </w:rPr>
              <w:t xml:space="preserve">Eva </w:t>
            </w:r>
            <w:proofErr w:type="spellStart"/>
            <w:r w:rsidRPr="00F23EC6">
              <w:rPr>
                <w:rFonts w:ascii="Palatino Linotype" w:eastAsiaTheme="minorEastAsia" w:hAnsi="Palatino Linotype" w:cs="Times New Roman"/>
                <w:b/>
              </w:rPr>
              <w:t>Abaid</w:t>
            </w:r>
            <w:proofErr w:type="spellEnd"/>
            <w:r w:rsidRPr="00F23EC6">
              <w:rPr>
                <w:rFonts w:ascii="Palatino Linotype" w:eastAsiaTheme="minorEastAsia" w:hAnsi="Palatino Linotype" w:cs="Times New Roman"/>
                <w:b/>
              </w:rPr>
              <w:t xml:space="preserve"> </w:t>
            </w:r>
            <w:proofErr w:type="spellStart"/>
            <w:r w:rsidRPr="00F23EC6">
              <w:rPr>
                <w:rFonts w:ascii="Palatino Linotype" w:eastAsiaTheme="minorEastAsia" w:hAnsi="Palatino Linotype" w:cs="Times New Roman"/>
                <w:b/>
              </w:rPr>
              <w:t>Yapur</w:t>
            </w:r>
            <w:proofErr w:type="spellEnd"/>
          </w:p>
          <w:p w:rsidR="000F5E0E" w:rsidRPr="00F23EC6" w:rsidRDefault="000F5E0E" w:rsidP="00F23EC6">
            <w:pPr>
              <w:spacing w:line="360" w:lineRule="auto"/>
              <w:ind w:right="-142"/>
              <w:jc w:val="center"/>
              <w:rPr>
                <w:rFonts w:ascii="Palatino Linotype" w:eastAsiaTheme="minorEastAsia" w:hAnsi="Palatino Linotype" w:cs="Times New Roman"/>
              </w:rPr>
            </w:pPr>
            <w:r w:rsidRPr="00F23EC6">
              <w:rPr>
                <w:rFonts w:ascii="Palatino Linotype" w:eastAsiaTheme="minorEastAsia" w:hAnsi="Palatino Linotype" w:cs="Times New Roman"/>
              </w:rPr>
              <w:t>Comisionada</w:t>
            </w:r>
          </w:p>
          <w:p w:rsidR="000F5E0E" w:rsidRPr="00F23EC6" w:rsidRDefault="000F5E0E" w:rsidP="00F23EC6">
            <w:pPr>
              <w:spacing w:line="360" w:lineRule="auto"/>
              <w:ind w:right="-142"/>
              <w:jc w:val="center"/>
              <w:rPr>
                <w:rFonts w:ascii="Palatino Linotype" w:eastAsiaTheme="minorEastAsia" w:hAnsi="Palatino Linotype" w:cs="Times New Roman"/>
              </w:rPr>
            </w:pPr>
            <w:r w:rsidRPr="00F23EC6">
              <w:rPr>
                <w:rFonts w:ascii="Palatino Linotype" w:eastAsiaTheme="minorEastAsia" w:hAnsi="Palatino Linotype" w:cs="Times New Roman"/>
              </w:rPr>
              <w:t>(Rúbrica)</w:t>
            </w:r>
          </w:p>
        </w:tc>
        <w:tc>
          <w:tcPr>
            <w:tcW w:w="4349" w:type="dxa"/>
            <w:vAlign w:val="center"/>
          </w:tcPr>
          <w:p w:rsidR="000F5E0E" w:rsidRPr="008A071D" w:rsidRDefault="000F5E0E" w:rsidP="00F23EC6">
            <w:pPr>
              <w:spacing w:line="360" w:lineRule="auto"/>
              <w:ind w:right="-142"/>
              <w:jc w:val="center"/>
              <w:rPr>
                <w:rFonts w:ascii="Palatino Linotype" w:eastAsiaTheme="minorEastAsia" w:hAnsi="Palatino Linotype" w:cs="Times New Roman"/>
                <w:b/>
                <w:sz w:val="6"/>
              </w:rPr>
            </w:pPr>
          </w:p>
          <w:p w:rsidR="000F5E0E" w:rsidRPr="00F23EC6" w:rsidRDefault="000F5E0E" w:rsidP="00F23EC6">
            <w:pPr>
              <w:spacing w:line="360" w:lineRule="auto"/>
              <w:ind w:right="-142"/>
              <w:jc w:val="center"/>
              <w:rPr>
                <w:rFonts w:ascii="Palatino Linotype" w:eastAsiaTheme="minorEastAsia" w:hAnsi="Palatino Linotype" w:cs="Times New Roman"/>
                <w:b/>
              </w:rPr>
            </w:pPr>
            <w:r w:rsidRPr="00F23EC6">
              <w:rPr>
                <w:rFonts w:ascii="Palatino Linotype" w:eastAsiaTheme="minorEastAsia" w:hAnsi="Palatino Linotype" w:cs="Times New Roman"/>
                <w:b/>
              </w:rPr>
              <w:t>José Guadalupe Luna Hernández</w:t>
            </w:r>
          </w:p>
          <w:p w:rsidR="000F5E0E" w:rsidRPr="00F23EC6" w:rsidRDefault="000F5E0E" w:rsidP="00F23EC6">
            <w:pPr>
              <w:spacing w:line="360" w:lineRule="auto"/>
              <w:ind w:right="-142"/>
              <w:jc w:val="center"/>
              <w:rPr>
                <w:rFonts w:ascii="Palatino Linotype" w:eastAsiaTheme="minorEastAsia" w:hAnsi="Palatino Linotype" w:cs="Times New Roman"/>
              </w:rPr>
            </w:pPr>
            <w:r w:rsidRPr="00F23EC6">
              <w:rPr>
                <w:rFonts w:ascii="Palatino Linotype" w:eastAsiaTheme="minorEastAsia" w:hAnsi="Palatino Linotype" w:cs="Times New Roman"/>
              </w:rPr>
              <w:t>Comisionado</w:t>
            </w:r>
          </w:p>
          <w:p w:rsidR="000F5E0E" w:rsidRPr="00F23EC6" w:rsidRDefault="000F5E0E" w:rsidP="00F23EC6">
            <w:pPr>
              <w:spacing w:line="360" w:lineRule="auto"/>
              <w:ind w:right="-142"/>
              <w:jc w:val="center"/>
              <w:rPr>
                <w:rFonts w:ascii="Palatino Linotype" w:eastAsiaTheme="minorEastAsia" w:hAnsi="Palatino Linotype" w:cs="Times New Roman"/>
              </w:rPr>
            </w:pPr>
            <w:r w:rsidRPr="00F23EC6">
              <w:rPr>
                <w:rFonts w:ascii="Palatino Linotype" w:eastAsiaTheme="minorEastAsia" w:hAnsi="Palatino Linotype" w:cs="Times New Roman"/>
              </w:rPr>
              <w:t>(Rúbrica)</w:t>
            </w:r>
          </w:p>
        </w:tc>
      </w:tr>
      <w:tr w:rsidR="000F5E0E" w:rsidRPr="00F23EC6" w:rsidTr="003A1D3B">
        <w:trPr>
          <w:trHeight w:val="1451"/>
        </w:trPr>
        <w:tc>
          <w:tcPr>
            <w:tcW w:w="4348" w:type="dxa"/>
            <w:vAlign w:val="center"/>
          </w:tcPr>
          <w:p w:rsidR="000F5E0E" w:rsidRPr="00F23EC6" w:rsidRDefault="000F5E0E" w:rsidP="00F23EC6">
            <w:pPr>
              <w:spacing w:line="360" w:lineRule="auto"/>
              <w:ind w:right="-142"/>
              <w:jc w:val="center"/>
              <w:rPr>
                <w:rFonts w:ascii="Palatino Linotype" w:eastAsiaTheme="minorEastAsia" w:hAnsi="Palatino Linotype" w:cs="Times New Roman"/>
                <w:b/>
              </w:rPr>
            </w:pPr>
          </w:p>
          <w:p w:rsidR="000F5E0E" w:rsidRPr="00F23EC6" w:rsidRDefault="000F5E0E" w:rsidP="00F23EC6">
            <w:pPr>
              <w:spacing w:line="360" w:lineRule="auto"/>
              <w:ind w:right="-142"/>
              <w:jc w:val="center"/>
              <w:rPr>
                <w:rFonts w:ascii="Palatino Linotype" w:eastAsiaTheme="minorEastAsia" w:hAnsi="Palatino Linotype" w:cs="Times New Roman"/>
                <w:b/>
              </w:rPr>
            </w:pPr>
            <w:r w:rsidRPr="00F23EC6">
              <w:rPr>
                <w:rFonts w:ascii="Palatino Linotype" w:eastAsiaTheme="minorEastAsia" w:hAnsi="Palatino Linotype" w:cs="Times New Roman"/>
                <w:b/>
              </w:rPr>
              <w:t>Javier Martínez Cruz</w:t>
            </w:r>
          </w:p>
          <w:p w:rsidR="000F5E0E" w:rsidRPr="00F23EC6" w:rsidRDefault="000F5E0E" w:rsidP="00F23EC6">
            <w:pPr>
              <w:spacing w:line="360" w:lineRule="auto"/>
              <w:ind w:right="-142"/>
              <w:jc w:val="center"/>
              <w:rPr>
                <w:rFonts w:ascii="Palatino Linotype" w:eastAsiaTheme="minorEastAsia" w:hAnsi="Palatino Linotype" w:cs="Times New Roman"/>
              </w:rPr>
            </w:pPr>
            <w:r w:rsidRPr="00F23EC6">
              <w:rPr>
                <w:rFonts w:ascii="Palatino Linotype" w:eastAsiaTheme="minorEastAsia" w:hAnsi="Palatino Linotype" w:cs="Times New Roman"/>
              </w:rPr>
              <w:t>Comisionado</w:t>
            </w:r>
          </w:p>
          <w:p w:rsidR="000F5E0E" w:rsidRPr="00F23EC6" w:rsidRDefault="000F5E0E" w:rsidP="00F23EC6">
            <w:pPr>
              <w:spacing w:line="360" w:lineRule="auto"/>
              <w:ind w:right="-142"/>
              <w:jc w:val="center"/>
              <w:rPr>
                <w:rFonts w:ascii="Palatino Linotype" w:eastAsiaTheme="minorEastAsia" w:hAnsi="Palatino Linotype" w:cs="Times New Roman"/>
              </w:rPr>
            </w:pPr>
            <w:r w:rsidRPr="00F23EC6">
              <w:rPr>
                <w:rFonts w:ascii="Palatino Linotype" w:eastAsiaTheme="minorEastAsia" w:hAnsi="Palatino Linotype" w:cs="Times New Roman"/>
              </w:rPr>
              <w:t>(Rúbrica)</w:t>
            </w:r>
          </w:p>
        </w:tc>
        <w:tc>
          <w:tcPr>
            <w:tcW w:w="4349" w:type="dxa"/>
            <w:vAlign w:val="center"/>
          </w:tcPr>
          <w:p w:rsidR="000F5E0E" w:rsidRPr="00F23EC6" w:rsidRDefault="000F5E0E" w:rsidP="00F23EC6">
            <w:pPr>
              <w:spacing w:line="360" w:lineRule="auto"/>
              <w:ind w:right="-142"/>
              <w:jc w:val="center"/>
              <w:rPr>
                <w:rFonts w:ascii="Palatino Linotype" w:eastAsiaTheme="minorEastAsia" w:hAnsi="Palatino Linotype" w:cs="Times New Roman"/>
                <w:b/>
              </w:rPr>
            </w:pPr>
          </w:p>
          <w:p w:rsidR="000F5E0E" w:rsidRPr="00F23EC6" w:rsidRDefault="000F5E0E" w:rsidP="00F23EC6">
            <w:pPr>
              <w:spacing w:line="360" w:lineRule="auto"/>
              <w:ind w:right="-142"/>
              <w:jc w:val="center"/>
              <w:rPr>
                <w:rFonts w:ascii="Palatino Linotype" w:eastAsiaTheme="minorEastAsia" w:hAnsi="Palatino Linotype" w:cs="Times New Roman"/>
                <w:b/>
              </w:rPr>
            </w:pPr>
            <w:r w:rsidRPr="00F23EC6">
              <w:rPr>
                <w:rFonts w:ascii="Palatino Linotype" w:eastAsiaTheme="minorEastAsia" w:hAnsi="Palatino Linotype" w:cs="Times New Roman"/>
                <w:b/>
              </w:rPr>
              <w:t>Luis Gustavo Parra Noriega</w:t>
            </w:r>
          </w:p>
          <w:p w:rsidR="000F5E0E" w:rsidRPr="00F23EC6" w:rsidRDefault="000F5E0E" w:rsidP="00F23EC6">
            <w:pPr>
              <w:spacing w:line="360" w:lineRule="auto"/>
              <w:ind w:right="-142"/>
              <w:jc w:val="center"/>
              <w:rPr>
                <w:rFonts w:ascii="Palatino Linotype" w:eastAsiaTheme="minorEastAsia" w:hAnsi="Palatino Linotype" w:cs="Times New Roman"/>
              </w:rPr>
            </w:pPr>
            <w:r w:rsidRPr="00F23EC6">
              <w:rPr>
                <w:rFonts w:ascii="Palatino Linotype" w:eastAsiaTheme="minorEastAsia" w:hAnsi="Palatino Linotype" w:cs="Times New Roman"/>
              </w:rPr>
              <w:t>Comisionado</w:t>
            </w:r>
          </w:p>
          <w:p w:rsidR="000F5E0E" w:rsidRPr="00F23EC6" w:rsidRDefault="000F5E0E" w:rsidP="00F23EC6">
            <w:pPr>
              <w:spacing w:line="360" w:lineRule="auto"/>
              <w:ind w:right="-142"/>
              <w:jc w:val="center"/>
              <w:rPr>
                <w:rFonts w:ascii="Palatino Linotype" w:eastAsiaTheme="minorEastAsia" w:hAnsi="Palatino Linotype" w:cs="Times New Roman"/>
              </w:rPr>
            </w:pPr>
            <w:r w:rsidRPr="00F23EC6">
              <w:rPr>
                <w:rFonts w:ascii="Palatino Linotype" w:eastAsiaTheme="minorEastAsia" w:hAnsi="Palatino Linotype" w:cs="Times New Roman"/>
              </w:rPr>
              <w:t>(Rúbrica)</w:t>
            </w:r>
          </w:p>
        </w:tc>
      </w:tr>
      <w:tr w:rsidR="000F5E0E" w:rsidRPr="00F23EC6" w:rsidTr="003A1D3B">
        <w:trPr>
          <w:trHeight w:val="1263"/>
        </w:trPr>
        <w:tc>
          <w:tcPr>
            <w:tcW w:w="8697" w:type="dxa"/>
            <w:gridSpan w:val="2"/>
            <w:vAlign w:val="center"/>
          </w:tcPr>
          <w:p w:rsidR="000F5E0E" w:rsidRPr="00F23EC6" w:rsidRDefault="000F5E0E" w:rsidP="00F23EC6">
            <w:pPr>
              <w:spacing w:line="360" w:lineRule="auto"/>
              <w:ind w:right="-142"/>
              <w:jc w:val="center"/>
              <w:rPr>
                <w:rFonts w:ascii="Palatino Linotype" w:eastAsiaTheme="minorEastAsia" w:hAnsi="Palatino Linotype" w:cs="Times New Roman"/>
                <w:b/>
              </w:rPr>
            </w:pPr>
          </w:p>
          <w:p w:rsidR="000F5E0E" w:rsidRPr="00F23EC6" w:rsidRDefault="000F5E0E" w:rsidP="00F23EC6">
            <w:pPr>
              <w:spacing w:line="360" w:lineRule="auto"/>
              <w:ind w:right="-142"/>
              <w:jc w:val="center"/>
              <w:rPr>
                <w:rFonts w:ascii="Palatino Linotype" w:eastAsiaTheme="minorEastAsia" w:hAnsi="Palatino Linotype" w:cs="Times New Roman"/>
                <w:b/>
              </w:rPr>
            </w:pPr>
            <w:r w:rsidRPr="00F23EC6">
              <w:rPr>
                <w:rFonts w:ascii="Palatino Linotype" w:eastAsiaTheme="minorEastAsia" w:hAnsi="Palatino Linotype" w:cs="Times New Roman"/>
                <w:b/>
              </w:rPr>
              <w:t>Alexis Tapia Ramírez</w:t>
            </w:r>
          </w:p>
          <w:p w:rsidR="000F5E0E" w:rsidRPr="00F23EC6" w:rsidRDefault="000F5E0E" w:rsidP="00F23EC6">
            <w:pPr>
              <w:spacing w:line="360" w:lineRule="auto"/>
              <w:ind w:right="-142"/>
              <w:jc w:val="center"/>
              <w:rPr>
                <w:rFonts w:ascii="Palatino Linotype" w:eastAsiaTheme="minorEastAsia" w:hAnsi="Palatino Linotype" w:cs="Times New Roman"/>
              </w:rPr>
            </w:pPr>
            <w:r w:rsidRPr="00F23EC6">
              <w:rPr>
                <w:rFonts w:ascii="Palatino Linotype" w:eastAsiaTheme="minorEastAsia" w:hAnsi="Palatino Linotype" w:cs="Times New Roman"/>
              </w:rPr>
              <w:t>Secretario Técnico del Pleno</w:t>
            </w:r>
          </w:p>
          <w:p w:rsidR="000F5E0E" w:rsidRPr="00F23EC6" w:rsidRDefault="008A071D" w:rsidP="008A071D">
            <w:pPr>
              <w:spacing w:line="360" w:lineRule="auto"/>
              <w:ind w:right="-142"/>
              <w:jc w:val="center"/>
              <w:rPr>
                <w:rFonts w:ascii="Palatino Linotype" w:eastAsiaTheme="minorEastAsia" w:hAnsi="Palatino Linotype" w:cs="Times New Roman"/>
              </w:rPr>
            </w:pPr>
            <w:r>
              <w:rPr>
                <w:rFonts w:ascii="Palatino Linotype" w:eastAsiaTheme="minorEastAsia" w:hAnsi="Palatino Linotype" w:cs="Times New Roman"/>
              </w:rPr>
              <w:t>(Rúbrica)</w:t>
            </w:r>
          </w:p>
        </w:tc>
      </w:tr>
    </w:tbl>
    <w:p w:rsidR="004D3650" w:rsidRPr="00F23EC6" w:rsidRDefault="000F5E0E" w:rsidP="008A071D">
      <w:pPr>
        <w:spacing w:before="240" w:after="240" w:line="360" w:lineRule="auto"/>
        <w:ind w:right="-142"/>
        <w:jc w:val="both"/>
        <w:rPr>
          <w:rFonts w:ascii="Palatino Linotype" w:hAnsi="Palatino Linotype"/>
          <w:sz w:val="24"/>
          <w:szCs w:val="24"/>
        </w:rPr>
      </w:pPr>
      <w:r w:rsidRPr="00F23EC6">
        <w:rPr>
          <w:rFonts w:ascii="Palatino Linotype" w:eastAsia="Times New Roman" w:hAnsi="Palatino Linotype" w:cs="Arial"/>
          <w:sz w:val="24"/>
          <w:szCs w:val="24"/>
          <w:lang w:val="es-ES_tradnl" w:eastAsia="es-ES"/>
        </w:rPr>
        <w:t xml:space="preserve">Esta hoja corresponde </w:t>
      </w:r>
      <w:r w:rsidR="008A071D">
        <w:rPr>
          <w:rFonts w:ascii="Palatino Linotype" w:eastAsia="Times New Roman" w:hAnsi="Palatino Linotype" w:cs="Arial"/>
          <w:sz w:val="24"/>
          <w:szCs w:val="24"/>
          <w:lang w:val="es-ES_tradnl" w:eastAsia="es-ES"/>
        </w:rPr>
        <w:t xml:space="preserve">a la resolución de fecha dos (02) de octubre </w:t>
      </w:r>
      <w:r w:rsidRPr="00F23EC6">
        <w:rPr>
          <w:rFonts w:ascii="Palatino Linotype" w:eastAsia="Times New Roman" w:hAnsi="Palatino Linotype" w:cs="Arial"/>
          <w:sz w:val="24"/>
          <w:szCs w:val="24"/>
          <w:lang w:val="es-ES_tradnl" w:eastAsia="es-ES"/>
        </w:rPr>
        <w:t xml:space="preserve">de dos mil diecinueve, emitida en el recurso de revisión </w:t>
      </w:r>
      <w:r w:rsidRPr="00F23EC6">
        <w:rPr>
          <w:rFonts w:ascii="Palatino Linotype" w:eastAsia="Times New Roman" w:hAnsi="Palatino Linotype" w:cs="Arial"/>
          <w:b/>
          <w:sz w:val="24"/>
          <w:szCs w:val="24"/>
          <w:lang w:val="es-ES_tradnl" w:eastAsia="es-ES"/>
        </w:rPr>
        <w:t>0</w:t>
      </w:r>
      <w:r w:rsidR="008A071D">
        <w:rPr>
          <w:rFonts w:ascii="Palatino Linotype" w:eastAsia="Times New Roman" w:hAnsi="Palatino Linotype" w:cs="Arial"/>
          <w:b/>
          <w:sz w:val="24"/>
          <w:szCs w:val="24"/>
          <w:lang w:val="es-ES_tradnl" w:eastAsia="es-ES"/>
        </w:rPr>
        <w:t>6203</w:t>
      </w:r>
      <w:r w:rsidRPr="00F23EC6">
        <w:rPr>
          <w:rFonts w:ascii="Palatino Linotype" w:eastAsia="Times New Roman" w:hAnsi="Palatino Linotype" w:cs="Arial"/>
          <w:b/>
          <w:sz w:val="24"/>
          <w:szCs w:val="24"/>
          <w:lang w:val="es-ES_tradnl" w:eastAsia="es-ES"/>
        </w:rPr>
        <w:t>/INFOEM/IP/RR/2019</w:t>
      </w:r>
      <w:r w:rsidR="00940AA4" w:rsidRPr="00F23EC6">
        <w:rPr>
          <w:rFonts w:ascii="Palatino Linotype" w:eastAsia="Times New Roman" w:hAnsi="Palatino Linotype" w:cs="Arial"/>
          <w:sz w:val="24"/>
          <w:szCs w:val="24"/>
          <w:lang w:val="es-ES_tradnl" w:eastAsia="es-ES"/>
        </w:rPr>
        <w:t xml:space="preserve"> </w:t>
      </w:r>
      <w:r w:rsidR="00940AA4" w:rsidRPr="00F23EC6">
        <w:rPr>
          <w:rFonts w:ascii="Palatino Linotype" w:eastAsia="Times New Roman" w:hAnsi="Palatino Linotype" w:cs="Arial"/>
          <w:b/>
          <w:sz w:val="24"/>
          <w:szCs w:val="24"/>
          <w:lang w:val="es-ES_tradnl" w:eastAsia="es-ES"/>
        </w:rPr>
        <w:t xml:space="preserve">y </w:t>
      </w:r>
      <w:r w:rsidR="008A071D">
        <w:rPr>
          <w:rFonts w:ascii="Palatino Linotype" w:eastAsia="Times New Roman" w:hAnsi="Palatino Linotype" w:cs="Arial"/>
          <w:b/>
          <w:sz w:val="24"/>
          <w:szCs w:val="24"/>
          <w:lang w:val="es-ES_tradnl" w:eastAsia="es-ES"/>
        </w:rPr>
        <w:t>Acumulados.</w:t>
      </w:r>
    </w:p>
    <w:sectPr w:rsidR="004D3650" w:rsidRPr="00F23EC6" w:rsidSect="00F23EC6">
      <w:headerReference w:type="default" r:id="rId18"/>
      <w:footerReference w:type="default" r:id="rId19"/>
      <w:headerReference w:type="first" r:id="rId20"/>
      <w:footerReference w:type="first" r:id="rId2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9EA" w:rsidRDefault="003A29EA" w:rsidP="000F5E0E">
      <w:pPr>
        <w:spacing w:after="0" w:line="240" w:lineRule="auto"/>
      </w:pPr>
      <w:r>
        <w:separator/>
      </w:r>
    </w:p>
  </w:endnote>
  <w:endnote w:type="continuationSeparator" w:id="0">
    <w:p w:rsidR="003A29EA" w:rsidRDefault="003A29EA" w:rsidP="000F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39254359"/>
      <w:docPartObj>
        <w:docPartGallery w:val="Page Numbers (Bottom of Page)"/>
        <w:docPartUnique/>
      </w:docPartObj>
    </w:sdtPr>
    <w:sdtEndPr/>
    <w:sdtContent>
      <w:sdt>
        <w:sdtPr>
          <w:rPr>
            <w:rFonts w:ascii="Palatino Linotype" w:hAnsi="Palatino Linotype"/>
            <w:sz w:val="28"/>
          </w:rPr>
          <w:id w:val="2139911600"/>
          <w:docPartObj>
            <w:docPartGallery w:val="Page Numbers (Top of Page)"/>
            <w:docPartUnique/>
          </w:docPartObj>
        </w:sdtPr>
        <w:sdtEndPr/>
        <w:sdtContent>
          <w:p w:rsidR="00F23EC6" w:rsidRPr="00883450" w:rsidRDefault="00F23EC6">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26E9C">
              <w:rPr>
                <w:rFonts w:ascii="Palatino Linotype" w:hAnsi="Palatino Linotype"/>
                <w:b/>
                <w:bCs/>
                <w:noProof/>
                <w:szCs w:val="20"/>
              </w:rPr>
              <w:t>94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26E9C">
              <w:rPr>
                <w:rFonts w:ascii="Palatino Linotype" w:hAnsi="Palatino Linotype"/>
                <w:b/>
                <w:bCs/>
                <w:noProof/>
                <w:szCs w:val="20"/>
              </w:rPr>
              <w:t>96</w:t>
            </w:r>
            <w:r w:rsidRPr="00883450">
              <w:rPr>
                <w:rFonts w:ascii="Palatino Linotype" w:hAnsi="Palatino Linotype"/>
                <w:b/>
                <w:bCs/>
                <w:szCs w:val="20"/>
              </w:rPr>
              <w:fldChar w:fldCharType="end"/>
            </w:r>
          </w:p>
        </w:sdtContent>
      </w:sdt>
    </w:sdtContent>
  </w:sdt>
  <w:p w:rsidR="00F23EC6" w:rsidRDefault="00F23E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EC6" w:rsidRPr="00883450" w:rsidRDefault="00F23EC6" w:rsidP="003A1D3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26E9C" w:rsidRPr="00026E9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26E9C" w:rsidRPr="00026E9C">
      <w:rPr>
        <w:rFonts w:ascii="Palatino Linotype" w:hAnsi="Palatino Linotype"/>
        <w:noProof/>
        <w:lang w:val="es-ES"/>
      </w:rPr>
      <w:t>96</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9EA" w:rsidRDefault="003A29EA" w:rsidP="000F5E0E">
      <w:pPr>
        <w:spacing w:after="0" w:line="240" w:lineRule="auto"/>
      </w:pPr>
      <w:r>
        <w:separator/>
      </w:r>
    </w:p>
  </w:footnote>
  <w:footnote w:type="continuationSeparator" w:id="0">
    <w:p w:rsidR="003A29EA" w:rsidRDefault="003A29EA" w:rsidP="000F5E0E">
      <w:pPr>
        <w:spacing w:after="0" w:line="240" w:lineRule="auto"/>
      </w:pPr>
      <w:r>
        <w:continuationSeparator/>
      </w:r>
    </w:p>
  </w:footnote>
  <w:footnote w:id="1">
    <w:p w:rsidR="00F23EC6" w:rsidRPr="00F75272" w:rsidRDefault="00F23EC6" w:rsidP="00322D7A">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F23EC6" w:rsidRPr="00B376AD" w:rsidRDefault="00F23EC6" w:rsidP="003834B4">
      <w:pPr>
        <w:pStyle w:val="Textonotapie"/>
        <w:jc w:val="both"/>
        <w:rPr>
          <w:rFonts w:ascii="Palatino Linotype" w:hAnsi="Palatino Linotype"/>
        </w:rPr>
      </w:pPr>
      <w:r w:rsidRPr="00B376AD">
        <w:rPr>
          <w:rStyle w:val="Refdenotaalpie"/>
          <w:rFonts w:ascii="Palatino Linotype" w:hAnsi="Palatino Linotype"/>
        </w:rPr>
        <w:footnoteRef/>
      </w:r>
      <w:r w:rsidRPr="00B376AD">
        <w:rPr>
          <w:rFonts w:ascii="Palatino Linotype" w:hAnsi="Palatino Linotype"/>
        </w:rPr>
        <w:t xml:space="preserve"> La Ley General de Transparencia y Acceso a la Información Pública fue publicada en el Diario Oficial de la Federación el 04 de mayo de 2015. </w:t>
      </w:r>
    </w:p>
  </w:footnote>
  <w:footnote w:id="3">
    <w:p w:rsidR="00F23EC6" w:rsidRDefault="00F23EC6" w:rsidP="000F5E0E">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23EC6" w:rsidRDefault="00F23EC6" w:rsidP="000F5E0E">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23EC6" w:rsidRPr="001E1F95" w:rsidRDefault="00F23EC6" w:rsidP="000F5E0E">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F23EC6" w:rsidRPr="00034B44" w:rsidRDefault="00F23EC6" w:rsidP="000F5E0E">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F23EC6" w:rsidRPr="00034B44" w:rsidRDefault="00F23EC6" w:rsidP="000F5E0E">
      <w:pPr>
        <w:pStyle w:val="ADB1"/>
        <w:jc w:val="both"/>
        <w:rPr>
          <w:rFonts w:ascii="Palatino Linotype" w:hAnsi="Palatino Linotype"/>
          <w:sz w:val="18"/>
        </w:rPr>
      </w:pPr>
      <w:r w:rsidRPr="00034B44">
        <w:rPr>
          <w:rFonts w:ascii="Palatino Linotype" w:hAnsi="Palatino Linotype"/>
          <w:sz w:val="18"/>
        </w:rPr>
        <w:t xml:space="preserve"> (…)</w:t>
      </w:r>
    </w:p>
    <w:p w:rsidR="00F23EC6" w:rsidRPr="00034B44" w:rsidRDefault="00F23EC6" w:rsidP="000F5E0E">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EC6" w:rsidRDefault="00F23EC6">
    <w:pPr>
      <w:pStyle w:val="Encabezado"/>
    </w:pPr>
  </w:p>
  <w:p w:rsidR="00F23EC6" w:rsidRDefault="00F23EC6">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F23EC6" w:rsidRPr="00EF13C1" w:rsidTr="003A1D3B">
      <w:trPr>
        <w:trHeight w:val="138"/>
      </w:trPr>
      <w:tc>
        <w:tcPr>
          <w:tcW w:w="2977" w:type="dxa"/>
          <w:vAlign w:val="center"/>
        </w:tcPr>
        <w:p w:rsidR="00F23EC6" w:rsidRPr="00EF13C1" w:rsidRDefault="00F23EC6" w:rsidP="003A1D3B">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F23EC6" w:rsidRPr="00EF13C1" w:rsidRDefault="00F23EC6" w:rsidP="00B57D87">
          <w:pPr>
            <w:pStyle w:val="Encabezado"/>
            <w:rPr>
              <w:rFonts w:ascii="Palatino Linotype" w:hAnsi="Palatino Linotype"/>
              <w:b/>
              <w:sz w:val="22"/>
              <w:szCs w:val="22"/>
            </w:rPr>
          </w:pPr>
          <w:r>
            <w:rPr>
              <w:rFonts w:ascii="Palatino Linotype" w:hAnsi="Palatino Linotype" w:cs="Arial"/>
              <w:b/>
              <w:bCs/>
              <w:sz w:val="22"/>
              <w:szCs w:val="22"/>
              <w:lang w:eastAsia="es-MX"/>
            </w:rPr>
            <w:t>06203/INFOEM/IP/RR/2019</w:t>
          </w:r>
          <w:r>
            <w:t xml:space="preserve"> </w:t>
          </w:r>
          <w:r w:rsidRPr="00940AA4">
            <w:rPr>
              <w:rFonts w:ascii="Palatino Linotype" w:hAnsi="Palatino Linotype" w:cs="Arial"/>
              <w:b/>
              <w:bCs/>
              <w:sz w:val="22"/>
              <w:szCs w:val="22"/>
              <w:lang w:eastAsia="es-MX"/>
            </w:rPr>
            <w:t xml:space="preserve">y </w:t>
          </w:r>
          <w:r>
            <w:rPr>
              <w:rFonts w:ascii="Palatino Linotype" w:hAnsi="Palatino Linotype" w:cs="Arial"/>
              <w:b/>
              <w:bCs/>
              <w:sz w:val="22"/>
              <w:szCs w:val="22"/>
              <w:lang w:eastAsia="es-MX"/>
            </w:rPr>
            <w:t xml:space="preserve">acumulados </w:t>
          </w:r>
        </w:p>
      </w:tc>
    </w:tr>
    <w:tr w:rsidR="00F23EC6" w:rsidRPr="00EF13C1" w:rsidTr="003A1D3B">
      <w:trPr>
        <w:gridAfter w:val="1"/>
        <w:wAfter w:w="142" w:type="dxa"/>
        <w:trHeight w:val="321"/>
      </w:trPr>
      <w:tc>
        <w:tcPr>
          <w:tcW w:w="2977" w:type="dxa"/>
          <w:vAlign w:val="center"/>
        </w:tcPr>
        <w:p w:rsidR="00F23EC6" w:rsidRPr="00EF13C1" w:rsidRDefault="00F23EC6" w:rsidP="003A1D3B">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F23EC6" w:rsidRPr="00EF13C1" w:rsidRDefault="00F23EC6" w:rsidP="00B57D87">
          <w:pPr>
            <w:pStyle w:val="Encabezado"/>
            <w:ind w:right="-108"/>
            <w:rPr>
              <w:rFonts w:ascii="Palatino Linotype" w:hAnsi="Palatino Linotype"/>
              <w:b/>
              <w:sz w:val="22"/>
              <w:szCs w:val="22"/>
            </w:rPr>
          </w:pPr>
          <w:r w:rsidRPr="00B57D87">
            <w:rPr>
              <w:rFonts w:ascii="Palatino Linotype" w:hAnsi="Palatino Linotype"/>
              <w:b/>
              <w:sz w:val="22"/>
              <w:szCs w:val="22"/>
            </w:rPr>
            <w:t>Sistema Municipal Para el Desarrollo Integral de la Familia de Tecámac</w:t>
          </w:r>
        </w:p>
      </w:tc>
    </w:tr>
    <w:tr w:rsidR="00F23EC6" w:rsidRPr="00EF13C1" w:rsidTr="003A1D3B">
      <w:trPr>
        <w:trHeight w:val="321"/>
      </w:trPr>
      <w:tc>
        <w:tcPr>
          <w:tcW w:w="2977" w:type="dxa"/>
          <w:vAlign w:val="center"/>
        </w:tcPr>
        <w:p w:rsidR="00F23EC6" w:rsidRPr="00EF13C1" w:rsidRDefault="00F23EC6" w:rsidP="003A1D3B">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F23EC6" w:rsidRPr="00EF13C1" w:rsidRDefault="00F23EC6" w:rsidP="00B57D8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23EC6" w:rsidRDefault="00F23EC6" w:rsidP="003A1D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EC6" w:rsidRDefault="00F23EC6" w:rsidP="003A1D3B">
    <w:pPr>
      <w:pStyle w:val="Encabezado"/>
      <w:tabs>
        <w:tab w:val="left" w:pos="3103"/>
      </w:tabs>
    </w:pPr>
    <w:r>
      <w:tab/>
    </w:r>
    <w:r>
      <w:tab/>
    </w:r>
  </w:p>
  <w:tbl>
    <w:tblPr>
      <w:tblStyle w:val="Tablaconcuadrcula"/>
      <w:tblW w:w="7513"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25"/>
      <w:gridCol w:w="4536"/>
    </w:tblGrid>
    <w:tr w:rsidR="00F23EC6" w:rsidRPr="00182113" w:rsidTr="00EA35BA">
      <w:trPr>
        <w:trHeight w:val="138"/>
      </w:trPr>
      <w:tc>
        <w:tcPr>
          <w:tcW w:w="2552" w:type="dxa"/>
          <w:vAlign w:val="center"/>
        </w:tcPr>
        <w:p w:rsidR="00F23EC6" w:rsidRPr="00182113" w:rsidRDefault="00F23EC6" w:rsidP="003A1D3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425" w:type="dxa"/>
          <w:vAlign w:val="center"/>
        </w:tcPr>
        <w:p w:rsidR="00F23EC6" w:rsidRPr="00182113" w:rsidRDefault="00F23EC6" w:rsidP="003A1D3B">
          <w:pPr>
            <w:pStyle w:val="Encabezado"/>
            <w:jc w:val="center"/>
            <w:rPr>
              <w:rFonts w:ascii="Palatino Linotype" w:hAnsi="Palatino Linotype"/>
              <w:b/>
              <w:sz w:val="22"/>
              <w:szCs w:val="22"/>
            </w:rPr>
          </w:pPr>
        </w:p>
      </w:tc>
      <w:tc>
        <w:tcPr>
          <w:tcW w:w="4536" w:type="dxa"/>
          <w:vAlign w:val="center"/>
        </w:tcPr>
        <w:p w:rsidR="00F23EC6" w:rsidRPr="005143E6" w:rsidRDefault="00F23EC6" w:rsidP="00B57D87">
          <w:pPr>
            <w:pStyle w:val="Encabezado"/>
            <w:tabs>
              <w:tab w:val="clear" w:pos="4419"/>
              <w:tab w:val="center" w:pos="4286"/>
            </w:tabs>
            <w:rPr>
              <w:rFonts w:ascii="Palatino Linotype" w:hAnsi="Palatino Linotype" w:cs="Arial"/>
              <w:b/>
              <w:bCs/>
              <w:lang w:eastAsia="es-MX"/>
            </w:rPr>
          </w:pPr>
          <w:r>
            <w:rPr>
              <w:rFonts w:ascii="Palatino Linotype" w:hAnsi="Palatino Linotype" w:cs="Arial"/>
              <w:b/>
              <w:bCs/>
              <w:lang w:eastAsia="es-MX"/>
            </w:rPr>
            <w:t>06203/</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r w:rsidRPr="00940AA4">
            <w:rPr>
              <w:rFonts w:ascii="Palatino Linotype" w:hAnsi="Palatino Linotype" w:cs="Arial"/>
              <w:b/>
              <w:bCs/>
              <w:lang w:eastAsia="es-MX"/>
            </w:rPr>
            <w:t xml:space="preserve">y </w:t>
          </w:r>
          <w:r>
            <w:rPr>
              <w:rFonts w:ascii="Palatino Linotype" w:hAnsi="Palatino Linotype" w:cs="Arial"/>
              <w:b/>
              <w:bCs/>
              <w:lang w:eastAsia="es-MX"/>
            </w:rPr>
            <w:t>acumulados</w:t>
          </w:r>
        </w:p>
      </w:tc>
    </w:tr>
    <w:tr w:rsidR="00F23EC6" w:rsidRPr="00182113" w:rsidTr="00EA35BA">
      <w:trPr>
        <w:trHeight w:val="227"/>
      </w:trPr>
      <w:tc>
        <w:tcPr>
          <w:tcW w:w="2552" w:type="dxa"/>
          <w:vAlign w:val="center"/>
        </w:tcPr>
        <w:p w:rsidR="00F23EC6" w:rsidRPr="00182113" w:rsidRDefault="00F23EC6" w:rsidP="003A1D3B">
          <w:pPr>
            <w:rPr>
              <w:rFonts w:ascii="Palatino Linotype" w:hAnsi="Palatino Linotype"/>
              <w:b/>
              <w:sz w:val="22"/>
              <w:szCs w:val="22"/>
            </w:rPr>
          </w:pPr>
          <w:r w:rsidRPr="00182113">
            <w:rPr>
              <w:rFonts w:ascii="Palatino Linotype" w:hAnsi="Palatino Linotype"/>
              <w:b/>
              <w:sz w:val="22"/>
              <w:szCs w:val="22"/>
            </w:rPr>
            <w:t>Recurrente:</w:t>
          </w:r>
        </w:p>
      </w:tc>
      <w:tc>
        <w:tcPr>
          <w:tcW w:w="425" w:type="dxa"/>
          <w:vAlign w:val="center"/>
        </w:tcPr>
        <w:p w:rsidR="00F23EC6" w:rsidRPr="00182113" w:rsidRDefault="00F23EC6" w:rsidP="003A1D3B">
          <w:pPr>
            <w:pStyle w:val="Encabezado"/>
            <w:jc w:val="center"/>
            <w:rPr>
              <w:rFonts w:ascii="Palatino Linotype" w:hAnsi="Palatino Linotype"/>
              <w:b/>
              <w:sz w:val="22"/>
              <w:szCs w:val="22"/>
            </w:rPr>
          </w:pPr>
        </w:p>
      </w:tc>
      <w:tc>
        <w:tcPr>
          <w:tcW w:w="4536" w:type="dxa"/>
          <w:vAlign w:val="center"/>
        </w:tcPr>
        <w:p w:rsidR="00F23EC6" w:rsidRPr="00846952" w:rsidRDefault="00643B19" w:rsidP="00EA35BA">
          <w:pPr>
            <w:pStyle w:val="Encabezado"/>
            <w:ind w:right="34"/>
            <w:rPr>
              <w:rFonts w:ascii="Palatino Linotype" w:hAnsi="Palatino Linotype"/>
              <w:b/>
            </w:rPr>
          </w:pPr>
          <w:r w:rsidRPr="00643B19">
            <w:rPr>
              <w:rFonts w:ascii="Palatino Linotype" w:hAnsi="Palatino Linotype"/>
              <w:b/>
              <w:sz w:val="22"/>
              <w:szCs w:val="22"/>
              <w:highlight w:val="black"/>
            </w:rPr>
            <w:t>---------</w:t>
          </w:r>
        </w:p>
      </w:tc>
    </w:tr>
    <w:tr w:rsidR="00F23EC6" w:rsidRPr="00182113" w:rsidTr="00EA35BA">
      <w:trPr>
        <w:trHeight w:val="232"/>
      </w:trPr>
      <w:tc>
        <w:tcPr>
          <w:tcW w:w="2552" w:type="dxa"/>
          <w:vAlign w:val="center"/>
        </w:tcPr>
        <w:p w:rsidR="00F23EC6" w:rsidRPr="00182113" w:rsidRDefault="00F23EC6" w:rsidP="003A1D3B">
          <w:pPr>
            <w:rPr>
              <w:rFonts w:ascii="Palatino Linotype" w:hAnsi="Palatino Linotype"/>
              <w:b/>
              <w:sz w:val="22"/>
              <w:szCs w:val="22"/>
            </w:rPr>
          </w:pPr>
          <w:r w:rsidRPr="00182113">
            <w:rPr>
              <w:rFonts w:ascii="Palatino Linotype" w:hAnsi="Palatino Linotype"/>
              <w:b/>
              <w:sz w:val="22"/>
              <w:szCs w:val="22"/>
            </w:rPr>
            <w:t>Sujeto obligado:</w:t>
          </w:r>
        </w:p>
      </w:tc>
      <w:tc>
        <w:tcPr>
          <w:tcW w:w="425" w:type="dxa"/>
          <w:vAlign w:val="center"/>
        </w:tcPr>
        <w:p w:rsidR="00F23EC6" w:rsidRPr="00182113" w:rsidRDefault="00F23EC6" w:rsidP="003A1D3B">
          <w:pPr>
            <w:pStyle w:val="Encabezado"/>
            <w:jc w:val="center"/>
            <w:rPr>
              <w:rFonts w:ascii="Palatino Linotype" w:hAnsi="Palatino Linotype"/>
              <w:b/>
              <w:sz w:val="22"/>
              <w:szCs w:val="22"/>
            </w:rPr>
          </w:pPr>
        </w:p>
      </w:tc>
      <w:tc>
        <w:tcPr>
          <w:tcW w:w="4536" w:type="dxa"/>
          <w:vAlign w:val="center"/>
        </w:tcPr>
        <w:p w:rsidR="00F23EC6" w:rsidRPr="00182113" w:rsidRDefault="00F23EC6" w:rsidP="00EA35BA">
          <w:pPr>
            <w:pStyle w:val="Encabezado"/>
            <w:ind w:right="34"/>
            <w:rPr>
              <w:rFonts w:ascii="Palatino Linotype" w:hAnsi="Palatino Linotype"/>
              <w:b/>
              <w:sz w:val="22"/>
              <w:szCs w:val="22"/>
            </w:rPr>
          </w:pPr>
          <w:r w:rsidRPr="00B57D87">
            <w:rPr>
              <w:rFonts w:ascii="Palatino Linotype" w:hAnsi="Palatino Linotype"/>
              <w:b/>
              <w:sz w:val="22"/>
              <w:szCs w:val="22"/>
            </w:rPr>
            <w:t>Sistema Municipal Para el Desarrollo Integral de la Familia de Tecámac</w:t>
          </w:r>
        </w:p>
      </w:tc>
    </w:tr>
    <w:tr w:rsidR="00F23EC6" w:rsidRPr="00182113" w:rsidTr="00EA35BA">
      <w:trPr>
        <w:trHeight w:val="320"/>
      </w:trPr>
      <w:tc>
        <w:tcPr>
          <w:tcW w:w="2552" w:type="dxa"/>
          <w:vAlign w:val="center"/>
        </w:tcPr>
        <w:p w:rsidR="00F23EC6" w:rsidRPr="00182113" w:rsidRDefault="00F23EC6" w:rsidP="003A1D3B">
          <w:pPr>
            <w:rPr>
              <w:rFonts w:ascii="Palatino Linotype" w:hAnsi="Palatino Linotype"/>
              <w:b/>
              <w:sz w:val="22"/>
              <w:szCs w:val="22"/>
            </w:rPr>
          </w:pPr>
          <w:r w:rsidRPr="00182113">
            <w:rPr>
              <w:rFonts w:ascii="Palatino Linotype" w:hAnsi="Palatino Linotype"/>
              <w:b/>
              <w:sz w:val="22"/>
              <w:szCs w:val="22"/>
            </w:rPr>
            <w:t>Comisionado ponente:</w:t>
          </w:r>
        </w:p>
      </w:tc>
      <w:tc>
        <w:tcPr>
          <w:tcW w:w="425" w:type="dxa"/>
          <w:vAlign w:val="center"/>
        </w:tcPr>
        <w:p w:rsidR="00F23EC6" w:rsidRPr="00182113" w:rsidRDefault="00F23EC6" w:rsidP="003A1D3B">
          <w:pPr>
            <w:pStyle w:val="Encabezado"/>
            <w:jc w:val="center"/>
            <w:rPr>
              <w:rFonts w:ascii="Palatino Linotype" w:hAnsi="Palatino Linotype"/>
              <w:b/>
              <w:sz w:val="22"/>
              <w:szCs w:val="22"/>
            </w:rPr>
          </w:pPr>
        </w:p>
      </w:tc>
      <w:tc>
        <w:tcPr>
          <w:tcW w:w="4536" w:type="dxa"/>
          <w:vAlign w:val="center"/>
        </w:tcPr>
        <w:p w:rsidR="00F23EC6" w:rsidRPr="00182113" w:rsidRDefault="00F23EC6" w:rsidP="00EA35BA">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F23EC6" w:rsidRDefault="00F23E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E744E"/>
    <w:multiLevelType w:val="hybridMultilevel"/>
    <w:tmpl w:val="ACE2E3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C7456B"/>
    <w:multiLevelType w:val="hybridMultilevel"/>
    <w:tmpl w:val="A0FA2B7C"/>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E4A8BCA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7082146"/>
    <w:multiLevelType w:val="hybridMultilevel"/>
    <w:tmpl w:val="681C8E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A3115C"/>
    <w:multiLevelType w:val="hybridMultilevel"/>
    <w:tmpl w:val="5F8260F0"/>
    <w:lvl w:ilvl="0" w:tplc="3CC48A7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AA32CFE6"/>
    <w:lvl w:ilvl="0" w:tplc="21AAC458">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D084E83C"/>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62C3ACE"/>
    <w:multiLevelType w:val="hybridMultilevel"/>
    <w:tmpl w:val="F62A366E"/>
    <w:lvl w:ilvl="0" w:tplc="2D72E6E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2A41452"/>
    <w:multiLevelType w:val="hybridMultilevel"/>
    <w:tmpl w:val="45E00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70136A0"/>
    <w:multiLevelType w:val="hybridMultilevel"/>
    <w:tmpl w:val="89028D3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A282743"/>
    <w:multiLevelType w:val="hybridMultilevel"/>
    <w:tmpl w:val="D20A84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C836FEB"/>
    <w:multiLevelType w:val="hybridMultilevel"/>
    <w:tmpl w:val="B178D61A"/>
    <w:lvl w:ilvl="0" w:tplc="2B4416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2"/>
  </w:num>
  <w:num w:numId="5">
    <w:abstractNumId w:val="2"/>
  </w:num>
  <w:num w:numId="6">
    <w:abstractNumId w:val="9"/>
  </w:num>
  <w:num w:numId="7">
    <w:abstractNumId w:val="4"/>
  </w:num>
  <w:num w:numId="8">
    <w:abstractNumId w:val="13"/>
  </w:num>
  <w:num w:numId="9">
    <w:abstractNumId w:val="14"/>
  </w:num>
  <w:num w:numId="10">
    <w:abstractNumId w:val="11"/>
  </w:num>
  <w:num w:numId="11">
    <w:abstractNumId w:val="7"/>
  </w:num>
  <w:num w:numId="12">
    <w:abstractNumId w:val="5"/>
  </w:num>
  <w:num w:numId="13">
    <w:abstractNumId w:val="15"/>
  </w:num>
  <w:num w:numId="14">
    <w:abstractNumId w:val="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0E"/>
    <w:rsid w:val="00026E9C"/>
    <w:rsid w:val="000577FB"/>
    <w:rsid w:val="00061BF5"/>
    <w:rsid w:val="00072700"/>
    <w:rsid w:val="00097802"/>
    <w:rsid w:val="000B12C1"/>
    <w:rsid w:val="000F5E0E"/>
    <w:rsid w:val="001609EB"/>
    <w:rsid w:val="00207A29"/>
    <w:rsid w:val="00305EC4"/>
    <w:rsid w:val="00322D7A"/>
    <w:rsid w:val="00333587"/>
    <w:rsid w:val="00362893"/>
    <w:rsid w:val="003834B4"/>
    <w:rsid w:val="00397FF8"/>
    <w:rsid w:val="003A1D3B"/>
    <w:rsid w:val="003A2984"/>
    <w:rsid w:val="003A29EA"/>
    <w:rsid w:val="003B47EC"/>
    <w:rsid w:val="00443A02"/>
    <w:rsid w:val="00466635"/>
    <w:rsid w:val="004D3650"/>
    <w:rsid w:val="00516285"/>
    <w:rsid w:val="005320F2"/>
    <w:rsid w:val="00534F04"/>
    <w:rsid w:val="005A001E"/>
    <w:rsid w:val="005C31FC"/>
    <w:rsid w:val="005D30E6"/>
    <w:rsid w:val="005E46D4"/>
    <w:rsid w:val="005F3E21"/>
    <w:rsid w:val="00643B19"/>
    <w:rsid w:val="0065280C"/>
    <w:rsid w:val="00656DDF"/>
    <w:rsid w:val="0067655D"/>
    <w:rsid w:val="006B2701"/>
    <w:rsid w:val="006C04C5"/>
    <w:rsid w:val="006C1483"/>
    <w:rsid w:val="007A0A67"/>
    <w:rsid w:val="007B27A3"/>
    <w:rsid w:val="007D1D74"/>
    <w:rsid w:val="007F681A"/>
    <w:rsid w:val="00854675"/>
    <w:rsid w:val="00866A72"/>
    <w:rsid w:val="008A071D"/>
    <w:rsid w:val="008A7178"/>
    <w:rsid w:val="009164DD"/>
    <w:rsid w:val="00940AA4"/>
    <w:rsid w:val="00A22DCD"/>
    <w:rsid w:val="00A254AE"/>
    <w:rsid w:val="00A56A4C"/>
    <w:rsid w:val="00A623B7"/>
    <w:rsid w:val="00A6434A"/>
    <w:rsid w:val="00A66B82"/>
    <w:rsid w:val="00AD7CD4"/>
    <w:rsid w:val="00AE379B"/>
    <w:rsid w:val="00B21DC4"/>
    <w:rsid w:val="00B244B7"/>
    <w:rsid w:val="00B57D87"/>
    <w:rsid w:val="00BE1AAC"/>
    <w:rsid w:val="00BE68DC"/>
    <w:rsid w:val="00C0270B"/>
    <w:rsid w:val="00C856CA"/>
    <w:rsid w:val="00C96E7C"/>
    <w:rsid w:val="00CC43FC"/>
    <w:rsid w:val="00CD5B5C"/>
    <w:rsid w:val="00D856CD"/>
    <w:rsid w:val="00D92B84"/>
    <w:rsid w:val="00D92CC1"/>
    <w:rsid w:val="00DE64CD"/>
    <w:rsid w:val="00DF29DB"/>
    <w:rsid w:val="00E25598"/>
    <w:rsid w:val="00E27790"/>
    <w:rsid w:val="00EA0E6C"/>
    <w:rsid w:val="00EA35BA"/>
    <w:rsid w:val="00EC48A5"/>
    <w:rsid w:val="00EC4C51"/>
    <w:rsid w:val="00F22D4A"/>
    <w:rsid w:val="00F23EC6"/>
    <w:rsid w:val="00F43949"/>
    <w:rsid w:val="00FA329E"/>
    <w:rsid w:val="00FF09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0DF6967-2B3B-4FEA-A70A-28B558ED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E0E"/>
  </w:style>
  <w:style w:type="paragraph" w:styleId="Ttulo1">
    <w:name w:val="heading 1"/>
    <w:basedOn w:val="Normal"/>
    <w:next w:val="Normal"/>
    <w:link w:val="Ttulo1Car"/>
    <w:uiPriority w:val="9"/>
    <w:qFormat/>
    <w:rsid w:val="005D30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5E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5E0E"/>
  </w:style>
  <w:style w:type="paragraph" w:styleId="Piedepgina">
    <w:name w:val="footer"/>
    <w:basedOn w:val="Normal"/>
    <w:link w:val="PiedepginaCar"/>
    <w:uiPriority w:val="99"/>
    <w:unhideWhenUsed/>
    <w:rsid w:val="000F5E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E0E"/>
  </w:style>
  <w:style w:type="table" w:styleId="Tablaconcuadrcula">
    <w:name w:val="Table Grid"/>
    <w:basedOn w:val="Tablanormal"/>
    <w:uiPriority w:val="39"/>
    <w:rsid w:val="000F5E0E"/>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0F5E0E"/>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0F5E0E"/>
    <w:rPr>
      <w:vertAlign w:val="superscript"/>
    </w:rPr>
  </w:style>
  <w:style w:type="paragraph" w:customStyle="1" w:styleId="ADB1">
    <w:name w:val="ADB1"/>
    <w:basedOn w:val="Normal"/>
    <w:next w:val="Textonotapie"/>
    <w:uiPriority w:val="99"/>
    <w:unhideWhenUsed/>
    <w:qFormat/>
    <w:rsid w:val="000F5E0E"/>
    <w:pPr>
      <w:spacing w:after="0" w:line="240" w:lineRule="auto"/>
    </w:pPr>
    <w:rPr>
      <w:rFonts w:eastAsia="Cambria"/>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F5E0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F5E0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F5E0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F5E0E"/>
    <w:rPr>
      <w:sz w:val="20"/>
      <w:szCs w:val="20"/>
    </w:rPr>
  </w:style>
  <w:style w:type="character" w:customStyle="1" w:styleId="Ttulo1Car">
    <w:name w:val="Título 1 Car"/>
    <w:basedOn w:val="Fuentedeprrafopredeter"/>
    <w:link w:val="Ttulo1"/>
    <w:uiPriority w:val="9"/>
    <w:rsid w:val="005D30E6"/>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C856CA"/>
    <w:pPr>
      <w:tabs>
        <w:tab w:val="right" w:leader="dot" w:pos="8828"/>
      </w:tabs>
      <w:spacing w:after="100" w:line="360" w:lineRule="auto"/>
      <w:ind w:left="284"/>
    </w:pPr>
  </w:style>
  <w:style w:type="paragraph" w:styleId="TDC2">
    <w:name w:val="toc 2"/>
    <w:basedOn w:val="Normal"/>
    <w:next w:val="Normal"/>
    <w:autoRedefine/>
    <w:uiPriority w:val="39"/>
    <w:unhideWhenUsed/>
    <w:rsid w:val="00A56A4C"/>
    <w:pPr>
      <w:spacing w:after="100"/>
      <w:ind w:left="220"/>
    </w:pPr>
  </w:style>
  <w:style w:type="character" w:styleId="Hipervnculo">
    <w:name w:val="Hyperlink"/>
    <w:basedOn w:val="Fuentedeprrafopredeter"/>
    <w:uiPriority w:val="99"/>
    <w:unhideWhenUsed/>
    <w:rsid w:val="00A56A4C"/>
    <w:rPr>
      <w:color w:val="0563C1" w:themeColor="hyperlink"/>
      <w:u w:val="single"/>
    </w:rPr>
  </w:style>
  <w:style w:type="character" w:customStyle="1" w:styleId="apple-converted-space">
    <w:name w:val="apple-converted-space"/>
    <w:basedOn w:val="Fuentedeprrafopredeter"/>
    <w:rsid w:val="003834B4"/>
  </w:style>
  <w:style w:type="paragraph" w:styleId="Sinespaciado">
    <w:name w:val="No Spacing"/>
    <w:uiPriority w:val="1"/>
    <w:qFormat/>
    <w:rsid w:val="00072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0E7EA-4FC3-4FBC-8683-9F47553E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96</Pages>
  <Words>15240</Words>
  <Characters>83826</Characters>
  <Application>Microsoft Office Word</Application>
  <DocSecurity>0</DocSecurity>
  <Lines>698</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2019-10-03T19:53:00Z</dcterms:created>
  <dcterms:modified xsi:type="dcterms:W3CDTF">2019-12-11T18:59:00Z</dcterms:modified>
</cp:coreProperties>
</file>