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Default="00333841" w:rsidP="009226B9">
      <w:pPr>
        <w:spacing w:line="360" w:lineRule="auto"/>
        <w:jc w:val="center"/>
        <w:rPr>
          <w:rFonts w:ascii="Palatino Linotype" w:hAnsi="Palatino Linotype"/>
          <w:b/>
        </w:rPr>
      </w:pPr>
      <w:r w:rsidRPr="009226B9">
        <w:rPr>
          <w:rFonts w:ascii="Palatino Linotype" w:hAnsi="Palatino Linotype"/>
          <w:b/>
        </w:rPr>
        <w:t>LÍNEAS ARGUMENTATIVAS</w:t>
      </w:r>
    </w:p>
    <w:p w:rsidR="009226B9" w:rsidRPr="009226B9" w:rsidRDefault="009226B9" w:rsidP="009226B9">
      <w:pPr>
        <w:spacing w:line="360" w:lineRule="auto"/>
        <w:jc w:val="center"/>
        <w:rPr>
          <w:rFonts w:ascii="Palatino Linotype" w:hAnsi="Palatino Linotype"/>
          <w:b/>
        </w:rPr>
      </w:pPr>
    </w:p>
    <w:p w:rsidR="00333841" w:rsidRPr="009226B9" w:rsidRDefault="00333841" w:rsidP="009226B9">
      <w:pPr>
        <w:spacing w:line="360" w:lineRule="auto"/>
        <w:jc w:val="both"/>
        <w:rPr>
          <w:rFonts w:ascii="Palatino Linotype" w:eastAsia="Times New Roman" w:hAnsi="Palatino Linotype"/>
        </w:rPr>
      </w:pPr>
      <w:bookmarkStart w:id="0" w:name="_Toc476570268"/>
      <w:bookmarkStart w:id="1" w:name="_Toc476570283"/>
      <w:r w:rsidRPr="009226B9">
        <w:rPr>
          <w:rFonts w:ascii="Palatino Linotype" w:hAnsi="Palatino Linotype"/>
          <w:b/>
        </w:rPr>
        <w:t>DEBERES DE LAS AUTORIDADES</w:t>
      </w:r>
      <w:bookmarkEnd w:id="0"/>
      <w:r w:rsidRPr="009226B9">
        <w:rPr>
          <w:rFonts w:ascii="Palatino Linotype" w:eastAsia="Times New Roman" w:hAnsi="Palatino Linotype"/>
          <w:b/>
        </w:rPr>
        <w:t>.</w:t>
      </w:r>
      <w:r w:rsidRPr="009226B9">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w:t>
      </w:r>
      <w:proofErr w:type="gramStart"/>
      <w:r w:rsidRPr="009226B9">
        <w:rPr>
          <w:rFonts w:ascii="Palatino Linotype" w:eastAsia="Times New Roman" w:hAnsi="Palatino Linotype"/>
        </w:rPr>
        <w:t>obligación</w:t>
      </w:r>
      <w:proofErr w:type="gramEnd"/>
      <w:r w:rsidRPr="009226B9">
        <w:rPr>
          <w:rFonts w:ascii="Palatino Linotype" w:eastAsia="Times New Roman" w:hAnsi="Palatino Linotype"/>
        </w:rPr>
        <w:t xml:space="preserve"> de respetarlo, protegerlo y garantizarlo.</w:t>
      </w:r>
    </w:p>
    <w:p w:rsidR="004F7B5A" w:rsidRPr="009226B9" w:rsidRDefault="004F7B5A" w:rsidP="009226B9">
      <w:pPr>
        <w:spacing w:line="360" w:lineRule="auto"/>
        <w:jc w:val="both"/>
        <w:rPr>
          <w:rFonts w:ascii="Palatino Linotype" w:eastAsia="Times New Roman" w:hAnsi="Palatino Linotype"/>
        </w:rPr>
      </w:pPr>
    </w:p>
    <w:p w:rsidR="00323580" w:rsidRPr="009226B9" w:rsidRDefault="00323580" w:rsidP="009226B9">
      <w:pPr>
        <w:spacing w:line="360" w:lineRule="auto"/>
        <w:ind w:right="142"/>
        <w:jc w:val="both"/>
        <w:rPr>
          <w:rFonts w:ascii="Palatino Linotype" w:eastAsia="MS Mincho" w:hAnsi="Palatino Linotype" w:cs="Arial"/>
        </w:rPr>
      </w:pPr>
      <w:r w:rsidRPr="009226B9">
        <w:rPr>
          <w:rFonts w:ascii="Palatino Linotype" w:eastAsia="MS Mincho" w:hAnsi="Palatino Linotype" w:cs="Arial"/>
          <w:b/>
        </w:rPr>
        <w:t xml:space="preserve">VERSIÓN PÚBLICA. </w:t>
      </w:r>
      <w:r w:rsidRPr="009226B9">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rsidR="00323580" w:rsidRPr="009226B9" w:rsidRDefault="009226B9" w:rsidP="009226B9">
      <w:pPr>
        <w:spacing w:line="360" w:lineRule="auto"/>
        <w:jc w:val="both"/>
        <w:rPr>
          <w:rFonts w:ascii="Palatino Linotype" w:eastAsia="Times New Roman" w:hAnsi="Palatino Linotype"/>
        </w:rPr>
      </w:pPr>
      <w:r>
        <w:rPr>
          <w:rFonts w:ascii="Palatino Linotype" w:eastAsia="Times New Roman" w:hAnsi="Palatino Linotype"/>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87838</wp:posOffset>
                </wp:positionH>
                <wp:positionV relativeFrom="paragraph">
                  <wp:posOffset>111925</wp:posOffset>
                </wp:positionV>
                <wp:extent cx="5440296" cy="3980330"/>
                <wp:effectExtent l="19050" t="19050" r="27305" b="20320"/>
                <wp:wrapNone/>
                <wp:docPr id="4" name="Conector recto 4"/>
                <wp:cNvGraphicFramePr/>
                <a:graphic xmlns:a="http://schemas.openxmlformats.org/drawingml/2006/main">
                  <a:graphicData uri="http://schemas.microsoft.com/office/word/2010/wordprocessingShape">
                    <wps:wsp>
                      <wps:cNvCnPr/>
                      <wps:spPr>
                        <a:xfrm>
                          <a:off x="0" y="0"/>
                          <a:ext cx="5440296" cy="398033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636FAA"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9pt,8.8pt" to="435.25pt,3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" strokecolor="#5b9bd5 [3204]" strokeweight="3pt">
                <v:stroke joinstyle="miter"/>
              </v:line>
            </w:pict>
          </mc:Fallback>
        </mc:AlternateContent>
      </w:r>
    </w:p>
    <w:p w:rsidR="00333841" w:rsidRPr="009226B9" w:rsidRDefault="00333841" w:rsidP="009226B9">
      <w:pPr>
        <w:spacing w:line="360" w:lineRule="auto"/>
        <w:jc w:val="both"/>
        <w:rPr>
          <w:rFonts w:ascii="Palatino Linotype" w:eastAsia="Calibri" w:hAnsi="Palatino Linotype" w:cs="Arial"/>
          <w:b/>
          <w:lang w:val="es-ES" w:eastAsia="es-MX"/>
        </w:rPr>
      </w:pPr>
    </w:p>
    <w:p w:rsidR="00994DEC" w:rsidRPr="009226B9" w:rsidRDefault="00994DEC" w:rsidP="009226B9">
      <w:pPr>
        <w:spacing w:line="360" w:lineRule="auto"/>
        <w:jc w:val="both"/>
        <w:rPr>
          <w:rFonts w:ascii="Palatino Linotype" w:eastAsia="Calibri" w:hAnsi="Palatino Linotype" w:cs="Arial"/>
          <w:b/>
          <w:lang w:val="es-ES" w:eastAsia="es-MX"/>
        </w:rPr>
      </w:pPr>
    </w:p>
    <w:p w:rsidR="00994DEC" w:rsidRPr="009226B9" w:rsidRDefault="00994DEC" w:rsidP="009226B9">
      <w:pPr>
        <w:spacing w:line="360" w:lineRule="auto"/>
        <w:jc w:val="both"/>
        <w:rPr>
          <w:rFonts w:ascii="Palatino Linotype" w:eastAsia="Calibri" w:hAnsi="Palatino Linotype" w:cs="Arial"/>
          <w:b/>
          <w:lang w:val="es-ES" w:eastAsia="es-MX"/>
        </w:rPr>
      </w:pPr>
    </w:p>
    <w:p w:rsidR="007F4FAB" w:rsidRPr="009226B9" w:rsidRDefault="007F4FAB" w:rsidP="009226B9">
      <w:pPr>
        <w:spacing w:line="360" w:lineRule="auto"/>
        <w:jc w:val="both"/>
        <w:rPr>
          <w:rFonts w:ascii="Palatino Linotype" w:eastAsia="Calibri" w:hAnsi="Palatino Linotype" w:cs="Arial"/>
          <w:b/>
          <w:lang w:val="es-ES" w:eastAsia="es-MX"/>
        </w:rPr>
      </w:pPr>
    </w:p>
    <w:p w:rsidR="00323580" w:rsidRDefault="00323580" w:rsidP="009226B9">
      <w:pPr>
        <w:spacing w:line="360" w:lineRule="auto"/>
        <w:jc w:val="both"/>
        <w:rPr>
          <w:rFonts w:ascii="Palatino Linotype" w:eastAsia="Calibri" w:hAnsi="Palatino Linotype" w:cs="Arial"/>
          <w:b/>
          <w:lang w:val="es-ES" w:eastAsia="es-MX"/>
        </w:rPr>
      </w:pPr>
    </w:p>
    <w:p w:rsidR="009226B9" w:rsidRDefault="009226B9" w:rsidP="009226B9">
      <w:pPr>
        <w:spacing w:line="360" w:lineRule="auto"/>
        <w:jc w:val="both"/>
        <w:rPr>
          <w:rFonts w:ascii="Palatino Linotype" w:eastAsia="Calibri" w:hAnsi="Palatino Linotype" w:cs="Arial"/>
          <w:b/>
          <w:lang w:val="es-ES" w:eastAsia="es-MX"/>
        </w:rPr>
      </w:pPr>
    </w:p>
    <w:p w:rsidR="009226B9" w:rsidRDefault="009226B9" w:rsidP="009226B9">
      <w:pPr>
        <w:spacing w:line="360" w:lineRule="auto"/>
        <w:jc w:val="both"/>
        <w:rPr>
          <w:rFonts w:ascii="Palatino Linotype" w:eastAsia="Calibri" w:hAnsi="Palatino Linotype" w:cs="Arial"/>
          <w:b/>
          <w:lang w:val="es-ES" w:eastAsia="es-MX"/>
        </w:rPr>
      </w:pPr>
    </w:p>
    <w:p w:rsidR="009226B9" w:rsidRDefault="009226B9" w:rsidP="009226B9">
      <w:pPr>
        <w:spacing w:line="360" w:lineRule="auto"/>
        <w:jc w:val="both"/>
        <w:rPr>
          <w:rFonts w:ascii="Palatino Linotype" w:eastAsia="Calibri" w:hAnsi="Palatino Linotype" w:cs="Arial"/>
          <w:b/>
          <w:lang w:val="es-ES" w:eastAsia="es-MX"/>
        </w:rPr>
      </w:pPr>
    </w:p>
    <w:p w:rsidR="009226B9" w:rsidRPr="009226B9" w:rsidRDefault="009226B9" w:rsidP="009226B9">
      <w:pPr>
        <w:spacing w:line="360" w:lineRule="auto"/>
        <w:jc w:val="both"/>
        <w:rPr>
          <w:rFonts w:ascii="Palatino Linotype" w:eastAsia="Calibri" w:hAnsi="Palatino Linotype" w:cs="Arial"/>
          <w:b/>
          <w:lang w:val="es-ES" w:eastAsia="es-MX"/>
        </w:rPr>
      </w:pPr>
    </w:p>
    <w:p w:rsidR="005B2875" w:rsidRPr="009226B9" w:rsidRDefault="005B2875" w:rsidP="009226B9">
      <w:pPr>
        <w:spacing w:line="360" w:lineRule="auto"/>
        <w:jc w:val="both"/>
        <w:rPr>
          <w:rFonts w:ascii="Palatino Linotype" w:eastAsia="Calibri" w:hAnsi="Palatino Linotype" w:cs="Arial"/>
          <w:b/>
          <w:lang w:val="es-ES" w:eastAsia="es-MX"/>
        </w:rPr>
      </w:pPr>
    </w:p>
    <w:bookmarkEnd w:id="1"/>
    <w:p w:rsidR="009226B9" w:rsidRPr="009226B9" w:rsidRDefault="00333841" w:rsidP="009226B9">
      <w:pPr>
        <w:spacing w:line="360" w:lineRule="auto"/>
        <w:jc w:val="center"/>
        <w:rPr>
          <w:rFonts w:ascii="Palatino Linotype" w:hAnsi="Palatino Linotype"/>
        </w:rPr>
      </w:pPr>
      <w:r w:rsidRPr="009226B9">
        <w:rPr>
          <w:rFonts w:ascii="Palatino Linotype" w:hAnsi="Palatino Linotype"/>
          <w:b/>
        </w:rPr>
        <w:lastRenderedPageBreak/>
        <w:t>Índice</w:t>
      </w:r>
      <w:r w:rsidR="009226B9">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9226B9" w:rsidRDefault="00333841" w:rsidP="009226B9">
          <w:pPr>
            <w:pStyle w:val="TtulodeTDC"/>
            <w:spacing w:line="360" w:lineRule="auto"/>
            <w:rPr>
              <w:rFonts w:ascii="Palatino Linotype" w:hAnsi="Palatino Linotype"/>
              <w:sz w:val="26"/>
              <w:szCs w:val="26"/>
            </w:rPr>
          </w:pPr>
        </w:p>
        <w:p w:rsidR="00ED1EBA" w:rsidRPr="009226B9" w:rsidRDefault="00333841" w:rsidP="009226B9">
          <w:pPr>
            <w:pStyle w:val="TDC1"/>
            <w:rPr>
              <w:noProof/>
              <w:lang w:val="es-MX" w:eastAsia="es-MX"/>
            </w:rPr>
          </w:pPr>
          <w:r w:rsidRPr="009226B9">
            <w:fldChar w:fldCharType="begin"/>
          </w:r>
          <w:r w:rsidRPr="009226B9">
            <w:instrText xml:space="preserve"> TOC \o "1-3" \h \z \u </w:instrText>
          </w:r>
          <w:r w:rsidRPr="009226B9">
            <w:fldChar w:fldCharType="separate"/>
          </w:r>
          <w:hyperlink w:anchor="_Toc4106288" w:history="1">
            <w:r w:rsidR="00ED1EBA" w:rsidRPr="009226B9">
              <w:rPr>
                <w:rStyle w:val="Hipervnculo"/>
                <w:rFonts w:ascii="Palatino Linotype" w:hAnsi="Palatino Linotype"/>
                <w:b/>
                <w:noProof/>
              </w:rPr>
              <w:t>ANTECEDENTES</w:t>
            </w:r>
            <w:r w:rsidR="00ED1EBA" w:rsidRPr="009226B9">
              <w:rPr>
                <w:noProof/>
                <w:webHidden/>
              </w:rPr>
              <w:tab/>
            </w:r>
            <w:r w:rsidR="00ED1EBA" w:rsidRPr="009226B9">
              <w:rPr>
                <w:noProof/>
                <w:webHidden/>
              </w:rPr>
              <w:fldChar w:fldCharType="begin"/>
            </w:r>
            <w:r w:rsidR="00ED1EBA" w:rsidRPr="009226B9">
              <w:rPr>
                <w:noProof/>
                <w:webHidden/>
              </w:rPr>
              <w:instrText xml:space="preserve"> PAGEREF _Toc4106288 \h </w:instrText>
            </w:r>
            <w:r w:rsidR="00ED1EBA" w:rsidRPr="009226B9">
              <w:rPr>
                <w:noProof/>
                <w:webHidden/>
              </w:rPr>
            </w:r>
            <w:r w:rsidR="00ED1EBA" w:rsidRPr="009226B9">
              <w:rPr>
                <w:noProof/>
                <w:webHidden/>
              </w:rPr>
              <w:fldChar w:fldCharType="separate"/>
            </w:r>
            <w:r w:rsidR="00CF6131">
              <w:rPr>
                <w:noProof/>
                <w:webHidden/>
              </w:rPr>
              <w:t>3</w:t>
            </w:r>
            <w:r w:rsidR="00ED1EBA" w:rsidRPr="009226B9">
              <w:rPr>
                <w:noProof/>
                <w:webHidden/>
              </w:rPr>
              <w:fldChar w:fldCharType="end"/>
            </w:r>
          </w:hyperlink>
        </w:p>
        <w:p w:rsidR="00ED1EBA" w:rsidRPr="009226B9" w:rsidRDefault="001C2144" w:rsidP="009226B9">
          <w:pPr>
            <w:pStyle w:val="TDC1"/>
            <w:rPr>
              <w:noProof/>
              <w:lang w:val="es-MX" w:eastAsia="es-MX"/>
            </w:rPr>
          </w:pPr>
          <w:hyperlink w:anchor="_Toc4106289" w:history="1">
            <w:r w:rsidR="00ED1EBA" w:rsidRPr="009226B9">
              <w:rPr>
                <w:rStyle w:val="Hipervnculo"/>
                <w:rFonts w:ascii="Palatino Linotype" w:hAnsi="Palatino Linotype"/>
                <w:b/>
                <w:noProof/>
              </w:rPr>
              <w:t>CONSIDERANDO</w:t>
            </w:r>
            <w:r w:rsidR="00ED1EBA" w:rsidRPr="009226B9">
              <w:rPr>
                <w:noProof/>
                <w:webHidden/>
              </w:rPr>
              <w:tab/>
            </w:r>
            <w:r w:rsidR="00ED1EBA" w:rsidRPr="009226B9">
              <w:rPr>
                <w:noProof/>
                <w:webHidden/>
              </w:rPr>
              <w:fldChar w:fldCharType="begin"/>
            </w:r>
            <w:r w:rsidR="00ED1EBA" w:rsidRPr="009226B9">
              <w:rPr>
                <w:noProof/>
                <w:webHidden/>
              </w:rPr>
              <w:instrText xml:space="preserve"> PAGEREF _Toc4106289 \h </w:instrText>
            </w:r>
            <w:r w:rsidR="00ED1EBA" w:rsidRPr="009226B9">
              <w:rPr>
                <w:noProof/>
                <w:webHidden/>
              </w:rPr>
            </w:r>
            <w:r w:rsidR="00ED1EBA" w:rsidRPr="009226B9">
              <w:rPr>
                <w:noProof/>
                <w:webHidden/>
              </w:rPr>
              <w:fldChar w:fldCharType="separate"/>
            </w:r>
            <w:r w:rsidR="00CF6131">
              <w:rPr>
                <w:noProof/>
                <w:webHidden/>
              </w:rPr>
              <w:t>9</w:t>
            </w:r>
            <w:r w:rsidR="00ED1EBA" w:rsidRPr="009226B9">
              <w:rPr>
                <w:noProof/>
                <w:webHidden/>
              </w:rPr>
              <w:fldChar w:fldCharType="end"/>
            </w:r>
          </w:hyperlink>
        </w:p>
        <w:p w:rsidR="00ED1EBA" w:rsidRPr="009226B9" w:rsidRDefault="001C2144" w:rsidP="009226B9">
          <w:pPr>
            <w:pStyle w:val="TDC2"/>
            <w:spacing w:before="240" w:after="0" w:line="360" w:lineRule="auto"/>
            <w:rPr>
              <w:rFonts w:ascii="Palatino Linotype" w:hAnsi="Palatino Linotype"/>
              <w:noProof/>
              <w:lang w:val="es-MX" w:eastAsia="es-MX"/>
            </w:rPr>
          </w:pPr>
          <w:hyperlink w:anchor="_Toc4106290" w:history="1">
            <w:r w:rsidR="00ED1EBA" w:rsidRPr="009226B9">
              <w:rPr>
                <w:rStyle w:val="Hipervnculo"/>
                <w:rFonts w:ascii="Palatino Linotype" w:hAnsi="Palatino Linotype"/>
                <w:b/>
                <w:noProof/>
              </w:rPr>
              <w:t>PRIMERO. De la competencia</w:t>
            </w:r>
            <w:r w:rsidR="00ED1EBA" w:rsidRPr="009226B9">
              <w:rPr>
                <w:rFonts w:ascii="Palatino Linotype" w:hAnsi="Palatino Linotype"/>
                <w:noProof/>
                <w:webHidden/>
              </w:rPr>
              <w:tab/>
            </w:r>
            <w:r w:rsidR="00ED1EBA" w:rsidRPr="009226B9">
              <w:rPr>
                <w:rFonts w:ascii="Palatino Linotype" w:hAnsi="Palatino Linotype"/>
                <w:noProof/>
                <w:webHidden/>
              </w:rPr>
              <w:fldChar w:fldCharType="begin"/>
            </w:r>
            <w:r w:rsidR="00ED1EBA" w:rsidRPr="009226B9">
              <w:rPr>
                <w:rFonts w:ascii="Palatino Linotype" w:hAnsi="Palatino Linotype"/>
                <w:noProof/>
                <w:webHidden/>
              </w:rPr>
              <w:instrText xml:space="preserve"> PAGEREF _Toc4106290 \h </w:instrText>
            </w:r>
            <w:r w:rsidR="00ED1EBA" w:rsidRPr="009226B9">
              <w:rPr>
                <w:rFonts w:ascii="Palatino Linotype" w:hAnsi="Palatino Linotype"/>
                <w:noProof/>
                <w:webHidden/>
              </w:rPr>
            </w:r>
            <w:r w:rsidR="00ED1EBA" w:rsidRPr="009226B9">
              <w:rPr>
                <w:rFonts w:ascii="Palatino Linotype" w:hAnsi="Palatino Linotype"/>
                <w:noProof/>
                <w:webHidden/>
              </w:rPr>
              <w:fldChar w:fldCharType="separate"/>
            </w:r>
            <w:r w:rsidR="00CF6131">
              <w:rPr>
                <w:rFonts w:ascii="Palatino Linotype" w:hAnsi="Palatino Linotype"/>
                <w:noProof/>
                <w:webHidden/>
              </w:rPr>
              <w:t>9</w:t>
            </w:r>
            <w:r w:rsidR="00ED1EBA" w:rsidRPr="009226B9">
              <w:rPr>
                <w:rFonts w:ascii="Palatino Linotype" w:hAnsi="Palatino Linotype"/>
                <w:noProof/>
                <w:webHidden/>
              </w:rPr>
              <w:fldChar w:fldCharType="end"/>
            </w:r>
          </w:hyperlink>
        </w:p>
        <w:p w:rsidR="00ED1EBA" w:rsidRPr="009226B9" w:rsidRDefault="001C2144" w:rsidP="009226B9">
          <w:pPr>
            <w:pStyle w:val="TDC2"/>
            <w:spacing w:before="240" w:after="0" w:line="360" w:lineRule="auto"/>
            <w:rPr>
              <w:rFonts w:ascii="Palatino Linotype" w:hAnsi="Palatino Linotype"/>
              <w:noProof/>
              <w:lang w:val="es-MX" w:eastAsia="es-MX"/>
            </w:rPr>
          </w:pPr>
          <w:hyperlink w:anchor="_Toc4106291" w:history="1">
            <w:r w:rsidR="00ED1EBA" w:rsidRPr="009226B9">
              <w:rPr>
                <w:rStyle w:val="Hipervnculo"/>
                <w:rFonts w:ascii="Palatino Linotype" w:hAnsi="Palatino Linotype"/>
                <w:b/>
                <w:noProof/>
              </w:rPr>
              <w:t>SEGUNDO. De la oportunidad y procedencia.</w:t>
            </w:r>
            <w:r w:rsidR="00ED1EBA" w:rsidRPr="009226B9">
              <w:rPr>
                <w:rFonts w:ascii="Palatino Linotype" w:hAnsi="Palatino Linotype"/>
                <w:noProof/>
                <w:webHidden/>
              </w:rPr>
              <w:tab/>
            </w:r>
            <w:r w:rsidR="00ED1EBA" w:rsidRPr="009226B9">
              <w:rPr>
                <w:rFonts w:ascii="Palatino Linotype" w:hAnsi="Palatino Linotype"/>
                <w:noProof/>
                <w:webHidden/>
              </w:rPr>
              <w:fldChar w:fldCharType="begin"/>
            </w:r>
            <w:r w:rsidR="00ED1EBA" w:rsidRPr="009226B9">
              <w:rPr>
                <w:rFonts w:ascii="Palatino Linotype" w:hAnsi="Palatino Linotype"/>
                <w:noProof/>
                <w:webHidden/>
              </w:rPr>
              <w:instrText xml:space="preserve"> PAGEREF _Toc4106291 \h </w:instrText>
            </w:r>
            <w:r w:rsidR="00ED1EBA" w:rsidRPr="009226B9">
              <w:rPr>
                <w:rFonts w:ascii="Palatino Linotype" w:hAnsi="Palatino Linotype"/>
                <w:noProof/>
                <w:webHidden/>
              </w:rPr>
            </w:r>
            <w:r w:rsidR="00ED1EBA" w:rsidRPr="009226B9">
              <w:rPr>
                <w:rFonts w:ascii="Palatino Linotype" w:hAnsi="Palatino Linotype"/>
                <w:noProof/>
                <w:webHidden/>
              </w:rPr>
              <w:fldChar w:fldCharType="separate"/>
            </w:r>
            <w:r w:rsidR="00CF6131">
              <w:rPr>
                <w:rFonts w:ascii="Palatino Linotype" w:hAnsi="Palatino Linotype"/>
                <w:noProof/>
                <w:webHidden/>
              </w:rPr>
              <w:t>10</w:t>
            </w:r>
            <w:r w:rsidR="00ED1EBA" w:rsidRPr="009226B9">
              <w:rPr>
                <w:rFonts w:ascii="Palatino Linotype" w:hAnsi="Palatino Linotype"/>
                <w:noProof/>
                <w:webHidden/>
              </w:rPr>
              <w:fldChar w:fldCharType="end"/>
            </w:r>
          </w:hyperlink>
        </w:p>
        <w:p w:rsidR="00ED1EBA" w:rsidRPr="009226B9" w:rsidRDefault="001C2144" w:rsidP="009226B9">
          <w:pPr>
            <w:pStyle w:val="TDC1"/>
            <w:rPr>
              <w:noProof/>
              <w:lang w:val="es-MX" w:eastAsia="es-MX"/>
            </w:rPr>
          </w:pPr>
          <w:hyperlink w:anchor="_Toc4106292" w:history="1">
            <w:r w:rsidR="00ED1EBA" w:rsidRPr="009226B9">
              <w:rPr>
                <w:rStyle w:val="Hipervnculo"/>
                <w:rFonts w:ascii="Palatino Linotype" w:hAnsi="Palatino Linotype"/>
                <w:b/>
                <w:noProof/>
              </w:rPr>
              <w:t xml:space="preserve">TERCERO. Planteamiento de la </w:t>
            </w:r>
            <w:r w:rsidR="00ED1EBA" w:rsidRPr="009226B9">
              <w:rPr>
                <w:rStyle w:val="Hipervnculo"/>
                <w:rFonts w:ascii="Palatino Linotype" w:hAnsi="Palatino Linotype"/>
                <w:b/>
                <w:i/>
                <w:noProof/>
              </w:rPr>
              <w:t>Litis</w:t>
            </w:r>
            <w:r w:rsidR="00ED1EBA" w:rsidRPr="009226B9">
              <w:rPr>
                <w:noProof/>
                <w:webHidden/>
              </w:rPr>
              <w:tab/>
            </w:r>
            <w:r w:rsidR="00ED1EBA" w:rsidRPr="009226B9">
              <w:rPr>
                <w:noProof/>
                <w:webHidden/>
              </w:rPr>
              <w:fldChar w:fldCharType="begin"/>
            </w:r>
            <w:r w:rsidR="00ED1EBA" w:rsidRPr="009226B9">
              <w:rPr>
                <w:noProof/>
                <w:webHidden/>
              </w:rPr>
              <w:instrText xml:space="preserve"> PAGEREF _Toc4106292 \h </w:instrText>
            </w:r>
            <w:r w:rsidR="00ED1EBA" w:rsidRPr="009226B9">
              <w:rPr>
                <w:noProof/>
                <w:webHidden/>
              </w:rPr>
            </w:r>
            <w:r w:rsidR="00ED1EBA" w:rsidRPr="009226B9">
              <w:rPr>
                <w:noProof/>
                <w:webHidden/>
              </w:rPr>
              <w:fldChar w:fldCharType="separate"/>
            </w:r>
            <w:r w:rsidR="00CF6131">
              <w:rPr>
                <w:noProof/>
                <w:webHidden/>
              </w:rPr>
              <w:t>11</w:t>
            </w:r>
            <w:r w:rsidR="00ED1EBA" w:rsidRPr="009226B9">
              <w:rPr>
                <w:noProof/>
                <w:webHidden/>
              </w:rPr>
              <w:fldChar w:fldCharType="end"/>
            </w:r>
          </w:hyperlink>
        </w:p>
        <w:p w:rsidR="00ED1EBA" w:rsidRPr="009226B9" w:rsidRDefault="001C2144" w:rsidP="009226B9">
          <w:pPr>
            <w:pStyle w:val="TDC1"/>
            <w:rPr>
              <w:noProof/>
              <w:lang w:val="es-MX" w:eastAsia="es-MX"/>
            </w:rPr>
          </w:pPr>
          <w:hyperlink w:anchor="_Toc4106293" w:history="1">
            <w:r w:rsidR="00ED1EBA" w:rsidRPr="009226B9">
              <w:rPr>
                <w:rStyle w:val="Hipervnculo"/>
                <w:rFonts w:ascii="Palatino Linotype" w:hAnsi="Palatino Linotype"/>
                <w:b/>
                <w:noProof/>
              </w:rPr>
              <w:t>CUARTO. Estudio y resolución del asunto</w:t>
            </w:r>
            <w:r w:rsidR="00ED1EBA" w:rsidRPr="009226B9">
              <w:rPr>
                <w:noProof/>
                <w:webHidden/>
              </w:rPr>
              <w:tab/>
            </w:r>
            <w:r w:rsidR="00ED1EBA" w:rsidRPr="009226B9">
              <w:rPr>
                <w:noProof/>
                <w:webHidden/>
              </w:rPr>
              <w:fldChar w:fldCharType="begin"/>
            </w:r>
            <w:r w:rsidR="00ED1EBA" w:rsidRPr="009226B9">
              <w:rPr>
                <w:noProof/>
                <w:webHidden/>
              </w:rPr>
              <w:instrText xml:space="preserve"> PAGEREF _Toc4106293 \h </w:instrText>
            </w:r>
            <w:r w:rsidR="00ED1EBA" w:rsidRPr="009226B9">
              <w:rPr>
                <w:noProof/>
                <w:webHidden/>
              </w:rPr>
            </w:r>
            <w:r w:rsidR="00ED1EBA" w:rsidRPr="009226B9">
              <w:rPr>
                <w:noProof/>
                <w:webHidden/>
              </w:rPr>
              <w:fldChar w:fldCharType="separate"/>
            </w:r>
            <w:r w:rsidR="00CF6131">
              <w:rPr>
                <w:noProof/>
                <w:webHidden/>
              </w:rPr>
              <w:t>11</w:t>
            </w:r>
            <w:r w:rsidR="00ED1EBA" w:rsidRPr="009226B9">
              <w:rPr>
                <w:noProof/>
                <w:webHidden/>
              </w:rPr>
              <w:fldChar w:fldCharType="end"/>
            </w:r>
          </w:hyperlink>
        </w:p>
        <w:p w:rsidR="00ED1EBA" w:rsidRPr="009226B9" w:rsidRDefault="001C2144" w:rsidP="009226B9">
          <w:pPr>
            <w:pStyle w:val="TDC1"/>
            <w:rPr>
              <w:noProof/>
              <w:lang w:val="es-MX" w:eastAsia="es-MX"/>
            </w:rPr>
          </w:pPr>
          <w:hyperlink w:anchor="_Toc4106294" w:history="1">
            <w:r w:rsidR="00ED1EBA" w:rsidRPr="009226B9">
              <w:rPr>
                <w:rStyle w:val="Hipervnculo"/>
                <w:rFonts w:ascii="Palatino Linotype" w:eastAsia="Calibri" w:hAnsi="Palatino Linotype"/>
                <w:b/>
                <w:noProof/>
                <w:lang w:val="es-ES"/>
              </w:rPr>
              <w:t>R E S O L U T I V O S</w:t>
            </w:r>
            <w:r w:rsidR="00ED1EBA" w:rsidRPr="009226B9">
              <w:rPr>
                <w:noProof/>
                <w:webHidden/>
              </w:rPr>
              <w:tab/>
            </w:r>
            <w:r w:rsidR="00ED1EBA" w:rsidRPr="009226B9">
              <w:rPr>
                <w:noProof/>
                <w:webHidden/>
              </w:rPr>
              <w:fldChar w:fldCharType="begin"/>
            </w:r>
            <w:r w:rsidR="00ED1EBA" w:rsidRPr="009226B9">
              <w:rPr>
                <w:noProof/>
                <w:webHidden/>
              </w:rPr>
              <w:instrText xml:space="preserve"> PAGEREF _Toc4106294 \h </w:instrText>
            </w:r>
            <w:r w:rsidR="00ED1EBA" w:rsidRPr="009226B9">
              <w:rPr>
                <w:noProof/>
                <w:webHidden/>
              </w:rPr>
            </w:r>
            <w:r w:rsidR="00ED1EBA" w:rsidRPr="009226B9">
              <w:rPr>
                <w:noProof/>
                <w:webHidden/>
              </w:rPr>
              <w:fldChar w:fldCharType="separate"/>
            </w:r>
            <w:r w:rsidR="00CF6131">
              <w:rPr>
                <w:noProof/>
                <w:webHidden/>
              </w:rPr>
              <w:t>20</w:t>
            </w:r>
            <w:r w:rsidR="00ED1EBA" w:rsidRPr="009226B9">
              <w:rPr>
                <w:noProof/>
                <w:webHidden/>
              </w:rPr>
              <w:fldChar w:fldCharType="end"/>
            </w:r>
          </w:hyperlink>
        </w:p>
        <w:p w:rsidR="002E4103" w:rsidRPr="009226B9" w:rsidRDefault="00333841" w:rsidP="009226B9">
          <w:pPr>
            <w:spacing w:before="240" w:line="360" w:lineRule="auto"/>
            <w:jc w:val="both"/>
            <w:rPr>
              <w:rFonts w:ascii="Palatino Linotype" w:hAnsi="Palatino Linotype"/>
              <w:b/>
              <w:bCs/>
              <w:lang w:val="es-ES"/>
            </w:rPr>
          </w:pPr>
          <w:r w:rsidRPr="009226B9">
            <w:rPr>
              <w:rFonts w:ascii="Palatino Linotype" w:hAnsi="Palatino Linotype"/>
              <w:b/>
              <w:bCs/>
              <w:sz w:val="26"/>
              <w:szCs w:val="26"/>
              <w:lang w:val="es-ES"/>
            </w:rPr>
            <w:fldChar w:fldCharType="end"/>
          </w:r>
        </w:p>
      </w:sdtContent>
    </w:sdt>
    <w:p w:rsidR="007F4FAB" w:rsidRPr="009226B9" w:rsidRDefault="009226B9" w:rsidP="009226B9">
      <w:pPr>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72470</wp:posOffset>
                </wp:positionH>
                <wp:positionV relativeFrom="paragraph">
                  <wp:posOffset>114668</wp:posOffset>
                </wp:positionV>
                <wp:extent cx="5416753" cy="2935109"/>
                <wp:effectExtent l="19050" t="19050" r="31750" b="36830"/>
                <wp:wrapNone/>
                <wp:docPr id="6" name="Conector recto 6"/>
                <wp:cNvGraphicFramePr/>
                <a:graphic xmlns:a="http://schemas.openxmlformats.org/drawingml/2006/main">
                  <a:graphicData uri="http://schemas.microsoft.com/office/word/2010/wordprocessingShape">
                    <wps:wsp>
                      <wps:cNvCnPr/>
                      <wps:spPr>
                        <a:xfrm>
                          <a:off x="0" y="0"/>
                          <a:ext cx="5416753" cy="293510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53A4DD" id="Conector recto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9.05pt" to="432.2pt,2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" strokecolor="#5b9bd5 [3204]" strokeweight="3pt">
                <v:stroke joinstyle="miter"/>
              </v:line>
            </w:pict>
          </mc:Fallback>
        </mc:AlternateContent>
      </w:r>
    </w:p>
    <w:p w:rsidR="007F4FAB" w:rsidRPr="009226B9" w:rsidRDefault="007F4FAB" w:rsidP="009226B9">
      <w:pPr>
        <w:spacing w:line="360" w:lineRule="auto"/>
        <w:jc w:val="both"/>
        <w:rPr>
          <w:rFonts w:ascii="Palatino Linotype" w:hAnsi="Palatino Linotype"/>
        </w:rPr>
      </w:pPr>
    </w:p>
    <w:p w:rsidR="004F7B5A" w:rsidRPr="009226B9" w:rsidRDefault="004F7B5A" w:rsidP="009226B9">
      <w:pPr>
        <w:spacing w:line="360" w:lineRule="auto"/>
        <w:jc w:val="both"/>
        <w:rPr>
          <w:rFonts w:ascii="Palatino Linotype" w:hAnsi="Palatino Linotype"/>
        </w:rPr>
      </w:pPr>
    </w:p>
    <w:p w:rsidR="00530C93" w:rsidRPr="009226B9" w:rsidRDefault="00530C93" w:rsidP="009226B9">
      <w:pPr>
        <w:spacing w:line="360" w:lineRule="auto"/>
        <w:jc w:val="both"/>
        <w:rPr>
          <w:rFonts w:ascii="Palatino Linotype" w:hAnsi="Palatino Linotype"/>
        </w:rPr>
      </w:pPr>
    </w:p>
    <w:p w:rsidR="00530C93" w:rsidRPr="009226B9" w:rsidRDefault="00530C93" w:rsidP="009226B9">
      <w:pPr>
        <w:spacing w:line="360" w:lineRule="auto"/>
        <w:jc w:val="both"/>
        <w:rPr>
          <w:rFonts w:ascii="Palatino Linotype" w:hAnsi="Palatino Linotype"/>
        </w:rPr>
      </w:pPr>
    </w:p>
    <w:p w:rsidR="00530C93" w:rsidRDefault="00530C93" w:rsidP="009226B9">
      <w:pPr>
        <w:spacing w:line="360" w:lineRule="auto"/>
        <w:jc w:val="both"/>
        <w:rPr>
          <w:rFonts w:ascii="Palatino Linotype" w:hAnsi="Palatino Linotype"/>
        </w:rPr>
      </w:pPr>
    </w:p>
    <w:p w:rsidR="009226B9" w:rsidRDefault="00333841" w:rsidP="009226B9">
      <w:pPr>
        <w:spacing w:line="360" w:lineRule="auto"/>
        <w:jc w:val="both"/>
        <w:rPr>
          <w:rFonts w:ascii="Palatino Linotype" w:hAnsi="Palatino Linotype"/>
        </w:rPr>
      </w:pPr>
      <w:r w:rsidRPr="009226B9">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9226B9">
        <w:rPr>
          <w:rFonts w:ascii="Palatino Linotype" w:hAnsi="Palatino Linotype"/>
        </w:rPr>
        <w:t xml:space="preserve">fecha </w:t>
      </w:r>
      <w:proofErr w:type="spellStart"/>
      <w:r w:rsidR="009226B9">
        <w:rPr>
          <w:rFonts w:ascii="Palatino Linotype" w:hAnsi="Palatino Linotype"/>
        </w:rPr>
        <w:t>veintiseis</w:t>
      </w:r>
      <w:proofErr w:type="spellEnd"/>
      <w:r w:rsidR="00940FF7" w:rsidRPr="009226B9">
        <w:rPr>
          <w:rFonts w:ascii="Palatino Linotype" w:hAnsi="Palatino Linotype"/>
        </w:rPr>
        <w:t xml:space="preserve"> </w:t>
      </w:r>
      <w:r w:rsidRPr="009226B9">
        <w:rPr>
          <w:rFonts w:ascii="Palatino Linotype" w:hAnsi="Palatino Linotype"/>
        </w:rPr>
        <w:t>(</w:t>
      </w:r>
      <w:r w:rsidR="009226B9">
        <w:rPr>
          <w:rFonts w:ascii="Palatino Linotype" w:hAnsi="Palatino Linotype"/>
        </w:rPr>
        <w:t>26</w:t>
      </w:r>
      <w:r w:rsidRPr="009226B9">
        <w:rPr>
          <w:rFonts w:ascii="Palatino Linotype" w:hAnsi="Palatino Linotype"/>
        </w:rPr>
        <w:t xml:space="preserve">) de </w:t>
      </w:r>
      <w:r w:rsidR="00B704E9" w:rsidRPr="009226B9">
        <w:rPr>
          <w:rFonts w:ascii="Palatino Linotype" w:hAnsi="Palatino Linotype"/>
        </w:rPr>
        <w:t>marzo</w:t>
      </w:r>
      <w:r w:rsidRPr="009226B9">
        <w:rPr>
          <w:rFonts w:ascii="Palatino Linotype" w:hAnsi="Palatino Linotype"/>
        </w:rPr>
        <w:t xml:space="preserve"> de dos mil </w:t>
      </w:r>
      <w:r w:rsidR="00E55808" w:rsidRPr="009226B9">
        <w:rPr>
          <w:rFonts w:ascii="Palatino Linotype" w:hAnsi="Palatino Linotype"/>
        </w:rPr>
        <w:t>diecinueve.</w:t>
      </w:r>
    </w:p>
    <w:p w:rsidR="009226B9" w:rsidRPr="009226B9" w:rsidRDefault="009226B9" w:rsidP="009226B9">
      <w:pPr>
        <w:spacing w:line="360" w:lineRule="auto"/>
        <w:jc w:val="both"/>
        <w:rPr>
          <w:rFonts w:ascii="Palatino Linotype" w:hAnsi="Palatino Linotype"/>
        </w:rPr>
      </w:pPr>
    </w:p>
    <w:p w:rsidR="00333841" w:rsidRDefault="00333841" w:rsidP="009226B9">
      <w:pPr>
        <w:spacing w:line="360" w:lineRule="auto"/>
        <w:jc w:val="both"/>
        <w:rPr>
          <w:rFonts w:ascii="Palatino Linotype" w:hAnsi="Palatino Linotype"/>
        </w:rPr>
      </w:pPr>
      <w:r w:rsidRPr="009226B9">
        <w:rPr>
          <w:rFonts w:ascii="Palatino Linotype" w:hAnsi="Palatino Linotype"/>
          <w:b/>
        </w:rPr>
        <w:t>VISTO</w:t>
      </w:r>
      <w:r w:rsidRPr="009226B9">
        <w:rPr>
          <w:rFonts w:ascii="Palatino Linotype" w:hAnsi="Palatino Linotype"/>
        </w:rPr>
        <w:t xml:space="preserve"> el expediente electrónico formado con motivo de</w:t>
      </w:r>
      <w:r w:rsidR="00250BC7">
        <w:rPr>
          <w:rFonts w:ascii="Palatino Linotype" w:hAnsi="Palatino Linotype"/>
        </w:rPr>
        <w:t>l</w:t>
      </w:r>
      <w:r w:rsidRPr="009226B9">
        <w:rPr>
          <w:rFonts w:ascii="Palatino Linotype" w:hAnsi="Palatino Linotype"/>
        </w:rPr>
        <w:t xml:space="preserve"> recurso de revisión </w:t>
      </w:r>
      <w:r w:rsidR="005B2875" w:rsidRPr="009226B9">
        <w:rPr>
          <w:rFonts w:ascii="Palatino Linotype" w:hAnsi="Palatino Linotype" w:cs="Arial"/>
          <w:b/>
          <w:bCs/>
        </w:rPr>
        <w:t>00328/INFOEM/IP/RR/2019</w:t>
      </w:r>
      <w:r w:rsidRPr="009226B9">
        <w:rPr>
          <w:rFonts w:ascii="Palatino Linotype" w:hAnsi="Palatino Linotype" w:cs="Arial"/>
          <w:b/>
          <w:bCs/>
        </w:rPr>
        <w:t xml:space="preserve">, </w:t>
      </w:r>
      <w:r w:rsidRPr="009226B9">
        <w:rPr>
          <w:rFonts w:ascii="Palatino Linotype" w:hAnsi="Palatino Linotype"/>
        </w:rPr>
        <w:t xml:space="preserve">promovido por </w:t>
      </w:r>
      <w:r w:rsidR="001C2144" w:rsidRPr="001C2144">
        <w:rPr>
          <w:rFonts w:ascii="Palatino Linotype" w:hAnsi="Palatino Linotype"/>
          <w:b/>
          <w:highlight w:val="black"/>
        </w:rPr>
        <w:t>---------------------------</w:t>
      </w:r>
      <w:r w:rsidRPr="009226B9">
        <w:rPr>
          <w:rFonts w:ascii="Palatino Linotype" w:hAnsi="Palatino Linotype"/>
          <w:b/>
        </w:rPr>
        <w:t xml:space="preserve"> </w:t>
      </w:r>
      <w:r w:rsidRPr="009226B9">
        <w:rPr>
          <w:rFonts w:ascii="Palatino Linotype" w:hAnsi="Palatino Linotype" w:cs="Arial"/>
        </w:rPr>
        <w:t xml:space="preserve">en su calidad de </w:t>
      </w:r>
      <w:r w:rsidRPr="009226B9">
        <w:rPr>
          <w:rFonts w:ascii="Palatino Linotype" w:hAnsi="Palatino Linotype" w:cs="Arial"/>
          <w:b/>
        </w:rPr>
        <w:t>RECURRENTE</w:t>
      </w:r>
      <w:r w:rsidR="00CF6131">
        <w:rPr>
          <w:rFonts w:ascii="Palatino Linotype" w:hAnsi="Palatino Linotype" w:cs="Arial"/>
        </w:rPr>
        <w:t>, en contra de la</w:t>
      </w:r>
      <w:r w:rsidRPr="009226B9">
        <w:rPr>
          <w:rFonts w:ascii="Palatino Linotype" w:hAnsi="Palatino Linotype" w:cs="Arial"/>
        </w:rPr>
        <w:t xml:space="preserve"> respuesta del </w:t>
      </w:r>
      <w:r w:rsidR="005B2875" w:rsidRPr="009226B9">
        <w:rPr>
          <w:rFonts w:ascii="Palatino Linotype" w:hAnsi="Palatino Linotype" w:cs="Arial"/>
          <w:b/>
        </w:rPr>
        <w:t>Secretaría del Medio Ambiente</w:t>
      </w:r>
      <w:r w:rsidRPr="009226B9">
        <w:rPr>
          <w:rFonts w:ascii="Palatino Linotype" w:hAnsi="Palatino Linotype" w:cs="Arial"/>
        </w:rPr>
        <w:t>,</w:t>
      </w:r>
      <w:r w:rsidRPr="009226B9">
        <w:rPr>
          <w:rFonts w:ascii="Palatino Linotype" w:hAnsi="Palatino Linotype"/>
          <w:b/>
        </w:rPr>
        <w:t xml:space="preserve"> </w:t>
      </w:r>
      <w:r w:rsidRPr="009226B9">
        <w:rPr>
          <w:rFonts w:ascii="Palatino Linotype" w:hAnsi="Palatino Linotype"/>
        </w:rPr>
        <w:t>en lo sucesivo el</w:t>
      </w:r>
      <w:r w:rsidRPr="009226B9">
        <w:rPr>
          <w:rFonts w:ascii="Palatino Linotype" w:hAnsi="Palatino Linotype"/>
          <w:b/>
        </w:rPr>
        <w:t xml:space="preserve"> SUJETO OBLIGADO, </w:t>
      </w:r>
      <w:r w:rsidRPr="009226B9">
        <w:rPr>
          <w:rFonts w:ascii="Palatino Linotype" w:hAnsi="Palatino Linotype"/>
        </w:rPr>
        <w:t>se procede a dictar la presente resolución, con base en los siguientes:</w:t>
      </w:r>
    </w:p>
    <w:p w:rsidR="009226B9" w:rsidRPr="009226B9" w:rsidRDefault="009226B9" w:rsidP="009226B9">
      <w:pPr>
        <w:spacing w:line="360" w:lineRule="auto"/>
        <w:jc w:val="both"/>
        <w:rPr>
          <w:rFonts w:ascii="Palatino Linotype" w:hAnsi="Palatino Linotype" w:cs="Arial"/>
          <w:b/>
          <w:bCs/>
        </w:rPr>
      </w:pPr>
    </w:p>
    <w:p w:rsidR="00333841" w:rsidRDefault="00333841" w:rsidP="009226B9">
      <w:pPr>
        <w:pStyle w:val="Ttulo1"/>
        <w:spacing w:before="0" w:line="360" w:lineRule="auto"/>
        <w:jc w:val="center"/>
        <w:rPr>
          <w:rFonts w:ascii="Palatino Linotype" w:hAnsi="Palatino Linotype"/>
          <w:b/>
          <w:color w:val="auto"/>
          <w:sz w:val="24"/>
          <w:szCs w:val="24"/>
        </w:rPr>
      </w:pPr>
      <w:bookmarkStart w:id="2" w:name="_Toc4106288"/>
      <w:r w:rsidRPr="009226B9">
        <w:rPr>
          <w:rFonts w:ascii="Palatino Linotype" w:hAnsi="Palatino Linotype"/>
          <w:b/>
          <w:color w:val="auto"/>
          <w:sz w:val="24"/>
          <w:szCs w:val="24"/>
        </w:rPr>
        <w:t>ANTECEDENTES</w:t>
      </w:r>
      <w:bookmarkEnd w:id="2"/>
    </w:p>
    <w:p w:rsidR="009226B9" w:rsidRPr="009226B9" w:rsidRDefault="009226B9" w:rsidP="009226B9">
      <w:pPr>
        <w:rPr>
          <w:lang w:val="es-MX" w:eastAsia="en-US"/>
        </w:rPr>
      </w:pPr>
    </w:p>
    <w:p w:rsidR="00333841" w:rsidRPr="009226B9" w:rsidRDefault="00333841" w:rsidP="009226B9">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9226B9">
        <w:rPr>
          <w:rFonts w:ascii="Palatino Linotype" w:eastAsia="Calibri" w:hAnsi="Palatino Linotype" w:cs="Arial"/>
          <w:lang w:val="es-ES"/>
        </w:rPr>
        <w:t xml:space="preserve">El día </w:t>
      </w:r>
      <w:r w:rsidR="005B2875" w:rsidRPr="009226B9">
        <w:rPr>
          <w:rFonts w:ascii="Palatino Linotype" w:eastAsia="Calibri" w:hAnsi="Palatino Linotype" w:cs="Arial"/>
          <w:lang w:val="es-ES"/>
        </w:rPr>
        <w:t>catorce</w:t>
      </w:r>
      <w:r w:rsidRPr="009226B9">
        <w:rPr>
          <w:rFonts w:ascii="Palatino Linotype" w:eastAsia="Calibri" w:hAnsi="Palatino Linotype" w:cs="Arial"/>
          <w:lang w:val="es-ES"/>
        </w:rPr>
        <w:t xml:space="preserve"> (</w:t>
      </w:r>
      <w:r w:rsidR="005B2875" w:rsidRPr="009226B9">
        <w:rPr>
          <w:rFonts w:ascii="Palatino Linotype" w:eastAsia="Calibri" w:hAnsi="Palatino Linotype" w:cs="Arial"/>
          <w:lang w:val="es-ES"/>
        </w:rPr>
        <w:t>14</w:t>
      </w:r>
      <w:r w:rsidRPr="009226B9">
        <w:rPr>
          <w:rFonts w:ascii="Palatino Linotype" w:eastAsia="Calibri" w:hAnsi="Palatino Linotype" w:cs="Arial"/>
          <w:lang w:val="es-ES"/>
        </w:rPr>
        <w:t xml:space="preserve">) de </w:t>
      </w:r>
      <w:r w:rsidR="007F4FAB" w:rsidRPr="009226B9">
        <w:rPr>
          <w:rFonts w:ascii="Palatino Linotype" w:eastAsia="Calibri" w:hAnsi="Palatino Linotype" w:cs="Arial"/>
          <w:lang w:val="es-ES"/>
        </w:rPr>
        <w:t>enero</w:t>
      </w:r>
      <w:r w:rsidR="00197D25" w:rsidRPr="009226B9">
        <w:rPr>
          <w:rFonts w:ascii="Palatino Linotype" w:eastAsia="Calibri" w:hAnsi="Palatino Linotype" w:cs="Arial"/>
          <w:lang w:val="es-ES"/>
        </w:rPr>
        <w:t xml:space="preserve"> </w:t>
      </w:r>
      <w:r w:rsidRPr="009226B9">
        <w:rPr>
          <w:rFonts w:ascii="Palatino Linotype" w:eastAsia="Calibri" w:hAnsi="Palatino Linotype" w:cs="Arial"/>
          <w:lang w:val="es-ES"/>
        </w:rPr>
        <w:t>de dos mil dieci</w:t>
      </w:r>
      <w:r w:rsidR="007F4FAB" w:rsidRPr="009226B9">
        <w:rPr>
          <w:rFonts w:ascii="Palatino Linotype" w:eastAsia="Calibri" w:hAnsi="Palatino Linotype" w:cs="Arial"/>
          <w:lang w:val="es-ES"/>
        </w:rPr>
        <w:t>nueve</w:t>
      </w:r>
      <w:r w:rsidRPr="009226B9">
        <w:rPr>
          <w:rFonts w:ascii="Palatino Linotype" w:eastAsia="Calibri" w:hAnsi="Palatino Linotype" w:cs="Arial"/>
          <w:lang w:val="es-ES"/>
        </w:rPr>
        <w:t>,</w:t>
      </w:r>
      <w:r w:rsidRPr="009226B9">
        <w:rPr>
          <w:rFonts w:ascii="Palatino Linotype" w:eastAsia="Calibri" w:hAnsi="Palatino Linotype" w:cs="Times New Roman"/>
          <w:lang w:val="es-ES"/>
        </w:rPr>
        <w:t xml:space="preserve"> </w:t>
      </w:r>
      <w:r w:rsidR="007F4FAB" w:rsidRPr="009226B9">
        <w:rPr>
          <w:rFonts w:ascii="Palatino Linotype" w:hAnsi="Palatino Linotype"/>
          <w:b/>
        </w:rPr>
        <w:t xml:space="preserve">EL </w:t>
      </w:r>
      <w:r w:rsidR="007F4FAB" w:rsidRPr="009226B9">
        <w:rPr>
          <w:rFonts w:ascii="Palatino Linotype" w:hAnsi="Palatino Linotype" w:cs="Arial"/>
          <w:b/>
        </w:rPr>
        <w:t>RECURRENTE</w:t>
      </w:r>
      <w:r w:rsidRPr="009226B9">
        <w:rPr>
          <w:rFonts w:ascii="Palatino Linotype" w:hAnsi="Palatino Linotype"/>
          <w:b/>
        </w:rPr>
        <w:t xml:space="preserve"> </w:t>
      </w:r>
      <w:r w:rsidRPr="009226B9">
        <w:rPr>
          <w:rFonts w:ascii="Palatino Linotype" w:hAnsi="Palatino Linotype"/>
        </w:rPr>
        <w:t>presentó</w:t>
      </w:r>
      <w:r w:rsidRPr="009226B9">
        <w:rPr>
          <w:rFonts w:ascii="Palatino Linotype" w:hAnsi="Palatino Linotype"/>
          <w:b/>
        </w:rPr>
        <w:t xml:space="preserve"> </w:t>
      </w:r>
      <w:r w:rsidRPr="009226B9">
        <w:rPr>
          <w:rFonts w:ascii="Palatino Linotype" w:eastAsia="Calibri" w:hAnsi="Palatino Linotype" w:cs="Arial"/>
          <w:lang w:val="es-ES"/>
        </w:rPr>
        <w:t xml:space="preserve">ante el </w:t>
      </w:r>
      <w:r w:rsidRPr="009226B9">
        <w:rPr>
          <w:rFonts w:ascii="Palatino Linotype" w:eastAsia="Calibri" w:hAnsi="Palatino Linotype" w:cs="Arial"/>
          <w:b/>
          <w:lang w:val="es-ES"/>
        </w:rPr>
        <w:t>SUJETO OBLIGADO</w:t>
      </w:r>
      <w:r w:rsidRPr="009226B9">
        <w:rPr>
          <w:rFonts w:ascii="Palatino Linotype" w:eastAsia="Calibri" w:hAnsi="Palatino Linotype" w:cs="Arial"/>
        </w:rPr>
        <w:t xml:space="preserve"> vía </w:t>
      </w:r>
      <w:r w:rsidRPr="009226B9">
        <w:rPr>
          <w:rFonts w:ascii="Palatino Linotype" w:eastAsia="Calibri" w:hAnsi="Palatino Linotype" w:cs="Arial"/>
          <w:lang w:val="es-ES"/>
        </w:rPr>
        <w:t>Sistema de Acceso a la Información Mexiquense (</w:t>
      </w:r>
      <w:r w:rsidRPr="009226B9">
        <w:rPr>
          <w:rFonts w:ascii="Palatino Linotype" w:eastAsia="Calibri" w:hAnsi="Palatino Linotype" w:cs="Arial"/>
          <w:b/>
          <w:lang w:val="es-ES"/>
        </w:rPr>
        <w:t>SAIMEX)</w:t>
      </w:r>
      <w:r w:rsidRPr="009226B9">
        <w:rPr>
          <w:rFonts w:ascii="Palatino Linotype" w:eastAsia="Calibri" w:hAnsi="Palatino Linotype" w:cs="Arial"/>
          <w:lang w:val="es-ES"/>
        </w:rPr>
        <w:t xml:space="preserve"> la solicitud de información pública registrada</w:t>
      </w:r>
      <w:r w:rsidR="00B828B6" w:rsidRPr="009226B9">
        <w:rPr>
          <w:rFonts w:ascii="Palatino Linotype" w:eastAsia="Calibri" w:hAnsi="Palatino Linotype" w:cs="Arial"/>
          <w:lang w:val="es-ES"/>
        </w:rPr>
        <w:t xml:space="preserve"> con el número</w:t>
      </w:r>
      <w:r w:rsidRPr="009226B9">
        <w:rPr>
          <w:rFonts w:ascii="Palatino Linotype" w:eastAsia="Calibri" w:hAnsi="Palatino Linotype" w:cs="Arial"/>
          <w:lang w:val="es-ES"/>
        </w:rPr>
        <w:t xml:space="preserve"> </w:t>
      </w:r>
      <w:r w:rsidR="005B2875" w:rsidRPr="009226B9">
        <w:rPr>
          <w:rFonts w:ascii="Palatino Linotype" w:hAnsi="Palatino Linotype"/>
          <w:b/>
          <w:bCs/>
        </w:rPr>
        <w:t>00011/SMA/IP/2019</w:t>
      </w:r>
      <w:r w:rsidRPr="009226B9">
        <w:rPr>
          <w:rFonts w:ascii="Palatino Linotype" w:hAnsi="Palatino Linotype"/>
          <w:b/>
          <w:bCs/>
        </w:rPr>
        <w:t>;</w:t>
      </w:r>
      <w:r w:rsidRPr="009226B9">
        <w:rPr>
          <w:rFonts w:ascii="Palatino Linotype" w:eastAsia="Calibri" w:hAnsi="Palatino Linotype" w:cs="Arial"/>
          <w:lang w:val="es-ES"/>
        </w:rPr>
        <w:t xml:space="preserve"> mediante la cual</w:t>
      </w:r>
      <w:r w:rsidR="00A21054" w:rsidRPr="009226B9">
        <w:rPr>
          <w:rFonts w:ascii="Palatino Linotype" w:eastAsia="Calibri" w:hAnsi="Palatino Linotype" w:cs="Arial"/>
          <w:lang w:val="es-ES"/>
        </w:rPr>
        <w:t xml:space="preserve"> solicitó</w:t>
      </w:r>
      <w:r w:rsidRPr="009226B9">
        <w:rPr>
          <w:rFonts w:ascii="Palatino Linotype" w:eastAsia="Calibri" w:hAnsi="Palatino Linotype" w:cs="Arial"/>
          <w:lang w:val="es-ES"/>
        </w:rPr>
        <w:t>:</w:t>
      </w:r>
    </w:p>
    <w:p w:rsidR="002E4103" w:rsidRPr="009226B9" w:rsidRDefault="002E4103" w:rsidP="009226B9">
      <w:pPr>
        <w:pStyle w:val="Prrafodelista"/>
        <w:tabs>
          <w:tab w:val="left" w:pos="0"/>
        </w:tabs>
        <w:spacing w:line="360" w:lineRule="auto"/>
        <w:ind w:left="0" w:right="49"/>
        <w:jc w:val="both"/>
        <w:rPr>
          <w:rFonts w:ascii="Palatino Linotype" w:eastAsia="Calibri" w:hAnsi="Palatino Linotype" w:cs="Arial"/>
          <w:lang w:val="es-ES"/>
        </w:rPr>
      </w:pPr>
    </w:p>
    <w:p w:rsidR="00333841" w:rsidRPr="009226B9" w:rsidRDefault="00B828B6" w:rsidP="009226B9">
      <w:pPr>
        <w:spacing w:line="360" w:lineRule="auto"/>
        <w:ind w:left="567" w:right="567"/>
        <w:jc w:val="both"/>
        <w:rPr>
          <w:rFonts w:ascii="Palatino Linotype" w:eastAsia="Times New Roman" w:hAnsi="Palatino Linotype" w:cs="Times New Roman"/>
          <w:i/>
          <w:lang w:val="es-ES"/>
        </w:rPr>
      </w:pPr>
      <w:r w:rsidRPr="009226B9">
        <w:rPr>
          <w:rFonts w:ascii="Palatino Linotype" w:eastAsia="Times New Roman" w:hAnsi="Palatino Linotype" w:cs="Times New Roman"/>
          <w:i/>
          <w:lang w:val="es-ES"/>
        </w:rPr>
        <w:t xml:space="preserve"> </w:t>
      </w:r>
      <w:r w:rsidR="00333841" w:rsidRPr="009226B9">
        <w:rPr>
          <w:rFonts w:ascii="Palatino Linotype" w:eastAsia="Times New Roman" w:hAnsi="Palatino Linotype" w:cs="Times New Roman"/>
          <w:i/>
          <w:lang w:val="es-ES"/>
        </w:rPr>
        <w:t>“</w:t>
      </w:r>
      <w:r w:rsidR="005B2875" w:rsidRPr="009226B9">
        <w:rPr>
          <w:rFonts w:ascii="Palatino Linotype" w:eastAsia="Times New Roman" w:hAnsi="Palatino Linotype" w:cs="Times New Roman"/>
          <w:i/>
        </w:rPr>
        <w:t xml:space="preserve">En relación con la respuesta a la solicitud de información 00470/SMA/IP/2018, se solicita atentamente indicar la denominación de los </w:t>
      </w:r>
      <w:proofErr w:type="spellStart"/>
      <w:r w:rsidR="005B2875" w:rsidRPr="009226B9">
        <w:rPr>
          <w:rFonts w:ascii="Palatino Linotype" w:eastAsia="Times New Roman" w:hAnsi="Palatino Linotype" w:cs="Times New Roman"/>
          <w:i/>
        </w:rPr>
        <w:t>verificentros</w:t>
      </w:r>
      <w:proofErr w:type="spellEnd"/>
      <w:r w:rsidR="005B2875" w:rsidRPr="009226B9">
        <w:rPr>
          <w:rFonts w:ascii="Palatino Linotype" w:eastAsia="Times New Roman" w:hAnsi="Palatino Linotype" w:cs="Times New Roman"/>
          <w:i/>
        </w:rPr>
        <w:t xml:space="preserve"> a los que no les fueron revalidados sus autorizaciones. Al igual, por </w:t>
      </w:r>
      <w:r w:rsidR="005B2875" w:rsidRPr="009226B9">
        <w:rPr>
          <w:rFonts w:ascii="Palatino Linotype" w:eastAsia="Times New Roman" w:hAnsi="Palatino Linotype" w:cs="Times New Roman"/>
          <w:i/>
        </w:rPr>
        <w:lastRenderedPageBreak/>
        <w:t>favor indicar el motivo por el que no les fueron revalidadas dichas autorizaciones a cada uno de ellos.</w:t>
      </w:r>
      <w:r w:rsidR="00975DAA" w:rsidRPr="009226B9">
        <w:rPr>
          <w:rFonts w:ascii="Palatino Linotype" w:eastAsia="Times New Roman" w:hAnsi="Palatino Linotype" w:cs="Times New Roman"/>
          <w:i/>
          <w:lang w:val="es-ES"/>
        </w:rPr>
        <w:t xml:space="preserve">” </w:t>
      </w:r>
      <w:r w:rsidR="00333841" w:rsidRPr="009226B9">
        <w:rPr>
          <w:rFonts w:ascii="Palatino Linotype" w:eastAsia="Times New Roman" w:hAnsi="Palatino Linotype" w:cs="Times New Roman"/>
          <w:i/>
          <w:lang w:val="es-ES"/>
        </w:rPr>
        <w:t>(Sic)</w:t>
      </w:r>
    </w:p>
    <w:p w:rsidR="00197D25" w:rsidRPr="009226B9" w:rsidRDefault="00197D25" w:rsidP="009226B9">
      <w:pPr>
        <w:pStyle w:val="Prrafodelista"/>
        <w:spacing w:line="360" w:lineRule="auto"/>
        <w:ind w:right="34"/>
        <w:jc w:val="both"/>
        <w:rPr>
          <w:rFonts w:ascii="Palatino Linotype" w:hAnsi="Palatino Linotype"/>
        </w:rPr>
      </w:pPr>
    </w:p>
    <w:p w:rsidR="00333841" w:rsidRPr="009226B9" w:rsidRDefault="00333841" w:rsidP="009226B9">
      <w:pPr>
        <w:pStyle w:val="Prrafodelista"/>
        <w:numPr>
          <w:ilvl w:val="0"/>
          <w:numId w:val="4"/>
        </w:numPr>
        <w:spacing w:line="360" w:lineRule="auto"/>
        <w:ind w:right="34"/>
        <w:jc w:val="both"/>
        <w:rPr>
          <w:rFonts w:ascii="Palatino Linotype" w:hAnsi="Palatino Linotype" w:cs="Arial"/>
          <w:b/>
        </w:rPr>
      </w:pPr>
      <w:r w:rsidRPr="009226B9">
        <w:rPr>
          <w:rFonts w:ascii="Palatino Linotype" w:hAnsi="Palatino Linotype" w:cs="Arial"/>
        </w:rPr>
        <w:t xml:space="preserve">El particular señaló como modalidad de entrega de la información: </w:t>
      </w:r>
      <w:r w:rsidRPr="009226B9">
        <w:rPr>
          <w:rFonts w:ascii="Palatino Linotype" w:hAnsi="Palatino Linotype" w:cs="Arial"/>
          <w:b/>
        </w:rPr>
        <w:t>a través del SAIMEX.</w:t>
      </w:r>
    </w:p>
    <w:p w:rsidR="00333841" w:rsidRPr="009226B9" w:rsidRDefault="000B19BE" w:rsidP="009226B9">
      <w:pPr>
        <w:pStyle w:val="Prrafodelista"/>
        <w:numPr>
          <w:ilvl w:val="0"/>
          <w:numId w:val="1"/>
        </w:numPr>
        <w:spacing w:line="360" w:lineRule="auto"/>
        <w:ind w:left="0" w:right="34" w:firstLine="0"/>
        <w:jc w:val="both"/>
        <w:rPr>
          <w:rFonts w:ascii="Palatino Linotype" w:hAnsi="Palatino Linotype"/>
        </w:rPr>
      </w:pPr>
      <w:r w:rsidRPr="009226B9">
        <w:rPr>
          <w:rFonts w:ascii="Palatino Linotype" w:eastAsia="Times New Roman" w:hAnsi="Palatino Linotype" w:cs="Arial"/>
          <w:lang w:val="es-ES"/>
        </w:rPr>
        <w:t xml:space="preserve">El día </w:t>
      </w:r>
      <w:r w:rsidR="005B2875" w:rsidRPr="009226B9">
        <w:rPr>
          <w:rFonts w:ascii="Palatino Linotype" w:eastAsia="Times New Roman" w:hAnsi="Palatino Linotype" w:cs="Arial"/>
          <w:lang w:val="es-ES"/>
        </w:rPr>
        <w:t>veintinueve</w:t>
      </w:r>
      <w:r w:rsidRPr="009226B9">
        <w:rPr>
          <w:rFonts w:ascii="Palatino Linotype" w:eastAsia="Times New Roman" w:hAnsi="Palatino Linotype" w:cs="Arial"/>
          <w:lang w:val="es-ES"/>
        </w:rPr>
        <w:t xml:space="preserve"> (2</w:t>
      </w:r>
      <w:r w:rsidR="005B2875" w:rsidRPr="009226B9">
        <w:rPr>
          <w:rFonts w:ascii="Palatino Linotype" w:eastAsia="Times New Roman" w:hAnsi="Palatino Linotype" w:cs="Arial"/>
          <w:lang w:val="es-ES"/>
        </w:rPr>
        <w:t>9</w:t>
      </w:r>
      <w:r w:rsidRPr="009226B9">
        <w:rPr>
          <w:rFonts w:ascii="Palatino Linotype" w:eastAsia="Times New Roman" w:hAnsi="Palatino Linotype" w:cs="Arial"/>
          <w:lang w:val="es-ES"/>
        </w:rPr>
        <w:t xml:space="preserve">) de enero  de dos mil diecinueve, el </w:t>
      </w:r>
      <w:r w:rsidRPr="009226B9">
        <w:rPr>
          <w:rFonts w:ascii="Palatino Linotype" w:eastAsia="Times New Roman" w:hAnsi="Palatino Linotype" w:cs="Arial"/>
          <w:b/>
          <w:lang w:val="es-ES"/>
        </w:rPr>
        <w:t>SUJETO OBLIGADO</w:t>
      </w:r>
      <w:r w:rsidRPr="009226B9">
        <w:rPr>
          <w:rFonts w:ascii="Palatino Linotype" w:eastAsia="Times New Roman" w:hAnsi="Palatino Linotype" w:cs="Arial"/>
          <w:lang w:val="es-ES"/>
        </w:rPr>
        <w:t xml:space="preserve"> dio respuesta a través </w:t>
      </w:r>
      <w:r w:rsidR="00580B17" w:rsidRPr="009226B9">
        <w:rPr>
          <w:rFonts w:ascii="Palatino Linotype" w:eastAsia="Times New Roman" w:hAnsi="Palatino Linotype" w:cs="Arial"/>
          <w:lang w:val="es-ES"/>
        </w:rPr>
        <w:t>del escrito siguiente</w:t>
      </w:r>
      <w:r w:rsidRPr="009226B9">
        <w:rPr>
          <w:rFonts w:ascii="Palatino Linotype" w:eastAsia="Times New Roman" w:hAnsi="Palatino Linotype" w:cs="Arial"/>
          <w:lang w:val="es-ES"/>
        </w:rPr>
        <w:t>:</w:t>
      </w:r>
    </w:p>
    <w:p w:rsidR="009226B9" w:rsidRPr="009226B9" w:rsidRDefault="009226B9" w:rsidP="009226B9">
      <w:pPr>
        <w:pStyle w:val="Prrafodelista"/>
        <w:spacing w:line="360" w:lineRule="auto"/>
        <w:ind w:left="0" w:right="34"/>
        <w:jc w:val="both"/>
        <w:rPr>
          <w:rFonts w:ascii="Palatino Linotype" w:hAnsi="Palatino Linotype"/>
        </w:rPr>
      </w:pPr>
    </w:p>
    <w:p w:rsidR="00580B17" w:rsidRPr="009226B9" w:rsidRDefault="001C2144" w:rsidP="009226B9">
      <w:pPr>
        <w:pStyle w:val="Prrafodelista"/>
        <w:spacing w:line="360" w:lineRule="auto"/>
        <w:ind w:left="0" w:right="34"/>
        <w:jc w:val="both"/>
        <w:rPr>
          <w:rFonts w:ascii="Palatino Linotype" w:hAnsi="Palatino Linotype"/>
        </w:rPr>
      </w:pPr>
      <w:r w:rsidRPr="001C2144">
        <w:rPr>
          <w:rFonts w:ascii="Palatino Linotype" w:hAnsi="Palatino Linotype"/>
          <w:noProof/>
          <w:bdr w:val="single" w:sz="4" w:space="0" w:color="auto"/>
          <w:lang w:val="es-MX" w:eastAsia="es-MX"/>
        </w:rPr>
        <w:drawing>
          <wp:inline distT="0" distB="0" distL="0" distR="0">
            <wp:extent cx="5211552" cy="3348355"/>
            <wp:effectExtent l="0" t="0" r="8255"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8215" cy="3371910"/>
                    </a:xfrm>
                    <a:prstGeom prst="rect">
                      <a:avLst/>
                    </a:prstGeom>
                    <a:noFill/>
                    <a:ln>
                      <a:noFill/>
                    </a:ln>
                  </pic:spPr>
                </pic:pic>
              </a:graphicData>
            </a:graphic>
          </wp:inline>
        </w:drawing>
      </w:r>
    </w:p>
    <w:p w:rsidR="00E27245" w:rsidRPr="009226B9" w:rsidRDefault="00E27245" w:rsidP="009226B9">
      <w:pPr>
        <w:tabs>
          <w:tab w:val="left" w:pos="0"/>
        </w:tabs>
        <w:spacing w:line="360" w:lineRule="auto"/>
        <w:ind w:right="49"/>
        <w:jc w:val="center"/>
        <w:rPr>
          <w:rFonts w:ascii="Palatino Linotype" w:hAnsi="Palatino Linotype" w:cs="Arial"/>
          <w:b/>
        </w:rPr>
      </w:pPr>
    </w:p>
    <w:p w:rsidR="00ED1EBA" w:rsidRPr="009226B9" w:rsidRDefault="00976E88" w:rsidP="009226B9">
      <w:pPr>
        <w:pStyle w:val="Prrafodelista"/>
        <w:numPr>
          <w:ilvl w:val="0"/>
          <w:numId w:val="1"/>
        </w:numPr>
        <w:spacing w:line="360" w:lineRule="auto"/>
        <w:ind w:left="0" w:right="49" w:firstLine="0"/>
        <w:jc w:val="both"/>
        <w:rPr>
          <w:rFonts w:ascii="Palatino Linotype" w:hAnsi="Palatino Linotype" w:cs="Arial"/>
          <w:i/>
        </w:rPr>
      </w:pPr>
      <w:r w:rsidRPr="009226B9">
        <w:rPr>
          <w:rFonts w:ascii="Palatino Linotype" w:hAnsi="Palatino Linotype" w:cs="Arial"/>
        </w:rPr>
        <w:lastRenderedPageBreak/>
        <w:t>Consecutivo al anterior documento, anexa el Acta de la Segunda Sesión extraordinario 2019, a través del cual se clasifica como reservada la siguiente información:</w:t>
      </w:r>
    </w:p>
    <w:p w:rsidR="00ED1EBA" w:rsidRPr="009226B9" w:rsidRDefault="00ED1EBA" w:rsidP="009226B9">
      <w:pPr>
        <w:pStyle w:val="Prrafodelista"/>
        <w:spacing w:line="360" w:lineRule="auto"/>
        <w:ind w:left="0" w:right="49"/>
        <w:jc w:val="center"/>
        <w:rPr>
          <w:rFonts w:ascii="Palatino Linotype" w:hAnsi="Palatino Linotype" w:cs="Arial"/>
          <w:i/>
        </w:rPr>
      </w:pPr>
      <w:r w:rsidRPr="009226B9">
        <w:rPr>
          <w:rFonts w:ascii="Palatino Linotype" w:hAnsi="Palatino Linotype"/>
          <w:noProof/>
          <w:lang w:val="es-MX" w:eastAsia="es-MX"/>
        </w:rPr>
        <w:drawing>
          <wp:inline distT="0" distB="0" distL="0" distR="0" wp14:anchorId="71FC9497" wp14:editId="1A073672">
            <wp:extent cx="5500048" cy="1444400"/>
            <wp:effectExtent l="19050" t="19050" r="24765" b="228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6877" cy="1446194"/>
                    </a:xfrm>
                    <a:prstGeom prst="rect">
                      <a:avLst/>
                    </a:prstGeom>
                    <a:ln>
                      <a:solidFill>
                        <a:schemeClr val="tx1"/>
                      </a:solidFill>
                    </a:ln>
                  </pic:spPr>
                </pic:pic>
              </a:graphicData>
            </a:graphic>
          </wp:inline>
        </w:drawing>
      </w:r>
    </w:p>
    <w:p w:rsidR="00580B17" w:rsidRPr="009226B9" w:rsidRDefault="00976E88" w:rsidP="009226B9">
      <w:pPr>
        <w:pStyle w:val="Prrafodelista"/>
        <w:spacing w:line="360" w:lineRule="auto"/>
        <w:ind w:left="0" w:right="49"/>
        <w:jc w:val="center"/>
        <w:rPr>
          <w:rFonts w:ascii="Palatino Linotype" w:hAnsi="Palatino Linotype" w:cs="Arial"/>
          <w:i/>
        </w:rPr>
      </w:pPr>
      <w:r w:rsidRPr="009226B9">
        <w:rPr>
          <w:rFonts w:ascii="Palatino Linotype" w:hAnsi="Palatino Linotype"/>
          <w:noProof/>
          <w:lang w:val="es-MX" w:eastAsia="es-MX"/>
        </w:rPr>
        <w:drawing>
          <wp:inline distT="0" distB="0" distL="0" distR="0" wp14:anchorId="59E24745" wp14:editId="54DB4B64">
            <wp:extent cx="5537200" cy="3503920"/>
            <wp:effectExtent l="19050" t="19050" r="25400" b="209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8546" cy="3523756"/>
                    </a:xfrm>
                    <a:prstGeom prst="rect">
                      <a:avLst/>
                    </a:prstGeom>
                    <a:ln>
                      <a:solidFill>
                        <a:schemeClr val="tx1"/>
                      </a:solidFill>
                    </a:ln>
                  </pic:spPr>
                </pic:pic>
              </a:graphicData>
            </a:graphic>
          </wp:inline>
        </w:drawing>
      </w:r>
    </w:p>
    <w:p w:rsidR="00580B17" w:rsidRPr="009226B9" w:rsidRDefault="00580B17" w:rsidP="009226B9">
      <w:pPr>
        <w:pStyle w:val="Prrafodelista"/>
        <w:tabs>
          <w:tab w:val="left" w:pos="0"/>
        </w:tabs>
        <w:spacing w:line="360" w:lineRule="auto"/>
        <w:ind w:left="0" w:right="49"/>
        <w:jc w:val="both"/>
        <w:rPr>
          <w:rFonts w:ascii="Palatino Linotype" w:hAnsi="Palatino Linotype" w:cs="Arial"/>
          <w:i/>
        </w:rPr>
      </w:pPr>
    </w:p>
    <w:p w:rsidR="00333841" w:rsidRPr="009226B9" w:rsidRDefault="00333841" w:rsidP="009226B9">
      <w:pPr>
        <w:pStyle w:val="Prrafodelista"/>
        <w:numPr>
          <w:ilvl w:val="0"/>
          <w:numId w:val="1"/>
        </w:numPr>
        <w:tabs>
          <w:tab w:val="left" w:pos="0"/>
        </w:tabs>
        <w:spacing w:line="360" w:lineRule="auto"/>
        <w:ind w:left="0" w:right="49" w:firstLine="0"/>
        <w:jc w:val="both"/>
        <w:rPr>
          <w:rFonts w:ascii="Palatino Linotype" w:hAnsi="Palatino Linotype" w:cs="Arial"/>
          <w:i/>
        </w:rPr>
      </w:pPr>
      <w:r w:rsidRPr="009226B9">
        <w:rPr>
          <w:rFonts w:ascii="Palatino Linotype" w:eastAsia="Times New Roman" w:hAnsi="Palatino Linotype" w:cs="Arial"/>
          <w:lang w:val="es-ES"/>
        </w:rPr>
        <w:lastRenderedPageBreak/>
        <w:t xml:space="preserve">El día </w:t>
      </w:r>
      <w:r w:rsidR="00580B17" w:rsidRPr="009226B9">
        <w:rPr>
          <w:rFonts w:ascii="Palatino Linotype" w:eastAsia="Times New Roman" w:hAnsi="Palatino Linotype" w:cs="Arial"/>
          <w:lang w:val="es-ES"/>
        </w:rPr>
        <w:t>veintinueve</w:t>
      </w:r>
      <w:r w:rsidRPr="009226B9">
        <w:rPr>
          <w:rFonts w:ascii="Palatino Linotype" w:eastAsia="Times New Roman" w:hAnsi="Palatino Linotype" w:cs="Arial"/>
          <w:lang w:val="es-ES"/>
        </w:rPr>
        <w:t xml:space="preserve"> (</w:t>
      </w:r>
      <w:r w:rsidR="00342F2D" w:rsidRPr="009226B9">
        <w:rPr>
          <w:rFonts w:ascii="Palatino Linotype" w:eastAsia="Times New Roman" w:hAnsi="Palatino Linotype" w:cs="Arial"/>
          <w:lang w:val="es-ES"/>
        </w:rPr>
        <w:t>2</w:t>
      </w:r>
      <w:r w:rsidR="00580B17" w:rsidRPr="009226B9">
        <w:rPr>
          <w:rFonts w:ascii="Palatino Linotype" w:eastAsia="Times New Roman" w:hAnsi="Palatino Linotype" w:cs="Arial"/>
          <w:lang w:val="es-ES"/>
        </w:rPr>
        <w:t>9</w:t>
      </w:r>
      <w:r w:rsidRPr="009226B9">
        <w:rPr>
          <w:rFonts w:ascii="Palatino Linotype" w:eastAsia="Times New Roman" w:hAnsi="Palatino Linotype" w:cs="Arial"/>
          <w:lang w:val="es-ES"/>
        </w:rPr>
        <w:t xml:space="preserve">) de </w:t>
      </w:r>
      <w:r w:rsidR="00141C2D" w:rsidRPr="009226B9">
        <w:rPr>
          <w:rFonts w:ascii="Palatino Linotype" w:eastAsia="Times New Roman" w:hAnsi="Palatino Linotype" w:cs="Arial"/>
          <w:lang w:val="es-ES"/>
        </w:rPr>
        <w:t>e</w:t>
      </w:r>
      <w:r w:rsidR="00301C09" w:rsidRPr="009226B9">
        <w:rPr>
          <w:rFonts w:ascii="Palatino Linotype" w:eastAsia="Times New Roman" w:hAnsi="Palatino Linotype" w:cs="Arial"/>
          <w:lang w:val="es-ES"/>
        </w:rPr>
        <w:t>nero</w:t>
      </w:r>
      <w:r w:rsidRPr="009226B9">
        <w:rPr>
          <w:rFonts w:ascii="Palatino Linotype" w:eastAsia="Times New Roman" w:hAnsi="Palatino Linotype" w:cs="Arial"/>
          <w:lang w:val="es-ES"/>
        </w:rPr>
        <w:t xml:space="preserve"> de dos mil dieciocho, el particular interpuso el recurso de revisión en contra de la de respuesta del </w:t>
      </w:r>
      <w:r w:rsidRPr="009226B9">
        <w:rPr>
          <w:rFonts w:ascii="Palatino Linotype" w:eastAsia="Times New Roman" w:hAnsi="Palatino Linotype" w:cs="Arial"/>
          <w:b/>
          <w:lang w:val="es-ES"/>
        </w:rPr>
        <w:t>SUJETO OBLIGADO</w:t>
      </w:r>
      <w:r w:rsidRPr="009226B9">
        <w:rPr>
          <w:rFonts w:ascii="Palatino Linotype" w:eastAsia="Times New Roman" w:hAnsi="Palatino Linotype" w:cs="Arial"/>
          <w:lang w:val="es-ES"/>
        </w:rPr>
        <w:t>, señalando</w:t>
      </w:r>
      <w:r w:rsidR="00EC32CC" w:rsidRPr="009226B9">
        <w:rPr>
          <w:rFonts w:ascii="Palatino Linotype" w:eastAsia="Times New Roman" w:hAnsi="Palatino Linotype" w:cs="Arial"/>
        </w:rPr>
        <w:t xml:space="preserve"> </w:t>
      </w:r>
      <w:r w:rsidRPr="009226B9">
        <w:rPr>
          <w:rFonts w:ascii="Palatino Linotype" w:eastAsia="Times New Roman" w:hAnsi="Palatino Linotype" w:cs="Arial"/>
          <w:lang w:val="es-ES"/>
        </w:rPr>
        <w:t>como:</w:t>
      </w:r>
      <w:bookmarkStart w:id="3" w:name="_Toc462307683"/>
      <w:bookmarkStart w:id="4" w:name="_Toc472427085"/>
      <w:bookmarkStart w:id="5" w:name="_Toc472500652"/>
    </w:p>
    <w:p w:rsidR="009226B9" w:rsidRPr="009226B9" w:rsidRDefault="009226B9" w:rsidP="009226B9">
      <w:pPr>
        <w:pStyle w:val="Prrafodelista"/>
        <w:tabs>
          <w:tab w:val="left" w:pos="0"/>
        </w:tabs>
        <w:spacing w:line="360" w:lineRule="auto"/>
        <w:ind w:left="0" w:right="49"/>
        <w:jc w:val="both"/>
        <w:rPr>
          <w:rFonts w:ascii="Palatino Linotype" w:hAnsi="Palatino Linotype" w:cs="Arial"/>
          <w:i/>
        </w:rPr>
      </w:pPr>
    </w:p>
    <w:p w:rsidR="00333841" w:rsidRPr="009226B9" w:rsidRDefault="00333841" w:rsidP="009226B9">
      <w:pPr>
        <w:pStyle w:val="Prrafodelista"/>
        <w:numPr>
          <w:ilvl w:val="0"/>
          <w:numId w:val="5"/>
        </w:numPr>
        <w:spacing w:line="360" w:lineRule="auto"/>
        <w:ind w:right="34"/>
        <w:jc w:val="both"/>
        <w:rPr>
          <w:rFonts w:ascii="Palatino Linotype" w:eastAsia="Calibri" w:hAnsi="Palatino Linotype" w:cs="Arial"/>
          <w:lang w:val="es-ES"/>
        </w:rPr>
      </w:pPr>
      <w:r w:rsidRPr="009226B9">
        <w:rPr>
          <w:rFonts w:ascii="Palatino Linotype" w:hAnsi="Palatino Linotype"/>
          <w:b/>
        </w:rPr>
        <w:t>Acto impugnado</w:t>
      </w:r>
      <w:bookmarkEnd w:id="3"/>
      <w:bookmarkEnd w:id="4"/>
      <w:bookmarkEnd w:id="5"/>
      <w:r w:rsidRPr="009226B9">
        <w:rPr>
          <w:rFonts w:ascii="Palatino Linotype" w:hAnsi="Palatino Linotype"/>
          <w:b/>
        </w:rPr>
        <w:t>:</w:t>
      </w:r>
      <w:r w:rsidRPr="009226B9">
        <w:rPr>
          <w:rStyle w:val="Ttulo2Car"/>
          <w:rFonts w:ascii="Palatino Linotype" w:hAnsi="Palatino Linotype"/>
          <w:b/>
          <w:i/>
          <w:color w:val="auto"/>
          <w:sz w:val="24"/>
          <w:szCs w:val="24"/>
          <w:lang w:val="es-ES"/>
        </w:rPr>
        <w:t xml:space="preserve"> </w:t>
      </w:r>
      <w:r w:rsidR="001624E5" w:rsidRPr="009226B9">
        <w:rPr>
          <w:rStyle w:val="Ttulo2Car"/>
          <w:rFonts w:ascii="Palatino Linotype" w:hAnsi="Palatino Linotype"/>
          <w:i/>
          <w:color w:val="auto"/>
          <w:sz w:val="24"/>
          <w:szCs w:val="24"/>
          <w:lang w:val="es-ES"/>
        </w:rPr>
        <w:t>“</w:t>
      </w:r>
      <w:r w:rsidR="00C52040" w:rsidRPr="009226B9">
        <w:rPr>
          <w:rFonts w:ascii="Palatino Linotype" w:eastAsiaTheme="majorEastAsia" w:hAnsi="Palatino Linotype" w:cstheme="majorBidi"/>
          <w:i/>
        </w:rPr>
        <w:t>La respuesta a la solicitud de información 00011/SMA/IP/2019.</w:t>
      </w:r>
      <w:r w:rsidRPr="009226B9">
        <w:rPr>
          <w:rStyle w:val="Ttulo2Car"/>
          <w:rFonts w:ascii="Palatino Linotype" w:hAnsi="Palatino Linotype"/>
          <w:i/>
          <w:color w:val="auto"/>
          <w:sz w:val="24"/>
          <w:szCs w:val="24"/>
          <w:lang w:val="es-ES"/>
        </w:rPr>
        <w:t>” (Sic)</w:t>
      </w:r>
      <w:r w:rsidRPr="009226B9">
        <w:rPr>
          <w:rFonts w:ascii="Palatino Linotype" w:eastAsia="Calibri" w:hAnsi="Palatino Linotype" w:cs="Arial"/>
          <w:i/>
          <w:lang w:val="es-ES"/>
        </w:rPr>
        <w:t xml:space="preserve">; </w:t>
      </w:r>
    </w:p>
    <w:p w:rsidR="00EC32CC" w:rsidRPr="009226B9" w:rsidRDefault="00EC32CC" w:rsidP="009226B9">
      <w:pPr>
        <w:pStyle w:val="Prrafodelista"/>
        <w:spacing w:line="360" w:lineRule="auto"/>
        <w:ind w:left="780" w:right="34"/>
        <w:jc w:val="both"/>
        <w:rPr>
          <w:rFonts w:ascii="Palatino Linotype" w:hAnsi="Palatino Linotype" w:cs="Arial"/>
          <w:i/>
        </w:rPr>
      </w:pPr>
    </w:p>
    <w:p w:rsidR="00333841" w:rsidRPr="009226B9" w:rsidRDefault="00333841" w:rsidP="009226B9">
      <w:pPr>
        <w:pStyle w:val="Prrafodelista"/>
        <w:numPr>
          <w:ilvl w:val="0"/>
          <w:numId w:val="5"/>
        </w:numPr>
        <w:spacing w:line="360" w:lineRule="auto"/>
        <w:jc w:val="both"/>
        <w:rPr>
          <w:rFonts w:ascii="Palatino Linotype" w:hAnsi="Palatino Linotype" w:cs="Arial"/>
          <w:i/>
        </w:rPr>
      </w:pPr>
      <w:bookmarkStart w:id="6" w:name="_Toc462307685"/>
      <w:bookmarkStart w:id="7" w:name="_Toc472427087"/>
      <w:bookmarkStart w:id="8" w:name="_Toc472500654"/>
      <w:r w:rsidRPr="009226B9">
        <w:rPr>
          <w:rFonts w:ascii="Palatino Linotype" w:hAnsi="Palatino Linotype"/>
          <w:b/>
        </w:rPr>
        <w:t>Razones o Motivos de inconformidad:</w:t>
      </w:r>
      <w:bookmarkEnd w:id="6"/>
      <w:bookmarkEnd w:id="7"/>
      <w:bookmarkEnd w:id="8"/>
      <w:r w:rsidRPr="009226B9">
        <w:rPr>
          <w:rStyle w:val="Ttulo2Car"/>
          <w:rFonts w:ascii="Palatino Linotype" w:hAnsi="Palatino Linotype"/>
          <w:b/>
          <w:sz w:val="24"/>
          <w:szCs w:val="24"/>
          <w:lang w:val="es-ES"/>
        </w:rPr>
        <w:t xml:space="preserve"> </w:t>
      </w:r>
      <w:r w:rsidRPr="009226B9">
        <w:rPr>
          <w:rFonts w:ascii="Palatino Linotype" w:hAnsi="Palatino Linotype"/>
          <w:i/>
        </w:rPr>
        <w:t>“</w:t>
      </w:r>
      <w:r w:rsidR="00C52040" w:rsidRPr="009226B9">
        <w:rPr>
          <w:rFonts w:ascii="Palatino Linotype" w:hAnsi="Palatino Linotype"/>
          <w:i/>
        </w:rPr>
        <w:t xml:space="preserve">La H. Secretaría del Medio Ambiente (la "Secretaría") transgrede mi derecho humano establecido en el artículo 6 de la Constitución Política de los Estados Unidos Mexicanos ("CPEUM"), la Ley General de Transparencia y Acceso a la Información Pública ("Ley General") y demás regulaciones aplicables al negarme la información solicitada. Al respecto es importante considerar lo siguiente: 1. El artículo 4 de la Ley General señala a modo de resumen que el derecho humano de acceso a la información comprende solicitar, investigar, difundir, buscar y recibir información. Toda la información generada, obtenida, adquirida, transformada o en posesión de los sujetos obligados es pública y accesible a cualquier persona. Por consiguiente, cualquier documento, archivo o información que obre en algún expediente o acervo de las dependencias (tal y como es la Secretaría) es de naturaleza pública. 2. El segundo párrafo del artículo 4 de la Ley de Transparencia y Acceso a la Información Pública del Estado de México y Municipios (la "Ley") señala que por regla general toda la información en posesión de los sujetos obligados (tal y como es la "Secretaría") es pública y accesible a </w:t>
      </w:r>
      <w:r w:rsidR="00C52040" w:rsidRPr="009226B9">
        <w:rPr>
          <w:rFonts w:ascii="Palatino Linotype" w:hAnsi="Palatino Linotype"/>
          <w:i/>
        </w:rPr>
        <w:lastRenderedPageBreak/>
        <w:t xml:space="preserve">cualquier persona. En ese sentido, cualquier ciudadano puede acceder a la información pública con las limitantes que la propia regulación aplicable establezca y no a criterio exclusivo de alguna dependencia (tal y como es la Secretaría). 3. A través de la respuesta a la solicitud de información de referencia solamente se solicitó información relacionada y no específica sobre los juicios 4. . La Negativa es contraria a derecho, toda vez que como se indicó en los numerales 1. y 2 del presente escrito toda la información que se encuentre en archivos o en manos de los sujetos obligados (tal y como es la Secretaría) es sujeto al acceso a información pública y no se están pidiendo detalles y ni siquiera la </w:t>
      </w:r>
      <w:proofErr w:type="spellStart"/>
      <w:r w:rsidR="00C52040" w:rsidRPr="009226B9">
        <w:rPr>
          <w:rFonts w:ascii="Palatino Linotype" w:hAnsi="Palatino Linotype"/>
          <w:i/>
        </w:rPr>
        <w:t>Secretaríaindica</w:t>
      </w:r>
      <w:proofErr w:type="spellEnd"/>
      <w:r w:rsidR="00C52040" w:rsidRPr="009226B9">
        <w:rPr>
          <w:rFonts w:ascii="Palatino Linotype" w:hAnsi="Palatino Linotype"/>
          <w:i/>
        </w:rPr>
        <w:t xml:space="preserve"> que personas promovieron recursos o impugnaciones, </w:t>
      </w:r>
      <w:proofErr w:type="spellStart"/>
      <w:r w:rsidR="00C52040" w:rsidRPr="009226B9">
        <w:rPr>
          <w:rFonts w:ascii="Palatino Linotype" w:hAnsi="Palatino Linotype"/>
          <w:i/>
        </w:rPr>
        <w:t>por que</w:t>
      </w:r>
      <w:proofErr w:type="spellEnd"/>
      <w:r w:rsidR="00C52040" w:rsidRPr="009226B9">
        <w:rPr>
          <w:rFonts w:ascii="Palatino Linotype" w:hAnsi="Palatino Linotype"/>
          <w:i/>
        </w:rPr>
        <w:t xml:space="preserve"> </w:t>
      </w:r>
      <w:proofErr w:type="spellStart"/>
      <w:r w:rsidR="00C52040" w:rsidRPr="009226B9">
        <w:rPr>
          <w:rFonts w:ascii="Palatino Linotype" w:hAnsi="Palatino Linotype"/>
          <w:i/>
        </w:rPr>
        <w:t>sino</w:t>
      </w:r>
      <w:proofErr w:type="spellEnd"/>
      <w:r w:rsidR="00C52040" w:rsidRPr="009226B9">
        <w:rPr>
          <w:rFonts w:ascii="Palatino Linotype" w:hAnsi="Palatino Linotype"/>
          <w:i/>
        </w:rPr>
        <w:t xml:space="preserve"> hubiera personas que hayan promovido </w:t>
      </w:r>
      <w:proofErr w:type="spellStart"/>
      <w:r w:rsidR="00C52040" w:rsidRPr="009226B9">
        <w:rPr>
          <w:rFonts w:ascii="Palatino Linotype" w:hAnsi="Palatino Linotype"/>
          <w:i/>
        </w:rPr>
        <w:t>algun</w:t>
      </w:r>
      <w:proofErr w:type="spellEnd"/>
      <w:r w:rsidR="00C52040" w:rsidRPr="009226B9">
        <w:rPr>
          <w:rFonts w:ascii="Palatino Linotype" w:hAnsi="Palatino Linotype"/>
          <w:i/>
        </w:rPr>
        <w:t xml:space="preserve"> recurso contra la resolución de no revalidar, la Secretaría me niega el acceso. Lo anterior, con independencia de encontrarse o no relacionado con el servicio público. 5. La información solicitada se encuentra relacionada con la instalación de </w:t>
      </w:r>
      <w:proofErr w:type="spellStart"/>
      <w:r w:rsidR="00C52040" w:rsidRPr="009226B9">
        <w:rPr>
          <w:rFonts w:ascii="Palatino Linotype" w:hAnsi="Palatino Linotype"/>
          <w:i/>
        </w:rPr>
        <w:t>verificentros</w:t>
      </w:r>
      <w:proofErr w:type="spellEnd"/>
      <w:r w:rsidR="00C52040" w:rsidRPr="009226B9">
        <w:rPr>
          <w:rFonts w:ascii="Palatino Linotype" w:hAnsi="Palatino Linotype"/>
          <w:i/>
        </w:rPr>
        <w:t xml:space="preserve"> en el Estado de México y la misma se encuentra íntimamente involucrada con: (i) información medio ambiental (por tratar del cuidado del medio ambiente por los procesos de verificación vehicular), y (ii) concursos públicos en el que se debió escoger a la persona que cumplía con los requisitos derivados de una evaluación por esa H. Secretaría (fue un concurso para adjudicar los </w:t>
      </w:r>
      <w:proofErr w:type="spellStart"/>
      <w:r w:rsidR="00C52040" w:rsidRPr="009226B9">
        <w:rPr>
          <w:rFonts w:ascii="Palatino Linotype" w:hAnsi="Palatino Linotype"/>
          <w:i/>
        </w:rPr>
        <w:t>verificentros</w:t>
      </w:r>
      <w:proofErr w:type="spellEnd"/>
      <w:r w:rsidR="00C52040" w:rsidRPr="009226B9">
        <w:rPr>
          <w:rFonts w:ascii="Palatino Linotype" w:hAnsi="Palatino Linotype"/>
          <w:i/>
        </w:rPr>
        <w:t xml:space="preserve">). 6. No obstante si alguna persona física (si fuera el caso) haya presentado documentación para ser autorizado de un </w:t>
      </w:r>
      <w:proofErr w:type="spellStart"/>
      <w:r w:rsidR="00C52040" w:rsidRPr="009226B9">
        <w:rPr>
          <w:rFonts w:ascii="Palatino Linotype" w:hAnsi="Palatino Linotype"/>
          <w:i/>
        </w:rPr>
        <w:t>verificentro</w:t>
      </w:r>
      <w:proofErr w:type="spellEnd"/>
      <w:r w:rsidR="00C52040" w:rsidRPr="009226B9">
        <w:rPr>
          <w:rFonts w:ascii="Palatino Linotype" w:hAnsi="Palatino Linotype"/>
          <w:i/>
        </w:rPr>
        <w:t xml:space="preserve"> no podría considerarse que es información confidencial o reservada como lo trata de justificar la H. Secretaría, ya que dicha persona física formó parte y decidió ser parte de un procedimiento o por </w:t>
      </w:r>
      <w:r w:rsidR="00C52040" w:rsidRPr="009226B9">
        <w:rPr>
          <w:rFonts w:ascii="Palatino Linotype" w:hAnsi="Palatino Linotype"/>
          <w:i/>
        </w:rPr>
        <w:lastRenderedPageBreak/>
        <w:t xml:space="preserve">analogía de concurso de contratación pública cuestión que es de conocimiento público para conocer los motivos por los que esa persona fue la elegida para ser la autorizada de un </w:t>
      </w:r>
      <w:proofErr w:type="spellStart"/>
      <w:r w:rsidR="00C52040" w:rsidRPr="009226B9">
        <w:rPr>
          <w:rFonts w:ascii="Palatino Linotype" w:hAnsi="Palatino Linotype"/>
          <w:i/>
        </w:rPr>
        <w:t>verificentro</w:t>
      </w:r>
      <w:proofErr w:type="spellEnd"/>
      <w:r w:rsidR="00C52040" w:rsidRPr="009226B9">
        <w:rPr>
          <w:rFonts w:ascii="Palatino Linotype" w:hAnsi="Palatino Linotype"/>
          <w:i/>
        </w:rPr>
        <w:t>. Asimismo, vale la pena señalar que la presente solicitud no tiene relación con cuestiones de seguridad nacional, por lo que tampoco habría razón para negarme la información. 7. Para mayor referencia sobre la publicidad que es sujeta la información solicitada por el recurrente sirve de apoyo los siguientes criterios: 4/13 y 26/10 emitidos por el entonces IFAI (actualmente INAI). 8. Por consiguiente, se solicita atentamente instruir a la Secretaría a hacerme entrega de la información solicitada en los términos indicados en la solicitud de acceso a información por proceder conforme a derecho.</w:t>
      </w:r>
      <w:r w:rsidRPr="009226B9">
        <w:rPr>
          <w:rFonts w:ascii="Palatino Linotype" w:hAnsi="Palatino Linotype"/>
          <w:i/>
        </w:rPr>
        <w:t xml:space="preserve">” </w:t>
      </w:r>
      <w:r w:rsidRPr="009226B9">
        <w:rPr>
          <w:rFonts w:ascii="Palatino Linotype" w:hAnsi="Palatino Linotype" w:cs="Arial"/>
          <w:i/>
        </w:rPr>
        <w:t xml:space="preserve">(Sic) </w:t>
      </w:r>
    </w:p>
    <w:p w:rsidR="00ED1EBA" w:rsidRPr="009226B9" w:rsidRDefault="00ED1EBA" w:rsidP="009226B9">
      <w:pPr>
        <w:pStyle w:val="Prrafodelista"/>
        <w:spacing w:line="360" w:lineRule="auto"/>
        <w:ind w:left="780"/>
        <w:jc w:val="both"/>
        <w:rPr>
          <w:rFonts w:ascii="Palatino Linotype" w:hAnsi="Palatino Linotype" w:cs="Arial"/>
          <w:i/>
        </w:rPr>
      </w:pPr>
    </w:p>
    <w:p w:rsidR="00EF1AC5" w:rsidRPr="009226B9" w:rsidRDefault="00376174" w:rsidP="009226B9">
      <w:pPr>
        <w:pStyle w:val="Prrafodelista"/>
        <w:numPr>
          <w:ilvl w:val="0"/>
          <w:numId w:val="1"/>
        </w:numPr>
        <w:tabs>
          <w:tab w:val="left" w:pos="0"/>
        </w:tabs>
        <w:spacing w:line="360" w:lineRule="auto"/>
        <w:ind w:left="0" w:right="49" w:firstLine="0"/>
        <w:jc w:val="both"/>
        <w:rPr>
          <w:rFonts w:ascii="Palatino Linotype" w:hAnsi="Palatino Linotype"/>
          <w:i/>
        </w:rPr>
      </w:pPr>
      <w:r w:rsidRPr="009226B9">
        <w:rPr>
          <w:rFonts w:ascii="Palatino Linotype" w:eastAsia="Calibri" w:hAnsi="Palatino Linotype" w:cs="Arial"/>
        </w:rPr>
        <w:t xml:space="preserve">El </w:t>
      </w:r>
      <w:r w:rsidRPr="009226B9">
        <w:rPr>
          <w:rFonts w:ascii="Palatino Linotype" w:eastAsia="Calibri" w:hAnsi="Palatino Linotype" w:cs="Times New Roman"/>
        </w:rPr>
        <w:t>Comisionado</w:t>
      </w:r>
      <w:r w:rsidRPr="009226B9">
        <w:rPr>
          <w:rFonts w:ascii="Palatino Linotype" w:eastAsia="Calibri" w:hAnsi="Palatino Linotype" w:cs="Arial"/>
        </w:rPr>
        <w:t xml:space="preserve"> Ponente con fundamento en lo dispuesto por el artículo 185 fracción II de la ley de la materia, a través del acuerdo de admisión de fecha </w:t>
      </w:r>
      <w:r w:rsidR="00C52040" w:rsidRPr="009226B9">
        <w:rPr>
          <w:rFonts w:ascii="Palatino Linotype" w:eastAsia="Calibri" w:hAnsi="Palatino Linotype" w:cs="Arial"/>
        </w:rPr>
        <w:t>seis</w:t>
      </w:r>
      <w:r w:rsidR="00A26284" w:rsidRPr="009226B9">
        <w:rPr>
          <w:rFonts w:ascii="Palatino Linotype" w:eastAsia="Calibri" w:hAnsi="Palatino Linotype" w:cs="Arial"/>
        </w:rPr>
        <w:t xml:space="preserve"> </w:t>
      </w:r>
      <w:r w:rsidRPr="009226B9">
        <w:rPr>
          <w:rFonts w:ascii="Palatino Linotype" w:eastAsia="Calibri" w:hAnsi="Palatino Linotype" w:cs="Arial"/>
        </w:rPr>
        <w:t>(</w:t>
      </w:r>
      <w:r w:rsidR="00580B17" w:rsidRPr="009226B9">
        <w:rPr>
          <w:rFonts w:ascii="Palatino Linotype" w:eastAsia="Calibri" w:hAnsi="Palatino Linotype" w:cs="Arial"/>
        </w:rPr>
        <w:t>0</w:t>
      </w:r>
      <w:r w:rsidR="00C52040" w:rsidRPr="009226B9">
        <w:rPr>
          <w:rFonts w:ascii="Palatino Linotype" w:eastAsia="Calibri" w:hAnsi="Palatino Linotype" w:cs="Arial"/>
        </w:rPr>
        <w:t>6</w:t>
      </w:r>
      <w:r w:rsidR="00580B17" w:rsidRPr="009226B9">
        <w:rPr>
          <w:rFonts w:ascii="Palatino Linotype" w:eastAsia="Calibri" w:hAnsi="Palatino Linotype" w:cs="Arial"/>
        </w:rPr>
        <w:t>) de febrero</w:t>
      </w:r>
      <w:r w:rsidR="00301C09" w:rsidRPr="009226B9">
        <w:rPr>
          <w:rFonts w:ascii="Palatino Linotype" w:eastAsia="Calibri" w:hAnsi="Palatino Linotype" w:cs="Arial"/>
        </w:rPr>
        <w:t xml:space="preserve"> de dos mil diecinueve</w:t>
      </w:r>
      <w:r w:rsidRPr="009226B9">
        <w:rPr>
          <w:rFonts w:ascii="Palatino Linotype" w:eastAsia="Calibri" w:hAnsi="Palatino Linotype" w:cs="Arial"/>
        </w:rPr>
        <w:t xml:space="preserve">, puso a disposición de las partes el expediente electrónico vía Sistema de Acceso a la Información Mexiquense </w:t>
      </w:r>
      <w:r w:rsidR="00A26284" w:rsidRPr="009226B9">
        <w:rPr>
          <w:rFonts w:ascii="Palatino Linotype" w:eastAsia="Calibri" w:hAnsi="Palatino Linotype" w:cs="Arial"/>
        </w:rPr>
        <w:t>(</w:t>
      </w:r>
      <w:r w:rsidRPr="009226B9">
        <w:rPr>
          <w:rFonts w:ascii="Palatino Linotype" w:eastAsia="Calibri" w:hAnsi="Palatino Linotype" w:cs="Arial"/>
          <w:b/>
        </w:rPr>
        <w:t>SAIMEX</w:t>
      </w:r>
      <w:r w:rsidR="00A26284" w:rsidRPr="009226B9">
        <w:rPr>
          <w:rFonts w:ascii="Palatino Linotype" w:eastAsia="Calibri" w:hAnsi="Palatino Linotype" w:cs="Arial"/>
          <w:b/>
        </w:rPr>
        <w:t>)</w:t>
      </w:r>
      <w:r w:rsidRPr="009226B9">
        <w:rPr>
          <w:rFonts w:ascii="Palatino Linotype" w:eastAsia="Calibri" w:hAnsi="Palatino Linotype" w:cs="Arial"/>
          <w:b/>
        </w:rPr>
        <w:t xml:space="preserve"> </w:t>
      </w:r>
      <w:r w:rsidR="00A26284" w:rsidRPr="009226B9">
        <w:rPr>
          <w:rFonts w:ascii="Palatino Linotype" w:eastAsia="Calibri" w:hAnsi="Palatino Linotype" w:cs="Arial"/>
        </w:rPr>
        <w:t>con la finalidad</w:t>
      </w:r>
      <w:r w:rsidRPr="009226B9">
        <w:rPr>
          <w:rFonts w:ascii="Palatino Linotype" w:eastAsia="Calibri" w:hAnsi="Palatino Linotype" w:cs="Arial"/>
        </w:rPr>
        <w:t xml:space="preserve"> de que en un plazo máximo de siete días manifestaran lo que a su derecho convinieran, ofrecieran pruebas y alegatos según corresponda a los casos concretos, de esta forma para que el </w:t>
      </w:r>
      <w:r w:rsidRPr="009226B9">
        <w:rPr>
          <w:rFonts w:ascii="Palatino Linotype" w:eastAsia="Calibri" w:hAnsi="Palatino Linotype" w:cs="Arial"/>
          <w:b/>
        </w:rPr>
        <w:t>SUJETO OBLIGADO</w:t>
      </w:r>
      <w:r w:rsidRPr="009226B9">
        <w:rPr>
          <w:rFonts w:ascii="Palatino Linotype" w:eastAsia="Calibri" w:hAnsi="Palatino Linotype" w:cs="Arial"/>
        </w:rPr>
        <w:t xml:space="preserve"> presentará el Informe Justificado procedente.</w:t>
      </w:r>
    </w:p>
    <w:p w:rsidR="00376174" w:rsidRPr="009226B9" w:rsidRDefault="00376174" w:rsidP="009226B9">
      <w:pPr>
        <w:pStyle w:val="Prrafodelista"/>
        <w:tabs>
          <w:tab w:val="left" w:pos="0"/>
        </w:tabs>
        <w:spacing w:line="360" w:lineRule="auto"/>
        <w:ind w:left="0" w:right="49"/>
        <w:jc w:val="both"/>
        <w:rPr>
          <w:rFonts w:ascii="Palatino Linotype" w:hAnsi="Palatino Linotype"/>
          <w:i/>
        </w:rPr>
      </w:pPr>
    </w:p>
    <w:p w:rsidR="00A26284" w:rsidRPr="009226B9" w:rsidRDefault="00A26284" w:rsidP="009226B9">
      <w:pPr>
        <w:pStyle w:val="Prrafodelista"/>
        <w:numPr>
          <w:ilvl w:val="0"/>
          <w:numId w:val="1"/>
        </w:numPr>
        <w:spacing w:line="360" w:lineRule="auto"/>
        <w:ind w:left="0" w:firstLine="0"/>
        <w:jc w:val="both"/>
        <w:rPr>
          <w:rFonts w:ascii="Palatino Linotype" w:hAnsi="Palatino Linotype"/>
          <w:color w:val="000000"/>
        </w:rPr>
      </w:pPr>
      <w:r w:rsidRPr="009226B9">
        <w:rPr>
          <w:rFonts w:ascii="Palatino Linotype" w:hAnsi="Palatino Linotype"/>
          <w:color w:val="000000"/>
        </w:rPr>
        <w:t xml:space="preserve">En </w:t>
      </w:r>
      <w:r w:rsidR="00580B17" w:rsidRPr="009226B9">
        <w:rPr>
          <w:rFonts w:ascii="Palatino Linotype" w:hAnsi="Palatino Linotype"/>
          <w:color w:val="000000"/>
        </w:rPr>
        <w:t xml:space="preserve">fecha </w:t>
      </w:r>
      <w:r w:rsidR="00C52040" w:rsidRPr="009226B9">
        <w:rPr>
          <w:rFonts w:ascii="Palatino Linotype" w:hAnsi="Palatino Linotype"/>
          <w:color w:val="000000"/>
        </w:rPr>
        <w:t>do</w:t>
      </w:r>
      <w:r w:rsidR="00580B17" w:rsidRPr="009226B9">
        <w:rPr>
          <w:rFonts w:ascii="Palatino Linotype" w:hAnsi="Palatino Linotype"/>
          <w:color w:val="000000"/>
        </w:rPr>
        <w:t>ce (1</w:t>
      </w:r>
      <w:r w:rsidR="00C52040" w:rsidRPr="009226B9">
        <w:rPr>
          <w:rFonts w:ascii="Palatino Linotype" w:hAnsi="Palatino Linotype"/>
          <w:color w:val="000000"/>
        </w:rPr>
        <w:t>2</w:t>
      </w:r>
      <w:r w:rsidRPr="009226B9">
        <w:rPr>
          <w:rFonts w:ascii="Palatino Linotype" w:hAnsi="Palatino Linotype"/>
          <w:color w:val="000000"/>
        </w:rPr>
        <w:t xml:space="preserve">) de </w:t>
      </w:r>
      <w:r w:rsidR="00C07142" w:rsidRPr="009226B9">
        <w:rPr>
          <w:rFonts w:ascii="Palatino Linotype" w:hAnsi="Palatino Linotype"/>
          <w:color w:val="000000"/>
        </w:rPr>
        <w:t>febrero</w:t>
      </w:r>
      <w:r w:rsidRPr="009226B9">
        <w:rPr>
          <w:rFonts w:ascii="Palatino Linotype" w:hAnsi="Palatino Linotype"/>
          <w:color w:val="000000"/>
        </w:rPr>
        <w:t xml:space="preserve"> de 201</w:t>
      </w:r>
      <w:r w:rsidR="00C07142" w:rsidRPr="009226B9">
        <w:rPr>
          <w:rFonts w:ascii="Palatino Linotype" w:hAnsi="Palatino Linotype"/>
          <w:color w:val="000000"/>
        </w:rPr>
        <w:t>9</w:t>
      </w:r>
      <w:r w:rsidRPr="009226B9">
        <w:rPr>
          <w:rFonts w:ascii="Palatino Linotype" w:hAnsi="Palatino Linotype"/>
          <w:color w:val="000000"/>
        </w:rPr>
        <w:t xml:space="preserve">, el </w:t>
      </w:r>
      <w:r w:rsidRPr="009226B9">
        <w:rPr>
          <w:rFonts w:ascii="Palatino Linotype" w:hAnsi="Palatino Linotype"/>
          <w:b/>
          <w:color w:val="000000"/>
        </w:rPr>
        <w:t>SUJETO OBLIGADO</w:t>
      </w:r>
      <w:r w:rsidRPr="009226B9">
        <w:rPr>
          <w:rFonts w:ascii="Palatino Linotype" w:hAnsi="Palatino Linotype"/>
          <w:color w:val="000000"/>
        </w:rPr>
        <w:t>, emitió el informe just</w:t>
      </w:r>
      <w:r w:rsidR="00C07142" w:rsidRPr="009226B9">
        <w:rPr>
          <w:rFonts w:ascii="Palatino Linotype" w:hAnsi="Palatino Linotype"/>
          <w:color w:val="000000"/>
        </w:rPr>
        <w:t>ificado respectivo, mismo que</w:t>
      </w:r>
      <w:r w:rsidR="00342F2D" w:rsidRPr="009226B9">
        <w:rPr>
          <w:rFonts w:ascii="Palatino Linotype" w:hAnsi="Palatino Linotype"/>
          <w:color w:val="000000"/>
        </w:rPr>
        <w:t xml:space="preserve"> no</w:t>
      </w:r>
      <w:r w:rsidRPr="009226B9">
        <w:rPr>
          <w:rFonts w:ascii="Palatino Linotype" w:hAnsi="Palatino Linotype"/>
          <w:color w:val="000000"/>
        </w:rPr>
        <w:t xml:space="preserve"> fue puesto a disposición </w:t>
      </w:r>
      <w:r w:rsidR="00C07142" w:rsidRPr="009226B9">
        <w:rPr>
          <w:rFonts w:ascii="Palatino Linotype" w:hAnsi="Palatino Linotype"/>
          <w:b/>
          <w:color w:val="000000"/>
        </w:rPr>
        <w:t xml:space="preserve">DEL </w:t>
      </w:r>
      <w:r w:rsidR="00C07142" w:rsidRPr="009226B9">
        <w:rPr>
          <w:rFonts w:ascii="Palatino Linotype" w:hAnsi="Palatino Linotype"/>
          <w:b/>
          <w:color w:val="000000"/>
        </w:rPr>
        <w:lastRenderedPageBreak/>
        <w:t>RECURRENTE</w:t>
      </w:r>
      <w:r w:rsidR="00C52040" w:rsidRPr="009226B9">
        <w:rPr>
          <w:rFonts w:ascii="Palatino Linotype" w:hAnsi="Palatino Linotype"/>
          <w:b/>
          <w:color w:val="000000"/>
        </w:rPr>
        <w:t xml:space="preserve">; </w:t>
      </w:r>
      <w:r w:rsidR="00C52040" w:rsidRPr="009226B9">
        <w:rPr>
          <w:rFonts w:ascii="Palatino Linotype" w:hAnsi="Palatino Linotype"/>
          <w:color w:val="000000"/>
        </w:rPr>
        <w:t xml:space="preserve">no obstante le será remitido al momento de notificar la presente resolución. </w:t>
      </w:r>
      <w:r w:rsidRPr="009226B9">
        <w:rPr>
          <w:rFonts w:ascii="Palatino Linotype" w:hAnsi="Palatino Linotype"/>
          <w:color w:val="000000"/>
        </w:rPr>
        <w:t>Por su parte, el hoy recurrente fue omiso en manifestar lo que a su derecho convinieran y asistiera.</w:t>
      </w:r>
    </w:p>
    <w:p w:rsidR="00796274" w:rsidRPr="009226B9" w:rsidRDefault="00796274" w:rsidP="009226B9">
      <w:pPr>
        <w:pStyle w:val="Prrafodelista"/>
        <w:tabs>
          <w:tab w:val="left" w:pos="0"/>
        </w:tabs>
        <w:spacing w:line="360" w:lineRule="auto"/>
        <w:ind w:left="0" w:right="49"/>
        <w:jc w:val="both"/>
        <w:rPr>
          <w:rFonts w:ascii="Palatino Linotype" w:hAnsi="Palatino Linotype"/>
          <w:b/>
          <w:u w:val="single"/>
        </w:rPr>
      </w:pPr>
    </w:p>
    <w:p w:rsidR="00333841" w:rsidRPr="009226B9" w:rsidRDefault="00376174" w:rsidP="009226B9">
      <w:pPr>
        <w:pStyle w:val="Prrafodelista"/>
        <w:numPr>
          <w:ilvl w:val="0"/>
          <w:numId w:val="1"/>
        </w:numPr>
        <w:tabs>
          <w:tab w:val="left" w:pos="0"/>
        </w:tabs>
        <w:spacing w:line="360" w:lineRule="auto"/>
        <w:ind w:left="0" w:right="49" w:firstLine="0"/>
        <w:jc w:val="both"/>
        <w:rPr>
          <w:rFonts w:ascii="Palatino Linotype" w:hAnsi="Palatino Linotype"/>
          <w:b/>
          <w:u w:val="single"/>
        </w:rPr>
      </w:pPr>
      <w:r w:rsidRPr="009226B9">
        <w:rPr>
          <w:rFonts w:ascii="Palatino Linotype" w:hAnsi="Palatino Linotype"/>
        </w:rPr>
        <w:t>El Comisionado Ponente</w:t>
      </w:r>
      <w:r w:rsidRPr="009226B9">
        <w:rPr>
          <w:rFonts w:ascii="Palatino Linotype" w:eastAsia="Calibri" w:hAnsi="Palatino Linotype" w:cs="Arial"/>
        </w:rPr>
        <w:t>, e</w:t>
      </w:r>
      <w:r w:rsidR="00FF1335" w:rsidRPr="009226B9">
        <w:rPr>
          <w:rFonts w:ascii="Palatino Linotype" w:eastAsia="Calibri" w:hAnsi="Palatino Linotype" w:cs="Arial"/>
        </w:rPr>
        <w:t>n</w:t>
      </w:r>
      <w:r w:rsidR="00FF1335" w:rsidRPr="009226B9">
        <w:rPr>
          <w:rFonts w:ascii="Palatino Linotype" w:hAnsi="Palatino Linotype"/>
        </w:rPr>
        <w:t xml:space="preserve"> fecha </w:t>
      </w:r>
      <w:r w:rsidR="00C52040" w:rsidRPr="009226B9">
        <w:rPr>
          <w:rFonts w:ascii="Palatino Linotype" w:hAnsi="Palatino Linotype"/>
        </w:rPr>
        <w:t>veintidós</w:t>
      </w:r>
      <w:r w:rsidRPr="009226B9">
        <w:rPr>
          <w:rFonts w:ascii="Palatino Linotype" w:hAnsi="Palatino Linotype"/>
        </w:rPr>
        <w:t xml:space="preserve"> (</w:t>
      </w:r>
      <w:r w:rsidR="00C52040" w:rsidRPr="009226B9">
        <w:rPr>
          <w:rFonts w:ascii="Palatino Linotype" w:hAnsi="Palatino Linotype"/>
        </w:rPr>
        <w:t>22</w:t>
      </w:r>
      <w:r w:rsidRPr="009226B9">
        <w:rPr>
          <w:rFonts w:ascii="Palatino Linotype" w:hAnsi="Palatino Linotype"/>
        </w:rPr>
        <w:t xml:space="preserve">) de </w:t>
      </w:r>
      <w:r w:rsidR="00B317F0" w:rsidRPr="009226B9">
        <w:rPr>
          <w:rFonts w:ascii="Palatino Linotype" w:hAnsi="Palatino Linotype"/>
        </w:rPr>
        <w:t>marz</w:t>
      </w:r>
      <w:r w:rsidRPr="009226B9">
        <w:rPr>
          <w:rFonts w:ascii="Palatino Linotype" w:hAnsi="Palatino Linotype"/>
        </w:rPr>
        <w:t>o del añ</w:t>
      </w:r>
      <w:r w:rsidR="00EE265F" w:rsidRPr="009226B9">
        <w:rPr>
          <w:rFonts w:ascii="Palatino Linotype" w:hAnsi="Palatino Linotype"/>
        </w:rPr>
        <w:t xml:space="preserve">o en curso </w:t>
      </w:r>
      <w:r w:rsidRPr="009226B9">
        <w:rPr>
          <w:rFonts w:ascii="Palatino Linotype" w:hAnsi="Palatino Linotype"/>
        </w:rPr>
        <w:t xml:space="preserve"> </w:t>
      </w:r>
      <w:r w:rsidR="00B317F0" w:rsidRPr="009226B9">
        <w:rPr>
          <w:rFonts w:ascii="Palatino Linotype" w:hAnsi="Palatino Linotype"/>
        </w:rPr>
        <w:t xml:space="preserve"> </w:t>
      </w:r>
      <w:r w:rsidRPr="009226B9">
        <w:rPr>
          <w:rFonts w:ascii="Palatino Linotype" w:hAnsi="Palatino Linotype"/>
        </w:rPr>
        <w:t>d</w:t>
      </w:r>
      <w:r w:rsidR="00B317F0" w:rsidRPr="009226B9">
        <w:rPr>
          <w:rFonts w:ascii="Palatino Linotype" w:hAnsi="Palatino Linotype"/>
        </w:rPr>
        <w:t>ecretó el cierre de instrucción,</w:t>
      </w:r>
      <w:r w:rsidRPr="009226B9">
        <w:rPr>
          <w:rFonts w:ascii="Palatino Linotype" w:hAnsi="Palatino Linotype"/>
        </w:rPr>
        <w:t xml:space="preserve"> </w:t>
      </w:r>
      <w:r w:rsidR="00B317F0" w:rsidRPr="009226B9">
        <w:rPr>
          <w:rFonts w:ascii="Palatino Linotype" w:hAnsi="Palatino Linotype"/>
        </w:rPr>
        <w:t>consecutivamente</w:t>
      </w:r>
      <w:r w:rsidRPr="009226B9">
        <w:rPr>
          <w:rFonts w:ascii="Palatino Linotype" w:hAnsi="Palatino Linotype"/>
        </w:rPr>
        <w:t xml:space="preserve">, en </w:t>
      </w:r>
      <w:r w:rsidR="00C52040" w:rsidRPr="009226B9">
        <w:rPr>
          <w:rFonts w:ascii="Palatino Linotype" w:hAnsi="Palatino Linotype"/>
        </w:rPr>
        <w:t xml:space="preserve">la mismo </w:t>
      </w:r>
      <w:r w:rsidR="00B317F0" w:rsidRPr="009226B9">
        <w:rPr>
          <w:rFonts w:ascii="Palatino Linotype" w:hAnsi="Palatino Linotype"/>
        </w:rPr>
        <w:t>fecha</w:t>
      </w:r>
      <w:r w:rsidRPr="009226B9">
        <w:rPr>
          <w:rFonts w:ascii="Palatino Linotype" w:hAnsi="Palatino Linotype"/>
        </w:rPr>
        <w:t>,</w:t>
      </w:r>
      <w:r w:rsidR="00FF1335" w:rsidRPr="009226B9">
        <w:rPr>
          <w:rFonts w:ascii="Palatino Linotype" w:hAnsi="Palatino Linotype"/>
        </w:rPr>
        <w:t xml:space="preserve"> </w:t>
      </w:r>
      <w:r w:rsidR="00B317F0" w:rsidRPr="009226B9">
        <w:rPr>
          <w:rFonts w:ascii="Palatino Linotype" w:hAnsi="Palatino Linotype"/>
        </w:rPr>
        <w:t xml:space="preserve">se </w:t>
      </w:r>
      <w:r w:rsidR="00FF1335" w:rsidRPr="009226B9">
        <w:rPr>
          <w:rFonts w:ascii="Palatino Linotype" w:hAnsi="Palatino Linotype"/>
        </w:rPr>
        <w:t>emitió un acuerdo de termino para resolver el recurso de mérito a efecto de mejor proveer</w:t>
      </w:r>
      <w:r w:rsidR="00B317F0" w:rsidRPr="009226B9">
        <w:rPr>
          <w:rFonts w:ascii="Palatino Linotype" w:hAnsi="Palatino Linotype"/>
        </w:rPr>
        <w:t xml:space="preserve"> en su estudio y resolución</w:t>
      </w:r>
      <w:r w:rsidR="00333841" w:rsidRPr="009226B9">
        <w:rPr>
          <w:rFonts w:ascii="Palatino Linotype" w:hAnsi="Palatino Linotype"/>
        </w:rPr>
        <w:t xml:space="preserve">, </w:t>
      </w:r>
      <w:r w:rsidR="00333841" w:rsidRPr="009226B9">
        <w:rPr>
          <w:rFonts w:ascii="Palatino Linotype" w:hAnsi="Palatino Linotype" w:cs="Arial"/>
        </w:rPr>
        <w:t>por lo que, ordenó turnar el expediente a resolución.</w:t>
      </w:r>
    </w:p>
    <w:p w:rsidR="009226B9" w:rsidRPr="009226B9" w:rsidRDefault="009226B9" w:rsidP="009226B9">
      <w:pPr>
        <w:pStyle w:val="Prrafodelista"/>
        <w:tabs>
          <w:tab w:val="left" w:pos="0"/>
        </w:tabs>
        <w:spacing w:line="360" w:lineRule="auto"/>
        <w:ind w:left="0" w:right="49"/>
        <w:jc w:val="both"/>
        <w:rPr>
          <w:rFonts w:ascii="Palatino Linotype" w:hAnsi="Palatino Linotype"/>
          <w:b/>
          <w:u w:val="single"/>
        </w:rPr>
      </w:pPr>
    </w:p>
    <w:p w:rsidR="00333841" w:rsidRPr="009226B9" w:rsidRDefault="00333841" w:rsidP="009226B9">
      <w:pPr>
        <w:pStyle w:val="Ttulo1"/>
        <w:spacing w:before="0" w:line="360" w:lineRule="auto"/>
        <w:jc w:val="center"/>
        <w:rPr>
          <w:rFonts w:ascii="Palatino Linotype" w:hAnsi="Palatino Linotype"/>
          <w:b/>
          <w:color w:val="auto"/>
          <w:sz w:val="24"/>
          <w:szCs w:val="24"/>
        </w:rPr>
      </w:pPr>
      <w:bookmarkStart w:id="9" w:name="_Toc4106289"/>
      <w:r w:rsidRPr="009226B9">
        <w:rPr>
          <w:rFonts w:ascii="Palatino Linotype" w:hAnsi="Palatino Linotype"/>
          <w:b/>
          <w:color w:val="auto"/>
          <w:sz w:val="24"/>
          <w:szCs w:val="24"/>
        </w:rPr>
        <w:t>CONSIDERANDO</w:t>
      </w:r>
      <w:bookmarkEnd w:id="9"/>
    </w:p>
    <w:p w:rsidR="00333841" w:rsidRPr="009226B9" w:rsidRDefault="00333841" w:rsidP="009226B9">
      <w:pPr>
        <w:spacing w:line="360" w:lineRule="auto"/>
        <w:rPr>
          <w:rFonts w:ascii="Palatino Linotype" w:hAnsi="Palatino Linotype"/>
          <w:lang w:val="es-MX" w:eastAsia="en-US"/>
        </w:rPr>
      </w:pPr>
    </w:p>
    <w:p w:rsidR="00ED1EBA" w:rsidRDefault="00333841" w:rsidP="009226B9">
      <w:pPr>
        <w:pStyle w:val="Ttulo2"/>
        <w:spacing w:before="0" w:line="360" w:lineRule="auto"/>
        <w:rPr>
          <w:rFonts w:ascii="Palatino Linotype" w:hAnsi="Palatino Linotype"/>
          <w:b/>
          <w:color w:val="auto"/>
          <w:sz w:val="24"/>
          <w:szCs w:val="24"/>
        </w:rPr>
      </w:pPr>
      <w:bookmarkStart w:id="10" w:name="_Toc4106290"/>
      <w:r w:rsidRPr="009226B9">
        <w:rPr>
          <w:rFonts w:ascii="Palatino Linotype" w:hAnsi="Palatino Linotype"/>
          <w:b/>
          <w:color w:val="auto"/>
          <w:sz w:val="24"/>
          <w:szCs w:val="24"/>
        </w:rPr>
        <w:t>PRIMERO. De la competencia</w:t>
      </w:r>
      <w:bookmarkEnd w:id="10"/>
    </w:p>
    <w:p w:rsidR="009226B9" w:rsidRPr="009226B9" w:rsidRDefault="009226B9" w:rsidP="009226B9">
      <w:pPr>
        <w:rPr>
          <w:lang w:val="es-MX" w:eastAsia="en-US"/>
        </w:rPr>
      </w:pPr>
    </w:p>
    <w:p w:rsidR="00333841" w:rsidRPr="009226B9" w:rsidRDefault="00333841" w:rsidP="009226B9">
      <w:pPr>
        <w:pStyle w:val="Prrafodelista"/>
        <w:numPr>
          <w:ilvl w:val="0"/>
          <w:numId w:val="1"/>
        </w:numPr>
        <w:tabs>
          <w:tab w:val="left" w:pos="0"/>
        </w:tabs>
        <w:spacing w:line="360" w:lineRule="auto"/>
        <w:ind w:left="0" w:right="49" w:firstLine="0"/>
        <w:jc w:val="both"/>
        <w:rPr>
          <w:rFonts w:ascii="Palatino Linotype" w:hAnsi="Palatino Linotype"/>
        </w:rPr>
      </w:pPr>
      <w:r w:rsidRPr="009226B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226B9">
        <w:rPr>
          <w:rFonts w:ascii="Palatino Linotype" w:eastAsia="Calibri" w:hAnsi="Palatino Linotype" w:cs="Times New Roman"/>
          <w:b/>
          <w:lang w:val="es-ES"/>
        </w:rPr>
        <w:t>Constitución Política de los Estados Unidos Mexicanos</w:t>
      </w:r>
      <w:r w:rsidRPr="009226B9">
        <w:rPr>
          <w:rFonts w:ascii="Palatino Linotype" w:eastAsia="Calibri" w:hAnsi="Palatino Linotype" w:cs="Times New Roman"/>
          <w:lang w:val="es-ES"/>
        </w:rPr>
        <w:t xml:space="preserve">; 5, párrafos vigésimo, vigésimo primero y vigésimo segundo fracciones IV y V de la </w:t>
      </w:r>
      <w:r w:rsidRPr="009226B9">
        <w:rPr>
          <w:rFonts w:ascii="Palatino Linotype" w:eastAsia="Calibri" w:hAnsi="Palatino Linotype" w:cs="Times New Roman"/>
          <w:b/>
          <w:lang w:val="es-ES"/>
        </w:rPr>
        <w:t>Constitución Política del Estado Libre y Soberano de México</w:t>
      </w:r>
      <w:r w:rsidRPr="009226B9">
        <w:rPr>
          <w:rFonts w:ascii="Palatino Linotype" w:eastAsia="Calibri" w:hAnsi="Palatino Linotype" w:cs="Times New Roman"/>
          <w:lang w:val="es-ES"/>
        </w:rPr>
        <w:t xml:space="preserve">; artículos 1, 2 fracción II, 13, 29, 36 fracciones I y II, 176, 178, 179, 181 párrafo tercero y 185 </w:t>
      </w:r>
      <w:r w:rsidRPr="009226B9">
        <w:rPr>
          <w:rFonts w:ascii="Palatino Linotype" w:eastAsia="Calibri" w:hAnsi="Palatino Linotype" w:cs="Arial"/>
          <w:lang w:val="es-ES"/>
        </w:rPr>
        <w:t xml:space="preserve">de la </w:t>
      </w:r>
      <w:r w:rsidRPr="009226B9">
        <w:rPr>
          <w:rFonts w:ascii="Palatino Linotype" w:eastAsia="Calibri" w:hAnsi="Palatino Linotype" w:cs="Arial"/>
          <w:b/>
          <w:lang w:val="es-ES"/>
        </w:rPr>
        <w:t>Ley de Transparencia y Acceso a la Información Pública del Estado de México y Municipios</w:t>
      </w:r>
      <w:r w:rsidRPr="009226B9">
        <w:rPr>
          <w:rFonts w:ascii="Palatino Linotype" w:eastAsia="Calibri" w:hAnsi="Palatino Linotype" w:cs="Arial"/>
          <w:lang w:val="es-ES"/>
        </w:rPr>
        <w:t xml:space="preserve">; ; y 10, 7, 9 fracciones I y XXIV, y 11 del </w:t>
      </w:r>
      <w:r w:rsidRPr="009226B9">
        <w:rPr>
          <w:rFonts w:ascii="Palatino Linotype" w:eastAsia="Calibri" w:hAnsi="Palatino Linotype" w:cs="Arial"/>
          <w:b/>
          <w:lang w:val="es-ES"/>
        </w:rPr>
        <w:t xml:space="preserve">Reglamento Interior </w:t>
      </w:r>
      <w:r w:rsidRPr="009226B9">
        <w:rPr>
          <w:rFonts w:ascii="Palatino Linotype" w:eastAsia="Calibri" w:hAnsi="Palatino Linotype" w:cs="Arial"/>
          <w:b/>
          <w:lang w:val="es-ES"/>
        </w:rPr>
        <w:lastRenderedPageBreak/>
        <w:t>del Instituto de Transparencia, Acceso a la Información Pública y Protección de Datos Personales del Estado de México y Municipios.</w:t>
      </w:r>
    </w:p>
    <w:p w:rsidR="00333841" w:rsidRPr="009226B9" w:rsidRDefault="00333841" w:rsidP="009226B9">
      <w:pPr>
        <w:pStyle w:val="Prrafodelista"/>
        <w:spacing w:line="360" w:lineRule="auto"/>
        <w:ind w:left="0"/>
        <w:jc w:val="both"/>
        <w:rPr>
          <w:rFonts w:ascii="Palatino Linotype" w:hAnsi="Palatino Linotype"/>
        </w:rPr>
      </w:pPr>
    </w:p>
    <w:p w:rsidR="00333841" w:rsidRPr="009226B9" w:rsidRDefault="00333841" w:rsidP="009226B9">
      <w:pPr>
        <w:pStyle w:val="Ttulo2"/>
        <w:spacing w:before="0" w:line="360" w:lineRule="auto"/>
        <w:rPr>
          <w:rFonts w:ascii="Palatino Linotype" w:hAnsi="Palatino Linotype"/>
          <w:b/>
          <w:color w:val="auto"/>
          <w:sz w:val="24"/>
          <w:szCs w:val="24"/>
        </w:rPr>
      </w:pPr>
      <w:bookmarkStart w:id="11" w:name="_Toc4106291"/>
      <w:r w:rsidRPr="009226B9">
        <w:rPr>
          <w:rFonts w:ascii="Palatino Linotype" w:hAnsi="Palatino Linotype"/>
          <w:b/>
          <w:color w:val="auto"/>
          <w:sz w:val="24"/>
          <w:szCs w:val="24"/>
        </w:rPr>
        <w:t>SEGUNDO. De la oportunidad y procedencia.</w:t>
      </w:r>
      <w:bookmarkEnd w:id="11"/>
    </w:p>
    <w:p w:rsidR="00ED1EBA" w:rsidRPr="009226B9" w:rsidRDefault="00ED1EBA" w:rsidP="009226B9">
      <w:pPr>
        <w:spacing w:line="360" w:lineRule="auto"/>
        <w:rPr>
          <w:rFonts w:ascii="Palatino Linotype" w:hAnsi="Palatino Linotype"/>
          <w:lang w:val="es-MX" w:eastAsia="en-US"/>
        </w:rPr>
      </w:pPr>
    </w:p>
    <w:p w:rsidR="002F6822" w:rsidRPr="009226B9" w:rsidRDefault="002F6822" w:rsidP="009226B9">
      <w:pPr>
        <w:pStyle w:val="Prrafodelista"/>
        <w:numPr>
          <w:ilvl w:val="0"/>
          <w:numId w:val="1"/>
        </w:numPr>
        <w:tabs>
          <w:tab w:val="left" w:pos="0"/>
        </w:tabs>
        <w:spacing w:line="360" w:lineRule="auto"/>
        <w:ind w:left="0" w:right="49" w:firstLine="0"/>
        <w:jc w:val="both"/>
        <w:rPr>
          <w:rFonts w:ascii="Palatino Linotype" w:hAnsi="Palatino Linotype"/>
        </w:rPr>
      </w:pPr>
      <w:r w:rsidRPr="009226B9">
        <w:rPr>
          <w:rFonts w:ascii="Palatino Linotype" w:eastAsia="Calibri" w:hAnsi="Palatino Linotype" w:cs="Arial"/>
        </w:rPr>
        <w:t xml:space="preserve">El medio de impugnación fue presentado a través del </w:t>
      </w:r>
      <w:r w:rsidRPr="009226B9">
        <w:rPr>
          <w:rFonts w:ascii="Palatino Linotype" w:eastAsia="Calibri" w:hAnsi="Palatino Linotype" w:cs="Arial"/>
          <w:b/>
        </w:rPr>
        <w:t>SAIMEX,</w:t>
      </w:r>
      <w:r w:rsidRPr="009226B9">
        <w:rPr>
          <w:rFonts w:ascii="Palatino Linotype" w:eastAsia="Calibri" w:hAnsi="Palatino Linotype" w:cs="Arial"/>
        </w:rPr>
        <w:t xml:space="preserve"> en el formato previamente aprobado para tal efecto y dentro del plazo legal de quince días hábiles otorgados; para el caso en particular es de señalar el </w:t>
      </w:r>
      <w:r w:rsidRPr="009226B9">
        <w:rPr>
          <w:rFonts w:ascii="Palatino Linotype" w:eastAsia="Calibri" w:hAnsi="Palatino Linotype" w:cs="Arial"/>
          <w:b/>
        </w:rPr>
        <w:t>SUJETO OBLIGADO</w:t>
      </w:r>
      <w:r w:rsidRPr="009226B9">
        <w:rPr>
          <w:rFonts w:ascii="Palatino Linotype" w:eastAsia="Calibri" w:hAnsi="Palatino Linotype" w:cs="Arial"/>
        </w:rPr>
        <w:t xml:space="preserve"> entrego su respuesta el día </w:t>
      </w:r>
      <w:r w:rsidR="00C52040" w:rsidRPr="009226B9">
        <w:rPr>
          <w:rFonts w:ascii="Palatino Linotype" w:eastAsia="Calibri" w:hAnsi="Palatino Linotype" w:cs="Arial"/>
        </w:rPr>
        <w:t>veintinueve</w:t>
      </w:r>
      <w:r w:rsidRPr="009226B9">
        <w:rPr>
          <w:rFonts w:ascii="Palatino Linotype" w:eastAsia="Calibri" w:hAnsi="Palatino Linotype" w:cs="Arial"/>
        </w:rPr>
        <w:t xml:space="preserve"> (</w:t>
      </w:r>
      <w:r w:rsidR="008A1A68" w:rsidRPr="009226B9">
        <w:rPr>
          <w:rFonts w:ascii="Palatino Linotype" w:eastAsia="Calibri" w:hAnsi="Palatino Linotype" w:cs="Arial"/>
        </w:rPr>
        <w:t>2</w:t>
      </w:r>
      <w:r w:rsidR="00C52040" w:rsidRPr="009226B9">
        <w:rPr>
          <w:rFonts w:ascii="Palatino Linotype" w:eastAsia="Calibri" w:hAnsi="Palatino Linotype" w:cs="Arial"/>
        </w:rPr>
        <w:t>9</w:t>
      </w:r>
      <w:r w:rsidRPr="009226B9">
        <w:rPr>
          <w:rFonts w:ascii="Palatino Linotype" w:eastAsia="Calibri" w:hAnsi="Palatino Linotype" w:cs="Arial"/>
        </w:rPr>
        <w:t xml:space="preserve">) de </w:t>
      </w:r>
      <w:r w:rsidR="00E0464A" w:rsidRPr="009226B9">
        <w:rPr>
          <w:rFonts w:ascii="Palatino Linotype" w:eastAsia="Calibri" w:hAnsi="Palatino Linotype" w:cs="Arial"/>
        </w:rPr>
        <w:t>enero</w:t>
      </w:r>
      <w:r w:rsidRPr="009226B9">
        <w:rPr>
          <w:rFonts w:ascii="Palatino Linotype" w:eastAsia="Calibri" w:hAnsi="Palatino Linotype" w:cs="Arial"/>
        </w:rPr>
        <w:t xml:space="preserve"> de dos mil dieci</w:t>
      </w:r>
      <w:r w:rsidR="00E0464A" w:rsidRPr="009226B9">
        <w:rPr>
          <w:rFonts w:ascii="Palatino Linotype" w:eastAsia="Calibri" w:hAnsi="Palatino Linotype" w:cs="Arial"/>
        </w:rPr>
        <w:t>nueve</w:t>
      </w:r>
      <w:r w:rsidRPr="009226B9">
        <w:rPr>
          <w:rFonts w:ascii="Palatino Linotype" w:eastAsia="Calibri" w:hAnsi="Palatino Linotype" w:cs="Arial"/>
        </w:rPr>
        <w:t xml:space="preserve">, </w:t>
      </w:r>
      <w:r w:rsidRPr="009226B9">
        <w:rPr>
          <w:rFonts w:ascii="Palatino Linotype" w:hAnsi="Palatino Linotype" w:cs="Arial"/>
        </w:rPr>
        <w:t>de tal forma que el plazo para interponer el recurso transcurrió del día</w:t>
      </w:r>
      <w:r w:rsidR="00E0464A" w:rsidRPr="009226B9">
        <w:rPr>
          <w:rFonts w:ascii="Palatino Linotype" w:hAnsi="Palatino Linotype" w:cs="Arial"/>
        </w:rPr>
        <w:t xml:space="preserve"> </w:t>
      </w:r>
      <w:r w:rsidR="00C52040" w:rsidRPr="009226B9">
        <w:rPr>
          <w:rFonts w:ascii="Palatino Linotype" w:hAnsi="Palatino Linotype" w:cs="Arial"/>
        </w:rPr>
        <w:t>treinta</w:t>
      </w:r>
      <w:r w:rsidR="00E0464A" w:rsidRPr="009226B9">
        <w:rPr>
          <w:rFonts w:ascii="Palatino Linotype" w:hAnsi="Palatino Linotype" w:cs="Arial"/>
        </w:rPr>
        <w:t xml:space="preserve"> (</w:t>
      </w:r>
      <w:r w:rsidR="00C52040" w:rsidRPr="009226B9">
        <w:rPr>
          <w:rFonts w:ascii="Palatino Linotype" w:hAnsi="Palatino Linotype" w:cs="Arial"/>
        </w:rPr>
        <w:t>30</w:t>
      </w:r>
      <w:r w:rsidRPr="009226B9">
        <w:rPr>
          <w:rFonts w:ascii="Palatino Linotype" w:hAnsi="Palatino Linotype" w:cs="Arial"/>
        </w:rPr>
        <w:t xml:space="preserve">) </w:t>
      </w:r>
      <w:r w:rsidR="008A1A68" w:rsidRPr="009226B9">
        <w:rPr>
          <w:rFonts w:ascii="Palatino Linotype" w:hAnsi="Palatino Linotype" w:cs="Arial"/>
        </w:rPr>
        <w:t xml:space="preserve">de enero </w:t>
      </w:r>
      <w:r w:rsidRPr="009226B9">
        <w:rPr>
          <w:rFonts w:ascii="Palatino Linotype" w:hAnsi="Palatino Linotype" w:cs="Arial"/>
        </w:rPr>
        <w:t xml:space="preserve">al </w:t>
      </w:r>
      <w:r w:rsidR="00C52040" w:rsidRPr="009226B9">
        <w:rPr>
          <w:rFonts w:ascii="Palatino Linotype" w:hAnsi="Palatino Linotype" w:cs="Arial"/>
        </w:rPr>
        <w:t>veinte</w:t>
      </w:r>
      <w:r w:rsidRPr="009226B9">
        <w:rPr>
          <w:rFonts w:ascii="Palatino Linotype" w:hAnsi="Palatino Linotype" w:cs="Arial"/>
        </w:rPr>
        <w:t xml:space="preserve"> (</w:t>
      </w:r>
      <w:r w:rsidR="00C52040" w:rsidRPr="009226B9">
        <w:rPr>
          <w:rFonts w:ascii="Palatino Linotype" w:hAnsi="Palatino Linotype" w:cs="Arial"/>
        </w:rPr>
        <w:t>20</w:t>
      </w:r>
      <w:r w:rsidRPr="009226B9">
        <w:rPr>
          <w:rFonts w:ascii="Palatino Linotype" w:hAnsi="Palatino Linotype" w:cs="Arial"/>
        </w:rPr>
        <w:t xml:space="preserve">) de </w:t>
      </w:r>
      <w:r w:rsidR="008A1A68" w:rsidRPr="009226B9">
        <w:rPr>
          <w:rFonts w:ascii="Palatino Linotype" w:hAnsi="Palatino Linotype" w:cs="Arial"/>
        </w:rPr>
        <w:t>febre</w:t>
      </w:r>
      <w:r w:rsidR="00E0464A" w:rsidRPr="009226B9">
        <w:rPr>
          <w:rFonts w:ascii="Palatino Linotype" w:hAnsi="Palatino Linotype" w:cs="Arial"/>
        </w:rPr>
        <w:t>ro</w:t>
      </w:r>
      <w:r w:rsidRPr="009226B9">
        <w:rPr>
          <w:rFonts w:ascii="Palatino Linotype" w:hAnsi="Palatino Linotype" w:cs="Arial"/>
        </w:rPr>
        <w:t xml:space="preserve"> de 201</w:t>
      </w:r>
      <w:r w:rsidR="00E0464A" w:rsidRPr="009226B9">
        <w:rPr>
          <w:rFonts w:ascii="Palatino Linotype" w:hAnsi="Palatino Linotype" w:cs="Arial"/>
        </w:rPr>
        <w:t>9</w:t>
      </w:r>
      <w:r w:rsidRPr="009226B9">
        <w:rPr>
          <w:rFonts w:ascii="Palatino Linotype" w:hAnsi="Palatino Linotype" w:cs="Arial"/>
        </w:rPr>
        <w:t xml:space="preserve">; en consecuencia, el ahora recurrente presentó su inconformidad el día </w:t>
      </w:r>
      <w:r w:rsidR="00C52040" w:rsidRPr="009226B9">
        <w:rPr>
          <w:rFonts w:ascii="Palatino Linotype" w:hAnsi="Palatino Linotype" w:cs="Arial"/>
        </w:rPr>
        <w:t>treinta</w:t>
      </w:r>
      <w:r w:rsidR="00E0464A" w:rsidRPr="009226B9">
        <w:rPr>
          <w:rFonts w:ascii="Palatino Linotype" w:hAnsi="Palatino Linotype" w:cs="Arial"/>
        </w:rPr>
        <w:t xml:space="preserve"> </w:t>
      </w:r>
      <w:r w:rsidRPr="009226B9">
        <w:rPr>
          <w:rFonts w:ascii="Palatino Linotype" w:hAnsi="Palatino Linotype" w:cs="Arial"/>
        </w:rPr>
        <w:t>(</w:t>
      </w:r>
      <w:r w:rsidR="00C52040" w:rsidRPr="009226B9">
        <w:rPr>
          <w:rFonts w:ascii="Palatino Linotype" w:hAnsi="Palatino Linotype" w:cs="Arial"/>
        </w:rPr>
        <w:t>30</w:t>
      </w:r>
      <w:r w:rsidRPr="009226B9">
        <w:rPr>
          <w:rFonts w:ascii="Palatino Linotype" w:hAnsi="Palatino Linotype" w:cs="Arial"/>
        </w:rPr>
        <w:t>) de e</w:t>
      </w:r>
      <w:r w:rsidR="00E0464A" w:rsidRPr="009226B9">
        <w:rPr>
          <w:rFonts w:ascii="Palatino Linotype" w:hAnsi="Palatino Linotype" w:cs="Arial"/>
        </w:rPr>
        <w:t>nero</w:t>
      </w:r>
      <w:r w:rsidRPr="009226B9">
        <w:rPr>
          <w:rFonts w:ascii="Palatino Linotype" w:hAnsi="Palatino Linotype" w:cs="Arial"/>
        </w:rPr>
        <w:t xml:space="preserve"> de 201</w:t>
      </w:r>
      <w:r w:rsidR="00E0464A" w:rsidRPr="009226B9">
        <w:rPr>
          <w:rFonts w:ascii="Palatino Linotype" w:hAnsi="Palatino Linotype" w:cs="Arial"/>
        </w:rPr>
        <w:t>9</w:t>
      </w:r>
      <w:r w:rsidRPr="009226B9">
        <w:rPr>
          <w:rFonts w:ascii="Palatino Linotype" w:hAnsi="Palatino Linotype" w:cs="Arial"/>
        </w:rPr>
        <w:t xml:space="preserve">; es decir, dentro del plazo legalmente establecido para tal efecto. </w:t>
      </w:r>
    </w:p>
    <w:p w:rsidR="002F6822" w:rsidRPr="009226B9" w:rsidRDefault="002F6822" w:rsidP="009226B9">
      <w:pPr>
        <w:pStyle w:val="Prrafodelista"/>
        <w:spacing w:line="360" w:lineRule="auto"/>
        <w:ind w:left="426" w:right="49"/>
        <w:jc w:val="both"/>
        <w:rPr>
          <w:rFonts w:ascii="Palatino Linotype" w:hAnsi="Palatino Linotype"/>
        </w:rPr>
      </w:pPr>
    </w:p>
    <w:p w:rsidR="002F6822" w:rsidRPr="009226B9" w:rsidRDefault="002F6822" w:rsidP="009226B9">
      <w:pPr>
        <w:pStyle w:val="Prrafodelista"/>
        <w:numPr>
          <w:ilvl w:val="0"/>
          <w:numId w:val="1"/>
        </w:numPr>
        <w:tabs>
          <w:tab w:val="left" w:pos="0"/>
        </w:tabs>
        <w:spacing w:line="360" w:lineRule="auto"/>
        <w:ind w:left="0" w:right="49" w:firstLine="0"/>
        <w:jc w:val="both"/>
        <w:rPr>
          <w:rFonts w:ascii="Palatino Linotype" w:hAnsi="Palatino Linotype"/>
        </w:rPr>
      </w:pPr>
      <w:r w:rsidRPr="009226B9">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52040" w:rsidRPr="009226B9" w:rsidRDefault="00C52040" w:rsidP="009226B9">
      <w:pPr>
        <w:pStyle w:val="Prrafodelista"/>
        <w:spacing w:line="360" w:lineRule="auto"/>
        <w:rPr>
          <w:rFonts w:ascii="Palatino Linotype" w:hAnsi="Palatino Linotype"/>
        </w:rPr>
      </w:pPr>
    </w:p>
    <w:p w:rsidR="00C52040" w:rsidRPr="009226B9" w:rsidRDefault="00C52040" w:rsidP="009226B9">
      <w:pPr>
        <w:pStyle w:val="Prrafodelista"/>
        <w:tabs>
          <w:tab w:val="left" w:pos="0"/>
        </w:tabs>
        <w:spacing w:line="360" w:lineRule="auto"/>
        <w:ind w:left="0" w:right="49"/>
        <w:jc w:val="both"/>
        <w:rPr>
          <w:rFonts w:ascii="Palatino Linotype" w:hAnsi="Palatino Linotype"/>
        </w:rPr>
      </w:pPr>
    </w:p>
    <w:p w:rsidR="00333841" w:rsidRDefault="00333841" w:rsidP="009226B9">
      <w:pPr>
        <w:pStyle w:val="Ttulo1"/>
        <w:spacing w:before="0" w:line="360" w:lineRule="auto"/>
        <w:rPr>
          <w:rFonts w:ascii="Palatino Linotype" w:hAnsi="Palatino Linotype"/>
          <w:b/>
          <w:i/>
          <w:color w:val="auto"/>
          <w:sz w:val="24"/>
          <w:szCs w:val="24"/>
        </w:rPr>
      </w:pPr>
      <w:bookmarkStart w:id="12" w:name="_Toc4106292"/>
      <w:bookmarkStart w:id="13" w:name="_Toc447183492"/>
      <w:bookmarkStart w:id="14" w:name="_Toc450120667"/>
      <w:bookmarkStart w:id="15" w:name="_Toc461555895"/>
      <w:r w:rsidRPr="009226B9">
        <w:rPr>
          <w:rFonts w:ascii="Palatino Linotype" w:hAnsi="Palatino Linotype"/>
          <w:b/>
          <w:color w:val="auto"/>
          <w:sz w:val="24"/>
          <w:szCs w:val="24"/>
        </w:rPr>
        <w:lastRenderedPageBreak/>
        <w:t xml:space="preserve">TERCERO. Planteamiento de la </w:t>
      </w:r>
      <w:r w:rsidRPr="009226B9">
        <w:rPr>
          <w:rFonts w:ascii="Palatino Linotype" w:hAnsi="Palatino Linotype"/>
          <w:b/>
          <w:i/>
          <w:color w:val="auto"/>
          <w:sz w:val="24"/>
          <w:szCs w:val="24"/>
        </w:rPr>
        <w:t>Litis</w:t>
      </w:r>
      <w:bookmarkEnd w:id="12"/>
    </w:p>
    <w:p w:rsidR="009226B9" w:rsidRPr="009226B9" w:rsidRDefault="009226B9" w:rsidP="009226B9">
      <w:pPr>
        <w:rPr>
          <w:lang w:val="es-MX" w:eastAsia="en-US"/>
        </w:rPr>
      </w:pPr>
    </w:p>
    <w:p w:rsidR="0058701C" w:rsidRPr="009226B9" w:rsidRDefault="0058701C" w:rsidP="009226B9">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9226B9">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9226B9">
        <w:rPr>
          <w:rFonts w:ascii="Palatino Linotype" w:hAnsi="Palatino Linotype" w:cs="Arial"/>
          <w:color w:val="000000" w:themeColor="text1"/>
        </w:rPr>
        <w:t>l ahora recurrente, solicitó la información transcrita en el anterior párrafo uno (01)</w:t>
      </w:r>
      <w:r w:rsidRPr="009226B9">
        <w:rPr>
          <w:rFonts w:ascii="Palatino Linotype" w:hAnsi="Palatino Linotype"/>
          <w:color w:val="000000"/>
        </w:rPr>
        <w:t>, seguidamente el impetrante con motivo de la respuesta del</w:t>
      </w:r>
      <w:r w:rsidR="008A1A68" w:rsidRPr="009226B9">
        <w:rPr>
          <w:rFonts w:ascii="Palatino Linotype" w:hAnsi="Palatino Linotype"/>
          <w:color w:val="000000"/>
        </w:rPr>
        <w:t xml:space="preserve"> </w:t>
      </w:r>
      <w:r w:rsidRPr="009226B9">
        <w:rPr>
          <w:rFonts w:ascii="Palatino Linotype" w:hAnsi="Palatino Linotype"/>
          <w:b/>
          <w:color w:val="000000"/>
        </w:rPr>
        <w:t>SUJETO OBLIGADO</w:t>
      </w:r>
      <w:r w:rsidR="0066236C" w:rsidRPr="009226B9">
        <w:rPr>
          <w:rFonts w:ascii="Palatino Linotype" w:hAnsi="Palatino Linotype"/>
          <w:color w:val="000000"/>
        </w:rPr>
        <w:t>.</w:t>
      </w:r>
    </w:p>
    <w:p w:rsidR="0058701C" w:rsidRPr="009226B9" w:rsidRDefault="0058701C" w:rsidP="009226B9">
      <w:pPr>
        <w:pStyle w:val="Prrafodelista"/>
        <w:spacing w:line="360" w:lineRule="auto"/>
        <w:ind w:left="284" w:right="49"/>
        <w:jc w:val="both"/>
        <w:rPr>
          <w:rFonts w:ascii="Palatino Linotype" w:eastAsia="Times New Roman" w:hAnsi="Palatino Linotype" w:cs="Arial"/>
          <w:color w:val="000000" w:themeColor="text1"/>
        </w:rPr>
      </w:pPr>
    </w:p>
    <w:p w:rsidR="00F9561E" w:rsidRDefault="0058701C" w:rsidP="009226B9">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9226B9">
        <w:rPr>
          <w:rFonts w:ascii="Palatino Linotype" w:hAnsi="Palatino Linotype" w:cs="Arial"/>
          <w:color w:val="000000" w:themeColor="text1"/>
        </w:rPr>
        <w:t xml:space="preserve">Atento a lo anterior y con base en las constancias que obran en el expediente electrónico de la solicitud de mérito, se advierte que el particular pretende </w:t>
      </w:r>
      <w:r w:rsidRPr="009226B9">
        <w:rPr>
          <w:rFonts w:ascii="Palatino Linotype" w:eastAsia="Times New Roman" w:hAnsi="Palatino Linotype"/>
          <w:color w:val="000000" w:themeColor="text1"/>
        </w:rPr>
        <w:t>actualizar la</w:t>
      </w:r>
      <w:r w:rsidR="00950A09" w:rsidRPr="009226B9">
        <w:rPr>
          <w:rFonts w:ascii="Palatino Linotype" w:eastAsia="Times New Roman" w:hAnsi="Palatino Linotype"/>
          <w:color w:val="000000" w:themeColor="text1"/>
        </w:rPr>
        <w:t>s</w:t>
      </w:r>
      <w:r w:rsidRPr="009226B9">
        <w:rPr>
          <w:rFonts w:ascii="Palatino Linotype" w:eastAsia="Times New Roman" w:hAnsi="Palatino Linotype"/>
          <w:color w:val="000000" w:themeColor="text1"/>
        </w:rPr>
        <w:t xml:space="preserve"> causa</w:t>
      </w:r>
      <w:r w:rsidR="00950A09" w:rsidRPr="009226B9">
        <w:rPr>
          <w:rFonts w:ascii="Palatino Linotype" w:eastAsia="Times New Roman" w:hAnsi="Palatino Linotype"/>
          <w:color w:val="000000" w:themeColor="text1"/>
        </w:rPr>
        <w:t>s</w:t>
      </w:r>
      <w:r w:rsidRPr="009226B9">
        <w:rPr>
          <w:rFonts w:ascii="Palatino Linotype" w:eastAsia="Times New Roman" w:hAnsi="Palatino Linotype"/>
          <w:color w:val="000000" w:themeColor="text1"/>
        </w:rPr>
        <w:t xml:space="preserve"> de procedencia</w:t>
      </w:r>
      <w:r w:rsidRPr="009226B9">
        <w:rPr>
          <w:rFonts w:ascii="Palatino Linotype" w:eastAsia="Times New Roman" w:hAnsi="Palatino Linotype"/>
          <w:b/>
          <w:color w:val="000000" w:themeColor="text1"/>
        </w:rPr>
        <w:t xml:space="preserve"> </w:t>
      </w:r>
      <w:r w:rsidRPr="009226B9">
        <w:rPr>
          <w:rFonts w:ascii="Palatino Linotype" w:eastAsia="Times New Roman" w:hAnsi="Palatino Linotype" w:cs="Arial"/>
          <w:color w:val="000000" w:themeColor="text1"/>
          <w:lang w:eastAsia="es-MX"/>
        </w:rPr>
        <w:t>contenida</w:t>
      </w:r>
      <w:r w:rsidR="00950A09" w:rsidRPr="009226B9">
        <w:rPr>
          <w:rFonts w:ascii="Palatino Linotype" w:eastAsia="Times New Roman" w:hAnsi="Palatino Linotype" w:cs="Arial"/>
          <w:color w:val="000000" w:themeColor="text1"/>
          <w:lang w:eastAsia="es-MX"/>
        </w:rPr>
        <w:t>s</w:t>
      </w:r>
      <w:r w:rsidRPr="009226B9">
        <w:rPr>
          <w:rFonts w:ascii="Palatino Linotype" w:eastAsia="Times New Roman" w:hAnsi="Palatino Linotype" w:cs="Arial"/>
          <w:color w:val="000000" w:themeColor="text1"/>
          <w:lang w:eastAsia="es-MX"/>
        </w:rPr>
        <w:t xml:space="preserve"> en </w:t>
      </w:r>
      <w:r w:rsidRPr="009226B9">
        <w:rPr>
          <w:rFonts w:ascii="Palatino Linotype" w:eastAsia="Times New Roman" w:hAnsi="Palatino Linotype" w:cs="Arial"/>
          <w:color w:val="000000" w:themeColor="text1"/>
          <w:lang w:val="es-ES" w:eastAsia="es-MX"/>
        </w:rPr>
        <w:t>el artículo</w:t>
      </w:r>
      <w:r w:rsidRPr="009226B9">
        <w:rPr>
          <w:rFonts w:ascii="Palatino Linotype" w:eastAsia="Times New Roman" w:hAnsi="Palatino Linotype" w:cs="Arial"/>
          <w:b/>
          <w:color w:val="000000" w:themeColor="text1"/>
          <w:lang w:val="es-ES" w:eastAsia="es-MX"/>
        </w:rPr>
        <w:t xml:space="preserve"> 179</w:t>
      </w:r>
      <w:r w:rsidRPr="009226B9">
        <w:rPr>
          <w:rFonts w:ascii="Palatino Linotype" w:eastAsia="Times New Roman" w:hAnsi="Palatino Linotype" w:cs="Arial"/>
          <w:color w:val="000000" w:themeColor="text1"/>
          <w:lang w:val="es-ES" w:eastAsia="es-MX"/>
        </w:rPr>
        <w:t xml:space="preserve"> </w:t>
      </w:r>
      <w:r w:rsidR="00950A09" w:rsidRPr="009226B9">
        <w:rPr>
          <w:rFonts w:ascii="Palatino Linotype" w:eastAsia="Times New Roman" w:hAnsi="Palatino Linotype" w:cs="Arial"/>
          <w:color w:val="000000" w:themeColor="text1"/>
          <w:lang w:val="es-ES" w:eastAsia="es-MX"/>
        </w:rPr>
        <w:t>fracciones</w:t>
      </w:r>
      <w:r w:rsidRPr="009226B9">
        <w:rPr>
          <w:rFonts w:ascii="Palatino Linotype" w:eastAsia="Times New Roman" w:hAnsi="Palatino Linotype" w:cs="Arial"/>
          <w:color w:val="000000" w:themeColor="text1"/>
          <w:lang w:val="es-ES" w:eastAsia="es-MX"/>
        </w:rPr>
        <w:t xml:space="preserve"> </w:t>
      </w:r>
      <w:r w:rsidR="0066236C" w:rsidRPr="009226B9">
        <w:rPr>
          <w:rFonts w:ascii="Palatino Linotype" w:eastAsia="Times New Roman" w:hAnsi="Palatino Linotype" w:cs="Arial"/>
          <w:b/>
          <w:color w:val="000000" w:themeColor="text1"/>
          <w:lang w:val="es-ES" w:eastAsia="es-MX"/>
        </w:rPr>
        <w:t>I</w:t>
      </w:r>
      <w:r w:rsidR="00E0464A" w:rsidRPr="009226B9">
        <w:rPr>
          <w:rFonts w:ascii="Palatino Linotype" w:eastAsia="Times New Roman" w:hAnsi="Palatino Linotype" w:cs="Arial"/>
          <w:b/>
          <w:color w:val="000000" w:themeColor="text1"/>
          <w:lang w:val="es-ES" w:eastAsia="es-MX"/>
        </w:rPr>
        <w:t>I</w:t>
      </w:r>
      <w:r w:rsidR="00066DF4" w:rsidRPr="009226B9">
        <w:rPr>
          <w:rFonts w:ascii="Palatino Linotype" w:eastAsia="Times New Roman" w:hAnsi="Palatino Linotype" w:cs="Arial"/>
          <w:b/>
          <w:color w:val="000000" w:themeColor="text1"/>
          <w:lang w:val="es-ES" w:eastAsia="es-MX"/>
        </w:rPr>
        <w:t xml:space="preserve"> </w:t>
      </w:r>
      <w:r w:rsidRPr="009226B9">
        <w:rPr>
          <w:rFonts w:ascii="Palatino Linotype" w:eastAsia="Times New Roman" w:hAnsi="Palatino Linotype" w:cs="Arial"/>
          <w:color w:val="000000" w:themeColor="text1"/>
          <w:lang w:val="es-ES" w:eastAsia="es-MX"/>
        </w:rPr>
        <w:t xml:space="preserve">de la </w:t>
      </w:r>
      <w:r w:rsidRPr="009226B9">
        <w:rPr>
          <w:rFonts w:ascii="Palatino Linotype" w:eastAsia="Calibri" w:hAnsi="Palatino Linotype" w:cs="Arial"/>
          <w:b/>
          <w:color w:val="000000" w:themeColor="text1"/>
          <w:lang w:val="es-ES"/>
        </w:rPr>
        <w:t>Ley de Transparencia y Acceso a la Información Pública del Estado de México y Municipios</w:t>
      </w:r>
      <w:r w:rsidRPr="009226B9">
        <w:rPr>
          <w:rFonts w:ascii="Palatino Linotype" w:eastAsia="Times New Roman" w:hAnsi="Palatino Linotype" w:cs="Arial"/>
          <w:color w:val="000000" w:themeColor="text1"/>
          <w:lang w:val="es-ES" w:eastAsia="es-MX"/>
        </w:rPr>
        <w:t xml:space="preserve">, en virtud que la referida </w:t>
      </w:r>
      <w:r w:rsidR="00E0464A" w:rsidRPr="009226B9">
        <w:rPr>
          <w:rFonts w:ascii="Palatino Linotype" w:eastAsia="Times New Roman" w:hAnsi="Palatino Linotype" w:cs="Arial"/>
          <w:color w:val="000000" w:themeColor="text1"/>
          <w:lang w:val="es-ES" w:eastAsia="es-MX"/>
        </w:rPr>
        <w:t>fracción</w:t>
      </w:r>
      <w:r w:rsidRPr="009226B9">
        <w:rPr>
          <w:rFonts w:ascii="Palatino Linotype" w:eastAsia="Times New Roman" w:hAnsi="Palatino Linotype" w:cs="Arial"/>
          <w:color w:val="000000" w:themeColor="text1"/>
          <w:lang w:val="es-ES" w:eastAsia="es-MX"/>
        </w:rPr>
        <w:t xml:space="preserve"> determina </w:t>
      </w:r>
      <w:r w:rsidR="00E0464A" w:rsidRPr="009226B9">
        <w:rPr>
          <w:rFonts w:ascii="Palatino Linotype" w:eastAsia="Times New Roman" w:hAnsi="Palatino Linotype" w:cs="Arial"/>
          <w:color w:val="000000" w:themeColor="text1"/>
          <w:lang w:val="es-ES" w:eastAsia="es-MX"/>
        </w:rPr>
        <w:t>e</w:t>
      </w:r>
      <w:r w:rsidR="00950A09" w:rsidRPr="009226B9">
        <w:rPr>
          <w:rFonts w:ascii="Palatino Linotype" w:eastAsia="Times New Roman" w:hAnsi="Palatino Linotype" w:cs="Arial"/>
          <w:color w:val="000000" w:themeColor="text1"/>
          <w:lang w:val="es-ES" w:eastAsia="es-MX"/>
        </w:rPr>
        <w:t>l supuesto de l</w:t>
      </w:r>
      <w:r w:rsidR="00E0464A" w:rsidRPr="009226B9">
        <w:rPr>
          <w:rFonts w:ascii="Palatino Linotype" w:eastAsia="Times New Roman" w:hAnsi="Palatino Linotype" w:cs="Arial"/>
          <w:color w:val="000000" w:themeColor="text1"/>
          <w:lang w:val="es-ES" w:eastAsia="es-MX"/>
        </w:rPr>
        <w:t xml:space="preserve">a </w:t>
      </w:r>
      <w:r w:rsidR="008A1A68" w:rsidRPr="009226B9">
        <w:rPr>
          <w:rFonts w:ascii="Palatino Linotype" w:eastAsia="Times New Roman" w:hAnsi="Palatino Linotype" w:cs="Arial"/>
          <w:color w:val="000000" w:themeColor="text1"/>
          <w:lang w:val="es-ES" w:eastAsia="es-MX"/>
        </w:rPr>
        <w:t>entrega de información que no corresponda con lo solicitado, contexto del que</w:t>
      </w:r>
      <w:r w:rsidR="00950A09" w:rsidRPr="009226B9">
        <w:rPr>
          <w:rFonts w:ascii="Palatino Linotype" w:eastAsia="Times New Roman" w:hAnsi="Palatino Linotype" w:cs="Arial"/>
          <w:color w:val="000000" w:themeColor="text1"/>
          <w:lang w:val="es-ES" w:eastAsia="es-MX"/>
        </w:rPr>
        <w:t xml:space="preserve"> se duele el particular.</w:t>
      </w:r>
      <w:r w:rsidRPr="009226B9">
        <w:rPr>
          <w:rFonts w:ascii="Palatino Linotype" w:eastAsia="Times New Roman" w:hAnsi="Palatino Linotype" w:cs="Arial"/>
          <w:color w:val="000000" w:themeColor="text1"/>
          <w:lang w:val="es-ES" w:eastAsia="es-MX"/>
        </w:rPr>
        <w:t xml:space="preserve"> </w:t>
      </w:r>
      <w:r w:rsidR="00950A09" w:rsidRPr="009226B9">
        <w:rPr>
          <w:rFonts w:ascii="Palatino Linotype" w:eastAsia="Times New Roman" w:hAnsi="Palatino Linotype" w:cs="Arial"/>
          <w:color w:val="000000" w:themeColor="text1"/>
          <w:lang w:val="es-ES" w:eastAsia="es-MX"/>
        </w:rPr>
        <w:t>D</w:t>
      </w:r>
      <w:r w:rsidRPr="009226B9">
        <w:rPr>
          <w:rFonts w:ascii="Palatino Linotype" w:eastAsia="Times New Roman" w:hAnsi="Palatino Linotype" w:cs="Arial"/>
          <w:color w:val="000000" w:themeColor="text1"/>
          <w:lang w:val="es-ES" w:eastAsia="es-MX"/>
        </w:rPr>
        <w:t xml:space="preserve">e modo tal </w:t>
      </w:r>
      <w:r w:rsidRPr="009226B9">
        <w:rPr>
          <w:rFonts w:ascii="Palatino Linotype" w:hAnsi="Palatino Linotype" w:cs="Arial"/>
          <w:color w:val="000000" w:themeColor="text1"/>
        </w:rPr>
        <w:t xml:space="preserve">que el presente recurso de revisión se circunscribirá en determinar si el </w:t>
      </w:r>
      <w:r w:rsidRPr="009226B9">
        <w:rPr>
          <w:rFonts w:ascii="Palatino Linotype" w:hAnsi="Palatino Linotype" w:cs="Arial"/>
          <w:b/>
          <w:color w:val="000000" w:themeColor="text1"/>
        </w:rPr>
        <w:t>SUJETO</w:t>
      </w:r>
      <w:r w:rsidRPr="009226B9">
        <w:rPr>
          <w:rFonts w:ascii="Palatino Linotype" w:hAnsi="Palatino Linotype" w:cs="Arial"/>
          <w:color w:val="000000" w:themeColor="text1"/>
        </w:rPr>
        <w:t xml:space="preserve"> </w:t>
      </w:r>
      <w:r w:rsidRPr="009226B9">
        <w:rPr>
          <w:rFonts w:ascii="Palatino Linotype" w:hAnsi="Palatino Linotype" w:cs="Arial"/>
          <w:b/>
          <w:color w:val="000000" w:themeColor="text1"/>
        </w:rPr>
        <w:t>OBLIGADO</w:t>
      </w:r>
      <w:r w:rsidRPr="009226B9">
        <w:rPr>
          <w:rFonts w:ascii="Palatino Linotype" w:hAnsi="Palatino Linotype" w:cs="Arial"/>
          <w:color w:val="000000" w:themeColor="text1"/>
        </w:rPr>
        <w:t xml:space="preserve"> con su respuesta ciertamente </w:t>
      </w:r>
      <w:r w:rsidRPr="009226B9">
        <w:rPr>
          <w:rFonts w:ascii="Palatino Linotype" w:eastAsia="Times New Roman" w:hAnsi="Palatino Linotype"/>
          <w:color w:val="000000" w:themeColor="text1"/>
        </w:rPr>
        <w:t>actualiza la causa de procedencia</w:t>
      </w:r>
      <w:r w:rsidRPr="009226B9">
        <w:rPr>
          <w:rFonts w:ascii="Palatino Linotype" w:eastAsia="Times New Roman" w:hAnsi="Palatino Linotype"/>
          <w:b/>
          <w:color w:val="000000" w:themeColor="text1"/>
        </w:rPr>
        <w:t xml:space="preserve"> </w:t>
      </w:r>
      <w:r w:rsidRPr="009226B9">
        <w:rPr>
          <w:rFonts w:ascii="Palatino Linotype" w:eastAsia="Times New Roman" w:hAnsi="Palatino Linotype" w:cs="Arial"/>
          <w:color w:val="000000" w:themeColor="text1"/>
          <w:lang w:eastAsia="es-MX"/>
        </w:rPr>
        <w:t>del dispositivo jurídico en comento.</w:t>
      </w:r>
    </w:p>
    <w:p w:rsidR="009226B9" w:rsidRPr="009226B9" w:rsidRDefault="009226B9" w:rsidP="009226B9">
      <w:pPr>
        <w:pStyle w:val="Prrafodelista"/>
        <w:rPr>
          <w:rFonts w:ascii="Palatino Linotype" w:eastAsia="Times New Roman" w:hAnsi="Palatino Linotype" w:cs="Arial"/>
          <w:color w:val="000000" w:themeColor="text1"/>
        </w:rPr>
      </w:pPr>
    </w:p>
    <w:p w:rsidR="009226B9" w:rsidRPr="009226B9" w:rsidRDefault="009226B9" w:rsidP="009226B9">
      <w:pPr>
        <w:pStyle w:val="Prrafodelista"/>
        <w:tabs>
          <w:tab w:val="left" w:pos="0"/>
        </w:tabs>
        <w:spacing w:line="360" w:lineRule="auto"/>
        <w:ind w:left="0" w:right="49"/>
        <w:jc w:val="both"/>
        <w:rPr>
          <w:rFonts w:ascii="Palatino Linotype" w:eastAsia="Times New Roman" w:hAnsi="Palatino Linotype" w:cs="Arial"/>
          <w:color w:val="000000" w:themeColor="text1"/>
        </w:rPr>
      </w:pPr>
    </w:p>
    <w:p w:rsidR="00333841" w:rsidRPr="009226B9" w:rsidRDefault="00333841" w:rsidP="009226B9">
      <w:pPr>
        <w:pStyle w:val="Ttulo1"/>
        <w:spacing w:before="0" w:line="360" w:lineRule="auto"/>
        <w:rPr>
          <w:rFonts w:ascii="Palatino Linotype" w:hAnsi="Palatino Linotype"/>
          <w:b/>
          <w:color w:val="auto"/>
          <w:sz w:val="24"/>
          <w:szCs w:val="24"/>
        </w:rPr>
      </w:pPr>
      <w:bookmarkStart w:id="16" w:name="_Toc4106293"/>
      <w:r w:rsidRPr="009226B9">
        <w:rPr>
          <w:rFonts w:ascii="Palatino Linotype" w:hAnsi="Palatino Linotype"/>
          <w:b/>
          <w:color w:val="auto"/>
          <w:sz w:val="24"/>
          <w:szCs w:val="24"/>
        </w:rPr>
        <w:t>CUARTO. Estudio y resolución del asunto</w:t>
      </w:r>
      <w:bookmarkEnd w:id="16"/>
    </w:p>
    <w:p w:rsidR="00ED1EBA" w:rsidRPr="009226B9" w:rsidRDefault="00ED1EBA" w:rsidP="009226B9">
      <w:pPr>
        <w:spacing w:line="360" w:lineRule="auto"/>
        <w:rPr>
          <w:rFonts w:ascii="Palatino Linotype" w:hAnsi="Palatino Linotype"/>
          <w:lang w:val="es-MX" w:eastAsia="en-US"/>
        </w:rPr>
      </w:pPr>
    </w:p>
    <w:p w:rsidR="00453DAD" w:rsidRPr="009226B9" w:rsidRDefault="00453DAD" w:rsidP="009226B9">
      <w:pPr>
        <w:pStyle w:val="Prrafodelista"/>
        <w:numPr>
          <w:ilvl w:val="0"/>
          <w:numId w:val="1"/>
        </w:numPr>
        <w:tabs>
          <w:tab w:val="left" w:pos="0"/>
        </w:tabs>
        <w:spacing w:line="360" w:lineRule="auto"/>
        <w:ind w:left="0" w:right="49" w:firstLine="0"/>
        <w:jc w:val="both"/>
        <w:rPr>
          <w:rFonts w:ascii="Palatino Linotype" w:hAnsi="Palatino Linotype" w:cs="Arial"/>
        </w:rPr>
      </w:pPr>
      <w:r w:rsidRPr="009226B9">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9226B9">
        <w:rPr>
          <w:rFonts w:ascii="Palatino Linotype" w:eastAsia="Calibri" w:hAnsi="Palatino Linotype" w:cs="Arial"/>
        </w:rPr>
        <w:t xml:space="preserve">Transparencia, Acceso a la Información Pública del Estado de México y </w:t>
      </w:r>
      <w:r w:rsidRPr="009226B9">
        <w:rPr>
          <w:rFonts w:ascii="Palatino Linotype" w:eastAsia="Calibri" w:hAnsi="Palatino Linotype" w:cs="Arial"/>
        </w:rPr>
        <w:lastRenderedPageBreak/>
        <w:t>Municipios</w:t>
      </w:r>
      <w:r w:rsidRPr="009226B9">
        <w:rPr>
          <w:rFonts w:ascii="Palatino Linotype" w:hAnsi="Palatino Linotype" w:cs="Arial"/>
        </w:rPr>
        <w:t xml:space="preserve">, y determinar la confirmación; revocación o modificación; </w:t>
      </w:r>
      <w:proofErr w:type="spellStart"/>
      <w:r w:rsidRPr="009226B9">
        <w:rPr>
          <w:rFonts w:ascii="Palatino Linotype" w:hAnsi="Palatino Linotype" w:cs="Arial"/>
        </w:rPr>
        <w:t>desechamiento</w:t>
      </w:r>
      <w:proofErr w:type="spellEnd"/>
      <w:r w:rsidRPr="009226B9">
        <w:rPr>
          <w:rFonts w:ascii="Palatino Linotype" w:hAnsi="Palatino Linotype" w:cs="Arial"/>
        </w:rPr>
        <w:t xml:space="preserve"> o sobreseimiento; y en su caso ordenar la entrega de la información, con respecto a la respuesta emitida por el </w:t>
      </w:r>
      <w:r w:rsidRPr="009226B9">
        <w:rPr>
          <w:rFonts w:ascii="Palatino Linotype" w:hAnsi="Palatino Linotype" w:cs="Arial"/>
          <w:b/>
        </w:rPr>
        <w:t>SUJETO</w:t>
      </w:r>
      <w:r w:rsidRPr="009226B9">
        <w:rPr>
          <w:rFonts w:ascii="Palatino Linotype" w:hAnsi="Palatino Linotype" w:cs="Arial"/>
        </w:rPr>
        <w:t xml:space="preserve"> </w:t>
      </w:r>
      <w:r w:rsidRPr="009226B9">
        <w:rPr>
          <w:rFonts w:ascii="Palatino Linotype" w:hAnsi="Palatino Linotype" w:cs="Arial"/>
          <w:b/>
        </w:rPr>
        <w:t>OBLIGADO</w:t>
      </w:r>
      <w:r w:rsidR="00E0464A" w:rsidRPr="009226B9">
        <w:rPr>
          <w:rFonts w:ascii="Palatino Linotype" w:hAnsi="Palatino Linotype" w:cs="Arial"/>
        </w:rPr>
        <w:t>.</w:t>
      </w:r>
    </w:p>
    <w:p w:rsidR="00453DAD" w:rsidRPr="009226B9" w:rsidRDefault="00453DAD" w:rsidP="009226B9">
      <w:pPr>
        <w:pStyle w:val="Prrafodelista"/>
        <w:spacing w:line="360" w:lineRule="auto"/>
        <w:ind w:left="426" w:right="49"/>
        <w:jc w:val="both"/>
        <w:rPr>
          <w:rFonts w:ascii="Palatino Linotype" w:hAnsi="Palatino Linotype" w:cs="Arial"/>
        </w:rPr>
      </w:pPr>
    </w:p>
    <w:p w:rsidR="00453DAD" w:rsidRPr="009226B9" w:rsidRDefault="00453DAD" w:rsidP="009226B9">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226B9">
        <w:rPr>
          <w:rFonts w:ascii="Palatino Linotype" w:hAnsi="Palatino Linotype" w:cs="Arial"/>
        </w:rPr>
        <w:t>Asimismo</w:t>
      </w:r>
      <w:r w:rsidRPr="009226B9">
        <w:rPr>
          <w:rFonts w:ascii="Palatino Linotype" w:hAnsi="Palatino Linotype"/>
        </w:rPr>
        <w:t xml:space="preserve">, es menester precisar que </w:t>
      </w:r>
      <w:r w:rsidRPr="009226B9">
        <w:rPr>
          <w:rFonts w:ascii="Palatino Linotype" w:eastAsia="MS Mincho" w:hAnsi="Palatino Linotype" w:cs="Times New Roman"/>
          <w:color w:val="000000"/>
        </w:rPr>
        <w:t xml:space="preserve">Órgano Garante parte de que </w:t>
      </w:r>
      <w:r w:rsidRPr="009226B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226B9">
        <w:rPr>
          <w:rFonts w:ascii="Palatino Linotype" w:eastAsia="Times New Roman" w:hAnsi="Palatino Linotype" w:cs="Arial"/>
          <w:color w:val="000000"/>
        </w:rPr>
        <w:t xml:space="preserve"> </w:t>
      </w:r>
      <w:r w:rsidRPr="009226B9">
        <w:rPr>
          <w:rFonts w:ascii="Palatino Linotype" w:eastAsia="Times New Roman" w:hAnsi="Palatino Linotype" w:cs="Arial"/>
          <w:b/>
          <w:color w:val="000000"/>
        </w:rPr>
        <w:t>SUJETO OBLIGADO</w:t>
      </w:r>
      <w:r w:rsidRPr="009226B9">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226B9">
        <w:rPr>
          <w:rFonts w:ascii="Palatino Linotype" w:eastAsia="Times New Roman" w:hAnsi="Palatino Linotype" w:cs="Arial"/>
          <w:b/>
          <w:color w:val="000000"/>
        </w:rPr>
        <w:t xml:space="preserve">Constitución Política de los Estados Unidos Mexicanos </w:t>
      </w:r>
      <w:r w:rsidRPr="009226B9">
        <w:rPr>
          <w:rFonts w:ascii="Palatino Linotype" w:eastAsia="Times New Roman" w:hAnsi="Palatino Linotype" w:cs="Arial"/>
          <w:color w:val="000000"/>
        </w:rPr>
        <w:t xml:space="preserve">al señalar la obligación de “promover, </w:t>
      </w:r>
      <w:r w:rsidRPr="009226B9">
        <w:rPr>
          <w:rFonts w:ascii="Palatino Linotype" w:eastAsia="Times New Roman" w:hAnsi="Palatino Linotype" w:cs="Arial"/>
          <w:b/>
          <w:color w:val="000000"/>
        </w:rPr>
        <w:t>respetar</w:t>
      </w:r>
      <w:r w:rsidRPr="009226B9">
        <w:rPr>
          <w:rFonts w:ascii="Palatino Linotype" w:eastAsia="Times New Roman" w:hAnsi="Palatino Linotype" w:cs="Arial"/>
          <w:color w:val="000000"/>
        </w:rPr>
        <w:t xml:space="preserve">, proteger y </w:t>
      </w:r>
      <w:r w:rsidRPr="009226B9">
        <w:rPr>
          <w:rFonts w:ascii="Palatino Linotype" w:eastAsia="Times New Roman" w:hAnsi="Palatino Linotype" w:cs="Arial"/>
          <w:b/>
          <w:color w:val="000000"/>
        </w:rPr>
        <w:t>garantizar</w:t>
      </w:r>
      <w:r w:rsidRPr="009226B9">
        <w:rPr>
          <w:rFonts w:ascii="Palatino Linotype" w:eastAsia="Times New Roman" w:hAnsi="Palatino Linotype" w:cs="Arial"/>
          <w:color w:val="000000"/>
        </w:rPr>
        <w:t xml:space="preserve"> los derechos humanos”, entre los cuales se encuentra dicho derecho. </w:t>
      </w:r>
    </w:p>
    <w:p w:rsidR="00453DAD" w:rsidRPr="009226B9" w:rsidRDefault="00453DAD" w:rsidP="009226B9">
      <w:pPr>
        <w:pStyle w:val="Prrafodelista"/>
        <w:tabs>
          <w:tab w:val="left" w:pos="567"/>
        </w:tabs>
        <w:spacing w:line="360" w:lineRule="auto"/>
        <w:ind w:left="0" w:right="49"/>
        <w:jc w:val="both"/>
        <w:rPr>
          <w:rFonts w:ascii="Palatino Linotype" w:eastAsia="MS Mincho" w:hAnsi="Palatino Linotype" w:cs="Times New Roman"/>
          <w:color w:val="000000"/>
        </w:rPr>
      </w:pPr>
    </w:p>
    <w:p w:rsidR="00453DAD" w:rsidRPr="009226B9" w:rsidRDefault="00453DAD" w:rsidP="009226B9">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9226B9">
        <w:rPr>
          <w:rFonts w:ascii="Palatino Linotype" w:hAnsi="Palatino Linotype" w:cs="Arial"/>
        </w:rPr>
        <w:t>Por</w:t>
      </w:r>
      <w:r w:rsidRPr="009226B9">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53DAD" w:rsidRPr="009226B9" w:rsidRDefault="00453DAD" w:rsidP="009226B9">
      <w:pPr>
        <w:pStyle w:val="Prrafodelista"/>
        <w:spacing w:line="360" w:lineRule="auto"/>
        <w:rPr>
          <w:rFonts w:ascii="Palatino Linotype" w:eastAsia="MS Mincho" w:hAnsi="Palatino Linotype" w:cs="Times New Roman"/>
          <w:color w:val="000000"/>
        </w:rPr>
      </w:pPr>
    </w:p>
    <w:p w:rsidR="00453DAD" w:rsidRPr="009226B9" w:rsidRDefault="00453DAD" w:rsidP="009226B9">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226B9">
        <w:rPr>
          <w:rFonts w:ascii="Palatino Linotype" w:eastAsia="MS Mincho" w:hAnsi="Palatino Linotype" w:cs="Times New Roman"/>
          <w:color w:val="000000"/>
        </w:rPr>
        <w:lastRenderedPageBreak/>
        <w:t xml:space="preserve">Además de la obligación de promover, respetar, proteger y garantizar el derecho de acceso a la información, la </w:t>
      </w:r>
      <w:r w:rsidRPr="009226B9">
        <w:rPr>
          <w:rFonts w:ascii="Palatino Linotype" w:eastAsia="MS Mincho" w:hAnsi="Palatino Linotype" w:cs="Times New Roman"/>
          <w:b/>
          <w:color w:val="000000"/>
        </w:rPr>
        <w:t xml:space="preserve">Ley General de Trasparencia y Acceso a la Información Pública del Estado de México y Municipios </w:t>
      </w:r>
      <w:r w:rsidRPr="009226B9">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9226B9">
        <w:rPr>
          <w:rFonts w:ascii="Palatino Linotype" w:eastAsia="MS Mincho" w:hAnsi="Palatino Linotype" w:cs="Times New Roman"/>
          <w:b/>
          <w:color w:val="000000"/>
          <w:u w:val="single"/>
        </w:rPr>
        <w:t>simplicidad y rapidez</w:t>
      </w:r>
      <w:r w:rsidRPr="009226B9">
        <w:rPr>
          <w:rFonts w:ascii="Palatino Linotype" w:eastAsia="MS Mincho" w:hAnsi="Palatino Linotype" w:cs="Times New Roman"/>
          <w:color w:val="000000"/>
        </w:rPr>
        <w:t xml:space="preserve">. </w:t>
      </w:r>
    </w:p>
    <w:p w:rsidR="00453DAD" w:rsidRPr="009226B9" w:rsidRDefault="00453DAD" w:rsidP="009226B9">
      <w:pPr>
        <w:pStyle w:val="Prrafodelista"/>
        <w:spacing w:line="360" w:lineRule="auto"/>
        <w:rPr>
          <w:rFonts w:ascii="Palatino Linotype" w:eastAsia="MS Mincho" w:hAnsi="Palatino Linotype" w:cs="Times New Roman"/>
          <w:color w:val="000000"/>
        </w:rPr>
      </w:pPr>
    </w:p>
    <w:p w:rsidR="00453DAD" w:rsidRPr="009226B9" w:rsidRDefault="00453DAD" w:rsidP="009226B9">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226B9">
        <w:rPr>
          <w:rFonts w:ascii="Palatino Linotype" w:eastAsia="Calibri" w:hAnsi="Palatino Linotype" w:cs="Arial"/>
          <w:color w:val="000000" w:themeColor="text1"/>
          <w:lang w:val="es-MX" w:eastAsia="en-US"/>
        </w:rPr>
        <w:t>Ahora bien, del caso concreto y derivado del razonamiento lógico-jurídico de las constancias que obran en el expediente electrónico al rubro indicado, es de señalar primeramente que e</w:t>
      </w:r>
      <w:r w:rsidRPr="009226B9">
        <w:rPr>
          <w:rFonts w:ascii="Palatino Linotype" w:hAnsi="Palatino Linotype" w:cs="Arial"/>
          <w:color w:val="000000" w:themeColor="text1"/>
        </w:rPr>
        <w:t xml:space="preserve">l hoy recurrente solicito a modo desagregado la información siguiente: </w:t>
      </w:r>
    </w:p>
    <w:p w:rsidR="00453DAD" w:rsidRPr="009226B9" w:rsidRDefault="00453DAD" w:rsidP="009226B9">
      <w:pPr>
        <w:pStyle w:val="Prrafodelista"/>
        <w:spacing w:line="360" w:lineRule="auto"/>
        <w:rPr>
          <w:rFonts w:ascii="Palatino Linotype" w:hAnsi="Palatino Linotype" w:cs="Arial"/>
          <w:color w:val="000000" w:themeColor="text1"/>
        </w:rPr>
      </w:pPr>
    </w:p>
    <w:p w:rsidR="0066236C" w:rsidRPr="009226B9" w:rsidRDefault="0066236C" w:rsidP="009226B9">
      <w:pPr>
        <w:pStyle w:val="Prrafodelista"/>
        <w:numPr>
          <w:ilvl w:val="0"/>
          <w:numId w:val="15"/>
        </w:numPr>
        <w:spacing w:line="360" w:lineRule="auto"/>
        <w:ind w:left="993" w:right="49"/>
        <w:jc w:val="both"/>
        <w:rPr>
          <w:rFonts w:ascii="Palatino Linotype" w:hAnsi="Palatino Linotype" w:cs="Arial"/>
          <w:b/>
          <w:color w:val="000000" w:themeColor="text1"/>
        </w:rPr>
      </w:pPr>
      <w:r w:rsidRPr="009226B9">
        <w:rPr>
          <w:rFonts w:ascii="Palatino Linotype" w:hAnsi="Palatino Linotype" w:cs="Arial"/>
          <w:b/>
          <w:color w:val="000000" w:themeColor="text1"/>
        </w:rPr>
        <w:t xml:space="preserve">La denominación de los </w:t>
      </w:r>
      <w:proofErr w:type="spellStart"/>
      <w:r w:rsidRPr="009226B9">
        <w:rPr>
          <w:rFonts w:ascii="Palatino Linotype" w:hAnsi="Palatino Linotype" w:cs="Arial"/>
          <w:b/>
          <w:color w:val="000000" w:themeColor="text1"/>
        </w:rPr>
        <w:t>verificentros</w:t>
      </w:r>
      <w:proofErr w:type="spellEnd"/>
      <w:r w:rsidRPr="009226B9">
        <w:rPr>
          <w:rFonts w:ascii="Palatino Linotype" w:hAnsi="Palatino Linotype" w:cs="Arial"/>
          <w:b/>
          <w:color w:val="000000" w:themeColor="text1"/>
        </w:rPr>
        <w:t xml:space="preserve"> a los que no les fueron revalidados sus autorizaciones.</w:t>
      </w:r>
    </w:p>
    <w:p w:rsidR="0066236C" w:rsidRPr="009226B9" w:rsidRDefault="0066236C" w:rsidP="009226B9">
      <w:pPr>
        <w:pStyle w:val="Prrafodelista"/>
        <w:spacing w:line="360" w:lineRule="auto"/>
        <w:ind w:left="993" w:right="49"/>
        <w:jc w:val="both"/>
        <w:rPr>
          <w:rFonts w:ascii="Palatino Linotype" w:hAnsi="Palatino Linotype" w:cs="Arial"/>
          <w:b/>
          <w:color w:val="000000" w:themeColor="text1"/>
        </w:rPr>
      </w:pPr>
    </w:p>
    <w:p w:rsidR="00453DAD" w:rsidRPr="009226B9" w:rsidRDefault="0066236C" w:rsidP="009226B9">
      <w:pPr>
        <w:pStyle w:val="Prrafodelista"/>
        <w:numPr>
          <w:ilvl w:val="0"/>
          <w:numId w:val="15"/>
        </w:numPr>
        <w:spacing w:line="360" w:lineRule="auto"/>
        <w:ind w:left="993" w:right="49"/>
        <w:jc w:val="both"/>
        <w:rPr>
          <w:rFonts w:ascii="Palatino Linotype" w:hAnsi="Palatino Linotype" w:cs="Arial"/>
          <w:b/>
          <w:color w:val="000000" w:themeColor="text1"/>
        </w:rPr>
      </w:pPr>
      <w:r w:rsidRPr="009226B9">
        <w:rPr>
          <w:rFonts w:ascii="Palatino Linotype" w:hAnsi="Palatino Linotype" w:cs="Arial"/>
          <w:b/>
          <w:color w:val="000000" w:themeColor="text1"/>
        </w:rPr>
        <w:t xml:space="preserve">Motivo por el que no les fueron revalidadas las autorizaciones </w:t>
      </w:r>
    </w:p>
    <w:p w:rsidR="00453DAD" w:rsidRPr="009226B9" w:rsidRDefault="00453DAD" w:rsidP="009226B9">
      <w:pPr>
        <w:pStyle w:val="Prrafodelista"/>
        <w:spacing w:line="360" w:lineRule="auto"/>
        <w:rPr>
          <w:rFonts w:ascii="Palatino Linotype" w:hAnsi="Palatino Linotype" w:cs="Arial"/>
          <w:color w:val="000000" w:themeColor="text1"/>
        </w:rPr>
      </w:pPr>
    </w:p>
    <w:p w:rsidR="0066236C" w:rsidRDefault="0066236C" w:rsidP="009226B9">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9226B9">
        <w:rPr>
          <w:rFonts w:ascii="Palatino Linotype" w:hAnsi="Palatino Linotype" w:cs="Arial"/>
          <w:color w:val="000000" w:themeColor="text1"/>
        </w:rPr>
        <w:t xml:space="preserve">Como ya se hiciera referencia, el </w:t>
      </w:r>
      <w:r w:rsidRPr="009226B9">
        <w:rPr>
          <w:rFonts w:ascii="Palatino Linotype" w:hAnsi="Palatino Linotype" w:cs="Arial"/>
          <w:b/>
          <w:color w:val="000000" w:themeColor="text1"/>
        </w:rPr>
        <w:t>SUJETO OBLIGADO</w:t>
      </w:r>
      <w:r w:rsidRPr="009226B9">
        <w:rPr>
          <w:rFonts w:ascii="Palatino Linotype" w:hAnsi="Palatino Linotype" w:cs="Arial"/>
          <w:color w:val="000000" w:themeColor="text1"/>
        </w:rPr>
        <w:t xml:space="preserve">, refiere que </w:t>
      </w:r>
      <w:r w:rsidR="00955416" w:rsidRPr="009226B9">
        <w:rPr>
          <w:rFonts w:ascii="Palatino Linotype" w:hAnsi="Palatino Linotype" w:cs="Arial"/>
          <w:color w:val="000000" w:themeColor="text1"/>
        </w:rPr>
        <w:t xml:space="preserve">derivado de que la información que se solicita se encuentra estrechamente relacionada con los procedimientos administrativos y jurisdiccionales, mismos que se encuentran </w:t>
      </w:r>
      <w:r w:rsidR="00955416" w:rsidRPr="009226B9">
        <w:rPr>
          <w:rFonts w:ascii="Palatino Linotype" w:hAnsi="Palatino Linotype" w:cs="Arial"/>
          <w:i/>
          <w:color w:val="000000" w:themeColor="text1"/>
        </w:rPr>
        <w:t>sub judice</w:t>
      </w:r>
      <w:r w:rsidR="00955416" w:rsidRPr="009226B9">
        <w:rPr>
          <w:rFonts w:ascii="Palatino Linotype" w:hAnsi="Palatino Linotype" w:cs="Arial"/>
          <w:color w:val="000000" w:themeColor="text1"/>
        </w:rPr>
        <w:t xml:space="preserve">, en virtud de que no hay resolución jurisdiccional emitida por órgano garante competente que se encuentre firme por lo que se acredita la hipótesis </w:t>
      </w:r>
      <w:r w:rsidR="00955416" w:rsidRPr="009226B9">
        <w:rPr>
          <w:rFonts w:ascii="Palatino Linotype" w:hAnsi="Palatino Linotype" w:cs="Arial"/>
          <w:color w:val="000000" w:themeColor="text1"/>
        </w:rPr>
        <w:lastRenderedPageBreak/>
        <w:t>prevista en el artículo 149, fracciones VI y VIII de la Ley de Transparencia y Acceso a la Información Pública del Estado de México y Municipios.</w:t>
      </w:r>
    </w:p>
    <w:p w:rsidR="009226B9" w:rsidRPr="009226B9" w:rsidRDefault="009226B9" w:rsidP="009226B9">
      <w:pPr>
        <w:pStyle w:val="Prrafodelista"/>
        <w:tabs>
          <w:tab w:val="left" w:pos="0"/>
        </w:tabs>
        <w:spacing w:line="360" w:lineRule="auto"/>
        <w:ind w:left="0" w:right="49"/>
        <w:jc w:val="both"/>
        <w:rPr>
          <w:rFonts w:ascii="Palatino Linotype" w:hAnsi="Palatino Linotype" w:cs="Arial"/>
          <w:i/>
          <w:color w:val="000000" w:themeColor="text1"/>
        </w:rPr>
      </w:pPr>
    </w:p>
    <w:p w:rsidR="00AB15A5" w:rsidRPr="009226B9" w:rsidRDefault="00AB15A5" w:rsidP="009226B9">
      <w:pPr>
        <w:pStyle w:val="Prrafodelista"/>
        <w:numPr>
          <w:ilvl w:val="0"/>
          <w:numId w:val="1"/>
        </w:numPr>
        <w:tabs>
          <w:tab w:val="left" w:pos="0"/>
        </w:tabs>
        <w:spacing w:line="360" w:lineRule="auto"/>
        <w:ind w:left="0" w:right="49" w:firstLine="0"/>
        <w:jc w:val="both"/>
        <w:rPr>
          <w:rFonts w:ascii="Palatino Linotype" w:hAnsi="Palatino Linotype" w:cs="Arial"/>
        </w:rPr>
      </w:pPr>
      <w:r w:rsidRPr="009226B9">
        <w:rPr>
          <w:rFonts w:ascii="Palatino Linotype" w:hAnsi="Palatino Linotype" w:cs="Arial"/>
        </w:rPr>
        <w:t>Con relación a ello, es menester señalar que el Instituto Nacional de Transparencia y Acceso a la Información y Protección de Datos Personales, en el expediente RIA 82/18, ha tenido a bien establecer que para acreditar la reserva de la información, es necesario actualizar cuatro requisitos, siendo estos los siguientes:</w:t>
      </w:r>
    </w:p>
    <w:p w:rsidR="00AB15A5" w:rsidRPr="009226B9" w:rsidRDefault="00AB15A5" w:rsidP="009226B9">
      <w:pPr>
        <w:pStyle w:val="Prrafodelista"/>
        <w:spacing w:line="360" w:lineRule="auto"/>
        <w:rPr>
          <w:rFonts w:ascii="Palatino Linotype" w:hAnsi="Palatino Linotype" w:cs="Arial"/>
        </w:rPr>
      </w:pPr>
    </w:p>
    <w:p w:rsidR="00AB15A5" w:rsidRPr="009226B9" w:rsidRDefault="00AB15A5" w:rsidP="009226B9">
      <w:pPr>
        <w:pStyle w:val="Prrafodelista"/>
        <w:numPr>
          <w:ilvl w:val="0"/>
          <w:numId w:val="36"/>
        </w:numPr>
        <w:spacing w:line="360" w:lineRule="auto"/>
        <w:ind w:left="851" w:right="616" w:hanging="295"/>
        <w:jc w:val="both"/>
        <w:rPr>
          <w:rFonts w:ascii="Palatino Linotype" w:hAnsi="Palatino Linotype" w:cs="Arial"/>
          <w:b/>
        </w:rPr>
      </w:pPr>
      <w:r w:rsidRPr="009226B9">
        <w:rPr>
          <w:rFonts w:ascii="Palatino Linotype" w:hAnsi="Palatino Linotype" w:cs="Arial"/>
          <w:b/>
        </w:rPr>
        <w:t xml:space="preserve">La existencia de un juicio o procedimiento administrativo materialmente jurisdiccional. </w:t>
      </w:r>
    </w:p>
    <w:p w:rsidR="00AB15A5" w:rsidRPr="009226B9" w:rsidRDefault="00AB15A5" w:rsidP="009226B9">
      <w:pPr>
        <w:pStyle w:val="Prrafodelista"/>
        <w:spacing w:line="360" w:lineRule="auto"/>
        <w:ind w:left="567" w:right="616" w:hanging="11"/>
        <w:jc w:val="both"/>
        <w:rPr>
          <w:rFonts w:ascii="Palatino Linotype" w:hAnsi="Palatino Linotype" w:cs="Arial"/>
          <w:b/>
        </w:rPr>
      </w:pPr>
    </w:p>
    <w:p w:rsidR="00AB15A5" w:rsidRPr="009226B9" w:rsidRDefault="00AB15A5" w:rsidP="009226B9">
      <w:pPr>
        <w:pStyle w:val="Prrafodelista"/>
        <w:numPr>
          <w:ilvl w:val="0"/>
          <w:numId w:val="36"/>
        </w:numPr>
        <w:spacing w:line="360" w:lineRule="auto"/>
        <w:ind w:left="851" w:right="616" w:hanging="295"/>
        <w:jc w:val="both"/>
        <w:rPr>
          <w:rFonts w:ascii="Palatino Linotype" w:hAnsi="Palatino Linotype" w:cs="Arial"/>
          <w:b/>
        </w:rPr>
      </w:pPr>
      <w:r w:rsidRPr="009226B9">
        <w:rPr>
          <w:rFonts w:ascii="Palatino Linotype" w:hAnsi="Palatino Linotype" w:cs="Arial"/>
          <w:b/>
        </w:rPr>
        <w:t>Que el juicio se encuentre en trámite, es decir, que no haya causado estad.</w:t>
      </w:r>
    </w:p>
    <w:p w:rsidR="00AB15A5" w:rsidRPr="009226B9" w:rsidRDefault="00AB15A5" w:rsidP="009226B9">
      <w:pPr>
        <w:spacing w:line="360" w:lineRule="auto"/>
        <w:ind w:left="567" w:right="616" w:hanging="11"/>
        <w:jc w:val="both"/>
        <w:rPr>
          <w:rFonts w:ascii="Palatino Linotype" w:hAnsi="Palatino Linotype" w:cs="Arial"/>
          <w:b/>
        </w:rPr>
      </w:pPr>
      <w:r w:rsidRPr="009226B9">
        <w:rPr>
          <w:rFonts w:ascii="Palatino Linotype" w:hAnsi="Palatino Linotype" w:cs="Arial"/>
          <w:b/>
        </w:rPr>
        <w:t xml:space="preserve"> </w:t>
      </w:r>
    </w:p>
    <w:p w:rsidR="00AB15A5" w:rsidRPr="009226B9" w:rsidRDefault="00AB15A5" w:rsidP="009226B9">
      <w:pPr>
        <w:pStyle w:val="Prrafodelista"/>
        <w:numPr>
          <w:ilvl w:val="0"/>
          <w:numId w:val="36"/>
        </w:numPr>
        <w:spacing w:line="360" w:lineRule="auto"/>
        <w:ind w:left="851" w:right="616" w:hanging="295"/>
        <w:jc w:val="both"/>
        <w:rPr>
          <w:rFonts w:ascii="Palatino Linotype" w:hAnsi="Palatino Linotype" w:cs="Arial"/>
          <w:b/>
        </w:rPr>
      </w:pPr>
      <w:r w:rsidRPr="009226B9">
        <w:rPr>
          <w:rFonts w:ascii="Palatino Linotype" w:hAnsi="Palatino Linotype" w:cs="Arial"/>
          <w:b/>
        </w:rPr>
        <w:t xml:space="preserve">El vínculo entre la información solicitada y el procedimiento judicial de que se trate. </w:t>
      </w:r>
    </w:p>
    <w:p w:rsidR="00AB15A5" w:rsidRPr="009226B9" w:rsidRDefault="00AB15A5" w:rsidP="009226B9">
      <w:pPr>
        <w:spacing w:line="360" w:lineRule="auto"/>
        <w:ind w:left="567" w:right="616" w:hanging="11"/>
        <w:jc w:val="both"/>
        <w:rPr>
          <w:rFonts w:ascii="Palatino Linotype" w:hAnsi="Palatino Linotype" w:cs="Arial"/>
          <w:b/>
          <w:sz w:val="12"/>
        </w:rPr>
      </w:pPr>
    </w:p>
    <w:p w:rsidR="00AB15A5" w:rsidRPr="009226B9" w:rsidRDefault="00AB15A5" w:rsidP="009226B9">
      <w:pPr>
        <w:pStyle w:val="Prrafodelista"/>
        <w:numPr>
          <w:ilvl w:val="0"/>
          <w:numId w:val="36"/>
        </w:numPr>
        <w:spacing w:line="360" w:lineRule="auto"/>
        <w:ind w:left="851" w:right="616" w:hanging="295"/>
        <w:jc w:val="both"/>
        <w:rPr>
          <w:rFonts w:ascii="Palatino Linotype" w:hAnsi="Palatino Linotype" w:cs="Arial"/>
          <w:b/>
        </w:rPr>
      </w:pPr>
      <w:r w:rsidRPr="009226B9">
        <w:rPr>
          <w:rFonts w:ascii="Palatino Linotype" w:hAnsi="Palatino Linotype" w:cs="Arial"/>
          <w:b/>
        </w:rPr>
        <w:t xml:space="preserve">Que la difusión de la información pueda causar un daño y/o perjuicio a las atribuciones del Tribunal durante el juicio, es decir, que el contenido de la información vulnere, impida u obstruya los procedimientos que se ventilan. </w:t>
      </w:r>
    </w:p>
    <w:p w:rsidR="00AB15A5" w:rsidRPr="009226B9" w:rsidRDefault="00AB15A5" w:rsidP="009226B9">
      <w:pPr>
        <w:pStyle w:val="Prrafodelista"/>
        <w:spacing w:line="360" w:lineRule="auto"/>
        <w:ind w:left="0" w:right="49"/>
        <w:jc w:val="both"/>
        <w:rPr>
          <w:rFonts w:ascii="Palatino Linotype" w:hAnsi="Palatino Linotype" w:cs="Arial"/>
        </w:rPr>
      </w:pPr>
    </w:p>
    <w:p w:rsidR="00AB15A5" w:rsidRDefault="00AB15A5" w:rsidP="009226B9">
      <w:pPr>
        <w:pStyle w:val="Prrafodelista"/>
        <w:numPr>
          <w:ilvl w:val="0"/>
          <w:numId w:val="1"/>
        </w:numPr>
        <w:tabs>
          <w:tab w:val="left" w:pos="0"/>
        </w:tabs>
        <w:spacing w:line="360" w:lineRule="auto"/>
        <w:ind w:left="0" w:right="49" w:firstLine="0"/>
        <w:jc w:val="both"/>
        <w:rPr>
          <w:rFonts w:ascii="Palatino Linotype" w:hAnsi="Palatino Linotype" w:cs="Arial"/>
        </w:rPr>
      </w:pPr>
      <w:r w:rsidRPr="009226B9">
        <w:rPr>
          <w:rFonts w:ascii="Palatino Linotype" w:hAnsi="Palatino Linotype" w:cs="Arial"/>
        </w:rPr>
        <w:lastRenderedPageBreak/>
        <w:t xml:space="preserve">Por lo que, únicamente al configurarse los mismos, es procedente la reserva de la información, si uno de los requisitos faltase, no será en ningún momento posible su reserva. </w:t>
      </w:r>
    </w:p>
    <w:p w:rsidR="009226B9" w:rsidRPr="009226B9" w:rsidRDefault="009226B9" w:rsidP="009226B9">
      <w:pPr>
        <w:pStyle w:val="Prrafodelista"/>
        <w:tabs>
          <w:tab w:val="left" w:pos="0"/>
        </w:tabs>
        <w:spacing w:line="360" w:lineRule="auto"/>
        <w:ind w:left="0" w:right="49"/>
        <w:jc w:val="both"/>
        <w:rPr>
          <w:rFonts w:ascii="Palatino Linotype" w:hAnsi="Palatino Linotype" w:cs="Arial"/>
        </w:rPr>
      </w:pPr>
    </w:p>
    <w:p w:rsidR="00AB15A5" w:rsidRPr="009226B9" w:rsidRDefault="00AB15A5" w:rsidP="009226B9">
      <w:pPr>
        <w:pStyle w:val="Prrafodelista"/>
        <w:numPr>
          <w:ilvl w:val="0"/>
          <w:numId w:val="1"/>
        </w:numPr>
        <w:tabs>
          <w:tab w:val="left" w:pos="0"/>
        </w:tabs>
        <w:spacing w:line="360" w:lineRule="auto"/>
        <w:ind w:left="0" w:right="49" w:firstLine="0"/>
        <w:jc w:val="both"/>
        <w:rPr>
          <w:rFonts w:ascii="Palatino Linotype" w:hAnsi="Palatino Linotype" w:cs="Arial"/>
        </w:rPr>
      </w:pPr>
      <w:r w:rsidRPr="009226B9">
        <w:rPr>
          <w:rFonts w:ascii="Palatino Linotype" w:hAnsi="Palatino Linotype" w:cs="Arial"/>
        </w:rPr>
        <w:t xml:space="preserve">De la información que ocupa el presente recurso de revisión, se desprende lo siguiente: </w:t>
      </w:r>
    </w:p>
    <w:p w:rsidR="00AB15A5" w:rsidRPr="009226B9" w:rsidRDefault="00AB15A5" w:rsidP="009226B9">
      <w:pPr>
        <w:pStyle w:val="Prrafodelista"/>
        <w:spacing w:line="360" w:lineRule="auto"/>
        <w:rPr>
          <w:rFonts w:ascii="Palatino Linotype" w:hAnsi="Palatino Linotype" w:cs="Arial"/>
          <w:sz w:val="12"/>
        </w:rPr>
      </w:pPr>
    </w:p>
    <w:p w:rsidR="00AB15A5" w:rsidRPr="009226B9" w:rsidRDefault="00AB15A5" w:rsidP="009226B9">
      <w:pPr>
        <w:pStyle w:val="Prrafodelista"/>
        <w:numPr>
          <w:ilvl w:val="0"/>
          <w:numId w:val="35"/>
        </w:numPr>
        <w:spacing w:line="360" w:lineRule="auto"/>
        <w:ind w:left="851" w:right="616" w:hanging="295"/>
        <w:jc w:val="both"/>
        <w:rPr>
          <w:rFonts w:ascii="Palatino Linotype" w:hAnsi="Palatino Linotype" w:cs="Arial"/>
        </w:rPr>
      </w:pPr>
      <w:r w:rsidRPr="009226B9">
        <w:rPr>
          <w:rFonts w:ascii="Palatino Linotype" w:hAnsi="Palatino Linotype" w:cs="Arial"/>
        </w:rPr>
        <w:t>El Sujeto Obligado advierte una eventual reserva de la información sin analizar la naturaleza de la misma, sin ajustar las circunstancias de modo tiempo y lugar a la hipótesis que configura la reserva y sin siquiera advertirse una prueba de daño.</w:t>
      </w:r>
    </w:p>
    <w:p w:rsidR="00AB15A5" w:rsidRPr="009226B9" w:rsidRDefault="00AB15A5" w:rsidP="009226B9">
      <w:pPr>
        <w:pStyle w:val="Prrafodelista"/>
        <w:spacing w:line="360" w:lineRule="auto"/>
        <w:ind w:left="1571" w:right="49"/>
        <w:jc w:val="both"/>
        <w:rPr>
          <w:rFonts w:ascii="Palatino Linotype" w:hAnsi="Palatino Linotype" w:cs="Arial"/>
          <w:sz w:val="12"/>
        </w:rPr>
      </w:pPr>
    </w:p>
    <w:p w:rsidR="00AB15A5" w:rsidRPr="009226B9" w:rsidRDefault="00AB15A5" w:rsidP="009226B9">
      <w:pPr>
        <w:pStyle w:val="Prrafodelista"/>
        <w:numPr>
          <w:ilvl w:val="0"/>
          <w:numId w:val="1"/>
        </w:numPr>
        <w:tabs>
          <w:tab w:val="left" w:pos="0"/>
        </w:tabs>
        <w:spacing w:line="360" w:lineRule="auto"/>
        <w:ind w:left="0" w:right="49" w:firstLine="0"/>
        <w:jc w:val="both"/>
        <w:rPr>
          <w:rFonts w:ascii="Palatino Linotype" w:hAnsi="Palatino Linotype" w:cs="Arial"/>
        </w:rPr>
      </w:pPr>
      <w:r w:rsidRPr="009226B9">
        <w:rPr>
          <w:rFonts w:ascii="Palatino Linotype" w:hAnsi="Palatino Linotype" w:cs="Arial"/>
        </w:rPr>
        <w:t xml:space="preserve">De lo anterior, se  entiende que en ningún momento el </w:t>
      </w:r>
      <w:r w:rsidRPr="009226B9">
        <w:rPr>
          <w:rFonts w:ascii="Palatino Linotype" w:hAnsi="Palatino Linotype" w:cs="Arial"/>
          <w:b/>
        </w:rPr>
        <w:t>SUJETO OBLIGADO</w:t>
      </w:r>
      <w:r w:rsidRPr="009226B9">
        <w:rPr>
          <w:rFonts w:ascii="Palatino Linotype" w:hAnsi="Palatino Linotype" w:cs="Arial"/>
        </w:rPr>
        <w:t xml:space="preserve"> estudió ni abordó las cuatro fases de reserva y a consecuencia no realizó una prueba de daño debidamente fundamentada ni motivada, tal como lo establece la fracción X del artículo 140 de la Ley de Transparencia y Acceso a la Información Pública del Estado de México, de tal manera resulta erróneo reservar la información.  </w:t>
      </w:r>
    </w:p>
    <w:p w:rsidR="00AB15A5" w:rsidRPr="009226B9" w:rsidRDefault="00AB15A5" w:rsidP="009226B9">
      <w:pPr>
        <w:spacing w:line="360" w:lineRule="auto"/>
        <w:contextualSpacing/>
        <w:jc w:val="both"/>
        <w:rPr>
          <w:rFonts w:ascii="Palatino Linotype" w:hAnsi="Palatino Linotype" w:cs="Arial"/>
          <w:sz w:val="12"/>
        </w:rPr>
      </w:pPr>
    </w:p>
    <w:p w:rsidR="00AB15A5" w:rsidRPr="009226B9" w:rsidRDefault="00FD2682" w:rsidP="009226B9">
      <w:pPr>
        <w:numPr>
          <w:ilvl w:val="0"/>
          <w:numId w:val="1"/>
        </w:numPr>
        <w:spacing w:line="360" w:lineRule="auto"/>
        <w:ind w:left="0" w:firstLine="0"/>
        <w:contextualSpacing/>
        <w:jc w:val="both"/>
        <w:rPr>
          <w:rFonts w:ascii="Palatino Linotype" w:hAnsi="Palatino Linotype" w:cs="Arial"/>
        </w:rPr>
      </w:pPr>
      <w:r w:rsidRPr="009226B9">
        <w:rPr>
          <w:rFonts w:ascii="Palatino Linotype" w:hAnsi="Palatino Linotype" w:cs="Arial"/>
        </w:rPr>
        <w:t xml:space="preserve">En ese contexto, no es óbice a esta Ponencia </w:t>
      </w:r>
      <w:proofErr w:type="spellStart"/>
      <w:r w:rsidRPr="009226B9">
        <w:rPr>
          <w:rFonts w:ascii="Palatino Linotype" w:hAnsi="Palatino Linotype" w:cs="Arial"/>
        </w:rPr>
        <w:t>Resolutora</w:t>
      </w:r>
      <w:proofErr w:type="spellEnd"/>
      <w:r w:rsidRPr="009226B9">
        <w:rPr>
          <w:rFonts w:ascii="Palatino Linotype" w:hAnsi="Palatino Linotype" w:cs="Arial"/>
        </w:rPr>
        <w:t xml:space="preserve"> establecer en este espacio que resulta</w:t>
      </w:r>
      <w:r w:rsidR="00AB15A5" w:rsidRPr="009226B9">
        <w:rPr>
          <w:rFonts w:ascii="Palatino Linotype" w:hAnsi="Palatino Linotype" w:cs="Arial"/>
        </w:rPr>
        <w:t xml:space="preserve"> de suma importancia atender las observaciones que ha realizado </w:t>
      </w:r>
      <w:r w:rsidRPr="009226B9">
        <w:rPr>
          <w:rFonts w:ascii="Palatino Linotype" w:hAnsi="Palatino Linotype" w:cs="Arial"/>
        </w:rPr>
        <w:t>la</w:t>
      </w:r>
      <w:r w:rsidR="00AB15A5" w:rsidRPr="009226B9">
        <w:rPr>
          <w:rFonts w:ascii="Palatino Linotype" w:hAnsi="Palatino Linotype" w:cs="Arial"/>
        </w:rPr>
        <w:t xml:space="preserve"> Autoridad Nacional en  materi</w:t>
      </w:r>
      <w:r w:rsidRPr="009226B9">
        <w:rPr>
          <w:rFonts w:ascii="Palatino Linotype" w:hAnsi="Palatino Linotype" w:cs="Arial"/>
        </w:rPr>
        <w:t>a de transparencia, al señalar</w:t>
      </w:r>
      <w:r w:rsidR="00AB15A5" w:rsidRPr="009226B9">
        <w:rPr>
          <w:rFonts w:ascii="Palatino Linotype" w:hAnsi="Palatino Linotype" w:cs="Arial"/>
        </w:rPr>
        <w:t xml:space="preserve"> que la propuesta de reserva de la información, sin configurar los requisitos señalados para ésta, afecta la certidumbre jurídica, daña la esfera más íntima de derechos del particular, al </w:t>
      </w:r>
      <w:r w:rsidR="00AB15A5" w:rsidRPr="009226B9">
        <w:rPr>
          <w:rFonts w:ascii="Palatino Linotype" w:hAnsi="Palatino Linotype" w:cs="Arial"/>
        </w:rPr>
        <w:lastRenderedPageBreak/>
        <w:t xml:space="preserve">tenor de que, el limitarse a realizar un estudio normativo de contraste con diversos ordenamientos jurídicos, es únicamente un ejercicio de argumentación, más no comprende, en estricto sentido un reclamo de derechos subjetivos, una generación de derechos, reclamo de una de las partes u otras que requieran un análisis sigiloso y confidencial del juzgador.   </w:t>
      </w:r>
    </w:p>
    <w:p w:rsidR="00AB15A5" w:rsidRPr="009226B9" w:rsidRDefault="00AB15A5" w:rsidP="009226B9">
      <w:pPr>
        <w:pStyle w:val="Prrafodelista"/>
        <w:spacing w:line="360" w:lineRule="auto"/>
        <w:ind w:left="0" w:right="49"/>
        <w:jc w:val="both"/>
        <w:rPr>
          <w:rFonts w:ascii="Palatino Linotype" w:hAnsi="Palatino Linotype" w:cs="Arial"/>
          <w:sz w:val="12"/>
        </w:rPr>
      </w:pPr>
    </w:p>
    <w:p w:rsidR="00AB15A5" w:rsidRPr="009226B9" w:rsidRDefault="00AB15A5" w:rsidP="009226B9">
      <w:pPr>
        <w:numPr>
          <w:ilvl w:val="0"/>
          <w:numId w:val="1"/>
        </w:numPr>
        <w:spacing w:line="360" w:lineRule="auto"/>
        <w:ind w:left="0" w:firstLine="0"/>
        <w:contextualSpacing/>
        <w:jc w:val="both"/>
        <w:rPr>
          <w:rFonts w:ascii="Palatino Linotype" w:hAnsi="Palatino Linotype" w:cs="Arial"/>
        </w:rPr>
      </w:pPr>
      <w:r w:rsidRPr="009226B9">
        <w:rPr>
          <w:rFonts w:ascii="Palatino Linotype" w:hAnsi="Palatino Linotype" w:cs="Arial"/>
        </w:rPr>
        <w:t>Es necesario señalar que el Derecho de Acceso a la Información (DAI), tiene una justificación clara y precisa que se deriva de un aspecto de singular importancia, ya que lo que tratamos y pretendemos resolver consiste en el ejercicio de un derecho humano constitucional y convencionalmente reconocido.</w:t>
      </w:r>
    </w:p>
    <w:p w:rsidR="00AB15A5" w:rsidRPr="009226B9" w:rsidRDefault="00AB15A5" w:rsidP="009226B9">
      <w:pPr>
        <w:pStyle w:val="Prrafodelista"/>
        <w:spacing w:line="360" w:lineRule="auto"/>
        <w:rPr>
          <w:rFonts w:ascii="Palatino Linotype" w:hAnsi="Palatino Linotype" w:cs="Arial"/>
          <w:sz w:val="12"/>
        </w:rPr>
      </w:pPr>
    </w:p>
    <w:p w:rsidR="00AB15A5" w:rsidRPr="009226B9" w:rsidRDefault="00AB15A5" w:rsidP="009226B9">
      <w:pPr>
        <w:numPr>
          <w:ilvl w:val="0"/>
          <w:numId w:val="1"/>
        </w:numPr>
        <w:spacing w:line="360" w:lineRule="auto"/>
        <w:ind w:left="0" w:firstLine="0"/>
        <w:contextualSpacing/>
        <w:jc w:val="both"/>
        <w:rPr>
          <w:rFonts w:ascii="Palatino Linotype" w:hAnsi="Palatino Linotype" w:cs="Arial"/>
        </w:rPr>
      </w:pPr>
      <w:r w:rsidRPr="009226B9">
        <w:rPr>
          <w:rFonts w:ascii="Palatino Linotype" w:hAnsi="Palatino Linotype" w:cs="Arial"/>
        </w:rPr>
        <w:t xml:space="preserve"> Por tanto, al tratar directamente con un derecho humano, todas las autoridades nos vemos impuestas del supremo mandato constitucional consistente en la promoción, respeto, protección y </w:t>
      </w:r>
      <w:r w:rsidRPr="009226B9">
        <w:rPr>
          <w:rFonts w:ascii="Palatino Linotype" w:hAnsi="Palatino Linotype" w:cs="Arial"/>
          <w:b/>
        </w:rPr>
        <w:t>garantía de los derechos humanos</w:t>
      </w:r>
      <w:r w:rsidRPr="009226B9">
        <w:rPr>
          <w:rFonts w:ascii="Palatino Linotype" w:hAnsi="Palatino Linotype" w:cs="Arial"/>
        </w:rPr>
        <w:t>, de tal forma que cualquier esfuerzo que se haga en el sentido de cumplir con dicho mandato no resulta ocioso ni sobra sino demuestra el grado de compromiso de la autoridad con este aspecto toral de la reforma constitucional del 10 de junio de 2011.</w:t>
      </w:r>
    </w:p>
    <w:p w:rsidR="00AB15A5" w:rsidRPr="009226B9" w:rsidRDefault="00AB15A5" w:rsidP="009226B9">
      <w:pPr>
        <w:pStyle w:val="Prrafodelista"/>
        <w:spacing w:line="360" w:lineRule="auto"/>
        <w:rPr>
          <w:rFonts w:ascii="Palatino Linotype" w:hAnsi="Palatino Linotype" w:cs="Arial"/>
          <w:sz w:val="12"/>
        </w:rPr>
      </w:pPr>
    </w:p>
    <w:p w:rsidR="00AB15A5" w:rsidRPr="009226B9" w:rsidRDefault="00AB15A5" w:rsidP="009226B9">
      <w:pPr>
        <w:numPr>
          <w:ilvl w:val="0"/>
          <w:numId w:val="1"/>
        </w:numPr>
        <w:spacing w:line="360" w:lineRule="auto"/>
        <w:ind w:left="0" w:firstLine="0"/>
        <w:contextualSpacing/>
        <w:jc w:val="both"/>
        <w:rPr>
          <w:rFonts w:ascii="Palatino Linotype" w:hAnsi="Palatino Linotype" w:cs="Arial"/>
        </w:rPr>
      </w:pPr>
      <w:r w:rsidRPr="009226B9">
        <w:rPr>
          <w:rFonts w:ascii="Palatino Linotype" w:hAnsi="Palatino Linotype" w:cs="Arial"/>
        </w:rPr>
        <w:t xml:space="preserve">En este sentido el Dr. Miguel Carbonell ha señalado que: “Queda claro, en consecuencia, que las obligaciones de promoción, respeto, protección y garantía de los derechos corren a cargo de todos los poderes, incluso </w:t>
      </w:r>
      <w:r w:rsidRPr="009226B9">
        <w:rPr>
          <w:rFonts w:ascii="Palatino Linotype" w:hAnsi="Palatino Linotype" w:cs="Arial"/>
          <w:b/>
        </w:rPr>
        <w:t>considerando que algún nivel de gobierno tenga obligaciones reforzadas hacia ciertos derechos.</w:t>
      </w:r>
      <w:r w:rsidRPr="009226B9">
        <w:rPr>
          <w:rFonts w:ascii="Palatino Linotype" w:hAnsi="Palatino Linotype" w:cs="Arial"/>
        </w:rPr>
        <w:t xml:space="preserve"> A partir de tales deberes generales, podemos afirmar que las autoridades de todos los </w:t>
      </w:r>
      <w:r w:rsidRPr="009226B9">
        <w:rPr>
          <w:rFonts w:ascii="Palatino Linotype" w:hAnsi="Palatino Linotype" w:cs="Arial"/>
        </w:rPr>
        <w:lastRenderedPageBreak/>
        <w:t xml:space="preserve">niveles de gobierno también tienen la obligación positiva de </w:t>
      </w:r>
      <w:r w:rsidRPr="009226B9">
        <w:rPr>
          <w:rFonts w:ascii="Palatino Linotype" w:hAnsi="Palatino Linotype" w:cs="Arial"/>
          <w:b/>
        </w:rPr>
        <w:t>tomar todas las medidas que sean pertinentes para tutelar y hacer eficaz un derecho</w:t>
      </w:r>
      <w:r w:rsidRPr="009226B9">
        <w:rPr>
          <w:rFonts w:ascii="Palatino Linotype" w:hAnsi="Palatino Linotype" w:cs="Arial"/>
        </w:rPr>
        <w:t>”.</w:t>
      </w:r>
      <w:r w:rsidRPr="009226B9">
        <w:rPr>
          <w:rStyle w:val="Refdenotaalpie"/>
          <w:rFonts w:ascii="Palatino Linotype" w:hAnsi="Palatino Linotype" w:cs="Arial"/>
        </w:rPr>
        <w:footnoteReference w:id="1"/>
      </w:r>
    </w:p>
    <w:p w:rsidR="00AB15A5" w:rsidRPr="009226B9" w:rsidRDefault="00AB15A5" w:rsidP="009226B9">
      <w:pPr>
        <w:pStyle w:val="Prrafodelista"/>
        <w:spacing w:line="360" w:lineRule="auto"/>
        <w:ind w:left="0"/>
        <w:jc w:val="both"/>
        <w:rPr>
          <w:rFonts w:ascii="Palatino Linotype" w:hAnsi="Palatino Linotype" w:cs="Arial"/>
          <w:sz w:val="12"/>
        </w:rPr>
      </w:pPr>
    </w:p>
    <w:p w:rsidR="00AB15A5" w:rsidRPr="009226B9" w:rsidRDefault="00FD2682" w:rsidP="009226B9">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226B9">
        <w:rPr>
          <w:rFonts w:ascii="Palatino Linotype" w:hAnsi="Palatino Linotype" w:cs="Arial"/>
        </w:rPr>
        <w:t xml:space="preserve">Ahora bien, lo anterior suponiendo fuera procedente la reserva, pero del caso concreto se advierte que el hoy recurrente, únicamente requirió, </w:t>
      </w:r>
      <w:r w:rsidR="00AB4717" w:rsidRPr="009226B9">
        <w:rPr>
          <w:rFonts w:ascii="Palatino Linotype" w:hAnsi="Palatino Linotype" w:cs="Arial"/>
        </w:rPr>
        <w:t>l</w:t>
      </w:r>
      <w:r w:rsidRPr="009226B9">
        <w:rPr>
          <w:rFonts w:ascii="Palatino Linotype" w:hAnsi="Palatino Linotype" w:cs="Arial"/>
        </w:rPr>
        <w:t xml:space="preserve">a </w:t>
      </w:r>
      <w:r w:rsidR="00AB4717" w:rsidRPr="009226B9">
        <w:rPr>
          <w:rFonts w:ascii="Palatino Linotype" w:hAnsi="Palatino Linotype" w:cs="Arial"/>
          <w:b/>
          <w:u w:val="single"/>
        </w:rPr>
        <w:t>DENOMINACIÓN</w:t>
      </w:r>
      <w:r w:rsidR="00AB4717" w:rsidRPr="009226B9">
        <w:rPr>
          <w:rFonts w:ascii="Palatino Linotype" w:hAnsi="Palatino Linotype" w:cs="Arial"/>
        </w:rPr>
        <w:t xml:space="preserve"> </w:t>
      </w:r>
      <w:r w:rsidRPr="009226B9">
        <w:rPr>
          <w:rFonts w:ascii="Palatino Linotype" w:hAnsi="Palatino Linotype" w:cs="Arial"/>
        </w:rPr>
        <w:t xml:space="preserve">de los </w:t>
      </w:r>
      <w:proofErr w:type="spellStart"/>
      <w:r w:rsidRPr="009226B9">
        <w:rPr>
          <w:rFonts w:ascii="Palatino Linotype" w:hAnsi="Palatino Linotype" w:cs="Arial"/>
        </w:rPr>
        <w:t>verificentros</w:t>
      </w:r>
      <w:proofErr w:type="spellEnd"/>
      <w:r w:rsidRPr="009226B9">
        <w:rPr>
          <w:rFonts w:ascii="Palatino Linotype" w:hAnsi="Palatino Linotype" w:cs="Arial"/>
        </w:rPr>
        <w:t xml:space="preserve"> que no les fueron revalidadas sus autorizaciones y el </w:t>
      </w:r>
      <w:r w:rsidR="00AB4717" w:rsidRPr="009226B9">
        <w:rPr>
          <w:rFonts w:ascii="Palatino Linotype" w:hAnsi="Palatino Linotype" w:cs="Arial"/>
          <w:b/>
          <w:u w:val="single"/>
        </w:rPr>
        <w:t xml:space="preserve">MOTIVO; </w:t>
      </w:r>
      <w:r w:rsidR="00AB4717" w:rsidRPr="009226B9">
        <w:rPr>
          <w:rFonts w:ascii="Palatino Linotype" w:hAnsi="Palatino Linotype" w:cs="Arial"/>
        </w:rPr>
        <w:t xml:space="preserve">luego entonces son únicamente </w:t>
      </w:r>
      <w:r w:rsidR="00AB4717" w:rsidRPr="009226B9">
        <w:rPr>
          <w:rFonts w:ascii="Palatino Linotype" w:hAnsi="Palatino Linotype" w:cs="Arial"/>
          <w:b/>
          <w:u w:val="single"/>
        </w:rPr>
        <w:t>DATOS</w:t>
      </w:r>
      <w:r w:rsidR="00AB4717" w:rsidRPr="009226B9">
        <w:rPr>
          <w:rFonts w:ascii="Palatino Linotype" w:hAnsi="Palatino Linotype" w:cs="Arial"/>
        </w:rPr>
        <w:t xml:space="preserve"> que evidentemente su</w:t>
      </w:r>
      <w:r w:rsidR="00AB4717" w:rsidRPr="009226B9">
        <w:rPr>
          <w:rFonts w:ascii="Palatino Linotype" w:hAnsi="Palatino Linotype" w:cs="Arial"/>
          <w:b/>
        </w:rPr>
        <w:t xml:space="preserve"> </w:t>
      </w:r>
      <w:r w:rsidR="00AB4717" w:rsidRPr="009226B9">
        <w:rPr>
          <w:rFonts w:ascii="Palatino Linotype" w:hAnsi="Palatino Linotype" w:cs="Arial"/>
        </w:rPr>
        <w:t>difusión en nada puede causar un daño y/o perjuicio a las atribuciones del Tribunal durante el juicio.</w:t>
      </w:r>
    </w:p>
    <w:p w:rsidR="006D3B0E" w:rsidRPr="009226B9" w:rsidRDefault="006D3B0E" w:rsidP="009226B9">
      <w:pPr>
        <w:pStyle w:val="Prrafodelista"/>
        <w:tabs>
          <w:tab w:val="left" w:pos="0"/>
        </w:tabs>
        <w:spacing w:line="360" w:lineRule="auto"/>
        <w:ind w:left="0" w:right="49"/>
        <w:jc w:val="both"/>
        <w:rPr>
          <w:rFonts w:ascii="Palatino Linotype" w:hAnsi="Palatino Linotype" w:cs="Arial"/>
          <w:color w:val="000000" w:themeColor="text1"/>
        </w:rPr>
      </w:pPr>
    </w:p>
    <w:p w:rsidR="006D3B0E" w:rsidRPr="009226B9" w:rsidRDefault="006D3B0E" w:rsidP="009226B9">
      <w:pPr>
        <w:pStyle w:val="Prrafodelista"/>
        <w:numPr>
          <w:ilvl w:val="0"/>
          <w:numId w:val="1"/>
        </w:numPr>
        <w:spacing w:line="360" w:lineRule="auto"/>
        <w:ind w:left="0" w:firstLine="0"/>
        <w:jc w:val="both"/>
        <w:rPr>
          <w:rFonts w:ascii="Palatino Linotype" w:hAnsi="Palatino Linotype"/>
          <w:lang w:val="es-MX" w:eastAsia="en-US"/>
        </w:rPr>
      </w:pPr>
      <w:r w:rsidRPr="009226B9">
        <w:rPr>
          <w:rFonts w:ascii="Palatino Linotype" w:eastAsia="Calibri" w:hAnsi="Palatino Linotype" w:cs="Arial"/>
        </w:rPr>
        <w:t>Por otro lado, si bien los sujetos obligados no están compelidos a generar documentos</w:t>
      </w:r>
      <w:r w:rsidRPr="009226B9">
        <w:rPr>
          <w:rFonts w:ascii="Palatino Linotype" w:eastAsia="Calibri" w:hAnsi="Palatino Linotype" w:cs="Arial"/>
          <w:i/>
        </w:rPr>
        <w:t xml:space="preserve"> Ad hoc</w:t>
      </w:r>
      <w:r w:rsidRPr="009226B9">
        <w:rPr>
          <w:rFonts w:ascii="Palatino Linotype" w:eastAsia="Calibri" w:hAnsi="Palatino Linotype" w:cs="Arial"/>
        </w:rPr>
        <w:t>.</w:t>
      </w:r>
      <w:r w:rsidRPr="009226B9">
        <w:rPr>
          <w:rFonts w:ascii="Palatino Linotype" w:eastAsia="Calibri" w:hAnsi="Palatino Linotype" w:cs="Arial"/>
          <w:i/>
        </w:rPr>
        <w:t xml:space="preserve"> </w:t>
      </w:r>
      <w:r w:rsidRPr="009226B9">
        <w:rPr>
          <w:rFonts w:ascii="Palatino Linotype" w:hAnsi="Palatino Linotype"/>
          <w:color w:val="000000"/>
        </w:rPr>
        <w:t xml:space="preserve">Robustece lo anterior </w:t>
      </w:r>
      <w:r w:rsidRPr="009226B9">
        <w:rPr>
          <w:rFonts w:ascii="Palatino Linotype" w:hAnsi="Palatino Linotype" w:cs="Arial"/>
        </w:rPr>
        <w:t>el criterio 13/17 de la Segunda Época emitido por el Instituto Nacional de Transparencia, Acceso a la Información y Protección de Datos personales:</w:t>
      </w:r>
    </w:p>
    <w:p w:rsidR="006D3B0E" w:rsidRPr="009226B9" w:rsidRDefault="006D3B0E" w:rsidP="009226B9">
      <w:pPr>
        <w:pStyle w:val="Prrafodelista"/>
        <w:autoSpaceDE w:val="0"/>
        <w:autoSpaceDN w:val="0"/>
        <w:adjustRightInd w:val="0"/>
        <w:spacing w:line="360" w:lineRule="auto"/>
        <w:ind w:left="0" w:right="567"/>
        <w:jc w:val="both"/>
        <w:rPr>
          <w:rFonts w:ascii="Palatino Linotype" w:eastAsia="Calibri" w:hAnsi="Palatino Linotype" w:cs="Arial"/>
          <w:i/>
          <w:sz w:val="12"/>
        </w:rPr>
      </w:pPr>
    </w:p>
    <w:p w:rsidR="006D3B0E" w:rsidRPr="009226B9" w:rsidRDefault="006D3B0E" w:rsidP="009226B9">
      <w:pPr>
        <w:pStyle w:val="Prrafodelista"/>
        <w:tabs>
          <w:tab w:val="left" w:pos="2430"/>
        </w:tabs>
        <w:spacing w:line="360" w:lineRule="auto"/>
        <w:ind w:right="567"/>
        <w:jc w:val="both"/>
        <w:rPr>
          <w:rFonts w:ascii="Palatino Linotype" w:hAnsi="Palatino Linotype" w:cs="Arial"/>
          <w:i/>
        </w:rPr>
      </w:pPr>
      <w:r w:rsidRPr="009226B9">
        <w:rPr>
          <w:rFonts w:ascii="Palatino Linotype" w:hAnsi="Palatino Linotype" w:cs="Arial"/>
          <w:b/>
          <w:bCs/>
          <w:i/>
        </w:rPr>
        <w:t>No existe obligación de elaborar documentos ad hoc para atender las solicitudes de acceso a la información</w:t>
      </w:r>
      <w:r w:rsidRPr="009226B9">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w:t>
      </w:r>
      <w:r w:rsidRPr="009226B9">
        <w:rPr>
          <w:rFonts w:ascii="Palatino Linotype" w:hAnsi="Palatino Linotype" w:cs="Arial"/>
          <w:i/>
        </w:rPr>
        <w:lastRenderedPageBreak/>
        <w:t>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D3B0E" w:rsidRPr="009226B9" w:rsidRDefault="006D3B0E" w:rsidP="009226B9">
      <w:pPr>
        <w:spacing w:line="360" w:lineRule="auto"/>
        <w:ind w:left="720" w:right="567"/>
        <w:jc w:val="both"/>
        <w:rPr>
          <w:rFonts w:ascii="Palatino Linotype" w:hAnsi="Palatino Linotype" w:cs="Arial"/>
          <w:i/>
        </w:rPr>
      </w:pPr>
      <w:r w:rsidRPr="009226B9">
        <w:rPr>
          <w:rFonts w:ascii="Palatino Linotype" w:hAnsi="Palatino Linotype" w:cs="Arial"/>
          <w:i/>
        </w:rPr>
        <w:t>Resoluciones:</w:t>
      </w:r>
    </w:p>
    <w:p w:rsidR="006D3B0E" w:rsidRPr="009226B9" w:rsidRDefault="006D3B0E" w:rsidP="009226B9">
      <w:pPr>
        <w:spacing w:line="360" w:lineRule="auto"/>
        <w:ind w:left="720" w:right="567"/>
        <w:jc w:val="both"/>
        <w:rPr>
          <w:rFonts w:ascii="Palatino Linotype" w:hAnsi="Palatino Linotype" w:cs="Arial"/>
          <w:i/>
        </w:rPr>
      </w:pPr>
      <w:r w:rsidRPr="009226B9">
        <w:rPr>
          <w:rFonts w:ascii="Palatino Linotype" w:hAnsi="Palatino Linotype" w:cs="Arial"/>
          <w:i/>
        </w:rPr>
        <w:t>•</w:t>
      </w:r>
      <w:r w:rsidRPr="009226B9">
        <w:rPr>
          <w:rFonts w:ascii="Palatino Linotype" w:hAnsi="Palatino Linotype" w:cs="Arial"/>
          <w:i/>
        </w:rPr>
        <w:tab/>
        <w:t>RRA 0050/16. Instituto Nacional para la Evaluación de la Educación. 13 julio de 2016. Por unanimidad. Comisionado Ponente: Francisco Javier Acuña Llamas.</w:t>
      </w:r>
    </w:p>
    <w:p w:rsidR="006D3B0E" w:rsidRPr="009226B9" w:rsidRDefault="006D3B0E" w:rsidP="009226B9">
      <w:pPr>
        <w:spacing w:line="360" w:lineRule="auto"/>
        <w:ind w:left="720" w:right="567"/>
        <w:jc w:val="both"/>
        <w:rPr>
          <w:rFonts w:ascii="Palatino Linotype" w:hAnsi="Palatino Linotype" w:cs="Arial"/>
          <w:i/>
        </w:rPr>
      </w:pPr>
      <w:r w:rsidRPr="009226B9">
        <w:rPr>
          <w:rFonts w:ascii="Palatino Linotype" w:hAnsi="Palatino Linotype" w:cs="Arial"/>
          <w:i/>
        </w:rPr>
        <w:t>•</w:t>
      </w:r>
      <w:r w:rsidRPr="009226B9">
        <w:rPr>
          <w:rFonts w:ascii="Palatino Linotype" w:hAnsi="Palatino Linotype" w:cs="Arial"/>
          <w:i/>
        </w:rPr>
        <w:tab/>
        <w:t>RRA 0310/16. Instituto Nacional de Transparencia, Acceso a la Información y Protección de Datos Personales. 10 de agosto de 2016. Por unanimidad. Comisionada Ponente. Areli Cano Guadiana.</w:t>
      </w:r>
    </w:p>
    <w:p w:rsidR="006D3B0E" w:rsidRPr="009226B9" w:rsidRDefault="006D3B0E" w:rsidP="009226B9">
      <w:pPr>
        <w:spacing w:line="360" w:lineRule="auto"/>
        <w:ind w:left="1416" w:right="567" w:hanging="696"/>
        <w:jc w:val="both"/>
        <w:rPr>
          <w:rFonts w:ascii="Palatino Linotype" w:hAnsi="Palatino Linotype" w:cs="Arial"/>
          <w:i/>
        </w:rPr>
      </w:pPr>
      <w:r w:rsidRPr="009226B9">
        <w:rPr>
          <w:rFonts w:ascii="Palatino Linotype" w:hAnsi="Palatino Linotype" w:cs="Arial"/>
          <w:i/>
        </w:rPr>
        <w:t>•</w:t>
      </w:r>
      <w:r w:rsidRPr="009226B9">
        <w:rPr>
          <w:rFonts w:ascii="Palatino Linotype" w:hAnsi="Palatino Linotype" w:cs="Arial"/>
          <w:i/>
        </w:rPr>
        <w:tab/>
        <w:t>RRA 1889/16. Secretaría de Hacienda y Crédito Público. 05 de octubre de 2016. Por unanimidad. Comisionada Ponente. Ximena Puente de la Mora.</w:t>
      </w:r>
    </w:p>
    <w:p w:rsidR="006D3B0E" w:rsidRPr="009226B9" w:rsidRDefault="006D3B0E" w:rsidP="009226B9">
      <w:pPr>
        <w:autoSpaceDE w:val="0"/>
        <w:autoSpaceDN w:val="0"/>
        <w:adjustRightInd w:val="0"/>
        <w:spacing w:line="360" w:lineRule="auto"/>
        <w:ind w:right="567"/>
        <w:jc w:val="both"/>
        <w:rPr>
          <w:rFonts w:ascii="Palatino Linotype" w:eastAsia="Calibri" w:hAnsi="Palatino Linotype" w:cs="Arial"/>
          <w:i/>
        </w:rPr>
      </w:pPr>
    </w:p>
    <w:p w:rsidR="006D3B0E" w:rsidRPr="009226B9" w:rsidRDefault="006D3B0E" w:rsidP="009226B9">
      <w:pPr>
        <w:numPr>
          <w:ilvl w:val="0"/>
          <w:numId w:val="1"/>
        </w:numPr>
        <w:spacing w:line="360" w:lineRule="auto"/>
        <w:ind w:left="0" w:firstLine="0"/>
        <w:contextualSpacing/>
        <w:jc w:val="both"/>
        <w:rPr>
          <w:rFonts w:ascii="Palatino Linotype" w:hAnsi="Palatino Linotype"/>
        </w:rPr>
      </w:pPr>
      <w:r w:rsidRPr="009226B9">
        <w:rPr>
          <w:rFonts w:ascii="Palatino Linotype" w:hAnsi="Palatino Linotype" w:cs="Arial"/>
          <w:color w:val="000000" w:themeColor="text1"/>
        </w:rPr>
        <w:t xml:space="preserve">También lo es que no existe normatividad que lo impida. </w:t>
      </w:r>
      <w:r w:rsidR="00410FDF" w:rsidRPr="009226B9">
        <w:rPr>
          <w:rFonts w:ascii="Palatino Linotype" w:hAnsi="Palatino Linotype" w:cs="Arial"/>
          <w:color w:val="000000" w:themeColor="text1"/>
        </w:rPr>
        <w:t xml:space="preserve">Por último, </w:t>
      </w:r>
      <w:r w:rsidRPr="009226B9">
        <w:rPr>
          <w:rFonts w:ascii="Palatino Linotype" w:hAnsi="Palatino Linotype" w:cs="Arial"/>
          <w:color w:val="000000" w:themeColor="text1"/>
        </w:rPr>
        <w:t>n</w:t>
      </w:r>
      <w:r w:rsidRPr="009226B9">
        <w:rPr>
          <w:rFonts w:ascii="Palatino Linotype" w:hAnsi="Palatino Linotype"/>
        </w:rPr>
        <w:t xml:space="preserve">o pasa desapercibido para este Órgano Garante que en relación a la temporalidad de la información, el solicitante no refirió el lapso temporal de la información; por lo que este Instituto, con fundamento en los artículos 13 y 181, párrafo cuarto de la Ley de </w:t>
      </w:r>
      <w:r w:rsidRPr="009226B9">
        <w:rPr>
          <w:rFonts w:ascii="Palatino Linotype" w:hAnsi="Palatino Linotype"/>
        </w:rPr>
        <w:lastRenderedPageBreak/>
        <w:t>Transparencia y Acceso a la Información Pública de la entidad, y en atención a la fecha de la solicitud, determina que el lapso temporal que en todo caso deba entregarse de la información referida, es la generada en el último año previo a la presentación de la solicitud, es decir, del catorce (14) de enero de dos mil dieciocho al catorce (14) de enero de dos mil diecinueve.</w:t>
      </w:r>
    </w:p>
    <w:p w:rsidR="006D3B0E" w:rsidRPr="009226B9" w:rsidRDefault="006D3B0E" w:rsidP="009226B9">
      <w:pPr>
        <w:pStyle w:val="Prrafodelista"/>
        <w:spacing w:line="360" w:lineRule="auto"/>
        <w:rPr>
          <w:rFonts w:ascii="Palatino Linotype" w:hAnsi="Palatino Linotype"/>
          <w:sz w:val="12"/>
        </w:rPr>
      </w:pPr>
    </w:p>
    <w:p w:rsidR="009226B9" w:rsidRDefault="006D3B0E" w:rsidP="009226B9">
      <w:pPr>
        <w:pStyle w:val="Prrafodelista"/>
        <w:numPr>
          <w:ilvl w:val="0"/>
          <w:numId w:val="1"/>
        </w:numPr>
        <w:spacing w:line="360" w:lineRule="auto"/>
        <w:ind w:left="0" w:firstLine="0"/>
        <w:jc w:val="both"/>
        <w:rPr>
          <w:rFonts w:ascii="Palatino Linotype" w:hAnsi="Palatino Linotype"/>
        </w:rPr>
      </w:pPr>
      <w:r w:rsidRPr="009226B9">
        <w:rPr>
          <w:rFonts w:ascii="Palatino Linotype" w:hAnsi="Palatino Linotype"/>
        </w:rPr>
        <w:t>Sirve de sustento a lo anterior el criterio número 9/13 emitido por el entonces Instituto Federal de Acceso a la Información Pública, cuyo texto y sentido literal es el siguiente:</w:t>
      </w:r>
    </w:p>
    <w:p w:rsidR="009226B9" w:rsidRPr="009226B9" w:rsidRDefault="009226B9" w:rsidP="009226B9">
      <w:pPr>
        <w:pStyle w:val="Prrafodelista"/>
        <w:spacing w:line="360" w:lineRule="auto"/>
        <w:ind w:left="0"/>
        <w:jc w:val="both"/>
        <w:rPr>
          <w:rFonts w:ascii="Palatino Linotype" w:hAnsi="Palatino Linotype"/>
          <w:sz w:val="22"/>
        </w:rPr>
      </w:pPr>
    </w:p>
    <w:p w:rsidR="006D3B0E" w:rsidRPr="009226B9" w:rsidRDefault="006D3B0E" w:rsidP="009226B9">
      <w:pPr>
        <w:spacing w:line="360" w:lineRule="auto"/>
        <w:ind w:left="851" w:right="567"/>
        <w:jc w:val="both"/>
        <w:rPr>
          <w:rFonts w:ascii="Palatino Linotype" w:hAnsi="Palatino Linotype"/>
          <w:i/>
          <w:sz w:val="22"/>
        </w:rPr>
      </w:pPr>
      <w:r w:rsidRPr="009226B9">
        <w:rPr>
          <w:rFonts w:ascii="Palatino Linotype" w:hAnsi="Palatino Linotype"/>
          <w:sz w:val="22"/>
        </w:rPr>
        <w:t xml:space="preserve"> </w:t>
      </w:r>
      <w:r w:rsidRPr="009226B9">
        <w:rPr>
          <w:rFonts w:ascii="Palatino Linotype" w:hAnsi="Palatino Linotype"/>
          <w:i/>
          <w:sz w:val="22"/>
        </w:rPr>
        <w:t>“</w:t>
      </w:r>
      <w:r w:rsidRPr="009226B9">
        <w:rPr>
          <w:rFonts w:ascii="Palatino Linotype" w:hAnsi="Palatino Linotype"/>
          <w:b/>
          <w:i/>
          <w:sz w:val="22"/>
        </w:rPr>
        <w:t>Periodo de búsqueda de la información, cuando no se precisa en la solicitud de información.</w:t>
      </w:r>
      <w:r w:rsidRPr="009226B9">
        <w:rPr>
          <w:rFonts w:ascii="Palatino Linotype" w:hAnsi="Palatino Linotype"/>
          <w:i/>
          <w:sz w:val="22"/>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w:t>
      </w:r>
      <w:r w:rsidRPr="009226B9">
        <w:rPr>
          <w:rFonts w:ascii="Palatino Linotype" w:hAnsi="Palatino Linotype"/>
          <w:b/>
          <w:i/>
          <w:sz w:val="22"/>
        </w:rPr>
        <w:t>que su requerimiento se refiere al del año inmediato anterior</w:t>
      </w:r>
      <w:r w:rsidRPr="009226B9">
        <w:rPr>
          <w:rFonts w:ascii="Palatino Linotype" w:hAnsi="Palatino Linotype"/>
          <w:i/>
          <w:sz w:val="22"/>
        </w:rPr>
        <w:t xml:space="preserve"> contado a partir de la fecha en que se presentó la solicitud. Lo anterior permite que los sujetos obligados cuenten con mayores elementos para precisar y localizar la información solicitada.”</w:t>
      </w:r>
    </w:p>
    <w:p w:rsidR="0080305F" w:rsidRPr="009226B9" w:rsidRDefault="0080305F" w:rsidP="009226B9">
      <w:pPr>
        <w:pStyle w:val="Prrafodelista"/>
        <w:tabs>
          <w:tab w:val="left" w:pos="0"/>
        </w:tabs>
        <w:spacing w:line="360" w:lineRule="auto"/>
        <w:ind w:left="0" w:right="49"/>
        <w:jc w:val="both"/>
        <w:rPr>
          <w:rFonts w:ascii="Palatino Linotype" w:eastAsia="MS Mincho" w:hAnsi="Palatino Linotype" w:cstheme="majorBidi"/>
        </w:rPr>
      </w:pPr>
    </w:p>
    <w:p w:rsidR="009226B9" w:rsidRPr="009226B9" w:rsidRDefault="00333841" w:rsidP="009226B9">
      <w:pPr>
        <w:pStyle w:val="Prrafodelista"/>
        <w:numPr>
          <w:ilvl w:val="0"/>
          <w:numId w:val="1"/>
        </w:numPr>
        <w:spacing w:line="360" w:lineRule="auto"/>
        <w:ind w:left="0" w:firstLine="0"/>
        <w:jc w:val="both"/>
        <w:rPr>
          <w:rFonts w:ascii="Palatino Linotype" w:hAnsi="Palatino Linotype"/>
          <w:lang w:val="es-ES"/>
        </w:rPr>
      </w:pPr>
      <w:r w:rsidRPr="009226B9">
        <w:rPr>
          <w:rFonts w:ascii="Palatino Linotype" w:hAnsi="Palatino Linotype" w:cs="Arial"/>
          <w:color w:val="000000" w:themeColor="text1"/>
        </w:rPr>
        <w:t>Por</w:t>
      </w:r>
      <w:r w:rsidRPr="009226B9">
        <w:rPr>
          <w:rFonts w:ascii="Palatino Linotype" w:hAnsi="Palatino Linotype"/>
        </w:rPr>
        <w:t xml:space="preserve"> lo anteriormente expuesto y fundado este </w:t>
      </w:r>
      <w:r w:rsidRPr="009226B9">
        <w:rPr>
          <w:rFonts w:ascii="Palatino Linotype" w:hAnsi="Palatino Linotype"/>
          <w:b/>
        </w:rPr>
        <w:t>ÓRGANO GARANTE</w:t>
      </w:r>
      <w:r w:rsidRPr="009226B9">
        <w:rPr>
          <w:rFonts w:ascii="Palatino Linotype" w:hAnsi="Palatino Linotype"/>
        </w:rPr>
        <w:t xml:space="preserve"> emite los siguientes:</w:t>
      </w:r>
    </w:p>
    <w:p w:rsidR="00333841" w:rsidRPr="009226B9" w:rsidRDefault="00333841" w:rsidP="009226B9">
      <w:pPr>
        <w:pStyle w:val="Ttulo1"/>
        <w:spacing w:before="0" w:line="360" w:lineRule="auto"/>
        <w:jc w:val="center"/>
        <w:rPr>
          <w:rFonts w:ascii="Palatino Linotype" w:eastAsia="Calibri" w:hAnsi="Palatino Linotype"/>
          <w:b/>
          <w:color w:val="auto"/>
          <w:sz w:val="24"/>
          <w:szCs w:val="24"/>
          <w:lang w:val="es-ES" w:eastAsia="es-ES"/>
        </w:rPr>
      </w:pPr>
      <w:bookmarkStart w:id="17" w:name="_Toc4106294"/>
      <w:r w:rsidRPr="009226B9">
        <w:rPr>
          <w:rFonts w:ascii="Palatino Linotype" w:eastAsia="Calibri" w:hAnsi="Palatino Linotype"/>
          <w:b/>
          <w:color w:val="auto"/>
          <w:sz w:val="24"/>
          <w:szCs w:val="24"/>
          <w:lang w:val="es-ES" w:eastAsia="es-ES"/>
        </w:rPr>
        <w:lastRenderedPageBreak/>
        <w:t>R E S O L U T I V O S</w:t>
      </w:r>
      <w:bookmarkEnd w:id="13"/>
      <w:bookmarkEnd w:id="14"/>
      <w:bookmarkEnd w:id="15"/>
      <w:bookmarkEnd w:id="17"/>
      <w:r w:rsidRPr="009226B9">
        <w:rPr>
          <w:rFonts w:ascii="Palatino Linotype" w:eastAsia="Calibri" w:hAnsi="Palatino Linotype"/>
          <w:b/>
          <w:color w:val="auto"/>
          <w:sz w:val="24"/>
          <w:szCs w:val="24"/>
          <w:lang w:val="es-ES" w:eastAsia="es-ES"/>
        </w:rPr>
        <w:t xml:space="preserve"> </w:t>
      </w:r>
    </w:p>
    <w:p w:rsidR="002B79C6" w:rsidRPr="009226B9" w:rsidRDefault="002B79C6" w:rsidP="009226B9">
      <w:pPr>
        <w:spacing w:line="360" w:lineRule="auto"/>
        <w:rPr>
          <w:rFonts w:ascii="Palatino Linotype" w:hAnsi="Palatino Linotype"/>
          <w:lang w:val="es-ES"/>
        </w:rPr>
      </w:pPr>
    </w:p>
    <w:p w:rsidR="00CD3DDA" w:rsidRDefault="00CD3DDA" w:rsidP="009226B9">
      <w:pPr>
        <w:spacing w:line="360" w:lineRule="auto"/>
        <w:jc w:val="both"/>
        <w:rPr>
          <w:rFonts w:ascii="Palatino Linotype" w:hAnsi="Palatino Linotype" w:cs="Arial"/>
          <w:bCs/>
          <w:lang w:eastAsia="es-MX"/>
        </w:rPr>
      </w:pPr>
      <w:r w:rsidRPr="009226B9">
        <w:rPr>
          <w:rFonts w:ascii="Palatino Linotype" w:eastAsia="Times New Roman" w:hAnsi="Palatino Linotype" w:cs="Arial"/>
          <w:b/>
        </w:rPr>
        <w:t xml:space="preserve">PRIMERO. </w:t>
      </w:r>
      <w:r w:rsidRPr="009226B9">
        <w:rPr>
          <w:rFonts w:ascii="Palatino Linotype" w:eastAsia="Times New Roman" w:hAnsi="Palatino Linotype" w:cs="Arial"/>
        </w:rPr>
        <w:t xml:space="preserve">Resultan </w:t>
      </w:r>
      <w:r w:rsidR="00ED1EBA" w:rsidRPr="009226B9">
        <w:rPr>
          <w:rFonts w:ascii="Palatino Linotype" w:eastAsia="Times New Roman" w:hAnsi="Palatino Linotype" w:cs="Arial"/>
        </w:rPr>
        <w:t xml:space="preserve">parcialmente </w:t>
      </w:r>
      <w:r w:rsidRPr="009226B9">
        <w:rPr>
          <w:rFonts w:ascii="Palatino Linotype" w:eastAsia="Times New Roman" w:hAnsi="Palatino Linotype" w:cs="Arial"/>
        </w:rPr>
        <w:t>fundadas las</w:t>
      </w:r>
      <w:r w:rsidRPr="009226B9">
        <w:rPr>
          <w:rFonts w:ascii="Palatino Linotype" w:eastAsia="Times New Roman" w:hAnsi="Palatino Linotype" w:cs="Arial"/>
          <w:b/>
        </w:rPr>
        <w:t xml:space="preserve"> </w:t>
      </w:r>
      <w:r w:rsidRPr="009226B9">
        <w:rPr>
          <w:rFonts w:ascii="Palatino Linotype" w:eastAsia="Times New Roman" w:hAnsi="Palatino Linotype" w:cs="Arial"/>
          <w:lang w:val="es-ES"/>
        </w:rPr>
        <w:t xml:space="preserve">razones o motivos de inconformidad hechos valer </w:t>
      </w:r>
      <w:r w:rsidRPr="009226B9">
        <w:rPr>
          <w:rFonts w:ascii="Palatino Linotype" w:eastAsia="Calibri" w:hAnsi="Palatino Linotype" w:cs="Arial"/>
          <w:lang w:val="es-ES"/>
        </w:rPr>
        <w:t xml:space="preserve">en el recurso de revisión </w:t>
      </w:r>
      <w:r w:rsidR="005B2875" w:rsidRPr="009226B9">
        <w:rPr>
          <w:rFonts w:ascii="Palatino Linotype" w:eastAsia="Calibri" w:hAnsi="Palatino Linotype" w:cs="Arial"/>
          <w:b/>
          <w:lang w:val="es-ES"/>
        </w:rPr>
        <w:t>00328/INFOEM/IP/RR/2019</w:t>
      </w:r>
      <w:r w:rsidRPr="009226B9">
        <w:rPr>
          <w:rFonts w:ascii="Palatino Linotype" w:hAnsi="Palatino Linotype" w:cs="Arial"/>
          <w:b/>
          <w:bCs/>
          <w:lang w:eastAsia="es-MX"/>
        </w:rPr>
        <w:t xml:space="preserve"> </w:t>
      </w:r>
      <w:r w:rsidRPr="009226B9">
        <w:rPr>
          <w:rFonts w:ascii="Palatino Linotype" w:hAnsi="Palatino Linotype" w:cs="Arial"/>
          <w:bCs/>
          <w:lang w:eastAsia="es-MX"/>
        </w:rPr>
        <w:t xml:space="preserve">en términos del </w:t>
      </w:r>
      <w:r w:rsidRPr="009226B9">
        <w:rPr>
          <w:rFonts w:ascii="Palatino Linotype" w:hAnsi="Palatino Linotype" w:cs="Arial"/>
          <w:b/>
          <w:bCs/>
          <w:lang w:eastAsia="es-MX"/>
        </w:rPr>
        <w:t xml:space="preserve">Considerando CUARTO </w:t>
      </w:r>
      <w:r w:rsidRPr="009226B9">
        <w:rPr>
          <w:rFonts w:ascii="Palatino Linotype" w:hAnsi="Palatino Linotype" w:cs="Arial"/>
          <w:bCs/>
          <w:lang w:eastAsia="es-MX"/>
        </w:rPr>
        <w:t>de la presente resolución.</w:t>
      </w:r>
    </w:p>
    <w:p w:rsidR="009226B9" w:rsidRPr="009226B9" w:rsidRDefault="009226B9" w:rsidP="009226B9">
      <w:pPr>
        <w:spacing w:line="360" w:lineRule="auto"/>
        <w:jc w:val="both"/>
        <w:rPr>
          <w:rFonts w:ascii="Palatino Linotype" w:hAnsi="Palatino Linotype" w:cs="Arial"/>
          <w:bCs/>
          <w:lang w:eastAsia="es-MX"/>
        </w:rPr>
      </w:pPr>
    </w:p>
    <w:p w:rsidR="00CD3DDA" w:rsidRPr="009226B9" w:rsidRDefault="00CD3DDA" w:rsidP="009226B9">
      <w:pPr>
        <w:spacing w:line="360" w:lineRule="auto"/>
        <w:jc w:val="both"/>
        <w:rPr>
          <w:rFonts w:ascii="Palatino Linotype" w:eastAsia="Calibri" w:hAnsi="Palatino Linotype" w:cs="Arial"/>
          <w:lang w:val="es-ES"/>
        </w:rPr>
      </w:pPr>
      <w:r w:rsidRPr="009226B9">
        <w:rPr>
          <w:rFonts w:ascii="Palatino Linotype" w:hAnsi="Palatino Linotype"/>
          <w:b/>
        </w:rPr>
        <w:t>SEGUNDO.</w:t>
      </w:r>
      <w:r w:rsidRPr="009226B9">
        <w:rPr>
          <w:rStyle w:val="Ttulo2Car"/>
          <w:rFonts w:ascii="Palatino Linotype" w:hAnsi="Palatino Linotype"/>
          <w:b/>
          <w:sz w:val="24"/>
          <w:szCs w:val="24"/>
        </w:rPr>
        <w:t xml:space="preserve"> </w:t>
      </w:r>
      <w:r w:rsidRPr="009226B9">
        <w:rPr>
          <w:rFonts w:ascii="Palatino Linotype" w:eastAsia="Calibri" w:hAnsi="Palatino Linotype" w:cs="Arial"/>
          <w:lang w:val="es-ES"/>
        </w:rPr>
        <w:t>Se</w:t>
      </w:r>
      <w:r w:rsidRPr="009226B9">
        <w:rPr>
          <w:rFonts w:ascii="Palatino Linotype" w:eastAsia="Calibri" w:hAnsi="Palatino Linotype" w:cs="Arial"/>
          <w:b/>
          <w:lang w:val="es-ES"/>
        </w:rPr>
        <w:t xml:space="preserve"> REVOCA </w:t>
      </w:r>
      <w:r w:rsidRPr="009226B9">
        <w:rPr>
          <w:rFonts w:ascii="Palatino Linotype" w:eastAsia="Calibri" w:hAnsi="Palatino Linotype" w:cs="Arial"/>
          <w:lang w:val="es-ES"/>
        </w:rPr>
        <w:t xml:space="preserve">la respuesta emitida por </w:t>
      </w:r>
      <w:r w:rsidR="00895628" w:rsidRPr="009226B9">
        <w:rPr>
          <w:rFonts w:ascii="Palatino Linotype" w:eastAsia="Calibri" w:hAnsi="Palatino Linotype" w:cs="Arial"/>
          <w:lang w:val="es-ES"/>
        </w:rPr>
        <w:t>el</w:t>
      </w:r>
      <w:r w:rsidRPr="009226B9">
        <w:rPr>
          <w:rFonts w:ascii="Palatino Linotype" w:eastAsia="Calibri" w:hAnsi="Palatino Linotype" w:cs="Arial"/>
          <w:b/>
          <w:lang w:val="es-ES"/>
        </w:rPr>
        <w:t xml:space="preserve"> </w:t>
      </w:r>
      <w:r w:rsidR="005B2875" w:rsidRPr="009226B9">
        <w:rPr>
          <w:rFonts w:ascii="Palatino Linotype" w:hAnsi="Palatino Linotype"/>
          <w:b/>
          <w:bCs/>
        </w:rPr>
        <w:t>Secretaría del Medio Ambiente</w:t>
      </w:r>
      <w:r w:rsidRPr="009226B9">
        <w:rPr>
          <w:rFonts w:ascii="Palatino Linotype" w:hAnsi="Palatino Linotype"/>
          <w:b/>
          <w:bCs/>
        </w:rPr>
        <w:t xml:space="preserve"> </w:t>
      </w:r>
      <w:r w:rsidRPr="009226B9">
        <w:rPr>
          <w:rFonts w:ascii="Palatino Linotype" w:hAnsi="Palatino Linotype"/>
          <w:bCs/>
        </w:rPr>
        <w:t>y se</w:t>
      </w:r>
      <w:r w:rsidRPr="009226B9">
        <w:rPr>
          <w:rFonts w:ascii="Palatino Linotype" w:hAnsi="Palatino Linotype"/>
          <w:b/>
          <w:bCs/>
        </w:rPr>
        <w:t xml:space="preserve"> ORDENA</w:t>
      </w:r>
      <w:r w:rsidRPr="009226B9">
        <w:rPr>
          <w:rFonts w:ascii="Palatino Linotype" w:eastAsia="Times New Roman" w:hAnsi="Palatino Linotype" w:cs="Arial"/>
          <w:lang w:val="es-ES"/>
        </w:rPr>
        <w:t xml:space="preserve"> </w:t>
      </w:r>
      <w:r w:rsidRPr="009226B9">
        <w:rPr>
          <w:rFonts w:ascii="Palatino Linotype" w:eastAsia="Calibri" w:hAnsi="Palatino Linotype" w:cs="Arial"/>
          <w:lang w:val="es-ES"/>
        </w:rPr>
        <w:t xml:space="preserve">entregar vía Sistema de Acceso a la Información Mexiquense </w:t>
      </w:r>
      <w:r w:rsidRPr="009226B9">
        <w:rPr>
          <w:rFonts w:ascii="Palatino Linotype" w:eastAsia="Calibri" w:hAnsi="Palatino Linotype" w:cs="Arial"/>
          <w:b/>
          <w:lang w:val="es-ES"/>
        </w:rPr>
        <w:t xml:space="preserve">(SAIMEX), </w:t>
      </w:r>
      <w:r w:rsidR="006D3B0E" w:rsidRPr="009226B9">
        <w:rPr>
          <w:rFonts w:ascii="Palatino Linotype" w:eastAsia="Calibri" w:hAnsi="Palatino Linotype" w:cs="Arial"/>
          <w:lang w:val="es-ES"/>
        </w:rPr>
        <w:t>el soporte documental en que se advierta la</w:t>
      </w:r>
      <w:r w:rsidRPr="009226B9">
        <w:rPr>
          <w:rFonts w:ascii="Palatino Linotype" w:eastAsia="Calibri" w:hAnsi="Palatino Linotype" w:cs="Arial"/>
          <w:lang w:val="es-ES"/>
        </w:rPr>
        <w:t xml:space="preserve"> siguiente información</w:t>
      </w:r>
      <w:r w:rsidR="006D3B0E" w:rsidRPr="009226B9">
        <w:rPr>
          <w:rFonts w:ascii="Palatino Linotype" w:eastAsia="Calibri" w:hAnsi="Palatino Linotype" w:cs="Arial"/>
          <w:b/>
          <w:lang w:val="es-ES"/>
        </w:rPr>
        <w:t>, del 14 de enero de 2018 al 14 de enero de 2019</w:t>
      </w:r>
      <w:r w:rsidRPr="009226B9">
        <w:rPr>
          <w:rFonts w:ascii="Palatino Linotype" w:eastAsia="Calibri" w:hAnsi="Palatino Linotype" w:cs="Arial"/>
          <w:lang w:val="es-ES"/>
        </w:rPr>
        <w:t>:</w:t>
      </w:r>
    </w:p>
    <w:p w:rsidR="006D3B0E" w:rsidRPr="009226B9" w:rsidRDefault="006D3B0E" w:rsidP="009226B9">
      <w:pPr>
        <w:pStyle w:val="Prrafodelista"/>
        <w:numPr>
          <w:ilvl w:val="0"/>
          <w:numId w:val="29"/>
        </w:numPr>
        <w:spacing w:line="360" w:lineRule="auto"/>
        <w:ind w:right="49"/>
        <w:jc w:val="both"/>
        <w:rPr>
          <w:rFonts w:ascii="Palatino Linotype" w:hAnsi="Palatino Linotype"/>
        </w:rPr>
      </w:pPr>
      <w:r w:rsidRPr="009226B9">
        <w:rPr>
          <w:rFonts w:ascii="Palatino Linotype" w:hAnsi="Palatino Linotype" w:cs="Arial"/>
        </w:rPr>
        <w:t xml:space="preserve">Denominación de los </w:t>
      </w:r>
      <w:proofErr w:type="spellStart"/>
      <w:r w:rsidRPr="009226B9">
        <w:rPr>
          <w:rFonts w:ascii="Palatino Linotype" w:hAnsi="Palatino Linotype" w:cs="Arial"/>
        </w:rPr>
        <w:t>verificentros</w:t>
      </w:r>
      <w:proofErr w:type="spellEnd"/>
      <w:r w:rsidRPr="009226B9">
        <w:rPr>
          <w:rFonts w:ascii="Palatino Linotype" w:hAnsi="Palatino Linotype" w:cs="Arial"/>
        </w:rPr>
        <w:t xml:space="preserve"> que no les fueron revalidadas sus autorizaciones y los motivos.</w:t>
      </w:r>
    </w:p>
    <w:p w:rsidR="00CD3DDA" w:rsidRPr="009226B9" w:rsidRDefault="00CD3DDA" w:rsidP="009226B9">
      <w:pPr>
        <w:tabs>
          <w:tab w:val="left" w:pos="8080"/>
        </w:tabs>
        <w:spacing w:line="360" w:lineRule="auto"/>
        <w:ind w:right="49"/>
        <w:contextualSpacing/>
        <w:jc w:val="both"/>
        <w:rPr>
          <w:rFonts w:ascii="Palatino Linotype" w:eastAsia="Palatino Linotype" w:hAnsi="Palatino Linotype" w:cs="Palatino Linotype"/>
          <w:b/>
        </w:rPr>
      </w:pPr>
    </w:p>
    <w:p w:rsidR="00CD3DDA" w:rsidRPr="009226B9" w:rsidRDefault="00CD3DDA" w:rsidP="009226B9">
      <w:pPr>
        <w:tabs>
          <w:tab w:val="left" w:pos="8080"/>
        </w:tabs>
        <w:spacing w:line="360" w:lineRule="auto"/>
        <w:ind w:right="49"/>
        <w:contextualSpacing/>
        <w:jc w:val="both"/>
        <w:rPr>
          <w:rFonts w:ascii="Palatino Linotype" w:eastAsia="Palatino Linotype" w:hAnsi="Palatino Linotype" w:cs="Palatino Linotype"/>
          <w:b/>
        </w:rPr>
      </w:pPr>
      <w:r w:rsidRPr="009226B9">
        <w:rPr>
          <w:rFonts w:ascii="Palatino Linotype" w:eastAsia="Palatino Linotype" w:hAnsi="Palatino Linotype" w:cs="Palatino Linotype"/>
          <w:b/>
        </w:rPr>
        <w:t xml:space="preserve">TERCERO. Notifíquese </w:t>
      </w:r>
      <w:r w:rsidRPr="009226B9">
        <w:rPr>
          <w:rFonts w:ascii="Palatino Linotype" w:eastAsia="Palatino Linotype" w:hAnsi="Palatino Linotype" w:cs="Palatino Linotype"/>
        </w:rPr>
        <w:t xml:space="preserve">al Titular de la Unidad de Transparencia del </w:t>
      </w:r>
      <w:r w:rsidRPr="009226B9">
        <w:rPr>
          <w:rFonts w:ascii="Palatino Linotype" w:eastAsia="Palatino Linotype" w:hAnsi="Palatino Linotype" w:cs="Palatino Linotype"/>
          <w:b/>
        </w:rPr>
        <w:t>SUJETO OBLIGADO</w:t>
      </w:r>
      <w:r w:rsidRPr="009226B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226B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CD3DDA" w:rsidRPr="009226B9" w:rsidRDefault="00CD3DDA" w:rsidP="009226B9">
      <w:pPr>
        <w:shd w:val="clear" w:color="auto" w:fill="FFFFFF"/>
        <w:spacing w:line="360" w:lineRule="auto"/>
        <w:jc w:val="both"/>
        <w:rPr>
          <w:rFonts w:ascii="Palatino Linotype" w:eastAsia="Times New Roman" w:hAnsi="Palatino Linotype" w:cs="Arial"/>
          <w:b/>
        </w:rPr>
      </w:pPr>
    </w:p>
    <w:p w:rsidR="00CD3DDA" w:rsidRPr="009226B9" w:rsidRDefault="00CD3DDA" w:rsidP="009226B9">
      <w:pPr>
        <w:shd w:val="clear" w:color="auto" w:fill="FFFFFF"/>
        <w:spacing w:line="360" w:lineRule="auto"/>
        <w:jc w:val="both"/>
        <w:rPr>
          <w:rFonts w:ascii="Palatino Linotype" w:hAnsi="Palatino Linotype"/>
        </w:rPr>
      </w:pPr>
      <w:r w:rsidRPr="009226B9">
        <w:rPr>
          <w:rFonts w:ascii="Palatino Linotype" w:eastAsia="Times New Roman" w:hAnsi="Palatino Linotype" w:cs="Arial"/>
          <w:b/>
        </w:rPr>
        <w:t xml:space="preserve">CUARTO. </w:t>
      </w:r>
      <w:r w:rsidRPr="009226B9">
        <w:rPr>
          <w:rFonts w:ascii="Palatino Linotype" w:eastAsia="Times New Roman" w:hAnsi="Palatino Linotype" w:cs="Times New Roman"/>
          <w:b/>
          <w:bCs/>
          <w:color w:val="222222"/>
          <w:lang w:val="es-ES"/>
        </w:rPr>
        <w:t>Notifíquese a</w:t>
      </w:r>
      <w:r w:rsidRPr="009226B9">
        <w:rPr>
          <w:rFonts w:ascii="Palatino Linotype" w:hAnsi="Palatino Linotype"/>
          <w:b/>
        </w:rPr>
        <w:t xml:space="preserve"> </w:t>
      </w:r>
      <w:r w:rsidR="001C2144" w:rsidRPr="001C2144">
        <w:rPr>
          <w:rFonts w:ascii="Palatino Linotype" w:hAnsi="Palatino Linotype"/>
          <w:b/>
          <w:highlight w:val="black"/>
        </w:rPr>
        <w:t>-------------------------------------</w:t>
      </w:r>
      <w:r w:rsidRPr="009226B9">
        <w:rPr>
          <w:rFonts w:ascii="Palatino Linotype" w:hAnsi="Palatino Linotype"/>
          <w:b/>
        </w:rPr>
        <w:t xml:space="preserve"> </w:t>
      </w:r>
      <w:r w:rsidRPr="009226B9">
        <w:rPr>
          <w:rFonts w:ascii="Palatino Linotype" w:hAnsi="Palatino Linotype"/>
        </w:rPr>
        <w:t>la presente resolución y su informe justificado.</w:t>
      </w:r>
    </w:p>
    <w:p w:rsidR="00CD3DDA" w:rsidRPr="009226B9" w:rsidRDefault="00CD3DDA" w:rsidP="009226B9">
      <w:pPr>
        <w:shd w:val="clear" w:color="auto" w:fill="FFFFFF"/>
        <w:spacing w:line="360" w:lineRule="auto"/>
        <w:jc w:val="both"/>
        <w:rPr>
          <w:rFonts w:ascii="Palatino Linotype" w:hAnsi="Palatino Linotype"/>
        </w:rPr>
      </w:pPr>
    </w:p>
    <w:p w:rsidR="00CD3DDA" w:rsidRDefault="00CD3DDA" w:rsidP="009226B9">
      <w:pPr>
        <w:shd w:val="clear" w:color="auto" w:fill="FFFFFF"/>
        <w:spacing w:line="360" w:lineRule="auto"/>
        <w:jc w:val="both"/>
        <w:rPr>
          <w:rFonts w:ascii="Palatino Linotype" w:eastAsia="MS Mincho" w:hAnsi="Palatino Linotype" w:cs="Times New Roman"/>
          <w:lang w:val="es-ES"/>
        </w:rPr>
      </w:pPr>
      <w:r w:rsidRPr="009226B9">
        <w:rPr>
          <w:rFonts w:ascii="Palatino Linotype" w:eastAsia="MS Mincho" w:hAnsi="Palatino Linotype" w:cs="Times New Roman"/>
          <w:b/>
          <w:lang w:val="es-MX"/>
        </w:rPr>
        <w:t>QUINTO.</w:t>
      </w:r>
      <w:r w:rsidRPr="009226B9">
        <w:rPr>
          <w:rFonts w:ascii="Palatino Linotype" w:eastAsia="MS Mincho" w:hAnsi="Palatino Linotype" w:cs="Times New Roman"/>
          <w:lang w:val="es-MX"/>
        </w:rPr>
        <w:t xml:space="preserve"> </w:t>
      </w:r>
      <w:r w:rsidRPr="009226B9">
        <w:rPr>
          <w:rFonts w:ascii="Palatino Linotype" w:eastAsia="MS Mincho" w:hAnsi="Palatino Linotype" w:cs="Times New Roman"/>
          <w:lang w:val="es-ES"/>
        </w:rPr>
        <w:t xml:space="preserve">Se hace del conocimiento de </w:t>
      </w:r>
      <w:r w:rsidR="001C2144" w:rsidRPr="001C2144">
        <w:rPr>
          <w:rFonts w:ascii="Palatino Linotype" w:hAnsi="Palatino Linotype"/>
          <w:b/>
          <w:highlight w:val="black"/>
        </w:rPr>
        <w:t>-------------------</w:t>
      </w:r>
      <w:r w:rsidR="001C2144">
        <w:rPr>
          <w:rFonts w:ascii="Palatino Linotype" w:hAnsi="Palatino Linotype"/>
          <w:b/>
          <w:highlight w:val="black"/>
        </w:rPr>
        <w:t>---</w:t>
      </w:r>
      <w:r w:rsidR="001C2144" w:rsidRPr="001C2144">
        <w:rPr>
          <w:rFonts w:ascii="Palatino Linotype" w:hAnsi="Palatino Linotype"/>
          <w:b/>
          <w:highlight w:val="black"/>
        </w:rPr>
        <w:t>--------------</w:t>
      </w:r>
      <w:r w:rsidRPr="009226B9">
        <w:rPr>
          <w:rFonts w:ascii="Palatino Linotype" w:hAnsi="Palatino Linotype"/>
          <w:b/>
        </w:rPr>
        <w:t xml:space="preserve"> </w:t>
      </w:r>
      <w:r w:rsidRPr="009226B9">
        <w:rPr>
          <w:rFonts w:ascii="Palatino Linotype" w:eastAsia="MS Mincho" w:hAnsi="Palatino Linotype" w:cs="Times New Roman"/>
          <w:lang w:val="es-ES"/>
        </w:rPr>
        <w:t>que, de conformidad con lo establecido en el artículo 196 de la Ley de Transparencia y Acceso a la Información Pública del Estado de Méx</w:t>
      </w:r>
      <w:bookmarkStart w:id="18" w:name="_GoBack"/>
      <w:bookmarkEnd w:id="18"/>
      <w:r w:rsidRPr="009226B9">
        <w:rPr>
          <w:rFonts w:ascii="Palatino Linotype" w:eastAsia="MS Mincho" w:hAnsi="Palatino Linotype" w:cs="Times New Roman"/>
          <w:lang w:val="es-ES"/>
        </w:rPr>
        <w:t>ico y Municipios, en caso de que considere que la resolución le cause algún perjuicio podrá impugnarla </w:t>
      </w:r>
      <w:r w:rsidRPr="009226B9">
        <w:rPr>
          <w:rFonts w:ascii="Palatino Linotype" w:eastAsia="MS Mincho" w:hAnsi="Palatino Linotype" w:cs="Times New Roman"/>
          <w:bCs/>
          <w:lang w:val="es-ES"/>
        </w:rPr>
        <w:t>vía juicio de amparo</w:t>
      </w:r>
      <w:r w:rsidRPr="009226B9">
        <w:rPr>
          <w:rFonts w:ascii="Palatino Linotype" w:eastAsia="MS Mincho" w:hAnsi="Palatino Linotype" w:cs="Times New Roman"/>
          <w:lang w:val="es-ES"/>
        </w:rPr>
        <w:t> en los términos de las leyes aplicables.</w:t>
      </w:r>
    </w:p>
    <w:p w:rsidR="009226B9" w:rsidRPr="009226B9" w:rsidRDefault="009226B9" w:rsidP="009226B9">
      <w:pPr>
        <w:shd w:val="clear" w:color="auto" w:fill="FFFFFF"/>
        <w:spacing w:line="360" w:lineRule="auto"/>
        <w:jc w:val="both"/>
        <w:rPr>
          <w:rFonts w:ascii="Palatino Linotype" w:eastAsia="MS Mincho" w:hAnsi="Palatino Linotype" w:cs="Times New Roman"/>
          <w:lang w:val="es-ES"/>
        </w:rPr>
      </w:pPr>
    </w:p>
    <w:p w:rsidR="00333841" w:rsidRPr="009226B9" w:rsidRDefault="00333841" w:rsidP="009226B9">
      <w:pPr>
        <w:shd w:val="clear" w:color="auto" w:fill="FFFFFF"/>
        <w:spacing w:line="360" w:lineRule="auto"/>
        <w:jc w:val="both"/>
        <w:rPr>
          <w:rFonts w:ascii="Palatino Linotype" w:hAnsi="Palatino Linotype" w:cs="Arial"/>
        </w:rPr>
      </w:pPr>
      <w:r w:rsidRPr="009226B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9226B9">
        <w:rPr>
          <w:rFonts w:ascii="Palatino Linotype" w:hAnsi="Palatino Linotype"/>
        </w:rPr>
        <w:t xml:space="preserve"> EMITIENDO VOTO PARTICULAR</w:t>
      </w:r>
      <w:r w:rsidRPr="009226B9">
        <w:rPr>
          <w:rFonts w:ascii="Palatino Linotype" w:hAnsi="Palatino Linotype"/>
        </w:rPr>
        <w:t>; JOSÉ GUADALUPE LUNA HERNÁNDEZ;  JAVIER MARTÍNEZ CRUZ</w:t>
      </w:r>
      <w:r w:rsidR="009226B9" w:rsidRPr="009226B9">
        <w:rPr>
          <w:rFonts w:ascii="Palatino Linotype" w:hAnsi="Palatino Linotype"/>
        </w:rPr>
        <w:t xml:space="preserve"> Y LUIS GUSTAVO PARRA NORIEGA;</w:t>
      </w:r>
      <w:r w:rsidRPr="009226B9">
        <w:rPr>
          <w:rFonts w:ascii="Palatino Linotype" w:hAnsi="Palatino Linotype"/>
        </w:rPr>
        <w:t xml:space="preserve"> EN LA</w:t>
      </w:r>
      <w:r w:rsidR="009226B9" w:rsidRPr="009226B9">
        <w:rPr>
          <w:rFonts w:ascii="Palatino Linotype" w:hAnsi="Palatino Linotype"/>
        </w:rPr>
        <w:t xml:space="preserve"> DÉCIMA SEGUNDA</w:t>
      </w:r>
      <w:r w:rsidRPr="009226B9">
        <w:rPr>
          <w:rFonts w:ascii="Palatino Linotype" w:hAnsi="Palatino Linotype"/>
        </w:rPr>
        <w:t xml:space="preserve"> SE</w:t>
      </w:r>
      <w:r w:rsidR="009226B9" w:rsidRPr="009226B9">
        <w:rPr>
          <w:rFonts w:ascii="Palatino Linotype" w:hAnsi="Palatino Linotype"/>
        </w:rPr>
        <w:t>SIÓN ORDINARIA CELEBRADA EL DÍA VEINTISÉIS</w:t>
      </w:r>
      <w:r w:rsidRPr="009226B9">
        <w:rPr>
          <w:rFonts w:ascii="Palatino Linotype" w:hAnsi="Palatino Linotype"/>
        </w:rPr>
        <w:t xml:space="preserve"> (</w:t>
      </w:r>
      <w:r w:rsidR="009226B9" w:rsidRPr="009226B9">
        <w:rPr>
          <w:rFonts w:ascii="Palatino Linotype" w:hAnsi="Palatino Linotype"/>
        </w:rPr>
        <w:t>26</w:t>
      </w:r>
      <w:r w:rsidRPr="009226B9">
        <w:rPr>
          <w:rFonts w:ascii="Palatino Linotype" w:hAnsi="Palatino Linotype"/>
        </w:rPr>
        <w:t xml:space="preserve">) DE </w:t>
      </w:r>
      <w:r w:rsidR="00AC4A14" w:rsidRPr="009226B9">
        <w:rPr>
          <w:rFonts w:ascii="Palatino Linotype" w:hAnsi="Palatino Linotype"/>
        </w:rPr>
        <w:t>MARZO</w:t>
      </w:r>
      <w:r w:rsidRPr="009226B9">
        <w:rPr>
          <w:rFonts w:ascii="Palatino Linotype" w:hAnsi="Palatino Linotype"/>
        </w:rPr>
        <w:t xml:space="preserve"> DE DOS MIL DIECI</w:t>
      </w:r>
      <w:r w:rsidR="002A52B8" w:rsidRPr="009226B9">
        <w:rPr>
          <w:rFonts w:ascii="Palatino Linotype" w:hAnsi="Palatino Linotype"/>
        </w:rPr>
        <w:t>NUEVE</w:t>
      </w:r>
      <w:r w:rsidR="009226B9" w:rsidRPr="009226B9">
        <w:rPr>
          <w:rFonts w:ascii="Palatino Linotype" w:hAnsi="Palatino Linotype"/>
        </w:rPr>
        <w:t>, ANTE EL SECRETARIO TÉCNICO</w:t>
      </w:r>
      <w:r w:rsidRPr="009226B9">
        <w:rPr>
          <w:rFonts w:ascii="Palatino Linotype" w:hAnsi="Palatino Linotype"/>
        </w:rPr>
        <w:t xml:space="preserve"> DEL PLENO</w:t>
      </w:r>
      <w:r w:rsidR="009226B9" w:rsidRPr="009226B9">
        <w:rPr>
          <w:rFonts w:ascii="Palatino Linotype" w:hAnsi="Palatino Linotype"/>
        </w:rPr>
        <w:t>,</w:t>
      </w:r>
      <w:r w:rsidRPr="009226B9">
        <w:rPr>
          <w:rFonts w:ascii="Palatino Linotype" w:hAnsi="Palatino Linotype"/>
        </w:rPr>
        <w:t xml:space="preserve"> </w:t>
      </w:r>
      <w:r w:rsidR="00994DEC" w:rsidRPr="009226B9">
        <w:rPr>
          <w:rFonts w:ascii="Palatino Linotype" w:hAnsi="Palatino Linotype"/>
        </w:rPr>
        <w:t>ALEXIS TAPIA RAMÍREZ</w:t>
      </w:r>
      <w:r w:rsidRPr="009226B9">
        <w:rPr>
          <w:rFonts w:ascii="Palatino Linotype" w:hAnsi="Palatino Linotype"/>
        </w:rPr>
        <w:t>.</w:t>
      </w:r>
      <w:r w:rsidRPr="009226B9">
        <w:rPr>
          <w:rFonts w:ascii="Palatino Linotype" w:hAnsi="Palatino Linotype" w:cs="Arial"/>
        </w:rPr>
        <w:t xml:space="preserve">  </w:t>
      </w:r>
    </w:p>
    <w:tbl>
      <w:tblPr>
        <w:tblW w:w="9918" w:type="dxa"/>
        <w:jc w:val="center"/>
        <w:tblLayout w:type="fixed"/>
        <w:tblLook w:val="04A0" w:firstRow="1" w:lastRow="0" w:firstColumn="1" w:lastColumn="0" w:noHBand="0" w:noVBand="1"/>
      </w:tblPr>
      <w:tblGrid>
        <w:gridCol w:w="4905"/>
        <w:gridCol w:w="5013"/>
      </w:tblGrid>
      <w:tr w:rsidR="00994DEC" w:rsidRPr="009226B9" w:rsidTr="00453DAD">
        <w:trPr>
          <w:jc w:val="center"/>
        </w:trPr>
        <w:tc>
          <w:tcPr>
            <w:tcW w:w="9918" w:type="dxa"/>
            <w:gridSpan w:val="2"/>
          </w:tcPr>
          <w:p w:rsidR="00994DEC" w:rsidRDefault="00994DEC" w:rsidP="009226B9">
            <w:pPr>
              <w:tabs>
                <w:tab w:val="left" w:pos="0"/>
              </w:tabs>
              <w:spacing w:line="360" w:lineRule="auto"/>
              <w:jc w:val="center"/>
              <w:rPr>
                <w:rFonts w:ascii="Palatino Linotype" w:hAnsi="Palatino Linotype" w:cs="Arial"/>
                <w:b/>
              </w:rPr>
            </w:pPr>
          </w:p>
          <w:p w:rsidR="009226B9" w:rsidRDefault="009226B9" w:rsidP="009226B9">
            <w:pPr>
              <w:tabs>
                <w:tab w:val="left" w:pos="0"/>
              </w:tabs>
              <w:spacing w:line="360" w:lineRule="auto"/>
              <w:jc w:val="center"/>
              <w:rPr>
                <w:rFonts w:ascii="Palatino Linotype" w:hAnsi="Palatino Linotype" w:cs="Arial"/>
                <w:b/>
              </w:rPr>
            </w:pPr>
          </w:p>
          <w:p w:rsidR="009226B9" w:rsidRDefault="009226B9" w:rsidP="009226B9">
            <w:pPr>
              <w:tabs>
                <w:tab w:val="left" w:pos="0"/>
              </w:tabs>
              <w:spacing w:line="360" w:lineRule="auto"/>
              <w:jc w:val="center"/>
              <w:rPr>
                <w:rFonts w:ascii="Palatino Linotype" w:hAnsi="Palatino Linotype" w:cs="Arial"/>
                <w:b/>
              </w:rPr>
            </w:pPr>
          </w:p>
          <w:p w:rsidR="009226B9" w:rsidRDefault="009226B9" w:rsidP="009226B9">
            <w:pPr>
              <w:tabs>
                <w:tab w:val="left" w:pos="0"/>
              </w:tabs>
              <w:spacing w:line="360" w:lineRule="auto"/>
              <w:jc w:val="center"/>
              <w:rPr>
                <w:rFonts w:ascii="Palatino Linotype" w:hAnsi="Palatino Linotype" w:cs="Arial"/>
                <w:b/>
              </w:rPr>
            </w:pPr>
          </w:p>
          <w:p w:rsidR="009226B9" w:rsidRPr="009226B9" w:rsidRDefault="009226B9" w:rsidP="009226B9">
            <w:pPr>
              <w:tabs>
                <w:tab w:val="left" w:pos="0"/>
              </w:tabs>
              <w:spacing w:line="360" w:lineRule="auto"/>
              <w:jc w:val="center"/>
              <w:rPr>
                <w:rFonts w:ascii="Palatino Linotype" w:hAnsi="Palatino Linotype" w:cs="Arial"/>
                <w:b/>
              </w:rPr>
            </w:pPr>
          </w:p>
          <w:p w:rsidR="00994DEC" w:rsidRPr="009226B9" w:rsidRDefault="00994DEC" w:rsidP="009226B9">
            <w:pPr>
              <w:tabs>
                <w:tab w:val="left" w:pos="0"/>
              </w:tabs>
              <w:spacing w:line="360" w:lineRule="auto"/>
              <w:jc w:val="center"/>
              <w:rPr>
                <w:rFonts w:ascii="Palatino Linotype" w:hAnsi="Palatino Linotype" w:cs="Arial"/>
                <w:b/>
              </w:rPr>
            </w:pPr>
          </w:p>
          <w:p w:rsidR="009226B9" w:rsidRDefault="009226B9" w:rsidP="009226B9">
            <w:pPr>
              <w:tabs>
                <w:tab w:val="left" w:pos="0"/>
              </w:tabs>
              <w:spacing w:line="360" w:lineRule="auto"/>
              <w:jc w:val="center"/>
              <w:rPr>
                <w:rFonts w:ascii="Palatino Linotype" w:hAnsi="Palatino Linotype" w:cs="Arial"/>
                <w:b/>
              </w:rPr>
            </w:pPr>
          </w:p>
          <w:p w:rsidR="00994DEC" w:rsidRPr="009226B9" w:rsidRDefault="00994DEC" w:rsidP="009226B9">
            <w:pPr>
              <w:tabs>
                <w:tab w:val="left" w:pos="0"/>
              </w:tabs>
              <w:spacing w:line="360" w:lineRule="auto"/>
              <w:jc w:val="center"/>
              <w:rPr>
                <w:rFonts w:ascii="Palatino Linotype" w:hAnsi="Palatino Linotype" w:cs="Arial"/>
                <w:b/>
              </w:rPr>
            </w:pPr>
            <w:r w:rsidRPr="009226B9">
              <w:rPr>
                <w:rFonts w:ascii="Palatino Linotype" w:hAnsi="Palatino Linotype" w:cs="Arial"/>
                <w:b/>
              </w:rPr>
              <w:t>Zulema Martínez Sánchez</w:t>
            </w:r>
          </w:p>
          <w:p w:rsidR="00994DEC" w:rsidRPr="009226B9" w:rsidRDefault="00994DEC" w:rsidP="009226B9">
            <w:pPr>
              <w:tabs>
                <w:tab w:val="left" w:pos="0"/>
              </w:tabs>
              <w:spacing w:line="360" w:lineRule="auto"/>
              <w:jc w:val="center"/>
              <w:rPr>
                <w:rFonts w:ascii="Palatino Linotype" w:hAnsi="Palatino Linotype" w:cs="Arial"/>
                <w:b/>
              </w:rPr>
            </w:pPr>
            <w:r w:rsidRPr="009226B9">
              <w:rPr>
                <w:rFonts w:ascii="Palatino Linotype" w:hAnsi="Palatino Linotype" w:cs="Arial"/>
              </w:rPr>
              <w:t>Comisionada Presidenta</w:t>
            </w:r>
          </w:p>
          <w:p w:rsidR="00994DEC" w:rsidRPr="009226B9" w:rsidRDefault="00994DEC" w:rsidP="009226B9">
            <w:pPr>
              <w:tabs>
                <w:tab w:val="left" w:pos="0"/>
              </w:tabs>
              <w:spacing w:line="360" w:lineRule="auto"/>
              <w:jc w:val="center"/>
              <w:rPr>
                <w:rFonts w:ascii="Palatino Linotype" w:hAnsi="Palatino Linotype" w:cs="Arial"/>
                <w:b/>
              </w:rPr>
            </w:pPr>
            <w:r w:rsidRPr="009226B9">
              <w:rPr>
                <w:rFonts w:ascii="Palatino Linotype" w:hAnsi="Palatino Linotype" w:cs="Arial"/>
                <w:b/>
              </w:rPr>
              <w:t>(RÚBRICA)</w:t>
            </w:r>
          </w:p>
          <w:p w:rsidR="00994DEC" w:rsidRPr="009226B9" w:rsidRDefault="00994DEC" w:rsidP="009226B9">
            <w:pPr>
              <w:tabs>
                <w:tab w:val="left" w:pos="0"/>
              </w:tabs>
              <w:spacing w:line="360" w:lineRule="auto"/>
              <w:jc w:val="center"/>
              <w:rPr>
                <w:rFonts w:ascii="Palatino Linotype" w:hAnsi="Palatino Linotype" w:cs="Arial"/>
                <w:b/>
              </w:rPr>
            </w:pPr>
          </w:p>
          <w:p w:rsidR="00994DEC" w:rsidRPr="009226B9" w:rsidRDefault="00994DEC" w:rsidP="009226B9">
            <w:pPr>
              <w:tabs>
                <w:tab w:val="left" w:pos="0"/>
              </w:tabs>
              <w:spacing w:line="360" w:lineRule="auto"/>
              <w:jc w:val="center"/>
              <w:rPr>
                <w:rFonts w:ascii="Palatino Linotype" w:hAnsi="Palatino Linotype" w:cs="Arial"/>
                <w:b/>
              </w:rPr>
            </w:pPr>
          </w:p>
        </w:tc>
      </w:tr>
      <w:tr w:rsidR="00994DEC" w:rsidRPr="009226B9" w:rsidTr="00453DAD">
        <w:trPr>
          <w:jc w:val="center"/>
        </w:trPr>
        <w:tc>
          <w:tcPr>
            <w:tcW w:w="4905" w:type="dxa"/>
          </w:tcPr>
          <w:p w:rsidR="00994DEC" w:rsidRPr="009226B9" w:rsidRDefault="00994DEC" w:rsidP="009226B9">
            <w:pPr>
              <w:tabs>
                <w:tab w:val="left" w:pos="0"/>
              </w:tabs>
              <w:spacing w:line="360" w:lineRule="auto"/>
              <w:jc w:val="center"/>
              <w:rPr>
                <w:rFonts w:ascii="Palatino Linotype" w:hAnsi="Palatino Linotype" w:cs="Arial"/>
                <w:b/>
              </w:rPr>
            </w:pPr>
            <w:r w:rsidRPr="009226B9">
              <w:rPr>
                <w:rFonts w:ascii="Palatino Linotype" w:hAnsi="Palatino Linotype" w:cs="Arial"/>
                <w:b/>
              </w:rPr>
              <w:lastRenderedPageBreak/>
              <w:t xml:space="preserve">Eva </w:t>
            </w:r>
            <w:proofErr w:type="spellStart"/>
            <w:r w:rsidRPr="009226B9">
              <w:rPr>
                <w:rFonts w:ascii="Palatino Linotype" w:hAnsi="Palatino Linotype" w:cs="Arial"/>
                <w:b/>
              </w:rPr>
              <w:t>Abaid</w:t>
            </w:r>
            <w:proofErr w:type="spellEnd"/>
            <w:r w:rsidRPr="009226B9">
              <w:rPr>
                <w:rFonts w:ascii="Palatino Linotype" w:hAnsi="Palatino Linotype" w:cs="Arial"/>
                <w:b/>
              </w:rPr>
              <w:t xml:space="preserve"> </w:t>
            </w:r>
            <w:proofErr w:type="spellStart"/>
            <w:r w:rsidRPr="009226B9">
              <w:rPr>
                <w:rFonts w:ascii="Palatino Linotype" w:hAnsi="Palatino Linotype" w:cs="Arial"/>
                <w:b/>
              </w:rPr>
              <w:t>Yapur</w:t>
            </w:r>
            <w:proofErr w:type="spellEnd"/>
          </w:p>
          <w:p w:rsidR="00994DEC" w:rsidRPr="009226B9" w:rsidRDefault="00994DEC" w:rsidP="009226B9">
            <w:pPr>
              <w:tabs>
                <w:tab w:val="left" w:pos="0"/>
              </w:tabs>
              <w:spacing w:line="360" w:lineRule="auto"/>
              <w:jc w:val="center"/>
              <w:rPr>
                <w:rFonts w:ascii="Palatino Linotype" w:hAnsi="Palatino Linotype" w:cs="Arial"/>
              </w:rPr>
            </w:pPr>
            <w:r w:rsidRPr="009226B9">
              <w:rPr>
                <w:rFonts w:ascii="Palatino Linotype" w:hAnsi="Palatino Linotype" w:cs="Arial"/>
              </w:rPr>
              <w:t>Comisionada</w:t>
            </w:r>
          </w:p>
          <w:p w:rsidR="00994DEC" w:rsidRPr="009226B9" w:rsidRDefault="00994DEC" w:rsidP="009226B9">
            <w:pPr>
              <w:tabs>
                <w:tab w:val="left" w:pos="0"/>
              </w:tabs>
              <w:spacing w:line="360" w:lineRule="auto"/>
              <w:jc w:val="center"/>
              <w:rPr>
                <w:rFonts w:ascii="Palatino Linotype" w:hAnsi="Palatino Linotype" w:cs="Arial"/>
                <w:b/>
              </w:rPr>
            </w:pPr>
            <w:r w:rsidRPr="009226B9">
              <w:rPr>
                <w:rFonts w:ascii="Palatino Linotype" w:hAnsi="Palatino Linotype" w:cs="Arial"/>
                <w:b/>
              </w:rPr>
              <w:t>(RÚBRICA)</w:t>
            </w:r>
          </w:p>
        </w:tc>
        <w:tc>
          <w:tcPr>
            <w:tcW w:w="5013" w:type="dxa"/>
          </w:tcPr>
          <w:p w:rsidR="00994DEC" w:rsidRPr="009226B9" w:rsidRDefault="00994DEC" w:rsidP="009226B9">
            <w:pPr>
              <w:tabs>
                <w:tab w:val="left" w:pos="0"/>
              </w:tabs>
              <w:spacing w:line="360" w:lineRule="auto"/>
              <w:jc w:val="center"/>
              <w:rPr>
                <w:rFonts w:ascii="Palatino Linotype" w:hAnsi="Palatino Linotype" w:cs="Arial"/>
                <w:b/>
              </w:rPr>
            </w:pPr>
            <w:r w:rsidRPr="009226B9">
              <w:rPr>
                <w:rFonts w:ascii="Palatino Linotype" w:hAnsi="Palatino Linotype" w:cs="Arial"/>
                <w:b/>
              </w:rPr>
              <w:t>José Guadalupe Luna Hernández</w:t>
            </w:r>
          </w:p>
          <w:p w:rsidR="00994DEC" w:rsidRPr="009226B9" w:rsidRDefault="00994DEC" w:rsidP="009226B9">
            <w:pPr>
              <w:tabs>
                <w:tab w:val="left" w:pos="0"/>
              </w:tabs>
              <w:spacing w:line="360" w:lineRule="auto"/>
              <w:jc w:val="center"/>
              <w:rPr>
                <w:rFonts w:ascii="Palatino Linotype" w:hAnsi="Palatino Linotype" w:cs="Arial"/>
              </w:rPr>
            </w:pPr>
            <w:r w:rsidRPr="009226B9">
              <w:rPr>
                <w:rFonts w:ascii="Palatino Linotype" w:hAnsi="Palatino Linotype" w:cs="Arial"/>
              </w:rPr>
              <w:t>Comisionado</w:t>
            </w:r>
          </w:p>
          <w:p w:rsidR="00994DEC" w:rsidRPr="009226B9" w:rsidRDefault="00994DEC" w:rsidP="009226B9">
            <w:pPr>
              <w:tabs>
                <w:tab w:val="left" w:pos="0"/>
              </w:tabs>
              <w:spacing w:line="360" w:lineRule="auto"/>
              <w:jc w:val="center"/>
              <w:rPr>
                <w:rFonts w:ascii="Palatino Linotype" w:hAnsi="Palatino Linotype" w:cs="Arial"/>
                <w:b/>
              </w:rPr>
            </w:pPr>
            <w:r w:rsidRPr="009226B9">
              <w:rPr>
                <w:rFonts w:ascii="Palatino Linotype" w:hAnsi="Palatino Linotype" w:cs="Arial"/>
                <w:b/>
              </w:rPr>
              <w:t>(RÚBRICA)</w:t>
            </w:r>
          </w:p>
          <w:p w:rsidR="00994DEC" w:rsidRPr="009226B9" w:rsidRDefault="00994DEC" w:rsidP="009226B9">
            <w:pPr>
              <w:tabs>
                <w:tab w:val="left" w:pos="0"/>
              </w:tabs>
              <w:spacing w:line="360" w:lineRule="auto"/>
              <w:jc w:val="center"/>
              <w:rPr>
                <w:rFonts w:ascii="Palatino Linotype" w:hAnsi="Palatino Linotype" w:cs="Arial"/>
                <w:b/>
              </w:rPr>
            </w:pPr>
          </w:p>
        </w:tc>
      </w:tr>
      <w:tr w:rsidR="00994DEC" w:rsidRPr="009226B9" w:rsidTr="00453DAD">
        <w:trPr>
          <w:jc w:val="center"/>
        </w:trPr>
        <w:tc>
          <w:tcPr>
            <w:tcW w:w="4905" w:type="dxa"/>
          </w:tcPr>
          <w:p w:rsidR="00994DEC" w:rsidRPr="009226B9" w:rsidRDefault="00994DEC" w:rsidP="009226B9">
            <w:pPr>
              <w:tabs>
                <w:tab w:val="left" w:pos="0"/>
              </w:tabs>
              <w:spacing w:line="360" w:lineRule="auto"/>
              <w:jc w:val="center"/>
              <w:rPr>
                <w:rFonts w:ascii="Palatino Linotype" w:hAnsi="Palatino Linotype" w:cs="Arial"/>
                <w:b/>
              </w:rPr>
            </w:pPr>
          </w:p>
          <w:p w:rsidR="00994DEC" w:rsidRPr="009226B9" w:rsidRDefault="00994DEC" w:rsidP="009226B9">
            <w:pPr>
              <w:tabs>
                <w:tab w:val="left" w:pos="0"/>
              </w:tabs>
              <w:spacing w:line="360" w:lineRule="auto"/>
              <w:jc w:val="center"/>
              <w:rPr>
                <w:rFonts w:ascii="Palatino Linotype" w:hAnsi="Palatino Linotype" w:cs="Arial"/>
                <w:b/>
              </w:rPr>
            </w:pPr>
            <w:r w:rsidRPr="009226B9">
              <w:rPr>
                <w:rFonts w:ascii="Palatino Linotype" w:hAnsi="Palatino Linotype" w:cs="Arial"/>
                <w:b/>
              </w:rPr>
              <w:t>Javier Martínez Cruz</w:t>
            </w:r>
          </w:p>
          <w:p w:rsidR="00994DEC" w:rsidRPr="009226B9" w:rsidRDefault="00994DEC" w:rsidP="009226B9">
            <w:pPr>
              <w:tabs>
                <w:tab w:val="left" w:pos="0"/>
              </w:tabs>
              <w:spacing w:line="360" w:lineRule="auto"/>
              <w:jc w:val="center"/>
              <w:rPr>
                <w:rFonts w:ascii="Palatino Linotype" w:hAnsi="Palatino Linotype" w:cs="Arial"/>
              </w:rPr>
            </w:pPr>
            <w:r w:rsidRPr="009226B9">
              <w:rPr>
                <w:rFonts w:ascii="Palatino Linotype" w:hAnsi="Palatino Linotype" w:cs="Arial"/>
              </w:rPr>
              <w:t>Comisionado</w:t>
            </w:r>
          </w:p>
          <w:p w:rsidR="00994DEC" w:rsidRPr="009226B9" w:rsidRDefault="00994DEC" w:rsidP="009226B9">
            <w:pPr>
              <w:tabs>
                <w:tab w:val="left" w:pos="0"/>
              </w:tabs>
              <w:spacing w:line="360" w:lineRule="auto"/>
              <w:jc w:val="center"/>
              <w:rPr>
                <w:rFonts w:ascii="Palatino Linotype" w:hAnsi="Palatino Linotype" w:cs="Arial"/>
                <w:b/>
              </w:rPr>
            </w:pPr>
            <w:r w:rsidRPr="009226B9">
              <w:rPr>
                <w:rFonts w:ascii="Palatino Linotype" w:hAnsi="Palatino Linotype" w:cs="Arial"/>
                <w:b/>
              </w:rPr>
              <w:t>(RÚBRICA)</w:t>
            </w:r>
          </w:p>
        </w:tc>
        <w:tc>
          <w:tcPr>
            <w:tcW w:w="5013" w:type="dxa"/>
          </w:tcPr>
          <w:p w:rsidR="00994DEC" w:rsidRPr="009226B9" w:rsidRDefault="00994DEC" w:rsidP="009226B9">
            <w:pPr>
              <w:tabs>
                <w:tab w:val="left" w:pos="0"/>
              </w:tabs>
              <w:spacing w:line="360" w:lineRule="auto"/>
              <w:jc w:val="center"/>
              <w:rPr>
                <w:rFonts w:ascii="Palatino Linotype" w:hAnsi="Palatino Linotype" w:cs="Arial"/>
                <w:b/>
              </w:rPr>
            </w:pPr>
          </w:p>
          <w:p w:rsidR="00994DEC" w:rsidRPr="009226B9" w:rsidRDefault="00994DEC" w:rsidP="009226B9">
            <w:pPr>
              <w:tabs>
                <w:tab w:val="left" w:pos="0"/>
              </w:tabs>
              <w:spacing w:line="360" w:lineRule="auto"/>
              <w:jc w:val="center"/>
              <w:rPr>
                <w:rFonts w:ascii="Palatino Linotype" w:hAnsi="Palatino Linotype" w:cs="Arial"/>
                <w:b/>
              </w:rPr>
            </w:pPr>
            <w:r w:rsidRPr="009226B9">
              <w:rPr>
                <w:rFonts w:ascii="Palatino Linotype" w:hAnsi="Palatino Linotype" w:cs="Arial"/>
                <w:b/>
              </w:rPr>
              <w:t>Luis Gustavo Parra Noriega</w:t>
            </w:r>
          </w:p>
          <w:p w:rsidR="00994DEC" w:rsidRPr="009226B9" w:rsidRDefault="00994DEC" w:rsidP="009226B9">
            <w:pPr>
              <w:tabs>
                <w:tab w:val="left" w:pos="0"/>
              </w:tabs>
              <w:spacing w:line="360" w:lineRule="auto"/>
              <w:jc w:val="center"/>
              <w:rPr>
                <w:rFonts w:ascii="Palatino Linotype" w:hAnsi="Palatino Linotype" w:cs="Arial"/>
              </w:rPr>
            </w:pPr>
            <w:r w:rsidRPr="009226B9">
              <w:rPr>
                <w:rFonts w:ascii="Palatino Linotype" w:hAnsi="Palatino Linotype" w:cs="Arial"/>
              </w:rPr>
              <w:t>Comisionado</w:t>
            </w:r>
          </w:p>
          <w:p w:rsidR="00994DEC" w:rsidRPr="009226B9" w:rsidRDefault="00994DEC" w:rsidP="009226B9">
            <w:pPr>
              <w:tabs>
                <w:tab w:val="left" w:pos="0"/>
              </w:tabs>
              <w:spacing w:line="360" w:lineRule="auto"/>
              <w:jc w:val="center"/>
              <w:rPr>
                <w:rFonts w:ascii="Palatino Linotype" w:hAnsi="Palatino Linotype" w:cs="Arial"/>
                <w:b/>
              </w:rPr>
            </w:pPr>
            <w:r w:rsidRPr="009226B9">
              <w:rPr>
                <w:rFonts w:ascii="Palatino Linotype" w:hAnsi="Palatino Linotype" w:cs="Arial"/>
                <w:b/>
              </w:rPr>
              <w:t>(RÚBRICA)</w:t>
            </w:r>
          </w:p>
        </w:tc>
      </w:tr>
      <w:tr w:rsidR="00994DEC" w:rsidRPr="009226B9" w:rsidTr="00453DAD">
        <w:trPr>
          <w:jc w:val="center"/>
        </w:trPr>
        <w:tc>
          <w:tcPr>
            <w:tcW w:w="9918" w:type="dxa"/>
            <w:gridSpan w:val="2"/>
          </w:tcPr>
          <w:p w:rsidR="00994DEC" w:rsidRPr="009226B9" w:rsidRDefault="00994DEC" w:rsidP="009226B9">
            <w:pPr>
              <w:tabs>
                <w:tab w:val="left" w:pos="0"/>
              </w:tabs>
              <w:spacing w:line="360" w:lineRule="auto"/>
              <w:jc w:val="center"/>
              <w:rPr>
                <w:rFonts w:ascii="Palatino Linotype" w:hAnsi="Palatino Linotype" w:cs="Arial"/>
                <w:b/>
              </w:rPr>
            </w:pPr>
          </w:p>
          <w:p w:rsidR="00994DEC" w:rsidRPr="009226B9" w:rsidRDefault="00994DEC" w:rsidP="009226B9">
            <w:pPr>
              <w:tabs>
                <w:tab w:val="left" w:pos="0"/>
              </w:tabs>
              <w:spacing w:line="360" w:lineRule="auto"/>
              <w:jc w:val="center"/>
              <w:rPr>
                <w:rFonts w:ascii="Palatino Linotype" w:hAnsi="Palatino Linotype" w:cs="Arial"/>
                <w:b/>
              </w:rPr>
            </w:pPr>
            <w:r w:rsidRPr="009226B9">
              <w:rPr>
                <w:rFonts w:ascii="Palatino Linotype" w:hAnsi="Palatino Linotype" w:cs="Arial"/>
                <w:b/>
              </w:rPr>
              <w:t>Alexis Tapia Ramírez</w:t>
            </w:r>
          </w:p>
          <w:p w:rsidR="00994DEC" w:rsidRPr="009226B9" w:rsidRDefault="00994DEC" w:rsidP="009226B9">
            <w:pPr>
              <w:tabs>
                <w:tab w:val="left" w:pos="0"/>
              </w:tabs>
              <w:spacing w:line="360" w:lineRule="auto"/>
              <w:jc w:val="center"/>
              <w:rPr>
                <w:rFonts w:ascii="Palatino Linotype" w:hAnsi="Palatino Linotype" w:cs="Arial"/>
              </w:rPr>
            </w:pPr>
            <w:r w:rsidRPr="009226B9">
              <w:rPr>
                <w:rFonts w:ascii="Palatino Linotype" w:hAnsi="Palatino Linotype" w:cs="Arial"/>
              </w:rPr>
              <w:t>Secretario Técnico del Pleno</w:t>
            </w:r>
          </w:p>
          <w:p w:rsidR="00994DEC" w:rsidRPr="009226B9" w:rsidRDefault="00994DEC" w:rsidP="009226B9">
            <w:pPr>
              <w:tabs>
                <w:tab w:val="left" w:pos="0"/>
              </w:tabs>
              <w:spacing w:line="360" w:lineRule="auto"/>
              <w:jc w:val="center"/>
              <w:rPr>
                <w:rFonts w:ascii="Palatino Linotype" w:hAnsi="Palatino Linotype" w:cs="Arial"/>
                <w:b/>
              </w:rPr>
            </w:pPr>
            <w:r w:rsidRPr="009226B9">
              <w:rPr>
                <w:rFonts w:ascii="Palatino Linotype" w:hAnsi="Palatino Linotype" w:cs="Arial"/>
                <w:b/>
              </w:rPr>
              <w:t>(RÚBRICA)</w:t>
            </w:r>
          </w:p>
          <w:p w:rsidR="00994DEC" w:rsidRPr="009226B9" w:rsidRDefault="00994DEC" w:rsidP="009226B9">
            <w:pPr>
              <w:tabs>
                <w:tab w:val="left" w:pos="0"/>
              </w:tabs>
              <w:spacing w:line="360" w:lineRule="auto"/>
              <w:jc w:val="center"/>
              <w:rPr>
                <w:rFonts w:ascii="Palatino Linotype" w:hAnsi="Palatino Linotype" w:cs="Arial"/>
                <w:b/>
              </w:rPr>
            </w:pPr>
          </w:p>
        </w:tc>
      </w:tr>
    </w:tbl>
    <w:p w:rsidR="00333841" w:rsidRPr="009226B9" w:rsidRDefault="00333841" w:rsidP="009226B9">
      <w:pPr>
        <w:spacing w:line="360" w:lineRule="auto"/>
        <w:jc w:val="both"/>
        <w:rPr>
          <w:rFonts w:ascii="Palatino Linotype" w:eastAsia="Times New Roman" w:hAnsi="Palatino Linotype" w:cs="Arial"/>
          <w:color w:val="000000" w:themeColor="text1"/>
        </w:rPr>
      </w:pPr>
    </w:p>
    <w:p w:rsidR="008F4DCF" w:rsidRPr="00250BC7" w:rsidRDefault="00333841" w:rsidP="00250BC7">
      <w:pPr>
        <w:spacing w:line="360" w:lineRule="auto"/>
        <w:jc w:val="both"/>
        <w:rPr>
          <w:rFonts w:ascii="Palatino Linotype" w:eastAsia="Calibri" w:hAnsi="Palatino Linotype" w:cs="Arial"/>
          <w:b/>
        </w:rPr>
      </w:pPr>
      <w:r w:rsidRPr="009226B9">
        <w:rPr>
          <w:rFonts w:ascii="Palatino Linotype" w:eastAsia="Times New Roman" w:hAnsi="Palatino Linotype" w:cs="Arial"/>
          <w:color w:val="000000" w:themeColor="text1"/>
        </w:rPr>
        <w:t>Esta hoja cor</w:t>
      </w:r>
      <w:r w:rsidR="009226B9">
        <w:rPr>
          <w:rFonts w:ascii="Palatino Linotype" w:eastAsia="Times New Roman" w:hAnsi="Palatino Linotype" w:cs="Arial"/>
          <w:color w:val="000000" w:themeColor="text1"/>
        </w:rPr>
        <w:t>responde a la resolución de fecha veintiséis</w:t>
      </w:r>
      <w:r w:rsidRPr="009226B9">
        <w:rPr>
          <w:rFonts w:ascii="Palatino Linotype" w:eastAsia="Times New Roman" w:hAnsi="Palatino Linotype" w:cs="Arial"/>
          <w:color w:val="000000" w:themeColor="text1"/>
        </w:rPr>
        <w:t xml:space="preserve"> </w:t>
      </w:r>
      <w:r w:rsidR="009226B9" w:rsidRPr="009226B9">
        <w:rPr>
          <w:rFonts w:ascii="Palatino Linotype" w:eastAsia="Times New Roman" w:hAnsi="Palatino Linotype" w:cs="Arial"/>
          <w:color w:val="000000" w:themeColor="text1"/>
        </w:rPr>
        <w:t>de marzo</w:t>
      </w:r>
      <w:r w:rsidR="009226B9">
        <w:rPr>
          <w:rFonts w:ascii="Palatino Linotype" w:eastAsia="Times New Roman" w:hAnsi="Palatino Linotype" w:cs="Arial"/>
          <w:color w:val="000000" w:themeColor="text1"/>
        </w:rPr>
        <w:t xml:space="preserve"> de </w:t>
      </w:r>
      <w:r w:rsidR="00994DEC" w:rsidRPr="009226B9">
        <w:rPr>
          <w:rFonts w:ascii="Palatino Linotype" w:eastAsia="Times New Roman" w:hAnsi="Palatino Linotype" w:cs="Arial"/>
          <w:color w:val="000000" w:themeColor="text1"/>
        </w:rPr>
        <w:t>dos mil diecinueve</w:t>
      </w:r>
      <w:r w:rsidRPr="009226B9">
        <w:rPr>
          <w:rFonts w:ascii="Palatino Linotype" w:eastAsia="Times New Roman" w:hAnsi="Palatino Linotype" w:cs="Arial"/>
          <w:color w:val="000000" w:themeColor="text1"/>
        </w:rPr>
        <w:t xml:space="preserve">, emitida en el recurso de revisión </w:t>
      </w:r>
      <w:r w:rsidR="005B2875" w:rsidRPr="009226B9">
        <w:rPr>
          <w:rFonts w:ascii="Palatino Linotype" w:hAnsi="Palatino Linotype" w:cs="Arial"/>
          <w:b/>
          <w:bCs/>
        </w:rPr>
        <w:t>00328/INFOEM/IP/RR/2019</w:t>
      </w:r>
      <w:r w:rsidR="00250BC7">
        <w:rPr>
          <w:rFonts w:ascii="Palatino Linotype" w:eastAsia="Times New Roman" w:hAnsi="Palatino Linotype" w:cs="Arial"/>
          <w:color w:val="000000" w:themeColor="text1"/>
        </w:rPr>
        <w:t>.</w:t>
      </w:r>
    </w:p>
    <w:sectPr w:rsidR="008F4DCF" w:rsidRPr="00250BC7" w:rsidSect="009226B9">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09B" w:rsidRDefault="0054209B" w:rsidP="00333841">
      <w:r>
        <w:separator/>
      </w:r>
    </w:p>
  </w:endnote>
  <w:endnote w:type="continuationSeparator" w:id="0">
    <w:p w:rsidR="0054209B" w:rsidRDefault="0054209B"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895628" w:rsidRPr="00883450" w:rsidRDefault="0089562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C2144">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C2144">
              <w:rPr>
                <w:rFonts w:ascii="Palatino Linotype" w:hAnsi="Palatino Linotype"/>
                <w:b/>
                <w:bCs/>
                <w:noProof/>
                <w:sz w:val="22"/>
                <w:szCs w:val="20"/>
              </w:rPr>
              <w:t>22</w:t>
            </w:r>
            <w:r w:rsidRPr="00883450">
              <w:rPr>
                <w:rFonts w:ascii="Palatino Linotype" w:hAnsi="Palatino Linotype"/>
                <w:b/>
                <w:bCs/>
                <w:sz w:val="22"/>
                <w:szCs w:val="20"/>
              </w:rPr>
              <w:fldChar w:fldCharType="end"/>
            </w:r>
          </w:p>
        </w:sdtContent>
      </w:sdt>
    </w:sdtContent>
  </w:sdt>
  <w:p w:rsidR="00895628" w:rsidRDefault="008956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28" w:rsidRPr="00883450" w:rsidRDefault="00895628"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C2144" w:rsidRPr="001C214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C2144" w:rsidRPr="001C2144">
      <w:rPr>
        <w:rFonts w:ascii="Palatino Linotype" w:hAnsi="Palatino Linotype"/>
        <w:noProof/>
        <w:sz w:val="22"/>
        <w:szCs w:val="22"/>
        <w:lang w:val="es-ES"/>
      </w:rPr>
      <w:t>22</w:t>
    </w:r>
    <w:r w:rsidRPr="00883450">
      <w:rPr>
        <w:rFonts w:ascii="Palatino Linotype" w:hAnsi="Palatino Linotype"/>
        <w:sz w:val="22"/>
        <w:szCs w:val="22"/>
      </w:rPr>
      <w:fldChar w:fldCharType="end"/>
    </w:r>
  </w:p>
  <w:p w:rsidR="00895628" w:rsidRPr="00883450" w:rsidRDefault="0089562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09B" w:rsidRDefault="0054209B" w:rsidP="00333841">
      <w:r>
        <w:separator/>
      </w:r>
    </w:p>
  </w:footnote>
  <w:footnote w:type="continuationSeparator" w:id="0">
    <w:p w:rsidR="0054209B" w:rsidRDefault="0054209B" w:rsidP="00333841">
      <w:r>
        <w:continuationSeparator/>
      </w:r>
    </w:p>
  </w:footnote>
  <w:footnote w:id="1">
    <w:p w:rsidR="00AB15A5" w:rsidRDefault="00AB15A5" w:rsidP="00AB15A5">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95628" w:rsidRPr="00EF13C1" w:rsidTr="00333841">
      <w:trPr>
        <w:trHeight w:val="138"/>
        <w:jc w:val="right"/>
      </w:trPr>
      <w:tc>
        <w:tcPr>
          <w:tcW w:w="2552" w:type="dxa"/>
          <w:vAlign w:val="center"/>
        </w:tcPr>
        <w:p w:rsidR="00895628" w:rsidRPr="00EF13C1" w:rsidRDefault="00895628"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95628" w:rsidRPr="003516BD" w:rsidRDefault="005B2875" w:rsidP="00B704E9">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0032</w:t>
          </w:r>
          <w:r w:rsidR="00895628" w:rsidRPr="007F4FAB">
            <w:rPr>
              <w:rFonts w:ascii="Palatino Linotype" w:hAnsi="Palatino Linotype" w:cs="Arial"/>
              <w:b/>
              <w:bCs/>
              <w:sz w:val="22"/>
              <w:szCs w:val="22"/>
              <w:lang w:eastAsia="es-MX"/>
            </w:rPr>
            <w:t>8/INFOEM/IP/RR/2019</w:t>
          </w:r>
        </w:p>
      </w:tc>
    </w:tr>
    <w:tr w:rsidR="00895628" w:rsidRPr="00EF13C1" w:rsidTr="00333841">
      <w:trPr>
        <w:trHeight w:val="321"/>
        <w:jc w:val="right"/>
      </w:trPr>
      <w:tc>
        <w:tcPr>
          <w:tcW w:w="2552" w:type="dxa"/>
          <w:vAlign w:val="center"/>
        </w:tcPr>
        <w:p w:rsidR="00895628" w:rsidRPr="00EF13C1" w:rsidRDefault="00895628"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95628" w:rsidRPr="00EF13C1" w:rsidRDefault="005B2875" w:rsidP="003679F4">
          <w:pPr>
            <w:pStyle w:val="Encabezado"/>
            <w:jc w:val="both"/>
            <w:rPr>
              <w:rFonts w:ascii="Palatino Linotype" w:hAnsi="Palatino Linotype"/>
              <w:b/>
              <w:sz w:val="22"/>
              <w:szCs w:val="22"/>
            </w:rPr>
          </w:pPr>
          <w:r w:rsidRPr="005B2875">
            <w:rPr>
              <w:rFonts w:ascii="Palatino Linotype" w:hAnsi="Palatino Linotype"/>
              <w:b/>
              <w:bCs/>
              <w:sz w:val="22"/>
              <w:szCs w:val="22"/>
            </w:rPr>
            <w:t>Secretaría del Medio Ambiente</w:t>
          </w:r>
        </w:p>
      </w:tc>
    </w:tr>
    <w:tr w:rsidR="00895628" w:rsidRPr="00EF13C1" w:rsidTr="00333841">
      <w:trPr>
        <w:trHeight w:val="321"/>
        <w:jc w:val="right"/>
      </w:trPr>
      <w:tc>
        <w:tcPr>
          <w:tcW w:w="2552" w:type="dxa"/>
          <w:vAlign w:val="center"/>
        </w:tcPr>
        <w:p w:rsidR="00895628" w:rsidRPr="00EF13C1" w:rsidRDefault="00895628"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95628" w:rsidRPr="00EF13C1" w:rsidRDefault="00895628"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95628" w:rsidRDefault="008956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28" w:rsidRDefault="00895628"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95628" w:rsidRPr="00EF13C1" w:rsidTr="00333841">
      <w:trPr>
        <w:trHeight w:val="138"/>
        <w:jc w:val="right"/>
      </w:trPr>
      <w:tc>
        <w:tcPr>
          <w:tcW w:w="2552" w:type="dxa"/>
          <w:vAlign w:val="center"/>
        </w:tcPr>
        <w:p w:rsidR="00895628" w:rsidRPr="00EF13C1" w:rsidRDefault="00895628"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95628" w:rsidRPr="003516BD" w:rsidRDefault="005B2875" w:rsidP="000B19BE">
          <w:pPr>
            <w:pStyle w:val="Encabezado"/>
            <w:rPr>
              <w:rFonts w:ascii="Palatino Linotype" w:hAnsi="Palatino Linotype" w:cs="Arial"/>
              <w:b/>
              <w:bCs/>
              <w:sz w:val="22"/>
              <w:szCs w:val="22"/>
              <w:lang w:eastAsia="es-MX"/>
            </w:rPr>
          </w:pPr>
          <w:r w:rsidRPr="005B2875">
            <w:rPr>
              <w:rFonts w:ascii="Palatino Linotype" w:hAnsi="Palatino Linotype" w:cs="Arial"/>
              <w:b/>
              <w:bCs/>
              <w:sz w:val="22"/>
              <w:szCs w:val="22"/>
              <w:lang w:eastAsia="es-MX"/>
            </w:rPr>
            <w:t>00328/INFOEM/IP/RR/2019</w:t>
          </w:r>
        </w:p>
      </w:tc>
    </w:tr>
    <w:tr w:rsidR="00895628" w:rsidRPr="00EF13C1" w:rsidTr="00333841">
      <w:trPr>
        <w:trHeight w:val="233"/>
        <w:jc w:val="right"/>
      </w:trPr>
      <w:tc>
        <w:tcPr>
          <w:tcW w:w="2552" w:type="dxa"/>
          <w:vAlign w:val="center"/>
        </w:tcPr>
        <w:p w:rsidR="00895628" w:rsidRPr="00EF13C1" w:rsidRDefault="00895628"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895628" w:rsidRPr="00EF13C1" w:rsidRDefault="001C2144" w:rsidP="00E55808">
          <w:pPr>
            <w:pStyle w:val="Encabezado"/>
            <w:rPr>
              <w:rFonts w:ascii="Palatino Linotype" w:hAnsi="Palatino Linotype"/>
              <w:b/>
              <w:sz w:val="22"/>
              <w:szCs w:val="22"/>
            </w:rPr>
          </w:pPr>
          <w:r w:rsidRPr="001C2144">
            <w:rPr>
              <w:rFonts w:ascii="Palatino Linotype" w:hAnsi="Palatino Linotype"/>
              <w:b/>
              <w:sz w:val="22"/>
              <w:szCs w:val="22"/>
              <w:highlight w:val="black"/>
            </w:rPr>
            <w:t>-----------------------------------</w:t>
          </w:r>
        </w:p>
      </w:tc>
    </w:tr>
    <w:tr w:rsidR="00895628" w:rsidRPr="00EF13C1" w:rsidTr="00333841">
      <w:trPr>
        <w:trHeight w:val="321"/>
        <w:jc w:val="right"/>
      </w:trPr>
      <w:tc>
        <w:tcPr>
          <w:tcW w:w="2552" w:type="dxa"/>
          <w:vAlign w:val="center"/>
        </w:tcPr>
        <w:p w:rsidR="00895628" w:rsidRPr="00EF13C1" w:rsidRDefault="00895628"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95628" w:rsidRPr="00EF13C1" w:rsidRDefault="005B2875" w:rsidP="00B704E9">
          <w:pPr>
            <w:pStyle w:val="Encabezado"/>
            <w:jc w:val="both"/>
            <w:rPr>
              <w:rFonts w:ascii="Palatino Linotype" w:hAnsi="Palatino Linotype"/>
              <w:b/>
              <w:sz w:val="22"/>
              <w:szCs w:val="22"/>
            </w:rPr>
          </w:pPr>
          <w:r w:rsidRPr="005B2875">
            <w:rPr>
              <w:rFonts w:ascii="Palatino Linotype" w:hAnsi="Palatino Linotype"/>
              <w:b/>
              <w:bCs/>
              <w:sz w:val="22"/>
              <w:szCs w:val="22"/>
            </w:rPr>
            <w:t>Secretaría del Medio Ambiente</w:t>
          </w:r>
        </w:p>
      </w:tc>
    </w:tr>
    <w:tr w:rsidR="00895628" w:rsidRPr="00EF13C1" w:rsidTr="00333841">
      <w:trPr>
        <w:trHeight w:val="321"/>
        <w:jc w:val="right"/>
      </w:trPr>
      <w:tc>
        <w:tcPr>
          <w:tcW w:w="2552" w:type="dxa"/>
          <w:vAlign w:val="center"/>
        </w:tcPr>
        <w:p w:rsidR="00895628" w:rsidRPr="00EF13C1" w:rsidRDefault="00895628"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95628" w:rsidRPr="00EF13C1" w:rsidRDefault="00895628"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95628" w:rsidRDefault="00895628"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8575CA"/>
    <w:multiLevelType w:val="hybridMultilevel"/>
    <w:tmpl w:val="C58880BA"/>
    <w:lvl w:ilvl="0" w:tplc="21EA9156">
      <w:start w:val="39"/>
      <w:numFmt w:val="decimal"/>
      <w:lvlText w:val="%1."/>
      <w:lvlJc w:val="left"/>
      <w:pPr>
        <w:ind w:left="1506"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3930F0"/>
    <w:multiLevelType w:val="multilevel"/>
    <w:tmpl w:val="078E16E0"/>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78752CD"/>
    <w:multiLevelType w:val="multilevel"/>
    <w:tmpl w:val="68980568"/>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A956961"/>
    <w:multiLevelType w:val="multilevel"/>
    <w:tmpl w:val="3B2EB096"/>
    <w:lvl w:ilvl="0">
      <w:start w:val="5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A861D02"/>
    <w:multiLevelType w:val="hybridMultilevel"/>
    <w:tmpl w:val="8F4E483E"/>
    <w:lvl w:ilvl="0" w:tplc="F2368DA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3D2A60"/>
    <w:multiLevelType w:val="hybridMultilevel"/>
    <w:tmpl w:val="42040D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25275F"/>
    <w:multiLevelType w:val="multilevel"/>
    <w:tmpl w:val="7396D1C0"/>
    <w:lvl w:ilvl="0">
      <w:start w:val="4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4317490"/>
    <w:multiLevelType w:val="hybridMultilevel"/>
    <w:tmpl w:val="A6D84C24"/>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4D5077B"/>
    <w:multiLevelType w:val="multilevel"/>
    <w:tmpl w:val="278A3610"/>
    <w:lvl w:ilvl="0">
      <w:start w:val="7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6895F45"/>
    <w:multiLevelType w:val="multilevel"/>
    <w:tmpl w:val="8398BF1A"/>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6B45F3B"/>
    <w:multiLevelType w:val="hybridMultilevel"/>
    <w:tmpl w:val="5308D5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7">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23BCB"/>
    <w:multiLevelType w:val="multilevel"/>
    <w:tmpl w:val="569ABE24"/>
    <w:lvl w:ilvl="0">
      <w:start w:val="7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F961BF0"/>
    <w:multiLevelType w:val="hybridMultilevel"/>
    <w:tmpl w:val="2D02FE4E"/>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0012B0A"/>
    <w:multiLevelType w:val="hybridMultilevel"/>
    <w:tmpl w:val="B9F2EA8E"/>
    <w:lvl w:ilvl="0" w:tplc="D6A4E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AE57D0"/>
    <w:multiLevelType w:val="multilevel"/>
    <w:tmpl w:val="AF12C198"/>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83664DA"/>
    <w:multiLevelType w:val="hybridMultilevel"/>
    <w:tmpl w:val="ADD43876"/>
    <w:lvl w:ilvl="0" w:tplc="FDF8BC26">
      <w:start w:val="7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5EC5A40"/>
    <w:multiLevelType w:val="hybridMultilevel"/>
    <w:tmpl w:val="26CE2B6A"/>
    <w:lvl w:ilvl="0" w:tplc="080A0001">
      <w:start w:val="1"/>
      <w:numFmt w:val="bullet"/>
      <w:lvlText w:val=""/>
      <w:lvlJc w:val="left"/>
      <w:pPr>
        <w:ind w:left="2226" w:hanging="360"/>
      </w:pPr>
      <w:rPr>
        <w:rFonts w:ascii="Symbol" w:hAnsi="Symbol" w:hint="default"/>
      </w:rPr>
    </w:lvl>
    <w:lvl w:ilvl="1" w:tplc="080A0003" w:tentative="1">
      <w:start w:val="1"/>
      <w:numFmt w:val="bullet"/>
      <w:lvlText w:val="o"/>
      <w:lvlJc w:val="left"/>
      <w:pPr>
        <w:ind w:left="2946" w:hanging="360"/>
      </w:pPr>
      <w:rPr>
        <w:rFonts w:ascii="Courier New" w:hAnsi="Courier New" w:cs="Courier New" w:hint="default"/>
      </w:rPr>
    </w:lvl>
    <w:lvl w:ilvl="2" w:tplc="080A0005" w:tentative="1">
      <w:start w:val="1"/>
      <w:numFmt w:val="bullet"/>
      <w:lvlText w:val=""/>
      <w:lvlJc w:val="left"/>
      <w:pPr>
        <w:ind w:left="3666" w:hanging="360"/>
      </w:pPr>
      <w:rPr>
        <w:rFonts w:ascii="Wingdings" w:hAnsi="Wingdings" w:hint="default"/>
      </w:rPr>
    </w:lvl>
    <w:lvl w:ilvl="3" w:tplc="080A0001" w:tentative="1">
      <w:start w:val="1"/>
      <w:numFmt w:val="bullet"/>
      <w:lvlText w:val=""/>
      <w:lvlJc w:val="left"/>
      <w:pPr>
        <w:ind w:left="4386" w:hanging="360"/>
      </w:pPr>
      <w:rPr>
        <w:rFonts w:ascii="Symbol" w:hAnsi="Symbol" w:hint="default"/>
      </w:rPr>
    </w:lvl>
    <w:lvl w:ilvl="4" w:tplc="080A0003" w:tentative="1">
      <w:start w:val="1"/>
      <w:numFmt w:val="bullet"/>
      <w:lvlText w:val="o"/>
      <w:lvlJc w:val="left"/>
      <w:pPr>
        <w:ind w:left="5106" w:hanging="360"/>
      </w:pPr>
      <w:rPr>
        <w:rFonts w:ascii="Courier New" w:hAnsi="Courier New" w:cs="Courier New" w:hint="default"/>
      </w:rPr>
    </w:lvl>
    <w:lvl w:ilvl="5" w:tplc="080A0005" w:tentative="1">
      <w:start w:val="1"/>
      <w:numFmt w:val="bullet"/>
      <w:lvlText w:val=""/>
      <w:lvlJc w:val="left"/>
      <w:pPr>
        <w:ind w:left="5826" w:hanging="360"/>
      </w:pPr>
      <w:rPr>
        <w:rFonts w:ascii="Wingdings" w:hAnsi="Wingdings" w:hint="default"/>
      </w:rPr>
    </w:lvl>
    <w:lvl w:ilvl="6" w:tplc="080A0001" w:tentative="1">
      <w:start w:val="1"/>
      <w:numFmt w:val="bullet"/>
      <w:lvlText w:val=""/>
      <w:lvlJc w:val="left"/>
      <w:pPr>
        <w:ind w:left="6546" w:hanging="360"/>
      </w:pPr>
      <w:rPr>
        <w:rFonts w:ascii="Symbol" w:hAnsi="Symbol" w:hint="default"/>
      </w:rPr>
    </w:lvl>
    <w:lvl w:ilvl="7" w:tplc="080A0003" w:tentative="1">
      <w:start w:val="1"/>
      <w:numFmt w:val="bullet"/>
      <w:lvlText w:val="o"/>
      <w:lvlJc w:val="left"/>
      <w:pPr>
        <w:ind w:left="7266" w:hanging="360"/>
      </w:pPr>
      <w:rPr>
        <w:rFonts w:ascii="Courier New" w:hAnsi="Courier New" w:cs="Courier New" w:hint="default"/>
      </w:rPr>
    </w:lvl>
    <w:lvl w:ilvl="8" w:tplc="080A0005" w:tentative="1">
      <w:start w:val="1"/>
      <w:numFmt w:val="bullet"/>
      <w:lvlText w:val=""/>
      <w:lvlJc w:val="left"/>
      <w:pPr>
        <w:ind w:left="7986" w:hanging="360"/>
      </w:pPr>
      <w:rPr>
        <w:rFonts w:ascii="Wingdings" w:hAnsi="Wingdings" w:hint="default"/>
      </w:rPr>
    </w:lvl>
  </w:abstractNum>
  <w:abstractNum w:abstractNumId="28">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nsid w:val="68B529D4"/>
    <w:multiLevelType w:val="hybridMultilevel"/>
    <w:tmpl w:val="FEFA4ABA"/>
    <w:lvl w:ilvl="0" w:tplc="080A0017">
      <w:start w:val="1"/>
      <w:numFmt w:val="lowerLetter"/>
      <w:lvlText w:val="%1)"/>
      <w:lvlJc w:val="left"/>
      <w:pPr>
        <w:ind w:left="720" w:hanging="360"/>
      </w:pPr>
    </w:lvl>
    <w:lvl w:ilvl="1" w:tplc="4B2C5F44">
      <w:start w:val="1"/>
      <w:numFmt w:val="upperLetter"/>
      <w:lvlText w:val="%2)"/>
      <w:lvlJc w:val="left"/>
      <w:pPr>
        <w:ind w:left="1440" w:hanging="360"/>
      </w:pPr>
      <w:rPr>
        <w:rFonts w:eastAsiaTheme="minorEastAsia" w:cstheme="minorBidi"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C6F1EF9"/>
    <w:multiLevelType w:val="hybridMultilevel"/>
    <w:tmpl w:val="DBF61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DB22773"/>
    <w:multiLevelType w:val="multilevel"/>
    <w:tmpl w:val="AAE0FD24"/>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F042B05"/>
    <w:multiLevelType w:val="multilevel"/>
    <w:tmpl w:val="C0200F86"/>
    <w:lvl w:ilvl="0">
      <w:start w:val="6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nsid w:val="7C424866"/>
    <w:multiLevelType w:val="multilevel"/>
    <w:tmpl w:val="D69478FC"/>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F4F551E"/>
    <w:multiLevelType w:val="hybridMultilevel"/>
    <w:tmpl w:val="741A91E2"/>
    <w:lvl w:ilvl="0" w:tplc="080A0001">
      <w:start w:val="1"/>
      <w:numFmt w:val="bullet"/>
      <w:lvlText w:val=""/>
      <w:lvlJc w:val="left"/>
      <w:pPr>
        <w:ind w:left="2226" w:hanging="360"/>
      </w:pPr>
      <w:rPr>
        <w:rFonts w:ascii="Symbol" w:hAnsi="Symbol" w:hint="default"/>
      </w:rPr>
    </w:lvl>
    <w:lvl w:ilvl="1" w:tplc="080A0003" w:tentative="1">
      <w:start w:val="1"/>
      <w:numFmt w:val="bullet"/>
      <w:lvlText w:val="o"/>
      <w:lvlJc w:val="left"/>
      <w:pPr>
        <w:ind w:left="2946" w:hanging="360"/>
      </w:pPr>
      <w:rPr>
        <w:rFonts w:ascii="Courier New" w:hAnsi="Courier New" w:cs="Courier New" w:hint="default"/>
      </w:rPr>
    </w:lvl>
    <w:lvl w:ilvl="2" w:tplc="080A0005" w:tentative="1">
      <w:start w:val="1"/>
      <w:numFmt w:val="bullet"/>
      <w:lvlText w:val=""/>
      <w:lvlJc w:val="left"/>
      <w:pPr>
        <w:ind w:left="3666" w:hanging="360"/>
      </w:pPr>
      <w:rPr>
        <w:rFonts w:ascii="Wingdings" w:hAnsi="Wingdings" w:hint="default"/>
      </w:rPr>
    </w:lvl>
    <w:lvl w:ilvl="3" w:tplc="080A0001" w:tentative="1">
      <w:start w:val="1"/>
      <w:numFmt w:val="bullet"/>
      <w:lvlText w:val=""/>
      <w:lvlJc w:val="left"/>
      <w:pPr>
        <w:ind w:left="4386" w:hanging="360"/>
      </w:pPr>
      <w:rPr>
        <w:rFonts w:ascii="Symbol" w:hAnsi="Symbol" w:hint="default"/>
      </w:rPr>
    </w:lvl>
    <w:lvl w:ilvl="4" w:tplc="080A0003" w:tentative="1">
      <w:start w:val="1"/>
      <w:numFmt w:val="bullet"/>
      <w:lvlText w:val="o"/>
      <w:lvlJc w:val="left"/>
      <w:pPr>
        <w:ind w:left="5106" w:hanging="360"/>
      </w:pPr>
      <w:rPr>
        <w:rFonts w:ascii="Courier New" w:hAnsi="Courier New" w:cs="Courier New" w:hint="default"/>
      </w:rPr>
    </w:lvl>
    <w:lvl w:ilvl="5" w:tplc="080A0005" w:tentative="1">
      <w:start w:val="1"/>
      <w:numFmt w:val="bullet"/>
      <w:lvlText w:val=""/>
      <w:lvlJc w:val="left"/>
      <w:pPr>
        <w:ind w:left="5826" w:hanging="360"/>
      </w:pPr>
      <w:rPr>
        <w:rFonts w:ascii="Wingdings" w:hAnsi="Wingdings" w:hint="default"/>
      </w:rPr>
    </w:lvl>
    <w:lvl w:ilvl="6" w:tplc="080A0001" w:tentative="1">
      <w:start w:val="1"/>
      <w:numFmt w:val="bullet"/>
      <w:lvlText w:val=""/>
      <w:lvlJc w:val="left"/>
      <w:pPr>
        <w:ind w:left="6546" w:hanging="360"/>
      </w:pPr>
      <w:rPr>
        <w:rFonts w:ascii="Symbol" w:hAnsi="Symbol" w:hint="default"/>
      </w:rPr>
    </w:lvl>
    <w:lvl w:ilvl="7" w:tplc="080A0003" w:tentative="1">
      <w:start w:val="1"/>
      <w:numFmt w:val="bullet"/>
      <w:lvlText w:val="o"/>
      <w:lvlJc w:val="left"/>
      <w:pPr>
        <w:ind w:left="7266" w:hanging="360"/>
      </w:pPr>
      <w:rPr>
        <w:rFonts w:ascii="Courier New" w:hAnsi="Courier New" w:cs="Courier New" w:hint="default"/>
      </w:rPr>
    </w:lvl>
    <w:lvl w:ilvl="8" w:tplc="080A0005" w:tentative="1">
      <w:start w:val="1"/>
      <w:numFmt w:val="bullet"/>
      <w:lvlText w:val=""/>
      <w:lvlJc w:val="left"/>
      <w:pPr>
        <w:ind w:left="7986" w:hanging="360"/>
      </w:pPr>
      <w:rPr>
        <w:rFonts w:ascii="Wingdings" w:hAnsi="Wingdings" w:hint="default"/>
      </w:rPr>
    </w:lvl>
  </w:abstractNum>
  <w:num w:numId="1">
    <w:abstractNumId w:val="9"/>
  </w:num>
  <w:num w:numId="2">
    <w:abstractNumId w:val="5"/>
  </w:num>
  <w:num w:numId="3">
    <w:abstractNumId w:val="16"/>
  </w:num>
  <w:num w:numId="4">
    <w:abstractNumId w:val="0"/>
  </w:num>
  <w:num w:numId="5">
    <w:abstractNumId w:val="15"/>
  </w:num>
  <w:num w:numId="6">
    <w:abstractNumId w:val="33"/>
  </w:num>
  <w:num w:numId="7">
    <w:abstractNumId w:val="30"/>
  </w:num>
  <w:num w:numId="8">
    <w:abstractNumId w:val="7"/>
  </w:num>
  <w:num w:numId="9">
    <w:abstractNumId w:val="19"/>
  </w:num>
  <w:num w:numId="10">
    <w:abstractNumId w:val="17"/>
  </w:num>
  <w:num w:numId="11">
    <w:abstractNumId w:val="10"/>
  </w:num>
  <w:num w:numId="12">
    <w:abstractNumId w:val="18"/>
  </w:num>
  <w:num w:numId="13">
    <w:abstractNumId w:val="22"/>
  </w:num>
  <w:num w:numId="14">
    <w:abstractNumId w:val="11"/>
  </w:num>
  <w:num w:numId="15">
    <w:abstractNumId w:val="13"/>
  </w:num>
  <w:num w:numId="16">
    <w:abstractNumId w:val="3"/>
  </w:num>
  <w:num w:numId="17">
    <w:abstractNumId w:val="6"/>
  </w:num>
  <w:num w:numId="18">
    <w:abstractNumId w:val="2"/>
  </w:num>
  <w:num w:numId="19">
    <w:abstractNumId w:val="12"/>
  </w:num>
  <w:num w:numId="20">
    <w:abstractNumId w:val="31"/>
  </w:num>
  <w:num w:numId="21">
    <w:abstractNumId w:val="26"/>
  </w:num>
  <w:num w:numId="22">
    <w:abstractNumId w:val="4"/>
  </w:num>
  <w:num w:numId="23">
    <w:abstractNumId w:val="8"/>
  </w:num>
  <w:num w:numId="24">
    <w:abstractNumId w:val="23"/>
  </w:num>
  <w:num w:numId="25">
    <w:abstractNumId w:val="34"/>
  </w:num>
  <w:num w:numId="26">
    <w:abstractNumId w:val="32"/>
  </w:num>
  <w:num w:numId="27">
    <w:abstractNumId w:val="10"/>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0"/>
  </w:num>
  <w:num w:numId="30">
    <w:abstractNumId w:val="1"/>
  </w:num>
  <w:num w:numId="31">
    <w:abstractNumId w:val="27"/>
  </w:num>
  <w:num w:numId="32">
    <w:abstractNumId w:val="35"/>
  </w:num>
  <w:num w:numId="33">
    <w:abstractNumId w:val="21"/>
  </w:num>
  <w:num w:numId="34">
    <w:abstractNumId w:val="24"/>
  </w:num>
  <w:num w:numId="35">
    <w:abstractNumId w:val="28"/>
  </w:num>
  <w:num w:numId="36">
    <w:abstractNumId w:val="14"/>
  </w:num>
  <w:num w:numId="37">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35535"/>
    <w:rsid w:val="00036937"/>
    <w:rsid w:val="00051BE7"/>
    <w:rsid w:val="00066D3D"/>
    <w:rsid w:val="00066DF4"/>
    <w:rsid w:val="0007664D"/>
    <w:rsid w:val="000800E4"/>
    <w:rsid w:val="00081791"/>
    <w:rsid w:val="000B19BE"/>
    <w:rsid w:val="000B5F28"/>
    <w:rsid w:val="000C2BD5"/>
    <w:rsid w:val="000D6153"/>
    <w:rsid w:val="000E5A27"/>
    <w:rsid w:val="000F1E3E"/>
    <w:rsid w:val="00100DEC"/>
    <w:rsid w:val="00107A3B"/>
    <w:rsid w:val="00141C2D"/>
    <w:rsid w:val="001426D3"/>
    <w:rsid w:val="001624E5"/>
    <w:rsid w:val="001943B4"/>
    <w:rsid w:val="00197D25"/>
    <w:rsid w:val="001C2144"/>
    <w:rsid w:val="002002CE"/>
    <w:rsid w:val="00234160"/>
    <w:rsid w:val="00250BC7"/>
    <w:rsid w:val="00297536"/>
    <w:rsid w:val="002A52B8"/>
    <w:rsid w:val="002B79C6"/>
    <w:rsid w:val="002D0010"/>
    <w:rsid w:val="002E4103"/>
    <w:rsid w:val="002F6329"/>
    <w:rsid w:val="002F6822"/>
    <w:rsid w:val="00301C09"/>
    <w:rsid w:val="00323580"/>
    <w:rsid w:val="00333841"/>
    <w:rsid w:val="003378A4"/>
    <w:rsid w:val="00342F2D"/>
    <w:rsid w:val="003516BD"/>
    <w:rsid w:val="003679F4"/>
    <w:rsid w:val="00375338"/>
    <w:rsid w:val="00376174"/>
    <w:rsid w:val="003A64D9"/>
    <w:rsid w:val="003B62A4"/>
    <w:rsid w:val="003D2966"/>
    <w:rsid w:val="003F2DAD"/>
    <w:rsid w:val="00410FDF"/>
    <w:rsid w:val="004336C2"/>
    <w:rsid w:val="00453DAD"/>
    <w:rsid w:val="004A35BD"/>
    <w:rsid w:val="004B1520"/>
    <w:rsid w:val="004B79C8"/>
    <w:rsid w:val="004C01F4"/>
    <w:rsid w:val="004D02CC"/>
    <w:rsid w:val="004F7B5A"/>
    <w:rsid w:val="0051151D"/>
    <w:rsid w:val="00517D96"/>
    <w:rsid w:val="00527C85"/>
    <w:rsid w:val="00530C93"/>
    <w:rsid w:val="0054209B"/>
    <w:rsid w:val="00580B17"/>
    <w:rsid w:val="00582A2D"/>
    <w:rsid w:val="0058701C"/>
    <w:rsid w:val="00592436"/>
    <w:rsid w:val="005B2875"/>
    <w:rsid w:val="005D0BAF"/>
    <w:rsid w:val="00610AA8"/>
    <w:rsid w:val="0066236C"/>
    <w:rsid w:val="00662B97"/>
    <w:rsid w:val="0067773A"/>
    <w:rsid w:val="006B18C6"/>
    <w:rsid w:val="006D3B0E"/>
    <w:rsid w:val="006E6170"/>
    <w:rsid w:val="007061D8"/>
    <w:rsid w:val="00711FE1"/>
    <w:rsid w:val="00723AA0"/>
    <w:rsid w:val="00743996"/>
    <w:rsid w:val="007771A4"/>
    <w:rsid w:val="00785905"/>
    <w:rsid w:val="00796274"/>
    <w:rsid w:val="007B74AB"/>
    <w:rsid w:val="007F4FAB"/>
    <w:rsid w:val="007F7113"/>
    <w:rsid w:val="0080305F"/>
    <w:rsid w:val="0082278A"/>
    <w:rsid w:val="00823712"/>
    <w:rsid w:val="00826542"/>
    <w:rsid w:val="008516BF"/>
    <w:rsid w:val="00863F29"/>
    <w:rsid w:val="00873722"/>
    <w:rsid w:val="00895628"/>
    <w:rsid w:val="008A1A68"/>
    <w:rsid w:val="008A2F1C"/>
    <w:rsid w:val="008C3233"/>
    <w:rsid w:val="008D6080"/>
    <w:rsid w:val="008F2A82"/>
    <w:rsid w:val="008F4DCF"/>
    <w:rsid w:val="008F75A7"/>
    <w:rsid w:val="009226B9"/>
    <w:rsid w:val="00940FF7"/>
    <w:rsid w:val="00950A09"/>
    <w:rsid w:val="00955416"/>
    <w:rsid w:val="00955B8D"/>
    <w:rsid w:val="00963C8C"/>
    <w:rsid w:val="00975DAA"/>
    <w:rsid w:val="00976E88"/>
    <w:rsid w:val="00994258"/>
    <w:rsid w:val="00994DEC"/>
    <w:rsid w:val="009B1A11"/>
    <w:rsid w:val="009B6FBB"/>
    <w:rsid w:val="009D2B84"/>
    <w:rsid w:val="00A21054"/>
    <w:rsid w:val="00A26284"/>
    <w:rsid w:val="00A26DF7"/>
    <w:rsid w:val="00A359F5"/>
    <w:rsid w:val="00A57583"/>
    <w:rsid w:val="00A57AFF"/>
    <w:rsid w:val="00A8367F"/>
    <w:rsid w:val="00AB15A5"/>
    <w:rsid w:val="00AB4717"/>
    <w:rsid w:val="00AC3A3D"/>
    <w:rsid w:val="00AC3F01"/>
    <w:rsid w:val="00AC4A14"/>
    <w:rsid w:val="00AE07C5"/>
    <w:rsid w:val="00AF7A12"/>
    <w:rsid w:val="00AF7AC3"/>
    <w:rsid w:val="00B317F0"/>
    <w:rsid w:val="00B44BF0"/>
    <w:rsid w:val="00B44E20"/>
    <w:rsid w:val="00B556A8"/>
    <w:rsid w:val="00B704E9"/>
    <w:rsid w:val="00B828B6"/>
    <w:rsid w:val="00BA6F11"/>
    <w:rsid w:val="00C02384"/>
    <w:rsid w:val="00C07142"/>
    <w:rsid w:val="00C27494"/>
    <w:rsid w:val="00C52040"/>
    <w:rsid w:val="00C75F5A"/>
    <w:rsid w:val="00CD3DDA"/>
    <w:rsid w:val="00CF6131"/>
    <w:rsid w:val="00D05AFA"/>
    <w:rsid w:val="00D21192"/>
    <w:rsid w:val="00D413DD"/>
    <w:rsid w:val="00D62B67"/>
    <w:rsid w:val="00D8790E"/>
    <w:rsid w:val="00DC00F9"/>
    <w:rsid w:val="00DC4AC6"/>
    <w:rsid w:val="00E0464A"/>
    <w:rsid w:val="00E13A48"/>
    <w:rsid w:val="00E2598A"/>
    <w:rsid w:val="00E27245"/>
    <w:rsid w:val="00E33240"/>
    <w:rsid w:val="00E55493"/>
    <w:rsid w:val="00E55808"/>
    <w:rsid w:val="00E93ACA"/>
    <w:rsid w:val="00E95EC5"/>
    <w:rsid w:val="00EC32CC"/>
    <w:rsid w:val="00ED1EBA"/>
    <w:rsid w:val="00EE265F"/>
    <w:rsid w:val="00EF1AC5"/>
    <w:rsid w:val="00F04200"/>
    <w:rsid w:val="00F1008C"/>
    <w:rsid w:val="00F43488"/>
    <w:rsid w:val="00F64AAE"/>
    <w:rsid w:val="00F9561E"/>
    <w:rsid w:val="00FA7680"/>
    <w:rsid w:val="00FC27EC"/>
    <w:rsid w:val="00FD2682"/>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69E40F4-F725-408B-BA97-84FB1BB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9226B9"/>
    <w:pPr>
      <w:tabs>
        <w:tab w:val="right" w:leader="dot" w:pos="8828"/>
      </w:tabs>
      <w:spacing w:before="240" w:line="360" w:lineRule="auto"/>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81A24-3E18-4F0E-8C6F-05953C06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3720</Words>
  <Characters>20462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2019-03-29T01:19:00Z</cp:lastPrinted>
  <dcterms:created xsi:type="dcterms:W3CDTF">2019-03-22T06:30:00Z</dcterms:created>
  <dcterms:modified xsi:type="dcterms:W3CDTF">2019-04-30T18:58:00Z</dcterms:modified>
</cp:coreProperties>
</file>