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5197E">
        <w:rPr>
          <w:rFonts w:ascii="Palatino Linotype" w:hAnsi="Palatino Linotype"/>
          <w:sz w:val="24"/>
          <w:szCs w:val="24"/>
          <w:lang w:eastAsia="es-MX"/>
        </w:rPr>
        <w:t>a veintinueve</w:t>
      </w:r>
      <w:r w:rsidR="000B0E94">
        <w:rPr>
          <w:rFonts w:ascii="Palatino Linotype" w:hAnsi="Palatino Linotype"/>
          <w:sz w:val="24"/>
          <w:szCs w:val="24"/>
          <w:lang w:eastAsia="es-MX"/>
        </w:rPr>
        <w:t xml:space="preserve"> de </w:t>
      </w:r>
      <w:r w:rsidR="00065506">
        <w:rPr>
          <w:rFonts w:ascii="Palatino Linotype" w:hAnsi="Palatino Linotype"/>
          <w:sz w:val="24"/>
          <w:szCs w:val="24"/>
          <w:lang w:eastAsia="es-MX"/>
        </w:rPr>
        <w:t>mayo</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065506">
        <w:rPr>
          <w:rFonts w:ascii="Palatino Linotype" w:hAnsi="Palatino Linotype"/>
          <w:b/>
          <w:bCs/>
          <w:sz w:val="24"/>
          <w:szCs w:val="24"/>
          <w:lang w:eastAsia="es-MX"/>
        </w:rPr>
        <w:t>01510</w:t>
      </w:r>
      <w:r w:rsidR="004801C2" w:rsidRPr="004801C2">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4801C2">
        <w:rPr>
          <w:rFonts w:ascii="Palatino Linotype" w:hAnsi="Palatino Linotype"/>
          <w:sz w:val="24"/>
          <w:szCs w:val="24"/>
        </w:rPr>
        <w:t xml:space="preserve"> la </w:t>
      </w:r>
      <w:r w:rsidR="004801C2" w:rsidRPr="0015148C">
        <w:rPr>
          <w:rFonts w:ascii="Palatino Linotype" w:hAnsi="Palatino Linotype"/>
          <w:b/>
          <w:sz w:val="24"/>
          <w:szCs w:val="24"/>
        </w:rPr>
        <w:t>C</w:t>
      </w:r>
      <w:r w:rsidR="004801C2">
        <w:rPr>
          <w:rFonts w:ascii="Palatino Linotype" w:hAnsi="Palatino Linotype"/>
          <w:sz w:val="24"/>
          <w:szCs w:val="24"/>
        </w:rPr>
        <w:t>.</w:t>
      </w:r>
      <w:r w:rsidR="009151CF">
        <w:rPr>
          <w:rFonts w:ascii="Palatino Linotype" w:hAnsi="Palatino Linotype"/>
          <w:sz w:val="24"/>
          <w:szCs w:val="24"/>
        </w:rPr>
        <w:t xml:space="preserve"> </w:t>
      </w:r>
      <w:r w:rsidR="00FB76CD">
        <w:rPr>
          <w:rFonts w:ascii="Palatino Linotype" w:hAnsi="Palatino Linotype"/>
          <w:b/>
          <w:sz w:val="24"/>
          <w:szCs w:val="24"/>
        </w:rPr>
        <w:t>xxxxxx xxxxxxxxx xx xxxxxxx</w:t>
      </w:r>
      <w:r w:rsidR="00452ABA" w:rsidRPr="00452ABA">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4801C2">
        <w:rPr>
          <w:rFonts w:ascii="Palatino Linotype" w:hAnsi="Palatino Linotype"/>
          <w:b/>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4801C2">
        <w:rPr>
          <w:rFonts w:ascii="Palatino Linotype" w:hAnsi="Palatino Linotype"/>
          <w:sz w:val="24"/>
          <w:szCs w:val="24"/>
        </w:rPr>
        <w:t xml:space="preserve"> la </w:t>
      </w:r>
      <w:r w:rsidR="00065506" w:rsidRPr="00065506">
        <w:rPr>
          <w:rFonts w:ascii="Palatino Linotype" w:hAnsi="Palatino Linotype" w:cs="Arial"/>
          <w:b/>
          <w:sz w:val="24"/>
          <w:szCs w:val="24"/>
        </w:rPr>
        <w:t>Universidad Politécnica del Valle de Toluca</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2207BE">
        <w:rPr>
          <w:rFonts w:ascii="Palatino Linotype" w:hAnsi="Palatino Linotype"/>
          <w:sz w:val="24"/>
          <w:szCs w:val="24"/>
        </w:rPr>
        <w:t xml:space="preserve">treinta y uno </w:t>
      </w:r>
      <w:r w:rsidR="009976F4">
        <w:rPr>
          <w:rFonts w:ascii="Palatino Linotype" w:hAnsi="Palatino Linotype"/>
          <w:sz w:val="24"/>
          <w:szCs w:val="24"/>
        </w:rPr>
        <w:t xml:space="preserve">de </w:t>
      </w:r>
      <w:r w:rsidR="004801C2">
        <w:rPr>
          <w:rFonts w:ascii="Palatino Linotype" w:hAnsi="Palatino Linotype"/>
          <w:sz w:val="24"/>
          <w:szCs w:val="24"/>
        </w:rPr>
        <w:t>enero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4801C2">
        <w:rPr>
          <w:rFonts w:ascii="Palatino Linotype" w:hAnsi="Palatino Linotype"/>
          <w:sz w:val="24"/>
          <w:szCs w:val="24"/>
        </w:rPr>
        <w:t>nueve,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5C5AFE" w:rsidRPr="005C5AFE">
        <w:rPr>
          <w:rFonts w:ascii="Palatino Linotype" w:hAnsi="Palatino Linotype"/>
          <w:b/>
          <w:sz w:val="24"/>
          <w:szCs w:val="24"/>
        </w:rPr>
        <w:t>00433/UPVT/IP/2019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4F05CE" w:rsidRDefault="007E2E80" w:rsidP="0014447C">
      <w:pPr>
        <w:pStyle w:val="Sinespaciado"/>
        <w:ind w:left="567" w:right="567"/>
        <w:jc w:val="both"/>
        <w:rPr>
          <w:rFonts w:ascii="Palatino Linotype" w:eastAsia="Times New Roman" w:hAnsi="Palatino Linotype" w:cs="Times New Roman"/>
          <w:i/>
          <w:lang w:val="es-ES_tradnl" w:eastAsia="es-ES"/>
        </w:rPr>
      </w:pPr>
      <w:r w:rsidRPr="004F05CE">
        <w:rPr>
          <w:rFonts w:ascii="Palatino Linotype" w:eastAsia="Times New Roman" w:hAnsi="Palatino Linotype" w:cs="Times New Roman"/>
          <w:i/>
          <w:lang w:val="es-ES_tradnl" w:eastAsia="es-ES"/>
        </w:rPr>
        <w:t>“</w:t>
      </w:r>
      <w:r w:rsidR="00B936ED" w:rsidRPr="00B936ED">
        <w:rPr>
          <w:rFonts w:ascii="Palatino Linotype" w:eastAsia="Times New Roman" w:hAnsi="Palatino Linotype" w:cs="Times New Roman"/>
          <w:i/>
          <w:lang w:eastAsia="es-ES"/>
        </w:rPr>
        <w:t>Relación histórica de formatos de incidencia recibidos por el Departamento de Recursos Humanos, señalando el servidor público que autorizó</w:t>
      </w:r>
      <w:r w:rsidRPr="004F05CE">
        <w:rPr>
          <w:rFonts w:ascii="Palatino Linotype" w:eastAsia="Times New Roman" w:hAnsi="Palatino Linotype" w:cs="Times New Roman"/>
          <w:i/>
          <w:lang w:val="es-ES_tradnl" w:eastAsia="es-ES"/>
        </w:rPr>
        <w:t>” [Sic]</w:t>
      </w:r>
    </w:p>
    <w:p w:rsidR="00B936ED" w:rsidRDefault="00B936ED"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0F39EE" w:rsidRPr="00DD5971" w:rsidRDefault="000F39EE" w:rsidP="000F39EE">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SEGUNDO. De la</w:t>
      </w:r>
      <w:r>
        <w:rPr>
          <w:rFonts w:ascii="Palatino Linotype" w:hAnsi="Palatino Linotype"/>
          <w:b/>
          <w:sz w:val="26"/>
          <w:szCs w:val="26"/>
        </w:rPr>
        <w:t xml:space="preserve"> Prórroga</w:t>
      </w:r>
      <w:r w:rsidRPr="00DD5971">
        <w:rPr>
          <w:rFonts w:ascii="Palatino Linotype" w:hAnsi="Palatino Linotype"/>
          <w:b/>
          <w:sz w:val="26"/>
          <w:szCs w:val="26"/>
        </w:rPr>
        <w:t>.</w:t>
      </w:r>
    </w:p>
    <w:p w:rsidR="000F39EE" w:rsidRPr="000F39EE" w:rsidRDefault="000F39EE" w:rsidP="000F39EE">
      <w:pPr>
        <w:spacing w:line="360" w:lineRule="auto"/>
        <w:jc w:val="both"/>
        <w:rPr>
          <w:rFonts w:ascii="Palatino Linotype" w:hAnsi="Palatino Linotype" w:cs="Arial"/>
          <w:sz w:val="24"/>
          <w:szCs w:val="24"/>
        </w:rPr>
      </w:pPr>
      <w:r w:rsidRPr="000F39EE">
        <w:rPr>
          <w:rFonts w:ascii="Palatino Linotype" w:hAnsi="Palatino Linotype" w:cs="Arial"/>
          <w:sz w:val="24"/>
          <w:szCs w:val="24"/>
        </w:rPr>
        <w:t xml:space="preserve">De las constancias que obran en el expediente electrónico del SAIMEX, se advierte que El Sujeto Obligado en fecha </w:t>
      </w:r>
      <w:r>
        <w:rPr>
          <w:rFonts w:ascii="Palatino Linotype" w:hAnsi="Palatino Linotype" w:cs="Arial"/>
          <w:sz w:val="24"/>
          <w:szCs w:val="24"/>
        </w:rPr>
        <w:t>veintiocho de febrero</w:t>
      </w:r>
      <w:r w:rsidRPr="000F39EE">
        <w:rPr>
          <w:rFonts w:ascii="Palatino Linotype" w:hAnsi="Palatino Linotype" w:cs="Arial"/>
          <w:sz w:val="24"/>
          <w:szCs w:val="24"/>
        </w:rPr>
        <w:t xml:space="preserve"> </w:t>
      </w:r>
      <w:r w:rsidR="001F6A20">
        <w:rPr>
          <w:rFonts w:ascii="Palatino Linotype" w:hAnsi="Palatino Linotype" w:cs="Arial"/>
          <w:sz w:val="24"/>
          <w:szCs w:val="24"/>
        </w:rPr>
        <w:t>de los corrientes</w:t>
      </w:r>
      <w:r w:rsidRPr="000F39EE">
        <w:rPr>
          <w:rFonts w:ascii="Palatino Linotype" w:hAnsi="Palatino Linotype" w:cs="Arial"/>
          <w:sz w:val="24"/>
          <w:szCs w:val="24"/>
        </w:rPr>
        <w:t>, notificó la solicitud de prórroga a La Recurrente, a fin de extender por siete días el plazo para atender la solicitud de información.</w:t>
      </w:r>
    </w:p>
    <w:p w:rsidR="000F39EE" w:rsidRDefault="000F39EE" w:rsidP="000F39EE">
      <w:pPr>
        <w:spacing w:before="240" w:line="360" w:lineRule="auto"/>
        <w:jc w:val="both"/>
        <w:rPr>
          <w:rFonts w:ascii="Palatino Linotype" w:hAnsi="Palatino Linotype" w:cs="Arial"/>
        </w:rPr>
      </w:pPr>
      <w:r>
        <w:rPr>
          <w:rFonts w:ascii="Palatino Linotype" w:hAnsi="Palatino Linotype" w:cs="Arial"/>
          <w:sz w:val="24"/>
          <w:szCs w:val="24"/>
        </w:rPr>
        <w:t>En virtud de lo anterior, no pasa desapercibido por este Órgano Resolutor que la referida ampliación de plazo para dar respuesta, no cumplen con lo establecido en el artículo 163 de la Ley de Transparencia y Acceso a la Información Pública del Estado de México y Municipios.</w:t>
      </w:r>
    </w:p>
    <w:p w:rsidR="000F39EE" w:rsidRDefault="000F39EE" w:rsidP="0014447C">
      <w:pPr>
        <w:pStyle w:val="Sinespaciado"/>
        <w:spacing w:line="360" w:lineRule="auto"/>
        <w:jc w:val="both"/>
        <w:rPr>
          <w:rFonts w:ascii="Palatino Linotype" w:hAnsi="Palatino Linotype"/>
          <w:b/>
          <w:sz w:val="26"/>
          <w:szCs w:val="26"/>
        </w:rPr>
      </w:pPr>
    </w:p>
    <w:p w:rsidR="007E2E80" w:rsidRPr="00DD5971" w:rsidRDefault="000F39EE"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1C091E">
        <w:rPr>
          <w:rFonts w:ascii="Palatino Linotype" w:hAnsi="Palatino Linotype"/>
          <w:sz w:val="24"/>
        </w:rPr>
        <w:t>seis</w:t>
      </w:r>
      <w:r w:rsidR="004801C2">
        <w:rPr>
          <w:rFonts w:ascii="Palatino Linotype" w:hAnsi="Palatino Linotype"/>
          <w:sz w:val="24"/>
        </w:rPr>
        <w:t xml:space="preserve"> de </w:t>
      </w:r>
      <w:r w:rsidR="001C091E">
        <w:rPr>
          <w:rFonts w:ascii="Palatino Linotype" w:hAnsi="Palatino Linotype"/>
          <w:sz w:val="24"/>
        </w:rPr>
        <w:t>marzo</w:t>
      </w:r>
      <w:r w:rsidR="008C0E72">
        <w:rPr>
          <w:rFonts w:ascii="Palatino Linotype" w:hAnsi="Palatino Linotype"/>
          <w:sz w:val="24"/>
        </w:rPr>
        <w:t xml:space="preserve"> de </w:t>
      </w:r>
      <w:r w:rsidR="004801C2">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9344F8" w:rsidTr="00D85F5F">
        <w:trPr>
          <w:trHeight w:val="300"/>
          <w:tblCellSpacing w:w="0" w:type="dxa"/>
          <w:jc w:val="center"/>
        </w:trPr>
        <w:tc>
          <w:tcPr>
            <w:tcW w:w="9639" w:type="dxa"/>
            <w:vAlign w:val="center"/>
            <w:hideMark/>
          </w:tcPr>
          <w:p w:rsidR="00D906DB" w:rsidRDefault="00D906DB" w:rsidP="00D85F5F">
            <w:pPr>
              <w:spacing w:after="0"/>
              <w:ind w:right="719"/>
              <w:jc w:val="right"/>
            </w:pPr>
            <w:r>
              <w:rPr>
                <w:rFonts w:ascii="Verdana" w:hAnsi="Verdana"/>
                <w:sz w:val="18"/>
                <w:szCs w:val="18"/>
              </w:rPr>
              <w:t>Metepec, México a 06 de Marzo de 2019</w:t>
            </w:r>
          </w:p>
        </w:tc>
      </w:tr>
      <w:tr w:rsidR="00D906DB" w:rsidRPr="009344F8" w:rsidTr="00D85F5F">
        <w:trPr>
          <w:trHeight w:val="300"/>
          <w:tblCellSpacing w:w="0" w:type="dxa"/>
          <w:jc w:val="center"/>
        </w:trPr>
        <w:tc>
          <w:tcPr>
            <w:tcW w:w="9639" w:type="dxa"/>
            <w:vAlign w:val="center"/>
            <w:hideMark/>
          </w:tcPr>
          <w:p w:rsidR="00D906DB" w:rsidRDefault="00D906DB" w:rsidP="00D85F5F">
            <w:pPr>
              <w:spacing w:after="0"/>
              <w:ind w:right="719"/>
              <w:jc w:val="right"/>
            </w:pPr>
            <w:r>
              <w:rPr>
                <w:rFonts w:ascii="Verdana" w:hAnsi="Verdana"/>
                <w:sz w:val="18"/>
                <w:szCs w:val="18"/>
              </w:rPr>
              <w:t>Nombre del solicitant</w:t>
            </w:r>
            <w:r w:rsidR="00FB76CD">
              <w:rPr>
                <w:rFonts w:ascii="Verdana" w:hAnsi="Verdana"/>
                <w:sz w:val="18"/>
                <w:szCs w:val="18"/>
              </w:rPr>
              <w:t>e: XXXXXXX XXXXXXXXX XX XXXXXXX</w:t>
            </w:r>
          </w:p>
        </w:tc>
      </w:tr>
      <w:tr w:rsidR="00D906DB" w:rsidRPr="009344F8" w:rsidTr="00D85F5F">
        <w:trPr>
          <w:trHeight w:val="300"/>
          <w:tblCellSpacing w:w="0" w:type="dxa"/>
          <w:jc w:val="center"/>
        </w:trPr>
        <w:tc>
          <w:tcPr>
            <w:tcW w:w="9639" w:type="dxa"/>
            <w:vAlign w:val="center"/>
            <w:hideMark/>
          </w:tcPr>
          <w:p w:rsidR="00D906DB" w:rsidRDefault="00D906DB" w:rsidP="00D85F5F">
            <w:pPr>
              <w:spacing w:after="0"/>
              <w:ind w:right="719"/>
              <w:jc w:val="right"/>
            </w:pPr>
            <w:r>
              <w:rPr>
                <w:rFonts w:ascii="Verdana" w:hAnsi="Verdana"/>
                <w:sz w:val="18"/>
                <w:szCs w:val="18"/>
              </w:rPr>
              <w:t>Folio de la solicitud: 00433/UPVT/IP/2019</w:t>
            </w:r>
          </w:p>
        </w:tc>
      </w:tr>
      <w:tr w:rsidR="009344F8" w:rsidRPr="009344F8" w:rsidTr="009344F8">
        <w:trPr>
          <w:trHeight w:val="450"/>
          <w:tblCellSpacing w:w="0" w:type="dxa"/>
          <w:jc w:val="center"/>
        </w:trPr>
        <w:tc>
          <w:tcPr>
            <w:tcW w:w="0" w:type="auto"/>
            <w:vAlign w:val="center"/>
            <w:hideMark/>
          </w:tcPr>
          <w:p w:rsidR="009344F8" w:rsidRPr="00D85F5F" w:rsidRDefault="009344F8" w:rsidP="009344F8">
            <w:pPr>
              <w:spacing w:after="0" w:line="240" w:lineRule="auto"/>
              <w:ind w:left="851" w:right="719"/>
              <w:jc w:val="right"/>
              <w:rPr>
                <w:rFonts w:ascii="Times New Roman" w:eastAsia="Times New Roman" w:hAnsi="Times New Roman" w:cs="Times New Roman"/>
                <w:sz w:val="12"/>
                <w:szCs w:val="24"/>
                <w:lang w:eastAsia="es-MX"/>
              </w:rPr>
            </w:pPr>
          </w:p>
        </w:tc>
      </w:tr>
      <w:tr w:rsidR="009344F8" w:rsidRPr="009344F8" w:rsidTr="009344F8">
        <w:trPr>
          <w:trHeight w:val="150"/>
          <w:tblCellSpacing w:w="0" w:type="dxa"/>
          <w:jc w:val="center"/>
        </w:trPr>
        <w:tc>
          <w:tcPr>
            <w:tcW w:w="0" w:type="auto"/>
            <w:vAlign w:val="center"/>
            <w:hideMark/>
          </w:tcPr>
          <w:p w:rsidR="009344F8" w:rsidRDefault="00D906DB" w:rsidP="009344F8">
            <w:pPr>
              <w:spacing w:after="0" w:line="240" w:lineRule="auto"/>
              <w:ind w:left="851" w:right="719"/>
              <w:jc w:val="both"/>
              <w:rPr>
                <w:rFonts w:ascii="Verdana" w:hAnsi="Verdana"/>
                <w:color w:val="000000"/>
                <w:sz w:val="18"/>
                <w:szCs w:val="18"/>
              </w:rPr>
            </w:pPr>
            <w:r>
              <w:rPr>
                <w:rFonts w:ascii="Verdana" w:hAnsi="Verdana"/>
                <w:color w:val="000000"/>
                <w:sz w:val="18"/>
                <w:szCs w:val="18"/>
              </w:rPr>
              <w:t>En atención a la solicitud de información registrada con el folio número 00433/UPVT/IP/2019 que realizó el 31 de enero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D85F5F" w:rsidRPr="00D85F5F" w:rsidRDefault="00D85F5F" w:rsidP="009344F8">
            <w:pPr>
              <w:spacing w:after="0" w:line="240" w:lineRule="auto"/>
              <w:ind w:left="851" w:right="719"/>
              <w:jc w:val="both"/>
              <w:rPr>
                <w:rFonts w:ascii="Times New Roman" w:eastAsia="Times New Roman" w:hAnsi="Times New Roman" w:cs="Times New Roman"/>
                <w:sz w:val="10"/>
                <w:szCs w:val="24"/>
                <w:lang w:eastAsia="es-MX"/>
              </w:rPr>
            </w:pPr>
          </w:p>
        </w:tc>
      </w:tr>
      <w:tr w:rsidR="009344F8" w:rsidRPr="009344F8" w:rsidTr="009344F8">
        <w:trPr>
          <w:trHeight w:val="375"/>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906DB" w:rsidRPr="00D906DB" w:rsidTr="00D906DB">
              <w:trPr>
                <w:trHeight w:val="150"/>
                <w:tblCellSpacing w:w="0" w:type="dxa"/>
                <w:jc w:val="center"/>
              </w:trPr>
              <w:tc>
                <w:tcPr>
                  <w:tcW w:w="0" w:type="auto"/>
                  <w:vAlign w:val="center"/>
                  <w:hideMark/>
                </w:tcPr>
                <w:p w:rsidR="00D906DB" w:rsidRPr="00D906DB" w:rsidRDefault="00D906DB" w:rsidP="00D906DB">
                  <w:pPr>
                    <w:spacing w:after="0" w:line="240" w:lineRule="auto"/>
                    <w:rPr>
                      <w:rFonts w:ascii="Times New Roman" w:eastAsia="Times New Roman" w:hAnsi="Times New Roman" w:cs="Times New Roman"/>
                      <w:sz w:val="16"/>
                      <w:szCs w:val="20"/>
                      <w:lang w:eastAsia="es-MX"/>
                    </w:rPr>
                  </w:pPr>
                </w:p>
              </w:tc>
            </w:tr>
            <w:tr w:rsidR="00D85F5F" w:rsidRPr="00D906DB" w:rsidTr="00D85F5F">
              <w:trPr>
                <w:trHeight w:val="150"/>
                <w:tblCellSpacing w:w="0" w:type="dxa"/>
                <w:jc w:val="center"/>
              </w:trPr>
              <w:tc>
                <w:tcPr>
                  <w:tcW w:w="0" w:type="auto"/>
                  <w:vAlign w:val="center"/>
                </w:tcPr>
                <w:p w:rsidR="00D85F5F" w:rsidRDefault="00D85F5F" w:rsidP="00D85F5F">
                  <w:pPr>
                    <w:spacing w:after="0" w:line="240" w:lineRule="auto"/>
                    <w:ind w:left="851"/>
                    <w:rPr>
                      <w:rFonts w:ascii="Verdana" w:hAnsi="Verdana"/>
                      <w:color w:val="000000"/>
                      <w:sz w:val="18"/>
                      <w:szCs w:val="18"/>
                    </w:rPr>
                  </w:pPr>
                  <w:r>
                    <w:rPr>
                      <w:rFonts w:ascii="Verdana" w:hAnsi="Verdana"/>
                      <w:color w:val="000000"/>
                      <w:sz w:val="18"/>
                      <w:szCs w:val="18"/>
                    </w:rPr>
                    <w:t>ATENTAMENTE</w:t>
                  </w:r>
                </w:p>
                <w:p w:rsidR="00D85F5F" w:rsidRPr="00D906DB" w:rsidRDefault="00D85F5F" w:rsidP="00D85F5F">
                  <w:pPr>
                    <w:spacing w:after="0" w:line="240" w:lineRule="auto"/>
                    <w:ind w:left="851"/>
                    <w:rPr>
                      <w:rFonts w:ascii="Times New Roman" w:eastAsia="Times New Roman" w:hAnsi="Times New Roman" w:cs="Times New Roman"/>
                      <w:sz w:val="10"/>
                      <w:szCs w:val="24"/>
                      <w:lang w:eastAsia="es-MX"/>
                    </w:rPr>
                  </w:pPr>
                </w:p>
              </w:tc>
            </w:tr>
            <w:tr w:rsidR="00D85F5F" w:rsidRPr="00D906DB" w:rsidTr="00D906DB">
              <w:trPr>
                <w:trHeight w:val="150"/>
                <w:tblCellSpacing w:w="0" w:type="dxa"/>
                <w:jc w:val="center"/>
              </w:trPr>
              <w:tc>
                <w:tcPr>
                  <w:tcW w:w="0" w:type="auto"/>
                  <w:vAlign w:val="center"/>
                  <w:hideMark/>
                </w:tcPr>
                <w:p w:rsidR="00D85F5F" w:rsidRPr="00D906DB" w:rsidRDefault="00D85F5F" w:rsidP="00D85F5F">
                  <w:pPr>
                    <w:spacing w:after="0" w:line="240" w:lineRule="auto"/>
                    <w:ind w:left="851"/>
                    <w:rPr>
                      <w:rFonts w:ascii="Times New Roman" w:eastAsia="Times New Roman" w:hAnsi="Times New Roman" w:cs="Times New Roman"/>
                      <w:sz w:val="24"/>
                      <w:szCs w:val="24"/>
                      <w:lang w:eastAsia="es-MX"/>
                    </w:rPr>
                  </w:pPr>
                  <w:r w:rsidRPr="00D906DB">
                    <w:rPr>
                      <w:rFonts w:ascii="Verdana" w:eastAsia="Times New Roman" w:hAnsi="Verdana" w:cs="Times New Roman"/>
                      <w:sz w:val="18"/>
                      <w:szCs w:val="18"/>
                      <w:lang w:eastAsia="es-MX"/>
                    </w:rPr>
                    <w:t>LIC. GABRIELA AVILES OLIVARES</w:t>
                  </w:r>
                </w:p>
              </w:tc>
            </w:tr>
            <w:tr w:rsidR="00D85F5F" w:rsidRPr="00D906DB" w:rsidTr="00D906DB">
              <w:trPr>
                <w:trHeight w:val="150"/>
                <w:tblCellSpacing w:w="0" w:type="dxa"/>
                <w:jc w:val="center"/>
              </w:trPr>
              <w:tc>
                <w:tcPr>
                  <w:tcW w:w="0" w:type="auto"/>
                  <w:vAlign w:val="center"/>
                  <w:hideMark/>
                </w:tcPr>
                <w:p w:rsidR="00D85F5F" w:rsidRPr="00D906DB" w:rsidRDefault="00D85F5F" w:rsidP="00D85F5F">
                  <w:pPr>
                    <w:spacing w:after="0" w:line="240" w:lineRule="auto"/>
                    <w:ind w:left="851"/>
                    <w:rPr>
                      <w:rFonts w:ascii="Times New Roman" w:eastAsia="Times New Roman" w:hAnsi="Times New Roman" w:cs="Times New Roman"/>
                      <w:sz w:val="24"/>
                      <w:szCs w:val="24"/>
                      <w:lang w:eastAsia="es-MX"/>
                    </w:rPr>
                  </w:pPr>
                  <w:r w:rsidRPr="00D906DB">
                    <w:rPr>
                      <w:rFonts w:ascii="Verdana" w:eastAsia="Times New Roman" w:hAnsi="Verdana" w:cs="Times New Roman"/>
                      <w:b/>
                      <w:bCs/>
                      <w:sz w:val="18"/>
                      <w:szCs w:val="18"/>
                      <w:lang w:eastAsia="es-MX"/>
                    </w:rPr>
                    <w:t>Responsable de la Unidad de Transparencia</w:t>
                  </w:r>
                </w:p>
              </w:tc>
            </w:tr>
            <w:tr w:rsidR="00D85F5F" w:rsidRPr="00D906DB" w:rsidTr="00D906DB">
              <w:trPr>
                <w:trHeight w:val="150"/>
                <w:tblCellSpacing w:w="0" w:type="dxa"/>
                <w:jc w:val="center"/>
              </w:trPr>
              <w:tc>
                <w:tcPr>
                  <w:tcW w:w="0" w:type="auto"/>
                  <w:vAlign w:val="center"/>
                  <w:hideMark/>
                </w:tcPr>
                <w:p w:rsidR="00D85F5F" w:rsidRPr="00D906DB" w:rsidRDefault="00D85F5F" w:rsidP="00D85F5F">
                  <w:pPr>
                    <w:spacing w:after="0" w:line="240" w:lineRule="auto"/>
                    <w:ind w:left="851"/>
                    <w:rPr>
                      <w:rFonts w:ascii="Times New Roman" w:eastAsia="Times New Roman" w:hAnsi="Times New Roman" w:cs="Times New Roman"/>
                      <w:sz w:val="24"/>
                      <w:szCs w:val="24"/>
                      <w:lang w:eastAsia="es-MX"/>
                    </w:rPr>
                  </w:pPr>
                  <w:r w:rsidRPr="00D906DB">
                    <w:rPr>
                      <w:rFonts w:ascii="Verdana" w:eastAsia="Times New Roman" w:hAnsi="Verdana" w:cs="Times New Roman"/>
                      <w:sz w:val="18"/>
                      <w:szCs w:val="18"/>
                      <w:lang w:eastAsia="es-MX"/>
                    </w:rPr>
                    <w:t>Universidad Politécnica del Valle de Toluca</w:t>
                  </w:r>
                </w:p>
              </w:tc>
            </w:tr>
          </w:tbl>
          <w:p w:rsidR="009344F8" w:rsidRPr="009344F8" w:rsidRDefault="009344F8" w:rsidP="009344F8">
            <w:pPr>
              <w:spacing w:after="0" w:line="240" w:lineRule="auto"/>
              <w:ind w:left="851" w:right="719"/>
              <w:rPr>
                <w:rFonts w:ascii="Times New Roman" w:eastAsia="Times New Roman" w:hAnsi="Times New Roman" w:cs="Times New Roman"/>
                <w:sz w:val="24"/>
                <w:szCs w:val="24"/>
                <w:lang w:eastAsia="es-MX"/>
              </w:rPr>
            </w:pPr>
          </w:p>
        </w:tc>
      </w:tr>
    </w:tbl>
    <w:p w:rsidR="007E2E80" w:rsidRDefault="00D04234" w:rsidP="0068260A">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 xml:space="preserve">A su respuesta anexó </w:t>
      </w:r>
      <w:r w:rsidR="00E134B4">
        <w:rPr>
          <w:rFonts w:ascii="Palatino Linotype" w:hAnsi="Palatino Linotype"/>
          <w:sz w:val="24"/>
          <w:szCs w:val="24"/>
        </w:rPr>
        <w:t>un</w:t>
      </w:r>
      <w:r w:rsidR="0068260A">
        <w:rPr>
          <w:rFonts w:ascii="Palatino Linotype" w:hAnsi="Palatino Linotype"/>
          <w:sz w:val="24"/>
          <w:szCs w:val="24"/>
        </w:rPr>
        <w:t xml:space="preserve"> </w:t>
      </w:r>
      <w:r w:rsidR="0075676A">
        <w:rPr>
          <w:rFonts w:ascii="Palatino Linotype" w:hAnsi="Palatino Linotype"/>
          <w:sz w:val="24"/>
          <w:szCs w:val="24"/>
        </w:rPr>
        <w:t xml:space="preserve">archivo electrónico denominado </w:t>
      </w:r>
      <w:r w:rsidR="0068260A" w:rsidRPr="0062140D">
        <w:rPr>
          <w:rFonts w:ascii="Palatino Linotype" w:hAnsi="Palatino Linotype"/>
          <w:b/>
          <w:sz w:val="24"/>
          <w:szCs w:val="24"/>
        </w:rPr>
        <w:t>“</w:t>
      </w:r>
      <w:r w:rsidR="00E134B4" w:rsidRPr="00E134B4">
        <w:rPr>
          <w:rFonts w:ascii="Palatino Linotype" w:hAnsi="Palatino Linotype"/>
          <w:b/>
          <w:sz w:val="24"/>
          <w:szCs w:val="24"/>
        </w:rPr>
        <w:t>00433UPVTIP2019 (1).pdf</w:t>
      </w:r>
      <w:r w:rsidR="009344F8">
        <w:rPr>
          <w:rFonts w:ascii="Palatino Linotype" w:hAnsi="Palatino Linotype"/>
          <w:b/>
          <w:sz w:val="24"/>
          <w:szCs w:val="24"/>
        </w:rPr>
        <w:t>”</w:t>
      </w:r>
      <w:r w:rsidR="009344F8" w:rsidRPr="009344F8">
        <w:rPr>
          <w:rFonts w:ascii="Palatino Linotype" w:hAnsi="Palatino Linotype"/>
          <w:sz w:val="24"/>
          <w:szCs w:val="24"/>
        </w:rPr>
        <w:t>,</w:t>
      </w:r>
      <w:r w:rsidR="009344F8">
        <w:rPr>
          <w:rFonts w:ascii="Palatino Linotype" w:hAnsi="Palatino Linotype"/>
          <w:b/>
          <w:sz w:val="24"/>
          <w:szCs w:val="24"/>
        </w:rPr>
        <w:t xml:space="preserve"> </w:t>
      </w:r>
      <w:r w:rsidR="00E134B4" w:rsidRPr="00E134B4">
        <w:rPr>
          <w:rFonts w:ascii="Palatino Linotype" w:hAnsi="Palatino Linotype"/>
          <w:sz w:val="24"/>
          <w:szCs w:val="24"/>
        </w:rPr>
        <w:t>e</w:t>
      </w:r>
      <w:r w:rsidR="00E134B4">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4F05CE" w:rsidRDefault="004F05CE" w:rsidP="0068260A">
      <w:pPr>
        <w:pStyle w:val="Sinespaciado"/>
        <w:spacing w:line="360" w:lineRule="auto"/>
        <w:jc w:val="both"/>
        <w:rPr>
          <w:rFonts w:ascii="Palatino Linotype" w:hAnsi="Palatino Linotype"/>
          <w:sz w:val="24"/>
          <w:szCs w:val="24"/>
        </w:rPr>
      </w:pPr>
    </w:p>
    <w:p w:rsidR="007E2E80" w:rsidRPr="00D04234" w:rsidRDefault="008F470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344F8">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1C091E">
        <w:rPr>
          <w:rFonts w:ascii="Palatino Linotype" w:hAnsi="Palatino Linotype"/>
          <w:sz w:val="24"/>
          <w:szCs w:val="24"/>
        </w:rPr>
        <w:t>once de marzo</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1C091E">
        <w:rPr>
          <w:rFonts w:ascii="Palatino Linotype" w:hAnsi="Palatino Linotype"/>
          <w:b/>
          <w:bCs/>
          <w:sz w:val="24"/>
          <w:szCs w:val="24"/>
          <w:lang w:eastAsia="es-MX"/>
        </w:rPr>
        <w:t>01510</w:t>
      </w:r>
      <w:r w:rsidR="009344F8" w:rsidRPr="009344F8">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1C091E" w:rsidRPr="001C091E">
        <w:rPr>
          <w:rFonts w:ascii="Palatino Linotype" w:hAnsi="Palatino Linotype" w:cs="Arial"/>
          <w:i/>
        </w:rPr>
        <w:t>No es lo que se esta solicitando</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1C091E" w:rsidRPr="001C091E">
        <w:rPr>
          <w:rFonts w:ascii="Palatino Linotype" w:hAnsi="Palatino Linotype" w:cs="Arial"/>
          <w:i/>
        </w:rPr>
        <w:t>Se cobra de manera arbitraría la justificación de incidencias que evidencian la aplicación de recursos públicos, aún con el beneficio al sujeto obligado de tratar obtener 19323.60</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8F4703"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9344F8">
        <w:rPr>
          <w:rFonts w:ascii="Palatino Linotype" w:hAnsi="Palatino Linotype"/>
          <w:sz w:val="24"/>
          <w:szCs w:val="24"/>
        </w:rPr>
        <w:t xml:space="preserve">quince de </w:t>
      </w:r>
      <w:r w:rsidR="00283338">
        <w:rPr>
          <w:rFonts w:ascii="Palatino Linotype" w:hAnsi="Palatino Linotype"/>
          <w:sz w:val="24"/>
          <w:szCs w:val="24"/>
        </w:rPr>
        <w:t>marzo</w:t>
      </w:r>
      <w:r w:rsidR="000E7C0A" w:rsidRPr="004657BE">
        <w:rPr>
          <w:rFonts w:ascii="Palatino Linotype" w:hAnsi="Palatino Linotype"/>
          <w:sz w:val="24"/>
          <w:szCs w:val="24"/>
        </w:rPr>
        <w:t xml:space="preserve"> 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8F470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SEXTO</w:t>
      </w:r>
      <w:r w:rsidR="007E2E80" w:rsidRPr="0014447C">
        <w:rPr>
          <w:rFonts w:ascii="Palatino Linotype" w:hAnsi="Palatino Linotype"/>
          <w:b/>
          <w:sz w:val="26"/>
          <w:szCs w:val="26"/>
        </w:rPr>
        <w:t>.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La</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283338">
        <w:rPr>
          <w:rFonts w:ascii="Palatino Linotype" w:hAnsi="Palatino Linotype"/>
          <w:sz w:val="24"/>
          <w:szCs w:val="24"/>
        </w:rPr>
        <w:t>veintisiete de marzo</w:t>
      </w:r>
      <w:r>
        <w:rPr>
          <w:rFonts w:ascii="Palatino Linotype" w:hAnsi="Palatino Linotype"/>
          <w:sz w:val="24"/>
          <w:szCs w:val="24"/>
        </w:rPr>
        <w:t xml:space="preserve"> de dos mil diecinueve </w:t>
      </w:r>
      <w:r w:rsidRPr="0014447C">
        <w:rPr>
          <w:rFonts w:ascii="Palatino Linotype" w:hAnsi="Palatino Linotype"/>
          <w:sz w:val="24"/>
          <w:szCs w:val="24"/>
        </w:rPr>
        <w:t>remitió su I</w:t>
      </w:r>
      <w:r>
        <w:rPr>
          <w:rFonts w:ascii="Palatino Linotype" w:hAnsi="Palatino Linotype"/>
          <w:sz w:val="24"/>
          <w:szCs w:val="24"/>
        </w:rPr>
        <w:t>nforme Justificado, consistente en un archivo electrónico</w:t>
      </w:r>
      <w:r w:rsidR="004F05CE">
        <w:rPr>
          <w:rFonts w:ascii="Palatino Linotype" w:hAnsi="Palatino Linotype"/>
          <w:sz w:val="24"/>
          <w:szCs w:val="24"/>
        </w:rPr>
        <w:t xml:space="preserve"> denominado</w:t>
      </w:r>
      <w:r>
        <w:rPr>
          <w:rFonts w:ascii="Palatino Linotype" w:hAnsi="Palatino Linotype"/>
          <w:sz w:val="24"/>
          <w:szCs w:val="24"/>
        </w:rPr>
        <w:t xml:space="preserve"> </w:t>
      </w:r>
      <w:r w:rsidRPr="00122CD0">
        <w:rPr>
          <w:rFonts w:ascii="Palatino Linotype" w:hAnsi="Palatino Linotype"/>
          <w:b/>
          <w:sz w:val="24"/>
          <w:szCs w:val="24"/>
        </w:rPr>
        <w:t>“</w:t>
      </w:r>
      <w:r w:rsidR="00283338" w:rsidRPr="00283338">
        <w:rPr>
          <w:rFonts w:ascii="Palatino Linotype" w:hAnsi="Palatino Linotype"/>
          <w:b/>
          <w:sz w:val="24"/>
          <w:szCs w:val="24"/>
        </w:rPr>
        <w:tab/>
        <w:t>Inf Just RR 1510.PDF</w:t>
      </w:r>
      <w:r w:rsidRPr="00122CD0">
        <w:rPr>
          <w:rFonts w:ascii="Palatino Linotype" w:hAnsi="Palatino Linotype"/>
          <w:b/>
          <w:sz w:val="24"/>
          <w:szCs w:val="24"/>
        </w:rPr>
        <w:t>”</w:t>
      </w:r>
      <w:r w:rsidRPr="00283338">
        <w:rPr>
          <w:rFonts w:ascii="Palatino Linotype" w:hAnsi="Palatino Linotype"/>
          <w:sz w:val="24"/>
          <w:szCs w:val="24"/>
        </w:rPr>
        <w:t>,</w:t>
      </w:r>
      <w:r w:rsidR="00B751A2">
        <w:rPr>
          <w:rFonts w:ascii="Palatino Linotype" w:hAnsi="Palatino Linotype"/>
          <w:sz w:val="24"/>
          <w:szCs w:val="24"/>
        </w:rPr>
        <w:t xml:space="preserve"> el</w:t>
      </w:r>
      <w:r>
        <w:rPr>
          <w:rFonts w:ascii="Palatino Linotype" w:hAnsi="Palatino Linotype"/>
          <w:sz w:val="24"/>
          <w:szCs w:val="24"/>
        </w:rPr>
        <w:t xml:space="preserve"> cual</w:t>
      </w:r>
      <w:r w:rsidR="00B751A2">
        <w:rPr>
          <w:rFonts w:ascii="Palatino Linotype" w:hAnsi="Palatino Linotype"/>
          <w:sz w:val="24"/>
          <w:szCs w:val="24"/>
        </w:rPr>
        <w:t xml:space="preserve"> se puso</w:t>
      </w:r>
      <w:r>
        <w:rPr>
          <w:rFonts w:ascii="Palatino Linotype" w:hAnsi="Palatino Linotype"/>
          <w:sz w:val="24"/>
          <w:szCs w:val="24"/>
        </w:rPr>
        <w:t xml:space="preserve"> a la vista </w:t>
      </w:r>
      <w:r w:rsidR="00B751A2">
        <w:rPr>
          <w:rFonts w:ascii="Palatino Linotype" w:hAnsi="Palatino Linotype"/>
          <w:sz w:val="24"/>
          <w:szCs w:val="24"/>
        </w:rPr>
        <w:t>de La</w:t>
      </w:r>
      <w:r>
        <w:rPr>
          <w:rFonts w:ascii="Palatino Linotype" w:hAnsi="Palatino Linotype"/>
          <w:sz w:val="24"/>
          <w:szCs w:val="24"/>
        </w:rPr>
        <w:t xml:space="preserve"> Recurrente mediante acuerdo de fecha </w:t>
      </w:r>
      <w:r w:rsidR="00283338">
        <w:rPr>
          <w:rFonts w:ascii="Palatino Linotype" w:hAnsi="Palatino Linotype"/>
          <w:sz w:val="24"/>
          <w:szCs w:val="24"/>
        </w:rPr>
        <w:t>veintinueve</w:t>
      </w:r>
      <w:r>
        <w:rPr>
          <w:rFonts w:ascii="Palatino Linotype" w:hAnsi="Palatino Linotype"/>
          <w:sz w:val="24"/>
          <w:szCs w:val="24"/>
        </w:rPr>
        <w:t xml:space="preserve"> de </w:t>
      </w:r>
      <w:r w:rsidR="00283338">
        <w:rPr>
          <w:rFonts w:ascii="Palatino Linotype" w:hAnsi="Palatino Linotype"/>
          <w:sz w:val="24"/>
          <w:szCs w:val="24"/>
        </w:rPr>
        <w:t>marzo</w:t>
      </w:r>
      <w:r>
        <w:rPr>
          <w:rFonts w:ascii="Palatino Linotype" w:hAnsi="Palatino Linotype"/>
          <w:sz w:val="24"/>
          <w:szCs w:val="24"/>
        </w:rPr>
        <w:t xml:space="preserve"> del año en curso en términos de </w:t>
      </w:r>
      <w:r w:rsidRPr="0014447C">
        <w:rPr>
          <w:rFonts w:ascii="Palatino Linotype" w:hAnsi="Palatino Linotype"/>
          <w:sz w:val="24"/>
          <w:szCs w:val="24"/>
        </w:rPr>
        <w:t>la fracción III del artículo 185 de la Ley de Transparencia y Acceso a la Información Pública del Estado de México y Municipios</w:t>
      </w:r>
      <w:r>
        <w:rPr>
          <w:rFonts w:ascii="Palatino Linotype" w:hAnsi="Palatino Linotype"/>
          <w:sz w:val="24"/>
          <w:szCs w:val="24"/>
        </w:rPr>
        <w:t>, otorgando a La Recurrente un término de tres días para manifestar lo que a su derecho conviniera, sin que se pronunciara al respecto. Se hará referencia a dicho documento durante el estudio correspondiente.</w:t>
      </w:r>
    </w:p>
    <w:p w:rsidR="00ED0209" w:rsidRDefault="00ED0209" w:rsidP="007F6BFF">
      <w:pPr>
        <w:pStyle w:val="Sinespaciado"/>
        <w:spacing w:line="360" w:lineRule="auto"/>
        <w:jc w:val="center"/>
        <w:rPr>
          <w:rFonts w:ascii="Palatino Linotype" w:hAnsi="Palatino Linotype"/>
          <w:b/>
          <w:sz w:val="26"/>
          <w:szCs w:val="26"/>
        </w:rPr>
      </w:pPr>
    </w:p>
    <w:p w:rsidR="00423C27" w:rsidRPr="0014447C" w:rsidRDefault="008F470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83338">
        <w:rPr>
          <w:rFonts w:ascii="Palatino Linotype" w:hAnsi="Palatino Linotype"/>
          <w:sz w:val="24"/>
          <w:szCs w:val="24"/>
        </w:rPr>
        <w:t>doce</w:t>
      </w:r>
      <w:r w:rsidR="007F6BFF">
        <w:rPr>
          <w:rFonts w:ascii="Palatino Linotype" w:hAnsi="Palatino Linotype"/>
          <w:sz w:val="24"/>
          <w:szCs w:val="24"/>
        </w:rPr>
        <w:t xml:space="preserve"> </w:t>
      </w:r>
      <w:r w:rsidR="00EB5002">
        <w:rPr>
          <w:rFonts w:ascii="Palatino Linotype" w:hAnsi="Palatino Linotype"/>
          <w:sz w:val="24"/>
          <w:szCs w:val="24"/>
        </w:rPr>
        <w:t xml:space="preserve">de </w:t>
      </w:r>
      <w:r w:rsidR="00283338">
        <w:rPr>
          <w:rFonts w:ascii="Palatino Linotype" w:hAnsi="Palatino Linotype"/>
          <w:sz w:val="24"/>
          <w:szCs w:val="24"/>
        </w:rPr>
        <w:t>abril</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8F4703" w:rsidP="00915450">
      <w:pPr>
        <w:spacing w:line="360" w:lineRule="auto"/>
        <w:jc w:val="both"/>
        <w:rPr>
          <w:rFonts w:ascii="Palatino Linotype" w:hAnsi="Palatino Linotype" w:cs="Arial"/>
          <w:b/>
          <w:sz w:val="24"/>
          <w:szCs w:val="24"/>
        </w:rPr>
      </w:pPr>
      <w:r>
        <w:rPr>
          <w:rFonts w:ascii="Palatino Linotype" w:hAnsi="Palatino Linotype" w:cs="Arial"/>
          <w:b/>
          <w:sz w:val="26"/>
          <w:szCs w:val="26"/>
        </w:rPr>
        <w:t>OCTAVO</w:t>
      </w:r>
      <w:r w:rsidR="00915450" w:rsidRPr="00915450">
        <w:rPr>
          <w:rFonts w:ascii="Palatino Linotype" w:hAnsi="Palatino Linotype" w:cs="Arial"/>
          <w:b/>
          <w:sz w:val="26"/>
          <w:szCs w:val="26"/>
        </w:rPr>
        <w:t>. De la ampliación del término para resolver</w:t>
      </w:r>
      <w:r w:rsidR="00915450"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283338">
        <w:rPr>
          <w:rFonts w:ascii="Palatino Linotype" w:hAnsi="Palatino Linotype" w:cs="Arial"/>
          <w:sz w:val="24"/>
          <w:szCs w:val="24"/>
        </w:rPr>
        <w:t>ocho</w:t>
      </w:r>
      <w:r w:rsidR="00890DBD" w:rsidRPr="00CA5653">
        <w:rPr>
          <w:rFonts w:ascii="Palatino Linotype" w:hAnsi="Palatino Linotype" w:cs="Arial"/>
          <w:sz w:val="24"/>
          <w:szCs w:val="24"/>
        </w:rPr>
        <w:t xml:space="preserve"> de </w:t>
      </w:r>
      <w:r w:rsidR="00283338">
        <w:rPr>
          <w:rFonts w:ascii="Palatino Linotype" w:hAnsi="Palatino Linotype" w:cs="Arial"/>
          <w:sz w:val="24"/>
          <w:szCs w:val="24"/>
        </w:rPr>
        <w:t>mayo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Este Instituto de Transparencia, Acceso a la Información Pública y Protección de Datos Personales del Estado de México, es co</w:t>
      </w:r>
      <w:bookmarkStart w:id="0" w:name="_GoBack"/>
      <w:bookmarkEnd w:id="0"/>
      <w:r w:rsidRPr="0014447C">
        <w:rPr>
          <w:rFonts w:ascii="Palatino Linotype" w:hAnsi="Palatino Linotype"/>
          <w:sz w:val="24"/>
          <w:szCs w:val="24"/>
        </w:rPr>
        <w:t xml:space="preserve">mpetente para conocer y resolver el presente recurso de revisión interpuesto por </w:t>
      </w:r>
      <w:r w:rsidR="00F75EE0">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00AC6CD4">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890DBD" w:rsidRPr="0014447C" w:rsidRDefault="00890DBD" w:rsidP="00890DBD">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75EE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14447C">
        <w:rPr>
          <w:rFonts w:ascii="Palatino Linotype" w:hAnsi="Palatino Linotype"/>
          <w:sz w:val="24"/>
          <w:szCs w:val="24"/>
        </w:rPr>
        <w:lastRenderedPageBreak/>
        <w:t>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305B06"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153BFD"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lastRenderedPageBreak/>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La</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0A31EF" w:rsidRDefault="003023F8" w:rsidP="003023F8">
      <w:pPr>
        <w:pStyle w:val="Sinespaciado"/>
        <w:numPr>
          <w:ilvl w:val="0"/>
          <w:numId w:val="19"/>
        </w:numPr>
        <w:spacing w:line="360" w:lineRule="auto"/>
        <w:jc w:val="both"/>
        <w:rPr>
          <w:rFonts w:ascii="Palatino Linotype" w:hAnsi="Palatino Linotype"/>
          <w:sz w:val="24"/>
          <w:szCs w:val="24"/>
        </w:rPr>
      </w:pPr>
      <w:r w:rsidRPr="003023F8">
        <w:rPr>
          <w:rFonts w:ascii="Palatino Linotype" w:hAnsi="Palatino Linotype"/>
          <w:sz w:val="24"/>
          <w:szCs w:val="24"/>
        </w:rPr>
        <w:t>Relación histórica de formatos de incidencia recibidos por el Departamento de Recursos Humanos, señalando el servidor público que autorizó</w:t>
      </w:r>
      <w:r w:rsidR="00DF6A9B">
        <w:rPr>
          <w:rFonts w:ascii="Palatino Linotype" w:hAnsi="Palatino Linotype"/>
          <w:sz w:val="24"/>
          <w:szCs w:val="24"/>
        </w:rPr>
        <w:t xml:space="preserve">. </w:t>
      </w:r>
    </w:p>
    <w:p w:rsidR="00EF6154" w:rsidRDefault="00EF6154" w:rsidP="0014447C">
      <w:pPr>
        <w:pStyle w:val="Sinespaciado"/>
        <w:spacing w:line="360" w:lineRule="auto"/>
        <w:jc w:val="both"/>
        <w:rPr>
          <w:rFonts w:ascii="Palatino Linotype" w:hAnsi="Palatino Linotype"/>
          <w:sz w:val="24"/>
          <w:szCs w:val="24"/>
        </w:rPr>
      </w:pPr>
    </w:p>
    <w:p w:rsidR="00132015"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pues, de lo </w:t>
      </w:r>
      <w:r w:rsidR="003D4203">
        <w:rPr>
          <w:rFonts w:ascii="Palatino Linotype" w:hAnsi="Palatino Linotype"/>
          <w:sz w:val="24"/>
          <w:szCs w:val="24"/>
        </w:rPr>
        <w:t>peticionado por La</w:t>
      </w:r>
      <w:r>
        <w:rPr>
          <w:rFonts w:ascii="Palatino Linotype" w:hAnsi="Palatino Linotype"/>
          <w:sz w:val="24"/>
          <w:szCs w:val="24"/>
        </w:rPr>
        <w:t xml:space="preserve"> Recurrente</w:t>
      </w:r>
      <w:r w:rsidR="009E76F1">
        <w:rPr>
          <w:rFonts w:ascii="Palatino Linotype" w:hAnsi="Palatino Linotype"/>
          <w:sz w:val="24"/>
          <w:szCs w:val="24"/>
        </w:rPr>
        <w:t xml:space="preserve">, el Sujeto Obligado remitió </w:t>
      </w:r>
      <w:r w:rsidR="009F6CB4">
        <w:rPr>
          <w:rFonts w:ascii="Palatino Linotype" w:hAnsi="Palatino Linotype"/>
          <w:sz w:val="24"/>
          <w:szCs w:val="24"/>
        </w:rPr>
        <w:t>dos</w:t>
      </w:r>
      <w:r w:rsidR="00187598">
        <w:rPr>
          <w:rFonts w:ascii="Palatino Linotype" w:hAnsi="Palatino Linotype"/>
          <w:sz w:val="24"/>
          <w:szCs w:val="24"/>
        </w:rPr>
        <w:t xml:space="preserve"> </w:t>
      </w:r>
      <w:r w:rsidR="009E76F1">
        <w:rPr>
          <w:rFonts w:ascii="Palatino Linotype" w:hAnsi="Palatino Linotype"/>
          <w:sz w:val="24"/>
          <w:szCs w:val="24"/>
        </w:rPr>
        <w:t>archivos electrónicos</w:t>
      </w:r>
      <w:r w:rsidR="008E7F8E">
        <w:rPr>
          <w:rFonts w:ascii="Palatino Linotype" w:hAnsi="Palatino Linotype"/>
          <w:sz w:val="24"/>
          <w:szCs w:val="24"/>
        </w:rPr>
        <w:t xml:space="preserve"> que por</w:t>
      </w:r>
      <w:r w:rsidR="00AD5294">
        <w:rPr>
          <w:rFonts w:ascii="Palatino Linotype" w:hAnsi="Palatino Linotype"/>
          <w:sz w:val="24"/>
          <w:szCs w:val="24"/>
        </w:rPr>
        <w:t xml:space="preserve"> principio de</w:t>
      </w:r>
      <w:r w:rsidR="008E7F8E">
        <w:rPr>
          <w:rFonts w:ascii="Palatino Linotype" w:hAnsi="Palatino Linotype"/>
          <w:sz w:val="24"/>
          <w:szCs w:val="24"/>
        </w:rPr>
        <w:t xml:space="preserve"> economía procesal no se insertaran de forma íntegra y al ser del conocimiento de las partes,</w:t>
      </w:r>
      <w:r w:rsidR="009E76F1">
        <w:rPr>
          <w:rFonts w:ascii="Palatino Linotype" w:hAnsi="Palatino Linotype"/>
          <w:sz w:val="24"/>
          <w:szCs w:val="24"/>
        </w:rPr>
        <w:t xml:space="preserve"> los cuales medularmente</w:t>
      </w:r>
      <w:r w:rsidR="008E7F8E">
        <w:rPr>
          <w:rFonts w:ascii="Palatino Linotype" w:hAnsi="Palatino Linotype"/>
          <w:sz w:val="24"/>
          <w:szCs w:val="24"/>
        </w:rPr>
        <w:t xml:space="preserve"> contienen </w:t>
      </w:r>
      <w:r w:rsidR="00187598">
        <w:rPr>
          <w:rFonts w:ascii="Palatino Linotype" w:hAnsi="Palatino Linotype"/>
          <w:sz w:val="24"/>
          <w:szCs w:val="24"/>
        </w:rPr>
        <w:t>un oficio</w:t>
      </w:r>
      <w:r w:rsidR="005F1F64">
        <w:rPr>
          <w:rFonts w:ascii="Palatino Linotype" w:hAnsi="Palatino Linotype"/>
          <w:sz w:val="24"/>
          <w:szCs w:val="24"/>
        </w:rPr>
        <w:t xml:space="preserve"> con número 210C2801060001L/1712/2019</w:t>
      </w:r>
      <w:r w:rsidR="00EA3DE9">
        <w:rPr>
          <w:rFonts w:ascii="Palatino Linotype" w:hAnsi="Palatino Linotype"/>
          <w:sz w:val="24"/>
          <w:szCs w:val="24"/>
        </w:rPr>
        <w:t>,</w:t>
      </w:r>
      <w:r w:rsidR="00187598">
        <w:rPr>
          <w:rFonts w:ascii="Palatino Linotype" w:hAnsi="Palatino Linotype"/>
          <w:sz w:val="24"/>
          <w:szCs w:val="24"/>
        </w:rPr>
        <w:t xml:space="preserve"> </w:t>
      </w:r>
      <w:r w:rsidR="00B03515">
        <w:rPr>
          <w:rFonts w:ascii="Palatino Linotype" w:hAnsi="Palatino Linotype"/>
          <w:sz w:val="24"/>
          <w:szCs w:val="24"/>
        </w:rPr>
        <w:t>emitido por el servidor público habilitado del Departamento de Recursos Humanos,</w:t>
      </w:r>
      <w:r w:rsidR="00753D85">
        <w:rPr>
          <w:rFonts w:ascii="Palatino Linotype" w:hAnsi="Palatino Linotype"/>
          <w:sz w:val="24"/>
          <w:szCs w:val="24"/>
        </w:rPr>
        <w:t xml:space="preserve"> informando a la Titular de la unidad de Trasparencia que se anexa</w:t>
      </w:r>
      <w:r w:rsidR="00B03515">
        <w:rPr>
          <w:rFonts w:ascii="Palatino Linotype" w:hAnsi="Palatino Linotype"/>
          <w:sz w:val="24"/>
          <w:szCs w:val="24"/>
        </w:rPr>
        <w:t xml:space="preserve"> </w:t>
      </w:r>
      <w:r w:rsidR="00753D85">
        <w:rPr>
          <w:rFonts w:ascii="Palatino Linotype" w:hAnsi="Palatino Linotype"/>
          <w:sz w:val="24"/>
          <w:szCs w:val="24"/>
        </w:rPr>
        <w:t xml:space="preserve">un archivo adjunto </w:t>
      </w:r>
      <w:r w:rsidR="00B03515">
        <w:rPr>
          <w:rFonts w:ascii="Palatino Linotype" w:hAnsi="Palatino Linotype"/>
          <w:sz w:val="24"/>
          <w:szCs w:val="24"/>
        </w:rPr>
        <w:t>en el cu</w:t>
      </w:r>
      <w:r w:rsidR="005F1F64">
        <w:rPr>
          <w:rFonts w:ascii="Palatino Linotype" w:hAnsi="Palatino Linotype"/>
          <w:sz w:val="24"/>
          <w:szCs w:val="24"/>
        </w:rPr>
        <w:t>al se detalla lo referente a la solicitud de informaci</w:t>
      </w:r>
      <w:r w:rsidR="00EA3DE9">
        <w:rPr>
          <w:rFonts w:ascii="Palatino Linotype" w:hAnsi="Palatino Linotype"/>
          <w:sz w:val="24"/>
          <w:szCs w:val="24"/>
        </w:rPr>
        <w:t xml:space="preserve">ón, y el oficio 210C2801070002L/0480-BIS3/2019 en el cual se señala que no existe supuesto por el cual </w:t>
      </w:r>
      <w:r w:rsidR="005E1F7F">
        <w:rPr>
          <w:rFonts w:ascii="Palatino Linotype" w:hAnsi="Palatino Linotype"/>
          <w:sz w:val="24"/>
          <w:szCs w:val="24"/>
        </w:rPr>
        <w:t xml:space="preserve">la Universidad Politécnica del Valle de Toluca </w:t>
      </w:r>
      <w:r w:rsidR="005E1F7F">
        <w:rPr>
          <w:rFonts w:ascii="Palatino Linotype" w:hAnsi="Palatino Linotype"/>
          <w:sz w:val="24"/>
          <w:szCs w:val="24"/>
        </w:rPr>
        <w:lastRenderedPageBreak/>
        <w:t>deba contar con la información en medio digital, aunado a que no es considerada como información pública de oficio conforme a lo establecido en el artículo noventa y dos y noventa y ocho</w:t>
      </w:r>
      <w:r w:rsidR="00132015">
        <w:rPr>
          <w:rFonts w:ascii="Palatino Linotype" w:hAnsi="Palatino Linotype"/>
          <w:sz w:val="24"/>
          <w:szCs w:val="24"/>
        </w:rPr>
        <w:t xml:space="preserve"> de la Ley de la materia.</w:t>
      </w:r>
    </w:p>
    <w:p w:rsidR="00132015" w:rsidRDefault="00132015" w:rsidP="0014447C">
      <w:pPr>
        <w:pStyle w:val="Sinespaciado"/>
        <w:spacing w:line="360" w:lineRule="auto"/>
        <w:jc w:val="both"/>
        <w:rPr>
          <w:rFonts w:ascii="Palatino Linotype" w:hAnsi="Palatino Linotype"/>
          <w:sz w:val="24"/>
          <w:szCs w:val="24"/>
        </w:rPr>
      </w:pPr>
    </w:p>
    <w:p w:rsidR="00D97295" w:rsidRDefault="0013201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el Departamento de Recursos Humanos </w:t>
      </w:r>
      <w:r w:rsidR="00050C47">
        <w:rPr>
          <w:rFonts w:ascii="Palatino Linotype" w:hAnsi="Palatino Linotype"/>
          <w:sz w:val="24"/>
          <w:szCs w:val="24"/>
        </w:rPr>
        <w:t xml:space="preserve">hace mención que </w:t>
      </w:r>
      <w:r>
        <w:rPr>
          <w:rFonts w:ascii="Palatino Linotype" w:hAnsi="Palatino Linotype"/>
          <w:sz w:val="24"/>
          <w:szCs w:val="24"/>
        </w:rPr>
        <w:t xml:space="preserve">cuenta con </w:t>
      </w:r>
      <w:r w:rsidR="00050C47">
        <w:rPr>
          <w:rFonts w:ascii="Palatino Linotype" w:hAnsi="Palatino Linotype"/>
          <w:sz w:val="24"/>
          <w:szCs w:val="24"/>
        </w:rPr>
        <w:t>32,206 fojas que integran los formatos de incidencias, del periodo comprendido del 2010 al 31 de enero de 2019</w:t>
      </w:r>
      <w:r w:rsidR="0035333A">
        <w:rPr>
          <w:rFonts w:ascii="Palatino Linotype" w:hAnsi="Palatino Linotype"/>
          <w:sz w:val="24"/>
          <w:szCs w:val="24"/>
        </w:rPr>
        <w:t xml:space="preserve">, </w:t>
      </w:r>
      <w:r w:rsidR="000825CE">
        <w:rPr>
          <w:rFonts w:ascii="Palatino Linotype" w:hAnsi="Palatino Linotype"/>
          <w:sz w:val="24"/>
          <w:szCs w:val="24"/>
        </w:rPr>
        <w:t>por lo cual, para hacer entrega de dicha información La Recurrente deberá realizar el pago por la cantidad de $19,323.60 (diecinueve mil trescientos veintitrés pesos 60/100 M.N.), por el costo unitario de $0.60 (sesenta sentavos), por el escaneo y di</w:t>
      </w:r>
      <w:r w:rsidR="00D97295">
        <w:rPr>
          <w:rFonts w:ascii="Palatino Linotype" w:hAnsi="Palatino Linotype"/>
          <w:sz w:val="24"/>
          <w:szCs w:val="24"/>
        </w:rPr>
        <w:t xml:space="preserve">gitalización de cada hoja relativa a los documentos a entregar a través del Sistema de Acceso a la Información Mexiquense (SAIMEX), indicándole el procedimiento de pago como se muestra en las siguientes imágenes; </w:t>
      </w:r>
    </w:p>
    <w:p w:rsidR="00D97295" w:rsidRDefault="00D97295" w:rsidP="0014447C">
      <w:pPr>
        <w:pStyle w:val="Sinespaciado"/>
        <w:spacing w:line="360" w:lineRule="auto"/>
        <w:jc w:val="both"/>
        <w:rPr>
          <w:rFonts w:ascii="Palatino Linotype" w:hAnsi="Palatino Linotype"/>
          <w:sz w:val="24"/>
          <w:szCs w:val="24"/>
        </w:rPr>
      </w:pPr>
    </w:p>
    <w:p w:rsidR="00D97295" w:rsidRDefault="00D97295" w:rsidP="00D97295">
      <w:pPr>
        <w:pStyle w:val="Sinespaciado"/>
        <w:spacing w:line="360" w:lineRule="auto"/>
        <w:jc w:val="center"/>
        <w:rPr>
          <w:rFonts w:ascii="Palatino Linotype" w:hAnsi="Palatino Linotype"/>
          <w:sz w:val="24"/>
          <w:szCs w:val="24"/>
        </w:rPr>
      </w:pPr>
      <w:r>
        <w:rPr>
          <w:noProof/>
          <w:lang w:eastAsia="es-MX"/>
        </w:rPr>
        <w:drawing>
          <wp:inline distT="0" distB="0" distL="0" distR="0" wp14:anchorId="0AEE064C" wp14:editId="1F8B2067">
            <wp:extent cx="5039984" cy="1764665"/>
            <wp:effectExtent l="19050" t="19050" r="2794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1168" cy="1775584"/>
                    </a:xfrm>
                    <a:prstGeom prst="rect">
                      <a:avLst/>
                    </a:prstGeom>
                    <a:ln>
                      <a:solidFill>
                        <a:schemeClr val="bg2"/>
                      </a:solidFill>
                    </a:ln>
                  </pic:spPr>
                </pic:pic>
              </a:graphicData>
            </a:graphic>
          </wp:inline>
        </w:drawing>
      </w:r>
    </w:p>
    <w:p w:rsidR="00BC5FBE" w:rsidRDefault="00BC5FBE" w:rsidP="00101AEA">
      <w:pPr>
        <w:pStyle w:val="Prrafodelista"/>
        <w:autoSpaceDE w:val="0"/>
        <w:autoSpaceDN w:val="0"/>
        <w:adjustRightInd w:val="0"/>
        <w:spacing w:line="360" w:lineRule="auto"/>
        <w:ind w:left="0"/>
        <w:jc w:val="both"/>
        <w:rPr>
          <w:rFonts w:ascii="Palatino Linotype" w:hAnsi="Palatino Linotype" w:cs="Arial"/>
        </w:rPr>
      </w:pPr>
    </w:p>
    <w:p w:rsidR="0035333A" w:rsidRDefault="00A31E44"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9744" behindDoc="0" locked="0" layoutInCell="1" allowOverlap="1">
                <wp:simplePos x="0" y="0"/>
                <wp:positionH relativeFrom="column">
                  <wp:posOffset>463371</wp:posOffset>
                </wp:positionH>
                <wp:positionV relativeFrom="paragraph">
                  <wp:posOffset>19431</wp:posOffset>
                </wp:positionV>
                <wp:extent cx="4936947" cy="885139"/>
                <wp:effectExtent l="0" t="0" r="35560" b="29845"/>
                <wp:wrapNone/>
                <wp:docPr id="23" name="Conector recto 23"/>
                <wp:cNvGraphicFramePr/>
                <a:graphic xmlns:a="http://schemas.openxmlformats.org/drawingml/2006/main">
                  <a:graphicData uri="http://schemas.microsoft.com/office/word/2010/wordprocessingShape">
                    <wps:wsp>
                      <wps:cNvCnPr/>
                      <wps:spPr>
                        <a:xfrm>
                          <a:off x="0" y="0"/>
                          <a:ext cx="4936947" cy="8851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E8303" id="Conector recto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6.5pt,1.55pt" to="425.2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" strokecolor="black [3200]" strokeweight=".5pt">
                <v:stroke joinstyle="miter"/>
              </v:line>
            </w:pict>
          </mc:Fallback>
        </mc:AlternateContent>
      </w:r>
    </w:p>
    <w:p w:rsidR="0035333A" w:rsidRDefault="0035333A" w:rsidP="00101AEA">
      <w:pPr>
        <w:pStyle w:val="Prrafodelista"/>
        <w:autoSpaceDE w:val="0"/>
        <w:autoSpaceDN w:val="0"/>
        <w:adjustRightInd w:val="0"/>
        <w:spacing w:line="360" w:lineRule="auto"/>
        <w:ind w:left="0"/>
        <w:jc w:val="both"/>
        <w:rPr>
          <w:rFonts w:ascii="Palatino Linotype" w:hAnsi="Palatino Linotype" w:cs="Arial"/>
        </w:rPr>
      </w:pPr>
    </w:p>
    <w:p w:rsidR="0035333A" w:rsidRDefault="0035333A" w:rsidP="00101AEA">
      <w:pPr>
        <w:pStyle w:val="Prrafodelista"/>
        <w:autoSpaceDE w:val="0"/>
        <w:autoSpaceDN w:val="0"/>
        <w:adjustRightInd w:val="0"/>
        <w:spacing w:line="360" w:lineRule="auto"/>
        <w:ind w:left="0"/>
        <w:jc w:val="both"/>
        <w:rPr>
          <w:rFonts w:ascii="Palatino Linotype" w:hAnsi="Palatino Linotype" w:cs="Arial"/>
        </w:rPr>
      </w:pPr>
    </w:p>
    <w:p w:rsidR="0035333A" w:rsidRDefault="00A31E44" w:rsidP="00A31E44">
      <w:pPr>
        <w:pStyle w:val="Prrafodelista"/>
        <w:autoSpaceDE w:val="0"/>
        <w:autoSpaceDN w:val="0"/>
        <w:adjustRightInd w:val="0"/>
        <w:spacing w:line="360" w:lineRule="auto"/>
        <w:ind w:left="0"/>
        <w:jc w:val="center"/>
        <w:rPr>
          <w:rFonts w:ascii="Palatino Linotype" w:hAnsi="Palatino Linotype" w:cs="Arial"/>
        </w:rPr>
      </w:pPr>
      <w:r>
        <w:rPr>
          <w:noProof/>
          <w:lang w:val="es-MX" w:eastAsia="es-MX"/>
        </w:rPr>
        <w:lastRenderedPageBreak/>
        <w:drawing>
          <wp:inline distT="0" distB="0" distL="0" distR="0" wp14:anchorId="079D8BC7" wp14:editId="2AA977DB">
            <wp:extent cx="3962400" cy="6391275"/>
            <wp:effectExtent l="19050" t="19050" r="19050" b="285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2400" cy="6391275"/>
                    </a:xfrm>
                    <a:prstGeom prst="rect">
                      <a:avLst/>
                    </a:prstGeom>
                    <a:ln>
                      <a:solidFill>
                        <a:schemeClr val="bg2">
                          <a:lumMod val="90000"/>
                        </a:schemeClr>
                      </a:solidFill>
                    </a:ln>
                  </pic:spPr>
                </pic:pic>
              </a:graphicData>
            </a:graphic>
          </wp:inline>
        </w:drawing>
      </w:r>
    </w:p>
    <w:p w:rsidR="0035333A" w:rsidRDefault="0035333A" w:rsidP="00101AEA">
      <w:pPr>
        <w:pStyle w:val="Prrafodelista"/>
        <w:autoSpaceDE w:val="0"/>
        <w:autoSpaceDN w:val="0"/>
        <w:adjustRightInd w:val="0"/>
        <w:spacing w:line="360" w:lineRule="auto"/>
        <w:ind w:left="0"/>
        <w:jc w:val="both"/>
        <w:rPr>
          <w:rFonts w:ascii="Palatino Linotype" w:hAnsi="Palatino Linotype" w:cs="Arial"/>
        </w:rPr>
      </w:pPr>
    </w:p>
    <w:p w:rsidR="0035333A" w:rsidRDefault="0035333A" w:rsidP="00101AEA">
      <w:pPr>
        <w:pStyle w:val="Prrafodelista"/>
        <w:autoSpaceDE w:val="0"/>
        <w:autoSpaceDN w:val="0"/>
        <w:adjustRightInd w:val="0"/>
        <w:spacing w:line="360" w:lineRule="auto"/>
        <w:ind w:left="0"/>
        <w:jc w:val="both"/>
        <w:rPr>
          <w:rFonts w:ascii="Palatino Linotype" w:hAnsi="Palatino Linotype" w:cs="Arial"/>
        </w:rPr>
      </w:pPr>
    </w:p>
    <w:p w:rsidR="0035333A" w:rsidRDefault="0035333A" w:rsidP="00101AEA">
      <w:pPr>
        <w:pStyle w:val="Prrafodelista"/>
        <w:autoSpaceDE w:val="0"/>
        <w:autoSpaceDN w:val="0"/>
        <w:adjustRightInd w:val="0"/>
        <w:spacing w:line="360" w:lineRule="auto"/>
        <w:ind w:left="0"/>
        <w:jc w:val="both"/>
        <w:rPr>
          <w:rFonts w:ascii="Palatino Linotype" w:hAnsi="Palatino Linotype" w:cs="Arial"/>
        </w:rPr>
      </w:pPr>
    </w:p>
    <w:p w:rsidR="0035333A" w:rsidRDefault="00A31E44" w:rsidP="00101AEA">
      <w:pPr>
        <w:pStyle w:val="Prrafodelista"/>
        <w:autoSpaceDE w:val="0"/>
        <w:autoSpaceDN w:val="0"/>
        <w:adjustRightInd w:val="0"/>
        <w:spacing w:line="360" w:lineRule="auto"/>
        <w:ind w:left="0"/>
        <w:jc w:val="both"/>
        <w:rPr>
          <w:rFonts w:ascii="Palatino Linotype" w:hAnsi="Palatino Linotype" w:cs="Arial"/>
        </w:rPr>
      </w:pPr>
      <w:r>
        <w:rPr>
          <w:noProof/>
          <w:lang w:val="es-MX" w:eastAsia="es-MX"/>
        </w:rPr>
        <w:drawing>
          <wp:inline distT="0" distB="0" distL="0" distR="0" wp14:anchorId="4BECCA33" wp14:editId="68FF25EF">
            <wp:extent cx="5760720" cy="6440170"/>
            <wp:effectExtent l="19050" t="19050" r="11430" b="177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440170"/>
                    </a:xfrm>
                    <a:prstGeom prst="rect">
                      <a:avLst/>
                    </a:prstGeom>
                    <a:ln>
                      <a:solidFill>
                        <a:schemeClr val="bg2">
                          <a:lumMod val="75000"/>
                        </a:schemeClr>
                      </a:solidFill>
                    </a:ln>
                  </pic:spPr>
                </pic:pic>
              </a:graphicData>
            </a:graphic>
          </wp:inline>
        </w:drawing>
      </w:r>
    </w:p>
    <w:p w:rsidR="00A86C94" w:rsidRDefault="00A86C94" w:rsidP="00101AEA">
      <w:pPr>
        <w:pStyle w:val="Prrafodelista"/>
        <w:autoSpaceDE w:val="0"/>
        <w:autoSpaceDN w:val="0"/>
        <w:adjustRightInd w:val="0"/>
        <w:spacing w:line="360" w:lineRule="auto"/>
        <w:ind w:left="0"/>
        <w:jc w:val="both"/>
        <w:rPr>
          <w:rFonts w:ascii="Palatino Linotype" w:hAnsi="Palatino Linotype" w:cs="Arial"/>
        </w:rPr>
      </w:pPr>
    </w:p>
    <w:p w:rsidR="00B74345" w:rsidRDefault="00101AEA" w:rsidP="00101AEA">
      <w:pPr>
        <w:pStyle w:val="Prrafodelista"/>
        <w:autoSpaceDE w:val="0"/>
        <w:autoSpaceDN w:val="0"/>
        <w:adjustRightInd w:val="0"/>
        <w:spacing w:line="360" w:lineRule="auto"/>
        <w:ind w:left="0"/>
        <w:jc w:val="both"/>
        <w:rPr>
          <w:rFonts w:ascii="Palatino Linotype" w:eastAsia="MS Mincho" w:hAnsi="Palatino Linotype" w:cs="Arial"/>
        </w:rPr>
      </w:pPr>
      <w:r w:rsidRPr="00835647">
        <w:rPr>
          <w:rFonts w:ascii="Palatino Linotype" w:hAnsi="Palatino Linotype" w:cs="Arial"/>
        </w:rPr>
        <w:lastRenderedPageBreak/>
        <w:t xml:space="preserve">En primer lugar, toda vez que </w:t>
      </w:r>
      <w:r w:rsidRPr="00835647">
        <w:rPr>
          <w:rFonts w:ascii="Palatino Linotype" w:hAnsi="Palatino Linotype" w:cs="Arial"/>
          <w:b/>
        </w:rPr>
        <w:t>El Sujeto Obligado</w:t>
      </w:r>
      <w:r w:rsidRPr="00835647">
        <w:rPr>
          <w:rFonts w:ascii="Palatino Linotype" w:hAnsi="Palatino Linotype" w:cs="Arial"/>
        </w:rPr>
        <w:t xml:space="preserve"> acepta la existencia de la información solicitada, es factible obviar el estudio de su naturaleza jurídica y de la fuente obligacional que constriñe al </w:t>
      </w:r>
      <w:r w:rsidRPr="00835647">
        <w:rPr>
          <w:rFonts w:ascii="Palatino Linotype" w:hAnsi="Palatino Linotype" w:cs="Arial"/>
          <w:b/>
        </w:rPr>
        <w:t>Sujeto Obligado</w:t>
      </w:r>
      <w:r w:rsidRPr="00835647">
        <w:rPr>
          <w:rFonts w:ascii="Palatino Linotype" w:hAnsi="Palatino Linotype" w:cs="Arial"/>
        </w:rPr>
        <w:t xml:space="preserve"> </w:t>
      </w:r>
      <w:r w:rsidR="00844C29">
        <w:rPr>
          <w:rFonts w:ascii="Palatino Linotype" w:hAnsi="Palatino Linotype" w:cs="Arial"/>
        </w:rPr>
        <w:t>a contar con dicha información, ya que la informaci</w:t>
      </w:r>
      <w:r w:rsidR="00BB4F2F">
        <w:rPr>
          <w:rFonts w:ascii="Palatino Linotype" w:hAnsi="Palatino Linotype" w:cs="Arial"/>
        </w:rPr>
        <w:t>ón solicitada ya fue</w:t>
      </w:r>
      <w:r w:rsidR="00844C29">
        <w:rPr>
          <w:rFonts w:ascii="Palatino Linotype" w:hAnsi="Palatino Linotype" w:cs="Arial"/>
        </w:rPr>
        <w:t xml:space="preserve"> asumida, lo cual actualiza el supuesto jurídico previsto en el artículo 12 </w:t>
      </w:r>
      <w:r w:rsidR="00844C29" w:rsidRPr="00B8565A">
        <w:rPr>
          <w:rFonts w:ascii="Palatino Linotype" w:eastAsia="MS Mincho" w:hAnsi="Palatino Linotype" w:cs="Arial"/>
        </w:rPr>
        <w:t>de la Ley de Transparencia, Acceso a la Información Pública del Estado de México y Municipios.</w:t>
      </w:r>
    </w:p>
    <w:p w:rsidR="00844C29" w:rsidRDefault="00844C29" w:rsidP="00101AEA">
      <w:pPr>
        <w:pStyle w:val="Prrafodelista"/>
        <w:autoSpaceDE w:val="0"/>
        <w:autoSpaceDN w:val="0"/>
        <w:adjustRightInd w:val="0"/>
        <w:spacing w:line="360" w:lineRule="auto"/>
        <w:ind w:left="0"/>
        <w:jc w:val="both"/>
        <w:rPr>
          <w:rFonts w:ascii="Palatino Linotype" w:eastAsia="MS Mincho" w:hAnsi="Palatino Linotype" w:cs="Arial"/>
        </w:rPr>
      </w:pPr>
    </w:p>
    <w:p w:rsidR="005D1AD5" w:rsidRDefault="00844C29" w:rsidP="00101AEA">
      <w:pPr>
        <w:pStyle w:val="Prrafodelista"/>
        <w:autoSpaceDE w:val="0"/>
        <w:autoSpaceDN w:val="0"/>
        <w:adjustRightInd w:val="0"/>
        <w:spacing w:line="360" w:lineRule="auto"/>
        <w:ind w:left="0"/>
        <w:jc w:val="both"/>
        <w:rPr>
          <w:rFonts w:ascii="Palatino Linotype" w:eastAsia="MS Mincho" w:hAnsi="Palatino Linotype" w:cs="Arial"/>
        </w:rPr>
      </w:pPr>
      <w:r>
        <w:rPr>
          <w:rFonts w:ascii="Palatino Linotype" w:eastAsia="MS Mincho" w:hAnsi="Palatino Linotype" w:cs="Arial"/>
        </w:rPr>
        <w:t>Ahora bien, lo conducente en el caso en mérito</w:t>
      </w:r>
      <w:r w:rsidR="00BB4F2F">
        <w:rPr>
          <w:rFonts w:ascii="Palatino Linotype" w:eastAsia="MS Mincho" w:hAnsi="Palatino Linotype" w:cs="Arial"/>
        </w:rPr>
        <w:t>,</w:t>
      </w:r>
      <w:r>
        <w:rPr>
          <w:rFonts w:ascii="Palatino Linotype" w:eastAsia="MS Mincho" w:hAnsi="Palatino Linotype" w:cs="Arial"/>
        </w:rPr>
        <w:t xml:space="preserve"> es analizar si la</w:t>
      </w:r>
      <w:r w:rsidR="00443D8E">
        <w:rPr>
          <w:rFonts w:ascii="Palatino Linotype" w:eastAsia="MS Mincho" w:hAnsi="Palatino Linotype" w:cs="Arial"/>
        </w:rPr>
        <w:t xml:space="preserve"> temporalidad de la </w:t>
      </w:r>
      <w:r>
        <w:rPr>
          <w:rFonts w:ascii="Palatino Linotype" w:eastAsia="MS Mincho" w:hAnsi="Palatino Linotype" w:cs="Arial"/>
        </w:rPr>
        <w:t xml:space="preserve">información </w:t>
      </w:r>
      <w:r w:rsidR="00443D8E">
        <w:rPr>
          <w:rFonts w:ascii="Palatino Linotype" w:eastAsia="MS Mincho" w:hAnsi="Palatino Linotype" w:cs="Arial"/>
        </w:rPr>
        <w:t>con la que cuenta</w:t>
      </w:r>
      <w:r>
        <w:rPr>
          <w:rFonts w:ascii="Palatino Linotype" w:eastAsia="MS Mincho" w:hAnsi="Palatino Linotype" w:cs="Arial"/>
        </w:rPr>
        <w:t xml:space="preserve"> El Sujeto Obligado </w:t>
      </w:r>
      <w:r w:rsidR="00443D8E">
        <w:rPr>
          <w:rFonts w:ascii="Palatino Linotype" w:eastAsia="MS Mincho" w:hAnsi="Palatino Linotype" w:cs="Arial"/>
        </w:rPr>
        <w:t xml:space="preserve">dada </w:t>
      </w:r>
      <w:r>
        <w:rPr>
          <w:rFonts w:ascii="Palatino Linotype" w:eastAsia="MS Mincho" w:hAnsi="Palatino Linotype" w:cs="Arial"/>
        </w:rPr>
        <w:t>en su respuesta es suficiente para colmar el derecho al acceso a la inform</w:t>
      </w:r>
      <w:r w:rsidR="005D1AD5">
        <w:rPr>
          <w:rFonts w:ascii="Palatino Linotype" w:eastAsia="MS Mincho" w:hAnsi="Palatino Linotype" w:cs="Arial"/>
        </w:rPr>
        <w:t>ación pública de la particular</w:t>
      </w:r>
      <w:r w:rsidR="00AA21B1">
        <w:rPr>
          <w:rFonts w:ascii="Palatino Linotype" w:eastAsia="MS Mincho" w:hAnsi="Palatino Linotype" w:cs="Arial"/>
        </w:rPr>
        <w:t>, así como si el cobro pretendido por El Sujeto Obligado es procedente</w:t>
      </w:r>
      <w:r w:rsidR="005D1AD5">
        <w:rPr>
          <w:rFonts w:ascii="Palatino Linotype" w:eastAsia="MS Mincho" w:hAnsi="Palatino Linotype" w:cs="Arial"/>
        </w:rPr>
        <w:t xml:space="preserve">, para entender mejor lo peticionado con la entrega de la información por parte del Sujeto Obligado, es necesario establecer las siguientes manifestaciones; </w:t>
      </w:r>
    </w:p>
    <w:p w:rsidR="005D1AD5" w:rsidRDefault="005D1AD5" w:rsidP="00101AEA">
      <w:pPr>
        <w:pStyle w:val="Prrafodelista"/>
        <w:autoSpaceDE w:val="0"/>
        <w:autoSpaceDN w:val="0"/>
        <w:adjustRightInd w:val="0"/>
        <w:spacing w:line="360" w:lineRule="auto"/>
        <w:ind w:left="0"/>
        <w:jc w:val="both"/>
        <w:rPr>
          <w:rFonts w:ascii="Palatino Linotype" w:eastAsia="MS Mincho" w:hAnsi="Palatino Linotype" w:cs="Arial"/>
        </w:rPr>
      </w:pPr>
    </w:p>
    <w:p w:rsidR="00A86C94" w:rsidRPr="00453B12" w:rsidRDefault="00A86C94" w:rsidP="00453B12">
      <w:pPr>
        <w:spacing w:line="360" w:lineRule="auto"/>
        <w:jc w:val="both"/>
        <w:rPr>
          <w:rFonts w:ascii="Palatino Linotype" w:hAnsi="Palatino Linotype"/>
          <w:sz w:val="24"/>
          <w:szCs w:val="24"/>
        </w:rPr>
      </w:pPr>
      <w:r w:rsidRPr="00453B12">
        <w:rPr>
          <w:rFonts w:ascii="Palatino Linotype" w:hAnsi="Palatino Linotype" w:cs="Arial"/>
          <w:sz w:val="24"/>
          <w:szCs w:val="24"/>
          <w:lang w:val="es-ES"/>
        </w:rPr>
        <w:t xml:space="preserve">Toda vez que la recurrente solicitó el </w:t>
      </w:r>
      <w:r w:rsidRPr="00453B12">
        <w:rPr>
          <w:rFonts w:ascii="Palatino Linotype" w:hAnsi="Palatino Linotype" w:cs="Arial"/>
          <w:b/>
          <w:sz w:val="24"/>
          <w:szCs w:val="24"/>
          <w:u w:val="single"/>
          <w:lang w:val="es-ES"/>
        </w:rPr>
        <w:t>histórico</w:t>
      </w:r>
      <w:r w:rsidRPr="00453B12">
        <w:rPr>
          <w:rFonts w:ascii="Palatino Linotype" w:hAnsi="Palatino Linotype" w:cs="Arial"/>
          <w:sz w:val="24"/>
          <w:szCs w:val="24"/>
          <w:lang w:val="es-ES"/>
        </w:rPr>
        <w:t xml:space="preserve"> </w:t>
      </w:r>
      <w:r w:rsidR="00443D8E" w:rsidRPr="00453B12">
        <w:rPr>
          <w:rFonts w:ascii="Palatino Linotype" w:hAnsi="Palatino Linotype" w:cs="Arial"/>
          <w:sz w:val="24"/>
          <w:szCs w:val="24"/>
          <w:lang w:val="es-ES"/>
        </w:rPr>
        <w:t>de formatos de incidencia recibidos por el Departamento de Recursos Humanos</w:t>
      </w:r>
      <w:r w:rsidRPr="00453B12">
        <w:rPr>
          <w:rFonts w:ascii="Palatino Linotype" w:hAnsi="Palatino Linotype" w:cs="Arial"/>
          <w:sz w:val="24"/>
          <w:szCs w:val="24"/>
          <w:lang w:val="es-ES"/>
        </w:rPr>
        <w:t>, es</w:t>
      </w:r>
      <w:r w:rsidR="00453B12" w:rsidRPr="00453B12">
        <w:rPr>
          <w:rFonts w:ascii="Palatino Linotype" w:hAnsi="Palatino Linotype" w:cs="Arial"/>
          <w:sz w:val="24"/>
          <w:szCs w:val="24"/>
          <w:lang w:val="es-ES"/>
        </w:rPr>
        <w:t xml:space="preserve"> </w:t>
      </w:r>
      <w:r w:rsidRPr="00453B12">
        <w:rPr>
          <w:rFonts w:ascii="Palatino Linotype" w:hAnsi="Palatino Linotype"/>
          <w:sz w:val="24"/>
          <w:szCs w:val="24"/>
        </w:rPr>
        <w:t xml:space="preserve">conveniente señalar los siguientes conceptos de acuerdo a los lineamientos para la Organización y Conservación de Archivos, emitidos por el Instituto Nacional de Acceso a la Información (INAI), cuyo objeto es </w:t>
      </w:r>
      <w:r w:rsidRPr="00453B12">
        <w:rPr>
          <w:rFonts w:ascii="Palatino Linotype" w:hAnsi="Palatino Linotype"/>
          <w:i/>
          <w:sz w:val="24"/>
          <w:szCs w:val="24"/>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453B12">
        <w:rPr>
          <w:rFonts w:ascii="Palatino Linotype" w:hAnsi="Palatino Linotype"/>
          <w:sz w:val="24"/>
          <w:szCs w:val="24"/>
        </w:rPr>
        <w:t>”, al tenor de lo siguiente:</w:t>
      </w:r>
    </w:p>
    <w:p w:rsidR="00A86C94" w:rsidRPr="00906D6B" w:rsidRDefault="00A86C94" w:rsidP="00A86C94">
      <w:pPr>
        <w:pStyle w:val="Sinespaciado"/>
        <w:spacing w:before="120" w:after="120"/>
        <w:ind w:left="851" w:right="851"/>
        <w:jc w:val="both"/>
        <w:rPr>
          <w:rFonts w:ascii="Palatino Linotype" w:hAnsi="Palatino Linotype"/>
          <w:b/>
          <w:i/>
        </w:rPr>
      </w:pPr>
      <w:r w:rsidRPr="00906D6B">
        <w:rPr>
          <w:rFonts w:ascii="Palatino Linotype" w:hAnsi="Palatino Linotype"/>
          <w:b/>
          <w:i/>
        </w:rPr>
        <w:lastRenderedPageBreak/>
        <w:t>Cuarto.</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II. Archivo:</w:t>
      </w:r>
      <w:r w:rsidRPr="00906D6B">
        <w:rPr>
          <w:rFonts w:ascii="Palatino Linotype" w:hAnsi="Palatino Linotype"/>
          <w:i/>
        </w:rPr>
        <w:t xml:space="preserve"> El conjunto orgánico de documentos en cualquier soporte, que son producidos o recibidos por los sujetos obligados o los particulares en el ejercicio de sus atribuciones o en el desarrollo de sus actividades;</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III. Archivo de concentración:</w:t>
      </w:r>
      <w:r w:rsidRPr="00906D6B">
        <w:rPr>
          <w:rFonts w:ascii="Palatino Linotype" w:hAnsi="Palatino Linotype"/>
          <w:i/>
        </w:rPr>
        <w:t xml:space="preserve"> La unidad de la administración de documentos cuya consulta es esporádica y que permanecen en ella hasta su transferencia secundaria o baja documental;</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IV. </w:t>
      </w:r>
      <w:r w:rsidRPr="00906D6B">
        <w:rPr>
          <w:rFonts w:ascii="Palatino Linotype" w:hAnsi="Palatino Linotype"/>
          <w:b/>
          <w:i/>
          <w:u w:val="single"/>
        </w:rPr>
        <w:t>Archivo histórico.</w:t>
      </w:r>
      <w:r w:rsidRPr="00906D6B">
        <w:rPr>
          <w:rFonts w:ascii="Palatino Linotype" w:hAnsi="Palatino Linotype"/>
          <w:i/>
        </w:rPr>
        <w:t xml:space="preserve"> La unidad responsable de la administración de los documentos de conservación permanente y que son fuente de acceso público;</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V. Archivo de trámite:</w:t>
      </w:r>
      <w:r w:rsidRPr="00906D6B">
        <w:rPr>
          <w:rFonts w:ascii="Palatino Linotype" w:hAnsi="Palatino Linotype"/>
          <w:i/>
        </w:rPr>
        <w:t xml:space="preserve"> La unidad responsable de la administración de documentos de uso cotidiano y necesario para el ejercicio de las atribuciones de una unidad administrativa, los cuales permanecen en ella hasta su transferencia primaria;</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VIII. Baja documental.</w:t>
      </w:r>
      <w:r w:rsidRPr="00906D6B">
        <w:rPr>
          <w:rFonts w:ascii="Palatino Linotype" w:hAnsi="Palatino Linotype"/>
          <w:i/>
        </w:rPr>
        <w:t xml:space="preserve"> La eliminación de aquella documentación que haya prescrito en sus valores administrativos, legales, fiscales, contables, y que no contenga valores históricos;</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X. Ciclo vital del documento:</w:t>
      </w:r>
      <w:r w:rsidRPr="00906D6B">
        <w:rPr>
          <w:rFonts w:ascii="Palatino Linotype" w:hAnsi="Palatino Linotype"/>
          <w:i/>
        </w:rPr>
        <w:t xml:space="preserve"> La etapas de los documentos desde su producción o recepción hasta su baja o transferencia a un archivo histórico;</w:t>
      </w:r>
    </w:p>
    <w:p w:rsidR="00A86C94" w:rsidRPr="00906D6B"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i/>
        </w:rPr>
        <w:t>…</w:t>
      </w:r>
    </w:p>
    <w:p w:rsidR="00A86C94" w:rsidRDefault="00A86C94" w:rsidP="00A86C94">
      <w:pPr>
        <w:pStyle w:val="Sinespaciado"/>
        <w:spacing w:before="120" w:after="120"/>
        <w:ind w:left="851" w:right="851"/>
        <w:jc w:val="both"/>
        <w:rPr>
          <w:rFonts w:ascii="Palatino Linotype" w:hAnsi="Palatino Linotype"/>
          <w:i/>
        </w:rPr>
      </w:pPr>
      <w:r w:rsidRPr="00906D6B">
        <w:rPr>
          <w:rFonts w:ascii="Palatino Linotype" w:hAnsi="Palatino Linotype"/>
          <w:b/>
          <w:i/>
        </w:rPr>
        <w:t xml:space="preserve">XLVIII. Transferencia documental: </w:t>
      </w:r>
      <w:r w:rsidRPr="00906D6B">
        <w:rPr>
          <w:rFonts w:ascii="Palatino Linotype" w:hAnsi="Palatino Linotype"/>
          <w:i/>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A86C94" w:rsidRPr="00906D6B" w:rsidRDefault="00A86C94" w:rsidP="00A86C94">
      <w:pPr>
        <w:pStyle w:val="Sinespaciado"/>
        <w:spacing w:before="120" w:after="120"/>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rsidR="00A86C94" w:rsidRDefault="00A86C94" w:rsidP="00A86C94">
      <w:pPr>
        <w:pStyle w:val="Sinespaciado"/>
        <w:spacing w:line="360" w:lineRule="auto"/>
        <w:jc w:val="both"/>
        <w:rPr>
          <w:rFonts w:ascii="Palatino Linotype" w:hAnsi="Palatino Linotype"/>
        </w:rPr>
      </w:pPr>
    </w:p>
    <w:p w:rsidR="00A86C94" w:rsidRPr="00AA21B1" w:rsidRDefault="00A86C94" w:rsidP="00A86C94">
      <w:pPr>
        <w:pStyle w:val="Sinespaciado"/>
        <w:spacing w:line="360" w:lineRule="auto"/>
        <w:jc w:val="both"/>
        <w:rPr>
          <w:rFonts w:ascii="Palatino Linotype" w:hAnsi="Palatino Linotype"/>
          <w:sz w:val="24"/>
        </w:rPr>
      </w:pPr>
      <w:r w:rsidRPr="00AA21B1">
        <w:rPr>
          <w:rFonts w:ascii="Palatino Linotype" w:hAnsi="Palatino Linotype"/>
          <w:sz w:val="24"/>
        </w:rPr>
        <w:t xml:space="preserve">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w:t>
      </w:r>
      <w:r w:rsidRPr="00AA21B1">
        <w:rPr>
          <w:rFonts w:ascii="Palatino Linotype" w:hAnsi="Palatino Linotype"/>
          <w:sz w:val="24"/>
        </w:rPr>
        <w:lastRenderedPageBreak/>
        <w:t>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A86C94" w:rsidRPr="00AA21B1" w:rsidRDefault="00A86C94" w:rsidP="00A86C94">
      <w:pPr>
        <w:pStyle w:val="Sinespaciado"/>
        <w:spacing w:line="360" w:lineRule="auto"/>
        <w:jc w:val="both"/>
        <w:rPr>
          <w:rFonts w:ascii="Palatino Linotype" w:hAnsi="Palatino Linotype"/>
          <w:sz w:val="24"/>
        </w:rPr>
      </w:pPr>
    </w:p>
    <w:p w:rsidR="00A86C94" w:rsidRPr="00AA21B1" w:rsidRDefault="00A86C94" w:rsidP="00A86C94">
      <w:pPr>
        <w:pStyle w:val="Sinespaciado"/>
        <w:spacing w:line="360" w:lineRule="auto"/>
        <w:jc w:val="both"/>
        <w:rPr>
          <w:rFonts w:ascii="Palatino Linotype" w:hAnsi="Palatino Linotype"/>
          <w:sz w:val="24"/>
        </w:rPr>
      </w:pPr>
      <w:r w:rsidRPr="00AA21B1">
        <w:rPr>
          <w:rFonts w:ascii="Palatino Linotype" w:hAnsi="Palatino Linotype"/>
          <w:sz w:val="24"/>
        </w:rPr>
        <w:t>Lineamientos para la Valoración, Selección y Baja de los Documentos, Expedientes y Series de Trámite Concluido en los Archivos del Estado de México, que establece lo siguiente:</w:t>
      </w:r>
    </w:p>
    <w:p w:rsidR="00A86C94" w:rsidRPr="00906D6B" w:rsidRDefault="00A86C94" w:rsidP="00A86C94">
      <w:pPr>
        <w:pStyle w:val="Sinespaciado"/>
        <w:spacing w:line="360" w:lineRule="auto"/>
        <w:jc w:val="both"/>
        <w:rPr>
          <w:rFonts w:ascii="Palatino Linotype" w:hAnsi="Palatino Linotype"/>
        </w:rPr>
      </w:pPr>
    </w:p>
    <w:p w:rsidR="00A86C94" w:rsidRPr="00906D6B" w:rsidRDefault="00A86C94" w:rsidP="00A86C94">
      <w:pPr>
        <w:pStyle w:val="Sinespaciado"/>
        <w:spacing w:before="120" w:after="120"/>
        <w:ind w:left="567" w:right="567"/>
        <w:jc w:val="both"/>
        <w:rPr>
          <w:rFonts w:ascii="Palatino Linotype" w:hAnsi="Palatino Linotype"/>
          <w:i/>
        </w:rPr>
      </w:pPr>
      <w:r w:rsidRPr="004C2EE9">
        <w:rPr>
          <w:rFonts w:ascii="Palatino Linotype" w:hAnsi="Palatino Linotype"/>
          <w:i/>
        </w:rPr>
        <w:t>“</w:t>
      </w:r>
      <w:r w:rsidRPr="00906D6B">
        <w:rPr>
          <w:rFonts w:ascii="Palatino Linotype" w:hAnsi="Palatino Linotype"/>
          <w:b/>
          <w:i/>
        </w:rPr>
        <w:t>Artículo 20.</w:t>
      </w:r>
      <w:r w:rsidRPr="00906D6B">
        <w:rPr>
          <w:rFonts w:ascii="Palatino Linotype" w:hAnsi="Palatino Linotype"/>
          <w:i/>
        </w:rPr>
        <w:t xml:space="preserve"> Los expedientes de trámite concluido y los desclasificados se mantendrán íntegros por un </w:t>
      </w:r>
      <w:r w:rsidRPr="00384130">
        <w:rPr>
          <w:rFonts w:ascii="Palatino Linotype" w:hAnsi="Palatino Linotype"/>
          <w:b/>
          <w:i/>
        </w:rPr>
        <w:t>periodo de dos años en los Archivos de Trámite de las Unidades Administrativas</w:t>
      </w:r>
      <w:r w:rsidRPr="00906D6B">
        <w:rPr>
          <w:rFonts w:ascii="Palatino Linotype" w:hAnsi="Palatino Linotype"/>
          <w:i/>
        </w:rPr>
        <w:t>. Cumplido este plazo se podrá proceder a su selección preliminar y transferencia al Archivo de Concentración.</w:t>
      </w:r>
    </w:p>
    <w:p w:rsidR="00A86C94" w:rsidRDefault="00A86C94" w:rsidP="00A86C94">
      <w:pPr>
        <w:pStyle w:val="Sinespaciado"/>
        <w:spacing w:before="120" w:after="120"/>
        <w:ind w:left="567" w:right="567"/>
        <w:jc w:val="both"/>
        <w:rPr>
          <w:rFonts w:ascii="Palatino Linotype" w:hAnsi="Palatino Linotype"/>
          <w:i/>
        </w:rPr>
      </w:pPr>
      <w:r w:rsidRPr="00906D6B">
        <w:rPr>
          <w:rFonts w:ascii="Palatino Linotype" w:hAnsi="Palatino Linotype"/>
          <w:i/>
        </w:rPr>
        <w:t>El periodo señalado se computará a partir del día siguiente a la fecha del documento con el cual se dé por concluido el asunto pro el que los expedientes fueron creados.</w:t>
      </w:r>
    </w:p>
    <w:p w:rsidR="00A86C94" w:rsidRPr="00906D6B" w:rsidRDefault="00A86C94" w:rsidP="00A86C94">
      <w:pPr>
        <w:pStyle w:val="Sinespaciado"/>
        <w:spacing w:before="120" w:after="120"/>
        <w:ind w:left="567" w:right="567"/>
        <w:jc w:val="both"/>
        <w:rPr>
          <w:rFonts w:ascii="Palatino Linotype" w:hAnsi="Palatino Linotype"/>
          <w:i/>
        </w:rPr>
      </w:pPr>
      <w:r>
        <w:rPr>
          <w:rFonts w:ascii="Palatino Linotype" w:hAnsi="Palatino Linotype"/>
          <w:i/>
        </w:rPr>
        <w:t>…</w:t>
      </w:r>
    </w:p>
    <w:p w:rsidR="00A86C94" w:rsidRDefault="00A86C94" w:rsidP="00A86C94">
      <w:pPr>
        <w:pStyle w:val="Sinespaciado"/>
        <w:spacing w:before="120" w:after="120"/>
        <w:ind w:left="567" w:right="567"/>
        <w:jc w:val="both"/>
        <w:rPr>
          <w:rFonts w:ascii="Palatino Linotype" w:hAnsi="Palatino Linotype"/>
          <w:i/>
        </w:rPr>
      </w:pPr>
      <w:r w:rsidRPr="00906D6B">
        <w:rPr>
          <w:rFonts w:ascii="Palatino Linotype" w:hAnsi="Palatino Linotype"/>
          <w:b/>
          <w:i/>
        </w:rPr>
        <w:t>Artículo 27.</w:t>
      </w:r>
      <w:r w:rsidRPr="00906D6B">
        <w:rPr>
          <w:rFonts w:ascii="Palatino Linotype" w:hAnsi="Palatino Linotype"/>
          <w:i/>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A86C94" w:rsidRDefault="00A86C94" w:rsidP="00A86C94">
      <w:pPr>
        <w:pStyle w:val="Sinespaciado"/>
        <w:spacing w:before="120" w:after="120"/>
        <w:ind w:left="567" w:right="567"/>
        <w:jc w:val="both"/>
        <w:rPr>
          <w:rFonts w:ascii="Palatino Linotype" w:hAnsi="Palatino Linotype"/>
          <w:i/>
        </w:rPr>
      </w:pPr>
    </w:p>
    <w:p w:rsidR="00A86C94" w:rsidRPr="0031297F" w:rsidRDefault="00A86C94" w:rsidP="00A86C94">
      <w:pPr>
        <w:pStyle w:val="Sinespaciado"/>
        <w:numPr>
          <w:ilvl w:val="0"/>
          <w:numId w:val="21"/>
        </w:numPr>
        <w:spacing w:before="120" w:after="120"/>
        <w:ind w:right="567" w:hanging="720"/>
        <w:jc w:val="both"/>
        <w:rPr>
          <w:rFonts w:ascii="Palatino Linotype" w:hAnsi="Palatino Linotype"/>
          <w:b/>
          <w:i/>
        </w:rPr>
      </w:pPr>
      <w:r w:rsidRPr="0031297F">
        <w:rPr>
          <w:rFonts w:ascii="Palatino Linotype" w:hAnsi="Palatino Linotype"/>
          <w:b/>
          <w:i/>
        </w:rPr>
        <w:t>6 años para expedientes con información administrativa;</w:t>
      </w:r>
    </w:p>
    <w:p w:rsidR="00A86C94" w:rsidRPr="0031297F" w:rsidRDefault="00A86C94" w:rsidP="00A86C94">
      <w:pPr>
        <w:pStyle w:val="Sinespaciado"/>
        <w:numPr>
          <w:ilvl w:val="0"/>
          <w:numId w:val="21"/>
        </w:numPr>
        <w:spacing w:before="120" w:after="120"/>
        <w:ind w:right="567" w:hanging="720"/>
        <w:jc w:val="both"/>
        <w:rPr>
          <w:rFonts w:ascii="Palatino Linotype" w:hAnsi="Palatino Linotype"/>
          <w:i/>
        </w:rPr>
      </w:pPr>
      <w:r w:rsidRPr="0031297F">
        <w:rPr>
          <w:rFonts w:ascii="Palatino Linotype" w:hAnsi="Palatino Linotype"/>
          <w:i/>
        </w:rPr>
        <w:t>6 años como mínimo para expedientes con información fiscal y presupuestal contable;</w:t>
      </w:r>
    </w:p>
    <w:p w:rsidR="00A86C94" w:rsidRPr="00906D6B" w:rsidRDefault="00A86C94" w:rsidP="00A86C94">
      <w:pPr>
        <w:pStyle w:val="Sinespaciado"/>
        <w:numPr>
          <w:ilvl w:val="0"/>
          <w:numId w:val="21"/>
        </w:numPr>
        <w:spacing w:before="120" w:after="120"/>
        <w:ind w:right="567" w:hanging="720"/>
        <w:jc w:val="both"/>
        <w:rPr>
          <w:rFonts w:ascii="Palatino Linotype" w:hAnsi="Palatino Linotype"/>
          <w:i/>
        </w:rPr>
      </w:pPr>
      <w:r w:rsidRPr="00906D6B">
        <w:rPr>
          <w:rFonts w:ascii="Palatino Linotype" w:hAnsi="Palatino Linotype"/>
          <w:i/>
        </w:rPr>
        <w:t>12 años como mínimo para expedientes con información jurídico-legal, obra pública y activo fijo; y</w:t>
      </w:r>
    </w:p>
    <w:p w:rsidR="00A86C94" w:rsidRPr="00906D6B" w:rsidRDefault="00A86C94" w:rsidP="00A86C94">
      <w:pPr>
        <w:pStyle w:val="Sinespaciado"/>
        <w:numPr>
          <w:ilvl w:val="0"/>
          <w:numId w:val="21"/>
        </w:numPr>
        <w:spacing w:before="120" w:after="120"/>
        <w:ind w:right="567" w:hanging="720"/>
        <w:jc w:val="both"/>
        <w:rPr>
          <w:rFonts w:ascii="Palatino Linotype" w:hAnsi="Palatino Linotype"/>
        </w:rPr>
      </w:pPr>
      <w:r w:rsidRPr="00906D6B">
        <w:rPr>
          <w:rFonts w:ascii="Palatino Linotype" w:hAnsi="Palatino Linotype"/>
          <w:i/>
        </w:rPr>
        <w:lastRenderedPageBreak/>
        <w:t>Cuando en la legislación se establezcan períodos de conservación mayores a los señalados en las fracciones I, II y III, se considerarán los estipulados en dicha legislación para efectos de realización del proceso de selección final.</w:t>
      </w:r>
    </w:p>
    <w:p w:rsidR="00A86C94" w:rsidRPr="00906D6B" w:rsidRDefault="00A86C94" w:rsidP="00A86C94">
      <w:pPr>
        <w:pStyle w:val="Sinespaciado"/>
        <w:numPr>
          <w:ilvl w:val="0"/>
          <w:numId w:val="21"/>
        </w:numPr>
        <w:spacing w:before="120" w:after="120"/>
        <w:ind w:right="567" w:hanging="720"/>
        <w:jc w:val="both"/>
        <w:rPr>
          <w:rFonts w:ascii="Palatino Linotype" w:hAnsi="Palatino Linotype"/>
        </w:rPr>
      </w:pPr>
      <w:r w:rsidRPr="00906D6B">
        <w:rPr>
          <w:rFonts w:ascii="Palatino Linotype" w:hAnsi="Palatino Linotype"/>
          <w:i/>
        </w:rPr>
        <w:t>Cuando las Unidades Administrativas no indique el plazo de conservación precaucional de sus expedientes en el Inventario correspondiente, los Archivos de Concentración podrán rechazar la transferencia de los expedientes.</w:t>
      </w:r>
      <w:r>
        <w:rPr>
          <w:rFonts w:ascii="Palatino Linotype" w:hAnsi="Palatino Linotype"/>
          <w:i/>
        </w:rPr>
        <w:t>”</w:t>
      </w:r>
    </w:p>
    <w:p w:rsidR="00AA21B1" w:rsidRDefault="00AA21B1" w:rsidP="00A86C94">
      <w:pPr>
        <w:pStyle w:val="Prrafodelista"/>
        <w:autoSpaceDE w:val="0"/>
        <w:autoSpaceDN w:val="0"/>
        <w:adjustRightInd w:val="0"/>
        <w:spacing w:line="360" w:lineRule="auto"/>
        <w:ind w:left="0"/>
        <w:jc w:val="both"/>
        <w:rPr>
          <w:rFonts w:ascii="Palatino Linotype" w:hAnsi="Palatino Linotype"/>
        </w:rPr>
      </w:pPr>
    </w:p>
    <w:p w:rsidR="00A86C94" w:rsidRDefault="00A86C94" w:rsidP="00A86C94">
      <w:pPr>
        <w:pStyle w:val="Prrafodelista"/>
        <w:autoSpaceDE w:val="0"/>
        <w:autoSpaceDN w:val="0"/>
        <w:adjustRightInd w:val="0"/>
        <w:spacing w:line="360" w:lineRule="auto"/>
        <w:ind w:left="0"/>
        <w:jc w:val="both"/>
        <w:rPr>
          <w:rFonts w:ascii="Palatino Linotype" w:eastAsia="MS Mincho" w:hAnsi="Palatino Linotype" w:cs="Arial"/>
        </w:rPr>
      </w:pPr>
      <w:r w:rsidRPr="00906D6B">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A86C94" w:rsidRDefault="00A86C94" w:rsidP="00101AEA">
      <w:pPr>
        <w:pStyle w:val="Prrafodelista"/>
        <w:autoSpaceDE w:val="0"/>
        <w:autoSpaceDN w:val="0"/>
        <w:adjustRightInd w:val="0"/>
        <w:spacing w:line="360" w:lineRule="auto"/>
        <w:ind w:left="0"/>
        <w:jc w:val="both"/>
        <w:rPr>
          <w:rFonts w:ascii="Palatino Linotype" w:eastAsia="MS Mincho" w:hAnsi="Palatino Linotype" w:cs="Arial"/>
        </w:rPr>
      </w:pPr>
    </w:p>
    <w:p w:rsidR="00C903AE" w:rsidRDefault="00C903AE" w:rsidP="00C903AE">
      <w:pPr>
        <w:tabs>
          <w:tab w:val="left" w:pos="8931"/>
        </w:tabs>
        <w:spacing w:after="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w:t>
      </w:r>
      <w:r w:rsidRPr="003B65D9">
        <w:rPr>
          <w:rFonts w:ascii="Palatino Linotype" w:eastAsia="Times New Roman" w:hAnsi="Palatino Linotype" w:cs="Times New Roman"/>
          <w:sz w:val="24"/>
          <w:szCs w:val="24"/>
          <w:lang w:eastAsia="es-ES"/>
        </w:rPr>
        <w:t>or lo que siendo la fe</w:t>
      </w:r>
      <w:r>
        <w:rPr>
          <w:rFonts w:ascii="Palatino Linotype" w:eastAsia="Times New Roman" w:hAnsi="Palatino Linotype" w:cs="Times New Roman"/>
          <w:sz w:val="24"/>
          <w:szCs w:val="24"/>
          <w:lang w:eastAsia="es-ES"/>
        </w:rPr>
        <w:t>cha de su solicitud el día treinta y uno de enero de dos mil diecinueve</w:t>
      </w:r>
      <w:r w:rsidRPr="003B65D9">
        <w:rPr>
          <w:rFonts w:ascii="Palatino Linotype" w:eastAsia="Times New Roman" w:hAnsi="Palatino Linotype" w:cs="Times New Roman"/>
          <w:sz w:val="24"/>
          <w:szCs w:val="24"/>
          <w:lang w:eastAsia="es-ES"/>
        </w:rPr>
        <w:t xml:space="preserve"> y sumando los dos años de permanencia en el Archivo de Trámite y los seis años en el Archivo de Concentración, da un total de ocho años; </w:t>
      </w:r>
      <w:r w:rsidR="0070145A">
        <w:rPr>
          <w:rFonts w:ascii="Palatino Linotype" w:eastAsia="Times New Roman" w:hAnsi="Palatino Linotype" w:cs="Times New Roman"/>
          <w:sz w:val="24"/>
          <w:szCs w:val="24"/>
          <w:lang w:eastAsia="es-ES"/>
        </w:rPr>
        <w:t>por lo tanto, derivado de</w:t>
      </w:r>
      <w:r w:rsidRPr="003B65D9">
        <w:rPr>
          <w:rFonts w:ascii="Palatino Linotype" w:eastAsia="Times New Roman" w:hAnsi="Palatino Linotype" w:cs="Times New Roman"/>
          <w:sz w:val="24"/>
          <w:szCs w:val="24"/>
          <w:lang w:eastAsia="es-ES"/>
        </w:rPr>
        <w:t>l</w:t>
      </w:r>
      <w:r w:rsidR="0070145A">
        <w:rPr>
          <w:rFonts w:ascii="Palatino Linotype" w:eastAsia="Times New Roman" w:hAnsi="Palatino Linotype" w:cs="Times New Roman"/>
          <w:sz w:val="24"/>
          <w:szCs w:val="24"/>
          <w:lang w:eastAsia="es-ES"/>
        </w:rPr>
        <w:t xml:space="preserve"> </w:t>
      </w:r>
      <w:r w:rsidR="00F60A5A">
        <w:rPr>
          <w:rFonts w:ascii="Palatino Linotype" w:eastAsia="Times New Roman" w:hAnsi="Palatino Linotype" w:cs="Times New Roman"/>
          <w:sz w:val="24"/>
          <w:szCs w:val="24"/>
          <w:lang w:eastAsia="es-ES"/>
        </w:rPr>
        <w:t>pronunciamiento emitido por parte del Sujeto Obligado</w:t>
      </w:r>
      <w:r w:rsidRPr="003B65D9">
        <w:rPr>
          <w:rFonts w:ascii="Palatino Linotype" w:eastAsia="Times New Roman" w:hAnsi="Palatino Linotype" w:cs="Times New Roman"/>
          <w:sz w:val="24"/>
          <w:szCs w:val="24"/>
          <w:lang w:eastAsia="es-ES"/>
        </w:rPr>
        <w:t xml:space="preserve"> </w:t>
      </w:r>
      <w:r w:rsidR="00F60A5A">
        <w:rPr>
          <w:rFonts w:ascii="Palatino Linotype" w:eastAsia="Times New Roman" w:hAnsi="Palatino Linotype" w:cs="Times New Roman"/>
          <w:sz w:val="24"/>
          <w:szCs w:val="24"/>
          <w:lang w:eastAsia="es-ES"/>
        </w:rPr>
        <w:t xml:space="preserve">para la entrega de la información por </w:t>
      </w:r>
      <w:r w:rsidRPr="003B65D9">
        <w:rPr>
          <w:rFonts w:ascii="Palatino Linotype" w:eastAsia="Times New Roman" w:hAnsi="Palatino Linotype" w:cs="Times New Roman"/>
          <w:sz w:val="24"/>
          <w:szCs w:val="24"/>
          <w:lang w:eastAsia="es-ES"/>
        </w:rPr>
        <w:t>el</w:t>
      </w:r>
      <w:r w:rsidR="00F60A5A">
        <w:rPr>
          <w:rFonts w:ascii="Palatino Linotype" w:eastAsia="Times New Roman" w:hAnsi="Palatino Linotype" w:cs="Times New Roman"/>
          <w:sz w:val="24"/>
          <w:szCs w:val="24"/>
          <w:lang w:eastAsia="es-ES"/>
        </w:rPr>
        <w:t xml:space="preserve"> periodo que comprende de</w:t>
      </w:r>
      <w:r>
        <w:rPr>
          <w:rFonts w:ascii="Palatino Linotype" w:eastAsia="Times New Roman" w:hAnsi="Palatino Linotype" w:cs="Times New Roman"/>
          <w:sz w:val="24"/>
          <w:szCs w:val="24"/>
          <w:lang w:eastAsia="es-ES"/>
        </w:rPr>
        <w:t xml:space="preserve"> </w:t>
      </w:r>
      <w:r w:rsidR="00F60A5A">
        <w:rPr>
          <w:rFonts w:ascii="Palatino Linotype" w:eastAsia="Times New Roman" w:hAnsi="Palatino Linotype" w:cs="Times New Roman"/>
          <w:sz w:val="24"/>
          <w:szCs w:val="24"/>
          <w:lang w:eastAsia="es-ES"/>
        </w:rPr>
        <w:t>enero</w:t>
      </w:r>
      <w:r>
        <w:rPr>
          <w:rFonts w:ascii="Palatino Linotype" w:eastAsia="Times New Roman" w:hAnsi="Palatino Linotype" w:cs="Times New Roman"/>
          <w:sz w:val="24"/>
          <w:szCs w:val="24"/>
          <w:lang w:eastAsia="es-ES"/>
        </w:rPr>
        <w:t xml:space="preserve"> de dos mil diez al </w:t>
      </w:r>
      <w:r w:rsidR="00F60A5A">
        <w:rPr>
          <w:rFonts w:ascii="Palatino Linotype" w:eastAsia="Times New Roman" w:hAnsi="Palatino Linotype" w:cs="Times New Roman"/>
          <w:sz w:val="24"/>
          <w:szCs w:val="24"/>
          <w:lang w:eastAsia="es-ES"/>
        </w:rPr>
        <w:t>treinta y uno</w:t>
      </w:r>
      <w:r>
        <w:rPr>
          <w:rFonts w:ascii="Palatino Linotype" w:eastAsia="Times New Roman" w:hAnsi="Palatino Linotype" w:cs="Times New Roman"/>
          <w:sz w:val="24"/>
          <w:szCs w:val="24"/>
          <w:lang w:eastAsia="es-ES"/>
        </w:rPr>
        <w:t xml:space="preserve"> de </w:t>
      </w:r>
      <w:r w:rsidR="00F60A5A">
        <w:rPr>
          <w:rFonts w:ascii="Palatino Linotype" w:eastAsia="Times New Roman" w:hAnsi="Palatino Linotype" w:cs="Times New Roman"/>
          <w:sz w:val="24"/>
          <w:szCs w:val="24"/>
          <w:lang w:eastAsia="es-ES"/>
        </w:rPr>
        <w:t>enero</w:t>
      </w:r>
      <w:r w:rsidRPr="003B65D9">
        <w:rPr>
          <w:rFonts w:ascii="Palatino Linotype" w:eastAsia="Times New Roman" w:hAnsi="Palatino Linotype" w:cs="Times New Roman"/>
          <w:sz w:val="24"/>
          <w:szCs w:val="24"/>
          <w:lang w:eastAsia="es-ES"/>
        </w:rPr>
        <w:t xml:space="preserve"> de dos mil dieci</w:t>
      </w:r>
      <w:r w:rsidR="00F60A5A">
        <w:rPr>
          <w:rFonts w:ascii="Palatino Linotype" w:eastAsia="Times New Roman" w:hAnsi="Palatino Linotype" w:cs="Times New Roman"/>
          <w:sz w:val="24"/>
          <w:szCs w:val="24"/>
          <w:lang w:eastAsia="es-ES"/>
        </w:rPr>
        <w:t>nueve,</w:t>
      </w:r>
      <w:r>
        <w:rPr>
          <w:rFonts w:ascii="Palatino Linotype" w:eastAsia="Times New Roman" w:hAnsi="Palatino Linotype" w:cs="Times New Roman"/>
          <w:sz w:val="24"/>
          <w:szCs w:val="24"/>
          <w:lang w:eastAsia="es-ES"/>
        </w:rPr>
        <w:t xml:space="preserve"> fecha de la solicitud de información</w:t>
      </w:r>
      <w:r w:rsidR="00F60A5A">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así de esa forma el sujeto obligado estaría</w:t>
      </w:r>
      <w:r w:rsidR="005B4CF7">
        <w:rPr>
          <w:rFonts w:ascii="Palatino Linotype" w:eastAsia="Times New Roman" w:hAnsi="Palatino Linotype" w:cs="Times New Roman"/>
          <w:sz w:val="24"/>
          <w:szCs w:val="24"/>
          <w:lang w:eastAsia="es-ES"/>
        </w:rPr>
        <w:t xml:space="preserve"> colmando el requerimiento referente a “la relación histórica”</w:t>
      </w:r>
      <w:r>
        <w:rPr>
          <w:rFonts w:ascii="Palatino Linotype" w:eastAsia="Times New Roman" w:hAnsi="Palatino Linotype" w:cs="Times New Roman"/>
          <w:sz w:val="24"/>
          <w:szCs w:val="24"/>
          <w:lang w:eastAsia="es-ES"/>
        </w:rPr>
        <w:t xml:space="preserve"> dando a conocer </w:t>
      </w:r>
      <w:r w:rsidR="005B4CF7">
        <w:rPr>
          <w:rFonts w:ascii="Palatino Linotype" w:eastAsia="Times New Roman" w:hAnsi="Palatino Linotype" w:cs="Times New Roman"/>
          <w:sz w:val="24"/>
          <w:szCs w:val="24"/>
          <w:lang w:eastAsia="es-ES"/>
        </w:rPr>
        <w:t>así la información referida en la solicitud en mención</w:t>
      </w:r>
      <w:r>
        <w:rPr>
          <w:rFonts w:ascii="Palatino Linotype" w:eastAsia="Times New Roman" w:hAnsi="Palatino Linotype" w:cs="Times New Roman"/>
          <w:sz w:val="24"/>
          <w:szCs w:val="24"/>
          <w:lang w:eastAsia="es-ES"/>
        </w:rPr>
        <w:t xml:space="preserve"> </w:t>
      </w:r>
    </w:p>
    <w:p w:rsidR="005B4CF7" w:rsidRPr="00212C61" w:rsidRDefault="0007363E" w:rsidP="005B4CF7">
      <w:pPr>
        <w:pStyle w:val="Prrafodelista"/>
        <w:spacing w:before="240" w:after="240" w:line="360" w:lineRule="auto"/>
        <w:ind w:left="0"/>
        <w:contextualSpacing/>
        <w:jc w:val="both"/>
        <w:rPr>
          <w:rFonts w:ascii="Palatino Linotype" w:hAnsi="Palatino Linotype" w:cs="Arial"/>
        </w:rPr>
      </w:pPr>
      <w:r>
        <w:rPr>
          <w:rFonts w:ascii="Palatino Linotype" w:hAnsi="Palatino Linotype" w:cs="Arial"/>
        </w:rPr>
        <w:t>Ahora bien</w:t>
      </w:r>
      <w:r w:rsidR="005B4CF7" w:rsidRPr="00212C61">
        <w:rPr>
          <w:rFonts w:ascii="Palatino Linotype" w:hAnsi="Palatino Linotype" w:cs="Arial"/>
        </w:rPr>
        <w:t xml:space="preserve">, </w:t>
      </w:r>
      <w:r>
        <w:rPr>
          <w:rFonts w:ascii="Palatino Linotype" w:hAnsi="Palatino Linotype" w:cs="Arial"/>
        </w:rPr>
        <w:t>no pasa desapercibido el estudio respecto a la procedencia</w:t>
      </w:r>
      <w:r w:rsidR="005B4CF7" w:rsidRPr="00212C61">
        <w:rPr>
          <w:rFonts w:ascii="Palatino Linotype" w:hAnsi="Palatino Linotype" w:cs="Arial"/>
        </w:rPr>
        <w:t xml:space="preserve"> </w:t>
      </w:r>
      <w:r>
        <w:rPr>
          <w:rFonts w:ascii="Palatino Linotype" w:hAnsi="Palatino Linotype" w:cs="Arial"/>
        </w:rPr>
        <w:t>d</w:t>
      </w:r>
      <w:r w:rsidR="005B4CF7" w:rsidRPr="00212C61">
        <w:rPr>
          <w:rFonts w:ascii="Palatino Linotype" w:hAnsi="Palatino Linotype" w:cs="Arial"/>
        </w:rPr>
        <w:t>el cobro para la entrega de la información solicitada por tener que digitalizarse.</w:t>
      </w:r>
    </w:p>
    <w:p w:rsidR="005B4CF7" w:rsidRPr="00212C61" w:rsidRDefault="005B4CF7" w:rsidP="005B4CF7">
      <w:pPr>
        <w:pStyle w:val="Prrafodelista"/>
        <w:spacing w:before="240" w:after="240" w:line="360" w:lineRule="auto"/>
        <w:ind w:left="0"/>
        <w:contextualSpacing/>
        <w:jc w:val="both"/>
        <w:rPr>
          <w:rFonts w:ascii="Palatino Linotype" w:hAnsi="Palatino Linotype" w:cs="Arial"/>
        </w:rPr>
      </w:pPr>
    </w:p>
    <w:p w:rsidR="005B4CF7" w:rsidRPr="00212C61" w:rsidRDefault="005B4CF7" w:rsidP="005B4CF7">
      <w:pPr>
        <w:pStyle w:val="Prrafodelista"/>
        <w:spacing w:before="240" w:after="240" w:line="360" w:lineRule="auto"/>
        <w:ind w:left="0"/>
        <w:contextualSpacing/>
        <w:jc w:val="both"/>
        <w:rPr>
          <w:lang w:val="es-MX" w:eastAsia="en-US"/>
        </w:rPr>
      </w:pPr>
      <w:r w:rsidRPr="00212C61">
        <w:rPr>
          <w:rFonts w:ascii="Palatino Linotype" w:hAnsi="Palatino Linotype" w:cs="Arial"/>
          <w:color w:val="000000" w:themeColor="text1"/>
        </w:rPr>
        <w:lastRenderedPageBreak/>
        <w:t xml:space="preserve">Para iniciar, hay que dejar claro que el </w:t>
      </w:r>
      <w:r w:rsidRPr="00212C61">
        <w:rPr>
          <w:rFonts w:ascii="Palatino Linotype" w:hAnsi="Palatino Linotype" w:cs="Arial"/>
          <w:b/>
          <w:color w:val="000000" w:themeColor="text1"/>
        </w:rPr>
        <w:t>Sujeto Obligado</w:t>
      </w:r>
      <w:r w:rsidRPr="00212C61">
        <w:rPr>
          <w:rFonts w:ascii="Palatino Linotype" w:hAnsi="Palatino Linotype" w:cs="Arial"/>
          <w:color w:val="000000" w:themeColor="text1"/>
        </w:rPr>
        <w:t xml:space="preserve"> señaló que la información solicitada solo la posee físicamente, asimismo, </w:t>
      </w:r>
      <w:r w:rsidRPr="00212C61">
        <w:rPr>
          <w:rFonts w:ascii="Palatino Linotype" w:hAnsi="Palatino Linotype" w:cs="Arial"/>
          <w:b/>
          <w:color w:val="000000" w:themeColor="text1"/>
        </w:rPr>
        <w:t>La Recurrente</w:t>
      </w:r>
      <w:r w:rsidRPr="00212C61">
        <w:rPr>
          <w:rFonts w:ascii="Palatino Linotype" w:hAnsi="Palatino Linotype" w:cs="Arial"/>
          <w:color w:val="000000" w:themeColor="text1"/>
        </w:rPr>
        <w:t xml:space="preserve"> solicitó la información a través del SAIMEX, por lo que al ser éste un portal de internet, debe quedar claro que los mencionados oficios deben estar digitalizadas para poder ser proporcionadas a la </w:t>
      </w:r>
      <w:r w:rsidRPr="00212C61">
        <w:rPr>
          <w:rFonts w:ascii="Palatino Linotype" w:hAnsi="Palatino Linotype" w:cs="Arial"/>
          <w:b/>
          <w:color w:val="000000" w:themeColor="text1"/>
        </w:rPr>
        <w:t>Recurrente</w:t>
      </w:r>
      <w:r w:rsidRPr="00212C61">
        <w:rPr>
          <w:rFonts w:ascii="Palatino Linotype" w:hAnsi="Palatino Linotype" w:cs="Arial"/>
          <w:color w:val="000000" w:themeColor="text1"/>
        </w:rPr>
        <w:t xml:space="preserve"> en la vía solicitada. </w:t>
      </w:r>
    </w:p>
    <w:p w:rsidR="005B4CF7" w:rsidRPr="00212C61" w:rsidRDefault="005B4CF7" w:rsidP="005B4CF7">
      <w:pPr>
        <w:pStyle w:val="Prrafodelista"/>
        <w:spacing w:before="240" w:after="240" w:line="360" w:lineRule="auto"/>
        <w:ind w:left="0"/>
        <w:contextualSpacing/>
        <w:jc w:val="both"/>
        <w:rPr>
          <w:lang w:val="es-MX" w:eastAsia="en-US"/>
        </w:rPr>
      </w:pPr>
    </w:p>
    <w:p w:rsidR="005B4CF7" w:rsidRPr="00212C61" w:rsidRDefault="005B4CF7" w:rsidP="005B4CF7">
      <w:pPr>
        <w:pStyle w:val="Prrafodelista"/>
        <w:spacing w:before="240" w:after="240" w:line="360" w:lineRule="auto"/>
        <w:ind w:left="0"/>
        <w:contextualSpacing/>
        <w:jc w:val="both"/>
        <w:rPr>
          <w:rFonts w:ascii="Palatino Linotype" w:hAnsi="Palatino Linotype" w:cs="Arial"/>
          <w:color w:val="000000" w:themeColor="text1"/>
          <w:lang w:val="es-MX"/>
        </w:rPr>
      </w:pPr>
      <w:r w:rsidRPr="00212C61">
        <w:rPr>
          <w:rFonts w:ascii="Palatino Linotype" w:hAnsi="Palatino Linotype" w:cs="Arial"/>
          <w:color w:val="000000" w:themeColor="text1"/>
        </w:rPr>
        <w:t xml:space="preserve">Por lo anterior, es preciso citar el artículo </w:t>
      </w:r>
      <w:r w:rsidRPr="00212C61">
        <w:rPr>
          <w:rFonts w:ascii="Palatino Linotype" w:hAnsi="Palatino Linotype" w:cs="Arial"/>
          <w:color w:val="000000" w:themeColor="text1"/>
          <w:lang w:val="es-MX"/>
        </w:rPr>
        <w:t>175, de la Ley de Transparencia local, donde indica que:</w:t>
      </w:r>
      <w:r w:rsidRPr="00212C61">
        <w:rPr>
          <w:rFonts w:ascii="Palatino Linotype" w:hAnsi="Palatino Linotype" w:cs="Arial"/>
          <w:i/>
          <w:color w:val="000000" w:themeColor="text1"/>
          <w:lang w:val="es-MX"/>
        </w:rPr>
        <w:t xml:space="preserve"> </w:t>
      </w:r>
      <w:r w:rsidRPr="00212C61">
        <w:rPr>
          <w:rFonts w:ascii="Palatino Linotype" w:hAnsi="Palatino Linotype" w:cs="Arial"/>
          <w:b/>
          <w:i/>
          <w:color w:val="000000" w:themeColor="text1"/>
          <w:u w:val="single"/>
          <w:lang w:val="es-MX"/>
        </w:rPr>
        <w:t>“La información que en términos de Ley deban publicar de manera obligatoria los sujetos obligados, o deba ser generada de manera electrónica, según lo dispongan las disposiciones legales o administrativas no podrá tener ningún costo…”</w:t>
      </w:r>
      <w:r w:rsidRPr="00212C61">
        <w:rPr>
          <w:rFonts w:ascii="Palatino Linotype" w:hAnsi="Palatino Linotype" w:cs="Arial"/>
          <w:color w:val="000000" w:themeColor="text1"/>
          <w:lang w:val="es-MX"/>
        </w:rPr>
        <w:t xml:space="preserve">, lo que se encuentra relacionado con lo estipulado en el artículo </w:t>
      </w:r>
      <w:r w:rsidRPr="00212C61">
        <w:rPr>
          <w:rFonts w:ascii="Palatino Linotype" w:hAnsi="Palatino Linotype" w:cs="Arial"/>
          <w:color w:val="000000" w:themeColor="text1"/>
        </w:rPr>
        <w:t>92 de la misma ley el cual dice que, “</w:t>
      </w:r>
      <w:r w:rsidRPr="00212C61">
        <w:rPr>
          <w:rFonts w:ascii="Palatino Linotype" w:hAnsi="Palatino Linotype" w:cs="Arial"/>
          <w:i/>
          <w:color w:val="000000" w:themeColor="text1"/>
          <w:lang w:val="es-MX"/>
        </w:rPr>
        <w:t xml:space="preserve">Los sujetos obligados deberán poner a disposición del público de manera permanente y actualizada de forma sencilla, precisa y entendible, </w:t>
      </w:r>
      <w:r w:rsidRPr="00212C61">
        <w:rPr>
          <w:rFonts w:ascii="Palatino Linotype" w:hAnsi="Palatino Linotype" w:cs="Arial"/>
          <w:b/>
          <w:i/>
          <w:color w:val="000000" w:themeColor="text1"/>
          <w:u w:val="single"/>
          <w:lang w:val="es-MX"/>
        </w:rPr>
        <w:t>en los respectivos medios electrónicos</w:t>
      </w:r>
      <w:r w:rsidRPr="00212C61">
        <w:rPr>
          <w:rFonts w:ascii="Palatino Linotype" w:hAnsi="Palatino Linotype" w:cs="Arial"/>
          <w:i/>
          <w:color w:val="000000" w:themeColor="text1"/>
          <w:lang w:val="es-MX"/>
        </w:rPr>
        <w:t>, de acuerdo con sus facultades, atribuciones, funciones u objeto social, según corresponda, la información, por lo menos, de los temas, documentos y políticas que a continuación se señalan…” (Énfasis añadido)</w:t>
      </w:r>
      <w:r w:rsidRPr="00212C61">
        <w:rPr>
          <w:rFonts w:ascii="Palatino Linotype" w:hAnsi="Palatino Linotype" w:cs="Arial"/>
          <w:color w:val="000000" w:themeColor="text1"/>
          <w:lang w:val="es-MX"/>
        </w:rPr>
        <w:t>.</w:t>
      </w:r>
    </w:p>
    <w:p w:rsidR="005B4CF7" w:rsidRPr="00212C61" w:rsidRDefault="005B4CF7" w:rsidP="005B4CF7">
      <w:pPr>
        <w:pStyle w:val="Prrafodelista"/>
        <w:spacing w:before="240" w:after="240" w:line="360" w:lineRule="auto"/>
        <w:ind w:left="0"/>
        <w:contextualSpacing/>
        <w:jc w:val="both"/>
        <w:rPr>
          <w:rFonts w:ascii="Palatino Linotype" w:hAnsi="Palatino Linotype" w:cs="Arial"/>
          <w:color w:val="000000" w:themeColor="text1"/>
          <w:lang w:val="es-MX"/>
        </w:rPr>
      </w:pPr>
    </w:p>
    <w:p w:rsidR="005B4CF7" w:rsidRPr="00212C61" w:rsidRDefault="005B4CF7" w:rsidP="005B4CF7">
      <w:pPr>
        <w:pStyle w:val="Prrafodelista"/>
        <w:spacing w:before="240" w:after="240" w:line="360" w:lineRule="auto"/>
        <w:ind w:left="0"/>
        <w:contextualSpacing/>
        <w:jc w:val="both"/>
        <w:rPr>
          <w:rFonts w:ascii="Palatino Linotype" w:hAnsi="Palatino Linotype" w:cs="Arial"/>
          <w:color w:val="000000" w:themeColor="text1"/>
          <w:lang w:val="es-MX"/>
        </w:rPr>
      </w:pPr>
      <w:r w:rsidRPr="00212C61">
        <w:rPr>
          <w:rFonts w:ascii="Palatino Linotype" w:hAnsi="Palatino Linotype" w:cs="Arial"/>
          <w:color w:val="000000" w:themeColor="text1"/>
          <w:lang w:val="es-MX"/>
        </w:rPr>
        <w:t xml:space="preserve">Es por ello que debe entenderse que existen obligaciones en materia de transparencia comunes que deben digitalizarse y ponerse a disposición de público y de los solicitantes sin costo alguno; dichas obligaciones se encuentran mencionadas en el dispositivo legal referido; asimismo, en los artículos del 94 al 102 se especifica información que determinados Sujetos Obligados también deben poner a disposición del público; siendo así, de un análisis pormenorizado de los dispositivos legales </w:t>
      </w:r>
      <w:r w:rsidRPr="00212C61">
        <w:rPr>
          <w:rFonts w:ascii="Palatino Linotype" w:hAnsi="Palatino Linotype" w:cs="Arial"/>
          <w:color w:val="000000" w:themeColor="text1"/>
          <w:lang w:val="es-MX"/>
        </w:rPr>
        <w:lastRenderedPageBreak/>
        <w:t xml:space="preserve">mencionados, no se concluye que exista fuente obligacional que constriña al </w:t>
      </w:r>
      <w:r w:rsidRPr="00212C61">
        <w:rPr>
          <w:rFonts w:ascii="Palatino Linotype" w:hAnsi="Palatino Linotype" w:cs="Arial"/>
          <w:b/>
          <w:color w:val="000000" w:themeColor="text1"/>
          <w:lang w:val="es-MX"/>
        </w:rPr>
        <w:t>Sujeto Obligado</w:t>
      </w:r>
      <w:r w:rsidRPr="00212C61">
        <w:rPr>
          <w:rFonts w:ascii="Palatino Linotype" w:hAnsi="Palatino Linotype" w:cs="Arial"/>
          <w:color w:val="000000" w:themeColor="text1"/>
          <w:lang w:val="es-MX"/>
        </w:rPr>
        <w:t xml:space="preserve"> a poseer la información solicitada en forma digital. </w:t>
      </w:r>
    </w:p>
    <w:p w:rsidR="005B4CF7" w:rsidRPr="00212C61" w:rsidRDefault="005B4CF7" w:rsidP="005B4CF7">
      <w:pPr>
        <w:pStyle w:val="Prrafodelista"/>
        <w:spacing w:before="240" w:after="240" w:line="360" w:lineRule="auto"/>
        <w:ind w:left="0"/>
        <w:contextualSpacing/>
        <w:jc w:val="both"/>
        <w:rPr>
          <w:rFonts w:ascii="Palatino Linotype" w:hAnsi="Palatino Linotype" w:cs="Arial"/>
          <w:color w:val="000000" w:themeColor="text1"/>
          <w:lang w:val="es-MX"/>
        </w:rPr>
      </w:pPr>
    </w:p>
    <w:p w:rsidR="005B4CF7" w:rsidRPr="00212C61" w:rsidRDefault="005B4CF7" w:rsidP="005B4CF7">
      <w:pPr>
        <w:pStyle w:val="Prrafodelista"/>
        <w:spacing w:before="240" w:after="240" w:line="360" w:lineRule="auto"/>
        <w:ind w:left="0"/>
        <w:contextualSpacing/>
        <w:jc w:val="both"/>
        <w:rPr>
          <w:rFonts w:ascii="Palatino Linotype" w:hAnsi="Palatino Linotype" w:cs="Arial"/>
          <w:color w:val="000000" w:themeColor="text1"/>
          <w:lang w:val="es-MX"/>
        </w:rPr>
      </w:pPr>
      <w:r w:rsidRPr="00212C61">
        <w:rPr>
          <w:rFonts w:ascii="Palatino Linotype" w:hAnsi="Palatino Linotype" w:cs="Arial"/>
          <w:color w:val="000000" w:themeColor="text1"/>
          <w:lang w:val="es-MX"/>
        </w:rPr>
        <w:t>Por lo anterior, le asiste la razón a Sujeto Obligado al referir que no existe obligación en materia de transparencia que lo obligue a poseer la información solicitada en medio electrónico; en consecuencia, se procede al estudio de verificar si en efecto, el pago para digitalizar la información solicitada es legalmente aplicable al caso.</w:t>
      </w:r>
    </w:p>
    <w:p w:rsidR="005B4CF7" w:rsidRPr="00212C61" w:rsidRDefault="005B4CF7" w:rsidP="005B4CF7">
      <w:pPr>
        <w:pStyle w:val="Prrafodelista"/>
        <w:spacing w:before="240" w:after="240" w:line="360" w:lineRule="auto"/>
        <w:ind w:left="0"/>
        <w:contextualSpacing/>
        <w:jc w:val="both"/>
        <w:rPr>
          <w:rFonts w:ascii="Palatino Linotype" w:hAnsi="Palatino Linotype" w:cs="Arial"/>
          <w:color w:val="000000" w:themeColor="text1"/>
          <w:lang w:val="es-MX"/>
        </w:rPr>
      </w:pPr>
    </w:p>
    <w:p w:rsidR="005B4CF7" w:rsidRPr="00212C61" w:rsidRDefault="005B4CF7" w:rsidP="005B4CF7">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212C61">
        <w:rPr>
          <w:rFonts w:ascii="Palatino Linotype" w:hAnsi="Palatino Linotype" w:cs="Arial"/>
          <w:color w:val="000000" w:themeColor="text1"/>
        </w:rPr>
        <w:t xml:space="preserve">Al respecto, conviene al caso concreto traer a contexto el contenido de los siguientes dispositivos legales de la Ley de Transparencia y Acceso a la Información Pública del Estado de México y Municipios: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w:t>
      </w:r>
      <w:r w:rsidRPr="00212C61">
        <w:rPr>
          <w:rFonts w:ascii="Palatino Linotype" w:hAnsi="Palatino Linotype" w:cs="Arial"/>
          <w:b/>
          <w:i/>
          <w:color w:val="000000" w:themeColor="text1"/>
          <w:lang w:val="es-MX"/>
        </w:rPr>
        <w:t>Artículo 9.</w:t>
      </w:r>
      <w:r w:rsidRPr="00212C61">
        <w:rPr>
          <w:rFonts w:ascii="Palatino Linotype" w:hAnsi="Palatino Linotype" w:cs="Arial"/>
          <w:i/>
          <w:color w:val="000000" w:themeColor="text1"/>
          <w:lang w:val="es-MX"/>
        </w:rPr>
        <w:t xml:space="preserve"> El Instituto deberá regir su funcionamiento de acuerdo a los siguientes principios: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 xml:space="preserve">…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b/>
          <w:i/>
          <w:color w:val="000000" w:themeColor="text1"/>
          <w:lang w:val="es-MX"/>
        </w:rPr>
        <w:t>III. Gratuidad:</w:t>
      </w:r>
      <w:r w:rsidRPr="00212C61">
        <w:rPr>
          <w:rFonts w:ascii="Palatino Linotype" w:hAnsi="Palatino Linotype" w:cs="Arial"/>
          <w:i/>
          <w:color w:val="000000" w:themeColor="text1"/>
          <w:lang w:val="es-MX"/>
        </w:rPr>
        <w:t xml:space="preserve"> Consiste en que el acceso a la información pública no genera costo alguno para los solicitantes, </w:t>
      </w:r>
      <w:r w:rsidRPr="00212C61">
        <w:rPr>
          <w:rFonts w:ascii="Palatino Linotype" w:hAnsi="Palatino Linotype" w:cs="Arial"/>
          <w:b/>
          <w:i/>
          <w:color w:val="000000" w:themeColor="text1"/>
          <w:u w:val="single"/>
          <w:lang w:val="es-MX"/>
        </w:rPr>
        <w:t>sólo podrá requerirse el cobro correspondiente a la modalidad de reproducción y entrega solicitada conforme a lo establecido en la presente Ley y demás disposiciones jurídicas aplicables</w:t>
      </w:r>
      <w:r w:rsidRPr="00212C61">
        <w:rPr>
          <w:rFonts w:ascii="Palatino Linotype" w:hAnsi="Palatino Linotype" w:cs="Arial"/>
          <w:i/>
          <w:color w:val="000000" w:themeColor="text1"/>
          <w:lang w:val="es-MX"/>
        </w:rPr>
        <w:t>;</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b/>
          <w:i/>
          <w:color w:val="000000" w:themeColor="text1"/>
          <w:lang w:val="es-MX"/>
        </w:rPr>
        <w:t>Artículo 17.</w:t>
      </w:r>
      <w:r w:rsidRPr="00212C61">
        <w:rPr>
          <w:rFonts w:ascii="Palatino Linotype" w:hAnsi="Palatino Linotype" w:cs="Arial"/>
          <w:i/>
          <w:color w:val="000000" w:themeColor="text1"/>
          <w:lang w:val="es-MX"/>
        </w:rPr>
        <w:t xml:space="preserve"> La búsqueda y acceso a la información es gratuita y </w:t>
      </w:r>
      <w:r w:rsidRPr="00212C61">
        <w:rPr>
          <w:rFonts w:ascii="Palatino Linotype" w:hAnsi="Palatino Linotype" w:cs="Arial"/>
          <w:b/>
          <w:i/>
          <w:color w:val="000000" w:themeColor="text1"/>
          <w:u w:val="single"/>
          <w:lang w:val="es-MX"/>
        </w:rPr>
        <w:t>solo se cubrirán los gastos de reproducción, o por la modalidad de entrega solicitada</w:t>
      </w:r>
      <w:r w:rsidRPr="00212C61">
        <w:rPr>
          <w:rFonts w:ascii="Palatino Linotype" w:hAnsi="Palatino Linotype" w:cs="Arial"/>
          <w:i/>
          <w:color w:val="000000" w:themeColor="text1"/>
          <w:lang w:val="es-MX"/>
        </w:rPr>
        <w:t xml:space="preserve">, así como por el envío, que en su caso se genere, </w:t>
      </w:r>
      <w:r w:rsidRPr="00212C61">
        <w:rPr>
          <w:rFonts w:ascii="Palatino Linotype" w:hAnsi="Palatino Linotype" w:cs="Arial"/>
          <w:b/>
          <w:i/>
          <w:color w:val="000000" w:themeColor="text1"/>
          <w:u w:val="single"/>
          <w:lang w:val="es-MX"/>
        </w:rPr>
        <w:t>de conformidad con los derechos, productos y aprovechamientos establecidos en la legislación aplicable, sin que exceda de los límites establecidos en la presente Ley</w:t>
      </w:r>
      <w:r w:rsidRPr="00212C61">
        <w:rPr>
          <w:rFonts w:ascii="Palatino Linotype" w:hAnsi="Palatino Linotype" w:cs="Arial"/>
          <w:b/>
          <w:i/>
          <w:color w:val="000000" w:themeColor="text1"/>
          <w:lang w:val="es-MX"/>
        </w:rPr>
        <w:t>.</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b/>
          <w:i/>
          <w:color w:val="000000" w:themeColor="text1"/>
          <w:lang w:val="es-MX"/>
        </w:rPr>
      </w:pPr>
      <w:r w:rsidRPr="00212C61">
        <w:rPr>
          <w:rFonts w:ascii="Palatino Linotype" w:hAnsi="Palatino Linotype" w:cs="Arial"/>
          <w:b/>
          <w:i/>
          <w:color w:val="000000" w:themeColor="text1"/>
          <w:lang w:val="es-MX"/>
        </w:rPr>
        <w:t>(…)</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b/>
          <w:i/>
          <w:color w:val="000000" w:themeColor="text1"/>
          <w:lang w:val="es-MX"/>
        </w:rPr>
        <w:t>Artículo 165.</w:t>
      </w:r>
      <w:r w:rsidRPr="00212C61">
        <w:rPr>
          <w:rFonts w:ascii="Palatino Linotype" w:hAnsi="Palatino Linotype" w:cs="Arial"/>
          <w:i/>
          <w:color w:val="000000" w:themeColor="text1"/>
          <w:lang w:val="es-MX"/>
        </w:rPr>
        <w:t xml:space="preserve"> Los sujetos obligados establecerán la forma y términos en que darán trámite interno a las solicitudes en materia de acceso a la información.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b/>
          <w:i/>
          <w:color w:val="000000" w:themeColor="text1"/>
          <w:u w:val="single"/>
          <w:lang w:val="es-MX"/>
        </w:rPr>
        <w:lastRenderedPageBreak/>
        <w:t>La información que se entregue en versión pública, cuya modalidad de reproducción o envío tenga un costo, procederá una vez que se acredite el pago respectivo</w:t>
      </w:r>
      <w:r w:rsidRPr="00212C61">
        <w:rPr>
          <w:rFonts w:ascii="Palatino Linotype" w:hAnsi="Palatino Linotype" w:cs="Arial"/>
          <w:b/>
          <w:i/>
          <w:color w:val="000000" w:themeColor="text1"/>
          <w:lang w:val="es-MX"/>
        </w:rPr>
        <w:t>.</w:t>
      </w:r>
      <w:r w:rsidRPr="00212C61">
        <w:rPr>
          <w:rFonts w:ascii="Palatino Linotype" w:hAnsi="Palatino Linotype" w:cs="Arial"/>
          <w:i/>
          <w:color w:val="000000" w:themeColor="text1"/>
          <w:lang w:val="es-MX"/>
        </w:rPr>
        <w:t xml:space="preserve"> No puede entenderse como reproducción la elaboración de la misma.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Ante la falta de respuesta a una solicitud en el plazo previsto y en caso de que proceda el acceso, los costos de reproducción y envío correrán a cargo del sujeto obligado.</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b/>
          <w:i/>
          <w:color w:val="000000" w:themeColor="text1"/>
        </w:rPr>
      </w:pPr>
      <w:r w:rsidRPr="00212C61">
        <w:rPr>
          <w:rFonts w:ascii="Palatino Linotype" w:hAnsi="Palatino Linotype" w:cs="Arial"/>
          <w:b/>
          <w:i/>
          <w:color w:val="000000" w:themeColor="text1"/>
        </w:rPr>
        <w:t>(…)</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b/>
          <w:i/>
          <w:color w:val="000000" w:themeColor="text1"/>
          <w:lang w:val="es-MX"/>
        </w:rPr>
        <w:t>Artículo 174.</w:t>
      </w:r>
      <w:r w:rsidRPr="00212C61">
        <w:rPr>
          <w:rFonts w:ascii="Palatino Linotype" w:hAnsi="Palatino Linotype" w:cs="Arial"/>
          <w:i/>
          <w:color w:val="000000" w:themeColor="text1"/>
          <w:lang w:val="es-MX"/>
        </w:rPr>
        <w:t xml:space="preserve"> </w:t>
      </w:r>
      <w:r w:rsidRPr="00212C61">
        <w:rPr>
          <w:rFonts w:ascii="Palatino Linotype" w:hAnsi="Palatino Linotype" w:cs="Arial"/>
          <w:b/>
          <w:i/>
          <w:color w:val="000000" w:themeColor="text1"/>
          <w:u w:val="single"/>
          <w:lang w:val="es-MX"/>
        </w:rPr>
        <w:t>En caso de existir costos para obtener la información deberán cubrirse de manera previa a la entrega</w:t>
      </w:r>
      <w:r w:rsidRPr="00212C61">
        <w:rPr>
          <w:rFonts w:ascii="Palatino Linotype" w:hAnsi="Palatino Linotype" w:cs="Arial"/>
          <w:i/>
          <w:color w:val="000000" w:themeColor="text1"/>
          <w:lang w:val="es-MX"/>
        </w:rPr>
        <w:t xml:space="preserve"> y no podrán ser superiores a la suma de: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 xml:space="preserve">I. El costo de los materiales utilizados en la reproducción de la información;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 xml:space="preserve">II. El costo de envío, en su caso; y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 xml:space="preserve">III. El pago de la certificación de los documentos, cuando proceda.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b/>
          <w:i/>
          <w:color w:val="000000" w:themeColor="text1"/>
          <w:u w:val="single"/>
          <w:lang w:val="es-MX"/>
        </w:rPr>
        <w:t>Las cuotas de los derechos aplicables deberán establecerse, en su caso, en el Código Financiero del Estado de México y Municipios y demás disposiciones jurídicas aplicables</w:t>
      </w:r>
      <w:r w:rsidRPr="00212C61">
        <w:rPr>
          <w:rFonts w:ascii="Palatino Linotype" w:hAnsi="Palatino Linotype" w:cs="Arial"/>
          <w:i/>
          <w:color w:val="000000" w:themeColor="text1"/>
          <w:lang w:val="es-MX"/>
        </w:rPr>
        <w:t xml:space="preserve">, las cuales se publicarán en los sitios de internet de los sujetos obligados. En su determinación se deberá considerar que los montos permitan o faciliten el ejercicio del derecho de acceso a la información.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b/>
          <w:i/>
          <w:color w:val="000000" w:themeColor="text1"/>
          <w:lang w:val="es-MX"/>
        </w:rPr>
      </w:pPr>
      <w:r w:rsidRPr="00212C61">
        <w:rPr>
          <w:rFonts w:ascii="Palatino Linotype" w:hAnsi="Palatino Linotype" w:cs="Arial"/>
          <w:b/>
          <w:i/>
          <w:color w:val="000000" w:themeColor="text1"/>
          <w:lang w:val="es-MX"/>
        </w:rPr>
        <w:t>(…)</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 xml:space="preserve">La información deberá ser entregada sin costo, </w:t>
      </w:r>
      <w:r w:rsidRPr="00A45EBA">
        <w:rPr>
          <w:rFonts w:ascii="Palatino Linotype" w:hAnsi="Palatino Linotype" w:cs="Arial"/>
          <w:i/>
          <w:color w:val="000000" w:themeColor="text1"/>
          <w:u w:val="single"/>
          <w:lang w:val="es-MX"/>
        </w:rPr>
        <w:t>cuando implique la entrega de no más de veinte hojas simples</w:t>
      </w:r>
      <w:r w:rsidRPr="00212C61">
        <w:rPr>
          <w:rFonts w:ascii="Palatino Linotype" w:hAnsi="Palatino Linotype" w:cs="Arial"/>
          <w:i/>
          <w:color w:val="000000" w:themeColor="text1"/>
          <w:lang w:val="es-MX"/>
        </w:rPr>
        <w:t>. Las unidades de transparencia podrán exceptuar el pago de reproducción y envío atendiendo a las circunstancias socioeconómicas del solicitante, en términos de los lineamientos que expida el Instituto.</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b/>
          <w:i/>
          <w:color w:val="000000" w:themeColor="text1"/>
          <w:lang w:val="es-MX"/>
        </w:rPr>
      </w:pPr>
      <w:r w:rsidRPr="00212C61">
        <w:rPr>
          <w:rFonts w:ascii="Palatino Linotype" w:hAnsi="Palatino Linotype" w:cs="Arial"/>
          <w:b/>
          <w:i/>
          <w:color w:val="000000" w:themeColor="text1"/>
          <w:lang w:val="es-MX"/>
        </w:rPr>
        <w:t>(…)</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b/>
          <w:i/>
          <w:color w:val="000000" w:themeColor="text1"/>
          <w:lang w:val="es-MX"/>
        </w:rPr>
        <w:t>Artículo 175.</w:t>
      </w:r>
      <w:r w:rsidRPr="00212C61">
        <w:rPr>
          <w:rFonts w:ascii="Palatino Linotype" w:hAnsi="Palatino Linotype" w:cs="Arial"/>
          <w:i/>
          <w:color w:val="000000" w:themeColor="text1"/>
          <w:lang w:val="es-MX"/>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lastRenderedPageBreak/>
        <w:t>En ningún caso, el pago de derechos deberá exceder el costo de reproducción de la información en el material solicitado. Los ajustes razonables que se realicen para el acceso de la información de solicitantes con discapacidad serán sin costo para los mismos.”</w:t>
      </w:r>
    </w:p>
    <w:p w:rsidR="005B4CF7" w:rsidRPr="00212C61" w:rsidRDefault="005B4CF7" w:rsidP="005B4CF7">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212C61">
        <w:rPr>
          <w:rFonts w:ascii="Palatino Linotype" w:hAnsi="Palatino Linotype" w:cs="Arial"/>
          <w:color w:val="000000" w:themeColor="text1"/>
        </w:rPr>
        <w:t xml:space="preserve">De lo anterior se advierte que cuando la información solicitada obra en más de 20 (veinte) hojas, y que no corresponde a información común o específica que los Sujetos Obligados deben poner a disposición del público; si la solicitud de información fue atendida debidamente y el </w:t>
      </w:r>
      <w:r w:rsidRPr="00212C61">
        <w:rPr>
          <w:rFonts w:ascii="Palatino Linotype" w:hAnsi="Palatino Linotype" w:cs="Arial"/>
          <w:b/>
          <w:color w:val="000000" w:themeColor="text1"/>
        </w:rPr>
        <w:t>Sujeto Obligado</w:t>
      </w:r>
      <w:r w:rsidRPr="00212C61">
        <w:rPr>
          <w:rFonts w:ascii="Palatino Linotype" w:hAnsi="Palatino Linotype" w:cs="Arial"/>
          <w:color w:val="000000" w:themeColor="text1"/>
        </w:rPr>
        <w:t xml:space="preserve"> manifiesta no poseer la información en forma digital, será procedente requerir el pago por la digitalización conforme a las disposiciones legales aplicables.</w:t>
      </w:r>
    </w:p>
    <w:p w:rsidR="005B4CF7" w:rsidRPr="00212C61" w:rsidRDefault="005B4CF7" w:rsidP="005B4CF7">
      <w:pPr>
        <w:pStyle w:val="Sinespaciado"/>
      </w:pPr>
    </w:p>
    <w:p w:rsidR="005B4CF7" w:rsidRPr="00212C61" w:rsidRDefault="005B4CF7" w:rsidP="005B4CF7">
      <w:pPr>
        <w:spacing w:line="360" w:lineRule="auto"/>
        <w:jc w:val="both"/>
        <w:rPr>
          <w:rFonts w:ascii="Palatino Linotype" w:hAnsi="Palatino Linotype"/>
          <w:i/>
          <w:sz w:val="24"/>
          <w:szCs w:val="24"/>
        </w:rPr>
      </w:pPr>
      <w:r w:rsidRPr="00212C61">
        <w:rPr>
          <w:rFonts w:ascii="Palatino Linotype" w:hAnsi="Palatino Linotype"/>
          <w:sz w:val="24"/>
          <w:szCs w:val="24"/>
        </w:rPr>
        <w:t xml:space="preserve">Por su parte, el </w:t>
      </w:r>
      <w:r w:rsidRPr="00212C61">
        <w:rPr>
          <w:rFonts w:ascii="Palatino Linotype" w:hAnsi="Palatino Linotype"/>
          <w:b/>
          <w:sz w:val="24"/>
          <w:szCs w:val="24"/>
        </w:rPr>
        <w:t>Sujeto Obligado</w:t>
      </w:r>
      <w:r w:rsidRPr="00212C61">
        <w:rPr>
          <w:rFonts w:ascii="Palatino Linotype" w:hAnsi="Palatino Linotype"/>
          <w:sz w:val="24"/>
          <w:szCs w:val="24"/>
        </w:rPr>
        <w:t xml:space="preserve"> al presentar su Informe Justificado, argumentó que no está negando la información, toda vez que se le informó a la </w:t>
      </w:r>
      <w:r w:rsidRPr="00212C61">
        <w:rPr>
          <w:rFonts w:ascii="Palatino Linotype" w:hAnsi="Palatino Linotype"/>
          <w:b/>
          <w:sz w:val="24"/>
          <w:szCs w:val="24"/>
        </w:rPr>
        <w:t>Recurrente</w:t>
      </w:r>
      <w:r w:rsidRPr="00212C61">
        <w:rPr>
          <w:rFonts w:ascii="Palatino Linotype" w:hAnsi="Palatino Linotype"/>
          <w:sz w:val="24"/>
          <w:szCs w:val="24"/>
        </w:rPr>
        <w:t xml:space="preserve"> que cuenta con la información solicitada, sin embargo, esta no se encuentra digitalizada y el proceso de la misma genera un costo por el escaneo y la digitalización por la cantidad de $0.60 (sesenta Centavos) por hoja.</w:t>
      </w:r>
    </w:p>
    <w:p w:rsidR="005B4CF7" w:rsidRPr="00212C61" w:rsidRDefault="005B4CF7" w:rsidP="005B4CF7">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212C61">
        <w:rPr>
          <w:rFonts w:ascii="Palatino Linotype" w:hAnsi="Palatino Linotype" w:cs="Arial"/>
          <w:color w:val="000000" w:themeColor="text1"/>
        </w:rPr>
        <w:t xml:space="preserve">Bajo ese tenor, toda vez que el </w:t>
      </w:r>
      <w:r w:rsidRPr="00212C61">
        <w:rPr>
          <w:rFonts w:ascii="Palatino Linotype" w:hAnsi="Palatino Linotype" w:cs="Arial"/>
          <w:b/>
          <w:color w:val="000000" w:themeColor="text1"/>
        </w:rPr>
        <w:t>Sujeto Obligado</w:t>
      </w:r>
      <w:r w:rsidRPr="00212C61">
        <w:rPr>
          <w:rFonts w:ascii="Palatino Linotype" w:hAnsi="Palatino Linotype" w:cs="Arial"/>
          <w:color w:val="000000" w:themeColor="text1"/>
        </w:rPr>
        <w:t xml:space="preserve">, manifestó poseer dicha información pero solo de manera física, resulta procedente que la información solicitada genere un costo por su digitalización toda vez que, el </w:t>
      </w:r>
      <w:r w:rsidRPr="00212C61">
        <w:rPr>
          <w:rFonts w:ascii="Palatino Linotype" w:hAnsi="Palatino Linotype" w:cs="Arial"/>
          <w:b/>
          <w:color w:val="000000" w:themeColor="text1"/>
        </w:rPr>
        <w:t>Sujeto Obligado</w:t>
      </w:r>
      <w:r w:rsidRPr="00212C61">
        <w:rPr>
          <w:rFonts w:ascii="Palatino Linotype" w:hAnsi="Palatino Linotype" w:cs="Arial"/>
          <w:color w:val="000000" w:themeColor="text1"/>
        </w:rPr>
        <w:t xml:space="preserve"> atendió debidamente la solicitud, además de que la información solicitada excede la cantidad de veinte (veinte) hojas y, no es una fuente obligacional común ni específica que lo constriña a poseer la información digitalizada; de ahí que, requerir el pago por la digitalización de la información solicitada no </w:t>
      </w:r>
      <w:r w:rsidRPr="00212C61">
        <w:rPr>
          <w:rFonts w:ascii="Palatino Linotype" w:hAnsi="Palatino Linotype" w:cs="Arial"/>
        </w:rPr>
        <w:t xml:space="preserve">viola los derechos de la </w:t>
      </w:r>
      <w:r w:rsidRPr="00212C61">
        <w:rPr>
          <w:rFonts w:ascii="Palatino Linotype" w:hAnsi="Palatino Linotype" w:cs="Arial"/>
          <w:b/>
        </w:rPr>
        <w:t>Recurrente</w:t>
      </w:r>
      <w:r w:rsidRPr="00212C61">
        <w:rPr>
          <w:rFonts w:ascii="Palatino Linotype" w:hAnsi="Palatino Linotype" w:cs="Arial"/>
        </w:rPr>
        <w:t xml:space="preserve">, toda vez que el </w:t>
      </w:r>
      <w:r w:rsidRPr="00212C61">
        <w:rPr>
          <w:rFonts w:ascii="Palatino Linotype" w:hAnsi="Palatino Linotype" w:cs="Arial"/>
          <w:b/>
        </w:rPr>
        <w:t>Sujeto Obligado</w:t>
      </w:r>
      <w:r w:rsidRPr="00212C61">
        <w:rPr>
          <w:rFonts w:ascii="Palatino Linotype" w:hAnsi="Palatino Linotype" w:cs="Arial"/>
        </w:rPr>
        <w:t xml:space="preserve"> fundamentó y motivo dicho cobro</w:t>
      </w:r>
      <w:r w:rsidRPr="00212C61">
        <w:rPr>
          <w:rFonts w:ascii="Palatino Linotype" w:hAnsi="Palatino Linotype" w:cs="Arial"/>
          <w:color w:val="000000" w:themeColor="text1"/>
        </w:rPr>
        <w:t>.</w:t>
      </w:r>
    </w:p>
    <w:p w:rsidR="005B4CF7" w:rsidRPr="00212C61" w:rsidRDefault="005B4CF7" w:rsidP="005B4CF7">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212C61">
        <w:rPr>
          <w:rFonts w:ascii="Palatino Linotype" w:hAnsi="Palatino Linotype" w:cs="Arial"/>
          <w:color w:val="000000" w:themeColor="text1"/>
        </w:rPr>
        <w:lastRenderedPageBreak/>
        <w:t xml:space="preserve">Por lo anteriormente, este órgano colegiado considera que la determinación que el </w:t>
      </w:r>
      <w:r w:rsidRPr="00212C61">
        <w:rPr>
          <w:rFonts w:ascii="Palatino Linotype" w:hAnsi="Palatino Linotype" w:cs="Arial"/>
          <w:b/>
          <w:color w:val="000000" w:themeColor="text1"/>
        </w:rPr>
        <w:t>Sujeto Obligado</w:t>
      </w:r>
      <w:r w:rsidRPr="00212C61">
        <w:rPr>
          <w:rFonts w:ascii="Palatino Linotype" w:hAnsi="Palatino Linotype" w:cs="Arial"/>
          <w:color w:val="000000" w:themeColor="text1"/>
        </w:rPr>
        <w:t xml:space="preserve"> hizo para cobrar por la digitalización de la información solicitada se encuentra apegada a derecho; máxime, que lo hizo basándose en lo contemplando en el artículo 4.22 del Reglamento de la Ley de Transparencia y Acceso a la Información Pública del Estado de México y Municipios el cual se encuentra relacionado con el artículo 73, fracción VI del Código Financiero del Estado de México los cuales disponen lo siguiente:</w:t>
      </w:r>
    </w:p>
    <w:p w:rsidR="005B4CF7" w:rsidRPr="00212C61" w:rsidRDefault="005B4CF7" w:rsidP="005B4CF7">
      <w:pPr>
        <w:pStyle w:val="Prrafodelista"/>
        <w:autoSpaceDE w:val="0"/>
        <w:autoSpaceDN w:val="0"/>
        <w:adjustRightInd w:val="0"/>
        <w:spacing w:before="240" w:after="160" w:line="360" w:lineRule="auto"/>
        <w:ind w:left="0"/>
        <w:jc w:val="both"/>
        <w:rPr>
          <w:rFonts w:ascii="Palatino Linotype" w:hAnsi="Palatino Linotype" w:cs="Arial"/>
          <w:b/>
          <w:color w:val="000000" w:themeColor="text1"/>
        </w:rPr>
      </w:pPr>
      <w:r w:rsidRPr="00212C61">
        <w:rPr>
          <w:rFonts w:ascii="Palatino Linotype" w:hAnsi="Palatino Linotype" w:cs="Arial"/>
          <w:b/>
          <w:color w:val="000000" w:themeColor="text1"/>
        </w:rPr>
        <w:t>Del Reglamento de la Ley de Transparencia y Acceso a la Información Pública del Estado de México y Municipios.</w:t>
      </w:r>
    </w:p>
    <w:p w:rsidR="005B4CF7" w:rsidRPr="00212C61" w:rsidRDefault="005B4CF7" w:rsidP="005B4CF7">
      <w:pPr>
        <w:pStyle w:val="Prrafodelista"/>
        <w:autoSpaceDE w:val="0"/>
        <w:autoSpaceDN w:val="0"/>
        <w:adjustRightInd w:val="0"/>
        <w:spacing w:before="120" w:after="120" w:line="360" w:lineRule="auto"/>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w:t>
      </w:r>
      <w:r w:rsidRPr="00212C61">
        <w:rPr>
          <w:rFonts w:ascii="Palatino Linotype" w:hAnsi="Palatino Linotype" w:cs="Arial"/>
          <w:b/>
          <w:i/>
          <w:color w:val="000000" w:themeColor="text1"/>
          <w:lang w:val="es-MX"/>
        </w:rPr>
        <w:t>Artículo 4.22.-</w:t>
      </w:r>
      <w:r w:rsidRPr="00212C61">
        <w:rPr>
          <w:rFonts w:ascii="Palatino Linotype" w:hAnsi="Palatino Linotype" w:cs="Arial"/>
          <w:i/>
          <w:color w:val="000000" w:themeColor="text1"/>
          <w:lang w:val="es-MX"/>
        </w:rPr>
        <w:t xml:space="preserve">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p>
    <w:p w:rsidR="005B4CF7" w:rsidRPr="00212C61" w:rsidRDefault="005B4CF7" w:rsidP="005B4CF7">
      <w:pPr>
        <w:autoSpaceDE w:val="0"/>
        <w:autoSpaceDN w:val="0"/>
        <w:adjustRightInd w:val="0"/>
        <w:spacing w:before="120" w:after="120"/>
        <w:ind w:right="567"/>
        <w:jc w:val="both"/>
        <w:rPr>
          <w:rFonts w:ascii="Palatino Linotype" w:hAnsi="Palatino Linotype" w:cs="Arial"/>
          <w:b/>
          <w:color w:val="000000" w:themeColor="text1"/>
        </w:rPr>
      </w:pPr>
      <w:r w:rsidRPr="00212C61">
        <w:rPr>
          <w:rFonts w:ascii="Palatino Linotype" w:hAnsi="Palatino Linotype" w:cs="Arial"/>
          <w:b/>
          <w:color w:val="000000" w:themeColor="text1"/>
        </w:rPr>
        <w:t>Del Código Financiero del Estado de México.</w:t>
      </w:r>
    </w:p>
    <w:p w:rsidR="005B4CF7" w:rsidRPr="00212C61" w:rsidRDefault="005B4CF7" w:rsidP="005B4CF7">
      <w:pPr>
        <w:autoSpaceDE w:val="0"/>
        <w:autoSpaceDN w:val="0"/>
        <w:adjustRightInd w:val="0"/>
        <w:spacing w:before="120" w:after="120"/>
        <w:ind w:right="567"/>
        <w:jc w:val="both"/>
        <w:rPr>
          <w:rFonts w:ascii="Palatino Linotype" w:hAnsi="Palatino Linotype" w:cs="Arial"/>
          <w:b/>
          <w:color w:val="000000" w:themeColor="text1"/>
        </w:rPr>
      </w:pP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w:t>
      </w:r>
      <w:r w:rsidRPr="00212C61">
        <w:rPr>
          <w:rFonts w:ascii="Palatino Linotype" w:hAnsi="Palatino Linotype" w:cs="Arial"/>
          <w:b/>
          <w:i/>
          <w:color w:val="000000" w:themeColor="text1"/>
          <w:lang w:val="es-MX"/>
        </w:rPr>
        <w:t>Artículo 73.-</w:t>
      </w:r>
      <w:r w:rsidRPr="00212C61">
        <w:rPr>
          <w:rFonts w:ascii="Palatino Linotype" w:hAnsi="Palatino Linotype" w:cs="Arial"/>
          <w:i/>
          <w:color w:val="000000" w:themeColor="text1"/>
          <w:lang w:val="es-MX"/>
        </w:rPr>
        <w:t xml:space="preserve"> Por la expedición de los siguientes documentos se pagarán: </w:t>
      </w:r>
    </w:p>
    <w:p w:rsidR="005B4CF7" w:rsidRPr="00212C61" w:rsidRDefault="005B4CF7" w:rsidP="005B4CF7">
      <w:pPr>
        <w:pStyle w:val="Prrafodelista"/>
        <w:autoSpaceDE w:val="0"/>
        <w:autoSpaceDN w:val="0"/>
        <w:adjustRightInd w:val="0"/>
        <w:spacing w:before="120" w:after="120"/>
        <w:ind w:left="567" w:right="567"/>
        <w:jc w:val="center"/>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lastRenderedPageBreak/>
        <w:t>TARIFA</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CONCEPTO</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i/>
          <w:color w:val="000000" w:themeColor="text1"/>
          <w:lang w:val="es-MX"/>
        </w:rPr>
      </w:pPr>
      <w:r w:rsidRPr="00212C61">
        <w:rPr>
          <w:rFonts w:ascii="Palatino Linotype" w:hAnsi="Palatino Linotype" w:cs="Arial"/>
          <w:i/>
          <w:color w:val="000000" w:themeColor="text1"/>
          <w:lang w:val="es-MX"/>
        </w:rPr>
        <w:t>VI. Por el escaneo y digitalización de cada hoja relativa a los documentos que sean entregados por vía electrónica, en medio magnético o disco compacto. $0.60</w:t>
      </w:r>
    </w:p>
    <w:p w:rsidR="005B4CF7" w:rsidRPr="00212C61" w:rsidRDefault="005B4CF7" w:rsidP="005B4CF7">
      <w:pPr>
        <w:pStyle w:val="Prrafodelista"/>
        <w:autoSpaceDE w:val="0"/>
        <w:autoSpaceDN w:val="0"/>
        <w:adjustRightInd w:val="0"/>
        <w:spacing w:before="120" w:after="120"/>
        <w:ind w:left="567" w:right="567"/>
        <w:jc w:val="both"/>
        <w:rPr>
          <w:rFonts w:ascii="Palatino Linotype" w:hAnsi="Palatino Linotype" w:cs="Arial"/>
          <w:color w:val="000000" w:themeColor="text1"/>
        </w:rPr>
      </w:pPr>
      <w:r w:rsidRPr="00212C61">
        <w:rPr>
          <w:rFonts w:ascii="Palatino Linotype" w:hAnsi="Palatino Linotype" w:cs="Arial"/>
          <w:i/>
          <w:color w:val="000000" w:themeColor="text1"/>
          <w:lang w:val="es-MX"/>
        </w:rPr>
        <w:t>…”</w:t>
      </w:r>
    </w:p>
    <w:p w:rsidR="008D1CC2" w:rsidRPr="00944EFA" w:rsidRDefault="008D1CC2" w:rsidP="00944EFA">
      <w:pPr>
        <w:tabs>
          <w:tab w:val="left" w:pos="893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No </w:t>
      </w:r>
      <w:r w:rsidRPr="00F774C2">
        <w:rPr>
          <w:rFonts w:ascii="Palatino Linotype" w:hAnsi="Palatino Linotype" w:cs="Arial"/>
          <w:sz w:val="24"/>
          <w:szCs w:val="24"/>
        </w:rPr>
        <w:t xml:space="preserve">pasa desapercibido para </w:t>
      </w:r>
      <w:r w:rsidR="00F774C2" w:rsidRPr="00F774C2">
        <w:rPr>
          <w:rFonts w:ascii="Palatino Linotype" w:hAnsi="Palatino Linotype" w:cs="Arial"/>
          <w:sz w:val="24"/>
          <w:szCs w:val="24"/>
        </w:rPr>
        <w:t>esta ponencia resolutora que la recurrente</w:t>
      </w:r>
      <w:r w:rsidR="00944EFA">
        <w:rPr>
          <w:rFonts w:ascii="Palatino Linotype" w:hAnsi="Palatino Linotype" w:cs="Arial"/>
          <w:sz w:val="24"/>
          <w:szCs w:val="24"/>
        </w:rPr>
        <w:t>,</w:t>
      </w:r>
      <w:r w:rsidR="00F774C2" w:rsidRPr="00F774C2">
        <w:rPr>
          <w:rFonts w:ascii="Palatino Linotype" w:hAnsi="Palatino Linotype" w:cs="Arial"/>
          <w:sz w:val="24"/>
          <w:szCs w:val="24"/>
        </w:rPr>
        <w:t xml:space="preserve"> al hacer valer sus razones o motivos de inconformidad se adolece </w:t>
      </w:r>
      <w:r w:rsidR="00676A4B">
        <w:rPr>
          <w:rFonts w:ascii="Palatino Linotype" w:hAnsi="Palatino Linotype" w:cs="Arial"/>
          <w:sz w:val="24"/>
          <w:szCs w:val="24"/>
        </w:rPr>
        <w:t>por el cobro de la digitalización</w:t>
      </w:r>
      <w:r w:rsidR="008E5ABB">
        <w:rPr>
          <w:rFonts w:ascii="Palatino Linotype" w:hAnsi="Palatino Linotype" w:cs="Arial"/>
          <w:sz w:val="24"/>
          <w:szCs w:val="24"/>
        </w:rPr>
        <w:t xml:space="preserve"> y que la información no es lo solicitado</w:t>
      </w:r>
      <w:r w:rsidR="00F774C2" w:rsidRPr="00F774C2">
        <w:rPr>
          <w:rFonts w:ascii="Palatino Linotype" w:hAnsi="Palatino Linotype" w:cs="Arial"/>
          <w:sz w:val="24"/>
          <w:szCs w:val="24"/>
        </w:rPr>
        <w:t xml:space="preserve">, los cuales devienen infundados pues </w:t>
      </w:r>
      <w:r w:rsidR="00F774C2" w:rsidRPr="00F774C2">
        <w:rPr>
          <w:rFonts w:ascii="Palatino Linotype" w:hAnsi="Palatino Linotype" w:cs="Arial"/>
          <w:color w:val="000000" w:themeColor="text1"/>
          <w:sz w:val="24"/>
          <w:szCs w:val="24"/>
        </w:rPr>
        <w:t xml:space="preserve">como se apreció en imágenes antes puntualizadas, el </w:t>
      </w:r>
      <w:r w:rsidR="00F774C2" w:rsidRPr="00F774C2">
        <w:rPr>
          <w:rFonts w:ascii="Palatino Linotype" w:hAnsi="Palatino Linotype" w:cs="Arial"/>
          <w:b/>
          <w:color w:val="000000" w:themeColor="text1"/>
          <w:sz w:val="24"/>
          <w:szCs w:val="24"/>
        </w:rPr>
        <w:t>Sujeto Obligado</w:t>
      </w:r>
      <w:r w:rsidR="00F774C2" w:rsidRPr="00F774C2">
        <w:rPr>
          <w:rFonts w:ascii="Palatino Linotype" w:hAnsi="Palatino Linotype" w:cs="Arial"/>
          <w:color w:val="000000" w:themeColor="text1"/>
          <w:sz w:val="24"/>
          <w:szCs w:val="24"/>
        </w:rPr>
        <w:t xml:space="preserve"> indicó el mecanismo para efectuar el referido pago, y manifestó que una vez acreditado dicho pago, entregará la i</w:t>
      </w:r>
      <w:r w:rsidR="00944EFA">
        <w:rPr>
          <w:rFonts w:ascii="Palatino Linotype" w:hAnsi="Palatino Linotype" w:cs="Arial"/>
          <w:color w:val="000000" w:themeColor="text1"/>
          <w:sz w:val="24"/>
          <w:szCs w:val="24"/>
        </w:rPr>
        <w:t xml:space="preserve">nformación solicitada. </w:t>
      </w:r>
      <w:r w:rsidR="00944EFA">
        <w:rPr>
          <w:rFonts w:ascii="Palatino Linotype" w:hAnsi="Palatino Linotype" w:cs="Arial"/>
          <w:sz w:val="24"/>
        </w:rPr>
        <w:t>P</w:t>
      </w:r>
      <w:r w:rsidR="00944EFA" w:rsidRPr="00212C61">
        <w:rPr>
          <w:rFonts w:ascii="Palatino Linotype" w:hAnsi="Palatino Linotype" w:cs="Arial"/>
          <w:sz w:val="24"/>
        </w:rPr>
        <w:t>or tanto, se deberá confirma</w:t>
      </w:r>
      <w:r w:rsidR="008E5ABB">
        <w:rPr>
          <w:rFonts w:ascii="Palatino Linotype" w:hAnsi="Palatino Linotype" w:cs="Arial"/>
          <w:sz w:val="24"/>
        </w:rPr>
        <w:t>r la respuesta otorgada por el Sujeto O</w:t>
      </w:r>
      <w:r w:rsidR="00944EFA" w:rsidRPr="00212C61">
        <w:rPr>
          <w:rFonts w:ascii="Palatino Linotype" w:hAnsi="Palatino Linotype" w:cs="Arial"/>
          <w:sz w:val="24"/>
        </w:rPr>
        <w:t>bligado.</w:t>
      </w:r>
    </w:p>
    <w:p w:rsidR="00C903AE" w:rsidRDefault="00C903AE" w:rsidP="00C903AE">
      <w:pPr>
        <w:tabs>
          <w:tab w:val="left" w:pos="8931"/>
        </w:tabs>
        <w:spacing w:before="240" w:line="360" w:lineRule="auto"/>
        <w:ind w:right="51"/>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Por otro lado es necesario precisar que </w:t>
      </w:r>
      <w:r w:rsidR="00944EFA" w:rsidRPr="00944EFA">
        <w:rPr>
          <w:rFonts w:ascii="Palatino Linotype" w:eastAsia="Times New Roman" w:hAnsi="Palatino Linotype" w:cs="Times New Roman"/>
          <w:sz w:val="24"/>
          <w:szCs w:val="24"/>
          <w:lang w:eastAsia="es-ES"/>
        </w:rPr>
        <w:t>de la información solicitada</w:t>
      </w:r>
      <w:r>
        <w:rPr>
          <w:rFonts w:ascii="Palatino Linotype" w:eastAsia="Times New Roman" w:hAnsi="Palatino Linotype" w:cs="Times New Roman"/>
          <w:sz w:val="24"/>
          <w:szCs w:val="24"/>
          <w:lang w:eastAsia="es-ES"/>
        </w:rPr>
        <w:t>, podría contener datos susceptibles de clasificar, por lo que el sujeto obligado deberá hacer entrega de esta en versión pública de ser procedente conforme a las siguientes argumentaciones.</w:t>
      </w:r>
    </w:p>
    <w:p w:rsidR="00C903AE" w:rsidRPr="00D6154F" w:rsidRDefault="00C903AE" w:rsidP="00C903AE">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C903AE" w:rsidRPr="00D32F71" w:rsidRDefault="00C903AE" w:rsidP="00C903AE">
      <w:pPr>
        <w:spacing w:line="360" w:lineRule="auto"/>
        <w:ind w:left="709" w:right="141"/>
        <w:jc w:val="both"/>
        <w:rPr>
          <w:rFonts w:ascii="Palatino Linotype" w:hAnsi="Palatino Linotype"/>
          <w:b/>
          <w:i/>
          <w:color w:val="000000"/>
          <w:sz w:val="6"/>
        </w:rPr>
      </w:pPr>
    </w:p>
    <w:p w:rsidR="00C903AE" w:rsidRDefault="00C74E68" w:rsidP="00C903AE">
      <w:pPr>
        <w:spacing w:after="0" w:line="360" w:lineRule="auto"/>
        <w:jc w:val="both"/>
        <w:rPr>
          <w:rFonts w:ascii="Palatino Linotype" w:hAnsi="Palatino Linotype" w:cs="Arial"/>
          <w:sz w:val="24"/>
          <w:szCs w:val="24"/>
        </w:rPr>
      </w:pPr>
      <w:r>
        <w:rPr>
          <w:rFonts w:ascii="Palatino Linotype" w:hAnsi="Palatino Linotype" w:cs="Arial"/>
          <w:sz w:val="24"/>
          <w:szCs w:val="24"/>
        </w:rPr>
        <w:t>Resulta oportuno precisar que p</w:t>
      </w:r>
      <w:r w:rsidR="00C903AE">
        <w:rPr>
          <w:rFonts w:ascii="Palatino Linotype" w:hAnsi="Palatino Linotype" w:cs="Arial"/>
          <w:sz w:val="24"/>
          <w:szCs w:val="24"/>
        </w:rPr>
        <w:t>ara el caso de que contenga datos personales</w:t>
      </w:r>
      <w:r>
        <w:rPr>
          <w:rFonts w:ascii="Palatino Linotype" w:hAnsi="Palatino Linotype" w:cs="Arial"/>
          <w:sz w:val="24"/>
          <w:szCs w:val="24"/>
        </w:rPr>
        <w:t>,</w:t>
      </w:r>
      <w:r w:rsidR="00C903AE">
        <w:rPr>
          <w:rFonts w:ascii="Palatino Linotype" w:hAnsi="Palatino Linotype" w:cs="Arial"/>
          <w:sz w:val="24"/>
          <w:szCs w:val="24"/>
        </w:rPr>
        <w:t xml:space="preserve"> deberá realizar la clasificación de la información ya que </w:t>
      </w:r>
      <w:r w:rsidR="00C903AE" w:rsidRPr="00822149">
        <w:rPr>
          <w:rFonts w:ascii="Palatino Linotype" w:hAnsi="Palatino Linotype" w:cs="Arial"/>
          <w:sz w:val="24"/>
          <w:szCs w:val="24"/>
        </w:rPr>
        <w:t xml:space="preserve">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w:t>
      </w:r>
      <w:r w:rsidR="00C903AE" w:rsidRPr="00822149">
        <w:rPr>
          <w:rFonts w:ascii="Palatino Linotype" w:hAnsi="Palatino Linotype" w:cs="Arial"/>
          <w:sz w:val="24"/>
          <w:szCs w:val="24"/>
        </w:rPr>
        <w:lastRenderedPageBreak/>
        <w:t>3, fracciones IX, XX, XXI</w:t>
      </w:r>
      <w:r w:rsidR="00C903AE">
        <w:rPr>
          <w:rFonts w:ascii="Palatino Linotype" w:hAnsi="Palatino Linotype" w:cs="Arial"/>
          <w:sz w:val="24"/>
          <w:szCs w:val="24"/>
        </w:rPr>
        <w:t xml:space="preserve"> </w:t>
      </w:r>
      <w:r w:rsidR="00C903AE" w:rsidRPr="00822149">
        <w:rPr>
          <w:rFonts w:ascii="Palatino Linotype" w:hAnsi="Palatino Linotype" w:cs="Arial"/>
          <w:sz w:val="24"/>
          <w:szCs w:val="24"/>
        </w:rPr>
        <w:t xml:space="preserve">y XLV; 91, </w:t>
      </w:r>
      <w:r w:rsidR="00C903AE">
        <w:rPr>
          <w:rFonts w:ascii="Palatino Linotype" w:hAnsi="Palatino Linotype" w:cs="Arial"/>
          <w:sz w:val="24"/>
          <w:szCs w:val="24"/>
        </w:rPr>
        <w:t xml:space="preserve">122, </w:t>
      </w:r>
      <w:r w:rsidR="00C903AE" w:rsidRPr="00822149">
        <w:rPr>
          <w:rFonts w:ascii="Palatino Linotype" w:hAnsi="Palatino Linotype" w:cs="Arial"/>
          <w:sz w:val="24"/>
          <w:szCs w:val="24"/>
        </w:rPr>
        <w:t>13</w:t>
      </w:r>
      <w:r w:rsidR="00C903AE">
        <w:rPr>
          <w:rFonts w:ascii="Palatino Linotype" w:hAnsi="Palatino Linotype" w:cs="Arial"/>
          <w:sz w:val="24"/>
          <w:szCs w:val="24"/>
        </w:rPr>
        <w:t xml:space="preserve">2, 137, </w:t>
      </w:r>
      <w:r w:rsidR="00C903AE" w:rsidRPr="00822149">
        <w:rPr>
          <w:rFonts w:ascii="Palatino Linotype" w:hAnsi="Palatino Linotype" w:cs="Arial"/>
          <w:sz w:val="24"/>
          <w:szCs w:val="24"/>
        </w:rPr>
        <w:t>143</w:t>
      </w:r>
      <w:r w:rsidR="00C903AE">
        <w:rPr>
          <w:rFonts w:ascii="Palatino Linotype" w:hAnsi="Palatino Linotype" w:cs="Arial"/>
          <w:sz w:val="24"/>
          <w:szCs w:val="24"/>
        </w:rPr>
        <w:t xml:space="preserve"> fracción I,</w:t>
      </w:r>
      <w:r w:rsidR="00C903AE" w:rsidRPr="00822149">
        <w:rPr>
          <w:rFonts w:ascii="Palatino Linotype" w:hAnsi="Palatino Linotype" w:cs="Arial"/>
          <w:sz w:val="24"/>
          <w:szCs w:val="24"/>
        </w:rPr>
        <w:t xml:space="preserve"> de la Ley de Transparencia y Acceso a la Información Pública del Estado de México y Municipios.</w:t>
      </w:r>
    </w:p>
    <w:p w:rsidR="00C903AE" w:rsidRDefault="00C903AE" w:rsidP="00C903AE">
      <w:pPr>
        <w:spacing w:after="0" w:line="360" w:lineRule="auto"/>
        <w:jc w:val="both"/>
        <w:rPr>
          <w:rFonts w:ascii="Palatino Linotype" w:hAnsi="Palatino Linotype" w:cs="Arial"/>
          <w:sz w:val="24"/>
          <w:szCs w:val="24"/>
        </w:rPr>
      </w:pP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C903AE" w:rsidRPr="00A31C1A"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p>
    <w:p w:rsidR="00C903AE" w:rsidRPr="00A31C1A" w:rsidRDefault="00C903AE" w:rsidP="00C903AE">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C903AE" w:rsidRDefault="00C903AE" w:rsidP="00C903AE">
      <w:pPr>
        <w:autoSpaceDE w:val="0"/>
        <w:autoSpaceDN w:val="0"/>
        <w:adjustRightInd w:val="0"/>
        <w:spacing w:after="0" w:line="276" w:lineRule="auto"/>
        <w:ind w:left="567" w:right="284"/>
        <w:jc w:val="both"/>
        <w:rPr>
          <w:rFonts w:ascii="Palatino Linotype" w:hAnsi="Palatino Linotype" w:cs="Arial"/>
          <w:b/>
          <w:i/>
          <w:szCs w:val="24"/>
        </w:rPr>
      </w:pP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Pr="00542DCC"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C903AE" w:rsidRPr="007B1AB1" w:rsidRDefault="00C903AE" w:rsidP="00C903AE">
      <w:pPr>
        <w:autoSpaceDE w:val="0"/>
        <w:autoSpaceDN w:val="0"/>
        <w:adjustRightInd w:val="0"/>
        <w:spacing w:after="0" w:line="360" w:lineRule="auto"/>
        <w:jc w:val="both"/>
        <w:rPr>
          <w:rFonts w:ascii="Palatino Linotype" w:hAnsi="Palatino Linotype" w:cs="Arial"/>
          <w:sz w:val="24"/>
          <w:szCs w:val="24"/>
        </w:rPr>
      </w:pP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542DCC">
        <w:rPr>
          <w:rFonts w:ascii="Palatino Linotype" w:hAnsi="Palatino Linotype" w:cs="Arial"/>
          <w:i/>
          <w:szCs w:val="24"/>
        </w:rPr>
        <w:lastRenderedPageBreak/>
        <w:t>clasificadas, indicando su contenido de manera genérica y fundando y motivando su clasificación.</w:t>
      </w: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p>
    <w:p w:rsidR="00C903AE" w:rsidRPr="00A31C1A"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C903AE" w:rsidRDefault="00C903AE" w:rsidP="00C903AE">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903AE" w:rsidRDefault="00C903AE" w:rsidP="00C903AE">
      <w:pPr>
        <w:autoSpaceDE w:val="0"/>
        <w:autoSpaceDN w:val="0"/>
        <w:adjustRightInd w:val="0"/>
        <w:spacing w:after="0" w:line="276" w:lineRule="auto"/>
        <w:ind w:left="567" w:right="284"/>
        <w:jc w:val="both"/>
        <w:rPr>
          <w:rFonts w:ascii="Palatino Linotype" w:hAnsi="Palatino Linotype" w:cs="Arial"/>
          <w:i/>
          <w:szCs w:val="24"/>
        </w:rPr>
      </w:pPr>
    </w:p>
    <w:p w:rsidR="00C903AE" w:rsidRPr="00E06153" w:rsidRDefault="00C903AE" w:rsidP="00C903AE">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C903AE" w:rsidRPr="00AD2A55" w:rsidRDefault="00C903AE" w:rsidP="00C903AE">
      <w:pPr>
        <w:rPr>
          <w:lang w:val="es-ES" w:eastAsia="es-ES"/>
        </w:rPr>
      </w:pP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C903AE" w:rsidRDefault="00C903AE" w:rsidP="00C903AE">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C903AE" w:rsidRPr="0020745E" w:rsidRDefault="00C903AE" w:rsidP="00C903AE">
      <w:pPr>
        <w:shd w:val="clear" w:color="auto" w:fill="FFFFFF"/>
        <w:spacing w:after="101" w:line="240" w:lineRule="auto"/>
        <w:jc w:val="both"/>
        <w:rPr>
          <w:rFonts w:ascii="Arial" w:eastAsia="Times New Roman" w:hAnsi="Arial" w:cs="Arial"/>
          <w:color w:val="2F2F2F"/>
          <w:sz w:val="18"/>
          <w:szCs w:val="18"/>
          <w:lang w:eastAsia="es-MX"/>
        </w:rPr>
      </w:pP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C903AE" w:rsidRPr="00AD2A55" w:rsidRDefault="00C903AE" w:rsidP="00C903AE">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  …</w:t>
      </w:r>
    </w:p>
    <w:p w:rsidR="00C903AE" w:rsidRPr="00AD2A55" w:rsidRDefault="00C903AE" w:rsidP="00C903AE">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C903AE" w:rsidRDefault="00C903AE" w:rsidP="00C903AE">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C903AE" w:rsidRPr="00AD2A55" w:rsidRDefault="00C903AE" w:rsidP="00C903AE">
      <w:pPr>
        <w:shd w:val="clear" w:color="auto" w:fill="FFFFFF"/>
        <w:spacing w:after="0" w:line="240" w:lineRule="auto"/>
        <w:ind w:left="851" w:right="851"/>
        <w:jc w:val="both"/>
        <w:rPr>
          <w:rFonts w:ascii="Palatino Linotype" w:eastAsia="Times New Roman" w:hAnsi="Palatino Linotype" w:cs="Arial"/>
          <w:lang w:eastAsia="es-MX"/>
        </w:rPr>
      </w:pPr>
    </w:p>
    <w:p w:rsidR="00C903AE" w:rsidRDefault="00C903AE" w:rsidP="00C903AE">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C903AE" w:rsidRPr="00AD2A55" w:rsidRDefault="00C903AE" w:rsidP="00C903AE">
      <w:pPr>
        <w:autoSpaceDE w:val="0"/>
        <w:autoSpaceDN w:val="0"/>
        <w:adjustRightInd w:val="0"/>
        <w:spacing w:after="0" w:line="360" w:lineRule="auto"/>
        <w:jc w:val="both"/>
        <w:rPr>
          <w:rFonts w:ascii="Palatino Linotype" w:hAnsi="Palatino Linotype" w:cs="Arial"/>
          <w:bCs/>
          <w:sz w:val="24"/>
          <w:szCs w:val="24"/>
        </w:rPr>
      </w:pPr>
    </w:p>
    <w:p w:rsidR="00C903AE" w:rsidRDefault="00C903AE" w:rsidP="00C903A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903AE" w:rsidRPr="00AD2A55" w:rsidRDefault="00C903AE" w:rsidP="00C903AE">
      <w:pPr>
        <w:autoSpaceDE w:val="0"/>
        <w:autoSpaceDN w:val="0"/>
        <w:adjustRightInd w:val="0"/>
        <w:spacing w:after="0" w:line="360" w:lineRule="auto"/>
        <w:jc w:val="both"/>
        <w:rPr>
          <w:rFonts w:ascii="Palatino Linotype" w:hAnsi="Palatino Linotype" w:cs="Arial"/>
          <w:bCs/>
          <w:sz w:val="24"/>
          <w:szCs w:val="24"/>
        </w:rPr>
      </w:pPr>
    </w:p>
    <w:p w:rsidR="00C903AE" w:rsidRDefault="00C903AE" w:rsidP="00C903AE">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903AE" w:rsidRDefault="00C903AE" w:rsidP="00C903AE">
      <w:pPr>
        <w:spacing w:after="0" w:line="360" w:lineRule="auto"/>
        <w:jc w:val="both"/>
        <w:rPr>
          <w:rFonts w:ascii="Palatino Linotype" w:hAnsi="Palatino Linotype" w:cs="Arial"/>
          <w:bCs/>
          <w:sz w:val="24"/>
          <w:szCs w:val="24"/>
        </w:rPr>
      </w:pPr>
    </w:p>
    <w:p w:rsidR="00C903AE" w:rsidRDefault="00C903AE" w:rsidP="00C903AE">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903AE" w:rsidRPr="00AD2A55" w:rsidRDefault="00C903AE" w:rsidP="00C903AE">
      <w:pPr>
        <w:spacing w:after="0" w:line="360" w:lineRule="auto"/>
        <w:jc w:val="both"/>
        <w:rPr>
          <w:rFonts w:ascii="Palatino Linotype" w:hAnsi="Palatino Linotype" w:cs="Arial"/>
          <w:bCs/>
          <w:sz w:val="24"/>
          <w:szCs w:val="24"/>
        </w:rPr>
      </w:pPr>
    </w:p>
    <w:p w:rsidR="00C903AE" w:rsidRPr="00AD2A55" w:rsidRDefault="00C903AE" w:rsidP="00C903A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w:t>
      </w:r>
      <w:r w:rsidRPr="00AD2A55">
        <w:rPr>
          <w:rFonts w:ascii="Palatino Linotype" w:hAnsi="Palatino Linotype" w:cs="Arial"/>
          <w:bCs/>
          <w:i/>
          <w:iCs/>
          <w:u w:val="single"/>
        </w:rPr>
        <w:lastRenderedPageBreak/>
        <w:t>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C903AE" w:rsidRDefault="00C903AE" w:rsidP="00C903AE">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C903AE" w:rsidRPr="00AD2A55" w:rsidRDefault="00C903AE" w:rsidP="00C903AE">
      <w:pPr>
        <w:spacing w:after="0" w:line="240" w:lineRule="auto"/>
        <w:ind w:right="850"/>
        <w:jc w:val="both"/>
        <w:rPr>
          <w:rFonts w:ascii="Palatino Linotype" w:hAnsi="Palatino Linotype" w:cs="Arial"/>
          <w:bCs/>
          <w:i/>
          <w:iCs/>
        </w:rPr>
      </w:pPr>
    </w:p>
    <w:p w:rsidR="002557B7" w:rsidRDefault="002557B7" w:rsidP="00C903AE">
      <w:pPr>
        <w:pStyle w:val="Ttulo2"/>
        <w:spacing w:before="0" w:line="360" w:lineRule="auto"/>
        <w:jc w:val="both"/>
        <w:rPr>
          <w:rFonts w:ascii="Palatino Linotype" w:eastAsia="Calibri" w:hAnsi="Palatino Linotype" w:cs="Arial"/>
          <w:color w:val="auto"/>
          <w:sz w:val="24"/>
          <w:szCs w:val="24"/>
        </w:rPr>
      </w:pPr>
    </w:p>
    <w:p w:rsidR="00C903AE" w:rsidRDefault="00C903AE" w:rsidP="00C903AE">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A86C94" w:rsidRDefault="00A86C94" w:rsidP="00101AEA">
      <w:pPr>
        <w:pStyle w:val="Prrafodelista"/>
        <w:autoSpaceDE w:val="0"/>
        <w:autoSpaceDN w:val="0"/>
        <w:adjustRightInd w:val="0"/>
        <w:spacing w:line="360" w:lineRule="auto"/>
        <w:ind w:left="0"/>
        <w:jc w:val="both"/>
        <w:rPr>
          <w:rFonts w:ascii="Palatino Linotype" w:eastAsia="MS Mincho" w:hAnsi="Palatino Linotype" w:cs="Arial"/>
        </w:rPr>
      </w:pPr>
    </w:p>
    <w:p w:rsidR="007A0603"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CC2429">
        <w:rPr>
          <w:rFonts w:ascii="Palatino Linotype" w:hAnsi="Palatino Linotype"/>
          <w:noProof/>
          <w:sz w:val="24"/>
          <w:szCs w:val="24"/>
          <w:lang w:eastAsia="es-MX"/>
        </w:rPr>
        <w:t>s de inconformidad que arguye La</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676A4B" w:rsidRPr="00676A4B">
        <w:rPr>
          <w:rFonts w:ascii="Palatino Linotype" w:hAnsi="Palatino Linotype"/>
          <w:b/>
          <w:sz w:val="24"/>
          <w:szCs w:val="24"/>
        </w:rPr>
        <w:t>00433/UPVT/IP/2019</w:t>
      </w:r>
      <w:r w:rsidRPr="0014447C">
        <w:rPr>
          <w:rFonts w:ascii="Palatino Linotype" w:hAnsi="Palatino Linotype"/>
          <w:bCs/>
          <w:sz w:val="24"/>
          <w:szCs w:val="24"/>
        </w:rPr>
        <w:t xml:space="preserve"> que ha</w:t>
      </w:r>
      <w:r>
        <w:rPr>
          <w:rFonts w:ascii="Palatino Linotype" w:hAnsi="Palatino Linotype"/>
          <w:bCs/>
          <w:sz w:val="24"/>
          <w:szCs w:val="24"/>
        </w:rPr>
        <w:t>n</w:t>
      </w:r>
      <w:r w:rsidRPr="0014447C">
        <w:rPr>
          <w:rFonts w:ascii="Palatino Linotype" w:hAnsi="Palatino Linotype"/>
          <w:bCs/>
          <w:sz w:val="24"/>
          <w:szCs w:val="24"/>
        </w:rPr>
        <w:t xml:space="preserve"> sido materia del presente fallo</w:t>
      </w:r>
      <w:r w:rsidRPr="0014447C">
        <w:rPr>
          <w:rFonts w:ascii="Palatino Linotype" w:hAnsi="Palatino Linotype"/>
          <w:sz w:val="24"/>
          <w:szCs w:val="24"/>
        </w:rPr>
        <w:t>, por lo que este Pleno:</w:t>
      </w:r>
    </w:p>
    <w:p w:rsidR="002557B7" w:rsidRDefault="002557B7" w:rsidP="007A0603">
      <w:pPr>
        <w:pStyle w:val="Sinespaciado"/>
        <w:spacing w:line="360" w:lineRule="auto"/>
        <w:jc w:val="both"/>
        <w:rPr>
          <w:rFonts w:ascii="Palatino Linotype" w:hAnsi="Palatino Linotype"/>
          <w:sz w:val="24"/>
          <w:szCs w:val="24"/>
        </w:rPr>
      </w:pPr>
    </w:p>
    <w:p w:rsidR="007A0603" w:rsidRPr="00777996" w:rsidRDefault="007A0603" w:rsidP="007A0603">
      <w:pPr>
        <w:pStyle w:val="Sinespaciado"/>
        <w:spacing w:line="360" w:lineRule="auto"/>
        <w:jc w:val="both"/>
        <w:rPr>
          <w:rFonts w:ascii="Palatino Linotype" w:hAnsi="Palatino Linotype"/>
          <w:sz w:val="8"/>
          <w:szCs w:val="24"/>
        </w:rPr>
      </w:pPr>
    </w:p>
    <w:p w:rsidR="007A0603" w:rsidRDefault="007A0603" w:rsidP="007A0603">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7A0603" w:rsidRPr="00777996" w:rsidRDefault="007A0603" w:rsidP="007A0603">
      <w:pPr>
        <w:tabs>
          <w:tab w:val="left" w:pos="709"/>
        </w:tabs>
        <w:spacing w:before="240" w:line="360" w:lineRule="auto"/>
        <w:ind w:right="51"/>
        <w:jc w:val="both"/>
        <w:rPr>
          <w:rFonts w:ascii="Palatino Linotype" w:hAnsi="Palatino Linotype"/>
          <w:sz w:val="24"/>
          <w:szCs w:val="24"/>
        </w:rPr>
      </w:pPr>
    </w:p>
    <w:p w:rsidR="007A0603" w:rsidRPr="00777996" w:rsidRDefault="007A0603" w:rsidP="007A0603">
      <w:pPr>
        <w:pStyle w:val="Sinespaciado"/>
        <w:spacing w:line="360" w:lineRule="auto"/>
        <w:jc w:val="center"/>
        <w:rPr>
          <w:rFonts w:ascii="Palatino Linotype" w:hAnsi="Palatino Linotype"/>
          <w:b/>
          <w:sz w:val="28"/>
          <w:szCs w:val="28"/>
        </w:rPr>
      </w:pPr>
      <w:r>
        <w:rPr>
          <w:rFonts w:ascii="Palatino Linotype" w:hAnsi="Palatino Linotype"/>
          <w:b/>
          <w:sz w:val="28"/>
          <w:szCs w:val="24"/>
          <w:lang w:val="pt-BR"/>
        </w:rPr>
        <w:lastRenderedPageBreak/>
        <w:t>S E</w:t>
      </w:r>
      <w:r>
        <w:rPr>
          <w:rFonts w:ascii="Palatino Linotype" w:hAnsi="Palatino Linotype"/>
          <w:b/>
          <w:sz w:val="28"/>
          <w:szCs w:val="28"/>
        </w:rPr>
        <w:t xml:space="preserve">     R</w:t>
      </w:r>
      <w:r w:rsidRPr="00777996">
        <w:rPr>
          <w:rFonts w:ascii="Palatino Linotype" w:hAnsi="Palatino Linotype"/>
          <w:b/>
          <w:sz w:val="28"/>
          <w:szCs w:val="28"/>
        </w:rPr>
        <w:t xml:space="preserve"> E S U E L V E</w:t>
      </w:r>
    </w:p>
    <w:p w:rsidR="007A0603" w:rsidRPr="00777996" w:rsidRDefault="007A0603" w:rsidP="007A0603">
      <w:pPr>
        <w:pStyle w:val="Sinespaciado"/>
        <w:spacing w:line="360" w:lineRule="auto"/>
        <w:jc w:val="center"/>
        <w:rPr>
          <w:rFonts w:ascii="Palatino Linotype" w:hAnsi="Palatino Linotype"/>
          <w:b/>
          <w:sz w:val="6"/>
          <w:szCs w:val="28"/>
        </w:rPr>
      </w:pPr>
    </w:p>
    <w:p w:rsidR="007A0603" w:rsidRPr="00C90CE9" w:rsidRDefault="007A0603" w:rsidP="007A0603">
      <w:pPr>
        <w:pStyle w:val="Sinespaciado"/>
        <w:spacing w:line="360" w:lineRule="auto"/>
        <w:jc w:val="both"/>
        <w:rPr>
          <w:rFonts w:ascii="Palatino Linotype" w:hAnsi="Palatino Linotype"/>
          <w:b/>
          <w:sz w:val="2"/>
          <w:szCs w:val="24"/>
        </w:rPr>
      </w:pPr>
    </w:p>
    <w:p w:rsidR="007A0603" w:rsidRPr="0014447C" w:rsidRDefault="007A0603" w:rsidP="007A0603">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676A4B" w:rsidRPr="00676A4B">
        <w:rPr>
          <w:rFonts w:ascii="Palatino Linotype" w:hAnsi="Palatino Linotype"/>
          <w:b/>
          <w:sz w:val="24"/>
          <w:szCs w:val="24"/>
        </w:rPr>
        <w:t>00433/UPVT/IP/2019</w:t>
      </w:r>
      <w:r w:rsidR="00015228">
        <w:rPr>
          <w:rFonts w:ascii="Palatino Linotype" w:hAnsi="Palatino Linotype"/>
          <w:b/>
          <w:sz w:val="24"/>
          <w:szCs w:val="24"/>
        </w:rPr>
        <w:t>,</w:t>
      </w:r>
      <w:r w:rsidRPr="004A5EA1">
        <w:rPr>
          <w:rFonts w:ascii="Palatino Linotype" w:hAnsi="Palatino Linotype"/>
          <w:b/>
          <w:bCs/>
          <w:sz w:val="24"/>
          <w:szCs w:val="24"/>
          <w:lang w:eastAsia="es-MX"/>
        </w:rPr>
        <w:t xml:space="preserve"> </w:t>
      </w:r>
      <w:r w:rsidRPr="0014447C">
        <w:rPr>
          <w:rFonts w:ascii="Palatino Linotype" w:hAnsi="Palatino Linotype"/>
          <w:sz w:val="24"/>
          <w:szCs w:val="24"/>
        </w:rPr>
        <w:t>por resultar infundadas las razones o motivos de i</w:t>
      </w:r>
      <w:r>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7A0603" w:rsidRPr="00E755E5" w:rsidRDefault="007A0603" w:rsidP="007A0603">
      <w:pPr>
        <w:pStyle w:val="Sinespaciado"/>
        <w:spacing w:line="360" w:lineRule="auto"/>
        <w:jc w:val="both"/>
        <w:rPr>
          <w:rFonts w:ascii="Palatino Linotype" w:hAnsi="Palatino Linotype"/>
          <w:sz w:val="14"/>
          <w:szCs w:val="24"/>
        </w:rPr>
      </w:pPr>
    </w:p>
    <w:p w:rsidR="007A0603" w:rsidRDefault="007A0603" w:rsidP="007A0603">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w:t>
      </w:r>
      <w:r>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rsidR="007A0603" w:rsidRPr="00E755E5" w:rsidRDefault="007A0603" w:rsidP="007A0603">
      <w:pPr>
        <w:pStyle w:val="Sinespaciado"/>
        <w:spacing w:line="360" w:lineRule="auto"/>
        <w:jc w:val="both"/>
        <w:rPr>
          <w:rFonts w:ascii="Palatino Linotype" w:hAnsi="Palatino Linotype"/>
          <w:sz w:val="14"/>
          <w:szCs w:val="24"/>
        </w:rPr>
      </w:pPr>
    </w:p>
    <w:p w:rsidR="007A0603" w:rsidRPr="00762D42" w:rsidRDefault="007A0603" w:rsidP="007A0603">
      <w:pPr>
        <w:pStyle w:val="Sinespaciado"/>
        <w:spacing w:line="360" w:lineRule="auto"/>
        <w:jc w:val="both"/>
        <w:rPr>
          <w:rFonts w:ascii="Palatino Linotype" w:hAnsi="Palatino Linotype" w:cs="Arial"/>
          <w:bCs/>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Pr>
          <w:rFonts w:ascii="Palatino Linotype" w:hAnsi="Palatino Linotype"/>
          <w:sz w:val="24"/>
          <w:szCs w:val="24"/>
        </w:rPr>
        <w:t xml:space="preserve"> La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w:t>
      </w:r>
      <w:r>
        <w:rPr>
          <w:rFonts w:ascii="Palatino Linotype" w:hAnsi="Palatino Linotype"/>
          <w:sz w:val="24"/>
          <w:szCs w:val="24"/>
        </w:rPr>
        <w:t xml:space="preserve"> </w:t>
      </w:r>
      <w:r w:rsidRPr="006D6BCA">
        <w:rPr>
          <w:rFonts w:ascii="Palatino Linotype" w:hAnsi="Palatino Linotype" w:cs="Arial"/>
          <w:bCs/>
          <w:sz w:val="24"/>
          <w:szCs w:val="24"/>
        </w:rPr>
        <w:t xml:space="preserve">a través del </w:t>
      </w:r>
      <w:r>
        <w:rPr>
          <w:rFonts w:ascii="Palatino Linotype" w:hAnsi="Palatino Linotype" w:cs="Arial"/>
          <w:bCs/>
          <w:sz w:val="24"/>
          <w:szCs w:val="24"/>
        </w:rPr>
        <w:t xml:space="preserve">SAIMEX y </w:t>
      </w:r>
      <w:r>
        <w:rPr>
          <w:rFonts w:ascii="Palatino Linotype" w:hAnsi="Palatino Linotype"/>
          <w:sz w:val="24"/>
          <w:szCs w:val="24"/>
        </w:rPr>
        <w:t>h</w:t>
      </w:r>
      <w:r w:rsidRPr="0014447C">
        <w:rPr>
          <w:rFonts w:ascii="Palatino Linotype" w:hAnsi="Palatino Linotype"/>
          <w:sz w:val="24"/>
          <w:szCs w:val="24"/>
        </w:rPr>
        <w:t>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7A0603" w:rsidRPr="00A64A6C" w:rsidRDefault="007A0603" w:rsidP="007A0603">
      <w:pPr>
        <w:pStyle w:val="Sinespaciado"/>
        <w:spacing w:line="360" w:lineRule="auto"/>
        <w:jc w:val="both"/>
        <w:rPr>
          <w:rFonts w:ascii="Palatino Linotype" w:hAnsi="Palatino Linotype"/>
          <w:sz w:val="16"/>
          <w:szCs w:val="24"/>
        </w:rPr>
      </w:pPr>
    </w:p>
    <w:p w:rsidR="007A0603" w:rsidRDefault="007A0603" w:rsidP="007A0603">
      <w:pPr>
        <w:pStyle w:val="Sinespaciado"/>
        <w:spacing w:line="360" w:lineRule="auto"/>
        <w:jc w:val="both"/>
        <w:rPr>
          <w:rFonts w:ascii="Palatino Linotype" w:hAnsi="Palatino Linotype"/>
          <w:sz w:val="24"/>
          <w:szCs w:val="24"/>
        </w:rPr>
      </w:pPr>
      <w:r w:rsidRPr="00A64A6C">
        <w:rPr>
          <w:rFonts w:ascii="Palatino Linotype" w:hAnsi="Palatino Linotype"/>
        </w:rPr>
        <w:t>ASÍ LO RESUELVE, POR UNANIMIDAD DE VOTOS EL PLENO DEL</w:t>
      </w:r>
      <w:r w:rsidRPr="00A64A6C">
        <w:rPr>
          <w:rFonts w:ascii="Palatino Linotype" w:eastAsia="Arial Unicode MS" w:hAnsi="Palatino Linotype"/>
        </w:rPr>
        <w:t xml:space="preserve"> INSTITUTO DE TRANSPARENCIA, ACCESO A LA INFORMACIÓN PÚBLICA Y PROTECCIÓN DE DATOS PERSONALES DEL ESTADO DE MÉXICO Y MUNICIPIOS</w:t>
      </w:r>
      <w:r w:rsidRPr="00A64A6C">
        <w:rPr>
          <w:rFonts w:ascii="Palatino Linotype" w:hAnsi="Palatino Linotype"/>
        </w:rPr>
        <w:t>, CONFORMADO POR LOS COMISIONADOS ZULEMA MARTÍNEZ SÁNCHEZ, EVA ABAID YAPUR</w:t>
      </w:r>
      <w:r w:rsidR="00E668CE">
        <w:rPr>
          <w:rFonts w:ascii="Palatino Linotype" w:hAnsi="Palatino Linotype"/>
        </w:rPr>
        <w:t xml:space="preserve"> (AUSENCIA JUSTIFICADA)</w:t>
      </w:r>
      <w:r w:rsidRPr="00A64A6C">
        <w:rPr>
          <w:rFonts w:ascii="Palatino Linotype" w:hAnsi="Palatino Linotype"/>
        </w:rPr>
        <w:t>, JOSÉ GUADALUPE LUNA HERNÁNDEZ</w:t>
      </w:r>
      <w:r w:rsidR="00E668CE">
        <w:rPr>
          <w:rFonts w:ascii="Palatino Linotype" w:hAnsi="Palatino Linotype"/>
        </w:rPr>
        <w:t xml:space="preserve"> EMITIENDO VOTO PARTICULAR </w:t>
      </w:r>
      <w:r w:rsidRPr="00A64A6C">
        <w:rPr>
          <w:rFonts w:ascii="Palatino Linotype" w:hAnsi="Palatino Linotype"/>
        </w:rPr>
        <w:t>, JAVIER MARTÍNEZ CRUZ Y LUIS GUSTAVO PARRA NORIEGA</w:t>
      </w:r>
      <w:r w:rsidR="00DF7928">
        <w:rPr>
          <w:rFonts w:ascii="Palatino Linotype" w:hAnsi="Palatino Linotype"/>
        </w:rPr>
        <w:t xml:space="preserve"> EMITIENDO VOTO PARTICULAR</w:t>
      </w:r>
      <w:r w:rsidRPr="00A64A6C">
        <w:rPr>
          <w:rFonts w:ascii="Palatino Linotype" w:hAnsi="Palatino Linotype"/>
        </w:rPr>
        <w:t xml:space="preserve">, EN </w:t>
      </w:r>
      <w:r w:rsidR="00DB2B22">
        <w:rPr>
          <w:rFonts w:ascii="Palatino Linotype" w:hAnsi="Palatino Linotype"/>
        </w:rPr>
        <w:t>LA VIGÉSIMA</w:t>
      </w:r>
      <w:r>
        <w:rPr>
          <w:rFonts w:ascii="Palatino Linotype" w:hAnsi="Palatino Linotype"/>
        </w:rPr>
        <w:t xml:space="preserve"> SESIÓN ORDINARIA CELEBRADA EL </w:t>
      </w:r>
      <w:r w:rsidR="0035197E">
        <w:rPr>
          <w:rFonts w:ascii="Palatino Linotype" w:hAnsi="Palatino Linotype"/>
        </w:rPr>
        <w:t>VEINTINUEVE</w:t>
      </w:r>
      <w:r w:rsidR="002557B7">
        <w:rPr>
          <w:rFonts w:ascii="Palatino Linotype" w:hAnsi="Palatino Linotype"/>
        </w:rPr>
        <w:t xml:space="preserve"> DE </w:t>
      </w:r>
      <w:r w:rsidR="0035197E">
        <w:rPr>
          <w:rFonts w:ascii="Palatino Linotype" w:hAnsi="Palatino Linotype"/>
        </w:rPr>
        <w:t>MAYO</w:t>
      </w:r>
      <w:r w:rsidR="003029E9" w:rsidRPr="00A64A6C">
        <w:rPr>
          <w:rFonts w:ascii="Palatino Linotype" w:hAnsi="Palatino Linotype"/>
        </w:rPr>
        <w:t xml:space="preserve"> </w:t>
      </w:r>
      <w:r w:rsidRPr="00A64A6C">
        <w:rPr>
          <w:rFonts w:ascii="Palatino Linotype" w:hAnsi="Palatino Linotype"/>
        </w:rPr>
        <w:t>DOS MIL DIECINUEVE, ANTE EL SECRETARIO TÉCNICO DEL PLENO, ALEXIS TAPIA RAMÍREZ</w:t>
      </w:r>
      <w:r>
        <w:rPr>
          <w:rFonts w:ascii="Palatino Linotype" w:hAnsi="Palatino Linotype"/>
          <w:sz w:val="24"/>
          <w:szCs w:val="24"/>
        </w:rPr>
        <w:t>.</w:t>
      </w:r>
      <w:r w:rsidR="0015148C" w:rsidRPr="002557B7">
        <w:rPr>
          <w:rFonts w:ascii="Palatino Linotype" w:hAnsi="Palatino Linotype"/>
          <w:szCs w:val="24"/>
        </w:rPr>
        <w:t>------------------------------------------------------------------------------------------------------------------------------------------------------------------------</w:t>
      </w:r>
      <w:r w:rsidR="00DF7928">
        <w:rPr>
          <w:rFonts w:ascii="Palatino Linotype" w:hAnsi="Palatino Linotype"/>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A0603" w:rsidRPr="006149F1" w:rsidTr="005B4CF7">
        <w:tc>
          <w:tcPr>
            <w:tcW w:w="9062" w:type="dxa"/>
            <w:gridSpan w:val="2"/>
          </w:tcPr>
          <w:p w:rsidR="007A0603" w:rsidRDefault="007A0603" w:rsidP="005B4CF7">
            <w:pPr>
              <w:pStyle w:val="Sinespaciado"/>
              <w:tabs>
                <w:tab w:val="left" w:pos="5710"/>
              </w:tabs>
              <w:rPr>
                <w:rFonts w:ascii="Palatino Linotype" w:hAnsi="Palatino Linotype"/>
                <w:sz w:val="24"/>
                <w:szCs w:val="24"/>
              </w:rPr>
            </w:pPr>
          </w:p>
          <w:p w:rsidR="0015148C" w:rsidRPr="006149F1" w:rsidRDefault="0015148C" w:rsidP="005B4CF7">
            <w:pPr>
              <w:pStyle w:val="Sinespaciado"/>
              <w:tabs>
                <w:tab w:val="left" w:pos="5710"/>
              </w:tabs>
              <w:rPr>
                <w:rFonts w:ascii="Palatino Linotype" w:hAnsi="Palatino Linotype"/>
                <w:sz w:val="24"/>
                <w:szCs w:val="24"/>
              </w:rPr>
            </w:pPr>
          </w:p>
        </w:tc>
      </w:tr>
      <w:tr w:rsidR="007A0603" w:rsidRPr="0089501E" w:rsidTr="005B4CF7">
        <w:tc>
          <w:tcPr>
            <w:tcW w:w="9062" w:type="dxa"/>
            <w:gridSpan w:val="2"/>
          </w:tcPr>
          <w:p w:rsidR="007A0603"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Zulema Martínez Sánchez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 Presidenta</w:t>
            </w:r>
          </w:p>
          <w:p w:rsidR="007A0603" w:rsidRPr="0089501E" w:rsidRDefault="007A0603" w:rsidP="005B4CF7">
            <w:pPr>
              <w:jc w:val="center"/>
              <w:rPr>
                <w:rFonts w:ascii="Palatino Linotype" w:hAnsi="Palatino Linotype"/>
                <w:b/>
                <w:sz w:val="24"/>
                <w:szCs w:val="24"/>
              </w:rPr>
            </w:pPr>
            <w:r w:rsidRPr="002F1CD7">
              <w:rPr>
                <w:rFonts w:ascii="Palatino Linotype" w:hAnsi="Palatino Linotype"/>
                <w:sz w:val="24"/>
                <w:szCs w:val="24"/>
              </w:rPr>
              <w:t>(RÚBRICA</w:t>
            </w:r>
            <w:r w:rsidRPr="0089501E">
              <w:rPr>
                <w:rFonts w:ascii="Palatino Linotype" w:hAnsi="Palatino Linotype"/>
                <w:b/>
                <w:sz w:val="24"/>
                <w:szCs w:val="24"/>
              </w:rPr>
              <w:t>).</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jc w:val="center"/>
              <w:rPr>
                <w:rFonts w:ascii="Palatino Linotype" w:hAnsi="Palatino Linotype"/>
                <w:b/>
                <w:sz w:val="24"/>
                <w:szCs w:val="24"/>
              </w:rPr>
            </w:pPr>
          </w:p>
          <w:p w:rsidR="0015148C" w:rsidRDefault="0015148C" w:rsidP="005B4CF7">
            <w:pPr>
              <w:jc w:val="cente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Eva Abaid Yapur</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Comisionada</w:t>
            </w:r>
          </w:p>
          <w:p w:rsidR="007A0603" w:rsidRPr="002F1CD7" w:rsidRDefault="00DB2B22" w:rsidP="005B4CF7">
            <w:pPr>
              <w:jc w:val="center"/>
              <w:rPr>
                <w:rFonts w:ascii="Palatino Linotype" w:hAnsi="Palatino Linotype"/>
                <w:sz w:val="24"/>
                <w:szCs w:val="24"/>
              </w:rPr>
            </w:pPr>
            <w:r>
              <w:rPr>
                <w:rFonts w:ascii="Palatino Linotype" w:hAnsi="Palatino Linotype"/>
                <w:sz w:val="24"/>
                <w:szCs w:val="24"/>
              </w:rPr>
              <w:t>(AUSENCIA JUSTIFICADA</w:t>
            </w:r>
            <w:r w:rsidR="007A0603" w:rsidRPr="002F1CD7">
              <w:rPr>
                <w:rFonts w:ascii="Palatino Linotype" w:hAnsi="Palatino Linotype"/>
                <w:sz w:val="24"/>
                <w:szCs w:val="24"/>
              </w:rPr>
              <w:t>).</w:t>
            </w:r>
          </w:p>
        </w:tc>
        <w:tc>
          <w:tcPr>
            <w:tcW w:w="4530" w:type="dxa"/>
          </w:tcPr>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DB2B22" w:rsidRDefault="00DB2B22"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rsidTr="005B4CF7">
        <w:tc>
          <w:tcPr>
            <w:tcW w:w="4532" w:type="dxa"/>
          </w:tcPr>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Javier Martínez Cruz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c>
          <w:tcPr>
            <w:tcW w:w="4530" w:type="dxa"/>
          </w:tcPr>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rPr>
                <w:rFonts w:ascii="Palatino Linotype" w:hAnsi="Palatino Linotype"/>
                <w:b/>
                <w:sz w:val="24"/>
                <w:szCs w:val="24"/>
              </w:rPr>
            </w:pPr>
          </w:p>
          <w:p w:rsidR="007A0603" w:rsidRPr="0089501E" w:rsidRDefault="007A0603" w:rsidP="005B4CF7">
            <w:pPr>
              <w:jc w:val="center"/>
              <w:rPr>
                <w:rFonts w:ascii="Palatino Linotype" w:hAnsi="Palatino Linotype"/>
                <w:sz w:val="24"/>
                <w:szCs w:val="24"/>
              </w:rPr>
            </w:pPr>
            <w:r w:rsidRPr="0089501E">
              <w:rPr>
                <w:rFonts w:ascii="Palatino Linotype" w:hAnsi="Palatino Linotype"/>
                <w:b/>
                <w:sz w:val="24"/>
                <w:szCs w:val="24"/>
              </w:rPr>
              <w:t>Luis Gustavo Parra Noriega</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Comisionado</w:t>
            </w:r>
          </w:p>
          <w:p w:rsidR="007A0603" w:rsidRPr="002F1CD7"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tc>
      </w:tr>
      <w:tr w:rsidR="007A0603" w:rsidRPr="0089501E" w:rsidTr="005B4CF7">
        <w:tc>
          <w:tcPr>
            <w:tcW w:w="9062" w:type="dxa"/>
            <w:gridSpan w:val="2"/>
          </w:tcPr>
          <w:p w:rsidR="007A0603" w:rsidRPr="0089501E" w:rsidRDefault="007A0603" w:rsidP="005B4CF7">
            <w:pPr>
              <w:jc w:val="center"/>
              <w:rPr>
                <w:rFonts w:ascii="Palatino Linotype" w:hAnsi="Palatino Linotype"/>
                <w:b/>
                <w:sz w:val="24"/>
                <w:szCs w:val="24"/>
              </w:rPr>
            </w:pPr>
          </w:p>
          <w:p w:rsidR="007A0603" w:rsidRDefault="007A0603" w:rsidP="005B4CF7">
            <w:pPr>
              <w:rPr>
                <w:rFonts w:ascii="Palatino Linotype" w:hAnsi="Palatino Linotype"/>
                <w:b/>
                <w:sz w:val="24"/>
                <w:szCs w:val="24"/>
              </w:rPr>
            </w:pPr>
          </w:p>
          <w:p w:rsidR="0015148C" w:rsidRDefault="0015148C" w:rsidP="005B4CF7">
            <w:pPr>
              <w:rPr>
                <w:rFonts w:ascii="Palatino Linotype" w:hAnsi="Palatino Linotype"/>
                <w:b/>
                <w:sz w:val="24"/>
                <w:szCs w:val="24"/>
              </w:rPr>
            </w:pPr>
          </w:p>
          <w:p w:rsidR="0015148C" w:rsidRPr="0089501E" w:rsidRDefault="0015148C" w:rsidP="005B4CF7">
            <w:pPr>
              <w:rPr>
                <w:rFonts w:ascii="Palatino Linotype" w:hAnsi="Palatino Linotype"/>
                <w:b/>
                <w:sz w:val="24"/>
                <w:szCs w:val="24"/>
              </w:rPr>
            </w:pPr>
          </w:p>
          <w:p w:rsidR="007A0603" w:rsidRDefault="007A0603" w:rsidP="005B4CF7">
            <w:pPr>
              <w:rPr>
                <w:rFonts w:ascii="Palatino Linotype" w:hAnsi="Palatino Linotype"/>
                <w:b/>
                <w:sz w:val="28"/>
                <w:szCs w:val="24"/>
              </w:rPr>
            </w:pPr>
          </w:p>
          <w:p w:rsidR="007A0603" w:rsidRPr="0089501E" w:rsidRDefault="007A0603" w:rsidP="005B4CF7">
            <w:pPr>
              <w:jc w:val="center"/>
              <w:rPr>
                <w:rFonts w:ascii="Palatino Linotype" w:hAnsi="Palatino Linotype"/>
                <w:b/>
                <w:sz w:val="24"/>
                <w:szCs w:val="24"/>
              </w:rPr>
            </w:pPr>
            <w:r w:rsidRPr="0089501E">
              <w:rPr>
                <w:rFonts w:ascii="Palatino Linotype" w:hAnsi="Palatino Linotype"/>
                <w:b/>
                <w:sz w:val="24"/>
                <w:szCs w:val="24"/>
              </w:rPr>
              <w:t>Alexis Tapia Ramírez</w:t>
            </w:r>
          </w:p>
          <w:p w:rsidR="007A0603" w:rsidRPr="0089501E" w:rsidRDefault="007A0603" w:rsidP="005B4CF7">
            <w:pPr>
              <w:jc w:val="center"/>
              <w:rPr>
                <w:rFonts w:ascii="Palatino Linotype" w:hAnsi="Palatino Linotype"/>
                <w:sz w:val="24"/>
                <w:szCs w:val="24"/>
              </w:rPr>
            </w:pPr>
            <w:r w:rsidRPr="0089501E">
              <w:rPr>
                <w:rFonts w:ascii="Palatino Linotype" w:hAnsi="Palatino Linotype"/>
                <w:sz w:val="24"/>
                <w:szCs w:val="24"/>
              </w:rPr>
              <w:t>Secretario Técnico del Pleno</w:t>
            </w:r>
          </w:p>
          <w:p w:rsidR="007A0603" w:rsidRDefault="007A0603" w:rsidP="005B4CF7">
            <w:pPr>
              <w:jc w:val="center"/>
              <w:rPr>
                <w:rFonts w:ascii="Palatino Linotype" w:hAnsi="Palatino Linotype"/>
                <w:sz w:val="24"/>
                <w:szCs w:val="24"/>
              </w:rPr>
            </w:pPr>
            <w:r w:rsidRPr="002F1CD7">
              <w:rPr>
                <w:rFonts w:ascii="Palatino Linotype" w:hAnsi="Palatino Linotype"/>
                <w:sz w:val="24"/>
                <w:szCs w:val="24"/>
              </w:rPr>
              <w:t>(RÚBRICA).</w:t>
            </w:r>
          </w:p>
          <w:p w:rsidR="00E2260A" w:rsidRPr="00B73E6C" w:rsidRDefault="00E2260A" w:rsidP="00E2260A">
            <w:pPr>
              <w:rPr>
                <w:rFonts w:ascii="Palatino Linotype" w:hAnsi="Palatino Linotype"/>
                <w:sz w:val="24"/>
                <w:szCs w:val="24"/>
              </w:rPr>
            </w:pPr>
          </w:p>
        </w:tc>
      </w:tr>
    </w:tbl>
    <w:p w:rsidR="007A0603" w:rsidRPr="002557B7" w:rsidRDefault="007A0603" w:rsidP="007A0603">
      <w:pPr>
        <w:spacing w:after="0" w:line="240" w:lineRule="auto"/>
        <w:jc w:val="both"/>
        <w:rPr>
          <w:rFonts w:ascii="Palatino Linotype" w:hAnsi="Palatino Linotype" w:cs="Arial"/>
          <w:sz w:val="2"/>
          <w:szCs w:val="16"/>
        </w:rPr>
      </w:pPr>
    </w:p>
    <w:p w:rsidR="007A0603" w:rsidRPr="00937BFA" w:rsidRDefault="007A0603" w:rsidP="007A0603">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35197E">
        <w:rPr>
          <w:rFonts w:ascii="Palatino Linotype" w:hAnsi="Palatino Linotype" w:cs="Arial"/>
          <w:sz w:val="18"/>
          <w:szCs w:val="16"/>
        </w:rPr>
        <w:t>veintinueve de mayo</w:t>
      </w:r>
      <w:r w:rsidR="003029E9" w:rsidRPr="003029E9">
        <w:rPr>
          <w:rFonts w:ascii="Palatino Linotype" w:hAnsi="Palatino Linotype" w:cs="Arial"/>
          <w:sz w:val="18"/>
          <w:szCs w:val="16"/>
        </w:rPr>
        <w:t xml:space="preserve"> </w:t>
      </w:r>
      <w:r w:rsidRPr="00B73E6C">
        <w:rPr>
          <w:rFonts w:ascii="Palatino Linotype" w:hAnsi="Palatino Linotype" w:cs="Arial"/>
          <w:sz w:val="18"/>
          <w:szCs w:val="16"/>
        </w:rPr>
        <w:t>de d</w:t>
      </w:r>
      <w:r>
        <w:rPr>
          <w:rFonts w:ascii="Palatino Linotype" w:hAnsi="Palatino Linotype" w:cs="Arial"/>
          <w:sz w:val="18"/>
          <w:szCs w:val="16"/>
        </w:rPr>
        <w:t>o</w:t>
      </w:r>
      <w:r w:rsidR="003029E9">
        <w:rPr>
          <w:rFonts w:ascii="Palatino Linotype" w:hAnsi="Palatino Linotype" w:cs="Arial"/>
          <w:sz w:val="18"/>
          <w:szCs w:val="16"/>
        </w:rPr>
        <w:t>s mil diecinueve, emitida en el recurso</w:t>
      </w:r>
      <w:r w:rsidRPr="00B73E6C">
        <w:rPr>
          <w:rFonts w:ascii="Palatino Linotype" w:hAnsi="Palatino Linotype" w:cs="Arial"/>
          <w:sz w:val="18"/>
          <w:szCs w:val="16"/>
        </w:rPr>
        <w:t xml:space="preserve"> de revisión </w:t>
      </w:r>
      <w:r w:rsidR="00AD20F2">
        <w:rPr>
          <w:rFonts w:ascii="Palatino Linotype" w:hAnsi="Palatino Linotype" w:cs="Arial"/>
          <w:bCs/>
          <w:sz w:val="18"/>
          <w:szCs w:val="16"/>
          <w:lang w:eastAsia="es-MX"/>
        </w:rPr>
        <w:t>01510</w:t>
      </w:r>
      <w:r w:rsidR="0015148C">
        <w:rPr>
          <w:rFonts w:ascii="Palatino Linotype" w:hAnsi="Palatino Linotype" w:cs="Arial"/>
          <w:bCs/>
          <w:sz w:val="18"/>
          <w:szCs w:val="16"/>
          <w:lang w:eastAsia="es-MX"/>
        </w:rPr>
        <w:t>/INFOEM/IP/RR/2019</w:t>
      </w:r>
    </w:p>
    <w:p w:rsidR="007E2E80" w:rsidRPr="00B73E6C" w:rsidRDefault="007A0603" w:rsidP="0015148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RPr="00B73E6C"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768" w:rsidRDefault="00C93768" w:rsidP="007E2E80">
      <w:pPr>
        <w:spacing w:after="0" w:line="240" w:lineRule="auto"/>
      </w:pPr>
      <w:r>
        <w:separator/>
      </w:r>
    </w:p>
  </w:endnote>
  <w:endnote w:type="continuationSeparator" w:id="0">
    <w:p w:rsidR="00C93768" w:rsidRDefault="00C9376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Pr="000B69FA" w:rsidRDefault="005B4C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74AA">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74AA">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Pr="000B69FA" w:rsidRDefault="005B4C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76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B76CD">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768" w:rsidRDefault="00C93768" w:rsidP="007E2E80">
      <w:pPr>
        <w:spacing w:after="0" w:line="240" w:lineRule="auto"/>
      </w:pPr>
      <w:r>
        <w:separator/>
      </w:r>
    </w:p>
  </w:footnote>
  <w:footnote w:type="continuationSeparator" w:id="0">
    <w:p w:rsidR="00C93768" w:rsidRDefault="00C93768" w:rsidP="007E2E80">
      <w:pPr>
        <w:spacing w:after="0" w:line="240" w:lineRule="auto"/>
      </w:pPr>
      <w:r>
        <w:continuationSeparator/>
      </w:r>
    </w:p>
  </w:footnote>
  <w:footnote w:id="1">
    <w:p w:rsidR="005B4CF7" w:rsidRPr="00615B4B" w:rsidRDefault="005B4CF7"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5B4CF7" w:rsidRPr="00615B4B" w:rsidRDefault="005B4CF7"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F7" w:rsidRDefault="005B4CF7">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5B4CF7" w:rsidTr="00182616">
      <w:trPr>
        <w:trHeight w:val="227"/>
      </w:trPr>
      <w:tc>
        <w:tcPr>
          <w:tcW w:w="5949" w:type="dxa"/>
          <w:hideMark/>
        </w:tcPr>
        <w:p w:rsidR="005B4CF7" w:rsidRDefault="005B4CF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5B4CF7" w:rsidRDefault="005B4CF7"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01510/INFOEM/IP/RR/2019</w:t>
          </w:r>
        </w:p>
      </w:tc>
    </w:tr>
    <w:tr w:rsidR="005B4CF7" w:rsidTr="00182616">
      <w:trPr>
        <w:trHeight w:val="242"/>
      </w:trPr>
      <w:tc>
        <w:tcPr>
          <w:tcW w:w="5949" w:type="dxa"/>
          <w:hideMark/>
        </w:tcPr>
        <w:p w:rsidR="005B4CF7" w:rsidRDefault="005B4CF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5B4CF7" w:rsidRDefault="005B4CF7" w:rsidP="005E3F88">
          <w:pPr>
            <w:spacing w:after="120" w:line="256" w:lineRule="auto"/>
            <w:ind w:left="72" w:right="214"/>
            <w:jc w:val="right"/>
            <w:rPr>
              <w:rFonts w:ascii="Palatino Linotype" w:hAnsi="Palatino Linotype" w:cs="Arial"/>
              <w:szCs w:val="20"/>
            </w:rPr>
          </w:pPr>
          <w:r w:rsidRPr="00065506">
            <w:rPr>
              <w:rFonts w:ascii="Palatino Linotype" w:hAnsi="Palatino Linotype" w:cs="Arial"/>
              <w:szCs w:val="20"/>
            </w:rPr>
            <w:t>Universidad Politécnica del Valle de Toluca</w:t>
          </w:r>
        </w:p>
      </w:tc>
    </w:tr>
    <w:tr w:rsidR="005B4CF7" w:rsidTr="00182616">
      <w:trPr>
        <w:trHeight w:val="342"/>
      </w:trPr>
      <w:tc>
        <w:tcPr>
          <w:tcW w:w="5949" w:type="dxa"/>
          <w:hideMark/>
        </w:tcPr>
        <w:p w:rsidR="005B4CF7" w:rsidRDefault="005B4CF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5B4CF7" w:rsidRDefault="005B4CF7"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B4CF7" w:rsidRDefault="005B4C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5B4CF7" w:rsidTr="00182616">
      <w:trPr>
        <w:trHeight w:val="227"/>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B4CF7" w:rsidRPr="00B4142F" w:rsidRDefault="005B4CF7"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01510/INFOEM/IP/RR/2019</w:t>
          </w:r>
        </w:p>
      </w:tc>
    </w:tr>
    <w:tr w:rsidR="005B4CF7" w:rsidTr="00182616">
      <w:trPr>
        <w:trHeight w:val="196"/>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5B4CF7" w:rsidRPr="00F06FED" w:rsidRDefault="00FB76CD" w:rsidP="00C6603E">
          <w:pPr>
            <w:spacing w:after="120" w:line="256" w:lineRule="auto"/>
            <w:ind w:left="208" w:right="214"/>
            <w:jc w:val="right"/>
            <w:rPr>
              <w:rFonts w:ascii="Palatino Linotype" w:hAnsi="Palatino Linotype" w:cs="Arial"/>
            </w:rPr>
          </w:pPr>
          <w:r>
            <w:rPr>
              <w:rFonts w:ascii="Palatino Linotype" w:hAnsi="Palatino Linotype" w:cs="Arial"/>
            </w:rPr>
            <w:t>xxxxxxx xxxxxxxxx</w:t>
          </w:r>
          <w:r w:rsidR="005B4CF7">
            <w:rPr>
              <w:rFonts w:ascii="Palatino Linotype" w:hAnsi="Palatino Linotype" w:cs="Arial"/>
            </w:rPr>
            <w:t xml:space="preserve"> </w:t>
          </w:r>
          <w:r>
            <w:rPr>
              <w:rFonts w:ascii="Palatino Linotype" w:hAnsi="Palatino Linotype" w:cs="Arial"/>
            </w:rPr>
            <w:t>xx xxxxxxx</w:t>
          </w:r>
        </w:p>
      </w:tc>
    </w:tr>
    <w:tr w:rsidR="005B4CF7" w:rsidTr="00182616">
      <w:trPr>
        <w:trHeight w:val="242"/>
      </w:trPr>
      <w:tc>
        <w:tcPr>
          <w:tcW w:w="5103" w:type="dxa"/>
          <w:hideMark/>
        </w:tcPr>
        <w:p w:rsidR="005B4CF7" w:rsidRDefault="005B4C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B4CF7" w:rsidRDefault="005B4CF7" w:rsidP="00C6603E">
          <w:pPr>
            <w:spacing w:after="120" w:line="256" w:lineRule="auto"/>
            <w:ind w:left="208" w:right="214"/>
            <w:jc w:val="right"/>
            <w:rPr>
              <w:rFonts w:ascii="Palatino Linotype" w:hAnsi="Palatino Linotype" w:cs="Arial"/>
              <w:szCs w:val="20"/>
            </w:rPr>
          </w:pPr>
          <w:r w:rsidRPr="00065506">
            <w:rPr>
              <w:rFonts w:ascii="Palatino Linotype" w:hAnsi="Palatino Linotype" w:cs="Arial"/>
              <w:szCs w:val="20"/>
            </w:rPr>
            <w:t>Universidad Politécnica del Valle de Toluca</w:t>
          </w:r>
        </w:p>
      </w:tc>
    </w:tr>
    <w:tr w:rsidR="005B4CF7" w:rsidTr="00182616">
      <w:trPr>
        <w:trHeight w:val="342"/>
      </w:trPr>
      <w:tc>
        <w:tcPr>
          <w:tcW w:w="5103" w:type="dxa"/>
          <w:hideMark/>
        </w:tcPr>
        <w:p w:rsidR="005B4CF7" w:rsidRDefault="005B4CF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5B4CF7" w:rsidRDefault="005B4CF7"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5B4CF7" w:rsidRDefault="005B4C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0"/>
  </w:num>
  <w:num w:numId="5">
    <w:abstractNumId w:val="4"/>
  </w:num>
  <w:num w:numId="6">
    <w:abstractNumId w:val="3"/>
  </w:num>
  <w:num w:numId="7">
    <w:abstractNumId w:val="11"/>
  </w:num>
  <w:num w:numId="8">
    <w:abstractNumId w:val="10"/>
  </w:num>
  <w:num w:numId="9">
    <w:abstractNumId w:val="16"/>
  </w:num>
  <w:num w:numId="10">
    <w:abstractNumId w:val="5"/>
  </w:num>
  <w:num w:numId="11">
    <w:abstractNumId w:val="17"/>
  </w:num>
  <w:num w:numId="12">
    <w:abstractNumId w:val="14"/>
  </w:num>
  <w:num w:numId="13">
    <w:abstractNumId w:val="13"/>
  </w:num>
  <w:num w:numId="14">
    <w:abstractNumId w:val="7"/>
  </w:num>
  <w:num w:numId="15">
    <w:abstractNumId w:val="2"/>
  </w:num>
  <w:num w:numId="16">
    <w:abstractNumId w:val="8"/>
  </w:num>
  <w:num w:numId="17">
    <w:abstractNumId w:val="18"/>
  </w:num>
  <w:num w:numId="18">
    <w:abstractNumId w:val="9"/>
  </w:num>
  <w:num w:numId="19">
    <w:abstractNumId w:val="12"/>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402BD"/>
    <w:rsid w:val="00041557"/>
    <w:rsid w:val="00043018"/>
    <w:rsid w:val="00050126"/>
    <w:rsid w:val="00050A9C"/>
    <w:rsid w:val="00050C47"/>
    <w:rsid w:val="00051311"/>
    <w:rsid w:val="00053C9B"/>
    <w:rsid w:val="00055FDB"/>
    <w:rsid w:val="0005600B"/>
    <w:rsid w:val="00057570"/>
    <w:rsid w:val="00061CDD"/>
    <w:rsid w:val="00061CE1"/>
    <w:rsid w:val="00062331"/>
    <w:rsid w:val="00065506"/>
    <w:rsid w:val="000674FE"/>
    <w:rsid w:val="00070473"/>
    <w:rsid w:val="00071622"/>
    <w:rsid w:val="0007328F"/>
    <w:rsid w:val="00073533"/>
    <w:rsid w:val="0007363E"/>
    <w:rsid w:val="000738E9"/>
    <w:rsid w:val="0008042E"/>
    <w:rsid w:val="00080835"/>
    <w:rsid w:val="000825CE"/>
    <w:rsid w:val="00083F7E"/>
    <w:rsid w:val="0008795C"/>
    <w:rsid w:val="00090705"/>
    <w:rsid w:val="00091DC0"/>
    <w:rsid w:val="0009220B"/>
    <w:rsid w:val="00092805"/>
    <w:rsid w:val="0009497C"/>
    <w:rsid w:val="00095218"/>
    <w:rsid w:val="00096DEA"/>
    <w:rsid w:val="000A27C1"/>
    <w:rsid w:val="000A31EF"/>
    <w:rsid w:val="000A3303"/>
    <w:rsid w:val="000B0E94"/>
    <w:rsid w:val="000B36FD"/>
    <w:rsid w:val="000B37DE"/>
    <w:rsid w:val="000B45D8"/>
    <w:rsid w:val="000B4C07"/>
    <w:rsid w:val="000C7BD4"/>
    <w:rsid w:val="000D47AB"/>
    <w:rsid w:val="000D6982"/>
    <w:rsid w:val="000D756B"/>
    <w:rsid w:val="000E58D0"/>
    <w:rsid w:val="000E631B"/>
    <w:rsid w:val="000E7C0A"/>
    <w:rsid w:val="000F199E"/>
    <w:rsid w:val="000F3722"/>
    <w:rsid w:val="000F39EE"/>
    <w:rsid w:val="00101AEA"/>
    <w:rsid w:val="00114C3C"/>
    <w:rsid w:val="00115F6D"/>
    <w:rsid w:val="00122CD0"/>
    <w:rsid w:val="0012508A"/>
    <w:rsid w:val="001269C0"/>
    <w:rsid w:val="0013023E"/>
    <w:rsid w:val="00132015"/>
    <w:rsid w:val="00132E9F"/>
    <w:rsid w:val="001346D9"/>
    <w:rsid w:val="00135494"/>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FB7"/>
    <w:rsid w:val="0017401F"/>
    <w:rsid w:val="00180F6B"/>
    <w:rsid w:val="00182616"/>
    <w:rsid w:val="00185B41"/>
    <w:rsid w:val="00186CFB"/>
    <w:rsid w:val="00187598"/>
    <w:rsid w:val="00196888"/>
    <w:rsid w:val="00196893"/>
    <w:rsid w:val="001A17B9"/>
    <w:rsid w:val="001A4700"/>
    <w:rsid w:val="001A7955"/>
    <w:rsid w:val="001B5DCE"/>
    <w:rsid w:val="001B743F"/>
    <w:rsid w:val="001C091E"/>
    <w:rsid w:val="001C0CE9"/>
    <w:rsid w:val="001C2DBA"/>
    <w:rsid w:val="001C69FC"/>
    <w:rsid w:val="001D39A1"/>
    <w:rsid w:val="001D6114"/>
    <w:rsid w:val="001D61D0"/>
    <w:rsid w:val="001E07AC"/>
    <w:rsid w:val="001E2E5E"/>
    <w:rsid w:val="001E477F"/>
    <w:rsid w:val="001E4D4B"/>
    <w:rsid w:val="001E60B7"/>
    <w:rsid w:val="001F021C"/>
    <w:rsid w:val="001F1904"/>
    <w:rsid w:val="001F2020"/>
    <w:rsid w:val="001F2BFA"/>
    <w:rsid w:val="001F4313"/>
    <w:rsid w:val="001F5577"/>
    <w:rsid w:val="001F6A20"/>
    <w:rsid w:val="00201358"/>
    <w:rsid w:val="00203FA5"/>
    <w:rsid w:val="00205BF1"/>
    <w:rsid w:val="00207DA3"/>
    <w:rsid w:val="00210368"/>
    <w:rsid w:val="002108D8"/>
    <w:rsid w:val="00211473"/>
    <w:rsid w:val="00212498"/>
    <w:rsid w:val="0021396E"/>
    <w:rsid w:val="0021442E"/>
    <w:rsid w:val="00216B8D"/>
    <w:rsid w:val="002207BE"/>
    <w:rsid w:val="00221F0B"/>
    <w:rsid w:val="002252AD"/>
    <w:rsid w:val="00230FFA"/>
    <w:rsid w:val="00235186"/>
    <w:rsid w:val="002411DD"/>
    <w:rsid w:val="00243625"/>
    <w:rsid w:val="002450D9"/>
    <w:rsid w:val="00247E1F"/>
    <w:rsid w:val="00254523"/>
    <w:rsid w:val="002557B7"/>
    <w:rsid w:val="002572CF"/>
    <w:rsid w:val="0026191D"/>
    <w:rsid w:val="00262857"/>
    <w:rsid w:val="00271762"/>
    <w:rsid w:val="002718DB"/>
    <w:rsid w:val="00271C39"/>
    <w:rsid w:val="00273AB5"/>
    <w:rsid w:val="00276E33"/>
    <w:rsid w:val="00276FFD"/>
    <w:rsid w:val="002809F3"/>
    <w:rsid w:val="00283338"/>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B5B14"/>
    <w:rsid w:val="002C0C6A"/>
    <w:rsid w:val="002C2A2E"/>
    <w:rsid w:val="002C2D19"/>
    <w:rsid w:val="002C45D8"/>
    <w:rsid w:val="002C47F3"/>
    <w:rsid w:val="002C529C"/>
    <w:rsid w:val="002D477F"/>
    <w:rsid w:val="002D4991"/>
    <w:rsid w:val="002D6110"/>
    <w:rsid w:val="002D6CF8"/>
    <w:rsid w:val="002E22D8"/>
    <w:rsid w:val="002E2D4C"/>
    <w:rsid w:val="002E6036"/>
    <w:rsid w:val="002F044A"/>
    <w:rsid w:val="002F160B"/>
    <w:rsid w:val="002F17FB"/>
    <w:rsid w:val="00301A01"/>
    <w:rsid w:val="00301D32"/>
    <w:rsid w:val="003021C1"/>
    <w:rsid w:val="003023F8"/>
    <w:rsid w:val="003029E9"/>
    <w:rsid w:val="00303FAF"/>
    <w:rsid w:val="00304C91"/>
    <w:rsid w:val="00305B06"/>
    <w:rsid w:val="00307784"/>
    <w:rsid w:val="00310760"/>
    <w:rsid w:val="00311191"/>
    <w:rsid w:val="00311BCD"/>
    <w:rsid w:val="00312E7E"/>
    <w:rsid w:val="00315192"/>
    <w:rsid w:val="003153A1"/>
    <w:rsid w:val="0031621C"/>
    <w:rsid w:val="0032285D"/>
    <w:rsid w:val="003230BE"/>
    <w:rsid w:val="00323B11"/>
    <w:rsid w:val="00327932"/>
    <w:rsid w:val="00336EDF"/>
    <w:rsid w:val="0034532D"/>
    <w:rsid w:val="0035197E"/>
    <w:rsid w:val="0035333A"/>
    <w:rsid w:val="00363308"/>
    <w:rsid w:val="003653BC"/>
    <w:rsid w:val="00365ADF"/>
    <w:rsid w:val="00374450"/>
    <w:rsid w:val="00375FF5"/>
    <w:rsid w:val="0038385D"/>
    <w:rsid w:val="0038396D"/>
    <w:rsid w:val="00386799"/>
    <w:rsid w:val="003908F4"/>
    <w:rsid w:val="003919AC"/>
    <w:rsid w:val="003A13D2"/>
    <w:rsid w:val="003A3096"/>
    <w:rsid w:val="003B1044"/>
    <w:rsid w:val="003B4AE6"/>
    <w:rsid w:val="003B7C36"/>
    <w:rsid w:val="003B7CED"/>
    <w:rsid w:val="003C3124"/>
    <w:rsid w:val="003C74AF"/>
    <w:rsid w:val="003D2672"/>
    <w:rsid w:val="003D3420"/>
    <w:rsid w:val="003D4203"/>
    <w:rsid w:val="003D4B31"/>
    <w:rsid w:val="003E08B9"/>
    <w:rsid w:val="003E4AC4"/>
    <w:rsid w:val="003F5460"/>
    <w:rsid w:val="00400852"/>
    <w:rsid w:val="00404F9D"/>
    <w:rsid w:val="00406B61"/>
    <w:rsid w:val="00407282"/>
    <w:rsid w:val="00410A41"/>
    <w:rsid w:val="004132B8"/>
    <w:rsid w:val="004137AF"/>
    <w:rsid w:val="00417EBD"/>
    <w:rsid w:val="00423281"/>
    <w:rsid w:val="00423C27"/>
    <w:rsid w:val="00425199"/>
    <w:rsid w:val="004307FD"/>
    <w:rsid w:val="0043616A"/>
    <w:rsid w:val="00443826"/>
    <w:rsid w:val="00443D8E"/>
    <w:rsid w:val="00450874"/>
    <w:rsid w:val="0045258F"/>
    <w:rsid w:val="0045270C"/>
    <w:rsid w:val="00452ABA"/>
    <w:rsid w:val="0045396C"/>
    <w:rsid w:val="00453B12"/>
    <w:rsid w:val="00454829"/>
    <w:rsid w:val="004572BE"/>
    <w:rsid w:val="004617C7"/>
    <w:rsid w:val="00461C0A"/>
    <w:rsid w:val="004657BE"/>
    <w:rsid w:val="004724CC"/>
    <w:rsid w:val="0047461E"/>
    <w:rsid w:val="004801C2"/>
    <w:rsid w:val="004807F7"/>
    <w:rsid w:val="004812BD"/>
    <w:rsid w:val="00481A59"/>
    <w:rsid w:val="00482D37"/>
    <w:rsid w:val="004830B5"/>
    <w:rsid w:val="00484E47"/>
    <w:rsid w:val="00487B8B"/>
    <w:rsid w:val="00497B93"/>
    <w:rsid w:val="004A51FF"/>
    <w:rsid w:val="004B2C63"/>
    <w:rsid w:val="004B4721"/>
    <w:rsid w:val="004C74AA"/>
    <w:rsid w:val="004C7E18"/>
    <w:rsid w:val="004D5BAF"/>
    <w:rsid w:val="004D5D52"/>
    <w:rsid w:val="004E26A1"/>
    <w:rsid w:val="004F05CE"/>
    <w:rsid w:val="004F483E"/>
    <w:rsid w:val="004F71B4"/>
    <w:rsid w:val="0050104C"/>
    <w:rsid w:val="005023F4"/>
    <w:rsid w:val="005033CC"/>
    <w:rsid w:val="00511464"/>
    <w:rsid w:val="005115A5"/>
    <w:rsid w:val="00512CDD"/>
    <w:rsid w:val="00514C3B"/>
    <w:rsid w:val="00515EBB"/>
    <w:rsid w:val="00521F65"/>
    <w:rsid w:val="0052393E"/>
    <w:rsid w:val="00524986"/>
    <w:rsid w:val="005321C3"/>
    <w:rsid w:val="005328FB"/>
    <w:rsid w:val="00537419"/>
    <w:rsid w:val="00537D90"/>
    <w:rsid w:val="005419F8"/>
    <w:rsid w:val="005421C7"/>
    <w:rsid w:val="005448FA"/>
    <w:rsid w:val="00554526"/>
    <w:rsid w:val="005639AA"/>
    <w:rsid w:val="00566699"/>
    <w:rsid w:val="00567676"/>
    <w:rsid w:val="00572D86"/>
    <w:rsid w:val="005733EB"/>
    <w:rsid w:val="0057534D"/>
    <w:rsid w:val="00583DD0"/>
    <w:rsid w:val="005840A1"/>
    <w:rsid w:val="005848CE"/>
    <w:rsid w:val="00586730"/>
    <w:rsid w:val="00590126"/>
    <w:rsid w:val="00591988"/>
    <w:rsid w:val="00592F63"/>
    <w:rsid w:val="00594C38"/>
    <w:rsid w:val="00596856"/>
    <w:rsid w:val="00597961"/>
    <w:rsid w:val="005A35E2"/>
    <w:rsid w:val="005A6F55"/>
    <w:rsid w:val="005B2A31"/>
    <w:rsid w:val="005B4CF7"/>
    <w:rsid w:val="005B7E58"/>
    <w:rsid w:val="005C057C"/>
    <w:rsid w:val="005C5AFE"/>
    <w:rsid w:val="005C76D5"/>
    <w:rsid w:val="005D02A8"/>
    <w:rsid w:val="005D1AD5"/>
    <w:rsid w:val="005D5EEB"/>
    <w:rsid w:val="005E1F7F"/>
    <w:rsid w:val="005E3F88"/>
    <w:rsid w:val="005F1019"/>
    <w:rsid w:val="005F198B"/>
    <w:rsid w:val="005F1F64"/>
    <w:rsid w:val="005F3791"/>
    <w:rsid w:val="00600D67"/>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610F"/>
    <w:rsid w:val="00670A00"/>
    <w:rsid w:val="00672FB1"/>
    <w:rsid w:val="006739F7"/>
    <w:rsid w:val="00673D7C"/>
    <w:rsid w:val="006749FD"/>
    <w:rsid w:val="00676A4B"/>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6176"/>
    <w:rsid w:val="006D01DC"/>
    <w:rsid w:val="006D1136"/>
    <w:rsid w:val="006D254A"/>
    <w:rsid w:val="006D4AD4"/>
    <w:rsid w:val="006D780C"/>
    <w:rsid w:val="006E0601"/>
    <w:rsid w:val="006E2D42"/>
    <w:rsid w:val="006E6394"/>
    <w:rsid w:val="006E6C81"/>
    <w:rsid w:val="006F18FD"/>
    <w:rsid w:val="006F4A35"/>
    <w:rsid w:val="006F536C"/>
    <w:rsid w:val="006F62C0"/>
    <w:rsid w:val="006F657A"/>
    <w:rsid w:val="006F6EAA"/>
    <w:rsid w:val="0070145A"/>
    <w:rsid w:val="00702DB6"/>
    <w:rsid w:val="00705D1C"/>
    <w:rsid w:val="007078D3"/>
    <w:rsid w:val="00711E37"/>
    <w:rsid w:val="0071210D"/>
    <w:rsid w:val="00720C22"/>
    <w:rsid w:val="007218F2"/>
    <w:rsid w:val="00723B96"/>
    <w:rsid w:val="007256EA"/>
    <w:rsid w:val="00727C51"/>
    <w:rsid w:val="00730DE0"/>
    <w:rsid w:val="00731DDF"/>
    <w:rsid w:val="00734ABD"/>
    <w:rsid w:val="0074093D"/>
    <w:rsid w:val="00745032"/>
    <w:rsid w:val="00752D55"/>
    <w:rsid w:val="00753D85"/>
    <w:rsid w:val="00754BDC"/>
    <w:rsid w:val="0075676A"/>
    <w:rsid w:val="00763D73"/>
    <w:rsid w:val="007640C8"/>
    <w:rsid w:val="00766A8A"/>
    <w:rsid w:val="007676AF"/>
    <w:rsid w:val="00770799"/>
    <w:rsid w:val="00773727"/>
    <w:rsid w:val="00773E9D"/>
    <w:rsid w:val="00775826"/>
    <w:rsid w:val="00776087"/>
    <w:rsid w:val="00785145"/>
    <w:rsid w:val="00786497"/>
    <w:rsid w:val="00790289"/>
    <w:rsid w:val="00797BE3"/>
    <w:rsid w:val="007A0571"/>
    <w:rsid w:val="007A0603"/>
    <w:rsid w:val="007A223B"/>
    <w:rsid w:val="007A4E13"/>
    <w:rsid w:val="007B0292"/>
    <w:rsid w:val="007B0E30"/>
    <w:rsid w:val="007C23A2"/>
    <w:rsid w:val="007C2757"/>
    <w:rsid w:val="007D0CFF"/>
    <w:rsid w:val="007E2E80"/>
    <w:rsid w:val="007E3DE3"/>
    <w:rsid w:val="007E644E"/>
    <w:rsid w:val="007F282E"/>
    <w:rsid w:val="007F5267"/>
    <w:rsid w:val="007F6BFF"/>
    <w:rsid w:val="007F7846"/>
    <w:rsid w:val="008041A7"/>
    <w:rsid w:val="0080536C"/>
    <w:rsid w:val="008103B2"/>
    <w:rsid w:val="008109BD"/>
    <w:rsid w:val="00812590"/>
    <w:rsid w:val="0081299A"/>
    <w:rsid w:val="008132B7"/>
    <w:rsid w:val="00815B8A"/>
    <w:rsid w:val="00821898"/>
    <w:rsid w:val="00823454"/>
    <w:rsid w:val="00824894"/>
    <w:rsid w:val="008307E5"/>
    <w:rsid w:val="008337BC"/>
    <w:rsid w:val="00835BAA"/>
    <w:rsid w:val="00836B60"/>
    <w:rsid w:val="00844C29"/>
    <w:rsid w:val="008455DC"/>
    <w:rsid w:val="00852DE6"/>
    <w:rsid w:val="00853CC3"/>
    <w:rsid w:val="00856768"/>
    <w:rsid w:val="00867D56"/>
    <w:rsid w:val="00870064"/>
    <w:rsid w:val="008725EE"/>
    <w:rsid w:val="008731D1"/>
    <w:rsid w:val="00890DBD"/>
    <w:rsid w:val="00892543"/>
    <w:rsid w:val="0089781F"/>
    <w:rsid w:val="008A1C19"/>
    <w:rsid w:val="008A52F4"/>
    <w:rsid w:val="008B0D30"/>
    <w:rsid w:val="008C0E72"/>
    <w:rsid w:val="008C0F70"/>
    <w:rsid w:val="008C351E"/>
    <w:rsid w:val="008C651F"/>
    <w:rsid w:val="008C7CEB"/>
    <w:rsid w:val="008D17A8"/>
    <w:rsid w:val="008D1CC2"/>
    <w:rsid w:val="008D523F"/>
    <w:rsid w:val="008E572E"/>
    <w:rsid w:val="008E5ABB"/>
    <w:rsid w:val="008E63C2"/>
    <w:rsid w:val="008E7F8E"/>
    <w:rsid w:val="008F0C26"/>
    <w:rsid w:val="008F4703"/>
    <w:rsid w:val="008F5C2F"/>
    <w:rsid w:val="008F7F12"/>
    <w:rsid w:val="00902E3B"/>
    <w:rsid w:val="00903599"/>
    <w:rsid w:val="00905CE1"/>
    <w:rsid w:val="009133DF"/>
    <w:rsid w:val="009151CF"/>
    <w:rsid w:val="00915450"/>
    <w:rsid w:val="00916463"/>
    <w:rsid w:val="00920654"/>
    <w:rsid w:val="009272C6"/>
    <w:rsid w:val="0093040A"/>
    <w:rsid w:val="00930F68"/>
    <w:rsid w:val="009339EC"/>
    <w:rsid w:val="009344F8"/>
    <w:rsid w:val="0093743A"/>
    <w:rsid w:val="00937BFA"/>
    <w:rsid w:val="00942349"/>
    <w:rsid w:val="00943B37"/>
    <w:rsid w:val="00944EFA"/>
    <w:rsid w:val="00954DC1"/>
    <w:rsid w:val="00960D8F"/>
    <w:rsid w:val="0096284F"/>
    <w:rsid w:val="0096359D"/>
    <w:rsid w:val="00966583"/>
    <w:rsid w:val="00967270"/>
    <w:rsid w:val="00973F82"/>
    <w:rsid w:val="0097416D"/>
    <w:rsid w:val="009759F9"/>
    <w:rsid w:val="00984AA7"/>
    <w:rsid w:val="00984CA8"/>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F59"/>
    <w:rsid w:val="009C5D31"/>
    <w:rsid w:val="009D56AA"/>
    <w:rsid w:val="009E0089"/>
    <w:rsid w:val="009E396D"/>
    <w:rsid w:val="009E76F1"/>
    <w:rsid w:val="009F6CB4"/>
    <w:rsid w:val="009F7B22"/>
    <w:rsid w:val="00A00BD5"/>
    <w:rsid w:val="00A01F59"/>
    <w:rsid w:val="00A06551"/>
    <w:rsid w:val="00A10000"/>
    <w:rsid w:val="00A10775"/>
    <w:rsid w:val="00A112EB"/>
    <w:rsid w:val="00A11DDF"/>
    <w:rsid w:val="00A14AF7"/>
    <w:rsid w:val="00A2199B"/>
    <w:rsid w:val="00A22469"/>
    <w:rsid w:val="00A2559E"/>
    <w:rsid w:val="00A2645E"/>
    <w:rsid w:val="00A26AC5"/>
    <w:rsid w:val="00A304D7"/>
    <w:rsid w:val="00A3134D"/>
    <w:rsid w:val="00A31E44"/>
    <w:rsid w:val="00A33B3A"/>
    <w:rsid w:val="00A35B31"/>
    <w:rsid w:val="00A4214D"/>
    <w:rsid w:val="00A45550"/>
    <w:rsid w:val="00A45EBA"/>
    <w:rsid w:val="00A56706"/>
    <w:rsid w:val="00A62727"/>
    <w:rsid w:val="00A64034"/>
    <w:rsid w:val="00A6567E"/>
    <w:rsid w:val="00A65985"/>
    <w:rsid w:val="00A65C29"/>
    <w:rsid w:val="00A65D02"/>
    <w:rsid w:val="00A666CE"/>
    <w:rsid w:val="00A73E40"/>
    <w:rsid w:val="00A77930"/>
    <w:rsid w:val="00A8643B"/>
    <w:rsid w:val="00A86C94"/>
    <w:rsid w:val="00A871F0"/>
    <w:rsid w:val="00A9172E"/>
    <w:rsid w:val="00A94BF6"/>
    <w:rsid w:val="00AA0676"/>
    <w:rsid w:val="00AA21B1"/>
    <w:rsid w:val="00AA3840"/>
    <w:rsid w:val="00AA4F9A"/>
    <w:rsid w:val="00AA5A0A"/>
    <w:rsid w:val="00AB1AF3"/>
    <w:rsid w:val="00AB481C"/>
    <w:rsid w:val="00AB65FD"/>
    <w:rsid w:val="00AB6FE4"/>
    <w:rsid w:val="00AC44F1"/>
    <w:rsid w:val="00AC6CD4"/>
    <w:rsid w:val="00AD0168"/>
    <w:rsid w:val="00AD20F2"/>
    <w:rsid w:val="00AD3C94"/>
    <w:rsid w:val="00AD4FDB"/>
    <w:rsid w:val="00AD5294"/>
    <w:rsid w:val="00AE658B"/>
    <w:rsid w:val="00AF0FAE"/>
    <w:rsid w:val="00AF1F1C"/>
    <w:rsid w:val="00AF5920"/>
    <w:rsid w:val="00B00A36"/>
    <w:rsid w:val="00B03515"/>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6587"/>
    <w:rsid w:val="00B65E1E"/>
    <w:rsid w:val="00B72411"/>
    <w:rsid w:val="00B73E6C"/>
    <w:rsid w:val="00B74345"/>
    <w:rsid w:val="00B751A2"/>
    <w:rsid w:val="00B75842"/>
    <w:rsid w:val="00B77270"/>
    <w:rsid w:val="00B936ED"/>
    <w:rsid w:val="00B93C5C"/>
    <w:rsid w:val="00B96B2B"/>
    <w:rsid w:val="00B97CAC"/>
    <w:rsid w:val="00BA69A0"/>
    <w:rsid w:val="00BB1719"/>
    <w:rsid w:val="00BB2359"/>
    <w:rsid w:val="00BB2580"/>
    <w:rsid w:val="00BB4F2F"/>
    <w:rsid w:val="00BB5394"/>
    <w:rsid w:val="00BC3F29"/>
    <w:rsid w:val="00BC5FBE"/>
    <w:rsid w:val="00BC64D4"/>
    <w:rsid w:val="00BD1DE7"/>
    <w:rsid w:val="00BD20DA"/>
    <w:rsid w:val="00BE100C"/>
    <w:rsid w:val="00BE48F3"/>
    <w:rsid w:val="00BE6D77"/>
    <w:rsid w:val="00BF0AEC"/>
    <w:rsid w:val="00BF123B"/>
    <w:rsid w:val="00BF123D"/>
    <w:rsid w:val="00BF3473"/>
    <w:rsid w:val="00BF3765"/>
    <w:rsid w:val="00BF3950"/>
    <w:rsid w:val="00BF5EE2"/>
    <w:rsid w:val="00BF68F8"/>
    <w:rsid w:val="00BF69B1"/>
    <w:rsid w:val="00C0025C"/>
    <w:rsid w:val="00C06E74"/>
    <w:rsid w:val="00C109FA"/>
    <w:rsid w:val="00C10AAE"/>
    <w:rsid w:val="00C115F4"/>
    <w:rsid w:val="00C17644"/>
    <w:rsid w:val="00C2107B"/>
    <w:rsid w:val="00C25822"/>
    <w:rsid w:val="00C25B89"/>
    <w:rsid w:val="00C277F4"/>
    <w:rsid w:val="00C31B8E"/>
    <w:rsid w:val="00C34B47"/>
    <w:rsid w:val="00C35F18"/>
    <w:rsid w:val="00C40345"/>
    <w:rsid w:val="00C40B89"/>
    <w:rsid w:val="00C51021"/>
    <w:rsid w:val="00C614A7"/>
    <w:rsid w:val="00C6454B"/>
    <w:rsid w:val="00C6603E"/>
    <w:rsid w:val="00C66B27"/>
    <w:rsid w:val="00C6743B"/>
    <w:rsid w:val="00C67A59"/>
    <w:rsid w:val="00C74E68"/>
    <w:rsid w:val="00C8573E"/>
    <w:rsid w:val="00C858B7"/>
    <w:rsid w:val="00C86CEB"/>
    <w:rsid w:val="00C903AE"/>
    <w:rsid w:val="00C90CE9"/>
    <w:rsid w:val="00C911DE"/>
    <w:rsid w:val="00C921D5"/>
    <w:rsid w:val="00C93768"/>
    <w:rsid w:val="00C95F13"/>
    <w:rsid w:val="00C9613E"/>
    <w:rsid w:val="00CA2ED9"/>
    <w:rsid w:val="00CA2F0F"/>
    <w:rsid w:val="00CA3DD3"/>
    <w:rsid w:val="00CA5653"/>
    <w:rsid w:val="00CA5EC1"/>
    <w:rsid w:val="00CA6D10"/>
    <w:rsid w:val="00CC2429"/>
    <w:rsid w:val="00CC7E56"/>
    <w:rsid w:val="00CD5D9E"/>
    <w:rsid w:val="00CE15C8"/>
    <w:rsid w:val="00CE56AE"/>
    <w:rsid w:val="00CF27C6"/>
    <w:rsid w:val="00CF5458"/>
    <w:rsid w:val="00CF61B3"/>
    <w:rsid w:val="00CF784A"/>
    <w:rsid w:val="00CF7E3D"/>
    <w:rsid w:val="00D01B24"/>
    <w:rsid w:val="00D020E2"/>
    <w:rsid w:val="00D04234"/>
    <w:rsid w:val="00D0540D"/>
    <w:rsid w:val="00D13B83"/>
    <w:rsid w:val="00D14D51"/>
    <w:rsid w:val="00D14E3B"/>
    <w:rsid w:val="00D170BE"/>
    <w:rsid w:val="00D20DEA"/>
    <w:rsid w:val="00D23F11"/>
    <w:rsid w:val="00D32449"/>
    <w:rsid w:val="00D32E6F"/>
    <w:rsid w:val="00D34DEA"/>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85F5F"/>
    <w:rsid w:val="00D906DB"/>
    <w:rsid w:val="00D97295"/>
    <w:rsid w:val="00D97814"/>
    <w:rsid w:val="00DA0E70"/>
    <w:rsid w:val="00DA1E7A"/>
    <w:rsid w:val="00DA21DB"/>
    <w:rsid w:val="00DA5A00"/>
    <w:rsid w:val="00DA68B9"/>
    <w:rsid w:val="00DA6917"/>
    <w:rsid w:val="00DB0E86"/>
    <w:rsid w:val="00DB1107"/>
    <w:rsid w:val="00DB2B22"/>
    <w:rsid w:val="00DB5FF7"/>
    <w:rsid w:val="00DC0CB0"/>
    <w:rsid w:val="00DC23FE"/>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6A9B"/>
    <w:rsid w:val="00DF7928"/>
    <w:rsid w:val="00E014FE"/>
    <w:rsid w:val="00E01664"/>
    <w:rsid w:val="00E134B4"/>
    <w:rsid w:val="00E1520C"/>
    <w:rsid w:val="00E2260A"/>
    <w:rsid w:val="00E23E06"/>
    <w:rsid w:val="00E25492"/>
    <w:rsid w:val="00E31685"/>
    <w:rsid w:val="00E325CC"/>
    <w:rsid w:val="00E33D3E"/>
    <w:rsid w:val="00E3511B"/>
    <w:rsid w:val="00E37AA1"/>
    <w:rsid w:val="00E426C9"/>
    <w:rsid w:val="00E50EFF"/>
    <w:rsid w:val="00E50F4B"/>
    <w:rsid w:val="00E51947"/>
    <w:rsid w:val="00E53096"/>
    <w:rsid w:val="00E56111"/>
    <w:rsid w:val="00E60476"/>
    <w:rsid w:val="00E6064B"/>
    <w:rsid w:val="00E61468"/>
    <w:rsid w:val="00E65AE8"/>
    <w:rsid w:val="00E660AB"/>
    <w:rsid w:val="00E668CE"/>
    <w:rsid w:val="00E6713D"/>
    <w:rsid w:val="00E70CAE"/>
    <w:rsid w:val="00E726BA"/>
    <w:rsid w:val="00E7413A"/>
    <w:rsid w:val="00E755E5"/>
    <w:rsid w:val="00E81795"/>
    <w:rsid w:val="00E83DA0"/>
    <w:rsid w:val="00E8432B"/>
    <w:rsid w:val="00E85324"/>
    <w:rsid w:val="00E93579"/>
    <w:rsid w:val="00EA0886"/>
    <w:rsid w:val="00EA2AAB"/>
    <w:rsid w:val="00EA33F9"/>
    <w:rsid w:val="00EA3DE9"/>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343A"/>
    <w:rsid w:val="00F2718C"/>
    <w:rsid w:val="00F4195C"/>
    <w:rsid w:val="00F420D8"/>
    <w:rsid w:val="00F44637"/>
    <w:rsid w:val="00F45389"/>
    <w:rsid w:val="00F46398"/>
    <w:rsid w:val="00F4708B"/>
    <w:rsid w:val="00F53B53"/>
    <w:rsid w:val="00F56ECE"/>
    <w:rsid w:val="00F60A5A"/>
    <w:rsid w:val="00F66A72"/>
    <w:rsid w:val="00F75846"/>
    <w:rsid w:val="00F75EE0"/>
    <w:rsid w:val="00F7667E"/>
    <w:rsid w:val="00F774C2"/>
    <w:rsid w:val="00F83F9F"/>
    <w:rsid w:val="00F8521C"/>
    <w:rsid w:val="00F86466"/>
    <w:rsid w:val="00F8666D"/>
    <w:rsid w:val="00F91340"/>
    <w:rsid w:val="00F92D09"/>
    <w:rsid w:val="00F9346E"/>
    <w:rsid w:val="00FA1E70"/>
    <w:rsid w:val="00FA396A"/>
    <w:rsid w:val="00FA47E2"/>
    <w:rsid w:val="00FA6C7F"/>
    <w:rsid w:val="00FB2F77"/>
    <w:rsid w:val="00FB4B56"/>
    <w:rsid w:val="00FB55E9"/>
    <w:rsid w:val="00FB681D"/>
    <w:rsid w:val="00FB76CD"/>
    <w:rsid w:val="00FC067E"/>
    <w:rsid w:val="00FC7D8B"/>
    <w:rsid w:val="00FD10D5"/>
    <w:rsid w:val="00FD1E3D"/>
    <w:rsid w:val="00FD3A3C"/>
    <w:rsid w:val="00FD4EB1"/>
    <w:rsid w:val="00FD7EE2"/>
    <w:rsid w:val="00FE6B22"/>
    <w:rsid w:val="00FE7A66"/>
    <w:rsid w:val="00FF0836"/>
    <w:rsid w:val="00FF15F9"/>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B41BCD-6C84-4CCA-B6A1-33BAF7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03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C903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10330572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0092028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53831818">
      <w:bodyDiv w:val="1"/>
      <w:marLeft w:val="0"/>
      <w:marRight w:val="0"/>
      <w:marTop w:val="0"/>
      <w:marBottom w:val="0"/>
      <w:divBdr>
        <w:top w:val="none" w:sz="0" w:space="0" w:color="auto"/>
        <w:left w:val="none" w:sz="0" w:space="0" w:color="auto"/>
        <w:bottom w:val="none" w:sz="0" w:space="0" w:color="auto"/>
        <w:right w:val="none" w:sz="0" w:space="0" w:color="auto"/>
      </w:divBdr>
    </w:div>
    <w:div w:id="1927837065">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323760">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9946-E024-4CB1-A098-4B7C6E07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6770</Words>
  <Characters>37241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2019-06-03T16:46:00Z</cp:lastPrinted>
  <dcterms:created xsi:type="dcterms:W3CDTF">2019-08-14T00:26:00Z</dcterms:created>
  <dcterms:modified xsi:type="dcterms:W3CDTF">2019-08-14T00:26:00Z</dcterms:modified>
</cp:coreProperties>
</file>