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4826AF8B" w:rsidR="00327FDE" w:rsidRPr="008E17DB" w:rsidRDefault="00327FDE" w:rsidP="00A70F75">
      <w:pPr>
        <w:spacing w:line="360" w:lineRule="auto"/>
        <w:jc w:val="both"/>
        <w:rPr>
          <w:rFonts w:ascii="Palatino Linotype" w:hAnsi="Palatino Linotype" w:cs="Tahoma"/>
          <w:bCs/>
          <w:sz w:val="22"/>
          <w:szCs w:val="22"/>
        </w:rPr>
      </w:pPr>
      <w:r w:rsidRPr="008E17D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66984" w:rsidRPr="008E17DB">
        <w:rPr>
          <w:rFonts w:ascii="Palatino Linotype" w:hAnsi="Palatino Linotype" w:cs="Tahoma"/>
          <w:bCs/>
          <w:sz w:val="22"/>
          <w:szCs w:val="22"/>
        </w:rPr>
        <w:t>once de septiembre</w:t>
      </w:r>
      <w:r w:rsidR="00725C12" w:rsidRPr="008E17DB">
        <w:rPr>
          <w:rFonts w:ascii="Palatino Linotype" w:hAnsi="Palatino Linotype" w:cs="Tahoma"/>
          <w:bCs/>
          <w:sz w:val="22"/>
          <w:szCs w:val="22"/>
        </w:rPr>
        <w:t xml:space="preserve"> de </w:t>
      </w:r>
      <w:bookmarkStart w:id="0" w:name="_GoBack"/>
      <w:bookmarkEnd w:id="0"/>
      <w:r w:rsidR="005C3AF3" w:rsidRPr="008E17DB">
        <w:rPr>
          <w:rFonts w:ascii="Palatino Linotype" w:hAnsi="Palatino Linotype" w:cs="Tahoma"/>
          <w:bCs/>
          <w:sz w:val="22"/>
          <w:szCs w:val="22"/>
        </w:rPr>
        <w:t>dos mil diecinueve</w:t>
      </w:r>
      <w:r w:rsidRPr="008E17DB">
        <w:rPr>
          <w:rFonts w:ascii="Palatino Linotype" w:hAnsi="Palatino Linotype" w:cs="Tahoma"/>
          <w:bCs/>
          <w:sz w:val="22"/>
          <w:szCs w:val="22"/>
        </w:rPr>
        <w:t>.</w:t>
      </w:r>
    </w:p>
    <w:p w14:paraId="5598DD3D" w14:textId="77777777" w:rsidR="00B31222" w:rsidRPr="008E17DB" w:rsidRDefault="00B31222" w:rsidP="00A70F75">
      <w:pPr>
        <w:spacing w:line="360" w:lineRule="auto"/>
        <w:rPr>
          <w:rFonts w:ascii="Palatino Linotype" w:hAnsi="Palatino Linotype" w:cs="Tahoma"/>
          <w:bCs/>
          <w:sz w:val="22"/>
          <w:szCs w:val="22"/>
        </w:rPr>
      </w:pPr>
    </w:p>
    <w:p w14:paraId="646C3FE1" w14:textId="17E7F6CD" w:rsidR="00B31222" w:rsidRPr="008E17DB" w:rsidRDefault="00C27C34" w:rsidP="00A70F75">
      <w:pPr>
        <w:spacing w:line="360" w:lineRule="auto"/>
        <w:jc w:val="both"/>
        <w:rPr>
          <w:rFonts w:ascii="Palatino Linotype" w:hAnsi="Palatino Linotype" w:cs="Tahoma"/>
          <w:bCs/>
          <w:sz w:val="22"/>
          <w:szCs w:val="22"/>
        </w:rPr>
      </w:pPr>
      <w:r w:rsidRPr="008E17DB">
        <w:rPr>
          <w:rFonts w:ascii="Palatino Linotype" w:hAnsi="Palatino Linotype" w:cs="Tahoma"/>
          <w:b/>
          <w:bCs/>
          <w:color w:val="0D0D0D" w:themeColor="text1" w:themeTint="F2"/>
          <w:sz w:val="22"/>
          <w:szCs w:val="22"/>
        </w:rPr>
        <w:t>VISTO</w:t>
      </w:r>
      <w:r w:rsidR="0019389B" w:rsidRPr="008E17DB">
        <w:rPr>
          <w:rFonts w:ascii="Palatino Linotype" w:hAnsi="Palatino Linotype" w:cs="Tahoma"/>
          <w:bCs/>
          <w:color w:val="0D0D0D" w:themeColor="text1" w:themeTint="F2"/>
          <w:sz w:val="22"/>
          <w:szCs w:val="22"/>
        </w:rPr>
        <w:t xml:space="preserve"> el expediente conformado </w:t>
      </w:r>
      <w:r w:rsidR="00422869" w:rsidRPr="008E17DB">
        <w:rPr>
          <w:rFonts w:ascii="Palatino Linotype" w:hAnsi="Palatino Linotype" w:cs="Tahoma"/>
          <w:bCs/>
          <w:color w:val="0D0D0D" w:themeColor="text1" w:themeTint="F2"/>
          <w:sz w:val="22"/>
          <w:szCs w:val="22"/>
        </w:rPr>
        <w:t xml:space="preserve">con motivo </w:t>
      </w:r>
      <w:r w:rsidRPr="008E17DB">
        <w:rPr>
          <w:rFonts w:ascii="Palatino Linotype" w:hAnsi="Palatino Linotype" w:cs="Tahoma"/>
          <w:bCs/>
          <w:color w:val="0D0D0D" w:themeColor="text1" w:themeTint="F2"/>
          <w:sz w:val="22"/>
          <w:szCs w:val="22"/>
        </w:rPr>
        <w:t>del</w:t>
      </w:r>
      <w:r w:rsidR="00422869" w:rsidRPr="008E17DB">
        <w:rPr>
          <w:rFonts w:ascii="Palatino Linotype" w:hAnsi="Palatino Linotype" w:cs="Tahoma"/>
          <w:bCs/>
          <w:color w:val="0D0D0D" w:themeColor="text1" w:themeTint="F2"/>
          <w:sz w:val="22"/>
          <w:szCs w:val="22"/>
        </w:rPr>
        <w:t xml:space="preserve"> Recurso de Revisión </w:t>
      </w:r>
      <w:r w:rsidRPr="008E17DB">
        <w:rPr>
          <w:rFonts w:ascii="Palatino Linotype" w:hAnsi="Palatino Linotype" w:cs="Tahoma"/>
          <w:bCs/>
          <w:color w:val="0D0D0D" w:themeColor="text1" w:themeTint="F2"/>
          <w:sz w:val="22"/>
          <w:szCs w:val="22"/>
        </w:rPr>
        <w:t xml:space="preserve">con número </w:t>
      </w:r>
      <w:r w:rsidR="00D5321C" w:rsidRPr="008E17DB">
        <w:rPr>
          <w:rFonts w:ascii="Palatino Linotype" w:hAnsi="Palatino Linotype" w:cs="Tahoma"/>
          <w:b/>
          <w:bCs/>
          <w:color w:val="0D0D0D" w:themeColor="text1" w:themeTint="F2"/>
          <w:sz w:val="22"/>
          <w:szCs w:val="22"/>
        </w:rPr>
        <w:t>0</w:t>
      </w:r>
      <w:r w:rsidR="00B14E8F" w:rsidRPr="008E17DB">
        <w:rPr>
          <w:rFonts w:ascii="Palatino Linotype" w:hAnsi="Palatino Linotype" w:cs="Tahoma"/>
          <w:b/>
          <w:bCs/>
          <w:color w:val="0D0D0D" w:themeColor="text1" w:themeTint="F2"/>
          <w:sz w:val="22"/>
          <w:szCs w:val="22"/>
        </w:rPr>
        <w:t>5821</w:t>
      </w:r>
      <w:r w:rsidR="00D5321C" w:rsidRPr="008E17DB">
        <w:rPr>
          <w:rFonts w:ascii="Palatino Linotype" w:hAnsi="Palatino Linotype" w:cs="Tahoma"/>
          <w:b/>
          <w:bCs/>
          <w:color w:val="0D0D0D" w:themeColor="text1" w:themeTint="F2"/>
          <w:sz w:val="22"/>
          <w:szCs w:val="22"/>
        </w:rPr>
        <w:t>/INFOEM/IP/RR/2019</w:t>
      </w:r>
      <w:r w:rsidR="00422869" w:rsidRPr="008E17DB">
        <w:rPr>
          <w:rFonts w:ascii="Palatino Linotype" w:hAnsi="Palatino Linotype" w:cs="Tahoma"/>
          <w:bCs/>
          <w:color w:val="0D0D0D" w:themeColor="text1" w:themeTint="F2"/>
          <w:sz w:val="22"/>
          <w:szCs w:val="22"/>
        </w:rPr>
        <w:t xml:space="preserve">, </w:t>
      </w:r>
      <w:r w:rsidR="00127757" w:rsidRPr="008E17DB">
        <w:rPr>
          <w:rFonts w:ascii="Palatino Linotype" w:hAnsi="Palatino Linotype" w:cs="Tahoma"/>
          <w:bCs/>
          <w:color w:val="0D0D0D" w:themeColor="text1" w:themeTint="F2"/>
          <w:sz w:val="22"/>
          <w:szCs w:val="22"/>
        </w:rPr>
        <w:t xml:space="preserve">interpuesto por </w:t>
      </w:r>
      <w:r w:rsidR="00A25592" w:rsidRPr="008E17DB">
        <w:rPr>
          <w:rFonts w:ascii="Palatino Linotype" w:hAnsi="Palatino Linotype" w:cs="Tahoma"/>
          <w:color w:val="0D0D0D" w:themeColor="text1" w:themeTint="F2"/>
          <w:sz w:val="22"/>
          <w:szCs w:val="22"/>
          <w:highlight w:val="black"/>
        </w:rPr>
        <w:t>XXXXXXXXXXXXXXX</w:t>
      </w:r>
      <w:r w:rsidR="00112085" w:rsidRPr="008E17DB">
        <w:rPr>
          <w:rFonts w:ascii="Palatino Linotype" w:hAnsi="Palatino Linotype" w:cs="Tahoma"/>
          <w:bCs/>
          <w:color w:val="0D0D0D" w:themeColor="text1" w:themeTint="F2"/>
          <w:sz w:val="22"/>
          <w:szCs w:val="22"/>
        </w:rPr>
        <w:t xml:space="preserve">, en lo sucesivo </w:t>
      </w:r>
      <w:r w:rsidR="009873E6" w:rsidRPr="008E17DB">
        <w:rPr>
          <w:rFonts w:ascii="Palatino Linotype" w:hAnsi="Palatino Linotype" w:cs="Tahoma"/>
          <w:bCs/>
          <w:color w:val="0D0D0D" w:themeColor="text1" w:themeTint="F2"/>
          <w:sz w:val="22"/>
          <w:szCs w:val="22"/>
        </w:rPr>
        <w:t>P</w:t>
      </w:r>
      <w:r w:rsidR="00112085" w:rsidRPr="008E17DB">
        <w:rPr>
          <w:rFonts w:ascii="Palatino Linotype" w:hAnsi="Palatino Linotype" w:cs="Tahoma"/>
          <w:bCs/>
          <w:color w:val="0D0D0D" w:themeColor="text1" w:themeTint="F2"/>
          <w:sz w:val="22"/>
          <w:szCs w:val="22"/>
        </w:rPr>
        <w:t xml:space="preserve">articular o </w:t>
      </w:r>
      <w:r w:rsidR="009873E6" w:rsidRPr="008E17DB">
        <w:rPr>
          <w:rFonts w:ascii="Palatino Linotype" w:hAnsi="Palatino Linotype" w:cs="Tahoma"/>
          <w:bCs/>
          <w:color w:val="0D0D0D" w:themeColor="text1" w:themeTint="F2"/>
          <w:sz w:val="22"/>
          <w:szCs w:val="22"/>
        </w:rPr>
        <w:t>R</w:t>
      </w:r>
      <w:r w:rsidR="00112085" w:rsidRPr="008E17DB">
        <w:rPr>
          <w:rFonts w:ascii="Palatino Linotype" w:hAnsi="Palatino Linotype" w:cs="Tahoma"/>
          <w:bCs/>
          <w:color w:val="0D0D0D" w:themeColor="text1" w:themeTint="F2"/>
          <w:sz w:val="22"/>
          <w:szCs w:val="22"/>
        </w:rPr>
        <w:t>ecurrente,</w:t>
      </w:r>
      <w:r w:rsidR="0057298D" w:rsidRPr="008E17DB">
        <w:rPr>
          <w:rFonts w:ascii="Palatino Linotype" w:hAnsi="Palatino Linotype" w:cs="Tahoma"/>
          <w:bCs/>
          <w:color w:val="0D0D0D" w:themeColor="text1" w:themeTint="F2"/>
          <w:sz w:val="22"/>
          <w:szCs w:val="22"/>
        </w:rPr>
        <w:t xml:space="preserve"> </w:t>
      </w:r>
      <w:r w:rsidR="00DC1594" w:rsidRPr="008E17DB">
        <w:rPr>
          <w:rFonts w:ascii="Palatino Linotype" w:hAnsi="Palatino Linotype" w:cs="Tahoma"/>
          <w:bCs/>
          <w:color w:val="0D0D0D" w:themeColor="text1" w:themeTint="F2"/>
          <w:sz w:val="22"/>
          <w:szCs w:val="22"/>
        </w:rPr>
        <w:t xml:space="preserve">en contra </w:t>
      </w:r>
      <w:r w:rsidR="001E6C2A" w:rsidRPr="008E17DB">
        <w:rPr>
          <w:rFonts w:ascii="Palatino Linotype" w:hAnsi="Palatino Linotype" w:cs="Tahoma"/>
          <w:bCs/>
          <w:color w:val="0D0D0D" w:themeColor="text1" w:themeTint="F2"/>
          <w:sz w:val="22"/>
          <w:szCs w:val="22"/>
        </w:rPr>
        <w:t>de</w:t>
      </w:r>
      <w:r w:rsidR="0027090B" w:rsidRPr="008E17DB">
        <w:rPr>
          <w:rFonts w:ascii="Palatino Linotype" w:hAnsi="Palatino Linotype" w:cs="Tahoma"/>
          <w:bCs/>
          <w:color w:val="0D0D0D" w:themeColor="text1" w:themeTint="F2"/>
          <w:sz w:val="22"/>
          <w:szCs w:val="22"/>
        </w:rPr>
        <w:t xml:space="preserve"> la</w:t>
      </w:r>
      <w:r w:rsidRPr="008E17DB">
        <w:rPr>
          <w:rFonts w:ascii="Palatino Linotype" w:hAnsi="Palatino Linotype" w:cs="Tahoma"/>
          <w:bCs/>
          <w:color w:val="0D0D0D" w:themeColor="text1" w:themeTint="F2"/>
          <w:sz w:val="22"/>
          <w:szCs w:val="22"/>
        </w:rPr>
        <w:t xml:space="preserve"> respuesta</w:t>
      </w:r>
      <w:r w:rsidR="00DC1594" w:rsidRPr="008E17DB">
        <w:rPr>
          <w:rFonts w:ascii="Palatino Linotype" w:hAnsi="Palatino Linotype" w:cs="Tahoma"/>
          <w:bCs/>
          <w:color w:val="0D0D0D" w:themeColor="text1" w:themeTint="F2"/>
          <w:sz w:val="22"/>
          <w:szCs w:val="22"/>
        </w:rPr>
        <w:t xml:space="preserve"> del </w:t>
      </w:r>
      <w:r w:rsidR="002A0FB8" w:rsidRPr="008E17DB">
        <w:rPr>
          <w:rFonts w:ascii="Palatino Linotype" w:hAnsi="Palatino Linotype" w:cs="Tahoma"/>
          <w:b/>
          <w:bCs/>
          <w:color w:val="0D0D0D" w:themeColor="text1" w:themeTint="F2"/>
          <w:sz w:val="22"/>
          <w:szCs w:val="22"/>
        </w:rPr>
        <w:t>Sujeto Obligado</w:t>
      </w:r>
      <w:r w:rsidR="002A0FB8" w:rsidRPr="008E17DB">
        <w:rPr>
          <w:rFonts w:ascii="Palatino Linotype" w:hAnsi="Palatino Linotype" w:cs="Tahoma"/>
          <w:bCs/>
          <w:color w:val="0D0D0D" w:themeColor="text1" w:themeTint="F2"/>
          <w:sz w:val="22"/>
          <w:szCs w:val="22"/>
        </w:rPr>
        <w:t xml:space="preserve"> </w:t>
      </w:r>
      <w:r w:rsidR="00D5321C" w:rsidRPr="008E17DB">
        <w:rPr>
          <w:rFonts w:ascii="Palatino Linotype" w:hAnsi="Palatino Linotype" w:cs="Tahoma"/>
          <w:b/>
          <w:bCs/>
          <w:color w:val="0D0D0D" w:themeColor="text1" w:themeTint="F2"/>
          <w:sz w:val="22"/>
          <w:szCs w:val="22"/>
        </w:rPr>
        <w:t xml:space="preserve">Ayuntamiento de </w:t>
      </w:r>
      <w:r w:rsidR="00B14E8F" w:rsidRPr="008E17DB">
        <w:rPr>
          <w:rFonts w:ascii="Palatino Linotype" w:hAnsi="Palatino Linotype" w:cs="Tahoma"/>
          <w:b/>
          <w:bCs/>
          <w:color w:val="0D0D0D" w:themeColor="text1" w:themeTint="F2"/>
          <w:sz w:val="22"/>
          <w:szCs w:val="22"/>
        </w:rPr>
        <w:t>Tlalnepantla de Baz</w:t>
      </w:r>
      <w:r w:rsidR="00DC1594" w:rsidRPr="008E17DB">
        <w:rPr>
          <w:rFonts w:ascii="Palatino Linotype" w:hAnsi="Palatino Linotype" w:cs="Tahoma"/>
          <w:bCs/>
          <w:color w:val="0D0D0D" w:themeColor="text1" w:themeTint="F2"/>
          <w:sz w:val="22"/>
          <w:szCs w:val="22"/>
        </w:rPr>
        <w:t xml:space="preserve">, </w:t>
      </w:r>
      <w:r w:rsidR="00422869" w:rsidRPr="008E17DB">
        <w:rPr>
          <w:rFonts w:ascii="Palatino Linotype" w:hAnsi="Palatino Linotype" w:cs="Tahoma"/>
          <w:bCs/>
          <w:color w:val="0D0D0D" w:themeColor="text1" w:themeTint="F2"/>
          <w:sz w:val="22"/>
          <w:szCs w:val="22"/>
        </w:rPr>
        <w:t xml:space="preserve">se emite la presente Resolución, </w:t>
      </w:r>
      <w:r w:rsidR="00DC1594" w:rsidRPr="008E17DB">
        <w:rPr>
          <w:rFonts w:ascii="Palatino Linotype" w:hAnsi="Palatino Linotype" w:cs="Tahoma"/>
          <w:bCs/>
          <w:color w:val="0D0D0D" w:themeColor="text1" w:themeTint="F2"/>
          <w:sz w:val="22"/>
          <w:szCs w:val="22"/>
        </w:rPr>
        <w:t>con base en</w:t>
      </w:r>
      <w:r w:rsidR="007827FA" w:rsidRPr="008E17DB">
        <w:rPr>
          <w:rFonts w:ascii="Palatino Linotype" w:hAnsi="Palatino Linotype" w:cs="Tahoma"/>
          <w:bCs/>
          <w:color w:val="0D0D0D" w:themeColor="text1" w:themeTint="F2"/>
          <w:sz w:val="22"/>
          <w:szCs w:val="22"/>
        </w:rPr>
        <w:t xml:space="preserve"> </w:t>
      </w:r>
      <w:r w:rsidR="00DC1594" w:rsidRPr="008E17DB">
        <w:rPr>
          <w:rFonts w:ascii="Palatino Linotype" w:hAnsi="Palatino Linotype" w:cs="Tahoma"/>
          <w:bCs/>
          <w:color w:val="0D0D0D" w:themeColor="text1" w:themeTint="F2"/>
          <w:sz w:val="22"/>
          <w:szCs w:val="22"/>
        </w:rPr>
        <w:t xml:space="preserve">los </w:t>
      </w:r>
      <w:r w:rsidR="006C1B1D" w:rsidRPr="008E17DB">
        <w:rPr>
          <w:rFonts w:ascii="Palatino Linotype" w:hAnsi="Palatino Linotype" w:cs="Tahoma"/>
          <w:bCs/>
          <w:color w:val="0D0D0D" w:themeColor="text1" w:themeTint="F2"/>
          <w:sz w:val="22"/>
          <w:szCs w:val="22"/>
        </w:rPr>
        <w:t>A</w:t>
      </w:r>
      <w:r w:rsidR="00DC1594" w:rsidRPr="008E17DB">
        <w:rPr>
          <w:rFonts w:ascii="Palatino Linotype" w:hAnsi="Palatino Linotype" w:cs="Tahoma"/>
          <w:bCs/>
          <w:color w:val="0D0D0D" w:themeColor="text1" w:themeTint="F2"/>
          <w:sz w:val="22"/>
          <w:szCs w:val="22"/>
        </w:rPr>
        <w:t xml:space="preserve">ntecedentes y </w:t>
      </w:r>
      <w:r w:rsidR="002A0FB8" w:rsidRPr="008E17DB">
        <w:rPr>
          <w:rFonts w:ascii="Palatino Linotype" w:hAnsi="Palatino Linotype" w:cs="Tahoma"/>
          <w:bCs/>
          <w:color w:val="0D0D0D" w:themeColor="text1" w:themeTint="F2"/>
          <w:sz w:val="22"/>
          <w:szCs w:val="22"/>
        </w:rPr>
        <w:t>C</w:t>
      </w:r>
      <w:r w:rsidR="002A0FB8" w:rsidRPr="008E17DB">
        <w:rPr>
          <w:rFonts w:ascii="Palatino Linotype" w:hAnsi="Palatino Linotype" w:cs="Tahoma"/>
          <w:bCs/>
          <w:sz w:val="22"/>
          <w:szCs w:val="22"/>
        </w:rPr>
        <w:t xml:space="preserve">onsiderandos </w:t>
      </w:r>
      <w:r w:rsidR="00DC1594" w:rsidRPr="008E17DB">
        <w:rPr>
          <w:rFonts w:ascii="Palatino Linotype" w:hAnsi="Palatino Linotype" w:cs="Tahoma"/>
          <w:bCs/>
          <w:sz w:val="22"/>
          <w:szCs w:val="22"/>
        </w:rPr>
        <w:t>que a continuación se exponen</w:t>
      </w:r>
      <w:r w:rsidR="00B31222" w:rsidRPr="008E17DB">
        <w:rPr>
          <w:rFonts w:ascii="Palatino Linotype" w:hAnsi="Palatino Linotype" w:cs="Tahoma"/>
          <w:bCs/>
          <w:sz w:val="22"/>
          <w:szCs w:val="22"/>
        </w:rPr>
        <w:t>:</w:t>
      </w:r>
    </w:p>
    <w:p w14:paraId="27DB88F6" w14:textId="77777777" w:rsidR="00735915" w:rsidRPr="008E17DB" w:rsidRDefault="00735915" w:rsidP="00A70F75">
      <w:pPr>
        <w:spacing w:line="360" w:lineRule="auto"/>
        <w:rPr>
          <w:rFonts w:ascii="Palatino Linotype" w:hAnsi="Palatino Linotype" w:cs="Tahoma"/>
          <w:sz w:val="22"/>
          <w:szCs w:val="22"/>
        </w:rPr>
      </w:pPr>
    </w:p>
    <w:p w14:paraId="2C220043" w14:textId="77777777" w:rsidR="00B31222" w:rsidRPr="008E17DB" w:rsidRDefault="00B31222" w:rsidP="00A70F75">
      <w:pPr>
        <w:tabs>
          <w:tab w:val="center" w:pos="4522"/>
          <w:tab w:val="left" w:pos="7245"/>
        </w:tabs>
        <w:spacing w:line="360" w:lineRule="auto"/>
        <w:jc w:val="center"/>
        <w:rPr>
          <w:rFonts w:ascii="Palatino Linotype" w:hAnsi="Palatino Linotype" w:cs="Tahoma"/>
          <w:b/>
          <w:sz w:val="22"/>
          <w:szCs w:val="22"/>
        </w:rPr>
      </w:pPr>
      <w:r w:rsidRPr="008E17DB">
        <w:rPr>
          <w:rFonts w:ascii="Palatino Linotype" w:hAnsi="Palatino Linotype" w:cs="Tahoma"/>
          <w:b/>
          <w:sz w:val="22"/>
          <w:szCs w:val="22"/>
        </w:rPr>
        <w:t>ANTECEDENTES:</w:t>
      </w:r>
    </w:p>
    <w:p w14:paraId="2F70DB57" w14:textId="77777777" w:rsidR="00B31222" w:rsidRPr="008E17DB" w:rsidRDefault="00B31222" w:rsidP="00A70F75">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8E17DB" w:rsidRDefault="00B31222" w:rsidP="00A70F75">
      <w:pPr>
        <w:pStyle w:val="Prrafodelista"/>
        <w:tabs>
          <w:tab w:val="left" w:pos="567"/>
        </w:tabs>
        <w:spacing w:line="360" w:lineRule="auto"/>
        <w:ind w:left="0"/>
        <w:contextualSpacing w:val="0"/>
        <w:jc w:val="both"/>
        <w:rPr>
          <w:rFonts w:ascii="Palatino Linotype" w:hAnsi="Palatino Linotype" w:cs="Tahoma"/>
          <w:b/>
          <w:szCs w:val="22"/>
        </w:rPr>
      </w:pPr>
      <w:r w:rsidRPr="008E17DB">
        <w:rPr>
          <w:rFonts w:ascii="Palatino Linotype" w:hAnsi="Palatino Linotype" w:cs="Tahoma"/>
          <w:b/>
          <w:szCs w:val="22"/>
        </w:rPr>
        <w:t xml:space="preserve">I. Presentación de </w:t>
      </w:r>
      <w:r w:rsidR="00C27C34" w:rsidRPr="008E17DB">
        <w:rPr>
          <w:rFonts w:ascii="Palatino Linotype" w:hAnsi="Palatino Linotype" w:cs="Tahoma"/>
          <w:b/>
          <w:szCs w:val="22"/>
        </w:rPr>
        <w:t>la solicitud</w:t>
      </w:r>
      <w:r w:rsidRPr="008E17DB">
        <w:rPr>
          <w:rFonts w:ascii="Palatino Linotype" w:hAnsi="Palatino Linotype" w:cs="Tahoma"/>
          <w:b/>
          <w:szCs w:val="22"/>
        </w:rPr>
        <w:t xml:space="preserve"> de información. </w:t>
      </w:r>
    </w:p>
    <w:p w14:paraId="3DCADBE5" w14:textId="77777777" w:rsidR="00DC1594" w:rsidRPr="008E17DB" w:rsidRDefault="00DC1594" w:rsidP="00A70F75">
      <w:pPr>
        <w:pStyle w:val="Prrafodelista"/>
        <w:tabs>
          <w:tab w:val="left" w:pos="567"/>
        </w:tabs>
        <w:spacing w:line="360" w:lineRule="auto"/>
        <w:ind w:left="0"/>
        <w:contextualSpacing w:val="0"/>
        <w:jc w:val="both"/>
        <w:rPr>
          <w:rFonts w:ascii="Palatino Linotype" w:hAnsi="Palatino Linotype" w:cs="Tahoma"/>
          <w:szCs w:val="22"/>
        </w:rPr>
      </w:pPr>
    </w:p>
    <w:p w14:paraId="2A62A893" w14:textId="76C44FD2" w:rsidR="00B31222" w:rsidRPr="008E17DB" w:rsidRDefault="00AA417B" w:rsidP="00A70F75">
      <w:pPr>
        <w:pStyle w:val="Prrafodelista"/>
        <w:tabs>
          <w:tab w:val="left" w:pos="567"/>
        </w:tabs>
        <w:spacing w:line="360" w:lineRule="auto"/>
        <w:ind w:left="0"/>
        <w:contextualSpacing w:val="0"/>
        <w:jc w:val="both"/>
        <w:rPr>
          <w:rFonts w:ascii="Palatino Linotype" w:hAnsi="Palatino Linotype" w:cs="Tahoma"/>
          <w:szCs w:val="22"/>
        </w:rPr>
      </w:pPr>
      <w:r w:rsidRPr="008E17DB">
        <w:rPr>
          <w:rFonts w:ascii="Palatino Linotype" w:hAnsi="Palatino Linotype" w:cs="Tahoma"/>
          <w:szCs w:val="22"/>
        </w:rPr>
        <w:t>Con fecha</w:t>
      </w:r>
      <w:r w:rsidR="00C12FBA" w:rsidRPr="008E17DB">
        <w:rPr>
          <w:rFonts w:ascii="Palatino Linotype" w:hAnsi="Palatino Linotype" w:cs="Tahoma"/>
          <w:szCs w:val="22"/>
        </w:rPr>
        <w:t xml:space="preserve"> </w:t>
      </w:r>
      <w:r w:rsidR="00B14E8F" w:rsidRPr="008E17DB">
        <w:rPr>
          <w:rFonts w:ascii="Palatino Linotype" w:hAnsi="Palatino Linotype" w:cs="Tahoma"/>
          <w:szCs w:val="22"/>
        </w:rPr>
        <w:t>diecisiete de junio</w:t>
      </w:r>
      <w:r w:rsidR="00D67DAD" w:rsidRPr="008E17DB">
        <w:rPr>
          <w:rFonts w:ascii="Palatino Linotype" w:hAnsi="Palatino Linotype" w:cs="Tahoma"/>
          <w:szCs w:val="22"/>
        </w:rPr>
        <w:t xml:space="preserve"> de dos mil diecinueve</w:t>
      </w:r>
      <w:r w:rsidR="00D5321C" w:rsidRPr="008E17DB">
        <w:rPr>
          <w:rFonts w:ascii="Palatino Linotype" w:hAnsi="Palatino Linotype" w:cs="Tahoma"/>
          <w:szCs w:val="22"/>
        </w:rPr>
        <w:t>,</w:t>
      </w:r>
      <w:r w:rsidR="00B31222" w:rsidRPr="008E17DB">
        <w:rPr>
          <w:rFonts w:ascii="Palatino Linotype" w:hAnsi="Palatino Linotype" w:cs="Tahoma"/>
          <w:szCs w:val="22"/>
        </w:rPr>
        <w:t xml:space="preserve"> </w:t>
      </w:r>
      <w:r w:rsidR="002F1E4D" w:rsidRPr="008E17DB">
        <w:rPr>
          <w:rFonts w:ascii="Palatino Linotype" w:hAnsi="Palatino Linotype" w:cs="Tahoma"/>
          <w:szCs w:val="22"/>
        </w:rPr>
        <w:t>el</w:t>
      </w:r>
      <w:r w:rsidR="00B46F75" w:rsidRPr="008E17DB">
        <w:rPr>
          <w:rFonts w:ascii="Palatino Linotype" w:hAnsi="Palatino Linotype" w:cs="Tahoma"/>
          <w:szCs w:val="22"/>
        </w:rPr>
        <w:t xml:space="preserve"> </w:t>
      </w:r>
      <w:r w:rsidR="007B575B" w:rsidRPr="008E17DB">
        <w:rPr>
          <w:rFonts w:ascii="Palatino Linotype" w:hAnsi="Palatino Linotype" w:cs="Tahoma"/>
          <w:szCs w:val="22"/>
        </w:rPr>
        <w:t>P</w:t>
      </w:r>
      <w:r w:rsidR="00B31222" w:rsidRPr="008E17DB">
        <w:rPr>
          <w:rFonts w:ascii="Palatino Linotype" w:hAnsi="Palatino Linotype" w:cs="Tahoma"/>
          <w:szCs w:val="22"/>
        </w:rPr>
        <w:t xml:space="preserve">articular </w:t>
      </w:r>
      <w:r w:rsidR="00C27C34" w:rsidRPr="008E17DB">
        <w:rPr>
          <w:rFonts w:ascii="Palatino Linotype" w:hAnsi="Palatino Linotype" w:cs="Tahoma"/>
          <w:szCs w:val="22"/>
        </w:rPr>
        <w:t xml:space="preserve">presentó solicitud de acceso a la información pública a través del Sistema de Acceso a la Información Mexiquense (SAIMEX), ante </w:t>
      </w:r>
      <w:r w:rsidR="00C36461" w:rsidRPr="008E17DB">
        <w:rPr>
          <w:rFonts w:ascii="Palatino Linotype" w:hAnsi="Palatino Linotype" w:cs="Tahoma"/>
          <w:szCs w:val="22"/>
        </w:rPr>
        <w:t xml:space="preserve">el </w:t>
      </w:r>
      <w:r w:rsidR="00D5321C" w:rsidRPr="008E17DB">
        <w:rPr>
          <w:rFonts w:ascii="Palatino Linotype" w:hAnsi="Palatino Linotype" w:cs="Tahoma"/>
          <w:szCs w:val="22"/>
        </w:rPr>
        <w:t xml:space="preserve">Ayuntamiento de </w:t>
      </w:r>
      <w:r w:rsidR="00B14E8F" w:rsidRPr="008E17DB">
        <w:rPr>
          <w:rFonts w:ascii="Palatino Linotype" w:hAnsi="Palatino Linotype" w:cs="Tahoma"/>
          <w:szCs w:val="22"/>
        </w:rPr>
        <w:t>Tlalnepantla de Baz</w:t>
      </w:r>
      <w:r w:rsidR="00C27C34" w:rsidRPr="008E17DB">
        <w:rPr>
          <w:rFonts w:ascii="Palatino Linotype" w:hAnsi="Palatino Linotype" w:cs="Tahoma"/>
          <w:szCs w:val="22"/>
        </w:rPr>
        <w:t>,</w:t>
      </w:r>
      <w:r w:rsidR="007621C9" w:rsidRPr="008E17DB">
        <w:rPr>
          <w:rFonts w:ascii="Palatino Linotype" w:hAnsi="Palatino Linotype" w:cs="Tahoma"/>
          <w:szCs w:val="22"/>
        </w:rPr>
        <w:t xml:space="preserve"> </w:t>
      </w:r>
      <w:r w:rsidR="00D5321C" w:rsidRPr="008E17DB">
        <w:rPr>
          <w:rFonts w:ascii="Palatino Linotype" w:hAnsi="Palatino Linotype" w:cs="Tahoma"/>
          <w:szCs w:val="22"/>
        </w:rPr>
        <w:t>en</w:t>
      </w:r>
      <w:r w:rsidR="00C27C34" w:rsidRPr="008E17DB">
        <w:rPr>
          <w:rFonts w:ascii="Palatino Linotype" w:hAnsi="Palatino Linotype" w:cs="Tahoma"/>
          <w:szCs w:val="22"/>
        </w:rPr>
        <w:t xml:space="preserve"> la cual requirió</w:t>
      </w:r>
      <w:r w:rsidR="00D5321C" w:rsidRPr="008E17DB">
        <w:rPr>
          <w:rFonts w:ascii="Palatino Linotype" w:hAnsi="Palatino Linotype" w:cs="Tahoma"/>
          <w:szCs w:val="22"/>
        </w:rPr>
        <w:t xml:space="preserve"> lo siguiente</w:t>
      </w:r>
      <w:r w:rsidR="00C27C34" w:rsidRPr="008E17DB">
        <w:rPr>
          <w:rFonts w:ascii="Palatino Linotype" w:hAnsi="Palatino Linotype" w:cs="Tahoma"/>
          <w:szCs w:val="22"/>
        </w:rPr>
        <w:t>:</w:t>
      </w:r>
    </w:p>
    <w:p w14:paraId="25E9D4B7" w14:textId="77777777" w:rsidR="00637179" w:rsidRPr="008E17DB" w:rsidRDefault="00637179" w:rsidP="00A70F75">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8E17DB" w:rsidRDefault="00D01F75" w:rsidP="00A70F75">
      <w:pPr>
        <w:tabs>
          <w:tab w:val="left" w:pos="4667"/>
        </w:tabs>
        <w:spacing w:line="360" w:lineRule="auto"/>
        <w:ind w:left="567" w:right="567"/>
        <w:jc w:val="both"/>
        <w:rPr>
          <w:rFonts w:ascii="Palatino Linotype" w:hAnsi="Palatino Linotype" w:cs="Tahoma"/>
          <w:b/>
          <w:bCs/>
          <w:i/>
        </w:rPr>
      </w:pPr>
      <w:r w:rsidRPr="008E17DB">
        <w:rPr>
          <w:rFonts w:ascii="Palatino Linotype" w:hAnsi="Palatino Linotype" w:cs="Tahoma"/>
          <w:b/>
          <w:bCs/>
          <w:i/>
        </w:rPr>
        <w:t>“DESCRIPCIÓN CLARA Y PRECISA DE LA INFORMACIÓN SOLICITADA</w:t>
      </w:r>
    </w:p>
    <w:p w14:paraId="7F941E82" w14:textId="4A9E5683" w:rsidR="00D01F75" w:rsidRPr="008E17DB" w:rsidRDefault="002F1E4D" w:rsidP="00A70F75">
      <w:pPr>
        <w:tabs>
          <w:tab w:val="left" w:pos="4667"/>
        </w:tabs>
        <w:spacing w:line="360" w:lineRule="auto"/>
        <w:ind w:left="567" w:right="567"/>
        <w:jc w:val="both"/>
        <w:rPr>
          <w:rFonts w:ascii="Palatino Linotype" w:hAnsi="Palatino Linotype" w:cs="Tahoma"/>
          <w:bCs/>
          <w:i/>
        </w:rPr>
      </w:pPr>
      <w:r w:rsidRPr="008E17DB">
        <w:rPr>
          <w:rFonts w:ascii="Palatino Linotype" w:hAnsi="Palatino Linotype" w:cs="Tahoma"/>
          <w:bCs/>
          <w:i/>
        </w:rPr>
        <w:t xml:space="preserve">SE ME ENVIÉ VÍA SAIMEX LA INFORMACIÓN PÚBLICA, QUE CADA MES SE ENVÍA AL OSFEM de conformidad a los LINEAMIENTOS PARA LA ENTREGA DEL INFORME MENSUAL MUNICIPAL 2019, CONTENIDOS EN EL DISCO DENOMINADO 1, CORRESPONDIENTE AL MES DE MARZO DEL AÑO 2019, DEL AYUNTAMIENTO MUNICIPAL DE TLALNEPANTLA DE BAZ Y QUE CONSISTE EN LO SIGUIENTE; 1.- Balanza de Comprobación Detallada (Formatos pdf y </w:t>
      </w:r>
      <w:proofErr w:type="spellStart"/>
      <w:r w:rsidRPr="008E17DB">
        <w:rPr>
          <w:rFonts w:ascii="Palatino Linotype" w:hAnsi="Palatino Linotype" w:cs="Tahoma"/>
          <w:bCs/>
          <w:i/>
        </w:rPr>
        <w:t>xls</w:t>
      </w:r>
      <w:proofErr w:type="spellEnd"/>
      <w:r w:rsidRPr="008E17DB">
        <w:rPr>
          <w:rFonts w:ascii="Palatino Linotype" w:hAnsi="Palatino Linotype" w:cs="Tahoma"/>
          <w:bCs/>
          <w:i/>
        </w:rPr>
        <w:t xml:space="preserve">); 2.- Diario General de Pólizas, 3.- Conciliaciones Bancarias: Carátula de la Conciliación, con el detalle de la relación de las partidas de </w:t>
      </w:r>
      <w:r w:rsidRPr="008E17DB">
        <w:rPr>
          <w:rFonts w:ascii="Palatino Linotype" w:hAnsi="Palatino Linotype" w:cs="Tahoma"/>
          <w:bCs/>
          <w:i/>
        </w:rPr>
        <w:lastRenderedPageBreak/>
        <w:t>conciliación. (Formato pdf), 4.- Conciliaciones Bancarias; Estado de Cuenta Bancario (Formato pdf).</w:t>
      </w:r>
      <w:r w:rsidR="00D01F75" w:rsidRPr="008E17DB">
        <w:rPr>
          <w:rFonts w:ascii="Palatino Linotype" w:hAnsi="Palatino Linotype" w:cs="Tahoma"/>
          <w:bCs/>
          <w:i/>
        </w:rPr>
        <w:t>” (Sic.)</w:t>
      </w:r>
    </w:p>
    <w:p w14:paraId="208D0363" w14:textId="77777777" w:rsidR="006E7603" w:rsidRPr="008E17DB" w:rsidRDefault="006E7603" w:rsidP="00A70F75">
      <w:pPr>
        <w:tabs>
          <w:tab w:val="left" w:pos="4667"/>
        </w:tabs>
        <w:spacing w:line="360" w:lineRule="auto"/>
        <w:ind w:left="567" w:right="567"/>
        <w:jc w:val="both"/>
        <w:rPr>
          <w:rFonts w:ascii="Palatino Linotype" w:hAnsi="Palatino Linotype" w:cs="Tahoma"/>
          <w:bCs/>
          <w:i/>
        </w:rPr>
      </w:pPr>
    </w:p>
    <w:p w14:paraId="2FBD295D" w14:textId="77777777" w:rsidR="00D01F75" w:rsidRPr="008E17DB" w:rsidRDefault="00D01F75" w:rsidP="00A70F75">
      <w:pPr>
        <w:tabs>
          <w:tab w:val="left" w:pos="4667"/>
        </w:tabs>
        <w:spacing w:line="360" w:lineRule="auto"/>
        <w:ind w:left="567" w:right="567"/>
        <w:jc w:val="both"/>
        <w:rPr>
          <w:rFonts w:ascii="Palatino Linotype" w:hAnsi="Palatino Linotype" w:cs="Tahoma"/>
          <w:bCs/>
          <w:i/>
        </w:rPr>
      </w:pPr>
      <w:r w:rsidRPr="008E17DB">
        <w:rPr>
          <w:rFonts w:ascii="Palatino Linotype" w:hAnsi="Palatino Linotype" w:cs="Tahoma"/>
          <w:b/>
          <w:bCs/>
          <w:i/>
        </w:rPr>
        <w:t>“MODALIDAD DE ENTREGA</w:t>
      </w:r>
    </w:p>
    <w:p w14:paraId="06E88EDC" w14:textId="77777777" w:rsidR="00D01F75" w:rsidRPr="008E17DB" w:rsidRDefault="00E64BD9" w:rsidP="00A70F75">
      <w:pPr>
        <w:tabs>
          <w:tab w:val="left" w:pos="4667"/>
        </w:tabs>
        <w:spacing w:line="360" w:lineRule="auto"/>
        <w:ind w:left="567" w:right="567"/>
        <w:jc w:val="both"/>
        <w:rPr>
          <w:rFonts w:ascii="Palatino Linotype" w:hAnsi="Palatino Linotype" w:cs="Tahoma"/>
          <w:bCs/>
          <w:i/>
        </w:rPr>
      </w:pPr>
      <w:r w:rsidRPr="008E17DB">
        <w:rPr>
          <w:rFonts w:ascii="Palatino Linotype" w:hAnsi="Palatino Linotype" w:cs="Tahoma"/>
          <w:bCs/>
          <w:i/>
        </w:rPr>
        <w:t>A través del SAIMEX</w:t>
      </w:r>
      <w:r w:rsidR="00D01F75" w:rsidRPr="008E17DB">
        <w:rPr>
          <w:rFonts w:ascii="Palatino Linotype" w:hAnsi="Palatino Linotype" w:cs="Tahoma"/>
          <w:bCs/>
          <w:i/>
        </w:rPr>
        <w:t>”</w:t>
      </w:r>
    </w:p>
    <w:p w14:paraId="22BD38A2" w14:textId="77777777" w:rsidR="005F4977" w:rsidRPr="008E17DB" w:rsidRDefault="005F4977" w:rsidP="00A70F75">
      <w:pPr>
        <w:tabs>
          <w:tab w:val="left" w:pos="4667"/>
        </w:tabs>
        <w:spacing w:line="360" w:lineRule="auto"/>
        <w:ind w:left="567" w:right="567"/>
        <w:jc w:val="both"/>
        <w:rPr>
          <w:rFonts w:ascii="Palatino Linotype" w:hAnsi="Palatino Linotype" w:cs="Tahoma"/>
          <w:bCs/>
          <w:sz w:val="22"/>
          <w:szCs w:val="22"/>
        </w:rPr>
      </w:pPr>
    </w:p>
    <w:p w14:paraId="503266DB" w14:textId="24E0C028" w:rsidR="00C12FBA" w:rsidRPr="008E17DB" w:rsidRDefault="00C12FBA" w:rsidP="00A70F75">
      <w:pPr>
        <w:pStyle w:val="Prrafodelista"/>
        <w:tabs>
          <w:tab w:val="left" w:pos="567"/>
        </w:tabs>
        <w:spacing w:line="360" w:lineRule="auto"/>
        <w:ind w:left="0"/>
        <w:contextualSpacing w:val="0"/>
        <w:jc w:val="both"/>
        <w:rPr>
          <w:rFonts w:ascii="Palatino Linotype" w:hAnsi="Palatino Linotype" w:cs="Tahoma"/>
          <w:b/>
          <w:szCs w:val="22"/>
        </w:rPr>
      </w:pPr>
      <w:r w:rsidRPr="008E17DB">
        <w:rPr>
          <w:rFonts w:ascii="Palatino Linotype" w:hAnsi="Palatino Linotype" w:cs="Tahoma"/>
          <w:b/>
          <w:szCs w:val="22"/>
        </w:rPr>
        <w:t>II. Respuesta del Sujeto Obligado.</w:t>
      </w:r>
    </w:p>
    <w:p w14:paraId="10EF0A01" w14:textId="77777777" w:rsidR="00834A6E" w:rsidRPr="008E17DB" w:rsidRDefault="00834A6E" w:rsidP="00A70F75">
      <w:pPr>
        <w:tabs>
          <w:tab w:val="left" w:pos="567"/>
        </w:tabs>
        <w:spacing w:line="360" w:lineRule="auto"/>
        <w:jc w:val="both"/>
        <w:rPr>
          <w:rFonts w:ascii="Palatino Linotype" w:hAnsi="Palatino Linotype" w:cs="Tahoma"/>
          <w:b/>
          <w:sz w:val="22"/>
          <w:szCs w:val="22"/>
        </w:rPr>
      </w:pPr>
    </w:p>
    <w:p w14:paraId="00B32D79" w14:textId="04C731DA" w:rsidR="00D5797D" w:rsidRPr="008E17DB" w:rsidRDefault="00E719AE" w:rsidP="00A70F75">
      <w:pPr>
        <w:autoSpaceDE w:val="0"/>
        <w:autoSpaceDN w:val="0"/>
        <w:adjustRightInd w:val="0"/>
        <w:spacing w:line="360" w:lineRule="auto"/>
        <w:jc w:val="both"/>
        <w:rPr>
          <w:rFonts w:ascii="Palatino Linotype" w:hAnsi="Palatino Linotype" w:cs="Tahoma"/>
          <w:sz w:val="22"/>
          <w:szCs w:val="22"/>
        </w:rPr>
      </w:pPr>
      <w:r w:rsidRPr="008E17DB">
        <w:rPr>
          <w:rFonts w:ascii="Palatino Linotype" w:hAnsi="Palatino Linotype" w:cs="Tahoma"/>
          <w:sz w:val="22"/>
          <w:szCs w:val="22"/>
        </w:rPr>
        <w:t xml:space="preserve">Con fecha </w:t>
      </w:r>
      <w:r w:rsidR="002F1E4D" w:rsidRPr="008E17DB">
        <w:rPr>
          <w:rFonts w:ascii="Palatino Linotype" w:hAnsi="Palatino Linotype" w:cs="Tahoma"/>
          <w:sz w:val="22"/>
          <w:szCs w:val="22"/>
        </w:rPr>
        <w:t>veinticinco</w:t>
      </w:r>
      <w:r w:rsidRPr="008E17DB">
        <w:rPr>
          <w:rFonts w:ascii="Palatino Linotype" w:hAnsi="Palatino Linotype" w:cs="Tahoma"/>
          <w:sz w:val="22"/>
          <w:szCs w:val="22"/>
        </w:rPr>
        <w:t xml:space="preserve"> de junio de dos mil diecinueve, el Ayuntamiento de </w:t>
      </w:r>
      <w:r w:rsidR="00B14E8F" w:rsidRPr="008E17DB">
        <w:rPr>
          <w:rFonts w:ascii="Palatino Linotype" w:hAnsi="Palatino Linotype" w:cs="Tahoma"/>
          <w:sz w:val="22"/>
          <w:szCs w:val="22"/>
        </w:rPr>
        <w:t>Tlalnepantla de Baz</w:t>
      </w:r>
      <w:r w:rsidRPr="008E17DB">
        <w:rPr>
          <w:rFonts w:ascii="Palatino Linotype" w:hAnsi="Palatino Linotype" w:cs="Tahoma"/>
          <w:sz w:val="22"/>
          <w:szCs w:val="22"/>
        </w:rPr>
        <w:t xml:space="preserve"> notificó a</w:t>
      </w:r>
      <w:r w:rsidR="00C07A30" w:rsidRPr="008E17DB">
        <w:rPr>
          <w:rFonts w:ascii="Palatino Linotype" w:hAnsi="Palatino Linotype" w:cs="Tahoma"/>
          <w:sz w:val="22"/>
          <w:szCs w:val="22"/>
        </w:rPr>
        <w:t xml:space="preserve"> </w:t>
      </w:r>
      <w:r w:rsidRPr="008E17DB">
        <w:rPr>
          <w:rFonts w:ascii="Palatino Linotype" w:hAnsi="Palatino Linotype" w:cs="Tahoma"/>
          <w:sz w:val="22"/>
          <w:szCs w:val="22"/>
        </w:rPr>
        <w:t>l</w:t>
      </w:r>
      <w:r w:rsidR="00C07A30" w:rsidRPr="008E17DB">
        <w:rPr>
          <w:rFonts w:ascii="Palatino Linotype" w:hAnsi="Palatino Linotype" w:cs="Tahoma"/>
          <w:sz w:val="22"/>
          <w:szCs w:val="22"/>
        </w:rPr>
        <w:t>a</w:t>
      </w:r>
      <w:r w:rsidRPr="008E17DB">
        <w:rPr>
          <w:rFonts w:ascii="Palatino Linotype" w:hAnsi="Palatino Linotype" w:cs="Tahoma"/>
          <w:sz w:val="22"/>
          <w:szCs w:val="22"/>
        </w:rPr>
        <w:t xml:space="preserve"> Solicitante, mediante el Sistema de Acceso a la Información Mexiquense (SAIMEX), la respuesta, a través </w:t>
      </w:r>
      <w:r w:rsidR="00153238" w:rsidRPr="008E17DB">
        <w:rPr>
          <w:rFonts w:ascii="Palatino Linotype" w:hAnsi="Palatino Linotype" w:cs="Tahoma"/>
          <w:sz w:val="22"/>
          <w:szCs w:val="22"/>
        </w:rPr>
        <w:t xml:space="preserve">del oficio número </w:t>
      </w:r>
      <w:r w:rsidR="00165E28" w:rsidRPr="008E17DB">
        <w:rPr>
          <w:rFonts w:ascii="Palatino Linotype" w:hAnsi="Palatino Linotype" w:cs="Tahoma"/>
          <w:sz w:val="22"/>
          <w:szCs w:val="22"/>
        </w:rPr>
        <w:t>TM/2965/2019, del veinte de junio de dos mil diecinueve</w:t>
      </w:r>
      <w:r w:rsidR="00153238" w:rsidRPr="008E17DB">
        <w:rPr>
          <w:rFonts w:ascii="Palatino Linotype" w:hAnsi="Palatino Linotype" w:cs="Tahoma"/>
          <w:sz w:val="22"/>
          <w:szCs w:val="22"/>
        </w:rPr>
        <w:t xml:space="preserve">, </w:t>
      </w:r>
      <w:r w:rsidR="00165E28" w:rsidRPr="008E17DB">
        <w:rPr>
          <w:rFonts w:ascii="Palatino Linotype" w:hAnsi="Palatino Linotype" w:cs="Tahoma"/>
          <w:sz w:val="22"/>
          <w:szCs w:val="22"/>
        </w:rPr>
        <w:t>del veinte de dicho mes y año</w:t>
      </w:r>
      <w:r w:rsidR="00153238" w:rsidRPr="008E17DB">
        <w:rPr>
          <w:rFonts w:ascii="Palatino Linotype" w:hAnsi="Palatino Linotype" w:cs="Tahoma"/>
          <w:sz w:val="22"/>
          <w:szCs w:val="22"/>
        </w:rPr>
        <w:t xml:space="preserve">, suscrito por el </w:t>
      </w:r>
      <w:r w:rsidR="00165E28" w:rsidRPr="008E17DB">
        <w:rPr>
          <w:rFonts w:ascii="Palatino Linotype" w:hAnsi="Palatino Linotype" w:cs="Tahoma"/>
          <w:sz w:val="22"/>
          <w:szCs w:val="22"/>
        </w:rPr>
        <w:t>Tesorero Municipal y dirigido a la Titular de la Unidad de Transparencia y Acceso a la Información Pública Municipal</w:t>
      </w:r>
      <w:r w:rsidR="00153238" w:rsidRPr="008E17DB">
        <w:rPr>
          <w:rFonts w:ascii="Palatino Linotype" w:hAnsi="Palatino Linotype" w:cs="Tahoma"/>
          <w:sz w:val="22"/>
          <w:szCs w:val="22"/>
        </w:rPr>
        <w:t xml:space="preserve">, por medio del cual precia </w:t>
      </w:r>
      <w:r w:rsidR="00165E28" w:rsidRPr="008E17DB">
        <w:rPr>
          <w:rFonts w:ascii="Palatino Linotype" w:hAnsi="Palatino Linotype" w:cs="Tahoma"/>
          <w:sz w:val="22"/>
          <w:szCs w:val="22"/>
        </w:rPr>
        <w:t>lo siguiente:</w:t>
      </w:r>
    </w:p>
    <w:p w14:paraId="68D03A94" w14:textId="77777777" w:rsidR="00165E28" w:rsidRPr="008E17DB" w:rsidRDefault="00165E28" w:rsidP="00A70F75">
      <w:pPr>
        <w:autoSpaceDE w:val="0"/>
        <w:autoSpaceDN w:val="0"/>
        <w:adjustRightInd w:val="0"/>
        <w:spacing w:line="360" w:lineRule="auto"/>
        <w:jc w:val="both"/>
        <w:rPr>
          <w:rFonts w:ascii="Palatino Linotype" w:hAnsi="Palatino Linotype" w:cs="Tahoma"/>
          <w:sz w:val="22"/>
          <w:szCs w:val="22"/>
        </w:rPr>
      </w:pPr>
    </w:p>
    <w:p w14:paraId="17643D6C" w14:textId="6EF9926A" w:rsidR="00165E28" w:rsidRPr="008E17DB" w:rsidRDefault="00165E28" w:rsidP="00A70F75">
      <w:pPr>
        <w:autoSpaceDE w:val="0"/>
        <w:autoSpaceDN w:val="0"/>
        <w:adjustRightInd w:val="0"/>
        <w:spacing w:line="360" w:lineRule="auto"/>
        <w:ind w:left="567" w:right="567"/>
        <w:jc w:val="both"/>
        <w:rPr>
          <w:rFonts w:ascii="Palatino Linotype" w:hAnsi="Palatino Linotype" w:cs="Tahoma"/>
          <w:i/>
        </w:rPr>
      </w:pPr>
      <w:r w:rsidRPr="008E17DB">
        <w:rPr>
          <w:rFonts w:ascii="Palatino Linotype" w:hAnsi="Palatino Linotype" w:cs="Tahoma"/>
          <w:i/>
        </w:rPr>
        <w:t>“…</w:t>
      </w:r>
    </w:p>
    <w:p w14:paraId="5392D835" w14:textId="6DE8D397" w:rsidR="00165E28" w:rsidRPr="008E17DB" w:rsidRDefault="00165E28" w:rsidP="00A70F75">
      <w:pPr>
        <w:autoSpaceDE w:val="0"/>
        <w:autoSpaceDN w:val="0"/>
        <w:adjustRightInd w:val="0"/>
        <w:spacing w:line="360" w:lineRule="auto"/>
        <w:ind w:left="567" w:right="567"/>
        <w:jc w:val="both"/>
        <w:rPr>
          <w:rFonts w:ascii="Palatino Linotype" w:hAnsi="Palatino Linotype" w:cs="Tahoma"/>
          <w:i/>
        </w:rPr>
      </w:pPr>
      <w:r w:rsidRPr="008E17DB">
        <w:rPr>
          <w:rFonts w:ascii="Palatino Linotype" w:hAnsi="Palatino Linotype" w:cs="Tahoma"/>
          <w:i/>
        </w:rPr>
        <w:t xml:space="preserve">Por lo que en contestación a su oficio </w:t>
      </w:r>
      <w:r w:rsidRPr="008E17DB">
        <w:rPr>
          <w:rFonts w:ascii="Palatino Linotype" w:hAnsi="Palatino Linotype" w:cs="Tahoma"/>
          <w:i/>
          <w:iCs/>
        </w:rPr>
        <w:t xml:space="preserve">y </w:t>
      </w:r>
      <w:r w:rsidRPr="008E17DB">
        <w:rPr>
          <w:rFonts w:ascii="Palatino Linotype" w:hAnsi="Palatino Linotype" w:cs="Tahoma"/>
          <w:i/>
        </w:rPr>
        <w:t xml:space="preserve">con fundamento en lo previsto en los artículos 37 del Código de Procedimientos Administrativos del Estado de México; 11, 12 </w:t>
      </w:r>
      <w:r w:rsidRPr="008E17DB">
        <w:rPr>
          <w:rFonts w:ascii="Palatino Linotype" w:hAnsi="Palatino Linotype" w:cs="Tahoma"/>
          <w:i/>
          <w:iCs/>
        </w:rPr>
        <w:t xml:space="preserve">y </w:t>
      </w:r>
      <w:r w:rsidRPr="008E17DB">
        <w:rPr>
          <w:rFonts w:ascii="Palatino Linotype" w:hAnsi="Palatino Linotype" w:cs="Tahoma"/>
          <w:i/>
        </w:rPr>
        <w:t xml:space="preserve">59 fracción 11 </w:t>
      </w:r>
      <w:r w:rsidRPr="008E17DB">
        <w:rPr>
          <w:rFonts w:ascii="Palatino Linotype" w:hAnsi="Palatino Linotype" w:cs="Tahoma"/>
          <w:i/>
          <w:iCs/>
        </w:rPr>
        <w:t xml:space="preserve">y </w:t>
      </w:r>
      <w:r w:rsidRPr="008E17DB">
        <w:rPr>
          <w:rFonts w:ascii="Palatino Linotype" w:hAnsi="Palatino Linotype" w:cs="Tahoma"/>
          <w:i/>
        </w:rPr>
        <w:t xml:space="preserve">111 de la Ley de Transparencia </w:t>
      </w:r>
      <w:r w:rsidRPr="008E17DB">
        <w:rPr>
          <w:rFonts w:ascii="Palatino Linotype" w:hAnsi="Palatino Linotype" w:cs="Tahoma"/>
          <w:i/>
          <w:iCs/>
        </w:rPr>
        <w:t xml:space="preserve">y </w:t>
      </w:r>
      <w:r w:rsidRPr="008E17DB">
        <w:rPr>
          <w:rFonts w:ascii="Palatino Linotype" w:hAnsi="Palatino Linotype" w:cs="Tahoma"/>
          <w:i/>
        </w:rPr>
        <w:t xml:space="preserve">Acceso a la Información Pública del Estado de México </w:t>
      </w:r>
      <w:r w:rsidRPr="008E17DB">
        <w:rPr>
          <w:rFonts w:ascii="Palatino Linotype" w:hAnsi="Palatino Linotype" w:cs="Tahoma"/>
          <w:i/>
          <w:iCs/>
        </w:rPr>
        <w:t xml:space="preserve">y </w:t>
      </w:r>
      <w:r w:rsidRPr="008E17DB">
        <w:rPr>
          <w:rFonts w:ascii="Palatino Linotype" w:hAnsi="Palatino Linotype" w:cs="Tahoma"/>
          <w:i/>
        </w:rPr>
        <w:t xml:space="preserve">Municipios, </w:t>
      </w:r>
      <w:r w:rsidRPr="008E17DB">
        <w:rPr>
          <w:rFonts w:ascii="Palatino Linotype" w:hAnsi="Palatino Linotype" w:cs="Tahoma"/>
          <w:i/>
          <w:iCs/>
        </w:rPr>
        <w:t xml:space="preserve">y </w:t>
      </w:r>
      <w:r w:rsidRPr="008E17DB">
        <w:rPr>
          <w:rFonts w:ascii="Palatino Linotype" w:hAnsi="Palatino Linotype" w:cs="Tahoma"/>
          <w:i/>
        </w:rPr>
        <w:t xml:space="preserve">a fin de exhibir sin demora la información requerida, con base en los archivos que obran en esta Tesorería Municipal adjunto al presente encontrará la siguiente información de manera magnética </w:t>
      </w:r>
      <w:r w:rsidRPr="008E17DB">
        <w:rPr>
          <w:rFonts w:ascii="Palatino Linotype" w:hAnsi="Palatino Linotype" w:cs="Tahoma"/>
          <w:i/>
          <w:iCs/>
        </w:rPr>
        <w:t xml:space="preserve">y/o </w:t>
      </w:r>
      <w:r w:rsidRPr="008E17DB">
        <w:rPr>
          <w:rFonts w:ascii="Palatino Linotype" w:hAnsi="Palatino Linotype" w:cs="Tahoma"/>
          <w:i/>
        </w:rPr>
        <w:t>CD:</w:t>
      </w:r>
    </w:p>
    <w:p w14:paraId="437D4172" w14:textId="77777777" w:rsidR="00165E28" w:rsidRPr="008E17DB" w:rsidRDefault="00165E28" w:rsidP="00A70F75">
      <w:pPr>
        <w:autoSpaceDE w:val="0"/>
        <w:autoSpaceDN w:val="0"/>
        <w:adjustRightInd w:val="0"/>
        <w:spacing w:line="360" w:lineRule="auto"/>
        <w:ind w:left="567" w:right="567"/>
        <w:jc w:val="both"/>
        <w:rPr>
          <w:rFonts w:ascii="Palatino Linotype" w:hAnsi="Palatino Linotype" w:cs="Tahoma"/>
          <w:i/>
        </w:rPr>
      </w:pPr>
    </w:p>
    <w:p w14:paraId="44B4112B" w14:textId="77777777" w:rsidR="00165E28" w:rsidRPr="008E17DB" w:rsidRDefault="00165E28" w:rsidP="00A70F75">
      <w:pPr>
        <w:autoSpaceDE w:val="0"/>
        <w:autoSpaceDN w:val="0"/>
        <w:adjustRightInd w:val="0"/>
        <w:spacing w:line="360" w:lineRule="auto"/>
        <w:ind w:left="567" w:right="567"/>
        <w:jc w:val="both"/>
        <w:rPr>
          <w:rFonts w:ascii="Palatino Linotype" w:hAnsi="Palatino Linotype" w:cs="Tahoma"/>
          <w:i/>
        </w:rPr>
      </w:pPr>
      <w:r w:rsidRPr="008E17DB">
        <w:rPr>
          <w:rFonts w:ascii="Palatino Linotype" w:hAnsi="Palatino Linotype" w:cs="Tahoma"/>
          <w:i/>
        </w:rPr>
        <w:t>1.- Balanza de Comprobación Detallada.</w:t>
      </w:r>
    </w:p>
    <w:p w14:paraId="4B036DAC" w14:textId="77777777" w:rsidR="00165E28" w:rsidRPr="008E17DB" w:rsidRDefault="00165E28" w:rsidP="00A70F75">
      <w:pPr>
        <w:autoSpaceDE w:val="0"/>
        <w:autoSpaceDN w:val="0"/>
        <w:adjustRightInd w:val="0"/>
        <w:spacing w:line="360" w:lineRule="auto"/>
        <w:ind w:left="567" w:right="567"/>
        <w:jc w:val="both"/>
        <w:rPr>
          <w:rFonts w:ascii="Palatino Linotype" w:hAnsi="Palatino Linotype" w:cs="Tahoma"/>
          <w:i/>
        </w:rPr>
      </w:pPr>
      <w:r w:rsidRPr="008E17DB">
        <w:rPr>
          <w:rFonts w:ascii="Palatino Linotype" w:hAnsi="Palatino Linotype" w:cs="Tahoma"/>
          <w:i/>
        </w:rPr>
        <w:t>2.- Diario General de Pólizas.</w:t>
      </w:r>
    </w:p>
    <w:p w14:paraId="62E7FBE6" w14:textId="75461064" w:rsidR="00165E28" w:rsidRPr="008E17DB" w:rsidRDefault="00165E28" w:rsidP="00A70F75">
      <w:pPr>
        <w:autoSpaceDE w:val="0"/>
        <w:autoSpaceDN w:val="0"/>
        <w:adjustRightInd w:val="0"/>
        <w:spacing w:line="360" w:lineRule="auto"/>
        <w:ind w:left="567" w:right="567"/>
        <w:jc w:val="both"/>
        <w:rPr>
          <w:rFonts w:ascii="Palatino Linotype" w:hAnsi="Palatino Linotype" w:cs="Tahoma"/>
          <w:i/>
        </w:rPr>
      </w:pPr>
      <w:r w:rsidRPr="008E17DB">
        <w:rPr>
          <w:rFonts w:ascii="Palatino Linotype" w:hAnsi="Palatino Linotype" w:cs="Tahoma"/>
          <w:i/>
        </w:rPr>
        <w:t>3.-</w:t>
      </w:r>
      <w:r w:rsidR="000C3B4B" w:rsidRPr="008E17DB">
        <w:rPr>
          <w:rFonts w:ascii="Palatino Linotype" w:hAnsi="Palatino Linotype" w:cs="Tahoma"/>
          <w:i/>
        </w:rPr>
        <w:t>Conciliaciones</w:t>
      </w:r>
      <w:r w:rsidRPr="008E17DB">
        <w:rPr>
          <w:rFonts w:ascii="Palatino Linotype" w:hAnsi="Palatino Linotype" w:cs="Tahoma"/>
          <w:i/>
        </w:rPr>
        <w:t xml:space="preserve"> Bancarias: caratula de la conciliación, relación de las conciliaciones, Estado de Cuenta Bancario: Información que</w:t>
      </w:r>
      <w:r w:rsidR="000C3B4B" w:rsidRPr="008E17DB">
        <w:rPr>
          <w:rFonts w:ascii="Palatino Linotype" w:hAnsi="Palatino Linotype" w:cs="Tahoma"/>
          <w:i/>
        </w:rPr>
        <w:t xml:space="preserve"> </w:t>
      </w:r>
      <w:r w:rsidRPr="008E17DB">
        <w:rPr>
          <w:rFonts w:ascii="Palatino Linotype" w:hAnsi="Palatino Linotype" w:cs="Tahoma"/>
          <w:i/>
        </w:rPr>
        <w:t xml:space="preserve">se encuentra clasificada como confidencial mediante el acuerdo </w:t>
      </w:r>
      <w:r w:rsidRPr="008E17DB">
        <w:rPr>
          <w:rFonts w:ascii="Palatino Linotype" w:hAnsi="Palatino Linotype" w:cs="Tahoma"/>
          <w:i/>
        </w:rPr>
        <w:lastRenderedPageBreak/>
        <w:t xml:space="preserve">número 008/CT/19-Ext/2019 de la </w:t>
      </w:r>
      <w:r w:rsidR="000C3B4B" w:rsidRPr="008E17DB">
        <w:rPr>
          <w:rFonts w:ascii="Palatino Linotype" w:hAnsi="Palatino Linotype" w:cs="Tahoma"/>
          <w:i/>
        </w:rPr>
        <w:t xml:space="preserve">19ª </w:t>
      </w:r>
      <w:r w:rsidRPr="008E17DB">
        <w:rPr>
          <w:rFonts w:ascii="Palatino Linotype" w:hAnsi="Palatino Linotype" w:cs="Tahoma"/>
          <w:i/>
        </w:rPr>
        <w:t>Sesión Extraordinaria del</w:t>
      </w:r>
      <w:r w:rsidR="000C3B4B" w:rsidRPr="008E17DB">
        <w:rPr>
          <w:rFonts w:ascii="Palatino Linotype" w:hAnsi="Palatino Linotype" w:cs="Tahoma"/>
          <w:i/>
        </w:rPr>
        <w:t xml:space="preserve"> </w:t>
      </w:r>
      <w:r w:rsidRPr="008E17DB">
        <w:rPr>
          <w:rFonts w:ascii="Palatino Linotype" w:hAnsi="Palatino Linotype" w:cs="Tahoma"/>
          <w:i/>
        </w:rPr>
        <w:t>Comité de Transparencia del H. Ayuntamiento de Tlalnepantla de Baz 2019-2021, del día 13 de junio del año 2019, por lo que se envía</w:t>
      </w:r>
      <w:r w:rsidR="000C3B4B" w:rsidRPr="008E17DB">
        <w:rPr>
          <w:rFonts w:ascii="Palatino Linotype" w:hAnsi="Palatino Linotype" w:cs="Tahoma"/>
          <w:i/>
        </w:rPr>
        <w:t xml:space="preserve"> </w:t>
      </w:r>
      <w:r w:rsidRPr="008E17DB">
        <w:rPr>
          <w:rFonts w:ascii="Palatino Linotype" w:hAnsi="Palatino Linotype" w:cs="Tahoma"/>
          <w:i/>
        </w:rPr>
        <w:t>en versión pública.</w:t>
      </w:r>
    </w:p>
    <w:p w14:paraId="47CB241B" w14:textId="77777777" w:rsidR="000C3B4B" w:rsidRPr="008E17DB" w:rsidRDefault="00165E28" w:rsidP="00A70F75">
      <w:pPr>
        <w:autoSpaceDE w:val="0"/>
        <w:autoSpaceDN w:val="0"/>
        <w:adjustRightInd w:val="0"/>
        <w:spacing w:line="360" w:lineRule="auto"/>
        <w:ind w:left="567" w:right="567"/>
        <w:jc w:val="both"/>
        <w:rPr>
          <w:rFonts w:ascii="Palatino Linotype" w:hAnsi="Palatino Linotype" w:cs="Tahoma"/>
          <w:i/>
        </w:rPr>
      </w:pPr>
      <w:r w:rsidRPr="008E17DB">
        <w:rPr>
          <w:rFonts w:ascii="Palatino Linotype" w:hAnsi="Palatino Linotype" w:cs="Tahoma"/>
          <w:i/>
        </w:rPr>
        <w:t>4.-Estado de Cuenta y Reporte de Movimientos Bancarios: Información que se encuentra clasificada como confidencial mediante el</w:t>
      </w:r>
      <w:r w:rsidR="000C3B4B" w:rsidRPr="008E17DB">
        <w:rPr>
          <w:rFonts w:ascii="Palatino Linotype" w:hAnsi="Palatino Linotype" w:cs="Tahoma"/>
          <w:i/>
        </w:rPr>
        <w:t xml:space="preserve"> </w:t>
      </w:r>
      <w:r w:rsidRPr="008E17DB">
        <w:rPr>
          <w:rFonts w:ascii="Palatino Linotype" w:hAnsi="Palatino Linotype" w:cs="Tahoma"/>
          <w:i/>
        </w:rPr>
        <w:t xml:space="preserve">acuerdo número </w:t>
      </w:r>
      <w:r w:rsidR="000C3B4B" w:rsidRPr="008E17DB">
        <w:rPr>
          <w:rFonts w:ascii="Palatino Linotype" w:hAnsi="Palatino Linotype" w:cs="Tahoma"/>
          <w:i/>
        </w:rPr>
        <w:t>008/CT/19-Ext/2019 de la 19ª Sesión Extraordinaria del Comité de Transparencia del H. Ayuntamiento de Tlalnepantla de Baz 2019-2021, del día 13 de junio del año 2019, por lo que se envía en versión pública.</w:t>
      </w:r>
    </w:p>
    <w:p w14:paraId="7772D4BB" w14:textId="46EB3132" w:rsidR="00165E28" w:rsidRPr="008E17DB" w:rsidRDefault="00165E28" w:rsidP="00A70F75">
      <w:pPr>
        <w:autoSpaceDE w:val="0"/>
        <w:autoSpaceDN w:val="0"/>
        <w:adjustRightInd w:val="0"/>
        <w:spacing w:line="360" w:lineRule="auto"/>
        <w:ind w:left="567" w:right="567"/>
        <w:jc w:val="both"/>
        <w:rPr>
          <w:rFonts w:ascii="Palatino Linotype" w:hAnsi="Palatino Linotype" w:cs="Tahoma"/>
          <w:i/>
        </w:rPr>
      </w:pPr>
      <w:r w:rsidRPr="008E17DB">
        <w:rPr>
          <w:rFonts w:ascii="Palatino Linotype" w:hAnsi="Palatino Linotype" w:cs="Tahoma"/>
          <w:i/>
        </w:rPr>
        <w:t>…”</w:t>
      </w:r>
    </w:p>
    <w:p w14:paraId="7E2EB1C1" w14:textId="77777777" w:rsidR="00D5797D" w:rsidRPr="008E17DB" w:rsidRDefault="00D5797D" w:rsidP="00A70F75">
      <w:pPr>
        <w:autoSpaceDE w:val="0"/>
        <w:autoSpaceDN w:val="0"/>
        <w:adjustRightInd w:val="0"/>
        <w:spacing w:line="360" w:lineRule="auto"/>
        <w:jc w:val="both"/>
        <w:rPr>
          <w:rFonts w:ascii="Palatino Linotype" w:hAnsi="Palatino Linotype" w:cs="Tahoma"/>
          <w:sz w:val="22"/>
          <w:szCs w:val="22"/>
        </w:rPr>
      </w:pPr>
    </w:p>
    <w:p w14:paraId="43309E37" w14:textId="12C96A6A" w:rsidR="00E719AE" w:rsidRPr="008E17DB" w:rsidRDefault="00153238" w:rsidP="00A70F75">
      <w:pPr>
        <w:autoSpaceDE w:val="0"/>
        <w:autoSpaceDN w:val="0"/>
        <w:adjustRightInd w:val="0"/>
        <w:spacing w:line="360" w:lineRule="auto"/>
        <w:jc w:val="both"/>
        <w:rPr>
          <w:rFonts w:ascii="Palatino Linotype" w:hAnsi="Palatino Linotype" w:cs="Tahoma"/>
          <w:sz w:val="22"/>
          <w:szCs w:val="22"/>
        </w:rPr>
      </w:pPr>
      <w:r w:rsidRPr="008E17DB">
        <w:rPr>
          <w:rFonts w:ascii="Palatino Linotype" w:hAnsi="Palatino Linotype" w:cs="Tahoma"/>
          <w:sz w:val="22"/>
          <w:szCs w:val="22"/>
        </w:rPr>
        <w:t xml:space="preserve">El Sujeto Obligado adjuntó la digitalización </w:t>
      </w:r>
      <w:r w:rsidR="000C3B4B" w:rsidRPr="008E17DB">
        <w:rPr>
          <w:rFonts w:ascii="Palatino Linotype" w:hAnsi="Palatino Linotype" w:cs="Tahoma"/>
          <w:sz w:val="22"/>
          <w:szCs w:val="22"/>
        </w:rPr>
        <w:t>de los siguientes documentos:</w:t>
      </w:r>
    </w:p>
    <w:p w14:paraId="54041C7A" w14:textId="77777777" w:rsidR="000C3B4B" w:rsidRPr="008E17DB" w:rsidRDefault="000C3B4B" w:rsidP="00A70F75">
      <w:pPr>
        <w:autoSpaceDE w:val="0"/>
        <w:autoSpaceDN w:val="0"/>
        <w:adjustRightInd w:val="0"/>
        <w:spacing w:line="360" w:lineRule="auto"/>
        <w:jc w:val="both"/>
        <w:rPr>
          <w:rFonts w:ascii="Palatino Linotype" w:hAnsi="Palatino Linotype" w:cs="Tahoma"/>
          <w:sz w:val="22"/>
          <w:szCs w:val="22"/>
        </w:rPr>
      </w:pPr>
    </w:p>
    <w:p w14:paraId="3CC56876" w14:textId="6A80CA31" w:rsidR="000C3B4B" w:rsidRPr="008E17DB" w:rsidRDefault="000C3B4B" w:rsidP="00A70F75">
      <w:pPr>
        <w:autoSpaceDE w:val="0"/>
        <w:autoSpaceDN w:val="0"/>
        <w:adjustRightInd w:val="0"/>
        <w:spacing w:line="360" w:lineRule="auto"/>
        <w:jc w:val="both"/>
        <w:rPr>
          <w:rFonts w:ascii="Palatino Linotype" w:hAnsi="Palatino Linotype" w:cs="Tahoma"/>
          <w:sz w:val="22"/>
          <w:szCs w:val="22"/>
        </w:rPr>
      </w:pPr>
      <w:r w:rsidRPr="008E17DB">
        <w:rPr>
          <w:rFonts w:ascii="Palatino Linotype" w:hAnsi="Palatino Linotype" w:cs="Tahoma"/>
          <w:sz w:val="22"/>
          <w:szCs w:val="22"/>
        </w:rPr>
        <w:t>i)</w:t>
      </w:r>
      <w:r w:rsidR="00FB5101" w:rsidRPr="008E17DB">
        <w:rPr>
          <w:rFonts w:ascii="Palatino Linotype" w:hAnsi="Palatino Linotype" w:cs="Tahoma"/>
          <w:sz w:val="22"/>
          <w:szCs w:val="22"/>
        </w:rPr>
        <w:t xml:space="preserve"> Balanza de Comprobación, del uno de marzo de dos mil diecinueve al treinta y uno de dicho mes y año.</w:t>
      </w:r>
    </w:p>
    <w:p w14:paraId="46C1116F" w14:textId="77777777" w:rsidR="000C3B4B" w:rsidRPr="008E17DB" w:rsidRDefault="000C3B4B" w:rsidP="00A70F75">
      <w:pPr>
        <w:autoSpaceDE w:val="0"/>
        <w:autoSpaceDN w:val="0"/>
        <w:adjustRightInd w:val="0"/>
        <w:spacing w:line="360" w:lineRule="auto"/>
        <w:jc w:val="both"/>
        <w:rPr>
          <w:rFonts w:ascii="Palatino Linotype" w:hAnsi="Palatino Linotype" w:cs="Tahoma"/>
          <w:sz w:val="22"/>
          <w:szCs w:val="22"/>
        </w:rPr>
      </w:pPr>
    </w:p>
    <w:p w14:paraId="77C6B7B2" w14:textId="3BE59A7A" w:rsidR="000C3B4B" w:rsidRPr="008E17DB" w:rsidRDefault="000C3B4B" w:rsidP="00A70F75">
      <w:pPr>
        <w:autoSpaceDE w:val="0"/>
        <w:autoSpaceDN w:val="0"/>
        <w:adjustRightInd w:val="0"/>
        <w:spacing w:line="360" w:lineRule="auto"/>
        <w:jc w:val="both"/>
        <w:rPr>
          <w:rFonts w:ascii="Palatino Linotype" w:hAnsi="Palatino Linotype" w:cs="Tahoma"/>
          <w:sz w:val="22"/>
          <w:szCs w:val="22"/>
        </w:rPr>
      </w:pPr>
      <w:r w:rsidRPr="008E17DB">
        <w:rPr>
          <w:rFonts w:ascii="Palatino Linotype" w:hAnsi="Palatino Linotype" w:cs="Tahoma"/>
          <w:sz w:val="22"/>
          <w:szCs w:val="22"/>
        </w:rPr>
        <w:t>ii)</w:t>
      </w:r>
      <w:r w:rsidR="00FB5101" w:rsidRPr="008E17DB">
        <w:rPr>
          <w:rFonts w:ascii="Palatino Linotype" w:hAnsi="Palatino Linotype" w:cs="Tahoma"/>
          <w:sz w:val="22"/>
          <w:szCs w:val="22"/>
        </w:rPr>
        <w:t xml:space="preserve"> Diario General de Pólizas, del uno de marzo de dos mil diecinueve al treinta y uno </w:t>
      </w:r>
      <w:r w:rsidR="00D95D80" w:rsidRPr="008E17DB">
        <w:rPr>
          <w:rFonts w:ascii="Palatino Linotype" w:hAnsi="Palatino Linotype" w:cs="Tahoma"/>
          <w:sz w:val="22"/>
          <w:szCs w:val="22"/>
        </w:rPr>
        <w:t>de ese mes y año.</w:t>
      </w:r>
    </w:p>
    <w:p w14:paraId="46AA20C2" w14:textId="77777777" w:rsidR="000C3B4B" w:rsidRPr="008E17DB" w:rsidRDefault="000C3B4B" w:rsidP="00A70F75">
      <w:pPr>
        <w:autoSpaceDE w:val="0"/>
        <w:autoSpaceDN w:val="0"/>
        <w:adjustRightInd w:val="0"/>
        <w:spacing w:line="360" w:lineRule="auto"/>
        <w:jc w:val="both"/>
        <w:rPr>
          <w:rFonts w:ascii="Palatino Linotype" w:hAnsi="Palatino Linotype" w:cs="Tahoma"/>
          <w:sz w:val="22"/>
          <w:szCs w:val="22"/>
        </w:rPr>
      </w:pPr>
    </w:p>
    <w:p w14:paraId="07B78593" w14:textId="08F113C6" w:rsidR="000C3B4B" w:rsidRPr="008E17DB" w:rsidRDefault="000C3B4B" w:rsidP="00A70F75">
      <w:pPr>
        <w:autoSpaceDE w:val="0"/>
        <w:autoSpaceDN w:val="0"/>
        <w:adjustRightInd w:val="0"/>
        <w:spacing w:line="360" w:lineRule="auto"/>
        <w:jc w:val="both"/>
        <w:rPr>
          <w:rFonts w:ascii="Palatino Linotype" w:hAnsi="Palatino Linotype" w:cs="Tahoma"/>
          <w:sz w:val="22"/>
          <w:szCs w:val="22"/>
        </w:rPr>
      </w:pPr>
      <w:r w:rsidRPr="008E17DB">
        <w:rPr>
          <w:rFonts w:ascii="Palatino Linotype" w:hAnsi="Palatino Linotype" w:cs="Tahoma"/>
          <w:sz w:val="22"/>
          <w:szCs w:val="22"/>
        </w:rPr>
        <w:t>iii)</w:t>
      </w:r>
      <w:r w:rsidR="00D95D80" w:rsidRPr="008E17DB">
        <w:rPr>
          <w:rFonts w:ascii="Palatino Linotype" w:hAnsi="Palatino Linotype" w:cs="Tahoma"/>
          <w:sz w:val="22"/>
          <w:szCs w:val="22"/>
        </w:rPr>
        <w:t xml:space="preserve"> Conciliaci</w:t>
      </w:r>
      <w:r w:rsidR="00F12310" w:rsidRPr="008E17DB">
        <w:rPr>
          <w:rFonts w:ascii="Palatino Linotype" w:hAnsi="Palatino Linotype" w:cs="Tahoma"/>
          <w:sz w:val="22"/>
          <w:szCs w:val="22"/>
        </w:rPr>
        <w:t>o</w:t>
      </w:r>
      <w:r w:rsidR="00D95D80" w:rsidRPr="008E17DB">
        <w:rPr>
          <w:rFonts w:ascii="Palatino Linotype" w:hAnsi="Palatino Linotype" w:cs="Tahoma"/>
          <w:sz w:val="22"/>
          <w:szCs w:val="22"/>
        </w:rPr>
        <w:t>n</w:t>
      </w:r>
      <w:r w:rsidR="00F12310" w:rsidRPr="008E17DB">
        <w:rPr>
          <w:rFonts w:ascii="Palatino Linotype" w:hAnsi="Palatino Linotype" w:cs="Tahoma"/>
          <w:sz w:val="22"/>
          <w:szCs w:val="22"/>
        </w:rPr>
        <w:t>es</w:t>
      </w:r>
      <w:r w:rsidR="00D95D80" w:rsidRPr="008E17DB">
        <w:rPr>
          <w:rFonts w:ascii="Palatino Linotype" w:hAnsi="Palatino Linotype" w:cs="Tahoma"/>
          <w:sz w:val="22"/>
          <w:szCs w:val="22"/>
        </w:rPr>
        <w:t xml:space="preserve"> Bancaria</w:t>
      </w:r>
      <w:r w:rsidR="00F12310" w:rsidRPr="008E17DB">
        <w:rPr>
          <w:rFonts w:ascii="Palatino Linotype" w:hAnsi="Palatino Linotype" w:cs="Tahoma"/>
          <w:sz w:val="22"/>
          <w:szCs w:val="22"/>
        </w:rPr>
        <w:t>s</w:t>
      </w:r>
      <w:r w:rsidR="00D95D80" w:rsidRPr="008E17DB">
        <w:rPr>
          <w:rFonts w:ascii="Palatino Linotype" w:hAnsi="Palatino Linotype" w:cs="Tahoma"/>
          <w:sz w:val="22"/>
          <w:szCs w:val="22"/>
        </w:rPr>
        <w:t>, del uno de marzo de dos mil diecinueve al treinta y uno de</w:t>
      </w:r>
      <w:r w:rsidR="00F12310" w:rsidRPr="008E17DB">
        <w:rPr>
          <w:rFonts w:ascii="Palatino Linotype" w:hAnsi="Palatino Linotype" w:cs="Tahoma"/>
          <w:sz w:val="22"/>
          <w:szCs w:val="22"/>
        </w:rPr>
        <w:t xml:space="preserve"> dicho mes y año, con sus anexos, de los siguientes bancos:</w:t>
      </w:r>
    </w:p>
    <w:p w14:paraId="23905000" w14:textId="77777777" w:rsidR="00F12310" w:rsidRPr="008E17DB" w:rsidRDefault="00F12310" w:rsidP="00A70F75">
      <w:pPr>
        <w:autoSpaceDE w:val="0"/>
        <w:autoSpaceDN w:val="0"/>
        <w:adjustRightInd w:val="0"/>
        <w:spacing w:line="360" w:lineRule="auto"/>
        <w:jc w:val="both"/>
        <w:rPr>
          <w:rFonts w:ascii="Palatino Linotype" w:hAnsi="Palatino Linotype" w:cs="Tahoma"/>
          <w:sz w:val="22"/>
          <w:szCs w:val="22"/>
        </w:rPr>
      </w:pPr>
    </w:p>
    <w:p w14:paraId="7259C4E6" w14:textId="0D81F9FF" w:rsidR="00F12310" w:rsidRPr="008E17DB" w:rsidRDefault="00A648A4" w:rsidP="00A70F75">
      <w:pPr>
        <w:pStyle w:val="Prrafodelista"/>
        <w:numPr>
          <w:ilvl w:val="0"/>
          <w:numId w:val="25"/>
        </w:numPr>
        <w:autoSpaceDE w:val="0"/>
        <w:autoSpaceDN w:val="0"/>
        <w:adjustRightInd w:val="0"/>
        <w:spacing w:line="360" w:lineRule="auto"/>
        <w:jc w:val="both"/>
        <w:rPr>
          <w:rFonts w:ascii="Palatino Linotype" w:hAnsi="Palatino Linotype" w:cs="Tahoma"/>
          <w:szCs w:val="22"/>
        </w:rPr>
      </w:pPr>
      <w:r w:rsidRPr="008E17DB">
        <w:rPr>
          <w:rFonts w:ascii="Palatino Linotype" w:hAnsi="Palatino Linotype" w:cs="Tahoma"/>
          <w:szCs w:val="22"/>
        </w:rPr>
        <w:t>Banca Afirme S.A.;</w:t>
      </w:r>
    </w:p>
    <w:p w14:paraId="4E606854" w14:textId="7E45747E" w:rsidR="00A648A4" w:rsidRPr="008E17DB" w:rsidRDefault="00A648A4" w:rsidP="00A70F75">
      <w:pPr>
        <w:pStyle w:val="Prrafodelista"/>
        <w:numPr>
          <w:ilvl w:val="0"/>
          <w:numId w:val="25"/>
        </w:numPr>
        <w:autoSpaceDE w:val="0"/>
        <w:autoSpaceDN w:val="0"/>
        <w:adjustRightInd w:val="0"/>
        <w:spacing w:line="360" w:lineRule="auto"/>
        <w:jc w:val="both"/>
        <w:rPr>
          <w:rFonts w:ascii="Palatino Linotype" w:hAnsi="Palatino Linotype" w:cs="Tahoma"/>
          <w:szCs w:val="22"/>
        </w:rPr>
      </w:pPr>
      <w:r w:rsidRPr="008E17DB">
        <w:rPr>
          <w:rFonts w:ascii="Palatino Linotype" w:hAnsi="Palatino Linotype" w:cs="Tahoma"/>
          <w:szCs w:val="22"/>
        </w:rPr>
        <w:t>Banco Azteca;</w:t>
      </w:r>
    </w:p>
    <w:p w14:paraId="4992F4D1" w14:textId="1A28601B" w:rsidR="00A648A4" w:rsidRPr="008E17DB" w:rsidRDefault="00A648A4" w:rsidP="00A70F75">
      <w:pPr>
        <w:pStyle w:val="Prrafodelista"/>
        <w:numPr>
          <w:ilvl w:val="0"/>
          <w:numId w:val="25"/>
        </w:numPr>
        <w:autoSpaceDE w:val="0"/>
        <w:autoSpaceDN w:val="0"/>
        <w:adjustRightInd w:val="0"/>
        <w:spacing w:line="360" w:lineRule="auto"/>
        <w:jc w:val="both"/>
        <w:rPr>
          <w:rFonts w:ascii="Palatino Linotype" w:hAnsi="Palatino Linotype" w:cs="Tahoma"/>
          <w:szCs w:val="22"/>
        </w:rPr>
      </w:pPr>
      <w:r w:rsidRPr="008E17DB">
        <w:rPr>
          <w:rFonts w:ascii="Palatino Linotype" w:hAnsi="Palatino Linotype" w:cs="Tahoma"/>
          <w:szCs w:val="22"/>
        </w:rPr>
        <w:t>Banamex S.A.</w:t>
      </w:r>
    </w:p>
    <w:p w14:paraId="19FBA1D6" w14:textId="5AD452FD" w:rsidR="00A648A4" w:rsidRPr="008E17DB" w:rsidRDefault="00A648A4" w:rsidP="00A70F75">
      <w:pPr>
        <w:pStyle w:val="Prrafodelista"/>
        <w:numPr>
          <w:ilvl w:val="0"/>
          <w:numId w:val="25"/>
        </w:numPr>
        <w:autoSpaceDE w:val="0"/>
        <w:autoSpaceDN w:val="0"/>
        <w:adjustRightInd w:val="0"/>
        <w:spacing w:line="360" w:lineRule="auto"/>
        <w:jc w:val="both"/>
        <w:rPr>
          <w:rFonts w:ascii="Palatino Linotype" w:hAnsi="Palatino Linotype" w:cs="Tahoma"/>
          <w:szCs w:val="22"/>
        </w:rPr>
      </w:pPr>
      <w:r w:rsidRPr="008E17DB">
        <w:rPr>
          <w:rFonts w:ascii="Palatino Linotype" w:hAnsi="Palatino Linotype" w:cs="Tahoma"/>
          <w:szCs w:val="22"/>
        </w:rPr>
        <w:t>BBVA Bancomer;</w:t>
      </w:r>
    </w:p>
    <w:p w14:paraId="1E80AA26" w14:textId="6D1B8683" w:rsidR="00A648A4" w:rsidRPr="008E17DB" w:rsidRDefault="00A648A4" w:rsidP="00A70F75">
      <w:pPr>
        <w:pStyle w:val="Prrafodelista"/>
        <w:numPr>
          <w:ilvl w:val="0"/>
          <w:numId w:val="25"/>
        </w:numPr>
        <w:autoSpaceDE w:val="0"/>
        <w:autoSpaceDN w:val="0"/>
        <w:adjustRightInd w:val="0"/>
        <w:spacing w:line="360" w:lineRule="auto"/>
        <w:jc w:val="both"/>
        <w:rPr>
          <w:rFonts w:ascii="Palatino Linotype" w:hAnsi="Palatino Linotype" w:cs="Tahoma"/>
          <w:szCs w:val="22"/>
        </w:rPr>
      </w:pPr>
      <w:r w:rsidRPr="008E17DB">
        <w:rPr>
          <w:rFonts w:ascii="Palatino Linotype" w:hAnsi="Palatino Linotype" w:cs="Tahoma"/>
          <w:szCs w:val="22"/>
        </w:rPr>
        <w:t>Banco Mercantil del Norte;</w:t>
      </w:r>
    </w:p>
    <w:p w14:paraId="54043411" w14:textId="3BFD4F13" w:rsidR="00A648A4" w:rsidRPr="008E17DB" w:rsidRDefault="00805EDE" w:rsidP="00A70F75">
      <w:pPr>
        <w:pStyle w:val="Prrafodelista"/>
        <w:numPr>
          <w:ilvl w:val="0"/>
          <w:numId w:val="25"/>
        </w:numPr>
        <w:autoSpaceDE w:val="0"/>
        <w:autoSpaceDN w:val="0"/>
        <w:adjustRightInd w:val="0"/>
        <w:spacing w:line="360" w:lineRule="auto"/>
        <w:jc w:val="both"/>
        <w:rPr>
          <w:rFonts w:ascii="Palatino Linotype" w:hAnsi="Palatino Linotype" w:cs="Tahoma"/>
          <w:szCs w:val="22"/>
        </w:rPr>
      </w:pPr>
      <w:r w:rsidRPr="008E17DB">
        <w:rPr>
          <w:rFonts w:ascii="Palatino Linotype" w:hAnsi="Palatino Linotype" w:cs="Tahoma"/>
          <w:szCs w:val="22"/>
        </w:rPr>
        <w:lastRenderedPageBreak/>
        <w:t>HSBS México S.A.;</w:t>
      </w:r>
    </w:p>
    <w:p w14:paraId="7FCF6F07" w14:textId="7C59B6B4" w:rsidR="00805EDE" w:rsidRPr="008E17DB" w:rsidRDefault="00805EDE" w:rsidP="00A70F75">
      <w:pPr>
        <w:pStyle w:val="Prrafodelista"/>
        <w:numPr>
          <w:ilvl w:val="0"/>
          <w:numId w:val="25"/>
        </w:numPr>
        <w:autoSpaceDE w:val="0"/>
        <w:autoSpaceDN w:val="0"/>
        <w:adjustRightInd w:val="0"/>
        <w:spacing w:line="360" w:lineRule="auto"/>
        <w:jc w:val="both"/>
        <w:rPr>
          <w:rFonts w:ascii="Palatino Linotype" w:hAnsi="Palatino Linotype" w:cs="Tahoma"/>
          <w:szCs w:val="22"/>
        </w:rPr>
      </w:pPr>
      <w:r w:rsidRPr="008E17DB">
        <w:rPr>
          <w:rFonts w:ascii="Palatino Linotype" w:hAnsi="Palatino Linotype" w:cs="Tahoma"/>
          <w:szCs w:val="22"/>
        </w:rPr>
        <w:t>Banca Mifel;</w:t>
      </w:r>
    </w:p>
    <w:p w14:paraId="18C319B2" w14:textId="75B89FFB" w:rsidR="00805EDE" w:rsidRPr="008E17DB" w:rsidRDefault="00805EDE" w:rsidP="00A70F75">
      <w:pPr>
        <w:pStyle w:val="Prrafodelista"/>
        <w:numPr>
          <w:ilvl w:val="0"/>
          <w:numId w:val="25"/>
        </w:numPr>
        <w:autoSpaceDE w:val="0"/>
        <w:autoSpaceDN w:val="0"/>
        <w:adjustRightInd w:val="0"/>
        <w:spacing w:line="360" w:lineRule="auto"/>
        <w:jc w:val="both"/>
        <w:rPr>
          <w:rFonts w:ascii="Palatino Linotype" w:hAnsi="Palatino Linotype" w:cs="Tahoma"/>
          <w:szCs w:val="22"/>
        </w:rPr>
      </w:pPr>
      <w:r w:rsidRPr="008E17DB">
        <w:rPr>
          <w:rFonts w:ascii="Palatino Linotype" w:hAnsi="Palatino Linotype" w:cs="Tahoma"/>
          <w:szCs w:val="22"/>
        </w:rPr>
        <w:t>Multiva S.A.;</w:t>
      </w:r>
    </w:p>
    <w:p w14:paraId="46DE68DA" w14:textId="6C56E369" w:rsidR="00805EDE" w:rsidRPr="008E17DB" w:rsidRDefault="00805EDE" w:rsidP="00A70F75">
      <w:pPr>
        <w:pStyle w:val="Prrafodelista"/>
        <w:numPr>
          <w:ilvl w:val="0"/>
          <w:numId w:val="25"/>
        </w:numPr>
        <w:autoSpaceDE w:val="0"/>
        <w:autoSpaceDN w:val="0"/>
        <w:adjustRightInd w:val="0"/>
        <w:spacing w:line="360" w:lineRule="auto"/>
        <w:jc w:val="both"/>
        <w:rPr>
          <w:rFonts w:ascii="Palatino Linotype" w:hAnsi="Palatino Linotype" w:cs="Tahoma"/>
          <w:szCs w:val="22"/>
        </w:rPr>
      </w:pPr>
      <w:r w:rsidRPr="008E17DB">
        <w:rPr>
          <w:rFonts w:ascii="Palatino Linotype" w:hAnsi="Palatino Linotype" w:cs="Tahoma"/>
          <w:szCs w:val="22"/>
        </w:rPr>
        <w:t>Santander S.A., y</w:t>
      </w:r>
    </w:p>
    <w:p w14:paraId="4D630F83" w14:textId="2D47E67F" w:rsidR="00805EDE" w:rsidRPr="008E17DB" w:rsidRDefault="00805EDE" w:rsidP="00A70F75">
      <w:pPr>
        <w:pStyle w:val="Prrafodelista"/>
        <w:numPr>
          <w:ilvl w:val="0"/>
          <w:numId w:val="25"/>
        </w:numPr>
        <w:autoSpaceDE w:val="0"/>
        <w:autoSpaceDN w:val="0"/>
        <w:adjustRightInd w:val="0"/>
        <w:spacing w:line="360" w:lineRule="auto"/>
        <w:jc w:val="both"/>
        <w:rPr>
          <w:rFonts w:ascii="Palatino Linotype" w:hAnsi="Palatino Linotype" w:cs="Tahoma"/>
          <w:szCs w:val="22"/>
        </w:rPr>
      </w:pPr>
      <w:r w:rsidRPr="008E17DB">
        <w:rPr>
          <w:rFonts w:ascii="Palatino Linotype" w:hAnsi="Palatino Linotype" w:cs="Tahoma"/>
          <w:szCs w:val="22"/>
        </w:rPr>
        <w:t>Scotiabank S.A.</w:t>
      </w:r>
    </w:p>
    <w:p w14:paraId="088589EB" w14:textId="77777777" w:rsidR="003173EB" w:rsidRPr="008E17DB" w:rsidRDefault="003173EB" w:rsidP="00A70F75">
      <w:pPr>
        <w:autoSpaceDE w:val="0"/>
        <w:autoSpaceDN w:val="0"/>
        <w:adjustRightInd w:val="0"/>
        <w:spacing w:line="360" w:lineRule="auto"/>
        <w:jc w:val="both"/>
        <w:rPr>
          <w:rFonts w:ascii="Palatino Linotype" w:hAnsi="Palatino Linotype" w:cs="Tahoma"/>
          <w:b/>
          <w:sz w:val="22"/>
          <w:szCs w:val="22"/>
        </w:rPr>
      </w:pPr>
    </w:p>
    <w:p w14:paraId="6DB66889" w14:textId="438F0305" w:rsidR="0014415D" w:rsidRPr="008E17DB" w:rsidRDefault="0014415D" w:rsidP="00A70F75">
      <w:pPr>
        <w:autoSpaceDE w:val="0"/>
        <w:autoSpaceDN w:val="0"/>
        <w:adjustRightInd w:val="0"/>
        <w:spacing w:line="360" w:lineRule="auto"/>
        <w:jc w:val="both"/>
        <w:rPr>
          <w:rFonts w:ascii="Palatino Linotype" w:hAnsi="Palatino Linotype" w:cs="Tahoma"/>
          <w:sz w:val="22"/>
          <w:szCs w:val="22"/>
        </w:rPr>
      </w:pPr>
      <w:r w:rsidRPr="008E17DB">
        <w:rPr>
          <w:rFonts w:ascii="Palatino Linotype" w:hAnsi="Palatino Linotype" w:cs="Tahoma"/>
          <w:sz w:val="22"/>
          <w:szCs w:val="22"/>
        </w:rPr>
        <w:t>iv) Acta de la Décima Novena Sesión Extraordinaria</w:t>
      </w:r>
      <w:r w:rsidR="00640155" w:rsidRPr="008E17DB">
        <w:rPr>
          <w:rFonts w:ascii="Palatino Linotype" w:hAnsi="Palatino Linotype" w:cs="Tahoma"/>
          <w:sz w:val="22"/>
          <w:szCs w:val="22"/>
        </w:rPr>
        <w:t xml:space="preserve"> del Comité de Transparencia, del trece de junio del dos mil diecinueve. </w:t>
      </w:r>
      <w:r w:rsidRPr="008E17DB">
        <w:rPr>
          <w:rFonts w:ascii="Palatino Linotype" w:hAnsi="Palatino Linotype" w:cs="Tahoma"/>
          <w:sz w:val="22"/>
          <w:szCs w:val="22"/>
        </w:rPr>
        <w:t xml:space="preserve"> </w:t>
      </w:r>
    </w:p>
    <w:p w14:paraId="09D55140" w14:textId="77777777" w:rsidR="0014415D" w:rsidRPr="008E17DB" w:rsidRDefault="0014415D" w:rsidP="00A70F75">
      <w:pPr>
        <w:autoSpaceDE w:val="0"/>
        <w:autoSpaceDN w:val="0"/>
        <w:adjustRightInd w:val="0"/>
        <w:spacing w:line="360" w:lineRule="auto"/>
        <w:jc w:val="both"/>
        <w:rPr>
          <w:rFonts w:ascii="Palatino Linotype" w:hAnsi="Palatino Linotype" w:cs="Tahoma"/>
          <w:b/>
          <w:sz w:val="22"/>
          <w:szCs w:val="22"/>
        </w:rPr>
      </w:pPr>
    </w:p>
    <w:p w14:paraId="452FD461" w14:textId="0DA9A304" w:rsidR="00C12FBA" w:rsidRPr="008E17DB" w:rsidRDefault="008D7679" w:rsidP="00A70F75">
      <w:pPr>
        <w:autoSpaceDE w:val="0"/>
        <w:autoSpaceDN w:val="0"/>
        <w:adjustRightInd w:val="0"/>
        <w:spacing w:line="360" w:lineRule="auto"/>
        <w:jc w:val="both"/>
        <w:rPr>
          <w:rFonts w:ascii="Palatino Linotype" w:hAnsi="Palatino Linotype" w:cs="Tahoma"/>
          <w:b/>
          <w:sz w:val="22"/>
          <w:szCs w:val="22"/>
        </w:rPr>
      </w:pPr>
      <w:r w:rsidRPr="008E17DB">
        <w:rPr>
          <w:rFonts w:ascii="Palatino Linotype" w:hAnsi="Palatino Linotype" w:cs="Tahoma"/>
          <w:b/>
          <w:sz w:val="22"/>
          <w:szCs w:val="22"/>
        </w:rPr>
        <w:t>III</w:t>
      </w:r>
      <w:r w:rsidR="00C12FBA" w:rsidRPr="008E17DB">
        <w:rPr>
          <w:rFonts w:ascii="Palatino Linotype" w:hAnsi="Palatino Linotype" w:cs="Tahoma"/>
          <w:b/>
          <w:sz w:val="22"/>
          <w:szCs w:val="22"/>
        </w:rPr>
        <w:t xml:space="preserve">. Interposición del Recurso de Revisión. </w:t>
      </w:r>
    </w:p>
    <w:p w14:paraId="56F37922" w14:textId="77777777" w:rsidR="00587F23" w:rsidRPr="008E17DB" w:rsidRDefault="00587F23" w:rsidP="00A70F75">
      <w:pPr>
        <w:autoSpaceDE w:val="0"/>
        <w:autoSpaceDN w:val="0"/>
        <w:adjustRightInd w:val="0"/>
        <w:spacing w:line="360" w:lineRule="auto"/>
        <w:jc w:val="both"/>
        <w:rPr>
          <w:rFonts w:ascii="Palatino Linotype" w:hAnsi="Palatino Linotype" w:cs="Tahoma"/>
          <w:b/>
          <w:sz w:val="22"/>
          <w:szCs w:val="22"/>
        </w:rPr>
      </w:pPr>
    </w:p>
    <w:p w14:paraId="557AFCC5" w14:textId="383A6B08" w:rsidR="00397099" w:rsidRPr="008E17DB" w:rsidRDefault="004E401B" w:rsidP="00A70F75">
      <w:pPr>
        <w:autoSpaceDE w:val="0"/>
        <w:autoSpaceDN w:val="0"/>
        <w:adjustRightInd w:val="0"/>
        <w:spacing w:line="360" w:lineRule="auto"/>
        <w:jc w:val="both"/>
        <w:rPr>
          <w:rFonts w:ascii="Palatino Linotype" w:hAnsi="Palatino Linotype" w:cs="Tahoma"/>
          <w:sz w:val="22"/>
          <w:szCs w:val="22"/>
        </w:rPr>
      </w:pPr>
      <w:r w:rsidRPr="008E17DB">
        <w:rPr>
          <w:rFonts w:ascii="Palatino Linotype" w:hAnsi="Palatino Linotype" w:cs="Tahoma"/>
          <w:sz w:val="22"/>
          <w:szCs w:val="22"/>
        </w:rPr>
        <w:t xml:space="preserve">Con fecha </w:t>
      </w:r>
      <w:r w:rsidR="00F37635" w:rsidRPr="008E17DB">
        <w:rPr>
          <w:rFonts w:ascii="Palatino Linotype" w:hAnsi="Palatino Linotype" w:cs="Tahoma"/>
          <w:sz w:val="22"/>
          <w:szCs w:val="22"/>
        </w:rPr>
        <w:t>veinticinco</w:t>
      </w:r>
      <w:r w:rsidR="008D7679" w:rsidRPr="008E17DB">
        <w:rPr>
          <w:rFonts w:ascii="Palatino Linotype" w:hAnsi="Palatino Linotype" w:cs="Tahoma"/>
          <w:sz w:val="22"/>
          <w:szCs w:val="22"/>
        </w:rPr>
        <w:t xml:space="preserve"> </w:t>
      </w:r>
      <w:r w:rsidR="00D952B1" w:rsidRPr="008E17DB">
        <w:rPr>
          <w:rFonts w:ascii="Palatino Linotype" w:hAnsi="Palatino Linotype" w:cs="Tahoma"/>
          <w:sz w:val="22"/>
          <w:szCs w:val="22"/>
        </w:rPr>
        <w:t>de junio</w:t>
      </w:r>
      <w:r w:rsidR="00D5321C" w:rsidRPr="008E17DB">
        <w:rPr>
          <w:rFonts w:ascii="Palatino Linotype" w:hAnsi="Palatino Linotype" w:cs="Tahoma"/>
          <w:sz w:val="22"/>
          <w:szCs w:val="22"/>
        </w:rPr>
        <w:t xml:space="preserve"> de dos mil diecinueve</w:t>
      </w:r>
      <w:r w:rsidR="00C25238" w:rsidRPr="008E17DB">
        <w:rPr>
          <w:rFonts w:ascii="Palatino Linotype" w:hAnsi="Palatino Linotype" w:cs="Tahoma"/>
          <w:sz w:val="22"/>
          <w:szCs w:val="22"/>
        </w:rPr>
        <w:t xml:space="preserve">, se recibió en este </w:t>
      </w:r>
      <w:r w:rsidR="00C25238" w:rsidRPr="008E17DB">
        <w:rPr>
          <w:rFonts w:ascii="Palatino Linotype" w:eastAsia="Calibri" w:hAnsi="Palatino Linotype" w:cs="Tahoma"/>
          <w:sz w:val="22"/>
          <w:szCs w:val="22"/>
          <w:lang w:eastAsia="en-US"/>
        </w:rPr>
        <w:t xml:space="preserve">Instituto, a través del </w:t>
      </w:r>
      <w:r w:rsidR="000313A7" w:rsidRPr="008E17DB">
        <w:rPr>
          <w:rFonts w:ascii="Palatino Linotype" w:hAnsi="Palatino Linotype" w:cs="Tahoma"/>
          <w:sz w:val="22"/>
          <w:szCs w:val="22"/>
          <w:lang w:val="es-ES"/>
        </w:rPr>
        <w:t>Sistema de Acceso a la Información Mexiquense (SAIMEX)</w:t>
      </w:r>
      <w:r w:rsidR="006C1B1D" w:rsidRPr="008E17DB">
        <w:rPr>
          <w:rFonts w:ascii="Palatino Linotype" w:hAnsi="Palatino Linotype" w:cs="Tahoma"/>
          <w:sz w:val="22"/>
          <w:szCs w:val="22"/>
        </w:rPr>
        <w:t>, Recurso de R</w:t>
      </w:r>
      <w:r w:rsidR="00C25238" w:rsidRPr="008E17DB">
        <w:rPr>
          <w:rFonts w:ascii="Palatino Linotype" w:hAnsi="Palatino Linotype" w:cs="Tahoma"/>
          <w:sz w:val="22"/>
          <w:szCs w:val="22"/>
        </w:rPr>
        <w:t>evisión interpuesto por la</w:t>
      </w:r>
      <w:r w:rsidR="006C1B1D" w:rsidRPr="008E17DB">
        <w:rPr>
          <w:rFonts w:ascii="Palatino Linotype" w:hAnsi="Palatino Linotype" w:cs="Tahoma"/>
          <w:sz w:val="22"/>
          <w:szCs w:val="22"/>
        </w:rPr>
        <w:t xml:space="preserve"> parte</w:t>
      </w:r>
      <w:r w:rsidR="00C25238" w:rsidRPr="008E17DB">
        <w:rPr>
          <w:rFonts w:ascii="Palatino Linotype" w:hAnsi="Palatino Linotype" w:cs="Tahoma"/>
          <w:sz w:val="22"/>
          <w:szCs w:val="22"/>
        </w:rPr>
        <w:t xml:space="preserve"> </w:t>
      </w:r>
      <w:r w:rsidR="0028420E" w:rsidRPr="008E17DB">
        <w:rPr>
          <w:rFonts w:ascii="Palatino Linotype" w:hAnsi="Palatino Linotype" w:cs="Tahoma"/>
          <w:sz w:val="22"/>
          <w:szCs w:val="22"/>
        </w:rPr>
        <w:t>R</w:t>
      </w:r>
      <w:r w:rsidR="00C25238" w:rsidRPr="008E17DB">
        <w:rPr>
          <w:rFonts w:ascii="Palatino Linotype" w:hAnsi="Palatino Linotype" w:cs="Tahoma"/>
          <w:sz w:val="22"/>
          <w:szCs w:val="22"/>
        </w:rPr>
        <w:t xml:space="preserve">ecurrente, </w:t>
      </w:r>
      <w:r w:rsidR="00397099" w:rsidRPr="008E17DB">
        <w:rPr>
          <w:rFonts w:ascii="Palatino Linotype" w:hAnsi="Palatino Linotype" w:cs="Tahoma"/>
          <w:sz w:val="22"/>
          <w:szCs w:val="22"/>
        </w:rPr>
        <w:t xml:space="preserve">en contra de </w:t>
      </w:r>
      <w:r w:rsidR="003173EB" w:rsidRPr="008E17DB">
        <w:rPr>
          <w:rFonts w:ascii="Palatino Linotype" w:hAnsi="Palatino Linotype" w:cs="Tahoma"/>
          <w:sz w:val="22"/>
          <w:szCs w:val="22"/>
        </w:rPr>
        <w:t xml:space="preserve">la </w:t>
      </w:r>
      <w:r w:rsidR="00397099" w:rsidRPr="008E17DB">
        <w:rPr>
          <w:rFonts w:ascii="Palatino Linotype" w:hAnsi="Palatino Linotype" w:cs="Tahoma"/>
          <w:sz w:val="22"/>
          <w:szCs w:val="22"/>
        </w:rPr>
        <w:t>respuesta del Sujeto Obligado, en los siguientes términos:</w:t>
      </w:r>
    </w:p>
    <w:p w14:paraId="3FDF9B28" w14:textId="77777777" w:rsidR="008D7679" w:rsidRPr="008E17DB" w:rsidRDefault="008D7679" w:rsidP="00A70F75">
      <w:pPr>
        <w:autoSpaceDE w:val="0"/>
        <w:autoSpaceDN w:val="0"/>
        <w:adjustRightInd w:val="0"/>
        <w:spacing w:line="360" w:lineRule="auto"/>
        <w:jc w:val="both"/>
        <w:rPr>
          <w:rFonts w:ascii="Palatino Linotype" w:hAnsi="Palatino Linotype" w:cs="Tahoma"/>
          <w:sz w:val="22"/>
          <w:szCs w:val="22"/>
        </w:rPr>
      </w:pPr>
    </w:p>
    <w:p w14:paraId="31C95FDC" w14:textId="77777777" w:rsidR="00C25238" w:rsidRPr="008E17DB" w:rsidRDefault="00B727C5" w:rsidP="00A70F75">
      <w:pPr>
        <w:tabs>
          <w:tab w:val="left" w:pos="4667"/>
        </w:tabs>
        <w:spacing w:line="360" w:lineRule="auto"/>
        <w:ind w:left="567" w:right="567"/>
        <w:jc w:val="both"/>
        <w:rPr>
          <w:rFonts w:ascii="Palatino Linotype" w:hAnsi="Palatino Linotype" w:cs="Tahoma"/>
          <w:bCs/>
          <w:i/>
        </w:rPr>
      </w:pPr>
      <w:r w:rsidRPr="008E17DB">
        <w:rPr>
          <w:rFonts w:ascii="Palatino Linotype" w:hAnsi="Palatino Linotype" w:cs="Tahoma"/>
          <w:b/>
          <w:bCs/>
          <w:i/>
        </w:rPr>
        <w:t>“</w:t>
      </w:r>
      <w:r w:rsidR="00C25238" w:rsidRPr="008E17DB">
        <w:rPr>
          <w:rFonts w:ascii="Palatino Linotype" w:hAnsi="Palatino Linotype" w:cs="Tahoma"/>
          <w:b/>
          <w:bCs/>
          <w:i/>
        </w:rPr>
        <w:t>ACTO IMPUGNADO</w:t>
      </w:r>
    </w:p>
    <w:p w14:paraId="156F41F5" w14:textId="6B34E31E" w:rsidR="00CD3A5D" w:rsidRPr="008E17DB" w:rsidRDefault="00F37635" w:rsidP="00A70F75">
      <w:pPr>
        <w:autoSpaceDE w:val="0"/>
        <w:autoSpaceDN w:val="0"/>
        <w:adjustRightInd w:val="0"/>
        <w:spacing w:line="360" w:lineRule="auto"/>
        <w:ind w:left="567" w:right="567"/>
        <w:jc w:val="both"/>
        <w:rPr>
          <w:rFonts w:ascii="Palatino Linotype" w:hAnsi="Palatino Linotype" w:cs="Tahoma"/>
          <w:i/>
        </w:rPr>
      </w:pPr>
      <w:r w:rsidRPr="008E17DB">
        <w:rPr>
          <w:rFonts w:ascii="Palatino Linotype" w:hAnsi="Palatino Linotype" w:cs="Tahoma"/>
          <w:i/>
        </w:rPr>
        <w:t>LA ENTREGA DE LA INFORMACIÓN DEL NUMERAL 1 DE MI SOLICITUD DE INFORMACIÓN NO CORRESPONDE CON LO SOLICITADO</w:t>
      </w:r>
      <w:r w:rsidR="00B727C5" w:rsidRPr="008E17DB">
        <w:rPr>
          <w:rFonts w:ascii="Palatino Linotype" w:hAnsi="Palatino Linotype" w:cs="Tahoma"/>
          <w:i/>
        </w:rPr>
        <w:t>”</w:t>
      </w:r>
      <w:r w:rsidR="003173EB" w:rsidRPr="008E17DB">
        <w:rPr>
          <w:rFonts w:ascii="Palatino Linotype" w:hAnsi="Palatino Linotype" w:cs="Tahoma"/>
          <w:bCs/>
          <w:i/>
        </w:rPr>
        <w:t xml:space="preserve"> (Sic.)</w:t>
      </w:r>
    </w:p>
    <w:p w14:paraId="68420EF8" w14:textId="77777777" w:rsidR="005F4977" w:rsidRPr="008E17DB" w:rsidRDefault="005F4977" w:rsidP="00A70F75">
      <w:pPr>
        <w:autoSpaceDE w:val="0"/>
        <w:autoSpaceDN w:val="0"/>
        <w:adjustRightInd w:val="0"/>
        <w:spacing w:line="360" w:lineRule="auto"/>
        <w:ind w:left="567" w:right="567"/>
        <w:jc w:val="both"/>
        <w:rPr>
          <w:rFonts w:ascii="Palatino Linotype" w:hAnsi="Palatino Linotype" w:cs="Tahoma"/>
          <w:i/>
        </w:rPr>
      </w:pPr>
    </w:p>
    <w:p w14:paraId="49453E6C" w14:textId="77777777" w:rsidR="00C25238" w:rsidRPr="008E17DB" w:rsidRDefault="00B727C5" w:rsidP="00A70F75">
      <w:pPr>
        <w:autoSpaceDE w:val="0"/>
        <w:autoSpaceDN w:val="0"/>
        <w:adjustRightInd w:val="0"/>
        <w:spacing w:line="360" w:lineRule="auto"/>
        <w:ind w:left="567" w:right="567"/>
        <w:jc w:val="both"/>
        <w:rPr>
          <w:rFonts w:ascii="Palatino Linotype" w:hAnsi="Palatino Linotype" w:cs="Tahoma"/>
          <w:b/>
          <w:i/>
        </w:rPr>
      </w:pPr>
      <w:r w:rsidRPr="008E17DB">
        <w:rPr>
          <w:rFonts w:ascii="Palatino Linotype" w:hAnsi="Palatino Linotype" w:cs="Tahoma"/>
          <w:b/>
          <w:i/>
        </w:rPr>
        <w:t>“</w:t>
      </w:r>
      <w:r w:rsidR="00C25238" w:rsidRPr="008E17DB">
        <w:rPr>
          <w:rFonts w:ascii="Palatino Linotype" w:hAnsi="Palatino Linotype" w:cs="Tahoma"/>
          <w:b/>
          <w:i/>
        </w:rPr>
        <w:t>RAZONES O MOTIVOS DE LA INCONFORMIDAD</w:t>
      </w:r>
    </w:p>
    <w:p w14:paraId="00789885" w14:textId="6312FDBF" w:rsidR="00B31222" w:rsidRPr="008E17DB" w:rsidRDefault="00F37635" w:rsidP="00A70F75">
      <w:pPr>
        <w:autoSpaceDE w:val="0"/>
        <w:autoSpaceDN w:val="0"/>
        <w:adjustRightInd w:val="0"/>
        <w:spacing w:line="360" w:lineRule="auto"/>
        <w:ind w:left="567" w:right="567"/>
        <w:jc w:val="both"/>
        <w:rPr>
          <w:rFonts w:ascii="Palatino Linotype" w:hAnsi="Palatino Linotype" w:cs="Tahoma"/>
          <w:i/>
        </w:rPr>
      </w:pPr>
      <w:r w:rsidRPr="008E17DB">
        <w:rPr>
          <w:rFonts w:ascii="Palatino Linotype" w:hAnsi="Palatino Linotype" w:cs="Tahoma"/>
          <w:i/>
        </w:rPr>
        <w:t xml:space="preserve">SOLICITE EN EL NUMERAL 1, LO SIGUIENTE; Balanza de Comprobación Detallada (Formatos pdf y </w:t>
      </w:r>
      <w:proofErr w:type="spellStart"/>
      <w:r w:rsidRPr="008E17DB">
        <w:rPr>
          <w:rFonts w:ascii="Palatino Linotype" w:hAnsi="Palatino Linotype" w:cs="Tahoma"/>
          <w:i/>
        </w:rPr>
        <w:t>xls</w:t>
      </w:r>
      <w:proofErr w:type="spellEnd"/>
      <w:r w:rsidRPr="008E17DB">
        <w:rPr>
          <w:rFonts w:ascii="Palatino Linotype" w:hAnsi="Palatino Linotype" w:cs="Tahoma"/>
          <w:i/>
        </w:rPr>
        <w:t>) Y SE ME ENTREGA LA BALANZA DE COMPROBACIÓN PERO NO LA DETALLADA Y EN FORMATO PDF, TAMBIÉN LA SOLICITE EN FORMATO XLS, (Lineamientos para la entrega del informe mensual municipal 2019)</w:t>
      </w:r>
      <w:r w:rsidR="00397099" w:rsidRPr="008E17DB">
        <w:rPr>
          <w:rFonts w:ascii="Palatino Linotype" w:hAnsi="Palatino Linotype" w:cs="Tahoma"/>
          <w:i/>
        </w:rPr>
        <w:t>”</w:t>
      </w:r>
      <w:r w:rsidR="003173EB" w:rsidRPr="008E17DB">
        <w:rPr>
          <w:rFonts w:ascii="Palatino Linotype" w:hAnsi="Palatino Linotype" w:cs="Tahoma"/>
          <w:bCs/>
          <w:i/>
        </w:rPr>
        <w:t xml:space="preserve"> (Sic.)</w:t>
      </w:r>
    </w:p>
    <w:p w14:paraId="558F5093" w14:textId="1BE5789F" w:rsidR="005C3AF3" w:rsidRPr="008E17DB" w:rsidRDefault="005C3AF3" w:rsidP="00A70F75">
      <w:pPr>
        <w:spacing w:line="360" w:lineRule="auto"/>
        <w:jc w:val="both"/>
        <w:rPr>
          <w:rFonts w:ascii="Palatino Linotype" w:hAnsi="Palatino Linotype" w:cs="Tahoma"/>
          <w:b/>
          <w:sz w:val="22"/>
          <w:szCs w:val="22"/>
        </w:rPr>
      </w:pPr>
    </w:p>
    <w:p w14:paraId="2D7FCD48" w14:textId="442278DF" w:rsidR="00B31222" w:rsidRPr="008E17DB" w:rsidRDefault="00D952B1" w:rsidP="00A70F75">
      <w:pPr>
        <w:spacing w:line="360" w:lineRule="auto"/>
        <w:jc w:val="both"/>
        <w:rPr>
          <w:rFonts w:ascii="Palatino Linotype" w:eastAsia="Batang" w:hAnsi="Palatino Linotype" w:cs="Tahoma"/>
          <w:b/>
          <w:bCs/>
          <w:sz w:val="22"/>
          <w:szCs w:val="22"/>
        </w:rPr>
      </w:pPr>
      <w:r w:rsidRPr="008E17DB">
        <w:rPr>
          <w:rFonts w:ascii="Palatino Linotype" w:hAnsi="Palatino Linotype" w:cs="Tahoma"/>
          <w:b/>
          <w:sz w:val="22"/>
          <w:szCs w:val="22"/>
        </w:rPr>
        <w:lastRenderedPageBreak/>
        <w:t>I</w:t>
      </w:r>
      <w:r w:rsidR="00FD2B52" w:rsidRPr="008E17DB">
        <w:rPr>
          <w:rFonts w:ascii="Palatino Linotype" w:hAnsi="Palatino Linotype" w:cs="Tahoma"/>
          <w:b/>
          <w:sz w:val="22"/>
          <w:szCs w:val="22"/>
        </w:rPr>
        <w:t>V</w:t>
      </w:r>
      <w:r w:rsidR="005C3AF3" w:rsidRPr="008E17DB">
        <w:rPr>
          <w:rFonts w:ascii="Palatino Linotype" w:hAnsi="Palatino Linotype" w:cs="Tahoma"/>
          <w:b/>
          <w:sz w:val="22"/>
          <w:szCs w:val="22"/>
        </w:rPr>
        <w:t>.</w:t>
      </w:r>
      <w:r w:rsidR="00B31222" w:rsidRPr="008E17DB">
        <w:rPr>
          <w:rFonts w:ascii="Palatino Linotype" w:hAnsi="Palatino Linotype" w:cs="Tahoma"/>
          <w:b/>
          <w:sz w:val="22"/>
          <w:szCs w:val="22"/>
        </w:rPr>
        <w:t xml:space="preserve"> </w:t>
      </w:r>
      <w:r w:rsidR="00B31222" w:rsidRPr="008E17DB">
        <w:rPr>
          <w:rFonts w:ascii="Palatino Linotype" w:eastAsia="Batang" w:hAnsi="Palatino Linotype" w:cs="Tahoma"/>
          <w:b/>
          <w:bCs/>
          <w:sz w:val="22"/>
          <w:szCs w:val="22"/>
        </w:rPr>
        <w:t xml:space="preserve">Trámite del </w:t>
      </w:r>
      <w:r w:rsidR="00C459A9" w:rsidRPr="008E17DB">
        <w:rPr>
          <w:rFonts w:ascii="Palatino Linotype" w:hAnsi="Palatino Linotype" w:cs="Tahoma"/>
          <w:b/>
          <w:sz w:val="22"/>
          <w:szCs w:val="22"/>
        </w:rPr>
        <w:t xml:space="preserve">Recurso de </w:t>
      </w:r>
      <w:r w:rsidR="00327FDE" w:rsidRPr="008E17DB">
        <w:rPr>
          <w:rFonts w:ascii="Palatino Linotype" w:hAnsi="Palatino Linotype" w:cs="Tahoma"/>
          <w:b/>
          <w:sz w:val="22"/>
          <w:szCs w:val="22"/>
        </w:rPr>
        <w:t>Revisión</w:t>
      </w:r>
      <w:r w:rsidR="00327FDE" w:rsidRPr="008E17DB">
        <w:rPr>
          <w:rFonts w:ascii="Palatino Linotype" w:eastAsia="Batang" w:hAnsi="Palatino Linotype" w:cs="Tahoma"/>
          <w:b/>
          <w:bCs/>
          <w:sz w:val="22"/>
          <w:szCs w:val="22"/>
        </w:rPr>
        <w:t xml:space="preserve"> ante</w:t>
      </w:r>
      <w:r w:rsidR="00B31222" w:rsidRPr="008E17DB">
        <w:rPr>
          <w:rFonts w:ascii="Palatino Linotype" w:eastAsia="Batang" w:hAnsi="Palatino Linotype" w:cs="Tahoma"/>
          <w:b/>
          <w:bCs/>
          <w:sz w:val="22"/>
          <w:szCs w:val="22"/>
        </w:rPr>
        <w:t xml:space="preserve"> el Instituto</w:t>
      </w:r>
      <w:r w:rsidR="00E445DA" w:rsidRPr="008E17DB">
        <w:rPr>
          <w:rFonts w:ascii="Palatino Linotype" w:eastAsia="Batang" w:hAnsi="Palatino Linotype" w:cs="Tahoma"/>
          <w:b/>
          <w:bCs/>
          <w:sz w:val="22"/>
          <w:szCs w:val="22"/>
        </w:rPr>
        <w:t>.</w:t>
      </w:r>
    </w:p>
    <w:p w14:paraId="6E98E98C" w14:textId="77777777" w:rsidR="00E8093C" w:rsidRPr="008E17DB" w:rsidRDefault="00E8093C" w:rsidP="00A70F75">
      <w:pPr>
        <w:spacing w:line="360" w:lineRule="auto"/>
        <w:jc w:val="both"/>
        <w:rPr>
          <w:rFonts w:ascii="Palatino Linotype" w:eastAsia="Batang" w:hAnsi="Palatino Linotype" w:cs="Tahoma"/>
          <w:b/>
          <w:bCs/>
          <w:sz w:val="22"/>
          <w:szCs w:val="22"/>
        </w:rPr>
      </w:pPr>
    </w:p>
    <w:p w14:paraId="78876405" w14:textId="4D0F1A44" w:rsidR="00986A7D" w:rsidRPr="008E17DB" w:rsidRDefault="00A90F9B" w:rsidP="00A70F75">
      <w:pPr>
        <w:spacing w:line="360" w:lineRule="auto"/>
        <w:jc w:val="both"/>
        <w:rPr>
          <w:rFonts w:ascii="Palatino Linotype" w:eastAsia="Batang" w:hAnsi="Palatino Linotype" w:cs="Tahoma"/>
          <w:bCs/>
          <w:sz w:val="22"/>
          <w:szCs w:val="22"/>
        </w:rPr>
      </w:pPr>
      <w:r w:rsidRPr="008E17DB">
        <w:rPr>
          <w:rFonts w:ascii="Palatino Linotype" w:eastAsia="Batang" w:hAnsi="Palatino Linotype" w:cs="Tahoma"/>
          <w:b/>
          <w:bCs/>
          <w:sz w:val="22"/>
          <w:szCs w:val="22"/>
        </w:rPr>
        <w:t xml:space="preserve">a) </w:t>
      </w:r>
      <w:r w:rsidR="00B31222" w:rsidRPr="008E17DB">
        <w:rPr>
          <w:rFonts w:ascii="Palatino Linotype" w:eastAsia="Batang" w:hAnsi="Palatino Linotype" w:cs="Tahoma"/>
          <w:b/>
          <w:bCs/>
          <w:sz w:val="22"/>
          <w:szCs w:val="22"/>
        </w:rPr>
        <w:t xml:space="preserve">Turno del </w:t>
      </w:r>
      <w:r w:rsidR="00C459A9" w:rsidRPr="008E17DB">
        <w:rPr>
          <w:rFonts w:ascii="Palatino Linotype" w:hAnsi="Palatino Linotype" w:cs="Tahoma"/>
          <w:b/>
          <w:sz w:val="22"/>
          <w:szCs w:val="22"/>
        </w:rPr>
        <w:t>Recurso de Revisión</w:t>
      </w:r>
      <w:r w:rsidRPr="008E17DB">
        <w:rPr>
          <w:rFonts w:ascii="Palatino Linotype" w:eastAsia="Batang" w:hAnsi="Palatino Linotype" w:cs="Tahoma"/>
          <w:b/>
          <w:bCs/>
          <w:sz w:val="22"/>
          <w:szCs w:val="22"/>
        </w:rPr>
        <w:t>.</w:t>
      </w:r>
      <w:r w:rsidR="00FD6F40" w:rsidRPr="008E17DB">
        <w:rPr>
          <w:rFonts w:ascii="Palatino Linotype" w:eastAsia="Batang" w:hAnsi="Palatino Linotype" w:cs="Tahoma"/>
          <w:b/>
          <w:bCs/>
          <w:sz w:val="22"/>
          <w:szCs w:val="22"/>
        </w:rPr>
        <w:t xml:space="preserve"> </w:t>
      </w:r>
      <w:r w:rsidR="00986A7D" w:rsidRPr="008E17DB">
        <w:rPr>
          <w:rFonts w:ascii="Palatino Linotype" w:eastAsia="Batang" w:hAnsi="Palatino Linotype" w:cs="Tahoma"/>
          <w:bCs/>
          <w:sz w:val="22"/>
          <w:szCs w:val="22"/>
        </w:rPr>
        <w:t xml:space="preserve">El </w:t>
      </w:r>
      <w:r w:rsidR="00F37635" w:rsidRPr="008E17DB">
        <w:rPr>
          <w:rFonts w:ascii="Palatino Linotype" w:eastAsia="Batang" w:hAnsi="Palatino Linotype" w:cs="Tahoma"/>
          <w:bCs/>
          <w:sz w:val="22"/>
          <w:szCs w:val="22"/>
        </w:rPr>
        <w:t>veinticinco</w:t>
      </w:r>
      <w:r w:rsidR="00ED74E8" w:rsidRPr="008E17DB">
        <w:rPr>
          <w:rFonts w:ascii="Palatino Linotype" w:eastAsia="Batang" w:hAnsi="Palatino Linotype" w:cs="Tahoma"/>
          <w:bCs/>
          <w:sz w:val="22"/>
          <w:szCs w:val="22"/>
        </w:rPr>
        <w:t xml:space="preserve"> de junio</w:t>
      </w:r>
      <w:r w:rsidR="00D952B1" w:rsidRPr="008E17DB">
        <w:rPr>
          <w:rFonts w:ascii="Palatino Linotype" w:eastAsia="Batang" w:hAnsi="Palatino Linotype" w:cs="Tahoma"/>
          <w:bCs/>
          <w:sz w:val="22"/>
          <w:szCs w:val="22"/>
        </w:rPr>
        <w:t xml:space="preserve"> </w:t>
      </w:r>
      <w:r w:rsidR="00EA6D17" w:rsidRPr="008E17DB">
        <w:rPr>
          <w:rFonts w:ascii="Palatino Linotype" w:eastAsia="Batang" w:hAnsi="Palatino Linotype" w:cs="Tahoma"/>
          <w:bCs/>
          <w:sz w:val="22"/>
          <w:szCs w:val="22"/>
        </w:rPr>
        <w:t>de dos mil diecinueve</w:t>
      </w:r>
      <w:r w:rsidR="00986A7D" w:rsidRPr="008E17DB">
        <w:rPr>
          <w:rFonts w:ascii="Palatino Linotype" w:eastAsia="Batang" w:hAnsi="Palatino Linotype" w:cs="Tahoma"/>
          <w:bCs/>
          <w:sz w:val="22"/>
          <w:szCs w:val="22"/>
        </w:rPr>
        <w:t xml:space="preserve">, el </w:t>
      </w:r>
      <w:r w:rsidR="00986A7D" w:rsidRPr="008E17DB">
        <w:rPr>
          <w:rFonts w:ascii="Palatino Linotype" w:hAnsi="Palatino Linotype" w:cs="Tahoma"/>
          <w:sz w:val="22"/>
          <w:szCs w:val="22"/>
          <w:lang w:val="es-ES"/>
        </w:rPr>
        <w:t>Sistema de Acceso a la Información Mexiquense (SAIMEX),</w:t>
      </w:r>
      <w:r w:rsidR="00986A7D" w:rsidRPr="008E17DB">
        <w:rPr>
          <w:rFonts w:ascii="Palatino Linotype" w:eastAsia="Batang" w:hAnsi="Palatino Linotype" w:cs="Tahoma"/>
          <w:bCs/>
          <w:sz w:val="22"/>
          <w:szCs w:val="22"/>
        </w:rPr>
        <w:t xml:space="preserve"> asignó el número de expediente </w:t>
      </w:r>
      <w:r w:rsidR="00D5321C" w:rsidRPr="008E17DB">
        <w:rPr>
          <w:rFonts w:ascii="Palatino Linotype" w:eastAsia="Batang" w:hAnsi="Palatino Linotype" w:cs="Tahoma"/>
          <w:b/>
          <w:bCs/>
          <w:sz w:val="22"/>
          <w:szCs w:val="22"/>
        </w:rPr>
        <w:t>0</w:t>
      </w:r>
      <w:r w:rsidR="00B14E8F" w:rsidRPr="008E17DB">
        <w:rPr>
          <w:rFonts w:ascii="Palatino Linotype" w:eastAsia="Batang" w:hAnsi="Palatino Linotype" w:cs="Tahoma"/>
          <w:b/>
          <w:bCs/>
          <w:sz w:val="22"/>
          <w:szCs w:val="22"/>
        </w:rPr>
        <w:t>5821</w:t>
      </w:r>
      <w:r w:rsidR="00D5321C" w:rsidRPr="008E17DB">
        <w:rPr>
          <w:rFonts w:ascii="Palatino Linotype" w:eastAsia="Batang" w:hAnsi="Palatino Linotype" w:cs="Tahoma"/>
          <w:b/>
          <w:bCs/>
          <w:sz w:val="22"/>
          <w:szCs w:val="22"/>
        </w:rPr>
        <w:t>/INFOEM/IP/RR/2019</w:t>
      </w:r>
      <w:r w:rsidR="00986A7D" w:rsidRPr="008E17DB">
        <w:rPr>
          <w:rFonts w:ascii="Palatino Linotype" w:eastAsia="Batang" w:hAnsi="Palatino Linotype" w:cs="Tahoma"/>
          <w:b/>
          <w:bCs/>
          <w:sz w:val="22"/>
          <w:szCs w:val="22"/>
        </w:rPr>
        <w:t xml:space="preserve">, </w:t>
      </w:r>
      <w:r w:rsidR="00986A7D" w:rsidRPr="008E17DB">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8E17DB">
        <w:rPr>
          <w:rFonts w:ascii="Palatino Linotype" w:eastAsia="Batang" w:hAnsi="Palatino Linotype" w:cs="Tahoma"/>
          <w:bCs/>
          <w:sz w:val="22"/>
          <w:szCs w:val="22"/>
        </w:rPr>
        <w:t>,</w:t>
      </w:r>
      <w:r w:rsidR="00986A7D" w:rsidRPr="008E17DB">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8E17DB" w:rsidRDefault="00986A7D" w:rsidP="00A70F75">
      <w:pPr>
        <w:spacing w:line="360" w:lineRule="auto"/>
        <w:jc w:val="both"/>
        <w:rPr>
          <w:rFonts w:ascii="Palatino Linotype" w:eastAsia="Batang" w:hAnsi="Palatino Linotype" w:cs="Tahoma"/>
          <w:bCs/>
          <w:sz w:val="22"/>
          <w:szCs w:val="22"/>
        </w:rPr>
      </w:pPr>
    </w:p>
    <w:p w14:paraId="2981CA23" w14:textId="480F5331" w:rsidR="00986A7D" w:rsidRPr="008E17DB" w:rsidRDefault="00625DFB" w:rsidP="00A70F75">
      <w:pPr>
        <w:spacing w:line="360" w:lineRule="auto"/>
        <w:jc w:val="both"/>
        <w:rPr>
          <w:rFonts w:ascii="Palatino Linotype" w:eastAsia="Batang" w:hAnsi="Palatino Linotype" w:cs="Tahoma"/>
          <w:bCs/>
          <w:sz w:val="22"/>
          <w:szCs w:val="22"/>
        </w:rPr>
      </w:pPr>
      <w:r w:rsidRPr="008E17DB">
        <w:rPr>
          <w:rFonts w:ascii="Palatino Linotype" w:eastAsia="Batang" w:hAnsi="Palatino Linotype" w:cs="Tahoma"/>
          <w:b/>
          <w:bCs/>
          <w:sz w:val="22"/>
          <w:szCs w:val="22"/>
        </w:rPr>
        <w:t>b</w:t>
      </w:r>
      <w:r w:rsidR="009F46DC" w:rsidRPr="008E17DB">
        <w:rPr>
          <w:rFonts w:ascii="Palatino Linotype" w:eastAsia="Batang" w:hAnsi="Palatino Linotype" w:cs="Tahoma"/>
          <w:b/>
          <w:bCs/>
          <w:sz w:val="22"/>
          <w:szCs w:val="22"/>
        </w:rPr>
        <w:t xml:space="preserve">) </w:t>
      </w:r>
      <w:r w:rsidR="00986A7D" w:rsidRPr="008E17DB">
        <w:rPr>
          <w:rFonts w:ascii="Palatino Linotype" w:eastAsia="Batang" w:hAnsi="Palatino Linotype" w:cs="Tahoma"/>
          <w:b/>
          <w:bCs/>
          <w:sz w:val="22"/>
          <w:szCs w:val="22"/>
        </w:rPr>
        <w:t>Admisión del Recurso de Revisión</w:t>
      </w:r>
      <w:r w:rsidR="00986A7D" w:rsidRPr="008E17DB">
        <w:rPr>
          <w:rFonts w:ascii="Palatino Linotype" w:eastAsia="Batang" w:hAnsi="Palatino Linotype" w:cs="Tahoma"/>
          <w:b/>
          <w:bCs/>
          <w:sz w:val="22"/>
          <w:szCs w:val="22"/>
          <w:lang w:val="es-ES_tradnl"/>
        </w:rPr>
        <w:t xml:space="preserve">. </w:t>
      </w:r>
      <w:r w:rsidR="00986A7D" w:rsidRPr="008E17DB">
        <w:rPr>
          <w:rFonts w:ascii="Palatino Linotype" w:eastAsia="Batang" w:hAnsi="Palatino Linotype" w:cs="Tahoma"/>
          <w:bCs/>
          <w:sz w:val="22"/>
          <w:szCs w:val="22"/>
          <w:lang w:val="es-ES_tradnl"/>
        </w:rPr>
        <w:t xml:space="preserve">El </w:t>
      </w:r>
      <w:r w:rsidR="00F37635" w:rsidRPr="008E17DB">
        <w:rPr>
          <w:rFonts w:ascii="Palatino Linotype" w:eastAsia="Batang" w:hAnsi="Palatino Linotype" w:cs="Tahoma"/>
          <w:bCs/>
          <w:sz w:val="22"/>
          <w:szCs w:val="22"/>
          <w:lang w:val="es-ES_tradnl"/>
        </w:rPr>
        <w:t>primero de julio</w:t>
      </w:r>
      <w:r w:rsidR="00986A7D" w:rsidRPr="008E17DB">
        <w:rPr>
          <w:rFonts w:ascii="Palatino Linotype" w:eastAsia="Batang" w:hAnsi="Palatino Linotype" w:cs="Tahoma"/>
          <w:bCs/>
          <w:sz w:val="22"/>
          <w:szCs w:val="22"/>
          <w:lang w:val="es-ES_tradnl"/>
        </w:rPr>
        <w:t xml:space="preserve"> de dos mil </w:t>
      </w:r>
      <w:r w:rsidR="00EA6D17" w:rsidRPr="008E17DB">
        <w:rPr>
          <w:rFonts w:ascii="Palatino Linotype" w:eastAsia="Batang" w:hAnsi="Palatino Linotype" w:cs="Tahoma"/>
          <w:bCs/>
          <w:sz w:val="22"/>
          <w:szCs w:val="22"/>
          <w:lang w:val="es-ES_tradnl"/>
        </w:rPr>
        <w:t>diecinueve</w:t>
      </w:r>
      <w:r w:rsidR="00986A7D" w:rsidRPr="008E17DB">
        <w:rPr>
          <w:rFonts w:ascii="Palatino Linotype" w:eastAsia="Batang" w:hAnsi="Palatino Linotype" w:cs="Tahoma"/>
          <w:bCs/>
          <w:sz w:val="22"/>
          <w:szCs w:val="22"/>
          <w:lang w:val="es-ES_tradnl"/>
        </w:rPr>
        <w:t xml:space="preserve">, </w:t>
      </w:r>
      <w:r w:rsidR="00986A7D" w:rsidRPr="008E17DB">
        <w:rPr>
          <w:rFonts w:ascii="Palatino Linotype" w:eastAsia="Batang" w:hAnsi="Palatino Linotype" w:cs="Tahoma"/>
          <w:bCs/>
          <w:sz w:val="22"/>
          <w:szCs w:val="22"/>
        </w:rPr>
        <w:t xml:space="preserve">se acordó la admisión del Recurso de Revisión interpuesto por </w:t>
      </w:r>
      <w:r w:rsidR="00C07A30" w:rsidRPr="008E17DB">
        <w:rPr>
          <w:rFonts w:ascii="Palatino Linotype" w:eastAsia="Batang" w:hAnsi="Palatino Linotype" w:cs="Tahoma"/>
          <w:bCs/>
          <w:sz w:val="22"/>
          <w:szCs w:val="22"/>
        </w:rPr>
        <w:t>la</w:t>
      </w:r>
      <w:r w:rsidR="00986A7D" w:rsidRPr="008E17DB">
        <w:rPr>
          <w:rFonts w:ascii="Palatino Linotype" w:eastAsia="Batang" w:hAnsi="Palatino Linotype" w:cs="Tahoma"/>
          <w:bCs/>
          <w:sz w:val="22"/>
          <w:szCs w:val="22"/>
        </w:rPr>
        <w:t xml:space="preserve"> Recurrente en contra </w:t>
      </w:r>
      <w:r w:rsidR="00BF0F8A" w:rsidRPr="008E17DB">
        <w:rPr>
          <w:rFonts w:ascii="Palatino Linotype" w:eastAsia="Batang" w:hAnsi="Palatino Linotype" w:cs="Tahoma"/>
          <w:bCs/>
          <w:sz w:val="22"/>
          <w:szCs w:val="22"/>
        </w:rPr>
        <w:t>del</w:t>
      </w:r>
      <w:r w:rsidR="00986A7D" w:rsidRPr="008E17DB">
        <w:rPr>
          <w:rFonts w:ascii="Palatino Linotype" w:eastAsia="Batang" w:hAnsi="Palatino Linotype" w:cs="Tahoma"/>
          <w:bCs/>
          <w:sz w:val="22"/>
          <w:szCs w:val="22"/>
        </w:rPr>
        <w:t xml:space="preserve"> </w:t>
      </w:r>
      <w:r w:rsidR="00D5321C" w:rsidRPr="008E17DB">
        <w:rPr>
          <w:rFonts w:ascii="Palatino Linotype" w:eastAsia="Batang" w:hAnsi="Palatino Linotype" w:cs="Tahoma"/>
          <w:bCs/>
          <w:sz w:val="22"/>
          <w:szCs w:val="22"/>
        </w:rPr>
        <w:t xml:space="preserve">Ayuntamiento de </w:t>
      </w:r>
      <w:r w:rsidR="00B14E8F" w:rsidRPr="008E17DB">
        <w:rPr>
          <w:rFonts w:ascii="Palatino Linotype" w:eastAsia="Batang" w:hAnsi="Palatino Linotype" w:cs="Tahoma"/>
          <w:bCs/>
          <w:sz w:val="22"/>
          <w:szCs w:val="22"/>
        </w:rPr>
        <w:t>Tlalnepantla de Baz</w:t>
      </w:r>
      <w:r w:rsidR="00986A7D" w:rsidRPr="008E17DB">
        <w:rPr>
          <w:rFonts w:ascii="Palatino Linotype" w:eastAsia="Batang" w:hAnsi="Palatino Linotype" w:cs="Tahoma"/>
          <w:bCs/>
          <w:sz w:val="22"/>
          <w:szCs w:val="22"/>
        </w:rPr>
        <w:t>, en términos del artículo 185, fracciones I y II</w:t>
      </w:r>
      <w:r w:rsidR="004B553F" w:rsidRPr="008E17DB">
        <w:rPr>
          <w:rFonts w:ascii="Palatino Linotype" w:eastAsia="Batang" w:hAnsi="Palatino Linotype" w:cs="Tahoma"/>
          <w:bCs/>
          <w:sz w:val="22"/>
          <w:szCs w:val="22"/>
        </w:rPr>
        <w:t>,</w:t>
      </w:r>
      <w:r w:rsidR="00986A7D" w:rsidRPr="008E17DB">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8E17DB">
        <w:rPr>
          <w:rFonts w:ascii="Palatino Linotype" w:eastAsia="Batang" w:hAnsi="Palatino Linotype" w:cs="Tahoma"/>
          <w:bCs/>
          <w:sz w:val="22"/>
          <w:szCs w:val="22"/>
        </w:rPr>
        <w:t>mismo día</w:t>
      </w:r>
      <w:r w:rsidR="00986A7D" w:rsidRPr="008E17DB">
        <w:rPr>
          <w:rFonts w:ascii="Palatino Linotype" w:eastAsia="Batang" w:hAnsi="Palatino Linotype" w:cs="Tahoma"/>
          <w:bCs/>
          <w:sz w:val="22"/>
          <w:szCs w:val="22"/>
        </w:rPr>
        <w:t xml:space="preserve">, a través del </w:t>
      </w:r>
      <w:r w:rsidR="00986A7D" w:rsidRPr="008E17DB">
        <w:rPr>
          <w:rFonts w:ascii="Palatino Linotype" w:eastAsia="Batang" w:hAnsi="Palatino Linotype" w:cs="Tahoma"/>
          <w:bCs/>
          <w:sz w:val="22"/>
          <w:szCs w:val="22"/>
          <w:lang w:val="es-ES"/>
        </w:rPr>
        <w:t>Sistema de Acceso a la Información Mexiquense (SAIMEX)</w:t>
      </w:r>
      <w:r w:rsidR="00986A7D" w:rsidRPr="008E17DB">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8E17DB" w:rsidRDefault="005F4977" w:rsidP="00A70F75">
      <w:pPr>
        <w:spacing w:line="360" w:lineRule="auto"/>
        <w:jc w:val="both"/>
        <w:rPr>
          <w:rFonts w:ascii="Palatino Linotype" w:hAnsi="Palatino Linotype" w:cs="Tahoma"/>
          <w:bCs/>
          <w:sz w:val="22"/>
          <w:szCs w:val="22"/>
        </w:rPr>
      </w:pPr>
    </w:p>
    <w:p w14:paraId="680E760A" w14:textId="7F628005" w:rsidR="00F37635" w:rsidRPr="008E17DB" w:rsidRDefault="00576ABA" w:rsidP="00A70F75">
      <w:pPr>
        <w:spacing w:line="360" w:lineRule="auto"/>
        <w:jc w:val="both"/>
        <w:rPr>
          <w:rFonts w:ascii="Palatino Linotype" w:hAnsi="Palatino Linotype" w:cs="Tahoma"/>
          <w:bCs/>
          <w:iCs/>
          <w:sz w:val="22"/>
          <w:szCs w:val="22"/>
        </w:rPr>
      </w:pPr>
      <w:r w:rsidRPr="008E17DB">
        <w:rPr>
          <w:rFonts w:ascii="Palatino Linotype" w:hAnsi="Palatino Linotype" w:cs="Tahoma"/>
          <w:b/>
          <w:bCs/>
          <w:sz w:val="22"/>
          <w:szCs w:val="22"/>
          <w:lang w:val="es-ES"/>
        </w:rPr>
        <w:t>c</w:t>
      </w:r>
      <w:r w:rsidR="00CC6891" w:rsidRPr="008E17DB">
        <w:rPr>
          <w:rFonts w:ascii="Palatino Linotype" w:hAnsi="Palatino Linotype" w:cs="Tahoma"/>
          <w:b/>
          <w:bCs/>
          <w:sz w:val="22"/>
          <w:szCs w:val="22"/>
          <w:lang w:val="es-ES"/>
        </w:rPr>
        <w:t xml:space="preserve">) </w:t>
      </w:r>
      <w:r w:rsidR="00F37635" w:rsidRPr="008E17DB">
        <w:rPr>
          <w:rFonts w:ascii="Palatino Linotype" w:hAnsi="Palatino Linotype" w:cs="Tahoma"/>
          <w:b/>
          <w:sz w:val="22"/>
          <w:szCs w:val="22"/>
        </w:rPr>
        <w:t xml:space="preserve">Informe justificado del Sujeto Obligado. </w:t>
      </w:r>
      <w:r w:rsidR="00F37635" w:rsidRPr="008E17DB">
        <w:rPr>
          <w:rFonts w:ascii="Palatino Linotype" w:hAnsi="Palatino Linotype" w:cs="Tahoma"/>
          <w:sz w:val="22"/>
          <w:szCs w:val="22"/>
        </w:rPr>
        <w:t xml:space="preserve">El </w:t>
      </w:r>
      <w:r w:rsidR="00621B51" w:rsidRPr="008E17DB">
        <w:rPr>
          <w:rFonts w:ascii="Palatino Linotype" w:hAnsi="Palatino Linotype" w:cs="Tahoma"/>
          <w:sz w:val="22"/>
          <w:szCs w:val="22"/>
        </w:rPr>
        <w:t>tres de julio</w:t>
      </w:r>
      <w:r w:rsidR="00F37635" w:rsidRPr="008E17DB">
        <w:rPr>
          <w:rFonts w:ascii="Palatino Linotype" w:hAnsi="Palatino Linotype" w:cs="Tahoma"/>
          <w:sz w:val="22"/>
          <w:szCs w:val="22"/>
        </w:rPr>
        <w:t xml:space="preserve"> de dos mil diecinueve, </w:t>
      </w:r>
      <w:r w:rsidR="00F37635" w:rsidRPr="008E17DB">
        <w:rPr>
          <w:rFonts w:ascii="Palatino Linotype" w:hAnsi="Palatino Linotype" w:cs="Tahoma"/>
          <w:sz w:val="22"/>
          <w:szCs w:val="22"/>
          <w:lang w:val="es-ES_tradnl"/>
        </w:rPr>
        <w:t xml:space="preserve">se recibió a través del </w:t>
      </w:r>
      <w:r w:rsidR="00F37635" w:rsidRPr="008E17DB">
        <w:rPr>
          <w:rFonts w:ascii="Palatino Linotype" w:hAnsi="Palatino Linotype" w:cs="Tahoma"/>
          <w:sz w:val="22"/>
          <w:szCs w:val="22"/>
        </w:rPr>
        <w:t>Sistema de Acceso a la Información Mexiquense</w:t>
      </w:r>
      <w:r w:rsidR="00F37635" w:rsidRPr="008E17DB">
        <w:rPr>
          <w:rFonts w:ascii="Palatino Linotype" w:hAnsi="Palatino Linotype" w:cs="Tahoma"/>
          <w:sz w:val="22"/>
          <w:szCs w:val="22"/>
          <w:lang w:val="es-ES_tradnl"/>
        </w:rPr>
        <w:t xml:space="preserve">, </w:t>
      </w:r>
      <w:r w:rsidR="00621B51" w:rsidRPr="008E17DB">
        <w:rPr>
          <w:rFonts w:ascii="Palatino Linotype" w:hAnsi="Palatino Linotype" w:cs="Tahoma"/>
          <w:bCs/>
          <w:iCs/>
          <w:sz w:val="22"/>
          <w:szCs w:val="22"/>
        </w:rPr>
        <w:t>el Informe J</w:t>
      </w:r>
      <w:r w:rsidR="00F37635" w:rsidRPr="008E17DB">
        <w:rPr>
          <w:rFonts w:ascii="Palatino Linotype" w:hAnsi="Palatino Linotype" w:cs="Tahoma"/>
          <w:bCs/>
          <w:iCs/>
          <w:sz w:val="22"/>
          <w:szCs w:val="22"/>
        </w:rPr>
        <w:t>ustificado</w:t>
      </w:r>
      <w:r w:rsidR="00621B51" w:rsidRPr="008E17DB">
        <w:rPr>
          <w:rFonts w:ascii="Palatino Linotype" w:hAnsi="Palatino Linotype" w:cs="Tahoma"/>
          <w:bCs/>
          <w:iCs/>
          <w:sz w:val="22"/>
          <w:szCs w:val="22"/>
        </w:rPr>
        <w:t xml:space="preserve"> sin número, ni fecha, suscrito por la Titular de la Unidad de Transparencia y Acceso a la Información Pública Municipal del Ente Recurrido, dirigido al Comisionado Ponente</w:t>
      </w:r>
      <w:r w:rsidR="00F37635" w:rsidRPr="008E17DB">
        <w:rPr>
          <w:rFonts w:ascii="Palatino Linotype" w:hAnsi="Palatino Linotype" w:cs="Tahoma"/>
          <w:bCs/>
          <w:iCs/>
          <w:sz w:val="22"/>
          <w:szCs w:val="22"/>
        </w:rPr>
        <w:t>, por medio de cual se precisó lo siguiente:</w:t>
      </w:r>
    </w:p>
    <w:p w14:paraId="0DD35CCA" w14:textId="77777777" w:rsidR="00F37635" w:rsidRPr="008E17DB" w:rsidRDefault="00F37635" w:rsidP="00A70F75">
      <w:pPr>
        <w:spacing w:line="360" w:lineRule="auto"/>
        <w:jc w:val="both"/>
        <w:rPr>
          <w:rFonts w:ascii="Palatino Linotype" w:hAnsi="Palatino Linotype" w:cs="Tahoma"/>
          <w:bCs/>
          <w:iCs/>
          <w:sz w:val="22"/>
          <w:szCs w:val="22"/>
        </w:rPr>
      </w:pPr>
    </w:p>
    <w:p w14:paraId="009B6E3B" w14:textId="77777777" w:rsidR="00F37635" w:rsidRPr="008E17DB" w:rsidRDefault="00F37635" w:rsidP="00A70F75">
      <w:pPr>
        <w:spacing w:line="360" w:lineRule="auto"/>
        <w:ind w:left="567" w:right="567"/>
        <w:jc w:val="both"/>
        <w:rPr>
          <w:rFonts w:ascii="Palatino Linotype" w:hAnsi="Palatino Linotype" w:cs="Tahoma"/>
          <w:bCs/>
          <w:i/>
          <w:iCs/>
        </w:rPr>
      </w:pPr>
      <w:r w:rsidRPr="008E17DB">
        <w:rPr>
          <w:rFonts w:ascii="Palatino Linotype" w:hAnsi="Palatino Linotype" w:cs="Tahoma"/>
          <w:bCs/>
          <w:i/>
          <w:iCs/>
        </w:rPr>
        <w:t>“…</w:t>
      </w:r>
    </w:p>
    <w:p w14:paraId="00D64C03" w14:textId="63CDB740" w:rsidR="00621B51" w:rsidRPr="008E17DB" w:rsidRDefault="00621B51" w:rsidP="00A70F75">
      <w:pPr>
        <w:spacing w:line="360" w:lineRule="auto"/>
        <w:ind w:left="567" w:right="567"/>
        <w:jc w:val="both"/>
        <w:rPr>
          <w:rFonts w:ascii="Palatino Linotype" w:hAnsi="Palatino Linotype" w:cs="Tahoma"/>
          <w:bCs/>
          <w:i/>
          <w:iCs/>
        </w:rPr>
      </w:pPr>
      <w:r w:rsidRPr="008E17DB">
        <w:rPr>
          <w:rFonts w:ascii="Palatino Linotype" w:hAnsi="Palatino Linotype" w:cs="Tahoma"/>
          <w:bCs/>
          <w:i/>
          <w:iCs/>
        </w:rPr>
        <w:lastRenderedPageBreak/>
        <w:t>El ahora recurrente se inconforma por la respuesta proporcionada por este Sujeto Obligado, en lo relativo al punto 1, al no corresponder con lo solicitado.</w:t>
      </w:r>
    </w:p>
    <w:p w14:paraId="65FC10E0" w14:textId="161F5E6E" w:rsidR="00621B51" w:rsidRPr="008E17DB" w:rsidRDefault="00621B51" w:rsidP="00A70F75">
      <w:pPr>
        <w:spacing w:line="360" w:lineRule="auto"/>
        <w:ind w:left="567" w:right="567"/>
        <w:jc w:val="both"/>
        <w:rPr>
          <w:rFonts w:ascii="Palatino Linotype" w:hAnsi="Palatino Linotype" w:cs="Tahoma"/>
          <w:bCs/>
          <w:i/>
          <w:iCs/>
        </w:rPr>
      </w:pPr>
      <w:r w:rsidRPr="008E17DB">
        <w:rPr>
          <w:rFonts w:ascii="Palatino Linotype" w:hAnsi="Palatino Linotype" w:cs="Tahoma"/>
          <w:bCs/>
          <w:i/>
          <w:iCs/>
        </w:rPr>
        <w:t>En ese sentido, este Sujeto Obligado, modifica la respuesta otorgada al ciudadano, a efecto entregar la Balanza de Comprobación Detallada del mes de marzo, en los formatos solicitados PDF y XLS.</w:t>
      </w:r>
    </w:p>
    <w:p w14:paraId="4030404B" w14:textId="77777777" w:rsidR="00621B51" w:rsidRPr="008E17DB" w:rsidRDefault="00621B51" w:rsidP="00A70F75">
      <w:pPr>
        <w:spacing w:line="360" w:lineRule="auto"/>
        <w:ind w:left="567" w:right="567"/>
        <w:jc w:val="both"/>
        <w:rPr>
          <w:rFonts w:ascii="Palatino Linotype" w:hAnsi="Palatino Linotype" w:cs="Tahoma"/>
          <w:bCs/>
          <w:i/>
          <w:iCs/>
        </w:rPr>
      </w:pPr>
    </w:p>
    <w:p w14:paraId="3A3E582D" w14:textId="77777777" w:rsidR="00CB6C7D" w:rsidRPr="008E17DB" w:rsidRDefault="00621B51" w:rsidP="00A70F75">
      <w:pPr>
        <w:spacing w:line="360" w:lineRule="auto"/>
        <w:ind w:left="567" w:right="567"/>
        <w:jc w:val="both"/>
        <w:rPr>
          <w:rFonts w:ascii="Palatino Linotype" w:hAnsi="Palatino Linotype" w:cs="Tahoma"/>
          <w:bCs/>
          <w:i/>
          <w:iCs/>
        </w:rPr>
      </w:pPr>
      <w:r w:rsidRPr="008E17DB">
        <w:rPr>
          <w:rFonts w:ascii="Palatino Linotype" w:hAnsi="Palatino Linotype" w:cs="Tahoma"/>
          <w:bCs/>
          <w:i/>
          <w:iCs/>
        </w:rPr>
        <w:t>Por todo lo anteriormente expuesto, solicito en términos del artículo 192, fracción III de la Ley de Transparencia y Acceso a la Información Pública del Estado de México y Municipios, el sobreseimiento del presente recurso de revisión, atendiendo las consideraciones de hecho y derecho antes expuestas; mediante el cual se modifica la respuesta inicialmente dada al peticionario lo que se hace de su conocimiento para los efectos legales a los que haya lugar.</w:t>
      </w:r>
    </w:p>
    <w:p w14:paraId="4093F6CE" w14:textId="77777777" w:rsidR="00CB6C7D" w:rsidRPr="008E17DB" w:rsidRDefault="00CB6C7D" w:rsidP="00A70F75">
      <w:pPr>
        <w:spacing w:line="360" w:lineRule="auto"/>
        <w:ind w:left="567" w:right="567"/>
        <w:jc w:val="both"/>
        <w:rPr>
          <w:rFonts w:ascii="Palatino Linotype" w:hAnsi="Palatino Linotype" w:cs="Tahoma"/>
          <w:bCs/>
          <w:i/>
          <w:iCs/>
        </w:rPr>
      </w:pPr>
    </w:p>
    <w:p w14:paraId="726B740C" w14:textId="5908C2F1" w:rsidR="00CB6C7D" w:rsidRPr="008E17DB" w:rsidRDefault="00CB6C7D" w:rsidP="00A70F75">
      <w:pPr>
        <w:spacing w:line="360" w:lineRule="auto"/>
        <w:ind w:left="567" w:right="567"/>
        <w:jc w:val="center"/>
        <w:rPr>
          <w:rFonts w:ascii="Palatino Linotype" w:hAnsi="Palatino Linotype" w:cs="Tahoma"/>
          <w:bCs/>
          <w:i/>
          <w:iCs/>
        </w:rPr>
      </w:pPr>
      <w:r w:rsidRPr="008E17DB">
        <w:rPr>
          <w:rFonts w:ascii="Palatino Linotype" w:hAnsi="Palatino Linotype" w:cs="Tahoma"/>
          <w:bCs/>
          <w:i/>
          <w:iCs/>
        </w:rPr>
        <w:t>[Se reproduce el artículo 192, fracción III de la Ley citada]</w:t>
      </w:r>
    </w:p>
    <w:p w14:paraId="4C766BFD" w14:textId="3251425B" w:rsidR="00621B51" w:rsidRPr="008E17DB" w:rsidRDefault="00CB6C7D" w:rsidP="00A70F75">
      <w:pPr>
        <w:spacing w:line="360" w:lineRule="auto"/>
        <w:ind w:left="567" w:right="567"/>
        <w:rPr>
          <w:rFonts w:ascii="Palatino Linotype" w:hAnsi="Palatino Linotype" w:cs="Tahoma"/>
          <w:bCs/>
          <w:i/>
          <w:iCs/>
        </w:rPr>
      </w:pPr>
      <w:r w:rsidRPr="008E17DB">
        <w:rPr>
          <w:rFonts w:ascii="Palatino Linotype" w:hAnsi="Palatino Linotype" w:cs="Tahoma"/>
          <w:bCs/>
          <w:i/>
          <w:iCs/>
        </w:rPr>
        <w:t>…”</w:t>
      </w:r>
    </w:p>
    <w:p w14:paraId="0EF76D53" w14:textId="77777777" w:rsidR="00F37635" w:rsidRPr="008E17DB" w:rsidRDefault="00F37635" w:rsidP="00A70F75">
      <w:pPr>
        <w:spacing w:line="360" w:lineRule="auto"/>
        <w:jc w:val="both"/>
        <w:rPr>
          <w:rFonts w:ascii="Palatino Linotype" w:hAnsi="Palatino Linotype" w:cs="Tahoma"/>
          <w:b/>
          <w:bCs/>
          <w:i/>
          <w:sz w:val="22"/>
          <w:szCs w:val="22"/>
          <w:lang w:val="es-ES"/>
        </w:rPr>
      </w:pPr>
    </w:p>
    <w:p w14:paraId="402B792F" w14:textId="1116AECE" w:rsidR="00CB6C7D" w:rsidRPr="008E17DB" w:rsidRDefault="00CB6C7D" w:rsidP="00A70F75">
      <w:pPr>
        <w:spacing w:line="360" w:lineRule="auto"/>
        <w:jc w:val="both"/>
        <w:rPr>
          <w:rFonts w:ascii="Palatino Linotype" w:hAnsi="Palatino Linotype" w:cs="Tahoma"/>
          <w:bCs/>
          <w:sz w:val="22"/>
          <w:szCs w:val="22"/>
          <w:lang w:val="es-ES"/>
        </w:rPr>
      </w:pPr>
      <w:r w:rsidRPr="008E17DB">
        <w:rPr>
          <w:rFonts w:ascii="Palatino Linotype" w:hAnsi="Palatino Linotype" w:cs="Tahoma"/>
          <w:bCs/>
          <w:sz w:val="22"/>
          <w:szCs w:val="22"/>
          <w:lang w:val="es-ES"/>
        </w:rPr>
        <w:t>El Sujeto Obligado adjuntó la digitalización de los siguientes documentos:</w:t>
      </w:r>
    </w:p>
    <w:p w14:paraId="2E3CCB3C" w14:textId="77777777" w:rsidR="00CB6C7D" w:rsidRPr="008E17DB" w:rsidRDefault="00CB6C7D" w:rsidP="00A70F75">
      <w:pPr>
        <w:spacing w:line="360" w:lineRule="auto"/>
        <w:jc w:val="both"/>
        <w:rPr>
          <w:rFonts w:ascii="Palatino Linotype" w:hAnsi="Palatino Linotype" w:cs="Tahoma"/>
          <w:bCs/>
          <w:sz w:val="22"/>
          <w:szCs w:val="22"/>
          <w:lang w:val="es-ES"/>
        </w:rPr>
      </w:pPr>
    </w:p>
    <w:p w14:paraId="6D4D91B0" w14:textId="4ED80768" w:rsidR="00CB6C7D" w:rsidRPr="008E17DB" w:rsidRDefault="00CB6C7D" w:rsidP="00A70F75">
      <w:pPr>
        <w:spacing w:line="360" w:lineRule="auto"/>
        <w:jc w:val="both"/>
        <w:rPr>
          <w:rFonts w:ascii="Palatino Linotype" w:hAnsi="Palatino Linotype" w:cs="Tahoma"/>
          <w:bCs/>
          <w:sz w:val="22"/>
          <w:szCs w:val="22"/>
          <w:lang w:val="es-ES"/>
        </w:rPr>
      </w:pPr>
      <w:r w:rsidRPr="008E17DB">
        <w:rPr>
          <w:rFonts w:ascii="Palatino Linotype" w:hAnsi="Palatino Linotype" w:cs="Tahoma"/>
          <w:bCs/>
          <w:sz w:val="22"/>
          <w:szCs w:val="22"/>
          <w:lang w:val="es-ES"/>
        </w:rPr>
        <w:t>i) Oficio número TM/3071/2019, del veintiséis de junio de dos mil diecinueve, suscrito por el Tesorero Municipal,</w:t>
      </w:r>
      <w:r w:rsidR="0018790B" w:rsidRPr="008E17DB">
        <w:rPr>
          <w:rFonts w:ascii="Palatino Linotype" w:hAnsi="Palatino Linotype" w:cs="Tahoma"/>
          <w:bCs/>
          <w:sz w:val="22"/>
          <w:szCs w:val="22"/>
          <w:lang w:val="es-ES"/>
        </w:rPr>
        <w:t xml:space="preserve"> dirigido a la Titular de la Unidad de Transparencia y Acceso a la Información Pública Municipal, ambos del Ente Recurrido, mediante el cual precisa que remite la Balanza de Comprobación Detallada (Formatos pdf y </w:t>
      </w:r>
      <w:proofErr w:type="spellStart"/>
      <w:r w:rsidR="0018790B" w:rsidRPr="008E17DB">
        <w:rPr>
          <w:rFonts w:ascii="Palatino Linotype" w:hAnsi="Palatino Linotype" w:cs="Tahoma"/>
          <w:bCs/>
          <w:sz w:val="22"/>
          <w:szCs w:val="22"/>
          <w:lang w:val="es-ES"/>
        </w:rPr>
        <w:t>xls</w:t>
      </w:r>
      <w:proofErr w:type="spellEnd"/>
      <w:r w:rsidR="0018790B" w:rsidRPr="008E17DB">
        <w:rPr>
          <w:rFonts w:ascii="Palatino Linotype" w:hAnsi="Palatino Linotype" w:cs="Tahoma"/>
          <w:bCs/>
          <w:sz w:val="22"/>
          <w:szCs w:val="22"/>
          <w:lang w:val="es-ES"/>
        </w:rPr>
        <w:t>), correspondiente al mes de marzo del ejercicio fiscal dos mil diecinueve.</w:t>
      </w:r>
    </w:p>
    <w:p w14:paraId="090CD768" w14:textId="77777777" w:rsidR="00CB6C7D" w:rsidRPr="008E17DB" w:rsidRDefault="00CB6C7D" w:rsidP="00A70F75">
      <w:pPr>
        <w:spacing w:line="360" w:lineRule="auto"/>
        <w:jc w:val="both"/>
        <w:rPr>
          <w:rFonts w:ascii="Palatino Linotype" w:hAnsi="Palatino Linotype" w:cs="Tahoma"/>
          <w:bCs/>
          <w:sz w:val="22"/>
          <w:szCs w:val="22"/>
          <w:lang w:val="es-ES"/>
        </w:rPr>
      </w:pPr>
    </w:p>
    <w:p w14:paraId="4CB0586B" w14:textId="15FF0087" w:rsidR="00CB6C7D" w:rsidRPr="008E17DB" w:rsidRDefault="00CB6C7D" w:rsidP="00A70F75">
      <w:pPr>
        <w:spacing w:line="360" w:lineRule="auto"/>
        <w:jc w:val="both"/>
        <w:rPr>
          <w:rFonts w:ascii="Palatino Linotype" w:hAnsi="Palatino Linotype" w:cs="Tahoma"/>
          <w:bCs/>
          <w:sz w:val="22"/>
          <w:szCs w:val="22"/>
          <w:lang w:val="es-ES"/>
        </w:rPr>
      </w:pPr>
      <w:r w:rsidRPr="008E17DB">
        <w:rPr>
          <w:rFonts w:ascii="Palatino Linotype" w:hAnsi="Palatino Linotype" w:cs="Tahoma"/>
          <w:bCs/>
          <w:sz w:val="22"/>
          <w:szCs w:val="22"/>
          <w:lang w:val="es-ES"/>
        </w:rPr>
        <w:t>ii)</w:t>
      </w:r>
      <w:r w:rsidR="0018790B" w:rsidRPr="008E17DB">
        <w:rPr>
          <w:rFonts w:ascii="Palatino Linotype" w:hAnsi="Palatino Linotype" w:cs="Tahoma"/>
          <w:bCs/>
          <w:sz w:val="22"/>
          <w:szCs w:val="22"/>
          <w:lang w:val="es-ES"/>
        </w:rPr>
        <w:t xml:space="preserve"> Balanza de Comprobación Detallada, de marzo de dos mil diecinueve</w:t>
      </w:r>
      <w:r w:rsidR="00D30A12" w:rsidRPr="008E17DB">
        <w:rPr>
          <w:rFonts w:ascii="Palatino Linotype" w:hAnsi="Palatino Linotype" w:cs="Tahoma"/>
          <w:bCs/>
          <w:sz w:val="22"/>
          <w:szCs w:val="22"/>
          <w:lang w:val="es-ES"/>
        </w:rPr>
        <w:t>,</w:t>
      </w:r>
      <w:r w:rsidR="0018790B" w:rsidRPr="008E17DB">
        <w:rPr>
          <w:rFonts w:ascii="Palatino Linotype" w:hAnsi="Palatino Linotype" w:cs="Tahoma"/>
          <w:bCs/>
          <w:sz w:val="22"/>
          <w:szCs w:val="22"/>
          <w:lang w:val="es-ES"/>
        </w:rPr>
        <w:t xml:space="preserve"> en formato “PDF” y “XLS”.</w:t>
      </w:r>
    </w:p>
    <w:p w14:paraId="50A0FFB7" w14:textId="77777777" w:rsidR="0018790B" w:rsidRPr="008E17DB" w:rsidRDefault="0018790B" w:rsidP="00A70F75">
      <w:pPr>
        <w:spacing w:line="360" w:lineRule="auto"/>
        <w:jc w:val="both"/>
        <w:rPr>
          <w:rFonts w:ascii="Palatino Linotype" w:hAnsi="Palatino Linotype" w:cs="Tahoma"/>
          <w:bCs/>
          <w:sz w:val="22"/>
          <w:szCs w:val="22"/>
          <w:lang w:val="es-ES"/>
        </w:rPr>
      </w:pPr>
    </w:p>
    <w:p w14:paraId="5988F131" w14:textId="3A283A8A" w:rsidR="00567100" w:rsidRPr="008E17DB" w:rsidRDefault="00FC73E5" w:rsidP="00A70F75">
      <w:pPr>
        <w:spacing w:line="360" w:lineRule="auto"/>
        <w:jc w:val="both"/>
        <w:rPr>
          <w:rFonts w:ascii="Palatino Linotype" w:hAnsi="Palatino Linotype" w:cs="Tahoma"/>
          <w:sz w:val="22"/>
          <w:szCs w:val="22"/>
        </w:rPr>
      </w:pPr>
      <w:r w:rsidRPr="008E17DB">
        <w:rPr>
          <w:rFonts w:ascii="Palatino Linotype" w:hAnsi="Palatino Linotype" w:cs="Tahoma"/>
          <w:b/>
          <w:sz w:val="22"/>
          <w:szCs w:val="22"/>
        </w:rPr>
        <w:lastRenderedPageBreak/>
        <w:t xml:space="preserve">d) </w:t>
      </w:r>
      <w:r w:rsidR="00567100" w:rsidRPr="008E17DB">
        <w:rPr>
          <w:rFonts w:ascii="Palatino Linotype" w:hAnsi="Palatino Linotype" w:cs="Tahoma"/>
          <w:b/>
          <w:sz w:val="22"/>
          <w:szCs w:val="22"/>
        </w:rPr>
        <w:t>Ampliación del plazo para resolver.</w:t>
      </w:r>
      <w:r w:rsidR="00567100" w:rsidRPr="008E17DB">
        <w:rPr>
          <w:rFonts w:ascii="Palatino Linotype" w:hAnsi="Palatino Linotype" w:cs="Tahoma"/>
          <w:sz w:val="22"/>
          <w:szCs w:val="22"/>
        </w:rPr>
        <w:t xml:space="preserve"> </w:t>
      </w:r>
      <w:r w:rsidR="002A1EB0" w:rsidRPr="008E17DB">
        <w:rPr>
          <w:rFonts w:ascii="Palatino Linotype" w:hAnsi="Palatino Linotype" w:cs="Tahoma"/>
          <w:sz w:val="22"/>
          <w:szCs w:val="22"/>
        </w:rPr>
        <w:t xml:space="preserve">El </w:t>
      </w:r>
      <w:r w:rsidRPr="008E17DB">
        <w:rPr>
          <w:rFonts w:ascii="Palatino Linotype" w:hAnsi="Palatino Linotype" w:cs="Tahoma"/>
          <w:sz w:val="22"/>
          <w:szCs w:val="22"/>
        </w:rPr>
        <w:t>veintitrés</w:t>
      </w:r>
      <w:r w:rsidR="00F24C3A" w:rsidRPr="008E17DB">
        <w:rPr>
          <w:rFonts w:ascii="Palatino Linotype" w:hAnsi="Palatino Linotype" w:cs="Tahoma"/>
          <w:sz w:val="22"/>
          <w:szCs w:val="22"/>
        </w:rPr>
        <w:t xml:space="preserve"> de agosto</w:t>
      </w:r>
      <w:r w:rsidR="00567100" w:rsidRPr="008E17DB">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w:t>
      </w:r>
      <w:r w:rsidR="00ED74E8" w:rsidRPr="008E17DB">
        <w:rPr>
          <w:rFonts w:ascii="Palatino Linotype" w:hAnsi="Palatino Linotype" w:cs="Tahoma"/>
          <w:sz w:val="22"/>
          <w:szCs w:val="22"/>
        </w:rPr>
        <w:t>el mismo día</w:t>
      </w:r>
      <w:r w:rsidR="00F24C3A" w:rsidRPr="008E17DB">
        <w:rPr>
          <w:rFonts w:ascii="Palatino Linotype" w:hAnsi="Palatino Linotype" w:cs="Tahoma"/>
          <w:sz w:val="22"/>
          <w:szCs w:val="22"/>
        </w:rPr>
        <w:t>.</w:t>
      </w:r>
    </w:p>
    <w:p w14:paraId="33026EFA" w14:textId="77777777" w:rsidR="00F24C3A" w:rsidRPr="008E17DB" w:rsidRDefault="00F24C3A" w:rsidP="00A70F75">
      <w:pPr>
        <w:spacing w:line="360" w:lineRule="auto"/>
        <w:jc w:val="both"/>
        <w:rPr>
          <w:rFonts w:ascii="Palatino Linotype" w:hAnsi="Palatino Linotype" w:cs="Tahoma"/>
          <w:sz w:val="22"/>
          <w:szCs w:val="22"/>
        </w:rPr>
      </w:pPr>
    </w:p>
    <w:p w14:paraId="0415DC3E" w14:textId="502AE8A7" w:rsidR="002E0A56" w:rsidRPr="008E17DB" w:rsidRDefault="002E0A56" w:rsidP="00A70F75">
      <w:pPr>
        <w:widowControl w:val="0"/>
        <w:spacing w:line="360" w:lineRule="auto"/>
        <w:jc w:val="both"/>
        <w:rPr>
          <w:rFonts w:ascii="Palatino Linotype" w:hAnsi="Palatino Linotype" w:cs="Tahoma"/>
          <w:sz w:val="22"/>
          <w:szCs w:val="22"/>
        </w:rPr>
      </w:pPr>
      <w:r w:rsidRPr="008E17DB">
        <w:rPr>
          <w:rFonts w:ascii="Palatino Linotype" w:hAnsi="Palatino Linotype" w:cs="Tahoma"/>
          <w:b/>
          <w:bCs/>
          <w:sz w:val="22"/>
          <w:szCs w:val="22"/>
          <w:lang w:val="es-ES"/>
        </w:rPr>
        <w:t>e</w:t>
      </w:r>
      <w:r w:rsidR="00712027" w:rsidRPr="008E17DB">
        <w:rPr>
          <w:rFonts w:ascii="Palatino Linotype" w:hAnsi="Palatino Linotype" w:cs="Tahoma"/>
          <w:b/>
          <w:bCs/>
          <w:sz w:val="22"/>
          <w:szCs w:val="22"/>
          <w:lang w:val="es-ES"/>
        </w:rPr>
        <w:t xml:space="preserve">) </w:t>
      </w:r>
      <w:r w:rsidRPr="008E17DB">
        <w:rPr>
          <w:rFonts w:ascii="Palatino Linotype" w:hAnsi="Palatino Linotype" w:cs="Tahoma"/>
          <w:b/>
          <w:sz w:val="22"/>
          <w:szCs w:val="22"/>
        </w:rPr>
        <w:t xml:space="preserve">Requerimiento de información adicional: </w:t>
      </w:r>
      <w:r w:rsidRPr="008E17DB">
        <w:rPr>
          <w:rFonts w:ascii="Palatino Linotype" w:hAnsi="Palatino Linotype" w:cs="Tahoma"/>
          <w:sz w:val="22"/>
          <w:szCs w:val="22"/>
        </w:rPr>
        <w:t xml:space="preserve">El veintinueve de agosto de dos mil diecinueve, se dictó Acuerdo por medio del cual se realizó un requerimiento de información adicional al Sujeto Obligado, de conformidad con los artículos 14, fracciones I, II, V y XVI del Reglamento Interior del Instituto de Transparencia, Acceso a la Información Pública y Protección de Datos Personales del Estado de México y Municipios, el cual fue notificado al </w:t>
      </w:r>
      <w:r w:rsidR="009E6CFF" w:rsidRPr="008E17DB">
        <w:rPr>
          <w:rFonts w:ascii="Palatino Linotype" w:hAnsi="Palatino Linotype" w:cs="Tahoma"/>
          <w:bCs/>
          <w:sz w:val="22"/>
          <w:szCs w:val="22"/>
        </w:rPr>
        <w:t>Ayuntamiento de Tlalnepantla de Baz</w:t>
      </w:r>
      <w:r w:rsidRPr="008E17DB">
        <w:rPr>
          <w:rFonts w:ascii="Palatino Linotype" w:hAnsi="Palatino Linotype" w:cs="Tahoma"/>
          <w:sz w:val="22"/>
          <w:szCs w:val="22"/>
        </w:rPr>
        <w:t xml:space="preserve">, </w:t>
      </w:r>
      <w:r w:rsidR="009E6CFF" w:rsidRPr="008E17DB">
        <w:rPr>
          <w:rFonts w:ascii="Palatino Linotype" w:hAnsi="Palatino Linotype" w:cs="Tahoma"/>
          <w:sz w:val="22"/>
          <w:szCs w:val="22"/>
        </w:rPr>
        <w:t>en la misma fecha</w:t>
      </w:r>
      <w:r w:rsidRPr="008E17DB">
        <w:rPr>
          <w:rFonts w:ascii="Palatino Linotype" w:hAnsi="Palatino Linotype" w:cs="Tahoma"/>
          <w:sz w:val="22"/>
          <w:szCs w:val="22"/>
        </w:rPr>
        <w:t>, por medio del cual se solicitó</w:t>
      </w:r>
      <w:r w:rsidR="009E6CFF" w:rsidRPr="008E17DB">
        <w:rPr>
          <w:rFonts w:ascii="Palatino Linotype" w:hAnsi="Palatino Linotype" w:cs="Tahoma"/>
          <w:sz w:val="22"/>
          <w:szCs w:val="22"/>
        </w:rPr>
        <w:t xml:space="preserve"> informar</w:t>
      </w:r>
      <w:r w:rsidRPr="008E17DB">
        <w:rPr>
          <w:rFonts w:ascii="Palatino Linotype" w:hAnsi="Palatino Linotype" w:cs="Tahoma"/>
          <w:sz w:val="22"/>
          <w:szCs w:val="22"/>
        </w:rPr>
        <w:t xml:space="preserve"> lo siguiente:</w:t>
      </w:r>
    </w:p>
    <w:p w14:paraId="55AEDB2A" w14:textId="77777777" w:rsidR="002E0A56" w:rsidRPr="008E17DB" w:rsidRDefault="002E0A56" w:rsidP="00A70F75">
      <w:pPr>
        <w:widowControl w:val="0"/>
        <w:spacing w:line="360" w:lineRule="auto"/>
        <w:jc w:val="both"/>
        <w:rPr>
          <w:rFonts w:ascii="Palatino Linotype" w:hAnsi="Palatino Linotype" w:cs="Tahoma"/>
          <w:sz w:val="22"/>
          <w:szCs w:val="22"/>
        </w:rPr>
      </w:pPr>
    </w:p>
    <w:p w14:paraId="301AAD48" w14:textId="77777777" w:rsidR="002E0A56" w:rsidRPr="008E17DB" w:rsidRDefault="002E0A56" w:rsidP="00A70F75">
      <w:pPr>
        <w:tabs>
          <w:tab w:val="left" w:pos="4667"/>
        </w:tabs>
        <w:spacing w:line="360" w:lineRule="auto"/>
        <w:ind w:left="567" w:right="567"/>
        <w:jc w:val="both"/>
        <w:rPr>
          <w:rFonts w:ascii="Palatino Linotype" w:hAnsi="Palatino Linotype" w:cs="Tahoma"/>
          <w:bCs/>
          <w:i/>
        </w:rPr>
      </w:pPr>
      <w:r w:rsidRPr="008E17DB">
        <w:rPr>
          <w:rFonts w:ascii="Palatino Linotype" w:hAnsi="Palatino Linotype" w:cs="Tahoma"/>
          <w:bCs/>
          <w:i/>
        </w:rPr>
        <w:t>“…</w:t>
      </w:r>
    </w:p>
    <w:p w14:paraId="390C3CBB" w14:textId="18354FAB" w:rsidR="009E6CFF" w:rsidRPr="008E17DB" w:rsidRDefault="009E6CFF" w:rsidP="00A70F75">
      <w:pPr>
        <w:numPr>
          <w:ilvl w:val="0"/>
          <w:numId w:val="26"/>
        </w:numPr>
        <w:tabs>
          <w:tab w:val="left" w:pos="4667"/>
        </w:tabs>
        <w:spacing w:line="360" w:lineRule="auto"/>
        <w:ind w:left="993" w:right="567"/>
        <w:jc w:val="both"/>
        <w:rPr>
          <w:rFonts w:ascii="Palatino Linotype" w:hAnsi="Palatino Linotype" w:cs="Tahoma"/>
          <w:bCs/>
          <w:i/>
        </w:rPr>
      </w:pPr>
      <w:r w:rsidRPr="008E17DB">
        <w:rPr>
          <w:rFonts w:ascii="Palatino Linotype" w:hAnsi="Palatino Linotype" w:cs="Tahoma"/>
          <w:bCs/>
          <w:i/>
        </w:rPr>
        <w:t>¿A quién pertenece el nombre de las personas físicas localizadas en el mismo, (servidores públicos, proveedores o particulares)?</w:t>
      </w:r>
    </w:p>
    <w:p w14:paraId="2582A6FB" w14:textId="77777777" w:rsidR="009E6CFF" w:rsidRPr="008E17DB" w:rsidRDefault="009E6CFF" w:rsidP="00A70F75">
      <w:pPr>
        <w:tabs>
          <w:tab w:val="left" w:pos="4667"/>
        </w:tabs>
        <w:spacing w:line="360" w:lineRule="auto"/>
        <w:ind w:left="993" w:right="567"/>
        <w:jc w:val="both"/>
        <w:rPr>
          <w:rFonts w:ascii="Palatino Linotype" w:hAnsi="Palatino Linotype" w:cs="Tahoma"/>
          <w:bCs/>
          <w:i/>
        </w:rPr>
      </w:pPr>
    </w:p>
    <w:p w14:paraId="204CA4E1" w14:textId="77777777" w:rsidR="009E6CFF" w:rsidRPr="008E17DB" w:rsidRDefault="009E6CFF" w:rsidP="00A70F75">
      <w:pPr>
        <w:numPr>
          <w:ilvl w:val="0"/>
          <w:numId w:val="26"/>
        </w:numPr>
        <w:tabs>
          <w:tab w:val="left" w:pos="4667"/>
        </w:tabs>
        <w:spacing w:line="360" w:lineRule="auto"/>
        <w:ind w:left="993" w:right="567"/>
        <w:jc w:val="both"/>
        <w:rPr>
          <w:rFonts w:ascii="Palatino Linotype" w:hAnsi="Palatino Linotype" w:cs="Tahoma"/>
          <w:bCs/>
          <w:i/>
          <w:lang w:val="es-ES"/>
        </w:rPr>
      </w:pPr>
      <w:r w:rsidRPr="008E17DB">
        <w:rPr>
          <w:rFonts w:ascii="Palatino Linotype" w:hAnsi="Palatino Linotype" w:cs="Tahoma"/>
          <w:bCs/>
          <w:i/>
        </w:rPr>
        <w:t>¿Si los números de cuenta de distintos bancos, pertenecen al Ayuntamiento, a personas físicas o a personas jurídico colectivas?</w:t>
      </w:r>
    </w:p>
    <w:p w14:paraId="375E2055" w14:textId="77777777" w:rsidR="009E6CFF" w:rsidRPr="008E17DB" w:rsidRDefault="009E6CFF" w:rsidP="00A70F75">
      <w:pPr>
        <w:tabs>
          <w:tab w:val="left" w:pos="4667"/>
        </w:tabs>
        <w:spacing w:line="360" w:lineRule="auto"/>
        <w:ind w:left="993" w:right="567"/>
        <w:jc w:val="both"/>
        <w:rPr>
          <w:rFonts w:ascii="Palatino Linotype" w:hAnsi="Palatino Linotype" w:cs="Tahoma"/>
          <w:bCs/>
          <w:i/>
          <w:lang w:val="es-ES"/>
        </w:rPr>
      </w:pPr>
    </w:p>
    <w:p w14:paraId="310B397E" w14:textId="77777777" w:rsidR="009E6CFF" w:rsidRPr="008E17DB" w:rsidRDefault="009E6CFF" w:rsidP="00A70F75">
      <w:pPr>
        <w:numPr>
          <w:ilvl w:val="0"/>
          <w:numId w:val="26"/>
        </w:numPr>
        <w:tabs>
          <w:tab w:val="left" w:pos="4667"/>
        </w:tabs>
        <w:spacing w:line="360" w:lineRule="auto"/>
        <w:ind w:left="993" w:right="567"/>
        <w:jc w:val="both"/>
        <w:rPr>
          <w:rFonts w:ascii="Palatino Linotype" w:hAnsi="Palatino Linotype" w:cs="Tahoma"/>
          <w:bCs/>
          <w:i/>
          <w:lang w:val="es-ES"/>
        </w:rPr>
      </w:pPr>
      <w:r w:rsidRPr="008E17DB">
        <w:rPr>
          <w:rFonts w:ascii="Palatino Linotype" w:hAnsi="Palatino Linotype" w:cs="Tahoma"/>
          <w:bCs/>
          <w:i/>
          <w:lang w:val="es-ES"/>
        </w:rPr>
        <w:t>¿Existe algún otro dato, que pudiera o es considerado confidencial, en términos del artículo 143, fracción I de la Ley de Transparencia y Acceso a la Información Pública del Estado de México y Municipios?</w:t>
      </w:r>
    </w:p>
    <w:p w14:paraId="7A61C573" w14:textId="77777777" w:rsidR="002E0A56" w:rsidRPr="008E17DB" w:rsidRDefault="002E0A56" w:rsidP="00A70F75">
      <w:pPr>
        <w:tabs>
          <w:tab w:val="left" w:pos="4667"/>
        </w:tabs>
        <w:spacing w:line="360" w:lineRule="auto"/>
        <w:ind w:left="567" w:right="567"/>
        <w:jc w:val="both"/>
        <w:rPr>
          <w:rFonts w:ascii="Palatino Linotype" w:hAnsi="Palatino Linotype" w:cs="Tahoma"/>
          <w:bCs/>
          <w:i/>
        </w:rPr>
      </w:pPr>
      <w:r w:rsidRPr="008E17DB">
        <w:rPr>
          <w:rFonts w:ascii="Palatino Linotype" w:hAnsi="Palatino Linotype" w:cs="Tahoma"/>
          <w:bCs/>
          <w:i/>
        </w:rPr>
        <w:t>…”</w:t>
      </w:r>
    </w:p>
    <w:p w14:paraId="13E0C5A4" w14:textId="77777777" w:rsidR="002E0A56" w:rsidRPr="008E17DB" w:rsidRDefault="002E0A56" w:rsidP="00A70F75">
      <w:pPr>
        <w:widowControl w:val="0"/>
        <w:spacing w:line="360" w:lineRule="auto"/>
        <w:jc w:val="both"/>
        <w:rPr>
          <w:rFonts w:ascii="Palatino Linotype" w:hAnsi="Palatino Linotype" w:cs="Tahoma"/>
          <w:sz w:val="22"/>
          <w:szCs w:val="22"/>
        </w:rPr>
      </w:pPr>
    </w:p>
    <w:p w14:paraId="726608E8" w14:textId="21E4DB4A" w:rsidR="002E0A56" w:rsidRPr="008E17DB" w:rsidRDefault="002E0A56" w:rsidP="00A70F75">
      <w:pPr>
        <w:widowControl w:val="0"/>
        <w:spacing w:line="360" w:lineRule="auto"/>
        <w:jc w:val="both"/>
        <w:rPr>
          <w:rFonts w:ascii="Palatino Linotype" w:hAnsi="Palatino Linotype" w:cs="Tahoma"/>
          <w:sz w:val="22"/>
          <w:szCs w:val="22"/>
          <w:lang w:val="es-ES"/>
        </w:rPr>
      </w:pPr>
      <w:r w:rsidRPr="008E17DB">
        <w:rPr>
          <w:rFonts w:ascii="Palatino Linotype" w:hAnsi="Palatino Linotype" w:cs="Tahoma"/>
          <w:b/>
          <w:sz w:val="22"/>
          <w:szCs w:val="22"/>
        </w:rPr>
        <w:lastRenderedPageBreak/>
        <w:t xml:space="preserve">f) Desahogo del Requerimiento de Información Adicional: </w:t>
      </w:r>
      <w:r w:rsidRPr="008E17DB">
        <w:rPr>
          <w:rFonts w:ascii="Palatino Linotype" w:hAnsi="Palatino Linotype" w:cs="Tahoma"/>
          <w:sz w:val="22"/>
          <w:szCs w:val="22"/>
        </w:rPr>
        <w:t xml:space="preserve">El </w:t>
      </w:r>
      <w:r w:rsidR="009E6CFF" w:rsidRPr="008E17DB">
        <w:rPr>
          <w:rFonts w:ascii="Palatino Linotype" w:hAnsi="Palatino Linotype" w:cs="Tahoma"/>
          <w:sz w:val="22"/>
          <w:szCs w:val="22"/>
        </w:rPr>
        <w:t>tres de septiembre</w:t>
      </w:r>
      <w:r w:rsidRPr="008E17DB">
        <w:rPr>
          <w:rFonts w:ascii="Palatino Linotype" w:hAnsi="Palatino Linotype" w:cs="Tahoma"/>
          <w:sz w:val="22"/>
          <w:szCs w:val="22"/>
        </w:rPr>
        <w:t xml:space="preserve"> de dos mil diecinueve, se recibió a través del correo electrónico de la oficina del Comisionado Ponente, el oficio número</w:t>
      </w:r>
      <w:r w:rsidR="00C84BFE" w:rsidRPr="008E17DB">
        <w:rPr>
          <w:rFonts w:ascii="Palatino Linotype" w:hAnsi="Palatino Linotype" w:cs="Tahoma"/>
          <w:sz w:val="22"/>
          <w:szCs w:val="22"/>
        </w:rPr>
        <w:t xml:space="preserve"> TM/3982/22019</w:t>
      </w:r>
      <w:r w:rsidRPr="008E17DB">
        <w:rPr>
          <w:rFonts w:ascii="Palatino Linotype" w:hAnsi="Palatino Linotype" w:cs="Tahoma"/>
          <w:sz w:val="22"/>
          <w:szCs w:val="22"/>
        </w:rPr>
        <w:t xml:space="preserve">, del </w:t>
      </w:r>
      <w:r w:rsidR="00C84BFE" w:rsidRPr="008E17DB">
        <w:rPr>
          <w:rFonts w:ascii="Palatino Linotype" w:hAnsi="Palatino Linotype" w:cs="Tahoma"/>
          <w:sz w:val="22"/>
          <w:szCs w:val="22"/>
        </w:rPr>
        <w:t>treinta de agosto</w:t>
      </w:r>
      <w:r w:rsidRPr="008E17DB">
        <w:rPr>
          <w:rFonts w:ascii="Palatino Linotype" w:hAnsi="Palatino Linotype" w:cs="Tahoma"/>
          <w:sz w:val="22"/>
          <w:szCs w:val="22"/>
        </w:rPr>
        <w:t xml:space="preserve"> de dos mil diecinueve, suscrito </w:t>
      </w:r>
      <w:r w:rsidR="00C84BFE" w:rsidRPr="008E17DB">
        <w:rPr>
          <w:rFonts w:ascii="Palatino Linotype" w:hAnsi="Palatino Linotype" w:cs="Tahoma"/>
          <w:sz w:val="22"/>
          <w:szCs w:val="22"/>
        </w:rPr>
        <w:t>el Tesorero Municipal</w:t>
      </w:r>
      <w:r w:rsidRPr="008E17DB">
        <w:rPr>
          <w:rFonts w:ascii="Palatino Linotype" w:hAnsi="Palatino Linotype" w:cs="Tahoma"/>
          <w:sz w:val="22"/>
          <w:szCs w:val="22"/>
        </w:rPr>
        <w:t xml:space="preserve"> y dirigido a la Titular</w:t>
      </w:r>
      <w:r w:rsidRPr="008E17DB">
        <w:rPr>
          <w:rFonts w:ascii="Palatino Linotype" w:hAnsi="Palatino Linotype" w:cs="Tahoma"/>
          <w:sz w:val="22"/>
          <w:szCs w:val="22"/>
          <w:lang w:val="es-ES"/>
        </w:rPr>
        <w:t xml:space="preserve"> de la  de Transparencia</w:t>
      </w:r>
      <w:r w:rsidR="00C84BFE" w:rsidRPr="008E17DB">
        <w:rPr>
          <w:rFonts w:ascii="Palatino Linotype" w:hAnsi="Palatino Linotype" w:cs="Tahoma"/>
          <w:sz w:val="22"/>
          <w:szCs w:val="22"/>
          <w:lang w:val="es-ES"/>
        </w:rPr>
        <w:t xml:space="preserve"> y Acceso a la Información Pública Municipal</w:t>
      </w:r>
      <w:r w:rsidRPr="008E17DB">
        <w:rPr>
          <w:rFonts w:ascii="Palatino Linotype" w:hAnsi="Palatino Linotype" w:cs="Tahoma"/>
          <w:sz w:val="22"/>
          <w:szCs w:val="22"/>
          <w:lang w:val="es-ES"/>
        </w:rPr>
        <w:t>, ambos del Sujeto Obligado,</w:t>
      </w:r>
      <w:r w:rsidR="00C84BFE" w:rsidRPr="008E17DB">
        <w:rPr>
          <w:rFonts w:ascii="Palatino Linotype" w:hAnsi="Palatino Linotype" w:cs="Tahoma"/>
          <w:sz w:val="22"/>
          <w:szCs w:val="22"/>
          <w:lang w:val="es-ES"/>
        </w:rPr>
        <w:t xml:space="preserve"> cuyo contenido es el siguiente:</w:t>
      </w:r>
    </w:p>
    <w:p w14:paraId="63BD7D79" w14:textId="77777777" w:rsidR="00C84BFE" w:rsidRPr="008E17DB" w:rsidRDefault="00C84BFE" w:rsidP="00A70F75">
      <w:pPr>
        <w:widowControl w:val="0"/>
        <w:spacing w:line="360" w:lineRule="auto"/>
        <w:jc w:val="both"/>
        <w:rPr>
          <w:rFonts w:ascii="Palatino Linotype" w:hAnsi="Palatino Linotype" w:cs="Tahoma"/>
          <w:sz w:val="22"/>
          <w:szCs w:val="22"/>
          <w:lang w:val="es-ES"/>
        </w:rPr>
      </w:pPr>
    </w:p>
    <w:p w14:paraId="2058B6FB" w14:textId="77777777" w:rsidR="00C84BFE" w:rsidRPr="008E17DB" w:rsidRDefault="00C84BFE" w:rsidP="00A70F75">
      <w:pPr>
        <w:tabs>
          <w:tab w:val="left" w:pos="4667"/>
        </w:tabs>
        <w:spacing w:line="360" w:lineRule="auto"/>
        <w:ind w:left="567" w:right="567"/>
        <w:jc w:val="both"/>
        <w:rPr>
          <w:rFonts w:ascii="Palatino Linotype" w:hAnsi="Palatino Linotype" w:cs="Tahoma"/>
          <w:bCs/>
          <w:i/>
        </w:rPr>
      </w:pPr>
      <w:r w:rsidRPr="008E17DB">
        <w:rPr>
          <w:rFonts w:ascii="Palatino Linotype" w:hAnsi="Palatino Linotype" w:cs="Tahoma"/>
          <w:bCs/>
          <w:i/>
        </w:rPr>
        <w:t>“…</w:t>
      </w:r>
    </w:p>
    <w:p w14:paraId="253A9993" w14:textId="571318B2" w:rsidR="00C84BFE" w:rsidRPr="008E17DB" w:rsidRDefault="00C84BFE" w:rsidP="00A70F75">
      <w:pPr>
        <w:tabs>
          <w:tab w:val="left" w:pos="4667"/>
        </w:tabs>
        <w:spacing w:line="360" w:lineRule="auto"/>
        <w:ind w:left="567" w:right="567"/>
        <w:jc w:val="both"/>
        <w:rPr>
          <w:rFonts w:ascii="Palatino Linotype" w:hAnsi="Palatino Linotype" w:cs="Tahoma"/>
          <w:bCs/>
          <w:i/>
        </w:rPr>
      </w:pPr>
      <w:r w:rsidRPr="008E17DB">
        <w:rPr>
          <w:rFonts w:ascii="Palatino Linotype" w:hAnsi="Palatino Linotype" w:cs="Tahoma"/>
          <w:bCs/>
          <w:i/>
        </w:rPr>
        <w:t xml:space="preserve">Por lo que corresponde al numeral 1 consistente en </w:t>
      </w:r>
      <w:r w:rsidRPr="008E17DB">
        <w:rPr>
          <w:rFonts w:ascii="Palatino Linotype" w:hAnsi="Palatino Linotype" w:cs="Tahoma"/>
          <w:b/>
          <w:bCs/>
          <w:i/>
        </w:rPr>
        <w:t>’</w:t>
      </w:r>
      <w:r w:rsidRPr="008E17DB">
        <w:rPr>
          <w:rFonts w:ascii="Palatino Linotype" w:hAnsi="Palatino Linotype" w:cs="Tahoma"/>
          <w:b/>
          <w:bCs/>
          <w:i/>
          <w:iCs/>
        </w:rPr>
        <w:t xml:space="preserve">A quién pertenece el nombre de </w:t>
      </w:r>
      <w:r w:rsidRPr="008E17DB">
        <w:rPr>
          <w:rFonts w:ascii="Palatino Linotype" w:hAnsi="Palatino Linotype" w:cs="Tahoma"/>
          <w:b/>
          <w:bCs/>
          <w:i/>
        </w:rPr>
        <w:t xml:space="preserve">/as </w:t>
      </w:r>
      <w:r w:rsidRPr="008E17DB">
        <w:rPr>
          <w:rFonts w:ascii="Palatino Linotype" w:hAnsi="Palatino Linotype" w:cs="Tahoma"/>
          <w:b/>
          <w:bCs/>
          <w:i/>
          <w:iCs/>
        </w:rPr>
        <w:t xml:space="preserve">personas físicas localizadas en el mismo, (servidores públicos, proveedores </w:t>
      </w:r>
      <w:r w:rsidRPr="008E17DB">
        <w:rPr>
          <w:rFonts w:ascii="Palatino Linotype" w:hAnsi="Palatino Linotype" w:cs="Tahoma"/>
          <w:b/>
          <w:bCs/>
          <w:i/>
        </w:rPr>
        <w:t xml:space="preserve">o </w:t>
      </w:r>
      <w:r w:rsidRPr="008E17DB">
        <w:rPr>
          <w:rFonts w:ascii="Palatino Linotype" w:hAnsi="Palatino Linotype" w:cs="Tahoma"/>
          <w:b/>
          <w:bCs/>
          <w:i/>
          <w:iCs/>
        </w:rPr>
        <w:t>particulares)?’ (sic)</w:t>
      </w:r>
      <w:r w:rsidRPr="008E17DB">
        <w:rPr>
          <w:rFonts w:ascii="Palatino Linotype" w:hAnsi="Palatino Linotype" w:cs="Tahoma"/>
          <w:bCs/>
          <w:i/>
          <w:iCs/>
        </w:rPr>
        <w:t xml:space="preserve">, </w:t>
      </w:r>
      <w:r w:rsidRPr="008E17DB">
        <w:rPr>
          <w:rFonts w:ascii="Palatino Linotype" w:hAnsi="Palatino Linotype" w:cs="Tahoma"/>
          <w:bCs/>
          <w:i/>
        </w:rPr>
        <w:t>al respecto le informo que los datos localizados en la Balanza de Comprobación Detallada, se integra de la siguiente manera:</w:t>
      </w:r>
    </w:p>
    <w:p w14:paraId="5422563F" w14:textId="77777777" w:rsidR="00C84BFE" w:rsidRPr="008E17DB" w:rsidRDefault="00C84BFE" w:rsidP="00A70F75">
      <w:pPr>
        <w:tabs>
          <w:tab w:val="left" w:pos="4667"/>
        </w:tabs>
        <w:spacing w:line="360" w:lineRule="auto"/>
        <w:ind w:left="567" w:right="567"/>
        <w:jc w:val="both"/>
        <w:rPr>
          <w:rFonts w:ascii="Palatino Linotype" w:hAnsi="Palatino Linotype" w:cs="Tahoma"/>
          <w:bCs/>
          <w:i/>
        </w:rPr>
      </w:pPr>
    </w:p>
    <w:p w14:paraId="25FAA1D0" w14:textId="6E282A11" w:rsidR="009E7A1E" w:rsidRPr="008E17DB" w:rsidRDefault="009E7A1E" w:rsidP="00A70F75">
      <w:pPr>
        <w:tabs>
          <w:tab w:val="left" w:pos="4667"/>
        </w:tabs>
        <w:spacing w:line="360" w:lineRule="auto"/>
        <w:ind w:left="567" w:right="567"/>
        <w:jc w:val="both"/>
        <w:rPr>
          <w:rFonts w:ascii="Palatino Linotype" w:hAnsi="Palatino Linotype" w:cs="Tahoma"/>
          <w:bCs/>
          <w:i/>
        </w:rPr>
      </w:pPr>
      <w:r w:rsidRPr="008E17DB">
        <w:rPr>
          <w:noProof/>
          <w:lang w:eastAsia="es-MX"/>
        </w:rPr>
        <w:drawing>
          <wp:inline distT="0" distB="0" distL="0" distR="0" wp14:anchorId="15E2B97A" wp14:editId="4EB3ED48">
            <wp:extent cx="5057775" cy="9613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97310" cy="968850"/>
                    </a:xfrm>
                    <a:prstGeom prst="rect">
                      <a:avLst/>
                    </a:prstGeom>
                  </pic:spPr>
                </pic:pic>
              </a:graphicData>
            </a:graphic>
          </wp:inline>
        </w:drawing>
      </w:r>
    </w:p>
    <w:p w14:paraId="4453916B" w14:textId="77777777" w:rsidR="00C84BFE" w:rsidRPr="008E17DB" w:rsidRDefault="00C84BFE" w:rsidP="00A70F75">
      <w:pPr>
        <w:tabs>
          <w:tab w:val="left" w:pos="4667"/>
        </w:tabs>
        <w:spacing w:line="360" w:lineRule="auto"/>
        <w:ind w:left="567" w:right="567"/>
        <w:jc w:val="both"/>
        <w:rPr>
          <w:rFonts w:ascii="Palatino Linotype" w:hAnsi="Palatino Linotype" w:cs="Tahoma"/>
          <w:bCs/>
          <w:i/>
        </w:rPr>
      </w:pPr>
    </w:p>
    <w:p w14:paraId="67A2C17D" w14:textId="0B0A22D8" w:rsidR="009E7A1E" w:rsidRPr="008E17DB" w:rsidRDefault="009E7A1E" w:rsidP="00A70F75">
      <w:pPr>
        <w:tabs>
          <w:tab w:val="left" w:pos="4667"/>
        </w:tabs>
        <w:spacing w:line="360" w:lineRule="auto"/>
        <w:ind w:left="567" w:right="567"/>
        <w:jc w:val="both"/>
        <w:rPr>
          <w:rFonts w:ascii="Palatino Linotype" w:hAnsi="Palatino Linotype" w:cs="Tahoma"/>
          <w:bCs/>
          <w:i/>
        </w:rPr>
      </w:pPr>
      <w:r w:rsidRPr="008E17DB">
        <w:rPr>
          <w:rFonts w:ascii="Palatino Linotype" w:hAnsi="Palatino Linotype" w:cs="Tahoma"/>
          <w:bCs/>
          <w:i/>
        </w:rPr>
        <w:t>Por lo anterior, como se puede observar, no existen datos de personas, que por disposición expresa de la Ley, pudiesen considerarse como sensibles pues si bien es cierto existen nombres de personas físicas, estos fungen como prestadores de servicios y/o acreedores diversos, por lo que, con base en el criterio sostenido por el propio Pleno del INFOEM dentro de la resolución recaída al recurso de revisión número: 01969/INFOEM/IPIRR/2019 Y ACUMULADOS, así como en lo dispuesto en el artículo 23 segundo párrafo de la Ley de Transparencia y Acceso a la Información Pública del Estado de México y Municipios, mismo que a la letra indican lo siguiente:</w:t>
      </w:r>
    </w:p>
    <w:p w14:paraId="1EE77E87" w14:textId="3F6B199D" w:rsidR="009E7A1E" w:rsidRPr="008E17DB" w:rsidRDefault="009E7A1E" w:rsidP="00A70F75">
      <w:pPr>
        <w:tabs>
          <w:tab w:val="left" w:pos="4667"/>
        </w:tabs>
        <w:spacing w:line="360" w:lineRule="auto"/>
        <w:ind w:left="567" w:right="567"/>
        <w:jc w:val="both"/>
        <w:rPr>
          <w:rFonts w:ascii="Palatino Linotype" w:hAnsi="Palatino Linotype" w:cs="Tahoma"/>
          <w:bCs/>
          <w:i/>
        </w:rPr>
      </w:pPr>
      <w:r w:rsidRPr="008E17DB">
        <w:rPr>
          <w:rFonts w:ascii="Palatino Linotype" w:hAnsi="Palatino Linotype" w:cs="Tahoma"/>
          <w:bCs/>
          <w:i/>
        </w:rPr>
        <w:t>…</w:t>
      </w:r>
    </w:p>
    <w:p w14:paraId="23B22358" w14:textId="4AE35CEC" w:rsidR="009E7A1E" w:rsidRPr="008E17DB" w:rsidRDefault="009E7A1E" w:rsidP="00A70F75">
      <w:pPr>
        <w:tabs>
          <w:tab w:val="left" w:pos="4667"/>
        </w:tabs>
        <w:spacing w:line="360" w:lineRule="auto"/>
        <w:ind w:left="567" w:right="567"/>
        <w:jc w:val="both"/>
        <w:rPr>
          <w:rFonts w:ascii="Palatino Linotype" w:hAnsi="Palatino Linotype" w:cs="Tahoma"/>
          <w:bCs/>
          <w:i/>
        </w:rPr>
      </w:pPr>
      <w:r w:rsidRPr="008E17DB">
        <w:rPr>
          <w:rFonts w:ascii="Palatino Linotype" w:hAnsi="Palatino Linotype" w:cs="Tahoma"/>
          <w:bCs/>
          <w:i/>
        </w:rPr>
        <w:lastRenderedPageBreak/>
        <w:t>Por lo que, con ese sustento, es apreciable que los datos consistentes en nombres de personas físicas, que aparecen en la Balanza de Comprobación Detallada, no son susceptibles de ser considerados como datos sensibles que deban de ser protegidos.</w:t>
      </w:r>
    </w:p>
    <w:p w14:paraId="0F70A334" w14:textId="77777777" w:rsidR="009E7A1E" w:rsidRPr="008E17DB" w:rsidRDefault="009E7A1E" w:rsidP="00A70F75">
      <w:pPr>
        <w:tabs>
          <w:tab w:val="left" w:pos="4667"/>
        </w:tabs>
        <w:spacing w:line="360" w:lineRule="auto"/>
        <w:ind w:left="567" w:right="567"/>
        <w:jc w:val="both"/>
        <w:rPr>
          <w:rFonts w:ascii="Palatino Linotype" w:hAnsi="Palatino Linotype" w:cs="Tahoma"/>
          <w:bCs/>
          <w:i/>
        </w:rPr>
      </w:pPr>
    </w:p>
    <w:p w14:paraId="3874A9EA" w14:textId="72F16F47" w:rsidR="009E7A1E" w:rsidRPr="008E17DB" w:rsidRDefault="009E7A1E" w:rsidP="00A70F75">
      <w:pPr>
        <w:tabs>
          <w:tab w:val="left" w:pos="4667"/>
        </w:tabs>
        <w:spacing w:line="360" w:lineRule="auto"/>
        <w:ind w:left="567" w:right="567"/>
        <w:jc w:val="both"/>
        <w:rPr>
          <w:rFonts w:ascii="Palatino Linotype" w:hAnsi="Palatino Linotype" w:cs="Tahoma"/>
          <w:bCs/>
          <w:i/>
        </w:rPr>
      </w:pPr>
      <w:r w:rsidRPr="008E17DB">
        <w:rPr>
          <w:rFonts w:ascii="Palatino Linotype" w:hAnsi="Palatino Linotype" w:cs="Tahoma"/>
          <w:bCs/>
          <w:i/>
        </w:rPr>
        <w:t xml:space="preserve">Ahora bien, por cuanto hace al numeral 2 que consiste en </w:t>
      </w:r>
      <w:r w:rsidRPr="008E17DB">
        <w:rPr>
          <w:rFonts w:ascii="Palatino Linotype" w:hAnsi="Palatino Linotype" w:cs="Tahoma"/>
          <w:b/>
          <w:bCs/>
          <w:i/>
          <w:iCs/>
        </w:rPr>
        <w:t>¿Si los números de cuenta de distintos bancos pertenecen al</w:t>
      </w:r>
      <w:r w:rsidR="00CB06DC" w:rsidRPr="008E17DB">
        <w:rPr>
          <w:rFonts w:ascii="Palatino Linotype" w:hAnsi="Palatino Linotype" w:cs="Tahoma"/>
          <w:b/>
          <w:bCs/>
          <w:i/>
          <w:iCs/>
        </w:rPr>
        <w:t xml:space="preserve"> </w:t>
      </w:r>
      <w:r w:rsidRPr="008E17DB">
        <w:rPr>
          <w:rFonts w:ascii="Palatino Linotype" w:hAnsi="Palatino Linotype" w:cs="Tahoma"/>
          <w:b/>
          <w:bCs/>
          <w:i/>
          <w:iCs/>
        </w:rPr>
        <w:t xml:space="preserve">Ayuntamiento, a personas físicas </w:t>
      </w:r>
      <w:r w:rsidRPr="008E17DB">
        <w:rPr>
          <w:rFonts w:ascii="Palatino Linotype" w:hAnsi="Palatino Linotype" w:cs="Tahoma"/>
          <w:b/>
          <w:bCs/>
          <w:i/>
        </w:rPr>
        <w:t xml:space="preserve">o </w:t>
      </w:r>
      <w:r w:rsidRPr="008E17DB">
        <w:rPr>
          <w:rFonts w:ascii="Palatino Linotype" w:hAnsi="Palatino Linotype" w:cs="Tahoma"/>
          <w:b/>
          <w:bCs/>
          <w:i/>
          <w:iCs/>
        </w:rPr>
        <w:t>a personas jurídico colectivas?</w:t>
      </w:r>
      <w:r w:rsidRPr="008E17DB">
        <w:rPr>
          <w:rFonts w:ascii="Palatino Linotype" w:hAnsi="Palatino Linotype" w:cs="Tahoma"/>
          <w:bCs/>
          <w:i/>
          <w:iCs/>
        </w:rPr>
        <w:t xml:space="preserve">, </w:t>
      </w:r>
      <w:r w:rsidRPr="008E17DB">
        <w:rPr>
          <w:rFonts w:ascii="Palatino Linotype" w:hAnsi="Palatino Linotype" w:cs="Tahoma"/>
          <w:bCs/>
          <w:i/>
        </w:rPr>
        <w:t>le informo, que los números de cuentas bancarias que se ven</w:t>
      </w:r>
      <w:r w:rsidR="00CB06DC" w:rsidRPr="008E17DB">
        <w:rPr>
          <w:rFonts w:ascii="Palatino Linotype" w:hAnsi="Palatino Linotype" w:cs="Tahoma"/>
          <w:bCs/>
          <w:i/>
        </w:rPr>
        <w:t xml:space="preserve"> </w:t>
      </w:r>
      <w:r w:rsidRPr="008E17DB">
        <w:rPr>
          <w:rFonts w:ascii="Palatino Linotype" w:hAnsi="Palatino Linotype" w:cs="Tahoma"/>
          <w:bCs/>
          <w:i/>
        </w:rPr>
        <w:t>re</w:t>
      </w:r>
      <w:r w:rsidR="00CB06DC" w:rsidRPr="008E17DB">
        <w:rPr>
          <w:rFonts w:ascii="Palatino Linotype" w:hAnsi="Palatino Linotype" w:cs="Tahoma"/>
          <w:bCs/>
          <w:i/>
        </w:rPr>
        <w:t>fl</w:t>
      </w:r>
      <w:r w:rsidRPr="008E17DB">
        <w:rPr>
          <w:rFonts w:ascii="Palatino Linotype" w:hAnsi="Palatino Linotype" w:cs="Tahoma"/>
          <w:bCs/>
          <w:i/>
        </w:rPr>
        <w:t>ejadas en la Balanza de Comp</w:t>
      </w:r>
      <w:r w:rsidR="00CB06DC" w:rsidRPr="008E17DB">
        <w:rPr>
          <w:rFonts w:ascii="Palatino Linotype" w:hAnsi="Palatino Linotype" w:cs="Tahoma"/>
          <w:bCs/>
          <w:i/>
        </w:rPr>
        <w:t>robac</w:t>
      </w:r>
      <w:r w:rsidRPr="008E17DB">
        <w:rPr>
          <w:rFonts w:ascii="Palatino Linotype" w:hAnsi="Palatino Linotype" w:cs="Tahoma"/>
          <w:bCs/>
          <w:i/>
        </w:rPr>
        <w:t>ión Detallada, son las que apertura el Muni</w:t>
      </w:r>
      <w:r w:rsidR="00CB06DC" w:rsidRPr="008E17DB">
        <w:rPr>
          <w:rFonts w:ascii="Palatino Linotype" w:hAnsi="Palatino Linotype" w:cs="Tahoma"/>
          <w:bCs/>
          <w:i/>
        </w:rPr>
        <w:t>cipio de Tla</w:t>
      </w:r>
      <w:r w:rsidRPr="008E17DB">
        <w:rPr>
          <w:rFonts w:ascii="Palatino Linotype" w:hAnsi="Palatino Linotype" w:cs="Tahoma"/>
          <w:bCs/>
          <w:i/>
        </w:rPr>
        <w:t xml:space="preserve">lnepantla de Baz con diversas </w:t>
      </w:r>
      <w:r w:rsidR="00CB06DC" w:rsidRPr="008E17DB">
        <w:rPr>
          <w:rFonts w:ascii="Palatino Linotype" w:hAnsi="Palatino Linotype" w:cs="Tahoma"/>
          <w:bCs/>
          <w:i/>
        </w:rPr>
        <w:t>In</w:t>
      </w:r>
      <w:r w:rsidRPr="008E17DB">
        <w:rPr>
          <w:rFonts w:ascii="Palatino Linotype" w:hAnsi="Palatino Linotype" w:cs="Tahoma"/>
          <w:bCs/>
          <w:i/>
        </w:rPr>
        <w:t>stituciones</w:t>
      </w:r>
      <w:r w:rsidR="00CB06DC" w:rsidRPr="008E17DB">
        <w:rPr>
          <w:rFonts w:ascii="Palatino Linotype" w:hAnsi="Palatino Linotype" w:cs="Tahoma"/>
          <w:bCs/>
          <w:i/>
        </w:rPr>
        <w:t xml:space="preserve"> </w:t>
      </w:r>
      <w:r w:rsidRPr="008E17DB">
        <w:rPr>
          <w:rFonts w:ascii="Palatino Linotype" w:hAnsi="Palatino Linotype" w:cs="Tahoma"/>
          <w:bCs/>
          <w:i/>
        </w:rPr>
        <w:t>Banca</w:t>
      </w:r>
      <w:r w:rsidR="00CB06DC" w:rsidRPr="008E17DB">
        <w:rPr>
          <w:rFonts w:ascii="Palatino Linotype" w:hAnsi="Palatino Linotype" w:cs="Tahoma"/>
          <w:bCs/>
          <w:i/>
        </w:rPr>
        <w:t>ri</w:t>
      </w:r>
      <w:r w:rsidRPr="008E17DB">
        <w:rPr>
          <w:rFonts w:ascii="Palatino Linotype" w:hAnsi="Palatino Linotype" w:cs="Tahoma"/>
          <w:bCs/>
          <w:i/>
        </w:rPr>
        <w:t xml:space="preserve">as, para el manejo y control de los Recursos Públicos </w:t>
      </w:r>
      <w:r w:rsidR="00CB06DC" w:rsidRPr="008E17DB">
        <w:rPr>
          <w:rFonts w:ascii="Palatino Linotype" w:hAnsi="Palatino Linotype" w:cs="Tahoma"/>
          <w:bCs/>
          <w:i/>
        </w:rPr>
        <w:t>Mu</w:t>
      </w:r>
      <w:r w:rsidRPr="008E17DB">
        <w:rPr>
          <w:rFonts w:ascii="Palatino Linotype" w:hAnsi="Palatino Linotype" w:cs="Tahoma"/>
          <w:bCs/>
          <w:i/>
        </w:rPr>
        <w:t>nicipales.</w:t>
      </w:r>
    </w:p>
    <w:p w14:paraId="3346ED1B" w14:textId="77777777" w:rsidR="00CB06DC" w:rsidRPr="008E17DB" w:rsidRDefault="00CB06DC" w:rsidP="00A70F75">
      <w:pPr>
        <w:tabs>
          <w:tab w:val="left" w:pos="4667"/>
        </w:tabs>
        <w:spacing w:line="360" w:lineRule="auto"/>
        <w:ind w:left="567" w:right="567"/>
        <w:jc w:val="both"/>
        <w:rPr>
          <w:rFonts w:ascii="Palatino Linotype" w:hAnsi="Palatino Linotype" w:cs="Tahoma"/>
          <w:bCs/>
          <w:i/>
        </w:rPr>
      </w:pPr>
    </w:p>
    <w:p w14:paraId="0AC270C8" w14:textId="6D296182" w:rsidR="009E7A1E" w:rsidRPr="008E17DB" w:rsidRDefault="009E7A1E" w:rsidP="00A70F75">
      <w:pPr>
        <w:tabs>
          <w:tab w:val="left" w:pos="4667"/>
        </w:tabs>
        <w:spacing w:line="360" w:lineRule="auto"/>
        <w:ind w:left="567" w:right="567"/>
        <w:jc w:val="both"/>
        <w:rPr>
          <w:rFonts w:ascii="Palatino Linotype" w:hAnsi="Palatino Linotype" w:cs="Tahoma"/>
          <w:bCs/>
          <w:i/>
        </w:rPr>
      </w:pPr>
      <w:r w:rsidRPr="008E17DB">
        <w:rPr>
          <w:rFonts w:ascii="Palatino Linotype" w:hAnsi="Palatino Linotype" w:cs="Tahoma"/>
          <w:bCs/>
          <w:i/>
        </w:rPr>
        <w:t xml:space="preserve">Finalmente, y con </w:t>
      </w:r>
      <w:r w:rsidR="00CB06DC" w:rsidRPr="008E17DB">
        <w:rPr>
          <w:rFonts w:ascii="Palatino Linotype" w:hAnsi="Palatino Linotype" w:cs="Tahoma"/>
          <w:bCs/>
          <w:i/>
        </w:rPr>
        <w:t>respec</w:t>
      </w:r>
      <w:r w:rsidRPr="008E17DB">
        <w:rPr>
          <w:rFonts w:ascii="Palatino Linotype" w:hAnsi="Palatino Linotype" w:cs="Tahoma"/>
          <w:bCs/>
          <w:i/>
        </w:rPr>
        <w:t xml:space="preserve">to al numeral 3 consistente en </w:t>
      </w:r>
      <w:r w:rsidRPr="008E17DB">
        <w:rPr>
          <w:rFonts w:ascii="Palatino Linotype" w:hAnsi="Palatino Linotype" w:cs="Tahoma"/>
          <w:bCs/>
          <w:i/>
          <w:iCs/>
        </w:rPr>
        <w:t xml:space="preserve">¿Existe algún otro dato, que pudiera </w:t>
      </w:r>
      <w:r w:rsidRPr="008E17DB">
        <w:rPr>
          <w:rFonts w:ascii="Palatino Linotype" w:hAnsi="Palatino Linotype" w:cs="Tahoma"/>
          <w:bCs/>
          <w:i/>
        </w:rPr>
        <w:t xml:space="preserve">o es </w:t>
      </w:r>
      <w:r w:rsidRPr="008E17DB">
        <w:rPr>
          <w:rFonts w:ascii="Palatino Linotype" w:hAnsi="Palatino Linotype" w:cs="Tahoma"/>
          <w:bCs/>
          <w:i/>
          <w:iCs/>
        </w:rPr>
        <w:t>considerado confidencial, en</w:t>
      </w:r>
      <w:r w:rsidR="00CB06DC" w:rsidRPr="008E17DB">
        <w:rPr>
          <w:rFonts w:ascii="Palatino Linotype" w:hAnsi="Palatino Linotype" w:cs="Tahoma"/>
          <w:bCs/>
          <w:i/>
          <w:iCs/>
        </w:rPr>
        <w:t xml:space="preserve"> </w:t>
      </w:r>
      <w:r w:rsidRPr="008E17DB">
        <w:rPr>
          <w:rFonts w:ascii="Palatino Linotype" w:hAnsi="Palatino Linotype" w:cs="Tahoma"/>
          <w:bCs/>
          <w:i/>
          <w:iCs/>
        </w:rPr>
        <w:t>términos del artículo 143 fracción I de la Ley de Transparencia y Acceso a la Información Pública del Estado de México y</w:t>
      </w:r>
      <w:r w:rsidR="00CB06DC" w:rsidRPr="008E17DB">
        <w:rPr>
          <w:rFonts w:ascii="Palatino Linotype" w:hAnsi="Palatino Linotype" w:cs="Tahoma"/>
          <w:bCs/>
          <w:i/>
          <w:iCs/>
        </w:rPr>
        <w:t xml:space="preserve"> </w:t>
      </w:r>
      <w:r w:rsidRPr="008E17DB">
        <w:rPr>
          <w:rFonts w:ascii="Palatino Linotype" w:hAnsi="Palatino Linotype" w:cs="Tahoma"/>
          <w:bCs/>
          <w:i/>
          <w:iCs/>
        </w:rPr>
        <w:t xml:space="preserve">Municipios?, </w:t>
      </w:r>
      <w:r w:rsidRPr="008E17DB">
        <w:rPr>
          <w:rFonts w:ascii="Palatino Linotype" w:hAnsi="Palatino Linotype" w:cs="Tahoma"/>
          <w:bCs/>
          <w:i/>
        </w:rPr>
        <w:t>no contiene datos qu</w:t>
      </w:r>
      <w:r w:rsidR="00CB06DC" w:rsidRPr="008E17DB">
        <w:rPr>
          <w:rFonts w:ascii="Palatino Linotype" w:hAnsi="Palatino Linotype" w:cs="Tahoma"/>
          <w:bCs/>
          <w:i/>
        </w:rPr>
        <w:t>e se pudieran considera</w:t>
      </w:r>
      <w:r w:rsidRPr="008E17DB">
        <w:rPr>
          <w:rFonts w:ascii="Palatino Linotype" w:hAnsi="Palatino Linotype" w:cs="Tahoma"/>
          <w:bCs/>
          <w:i/>
        </w:rPr>
        <w:t xml:space="preserve">r </w:t>
      </w:r>
      <w:r w:rsidR="00CB06DC" w:rsidRPr="008E17DB">
        <w:rPr>
          <w:rFonts w:ascii="Palatino Linotype" w:hAnsi="Palatino Linotype" w:cs="Tahoma"/>
          <w:bCs/>
          <w:i/>
        </w:rPr>
        <w:t>como confidencial</w:t>
      </w:r>
      <w:r w:rsidRPr="008E17DB">
        <w:rPr>
          <w:rFonts w:ascii="Palatino Linotype" w:hAnsi="Palatino Linotype" w:cs="Tahoma"/>
          <w:bCs/>
          <w:i/>
        </w:rPr>
        <w:t>, ya que, por naturaleza, la balanza de comprobación es</w:t>
      </w:r>
      <w:r w:rsidR="00C22E91" w:rsidRPr="008E17DB">
        <w:rPr>
          <w:rFonts w:ascii="Palatino Linotype" w:hAnsi="Palatino Linotype" w:cs="Tahoma"/>
          <w:bCs/>
          <w:i/>
        </w:rPr>
        <w:t xml:space="preserve"> </w:t>
      </w:r>
      <w:r w:rsidRPr="008E17DB">
        <w:rPr>
          <w:rFonts w:ascii="Palatino Linotype" w:hAnsi="Palatino Linotype" w:cs="Tahoma"/>
          <w:bCs/>
          <w:i/>
        </w:rPr>
        <w:t xml:space="preserve">una lista de todos los sal dos, deudores y </w:t>
      </w:r>
      <w:r w:rsidR="00C22E91" w:rsidRPr="008E17DB">
        <w:rPr>
          <w:rFonts w:ascii="Palatino Linotype" w:hAnsi="Palatino Linotype" w:cs="Tahoma"/>
          <w:bCs/>
          <w:i/>
        </w:rPr>
        <w:t>ac</w:t>
      </w:r>
      <w:r w:rsidRPr="008E17DB">
        <w:rPr>
          <w:rFonts w:ascii="Palatino Linotype" w:hAnsi="Palatino Linotype" w:cs="Tahoma"/>
          <w:bCs/>
          <w:i/>
        </w:rPr>
        <w:t>reedo</w:t>
      </w:r>
      <w:r w:rsidR="00C22E91" w:rsidRPr="008E17DB">
        <w:rPr>
          <w:rFonts w:ascii="Palatino Linotype" w:hAnsi="Palatino Linotype" w:cs="Tahoma"/>
          <w:bCs/>
          <w:i/>
        </w:rPr>
        <w:t>re</w:t>
      </w:r>
      <w:r w:rsidRPr="008E17DB">
        <w:rPr>
          <w:rFonts w:ascii="Palatino Linotype" w:hAnsi="Palatino Linotype" w:cs="Tahoma"/>
          <w:bCs/>
          <w:i/>
        </w:rPr>
        <w:t>s de todas las cuentas, te</w:t>
      </w:r>
      <w:r w:rsidR="00C22E91" w:rsidRPr="008E17DB">
        <w:rPr>
          <w:rFonts w:ascii="Palatino Linotype" w:hAnsi="Palatino Linotype" w:cs="Tahoma"/>
          <w:bCs/>
          <w:i/>
        </w:rPr>
        <w:t>niend</w:t>
      </w:r>
      <w:r w:rsidRPr="008E17DB">
        <w:rPr>
          <w:rFonts w:ascii="Palatino Linotype" w:hAnsi="Palatino Linotype" w:cs="Tahoma"/>
          <w:bCs/>
          <w:i/>
        </w:rPr>
        <w:t>o como finalidad, únicamente informar en términos</w:t>
      </w:r>
      <w:r w:rsidR="00C22E91" w:rsidRPr="008E17DB">
        <w:rPr>
          <w:rFonts w:ascii="Palatino Linotype" w:hAnsi="Palatino Linotype" w:cs="Tahoma"/>
          <w:bCs/>
          <w:i/>
        </w:rPr>
        <w:t xml:space="preserve"> con</w:t>
      </w:r>
      <w:r w:rsidRPr="008E17DB">
        <w:rPr>
          <w:rFonts w:ascii="Palatino Linotype" w:hAnsi="Palatino Linotype" w:cs="Tahoma"/>
          <w:bCs/>
          <w:i/>
        </w:rPr>
        <w:t xml:space="preserve">tables los datos necesarios para el control de </w:t>
      </w:r>
      <w:r w:rsidR="00C22E91" w:rsidRPr="008E17DB">
        <w:rPr>
          <w:rFonts w:ascii="Palatino Linotype" w:hAnsi="Palatino Linotype" w:cs="Tahoma"/>
          <w:bCs/>
          <w:i/>
        </w:rPr>
        <w:t>los ing</w:t>
      </w:r>
      <w:r w:rsidRPr="008E17DB">
        <w:rPr>
          <w:rFonts w:ascii="Palatino Linotype" w:hAnsi="Palatino Linotype" w:cs="Tahoma"/>
          <w:bCs/>
          <w:i/>
        </w:rPr>
        <w:t>r</w:t>
      </w:r>
      <w:r w:rsidR="00C22E91" w:rsidRPr="008E17DB">
        <w:rPr>
          <w:rFonts w:ascii="Palatino Linotype" w:hAnsi="Palatino Linotype" w:cs="Tahoma"/>
          <w:bCs/>
          <w:i/>
        </w:rPr>
        <w:t>esos y egresos a ca</w:t>
      </w:r>
      <w:r w:rsidRPr="008E17DB">
        <w:rPr>
          <w:rFonts w:ascii="Palatino Linotype" w:hAnsi="Palatino Linotype" w:cs="Tahoma"/>
          <w:bCs/>
          <w:i/>
        </w:rPr>
        <w:t xml:space="preserve">rgo de esta Tesorería Municipal, </w:t>
      </w:r>
      <w:r w:rsidR="00C22E91" w:rsidRPr="008E17DB">
        <w:rPr>
          <w:rFonts w:ascii="Palatino Linotype" w:hAnsi="Palatino Linotype" w:cs="Tahoma"/>
          <w:bCs/>
          <w:i/>
        </w:rPr>
        <w:t>asim</w:t>
      </w:r>
      <w:r w:rsidRPr="008E17DB">
        <w:rPr>
          <w:rFonts w:ascii="Palatino Linotype" w:hAnsi="Palatino Linotype" w:cs="Tahoma"/>
          <w:bCs/>
          <w:i/>
        </w:rPr>
        <w:t>ismo tal y como se</w:t>
      </w:r>
      <w:r w:rsidR="00C22E91" w:rsidRPr="008E17DB">
        <w:rPr>
          <w:rFonts w:ascii="Palatino Linotype" w:hAnsi="Palatino Linotype" w:cs="Tahoma"/>
          <w:bCs/>
          <w:i/>
        </w:rPr>
        <w:t xml:space="preserve"> </w:t>
      </w:r>
      <w:r w:rsidRPr="008E17DB">
        <w:rPr>
          <w:rFonts w:ascii="Palatino Linotype" w:hAnsi="Palatino Linotype" w:cs="Tahoma"/>
          <w:bCs/>
          <w:i/>
        </w:rPr>
        <w:t xml:space="preserve">indicó en el punto número 1, </w:t>
      </w:r>
      <w:r w:rsidR="00C22E91" w:rsidRPr="008E17DB">
        <w:rPr>
          <w:rFonts w:ascii="Palatino Linotype" w:hAnsi="Palatino Linotype" w:cs="Tahoma"/>
          <w:bCs/>
          <w:i/>
        </w:rPr>
        <w:t>los datos no cu</w:t>
      </w:r>
      <w:r w:rsidRPr="008E17DB">
        <w:rPr>
          <w:rFonts w:ascii="Palatino Linotype" w:hAnsi="Palatino Linotype" w:cs="Tahoma"/>
          <w:bCs/>
          <w:i/>
        </w:rPr>
        <w:t>entan con las características necesarias para considerarse como datos sensibles y/o</w:t>
      </w:r>
      <w:r w:rsidR="00C22E91" w:rsidRPr="008E17DB">
        <w:rPr>
          <w:rFonts w:ascii="Palatino Linotype" w:hAnsi="Palatino Linotype" w:cs="Tahoma"/>
          <w:bCs/>
          <w:i/>
        </w:rPr>
        <w:t xml:space="preserve"> co</w:t>
      </w:r>
      <w:r w:rsidRPr="008E17DB">
        <w:rPr>
          <w:rFonts w:ascii="Palatino Linotype" w:hAnsi="Palatino Linotype" w:cs="Tahoma"/>
          <w:bCs/>
          <w:i/>
        </w:rPr>
        <w:t>nfidenciales.</w:t>
      </w:r>
    </w:p>
    <w:p w14:paraId="773E6EE7" w14:textId="606D6CD7" w:rsidR="00C84BFE" w:rsidRPr="008E17DB" w:rsidRDefault="00C84BFE" w:rsidP="00A70F75">
      <w:pPr>
        <w:tabs>
          <w:tab w:val="left" w:pos="4667"/>
        </w:tabs>
        <w:spacing w:line="360" w:lineRule="auto"/>
        <w:ind w:left="567" w:right="567"/>
        <w:jc w:val="both"/>
        <w:rPr>
          <w:rFonts w:ascii="Palatino Linotype" w:hAnsi="Palatino Linotype" w:cs="Tahoma"/>
          <w:bCs/>
          <w:i/>
        </w:rPr>
      </w:pPr>
      <w:r w:rsidRPr="008E17DB">
        <w:rPr>
          <w:rFonts w:ascii="Palatino Linotype" w:hAnsi="Palatino Linotype" w:cs="Tahoma"/>
          <w:bCs/>
          <w:i/>
        </w:rPr>
        <w:t>…”</w:t>
      </w:r>
    </w:p>
    <w:p w14:paraId="0C7C9930" w14:textId="77777777" w:rsidR="002E0A56" w:rsidRPr="008E17DB" w:rsidRDefault="002E0A56" w:rsidP="00A70F75">
      <w:pPr>
        <w:widowControl w:val="0"/>
        <w:spacing w:line="360" w:lineRule="auto"/>
        <w:jc w:val="both"/>
        <w:rPr>
          <w:rFonts w:ascii="Palatino Linotype" w:hAnsi="Palatino Linotype" w:cs="Tahoma"/>
          <w:b/>
          <w:bCs/>
          <w:sz w:val="22"/>
          <w:szCs w:val="22"/>
          <w:lang w:val="es-ES"/>
        </w:rPr>
      </w:pPr>
    </w:p>
    <w:p w14:paraId="699F0AFD" w14:textId="2D7F2570" w:rsidR="00C22E91" w:rsidRPr="008E17DB" w:rsidRDefault="002E0A56" w:rsidP="00A70F75">
      <w:pPr>
        <w:tabs>
          <w:tab w:val="left" w:pos="567"/>
        </w:tabs>
        <w:spacing w:line="360" w:lineRule="auto"/>
        <w:jc w:val="both"/>
        <w:rPr>
          <w:rFonts w:ascii="Palatino Linotype" w:hAnsi="Palatino Linotype" w:cs="Tahoma"/>
          <w:b/>
          <w:sz w:val="22"/>
          <w:szCs w:val="22"/>
        </w:rPr>
      </w:pPr>
      <w:r w:rsidRPr="008E17DB">
        <w:rPr>
          <w:rFonts w:ascii="Palatino Linotype" w:hAnsi="Palatino Linotype" w:cs="Tahoma"/>
          <w:b/>
          <w:bCs/>
          <w:sz w:val="22"/>
          <w:szCs w:val="22"/>
          <w:lang w:val="es-ES"/>
        </w:rPr>
        <w:t xml:space="preserve">g) </w:t>
      </w:r>
      <w:r w:rsidR="00C22E91" w:rsidRPr="008E17DB">
        <w:rPr>
          <w:rFonts w:ascii="Palatino Linotype" w:hAnsi="Palatino Linotype" w:cs="Tahoma"/>
          <w:b/>
          <w:sz w:val="22"/>
          <w:szCs w:val="22"/>
        </w:rPr>
        <w:t xml:space="preserve">Vista del  Informe Justificado: </w:t>
      </w:r>
      <w:r w:rsidR="00C22E91" w:rsidRPr="008E17DB">
        <w:rPr>
          <w:rFonts w:ascii="Palatino Linotype" w:hAnsi="Palatino Linotype" w:cs="Tahoma"/>
          <w:sz w:val="22"/>
          <w:szCs w:val="22"/>
        </w:rPr>
        <w:t>El tres de septiembre de dos mil diecinueve, se dictó acuerdo mediante el cual se puso a la vista del Particular, el Informe Justificado entregado por el Sujeto Obligado del Recurso de Revisión citado al rubro, así como el documentos adjuntó, por haber robustecido su respuesta inicial, el cual fue notificado a las partes, en esa misma fecha, a través del Sistema de Acceso a la Información Mexiquense (SAIMEX).</w:t>
      </w:r>
    </w:p>
    <w:p w14:paraId="3A5EAF38" w14:textId="77777777" w:rsidR="002E0A56" w:rsidRPr="008E17DB" w:rsidRDefault="002E0A56" w:rsidP="00A70F75">
      <w:pPr>
        <w:widowControl w:val="0"/>
        <w:spacing w:line="360" w:lineRule="auto"/>
        <w:jc w:val="both"/>
        <w:rPr>
          <w:rFonts w:ascii="Palatino Linotype" w:hAnsi="Palatino Linotype" w:cs="Tahoma"/>
          <w:b/>
          <w:bCs/>
          <w:sz w:val="22"/>
          <w:szCs w:val="22"/>
          <w:lang w:val="es-ES"/>
        </w:rPr>
      </w:pPr>
    </w:p>
    <w:p w14:paraId="295A19C6" w14:textId="7AEBA927" w:rsidR="00C22E91" w:rsidRPr="008E17DB" w:rsidRDefault="002E0A56" w:rsidP="00A70F75">
      <w:pPr>
        <w:spacing w:line="360" w:lineRule="auto"/>
        <w:jc w:val="both"/>
        <w:rPr>
          <w:rFonts w:ascii="Palatino Linotype" w:hAnsi="Palatino Linotype" w:cs="Tahoma"/>
          <w:bCs/>
          <w:iCs/>
          <w:sz w:val="22"/>
          <w:szCs w:val="22"/>
        </w:rPr>
      </w:pPr>
      <w:r w:rsidRPr="008E17DB">
        <w:rPr>
          <w:rFonts w:ascii="Palatino Linotype" w:hAnsi="Palatino Linotype" w:cs="Tahoma"/>
          <w:b/>
          <w:bCs/>
          <w:sz w:val="22"/>
          <w:szCs w:val="22"/>
          <w:lang w:val="es-ES"/>
        </w:rPr>
        <w:lastRenderedPageBreak/>
        <w:t xml:space="preserve">h) </w:t>
      </w:r>
      <w:r w:rsidR="00C22E91" w:rsidRPr="008E17DB">
        <w:rPr>
          <w:rFonts w:ascii="Palatino Linotype" w:hAnsi="Palatino Linotype" w:cs="Tahoma"/>
          <w:b/>
          <w:sz w:val="22"/>
          <w:szCs w:val="22"/>
        </w:rPr>
        <w:t xml:space="preserve">Manifestaciones del Particular. </w:t>
      </w:r>
      <w:r w:rsidR="00C22E91" w:rsidRPr="008E17DB">
        <w:rPr>
          <w:rFonts w:ascii="Palatino Linotype" w:hAnsi="Palatino Linotype" w:cs="Tahoma"/>
          <w:sz w:val="22"/>
          <w:szCs w:val="22"/>
        </w:rPr>
        <w:t xml:space="preserve">El </w:t>
      </w:r>
      <w:r w:rsidR="00A81576" w:rsidRPr="008E17DB">
        <w:rPr>
          <w:rFonts w:ascii="Palatino Linotype" w:hAnsi="Palatino Linotype" w:cs="Tahoma"/>
          <w:sz w:val="22"/>
          <w:szCs w:val="22"/>
        </w:rPr>
        <w:t>cuatro de septiembre de dos mil diecinueve</w:t>
      </w:r>
      <w:r w:rsidR="00C22E91" w:rsidRPr="008E17DB">
        <w:rPr>
          <w:rFonts w:ascii="Palatino Linotype" w:hAnsi="Palatino Linotype" w:cs="Tahoma"/>
          <w:sz w:val="22"/>
          <w:szCs w:val="22"/>
        </w:rPr>
        <w:t xml:space="preserve">, </w:t>
      </w:r>
      <w:r w:rsidR="00C22E91" w:rsidRPr="008E17DB">
        <w:rPr>
          <w:rFonts w:ascii="Palatino Linotype" w:hAnsi="Palatino Linotype" w:cs="Tahoma"/>
          <w:sz w:val="22"/>
          <w:szCs w:val="22"/>
          <w:lang w:val="es-ES_tradnl"/>
        </w:rPr>
        <w:t xml:space="preserve">a través del </w:t>
      </w:r>
      <w:r w:rsidR="00C22E91" w:rsidRPr="008E17DB">
        <w:rPr>
          <w:rFonts w:ascii="Palatino Linotype" w:hAnsi="Palatino Linotype" w:cs="Tahoma"/>
          <w:sz w:val="22"/>
          <w:szCs w:val="22"/>
        </w:rPr>
        <w:t>Sistema de Acceso a la Información Mexiquense (SAIMEX)</w:t>
      </w:r>
      <w:r w:rsidR="00C22E91" w:rsidRPr="008E17DB">
        <w:rPr>
          <w:rFonts w:ascii="Palatino Linotype" w:hAnsi="Palatino Linotype" w:cs="Tahoma"/>
          <w:sz w:val="22"/>
          <w:szCs w:val="22"/>
          <w:lang w:val="es-ES_tradnl"/>
        </w:rPr>
        <w:t xml:space="preserve">, </w:t>
      </w:r>
      <w:r w:rsidR="00C22E91" w:rsidRPr="008E17DB">
        <w:rPr>
          <w:rFonts w:ascii="Palatino Linotype" w:hAnsi="Palatino Linotype" w:cs="Tahoma"/>
          <w:bCs/>
          <w:iCs/>
          <w:sz w:val="22"/>
          <w:szCs w:val="22"/>
        </w:rPr>
        <w:t xml:space="preserve">el Particular, </w:t>
      </w:r>
      <w:r w:rsidR="00A81576" w:rsidRPr="008E17DB">
        <w:rPr>
          <w:rFonts w:ascii="Palatino Linotype" w:hAnsi="Palatino Linotype" w:cs="Tahoma"/>
          <w:bCs/>
          <w:iCs/>
          <w:sz w:val="22"/>
          <w:szCs w:val="22"/>
        </w:rPr>
        <w:t>señaló que el Sujeto Obligado había omitido adjuntar la Balanza de Comprobación Detallada, de marzo de dos mil diecinueve, y por lo tanto no se podía sobreseer el Recurso de Revisión.</w:t>
      </w:r>
    </w:p>
    <w:p w14:paraId="5AFC90C9" w14:textId="77777777" w:rsidR="000B6F9F" w:rsidRPr="008E17DB" w:rsidRDefault="000B6F9F" w:rsidP="00A70F75">
      <w:pPr>
        <w:spacing w:line="360" w:lineRule="auto"/>
        <w:jc w:val="both"/>
        <w:rPr>
          <w:rFonts w:ascii="Palatino Linotype" w:hAnsi="Palatino Linotype" w:cs="Tahoma"/>
          <w:bCs/>
          <w:iCs/>
          <w:sz w:val="22"/>
          <w:szCs w:val="22"/>
        </w:rPr>
      </w:pPr>
    </w:p>
    <w:p w14:paraId="12330799" w14:textId="79900B20" w:rsidR="00A5003F" w:rsidRPr="008E17DB" w:rsidRDefault="009E6CFF" w:rsidP="00A70F75">
      <w:pPr>
        <w:widowControl w:val="0"/>
        <w:spacing w:line="360" w:lineRule="auto"/>
        <w:jc w:val="both"/>
        <w:rPr>
          <w:rFonts w:ascii="Palatino Linotype" w:hAnsi="Palatino Linotype" w:cs="Tahoma"/>
          <w:b/>
          <w:sz w:val="22"/>
          <w:szCs w:val="22"/>
        </w:rPr>
      </w:pPr>
      <w:r w:rsidRPr="008E17DB">
        <w:rPr>
          <w:rFonts w:ascii="Palatino Linotype" w:hAnsi="Palatino Linotype" w:cs="Tahoma"/>
          <w:b/>
          <w:bCs/>
          <w:sz w:val="22"/>
          <w:szCs w:val="22"/>
          <w:lang w:val="es-ES"/>
        </w:rPr>
        <w:t xml:space="preserve">i) </w:t>
      </w:r>
      <w:r w:rsidR="00C1200C" w:rsidRPr="008E17DB">
        <w:rPr>
          <w:rFonts w:ascii="Palatino Linotype" w:hAnsi="Palatino Linotype" w:cs="Tahoma"/>
          <w:b/>
          <w:sz w:val="22"/>
          <w:szCs w:val="22"/>
        </w:rPr>
        <w:t>Cierre de instrucción.</w:t>
      </w:r>
      <w:r w:rsidR="00C1200C" w:rsidRPr="008E17DB">
        <w:rPr>
          <w:rFonts w:ascii="Palatino Linotype" w:hAnsi="Palatino Linotype" w:cs="Tahoma"/>
          <w:sz w:val="22"/>
          <w:szCs w:val="22"/>
        </w:rPr>
        <w:t xml:space="preserve"> El </w:t>
      </w:r>
      <w:r w:rsidR="00621B51" w:rsidRPr="008E17DB">
        <w:rPr>
          <w:rFonts w:ascii="Palatino Linotype" w:hAnsi="Palatino Linotype" w:cs="Tahoma"/>
          <w:sz w:val="22"/>
          <w:szCs w:val="22"/>
        </w:rPr>
        <w:t>nueve de septiembre</w:t>
      </w:r>
      <w:r w:rsidR="00C1200C" w:rsidRPr="008E17DB">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que fue notificado a las partes el mismo día, a través del </w:t>
      </w:r>
      <w:r w:rsidR="00C1200C" w:rsidRPr="008E17DB">
        <w:rPr>
          <w:rFonts w:ascii="Palatino Linotype" w:hAnsi="Palatino Linotype" w:cs="Tahoma"/>
          <w:sz w:val="22"/>
          <w:szCs w:val="22"/>
          <w:lang w:val="es-ES"/>
        </w:rPr>
        <w:t>Sistema de Acceso a la Información Mexiquense (SAIMEX)</w:t>
      </w:r>
      <w:r w:rsidR="00C1200C" w:rsidRPr="008E17DB">
        <w:rPr>
          <w:rFonts w:ascii="Palatino Linotype" w:hAnsi="Palatino Linotype" w:cs="Tahoma"/>
          <w:sz w:val="22"/>
          <w:szCs w:val="22"/>
        </w:rPr>
        <w:t>.</w:t>
      </w:r>
      <w:r w:rsidR="0038018F" w:rsidRPr="008E17DB">
        <w:rPr>
          <w:rFonts w:ascii="Palatino Linotype" w:hAnsi="Palatino Linotype" w:cs="Tahoma"/>
          <w:sz w:val="22"/>
          <w:szCs w:val="22"/>
        </w:rPr>
        <w:t xml:space="preserve"> </w:t>
      </w:r>
    </w:p>
    <w:p w14:paraId="6733D1BB" w14:textId="56A90C25" w:rsidR="00C1200C" w:rsidRPr="008E17DB" w:rsidRDefault="00C1200C" w:rsidP="00A70F75">
      <w:pPr>
        <w:spacing w:line="360" w:lineRule="auto"/>
        <w:jc w:val="both"/>
        <w:rPr>
          <w:rFonts w:ascii="Palatino Linotype" w:hAnsi="Palatino Linotype" w:cs="Tahoma"/>
          <w:b/>
          <w:sz w:val="22"/>
          <w:szCs w:val="22"/>
        </w:rPr>
      </w:pPr>
    </w:p>
    <w:p w14:paraId="602A0D95" w14:textId="2493346D" w:rsidR="004F2D88" w:rsidRPr="008E17DB" w:rsidRDefault="004F2D88" w:rsidP="00A70F75">
      <w:pPr>
        <w:spacing w:line="360" w:lineRule="auto"/>
        <w:jc w:val="both"/>
        <w:rPr>
          <w:rFonts w:ascii="Palatino Linotype" w:hAnsi="Palatino Linotype" w:cs="Tahoma"/>
          <w:color w:val="000000"/>
          <w:sz w:val="22"/>
          <w:szCs w:val="22"/>
        </w:rPr>
      </w:pPr>
      <w:r w:rsidRPr="008E17DB">
        <w:rPr>
          <w:rFonts w:ascii="Palatino Linotype" w:hAnsi="Palatino Linotype" w:cs="Tahoma"/>
          <w:color w:val="000000"/>
          <w:sz w:val="22"/>
          <w:szCs w:val="22"/>
        </w:rPr>
        <w:t xml:space="preserve">En </w:t>
      </w:r>
      <w:r w:rsidR="00367F82" w:rsidRPr="008E17DB">
        <w:rPr>
          <w:rFonts w:ascii="Palatino Linotype" w:hAnsi="Palatino Linotype" w:cs="Tahoma"/>
          <w:color w:val="000000"/>
          <w:sz w:val="22"/>
          <w:szCs w:val="22"/>
        </w:rPr>
        <w:t>razón de que fue debidamente su</w:t>
      </w:r>
      <w:r w:rsidRPr="008E17DB">
        <w:rPr>
          <w:rFonts w:ascii="Palatino Linotype" w:hAnsi="Palatino Linotype" w:cs="Tahoma"/>
          <w:color w:val="000000"/>
          <w:sz w:val="22"/>
          <w:szCs w:val="22"/>
        </w:rPr>
        <w:t xml:space="preserve">stanciado el expediente </w:t>
      </w:r>
      <w:r w:rsidR="00367F82" w:rsidRPr="008E17DB">
        <w:rPr>
          <w:rFonts w:ascii="Palatino Linotype" w:hAnsi="Palatino Linotype" w:cs="Tahoma"/>
          <w:color w:val="000000"/>
          <w:sz w:val="22"/>
          <w:szCs w:val="22"/>
        </w:rPr>
        <w:t xml:space="preserve">electrónico </w:t>
      </w:r>
      <w:r w:rsidRPr="008E17DB">
        <w:rPr>
          <w:rFonts w:ascii="Palatino Linotype" w:hAnsi="Palatino Linotype" w:cs="Tahoma"/>
          <w:color w:val="000000"/>
          <w:sz w:val="22"/>
          <w:szCs w:val="22"/>
        </w:rPr>
        <w:t>y no exist</w:t>
      </w:r>
      <w:r w:rsidR="00367F82" w:rsidRPr="008E17DB">
        <w:rPr>
          <w:rFonts w:ascii="Palatino Linotype" w:hAnsi="Palatino Linotype" w:cs="Tahoma"/>
          <w:color w:val="000000"/>
          <w:sz w:val="22"/>
          <w:szCs w:val="22"/>
        </w:rPr>
        <w:t>e</w:t>
      </w:r>
      <w:r w:rsidRPr="008E17DB">
        <w:rPr>
          <w:rFonts w:ascii="Palatino Linotype" w:hAnsi="Palatino Linotype" w:cs="Tahoma"/>
          <w:color w:val="000000"/>
          <w:sz w:val="22"/>
          <w:szCs w:val="22"/>
        </w:rPr>
        <w:t xml:space="preserve"> dilige</w:t>
      </w:r>
      <w:r w:rsidR="00367F82" w:rsidRPr="008E17DB">
        <w:rPr>
          <w:rFonts w:ascii="Palatino Linotype" w:hAnsi="Palatino Linotype" w:cs="Tahoma"/>
          <w:color w:val="000000"/>
          <w:sz w:val="22"/>
          <w:szCs w:val="22"/>
        </w:rPr>
        <w:t xml:space="preserve">ncia pendiente de desahogo, se </w:t>
      </w:r>
      <w:r w:rsidRPr="008E17DB">
        <w:rPr>
          <w:rFonts w:ascii="Palatino Linotype" w:hAnsi="Palatino Linotype" w:cs="Tahoma"/>
          <w:color w:val="000000"/>
          <w:sz w:val="22"/>
          <w:szCs w:val="22"/>
        </w:rPr>
        <w:t>emit</w:t>
      </w:r>
      <w:r w:rsidR="00367F82" w:rsidRPr="008E17DB">
        <w:rPr>
          <w:rFonts w:ascii="Palatino Linotype" w:hAnsi="Palatino Linotype" w:cs="Tahoma"/>
          <w:color w:val="000000"/>
          <w:sz w:val="22"/>
          <w:szCs w:val="22"/>
        </w:rPr>
        <w:t>e</w:t>
      </w:r>
      <w:r w:rsidRPr="008E17DB">
        <w:rPr>
          <w:rFonts w:ascii="Palatino Linotype" w:hAnsi="Palatino Linotype" w:cs="Tahoma"/>
          <w:color w:val="000000"/>
          <w:sz w:val="22"/>
          <w:szCs w:val="22"/>
        </w:rPr>
        <w:t xml:space="preserve"> la </w:t>
      </w:r>
      <w:r w:rsidR="004B553F" w:rsidRPr="008E17DB">
        <w:rPr>
          <w:rFonts w:ascii="Palatino Linotype" w:hAnsi="Palatino Linotype" w:cs="Tahoma"/>
          <w:color w:val="000000"/>
          <w:sz w:val="22"/>
          <w:szCs w:val="22"/>
        </w:rPr>
        <w:t xml:space="preserve">Resolución </w:t>
      </w:r>
      <w:r w:rsidRPr="008E17DB">
        <w:rPr>
          <w:rFonts w:ascii="Palatino Linotype" w:hAnsi="Palatino Linotype" w:cs="Tahoma"/>
          <w:color w:val="000000"/>
          <w:sz w:val="22"/>
          <w:szCs w:val="22"/>
        </w:rPr>
        <w:t>que conforme a Derecho proceda, de acuerdo a l</w:t>
      </w:r>
      <w:r w:rsidR="009A620E" w:rsidRPr="008E17DB">
        <w:rPr>
          <w:rFonts w:ascii="Palatino Linotype" w:hAnsi="Palatino Linotype" w:cs="Tahoma"/>
          <w:color w:val="000000"/>
          <w:sz w:val="22"/>
          <w:szCs w:val="22"/>
        </w:rPr>
        <w:t>o</w:t>
      </w:r>
      <w:r w:rsidRPr="008E17DB">
        <w:rPr>
          <w:rFonts w:ascii="Palatino Linotype" w:hAnsi="Palatino Linotype" w:cs="Tahoma"/>
          <w:color w:val="000000"/>
          <w:sz w:val="22"/>
          <w:szCs w:val="22"/>
        </w:rPr>
        <w:t xml:space="preserve">s siguientes: </w:t>
      </w:r>
    </w:p>
    <w:p w14:paraId="4857EFF6" w14:textId="77777777" w:rsidR="00446A5C" w:rsidRPr="008E17DB" w:rsidRDefault="00446A5C" w:rsidP="00A70F75">
      <w:pPr>
        <w:spacing w:line="360" w:lineRule="auto"/>
        <w:jc w:val="both"/>
        <w:rPr>
          <w:rFonts w:ascii="Palatino Linotype" w:hAnsi="Palatino Linotype" w:cs="Tahoma"/>
          <w:color w:val="000000"/>
          <w:sz w:val="22"/>
          <w:szCs w:val="22"/>
        </w:rPr>
      </w:pPr>
    </w:p>
    <w:p w14:paraId="709D7A3E" w14:textId="77777777" w:rsidR="004F2D88" w:rsidRPr="008E17DB" w:rsidRDefault="009A620E" w:rsidP="00A70F75">
      <w:pPr>
        <w:spacing w:line="360" w:lineRule="auto"/>
        <w:jc w:val="center"/>
        <w:rPr>
          <w:rFonts w:ascii="Palatino Linotype" w:hAnsi="Palatino Linotype" w:cs="Tahoma"/>
          <w:b/>
          <w:sz w:val="22"/>
          <w:szCs w:val="22"/>
          <w:lang w:val="es-ES"/>
        </w:rPr>
      </w:pPr>
      <w:r w:rsidRPr="008E17DB">
        <w:rPr>
          <w:rFonts w:ascii="Palatino Linotype" w:hAnsi="Palatino Linotype" w:cs="Tahoma"/>
          <w:b/>
          <w:sz w:val="22"/>
          <w:szCs w:val="22"/>
          <w:lang w:val="es-ES"/>
        </w:rPr>
        <w:t>CONSIDERANDOS</w:t>
      </w:r>
      <w:r w:rsidR="004F2D88" w:rsidRPr="008E17DB">
        <w:rPr>
          <w:rFonts w:ascii="Palatino Linotype" w:hAnsi="Palatino Linotype" w:cs="Tahoma"/>
          <w:b/>
          <w:sz w:val="22"/>
          <w:szCs w:val="22"/>
          <w:lang w:val="es-ES"/>
        </w:rPr>
        <w:t>:</w:t>
      </w:r>
    </w:p>
    <w:p w14:paraId="6467A078" w14:textId="77777777" w:rsidR="004F2D88" w:rsidRPr="008E17DB" w:rsidRDefault="004F2D88" w:rsidP="00A70F75">
      <w:pPr>
        <w:spacing w:line="360" w:lineRule="auto"/>
        <w:rPr>
          <w:rFonts w:ascii="Palatino Linotype" w:hAnsi="Palatino Linotype" w:cs="Tahoma"/>
          <w:b/>
          <w:sz w:val="22"/>
          <w:szCs w:val="22"/>
          <w:lang w:val="es-ES"/>
        </w:rPr>
      </w:pPr>
    </w:p>
    <w:p w14:paraId="768416D9" w14:textId="77777777" w:rsidR="00B64641" w:rsidRPr="008E17DB" w:rsidRDefault="00B64641" w:rsidP="00A70F75">
      <w:pPr>
        <w:autoSpaceDE w:val="0"/>
        <w:autoSpaceDN w:val="0"/>
        <w:adjustRightInd w:val="0"/>
        <w:spacing w:line="360" w:lineRule="auto"/>
        <w:jc w:val="both"/>
        <w:rPr>
          <w:rFonts w:ascii="Palatino Linotype" w:hAnsi="Palatino Linotype" w:cs="Tahoma"/>
          <w:b/>
          <w:sz w:val="22"/>
          <w:szCs w:val="22"/>
          <w:lang w:val="es-ES"/>
        </w:rPr>
      </w:pPr>
      <w:r w:rsidRPr="008E17DB">
        <w:rPr>
          <w:rFonts w:ascii="Palatino Linotype" w:eastAsia="Calibri" w:hAnsi="Palatino Linotype" w:cs="Tahoma"/>
          <w:b/>
          <w:color w:val="000000"/>
          <w:sz w:val="22"/>
          <w:szCs w:val="22"/>
          <w:lang w:val="es-ES" w:eastAsia="es-MX"/>
        </w:rPr>
        <w:t>PRIMER</w:t>
      </w:r>
      <w:r w:rsidR="002241A6" w:rsidRPr="008E17DB">
        <w:rPr>
          <w:rFonts w:ascii="Palatino Linotype" w:eastAsia="Calibri" w:hAnsi="Palatino Linotype" w:cs="Tahoma"/>
          <w:b/>
          <w:color w:val="000000"/>
          <w:sz w:val="22"/>
          <w:szCs w:val="22"/>
          <w:lang w:val="es-ES" w:eastAsia="es-MX"/>
        </w:rPr>
        <w:t>O</w:t>
      </w:r>
      <w:r w:rsidRPr="008E17DB">
        <w:rPr>
          <w:rFonts w:ascii="Palatino Linotype" w:eastAsia="Calibri" w:hAnsi="Palatino Linotype" w:cs="Tahoma"/>
          <w:color w:val="000000"/>
          <w:sz w:val="22"/>
          <w:szCs w:val="22"/>
          <w:lang w:val="es-ES" w:eastAsia="es-MX"/>
        </w:rPr>
        <w:t xml:space="preserve">. </w:t>
      </w:r>
      <w:r w:rsidRPr="008E17DB">
        <w:rPr>
          <w:rFonts w:ascii="Palatino Linotype" w:hAnsi="Palatino Linotype" w:cs="Tahoma"/>
          <w:b/>
          <w:sz w:val="22"/>
          <w:szCs w:val="22"/>
          <w:lang w:val="es-ES"/>
        </w:rPr>
        <w:t>Competencia.</w:t>
      </w:r>
    </w:p>
    <w:p w14:paraId="446D7B51" w14:textId="77777777" w:rsidR="00B727C5" w:rsidRPr="008E17DB" w:rsidRDefault="00B727C5" w:rsidP="00A70F75">
      <w:pPr>
        <w:autoSpaceDE w:val="0"/>
        <w:autoSpaceDN w:val="0"/>
        <w:adjustRightInd w:val="0"/>
        <w:spacing w:line="360" w:lineRule="auto"/>
        <w:jc w:val="both"/>
        <w:rPr>
          <w:rFonts w:ascii="Palatino Linotype" w:hAnsi="Palatino Linotype" w:cs="Tahoma"/>
          <w:sz w:val="22"/>
          <w:szCs w:val="22"/>
          <w:lang w:val="es-ES"/>
        </w:rPr>
      </w:pPr>
    </w:p>
    <w:p w14:paraId="3720AF43" w14:textId="62C38FB8" w:rsidR="00436FD3" w:rsidRPr="008E17DB" w:rsidRDefault="00436FD3" w:rsidP="00A70F75">
      <w:pPr>
        <w:spacing w:line="360" w:lineRule="auto"/>
        <w:jc w:val="both"/>
        <w:rPr>
          <w:rFonts w:ascii="Palatino Linotype" w:hAnsi="Palatino Linotype" w:cs="Tahoma"/>
          <w:sz w:val="22"/>
          <w:szCs w:val="22"/>
          <w:shd w:val="clear" w:color="auto" w:fill="FFFFFF"/>
        </w:rPr>
      </w:pPr>
      <w:r w:rsidRPr="008E17DB">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8E17DB">
        <w:rPr>
          <w:rFonts w:ascii="Palatino Linotype" w:hAnsi="Palatino Linotype" w:cs="Tahoma"/>
          <w:sz w:val="22"/>
          <w:szCs w:val="22"/>
          <w:shd w:val="clear" w:color="auto" w:fill="FFFFFF"/>
        </w:rPr>
        <w:t>°</w:t>
      </w:r>
      <w:r w:rsidRPr="008E17DB">
        <w:rPr>
          <w:rFonts w:ascii="Palatino Linotype" w:hAnsi="Palatino Linotype" w:cs="Tahoma"/>
          <w:sz w:val="22"/>
          <w:szCs w:val="22"/>
          <w:shd w:val="clear" w:color="auto" w:fill="FFFFFF"/>
        </w:rPr>
        <w:t>, apartado A de la Constitución Política de los Estados Unidos Mexicanos; 5</w:t>
      </w:r>
      <w:r w:rsidR="008A282C" w:rsidRPr="008E17DB">
        <w:rPr>
          <w:rFonts w:ascii="Palatino Linotype" w:hAnsi="Palatino Linotype" w:cs="Tahoma"/>
          <w:sz w:val="22"/>
          <w:szCs w:val="22"/>
          <w:shd w:val="clear" w:color="auto" w:fill="FFFFFF"/>
        </w:rPr>
        <w:t>°</w:t>
      </w:r>
      <w:r w:rsidRPr="008E17DB">
        <w:rPr>
          <w:rFonts w:ascii="Palatino Linotype" w:hAnsi="Palatino Linotype" w:cs="Tahoma"/>
          <w:sz w:val="22"/>
          <w:szCs w:val="22"/>
          <w:shd w:val="clear" w:color="auto" w:fill="FFFFFF"/>
        </w:rPr>
        <w:t>, párrafos vigésimo</w:t>
      </w:r>
      <w:r w:rsidR="00F24C3A" w:rsidRPr="008E17DB">
        <w:rPr>
          <w:rFonts w:ascii="Palatino Linotype" w:hAnsi="Palatino Linotype" w:cs="Tahoma"/>
          <w:sz w:val="22"/>
          <w:szCs w:val="22"/>
          <w:shd w:val="clear" w:color="auto" w:fill="FFFFFF"/>
        </w:rPr>
        <w:t xml:space="preserve"> segundo</w:t>
      </w:r>
      <w:r w:rsidRPr="008E17DB">
        <w:rPr>
          <w:rFonts w:ascii="Palatino Linotype" w:hAnsi="Palatino Linotype" w:cs="Tahoma"/>
          <w:sz w:val="22"/>
          <w:szCs w:val="22"/>
          <w:shd w:val="clear" w:color="auto" w:fill="FFFFFF"/>
        </w:rPr>
        <w:t xml:space="preserve">, vigésimo </w:t>
      </w:r>
      <w:r w:rsidR="00F24C3A" w:rsidRPr="008E17DB">
        <w:rPr>
          <w:rFonts w:ascii="Palatino Linotype" w:hAnsi="Palatino Linotype" w:cs="Tahoma"/>
          <w:sz w:val="22"/>
          <w:szCs w:val="22"/>
          <w:shd w:val="clear" w:color="auto" w:fill="FFFFFF"/>
        </w:rPr>
        <w:t>tercero</w:t>
      </w:r>
      <w:r w:rsidRPr="008E17DB">
        <w:rPr>
          <w:rFonts w:ascii="Palatino Linotype" w:hAnsi="Palatino Linotype" w:cs="Tahoma"/>
          <w:sz w:val="22"/>
          <w:szCs w:val="22"/>
          <w:shd w:val="clear" w:color="auto" w:fill="FFFFFF"/>
        </w:rPr>
        <w:t xml:space="preserve"> y vigésimo </w:t>
      </w:r>
      <w:r w:rsidR="00F24C3A" w:rsidRPr="008E17DB">
        <w:rPr>
          <w:rFonts w:ascii="Palatino Linotype" w:hAnsi="Palatino Linotype" w:cs="Tahoma"/>
          <w:sz w:val="22"/>
          <w:szCs w:val="22"/>
          <w:shd w:val="clear" w:color="auto" w:fill="FFFFFF"/>
        </w:rPr>
        <w:t>cuarto</w:t>
      </w:r>
      <w:r w:rsidRPr="008E17DB">
        <w:rPr>
          <w:rFonts w:ascii="Palatino Linotype" w:hAnsi="Palatino Linotype" w:cs="Tahoma"/>
          <w:sz w:val="22"/>
          <w:szCs w:val="22"/>
          <w:shd w:val="clear" w:color="auto" w:fill="FFFFFF"/>
        </w:rPr>
        <w:t xml:space="preserve">, fracciones I, II, III, IV y V de </w:t>
      </w:r>
      <w:r w:rsidRPr="008E17DB">
        <w:rPr>
          <w:rFonts w:ascii="Palatino Linotype" w:hAnsi="Palatino Linotype" w:cs="Tahoma"/>
          <w:sz w:val="22"/>
          <w:szCs w:val="22"/>
          <w:shd w:val="clear" w:color="auto" w:fill="FFFFFF"/>
        </w:rPr>
        <w:lastRenderedPageBreak/>
        <w:t>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8E17DB">
        <w:rPr>
          <w:rStyle w:val="apple-converted-space"/>
          <w:rFonts w:ascii="Palatino Linotype" w:hAnsi="Palatino Linotype" w:cs="Tahoma"/>
          <w:sz w:val="22"/>
          <w:szCs w:val="22"/>
          <w:shd w:val="clear" w:color="auto" w:fill="FFFFFF"/>
        </w:rPr>
        <w:t xml:space="preserve"> 7°, </w:t>
      </w:r>
      <w:r w:rsidRPr="008E17DB">
        <w:rPr>
          <w:rFonts w:ascii="Palatino Linotype" w:hAnsi="Palatino Linotype" w:cs="Tahoma"/>
          <w:sz w:val="22"/>
          <w:szCs w:val="22"/>
        </w:rPr>
        <w:t>9</w:t>
      </w:r>
      <w:r w:rsidR="00F024EE" w:rsidRPr="008E17DB">
        <w:rPr>
          <w:rFonts w:ascii="Palatino Linotype" w:hAnsi="Palatino Linotype" w:cs="Tahoma"/>
          <w:sz w:val="22"/>
          <w:szCs w:val="22"/>
        </w:rPr>
        <w:t>°</w:t>
      </w:r>
      <w:r w:rsidRPr="008E17DB">
        <w:rPr>
          <w:rFonts w:ascii="Palatino Linotype" w:hAnsi="Palatino Linotype" w:cs="Tahoma"/>
          <w:sz w:val="22"/>
          <w:szCs w:val="22"/>
        </w:rPr>
        <w:t xml:space="preserve">, fracciones I y XXIV y 11 </w:t>
      </w:r>
      <w:r w:rsidRPr="008E17DB">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8E17DB" w:rsidRDefault="00B727C5" w:rsidP="00A70F75">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8E17DB" w:rsidRDefault="004F2D88" w:rsidP="00A70F75">
      <w:pPr>
        <w:autoSpaceDE w:val="0"/>
        <w:autoSpaceDN w:val="0"/>
        <w:adjustRightInd w:val="0"/>
        <w:spacing w:line="360" w:lineRule="auto"/>
        <w:jc w:val="both"/>
        <w:rPr>
          <w:rFonts w:ascii="Palatino Linotype" w:hAnsi="Palatino Linotype" w:cs="Tahoma"/>
          <w:sz w:val="22"/>
          <w:szCs w:val="22"/>
          <w:lang w:val="es-ES"/>
        </w:rPr>
      </w:pPr>
      <w:r w:rsidRPr="008E17DB">
        <w:rPr>
          <w:rFonts w:ascii="Palatino Linotype" w:eastAsia="Calibri" w:hAnsi="Palatino Linotype" w:cs="Tahoma"/>
          <w:b/>
          <w:color w:val="000000"/>
          <w:sz w:val="22"/>
          <w:szCs w:val="22"/>
          <w:lang w:val="es-ES" w:eastAsia="es-MX"/>
        </w:rPr>
        <w:t>SEGUND</w:t>
      </w:r>
      <w:r w:rsidR="002241A6" w:rsidRPr="008E17DB">
        <w:rPr>
          <w:rFonts w:ascii="Palatino Linotype" w:eastAsia="Calibri" w:hAnsi="Palatino Linotype" w:cs="Tahoma"/>
          <w:b/>
          <w:color w:val="000000"/>
          <w:sz w:val="22"/>
          <w:szCs w:val="22"/>
          <w:lang w:val="es-ES" w:eastAsia="es-MX"/>
        </w:rPr>
        <w:t>O</w:t>
      </w:r>
      <w:r w:rsidRPr="008E17DB">
        <w:rPr>
          <w:rFonts w:ascii="Palatino Linotype" w:eastAsia="Calibri" w:hAnsi="Palatino Linotype" w:cs="Tahoma"/>
          <w:color w:val="000000"/>
          <w:sz w:val="22"/>
          <w:szCs w:val="22"/>
          <w:lang w:val="es-ES" w:eastAsia="es-MX"/>
        </w:rPr>
        <w:t xml:space="preserve">. </w:t>
      </w:r>
      <w:r w:rsidRPr="008E17DB">
        <w:rPr>
          <w:rFonts w:ascii="Palatino Linotype" w:hAnsi="Palatino Linotype" w:cs="Tahoma"/>
          <w:b/>
          <w:sz w:val="22"/>
          <w:szCs w:val="22"/>
          <w:lang w:val="es-ES"/>
        </w:rPr>
        <w:t>Metodología de estudio.</w:t>
      </w:r>
    </w:p>
    <w:p w14:paraId="205E411E" w14:textId="77777777" w:rsidR="00303CAD" w:rsidRPr="008E17DB" w:rsidRDefault="00303CAD" w:rsidP="00A70F75">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Pr="008E17DB" w:rsidRDefault="004F2D88" w:rsidP="00A70F75">
      <w:pPr>
        <w:autoSpaceDE w:val="0"/>
        <w:autoSpaceDN w:val="0"/>
        <w:adjustRightInd w:val="0"/>
        <w:spacing w:line="360" w:lineRule="auto"/>
        <w:jc w:val="both"/>
        <w:rPr>
          <w:rFonts w:ascii="Palatino Linotype" w:hAnsi="Palatino Linotype" w:cs="Tahoma"/>
          <w:sz w:val="22"/>
          <w:szCs w:val="22"/>
          <w:lang w:val="es-ES"/>
        </w:rPr>
      </w:pPr>
      <w:r w:rsidRPr="008E17DB">
        <w:rPr>
          <w:rFonts w:ascii="Palatino Linotype" w:hAnsi="Palatino Linotype" w:cs="Tahoma"/>
          <w:sz w:val="22"/>
          <w:szCs w:val="22"/>
          <w:lang w:val="es-ES"/>
        </w:rPr>
        <w:t>De las constancias que forma parte de</w:t>
      </w:r>
      <w:r w:rsidR="008E1829" w:rsidRPr="008E17DB">
        <w:rPr>
          <w:rFonts w:ascii="Palatino Linotype" w:hAnsi="Palatino Linotype" w:cs="Tahoma"/>
          <w:sz w:val="22"/>
          <w:szCs w:val="22"/>
          <w:lang w:val="es-ES"/>
        </w:rPr>
        <w:t>l R</w:t>
      </w:r>
      <w:r w:rsidRPr="008E17DB">
        <w:rPr>
          <w:rFonts w:ascii="Palatino Linotype" w:hAnsi="Palatino Linotype" w:cs="Tahoma"/>
          <w:sz w:val="22"/>
          <w:szCs w:val="22"/>
          <w:lang w:val="es-ES"/>
        </w:rPr>
        <w:t>ecurso</w:t>
      </w:r>
      <w:r w:rsidR="008E1829" w:rsidRPr="008E17DB">
        <w:rPr>
          <w:rFonts w:ascii="Palatino Linotype" w:hAnsi="Palatino Linotype" w:cs="Tahoma"/>
          <w:sz w:val="22"/>
          <w:szCs w:val="22"/>
          <w:lang w:val="es-ES"/>
        </w:rPr>
        <w:t xml:space="preserve"> de Revisión que se analiza,</w:t>
      </w:r>
      <w:r w:rsidRPr="008E17DB">
        <w:rPr>
          <w:rFonts w:ascii="Palatino Linotype" w:hAnsi="Palatino Linotype" w:cs="Tahoma"/>
          <w:sz w:val="22"/>
          <w:szCs w:val="22"/>
          <w:lang w:val="es-ES"/>
        </w:rPr>
        <w:t xml:space="preserve"> se advierte que previo al estudio del fondo de la </w:t>
      </w:r>
      <w:r w:rsidRPr="008E17DB">
        <w:rPr>
          <w:rFonts w:ascii="Palatino Linotype" w:hAnsi="Palatino Linotype" w:cs="Tahoma"/>
          <w:i/>
          <w:sz w:val="22"/>
          <w:szCs w:val="22"/>
          <w:lang w:val="es-ES"/>
        </w:rPr>
        <w:t>litis</w:t>
      </w:r>
      <w:r w:rsidRPr="008E17DB">
        <w:rPr>
          <w:rFonts w:ascii="Palatino Linotype" w:hAnsi="Palatino Linotype" w:cs="Tahoma"/>
          <w:sz w:val="22"/>
          <w:szCs w:val="22"/>
          <w:lang w:val="es-ES"/>
        </w:rPr>
        <w:t>, es necesario estudiar las causales de improcedencia y sobreseimiento que se adviertan, para determinar lo que en Derecho proceda.</w:t>
      </w:r>
    </w:p>
    <w:p w14:paraId="10B22E6C" w14:textId="77777777" w:rsidR="007D7882" w:rsidRPr="008E17DB" w:rsidRDefault="007D7882" w:rsidP="00A70F75">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7D97145" w14:textId="77777777" w:rsidR="00D90C9D" w:rsidRPr="008E17DB" w:rsidRDefault="004F2D88" w:rsidP="00A70F7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8E17DB">
        <w:rPr>
          <w:rFonts w:ascii="Palatino Linotype" w:eastAsia="Calibri" w:hAnsi="Palatino Linotype" w:cs="Tahoma"/>
          <w:b/>
          <w:color w:val="000000"/>
          <w:sz w:val="22"/>
          <w:szCs w:val="22"/>
          <w:lang w:val="es-ES" w:eastAsia="es-MX"/>
        </w:rPr>
        <w:t>Causales de improcedencia.</w:t>
      </w:r>
    </w:p>
    <w:p w14:paraId="3BDB276D" w14:textId="77777777" w:rsidR="00D90C9D" w:rsidRPr="008E17DB" w:rsidRDefault="00D90C9D" w:rsidP="00A70F7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8E17DB" w:rsidRDefault="00F024EE" w:rsidP="00A70F75">
      <w:pPr>
        <w:spacing w:line="360" w:lineRule="auto"/>
        <w:jc w:val="both"/>
        <w:rPr>
          <w:rFonts w:ascii="Palatino Linotype" w:hAnsi="Palatino Linotype" w:cs="Tahoma"/>
          <w:sz w:val="22"/>
          <w:szCs w:val="22"/>
        </w:rPr>
      </w:pPr>
      <w:r w:rsidRPr="008E17DB">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8E17DB" w:rsidRDefault="00F024EE" w:rsidP="00A70F7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6D3EAE2" w14:textId="3077D23C" w:rsidR="00C871D8" w:rsidRPr="008E17DB" w:rsidRDefault="00C871D8" w:rsidP="00A70F75">
      <w:pPr>
        <w:spacing w:line="360" w:lineRule="auto"/>
        <w:jc w:val="both"/>
        <w:rPr>
          <w:rFonts w:ascii="Palatino Linotype" w:hAnsi="Palatino Linotype" w:cs="Tahoma"/>
          <w:sz w:val="22"/>
          <w:szCs w:val="22"/>
        </w:rPr>
      </w:pPr>
      <w:r w:rsidRPr="008E17DB">
        <w:rPr>
          <w:rFonts w:ascii="Palatino Linotype" w:hAnsi="Palatino Linotype" w:cs="Tahoma"/>
          <w:sz w:val="22"/>
          <w:szCs w:val="22"/>
        </w:rPr>
        <w:lastRenderedPageBreak/>
        <w:t>En el presente caso, </w:t>
      </w:r>
      <w:r w:rsidRPr="008E17DB">
        <w:rPr>
          <w:rFonts w:ascii="Palatino Linotype" w:hAnsi="Palatino Linotype" w:cs="Tahoma"/>
          <w:b/>
          <w:bCs/>
          <w:sz w:val="22"/>
          <w:szCs w:val="22"/>
        </w:rPr>
        <w:t>no se actualiza ninguna de las causales de improcedencia</w:t>
      </w:r>
      <w:r w:rsidRPr="008E17DB">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696E57" w:rsidRPr="008E17DB">
        <w:rPr>
          <w:rFonts w:ascii="Palatino Linotype" w:hAnsi="Palatino Linotype" w:cs="Tahoma"/>
          <w:sz w:val="22"/>
          <w:szCs w:val="22"/>
        </w:rPr>
        <w:t>la</w:t>
      </w:r>
      <w:r w:rsidRPr="008E17DB">
        <w:rPr>
          <w:rFonts w:ascii="Palatino Linotype" w:hAnsi="Palatino Linotype" w:cs="Tahoma"/>
          <w:sz w:val="22"/>
          <w:szCs w:val="22"/>
        </w:rPr>
        <w:t xml:space="preserve"> </w:t>
      </w:r>
      <w:r w:rsidR="00696E57" w:rsidRPr="008E17DB">
        <w:rPr>
          <w:rFonts w:ascii="Palatino Linotype" w:hAnsi="Palatino Linotype" w:cs="Tahoma"/>
          <w:sz w:val="22"/>
          <w:szCs w:val="22"/>
        </w:rPr>
        <w:t>R</w:t>
      </w:r>
      <w:r w:rsidRPr="008E17DB">
        <w:rPr>
          <w:rFonts w:ascii="Palatino Linotype" w:hAnsi="Palatino Linotype" w:cs="Tahoma"/>
          <w:sz w:val="22"/>
          <w:szCs w:val="22"/>
        </w:rPr>
        <w:t>ecurrente ante otra instancia; no existió prevención alguna; ni se realizó una consulta o ampliación a los alcances del requerimiento informativo.</w:t>
      </w:r>
    </w:p>
    <w:p w14:paraId="5AE69E84" w14:textId="77777777" w:rsidR="00C871D8" w:rsidRPr="008E17DB" w:rsidRDefault="00C871D8" w:rsidP="00A70F75">
      <w:pPr>
        <w:spacing w:line="360" w:lineRule="auto"/>
        <w:jc w:val="both"/>
        <w:rPr>
          <w:rFonts w:ascii="Palatino Linotype" w:hAnsi="Palatino Linotype" w:cs="Tahoma"/>
          <w:sz w:val="22"/>
          <w:szCs w:val="22"/>
        </w:rPr>
      </w:pPr>
    </w:p>
    <w:p w14:paraId="5C5C138E" w14:textId="1678AF47" w:rsidR="00C871D8" w:rsidRPr="008E17DB" w:rsidRDefault="00C871D8" w:rsidP="00A70F75">
      <w:pPr>
        <w:spacing w:line="360" w:lineRule="auto"/>
        <w:jc w:val="both"/>
        <w:rPr>
          <w:rFonts w:ascii="Palatino Linotype" w:hAnsi="Palatino Linotype" w:cs="Tahoma"/>
          <w:sz w:val="22"/>
          <w:szCs w:val="22"/>
          <w:lang w:val="es-ES"/>
        </w:rPr>
      </w:pPr>
      <w:r w:rsidRPr="008E17DB">
        <w:rPr>
          <w:rFonts w:ascii="Palatino Linotype" w:hAnsi="Palatino Linotype" w:cs="Tahoma"/>
          <w:sz w:val="22"/>
          <w:szCs w:val="22"/>
        </w:rPr>
        <w:t xml:space="preserve">Asimismo, se actualizan las causales de procedencia del recurso de revisión señalada en el artículo 179, fracción </w:t>
      </w:r>
      <w:r w:rsidR="00606B55" w:rsidRPr="008E17DB">
        <w:rPr>
          <w:rFonts w:ascii="Palatino Linotype" w:hAnsi="Palatino Linotype" w:cs="Tahoma"/>
          <w:sz w:val="22"/>
          <w:szCs w:val="22"/>
        </w:rPr>
        <w:t>V</w:t>
      </w:r>
      <w:r w:rsidR="00A81576" w:rsidRPr="008E17DB">
        <w:rPr>
          <w:rFonts w:ascii="Palatino Linotype" w:hAnsi="Palatino Linotype" w:cs="Tahoma"/>
          <w:sz w:val="22"/>
          <w:szCs w:val="22"/>
        </w:rPr>
        <w:t>I</w:t>
      </w:r>
      <w:r w:rsidRPr="008E17DB">
        <w:rPr>
          <w:rFonts w:ascii="Palatino Linotype" w:hAnsi="Palatino Linotype" w:cs="Tahoma"/>
          <w:sz w:val="22"/>
          <w:szCs w:val="22"/>
        </w:rPr>
        <w:t xml:space="preserve">, de la Ley en cita, </w:t>
      </w:r>
      <w:r w:rsidRPr="008E17DB">
        <w:rPr>
          <w:rFonts w:ascii="Palatino Linotype" w:eastAsia="Calibri" w:hAnsi="Palatino Linotype" w:cs="Tahoma"/>
          <w:color w:val="000000"/>
          <w:sz w:val="22"/>
          <w:szCs w:val="22"/>
          <w:lang w:eastAsia="es-MX"/>
        </w:rPr>
        <w:t xml:space="preserve">pues la parte Recurrente se inconformó </w:t>
      </w:r>
      <w:r w:rsidR="00A81576" w:rsidRPr="008E17DB">
        <w:rPr>
          <w:rFonts w:ascii="Palatino Linotype" w:hAnsi="Palatino Linotype" w:cs="Tahoma"/>
          <w:sz w:val="22"/>
          <w:szCs w:val="22"/>
          <w:lang w:val="es-ES"/>
        </w:rPr>
        <w:t>con la entrega de información que no corresponde con lo solicitado.</w:t>
      </w:r>
    </w:p>
    <w:p w14:paraId="1FF607EE" w14:textId="77777777" w:rsidR="00F024EE" w:rsidRPr="008E17DB" w:rsidRDefault="00F024EE" w:rsidP="00A70F75">
      <w:pPr>
        <w:spacing w:line="360" w:lineRule="auto"/>
        <w:jc w:val="both"/>
        <w:rPr>
          <w:rFonts w:ascii="Palatino Linotype" w:hAnsi="Palatino Linotype" w:cs="Tahoma"/>
          <w:sz w:val="22"/>
          <w:szCs w:val="22"/>
          <w:lang w:val="es-ES"/>
        </w:rPr>
      </w:pPr>
      <w:r w:rsidRPr="008E17DB">
        <w:rPr>
          <w:rFonts w:ascii="Palatino Linotype" w:hAnsi="Palatino Linotype" w:cs="Tahoma"/>
          <w:sz w:val="22"/>
          <w:szCs w:val="22"/>
          <w:lang w:val="es-ES"/>
        </w:rPr>
        <w:t> </w:t>
      </w:r>
    </w:p>
    <w:p w14:paraId="6C0869A7" w14:textId="77777777" w:rsidR="00037316" w:rsidRPr="008E17DB" w:rsidRDefault="00037316" w:rsidP="00A70F75">
      <w:pPr>
        <w:spacing w:line="360" w:lineRule="auto"/>
        <w:jc w:val="both"/>
        <w:rPr>
          <w:rFonts w:ascii="Palatino Linotype" w:hAnsi="Palatino Linotype" w:cs="Tahoma"/>
          <w:sz w:val="22"/>
          <w:szCs w:val="22"/>
        </w:rPr>
      </w:pPr>
      <w:r w:rsidRPr="008E17DB">
        <w:rPr>
          <w:rFonts w:ascii="Palatino Linotype" w:hAnsi="Palatino Linotype" w:cs="Tahoma"/>
          <w:b/>
          <w:bCs/>
          <w:iCs/>
          <w:sz w:val="22"/>
          <w:szCs w:val="22"/>
        </w:rPr>
        <w:t>TERCERO. C</w:t>
      </w:r>
      <w:r w:rsidRPr="008E17DB">
        <w:rPr>
          <w:rFonts w:ascii="Palatino Linotype" w:hAnsi="Palatino Linotype" w:cs="Tahoma"/>
          <w:b/>
          <w:bCs/>
          <w:sz w:val="22"/>
          <w:szCs w:val="22"/>
        </w:rPr>
        <w:t>ausales de sobreseimiento.</w:t>
      </w:r>
    </w:p>
    <w:p w14:paraId="19CA2FB2" w14:textId="77777777" w:rsidR="00037316" w:rsidRPr="008E17DB" w:rsidRDefault="00037316" w:rsidP="00A70F75">
      <w:pPr>
        <w:spacing w:line="360" w:lineRule="auto"/>
        <w:jc w:val="both"/>
        <w:rPr>
          <w:rFonts w:ascii="Palatino Linotype" w:hAnsi="Palatino Linotype" w:cs="Tahoma"/>
          <w:sz w:val="22"/>
          <w:szCs w:val="22"/>
        </w:rPr>
      </w:pPr>
      <w:r w:rsidRPr="008E17DB">
        <w:rPr>
          <w:rFonts w:ascii="Palatino Linotype" w:hAnsi="Palatino Linotype" w:cs="Tahoma"/>
          <w:sz w:val="22"/>
          <w:szCs w:val="22"/>
        </w:rPr>
        <w:t> </w:t>
      </w:r>
    </w:p>
    <w:p w14:paraId="7C94753C" w14:textId="77777777" w:rsidR="00037316" w:rsidRPr="008E17DB" w:rsidRDefault="00037316" w:rsidP="00A70F75">
      <w:pPr>
        <w:spacing w:line="360" w:lineRule="auto"/>
        <w:jc w:val="both"/>
        <w:rPr>
          <w:rFonts w:ascii="Palatino Linotype" w:hAnsi="Palatino Linotype" w:cs="Tahoma"/>
          <w:sz w:val="22"/>
          <w:szCs w:val="22"/>
        </w:rPr>
      </w:pPr>
      <w:r w:rsidRPr="008E17DB">
        <w:rPr>
          <w:rFonts w:ascii="Palatino Linotype" w:hAnsi="Palatino Linotype" w:cs="Tahoma"/>
          <w:sz w:val="22"/>
          <w:szCs w:val="22"/>
        </w:rPr>
        <w:t>Por ser de previo y especial pronunciamiento, este Instituto analiza si se actualiza alguna causal de sobreseimiento, tal como lo solicitó el Sujeto Obligado.</w:t>
      </w:r>
    </w:p>
    <w:p w14:paraId="66627A20" w14:textId="77777777" w:rsidR="00037316" w:rsidRPr="008E17DB" w:rsidRDefault="00037316" w:rsidP="00A70F75">
      <w:pPr>
        <w:spacing w:line="360" w:lineRule="auto"/>
        <w:jc w:val="both"/>
        <w:rPr>
          <w:rFonts w:ascii="Palatino Linotype" w:hAnsi="Palatino Linotype" w:cs="Tahoma"/>
          <w:sz w:val="22"/>
          <w:szCs w:val="22"/>
        </w:rPr>
      </w:pPr>
    </w:p>
    <w:p w14:paraId="6AF41D3A" w14:textId="77777777" w:rsidR="00037316" w:rsidRPr="008E17DB" w:rsidRDefault="00037316" w:rsidP="00A70F75">
      <w:pPr>
        <w:spacing w:line="360" w:lineRule="auto"/>
        <w:jc w:val="both"/>
        <w:rPr>
          <w:rFonts w:ascii="Palatino Linotype" w:hAnsi="Palatino Linotype" w:cs="Tahoma"/>
          <w:sz w:val="22"/>
          <w:szCs w:val="22"/>
        </w:rPr>
      </w:pPr>
      <w:r w:rsidRPr="008E17DB">
        <w:rPr>
          <w:rFonts w:ascii="Palatino Linotype" w:hAnsi="Palatino Linotype" w:cs="Tahoma"/>
          <w:sz w:val="22"/>
          <w:szCs w:val="22"/>
        </w:rPr>
        <w:t xml:space="preserve">El artículo 192 de la </w:t>
      </w:r>
      <w:r w:rsidRPr="008E17DB">
        <w:rPr>
          <w:rFonts w:ascii="Palatino Linotype" w:hAnsi="Palatino Linotype" w:cs="Tahoma"/>
          <w:bCs/>
          <w:sz w:val="22"/>
          <w:szCs w:val="22"/>
        </w:rPr>
        <w:t xml:space="preserve">Ley Transparencia y Acceso a la Información Pública del Estado de México y Municipios, señala las causales por las cuales se puede sobreseer en todo o en parte el Recurso de Revisión; así, </w:t>
      </w:r>
      <w:r w:rsidRPr="008E17DB">
        <w:rPr>
          <w:rFonts w:ascii="Palatino Linotype" w:hAnsi="Palatino Linotype" w:cs="Tahoma"/>
          <w:sz w:val="22"/>
          <w:szCs w:val="22"/>
        </w:rPr>
        <w:t>del análisis realizado por este Instituto, se advierte que</w:t>
      </w:r>
      <w:r w:rsidRPr="008E17DB">
        <w:rPr>
          <w:rFonts w:ascii="Palatino Linotype" w:hAnsi="Palatino Linotype" w:cs="Tahoma"/>
          <w:b/>
          <w:sz w:val="22"/>
          <w:szCs w:val="22"/>
        </w:rPr>
        <w:t xml:space="preserve"> no se configuran las causales establecidas en las fracciones I, II, IV y V, </w:t>
      </w:r>
      <w:r w:rsidRPr="008E17DB">
        <w:rPr>
          <w:rFonts w:ascii="Palatino Linotype" w:hAnsi="Palatino Linotype" w:cs="Tahoma"/>
          <w:sz w:val="22"/>
          <w:szCs w:val="22"/>
        </w:rPr>
        <w:t>toda vez que no hay constancias en el expediente en que se actúa, de que la  Recurrente se haya desistido del recurso, haya fallecido, sobreviniera alguna causal de improcedencia, o bien, haya quedado sin materia.</w:t>
      </w:r>
    </w:p>
    <w:p w14:paraId="321220B9" w14:textId="77777777" w:rsidR="00037316" w:rsidRPr="008E17DB" w:rsidRDefault="00037316" w:rsidP="00A70F75">
      <w:pPr>
        <w:spacing w:line="360" w:lineRule="auto"/>
        <w:jc w:val="both"/>
        <w:rPr>
          <w:rFonts w:ascii="Palatino Linotype" w:hAnsi="Palatino Linotype" w:cs="Tahoma"/>
          <w:b/>
          <w:sz w:val="22"/>
          <w:szCs w:val="22"/>
        </w:rPr>
      </w:pPr>
    </w:p>
    <w:p w14:paraId="7C7E2D59" w14:textId="77777777" w:rsidR="00037316" w:rsidRPr="008E17DB" w:rsidRDefault="00037316" w:rsidP="00A70F75">
      <w:pPr>
        <w:spacing w:line="360" w:lineRule="auto"/>
        <w:jc w:val="both"/>
        <w:rPr>
          <w:rFonts w:ascii="Palatino Linotype" w:hAnsi="Palatino Linotype" w:cs="Tahoma"/>
          <w:sz w:val="22"/>
          <w:szCs w:val="22"/>
        </w:rPr>
      </w:pPr>
      <w:r w:rsidRPr="008E17DB">
        <w:rPr>
          <w:rFonts w:ascii="Palatino Linotype" w:hAnsi="Palatino Linotype" w:cs="Tahoma"/>
          <w:sz w:val="22"/>
          <w:szCs w:val="22"/>
        </w:rPr>
        <w:lastRenderedPageBreak/>
        <w:t xml:space="preserve">No obstante, toda vez que durante la sustanciación del Recurso de Revisión </w:t>
      </w:r>
      <w:r w:rsidRPr="008E17DB">
        <w:rPr>
          <w:rFonts w:ascii="Palatino Linotype" w:hAnsi="Palatino Linotype" w:cs="Tahoma"/>
          <w:b/>
          <w:bCs/>
          <w:iCs/>
          <w:sz w:val="22"/>
          <w:szCs w:val="22"/>
          <w:lang w:val="es-ES_tradnl"/>
        </w:rPr>
        <w:t>03086/INFOEM/IP/RR/2019</w:t>
      </w:r>
      <w:r w:rsidRPr="008E17DB">
        <w:rPr>
          <w:rFonts w:ascii="Palatino Linotype" w:hAnsi="Palatino Linotype" w:cs="Tahoma"/>
          <w:sz w:val="22"/>
          <w:szCs w:val="22"/>
        </w:rPr>
        <w:t xml:space="preserve">, el Ayuntamiento de Tianguistenco modificó su respuesta, a través de su Informe Justificado, se estima procedente entrar al estudio de la causal de sobreseimiento prevista en la </w:t>
      </w:r>
      <w:r w:rsidRPr="008E17DB">
        <w:rPr>
          <w:rFonts w:ascii="Palatino Linotype" w:hAnsi="Palatino Linotype" w:cs="Tahoma"/>
          <w:b/>
          <w:sz w:val="22"/>
          <w:szCs w:val="22"/>
        </w:rPr>
        <w:t>fracción III</w:t>
      </w:r>
      <w:r w:rsidRPr="008E17DB">
        <w:rPr>
          <w:rFonts w:ascii="Palatino Linotype" w:hAnsi="Palatino Linotype" w:cs="Tahoma"/>
          <w:sz w:val="22"/>
          <w:szCs w:val="22"/>
        </w:rPr>
        <w:t xml:space="preserve"> del precepto legal previamente señalado.</w:t>
      </w:r>
    </w:p>
    <w:p w14:paraId="0F9EAEDD" w14:textId="77777777" w:rsidR="00037316" w:rsidRPr="008E17DB" w:rsidRDefault="00037316" w:rsidP="00A70F75">
      <w:pPr>
        <w:spacing w:line="360" w:lineRule="auto"/>
        <w:jc w:val="both"/>
        <w:rPr>
          <w:rFonts w:ascii="Palatino Linotype" w:hAnsi="Palatino Linotype" w:cs="Tahoma"/>
          <w:sz w:val="22"/>
          <w:szCs w:val="22"/>
        </w:rPr>
      </w:pPr>
    </w:p>
    <w:p w14:paraId="55A70DC1" w14:textId="786425DC" w:rsidR="00037316" w:rsidRPr="008E17DB" w:rsidRDefault="00037316" w:rsidP="00A70F75">
      <w:pPr>
        <w:spacing w:line="360" w:lineRule="auto"/>
        <w:jc w:val="both"/>
        <w:rPr>
          <w:rFonts w:ascii="Palatino Linotype" w:hAnsi="Palatino Linotype" w:cs="Tahoma"/>
          <w:iCs/>
          <w:sz w:val="22"/>
          <w:szCs w:val="22"/>
          <w:lang w:val="es-ES"/>
        </w:rPr>
      </w:pPr>
      <w:r w:rsidRPr="008E17DB">
        <w:rPr>
          <w:rFonts w:ascii="Palatino Linotype" w:hAnsi="Palatino Linotype" w:cs="Tahoma"/>
          <w:iCs/>
          <w:sz w:val="22"/>
          <w:szCs w:val="22"/>
        </w:rPr>
        <w:t>Al respecto, a efecto de verificar si se actualiza la causal de sobreseimiento, es necesario pre</w:t>
      </w:r>
      <w:r w:rsidR="00C63194" w:rsidRPr="008E17DB">
        <w:rPr>
          <w:rFonts w:ascii="Palatino Linotype" w:hAnsi="Palatino Linotype" w:cs="Tahoma"/>
          <w:iCs/>
          <w:sz w:val="22"/>
          <w:szCs w:val="22"/>
        </w:rPr>
        <w:t>cisar la solicitud de información, la respuesta del sujeto obligado y los agravios del Particular, a través del siguiente cuadro:</w:t>
      </w:r>
    </w:p>
    <w:p w14:paraId="2EE8EB18" w14:textId="77777777" w:rsidR="00A81576" w:rsidRPr="008E17DB" w:rsidRDefault="00A81576" w:rsidP="00A70F75">
      <w:pPr>
        <w:spacing w:line="360" w:lineRule="auto"/>
        <w:jc w:val="both"/>
        <w:rPr>
          <w:rFonts w:ascii="Palatino Linotype" w:hAnsi="Palatino Linotype" w:cs="Tahoma"/>
          <w:b/>
          <w:bCs/>
          <w:sz w:val="22"/>
          <w:szCs w:val="22"/>
        </w:rPr>
      </w:pPr>
    </w:p>
    <w:tbl>
      <w:tblPr>
        <w:tblStyle w:val="Tablaconcuadrcula"/>
        <w:tblW w:w="0" w:type="auto"/>
        <w:tblLook w:val="04A0" w:firstRow="1" w:lastRow="0" w:firstColumn="1" w:lastColumn="0" w:noHBand="0" w:noVBand="1"/>
      </w:tblPr>
      <w:tblGrid>
        <w:gridCol w:w="2689"/>
        <w:gridCol w:w="3543"/>
        <w:gridCol w:w="2802"/>
      </w:tblGrid>
      <w:tr w:rsidR="00C63194" w:rsidRPr="008E17DB" w14:paraId="5CB3428D" w14:textId="77777777" w:rsidTr="00F63EB1">
        <w:tc>
          <w:tcPr>
            <w:tcW w:w="2689" w:type="dxa"/>
            <w:tcBorders>
              <w:top w:val="single" w:sz="4" w:space="0" w:color="auto"/>
              <w:left w:val="single" w:sz="4" w:space="0" w:color="auto"/>
              <w:bottom w:val="single" w:sz="4" w:space="0" w:color="auto"/>
              <w:right w:val="single" w:sz="4" w:space="0" w:color="auto"/>
            </w:tcBorders>
            <w:shd w:val="clear" w:color="auto" w:fill="D9D9D9"/>
            <w:hideMark/>
          </w:tcPr>
          <w:p w14:paraId="3D4F2D48" w14:textId="029A73AD" w:rsidR="00C63194" w:rsidRPr="008E17DB" w:rsidRDefault="00CE2AD6" w:rsidP="00A70F75">
            <w:pPr>
              <w:tabs>
                <w:tab w:val="left" w:pos="4962"/>
              </w:tabs>
              <w:spacing w:line="360" w:lineRule="auto"/>
              <w:jc w:val="center"/>
              <w:rPr>
                <w:rFonts w:ascii="Palatino Linotype" w:eastAsia="Calibri" w:hAnsi="Palatino Linotype" w:cs="Tahoma"/>
                <w:b/>
                <w:iCs/>
                <w:lang w:eastAsia="es-ES_tradnl"/>
              </w:rPr>
            </w:pPr>
            <w:r w:rsidRPr="008E17DB">
              <w:rPr>
                <w:rFonts w:ascii="Palatino Linotype" w:eastAsia="Calibri" w:hAnsi="Palatino Linotype" w:cs="Tahoma"/>
                <w:b/>
                <w:iCs/>
                <w:lang w:eastAsia="es-ES_tradnl"/>
              </w:rPr>
              <w:t>Solicitud, respecto a los documentos que conforman el Disco 1 del Informe Mensual de Marzo de dos mil diecinueve.</w:t>
            </w:r>
          </w:p>
        </w:tc>
        <w:tc>
          <w:tcPr>
            <w:tcW w:w="3543" w:type="dxa"/>
            <w:tcBorders>
              <w:top w:val="single" w:sz="4" w:space="0" w:color="auto"/>
              <w:left w:val="single" w:sz="4" w:space="0" w:color="auto"/>
              <w:bottom w:val="single" w:sz="4" w:space="0" w:color="auto"/>
              <w:right w:val="single" w:sz="4" w:space="0" w:color="auto"/>
            </w:tcBorders>
            <w:shd w:val="clear" w:color="auto" w:fill="D9D9D9"/>
            <w:hideMark/>
          </w:tcPr>
          <w:p w14:paraId="2188FC40" w14:textId="0A28846F" w:rsidR="00C63194" w:rsidRPr="008E17DB" w:rsidRDefault="00C63194" w:rsidP="00A70F75">
            <w:pPr>
              <w:tabs>
                <w:tab w:val="left" w:pos="4962"/>
              </w:tabs>
              <w:spacing w:line="360" w:lineRule="auto"/>
              <w:jc w:val="center"/>
              <w:rPr>
                <w:rFonts w:ascii="Palatino Linotype" w:eastAsia="Calibri" w:hAnsi="Palatino Linotype" w:cs="Tahoma"/>
                <w:b/>
                <w:iCs/>
                <w:lang w:eastAsia="es-ES_tradnl"/>
              </w:rPr>
            </w:pPr>
            <w:r w:rsidRPr="008E17DB">
              <w:rPr>
                <w:rFonts w:ascii="Palatino Linotype" w:eastAsia="Calibri" w:hAnsi="Palatino Linotype" w:cs="Tahoma"/>
                <w:b/>
                <w:iCs/>
                <w:lang w:eastAsia="es-ES_tradnl"/>
              </w:rPr>
              <w:t>Respuesta</w:t>
            </w:r>
            <w:r w:rsidR="00CE2AD6" w:rsidRPr="008E17DB">
              <w:rPr>
                <w:rFonts w:ascii="Palatino Linotype" w:eastAsia="Calibri" w:hAnsi="Palatino Linotype" w:cs="Tahoma"/>
                <w:b/>
                <w:iCs/>
                <w:lang w:eastAsia="es-ES_tradnl"/>
              </w:rPr>
              <w:t xml:space="preserve"> del Ayuntamiento de Tlalnepantla, a trav</w:t>
            </w:r>
            <w:r w:rsidR="0014415D" w:rsidRPr="008E17DB">
              <w:rPr>
                <w:rFonts w:ascii="Palatino Linotype" w:eastAsia="Calibri" w:hAnsi="Palatino Linotype" w:cs="Tahoma"/>
                <w:b/>
                <w:iCs/>
                <w:lang w:eastAsia="es-ES_tradnl"/>
              </w:rPr>
              <w:t>és de la Tesorería Municipal.</w:t>
            </w:r>
          </w:p>
        </w:tc>
        <w:tc>
          <w:tcPr>
            <w:tcW w:w="2802" w:type="dxa"/>
            <w:tcBorders>
              <w:top w:val="single" w:sz="4" w:space="0" w:color="auto"/>
              <w:left w:val="single" w:sz="4" w:space="0" w:color="auto"/>
              <w:bottom w:val="single" w:sz="4" w:space="0" w:color="auto"/>
              <w:right w:val="single" w:sz="4" w:space="0" w:color="auto"/>
            </w:tcBorders>
            <w:shd w:val="clear" w:color="auto" w:fill="D9D9D9"/>
            <w:hideMark/>
          </w:tcPr>
          <w:p w14:paraId="1F41D59B" w14:textId="7FBEEDA6" w:rsidR="00C63194" w:rsidRPr="008E17DB" w:rsidRDefault="00C63194" w:rsidP="00A70F75">
            <w:pPr>
              <w:tabs>
                <w:tab w:val="left" w:pos="4962"/>
              </w:tabs>
              <w:spacing w:line="360" w:lineRule="auto"/>
              <w:jc w:val="center"/>
              <w:rPr>
                <w:rFonts w:ascii="Palatino Linotype" w:eastAsia="Calibri" w:hAnsi="Palatino Linotype" w:cs="Tahoma"/>
                <w:b/>
                <w:iCs/>
                <w:lang w:eastAsia="es-ES_tradnl"/>
              </w:rPr>
            </w:pPr>
            <w:r w:rsidRPr="008E17DB">
              <w:rPr>
                <w:rFonts w:ascii="Palatino Linotype" w:eastAsia="Calibri" w:hAnsi="Palatino Linotype" w:cs="Tahoma"/>
                <w:b/>
                <w:iCs/>
                <w:lang w:eastAsia="es-ES_tradnl"/>
              </w:rPr>
              <w:t xml:space="preserve">Agravios </w:t>
            </w:r>
            <w:r w:rsidR="0014415D" w:rsidRPr="008E17DB">
              <w:rPr>
                <w:rFonts w:ascii="Palatino Linotype" w:eastAsia="Calibri" w:hAnsi="Palatino Linotype" w:cs="Tahoma"/>
                <w:b/>
                <w:iCs/>
                <w:lang w:eastAsia="es-ES_tradnl"/>
              </w:rPr>
              <w:t>del ahora Recurrente.</w:t>
            </w:r>
          </w:p>
        </w:tc>
      </w:tr>
      <w:tr w:rsidR="00C63194" w:rsidRPr="008E17DB" w14:paraId="1DC2BB8E" w14:textId="77777777" w:rsidTr="00F63EB1">
        <w:trPr>
          <w:trHeight w:val="1176"/>
        </w:trPr>
        <w:tc>
          <w:tcPr>
            <w:tcW w:w="2689" w:type="dxa"/>
            <w:tcBorders>
              <w:top w:val="single" w:sz="4" w:space="0" w:color="auto"/>
              <w:left w:val="single" w:sz="4" w:space="0" w:color="auto"/>
              <w:bottom w:val="single" w:sz="4" w:space="0" w:color="auto"/>
              <w:right w:val="single" w:sz="4" w:space="0" w:color="auto"/>
            </w:tcBorders>
          </w:tcPr>
          <w:p w14:paraId="640D0A31" w14:textId="74A317FE" w:rsidR="00C63194" w:rsidRPr="008E17DB" w:rsidRDefault="00CE2AD6" w:rsidP="00A70F75">
            <w:pPr>
              <w:tabs>
                <w:tab w:val="left" w:pos="4962"/>
              </w:tabs>
              <w:spacing w:line="360" w:lineRule="auto"/>
              <w:jc w:val="both"/>
              <w:rPr>
                <w:rFonts w:ascii="Palatino Linotype" w:eastAsia="Calibri" w:hAnsi="Palatino Linotype" w:cs="Tahoma"/>
                <w:iCs/>
                <w:lang w:eastAsia="es-ES_tradnl"/>
              </w:rPr>
            </w:pPr>
            <w:r w:rsidRPr="008E17DB">
              <w:rPr>
                <w:rFonts w:ascii="Palatino Linotype" w:eastAsia="Calibri" w:hAnsi="Palatino Linotype" w:cs="Tahoma"/>
                <w:iCs/>
                <w:lang w:eastAsia="es-ES_tradnl"/>
              </w:rPr>
              <w:t>1.-</w:t>
            </w:r>
            <w:r w:rsidR="0014415D" w:rsidRPr="008E17DB">
              <w:rPr>
                <w:rFonts w:ascii="Palatino Linotype" w:eastAsia="Calibri" w:hAnsi="Palatino Linotype" w:cs="Tahoma"/>
                <w:iCs/>
                <w:lang w:eastAsia="es-ES_tradnl"/>
              </w:rPr>
              <w:t>Balanza de Comprobación Detallada, en formato “PDF” y “XLS”.</w:t>
            </w:r>
          </w:p>
        </w:tc>
        <w:tc>
          <w:tcPr>
            <w:tcW w:w="3543" w:type="dxa"/>
            <w:tcBorders>
              <w:top w:val="single" w:sz="4" w:space="0" w:color="auto"/>
              <w:left w:val="single" w:sz="4" w:space="0" w:color="auto"/>
              <w:bottom w:val="single" w:sz="4" w:space="0" w:color="auto"/>
              <w:right w:val="single" w:sz="4" w:space="0" w:color="auto"/>
            </w:tcBorders>
          </w:tcPr>
          <w:p w14:paraId="156E6B9B" w14:textId="2D7FE13A" w:rsidR="00C63194" w:rsidRPr="008E17DB" w:rsidRDefault="00160079" w:rsidP="00A70F75">
            <w:pPr>
              <w:tabs>
                <w:tab w:val="left" w:pos="4962"/>
              </w:tabs>
              <w:spacing w:line="360" w:lineRule="auto"/>
              <w:jc w:val="both"/>
              <w:rPr>
                <w:rFonts w:ascii="Palatino Linotype" w:eastAsia="Calibri" w:hAnsi="Palatino Linotype" w:cs="Tahoma"/>
                <w:iCs/>
                <w:lang w:val="es-MX" w:eastAsia="es-ES_tradnl"/>
              </w:rPr>
            </w:pPr>
            <w:r w:rsidRPr="008E17DB">
              <w:rPr>
                <w:rFonts w:ascii="Palatino Linotype" w:eastAsia="Calibri" w:hAnsi="Palatino Linotype" w:cs="Tahoma"/>
                <w:iCs/>
                <w:lang w:eastAsia="es-ES_tradnl"/>
              </w:rPr>
              <w:t xml:space="preserve">Entregó la </w:t>
            </w:r>
            <w:r w:rsidRPr="008E17DB">
              <w:rPr>
                <w:rFonts w:ascii="Palatino Linotype" w:eastAsia="Calibri" w:hAnsi="Palatino Linotype" w:cs="Tahoma"/>
                <w:iCs/>
                <w:lang w:val="es-MX" w:eastAsia="es-ES_tradnl"/>
              </w:rPr>
              <w:t>Balanza de Comprobación, del uno de marzo de dos mil diecinueve al treinta y uno de dicho mes y año.</w:t>
            </w:r>
          </w:p>
        </w:tc>
        <w:tc>
          <w:tcPr>
            <w:tcW w:w="2802" w:type="dxa"/>
            <w:tcBorders>
              <w:top w:val="single" w:sz="4" w:space="0" w:color="auto"/>
              <w:left w:val="single" w:sz="4" w:space="0" w:color="auto"/>
              <w:bottom w:val="single" w:sz="4" w:space="0" w:color="auto"/>
              <w:right w:val="single" w:sz="4" w:space="0" w:color="auto"/>
            </w:tcBorders>
            <w:vAlign w:val="center"/>
          </w:tcPr>
          <w:p w14:paraId="62D8486E" w14:textId="289BB718" w:rsidR="00C63194" w:rsidRPr="008E17DB" w:rsidRDefault="00160079" w:rsidP="00A70F75">
            <w:pPr>
              <w:tabs>
                <w:tab w:val="left" w:pos="4962"/>
              </w:tabs>
              <w:spacing w:line="360" w:lineRule="auto"/>
              <w:jc w:val="both"/>
              <w:rPr>
                <w:rFonts w:ascii="Palatino Linotype" w:eastAsia="Calibri" w:hAnsi="Palatino Linotype" w:cs="Tahoma"/>
                <w:b/>
                <w:iCs/>
                <w:lang w:eastAsia="es-ES_tradnl"/>
              </w:rPr>
            </w:pPr>
            <w:r w:rsidRPr="008E17DB">
              <w:rPr>
                <w:rFonts w:ascii="Palatino Linotype" w:eastAsia="Calibri" w:hAnsi="Palatino Linotype" w:cs="Tahoma"/>
                <w:iCs/>
                <w:lang w:eastAsia="es-ES_tradnl"/>
              </w:rPr>
              <w:t>La información no corresponde con lo solicitado, pues no se entregó la Balanza de Comprobación Detallada.</w:t>
            </w:r>
          </w:p>
        </w:tc>
      </w:tr>
      <w:tr w:rsidR="00CE2AD6" w:rsidRPr="008E17DB" w14:paraId="2BFE6468" w14:textId="77777777" w:rsidTr="00F63EB1">
        <w:tc>
          <w:tcPr>
            <w:tcW w:w="2689" w:type="dxa"/>
            <w:tcBorders>
              <w:top w:val="single" w:sz="4" w:space="0" w:color="auto"/>
              <w:left w:val="single" w:sz="4" w:space="0" w:color="auto"/>
              <w:bottom w:val="single" w:sz="4" w:space="0" w:color="auto"/>
              <w:right w:val="single" w:sz="4" w:space="0" w:color="auto"/>
            </w:tcBorders>
          </w:tcPr>
          <w:p w14:paraId="7639D732" w14:textId="3F6DADEE" w:rsidR="00CE2AD6" w:rsidRPr="008E17DB" w:rsidRDefault="0014415D" w:rsidP="00A70F75">
            <w:pPr>
              <w:tabs>
                <w:tab w:val="left" w:pos="4962"/>
              </w:tabs>
              <w:spacing w:line="360" w:lineRule="auto"/>
              <w:jc w:val="both"/>
              <w:rPr>
                <w:rFonts w:ascii="Palatino Linotype" w:eastAsia="Calibri" w:hAnsi="Palatino Linotype" w:cs="Tahoma"/>
                <w:iCs/>
                <w:lang w:eastAsia="es-ES_tradnl"/>
              </w:rPr>
            </w:pPr>
            <w:r w:rsidRPr="008E17DB">
              <w:rPr>
                <w:rFonts w:ascii="Palatino Linotype" w:eastAsia="Calibri" w:hAnsi="Palatino Linotype" w:cs="Tahoma"/>
                <w:iCs/>
                <w:lang w:eastAsia="es-ES_tradnl"/>
              </w:rPr>
              <w:t>2. Diario General de Pólizas.</w:t>
            </w:r>
          </w:p>
        </w:tc>
        <w:tc>
          <w:tcPr>
            <w:tcW w:w="3543" w:type="dxa"/>
            <w:tcBorders>
              <w:top w:val="single" w:sz="4" w:space="0" w:color="auto"/>
              <w:left w:val="single" w:sz="4" w:space="0" w:color="auto"/>
              <w:right w:val="single" w:sz="4" w:space="0" w:color="auto"/>
            </w:tcBorders>
          </w:tcPr>
          <w:p w14:paraId="240198B2" w14:textId="15438D86" w:rsidR="00CE2AD6" w:rsidRPr="008E17DB" w:rsidRDefault="00267A50" w:rsidP="00A70F75">
            <w:pPr>
              <w:tabs>
                <w:tab w:val="left" w:pos="4962"/>
              </w:tabs>
              <w:spacing w:line="360" w:lineRule="auto"/>
              <w:jc w:val="both"/>
              <w:rPr>
                <w:rFonts w:ascii="Palatino Linotype" w:eastAsia="Calibri" w:hAnsi="Palatino Linotype" w:cs="Tahoma"/>
                <w:iCs/>
                <w:lang w:val="es-MX" w:eastAsia="es-ES_tradnl"/>
              </w:rPr>
            </w:pPr>
            <w:r w:rsidRPr="008E17DB">
              <w:rPr>
                <w:rFonts w:ascii="Palatino Linotype" w:eastAsia="Calibri" w:hAnsi="Palatino Linotype" w:cs="Tahoma"/>
                <w:iCs/>
                <w:lang w:val="es-MX" w:eastAsia="es-ES_tradnl"/>
              </w:rPr>
              <w:t xml:space="preserve">Proporcionó el </w:t>
            </w:r>
            <w:r w:rsidR="00160079" w:rsidRPr="008E17DB">
              <w:rPr>
                <w:rFonts w:ascii="Palatino Linotype" w:eastAsia="Calibri" w:hAnsi="Palatino Linotype" w:cs="Tahoma"/>
                <w:iCs/>
                <w:lang w:val="es-MX" w:eastAsia="es-ES_tradnl"/>
              </w:rPr>
              <w:t>Diario General de Pólizas, del uno de marzo de dos mil diecinueve al treinta y uno de ese mes y año.</w:t>
            </w:r>
          </w:p>
        </w:tc>
        <w:tc>
          <w:tcPr>
            <w:tcW w:w="2802" w:type="dxa"/>
            <w:tcBorders>
              <w:top w:val="single" w:sz="4" w:space="0" w:color="auto"/>
              <w:left w:val="single" w:sz="4" w:space="0" w:color="auto"/>
              <w:right w:val="single" w:sz="4" w:space="0" w:color="auto"/>
            </w:tcBorders>
            <w:vAlign w:val="center"/>
          </w:tcPr>
          <w:p w14:paraId="6C4B9E22" w14:textId="272C0B83" w:rsidR="00CE2AD6" w:rsidRPr="008E17DB" w:rsidRDefault="00160079" w:rsidP="00A70F75">
            <w:pPr>
              <w:tabs>
                <w:tab w:val="left" w:pos="4962"/>
              </w:tabs>
              <w:spacing w:line="360" w:lineRule="auto"/>
              <w:jc w:val="center"/>
              <w:rPr>
                <w:rFonts w:ascii="Palatino Linotype" w:eastAsia="Calibri" w:hAnsi="Palatino Linotype" w:cs="Tahoma"/>
                <w:iCs/>
                <w:lang w:eastAsia="es-ES_tradnl"/>
              </w:rPr>
            </w:pPr>
            <w:r w:rsidRPr="008E17DB">
              <w:rPr>
                <w:rFonts w:ascii="Palatino Linotype" w:eastAsia="Calibri" w:hAnsi="Palatino Linotype" w:cs="Tahoma"/>
                <w:iCs/>
                <w:lang w:eastAsia="es-ES_tradnl"/>
              </w:rPr>
              <w:t>No emitió agravio.</w:t>
            </w:r>
          </w:p>
        </w:tc>
      </w:tr>
      <w:tr w:rsidR="00CE2AD6" w:rsidRPr="008E17DB" w14:paraId="42F8C469" w14:textId="77777777" w:rsidTr="00F63EB1">
        <w:tc>
          <w:tcPr>
            <w:tcW w:w="2689" w:type="dxa"/>
            <w:tcBorders>
              <w:top w:val="single" w:sz="4" w:space="0" w:color="auto"/>
              <w:left w:val="single" w:sz="4" w:space="0" w:color="auto"/>
              <w:bottom w:val="single" w:sz="4" w:space="0" w:color="auto"/>
              <w:right w:val="single" w:sz="4" w:space="0" w:color="auto"/>
            </w:tcBorders>
          </w:tcPr>
          <w:p w14:paraId="5C3E4286" w14:textId="5910585E" w:rsidR="00CE2AD6" w:rsidRPr="008E17DB" w:rsidRDefault="00640155" w:rsidP="00A70F75">
            <w:pPr>
              <w:tabs>
                <w:tab w:val="left" w:pos="4962"/>
              </w:tabs>
              <w:spacing w:line="360" w:lineRule="auto"/>
              <w:jc w:val="both"/>
              <w:rPr>
                <w:rFonts w:ascii="Palatino Linotype" w:eastAsia="Calibri" w:hAnsi="Palatino Linotype" w:cs="Tahoma"/>
                <w:iCs/>
                <w:lang w:eastAsia="es-ES_tradnl"/>
              </w:rPr>
            </w:pPr>
            <w:r w:rsidRPr="008E17DB">
              <w:rPr>
                <w:rFonts w:ascii="Palatino Linotype" w:eastAsia="Calibri" w:hAnsi="Palatino Linotype" w:cs="Tahoma"/>
                <w:iCs/>
                <w:lang w:eastAsia="es-ES_tradnl"/>
              </w:rPr>
              <w:t>3.</w:t>
            </w:r>
            <w:r w:rsidR="00CA7E2B" w:rsidRPr="008E17DB">
              <w:rPr>
                <w:rFonts w:ascii="Palatino Linotype" w:eastAsia="Calibri" w:hAnsi="Palatino Linotype" w:cs="Tahoma"/>
                <w:iCs/>
                <w:lang w:eastAsia="es-ES_tradnl"/>
              </w:rPr>
              <w:t xml:space="preserve"> Conciliaciones Bancarias (Formato PDF):</w:t>
            </w:r>
          </w:p>
          <w:p w14:paraId="1A56D8D7" w14:textId="17EB5089" w:rsidR="00CA7E2B" w:rsidRPr="008E17DB" w:rsidRDefault="00CA7E2B" w:rsidP="00A70F75">
            <w:pPr>
              <w:tabs>
                <w:tab w:val="left" w:pos="4962"/>
              </w:tabs>
              <w:spacing w:line="360" w:lineRule="auto"/>
              <w:ind w:left="171"/>
              <w:jc w:val="both"/>
              <w:rPr>
                <w:rFonts w:ascii="Palatino Linotype" w:eastAsia="Calibri" w:hAnsi="Palatino Linotype" w:cs="Tahoma"/>
                <w:iCs/>
                <w:lang w:eastAsia="es-ES_tradnl"/>
              </w:rPr>
            </w:pPr>
            <w:r w:rsidRPr="008E17DB">
              <w:rPr>
                <w:rFonts w:ascii="Palatino Linotype" w:eastAsia="Calibri" w:hAnsi="Palatino Linotype" w:cs="Tahoma"/>
                <w:iCs/>
                <w:lang w:eastAsia="es-ES_tradnl"/>
              </w:rPr>
              <w:lastRenderedPageBreak/>
              <w:t>a) Carátula de Conciliación, con el detalle de la relación de las partidas de conciliación, y</w:t>
            </w:r>
          </w:p>
          <w:p w14:paraId="165BE8E1" w14:textId="4252C683" w:rsidR="00CA7E2B" w:rsidRPr="008E17DB" w:rsidRDefault="00CA7E2B" w:rsidP="00A70F75">
            <w:pPr>
              <w:tabs>
                <w:tab w:val="left" w:pos="4962"/>
              </w:tabs>
              <w:spacing w:line="360" w:lineRule="auto"/>
              <w:ind w:left="171"/>
              <w:jc w:val="both"/>
              <w:rPr>
                <w:rFonts w:ascii="Palatino Linotype" w:eastAsia="Calibri" w:hAnsi="Palatino Linotype" w:cs="Tahoma"/>
                <w:iCs/>
                <w:lang w:eastAsia="es-ES_tradnl"/>
              </w:rPr>
            </w:pPr>
            <w:r w:rsidRPr="008E17DB">
              <w:rPr>
                <w:rFonts w:ascii="Palatino Linotype" w:eastAsia="Calibri" w:hAnsi="Palatino Linotype" w:cs="Tahoma"/>
                <w:iCs/>
                <w:lang w:eastAsia="es-ES_tradnl"/>
              </w:rPr>
              <w:t>b) Estado de Cuenta Bancario.</w:t>
            </w:r>
          </w:p>
        </w:tc>
        <w:tc>
          <w:tcPr>
            <w:tcW w:w="3543" w:type="dxa"/>
            <w:tcBorders>
              <w:top w:val="single" w:sz="4" w:space="0" w:color="auto"/>
              <w:left w:val="single" w:sz="4" w:space="0" w:color="auto"/>
              <w:right w:val="single" w:sz="4" w:space="0" w:color="auto"/>
            </w:tcBorders>
          </w:tcPr>
          <w:p w14:paraId="4D913169" w14:textId="1C29A126" w:rsidR="00160079" w:rsidRPr="008E17DB" w:rsidRDefault="00267A50" w:rsidP="00A70F75">
            <w:pPr>
              <w:autoSpaceDE w:val="0"/>
              <w:autoSpaceDN w:val="0"/>
              <w:adjustRightInd w:val="0"/>
              <w:spacing w:line="360" w:lineRule="auto"/>
              <w:jc w:val="both"/>
              <w:rPr>
                <w:rFonts w:ascii="Palatino Linotype" w:hAnsi="Palatino Linotype" w:cs="Tahoma"/>
                <w:szCs w:val="22"/>
              </w:rPr>
            </w:pPr>
            <w:r w:rsidRPr="008E17DB">
              <w:rPr>
                <w:rFonts w:ascii="Palatino Linotype" w:hAnsi="Palatino Linotype" w:cs="Tahoma"/>
                <w:szCs w:val="22"/>
              </w:rPr>
              <w:lastRenderedPageBreak/>
              <w:t xml:space="preserve">Otorgó las </w:t>
            </w:r>
            <w:r w:rsidR="00160079" w:rsidRPr="008E17DB">
              <w:rPr>
                <w:rFonts w:ascii="Palatino Linotype" w:hAnsi="Palatino Linotype" w:cs="Tahoma"/>
                <w:szCs w:val="22"/>
              </w:rPr>
              <w:t xml:space="preserve">Conciliaciones Bancarias, del uno de marzo de dos mil </w:t>
            </w:r>
            <w:r w:rsidR="00160079" w:rsidRPr="008E17DB">
              <w:rPr>
                <w:rFonts w:ascii="Palatino Linotype" w:hAnsi="Palatino Linotype" w:cs="Tahoma"/>
                <w:szCs w:val="22"/>
              </w:rPr>
              <w:lastRenderedPageBreak/>
              <w:t>diecinueve al treinta y uno de dicho mes y año, con sus anexos, de los siguientes bancos:</w:t>
            </w:r>
          </w:p>
          <w:p w14:paraId="5ACAE49D" w14:textId="77777777" w:rsidR="00160079" w:rsidRPr="008E17DB" w:rsidRDefault="00160079" w:rsidP="00A70F75">
            <w:pPr>
              <w:numPr>
                <w:ilvl w:val="0"/>
                <w:numId w:val="25"/>
              </w:numPr>
              <w:autoSpaceDE w:val="0"/>
              <w:autoSpaceDN w:val="0"/>
              <w:adjustRightInd w:val="0"/>
              <w:spacing w:line="360" w:lineRule="auto"/>
              <w:contextualSpacing/>
              <w:jc w:val="both"/>
              <w:rPr>
                <w:rFonts w:ascii="Palatino Linotype" w:hAnsi="Palatino Linotype" w:cs="Tahoma"/>
                <w:szCs w:val="22"/>
              </w:rPr>
            </w:pPr>
            <w:r w:rsidRPr="008E17DB">
              <w:rPr>
                <w:rFonts w:ascii="Palatino Linotype" w:hAnsi="Palatino Linotype" w:cs="Tahoma"/>
                <w:szCs w:val="22"/>
              </w:rPr>
              <w:t>Banca Afirme S.A.;</w:t>
            </w:r>
          </w:p>
          <w:p w14:paraId="34B13BC5" w14:textId="77777777" w:rsidR="00160079" w:rsidRPr="008E17DB" w:rsidRDefault="00160079" w:rsidP="00A70F75">
            <w:pPr>
              <w:numPr>
                <w:ilvl w:val="0"/>
                <w:numId w:val="25"/>
              </w:numPr>
              <w:autoSpaceDE w:val="0"/>
              <w:autoSpaceDN w:val="0"/>
              <w:adjustRightInd w:val="0"/>
              <w:spacing w:line="360" w:lineRule="auto"/>
              <w:contextualSpacing/>
              <w:jc w:val="both"/>
              <w:rPr>
                <w:rFonts w:ascii="Palatino Linotype" w:hAnsi="Palatino Linotype" w:cs="Tahoma"/>
                <w:szCs w:val="22"/>
              </w:rPr>
            </w:pPr>
            <w:r w:rsidRPr="008E17DB">
              <w:rPr>
                <w:rFonts w:ascii="Palatino Linotype" w:hAnsi="Palatino Linotype" w:cs="Tahoma"/>
                <w:szCs w:val="22"/>
              </w:rPr>
              <w:t>Banco Azteca;</w:t>
            </w:r>
          </w:p>
          <w:p w14:paraId="0E4EBB27" w14:textId="77777777" w:rsidR="00160079" w:rsidRPr="008E17DB" w:rsidRDefault="00160079" w:rsidP="00A70F75">
            <w:pPr>
              <w:numPr>
                <w:ilvl w:val="0"/>
                <w:numId w:val="25"/>
              </w:numPr>
              <w:autoSpaceDE w:val="0"/>
              <w:autoSpaceDN w:val="0"/>
              <w:adjustRightInd w:val="0"/>
              <w:spacing w:line="360" w:lineRule="auto"/>
              <w:contextualSpacing/>
              <w:jc w:val="both"/>
              <w:rPr>
                <w:rFonts w:ascii="Palatino Linotype" w:hAnsi="Palatino Linotype" w:cs="Tahoma"/>
                <w:szCs w:val="22"/>
              </w:rPr>
            </w:pPr>
            <w:r w:rsidRPr="008E17DB">
              <w:rPr>
                <w:rFonts w:ascii="Palatino Linotype" w:hAnsi="Palatino Linotype" w:cs="Tahoma"/>
                <w:szCs w:val="22"/>
              </w:rPr>
              <w:t>Banamex S.A.</w:t>
            </w:r>
          </w:p>
          <w:p w14:paraId="7D6E7EB0" w14:textId="77777777" w:rsidR="00160079" w:rsidRPr="008E17DB" w:rsidRDefault="00160079" w:rsidP="00A70F75">
            <w:pPr>
              <w:numPr>
                <w:ilvl w:val="0"/>
                <w:numId w:val="25"/>
              </w:numPr>
              <w:autoSpaceDE w:val="0"/>
              <w:autoSpaceDN w:val="0"/>
              <w:adjustRightInd w:val="0"/>
              <w:spacing w:line="360" w:lineRule="auto"/>
              <w:contextualSpacing/>
              <w:jc w:val="both"/>
              <w:rPr>
                <w:rFonts w:ascii="Palatino Linotype" w:hAnsi="Palatino Linotype" w:cs="Tahoma"/>
                <w:szCs w:val="22"/>
              </w:rPr>
            </w:pPr>
            <w:r w:rsidRPr="008E17DB">
              <w:rPr>
                <w:rFonts w:ascii="Palatino Linotype" w:hAnsi="Palatino Linotype" w:cs="Tahoma"/>
                <w:szCs w:val="22"/>
              </w:rPr>
              <w:t>BBVA Bancomer;</w:t>
            </w:r>
          </w:p>
          <w:p w14:paraId="12FF16A2" w14:textId="77777777" w:rsidR="00160079" w:rsidRPr="008E17DB" w:rsidRDefault="00160079" w:rsidP="00A70F75">
            <w:pPr>
              <w:numPr>
                <w:ilvl w:val="0"/>
                <w:numId w:val="25"/>
              </w:numPr>
              <w:autoSpaceDE w:val="0"/>
              <w:autoSpaceDN w:val="0"/>
              <w:adjustRightInd w:val="0"/>
              <w:spacing w:line="360" w:lineRule="auto"/>
              <w:contextualSpacing/>
              <w:jc w:val="both"/>
              <w:rPr>
                <w:rFonts w:ascii="Palatino Linotype" w:hAnsi="Palatino Linotype" w:cs="Tahoma"/>
                <w:szCs w:val="22"/>
              </w:rPr>
            </w:pPr>
            <w:r w:rsidRPr="008E17DB">
              <w:rPr>
                <w:rFonts w:ascii="Palatino Linotype" w:hAnsi="Palatino Linotype" w:cs="Tahoma"/>
                <w:szCs w:val="22"/>
              </w:rPr>
              <w:t>Banco Mercantil del Norte;</w:t>
            </w:r>
          </w:p>
          <w:p w14:paraId="5F13FF85" w14:textId="77777777" w:rsidR="00160079" w:rsidRPr="008E17DB" w:rsidRDefault="00160079" w:rsidP="00A70F75">
            <w:pPr>
              <w:numPr>
                <w:ilvl w:val="0"/>
                <w:numId w:val="25"/>
              </w:numPr>
              <w:autoSpaceDE w:val="0"/>
              <w:autoSpaceDN w:val="0"/>
              <w:adjustRightInd w:val="0"/>
              <w:spacing w:line="360" w:lineRule="auto"/>
              <w:contextualSpacing/>
              <w:jc w:val="both"/>
              <w:rPr>
                <w:rFonts w:ascii="Palatino Linotype" w:hAnsi="Palatino Linotype" w:cs="Tahoma"/>
                <w:szCs w:val="22"/>
              </w:rPr>
            </w:pPr>
            <w:r w:rsidRPr="008E17DB">
              <w:rPr>
                <w:rFonts w:ascii="Palatino Linotype" w:hAnsi="Palatino Linotype" w:cs="Tahoma"/>
                <w:szCs w:val="22"/>
              </w:rPr>
              <w:t>HSBS México S.A.;</w:t>
            </w:r>
          </w:p>
          <w:p w14:paraId="1D3E73C6" w14:textId="77777777" w:rsidR="00160079" w:rsidRPr="008E17DB" w:rsidRDefault="00160079" w:rsidP="00A70F75">
            <w:pPr>
              <w:numPr>
                <w:ilvl w:val="0"/>
                <w:numId w:val="25"/>
              </w:numPr>
              <w:autoSpaceDE w:val="0"/>
              <w:autoSpaceDN w:val="0"/>
              <w:adjustRightInd w:val="0"/>
              <w:spacing w:line="360" w:lineRule="auto"/>
              <w:contextualSpacing/>
              <w:jc w:val="both"/>
              <w:rPr>
                <w:rFonts w:ascii="Palatino Linotype" w:hAnsi="Palatino Linotype" w:cs="Tahoma"/>
                <w:szCs w:val="22"/>
              </w:rPr>
            </w:pPr>
            <w:r w:rsidRPr="008E17DB">
              <w:rPr>
                <w:rFonts w:ascii="Palatino Linotype" w:hAnsi="Palatino Linotype" w:cs="Tahoma"/>
                <w:szCs w:val="22"/>
              </w:rPr>
              <w:t>Banca Mifel;</w:t>
            </w:r>
          </w:p>
          <w:p w14:paraId="7FEC4054" w14:textId="77777777" w:rsidR="00160079" w:rsidRPr="008E17DB" w:rsidRDefault="00160079" w:rsidP="00A70F75">
            <w:pPr>
              <w:numPr>
                <w:ilvl w:val="0"/>
                <w:numId w:val="25"/>
              </w:numPr>
              <w:autoSpaceDE w:val="0"/>
              <w:autoSpaceDN w:val="0"/>
              <w:adjustRightInd w:val="0"/>
              <w:spacing w:line="360" w:lineRule="auto"/>
              <w:contextualSpacing/>
              <w:jc w:val="both"/>
              <w:rPr>
                <w:rFonts w:ascii="Palatino Linotype" w:hAnsi="Palatino Linotype" w:cs="Tahoma"/>
                <w:szCs w:val="22"/>
              </w:rPr>
            </w:pPr>
            <w:r w:rsidRPr="008E17DB">
              <w:rPr>
                <w:rFonts w:ascii="Palatino Linotype" w:hAnsi="Palatino Linotype" w:cs="Tahoma"/>
                <w:szCs w:val="22"/>
              </w:rPr>
              <w:t>Multiva S.A.;</w:t>
            </w:r>
          </w:p>
          <w:p w14:paraId="256CC8B5" w14:textId="77777777" w:rsidR="00160079" w:rsidRPr="008E17DB" w:rsidRDefault="00160079" w:rsidP="00A70F75">
            <w:pPr>
              <w:numPr>
                <w:ilvl w:val="0"/>
                <w:numId w:val="25"/>
              </w:numPr>
              <w:autoSpaceDE w:val="0"/>
              <w:autoSpaceDN w:val="0"/>
              <w:adjustRightInd w:val="0"/>
              <w:spacing w:line="360" w:lineRule="auto"/>
              <w:contextualSpacing/>
              <w:jc w:val="both"/>
              <w:rPr>
                <w:rFonts w:ascii="Palatino Linotype" w:hAnsi="Palatino Linotype" w:cs="Tahoma"/>
                <w:szCs w:val="22"/>
              </w:rPr>
            </w:pPr>
            <w:r w:rsidRPr="008E17DB">
              <w:rPr>
                <w:rFonts w:ascii="Palatino Linotype" w:hAnsi="Palatino Linotype" w:cs="Tahoma"/>
                <w:szCs w:val="22"/>
              </w:rPr>
              <w:t>Santander S.A., y</w:t>
            </w:r>
          </w:p>
          <w:p w14:paraId="595C9AB3" w14:textId="77777777" w:rsidR="00160079" w:rsidRPr="008E17DB" w:rsidRDefault="00160079" w:rsidP="00A70F75">
            <w:pPr>
              <w:numPr>
                <w:ilvl w:val="0"/>
                <w:numId w:val="25"/>
              </w:numPr>
              <w:autoSpaceDE w:val="0"/>
              <w:autoSpaceDN w:val="0"/>
              <w:adjustRightInd w:val="0"/>
              <w:spacing w:line="360" w:lineRule="auto"/>
              <w:contextualSpacing/>
              <w:jc w:val="both"/>
              <w:rPr>
                <w:rFonts w:ascii="Palatino Linotype" w:hAnsi="Palatino Linotype" w:cs="Tahoma"/>
                <w:szCs w:val="22"/>
              </w:rPr>
            </w:pPr>
            <w:r w:rsidRPr="008E17DB">
              <w:rPr>
                <w:rFonts w:ascii="Palatino Linotype" w:hAnsi="Palatino Linotype" w:cs="Tahoma"/>
                <w:szCs w:val="22"/>
              </w:rPr>
              <w:t>Scotiabank S.A.</w:t>
            </w:r>
          </w:p>
          <w:p w14:paraId="137CFAF8" w14:textId="77777777" w:rsidR="00CE2AD6" w:rsidRPr="008E17DB" w:rsidRDefault="00CE2AD6" w:rsidP="00A70F75">
            <w:pPr>
              <w:tabs>
                <w:tab w:val="left" w:pos="4962"/>
              </w:tabs>
              <w:spacing w:line="360" w:lineRule="auto"/>
              <w:rPr>
                <w:rFonts w:ascii="Palatino Linotype" w:eastAsia="Calibri" w:hAnsi="Palatino Linotype" w:cs="Tahoma"/>
                <w:iCs/>
                <w:lang w:eastAsia="es-ES_tradnl"/>
              </w:rPr>
            </w:pPr>
          </w:p>
          <w:p w14:paraId="5F01C20C" w14:textId="304A9436" w:rsidR="00267A50" w:rsidRPr="008E17DB" w:rsidRDefault="00267A50" w:rsidP="00A70F75">
            <w:pPr>
              <w:tabs>
                <w:tab w:val="left" w:pos="4962"/>
              </w:tabs>
              <w:spacing w:line="360" w:lineRule="auto"/>
              <w:jc w:val="both"/>
              <w:rPr>
                <w:rFonts w:ascii="Palatino Linotype" w:eastAsia="Calibri" w:hAnsi="Palatino Linotype" w:cs="Tahoma"/>
                <w:iCs/>
                <w:lang w:eastAsia="es-ES_tradnl"/>
              </w:rPr>
            </w:pPr>
            <w:r w:rsidRPr="008E17DB">
              <w:rPr>
                <w:rFonts w:ascii="Palatino Linotype" w:eastAsia="Calibri" w:hAnsi="Palatino Linotype" w:cs="Tahoma"/>
                <w:iCs/>
                <w:lang w:eastAsia="es-ES_tradnl"/>
              </w:rPr>
              <w:t xml:space="preserve">Asimismo, adjuntó el </w:t>
            </w:r>
            <w:r w:rsidR="00F63EB1" w:rsidRPr="008E17DB">
              <w:rPr>
                <w:rFonts w:ascii="Palatino Linotype" w:eastAsia="Calibri" w:hAnsi="Palatino Linotype" w:cs="Tahoma"/>
                <w:iCs/>
                <w:lang w:val="es-MX" w:eastAsia="es-ES_tradnl"/>
              </w:rPr>
              <w:t xml:space="preserve">Acta de la Décima Novena Sesión Extraordinaria del Comité de Transparencia, del trece de junio del dos mil diecinueve.  </w:t>
            </w:r>
          </w:p>
        </w:tc>
        <w:tc>
          <w:tcPr>
            <w:tcW w:w="2802" w:type="dxa"/>
            <w:tcBorders>
              <w:top w:val="single" w:sz="4" w:space="0" w:color="auto"/>
              <w:left w:val="single" w:sz="4" w:space="0" w:color="auto"/>
              <w:right w:val="single" w:sz="4" w:space="0" w:color="auto"/>
            </w:tcBorders>
            <w:vAlign w:val="center"/>
          </w:tcPr>
          <w:p w14:paraId="617E3D0B" w14:textId="5FAF4C4E" w:rsidR="00CE2AD6" w:rsidRPr="008E17DB" w:rsidRDefault="00160079" w:rsidP="00A70F75">
            <w:pPr>
              <w:tabs>
                <w:tab w:val="left" w:pos="4962"/>
              </w:tabs>
              <w:spacing w:line="360" w:lineRule="auto"/>
              <w:jc w:val="center"/>
              <w:rPr>
                <w:rFonts w:ascii="Palatino Linotype" w:eastAsia="Calibri" w:hAnsi="Palatino Linotype" w:cs="Tahoma"/>
                <w:iCs/>
                <w:lang w:eastAsia="es-ES_tradnl"/>
              </w:rPr>
            </w:pPr>
            <w:r w:rsidRPr="008E17DB">
              <w:rPr>
                <w:rFonts w:ascii="Palatino Linotype" w:eastAsia="Calibri" w:hAnsi="Palatino Linotype" w:cs="Tahoma"/>
                <w:iCs/>
                <w:lang w:val="es-MX" w:eastAsia="es-ES_tradnl"/>
              </w:rPr>
              <w:lastRenderedPageBreak/>
              <w:t>No emitió agravio.</w:t>
            </w:r>
          </w:p>
        </w:tc>
      </w:tr>
    </w:tbl>
    <w:p w14:paraId="388FC951" w14:textId="77777777" w:rsidR="00A81576" w:rsidRPr="008E17DB" w:rsidRDefault="00A81576" w:rsidP="00A70F75">
      <w:pPr>
        <w:spacing w:line="360" w:lineRule="auto"/>
        <w:jc w:val="both"/>
        <w:rPr>
          <w:rFonts w:ascii="Palatino Linotype" w:hAnsi="Palatino Linotype" w:cs="Tahoma"/>
          <w:b/>
          <w:bCs/>
          <w:sz w:val="22"/>
          <w:szCs w:val="22"/>
        </w:rPr>
      </w:pPr>
    </w:p>
    <w:p w14:paraId="4BFBFBF8" w14:textId="462E5D8F" w:rsidR="00F63EB1" w:rsidRPr="008E17DB" w:rsidRDefault="00F63EB1" w:rsidP="00A70F75">
      <w:pPr>
        <w:tabs>
          <w:tab w:val="left" w:pos="4962"/>
        </w:tabs>
        <w:spacing w:line="360" w:lineRule="auto"/>
        <w:jc w:val="both"/>
        <w:rPr>
          <w:rFonts w:ascii="Palatino Linotype" w:eastAsia="Calibri" w:hAnsi="Palatino Linotype" w:cs="Tahoma"/>
          <w:iCs/>
          <w:sz w:val="22"/>
          <w:szCs w:val="22"/>
          <w:lang w:eastAsia="es-ES_tradnl"/>
        </w:rPr>
      </w:pPr>
      <w:r w:rsidRPr="008E17DB">
        <w:rPr>
          <w:rFonts w:ascii="Palatino Linotype" w:eastAsia="Calibri" w:hAnsi="Palatino Linotype" w:cs="Tahoma"/>
          <w:iCs/>
          <w:sz w:val="22"/>
          <w:szCs w:val="22"/>
          <w:lang w:eastAsia="es-ES_tradnl"/>
        </w:rPr>
        <w:t xml:space="preserve">Conforme a lo analizado, se puede advertir que </w:t>
      </w:r>
      <w:r w:rsidR="00F076E3" w:rsidRPr="008E17DB">
        <w:rPr>
          <w:rFonts w:ascii="Palatino Linotype" w:eastAsia="Calibri" w:hAnsi="Palatino Linotype" w:cs="Tahoma"/>
          <w:iCs/>
          <w:sz w:val="22"/>
          <w:szCs w:val="22"/>
          <w:lang w:eastAsia="es-ES_tradnl"/>
        </w:rPr>
        <w:t>el</w:t>
      </w:r>
      <w:r w:rsidRPr="008E17DB">
        <w:rPr>
          <w:rFonts w:ascii="Palatino Linotype" w:eastAsia="Calibri" w:hAnsi="Palatino Linotype" w:cs="Tahoma"/>
          <w:iCs/>
          <w:sz w:val="22"/>
          <w:szCs w:val="22"/>
          <w:lang w:eastAsia="es-ES_tradnl"/>
        </w:rPr>
        <w:t xml:space="preserve"> ahora Recurrente se inconformó únicamente por la entrega de información </w:t>
      </w:r>
      <w:r w:rsidR="00981E46" w:rsidRPr="008E17DB">
        <w:rPr>
          <w:rFonts w:ascii="Palatino Linotype" w:eastAsia="Calibri" w:hAnsi="Palatino Linotype" w:cs="Tahoma"/>
          <w:iCs/>
          <w:sz w:val="22"/>
          <w:szCs w:val="22"/>
          <w:lang w:eastAsia="es-ES_tradnl"/>
        </w:rPr>
        <w:t>que no corresponde con lo solicitado, respecto al punto 1, al señalar que no se le había entregado la Balanza de Comprobación Detallada peticionada originalmente</w:t>
      </w:r>
      <w:r w:rsidRPr="008E17DB">
        <w:rPr>
          <w:rFonts w:ascii="Palatino Linotype" w:eastAsia="Calibri" w:hAnsi="Palatino Linotype" w:cs="Tahoma"/>
          <w:iCs/>
          <w:sz w:val="22"/>
          <w:szCs w:val="22"/>
          <w:lang w:eastAsia="es-ES_tradnl"/>
        </w:rPr>
        <w:t>;</w:t>
      </w:r>
      <w:r w:rsidRPr="008E17DB">
        <w:rPr>
          <w:rFonts w:ascii="Palatino Linotype" w:eastAsia="Calibri" w:hAnsi="Palatino Linotype" w:cs="Tahoma"/>
          <w:iCs/>
          <w:sz w:val="22"/>
          <w:szCs w:val="22"/>
          <w:lang w:val="es-ES" w:eastAsia="es-ES_tradnl"/>
        </w:rPr>
        <w:t xml:space="preserve"> por lo que hace a</w:t>
      </w:r>
      <w:r w:rsidR="00981E46" w:rsidRPr="008E17DB">
        <w:rPr>
          <w:rFonts w:ascii="Palatino Linotype" w:eastAsia="Calibri" w:hAnsi="Palatino Linotype" w:cs="Tahoma"/>
          <w:iCs/>
          <w:sz w:val="22"/>
          <w:szCs w:val="22"/>
          <w:lang w:val="es-ES" w:eastAsia="es-ES_tradnl"/>
        </w:rPr>
        <w:t xml:space="preserve"> </w:t>
      </w:r>
      <w:r w:rsidRPr="008E17DB">
        <w:rPr>
          <w:rFonts w:ascii="Palatino Linotype" w:eastAsia="Calibri" w:hAnsi="Palatino Linotype" w:cs="Tahoma"/>
          <w:iCs/>
          <w:sz w:val="22"/>
          <w:szCs w:val="22"/>
          <w:lang w:val="es-ES" w:eastAsia="es-ES_tradnl"/>
        </w:rPr>
        <w:t>l</w:t>
      </w:r>
      <w:r w:rsidR="00981E46" w:rsidRPr="008E17DB">
        <w:rPr>
          <w:rFonts w:ascii="Palatino Linotype" w:eastAsia="Calibri" w:hAnsi="Palatino Linotype" w:cs="Tahoma"/>
          <w:iCs/>
          <w:sz w:val="22"/>
          <w:szCs w:val="22"/>
          <w:lang w:val="es-ES" w:eastAsia="es-ES_tradnl"/>
        </w:rPr>
        <w:t>os</w:t>
      </w:r>
      <w:r w:rsidRPr="008E17DB">
        <w:rPr>
          <w:rFonts w:ascii="Palatino Linotype" w:eastAsia="Calibri" w:hAnsi="Palatino Linotype" w:cs="Tahoma"/>
          <w:iCs/>
          <w:sz w:val="22"/>
          <w:szCs w:val="22"/>
          <w:lang w:val="es-ES" w:eastAsia="es-ES_tradnl"/>
        </w:rPr>
        <w:t xml:space="preserve"> </w:t>
      </w:r>
      <w:r w:rsidRPr="008E17DB">
        <w:rPr>
          <w:rFonts w:ascii="Palatino Linotype" w:eastAsia="Calibri" w:hAnsi="Palatino Linotype" w:cs="Tahoma"/>
          <w:b/>
          <w:iCs/>
          <w:sz w:val="22"/>
          <w:szCs w:val="22"/>
          <w:u w:val="single"/>
          <w:lang w:val="es-ES" w:eastAsia="es-ES_tradnl"/>
        </w:rPr>
        <w:t xml:space="preserve">punto </w:t>
      </w:r>
      <w:r w:rsidR="00981E46" w:rsidRPr="008E17DB">
        <w:rPr>
          <w:rFonts w:ascii="Palatino Linotype" w:eastAsia="Calibri" w:hAnsi="Palatino Linotype" w:cs="Tahoma"/>
          <w:b/>
          <w:iCs/>
          <w:sz w:val="22"/>
          <w:szCs w:val="22"/>
          <w:u w:val="single"/>
          <w:lang w:val="es-ES" w:eastAsia="es-ES_tradnl"/>
        </w:rPr>
        <w:t>2 y 3</w:t>
      </w:r>
      <w:r w:rsidRPr="008E17DB">
        <w:rPr>
          <w:rFonts w:ascii="Palatino Linotype" w:eastAsia="Calibri" w:hAnsi="Palatino Linotype" w:cs="Tahoma"/>
          <w:iCs/>
          <w:sz w:val="22"/>
          <w:szCs w:val="22"/>
          <w:u w:val="single"/>
          <w:lang w:val="es-ES" w:eastAsia="es-ES_tradnl"/>
        </w:rPr>
        <w:t>,</w:t>
      </w:r>
      <w:r w:rsidR="00981E46" w:rsidRPr="008E17DB">
        <w:rPr>
          <w:rFonts w:ascii="Palatino Linotype" w:eastAsia="Calibri" w:hAnsi="Palatino Linotype" w:cs="Tahoma"/>
          <w:b/>
          <w:iCs/>
          <w:sz w:val="22"/>
          <w:szCs w:val="22"/>
          <w:u w:val="single"/>
          <w:lang w:val="es-ES" w:eastAsia="es-ES_tradnl"/>
        </w:rPr>
        <w:t xml:space="preserve"> </w:t>
      </w:r>
      <w:r w:rsidR="00981E46" w:rsidRPr="008E17DB">
        <w:rPr>
          <w:rFonts w:ascii="Palatino Linotype" w:eastAsia="Calibri" w:hAnsi="Palatino Linotype" w:cs="Tahoma"/>
          <w:iCs/>
          <w:sz w:val="22"/>
          <w:szCs w:val="22"/>
          <w:lang w:val="es-ES" w:eastAsia="es-ES_tradnl"/>
        </w:rPr>
        <w:t>así como la entrega en versión pública</w:t>
      </w:r>
      <w:r w:rsidR="000B6F9F" w:rsidRPr="008E17DB">
        <w:rPr>
          <w:rFonts w:ascii="Palatino Linotype" w:eastAsia="Calibri" w:hAnsi="Palatino Linotype" w:cs="Tahoma"/>
          <w:iCs/>
          <w:sz w:val="22"/>
          <w:szCs w:val="22"/>
          <w:lang w:val="es-ES" w:eastAsia="es-ES_tradnl"/>
        </w:rPr>
        <w:t xml:space="preserve"> de diversa información del último requerimiento</w:t>
      </w:r>
      <w:r w:rsidR="00981E46" w:rsidRPr="008E17DB">
        <w:rPr>
          <w:rFonts w:ascii="Palatino Linotype" w:eastAsia="Calibri" w:hAnsi="Palatino Linotype" w:cs="Tahoma"/>
          <w:iCs/>
          <w:sz w:val="22"/>
          <w:szCs w:val="22"/>
          <w:lang w:val="es-ES" w:eastAsia="es-ES_tradnl"/>
        </w:rPr>
        <w:t>,</w:t>
      </w:r>
      <w:r w:rsidRPr="008E17DB">
        <w:rPr>
          <w:rFonts w:ascii="Palatino Linotype" w:eastAsia="Calibri" w:hAnsi="Palatino Linotype" w:cs="Tahoma"/>
          <w:iCs/>
          <w:sz w:val="22"/>
          <w:szCs w:val="22"/>
          <w:lang w:val="es-ES" w:eastAsia="es-ES_tradnl"/>
        </w:rPr>
        <w:t xml:space="preserve"> no se hará pronunciamiento alguno de conformidad con el artículo 195 </w:t>
      </w:r>
      <w:r w:rsidRPr="008E17DB">
        <w:rPr>
          <w:rFonts w:ascii="Palatino Linotype" w:eastAsia="Calibri" w:hAnsi="Palatino Linotype" w:cs="Tahoma"/>
          <w:iCs/>
          <w:sz w:val="22"/>
          <w:szCs w:val="22"/>
          <w:lang w:eastAsia="es-ES_tradnl"/>
        </w:rPr>
        <w:t xml:space="preserve">de la Ley de Transparencia y Acceso a la Información Pública </w:t>
      </w:r>
      <w:r w:rsidRPr="008E17DB">
        <w:rPr>
          <w:rFonts w:ascii="Palatino Linotype" w:eastAsia="Calibri" w:hAnsi="Palatino Linotype" w:cs="Tahoma"/>
          <w:iCs/>
          <w:sz w:val="22"/>
          <w:szCs w:val="22"/>
          <w:lang w:eastAsia="es-ES_tradnl"/>
        </w:rPr>
        <w:lastRenderedPageBreak/>
        <w:t xml:space="preserve">del Estado de México y Municipios, con relación con el diverso 195, fracción IV, de Código de Procedimientos Administrativos del Estado de México, que establece que será improcedente el recurso contra </w:t>
      </w:r>
      <w:r w:rsidRPr="008E17DB">
        <w:rPr>
          <w:rFonts w:ascii="Palatino Linotype" w:eastAsia="Calibri" w:hAnsi="Palatino Linotype" w:cs="Tahoma"/>
          <w:b/>
          <w:iCs/>
          <w:sz w:val="22"/>
          <w:szCs w:val="22"/>
          <w:lang w:eastAsia="es-ES_tradnl"/>
        </w:rPr>
        <w:t>los actos que se hayan consentido tácitamente,</w:t>
      </w:r>
      <w:r w:rsidRPr="008E17DB">
        <w:rPr>
          <w:rFonts w:ascii="Palatino Linotype" w:eastAsia="Calibri" w:hAnsi="Palatino Linotype" w:cs="Tahoma"/>
          <w:iCs/>
          <w:sz w:val="22"/>
          <w:szCs w:val="22"/>
          <w:lang w:eastAsia="es-ES_tradnl"/>
        </w:rPr>
        <w:t xml:space="preserve"> entendiéndose por estos cuando el recurso no se haya promovido en el plazo señalado para el efecto.</w:t>
      </w:r>
    </w:p>
    <w:p w14:paraId="1CFE44FE" w14:textId="77777777" w:rsidR="00F63EB1" w:rsidRPr="008E17DB" w:rsidRDefault="00F63EB1" w:rsidP="00A70F75">
      <w:pPr>
        <w:tabs>
          <w:tab w:val="left" w:pos="4962"/>
        </w:tabs>
        <w:spacing w:line="360" w:lineRule="auto"/>
        <w:jc w:val="both"/>
        <w:rPr>
          <w:rFonts w:ascii="Palatino Linotype" w:eastAsia="Calibri" w:hAnsi="Palatino Linotype" w:cs="Tahoma"/>
          <w:iCs/>
          <w:sz w:val="22"/>
          <w:szCs w:val="22"/>
          <w:lang w:eastAsia="es-ES_tradnl"/>
        </w:rPr>
      </w:pPr>
    </w:p>
    <w:p w14:paraId="61A98D54" w14:textId="77777777" w:rsidR="00F63EB1" w:rsidRPr="008E17DB" w:rsidRDefault="00F63EB1" w:rsidP="00A70F75">
      <w:pPr>
        <w:tabs>
          <w:tab w:val="left" w:pos="4962"/>
        </w:tabs>
        <w:spacing w:line="360" w:lineRule="auto"/>
        <w:jc w:val="both"/>
        <w:rPr>
          <w:rFonts w:ascii="Palatino Linotype" w:eastAsia="Calibri" w:hAnsi="Palatino Linotype" w:cs="Tahoma"/>
          <w:iCs/>
          <w:sz w:val="22"/>
          <w:szCs w:val="22"/>
          <w:lang w:eastAsia="es-ES_tradnl"/>
        </w:rPr>
      </w:pPr>
      <w:r w:rsidRPr="008E17DB">
        <w:rPr>
          <w:rFonts w:ascii="Palatino Linotype" w:eastAsia="Calibri" w:hAnsi="Palatino Linotype" w:cs="Tahoma"/>
          <w:iCs/>
          <w:sz w:val="22"/>
          <w:szCs w:val="22"/>
          <w:lang w:eastAsia="es-ES_tradnl"/>
        </w:rPr>
        <w:t>De la misma manera resulta aplicable el criterio sostenido por el Poder Judicial de la Federación de rubro </w:t>
      </w:r>
      <w:r w:rsidRPr="008E17DB">
        <w:rPr>
          <w:rFonts w:ascii="Palatino Linotype" w:eastAsia="Calibri" w:hAnsi="Palatino Linotype" w:cs="Tahoma"/>
          <w:b/>
          <w:iCs/>
          <w:sz w:val="22"/>
          <w:szCs w:val="22"/>
          <w:lang w:eastAsia="es-ES_tradnl"/>
        </w:rPr>
        <w:t>ACTOS CONSENTIDOS TÁCITAMENTE</w:t>
      </w:r>
      <w:r w:rsidRPr="008E17DB">
        <w:rPr>
          <w:rFonts w:ascii="Palatino Linotype" w:eastAsia="Calibri" w:hAnsi="Palatino Linotype" w:cs="Tahoma"/>
          <w:iCs/>
          <w:sz w:val="22"/>
          <w:szCs w:val="22"/>
          <w:lang w:eastAsia="es-ES_tradnl"/>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409FAD2D" w14:textId="77777777" w:rsidR="00F63EB1" w:rsidRPr="008E17DB" w:rsidRDefault="00F63EB1" w:rsidP="00A70F75">
      <w:pPr>
        <w:tabs>
          <w:tab w:val="left" w:pos="4962"/>
        </w:tabs>
        <w:spacing w:line="360" w:lineRule="auto"/>
        <w:jc w:val="both"/>
        <w:rPr>
          <w:rFonts w:ascii="Palatino Linotype" w:eastAsia="Calibri" w:hAnsi="Palatino Linotype" w:cs="Tahoma"/>
          <w:iCs/>
          <w:sz w:val="22"/>
          <w:szCs w:val="22"/>
          <w:lang w:val="es-ES" w:eastAsia="es-ES_tradnl"/>
        </w:rPr>
      </w:pPr>
    </w:p>
    <w:p w14:paraId="48C37322" w14:textId="77777777" w:rsidR="00F63EB1" w:rsidRPr="008E17DB" w:rsidRDefault="00F63EB1" w:rsidP="00A70F75">
      <w:pPr>
        <w:tabs>
          <w:tab w:val="left" w:pos="4962"/>
        </w:tabs>
        <w:spacing w:line="360" w:lineRule="auto"/>
        <w:jc w:val="both"/>
        <w:rPr>
          <w:rFonts w:ascii="Palatino Linotype" w:eastAsia="Calibri" w:hAnsi="Palatino Linotype" w:cs="Tahoma"/>
          <w:b/>
          <w:iCs/>
          <w:sz w:val="22"/>
          <w:szCs w:val="22"/>
          <w:lang w:eastAsia="es-ES_tradnl"/>
        </w:rPr>
      </w:pPr>
      <w:r w:rsidRPr="008E17DB">
        <w:rPr>
          <w:rFonts w:ascii="Palatino Linotype" w:eastAsia="Calibri" w:hAnsi="Palatino Linotype" w:cs="Tahoma"/>
          <w:iCs/>
          <w:sz w:val="22"/>
          <w:szCs w:val="22"/>
          <w:lang w:eastAsia="es-ES_tradnl"/>
        </w:rPr>
        <w:t>De acuerdo con el criterio en comento, en el caso de que la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w:t>
      </w:r>
      <w:r w:rsidRPr="008E17DB">
        <w:rPr>
          <w:rFonts w:ascii="Palatino Linotype" w:eastAsia="Calibri" w:hAnsi="Palatino Linotype" w:cs="Tahoma"/>
          <w:b/>
          <w:iCs/>
          <w:sz w:val="22"/>
          <w:szCs w:val="22"/>
          <w:lang w:eastAsia="es-ES_tradnl"/>
        </w:rPr>
        <w:t xml:space="preserve"> quedaron firmes.</w:t>
      </w:r>
    </w:p>
    <w:p w14:paraId="0D24CCC0" w14:textId="77777777" w:rsidR="00F63EB1" w:rsidRPr="008E17DB" w:rsidRDefault="00F63EB1" w:rsidP="00A70F75">
      <w:pPr>
        <w:tabs>
          <w:tab w:val="left" w:pos="4962"/>
        </w:tabs>
        <w:spacing w:line="360" w:lineRule="auto"/>
        <w:jc w:val="both"/>
        <w:rPr>
          <w:rFonts w:ascii="Palatino Linotype" w:eastAsia="Calibri" w:hAnsi="Palatino Linotype" w:cs="Tahoma"/>
          <w:iCs/>
          <w:sz w:val="22"/>
          <w:szCs w:val="22"/>
          <w:lang w:eastAsia="es-ES_tradnl"/>
        </w:rPr>
      </w:pPr>
    </w:p>
    <w:p w14:paraId="33140095" w14:textId="495E27AB" w:rsidR="000B6F9F" w:rsidRPr="008E17DB" w:rsidRDefault="00F63EB1" w:rsidP="00A70F75">
      <w:pPr>
        <w:spacing w:line="360" w:lineRule="auto"/>
        <w:jc w:val="both"/>
        <w:rPr>
          <w:rFonts w:ascii="Palatino Linotype" w:hAnsi="Palatino Linotype" w:cs="Tahoma"/>
          <w:sz w:val="22"/>
          <w:szCs w:val="22"/>
        </w:rPr>
      </w:pPr>
      <w:r w:rsidRPr="008E17DB">
        <w:rPr>
          <w:rFonts w:ascii="Palatino Linotype" w:eastAsia="Calibri" w:hAnsi="Palatino Linotype" w:cs="Tahoma"/>
          <w:iCs/>
          <w:sz w:val="22"/>
          <w:szCs w:val="22"/>
          <w:lang w:eastAsia="es-ES_tradnl"/>
        </w:rPr>
        <w:t xml:space="preserve">Por lo expuesto, en el presente caso, la inconformidad </w:t>
      </w:r>
      <w:r w:rsidR="00F076E3" w:rsidRPr="008E17DB">
        <w:rPr>
          <w:rFonts w:ascii="Palatino Linotype" w:eastAsia="Calibri" w:hAnsi="Palatino Linotype" w:cs="Tahoma"/>
          <w:iCs/>
          <w:sz w:val="22"/>
          <w:szCs w:val="22"/>
          <w:lang w:eastAsia="es-ES_tradnl"/>
        </w:rPr>
        <w:t>del</w:t>
      </w:r>
      <w:r w:rsidRPr="008E17DB">
        <w:rPr>
          <w:rFonts w:ascii="Palatino Linotype" w:eastAsia="Calibri" w:hAnsi="Palatino Linotype" w:cs="Tahoma"/>
          <w:iCs/>
          <w:sz w:val="22"/>
          <w:szCs w:val="22"/>
          <w:lang w:eastAsia="es-ES_tradnl"/>
        </w:rPr>
        <w:t xml:space="preserve"> ahora Recurrente radica con la entrega de información </w:t>
      </w:r>
      <w:r w:rsidR="000B6F9F" w:rsidRPr="008E17DB">
        <w:rPr>
          <w:rFonts w:ascii="Palatino Linotype" w:eastAsia="Calibri" w:hAnsi="Palatino Linotype" w:cs="Tahoma"/>
          <w:iCs/>
          <w:sz w:val="22"/>
          <w:szCs w:val="22"/>
          <w:lang w:eastAsia="es-ES_tradnl"/>
        </w:rPr>
        <w:t>que no corresponde a lo solicitado</w:t>
      </w:r>
      <w:r w:rsidRPr="008E17DB">
        <w:rPr>
          <w:rFonts w:ascii="Palatino Linotype" w:eastAsia="Calibri" w:hAnsi="Palatino Linotype" w:cs="Tahoma"/>
          <w:iCs/>
          <w:sz w:val="22"/>
          <w:szCs w:val="22"/>
          <w:lang w:eastAsia="es-ES_tradnl"/>
        </w:rPr>
        <w:t xml:space="preserve"> del requerimiento informativo</w:t>
      </w:r>
      <w:r w:rsidR="000B6F9F" w:rsidRPr="008E17DB">
        <w:rPr>
          <w:rFonts w:ascii="Palatino Linotype" w:eastAsia="Calibri" w:hAnsi="Palatino Linotype" w:cs="Tahoma"/>
          <w:iCs/>
          <w:sz w:val="22"/>
          <w:szCs w:val="22"/>
          <w:lang w:eastAsia="es-ES_tradnl"/>
        </w:rPr>
        <w:t xml:space="preserve"> 1</w:t>
      </w:r>
      <w:r w:rsidRPr="008E17DB">
        <w:rPr>
          <w:rFonts w:ascii="Palatino Linotype" w:eastAsia="Calibri" w:hAnsi="Palatino Linotype" w:cs="Tahoma"/>
          <w:iCs/>
          <w:sz w:val="22"/>
          <w:szCs w:val="22"/>
          <w:lang w:eastAsia="es-ES_tradnl"/>
        </w:rPr>
        <w:t>, lo cual constituye la causal de procedencia del Recurso de Revisión, en términos del artículo 179, fracción V</w:t>
      </w:r>
      <w:r w:rsidR="000B6F9F" w:rsidRPr="008E17DB">
        <w:rPr>
          <w:rFonts w:ascii="Palatino Linotype" w:eastAsia="Calibri" w:hAnsi="Palatino Linotype" w:cs="Tahoma"/>
          <w:iCs/>
          <w:sz w:val="22"/>
          <w:szCs w:val="22"/>
          <w:lang w:eastAsia="es-ES_tradnl"/>
        </w:rPr>
        <w:t>I</w:t>
      </w:r>
      <w:r w:rsidRPr="008E17DB">
        <w:rPr>
          <w:rFonts w:ascii="Palatino Linotype" w:eastAsia="Calibri" w:hAnsi="Palatino Linotype" w:cs="Tahoma"/>
          <w:iCs/>
          <w:sz w:val="22"/>
          <w:szCs w:val="22"/>
          <w:lang w:eastAsia="es-ES_tradnl"/>
        </w:rPr>
        <w:t>, de la Ley de Transparencia y Acceso a la Informaci</w:t>
      </w:r>
      <w:r w:rsidR="000B6F9F" w:rsidRPr="008E17DB">
        <w:rPr>
          <w:rFonts w:ascii="Palatino Linotype" w:eastAsia="Calibri" w:hAnsi="Palatino Linotype" w:cs="Tahoma"/>
          <w:iCs/>
          <w:sz w:val="22"/>
          <w:szCs w:val="22"/>
          <w:lang w:eastAsia="es-ES_tradnl"/>
        </w:rPr>
        <w:t xml:space="preserve">ón Pública del Estado de México; </w:t>
      </w:r>
      <w:r w:rsidR="000B6F9F" w:rsidRPr="008E17DB">
        <w:rPr>
          <w:rFonts w:ascii="Palatino Linotype" w:hAnsi="Palatino Linotype" w:cs="Tahoma"/>
          <w:iCs/>
          <w:sz w:val="22"/>
          <w:szCs w:val="22"/>
          <w:lang w:val="es-ES"/>
        </w:rPr>
        <w:t xml:space="preserve">Así las cosas, una vez admitido y notificado el Recurso de Revisión a las partes, el Ayuntamiento de Tlalnepantla de Baz </w:t>
      </w:r>
      <w:r w:rsidR="000B6F9F" w:rsidRPr="008E17DB">
        <w:rPr>
          <w:rFonts w:ascii="Palatino Linotype" w:hAnsi="Palatino Linotype" w:cs="Tahoma"/>
          <w:bCs/>
          <w:iCs/>
          <w:sz w:val="22"/>
          <w:szCs w:val="22"/>
        </w:rPr>
        <w:t>al remitir el Informe Justificado, mismo que se puso a la vista del ahora Recurrente</w:t>
      </w:r>
      <w:r w:rsidR="000B6F9F" w:rsidRPr="008E17DB">
        <w:rPr>
          <w:rFonts w:ascii="Palatino Linotype" w:hAnsi="Palatino Linotype" w:cs="Tahoma"/>
          <w:iCs/>
          <w:sz w:val="22"/>
          <w:szCs w:val="22"/>
          <w:lang w:val="es-ES"/>
        </w:rPr>
        <w:t xml:space="preserve">, proporcionó </w:t>
      </w:r>
      <w:r w:rsidR="00D30A12" w:rsidRPr="008E17DB">
        <w:rPr>
          <w:rFonts w:ascii="Palatino Linotype" w:hAnsi="Palatino Linotype" w:cs="Tahoma"/>
          <w:bCs/>
          <w:iCs/>
          <w:sz w:val="22"/>
          <w:szCs w:val="22"/>
          <w:lang w:val="es-ES"/>
        </w:rPr>
        <w:t xml:space="preserve">Balanza de Comprobación Detallada, de marzo de </w:t>
      </w:r>
      <w:r w:rsidR="00D30A12" w:rsidRPr="008E17DB">
        <w:rPr>
          <w:rFonts w:ascii="Palatino Linotype" w:hAnsi="Palatino Linotype" w:cs="Tahoma"/>
          <w:bCs/>
          <w:iCs/>
          <w:sz w:val="22"/>
          <w:szCs w:val="22"/>
          <w:lang w:val="es-ES"/>
        </w:rPr>
        <w:lastRenderedPageBreak/>
        <w:t>dos mil diecinueve, en formato “PDF” y “XLS”. Por su parte, el Particular indicó que no se podía sobreseer el Recurso de Revisión, pues no se había adjuntado la documental previamente señalada.</w:t>
      </w:r>
    </w:p>
    <w:p w14:paraId="52BC16CF" w14:textId="60D5BA64" w:rsidR="00F63EB1" w:rsidRPr="008E17DB" w:rsidRDefault="00F63EB1" w:rsidP="00A70F75">
      <w:pPr>
        <w:tabs>
          <w:tab w:val="left" w:pos="4962"/>
        </w:tabs>
        <w:spacing w:line="360" w:lineRule="auto"/>
        <w:jc w:val="both"/>
        <w:rPr>
          <w:rFonts w:ascii="Palatino Linotype" w:eastAsia="Calibri" w:hAnsi="Palatino Linotype" w:cs="Tahoma"/>
          <w:iCs/>
          <w:sz w:val="22"/>
          <w:szCs w:val="22"/>
          <w:lang w:eastAsia="es-ES_tradnl"/>
        </w:rPr>
      </w:pPr>
    </w:p>
    <w:p w14:paraId="2DB2B543" w14:textId="6EE75A50" w:rsidR="00D30A12" w:rsidRPr="008E17DB" w:rsidRDefault="00D30A12" w:rsidP="00A70F75">
      <w:pPr>
        <w:tabs>
          <w:tab w:val="left" w:pos="4962"/>
        </w:tabs>
        <w:spacing w:line="360" w:lineRule="auto"/>
        <w:jc w:val="both"/>
        <w:rPr>
          <w:rFonts w:ascii="Palatino Linotype" w:eastAsia="Calibri" w:hAnsi="Palatino Linotype" w:cs="Tahoma"/>
          <w:iCs/>
          <w:sz w:val="22"/>
          <w:szCs w:val="22"/>
          <w:lang w:eastAsia="es-ES_tradnl"/>
        </w:rPr>
      </w:pPr>
      <w:r w:rsidRPr="008E17DB">
        <w:rPr>
          <w:rFonts w:ascii="Palatino Linotype" w:eastAsia="Calibri" w:hAnsi="Palatino Linotype" w:cs="Tahoma"/>
          <w:iCs/>
          <w:sz w:val="22"/>
          <w:szCs w:val="22"/>
          <w:lang w:eastAsia="es-ES_tradnl"/>
        </w:rPr>
        <w:t>Finalmente, este Instituto realizó un requerimiento de información adicional, para allegarse de mayores elementos, conforme a lo siguiente:</w:t>
      </w:r>
    </w:p>
    <w:p w14:paraId="3C809F9B" w14:textId="77777777" w:rsidR="00D30A12" w:rsidRPr="008E17DB" w:rsidRDefault="00D30A12" w:rsidP="00A70F75">
      <w:pPr>
        <w:tabs>
          <w:tab w:val="left" w:pos="4962"/>
        </w:tabs>
        <w:spacing w:line="360" w:lineRule="auto"/>
        <w:jc w:val="both"/>
        <w:rPr>
          <w:rFonts w:ascii="Palatino Linotype" w:eastAsia="Calibri" w:hAnsi="Palatino Linotype" w:cs="Tahoma"/>
          <w:iCs/>
          <w:sz w:val="22"/>
          <w:szCs w:val="22"/>
          <w:lang w:eastAsia="es-ES_tradnl"/>
        </w:rPr>
      </w:pPr>
    </w:p>
    <w:tbl>
      <w:tblPr>
        <w:tblStyle w:val="Tablaconcuadrcula"/>
        <w:tblW w:w="0" w:type="auto"/>
        <w:tblLook w:val="04A0" w:firstRow="1" w:lastRow="0" w:firstColumn="1" w:lastColumn="0" w:noHBand="0" w:noVBand="1"/>
      </w:tblPr>
      <w:tblGrid>
        <w:gridCol w:w="4517"/>
        <w:gridCol w:w="4517"/>
      </w:tblGrid>
      <w:tr w:rsidR="00D30A12" w:rsidRPr="008E17DB" w14:paraId="038F460A" w14:textId="77777777" w:rsidTr="00D30A12">
        <w:tc>
          <w:tcPr>
            <w:tcW w:w="4517" w:type="dxa"/>
            <w:shd w:val="clear" w:color="auto" w:fill="8EAADB" w:themeFill="accent1" w:themeFillTint="99"/>
          </w:tcPr>
          <w:p w14:paraId="318E91AB" w14:textId="3436AC76" w:rsidR="00D30A12" w:rsidRPr="008E17DB" w:rsidRDefault="00D30A12" w:rsidP="00A70F75">
            <w:pPr>
              <w:tabs>
                <w:tab w:val="left" w:pos="4962"/>
              </w:tabs>
              <w:spacing w:line="360" w:lineRule="auto"/>
              <w:jc w:val="center"/>
              <w:rPr>
                <w:rFonts w:ascii="Palatino Linotype" w:eastAsia="Calibri" w:hAnsi="Palatino Linotype" w:cs="Tahoma"/>
                <w:b/>
                <w:iCs/>
                <w:szCs w:val="22"/>
                <w:lang w:eastAsia="es-ES_tradnl"/>
              </w:rPr>
            </w:pPr>
            <w:r w:rsidRPr="008E17DB">
              <w:rPr>
                <w:rFonts w:ascii="Palatino Linotype" w:eastAsia="Calibri" w:hAnsi="Palatino Linotype" w:cs="Tahoma"/>
                <w:b/>
                <w:iCs/>
                <w:szCs w:val="22"/>
                <w:lang w:eastAsia="es-ES_tradnl"/>
              </w:rPr>
              <w:t>Requerimiento de Información Adicional</w:t>
            </w:r>
            <w:r w:rsidR="00DC0A7C" w:rsidRPr="008E17DB">
              <w:rPr>
                <w:rFonts w:ascii="Palatino Linotype" w:eastAsia="Calibri" w:hAnsi="Palatino Linotype" w:cs="Tahoma"/>
                <w:b/>
                <w:iCs/>
                <w:szCs w:val="22"/>
                <w:lang w:eastAsia="es-ES_tradnl"/>
              </w:rPr>
              <w:t>, respecto a la Balanza de Comprobación Detallada, proporcionada en Informe Justificado.</w:t>
            </w:r>
          </w:p>
        </w:tc>
        <w:tc>
          <w:tcPr>
            <w:tcW w:w="4517" w:type="dxa"/>
            <w:shd w:val="clear" w:color="auto" w:fill="8EAADB" w:themeFill="accent1" w:themeFillTint="99"/>
          </w:tcPr>
          <w:p w14:paraId="45770F35" w14:textId="47AB4CF3" w:rsidR="00D30A12" w:rsidRPr="008E17DB" w:rsidRDefault="00D30A12" w:rsidP="00A70F75">
            <w:pPr>
              <w:tabs>
                <w:tab w:val="left" w:pos="4962"/>
              </w:tabs>
              <w:spacing w:line="360" w:lineRule="auto"/>
              <w:jc w:val="center"/>
              <w:rPr>
                <w:rFonts w:ascii="Palatino Linotype" w:eastAsia="Calibri" w:hAnsi="Palatino Linotype" w:cs="Tahoma"/>
                <w:b/>
                <w:iCs/>
                <w:szCs w:val="22"/>
                <w:lang w:eastAsia="es-ES_tradnl"/>
              </w:rPr>
            </w:pPr>
            <w:r w:rsidRPr="008E17DB">
              <w:rPr>
                <w:rFonts w:ascii="Palatino Linotype" w:eastAsia="Calibri" w:hAnsi="Palatino Linotype" w:cs="Tahoma"/>
                <w:b/>
                <w:iCs/>
                <w:szCs w:val="22"/>
                <w:lang w:eastAsia="es-ES_tradnl"/>
              </w:rPr>
              <w:t>Desahogo del Requerimiento, por parte de la Tesorería Municipal</w:t>
            </w:r>
          </w:p>
        </w:tc>
      </w:tr>
      <w:tr w:rsidR="00D30A12" w:rsidRPr="008E17DB" w14:paraId="7BDD678F" w14:textId="77777777" w:rsidTr="00D30A12">
        <w:tc>
          <w:tcPr>
            <w:tcW w:w="4517" w:type="dxa"/>
          </w:tcPr>
          <w:p w14:paraId="2A7EA2AF" w14:textId="1F802CC1" w:rsidR="00D30A12" w:rsidRPr="008E17DB" w:rsidRDefault="00D30A12" w:rsidP="00A70F75">
            <w:pPr>
              <w:tabs>
                <w:tab w:val="left" w:pos="4962"/>
              </w:tabs>
              <w:spacing w:line="360" w:lineRule="auto"/>
              <w:jc w:val="both"/>
              <w:rPr>
                <w:rFonts w:ascii="Palatino Linotype" w:eastAsia="Calibri" w:hAnsi="Palatino Linotype" w:cs="Tahoma"/>
                <w:iCs/>
                <w:szCs w:val="22"/>
                <w:lang w:eastAsia="es-ES_tradnl"/>
              </w:rPr>
            </w:pPr>
            <w:r w:rsidRPr="008E17DB">
              <w:rPr>
                <w:rFonts w:ascii="Palatino Linotype" w:eastAsia="Calibri" w:hAnsi="Palatino Linotype" w:cs="Tahoma"/>
                <w:iCs/>
                <w:szCs w:val="22"/>
                <w:lang w:eastAsia="es-ES_tradnl"/>
              </w:rPr>
              <w:t>1. ¿A quién pertenece el nombre de las personas físicas localizadas en el mismo, (servidores públicos, proveedores o particulares)?</w:t>
            </w:r>
          </w:p>
        </w:tc>
        <w:tc>
          <w:tcPr>
            <w:tcW w:w="4517" w:type="dxa"/>
          </w:tcPr>
          <w:p w14:paraId="5733DE20" w14:textId="7E2DC91E" w:rsidR="00D30A12" w:rsidRPr="008E17DB" w:rsidRDefault="004367EC" w:rsidP="00A70F75">
            <w:pPr>
              <w:tabs>
                <w:tab w:val="left" w:pos="4962"/>
              </w:tabs>
              <w:spacing w:line="360" w:lineRule="auto"/>
              <w:jc w:val="both"/>
              <w:rPr>
                <w:rFonts w:ascii="Palatino Linotype" w:eastAsia="Calibri" w:hAnsi="Palatino Linotype" w:cs="Tahoma"/>
                <w:iCs/>
                <w:szCs w:val="22"/>
                <w:lang w:eastAsia="es-ES_tradnl"/>
              </w:rPr>
            </w:pPr>
            <w:r w:rsidRPr="008E17DB">
              <w:rPr>
                <w:rFonts w:ascii="Palatino Linotype" w:eastAsia="Calibri" w:hAnsi="Palatino Linotype" w:cs="Tahoma"/>
                <w:iCs/>
                <w:szCs w:val="22"/>
                <w:lang w:eastAsia="es-ES_tradnl"/>
              </w:rPr>
              <w:t>Precisó que el nombre de las personas físicas correspondían al personal del Municipio de Tlalnepantla de Baz, proveedores, contratistas y prestadores de servicios y acreedores del Sujeto Obligado.</w:t>
            </w:r>
          </w:p>
        </w:tc>
      </w:tr>
      <w:tr w:rsidR="00D30A12" w:rsidRPr="008E17DB" w14:paraId="405608E8" w14:textId="77777777" w:rsidTr="00D30A12">
        <w:tc>
          <w:tcPr>
            <w:tcW w:w="4517" w:type="dxa"/>
          </w:tcPr>
          <w:p w14:paraId="77DAD567" w14:textId="649F565E" w:rsidR="00D30A12" w:rsidRPr="008E17DB" w:rsidRDefault="004367EC" w:rsidP="00A70F75">
            <w:pPr>
              <w:tabs>
                <w:tab w:val="left" w:pos="4962"/>
              </w:tabs>
              <w:spacing w:line="360" w:lineRule="auto"/>
              <w:jc w:val="both"/>
              <w:rPr>
                <w:rFonts w:ascii="Palatino Linotype" w:eastAsia="Calibri" w:hAnsi="Palatino Linotype" w:cs="Tahoma"/>
                <w:iCs/>
                <w:szCs w:val="22"/>
                <w:lang w:eastAsia="es-ES_tradnl"/>
              </w:rPr>
            </w:pPr>
            <w:r w:rsidRPr="008E17DB">
              <w:rPr>
                <w:rFonts w:ascii="Palatino Linotype" w:eastAsia="Calibri" w:hAnsi="Palatino Linotype" w:cs="Tahoma"/>
                <w:iCs/>
                <w:szCs w:val="22"/>
                <w:lang w:eastAsia="es-ES_tradnl"/>
              </w:rPr>
              <w:t>2. ¿Si los números de cuenta de distintos bancos, pertenecen al Ayuntamiento, a personas físicas o a personas jurídico colectivas?</w:t>
            </w:r>
          </w:p>
        </w:tc>
        <w:tc>
          <w:tcPr>
            <w:tcW w:w="4517" w:type="dxa"/>
          </w:tcPr>
          <w:p w14:paraId="2139C562" w14:textId="74C290B5" w:rsidR="00D30A12" w:rsidRPr="008E17DB" w:rsidRDefault="004367EC" w:rsidP="00A70F75">
            <w:pPr>
              <w:tabs>
                <w:tab w:val="left" w:pos="4962"/>
              </w:tabs>
              <w:spacing w:line="360" w:lineRule="auto"/>
              <w:jc w:val="both"/>
              <w:rPr>
                <w:rFonts w:ascii="Palatino Linotype" w:eastAsia="Calibri" w:hAnsi="Palatino Linotype" w:cs="Tahoma"/>
                <w:iCs/>
                <w:szCs w:val="22"/>
                <w:lang w:eastAsia="es-ES_tradnl"/>
              </w:rPr>
            </w:pPr>
            <w:r w:rsidRPr="008E17DB">
              <w:rPr>
                <w:rFonts w:ascii="Palatino Linotype" w:eastAsia="Calibri" w:hAnsi="Palatino Linotype" w:cs="Tahoma"/>
                <w:iCs/>
                <w:szCs w:val="22"/>
                <w:lang w:eastAsia="es-ES_tradnl"/>
              </w:rPr>
              <w:t xml:space="preserve">Indicó que correspondían a los números de cuenta del Ayuntamiento de Tlalnepantla de Baz, </w:t>
            </w:r>
            <w:r w:rsidR="00DC0A7C" w:rsidRPr="008E17DB">
              <w:rPr>
                <w:rFonts w:ascii="Palatino Linotype" w:eastAsia="Calibri" w:hAnsi="Palatino Linotype" w:cs="Tahoma"/>
                <w:iCs/>
                <w:szCs w:val="22"/>
                <w:lang w:eastAsia="es-ES_tradnl"/>
              </w:rPr>
              <w:t>en diversos bancos, para el manejo y control de recursos públicos.</w:t>
            </w:r>
          </w:p>
        </w:tc>
      </w:tr>
      <w:tr w:rsidR="00D30A12" w:rsidRPr="008E17DB" w14:paraId="6FE5B85B" w14:textId="77777777" w:rsidTr="00D30A12">
        <w:tc>
          <w:tcPr>
            <w:tcW w:w="4517" w:type="dxa"/>
          </w:tcPr>
          <w:p w14:paraId="3FA090FC" w14:textId="5CC50195" w:rsidR="00D30A12" w:rsidRPr="008E17DB" w:rsidRDefault="004367EC" w:rsidP="00A70F75">
            <w:pPr>
              <w:tabs>
                <w:tab w:val="left" w:pos="4962"/>
              </w:tabs>
              <w:spacing w:line="360" w:lineRule="auto"/>
              <w:jc w:val="both"/>
              <w:rPr>
                <w:rFonts w:ascii="Palatino Linotype" w:eastAsia="Calibri" w:hAnsi="Palatino Linotype" w:cs="Tahoma"/>
                <w:iCs/>
                <w:szCs w:val="22"/>
                <w:lang w:eastAsia="es-ES_tradnl"/>
              </w:rPr>
            </w:pPr>
            <w:r w:rsidRPr="008E17DB">
              <w:rPr>
                <w:rFonts w:ascii="Palatino Linotype" w:eastAsia="Calibri" w:hAnsi="Palatino Linotype" w:cs="Tahoma"/>
                <w:iCs/>
                <w:szCs w:val="22"/>
                <w:lang w:eastAsia="es-ES_tradnl"/>
              </w:rPr>
              <w:t>3. ¿Existe algún otro dato, que pudiera o es considerado confidencial, en términos del artículo 143, fracción I de la Ley de Transparencia y Acceso a la Información Pública del Estado de México y Municipios?</w:t>
            </w:r>
          </w:p>
        </w:tc>
        <w:tc>
          <w:tcPr>
            <w:tcW w:w="4517" w:type="dxa"/>
          </w:tcPr>
          <w:p w14:paraId="0DE6F22F" w14:textId="2133869A" w:rsidR="00D30A12" w:rsidRPr="008E17DB" w:rsidRDefault="00DC0A7C" w:rsidP="00A70F75">
            <w:pPr>
              <w:tabs>
                <w:tab w:val="left" w:pos="4962"/>
              </w:tabs>
              <w:spacing w:line="360" w:lineRule="auto"/>
              <w:jc w:val="both"/>
              <w:rPr>
                <w:rFonts w:ascii="Palatino Linotype" w:eastAsia="Calibri" w:hAnsi="Palatino Linotype" w:cs="Tahoma"/>
                <w:iCs/>
                <w:szCs w:val="22"/>
                <w:lang w:eastAsia="es-ES_tradnl"/>
              </w:rPr>
            </w:pPr>
            <w:r w:rsidRPr="008E17DB">
              <w:rPr>
                <w:rFonts w:ascii="Palatino Linotype" w:eastAsia="Calibri" w:hAnsi="Palatino Linotype" w:cs="Tahoma"/>
                <w:iCs/>
                <w:szCs w:val="22"/>
                <w:lang w:eastAsia="es-ES_tradnl"/>
              </w:rPr>
              <w:t>Que la Balanza de Comprobación Detallada, no contenía ningún dato de carácter confidencial, en términos del artículo 143, fracción I de la Ley de Transparencia y Acceso a la Información Pública del Estado de México y Municipios.</w:t>
            </w:r>
          </w:p>
        </w:tc>
      </w:tr>
    </w:tbl>
    <w:p w14:paraId="580B85EC" w14:textId="77777777" w:rsidR="00B01182" w:rsidRPr="008E17DB" w:rsidRDefault="00B01182" w:rsidP="00A70F75">
      <w:pPr>
        <w:tabs>
          <w:tab w:val="left" w:pos="4962"/>
        </w:tabs>
        <w:spacing w:line="360" w:lineRule="auto"/>
        <w:jc w:val="both"/>
        <w:rPr>
          <w:rFonts w:ascii="Palatino Linotype" w:eastAsia="Calibri" w:hAnsi="Palatino Linotype" w:cs="Tahoma"/>
          <w:iCs/>
          <w:sz w:val="22"/>
          <w:szCs w:val="22"/>
          <w:lang w:eastAsia="es-ES_tradnl"/>
        </w:rPr>
      </w:pPr>
    </w:p>
    <w:p w14:paraId="14C3E67B" w14:textId="5C232DA7" w:rsidR="00F63EB1" w:rsidRPr="008E17DB" w:rsidRDefault="00F63EB1" w:rsidP="00A70F75">
      <w:pPr>
        <w:spacing w:line="360" w:lineRule="auto"/>
        <w:jc w:val="both"/>
        <w:rPr>
          <w:rFonts w:ascii="Palatino Linotype" w:eastAsia="Calibri" w:hAnsi="Palatino Linotype" w:cs="Tahoma"/>
          <w:bCs/>
          <w:sz w:val="22"/>
          <w:szCs w:val="22"/>
          <w:lang w:eastAsia="en-US"/>
        </w:rPr>
      </w:pPr>
      <w:r w:rsidRPr="008E17DB">
        <w:rPr>
          <w:rFonts w:ascii="Palatino Linotype" w:hAnsi="Palatino Linotype" w:cs="Tahoma"/>
          <w:sz w:val="22"/>
          <w:szCs w:val="22"/>
          <w:lang w:val="es-ES"/>
        </w:rPr>
        <w:lastRenderedPageBreak/>
        <w:t xml:space="preserve">Lo anterior, se desprende de las documentales que obran en el expediente de referencia, materia de la presente resolución, consistentes en: la solicitud de acceso a la información con número de folio </w:t>
      </w:r>
      <w:r w:rsidR="00BF65BD" w:rsidRPr="008E17DB">
        <w:rPr>
          <w:rFonts w:ascii="Palatino Linotype" w:eastAsia="Calibri" w:hAnsi="Palatino Linotype" w:cs="Tahoma"/>
          <w:bCs/>
          <w:sz w:val="22"/>
          <w:szCs w:val="22"/>
          <w:lang w:eastAsia="en-US"/>
        </w:rPr>
        <w:t>00634/TLALNEPA/IP/2019</w:t>
      </w:r>
      <w:r w:rsidRPr="008E17DB">
        <w:rPr>
          <w:rFonts w:ascii="Palatino Linotype" w:eastAsia="Calibri" w:hAnsi="Palatino Linotype" w:cs="Tahoma"/>
          <w:bCs/>
          <w:sz w:val="22"/>
          <w:szCs w:val="22"/>
          <w:lang w:eastAsia="en-US"/>
        </w:rPr>
        <w:t xml:space="preserve">; la respuesta proporcionada por el Ayuntamiento </w:t>
      </w:r>
      <w:r w:rsidR="00BF65BD" w:rsidRPr="008E17DB">
        <w:rPr>
          <w:rFonts w:ascii="Palatino Linotype" w:eastAsia="Calibri" w:hAnsi="Palatino Linotype" w:cs="Tahoma"/>
          <w:bCs/>
          <w:sz w:val="22"/>
          <w:szCs w:val="22"/>
          <w:lang w:eastAsia="en-US"/>
        </w:rPr>
        <w:t>de Tlalnepantla de Baz</w:t>
      </w:r>
      <w:r w:rsidRPr="008E17DB">
        <w:rPr>
          <w:rFonts w:ascii="Palatino Linotype" w:eastAsia="Calibri" w:hAnsi="Palatino Linotype" w:cs="Tahoma"/>
          <w:bCs/>
          <w:sz w:val="22"/>
          <w:szCs w:val="22"/>
          <w:lang w:eastAsia="en-US"/>
        </w:rPr>
        <w:t xml:space="preserve">; el escrito </w:t>
      </w:r>
      <w:proofErr w:type="spellStart"/>
      <w:r w:rsidRPr="008E17DB">
        <w:rPr>
          <w:rFonts w:ascii="Palatino Linotype" w:eastAsia="Calibri" w:hAnsi="Palatino Linotype" w:cs="Tahoma"/>
          <w:bCs/>
          <w:sz w:val="22"/>
          <w:szCs w:val="22"/>
          <w:lang w:eastAsia="en-US"/>
        </w:rPr>
        <w:t>recursal</w:t>
      </w:r>
      <w:proofErr w:type="spellEnd"/>
      <w:r w:rsidR="00BF65BD" w:rsidRPr="008E17DB">
        <w:rPr>
          <w:rFonts w:ascii="Palatino Linotype" w:eastAsia="Calibri" w:hAnsi="Palatino Linotype" w:cs="Tahoma"/>
          <w:bCs/>
          <w:sz w:val="22"/>
          <w:szCs w:val="22"/>
          <w:lang w:eastAsia="en-US"/>
        </w:rPr>
        <w:t>; el Informe Justificado del Sujeto Obligado;</w:t>
      </w:r>
      <w:r w:rsidRPr="008E17DB">
        <w:rPr>
          <w:rFonts w:ascii="Palatino Linotype" w:eastAsia="Calibri" w:hAnsi="Palatino Linotype" w:cs="Tahoma"/>
          <w:bCs/>
          <w:sz w:val="22"/>
          <w:szCs w:val="22"/>
          <w:lang w:eastAsia="en-US"/>
        </w:rPr>
        <w:t xml:space="preserve"> las manifestaciones realizadas por </w:t>
      </w:r>
      <w:r w:rsidR="00F076E3" w:rsidRPr="008E17DB">
        <w:rPr>
          <w:rFonts w:ascii="Palatino Linotype" w:eastAsia="Calibri" w:hAnsi="Palatino Linotype" w:cs="Tahoma"/>
          <w:bCs/>
          <w:sz w:val="22"/>
          <w:szCs w:val="22"/>
          <w:lang w:eastAsia="en-US"/>
        </w:rPr>
        <w:t>el</w:t>
      </w:r>
      <w:r w:rsidRPr="008E17DB">
        <w:rPr>
          <w:rFonts w:ascii="Palatino Linotype" w:eastAsia="Calibri" w:hAnsi="Palatino Linotype" w:cs="Tahoma"/>
          <w:bCs/>
          <w:sz w:val="22"/>
          <w:szCs w:val="22"/>
          <w:lang w:eastAsia="en-US"/>
        </w:rPr>
        <w:t xml:space="preserve"> ahora Recurrente</w:t>
      </w:r>
      <w:r w:rsidR="00BF65BD" w:rsidRPr="008E17DB">
        <w:rPr>
          <w:rFonts w:ascii="Palatino Linotype" w:eastAsia="Calibri" w:hAnsi="Palatino Linotype" w:cs="Tahoma"/>
          <w:bCs/>
          <w:sz w:val="22"/>
          <w:szCs w:val="22"/>
          <w:lang w:eastAsia="en-US"/>
        </w:rPr>
        <w:t xml:space="preserve"> y</w:t>
      </w:r>
      <w:r w:rsidR="003A2BFE" w:rsidRPr="008E17DB">
        <w:rPr>
          <w:rFonts w:ascii="Palatino Linotype" w:eastAsia="Calibri" w:hAnsi="Palatino Linotype" w:cs="Tahoma"/>
          <w:bCs/>
          <w:sz w:val="22"/>
          <w:szCs w:val="22"/>
          <w:lang w:eastAsia="en-US"/>
        </w:rPr>
        <w:t xml:space="preserve"> el desahogo del requerimiento de información adicional</w:t>
      </w:r>
      <w:r w:rsidRPr="008E17DB">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14:paraId="7F2AFAD8" w14:textId="77777777" w:rsidR="00A81576" w:rsidRPr="008E17DB" w:rsidRDefault="00A81576" w:rsidP="00A70F75">
      <w:pPr>
        <w:spacing w:line="360" w:lineRule="auto"/>
        <w:jc w:val="both"/>
        <w:rPr>
          <w:rFonts w:ascii="Palatino Linotype" w:hAnsi="Palatino Linotype" w:cs="Tahoma"/>
          <w:b/>
          <w:bCs/>
          <w:sz w:val="22"/>
          <w:szCs w:val="22"/>
        </w:rPr>
      </w:pPr>
    </w:p>
    <w:p w14:paraId="2EE6292E" w14:textId="412D8520" w:rsidR="00A81576" w:rsidRPr="008E17DB" w:rsidRDefault="003A2BFE" w:rsidP="00A70F75">
      <w:pPr>
        <w:spacing w:line="360" w:lineRule="auto"/>
        <w:jc w:val="both"/>
        <w:rPr>
          <w:rFonts w:ascii="Palatino Linotype" w:hAnsi="Palatino Linotype" w:cs="Tahoma"/>
          <w:bCs/>
          <w:sz w:val="22"/>
          <w:szCs w:val="22"/>
        </w:rPr>
      </w:pPr>
      <w:r w:rsidRPr="008E17DB">
        <w:rPr>
          <w:rFonts w:ascii="Palatino Linotype" w:hAnsi="Palatino Linotype" w:cs="Tahoma"/>
          <w:bCs/>
          <w:sz w:val="22"/>
          <w:szCs w:val="22"/>
        </w:rPr>
        <w:t>A</w:t>
      </w:r>
      <w:r w:rsidR="006F01FC" w:rsidRPr="008E17DB">
        <w:rPr>
          <w:rFonts w:ascii="Palatino Linotype" w:hAnsi="Palatino Linotype" w:cs="Tahoma"/>
          <w:bCs/>
          <w:sz w:val="22"/>
          <w:szCs w:val="22"/>
        </w:rPr>
        <w:t>hora bien</w:t>
      </w:r>
      <w:r w:rsidR="00905F30" w:rsidRPr="008E17DB">
        <w:rPr>
          <w:rFonts w:ascii="Palatino Linotype" w:hAnsi="Palatino Linotype" w:cs="Tahoma"/>
          <w:bCs/>
          <w:sz w:val="22"/>
          <w:szCs w:val="22"/>
        </w:rPr>
        <w:t xml:space="preserve">, resulta necesario precisar que la pretensión del ahora Recurrente es obtener la Balanza de Comprobación Detallada, </w:t>
      </w:r>
      <w:r w:rsidR="00935CE0" w:rsidRPr="008E17DB">
        <w:rPr>
          <w:rFonts w:ascii="Palatino Linotype" w:hAnsi="Palatino Linotype" w:cs="Tahoma"/>
          <w:bCs/>
          <w:sz w:val="22"/>
          <w:szCs w:val="22"/>
        </w:rPr>
        <w:t>que proporcionó el Sujeto Obligado en el Disco 1, de su Informe Mensual de Marzo de dos mil diecinueve.</w:t>
      </w:r>
    </w:p>
    <w:p w14:paraId="4EC6952A" w14:textId="77777777" w:rsidR="00A81576" w:rsidRPr="008E17DB" w:rsidRDefault="00A81576" w:rsidP="00A70F75">
      <w:pPr>
        <w:spacing w:line="360" w:lineRule="auto"/>
        <w:jc w:val="both"/>
        <w:rPr>
          <w:rFonts w:ascii="Palatino Linotype" w:hAnsi="Palatino Linotype" w:cs="Tahoma"/>
          <w:b/>
          <w:bCs/>
          <w:sz w:val="22"/>
          <w:szCs w:val="22"/>
        </w:rPr>
      </w:pPr>
    </w:p>
    <w:p w14:paraId="335542BA" w14:textId="348E7748" w:rsidR="00A81576" w:rsidRPr="008E17DB" w:rsidRDefault="00935CE0" w:rsidP="00A70F75">
      <w:pPr>
        <w:spacing w:line="360" w:lineRule="auto"/>
        <w:jc w:val="both"/>
        <w:rPr>
          <w:rFonts w:ascii="Palatino Linotype" w:hAnsi="Palatino Linotype" w:cs="Tahoma"/>
          <w:b/>
          <w:bCs/>
          <w:sz w:val="22"/>
          <w:szCs w:val="22"/>
        </w:rPr>
      </w:pPr>
      <w:r w:rsidRPr="008E17DB">
        <w:rPr>
          <w:rFonts w:ascii="Palatino Linotype" w:hAnsi="Palatino Linotype" w:cs="Tahoma"/>
          <w:bCs/>
          <w:sz w:val="22"/>
          <w:szCs w:val="22"/>
        </w:rPr>
        <w:t xml:space="preserve">Al respecto, el artículo 32, párrafo segundo, de la Ley de Fiscalización Superior del Estado de México, establece que los Presidentes Municipales, presentarán a la Legislatura </w:t>
      </w:r>
      <w:r w:rsidRPr="008E17DB">
        <w:rPr>
          <w:rFonts w:ascii="Palatino Linotype" w:hAnsi="Palatino Linotype" w:cs="Tahoma"/>
          <w:b/>
          <w:bCs/>
          <w:sz w:val="22"/>
          <w:szCs w:val="22"/>
        </w:rPr>
        <w:t>los informes mensuales, dentro de los veinte días posteriores al término del mes correspondiente.</w:t>
      </w:r>
    </w:p>
    <w:p w14:paraId="328BB43E" w14:textId="77777777" w:rsidR="00935CE0" w:rsidRPr="008E17DB" w:rsidRDefault="00935CE0" w:rsidP="00A70F75">
      <w:pPr>
        <w:spacing w:line="360" w:lineRule="auto"/>
        <w:jc w:val="both"/>
        <w:rPr>
          <w:rFonts w:ascii="Palatino Linotype" w:hAnsi="Palatino Linotype" w:cs="Tahoma"/>
          <w:b/>
          <w:bCs/>
          <w:sz w:val="22"/>
          <w:szCs w:val="22"/>
        </w:rPr>
      </w:pPr>
    </w:p>
    <w:p w14:paraId="5882C6F1" w14:textId="67928095" w:rsidR="00935CE0" w:rsidRPr="008E17DB" w:rsidRDefault="00935CE0" w:rsidP="00A70F75">
      <w:pPr>
        <w:spacing w:line="360" w:lineRule="auto"/>
        <w:jc w:val="both"/>
        <w:rPr>
          <w:rFonts w:ascii="Palatino Linotype" w:hAnsi="Palatino Linotype" w:cs="Tahoma"/>
          <w:bCs/>
          <w:sz w:val="22"/>
          <w:szCs w:val="22"/>
        </w:rPr>
      </w:pPr>
      <w:r w:rsidRPr="008E17DB">
        <w:rPr>
          <w:rFonts w:ascii="Palatino Linotype" w:hAnsi="Palatino Linotype" w:cs="Tahoma"/>
          <w:bCs/>
          <w:sz w:val="22"/>
          <w:szCs w:val="22"/>
        </w:rPr>
        <w:t>En ese contexto, el diverso 8, fracciones</w:t>
      </w:r>
      <w:r w:rsidR="00100397" w:rsidRPr="008E17DB">
        <w:rPr>
          <w:rFonts w:ascii="Palatino Linotype" w:hAnsi="Palatino Linotype" w:cs="Tahoma"/>
          <w:bCs/>
          <w:sz w:val="22"/>
          <w:szCs w:val="22"/>
        </w:rPr>
        <w:t xml:space="preserve"> XI y XIV</w:t>
      </w:r>
      <w:r w:rsidRPr="008E17DB">
        <w:rPr>
          <w:rFonts w:ascii="Palatino Linotype" w:hAnsi="Palatino Linotype" w:cs="Tahoma"/>
          <w:bCs/>
          <w:sz w:val="22"/>
          <w:szCs w:val="22"/>
        </w:rPr>
        <w:t xml:space="preserve">, de dicho ordenamiento jurídico, establece que el Órgano Superior de Fiscalización del Estado de México, será el encargado </w:t>
      </w:r>
      <w:r w:rsidR="00100397" w:rsidRPr="008E17DB">
        <w:rPr>
          <w:rFonts w:ascii="Palatino Linotype" w:hAnsi="Palatino Linotype" w:cs="Tahoma"/>
          <w:bCs/>
          <w:sz w:val="22"/>
          <w:szCs w:val="22"/>
        </w:rPr>
        <w:t>de establecer los lineamientos necesarios para la elaboración de los informes mensuales; además que verificará que dichos informes hayan sido presentados conforme a la normatividad aplicable.</w:t>
      </w:r>
    </w:p>
    <w:p w14:paraId="1F97E4F4" w14:textId="77777777" w:rsidR="00100397" w:rsidRPr="008E17DB" w:rsidRDefault="00100397" w:rsidP="00A70F75">
      <w:pPr>
        <w:spacing w:line="360" w:lineRule="auto"/>
        <w:jc w:val="both"/>
        <w:rPr>
          <w:rFonts w:ascii="Palatino Linotype" w:hAnsi="Palatino Linotype" w:cs="Tahoma"/>
          <w:bCs/>
          <w:sz w:val="22"/>
          <w:szCs w:val="22"/>
        </w:rPr>
      </w:pPr>
    </w:p>
    <w:p w14:paraId="5E25B4B6" w14:textId="70D07BD2" w:rsidR="00100397" w:rsidRPr="008E17DB" w:rsidRDefault="00100397" w:rsidP="00A70F75">
      <w:pPr>
        <w:spacing w:line="360" w:lineRule="auto"/>
        <w:jc w:val="both"/>
        <w:rPr>
          <w:rFonts w:ascii="Palatino Linotype" w:hAnsi="Palatino Linotype" w:cs="Tahoma"/>
          <w:bCs/>
          <w:sz w:val="22"/>
          <w:szCs w:val="22"/>
        </w:rPr>
      </w:pPr>
      <w:r w:rsidRPr="008E17DB">
        <w:rPr>
          <w:rFonts w:ascii="Palatino Linotype" w:hAnsi="Palatino Linotype" w:cs="Tahoma"/>
          <w:bCs/>
          <w:sz w:val="22"/>
          <w:szCs w:val="22"/>
        </w:rPr>
        <w:t xml:space="preserve">En ese orden de ideas, el artículo 350 del Código Financiero del Estado de México y Municipios, establece que dentro de los primeros veinte días hábiles, las Tesorerías </w:t>
      </w:r>
      <w:r w:rsidRPr="008E17DB">
        <w:rPr>
          <w:rFonts w:ascii="Palatino Linotype" w:hAnsi="Palatino Linotype" w:cs="Tahoma"/>
          <w:bCs/>
          <w:sz w:val="22"/>
          <w:szCs w:val="22"/>
        </w:rPr>
        <w:lastRenderedPageBreak/>
        <w:t>Municipales, enviarán para su análisis y evaluación al Órgano Superior de Fiscalización del Estado de México, la información Patrimonial, Presupuestal, de la Obra Pública y de Nómina.</w:t>
      </w:r>
    </w:p>
    <w:p w14:paraId="68EDA492" w14:textId="77777777" w:rsidR="00A81576" w:rsidRPr="008E17DB" w:rsidRDefault="00A81576" w:rsidP="00A70F75">
      <w:pPr>
        <w:spacing w:line="360" w:lineRule="auto"/>
        <w:jc w:val="both"/>
        <w:rPr>
          <w:rFonts w:ascii="Palatino Linotype" w:hAnsi="Palatino Linotype" w:cs="Tahoma"/>
          <w:b/>
          <w:bCs/>
          <w:sz w:val="22"/>
          <w:szCs w:val="22"/>
        </w:rPr>
      </w:pPr>
    </w:p>
    <w:p w14:paraId="1D30617C" w14:textId="5AF24745" w:rsidR="007D5CAA" w:rsidRPr="008E17DB" w:rsidRDefault="008B13BF" w:rsidP="00A70F75">
      <w:pPr>
        <w:spacing w:line="360" w:lineRule="auto"/>
        <w:jc w:val="both"/>
        <w:rPr>
          <w:rFonts w:ascii="Palatino Linotype" w:eastAsia="MS Mincho" w:hAnsi="Palatino Linotype" w:cs="Tahoma"/>
          <w:sz w:val="22"/>
        </w:rPr>
      </w:pPr>
      <w:r w:rsidRPr="008E17DB">
        <w:rPr>
          <w:rFonts w:ascii="Palatino Linotype" w:hAnsi="Palatino Linotype" w:cs="Tahoma"/>
          <w:bCs/>
          <w:sz w:val="22"/>
          <w:szCs w:val="22"/>
        </w:rPr>
        <w:t xml:space="preserve">En ese contexto, en los </w:t>
      </w:r>
      <w:r w:rsidRPr="008E17DB">
        <w:rPr>
          <w:rFonts w:ascii="Palatino Linotype" w:hAnsi="Palatino Linotype" w:cs="Tahoma"/>
          <w:bCs/>
          <w:sz w:val="22"/>
          <w:szCs w:val="22"/>
          <w:lang w:val="es-ES_tradnl"/>
        </w:rPr>
        <w:t>Lineamientos para la Entrega del Informe Mensual Municipal</w:t>
      </w:r>
      <w:r w:rsidR="00B01182" w:rsidRPr="008E17DB">
        <w:rPr>
          <w:rFonts w:ascii="Palatino Linotype" w:hAnsi="Palatino Linotype" w:cs="Tahoma"/>
          <w:bCs/>
          <w:sz w:val="22"/>
          <w:szCs w:val="22"/>
          <w:lang w:val="es-ES_tradnl"/>
        </w:rPr>
        <w:t>,</w:t>
      </w:r>
      <w:r w:rsidRPr="008E17DB">
        <w:rPr>
          <w:rFonts w:ascii="Palatino Linotype" w:hAnsi="Palatino Linotype" w:cs="Tahoma"/>
          <w:bCs/>
          <w:sz w:val="22"/>
          <w:szCs w:val="22"/>
          <w:lang w:val="es-ES_tradnl"/>
        </w:rPr>
        <w:t xml:space="preserve"> dos mil diecinueve, entre los criterios que maneja, se advierte que en el </w:t>
      </w:r>
      <w:r w:rsidRPr="008E17DB">
        <w:rPr>
          <w:rFonts w:ascii="Palatino Linotype" w:hAnsi="Palatino Linotype" w:cs="Tahoma"/>
          <w:b/>
          <w:bCs/>
          <w:sz w:val="22"/>
          <w:szCs w:val="22"/>
          <w:lang w:val="es-ES_tradnl"/>
        </w:rPr>
        <w:t xml:space="preserve">Disco 1, </w:t>
      </w:r>
      <w:r w:rsidRPr="008E17DB">
        <w:rPr>
          <w:rFonts w:ascii="Palatino Linotype" w:hAnsi="Palatino Linotype" w:cs="Tahoma"/>
          <w:bCs/>
          <w:sz w:val="22"/>
          <w:szCs w:val="22"/>
          <w:lang w:val="es-ES_tradnl"/>
        </w:rPr>
        <w:t xml:space="preserve">referente a la </w:t>
      </w:r>
      <w:r w:rsidRPr="008E17DB">
        <w:rPr>
          <w:rFonts w:ascii="Palatino Linotype" w:hAnsi="Palatino Linotype" w:cs="Tahoma"/>
          <w:b/>
          <w:bCs/>
          <w:sz w:val="22"/>
          <w:szCs w:val="22"/>
          <w:lang w:val="es-ES_tradnl"/>
        </w:rPr>
        <w:t xml:space="preserve">Información Patrimonial (Contable y Administrativa), </w:t>
      </w:r>
      <w:r w:rsidRPr="008E17DB">
        <w:rPr>
          <w:rFonts w:ascii="Palatino Linotype" w:hAnsi="Palatino Linotype" w:cs="Tahoma"/>
          <w:bCs/>
          <w:sz w:val="22"/>
          <w:szCs w:val="22"/>
          <w:lang w:val="es-ES_tradnl"/>
        </w:rPr>
        <w:t>se integra por diversos documentos, entre los que se encuentra la Balanza de Comprobación Detallada en formato “PDF” y “XLS”</w:t>
      </w:r>
      <w:r w:rsidR="007D5CAA" w:rsidRPr="008E17DB">
        <w:rPr>
          <w:rFonts w:ascii="Palatino Linotype" w:hAnsi="Palatino Linotype" w:cs="Tahoma"/>
          <w:bCs/>
          <w:sz w:val="22"/>
          <w:szCs w:val="22"/>
          <w:lang w:val="es-ES_tradnl"/>
        </w:rPr>
        <w:t>,</w:t>
      </w:r>
      <w:r w:rsidR="007D5CAA" w:rsidRPr="008E17DB">
        <w:rPr>
          <w:rFonts w:ascii="Palatino Linotype" w:eastAsia="MS Mincho" w:hAnsi="Palatino Linotype" w:cs="Tahoma"/>
          <w:b/>
          <w:sz w:val="22"/>
        </w:rPr>
        <w:t xml:space="preserve"> </w:t>
      </w:r>
      <w:r w:rsidR="007D5CAA" w:rsidRPr="008E17DB">
        <w:rPr>
          <w:rFonts w:ascii="Palatino Linotype" w:eastAsia="MS Mincho" w:hAnsi="Palatino Linotype" w:cs="Tahoma"/>
          <w:sz w:val="22"/>
        </w:rPr>
        <w:t>tal como se muestra a continuación:</w:t>
      </w:r>
    </w:p>
    <w:p w14:paraId="7FCF6E6B" w14:textId="4689528A" w:rsidR="00A81576" w:rsidRPr="008E17DB" w:rsidRDefault="00A81576" w:rsidP="00A70F75">
      <w:pPr>
        <w:spacing w:line="360" w:lineRule="auto"/>
        <w:jc w:val="both"/>
        <w:rPr>
          <w:rFonts w:ascii="Palatino Linotype" w:hAnsi="Palatino Linotype" w:cs="Tahoma"/>
          <w:bCs/>
          <w:sz w:val="22"/>
          <w:szCs w:val="22"/>
        </w:rPr>
      </w:pPr>
    </w:p>
    <w:p w14:paraId="0F193770" w14:textId="10A13D3D" w:rsidR="007D5CAA" w:rsidRPr="008E17DB" w:rsidRDefault="007D5CAA" w:rsidP="00A70F75">
      <w:pPr>
        <w:spacing w:line="360" w:lineRule="auto"/>
        <w:jc w:val="center"/>
        <w:rPr>
          <w:rFonts w:ascii="Palatino Linotype" w:hAnsi="Palatino Linotype" w:cs="Tahoma"/>
          <w:bCs/>
          <w:sz w:val="22"/>
          <w:szCs w:val="22"/>
        </w:rPr>
      </w:pPr>
      <w:r w:rsidRPr="008E17DB">
        <w:rPr>
          <w:noProof/>
          <w:lang w:eastAsia="es-MX"/>
        </w:rPr>
        <w:drawing>
          <wp:inline distT="0" distB="0" distL="0" distR="0" wp14:anchorId="14B71804" wp14:editId="42F9E3F9">
            <wp:extent cx="4680000" cy="72607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80000" cy="726070"/>
                    </a:xfrm>
                    <a:prstGeom prst="rect">
                      <a:avLst/>
                    </a:prstGeom>
                  </pic:spPr>
                </pic:pic>
              </a:graphicData>
            </a:graphic>
          </wp:inline>
        </w:drawing>
      </w:r>
    </w:p>
    <w:p w14:paraId="436A71BE" w14:textId="611E7782" w:rsidR="007D5CAA" w:rsidRPr="008E17DB" w:rsidRDefault="007D5CAA" w:rsidP="00A70F75">
      <w:pPr>
        <w:spacing w:line="360" w:lineRule="auto"/>
        <w:jc w:val="center"/>
        <w:rPr>
          <w:rFonts w:ascii="Palatino Linotype" w:hAnsi="Palatino Linotype" w:cs="Tahoma"/>
          <w:bCs/>
          <w:sz w:val="22"/>
          <w:szCs w:val="22"/>
        </w:rPr>
      </w:pPr>
      <w:r w:rsidRPr="008E17DB">
        <w:rPr>
          <w:rFonts w:ascii="Palatino Linotype" w:hAnsi="Palatino Linotype" w:cs="Tahoma"/>
          <w:bCs/>
          <w:sz w:val="22"/>
          <w:szCs w:val="22"/>
        </w:rPr>
        <w:t>…</w:t>
      </w:r>
    </w:p>
    <w:p w14:paraId="68DBAB0A" w14:textId="434D3306" w:rsidR="007D5CAA" w:rsidRPr="008E17DB" w:rsidRDefault="007D5CAA" w:rsidP="00A70F75">
      <w:pPr>
        <w:spacing w:line="360" w:lineRule="auto"/>
        <w:jc w:val="center"/>
        <w:rPr>
          <w:rFonts w:ascii="Palatino Linotype" w:hAnsi="Palatino Linotype" w:cs="Tahoma"/>
          <w:bCs/>
          <w:sz w:val="22"/>
          <w:szCs w:val="22"/>
        </w:rPr>
      </w:pPr>
      <w:r w:rsidRPr="008E17DB">
        <w:rPr>
          <w:noProof/>
          <w:lang w:eastAsia="es-MX"/>
        </w:rPr>
        <mc:AlternateContent>
          <mc:Choice Requires="wps">
            <w:drawing>
              <wp:anchor distT="0" distB="0" distL="114300" distR="114300" simplePos="0" relativeHeight="251659264" behindDoc="0" locked="0" layoutInCell="1" allowOverlap="1" wp14:anchorId="03AB4FB7" wp14:editId="6B49BA7B">
                <wp:simplePos x="0" y="0"/>
                <wp:positionH relativeFrom="column">
                  <wp:posOffset>525146</wp:posOffset>
                </wp:positionH>
                <wp:positionV relativeFrom="paragraph">
                  <wp:posOffset>324485</wp:posOffset>
                </wp:positionV>
                <wp:extent cx="4679950" cy="371475"/>
                <wp:effectExtent l="19050" t="19050" r="25400" b="28575"/>
                <wp:wrapNone/>
                <wp:docPr id="7" name="Rectángulo 7"/>
                <wp:cNvGraphicFramePr/>
                <a:graphic xmlns:a="http://schemas.openxmlformats.org/drawingml/2006/main">
                  <a:graphicData uri="http://schemas.microsoft.com/office/word/2010/wordprocessingShape">
                    <wps:wsp>
                      <wps:cNvSpPr/>
                      <wps:spPr>
                        <a:xfrm>
                          <a:off x="0" y="0"/>
                          <a:ext cx="4679950" cy="3714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532B7C" id="Rectángulo 7" o:spid="_x0000_s1026" style="position:absolute;margin-left:41.35pt;margin-top:25.55pt;width:368.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" filled="f" strokecolor="black [3213]" strokeweight="2.25pt"/>
            </w:pict>
          </mc:Fallback>
        </mc:AlternateContent>
      </w:r>
      <w:r w:rsidRPr="008E17DB">
        <w:rPr>
          <w:noProof/>
          <w:lang w:eastAsia="es-MX"/>
        </w:rPr>
        <w:drawing>
          <wp:inline distT="0" distB="0" distL="0" distR="0" wp14:anchorId="093ADE56" wp14:editId="6CB45058">
            <wp:extent cx="4680000" cy="1090947"/>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80000" cy="1090947"/>
                    </a:xfrm>
                    <a:prstGeom prst="rect">
                      <a:avLst/>
                    </a:prstGeom>
                  </pic:spPr>
                </pic:pic>
              </a:graphicData>
            </a:graphic>
          </wp:inline>
        </w:drawing>
      </w:r>
    </w:p>
    <w:p w14:paraId="53CC08F7" w14:textId="77777777" w:rsidR="00A81576" w:rsidRPr="008E17DB" w:rsidRDefault="00A81576" w:rsidP="00A70F75">
      <w:pPr>
        <w:spacing w:line="360" w:lineRule="auto"/>
        <w:jc w:val="both"/>
        <w:rPr>
          <w:rFonts w:ascii="Palatino Linotype" w:hAnsi="Palatino Linotype" w:cs="Tahoma"/>
          <w:b/>
          <w:bCs/>
          <w:sz w:val="22"/>
          <w:szCs w:val="22"/>
        </w:rPr>
      </w:pPr>
    </w:p>
    <w:p w14:paraId="7E072E05" w14:textId="16E3EF7F" w:rsidR="007D5CAA" w:rsidRPr="008E17DB" w:rsidRDefault="007D5CAA" w:rsidP="00A70F75">
      <w:pPr>
        <w:shd w:val="clear" w:color="auto" w:fill="FFFFFF" w:themeFill="background1"/>
        <w:spacing w:line="360" w:lineRule="auto"/>
        <w:jc w:val="both"/>
        <w:rPr>
          <w:rFonts w:ascii="Palatino Linotype" w:hAnsi="Palatino Linotype" w:cs="Tahoma"/>
          <w:sz w:val="22"/>
          <w:szCs w:val="22"/>
        </w:rPr>
      </w:pPr>
      <w:r w:rsidRPr="008E17DB">
        <w:rPr>
          <w:rFonts w:ascii="Palatino Linotype" w:hAnsi="Palatino Linotype" w:cs="Tahoma"/>
          <w:sz w:val="22"/>
          <w:szCs w:val="22"/>
        </w:rPr>
        <w:t xml:space="preserve">En ese contexto, </w:t>
      </w:r>
      <w:r w:rsidR="00B01182" w:rsidRPr="008E17DB">
        <w:rPr>
          <w:rFonts w:ascii="Palatino Linotype" w:hAnsi="Palatino Linotype" w:cs="Tahoma"/>
          <w:sz w:val="22"/>
          <w:szCs w:val="22"/>
        </w:rPr>
        <w:t>los Municipios deberán</w:t>
      </w:r>
      <w:r w:rsidRPr="008E17DB">
        <w:rPr>
          <w:rFonts w:ascii="Palatino Linotype" w:hAnsi="Palatino Linotype" w:cs="Tahoma"/>
          <w:sz w:val="22"/>
          <w:szCs w:val="22"/>
        </w:rPr>
        <w:t xml:space="preserve"> proporcionar la </w:t>
      </w:r>
      <w:r w:rsidR="00B01182" w:rsidRPr="008E17DB">
        <w:rPr>
          <w:rFonts w:ascii="Palatino Linotype" w:hAnsi="Palatino Linotype" w:cs="Tahoma"/>
          <w:sz w:val="22"/>
          <w:szCs w:val="22"/>
        </w:rPr>
        <w:t>Balanza de Comprobación Detallada</w:t>
      </w:r>
      <w:r w:rsidRPr="008E17DB">
        <w:rPr>
          <w:rFonts w:ascii="Palatino Linotype" w:hAnsi="Palatino Linotype" w:cs="Tahoma"/>
          <w:sz w:val="22"/>
          <w:szCs w:val="22"/>
        </w:rPr>
        <w:t xml:space="preserve">, conforme </w:t>
      </w:r>
      <w:r w:rsidR="00B01182" w:rsidRPr="008E17DB">
        <w:rPr>
          <w:rFonts w:ascii="Palatino Linotype" w:hAnsi="Palatino Linotype" w:cs="Tahoma"/>
          <w:sz w:val="22"/>
          <w:szCs w:val="22"/>
        </w:rPr>
        <w:t>al siguiente formato:</w:t>
      </w:r>
    </w:p>
    <w:p w14:paraId="41679821" w14:textId="77777777" w:rsidR="00B01182" w:rsidRPr="008E17DB" w:rsidRDefault="00B01182" w:rsidP="00A70F75">
      <w:pPr>
        <w:shd w:val="clear" w:color="auto" w:fill="FFFFFF" w:themeFill="background1"/>
        <w:spacing w:line="360" w:lineRule="auto"/>
        <w:jc w:val="both"/>
        <w:rPr>
          <w:rFonts w:ascii="Palatino Linotype" w:hAnsi="Palatino Linotype" w:cs="Tahoma"/>
          <w:sz w:val="22"/>
          <w:szCs w:val="22"/>
        </w:rPr>
      </w:pPr>
    </w:p>
    <w:p w14:paraId="3E43FE48" w14:textId="6FE87F95" w:rsidR="00B01182" w:rsidRPr="008E17DB" w:rsidRDefault="00B01182" w:rsidP="00A70F75">
      <w:pPr>
        <w:shd w:val="clear" w:color="auto" w:fill="FFFFFF" w:themeFill="background1"/>
        <w:spacing w:line="360" w:lineRule="auto"/>
        <w:jc w:val="both"/>
        <w:rPr>
          <w:rFonts w:ascii="Palatino Linotype" w:hAnsi="Palatino Linotype" w:cs="Tahoma"/>
          <w:sz w:val="22"/>
          <w:szCs w:val="22"/>
        </w:rPr>
      </w:pPr>
      <w:r w:rsidRPr="008E17DB">
        <w:rPr>
          <w:noProof/>
          <w:lang w:eastAsia="es-MX"/>
        </w:rPr>
        <w:drawing>
          <wp:inline distT="0" distB="0" distL="0" distR="0" wp14:anchorId="457361E7" wp14:editId="7F969129">
            <wp:extent cx="5742940" cy="10191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1958"/>
                    <a:stretch/>
                  </pic:blipFill>
                  <pic:spPr bwMode="auto">
                    <a:xfrm>
                      <a:off x="0" y="0"/>
                      <a:ext cx="5742940" cy="1019175"/>
                    </a:xfrm>
                    <a:prstGeom prst="rect">
                      <a:avLst/>
                    </a:prstGeom>
                    <a:ln>
                      <a:noFill/>
                    </a:ln>
                    <a:extLst>
                      <a:ext uri="{53640926-AAD7-44D8-BBD7-CCE9431645EC}">
                        <a14:shadowObscured xmlns:a14="http://schemas.microsoft.com/office/drawing/2010/main"/>
                      </a:ext>
                    </a:extLst>
                  </pic:spPr>
                </pic:pic>
              </a:graphicData>
            </a:graphic>
          </wp:inline>
        </w:drawing>
      </w:r>
    </w:p>
    <w:p w14:paraId="5580BC94" w14:textId="57743D35" w:rsidR="00A81576" w:rsidRPr="008E17DB" w:rsidRDefault="00CA3C14" w:rsidP="00A70F75">
      <w:pPr>
        <w:spacing w:line="360" w:lineRule="auto"/>
        <w:jc w:val="both"/>
        <w:rPr>
          <w:rFonts w:ascii="Palatino Linotype" w:hAnsi="Palatino Linotype" w:cs="Tahoma"/>
          <w:bCs/>
          <w:sz w:val="22"/>
          <w:szCs w:val="22"/>
        </w:rPr>
      </w:pPr>
      <w:r w:rsidRPr="008E17DB">
        <w:rPr>
          <w:rFonts w:ascii="Palatino Linotype" w:hAnsi="Palatino Linotype" w:cs="Tahoma"/>
          <w:bCs/>
          <w:sz w:val="22"/>
          <w:szCs w:val="22"/>
        </w:rPr>
        <w:lastRenderedPageBreak/>
        <w:t>Conforme a lo anterior, se logra vislumbrar, que la pretensión del ahora Recurrente es obtener la Balanza de Comprobación Detallada del Ayuntamiento de Tlalnepantla de Baz, al treinta y uno marzo de dos mil diecinueve, en formato “PDF” y “XLS”. Una vez establecido lo anterior, resulta necesario analizar la información proporcionada en respuesta.</w:t>
      </w:r>
    </w:p>
    <w:p w14:paraId="46CF533B" w14:textId="77777777" w:rsidR="00A81576" w:rsidRPr="008E17DB" w:rsidRDefault="00A81576" w:rsidP="00A70F75">
      <w:pPr>
        <w:spacing w:line="360" w:lineRule="auto"/>
        <w:jc w:val="both"/>
        <w:rPr>
          <w:rFonts w:ascii="Palatino Linotype" w:hAnsi="Palatino Linotype" w:cs="Tahoma"/>
          <w:b/>
          <w:bCs/>
          <w:sz w:val="22"/>
          <w:szCs w:val="22"/>
        </w:rPr>
      </w:pPr>
    </w:p>
    <w:p w14:paraId="7F3033D7" w14:textId="18B31007" w:rsidR="0026115B" w:rsidRPr="008E17DB" w:rsidRDefault="0026115B" w:rsidP="00A70F75">
      <w:pPr>
        <w:spacing w:line="360" w:lineRule="auto"/>
        <w:ind w:right="-93"/>
        <w:jc w:val="both"/>
        <w:rPr>
          <w:rFonts w:ascii="Palatino Linotype" w:hAnsi="Palatino Linotype" w:cs="Tahoma"/>
          <w:bCs/>
          <w:sz w:val="22"/>
          <w:szCs w:val="22"/>
        </w:rPr>
      </w:pPr>
      <w:r w:rsidRPr="008E17DB">
        <w:rPr>
          <w:rFonts w:ascii="Palatino Linotype" w:hAnsi="Palatino Linotype" w:cs="Tahoma"/>
          <w:sz w:val="22"/>
          <w:szCs w:val="22"/>
          <w:lang w:val="es-ES"/>
        </w:rPr>
        <w:t xml:space="preserve">En principio de las constancias que obran en el expediente se advierte que se turnó el requerimiento informativo, a la Tesorería Municipal; </w:t>
      </w:r>
      <w:r w:rsidRPr="008E17DB">
        <w:rPr>
          <w:rFonts w:ascii="Palatino Linotype" w:hAnsi="Palatino Linotype" w:cs="Tahoma"/>
          <w:bCs/>
          <w:sz w:val="22"/>
          <w:szCs w:val="22"/>
        </w:rPr>
        <w:t xml:space="preserve">por lo que, es necesario hacer referencia </w:t>
      </w:r>
      <w:r w:rsidRPr="008E17DB">
        <w:rPr>
          <w:rFonts w:ascii="Palatino Linotype" w:hAnsi="Palatino Linotype" w:cs="Tahoma"/>
          <w:sz w:val="22"/>
          <w:szCs w:val="22"/>
        </w:rPr>
        <w:t xml:space="preserve">al </w:t>
      </w:r>
      <w:r w:rsidRPr="008E17DB">
        <w:rPr>
          <w:rFonts w:ascii="Palatino Linotype" w:hAnsi="Palatino Linotype" w:cs="Tahoma"/>
          <w:b/>
          <w:sz w:val="22"/>
          <w:szCs w:val="22"/>
        </w:rPr>
        <w:t>procedimiento de búsqueda que deben de seguir los Sujetos Obligados para localizar la información</w:t>
      </w:r>
      <w:r w:rsidRPr="008E17DB">
        <w:rPr>
          <w:rFonts w:ascii="Palatino Linotype" w:hAnsi="Palatino Linotype" w:cs="Tahoma"/>
          <w:sz w:val="22"/>
          <w:szCs w:val="22"/>
        </w:rPr>
        <w:t>, el cual se encuentra previsto en los artículos</w:t>
      </w:r>
      <w:r w:rsidRPr="008E17DB">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7741C5C0" w14:textId="77777777" w:rsidR="0026115B" w:rsidRPr="008E17DB" w:rsidRDefault="0026115B" w:rsidP="00A70F75">
      <w:pPr>
        <w:tabs>
          <w:tab w:val="left" w:pos="6240"/>
        </w:tabs>
        <w:spacing w:line="360" w:lineRule="auto"/>
        <w:ind w:right="-93"/>
        <w:jc w:val="both"/>
        <w:rPr>
          <w:rFonts w:ascii="Palatino Linotype" w:hAnsi="Palatino Linotype" w:cs="Tahoma"/>
          <w:sz w:val="22"/>
          <w:szCs w:val="22"/>
          <w:lang w:val="es-ES"/>
        </w:rPr>
      </w:pPr>
      <w:r w:rsidRPr="008E17DB">
        <w:rPr>
          <w:rFonts w:ascii="Palatino Linotype" w:hAnsi="Palatino Linotype" w:cs="Tahoma"/>
          <w:sz w:val="22"/>
          <w:szCs w:val="22"/>
          <w:lang w:val="es-ES"/>
        </w:rPr>
        <w:tab/>
      </w:r>
    </w:p>
    <w:p w14:paraId="314C4053" w14:textId="77777777" w:rsidR="0026115B" w:rsidRPr="008E17DB" w:rsidRDefault="0026115B" w:rsidP="00A70F75">
      <w:pPr>
        <w:numPr>
          <w:ilvl w:val="0"/>
          <w:numId w:val="23"/>
        </w:numPr>
        <w:spacing w:line="360" w:lineRule="auto"/>
        <w:jc w:val="both"/>
        <w:rPr>
          <w:rFonts w:ascii="Palatino Linotype" w:eastAsia="Calibri" w:hAnsi="Palatino Linotype" w:cs="Tahoma"/>
          <w:bCs/>
          <w:sz w:val="22"/>
          <w:szCs w:val="22"/>
          <w:lang w:val="es-ES" w:eastAsia="en-US"/>
        </w:rPr>
      </w:pPr>
      <w:r w:rsidRPr="008E17DB">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54C8771" w14:textId="77777777" w:rsidR="0026115B" w:rsidRPr="008E17DB" w:rsidRDefault="0026115B" w:rsidP="00A70F75">
      <w:pPr>
        <w:spacing w:line="360" w:lineRule="auto"/>
        <w:ind w:left="720"/>
        <w:jc w:val="both"/>
        <w:rPr>
          <w:rFonts w:ascii="Palatino Linotype" w:eastAsia="Calibri" w:hAnsi="Palatino Linotype" w:cs="Tahoma"/>
          <w:bCs/>
          <w:sz w:val="22"/>
          <w:szCs w:val="22"/>
          <w:lang w:val="es-ES" w:eastAsia="en-US"/>
        </w:rPr>
      </w:pPr>
    </w:p>
    <w:p w14:paraId="73F4EB57" w14:textId="77777777" w:rsidR="0026115B" w:rsidRPr="008E17DB" w:rsidRDefault="0026115B" w:rsidP="00A70F75">
      <w:pPr>
        <w:numPr>
          <w:ilvl w:val="0"/>
          <w:numId w:val="23"/>
        </w:numPr>
        <w:spacing w:line="360" w:lineRule="auto"/>
        <w:jc w:val="both"/>
        <w:rPr>
          <w:rFonts w:ascii="Palatino Linotype" w:eastAsia="Calibri" w:hAnsi="Palatino Linotype" w:cs="Tahoma"/>
          <w:bCs/>
          <w:sz w:val="22"/>
          <w:szCs w:val="22"/>
          <w:lang w:val="es-ES" w:eastAsia="en-US"/>
        </w:rPr>
      </w:pPr>
      <w:r w:rsidRPr="008E17DB">
        <w:rPr>
          <w:rFonts w:ascii="Palatino Linotype" w:eastAsia="Calibri" w:hAnsi="Palatino Linotype" w:cs="Tahoma"/>
          <w:bCs/>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0B1B6BF" w14:textId="77777777" w:rsidR="0026115B" w:rsidRPr="008E17DB" w:rsidRDefault="0026115B" w:rsidP="00A70F75">
      <w:pPr>
        <w:spacing w:line="360" w:lineRule="auto"/>
        <w:jc w:val="both"/>
        <w:rPr>
          <w:rFonts w:ascii="Palatino Linotype" w:eastAsia="Calibri" w:hAnsi="Palatino Linotype" w:cs="Tahoma"/>
          <w:bCs/>
          <w:sz w:val="22"/>
          <w:szCs w:val="22"/>
          <w:lang w:eastAsia="en-US"/>
        </w:rPr>
      </w:pPr>
    </w:p>
    <w:p w14:paraId="1AB8D3A1" w14:textId="005C338A" w:rsidR="00A81576" w:rsidRPr="008E17DB" w:rsidRDefault="0026115B" w:rsidP="00A70F75">
      <w:pPr>
        <w:spacing w:line="360" w:lineRule="auto"/>
        <w:jc w:val="both"/>
        <w:rPr>
          <w:rFonts w:ascii="Palatino Linotype" w:eastAsia="Calibri" w:hAnsi="Palatino Linotype" w:cs="Tahoma"/>
          <w:bCs/>
          <w:sz w:val="22"/>
          <w:szCs w:val="22"/>
          <w:lang w:eastAsia="en-US"/>
        </w:rPr>
      </w:pPr>
      <w:r w:rsidRPr="008E17DB">
        <w:rPr>
          <w:rFonts w:ascii="Palatino Linotype" w:eastAsia="Calibri" w:hAnsi="Palatino Linotype" w:cs="Tahoma"/>
          <w:bCs/>
          <w:sz w:val="22"/>
          <w:szCs w:val="22"/>
          <w:lang w:eastAsia="en-US"/>
        </w:rPr>
        <w:t xml:space="preserve">Atendiendo a lo dispuesto en los preceptos legales de referencia, a efecto de determinar si el Sujeto Obligado cumplió con el procedimiento de búsqueda, resulta necesario citar el artículo </w:t>
      </w:r>
      <w:r w:rsidRPr="008E17DB">
        <w:rPr>
          <w:rFonts w:ascii="Palatino Linotype" w:eastAsia="Calibri" w:hAnsi="Palatino Linotype" w:cs="Tahoma"/>
          <w:bCs/>
          <w:sz w:val="22"/>
          <w:szCs w:val="22"/>
          <w:lang w:eastAsia="en-US"/>
        </w:rPr>
        <w:lastRenderedPageBreak/>
        <w:t>2°, fracción XI, de la Ley de Fiscalización Superior del Estado de México, que establece que las Tesorerías Municipales serán las encargas de enviar mensualmente al Órgano Superior de Fiscalización los Informes Mensuales.</w:t>
      </w:r>
    </w:p>
    <w:p w14:paraId="462D3C42" w14:textId="77777777" w:rsidR="002E3C28" w:rsidRPr="008E17DB" w:rsidRDefault="002E3C28" w:rsidP="00A70F75">
      <w:pPr>
        <w:spacing w:line="360" w:lineRule="auto"/>
        <w:jc w:val="both"/>
        <w:rPr>
          <w:rFonts w:ascii="Palatino Linotype" w:eastAsia="Calibri" w:hAnsi="Palatino Linotype" w:cs="Tahoma"/>
          <w:bCs/>
          <w:sz w:val="22"/>
          <w:szCs w:val="22"/>
          <w:lang w:eastAsia="en-US"/>
        </w:rPr>
      </w:pPr>
    </w:p>
    <w:p w14:paraId="506D95BA" w14:textId="751CD4ED" w:rsidR="002E3C28" w:rsidRPr="008E17DB" w:rsidRDefault="002E3C28" w:rsidP="00A70F75">
      <w:pPr>
        <w:spacing w:line="360" w:lineRule="auto"/>
        <w:jc w:val="both"/>
        <w:rPr>
          <w:rFonts w:ascii="Palatino Linotype" w:hAnsi="Palatino Linotype" w:cs="Tahoma"/>
          <w:b/>
          <w:bCs/>
          <w:sz w:val="22"/>
          <w:szCs w:val="22"/>
        </w:rPr>
      </w:pPr>
      <w:r w:rsidRPr="008E17DB">
        <w:rPr>
          <w:rFonts w:ascii="Palatino Linotype" w:eastAsia="Calibri" w:hAnsi="Palatino Linotype" w:cs="Tahoma"/>
          <w:bCs/>
          <w:sz w:val="22"/>
          <w:szCs w:val="22"/>
          <w:lang w:eastAsia="en-US"/>
        </w:rPr>
        <w:t>Además, se verificó el Portal de Información Pública Mexiquense de Tlalnepantla de Baz</w:t>
      </w:r>
      <w:r w:rsidR="00B4044E" w:rsidRPr="008E17DB">
        <w:rPr>
          <w:rFonts w:ascii="Palatino Linotype" w:eastAsia="Calibri" w:hAnsi="Palatino Linotype" w:cs="Tahoma"/>
          <w:bCs/>
          <w:sz w:val="22"/>
          <w:szCs w:val="22"/>
          <w:lang w:eastAsia="en-US"/>
        </w:rPr>
        <w:t xml:space="preserve"> y se localizó que el Sujeto Obligado, cuenta con una Tesorería Municipal, tal como se muestra a continuación:</w:t>
      </w:r>
    </w:p>
    <w:p w14:paraId="3F9B8F1F" w14:textId="77777777" w:rsidR="00A81576" w:rsidRPr="008E17DB" w:rsidRDefault="00A81576" w:rsidP="00A70F75">
      <w:pPr>
        <w:spacing w:line="360" w:lineRule="auto"/>
        <w:jc w:val="both"/>
        <w:rPr>
          <w:rFonts w:ascii="Palatino Linotype" w:hAnsi="Palatino Linotype" w:cs="Tahoma"/>
          <w:b/>
          <w:bCs/>
          <w:sz w:val="22"/>
          <w:szCs w:val="22"/>
        </w:rPr>
      </w:pPr>
    </w:p>
    <w:p w14:paraId="138E70BA" w14:textId="59C38048" w:rsidR="00B4044E" w:rsidRPr="008E17DB" w:rsidRDefault="00B4044E" w:rsidP="00A70F75">
      <w:pPr>
        <w:spacing w:line="360" w:lineRule="auto"/>
        <w:jc w:val="center"/>
        <w:rPr>
          <w:rFonts w:ascii="Palatino Linotype" w:hAnsi="Palatino Linotype" w:cs="Tahoma"/>
          <w:b/>
          <w:bCs/>
          <w:sz w:val="22"/>
          <w:szCs w:val="22"/>
        </w:rPr>
      </w:pPr>
      <w:r w:rsidRPr="008E17DB">
        <w:rPr>
          <w:noProof/>
          <w:lang w:eastAsia="es-MX"/>
        </w:rPr>
        <w:drawing>
          <wp:inline distT="0" distB="0" distL="0" distR="0" wp14:anchorId="3C1D37A1" wp14:editId="47EBDD6D">
            <wp:extent cx="2867025" cy="12858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67025" cy="1285875"/>
                    </a:xfrm>
                    <a:prstGeom prst="rect">
                      <a:avLst/>
                    </a:prstGeom>
                  </pic:spPr>
                </pic:pic>
              </a:graphicData>
            </a:graphic>
          </wp:inline>
        </w:drawing>
      </w:r>
    </w:p>
    <w:p w14:paraId="6C31F50B" w14:textId="77777777" w:rsidR="0026115B" w:rsidRPr="008E17DB" w:rsidRDefault="0026115B" w:rsidP="00A70F75">
      <w:pPr>
        <w:spacing w:line="360" w:lineRule="auto"/>
        <w:jc w:val="both"/>
        <w:rPr>
          <w:rFonts w:ascii="Palatino Linotype" w:hAnsi="Palatino Linotype" w:cs="Tahoma"/>
          <w:b/>
          <w:bCs/>
          <w:sz w:val="22"/>
          <w:szCs w:val="22"/>
        </w:rPr>
      </w:pPr>
    </w:p>
    <w:p w14:paraId="1D96B590" w14:textId="75EEB701" w:rsidR="00B4044E" w:rsidRPr="008E17DB" w:rsidRDefault="00B4044E" w:rsidP="00A70F75">
      <w:pPr>
        <w:spacing w:line="360" w:lineRule="auto"/>
        <w:jc w:val="both"/>
        <w:rPr>
          <w:rFonts w:ascii="Palatino Linotype" w:eastAsia="Calibri" w:hAnsi="Palatino Linotype" w:cs="Tahoma"/>
          <w:bCs/>
          <w:sz w:val="22"/>
          <w:szCs w:val="22"/>
          <w:lang w:eastAsia="en-US"/>
        </w:rPr>
      </w:pPr>
      <w:r w:rsidRPr="008E17DB">
        <w:rPr>
          <w:rFonts w:ascii="Palatino Linotype" w:hAnsi="Palatino Linotype" w:cs="Tahoma"/>
          <w:bCs/>
          <w:sz w:val="22"/>
          <w:szCs w:val="22"/>
        </w:rPr>
        <w:t xml:space="preserve">Conforme a lo anterior, se advierte que el Ente Recurrido cuenta con un área específica para conocer de la solicitud de información, a saber, la </w:t>
      </w:r>
      <w:r w:rsidRPr="008E17DB">
        <w:rPr>
          <w:rFonts w:ascii="Palatino Linotype" w:hAnsi="Palatino Linotype" w:cs="Tahoma"/>
          <w:b/>
          <w:bCs/>
          <w:sz w:val="22"/>
          <w:szCs w:val="22"/>
        </w:rPr>
        <w:t xml:space="preserve">Tesorería Municipal </w:t>
      </w:r>
      <w:r w:rsidRPr="008E17DB">
        <w:rPr>
          <w:rFonts w:ascii="Palatino Linotype" w:hAnsi="Palatino Linotype" w:cs="Tahoma"/>
          <w:bCs/>
          <w:sz w:val="22"/>
          <w:szCs w:val="22"/>
        </w:rPr>
        <w:t xml:space="preserve">que se encargada de </w:t>
      </w:r>
      <w:r w:rsidR="001B73DE" w:rsidRPr="008E17DB">
        <w:rPr>
          <w:rFonts w:ascii="Palatino Linotype" w:hAnsi="Palatino Linotype" w:cs="Tahoma"/>
          <w:bCs/>
          <w:sz w:val="22"/>
          <w:szCs w:val="22"/>
        </w:rPr>
        <w:t>integrar los Informes Mensuales y proporcionarlos al Órgano Superior</w:t>
      </w:r>
      <w:r w:rsidR="009906DC" w:rsidRPr="008E17DB">
        <w:rPr>
          <w:rFonts w:ascii="Palatino Linotype" w:hAnsi="Palatino Linotype" w:cs="Tahoma"/>
          <w:bCs/>
          <w:sz w:val="22"/>
          <w:szCs w:val="22"/>
        </w:rPr>
        <w:t xml:space="preserve"> de Fiscalización del Estado de México</w:t>
      </w:r>
      <w:r w:rsidRPr="008E17DB">
        <w:rPr>
          <w:rFonts w:ascii="Palatino Linotype" w:hAnsi="Palatino Linotype" w:cs="Tahoma"/>
          <w:bCs/>
          <w:sz w:val="22"/>
          <w:szCs w:val="22"/>
        </w:rPr>
        <w:t>. P</w:t>
      </w:r>
      <w:r w:rsidR="009906DC" w:rsidRPr="008E17DB">
        <w:rPr>
          <w:rFonts w:ascii="Palatino Linotype" w:eastAsia="Calibri" w:hAnsi="Palatino Linotype" w:cs="Tahoma"/>
          <w:bCs/>
          <w:sz w:val="22"/>
          <w:szCs w:val="22"/>
          <w:lang w:eastAsia="en-US"/>
        </w:rPr>
        <w:t>or lo</w:t>
      </w:r>
      <w:r w:rsidRPr="008E17DB">
        <w:rPr>
          <w:rFonts w:ascii="Palatino Linotype" w:eastAsia="Calibri" w:hAnsi="Palatino Linotype" w:cs="Tahoma"/>
          <w:bCs/>
          <w:sz w:val="22"/>
          <w:szCs w:val="22"/>
          <w:lang w:eastAsia="en-US"/>
        </w:rPr>
        <w:t xml:space="preserve"> que, se colige que cumplió con el procedimiento de búsqueda establecido en el artículo 162 de la Ley de la materia, pues gestionó el requerimiento al área competente para conocer de lo peticionado.</w:t>
      </w:r>
    </w:p>
    <w:p w14:paraId="5FFE0712" w14:textId="77777777" w:rsidR="009906DC" w:rsidRPr="008E17DB" w:rsidRDefault="009906DC" w:rsidP="00A70F75">
      <w:pPr>
        <w:spacing w:line="360" w:lineRule="auto"/>
        <w:jc w:val="both"/>
        <w:rPr>
          <w:rFonts w:ascii="Palatino Linotype" w:eastAsia="Calibri" w:hAnsi="Palatino Linotype" w:cs="Tahoma"/>
          <w:bCs/>
          <w:sz w:val="22"/>
          <w:szCs w:val="22"/>
          <w:lang w:eastAsia="en-US"/>
        </w:rPr>
      </w:pPr>
    </w:p>
    <w:p w14:paraId="26B28854" w14:textId="4FD28180" w:rsidR="00310D1E" w:rsidRPr="008E17DB" w:rsidRDefault="009906DC" w:rsidP="00A70F75">
      <w:pPr>
        <w:spacing w:line="360" w:lineRule="auto"/>
        <w:jc w:val="both"/>
        <w:rPr>
          <w:rFonts w:ascii="Palatino Linotype" w:eastAsia="Calibri" w:hAnsi="Palatino Linotype" w:cs="Tahoma"/>
          <w:bCs/>
          <w:sz w:val="22"/>
          <w:szCs w:val="22"/>
          <w:lang w:eastAsia="en-US"/>
        </w:rPr>
      </w:pPr>
      <w:r w:rsidRPr="008E17DB">
        <w:rPr>
          <w:rFonts w:ascii="Palatino Linotype" w:eastAsia="Calibri" w:hAnsi="Palatino Linotype" w:cs="Tahoma"/>
          <w:bCs/>
          <w:sz w:val="22"/>
          <w:szCs w:val="22"/>
          <w:lang w:eastAsia="en-US"/>
        </w:rPr>
        <w:t>Una vez establecido lo anterior, se procede analizar la información proporcionada en respuesta</w:t>
      </w:r>
      <w:r w:rsidR="00310D1E" w:rsidRPr="008E17DB">
        <w:rPr>
          <w:rFonts w:ascii="Palatino Linotype" w:eastAsia="Calibri" w:hAnsi="Palatino Linotype" w:cs="Tahoma"/>
          <w:bCs/>
          <w:sz w:val="22"/>
          <w:szCs w:val="22"/>
          <w:lang w:eastAsia="en-US"/>
        </w:rPr>
        <w:t xml:space="preserve">; en ese contexto, </w:t>
      </w:r>
      <w:r w:rsidR="00BE0ABC" w:rsidRPr="008E17DB">
        <w:rPr>
          <w:rFonts w:ascii="Palatino Linotype" w:eastAsia="Calibri" w:hAnsi="Palatino Linotype" w:cs="Tahoma"/>
          <w:bCs/>
          <w:sz w:val="22"/>
          <w:szCs w:val="22"/>
          <w:lang w:eastAsia="en-US"/>
        </w:rPr>
        <w:t>el Sujeto Obligado proporcionó la Balanza de Comprobación, del uno al treinta de marzo de dos mil diecinueve, tal como se muestra a continuación:</w:t>
      </w:r>
    </w:p>
    <w:p w14:paraId="59BEE9FC" w14:textId="77777777" w:rsidR="00BE0ABC" w:rsidRPr="008E17DB" w:rsidRDefault="00BE0ABC" w:rsidP="00A70F75">
      <w:pPr>
        <w:spacing w:line="360" w:lineRule="auto"/>
        <w:jc w:val="both"/>
        <w:rPr>
          <w:rFonts w:ascii="Palatino Linotype" w:eastAsia="Calibri" w:hAnsi="Palatino Linotype" w:cs="Tahoma"/>
          <w:bCs/>
          <w:sz w:val="22"/>
          <w:szCs w:val="22"/>
          <w:lang w:eastAsia="en-US"/>
        </w:rPr>
      </w:pPr>
    </w:p>
    <w:p w14:paraId="0C234443" w14:textId="1B590F9B" w:rsidR="00BE0ABC" w:rsidRPr="008E17DB" w:rsidRDefault="00BE0ABC" w:rsidP="00A70F75">
      <w:pPr>
        <w:spacing w:line="360" w:lineRule="auto"/>
        <w:jc w:val="both"/>
        <w:rPr>
          <w:rFonts w:ascii="Palatino Linotype" w:eastAsia="Calibri" w:hAnsi="Palatino Linotype" w:cs="Tahoma"/>
          <w:bCs/>
          <w:sz w:val="22"/>
          <w:szCs w:val="22"/>
          <w:lang w:eastAsia="en-US"/>
        </w:rPr>
      </w:pPr>
      <w:r w:rsidRPr="008E17DB">
        <w:rPr>
          <w:noProof/>
          <w:lang w:eastAsia="es-MX"/>
        </w:rPr>
        <w:lastRenderedPageBreak/>
        <w:drawing>
          <wp:inline distT="0" distB="0" distL="0" distR="0" wp14:anchorId="42B87DA2" wp14:editId="155016DD">
            <wp:extent cx="5742940" cy="124396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2940" cy="1243965"/>
                    </a:xfrm>
                    <a:prstGeom prst="rect">
                      <a:avLst/>
                    </a:prstGeom>
                  </pic:spPr>
                </pic:pic>
              </a:graphicData>
            </a:graphic>
          </wp:inline>
        </w:drawing>
      </w:r>
    </w:p>
    <w:p w14:paraId="4DCE649D" w14:textId="77777777" w:rsidR="00A81576" w:rsidRPr="008E17DB" w:rsidRDefault="00A81576" w:rsidP="00A70F75">
      <w:pPr>
        <w:spacing w:line="360" w:lineRule="auto"/>
        <w:jc w:val="both"/>
        <w:rPr>
          <w:rFonts w:ascii="Palatino Linotype" w:hAnsi="Palatino Linotype" w:cs="Tahoma"/>
          <w:b/>
          <w:bCs/>
          <w:sz w:val="22"/>
          <w:szCs w:val="22"/>
        </w:rPr>
      </w:pPr>
    </w:p>
    <w:p w14:paraId="01F6B866" w14:textId="7F7D53CE" w:rsidR="00A81576" w:rsidRPr="008E17DB" w:rsidRDefault="00F73CEF" w:rsidP="00A70F75">
      <w:pPr>
        <w:spacing w:line="360" w:lineRule="auto"/>
        <w:jc w:val="both"/>
        <w:rPr>
          <w:rFonts w:ascii="Palatino Linotype" w:hAnsi="Palatino Linotype" w:cs="Tahoma"/>
          <w:bCs/>
          <w:sz w:val="22"/>
          <w:szCs w:val="22"/>
        </w:rPr>
      </w:pPr>
      <w:r w:rsidRPr="008E17DB">
        <w:rPr>
          <w:rFonts w:ascii="Palatino Linotype" w:hAnsi="Palatino Linotype" w:cs="Tahoma"/>
          <w:bCs/>
          <w:sz w:val="22"/>
          <w:szCs w:val="22"/>
        </w:rPr>
        <w:t xml:space="preserve">Como se logra observar, el Sujeto Obligado </w:t>
      </w:r>
      <w:r w:rsidRPr="008E17DB">
        <w:rPr>
          <w:rFonts w:ascii="Palatino Linotype" w:hAnsi="Palatino Linotype" w:cs="Tahoma"/>
          <w:b/>
          <w:bCs/>
          <w:sz w:val="22"/>
          <w:szCs w:val="22"/>
        </w:rPr>
        <w:t>entregó un documento que no corresponde con lo solicitado,</w:t>
      </w:r>
      <w:r w:rsidRPr="008E17DB">
        <w:rPr>
          <w:rFonts w:ascii="Palatino Linotype" w:hAnsi="Palatino Linotype" w:cs="Tahoma"/>
          <w:bCs/>
          <w:sz w:val="22"/>
          <w:szCs w:val="22"/>
        </w:rPr>
        <w:t xml:space="preserve"> pues como se observó en párrafos previos, </w:t>
      </w:r>
      <w:r w:rsidR="00CB0D75" w:rsidRPr="008E17DB">
        <w:rPr>
          <w:rFonts w:ascii="Palatino Linotype" w:hAnsi="Palatino Linotype" w:cs="Tahoma"/>
          <w:bCs/>
          <w:sz w:val="22"/>
          <w:szCs w:val="22"/>
        </w:rPr>
        <w:t>en la Matriz de clasificación de la información contenida en el Disco 1, el proporcionado es documento diverso a la Balanza de Comprobación Detallada, tal como se muestra a continuación:</w:t>
      </w:r>
    </w:p>
    <w:p w14:paraId="0605049E" w14:textId="77777777" w:rsidR="00CB0D75" w:rsidRPr="008E17DB" w:rsidRDefault="00CB0D75" w:rsidP="00A70F75">
      <w:pPr>
        <w:spacing w:line="360" w:lineRule="auto"/>
        <w:jc w:val="both"/>
        <w:rPr>
          <w:rFonts w:ascii="Palatino Linotype" w:hAnsi="Palatino Linotype" w:cs="Tahoma"/>
          <w:bCs/>
          <w:sz w:val="22"/>
          <w:szCs w:val="22"/>
        </w:rPr>
      </w:pPr>
    </w:p>
    <w:p w14:paraId="098EE1C4" w14:textId="6C8EA7E5" w:rsidR="00CB0D75" w:rsidRPr="008E17DB" w:rsidRDefault="00CB0D75" w:rsidP="00A70F75">
      <w:pPr>
        <w:spacing w:line="360" w:lineRule="auto"/>
        <w:jc w:val="center"/>
        <w:rPr>
          <w:rFonts w:ascii="Palatino Linotype" w:hAnsi="Palatino Linotype" w:cs="Tahoma"/>
          <w:bCs/>
          <w:sz w:val="22"/>
          <w:szCs w:val="22"/>
        </w:rPr>
      </w:pPr>
      <w:r w:rsidRPr="008E17DB">
        <w:rPr>
          <w:noProof/>
          <w:lang w:eastAsia="es-MX"/>
        </w:rPr>
        <w:drawing>
          <wp:inline distT="0" distB="0" distL="0" distR="0" wp14:anchorId="37CBE7B7" wp14:editId="745C8D36">
            <wp:extent cx="3209925" cy="6669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60677" cy="677444"/>
                    </a:xfrm>
                    <a:prstGeom prst="rect">
                      <a:avLst/>
                    </a:prstGeom>
                  </pic:spPr>
                </pic:pic>
              </a:graphicData>
            </a:graphic>
          </wp:inline>
        </w:drawing>
      </w:r>
    </w:p>
    <w:p w14:paraId="710CE0F7" w14:textId="77777777" w:rsidR="00A81576" w:rsidRPr="008E17DB" w:rsidRDefault="00A81576" w:rsidP="00A70F75">
      <w:pPr>
        <w:spacing w:line="360" w:lineRule="auto"/>
        <w:jc w:val="both"/>
        <w:rPr>
          <w:rFonts w:ascii="Palatino Linotype" w:hAnsi="Palatino Linotype" w:cs="Tahoma"/>
          <w:b/>
          <w:bCs/>
          <w:sz w:val="22"/>
          <w:szCs w:val="22"/>
        </w:rPr>
      </w:pPr>
    </w:p>
    <w:p w14:paraId="7C957FB2" w14:textId="01A8BED0" w:rsidR="00CB0D75" w:rsidRPr="008E17DB" w:rsidRDefault="00CB0D75" w:rsidP="00A70F75">
      <w:pPr>
        <w:spacing w:line="360" w:lineRule="auto"/>
        <w:jc w:val="both"/>
        <w:rPr>
          <w:rFonts w:ascii="Palatino Linotype" w:hAnsi="Palatino Linotype" w:cs="Tahoma"/>
          <w:bCs/>
          <w:sz w:val="22"/>
          <w:szCs w:val="22"/>
        </w:rPr>
      </w:pPr>
      <w:r w:rsidRPr="008E17DB">
        <w:rPr>
          <w:rFonts w:ascii="Palatino Linotype" w:hAnsi="Palatino Linotype" w:cs="Tahoma"/>
          <w:bCs/>
          <w:sz w:val="22"/>
          <w:szCs w:val="22"/>
        </w:rPr>
        <w:t xml:space="preserve">No obstante lo anterior, durante la sustanciación del medio de impugnación, el Sujeto Obligado modificó su actuar y proporcionó </w:t>
      </w:r>
      <w:r w:rsidR="00816B6E" w:rsidRPr="008E17DB">
        <w:rPr>
          <w:rFonts w:ascii="Palatino Linotype" w:hAnsi="Palatino Linotype" w:cs="Tahoma"/>
          <w:bCs/>
          <w:sz w:val="22"/>
          <w:szCs w:val="22"/>
        </w:rPr>
        <w:t>los siguientes documentos:</w:t>
      </w:r>
    </w:p>
    <w:p w14:paraId="41ACF1B4" w14:textId="77777777" w:rsidR="00816B6E" w:rsidRPr="008E17DB" w:rsidRDefault="00816B6E" w:rsidP="00A70F75">
      <w:pPr>
        <w:spacing w:line="360" w:lineRule="auto"/>
        <w:jc w:val="both"/>
        <w:rPr>
          <w:rFonts w:ascii="Palatino Linotype" w:hAnsi="Palatino Linotype" w:cs="Tahoma"/>
          <w:bCs/>
          <w:sz w:val="22"/>
          <w:szCs w:val="22"/>
        </w:rPr>
      </w:pPr>
    </w:p>
    <w:p w14:paraId="22C14C74" w14:textId="1411DA3C" w:rsidR="00816B6E" w:rsidRPr="008E17DB" w:rsidRDefault="00816B6E" w:rsidP="00A70F75">
      <w:pPr>
        <w:pStyle w:val="Prrafodelista"/>
        <w:numPr>
          <w:ilvl w:val="0"/>
          <w:numId w:val="29"/>
        </w:numPr>
        <w:spacing w:line="360" w:lineRule="auto"/>
        <w:jc w:val="both"/>
        <w:rPr>
          <w:rFonts w:ascii="Palatino Linotype" w:hAnsi="Palatino Linotype" w:cs="Tahoma"/>
          <w:b/>
          <w:bCs/>
          <w:szCs w:val="22"/>
        </w:rPr>
      </w:pPr>
      <w:r w:rsidRPr="008E17DB">
        <w:rPr>
          <w:rFonts w:ascii="Palatino Linotype" w:hAnsi="Palatino Linotype" w:cs="Tahoma"/>
          <w:b/>
          <w:bCs/>
          <w:szCs w:val="22"/>
        </w:rPr>
        <w:t>Balanza de Comprobación Detallada, al treinta uno de marzo de dos mil diecinueve, en formato “PDF”:</w:t>
      </w:r>
    </w:p>
    <w:p w14:paraId="5D4A8966" w14:textId="77777777" w:rsidR="00816B6E" w:rsidRPr="008E17DB" w:rsidRDefault="00816B6E" w:rsidP="00A70F75">
      <w:pPr>
        <w:spacing w:line="360" w:lineRule="auto"/>
        <w:jc w:val="both"/>
        <w:rPr>
          <w:rFonts w:ascii="Palatino Linotype" w:hAnsi="Palatino Linotype" w:cs="Tahoma"/>
          <w:b/>
          <w:bCs/>
          <w:szCs w:val="22"/>
        </w:rPr>
      </w:pPr>
    </w:p>
    <w:p w14:paraId="34A86E93" w14:textId="02A17FAE" w:rsidR="00816B6E" w:rsidRPr="008E17DB" w:rsidRDefault="00816B6E" w:rsidP="00A70F75">
      <w:pPr>
        <w:pStyle w:val="Prrafodelista"/>
        <w:spacing w:line="360" w:lineRule="auto"/>
        <w:ind w:left="0"/>
        <w:jc w:val="both"/>
        <w:rPr>
          <w:rFonts w:ascii="Palatino Linotype" w:hAnsi="Palatino Linotype" w:cs="Tahoma"/>
          <w:bCs/>
          <w:szCs w:val="22"/>
        </w:rPr>
      </w:pPr>
      <w:r w:rsidRPr="008E17DB">
        <w:rPr>
          <w:noProof/>
          <w:lang w:eastAsia="es-MX"/>
        </w:rPr>
        <w:drawing>
          <wp:inline distT="0" distB="0" distL="0" distR="0" wp14:anchorId="08ABEB57" wp14:editId="302D84C0">
            <wp:extent cx="5742940" cy="907415"/>
            <wp:effectExtent l="0" t="0" r="0" b="698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907415"/>
                    </a:xfrm>
                    <a:prstGeom prst="rect">
                      <a:avLst/>
                    </a:prstGeom>
                  </pic:spPr>
                </pic:pic>
              </a:graphicData>
            </a:graphic>
          </wp:inline>
        </w:drawing>
      </w:r>
    </w:p>
    <w:p w14:paraId="3CA6D4B2" w14:textId="77777777" w:rsidR="00816B6E" w:rsidRPr="008E17DB" w:rsidRDefault="00816B6E" w:rsidP="00A70F75">
      <w:pPr>
        <w:pStyle w:val="Prrafodelista"/>
        <w:spacing w:line="360" w:lineRule="auto"/>
        <w:jc w:val="both"/>
        <w:rPr>
          <w:rFonts w:ascii="Palatino Linotype" w:hAnsi="Palatino Linotype" w:cs="Tahoma"/>
          <w:bCs/>
          <w:szCs w:val="22"/>
        </w:rPr>
      </w:pPr>
    </w:p>
    <w:p w14:paraId="133C0FE0" w14:textId="4BD139EF" w:rsidR="00816B6E" w:rsidRPr="008E17DB" w:rsidRDefault="00816B6E" w:rsidP="00A70F75">
      <w:pPr>
        <w:pStyle w:val="Prrafodelista"/>
        <w:numPr>
          <w:ilvl w:val="0"/>
          <w:numId w:val="29"/>
        </w:numPr>
        <w:rPr>
          <w:rFonts w:ascii="Palatino Linotype" w:hAnsi="Palatino Linotype" w:cs="Tahoma"/>
          <w:b/>
          <w:bCs/>
          <w:szCs w:val="22"/>
        </w:rPr>
      </w:pPr>
      <w:r w:rsidRPr="008E17DB">
        <w:rPr>
          <w:rFonts w:ascii="Palatino Linotype" w:hAnsi="Palatino Linotype" w:cs="Tahoma"/>
          <w:b/>
          <w:bCs/>
          <w:szCs w:val="22"/>
        </w:rPr>
        <w:lastRenderedPageBreak/>
        <w:t>Balanza de Comprobación Detallada, al treinta uno de marzo de dos mil diecinueve, en formato “XLS”:</w:t>
      </w:r>
    </w:p>
    <w:p w14:paraId="0BEDF748" w14:textId="77777777" w:rsidR="00816B6E" w:rsidRPr="008E17DB" w:rsidRDefault="00816B6E" w:rsidP="00A70F75">
      <w:pPr>
        <w:pStyle w:val="Prrafodelista"/>
        <w:spacing w:line="360" w:lineRule="auto"/>
        <w:jc w:val="both"/>
        <w:rPr>
          <w:rFonts w:ascii="Palatino Linotype" w:hAnsi="Palatino Linotype" w:cs="Tahoma"/>
          <w:bCs/>
          <w:szCs w:val="22"/>
        </w:rPr>
      </w:pPr>
    </w:p>
    <w:p w14:paraId="161F619D" w14:textId="6AF95161" w:rsidR="00A81576" w:rsidRPr="008E17DB" w:rsidRDefault="00F77895" w:rsidP="00A70F75">
      <w:pPr>
        <w:spacing w:line="360" w:lineRule="auto"/>
        <w:jc w:val="both"/>
        <w:rPr>
          <w:rFonts w:ascii="Palatino Linotype" w:hAnsi="Palatino Linotype" w:cs="Tahoma"/>
          <w:b/>
          <w:bCs/>
          <w:sz w:val="22"/>
          <w:szCs w:val="22"/>
        </w:rPr>
      </w:pPr>
      <w:r w:rsidRPr="008E17DB">
        <w:rPr>
          <w:noProof/>
          <w:lang w:eastAsia="es-MX"/>
        </w:rPr>
        <w:drawing>
          <wp:inline distT="0" distB="0" distL="0" distR="0" wp14:anchorId="79B3E0C8" wp14:editId="7C53E09B">
            <wp:extent cx="5742940" cy="90297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902970"/>
                    </a:xfrm>
                    <a:prstGeom prst="rect">
                      <a:avLst/>
                    </a:prstGeom>
                  </pic:spPr>
                </pic:pic>
              </a:graphicData>
            </a:graphic>
          </wp:inline>
        </w:drawing>
      </w:r>
    </w:p>
    <w:p w14:paraId="4CF09495" w14:textId="77777777" w:rsidR="00A81576" w:rsidRPr="008E17DB" w:rsidRDefault="00A81576" w:rsidP="00A70F75">
      <w:pPr>
        <w:spacing w:line="360" w:lineRule="auto"/>
        <w:jc w:val="both"/>
        <w:rPr>
          <w:rFonts w:ascii="Palatino Linotype" w:hAnsi="Palatino Linotype" w:cs="Tahoma"/>
          <w:b/>
          <w:bCs/>
          <w:sz w:val="22"/>
          <w:szCs w:val="22"/>
        </w:rPr>
      </w:pPr>
    </w:p>
    <w:p w14:paraId="4480FC15" w14:textId="288E6A49" w:rsidR="00A81576" w:rsidRPr="008E17DB" w:rsidRDefault="00F77895" w:rsidP="00A70F75">
      <w:pPr>
        <w:spacing w:line="360" w:lineRule="auto"/>
        <w:jc w:val="both"/>
        <w:rPr>
          <w:rFonts w:ascii="Palatino Linotype" w:hAnsi="Palatino Linotype" w:cs="Tahoma"/>
          <w:bCs/>
          <w:sz w:val="22"/>
          <w:szCs w:val="22"/>
        </w:rPr>
      </w:pPr>
      <w:r w:rsidRPr="008E17DB">
        <w:rPr>
          <w:rFonts w:ascii="Palatino Linotype" w:hAnsi="Palatino Linotype" w:cs="Tahoma"/>
          <w:bCs/>
          <w:sz w:val="22"/>
          <w:szCs w:val="22"/>
        </w:rPr>
        <w:t>De la revisión, de ambos documentos se logró advertir que son idénticos, la diferencia es el formato en que se encuentra, a saber, en “PDF” y “XLS”.</w:t>
      </w:r>
    </w:p>
    <w:p w14:paraId="76229A82" w14:textId="77777777" w:rsidR="00F77895" w:rsidRPr="008E17DB" w:rsidRDefault="00F77895" w:rsidP="00A70F75">
      <w:pPr>
        <w:spacing w:line="360" w:lineRule="auto"/>
        <w:jc w:val="both"/>
        <w:rPr>
          <w:rFonts w:ascii="Palatino Linotype" w:hAnsi="Palatino Linotype" w:cs="Tahoma"/>
          <w:bCs/>
          <w:sz w:val="22"/>
          <w:szCs w:val="22"/>
        </w:rPr>
      </w:pPr>
    </w:p>
    <w:p w14:paraId="7A902C23" w14:textId="603B5A77" w:rsidR="00F77895" w:rsidRPr="008E17DB" w:rsidRDefault="00F77895" w:rsidP="00A70F75">
      <w:pPr>
        <w:spacing w:line="360" w:lineRule="auto"/>
        <w:jc w:val="both"/>
        <w:rPr>
          <w:rFonts w:ascii="Palatino Linotype" w:hAnsi="Palatino Linotype" w:cs="Tahoma"/>
          <w:bCs/>
          <w:sz w:val="22"/>
          <w:szCs w:val="22"/>
        </w:rPr>
      </w:pPr>
      <w:r w:rsidRPr="008E17DB">
        <w:rPr>
          <w:rFonts w:ascii="Palatino Linotype" w:hAnsi="Palatino Linotype" w:cs="Tahoma"/>
          <w:bCs/>
          <w:sz w:val="22"/>
          <w:szCs w:val="22"/>
        </w:rPr>
        <w:t xml:space="preserve">Además, se verificó el contenido de las Balanzas </w:t>
      </w:r>
      <w:r w:rsidR="00D24944" w:rsidRPr="008E17DB">
        <w:rPr>
          <w:rFonts w:ascii="Palatino Linotype" w:hAnsi="Palatino Linotype" w:cs="Tahoma"/>
          <w:bCs/>
          <w:sz w:val="22"/>
          <w:szCs w:val="22"/>
        </w:rPr>
        <w:t>proporcionadas y se logró advertir que no contiene algún dato confidencial en términos del artículo 143, fracción I de la Ley de Transparencia y Acceso a la Información Pública, tal como lo señaló el Ayuntamiento de Tlalnepantla de Baz, en el desahogo del requerimiento de información adicional.</w:t>
      </w:r>
    </w:p>
    <w:p w14:paraId="600A82C9" w14:textId="0B71B730" w:rsidR="00D24944" w:rsidRPr="008E17DB" w:rsidRDefault="00D24944" w:rsidP="00A70F75">
      <w:pPr>
        <w:spacing w:line="360" w:lineRule="auto"/>
        <w:jc w:val="both"/>
        <w:rPr>
          <w:rFonts w:ascii="Palatino Linotype" w:hAnsi="Palatino Linotype" w:cs="Tahoma"/>
          <w:bCs/>
          <w:sz w:val="22"/>
          <w:szCs w:val="22"/>
        </w:rPr>
      </w:pPr>
    </w:p>
    <w:p w14:paraId="15D961C7" w14:textId="77777777" w:rsidR="00F3748D" w:rsidRPr="008E17DB" w:rsidRDefault="00D24944" w:rsidP="00A70F75">
      <w:pPr>
        <w:spacing w:line="360" w:lineRule="auto"/>
        <w:jc w:val="both"/>
        <w:rPr>
          <w:rFonts w:ascii="Palatino Linotype" w:hAnsi="Palatino Linotype" w:cs="Tahoma"/>
          <w:sz w:val="22"/>
          <w:szCs w:val="22"/>
        </w:rPr>
      </w:pPr>
      <w:r w:rsidRPr="008E17DB">
        <w:rPr>
          <w:rFonts w:ascii="Palatino Linotype" w:hAnsi="Palatino Linotype" w:cs="Tahoma"/>
          <w:bCs/>
          <w:sz w:val="22"/>
          <w:szCs w:val="22"/>
        </w:rPr>
        <w:t xml:space="preserve">Conforme a lo anterior, se advierte que el Sujeto Obligado proporcionó, durante la substanciación del Medio de Impugnación, los documentos solicitados </w:t>
      </w:r>
      <w:r w:rsidR="00F3748D" w:rsidRPr="008E17DB">
        <w:rPr>
          <w:rFonts w:ascii="Palatino Linotype" w:hAnsi="Palatino Linotype" w:cs="Tahoma"/>
          <w:bCs/>
          <w:sz w:val="22"/>
          <w:szCs w:val="22"/>
        </w:rPr>
        <w:t xml:space="preserve">por el Particular, como obran en sus archivos, a saber, la Balanza de Comprobación Detallada, al treinta y uno de marzo de dos mil diecinueve, en formato “PDF” y “XLS”; </w:t>
      </w:r>
      <w:r w:rsidR="00F3748D" w:rsidRPr="008E17DB">
        <w:rPr>
          <w:rFonts w:ascii="Palatino Linotype" w:eastAsia="Calibri" w:hAnsi="Palatino Linotype" w:cs="Tahoma"/>
          <w:bCs/>
          <w:sz w:val="22"/>
          <w:szCs w:val="22"/>
          <w:lang w:eastAsia="en-US"/>
        </w:rPr>
        <w:t>d</w:t>
      </w:r>
      <w:proofErr w:type="spellStart"/>
      <w:r w:rsidR="00F3748D" w:rsidRPr="008E17DB">
        <w:rPr>
          <w:rFonts w:ascii="Palatino Linotype" w:hAnsi="Palatino Linotype" w:cs="Tahoma"/>
          <w:bCs/>
          <w:iCs/>
          <w:sz w:val="22"/>
          <w:szCs w:val="24"/>
          <w:lang w:val="es-ES"/>
        </w:rPr>
        <w:t>icha</w:t>
      </w:r>
      <w:proofErr w:type="spellEnd"/>
      <w:r w:rsidR="00F3748D" w:rsidRPr="008E17DB">
        <w:rPr>
          <w:rFonts w:ascii="Palatino Linotype" w:hAnsi="Palatino Linotype" w:cs="Tahoma"/>
          <w:bCs/>
          <w:iCs/>
          <w:sz w:val="22"/>
          <w:szCs w:val="24"/>
          <w:lang w:val="es-ES"/>
        </w:rPr>
        <w:t xml:space="preserve"> determinación toma relevancia, pues </w:t>
      </w:r>
      <w:r w:rsidR="00F3748D" w:rsidRPr="008E17DB">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 la Solicitante, además, que tampoco deberá generarla, resumirla, efectuar cálculos o practicar investigaciones.</w:t>
      </w:r>
    </w:p>
    <w:p w14:paraId="4F88CC6F" w14:textId="77777777" w:rsidR="00F3748D" w:rsidRPr="008E17DB" w:rsidRDefault="00F3748D" w:rsidP="00A70F75">
      <w:pPr>
        <w:tabs>
          <w:tab w:val="left" w:pos="4962"/>
        </w:tabs>
        <w:spacing w:line="360" w:lineRule="auto"/>
        <w:jc w:val="both"/>
        <w:rPr>
          <w:rFonts w:ascii="Palatino Linotype" w:hAnsi="Palatino Linotype" w:cs="Tahoma"/>
          <w:sz w:val="22"/>
          <w:szCs w:val="22"/>
        </w:rPr>
      </w:pPr>
    </w:p>
    <w:p w14:paraId="4E17A08E" w14:textId="77777777" w:rsidR="00F3748D" w:rsidRPr="008E17DB" w:rsidRDefault="00F3748D" w:rsidP="00A70F75">
      <w:pPr>
        <w:tabs>
          <w:tab w:val="left" w:pos="4962"/>
        </w:tabs>
        <w:spacing w:line="360" w:lineRule="auto"/>
        <w:jc w:val="both"/>
        <w:rPr>
          <w:rFonts w:ascii="Palatino Linotype" w:eastAsia="Arial" w:hAnsi="Palatino Linotype" w:cs="Arial"/>
          <w:i/>
        </w:rPr>
      </w:pPr>
      <w:r w:rsidRPr="008E17DB">
        <w:rPr>
          <w:rFonts w:ascii="Palatino Linotype" w:hAnsi="Palatino Linotype" w:cs="Tahoma"/>
          <w:sz w:val="22"/>
          <w:szCs w:val="22"/>
        </w:rPr>
        <w:t xml:space="preserve">De esta manera, </w:t>
      </w:r>
      <w:r w:rsidRPr="008E17DB">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8E17DB">
        <w:rPr>
          <w:rFonts w:ascii="Palatino Linotype" w:hAnsi="Palatino Linotype" w:cs="Tahoma"/>
          <w:i/>
          <w:sz w:val="22"/>
          <w:szCs w:val="22"/>
        </w:rPr>
        <w:t>ad hoc</w:t>
      </w:r>
      <w:r w:rsidRPr="008E17DB">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7B774671" w14:textId="77777777" w:rsidR="00F3748D" w:rsidRPr="008E17DB" w:rsidRDefault="00F3748D" w:rsidP="00A70F75">
      <w:pPr>
        <w:spacing w:line="360" w:lineRule="auto"/>
        <w:jc w:val="both"/>
        <w:rPr>
          <w:rFonts w:ascii="Palatino Linotype" w:hAnsi="Palatino Linotype" w:cs="Tahoma"/>
          <w:sz w:val="22"/>
          <w:szCs w:val="24"/>
          <w:lang w:val="es-ES"/>
        </w:rPr>
      </w:pPr>
    </w:p>
    <w:p w14:paraId="248D5307" w14:textId="60E9B31A" w:rsidR="00D24944" w:rsidRPr="008E17DB" w:rsidRDefault="00F3748D" w:rsidP="00A70F75">
      <w:pPr>
        <w:spacing w:line="360" w:lineRule="auto"/>
        <w:jc w:val="both"/>
        <w:rPr>
          <w:rFonts w:ascii="Palatino Linotype" w:hAnsi="Palatino Linotype" w:cs="Tahoma"/>
          <w:sz w:val="22"/>
          <w:szCs w:val="22"/>
          <w:lang w:val="es-ES"/>
        </w:rPr>
      </w:pPr>
      <w:r w:rsidRPr="008E17DB">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 la Recurrente; lo cual, aconteció pues entregó los documentos requeridos, en los formatos señalados en el requerimiento.</w:t>
      </w:r>
    </w:p>
    <w:p w14:paraId="0088C697" w14:textId="77777777" w:rsidR="00F3748D" w:rsidRPr="008E17DB" w:rsidRDefault="00F3748D" w:rsidP="00A70F75">
      <w:pPr>
        <w:spacing w:line="360" w:lineRule="auto"/>
        <w:jc w:val="both"/>
        <w:rPr>
          <w:rFonts w:ascii="Palatino Linotype" w:hAnsi="Palatino Linotype" w:cs="Tahoma"/>
          <w:sz w:val="22"/>
          <w:szCs w:val="22"/>
          <w:lang w:val="es-ES"/>
        </w:rPr>
      </w:pPr>
    </w:p>
    <w:p w14:paraId="5618A145" w14:textId="77777777" w:rsidR="006874A0" w:rsidRPr="008E17DB" w:rsidRDefault="00973D07" w:rsidP="00A70F75">
      <w:pPr>
        <w:spacing w:line="360" w:lineRule="auto"/>
        <w:jc w:val="both"/>
        <w:rPr>
          <w:rFonts w:ascii="Palatino Linotype" w:hAnsi="Palatino Linotype" w:cs="Tahoma"/>
          <w:sz w:val="22"/>
          <w:szCs w:val="22"/>
          <w:lang w:val="es-ES"/>
        </w:rPr>
      </w:pPr>
      <w:r w:rsidRPr="008E17DB">
        <w:rPr>
          <w:rFonts w:ascii="Palatino Linotype" w:hAnsi="Palatino Linotype" w:cs="Tahoma"/>
          <w:sz w:val="22"/>
          <w:szCs w:val="22"/>
          <w:lang w:val="es-ES"/>
        </w:rPr>
        <w:t xml:space="preserve">Ahora bien, no pasa desapercibido que el Particular en manifestaciones, precisó que no se le había adjuntado los documentos requeridos, en el Informe Justificado; por lo que, este Instituto procedió a verificar </w:t>
      </w:r>
      <w:r w:rsidR="006874A0" w:rsidRPr="008E17DB">
        <w:rPr>
          <w:rFonts w:ascii="Palatino Linotype" w:hAnsi="Palatino Linotype" w:cs="Tahoma"/>
          <w:sz w:val="22"/>
          <w:szCs w:val="22"/>
          <w:lang w:val="es-ES"/>
        </w:rPr>
        <w:t>el Sistema de Acceso a la Información Mexiquense, del cual se desprende lo siguiente:</w:t>
      </w:r>
    </w:p>
    <w:p w14:paraId="49C47C67" w14:textId="77777777" w:rsidR="006874A0" w:rsidRPr="008E17DB" w:rsidRDefault="006874A0" w:rsidP="00A70F75">
      <w:pPr>
        <w:spacing w:line="360" w:lineRule="auto"/>
        <w:jc w:val="both"/>
        <w:rPr>
          <w:rFonts w:ascii="Palatino Linotype" w:hAnsi="Palatino Linotype" w:cs="Tahoma"/>
          <w:sz w:val="22"/>
          <w:szCs w:val="22"/>
          <w:lang w:val="es-ES"/>
        </w:rPr>
      </w:pPr>
    </w:p>
    <w:p w14:paraId="495467A5" w14:textId="1A079EA6" w:rsidR="00973D07" w:rsidRPr="008E17DB" w:rsidRDefault="006874A0" w:rsidP="00A70F75">
      <w:pPr>
        <w:spacing w:line="360" w:lineRule="auto"/>
        <w:jc w:val="both"/>
        <w:rPr>
          <w:rFonts w:ascii="Palatino Linotype" w:hAnsi="Palatino Linotype" w:cs="Tahoma"/>
          <w:sz w:val="22"/>
          <w:szCs w:val="22"/>
          <w:lang w:val="es-ES"/>
        </w:rPr>
      </w:pPr>
      <w:r w:rsidRPr="008E17DB">
        <w:rPr>
          <w:noProof/>
          <w:lang w:eastAsia="es-MX"/>
        </w:rPr>
        <mc:AlternateContent>
          <mc:Choice Requires="wps">
            <w:drawing>
              <wp:anchor distT="0" distB="0" distL="114300" distR="114300" simplePos="0" relativeHeight="251660288" behindDoc="0" locked="0" layoutInCell="1" allowOverlap="1" wp14:anchorId="315DFDD4" wp14:editId="29602329">
                <wp:simplePos x="0" y="0"/>
                <wp:positionH relativeFrom="column">
                  <wp:posOffset>1270</wp:posOffset>
                </wp:positionH>
                <wp:positionV relativeFrom="paragraph">
                  <wp:posOffset>718820</wp:posOffset>
                </wp:positionV>
                <wp:extent cx="5742940" cy="304800"/>
                <wp:effectExtent l="19050" t="19050" r="10160" b="19050"/>
                <wp:wrapNone/>
                <wp:docPr id="15" name="Rectángulo 15"/>
                <wp:cNvGraphicFramePr/>
                <a:graphic xmlns:a="http://schemas.openxmlformats.org/drawingml/2006/main">
                  <a:graphicData uri="http://schemas.microsoft.com/office/word/2010/wordprocessingShape">
                    <wps:wsp>
                      <wps:cNvSpPr/>
                      <wps:spPr>
                        <a:xfrm>
                          <a:off x="0" y="0"/>
                          <a:ext cx="5742940" cy="3048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0099C6" id="Rectángulo 15" o:spid="_x0000_s1026" style="position:absolute;margin-left:.1pt;margin-top:56.6pt;width:452.2pt;height:2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" filled="f" strokecolor="black [3213]" strokeweight="2.25pt"/>
            </w:pict>
          </mc:Fallback>
        </mc:AlternateContent>
      </w:r>
      <w:r w:rsidRPr="008E17DB">
        <w:rPr>
          <w:noProof/>
          <w:lang w:eastAsia="es-MX"/>
        </w:rPr>
        <w:drawing>
          <wp:inline distT="0" distB="0" distL="0" distR="0" wp14:anchorId="2C2A5D18" wp14:editId="2ACD7FA5">
            <wp:extent cx="5742940" cy="187007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2940" cy="1870075"/>
                    </a:xfrm>
                    <a:prstGeom prst="rect">
                      <a:avLst/>
                    </a:prstGeom>
                  </pic:spPr>
                </pic:pic>
              </a:graphicData>
            </a:graphic>
          </wp:inline>
        </w:drawing>
      </w:r>
      <w:r w:rsidR="00973D07" w:rsidRPr="008E17DB">
        <w:rPr>
          <w:rFonts w:ascii="Palatino Linotype" w:hAnsi="Palatino Linotype" w:cs="Tahoma"/>
          <w:sz w:val="22"/>
          <w:szCs w:val="22"/>
          <w:lang w:val="es-ES"/>
        </w:rPr>
        <w:t xml:space="preserve"> </w:t>
      </w:r>
    </w:p>
    <w:p w14:paraId="4618F0B2" w14:textId="5D572038" w:rsidR="00973D07" w:rsidRPr="008E17DB" w:rsidRDefault="006874A0" w:rsidP="00A70F75">
      <w:pPr>
        <w:spacing w:line="360" w:lineRule="auto"/>
        <w:jc w:val="both"/>
        <w:rPr>
          <w:rFonts w:ascii="Palatino Linotype" w:hAnsi="Palatino Linotype" w:cs="Tahoma"/>
          <w:sz w:val="22"/>
          <w:szCs w:val="22"/>
          <w:lang w:val="es-ES"/>
        </w:rPr>
      </w:pPr>
      <w:r w:rsidRPr="008E17DB">
        <w:rPr>
          <w:rFonts w:ascii="Palatino Linotype" w:hAnsi="Palatino Linotype" w:cs="Tahoma"/>
          <w:sz w:val="22"/>
          <w:szCs w:val="22"/>
          <w:lang w:val="es-ES"/>
        </w:rPr>
        <w:lastRenderedPageBreak/>
        <w:t>En ese contexto, el documento señalado contiene lo siguiente:</w:t>
      </w:r>
    </w:p>
    <w:p w14:paraId="727BDA95" w14:textId="77777777" w:rsidR="006874A0" w:rsidRPr="008E17DB" w:rsidRDefault="006874A0" w:rsidP="00A70F75">
      <w:pPr>
        <w:spacing w:line="360" w:lineRule="auto"/>
        <w:jc w:val="both"/>
        <w:rPr>
          <w:rFonts w:ascii="Palatino Linotype" w:hAnsi="Palatino Linotype" w:cs="Tahoma"/>
          <w:sz w:val="22"/>
          <w:szCs w:val="22"/>
          <w:lang w:val="es-ES"/>
        </w:rPr>
      </w:pPr>
    </w:p>
    <w:p w14:paraId="147D88F5" w14:textId="235FFE60" w:rsidR="006874A0" w:rsidRPr="008E17DB" w:rsidRDefault="006874A0" w:rsidP="00A70F75">
      <w:pPr>
        <w:spacing w:line="360" w:lineRule="auto"/>
        <w:jc w:val="both"/>
        <w:rPr>
          <w:rFonts w:ascii="Palatino Linotype" w:hAnsi="Palatino Linotype" w:cs="Tahoma"/>
          <w:sz w:val="22"/>
          <w:szCs w:val="22"/>
          <w:lang w:val="es-ES"/>
        </w:rPr>
      </w:pPr>
      <w:r w:rsidRPr="008E17DB">
        <w:rPr>
          <w:noProof/>
          <w:color w:val="FF0000"/>
          <w:lang w:eastAsia="es-MX"/>
        </w:rPr>
        <mc:AlternateContent>
          <mc:Choice Requires="wps">
            <w:drawing>
              <wp:anchor distT="0" distB="0" distL="114300" distR="114300" simplePos="0" relativeHeight="251661312" behindDoc="0" locked="0" layoutInCell="1" allowOverlap="1" wp14:anchorId="34AE8005" wp14:editId="4F349745">
                <wp:simplePos x="0" y="0"/>
                <wp:positionH relativeFrom="column">
                  <wp:posOffset>1270</wp:posOffset>
                </wp:positionH>
                <wp:positionV relativeFrom="paragraph">
                  <wp:posOffset>289560</wp:posOffset>
                </wp:positionV>
                <wp:extent cx="5742940" cy="285750"/>
                <wp:effectExtent l="19050" t="19050" r="10160" b="19050"/>
                <wp:wrapNone/>
                <wp:docPr id="17" name="Rectángulo 17"/>
                <wp:cNvGraphicFramePr/>
                <a:graphic xmlns:a="http://schemas.openxmlformats.org/drawingml/2006/main">
                  <a:graphicData uri="http://schemas.microsoft.com/office/word/2010/wordprocessingShape">
                    <wps:wsp>
                      <wps:cNvSpPr/>
                      <wps:spPr>
                        <a:xfrm>
                          <a:off x="0" y="0"/>
                          <a:ext cx="5742940" cy="2857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684EEF" id="Rectángulo 17" o:spid="_x0000_s1026" style="position:absolute;margin-left:.1pt;margin-top:22.8pt;width:452.2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" filled="f" strokecolor="black [3213]" strokeweight="2.25pt"/>
            </w:pict>
          </mc:Fallback>
        </mc:AlternateContent>
      </w:r>
      <w:r w:rsidRPr="008E17DB">
        <w:rPr>
          <w:noProof/>
          <w:lang w:eastAsia="es-MX"/>
        </w:rPr>
        <w:drawing>
          <wp:inline distT="0" distB="0" distL="0" distR="0" wp14:anchorId="13D6D6DE" wp14:editId="10D16777">
            <wp:extent cx="5742940" cy="850265"/>
            <wp:effectExtent l="0" t="0" r="0" b="698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42940" cy="850265"/>
                    </a:xfrm>
                    <a:prstGeom prst="rect">
                      <a:avLst/>
                    </a:prstGeom>
                  </pic:spPr>
                </pic:pic>
              </a:graphicData>
            </a:graphic>
          </wp:inline>
        </w:drawing>
      </w:r>
    </w:p>
    <w:p w14:paraId="6831A2A0" w14:textId="77777777" w:rsidR="006874A0" w:rsidRPr="008E17DB" w:rsidRDefault="006874A0" w:rsidP="00A70F75">
      <w:pPr>
        <w:spacing w:line="360" w:lineRule="auto"/>
        <w:jc w:val="both"/>
        <w:rPr>
          <w:rFonts w:ascii="Palatino Linotype" w:hAnsi="Palatino Linotype" w:cs="Tahoma"/>
          <w:sz w:val="22"/>
          <w:szCs w:val="22"/>
          <w:lang w:val="es-ES"/>
        </w:rPr>
      </w:pPr>
    </w:p>
    <w:p w14:paraId="2F9C0F81" w14:textId="036F276D" w:rsidR="006874A0" w:rsidRPr="008E17DB" w:rsidRDefault="006874A0" w:rsidP="00A70F75">
      <w:pPr>
        <w:spacing w:line="360" w:lineRule="auto"/>
        <w:jc w:val="both"/>
        <w:rPr>
          <w:rFonts w:ascii="Palatino Linotype" w:hAnsi="Palatino Linotype" w:cs="Tahoma"/>
          <w:sz w:val="22"/>
          <w:szCs w:val="22"/>
          <w:lang w:val="es-ES"/>
        </w:rPr>
      </w:pPr>
      <w:r w:rsidRPr="008E17DB">
        <w:rPr>
          <w:rFonts w:ascii="Palatino Linotype" w:hAnsi="Palatino Linotype" w:cs="Tahoma"/>
          <w:sz w:val="22"/>
          <w:szCs w:val="22"/>
          <w:lang w:val="es-ES"/>
        </w:rPr>
        <w:t xml:space="preserve">Como se logra observar, en uno de los archivos proporcionados por el Sujeto Obligado y puestos a la vista del ahora Recurrente, contiene los documentos requeridos por el particular, en </w:t>
      </w:r>
      <w:r w:rsidR="00140735" w:rsidRPr="008E17DB">
        <w:rPr>
          <w:rFonts w:ascii="Palatino Linotype" w:hAnsi="Palatino Linotype" w:cs="Tahoma"/>
          <w:sz w:val="22"/>
          <w:szCs w:val="22"/>
          <w:lang w:val="es-ES"/>
        </w:rPr>
        <w:t>los formatos establecidos en</w:t>
      </w:r>
      <w:r w:rsidRPr="008E17DB">
        <w:rPr>
          <w:rFonts w:ascii="Palatino Linotype" w:hAnsi="Palatino Linotype" w:cs="Tahoma"/>
          <w:sz w:val="22"/>
          <w:szCs w:val="22"/>
          <w:lang w:val="es-ES"/>
        </w:rPr>
        <w:t xml:space="preserve"> los </w:t>
      </w:r>
      <w:r w:rsidR="00140735" w:rsidRPr="008E17DB">
        <w:rPr>
          <w:rFonts w:ascii="Palatino Linotype" w:hAnsi="Palatino Linotype" w:cs="Tahoma"/>
          <w:bCs/>
          <w:sz w:val="22"/>
          <w:szCs w:val="22"/>
          <w:lang w:val="es-ES_tradnl"/>
        </w:rPr>
        <w:t>Lineamientos para la Entrega del Informe Mensual Municipal, dos mil diecinueve, es decir, tal como obra en sus archivos.</w:t>
      </w:r>
    </w:p>
    <w:p w14:paraId="5338BFF2" w14:textId="77777777" w:rsidR="006874A0" w:rsidRPr="008E17DB" w:rsidRDefault="006874A0" w:rsidP="00A70F75">
      <w:pPr>
        <w:spacing w:line="360" w:lineRule="auto"/>
        <w:jc w:val="both"/>
        <w:rPr>
          <w:rFonts w:ascii="Palatino Linotype" w:hAnsi="Palatino Linotype" w:cs="Tahoma"/>
          <w:sz w:val="22"/>
          <w:szCs w:val="22"/>
          <w:lang w:val="es-ES"/>
        </w:rPr>
      </w:pPr>
    </w:p>
    <w:p w14:paraId="26DD74C2" w14:textId="77777777" w:rsidR="000E241D" w:rsidRPr="008E17DB" w:rsidRDefault="00140735" w:rsidP="00A70F75">
      <w:pPr>
        <w:spacing w:line="360" w:lineRule="auto"/>
        <w:ind w:right="-93"/>
        <w:jc w:val="both"/>
        <w:rPr>
          <w:rFonts w:ascii="Palatino Linotype" w:hAnsi="Palatino Linotype" w:cs="Tahoma"/>
          <w:b/>
          <w:bCs/>
          <w:sz w:val="22"/>
          <w:szCs w:val="22"/>
        </w:rPr>
      </w:pPr>
      <w:r w:rsidRPr="008E17DB">
        <w:rPr>
          <w:rFonts w:ascii="Palatino Linotype" w:hAnsi="Palatino Linotype" w:cs="Tahoma"/>
          <w:bCs/>
          <w:sz w:val="22"/>
          <w:szCs w:val="22"/>
        </w:rPr>
        <w:t xml:space="preserve">Por todo lo expuesto y toda vez, que durante la sustanciación del presente Medio de Impugnación, el </w:t>
      </w:r>
      <w:r w:rsidR="000E241D" w:rsidRPr="008E17DB">
        <w:rPr>
          <w:rFonts w:ascii="Palatino Linotype" w:hAnsi="Palatino Linotype" w:cs="Tahoma"/>
          <w:bCs/>
          <w:sz w:val="22"/>
          <w:szCs w:val="22"/>
        </w:rPr>
        <w:t>Ente Recurrido</w:t>
      </w:r>
      <w:r w:rsidRPr="008E17DB">
        <w:rPr>
          <w:rFonts w:ascii="Palatino Linotype" w:hAnsi="Palatino Linotype" w:cs="Tahoma"/>
          <w:bCs/>
          <w:sz w:val="22"/>
          <w:szCs w:val="22"/>
        </w:rPr>
        <w:t xml:space="preserve">, completo </w:t>
      </w:r>
      <w:r w:rsidRPr="008E17DB">
        <w:rPr>
          <w:rFonts w:ascii="Palatino Linotype" w:hAnsi="Palatino Linotype" w:cs="Tahoma"/>
          <w:b/>
          <w:bCs/>
          <w:sz w:val="22"/>
          <w:szCs w:val="22"/>
        </w:rPr>
        <w:t>su respuesta primigenia</w:t>
      </w:r>
      <w:r w:rsidRPr="008E17DB">
        <w:rPr>
          <w:rFonts w:ascii="Palatino Linotype" w:hAnsi="Palatino Linotype" w:cs="Tahoma"/>
          <w:bCs/>
          <w:sz w:val="22"/>
          <w:szCs w:val="22"/>
        </w:rPr>
        <w:t xml:space="preserve"> </w:t>
      </w:r>
      <w:r w:rsidRPr="008E17DB">
        <w:rPr>
          <w:rFonts w:ascii="Palatino Linotype" w:hAnsi="Palatino Linotype" w:cs="Tahoma"/>
          <w:b/>
          <w:bCs/>
          <w:sz w:val="22"/>
          <w:szCs w:val="22"/>
        </w:rPr>
        <w:t>al proporcionar la información faltante que obra en sus archivos</w:t>
      </w:r>
      <w:r w:rsidR="000E241D" w:rsidRPr="008E17DB">
        <w:rPr>
          <w:rFonts w:ascii="Palatino Linotype" w:hAnsi="Palatino Linotype" w:cs="Tahoma"/>
          <w:b/>
          <w:bCs/>
          <w:sz w:val="22"/>
          <w:szCs w:val="22"/>
        </w:rPr>
        <w:t xml:space="preserve"> y da cuenta de lo requerido, </w:t>
      </w:r>
      <w:r w:rsidR="000E241D" w:rsidRPr="008E17DB">
        <w:rPr>
          <w:rFonts w:ascii="Palatino Linotype" w:hAnsi="Palatino Linotype" w:cs="Tahoma"/>
          <w:bCs/>
          <w:sz w:val="22"/>
          <w:szCs w:val="22"/>
        </w:rPr>
        <w:t xml:space="preserve">en términos de los artículos 12 y 160 de la Ley de Transparencia y Acceso a la Información Pública del Estado de México y Municipios, a saber, la Balanza de Comprobación Detallada del Ayuntamiento de Tlalnepantla de Baz, al treinta y uno de marzo de dos mil diecinueve, en formato “PDF” y “XLS”, </w:t>
      </w:r>
      <w:r w:rsidR="000E241D" w:rsidRPr="008E17DB">
        <w:rPr>
          <w:rFonts w:ascii="Palatino Linotype" w:hAnsi="Palatino Linotype" w:cs="Tahoma"/>
          <w:b/>
          <w:bCs/>
          <w:sz w:val="22"/>
          <w:szCs w:val="22"/>
        </w:rPr>
        <w:t>se considera que la impugnación que se dirime ha quedado sin materia.</w:t>
      </w:r>
    </w:p>
    <w:p w14:paraId="7A3C2097" w14:textId="76139778" w:rsidR="00973D07" w:rsidRPr="008E17DB" w:rsidRDefault="00973D07" w:rsidP="00A70F75">
      <w:pPr>
        <w:spacing w:line="360" w:lineRule="auto"/>
        <w:jc w:val="both"/>
        <w:rPr>
          <w:rFonts w:ascii="Palatino Linotype" w:hAnsi="Palatino Linotype" w:cs="Tahoma"/>
          <w:b/>
          <w:bCs/>
          <w:sz w:val="22"/>
          <w:szCs w:val="22"/>
        </w:rPr>
      </w:pPr>
    </w:p>
    <w:p w14:paraId="67E1DA61" w14:textId="77777777" w:rsidR="000E241D" w:rsidRPr="008E17DB" w:rsidRDefault="000E241D" w:rsidP="00A70F75">
      <w:pPr>
        <w:spacing w:line="360" w:lineRule="auto"/>
        <w:jc w:val="both"/>
        <w:rPr>
          <w:rFonts w:ascii="Palatino Linotype" w:hAnsi="Palatino Linotype" w:cs="Tahoma"/>
          <w:b/>
          <w:sz w:val="22"/>
          <w:szCs w:val="22"/>
          <w:lang w:val="es-ES"/>
        </w:rPr>
      </w:pPr>
      <w:r w:rsidRPr="008E17DB">
        <w:rPr>
          <w:rFonts w:ascii="Palatino Linotype" w:hAnsi="Palatino Linotype" w:cs="Tahoma"/>
          <w:b/>
          <w:sz w:val="22"/>
          <w:szCs w:val="22"/>
          <w:lang w:val="es-ES"/>
        </w:rPr>
        <w:t xml:space="preserve">CUARTO. Decisión. </w:t>
      </w:r>
    </w:p>
    <w:p w14:paraId="5E83A7F5" w14:textId="77777777" w:rsidR="000E241D" w:rsidRPr="008E17DB" w:rsidRDefault="000E241D" w:rsidP="00A70F75">
      <w:pPr>
        <w:spacing w:line="360" w:lineRule="auto"/>
        <w:jc w:val="both"/>
        <w:rPr>
          <w:rFonts w:ascii="Palatino Linotype" w:hAnsi="Palatino Linotype" w:cs="Tahoma"/>
          <w:b/>
          <w:sz w:val="22"/>
          <w:szCs w:val="22"/>
          <w:lang w:val="es-ES"/>
        </w:rPr>
      </w:pPr>
    </w:p>
    <w:p w14:paraId="7BCF5158" w14:textId="77777777" w:rsidR="000E241D" w:rsidRPr="008E17DB" w:rsidRDefault="000E241D" w:rsidP="00A70F75">
      <w:pPr>
        <w:spacing w:line="360" w:lineRule="auto"/>
        <w:jc w:val="both"/>
        <w:rPr>
          <w:rFonts w:ascii="Palatino Linotype" w:hAnsi="Palatino Linotype" w:cs="Tahoma"/>
          <w:sz w:val="22"/>
          <w:szCs w:val="22"/>
          <w:lang w:val="es-ES"/>
        </w:rPr>
      </w:pPr>
      <w:r w:rsidRPr="008E17DB">
        <w:rPr>
          <w:rFonts w:ascii="Palatino Linotype" w:hAnsi="Palatino Linotype" w:cs="Tahoma"/>
          <w:sz w:val="22"/>
          <w:szCs w:val="22"/>
          <w:lang w:val="es-ES"/>
        </w:rPr>
        <w:t xml:space="preserve">Con fundamento en lo dispuesto en el artículo 186, fracción I de la Ley de Transparencia y Acceso a la Información Pública del Estado de México y Municipios, se considera procedente </w:t>
      </w:r>
      <w:r w:rsidRPr="008E17DB">
        <w:rPr>
          <w:rFonts w:ascii="Palatino Linotype" w:hAnsi="Palatino Linotype" w:cs="Tahoma"/>
          <w:b/>
          <w:sz w:val="22"/>
          <w:szCs w:val="22"/>
          <w:lang w:val="es-ES"/>
        </w:rPr>
        <w:lastRenderedPageBreak/>
        <w:t xml:space="preserve">SOBRESEER </w:t>
      </w:r>
      <w:r w:rsidRPr="008E17DB">
        <w:rPr>
          <w:rFonts w:ascii="Palatino Linotype" w:hAnsi="Palatino Linotype" w:cs="Tahoma"/>
          <w:sz w:val="22"/>
          <w:szCs w:val="22"/>
          <w:lang w:val="es-ES"/>
        </w:rPr>
        <w:t>el Recurso de Revisión, en virtud de que se actualiza la hipótesis normativa prevista en la fracción III, del artículo 192, del citado ordenamiento legal.</w:t>
      </w:r>
    </w:p>
    <w:p w14:paraId="5B709A06" w14:textId="77777777" w:rsidR="000E241D" w:rsidRPr="008E17DB" w:rsidRDefault="000E241D" w:rsidP="00A70F75">
      <w:pPr>
        <w:widowControl w:val="0"/>
        <w:spacing w:line="360" w:lineRule="auto"/>
        <w:ind w:right="-91"/>
        <w:jc w:val="both"/>
        <w:rPr>
          <w:rFonts w:ascii="Palatino Linotype" w:hAnsi="Palatino Linotype" w:cs="Tahoma"/>
          <w:sz w:val="22"/>
          <w:szCs w:val="22"/>
        </w:rPr>
      </w:pPr>
    </w:p>
    <w:p w14:paraId="09D1B82B" w14:textId="77777777" w:rsidR="000E241D" w:rsidRPr="008E17DB" w:rsidRDefault="000E241D" w:rsidP="00A70F75">
      <w:pPr>
        <w:spacing w:line="360" w:lineRule="auto"/>
        <w:jc w:val="both"/>
        <w:rPr>
          <w:rFonts w:ascii="Palatino Linotype" w:eastAsia="Calibri" w:hAnsi="Palatino Linotype" w:cs="Tahoma"/>
          <w:bCs/>
          <w:sz w:val="22"/>
          <w:szCs w:val="22"/>
          <w:lang w:eastAsia="en-US"/>
        </w:rPr>
      </w:pPr>
      <w:r w:rsidRPr="008E17DB">
        <w:rPr>
          <w:rFonts w:ascii="Palatino Linotype" w:eastAsia="Calibri" w:hAnsi="Palatino Linotype" w:cs="Tahoma"/>
          <w:bCs/>
          <w:sz w:val="22"/>
          <w:szCs w:val="22"/>
          <w:lang w:eastAsia="en-US"/>
        </w:rPr>
        <w:t>Por lo expuesto y fundado, este Pleno:</w:t>
      </w:r>
    </w:p>
    <w:p w14:paraId="3689EDE0" w14:textId="77777777" w:rsidR="00A70F75" w:rsidRPr="008E17DB" w:rsidRDefault="00A70F75" w:rsidP="00A70F75">
      <w:pPr>
        <w:spacing w:line="360" w:lineRule="auto"/>
        <w:ind w:right="-91"/>
        <w:jc w:val="center"/>
        <w:rPr>
          <w:rFonts w:ascii="Palatino Linotype" w:eastAsia="Calibri" w:hAnsi="Palatino Linotype" w:cs="Tahoma"/>
          <w:b/>
          <w:bCs/>
          <w:sz w:val="22"/>
          <w:szCs w:val="22"/>
          <w:lang w:eastAsia="en-US"/>
        </w:rPr>
      </w:pPr>
    </w:p>
    <w:p w14:paraId="192FEED6" w14:textId="77777777" w:rsidR="000E241D" w:rsidRPr="008E17DB" w:rsidRDefault="000E241D" w:rsidP="00A70F75">
      <w:pPr>
        <w:spacing w:line="360" w:lineRule="auto"/>
        <w:ind w:right="-91"/>
        <w:jc w:val="center"/>
        <w:rPr>
          <w:rFonts w:ascii="Palatino Linotype" w:eastAsia="Calibri" w:hAnsi="Palatino Linotype" w:cs="Tahoma"/>
          <w:b/>
          <w:bCs/>
          <w:sz w:val="22"/>
          <w:szCs w:val="22"/>
          <w:lang w:eastAsia="en-US"/>
        </w:rPr>
      </w:pPr>
      <w:r w:rsidRPr="008E17DB">
        <w:rPr>
          <w:rFonts w:ascii="Palatino Linotype" w:eastAsia="Calibri" w:hAnsi="Palatino Linotype" w:cs="Tahoma"/>
          <w:b/>
          <w:bCs/>
          <w:sz w:val="22"/>
          <w:szCs w:val="22"/>
          <w:lang w:eastAsia="en-US"/>
        </w:rPr>
        <w:t>RESUELVE:</w:t>
      </w:r>
    </w:p>
    <w:p w14:paraId="5EEA4E53" w14:textId="77777777" w:rsidR="000E241D" w:rsidRPr="008E17DB" w:rsidRDefault="000E241D" w:rsidP="00A70F75">
      <w:pPr>
        <w:spacing w:line="360" w:lineRule="auto"/>
        <w:jc w:val="center"/>
        <w:rPr>
          <w:rFonts w:ascii="Palatino Linotype" w:hAnsi="Palatino Linotype" w:cs="Tahoma"/>
          <w:b/>
          <w:bCs/>
          <w:sz w:val="22"/>
          <w:szCs w:val="22"/>
        </w:rPr>
      </w:pPr>
    </w:p>
    <w:p w14:paraId="5DCBA409" w14:textId="4AE7C251" w:rsidR="000E241D" w:rsidRPr="008E17DB" w:rsidRDefault="000E241D" w:rsidP="00A70F75">
      <w:pPr>
        <w:spacing w:line="360" w:lineRule="auto"/>
        <w:jc w:val="both"/>
        <w:rPr>
          <w:rFonts w:ascii="Palatino Linotype" w:hAnsi="Palatino Linotype" w:cs="Tahoma"/>
          <w:b/>
          <w:bCs/>
          <w:iCs/>
          <w:sz w:val="22"/>
          <w:szCs w:val="24"/>
          <w:lang w:val="es-ES_tradnl"/>
        </w:rPr>
      </w:pPr>
      <w:r w:rsidRPr="008E17DB">
        <w:rPr>
          <w:rFonts w:ascii="Palatino Linotype" w:hAnsi="Palatino Linotype" w:cs="Arial"/>
          <w:b/>
          <w:bCs/>
          <w:color w:val="000000" w:themeColor="text1"/>
          <w:sz w:val="22"/>
          <w:szCs w:val="22"/>
          <w:lang w:val="es-ES"/>
        </w:rPr>
        <w:t xml:space="preserve">PRIMERO. </w:t>
      </w:r>
      <w:r w:rsidRPr="008E17DB">
        <w:rPr>
          <w:rFonts w:ascii="Palatino Linotype" w:hAnsi="Palatino Linotype" w:cs="Arial"/>
          <w:bCs/>
          <w:color w:val="000000" w:themeColor="text1"/>
          <w:sz w:val="22"/>
          <w:szCs w:val="22"/>
          <w:lang w:val="es-ES"/>
        </w:rPr>
        <w:t xml:space="preserve">Se </w:t>
      </w:r>
      <w:r w:rsidRPr="008E17DB">
        <w:rPr>
          <w:rFonts w:ascii="Palatino Linotype" w:hAnsi="Palatino Linotype" w:cs="Arial"/>
          <w:b/>
          <w:bCs/>
          <w:color w:val="000000" w:themeColor="text1"/>
          <w:sz w:val="22"/>
          <w:szCs w:val="22"/>
          <w:lang w:val="es-ES"/>
        </w:rPr>
        <w:t>SOBRESEE</w:t>
      </w:r>
      <w:r w:rsidRPr="008E17DB">
        <w:rPr>
          <w:rFonts w:ascii="Palatino Linotype" w:hAnsi="Palatino Linotype" w:cs="Arial"/>
          <w:bCs/>
          <w:color w:val="000000" w:themeColor="text1"/>
          <w:sz w:val="22"/>
          <w:szCs w:val="22"/>
          <w:lang w:val="es-ES"/>
        </w:rPr>
        <w:t xml:space="preserve"> el Recurso de Revisión número </w:t>
      </w:r>
      <w:r w:rsidR="00A70F75" w:rsidRPr="008E17DB">
        <w:rPr>
          <w:rFonts w:ascii="Palatino Linotype" w:hAnsi="Palatino Linotype" w:cs="Arial"/>
          <w:b/>
          <w:bCs/>
          <w:color w:val="000000" w:themeColor="text1"/>
          <w:sz w:val="22"/>
          <w:szCs w:val="22"/>
        </w:rPr>
        <w:t>05821/INFOEM/IP/RR/2019</w:t>
      </w:r>
      <w:r w:rsidRPr="008E17DB">
        <w:rPr>
          <w:rFonts w:ascii="Palatino Linotype" w:hAnsi="Palatino Linotype" w:cs="Arial"/>
          <w:b/>
          <w:bCs/>
          <w:color w:val="000000" w:themeColor="text1"/>
          <w:sz w:val="22"/>
          <w:szCs w:val="22"/>
          <w:lang w:val="es-ES"/>
        </w:rPr>
        <w:t>,</w:t>
      </w:r>
      <w:r w:rsidRPr="008E17DB">
        <w:rPr>
          <w:rFonts w:ascii="Palatino Linotype" w:hAnsi="Palatino Linotype" w:cs="Arial"/>
          <w:bCs/>
          <w:color w:val="000000" w:themeColor="text1"/>
          <w:sz w:val="22"/>
          <w:szCs w:val="22"/>
          <w:lang w:val="es-ES"/>
        </w:rPr>
        <w:t xml:space="preserve"> </w:t>
      </w:r>
      <w:r w:rsidRPr="008E17DB">
        <w:rPr>
          <w:rFonts w:ascii="Palatino Linotype" w:hAnsi="Palatino Linotype" w:cs="Tahoma"/>
          <w:bCs/>
          <w:iCs/>
          <w:sz w:val="22"/>
          <w:szCs w:val="24"/>
          <w:lang w:val="es-ES_tradnl"/>
        </w:rPr>
        <w:t xml:space="preserve">porque el Sujeto Obligado al modificar la respuesta, el Medio de Impugnación quedó sin  materia, en términos de los Considerandos </w:t>
      </w:r>
      <w:r w:rsidRPr="008E17DB">
        <w:rPr>
          <w:rFonts w:ascii="Palatino Linotype" w:hAnsi="Palatino Linotype" w:cs="Tahoma"/>
          <w:b/>
          <w:bCs/>
          <w:iCs/>
          <w:sz w:val="22"/>
          <w:szCs w:val="24"/>
          <w:lang w:val="es-ES_tradnl"/>
        </w:rPr>
        <w:t xml:space="preserve">TERCERO </w:t>
      </w:r>
      <w:r w:rsidRPr="008E17DB">
        <w:rPr>
          <w:rFonts w:ascii="Palatino Linotype" w:hAnsi="Palatino Linotype" w:cs="Tahoma"/>
          <w:bCs/>
          <w:iCs/>
          <w:sz w:val="22"/>
          <w:szCs w:val="24"/>
          <w:lang w:val="es-ES_tradnl"/>
        </w:rPr>
        <w:t>y</w:t>
      </w:r>
      <w:r w:rsidRPr="008E17DB">
        <w:rPr>
          <w:rFonts w:ascii="Palatino Linotype" w:hAnsi="Palatino Linotype" w:cs="Tahoma"/>
          <w:b/>
          <w:bCs/>
          <w:iCs/>
          <w:sz w:val="22"/>
          <w:szCs w:val="24"/>
          <w:lang w:val="es-ES_tradnl"/>
        </w:rPr>
        <w:t xml:space="preserve"> CUARTO</w:t>
      </w:r>
      <w:r w:rsidRPr="008E17DB">
        <w:rPr>
          <w:rFonts w:ascii="Palatino Linotype" w:hAnsi="Palatino Linotype" w:cs="Tahoma"/>
          <w:bCs/>
          <w:iCs/>
          <w:sz w:val="22"/>
          <w:szCs w:val="24"/>
          <w:lang w:val="es-ES_tradnl"/>
        </w:rPr>
        <w:t xml:space="preserve"> de la presente Resolución.</w:t>
      </w:r>
    </w:p>
    <w:p w14:paraId="6860DDF6" w14:textId="77777777" w:rsidR="000E241D" w:rsidRPr="008E17DB" w:rsidRDefault="000E241D" w:rsidP="00A70F75">
      <w:pPr>
        <w:spacing w:line="360" w:lineRule="auto"/>
        <w:jc w:val="both"/>
        <w:rPr>
          <w:rFonts w:ascii="Palatino Linotype" w:hAnsi="Palatino Linotype" w:cs="Arial"/>
          <w:b/>
          <w:bCs/>
          <w:color w:val="000000" w:themeColor="text1"/>
          <w:sz w:val="22"/>
          <w:szCs w:val="22"/>
          <w:lang w:val="es-ES"/>
        </w:rPr>
      </w:pPr>
    </w:p>
    <w:p w14:paraId="67300766" w14:textId="6E2A954D" w:rsidR="000E241D" w:rsidRPr="008E17DB" w:rsidRDefault="000E241D" w:rsidP="00A70F75">
      <w:pPr>
        <w:spacing w:line="360" w:lineRule="auto"/>
        <w:jc w:val="both"/>
        <w:rPr>
          <w:rFonts w:ascii="Palatino Linotype" w:hAnsi="Palatino Linotype" w:cs="Arial"/>
          <w:bCs/>
          <w:color w:val="000000" w:themeColor="text1"/>
          <w:sz w:val="22"/>
          <w:szCs w:val="22"/>
          <w:lang w:val="es-ES"/>
        </w:rPr>
      </w:pPr>
      <w:r w:rsidRPr="008E17DB">
        <w:rPr>
          <w:rFonts w:ascii="Palatino Linotype" w:hAnsi="Palatino Linotype" w:cs="Arial"/>
          <w:b/>
          <w:bCs/>
          <w:color w:val="000000" w:themeColor="text1"/>
          <w:sz w:val="22"/>
          <w:szCs w:val="22"/>
          <w:lang w:val="es-ES"/>
        </w:rPr>
        <w:t>SEGUNDO.</w:t>
      </w:r>
      <w:r w:rsidRPr="008E17DB">
        <w:rPr>
          <w:rFonts w:ascii="Palatino Linotype" w:hAnsi="Palatino Linotype" w:cs="Arial"/>
          <w:bCs/>
          <w:color w:val="000000" w:themeColor="text1"/>
          <w:sz w:val="22"/>
          <w:szCs w:val="22"/>
          <w:lang w:val="es-ES"/>
        </w:rPr>
        <w:t xml:space="preserve"> </w:t>
      </w:r>
      <w:r w:rsidRPr="008E17DB">
        <w:rPr>
          <w:rFonts w:ascii="Palatino Linotype" w:hAnsi="Palatino Linotype" w:cs="Arial"/>
          <w:b/>
          <w:bCs/>
          <w:color w:val="000000" w:themeColor="text1"/>
          <w:sz w:val="22"/>
          <w:szCs w:val="22"/>
          <w:lang w:val="es-ES"/>
        </w:rPr>
        <w:t xml:space="preserve">NOTIFÍQUESE </w:t>
      </w:r>
      <w:r w:rsidRPr="008E17DB">
        <w:rPr>
          <w:rFonts w:ascii="Palatino Linotype" w:hAnsi="Palatino Linotype" w:cs="Arial"/>
          <w:bCs/>
          <w:color w:val="000000" w:themeColor="text1"/>
          <w:sz w:val="22"/>
          <w:szCs w:val="22"/>
          <w:lang w:val="es-ES"/>
        </w:rPr>
        <w:t>la presente Resolución</w:t>
      </w:r>
      <w:r w:rsidRPr="008E17DB">
        <w:rPr>
          <w:rFonts w:ascii="Palatino Linotype" w:hAnsi="Palatino Linotype" w:cs="Arial"/>
          <w:b/>
          <w:bCs/>
          <w:color w:val="000000" w:themeColor="text1"/>
          <w:sz w:val="22"/>
          <w:szCs w:val="22"/>
          <w:lang w:val="es-ES"/>
        </w:rPr>
        <w:t xml:space="preserve"> </w:t>
      </w:r>
      <w:r w:rsidRPr="008E17DB">
        <w:rPr>
          <w:rFonts w:ascii="Palatino Linotype" w:hAnsi="Palatino Linotype" w:cs="Arial"/>
          <w:bCs/>
          <w:color w:val="000000" w:themeColor="text1"/>
          <w:sz w:val="22"/>
          <w:szCs w:val="22"/>
          <w:lang w:val="es-ES"/>
        </w:rPr>
        <w:t>a</w:t>
      </w:r>
      <w:r w:rsidR="00A70F75" w:rsidRPr="008E17DB">
        <w:rPr>
          <w:rFonts w:ascii="Palatino Linotype" w:hAnsi="Palatino Linotype" w:cs="Arial"/>
          <w:bCs/>
          <w:color w:val="000000" w:themeColor="text1"/>
          <w:sz w:val="22"/>
          <w:szCs w:val="22"/>
          <w:lang w:val="es-ES"/>
        </w:rPr>
        <w:t xml:space="preserve"> </w:t>
      </w:r>
      <w:r w:rsidRPr="008E17DB">
        <w:rPr>
          <w:rFonts w:ascii="Palatino Linotype" w:hAnsi="Palatino Linotype" w:cs="Arial"/>
          <w:bCs/>
          <w:color w:val="000000" w:themeColor="text1"/>
          <w:sz w:val="22"/>
          <w:szCs w:val="22"/>
          <w:lang w:val="es-ES"/>
        </w:rPr>
        <w:t>l</w:t>
      </w:r>
      <w:r w:rsidR="00A70F75" w:rsidRPr="008E17DB">
        <w:rPr>
          <w:rFonts w:ascii="Palatino Linotype" w:hAnsi="Palatino Linotype" w:cs="Arial"/>
          <w:bCs/>
          <w:color w:val="000000" w:themeColor="text1"/>
          <w:sz w:val="22"/>
          <w:szCs w:val="22"/>
          <w:lang w:val="es-ES"/>
        </w:rPr>
        <w:t>a</w:t>
      </w:r>
      <w:r w:rsidRPr="008E17DB">
        <w:rPr>
          <w:rFonts w:ascii="Palatino Linotype" w:hAnsi="Palatino Linotype" w:cs="Arial"/>
          <w:bCs/>
          <w:color w:val="000000" w:themeColor="text1"/>
          <w:sz w:val="22"/>
          <w:szCs w:val="22"/>
          <w:lang w:val="es-ES"/>
        </w:rPr>
        <w:t xml:space="preserve"> Titular de la Unidad de Transparencia del </w:t>
      </w:r>
      <w:r w:rsidR="00A70F75" w:rsidRPr="008E17DB">
        <w:rPr>
          <w:rFonts w:ascii="Palatino Linotype" w:hAnsi="Palatino Linotype" w:cs="Arial"/>
          <w:bCs/>
          <w:color w:val="000000" w:themeColor="text1"/>
          <w:sz w:val="22"/>
          <w:szCs w:val="22"/>
          <w:lang w:val="es-ES"/>
        </w:rPr>
        <w:t>Ayuntamiento de Tlalnepantla de Baz</w:t>
      </w:r>
      <w:r w:rsidRPr="008E17DB">
        <w:rPr>
          <w:rFonts w:ascii="Palatino Linotype" w:hAnsi="Palatino Linotype" w:cs="Arial"/>
          <w:bCs/>
          <w:color w:val="000000" w:themeColor="text1"/>
          <w:sz w:val="22"/>
          <w:szCs w:val="22"/>
          <w:lang w:val="es-ES"/>
        </w:rPr>
        <w:t>.</w:t>
      </w:r>
    </w:p>
    <w:p w14:paraId="3898B683" w14:textId="77777777" w:rsidR="000E241D" w:rsidRPr="008E17DB" w:rsidRDefault="000E241D" w:rsidP="00A70F75">
      <w:pPr>
        <w:spacing w:line="360" w:lineRule="auto"/>
        <w:jc w:val="both"/>
        <w:rPr>
          <w:rFonts w:ascii="Palatino Linotype" w:hAnsi="Palatino Linotype" w:cs="Arial"/>
          <w:bCs/>
          <w:color w:val="000000" w:themeColor="text1"/>
          <w:sz w:val="22"/>
          <w:szCs w:val="22"/>
          <w:lang w:val="es-ES"/>
        </w:rPr>
      </w:pPr>
    </w:p>
    <w:p w14:paraId="58ABE119" w14:textId="77777777" w:rsidR="00A70F75" w:rsidRPr="008E17DB" w:rsidRDefault="000E241D" w:rsidP="00A70F75">
      <w:pPr>
        <w:shd w:val="clear" w:color="auto" w:fill="FFFFFF" w:themeFill="background1"/>
        <w:spacing w:line="360" w:lineRule="auto"/>
        <w:jc w:val="both"/>
        <w:rPr>
          <w:rFonts w:ascii="Palatino Linotype" w:hAnsi="Palatino Linotype" w:cs="Tahoma"/>
          <w:sz w:val="22"/>
          <w:szCs w:val="22"/>
        </w:rPr>
      </w:pPr>
      <w:r w:rsidRPr="008E17DB">
        <w:rPr>
          <w:rFonts w:ascii="Palatino Linotype" w:hAnsi="Palatino Linotype" w:cs="Arial"/>
          <w:b/>
          <w:bCs/>
          <w:color w:val="000000" w:themeColor="text1"/>
          <w:sz w:val="22"/>
          <w:szCs w:val="22"/>
          <w:lang w:val="es-ES"/>
        </w:rPr>
        <w:t>TERCERO.</w:t>
      </w:r>
      <w:r w:rsidRPr="008E17DB">
        <w:rPr>
          <w:rFonts w:ascii="Palatino Linotype" w:hAnsi="Palatino Linotype" w:cs="Arial"/>
          <w:bCs/>
          <w:color w:val="000000" w:themeColor="text1"/>
          <w:sz w:val="22"/>
          <w:szCs w:val="22"/>
          <w:lang w:val="es-ES"/>
        </w:rPr>
        <w:t xml:space="preserve"> </w:t>
      </w:r>
      <w:r w:rsidRPr="008E17DB">
        <w:rPr>
          <w:rFonts w:ascii="Palatino Linotype" w:hAnsi="Palatino Linotype" w:cs="Tahoma"/>
          <w:b/>
          <w:sz w:val="22"/>
          <w:szCs w:val="22"/>
        </w:rPr>
        <w:t xml:space="preserve">NOTIFÍQUESE </w:t>
      </w:r>
      <w:r w:rsidRPr="008E17DB">
        <w:rPr>
          <w:rFonts w:ascii="Palatino Linotype" w:hAnsi="Palatino Linotype" w:cs="Tahoma"/>
          <w:sz w:val="22"/>
          <w:szCs w:val="22"/>
        </w:rPr>
        <w:t xml:space="preserve">al Recurrente </w:t>
      </w:r>
      <w:r w:rsidR="00A70F75" w:rsidRPr="008E17DB">
        <w:rPr>
          <w:rFonts w:ascii="Palatino Linotype" w:hAnsi="Palatino Linotype" w:cs="Tahoma"/>
          <w:sz w:val="22"/>
          <w:szCs w:val="22"/>
        </w:rPr>
        <w:t>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6BF6711" w14:textId="77777777" w:rsidR="000E241D" w:rsidRPr="008E17DB" w:rsidRDefault="000E241D" w:rsidP="00A70F75">
      <w:pPr>
        <w:shd w:val="clear" w:color="auto" w:fill="FFFFFF" w:themeFill="background1"/>
        <w:spacing w:line="360" w:lineRule="auto"/>
        <w:jc w:val="both"/>
        <w:rPr>
          <w:rFonts w:ascii="Palatino Linotype" w:hAnsi="Palatino Linotype" w:cs="Tahoma"/>
          <w:sz w:val="22"/>
          <w:szCs w:val="22"/>
        </w:rPr>
      </w:pPr>
    </w:p>
    <w:p w14:paraId="3D6D58E2" w14:textId="77777777" w:rsidR="00187780" w:rsidRPr="008E17DB" w:rsidRDefault="00187780" w:rsidP="00187780">
      <w:pPr>
        <w:spacing w:line="360" w:lineRule="auto"/>
        <w:ind w:right="-93"/>
        <w:jc w:val="both"/>
        <w:rPr>
          <w:rFonts w:ascii="Palatino Linotype" w:eastAsia="Calibri" w:hAnsi="Palatino Linotype" w:cs="Tahoma"/>
          <w:bCs/>
          <w:sz w:val="22"/>
          <w:szCs w:val="22"/>
          <w:lang w:eastAsia="en-US"/>
        </w:rPr>
      </w:pPr>
      <w:r w:rsidRPr="008E17DB">
        <w:rPr>
          <w:rFonts w:ascii="Palatino Linotype" w:eastAsia="Calibri" w:hAnsi="Palatino Linotype" w:cs="Tahoma"/>
          <w:bCs/>
          <w:sz w:val="22"/>
          <w:szCs w:val="22"/>
          <w:lang w:val="es-ES_tradnl" w:eastAsia="en-US"/>
        </w:rPr>
        <w:t xml:space="preserve">ASÍ LO RESUELVEN POR </w:t>
      </w:r>
      <w:r w:rsidRPr="008E17DB">
        <w:rPr>
          <w:rFonts w:ascii="Palatino Linotype" w:eastAsia="Calibri" w:hAnsi="Palatino Linotype" w:cs="Tahoma"/>
          <w:b/>
          <w:bCs/>
          <w:sz w:val="22"/>
          <w:szCs w:val="22"/>
          <w:lang w:val="es-ES_tradnl" w:eastAsia="en-US"/>
        </w:rPr>
        <w:t>UNANIMIDAD</w:t>
      </w:r>
      <w:r w:rsidRPr="008E17DB">
        <w:rPr>
          <w:rFonts w:ascii="Palatino Linotype" w:eastAsia="Calibri" w:hAnsi="Palatino Linotype" w:cs="Tahoma"/>
          <w:bCs/>
          <w:sz w:val="22"/>
          <w:szCs w:val="22"/>
          <w:lang w:val="es-ES_tradnl" w:eastAsia="en-US"/>
        </w:rPr>
        <w:t xml:space="preserve"> DE VOTOS EL PLENO DEL INSTITUTO DE TRANSPARENCIA, ACCESO A LA INFORMACIÓN PÚBLICA Y PROTECCIÓN DE DATOS PERSONALES DEL ESTADO DE MÉXICO Y MUNICIPIOS, CONFORMADO POR LOS COMISIONADOS ZULEMA MARTÍNEZ SÁNCHEZ (AUSENCIA JUSTIFICADA); EVA ABAID YAPUR; JOSÉ GUADALUPE LUNA HERNÁNDEZ; JAVIER MARTÍNEZ CRUZ Y LUIS GUSTAVO PARRA NORIEGA, EN LA TRIGÉSIMA TERCERA SESIÓN ORDINARIA, </w:t>
      </w:r>
      <w:r w:rsidRPr="008E17DB">
        <w:rPr>
          <w:rFonts w:ascii="Palatino Linotype" w:eastAsia="Calibri" w:hAnsi="Palatino Linotype" w:cs="Tahoma"/>
          <w:bCs/>
          <w:sz w:val="22"/>
          <w:szCs w:val="22"/>
          <w:lang w:val="es-ES_tradnl" w:eastAsia="en-US"/>
        </w:rPr>
        <w:lastRenderedPageBreak/>
        <w:t>CELEBRADA EL ONCE DE SEPTIEMBRE DE DOS MIL DIECINUEVE, ANTE EL SECRETARIO TÉCNICO DEL PLENO, ALEXIS TAPIA RAMÍREZ.</w:t>
      </w:r>
    </w:p>
    <w:p w14:paraId="26F79CD6" w14:textId="77777777" w:rsidR="00187780" w:rsidRPr="008E17DB" w:rsidRDefault="00187780" w:rsidP="00187780">
      <w:pPr>
        <w:spacing w:line="360" w:lineRule="auto"/>
        <w:ind w:right="-93"/>
        <w:jc w:val="both"/>
        <w:rPr>
          <w:rFonts w:ascii="Palatino Linotype" w:eastAsia="Calibri" w:hAnsi="Palatino Linotype" w:cs="Tahoma"/>
          <w:bCs/>
          <w:sz w:val="22"/>
          <w:szCs w:val="22"/>
          <w:lang w:eastAsia="en-US"/>
        </w:rPr>
      </w:pPr>
    </w:p>
    <w:p w14:paraId="04488334" w14:textId="77777777" w:rsidR="00187780" w:rsidRPr="008E17DB" w:rsidRDefault="00187780" w:rsidP="00187780">
      <w:pPr>
        <w:spacing w:line="360" w:lineRule="auto"/>
        <w:ind w:right="-93"/>
        <w:jc w:val="both"/>
        <w:rPr>
          <w:rFonts w:ascii="Palatino Linotype" w:eastAsia="Calibri" w:hAnsi="Palatino Linotype" w:cs="Tahoma"/>
          <w:bCs/>
          <w:sz w:val="22"/>
          <w:szCs w:val="22"/>
          <w:lang w:eastAsia="en-US"/>
        </w:rPr>
      </w:pPr>
    </w:p>
    <w:p w14:paraId="6CDE23FA" w14:textId="77777777" w:rsidR="00187780" w:rsidRPr="008E17DB" w:rsidRDefault="00187780" w:rsidP="00187780">
      <w:pPr>
        <w:spacing w:line="360" w:lineRule="auto"/>
        <w:ind w:right="-93"/>
        <w:jc w:val="both"/>
        <w:rPr>
          <w:rFonts w:ascii="Palatino Linotype" w:eastAsia="Calibri" w:hAnsi="Palatino Linotype" w:cs="Tahoma"/>
          <w:b/>
          <w:bCs/>
          <w:sz w:val="22"/>
          <w:szCs w:val="22"/>
          <w:lang w:eastAsia="en-US"/>
        </w:rPr>
      </w:pPr>
      <w:r w:rsidRPr="008E17DB">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65AB205E" wp14:editId="7105A3EA">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6C302C0" w14:textId="77777777" w:rsidR="00187780" w:rsidRPr="00DA1AD1" w:rsidRDefault="00187780" w:rsidP="00187780">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24D2B36" w14:textId="77777777" w:rsidR="00187780" w:rsidRPr="00DA1AD1" w:rsidRDefault="00187780" w:rsidP="00187780">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657F7794" w14:textId="77777777" w:rsidR="00187780" w:rsidRPr="00DA1AD1" w:rsidRDefault="00187780" w:rsidP="00187780">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661B551D" w14:textId="77777777" w:rsidR="00187780" w:rsidRPr="00016AF3" w:rsidRDefault="00187780" w:rsidP="00187780">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5AB205E"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06C302C0" w14:textId="77777777" w:rsidR="00187780" w:rsidRPr="00DA1AD1" w:rsidRDefault="00187780" w:rsidP="00187780">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24D2B36" w14:textId="77777777" w:rsidR="00187780" w:rsidRPr="00DA1AD1" w:rsidRDefault="00187780" w:rsidP="00187780">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657F7794" w14:textId="77777777" w:rsidR="00187780" w:rsidRPr="00DA1AD1" w:rsidRDefault="00187780" w:rsidP="00187780">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661B551D" w14:textId="77777777" w:rsidR="00187780" w:rsidRPr="00016AF3" w:rsidRDefault="00187780" w:rsidP="00187780">
                      <w:pPr>
                        <w:jc w:val="center"/>
                        <w:rPr>
                          <w:rFonts w:ascii="Palatino Linotype" w:hAnsi="Palatino Linotype"/>
                          <w:b/>
                          <w:sz w:val="24"/>
                          <w:szCs w:val="24"/>
                        </w:rPr>
                      </w:pPr>
                    </w:p>
                  </w:txbxContent>
                </v:textbox>
                <w10:wrap anchorx="margin"/>
              </v:shape>
            </w:pict>
          </mc:Fallback>
        </mc:AlternateContent>
      </w:r>
    </w:p>
    <w:p w14:paraId="21170F9B" w14:textId="77777777" w:rsidR="00187780" w:rsidRPr="008E17DB" w:rsidRDefault="00187780" w:rsidP="00187780">
      <w:pPr>
        <w:spacing w:line="360" w:lineRule="auto"/>
        <w:ind w:right="-93"/>
        <w:jc w:val="both"/>
        <w:rPr>
          <w:rFonts w:ascii="Palatino Linotype" w:eastAsia="Calibri" w:hAnsi="Palatino Linotype" w:cs="Tahoma"/>
          <w:b/>
          <w:bCs/>
          <w:sz w:val="22"/>
          <w:szCs w:val="22"/>
          <w:lang w:eastAsia="en-US"/>
        </w:rPr>
      </w:pPr>
    </w:p>
    <w:p w14:paraId="0CBE6270" w14:textId="77777777" w:rsidR="00187780" w:rsidRPr="008E17DB" w:rsidRDefault="00187780" w:rsidP="00187780">
      <w:pPr>
        <w:spacing w:line="360" w:lineRule="auto"/>
        <w:ind w:right="-93"/>
        <w:jc w:val="both"/>
        <w:rPr>
          <w:rFonts w:ascii="Palatino Linotype" w:eastAsia="Calibri" w:hAnsi="Palatino Linotype" w:cs="Tahoma"/>
          <w:b/>
          <w:bCs/>
          <w:sz w:val="22"/>
          <w:szCs w:val="22"/>
          <w:lang w:eastAsia="en-US"/>
        </w:rPr>
      </w:pPr>
    </w:p>
    <w:p w14:paraId="7ED30DD8" w14:textId="77777777" w:rsidR="00187780" w:rsidRPr="008E17DB" w:rsidRDefault="00187780" w:rsidP="00187780">
      <w:pPr>
        <w:spacing w:line="360" w:lineRule="auto"/>
        <w:ind w:right="-93"/>
        <w:jc w:val="both"/>
        <w:rPr>
          <w:rFonts w:ascii="Palatino Linotype" w:eastAsia="Calibri" w:hAnsi="Palatino Linotype" w:cs="Tahoma"/>
          <w:b/>
          <w:bCs/>
          <w:sz w:val="22"/>
          <w:szCs w:val="22"/>
          <w:lang w:eastAsia="en-US"/>
        </w:rPr>
      </w:pPr>
    </w:p>
    <w:p w14:paraId="01C7094A" w14:textId="77777777" w:rsidR="00187780" w:rsidRPr="008E17DB" w:rsidRDefault="00187780" w:rsidP="00187780">
      <w:pPr>
        <w:spacing w:line="360" w:lineRule="auto"/>
        <w:ind w:right="-93"/>
        <w:jc w:val="both"/>
        <w:rPr>
          <w:rFonts w:ascii="Palatino Linotype" w:eastAsia="Calibri" w:hAnsi="Palatino Linotype" w:cs="Tahoma"/>
          <w:b/>
          <w:bCs/>
          <w:sz w:val="22"/>
          <w:szCs w:val="22"/>
          <w:lang w:eastAsia="en-US"/>
        </w:rPr>
      </w:pPr>
    </w:p>
    <w:p w14:paraId="4BBC0C10" w14:textId="77777777" w:rsidR="00187780" w:rsidRPr="008E17DB" w:rsidRDefault="00187780" w:rsidP="00187780">
      <w:pPr>
        <w:spacing w:line="360" w:lineRule="auto"/>
        <w:ind w:right="-93"/>
        <w:jc w:val="both"/>
        <w:rPr>
          <w:rFonts w:ascii="Palatino Linotype" w:eastAsia="Calibri" w:hAnsi="Palatino Linotype" w:cs="Tahoma"/>
          <w:b/>
          <w:bCs/>
          <w:sz w:val="22"/>
          <w:szCs w:val="22"/>
          <w:lang w:eastAsia="en-US"/>
        </w:rPr>
      </w:pPr>
      <w:r w:rsidRPr="008E17DB">
        <w:rPr>
          <w:rFonts w:ascii="Palatino Linotype" w:eastAsia="Calibri" w:hAnsi="Palatino Linotype" w:cs="Tahoma"/>
          <w:bCs/>
          <w:noProof/>
          <w:sz w:val="22"/>
          <w:szCs w:val="22"/>
          <w:lang w:eastAsia="es-MX"/>
        </w:rPr>
        <mc:AlternateContent>
          <mc:Choice Requires="wps">
            <w:drawing>
              <wp:anchor distT="0" distB="0" distL="114300" distR="114300" simplePos="0" relativeHeight="251665408" behindDoc="0" locked="0" layoutInCell="1" allowOverlap="1" wp14:anchorId="006E4C2F" wp14:editId="226D6A70">
                <wp:simplePos x="0" y="0"/>
                <wp:positionH relativeFrom="margin">
                  <wp:posOffset>3011805</wp:posOffset>
                </wp:positionH>
                <wp:positionV relativeFrom="paragraph">
                  <wp:posOffset>9525</wp:posOffset>
                </wp:positionV>
                <wp:extent cx="2800350" cy="776378"/>
                <wp:effectExtent l="0" t="0" r="19050" b="2413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36FEADD" w14:textId="77777777" w:rsidR="00187780" w:rsidRPr="00DA1AD1" w:rsidRDefault="00187780" w:rsidP="00187780">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3791FF25" w14:textId="77777777" w:rsidR="00187780" w:rsidRPr="00DA1AD1" w:rsidRDefault="00187780" w:rsidP="0018778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6F606A1" w14:textId="77777777" w:rsidR="00187780" w:rsidRPr="00DA1AD1" w:rsidRDefault="00187780" w:rsidP="00187780">
                            <w:pPr>
                              <w:jc w:val="center"/>
                              <w:rPr>
                                <w:rFonts w:ascii="Palatino Linotype" w:hAnsi="Palatino Linotype"/>
                                <w:b/>
                                <w:sz w:val="22"/>
                                <w:szCs w:val="24"/>
                              </w:rPr>
                            </w:pPr>
                            <w:r w:rsidRPr="00DA1AD1">
                              <w:rPr>
                                <w:rFonts w:ascii="Palatino Linotype" w:hAnsi="Palatino Linotype"/>
                                <w:b/>
                                <w:sz w:val="22"/>
                                <w:szCs w:val="24"/>
                              </w:rPr>
                              <w:t>(Rúbrica)</w:t>
                            </w:r>
                          </w:p>
                          <w:p w14:paraId="576946AC" w14:textId="77777777" w:rsidR="00187780" w:rsidRPr="00DA1AD1" w:rsidRDefault="00187780" w:rsidP="00187780">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6E4C2F" id="Cuadro de texto 5" o:spid="_x0000_s1027" type="#_x0000_t202" style="position:absolute;left:0;text-align:left;margin-left:237.15pt;margin-top:.75pt;width:220.5pt;height:61.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" fillcolor="white [3201]" strokecolor="white [3212]" strokeweight=".5pt">
                <v:path arrowok="t"/>
                <v:textbox>
                  <w:txbxContent>
                    <w:p w14:paraId="436FEADD" w14:textId="77777777" w:rsidR="00187780" w:rsidRPr="00DA1AD1" w:rsidRDefault="00187780" w:rsidP="00187780">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3791FF25" w14:textId="77777777" w:rsidR="00187780" w:rsidRPr="00DA1AD1" w:rsidRDefault="00187780" w:rsidP="0018778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6F606A1" w14:textId="77777777" w:rsidR="00187780" w:rsidRPr="00DA1AD1" w:rsidRDefault="00187780" w:rsidP="00187780">
                      <w:pPr>
                        <w:jc w:val="center"/>
                        <w:rPr>
                          <w:rFonts w:ascii="Palatino Linotype" w:hAnsi="Palatino Linotype"/>
                          <w:b/>
                          <w:sz w:val="22"/>
                          <w:szCs w:val="24"/>
                        </w:rPr>
                      </w:pPr>
                      <w:r w:rsidRPr="00DA1AD1">
                        <w:rPr>
                          <w:rFonts w:ascii="Palatino Linotype" w:hAnsi="Palatino Linotype"/>
                          <w:b/>
                          <w:sz w:val="22"/>
                          <w:szCs w:val="24"/>
                        </w:rPr>
                        <w:t>(Rúbrica)</w:t>
                      </w:r>
                    </w:p>
                    <w:p w14:paraId="576946AC" w14:textId="77777777" w:rsidR="00187780" w:rsidRPr="00DA1AD1" w:rsidRDefault="00187780" w:rsidP="00187780">
                      <w:pPr>
                        <w:jc w:val="center"/>
                        <w:rPr>
                          <w:rFonts w:ascii="Palatino Linotype" w:hAnsi="Palatino Linotype"/>
                          <w:sz w:val="24"/>
                          <w:szCs w:val="24"/>
                        </w:rPr>
                      </w:pPr>
                    </w:p>
                  </w:txbxContent>
                </v:textbox>
                <w10:wrap anchorx="margin"/>
              </v:shape>
            </w:pict>
          </mc:Fallback>
        </mc:AlternateContent>
      </w:r>
      <w:r w:rsidRPr="008E17DB">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5A99097A" wp14:editId="3C0D7AE7">
                <wp:simplePos x="0" y="0"/>
                <wp:positionH relativeFrom="margin">
                  <wp:align>left</wp:align>
                </wp:positionH>
                <wp:positionV relativeFrom="paragraph">
                  <wp:posOffset>12328</wp:posOffset>
                </wp:positionV>
                <wp:extent cx="1943100" cy="752475"/>
                <wp:effectExtent l="0" t="0" r="19050" b="2857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3CC08C" w14:textId="77777777" w:rsidR="00187780" w:rsidRPr="00DA1AD1" w:rsidRDefault="00187780" w:rsidP="00187780">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7B38784" w14:textId="77777777" w:rsidR="00187780" w:rsidRPr="00DA1AD1" w:rsidRDefault="00187780" w:rsidP="00187780">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5D627F76" w14:textId="77777777" w:rsidR="00187780" w:rsidRPr="00DA1AD1" w:rsidRDefault="00187780" w:rsidP="00187780">
                            <w:pPr>
                              <w:jc w:val="center"/>
                              <w:rPr>
                                <w:rFonts w:ascii="Palatino Linotype" w:hAnsi="Palatino Linotype"/>
                                <w:b/>
                                <w:sz w:val="22"/>
                                <w:szCs w:val="24"/>
                              </w:rPr>
                            </w:pPr>
                            <w:r w:rsidRPr="00DA1AD1">
                              <w:rPr>
                                <w:rFonts w:ascii="Palatino Linotype" w:hAnsi="Palatino Linotype"/>
                                <w:b/>
                                <w:sz w:val="22"/>
                                <w:szCs w:val="24"/>
                              </w:rPr>
                              <w:t>(Rúbrica)</w:t>
                            </w:r>
                          </w:p>
                          <w:p w14:paraId="26C0A7A9" w14:textId="77777777" w:rsidR="00187780" w:rsidRPr="00DA1AD1" w:rsidRDefault="00187780" w:rsidP="00187780">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99097A" id="Cuadro de texto 6" o:spid="_x0000_s1028" type="#_x0000_t202" style="position:absolute;left:0;text-align:left;margin-left:0;margin-top:.95pt;width:153pt;height:59.2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EotvDifAgAA2QUAAA4AAAAAAAAAAAAAAAAALgIAAGRycy9lMm9E&#10;b2MueG1sUEsBAi0AFAAGAAgAAAAhABJTHqPYAAAABgEAAA8AAAAAAAAAAAAAAAAA+QQAAGRycy9k&#10;b3ducmV2LnhtbFBLBQYAAAAABAAEAPMAAAD+BQAAAAA=&#10;" fillcolor="white [3201]" strokecolor="white [3212]" strokeweight=".5pt">
                <v:path arrowok="t"/>
                <v:textbox>
                  <w:txbxContent>
                    <w:p w14:paraId="4A3CC08C" w14:textId="77777777" w:rsidR="00187780" w:rsidRPr="00DA1AD1" w:rsidRDefault="00187780" w:rsidP="00187780">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7B38784" w14:textId="77777777" w:rsidR="00187780" w:rsidRPr="00DA1AD1" w:rsidRDefault="00187780" w:rsidP="00187780">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5D627F76" w14:textId="77777777" w:rsidR="00187780" w:rsidRPr="00DA1AD1" w:rsidRDefault="00187780" w:rsidP="00187780">
                      <w:pPr>
                        <w:jc w:val="center"/>
                        <w:rPr>
                          <w:rFonts w:ascii="Palatino Linotype" w:hAnsi="Palatino Linotype"/>
                          <w:b/>
                          <w:sz w:val="22"/>
                          <w:szCs w:val="24"/>
                        </w:rPr>
                      </w:pPr>
                      <w:r w:rsidRPr="00DA1AD1">
                        <w:rPr>
                          <w:rFonts w:ascii="Palatino Linotype" w:hAnsi="Palatino Linotype"/>
                          <w:b/>
                          <w:sz w:val="22"/>
                          <w:szCs w:val="24"/>
                        </w:rPr>
                        <w:t>(Rúbrica)</w:t>
                      </w:r>
                    </w:p>
                    <w:p w14:paraId="26C0A7A9" w14:textId="77777777" w:rsidR="00187780" w:rsidRPr="00DA1AD1" w:rsidRDefault="00187780" w:rsidP="00187780">
                      <w:pPr>
                        <w:jc w:val="center"/>
                        <w:rPr>
                          <w:sz w:val="18"/>
                        </w:rPr>
                      </w:pPr>
                    </w:p>
                  </w:txbxContent>
                </v:textbox>
                <w10:wrap anchorx="margin"/>
              </v:shape>
            </w:pict>
          </mc:Fallback>
        </mc:AlternateContent>
      </w:r>
    </w:p>
    <w:p w14:paraId="082793CA" w14:textId="77777777" w:rsidR="00187780" w:rsidRPr="008E17DB" w:rsidRDefault="00187780" w:rsidP="00187780">
      <w:pPr>
        <w:spacing w:line="360" w:lineRule="auto"/>
        <w:ind w:right="-93"/>
        <w:jc w:val="both"/>
        <w:rPr>
          <w:rFonts w:ascii="Palatino Linotype" w:eastAsia="Calibri" w:hAnsi="Palatino Linotype" w:cs="Tahoma"/>
          <w:b/>
          <w:bCs/>
          <w:sz w:val="22"/>
          <w:szCs w:val="22"/>
          <w:lang w:eastAsia="en-US"/>
        </w:rPr>
      </w:pPr>
    </w:p>
    <w:p w14:paraId="715D6BEB" w14:textId="77777777" w:rsidR="00187780" w:rsidRPr="008E17DB" w:rsidRDefault="00187780" w:rsidP="00187780">
      <w:pPr>
        <w:spacing w:line="360" w:lineRule="auto"/>
        <w:ind w:right="-93"/>
        <w:jc w:val="both"/>
        <w:rPr>
          <w:rFonts w:ascii="Palatino Linotype" w:eastAsia="Calibri" w:hAnsi="Palatino Linotype" w:cs="Tahoma"/>
          <w:b/>
          <w:bCs/>
          <w:sz w:val="22"/>
          <w:szCs w:val="22"/>
          <w:lang w:eastAsia="en-US"/>
        </w:rPr>
      </w:pPr>
    </w:p>
    <w:p w14:paraId="280217C6" w14:textId="77777777" w:rsidR="00187780" w:rsidRPr="008E17DB" w:rsidRDefault="00187780" w:rsidP="00187780">
      <w:pPr>
        <w:spacing w:line="360" w:lineRule="auto"/>
        <w:ind w:right="-93"/>
        <w:jc w:val="both"/>
        <w:rPr>
          <w:rFonts w:ascii="Palatino Linotype" w:eastAsia="Calibri" w:hAnsi="Palatino Linotype" w:cs="Tahoma"/>
          <w:b/>
          <w:bCs/>
          <w:sz w:val="22"/>
          <w:szCs w:val="22"/>
          <w:lang w:eastAsia="en-US"/>
        </w:rPr>
      </w:pPr>
    </w:p>
    <w:p w14:paraId="7356D514" w14:textId="77777777" w:rsidR="00187780" w:rsidRPr="008E17DB" w:rsidRDefault="00187780" w:rsidP="00187780">
      <w:pPr>
        <w:spacing w:line="360" w:lineRule="auto"/>
        <w:ind w:right="-93"/>
        <w:jc w:val="both"/>
        <w:rPr>
          <w:rFonts w:ascii="Palatino Linotype" w:eastAsia="Calibri" w:hAnsi="Palatino Linotype" w:cs="Tahoma"/>
          <w:b/>
          <w:bCs/>
          <w:sz w:val="22"/>
          <w:szCs w:val="22"/>
          <w:lang w:eastAsia="en-US"/>
        </w:rPr>
      </w:pPr>
    </w:p>
    <w:p w14:paraId="65394B69" w14:textId="77777777" w:rsidR="00187780" w:rsidRPr="008E17DB" w:rsidRDefault="00187780" w:rsidP="00187780">
      <w:pPr>
        <w:spacing w:line="360" w:lineRule="auto"/>
        <w:ind w:right="-93"/>
        <w:jc w:val="both"/>
        <w:rPr>
          <w:rFonts w:ascii="Palatino Linotype" w:eastAsia="Calibri" w:hAnsi="Palatino Linotype" w:cs="Tahoma"/>
          <w:b/>
          <w:bCs/>
          <w:sz w:val="22"/>
          <w:szCs w:val="22"/>
          <w:lang w:eastAsia="en-US"/>
        </w:rPr>
      </w:pPr>
    </w:p>
    <w:p w14:paraId="620EF1C1" w14:textId="77777777" w:rsidR="00187780" w:rsidRPr="008E17DB" w:rsidRDefault="00187780" w:rsidP="00187780">
      <w:pPr>
        <w:spacing w:line="360" w:lineRule="auto"/>
        <w:ind w:right="-93"/>
        <w:jc w:val="both"/>
        <w:rPr>
          <w:rFonts w:ascii="Palatino Linotype" w:eastAsia="Calibri" w:hAnsi="Palatino Linotype" w:cs="Tahoma"/>
          <w:bCs/>
          <w:sz w:val="22"/>
          <w:szCs w:val="22"/>
          <w:lang w:eastAsia="en-US"/>
        </w:rPr>
      </w:pPr>
      <w:r w:rsidRPr="008E17DB">
        <w:rPr>
          <w:rFonts w:ascii="Palatino Linotype" w:eastAsia="Calibri" w:hAnsi="Palatino Linotype" w:cs="Tahoma"/>
          <w:bCs/>
          <w:noProof/>
          <w:sz w:val="22"/>
          <w:szCs w:val="22"/>
          <w:lang w:eastAsia="es-MX"/>
        </w:rPr>
        <mc:AlternateContent>
          <mc:Choice Requires="wps">
            <w:drawing>
              <wp:anchor distT="0" distB="0" distL="114300" distR="114300" simplePos="0" relativeHeight="251668480" behindDoc="0" locked="0" layoutInCell="1" allowOverlap="1" wp14:anchorId="6C30CF86" wp14:editId="27963F31">
                <wp:simplePos x="0" y="0"/>
                <wp:positionH relativeFrom="margin">
                  <wp:align>right</wp:align>
                </wp:positionH>
                <wp:positionV relativeFrom="paragraph">
                  <wp:posOffset>5080</wp:posOffset>
                </wp:positionV>
                <wp:extent cx="2276475" cy="724618"/>
                <wp:effectExtent l="0" t="0" r="28575" b="18415"/>
                <wp:wrapNone/>
                <wp:docPr id="18"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410A8E4" w14:textId="77777777" w:rsidR="00187780" w:rsidRPr="00DA1AD1" w:rsidRDefault="00187780" w:rsidP="00187780">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E2C132F" w14:textId="77777777" w:rsidR="00187780" w:rsidRPr="00DA1AD1" w:rsidRDefault="00187780" w:rsidP="0018778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BE8E28B" w14:textId="77777777" w:rsidR="00187780" w:rsidRPr="00DA1AD1" w:rsidRDefault="00187780" w:rsidP="00187780">
                            <w:pPr>
                              <w:jc w:val="center"/>
                              <w:rPr>
                                <w:rFonts w:ascii="Palatino Linotype" w:hAnsi="Palatino Linotype"/>
                                <w:b/>
                                <w:sz w:val="18"/>
                              </w:rPr>
                            </w:pPr>
                            <w:r w:rsidRPr="00DA1AD1">
                              <w:rPr>
                                <w:rFonts w:ascii="Palatino Linotype" w:hAnsi="Palatino Linotype"/>
                                <w:b/>
                                <w:sz w:val="22"/>
                                <w:szCs w:val="24"/>
                              </w:rPr>
                              <w:t>(Rúbrica)</w:t>
                            </w:r>
                          </w:p>
                          <w:p w14:paraId="2047BAB3" w14:textId="77777777" w:rsidR="00187780" w:rsidRDefault="00187780" w:rsidP="001877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30CF86" id="Cuadro de texto 9" o:spid="_x0000_s1029" type="#_x0000_t202" style="position:absolute;left:0;text-align:left;margin-left:128.05pt;margin-top:.4pt;width:179.25pt;height:57.0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" fillcolor="white [3201]" strokecolor="white [3212]" strokeweight=".5pt">
                <v:path arrowok="t"/>
                <v:textbox>
                  <w:txbxContent>
                    <w:p w14:paraId="6410A8E4" w14:textId="77777777" w:rsidR="00187780" w:rsidRPr="00DA1AD1" w:rsidRDefault="00187780" w:rsidP="00187780">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E2C132F" w14:textId="77777777" w:rsidR="00187780" w:rsidRPr="00DA1AD1" w:rsidRDefault="00187780" w:rsidP="0018778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BE8E28B" w14:textId="77777777" w:rsidR="00187780" w:rsidRPr="00DA1AD1" w:rsidRDefault="00187780" w:rsidP="00187780">
                      <w:pPr>
                        <w:jc w:val="center"/>
                        <w:rPr>
                          <w:rFonts w:ascii="Palatino Linotype" w:hAnsi="Palatino Linotype"/>
                          <w:b/>
                          <w:sz w:val="18"/>
                        </w:rPr>
                      </w:pPr>
                      <w:r w:rsidRPr="00DA1AD1">
                        <w:rPr>
                          <w:rFonts w:ascii="Palatino Linotype" w:hAnsi="Palatino Linotype"/>
                          <w:b/>
                          <w:sz w:val="22"/>
                          <w:szCs w:val="24"/>
                        </w:rPr>
                        <w:t>(Rúbrica)</w:t>
                      </w:r>
                    </w:p>
                    <w:p w14:paraId="2047BAB3" w14:textId="77777777" w:rsidR="00187780" w:rsidRDefault="00187780" w:rsidP="00187780"/>
                  </w:txbxContent>
                </v:textbox>
                <w10:wrap anchorx="margin"/>
              </v:shape>
            </w:pict>
          </mc:Fallback>
        </mc:AlternateContent>
      </w:r>
      <w:r w:rsidRPr="008E17DB">
        <w:rPr>
          <w:rFonts w:ascii="Palatino Linotype" w:eastAsia="Calibri" w:hAnsi="Palatino Linotype" w:cs="Tahoma"/>
          <w:bCs/>
          <w:noProof/>
          <w:sz w:val="22"/>
          <w:szCs w:val="22"/>
          <w:lang w:eastAsia="es-MX"/>
        </w:rPr>
        <mc:AlternateContent>
          <mc:Choice Requires="wps">
            <w:drawing>
              <wp:anchor distT="0" distB="0" distL="114300" distR="114300" simplePos="0" relativeHeight="251667456" behindDoc="0" locked="0" layoutInCell="1" allowOverlap="1" wp14:anchorId="4A0309DA" wp14:editId="719DBBDF">
                <wp:simplePos x="0" y="0"/>
                <wp:positionH relativeFrom="margin">
                  <wp:align>left</wp:align>
                </wp:positionH>
                <wp:positionV relativeFrom="paragraph">
                  <wp:posOffset>8890</wp:posOffset>
                </wp:positionV>
                <wp:extent cx="2133600" cy="681486"/>
                <wp:effectExtent l="0" t="0" r="19050" b="23495"/>
                <wp:wrapNone/>
                <wp:docPr id="19"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D330E4B" w14:textId="77777777" w:rsidR="00187780" w:rsidRPr="00DA1AD1" w:rsidRDefault="00187780" w:rsidP="00187780">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AB85073" w14:textId="77777777" w:rsidR="00187780" w:rsidRPr="00DA1AD1" w:rsidRDefault="00187780" w:rsidP="0018778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BF339B2" w14:textId="77777777" w:rsidR="00187780" w:rsidRPr="00DA1AD1" w:rsidRDefault="00187780" w:rsidP="00187780">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0309DA" id="Cuadro de texto 8" o:spid="_x0000_s1030" type="#_x0000_t202" style="position:absolute;left:0;text-align:left;margin-left:0;margin-top:.7pt;width:168pt;height:53.6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ATXmAoAIAANoFAAAOAAAAAAAAAAAAAAAAAC4CAABkcnMvZTJv&#10;RG9jLnhtbFBLAQItABQABgAIAAAAIQCyy/MP2AAAAAYBAAAPAAAAAAAAAAAAAAAAAPoEAABkcnMv&#10;ZG93bnJldi54bWxQSwUGAAAAAAQABADzAAAA/wUAAAAA&#10;" fillcolor="white [3201]" strokecolor="white [3212]" strokeweight=".5pt">
                <v:path arrowok="t"/>
                <v:textbox>
                  <w:txbxContent>
                    <w:p w14:paraId="6D330E4B" w14:textId="77777777" w:rsidR="00187780" w:rsidRPr="00DA1AD1" w:rsidRDefault="00187780" w:rsidP="00187780">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5AB85073" w14:textId="77777777" w:rsidR="00187780" w:rsidRPr="00DA1AD1" w:rsidRDefault="00187780" w:rsidP="0018778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BF339B2" w14:textId="77777777" w:rsidR="00187780" w:rsidRPr="00DA1AD1" w:rsidRDefault="00187780" w:rsidP="00187780">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25D678E" w14:textId="77777777" w:rsidR="00187780" w:rsidRPr="008E17DB" w:rsidRDefault="00187780" w:rsidP="00187780">
      <w:pPr>
        <w:spacing w:line="360" w:lineRule="auto"/>
        <w:ind w:right="-93"/>
        <w:jc w:val="both"/>
        <w:rPr>
          <w:rFonts w:ascii="Palatino Linotype" w:eastAsia="Calibri" w:hAnsi="Palatino Linotype" w:cs="Tahoma"/>
          <w:bCs/>
          <w:sz w:val="22"/>
          <w:szCs w:val="22"/>
          <w:lang w:eastAsia="en-US"/>
        </w:rPr>
      </w:pPr>
    </w:p>
    <w:p w14:paraId="045AA8C0" w14:textId="77777777" w:rsidR="00187780" w:rsidRPr="008E17DB" w:rsidRDefault="00187780" w:rsidP="00187780">
      <w:pPr>
        <w:spacing w:line="360" w:lineRule="auto"/>
        <w:ind w:right="-93"/>
        <w:jc w:val="both"/>
        <w:rPr>
          <w:rFonts w:ascii="Palatino Linotype" w:eastAsia="Calibri" w:hAnsi="Palatino Linotype" w:cs="Tahoma"/>
          <w:bCs/>
          <w:sz w:val="22"/>
          <w:szCs w:val="22"/>
          <w:lang w:eastAsia="en-US"/>
        </w:rPr>
      </w:pPr>
    </w:p>
    <w:p w14:paraId="25089276" w14:textId="77777777" w:rsidR="00187780" w:rsidRPr="008E17DB" w:rsidRDefault="00187780" w:rsidP="00187780">
      <w:pPr>
        <w:spacing w:line="360" w:lineRule="auto"/>
        <w:ind w:right="-93"/>
        <w:jc w:val="both"/>
        <w:rPr>
          <w:rFonts w:ascii="Palatino Linotype" w:eastAsia="Calibri" w:hAnsi="Palatino Linotype" w:cs="Tahoma"/>
          <w:bCs/>
          <w:sz w:val="22"/>
          <w:szCs w:val="22"/>
          <w:lang w:eastAsia="en-US"/>
        </w:rPr>
      </w:pPr>
    </w:p>
    <w:p w14:paraId="54E781FF" w14:textId="77777777" w:rsidR="00187780" w:rsidRPr="008E17DB" w:rsidRDefault="00187780" w:rsidP="00187780">
      <w:pPr>
        <w:spacing w:line="360" w:lineRule="auto"/>
        <w:ind w:right="-93"/>
        <w:jc w:val="both"/>
        <w:rPr>
          <w:rFonts w:ascii="Palatino Linotype" w:eastAsia="Calibri" w:hAnsi="Palatino Linotype" w:cs="Tahoma"/>
          <w:bCs/>
          <w:sz w:val="22"/>
          <w:szCs w:val="22"/>
          <w:lang w:eastAsia="en-US"/>
        </w:rPr>
      </w:pPr>
    </w:p>
    <w:p w14:paraId="5072F844" w14:textId="77777777" w:rsidR="00187780" w:rsidRPr="008E17DB" w:rsidRDefault="00187780" w:rsidP="00187780">
      <w:pPr>
        <w:spacing w:line="360" w:lineRule="auto"/>
        <w:ind w:right="-93"/>
        <w:jc w:val="both"/>
      </w:pPr>
      <w:r w:rsidRPr="008E17DB">
        <w:rPr>
          <w:rFonts w:ascii="Palatino Linotype" w:eastAsia="Calibri" w:hAnsi="Palatino Linotype" w:cs="Tahoma"/>
          <w:bCs/>
          <w:noProof/>
          <w:sz w:val="22"/>
          <w:szCs w:val="22"/>
          <w:lang w:eastAsia="es-MX"/>
        </w:rPr>
        <mc:AlternateContent>
          <mc:Choice Requires="wps">
            <w:drawing>
              <wp:anchor distT="0" distB="0" distL="114300" distR="114300" simplePos="0" relativeHeight="251666432" behindDoc="0" locked="0" layoutInCell="1" allowOverlap="1" wp14:anchorId="4B3D4562" wp14:editId="089BA5AF">
                <wp:simplePos x="0" y="0"/>
                <wp:positionH relativeFrom="page">
                  <wp:posOffset>2294626</wp:posOffset>
                </wp:positionH>
                <wp:positionV relativeFrom="paragraph">
                  <wp:posOffset>10172</wp:posOffset>
                </wp:positionV>
                <wp:extent cx="3152775" cy="706671"/>
                <wp:effectExtent l="0" t="0" r="28575" b="1778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31B96C7" w14:textId="77777777" w:rsidR="00187780" w:rsidRPr="00DA1AD1" w:rsidRDefault="00187780" w:rsidP="00187780">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4741DD8" w14:textId="77777777" w:rsidR="00187780" w:rsidRPr="00DA1AD1" w:rsidRDefault="00187780" w:rsidP="00187780">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5A9C13C" w14:textId="77777777" w:rsidR="00187780" w:rsidRDefault="00187780" w:rsidP="00187780">
                            <w:pPr>
                              <w:jc w:val="center"/>
                              <w:rPr>
                                <w:rFonts w:ascii="Palatino Linotype" w:hAnsi="Palatino Linotype"/>
                                <w:b/>
                                <w:sz w:val="22"/>
                                <w:szCs w:val="24"/>
                              </w:rPr>
                            </w:pPr>
                            <w:r w:rsidRPr="00DA1AD1">
                              <w:rPr>
                                <w:rFonts w:ascii="Palatino Linotype" w:hAnsi="Palatino Linotype"/>
                                <w:b/>
                                <w:sz w:val="22"/>
                                <w:szCs w:val="24"/>
                              </w:rPr>
                              <w:t>(Rúbrica)</w:t>
                            </w:r>
                          </w:p>
                          <w:p w14:paraId="4C66E580" w14:textId="77777777" w:rsidR="00187780" w:rsidRPr="00DA1AD1" w:rsidRDefault="00187780" w:rsidP="00187780">
                            <w:pPr>
                              <w:jc w:val="center"/>
                              <w:rPr>
                                <w:rFonts w:ascii="Palatino Linotype" w:hAnsi="Palatino Linotype"/>
                                <w:b/>
                                <w:sz w:val="22"/>
                                <w:szCs w:val="24"/>
                              </w:rPr>
                            </w:pPr>
                          </w:p>
                          <w:p w14:paraId="227F3D03" w14:textId="77777777" w:rsidR="00187780" w:rsidRPr="00DA1AD1" w:rsidRDefault="00187780" w:rsidP="00187780">
                            <w:pPr>
                              <w:jc w:val="center"/>
                              <w:rPr>
                                <w:rFonts w:ascii="Palatino Linotype" w:hAnsi="Palatino Linotype"/>
                                <w:sz w:val="22"/>
                                <w:szCs w:val="24"/>
                              </w:rPr>
                            </w:pPr>
                          </w:p>
                          <w:p w14:paraId="065469F2" w14:textId="77777777" w:rsidR="00187780" w:rsidRPr="00EF2FC0" w:rsidRDefault="00187780" w:rsidP="00187780">
                            <w:pPr>
                              <w:jc w:val="center"/>
                              <w:rPr>
                                <w:rFonts w:ascii="Palatino Linotype" w:hAnsi="Palatino Linotype"/>
                                <w:sz w:val="24"/>
                                <w:szCs w:val="24"/>
                              </w:rPr>
                            </w:pPr>
                          </w:p>
                          <w:p w14:paraId="6F7111D3" w14:textId="77777777" w:rsidR="00187780" w:rsidRDefault="00187780" w:rsidP="001877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3D4562" id="Cuadro de texto 20" o:spid="_x0000_s1031" type="#_x0000_t202" style="position:absolute;left:0;text-align:left;margin-left:180.7pt;margin-top:.8pt;width:248.25pt;height:55.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2ta6hAgAA2wUAAA4AAAAAAAAAAAAAAAAALgIAAGRy&#10;cy9lMm9Eb2MueG1sUEsBAi0AFAAGAAgAAAAhAFQfC/PcAAAACQEAAA8AAAAAAAAAAAAAAAAA+wQA&#10;AGRycy9kb3ducmV2LnhtbFBLBQYAAAAABAAEAPMAAAAEBgAAAAA=&#10;" fillcolor="white [3201]" strokecolor="white [3212]" strokeweight=".5pt">
                <v:path arrowok="t"/>
                <v:textbox>
                  <w:txbxContent>
                    <w:p w14:paraId="331B96C7" w14:textId="77777777" w:rsidR="00187780" w:rsidRPr="00DA1AD1" w:rsidRDefault="00187780" w:rsidP="00187780">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4741DD8" w14:textId="77777777" w:rsidR="00187780" w:rsidRPr="00DA1AD1" w:rsidRDefault="00187780" w:rsidP="00187780">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35A9C13C" w14:textId="77777777" w:rsidR="00187780" w:rsidRDefault="00187780" w:rsidP="00187780">
                      <w:pPr>
                        <w:jc w:val="center"/>
                        <w:rPr>
                          <w:rFonts w:ascii="Palatino Linotype" w:hAnsi="Palatino Linotype"/>
                          <w:b/>
                          <w:sz w:val="22"/>
                          <w:szCs w:val="24"/>
                        </w:rPr>
                      </w:pPr>
                      <w:r w:rsidRPr="00DA1AD1">
                        <w:rPr>
                          <w:rFonts w:ascii="Palatino Linotype" w:hAnsi="Palatino Linotype"/>
                          <w:b/>
                          <w:sz w:val="22"/>
                          <w:szCs w:val="24"/>
                        </w:rPr>
                        <w:t>(Rúbrica)</w:t>
                      </w:r>
                    </w:p>
                    <w:p w14:paraId="4C66E580" w14:textId="77777777" w:rsidR="00187780" w:rsidRPr="00DA1AD1" w:rsidRDefault="00187780" w:rsidP="00187780">
                      <w:pPr>
                        <w:jc w:val="center"/>
                        <w:rPr>
                          <w:rFonts w:ascii="Palatino Linotype" w:hAnsi="Palatino Linotype"/>
                          <w:b/>
                          <w:sz w:val="22"/>
                          <w:szCs w:val="24"/>
                        </w:rPr>
                      </w:pPr>
                    </w:p>
                    <w:p w14:paraId="227F3D03" w14:textId="77777777" w:rsidR="00187780" w:rsidRPr="00DA1AD1" w:rsidRDefault="00187780" w:rsidP="00187780">
                      <w:pPr>
                        <w:jc w:val="center"/>
                        <w:rPr>
                          <w:rFonts w:ascii="Palatino Linotype" w:hAnsi="Palatino Linotype"/>
                          <w:sz w:val="22"/>
                          <w:szCs w:val="24"/>
                        </w:rPr>
                      </w:pPr>
                    </w:p>
                    <w:p w14:paraId="065469F2" w14:textId="77777777" w:rsidR="00187780" w:rsidRPr="00EF2FC0" w:rsidRDefault="00187780" w:rsidP="00187780">
                      <w:pPr>
                        <w:jc w:val="center"/>
                        <w:rPr>
                          <w:rFonts w:ascii="Palatino Linotype" w:hAnsi="Palatino Linotype"/>
                          <w:sz w:val="24"/>
                          <w:szCs w:val="24"/>
                        </w:rPr>
                      </w:pPr>
                    </w:p>
                    <w:p w14:paraId="6F7111D3" w14:textId="77777777" w:rsidR="00187780" w:rsidRDefault="00187780" w:rsidP="00187780"/>
                  </w:txbxContent>
                </v:textbox>
                <w10:wrap anchorx="page"/>
              </v:shape>
            </w:pict>
          </mc:Fallback>
        </mc:AlternateContent>
      </w:r>
    </w:p>
    <w:p w14:paraId="773FC5B8" w14:textId="77777777" w:rsidR="00602D04" w:rsidRPr="008E17DB" w:rsidRDefault="00602D04" w:rsidP="00A70F75">
      <w:pPr>
        <w:tabs>
          <w:tab w:val="left" w:pos="8931"/>
        </w:tabs>
        <w:spacing w:line="360" w:lineRule="auto"/>
        <w:ind w:right="-93"/>
        <w:jc w:val="both"/>
        <w:rPr>
          <w:rFonts w:ascii="Palatino Linotype" w:eastAsia="Calibri" w:hAnsi="Palatino Linotype" w:cs="Tahoma"/>
          <w:sz w:val="22"/>
          <w:szCs w:val="22"/>
          <w:lang w:eastAsia="en-US"/>
        </w:rPr>
      </w:pPr>
    </w:p>
    <w:p w14:paraId="17B9863A" w14:textId="77777777" w:rsidR="00187780" w:rsidRPr="008E17DB" w:rsidRDefault="00187780" w:rsidP="00A70F75">
      <w:pPr>
        <w:tabs>
          <w:tab w:val="left" w:pos="8931"/>
        </w:tabs>
        <w:spacing w:line="360" w:lineRule="auto"/>
        <w:ind w:right="-93"/>
        <w:jc w:val="both"/>
        <w:rPr>
          <w:rFonts w:ascii="Palatino Linotype" w:eastAsia="Calibri" w:hAnsi="Palatino Linotype" w:cs="Tahoma"/>
          <w:sz w:val="22"/>
          <w:szCs w:val="22"/>
          <w:lang w:eastAsia="en-US"/>
        </w:rPr>
      </w:pPr>
    </w:p>
    <w:p w14:paraId="0A19E97E" w14:textId="118C21DC" w:rsidR="00933A58" w:rsidRPr="00EC2AFA" w:rsidRDefault="007E493E" w:rsidP="00A70F75">
      <w:pPr>
        <w:tabs>
          <w:tab w:val="left" w:pos="8931"/>
        </w:tabs>
        <w:spacing w:line="360" w:lineRule="auto"/>
        <w:ind w:right="-93"/>
        <w:jc w:val="both"/>
        <w:rPr>
          <w:rFonts w:ascii="Palatino Linotype" w:eastAsia="Calibri" w:hAnsi="Palatino Linotype" w:cs="Tahoma"/>
          <w:sz w:val="22"/>
          <w:szCs w:val="22"/>
          <w:lang w:eastAsia="en-US"/>
        </w:rPr>
      </w:pPr>
      <w:r w:rsidRPr="008E17DB">
        <w:rPr>
          <w:rFonts w:ascii="Palatino Linotype" w:eastAsia="Calibri" w:hAnsi="Palatino Linotype" w:cs="Tahoma"/>
          <w:sz w:val="22"/>
          <w:szCs w:val="22"/>
          <w:lang w:eastAsia="en-US"/>
        </w:rPr>
        <w:t xml:space="preserve">Esta foja corresponde a la resolución de fecha </w:t>
      </w:r>
      <w:r w:rsidR="00F66984" w:rsidRPr="008E17DB">
        <w:rPr>
          <w:rFonts w:ascii="Palatino Linotype" w:eastAsia="Calibri" w:hAnsi="Palatino Linotype" w:cs="Tahoma"/>
          <w:sz w:val="22"/>
          <w:szCs w:val="22"/>
          <w:lang w:eastAsia="en-US"/>
        </w:rPr>
        <w:t>once de septiembre</w:t>
      </w:r>
      <w:r w:rsidR="00860A2D" w:rsidRPr="008E17DB">
        <w:rPr>
          <w:rFonts w:ascii="Palatino Linotype" w:eastAsia="Calibri" w:hAnsi="Palatino Linotype" w:cs="Tahoma"/>
          <w:sz w:val="22"/>
          <w:szCs w:val="22"/>
          <w:lang w:eastAsia="en-US"/>
        </w:rPr>
        <w:t xml:space="preserve"> de dos mil diecinueve</w:t>
      </w:r>
      <w:r w:rsidRPr="008E17DB">
        <w:rPr>
          <w:rFonts w:ascii="Palatino Linotype" w:eastAsia="Calibri" w:hAnsi="Palatino Linotype" w:cs="Tahoma"/>
          <w:sz w:val="22"/>
          <w:szCs w:val="22"/>
          <w:lang w:eastAsia="en-US"/>
        </w:rPr>
        <w:t xml:space="preserve">, emitida en el recurso de revisión número </w:t>
      </w:r>
      <w:r w:rsidR="00D5321C" w:rsidRPr="008E17DB">
        <w:rPr>
          <w:rFonts w:ascii="Palatino Linotype" w:eastAsia="Calibri" w:hAnsi="Palatino Linotype" w:cs="Tahoma"/>
          <w:b/>
          <w:bCs/>
          <w:sz w:val="22"/>
          <w:szCs w:val="22"/>
          <w:lang w:eastAsia="en-US"/>
        </w:rPr>
        <w:t>0</w:t>
      </w:r>
      <w:r w:rsidR="00B14E8F" w:rsidRPr="008E17DB">
        <w:rPr>
          <w:rFonts w:ascii="Palatino Linotype" w:eastAsia="Calibri" w:hAnsi="Palatino Linotype" w:cs="Tahoma"/>
          <w:b/>
          <w:bCs/>
          <w:sz w:val="22"/>
          <w:szCs w:val="22"/>
          <w:lang w:eastAsia="en-US"/>
        </w:rPr>
        <w:t>5821</w:t>
      </w:r>
      <w:r w:rsidR="00D5321C" w:rsidRPr="008E17DB">
        <w:rPr>
          <w:rFonts w:ascii="Palatino Linotype" w:eastAsia="Calibri" w:hAnsi="Palatino Linotype" w:cs="Tahoma"/>
          <w:b/>
          <w:bCs/>
          <w:sz w:val="22"/>
          <w:szCs w:val="22"/>
          <w:lang w:eastAsia="en-US"/>
        </w:rPr>
        <w:t>/INFOEM/IP/RR/2019</w:t>
      </w:r>
      <w:r w:rsidRPr="008E17DB">
        <w:rPr>
          <w:rFonts w:ascii="Palatino Linotype" w:eastAsia="Calibri" w:hAnsi="Palatino Linotype" w:cs="Tahoma"/>
          <w:b/>
          <w:bCs/>
          <w:sz w:val="22"/>
          <w:szCs w:val="22"/>
          <w:lang w:eastAsia="en-US"/>
        </w:rPr>
        <w:t>.</w:t>
      </w:r>
    </w:p>
    <w:sectPr w:rsidR="00933A58" w:rsidRPr="00EC2AFA" w:rsidSect="00DB7E5F">
      <w:headerReference w:type="default" r:id="rId19"/>
      <w:footerReference w:type="default" r:id="rId20"/>
      <w:headerReference w:type="first" r:id="rId21"/>
      <w:footerReference w:type="first" r:id="rId2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40F63" w14:textId="77777777" w:rsidR="001171AE" w:rsidRDefault="001171AE" w:rsidP="00B31222">
      <w:r>
        <w:separator/>
      </w:r>
    </w:p>
  </w:endnote>
  <w:endnote w:type="continuationSeparator" w:id="0">
    <w:p w14:paraId="61EFC513" w14:textId="77777777" w:rsidR="001171AE" w:rsidRDefault="001171AE"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42E29903" w:rsidR="008B13BF" w:rsidRPr="00147666" w:rsidRDefault="008B13BF">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8E17DB">
              <w:rPr>
                <w:rFonts w:ascii="Palatino Linotype" w:hAnsi="Palatino Linotype"/>
                <w:b/>
                <w:bCs/>
                <w:noProof/>
              </w:rPr>
              <w:t>20</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8E17DB">
              <w:rPr>
                <w:rFonts w:ascii="Palatino Linotype" w:hAnsi="Palatino Linotype"/>
                <w:b/>
                <w:bCs/>
                <w:noProof/>
              </w:rPr>
              <w:t>26</w:t>
            </w:r>
            <w:r w:rsidRPr="00147666">
              <w:rPr>
                <w:rFonts w:ascii="Palatino Linotype" w:hAnsi="Palatino Linotype"/>
                <w:b/>
                <w:bCs/>
                <w:sz w:val="24"/>
                <w:szCs w:val="24"/>
              </w:rPr>
              <w:fldChar w:fldCharType="end"/>
            </w:r>
          </w:p>
        </w:sdtContent>
      </w:sdt>
    </w:sdtContent>
  </w:sdt>
  <w:p w14:paraId="20CE2247" w14:textId="77777777" w:rsidR="008B13BF" w:rsidRDefault="008B13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654AF33C" w:rsidR="008B13BF" w:rsidRDefault="008B13B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E17D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E17DB">
              <w:rPr>
                <w:b/>
                <w:bCs/>
                <w:noProof/>
              </w:rPr>
              <w:t>26</w:t>
            </w:r>
            <w:r>
              <w:rPr>
                <w:b/>
                <w:bCs/>
                <w:sz w:val="24"/>
                <w:szCs w:val="24"/>
              </w:rPr>
              <w:fldChar w:fldCharType="end"/>
            </w:r>
          </w:p>
        </w:sdtContent>
      </w:sdt>
    </w:sdtContent>
  </w:sdt>
  <w:p w14:paraId="6C00EE52" w14:textId="77777777" w:rsidR="008B13BF" w:rsidRDefault="008B13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E8A2F" w14:textId="77777777" w:rsidR="001171AE" w:rsidRDefault="001171AE" w:rsidP="00B31222">
      <w:r>
        <w:separator/>
      </w:r>
    </w:p>
  </w:footnote>
  <w:footnote w:type="continuationSeparator" w:id="0">
    <w:p w14:paraId="55AF4FE7" w14:textId="77777777" w:rsidR="001171AE" w:rsidRDefault="001171AE"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5" w:type="dxa"/>
      <w:tblLayout w:type="fixed"/>
      <w:tblLook w:val="04A0" w:firstRow="1" w:lastRow="0" w:firstColumn="1" w:lastColumn="0" w:noHBand="0" w:noVBand="1"/>
    </w:tblPr>
    <w:tblGrid>
      <w:gridCol w:w="3402"/>
      <w:gridCol w:w="6733"/>
    </w:tblGrid>
    <w:tr w:rsidR="008B13BF" w:rsidRPr="002A2CB9" w14:paraId="4BDBBB9B" w14:textId="77777777" w:rsidTr="005C2B96">
      <w:trPr>
        <w:trHeight w:val="1435"/>
      </w:trPr>
      <w:tc>
        <w:tcPr>
          <w:tcW w:w="3402" w:type="dxa"/>
          <w:shd w:val="clear" w:color="auto" w:fill="auto"/>
        </w:tcPr>
        <w:p w14:paraId="7F0435E5" w14:textId="77777777" w:rsidR="008B13BF" w:rsidRPr="005C106F" w:rsidRDefault="008B13BF"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8B13BF" w:rsidRPr="002A2CB9" w:rsidRDefault="008B13BF" w:rsidP="005743D2">
          <w:pPr>
            <w:rPr>
              <w:sz w:val="22"/>
              <w:szCs w:val="22"/>
            </w:rPr>
          </w:pPr>
        </w:p>
        <w:tbl>
          <w:tblPr>
            <w:tblStyle w:val="Tablaconcuadrcula"/>
            <w:tblW w:w="5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118"/>
          </w:tblGrid>
          <w:tr w:rsidR="008B13BF" w:rsidRPr="002A2CB9" w14:paraId="0CD4B7CE" w14:textId="77777777" w:rsidTr="000B6F9F">
            <w:trPr>
              <w:trHeight w:val="144"/>
            </w:trPr>
            <w:tc>
              <w:tcPr>
                <w:tcW w:w="2444" w:type="dxa"/>
              </w:tcPr>
              <w:p w14:paraId="5F68398A" w14:textId="77777777" w:rsidR="008B13BF" w:rsidRPr="002A2CB9" w:rsidRDefault="008B13BF" w:rsidP="000B6F9F">
                <w:pPr>
                  <w:tabs>
                    <w:tab w:val="right" w:pos="8838"/>
                  </w:tabs>
                  <w:spacing w:line="360" w:lineRule="auto"/>
                  <w:ind w:left="-74" w:right="-105"/>
                  <w:rPr>
                    <w:rFonts w:ascii="Palatino Linotype" w:eastAsia="Calibri" w:hAnsi="Palatino Linotype" w:cs="Tahoma"/>
                    <w:b/>
                    <w:sz w:val="22"/>
                    <w:szCs w:val="22"/>
                    <w:lang w:val="es-MX" w:eastAsia="en-US"/>
                  </w:rPr>
                </w:pPr>
              </w:p>
              <w:p w14:paraId="3C745BC5" w14:textId="77777777" w:rsidR="008B13BF" w:rsidRPr="002A2CB9" w:rsidRDefault="008B13BF" w:rsidP="000B6F9F">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118" w:type="dxa"/>
              </w:tcPr>
              <w:p w14:paraId="56F158FA" w14:textId="77777777" w:rsidR="008B13BF" w:rsidRPr="002A2CB9" w:rsidRDefault="008B13BF" w:rsidP="000B6F9F">
                <w:pPr>
                  <w:tabs>
                    <w:tab w:val="right" w:pos="8838"/>
                  </w:tabs>
                  <w:spacing w:line="360" w:lineRule="auto"/>
                  <w:ind w:left="-74" w:right="-108"/>
                  <w:jc w:val="both"/>
                  <w:rPr>
                    <w:rFonts w:ascii="Palatino Linotype" w:eastAsia="Calibri" w:hAnsi="Palatino Linotype" w:cs="Tahoma"/>
                    <w:bCs/>
                    <w:sz w:val="22"/>
                    <w:szCs w:val="22"/>
                    <w:lang w:eastAsia="en-US"/>
                  </w:rPr>
                </w:pPr>
              </w:p>
              <w:p w14:paraId="03EF4272" w14:textId="1F2A03B1" w:rsidR="008B13BF" w:rsidRPr="002A2CB9" w:rsidRDefault="008B13BF" w:rsidP="000B6F9F">
                <w:pPr>
                  <w:tabs>
                    <w:tab w:val="right" w:pos="8838"/>
                  </w:tabs>
                  <w:spacing w:line="360" w:lineRule="auto"/>
                  <w:ind w:left="-74"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05821/INFOEM/IP/RR/2019</w:t>
                </w:r>
              </w:p>
            </w:tc>
          </w:tr>
          <w:tr w:rsidR="008B13BF" w:rsidRPr="002A2CB9" w14:paraId="3864CC0B" w14:textId="77777777" w:rsidTr="000B6F9F">
            <w:trPr>
              <w:trHeight w:val="283"/>
            </w:trPr>
            <w:tc>
              <w:tcPr>
                <w:tcW w:w="2444" w:type="dxa"/>
              </w:tcPr>
              <w:p w14:paraId="579C09A4" w14:textId="77777777" w:rsidR="008B13BF" w:rsidRPr="002A2CB9" w:rsidRDefault="008B13BF" w:rsidP="000B6F9F">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118" w:type="dxa"/>
              </w:tcPr>
              <w:p w14:paraId="182AAE13" w14:textId="22E5D208" w:rsidR="008B13BF" w:rsidRPr="002A2CB9" w:rsidRDefault="008B13BF" w:rsidP="000B6F9F">
                <w:pPr>
                  <w:tabs>
                    <w:tab w:val="left" w:pos="2834"/>
                    <w:tab w:val="right" w:pos="8838"/>
                  </w:tabs>
                  <w:spacing w:line="360" w:lineRule="auto"/>
                  <w:ind w:left="-74"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Ayuntamiento de Tlalnepantla de Baz</w:t>
                </w:r>
              </w:p>
            </w:tc>
          </w:tr>
          <w:tr w:rsidR="008B13BF" w:rsidRPr="002A2CB9" w14:paraId="136839A8" w14:textId="77777777" w:rsidTr="000B6F9F">
            <w:trPr>
              <w:trHeight w:val="283"/>
            </w:trPr>
            <w:tc>
              <w:tcPr>
                <w:tcW w:w="2444" w:type="dxa"/>
              </w:tcPr>
              <w:p w14:paraId="0DF4A43B" w14:textId="77777777" w:rsidR="008B13BF" w:rsidRPr="002A2CB9" w:rsidRDefault="008B13BF" w:rsidP="000B6F9F">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118" w:type="dxa"/>
              </w:tcPr>
              <w:p w14:paraId="7D4D23ED" w14:textId="77777777" w:rsidR="008B13BF" w:rsidRPr="002A2CB9" w:rsidRDefault="008B13BF" w:rsidP="000B6F9F">
                <w:pPr>
                  <w:tabs>
                    <w:tab w:val="right" w:pos="8838"/>
                  </w:tabs>
                  <w:spacing w:line="360" w:lineRule="auto"/>
                  <w:ind w:left="-74"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8B13BF" w:rsidRPr="002A2CB9" w:rsidRDefault="008B13BF" w:rsidP="005743D2">
          <w:pPr>
            <w:tabs>
              <w:tab w:val="right" w:pos="8838"/>
            </w:tabs>
            <w:ind w:left="-28"/>
            <w:jc w:val="both"/>
            <w:rPr>
              <w:rFonts w:ascii="Arial" w:eastAsia="Calibri" w:hAnsi="Arial" w:cs="Arial"/>
              <w:b/>
              <w:sz w:val="22"/>
              <w:szCs w:val="22"/>
              <w:lang w:eastAsia="en-US"/>
            </w:rPr>
          </w:pPr>
        </w:p>
      </w:tc>
    </w:tr>
  </w:tbl>
  <w:p w14:paraId="47B91189" w14:textId="77777777" w:rsidR="008B13BF" w:rsidRPr="00443C6B" w:rsidRDefault="008B13BF"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7" w:type="dxa"/>
      <w:tblLayout w:type="fixed"/>
      <w:tblLook w:val="04A0" w:firstRow="1" w:lastRow="0" w:firstColumn="1" w:lastColumn="0" w:noHBand="0" w:noVBand="1"/>
    </w:tblPr>
    <w:tblGrid>
      <w:gridCol w:w="3544"/>
      <w:gridCol w:w="6733"/>
    </w:tblGrid>
    <w:tr w:rsidR="008B13BF" w:rsidRPr="005C106F" w14:paraId="5C33977B" w14:textId="77777777" w:rsidTr="00B14E8F">
      <w:trPr>
        <w:trHeight w:val="1435"/>
      </w:trPr>
      <w:tc>
        <w:tcPr>
          <w:tcW w:w="3544" w:type="dxa"/>
          <w:shd w:val="clear" w:color="auto" w:fill="auto"/>
        </w:tcPr>
        <w:p w14:paraId="3879F539" w14:textId="77777777" w:rsidR="008B13BF" w:rsidRPr="005C106F" w:rsidRDefault="008B13BF"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24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2801"/>
          </w:tblGrid>
          <w:tr w:rsidR="008B13BF" w:rsidRPr="002A2CB9" w14:paraId="1BF02882" w14:textId="77777777" w:rsidTr="00B14E8F">
            <w:trPr>
              <w:trHeight w:val="144"/>
            </w:trPr>
            <w:tc>
              <w:tcPr>
                <w:tcW w:w="2444" w:type="dxa"/>
              </w:tcPr>
              <w:p w14:paraId="39C1549D" w14:textId="77777777" w:rsidR="008B13BF" w:rsidRPr="002A2CB9" w:rsidRDefault="008B13BF" w:rsidP="0027090B">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2801" w:type="dxa"/>
              </w:tcPr>
              <w:p w14:paraId="48D7DAC2" w14:textId="05446643" w:rsidR="008B13BF" w:rsidRPr="002A2CB9" w:rsidRDefault="008B13BF" w:rsidP="0027090B">
                <w:pPr>
                  <w:tabs>
                    <w:tab w:val="right" w:pos="8838"/>
                  </w:tabs>
                  <w:spacing w:line="360"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05821/INFOEM/IP/RR/2019</w:t>
                </w:r>
              </w:p>
            </w:tc>
          </w:tr>
          <w:tr w:rsidR="008B13BF" w:rsidRPr="002A2CB9" w14:paraId="02DAB6C3" w14:textId="77777777" w:rsidTr="00B14E8F">
            <w:trPr>
              <w:trHeight w:val="144"/>
            </w:trPr>
            <w:tc>
              <w:tcPr>
                <w:tcW w:w="2444" w:type="dxa"/>
              </w:tcPr>
              <w:p w14:paraId="674EC982" w14:textId="77777777" w:rsidR="008B13BF" w:rsidRPr="002A2CB9" w:rsidRDefault="008B13BF" w:rsidP="0027090B">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2801" w:type="dxa"/>
              </w:tcPr>
              <w:p w14:paraId="5495689A" w14:textId="51185077" w:rsidR="008B13BF" w:rsidRPr="002A2CB9" w:rsidRDefault="00A25592" w:rsidP="0027090B">
                <w:pPr>
                  <w:tabs>
                    <w:tab w:val="left" w:pos="3122"/>
                    <w:tab w:val="right" w:pos="8838"/>
                  </w:tabs>
                  <w:spacing w:line="360" w:lineRule="auto"/>
                  <w:ind w:left="-74" w:right="459"/>
                  <w:jc w:val="both"/>
                  <w:rPr>
                    <w:rFonts w:ascii="Palatino Linotype" w:eastAsia="Calibri" w:hAnsi="Palatino Linotype" w:cs="Tahoma"/>
                    <w:sz w:val="22"/>
                    <w:szCs w:val="22"/>
                    <w:lang w:val="es-MX" w:eastAsia="en-US"/>
                  </w:rPr>
                </w:pPr>
                <w:r w:rsidRPr="00A25592">
                  <w:rPr>
                    <w:rFonts w:ascii="Palatino Linotype" w:eastAsia="Calibri" w:hAnsi="Palatino Linotype" w:cs="Tahoma"/>
                    <w:sz w:val="22"/>
                    <w:szCs w:val="22"/>
                    <w:highlight w:val="black"/>
                    <w:lang w:val="es-MX" w:eastAsia="en-US"/>
                  </w:rPr>
                  <w:t>XXXXXXXXXXXXXX</w:t>
                </w:r>
              </w:p>
            </w:tc>
          </w:tr>
          <w:tr w:rsidR="008B13BF" w:rsidRPr="002A2CB9" w14:paraId="2E02FA2B" w14:textId="77777777" w:rsidTr="00B14E8F">
            <w:trPr>
              <w:trHeight w:val="283"/>
            </w:trPr>
            <w:tc>
              <w:tcPr>
                <w:tcW w:w="2444" w:type="dxa"/>
              </w:tcPr>
              <w:p w14:paraId="1BA21003" w14:textId="77777777" w:rsidR="008B13BF" w:rsidRPr="002A2CB9" w:rsidRDefault="008B13BF" w:rsidP="0027090B">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2801" w:type="dxa"/>
              </w:tcPr>
              <w:p w14:paraId="334D0D46" w14:textId="44797B37" w:rsidR="008B13BF" w:rsidRPr="002A2CB9" w:rsidRDefault="008B13BF" w:rsidP="0027090B">
                <w:pPr>
                  <w:tabs>
                    <w:tab w:val="left" w:pos="2834"/>
                    <w:tab w:val="right" w:pos="8838"/>
                  </w:tabs>
                  <w:spacing w:line="360"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Tlalnepantla de Baz</w:t>
                </w:r>
              </w:p>
            </w:tc>
          </w:tr>
          <w:tr w:rsidR="008B13BF" w:rsidRPr="002A2CB9" w14:paraId="78E10921" w14:textId="77777777" w:rsidTr="00B14E8F">
            <w:trPr>
              <w:trHeight w:val="283"/>
            </w:trPr>
            <w:tc>
              <w:tcPr>
                <w:tcW w:w="2444" w:type="dxa"/>
              </w:tcPr>
              <w:p w14:paraId="4343FEE4" w14:textId="77777777" w:rsidR="008B13BF" w:rsidRPr="002A2CB9" w:rsidRDefault="008B13BF" w:rsidP="0027090B">
                <w:pPr>
                  <w:tabs>
                    <w:tab w:val="right" w:pos="8838"/>
                  </w:tabs>
                  <w:spacing w:line="360"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2801" w:type="dxa"/>
              </w:tcPr>
              <w:p w14:paraId="22963E4E" w14:textId="36F44626" w:rsidR="008B13BF" w:rsidRPr="0027090B" w:rsidRDefault="008B13BF" w:rsidP="0027090B">
                <w:pPr>
                  <w:tabs>
                    <w:tab w:val="right" w:pos="8838"/>
                  </w:tabs>
                  <w:spacing w:line="360" w:lineRule="auto"/>
                  <w:ind w:left="-74" w:right="-105"/>
                  <w:jc w:val="both"/>
                  <w:rPr>
                    <w:rFonts w:ascii="Palatino Linotype" w:eastAsia="Calibri" w:hAnsi="Palatino Linotype" w:cs="Tahoma"/>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6C282C2C" w14:textId="77777777" w:rsidR="008B13BF" w:rsidRPr="002A2CB9" w:rsidRDefault="008B13BF"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8B13BF" w:rsidRDefault="008B13BF"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26771"/>
    <w:multiLevelType w:val="hybridMultilevel"/>
    <w:tmpl w:val="73B0B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CF387A"/>
    <w:multiLevelType w:val="hybridMultilevel"/>
    <w:tmpl w:val="E250C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7E33A0"/>
    <w:multiLevelType w:val="hybridMultilevel"/>
    <w:tmpl w:val="7DA8364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AD13E3"/>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B951C20"/>
    <w:multiLevelType w:val="hybridMultilevel"/>
    <w:tmpl w:val="550E5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2F4AB1"/>
    <w:multiLevelType w:val="hybridMultilevel"/>
    <w:tmpl w:val="5B66F07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1315581"/>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9C2E0A"/>
    <w:multiLevelType w:val="hybridMultilevel"/>
    <w:tmpl w:val="00AC1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AD031B8"/>
    <w:multiLevelType w:val="hybridMultilevel"/>
    <w:tmpl w:val="32B6F9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8B6CF2"/>
    <w:multiLevelType w:val="hybridMultilevel"/>
    <w:tmpl w:val="811CA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9D1FD4"/>
    <w:multiLevelType w:val="hybridMultilevel"/>
    <w:tmpl w:val="5A4A3B1C"/>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4"/>
  </w:num>
  <w:num w:numId="4">
    <w:abstractNumId w:val="26"/>
  </w:num>
  <w:num w:numId="5">
    <w:abstractNumId w:val="16"/>
  </w:num>
  <w:num w:numId="6">
    <w:abstractNumId w:val="12"/>
  </w:num>
  <w:num w:numId="7">
    <w:abstractNumId w:val="19"/>
  </w:num>
  <w:num w:numId="8">
    <w:abstractNumId w:val="7"/>
  </w:num>
  <w:num w:numId="9">
    <w:abstractNumId w:val="25"/>
  </w:num>
  <w:num w:numId="10">
    <w:abstractNumId w:val="1"/>
  </w:num>
  <w:num w:numId="11">
    <w:abstractNumId w:val="3"/>
  </w:num>
  <w:num w:numId="12">
    <w:abstractNumId w:val="21"/>
  </w:num>
  <w:num w:numId="13">
    <w:abstractNumId w:val="27"/>
  </w:num>
  <w:num w:numId="14">
    <w:abstractNumId w:val="14"/>
  </w:num>
  <w:num w:numId="15">
    <w:abstractNumId w:val="17"/>
  </w:num>
  <w:num w:numId="16">
    <w:abstractNumId w:val="20"/>
  </w:num>
  <w:num w:numId="17">
    <w:abstractNumId w:val="10"/>
  </w:num>
  <w:num w:numId="18">
    <w:abstractNumId w:val="18"/>
  </w:num>
  <w:num w:numId="19">
    <w:abstractNumId w:val="28"/>
  </w:num>
  <w:num w:numId="20">
    <w:abstractNumId w:val="5"/>
  </w:num>
  <w:num w:numId="21">
    <w:abstractNumId w:val="2"/>
  </w:num>
  <w:num w:numId="22">
    <w:abstractNumId w:val="15"/>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8"/>
  </w:num>
  <w:num w:numId="27">
    <w:abstractNumId w:val="13"/>
  </w:num>
  <w:num w:numId="28">
    <w:abstractNumId w:val="11"/>
  </w:num>
  <w:num w:numId="29">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1C77"/>
    <w:rsid w:val="000027EB"/>
    <w:rsid w:val="0000485A"/>
    <w:rsid w:val="00006014"/>
    <w:rsid w:val="00006543"/>
    <w:rsid w:val="00007E49"/>
    <w:rsid w:val="000122AE"/>
    <w:rsid w:val="00012841"/>
    <w:rsid w:val="00013A19"/>
    <w:rsid w:val="00014465"/>
    <w:rsid w:val="0001696C"/>
    <w:rsid w:val="00016B20"/>
    <w:rsid w:val="00017D26"/>
    <w:rsid w:val="00020818"/>
    <w:rsid w:val="00021143"/>
    <w:rsid w:val="000212E5"/>
    <w:rsid w:val="00021372"/>
    <w:rsid w:val="00021C64"/>
    <w:rsid w:val="00021CF0"/>
    <w:rsid w:val="0002296F"/>
    <w:rsid w:val="000241C5"/>
    <w:rsid w:val="000256F1"/>
    <w:rsid w:val="00025F5D"/>
    <w:rsid w:val="00026150"/>
    <w:rsid w:val="000313A7"/>
    <w:rsid w:val="00032F5B"/>
    <w:rsid w:val="00034A4E"/>
    <w:rsid w:val="00034E9D"/>
    <w:rsid w:val="00035537"/>
    <w:rsid w:val="00037316"/>
    <w:rsid w:val="000373BC"/>
    <w:rsid w:val="00037B34"/>
    <w:rsid w:val="00037C8D"/>
    <w:rsid w:val="00037F4B"/>
    <w:rsid w:val="00042EDC"/>
    <w:rsid w:val="00043C4B"/>
    <w:rsid w:val="0004646B"/>
    <w:rsid w:val="00051033"/>
    <w:rsid w:val="000528E6"/>
    <w:rsid w:val="00055D51"/>
    <w:rsid w:val="0006017B"/>
    <w:rsid w:val="00060880"/>
    <w:rsid w:val="00064855"/>
    <w:rsid w:val="0006595D"/>
    <w:rsid w:val="000661AF"/>
    <w:rsid w:val="00066ACE"/>
    <w:rsid w:val="00067F5F"/>
    <w:rsid w:val="00071A4A"/>
    <w:rsid w:val="00073C63"/>
    <w:rsid w:val="00073E60"/>
    <w:rsid w:val="00075FF9"/>
    <w:rsid w:val="000813B0"/>
    <w:rsid w:val="0008148B"/>
    <w:rsid w:val="0008177A"/>
    <w:rsid w:val="00082358"/>
    <w:rsid w:val="00082A09"/>
    <w:rsid w:val="00083AE5"/>
    <w:rsid w:val="00086467"/>
    <w:rsid w:val="000925EE"/>
    <w:rsid w:val="0009309C"/>
    <w:rsid w:val="00093B6A"/>
    <w:rsid w:val="00093CF1"/>
    <w:rsid w:val="000954CE"/>
    <w:rsid w:val="00097211"/>
    <w:rsid w:val="000A0518"/>
    <w:rsid w:val="000A1009"/>
    <w:rsid w:val="000A20A4"/>
    <w:rsid w:val="000A3E56"/>
    <w:rsid w:val="000A5058"/>
    <w:rsid w:val="000A6ACA"/>
    <w:rsid w:val="000A7211"/>
    <w:rsid w:val="000B05AD"/>
    <w:rsid w:val="000B0D11"/>
    <w:rsid w:val="000B1A78"/>
    <w:rsid w:val="000B1D37"/>
    <w:rsid w:val="000B2C93"/>
    <w:rsid w:val="000B2E7A"/>
    <w:rsid w:val="000B36DD"/>
    <w:rsid w:val="000B5711"/>
    <w:rsid w:val="000B6020"/>
    <w:rsid w:val="000B69AB"/>
    <w:rsid w:val="000B6F9F"/>
    <w:rsid w:val="000B7D87"/>
    <w:rsid w:val="000C0FFD"/>
    <w:rsid w:val="000C2283"/>
    <w:rsid w:val="000C27CA"/>
    <w:rsid w:val="000C3B4B"/>
    <w:rsid w:val="000C531C"/>
    <w:rsid w:val="000C59CB"/>
    <w:rsid w:val="000C7546"/>
    <w:rsid w:val="000D0991"/>
    <w:rsid w:val="000D0B08"/>
    <w:rsid w:val="000D231A"/>
    <w:rsid w:val="000D2A27"/>
    <w:rsid w:val="000D43A9"/>
    <w:rsid w:val="000D5482"/>
    <w:rsid w:val="000D743F"/>
    <w:rsid w:val="000E0BEA"/>
    <w:rsid w:val="000E241D"/>
    <w:rsid w:val="000E2952"/>
    <w:rsid w:val="000E2B71"/>
    <w:rsid w:val="000E3B88"/>
    <w:rsid w:val="000E4D06"/>
    <w:rsid w:val="000E76F5"/>
    <w:rsid w:val="000F05F8"/>
    <w:rsid w:val="000F1FB0"/>
    <w:rsid w:val="000F24C8"/>
    <w:rsid w:val="000F2EBF"/>
    <w:rsid w:val="000F3DA0"/>
    <w:rsid w:val="000F4183"/>
    <w:rsid w:val="000F4876"/>
    <w:rsid w:val="000F555D"/>
    <w:rsid w:val="000F7A45"/>
    <w:rsid w:val="000F7FD8"/>
    <w:rsid w:val="00100397"/>
    <w:rsid w:val="00100BAC"/>
    <w:rsid w:val="00100D89"/>
    <w:rsid w:val="001017B7"/>
    <w:rsid w:val="00102277"/>
    <w:rsid w:val="001026C6"/>
    <w:rsid w:val="001034C6"/>
    <w:rsid w:val="00103B75"/>
    <w:rsid w:val="001049B0"/>
    <w:rsid w:val="00104ADB"/>
    <w:rsid w:val="0010539A"/>
    <w:rsid w:val="001057BC"/>
    <w:rsid w:val="001065A9"/>
    <w:rsid w:val="001068CF"/>
    <w:rsid w:val="00107D2F"/>
    <w:rsid w:val="00112085"/>
    <w:rsid w:val="001121F6"/>
    <w:rsid w:val="001133D5"/>
    <w:rsid w:val="00113548"/>
    <w:rsid w:val="001135A7"/>
    <w:rsid w:val="00114068"/>
    <w:rsid w:val="00114231"/>
    <w:rsid w:val="001150E9"/>
    <w:rsid w:val="001166C8"/>
    <w:rsid w:val="001171AE"/>
    <w:rsid w:val="00121678"/>
    <w:rsid w:val="001216AC"/>
    <w:rsid w:val="00126626"/>
    <w:rsid w:val="001271D1"/>
    <w:rsid w:val="00127757"/>
    <w:rsid w:val="00132A80"/>
    <w:rsid w:val="00132F95"/>
    <w:rsid w:val="001334E4"/>
    <w:rsid w:val="00133BC6"/>
    <w:rsid w:val="00133F8A"/>
    <w:rsid w:val="001364C5"/>
    <w:rsid w:val="0013791C"/>
    <w:rsid w:val="00140735"/>
    <w:rsid w:val="00140F12"/>
    <w:rsid w:val="001425E5"/>
    <w:rsid w:val="00142E7D"/>
    <w:rsid w:val="0014307A"/>
    <w:rsid w:val="0014359C"/>
    <w:rsid w:val="0014415D"/>
    <w:rsid w:val="00144D0B"/>
    <w:rsid w:val="00146C77"/>
    <w:rsid w:val="00147566"/>
    <w:rsid w:val="00147666"/>
    <w:rsid w:val="00151053"/>
    <w:rsid w:val="00151FBB"/>
    <w:rsid w:val="00153238"/>
    <w:rsid w:val="00154F99"/>
    <w:rsid w:val="00155889"/>
    <w:rsid w:val="00155A8F"/>
    <w:rsid w:val="00155F96"/>
    <w:rsid w:val="00156408"/>
    <w:rsid w:val="00156A6B"/>
    <w:rsid w:val="00160079"/>
    <w:rsid w:val="00161DF9"/>
    <w:rsid w:val="00162383"/>
    <w:rsid w:val="00162503"/>
    <w:rsid w:val="00162CCE"/>
    <w:rsid w:val="001643DC"/>
    <w:rsid w:val="00165891"/>
    <w:rsid w:val="00165E28"/>
    <w:rsid w:val="00166654"/>
    <w:rsid w:val="00170545"/>
    <w:rsid w:val="00170BE0"/>
    <w:rsid w:val="00171ADD"/>
    <w:rsid w:val="0017459B"/>
    <w:rsid w:val="001746CD"/>
    <w:rsid w:val="001758B5"/>
    <w:rsid w:val="00175CEB"/>
    <w:rsid w:val="00176367"/>
    <w:rsid w:val="001779BC"/>
    <w:rsid w:val="001803A9"/>
    <w:rsid w:val="00182D6C"/>
    <w:rsid w:val="00182DCE"/>
    <w:rsid w:val="00182F0F"/>
    <w:rsid w:val="00183D24"/>
    <w:rsid w:val="00185102"/>
    <w:rsid w:val="001851A6"/>
    <w:rsid w:val="001851C0"/>
    <w:rsid w:val="00186131"/>
    <w:rsid w:val="001875A7"/>
    <w:rsid w:val="00187780"/>
    <w:rsid w:val="0018790B"/>
    <w:rsid w:val="001879E1"/>
    <w:rsid w:val="00191C72"/>
    <w:rsid w:val="00192080"/>
    <w:rsid w:val="00192414"/>
    <w:rsid w:val="0019389B"/>
    <w:rsid w:val="001945A8"/>
    <w:rsid w:val="00196AE7"/>
    <w:rsid w:val="0019765C"/>
    <w:rsid w:val="001A1B94"/>
    <w:rsid w:val="001A22F5"/>
    <w:rsid w:val="001A2D2D"/>
    <w:rsid w:val="001A3EAE"/>
    <w:rsid w:val="001A7FD2"/>
    <w:rsid w:val="001B0774"/>
    <w:rsid w:val="001B107D"/>
    <w:rsid w:val="001B2CD9"/>
    <w:rsid w:val="001B3A46"/>
    <w:rsid w:val="001B4953"/>
    <w:rsid w:val="001B62A0"/>
    <w:rsid w:val="001B73DE"/>
    <w:rsid w:val="001C282F"/>
    <w:rsid w:val="001C43CD"/>
    <w:rsid w:val="001C5E4E"/>
    <w:rsid w:val="001C61BE"/>
    <w:rsid w:val="001C6A50"/>
    <w:rsid w:val="001D0086"/>
    <w:rsid w:val="001D0094"/>
    <w:rsid w:val="001D1C7A"/>
    <w:rsid w:val="001D1E2E"/>
    <w:rsid w:val="001D2784"/>
    <w:rsid w:val="001D357C"/>
    <w:rsid w:val="001D6645"/>
    <w:rsid w:val="001D6E06"/>
    <w:rsid w:val="001D7012"/>
    <w:rsid w:val="001D7BD2"/>
    <w:rsid w:val="001E162E"/>
    <w:rsid w:val="001E2A4D"/>
    <w:rsid w:val="001E4091"/>
    <w:rsid w:val="001E46B8"/>
    <w:rsid w:val="001E52EC"/>
    <w:rsid w:val="001E53C2"/>
    <w:rsid w:val="001E58B1"/>
    <w:rsid w:val="001E6C2A"/>
    <w:rsid w:val="001F0E9C"/>
    <w:rsid w:val="001F0EB8"/>
    <w:rsid w:val="001F1540"/>
    <w:rsid w:val="001F1772"/>
    <w:rsid w:val="001F26F6"/>
    <w:rsid w:val="001F3B30"/>
    <w:rsid w:val="001F485B"/>
    <w:rsid w:val="001F5A67"/>
    <w:rsid w:val="001F652C"/>
    <w:rsid w:val="001F6FCB"/>
    <w:rsid w:val="001F78D9"/>
    <w:rsid w:val="00202DB8"/>
    <w:rsid w:val="0020385D"/>
    <w:rsid w:val="002059A0"/>
    <w:rsid w:val="0020623A"/>
    <w:rsid w:val="00207736"/>
    <w:rsid w:val="00210F29"/>
    <w:rsid w:val="0021154A"/>
    <w:rsid w:val="00212460"/>
    <w:rsid w:val="00213F12"/>
    <w:rsid w:val="00214796"/>
    <w:rsid w:val="00214E73"/>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2538D"/>
    <w:rsid w:val="002268C0"/>
    <w:rsid w:val="00230824"/>
    <w:rsid w:val="00230E81"/>
    <w:rsid w:val="00231E06"/>
    <w:rsid w:val="00232673"/>
    <w:rsid w:val="002331A2"/>
    <w:rsid w:val="00234B3D"/>
    <w:rsid w:val="00236863"/>
    <w:rsid w:val="00237C1F"/>
    <w:rsid w:val="00237D0D"/>
    <w:rsid w:val="00242330"/>
    <w:rsid w:val="002433A4"/>
    <w:rsid w:val="002435DC"/>
    <w:rsid w:val="00243A5C"/>
    <w:rsid w:val="00247B17"/>
    <w:rsid w:val="00250389"/>
    <w:rsid w:val="00252669"/>
    <w:rsid w:val="00254209"/>
    <w:rsid w:val="00254288"/>
    <w:rsid w:val="0025469C"/>
    <w:rsid w:val="00254705"/>
    <w:rsid w:val="00255115"/>
    <w:rsid w:val="002562E2"/>
    <w:rsid w:val="00256A05"/>
    <w:rsid w:val="002579CE"/>
    <w:rsid w:val="002600AA"/>
    <w:rsid w:val="00260FEC"/>
    <w:rsid w:val="0026115B"/>
    <w:rsid w:val="00261DD6"/>
    <w:rsid w:val="00261EED"/>
    <w:rsid w:val="00264982"/>
    <w:rsid w:val="002657E2"/>
    <w:rsid w:val="00265918"/>
    <w:rsid w:val="00267A50"/>
    <w:rsid w:val="002706D6"/>
    <w:rsid w:val="0027090B"/>
    <w:rsid w:val="0027110E"/>
    <w:rsid w:val="00271F43"/>
    <w:rsid w:val="002727CC"/>
    <w:rsid w:val="0027312A"/>
    <w:rsid w:val="00273679"/>
    <w:rsid w:val="00276900"/>
    <w:rsid w:val="00281A35"/>
    <w:rsid w:val="00281AD9"/>
    <w:rsid w:val="00281AFC"/>
    <w:rsid w:val="0028294F"/>
    <w:rsid w:val="002834B4"/>
    <w:rsid w:val="00283B6D"/>
    <w:rsid w:val="0028420E"/>
    <w:rsid w:val="00284486"/>
    <w:rsid w:val="00284DF2"/>
    <w:rsid w:val="00285644"/>
    <w:rsid w:val="0028581E"/>
    <w:rsid w:val="00285B24"/>
    <w:rsid w:val="00290C33"/>
    <w:rsid w:val="00293491"/>
    <w:rsid w:val="00293E97"/>
    <w:rsid w:val="00296FBD"/>
    <w:rsid w:val="00297504"/>
    <w:rsid w:val="002A0C91"/>
    <w:rsid w:val="002A0FB8"/>
    <w:rsid w:val="002A1B97"/>
    <w:rsid w:val="002A1EB0"/>
    <w:rsid w:val="002A29A5"/>
    <w:rsid w:val="002A2CB9"/>
    <w:rsid w:val="002A30E1"/>
    <w:rsid w:val="002A3C1C"/>
    <w:rsid w:val="002A4376"/>
    <w:rsid w:val="002A57D2"/>
    <w:rsid w:val="002A6193"/>
    <w:rsid w:val="002A7BD4"/>
    <w:rsid w:val="002A7F32"/>
    <w:rsid w:val="002B03CD"/>
    <w:rsid w:val="002B06C1"/>
    <w:rsid w:val="002B20A1"/>
    <w:rsid w:val="002B226E"/>
    <w:rsid w:val="002B46D4"/>
    <w:rsid w:val="002B54CF"/>
    <w:rsid w:val="002B71E6"/>
    <w:rsid w:val="002C17BD"/>
    <w:rsid w:val="002C1876"/>
    <w:rsid w:val="002C1FA0"/>
    <w:rsid w:val="002C2F50"/>
    <w:rsid w:val="002C45CA"/>
    <w:rsid w:val="002C7419"/>
    <w:rsid w:val="002D1BE4"/>
    <w:rsid w:val="002D398C"/>
    <w:rsid w:val="002D4671"/>
    <w:rsid w:val="002D50CC"/>
    <w:rsid w:val="002E0A56"/>
    <w:rsid w:val="002E190D"/>
    <w:rsid w:val="002E3C28"/>
    <w:rsid w:val="002E5015"/>
    <w:rsid w:val="002E6AF5"/>
    <w:rsid w:val="002E7ACF"/>
    <w:rsid w:val="002F0C1A"/>
    <w:rsid w:val="002F0CE9"/>
    <w:rsid w:val="002F1E4D"/>
    <w:rsid w:val="002F3BD0"/>
    <w:rsid w:val="002F41CF"/>
    <w:rsid w:val="002F58D8"/>
    <w:rsid w:val="00300A0B"/>
    <w:rsid w:val="00301F46"/>
    <w:rsid w:val="0030254C"/>
    <w:rsid w:val="00303CAD"/>
    <w:rsid w:val="00303E71"/>
    <w:rsid w:val="00304206"/>
    <w:rsid w:val="0030537B"/>
    <w:rsid w:val="00306418"/>
    <w:rsid w:val="003100F3"/>
    <w:rsid w:val="00310C11"/>
    <w:rsid w:val="00310D1E"/>
    <w:rsid w:val="00310FFE"/>
    <w:rsid w:val="00316600"/>
    <w:rsid w:val="00316A3A"/>
    <w:rsid w:val="003172EC"/>
    <w:rsid w:val="003173EB"/>
    <w:rsid w:val="0032170B"/>
    <w:rsid w:val="00322267"/>
    <w:rsid w:val="00322D59"/>
    <w:rsid w:val="00323325"/>
    <w:rsid w:val="003243B0"/>
    <w:rsid w:val="00325EC0"/>
    <w:rsid w:val="0032770C"/>
    <w:rsid w:val="00327866"/>
    <w:rsid w:val="00327FDE"/>
    <w:rsid w:val="003340EC"/>
    <w:rsid w:val="003347B5"/>
    <w:rsid w:val="003350FF"/>
    <w:rsid w:val="00337ECC"/>
    <w:rsid w:val="00340452"/>
    <w:rsid w:val="0034057C"/>
    <w:rsid w:val="0034187A"/>
    <w:rsid w:val="0034303D"/>
    <w:rsid w:val="00350142"/>
    <w:rsid w:val="00353B6D"/>
    <w:rsid w:val="00353FEE"/>
    <w:rsid w:val="00354920"/>
    <w:rsid w:val="00354B3F"/>
    <w:rsid w:val="00355DC6"/>
    <w:rsid w:val="00357EEF"/>
    <w:rsid w:val="003604D7"/>
    <w:rsid w:val="00361176"/>
    <w:rsid w:val="003615DF"/>
    <w:rsid w:val="0036351E"/>
    <w:rsid w:val="00364521"/>
    <w:rsid w:val="00365026"/>
    <w:rsid w:val="00365368"/>
    <w:rsid w:val="00367F82"/>
    <w:rsid w:val="00370D6C"/>
    <w:rsid w:val="003725BF"/>
    <w:rsid w:val="00372803"/>
    <w:rsid w:val="00372BDF"/>
    <w:rsid w:val="00373757"/>
    <w:rsid w:val="003740B4"/>
    <w:rsid w:val="003749EC"/>
    <w:rsid w:val="003756AF"/>
    <w:rsid w:val="00375815"/>
    <w:rsid w:val="00377B40"/>
    <w:rsid w:val="0038018F"/>
    <w:rsid w:val="00380441"/>
    <w:rsid w:val="00382696"/>
    <w:rsid w:val="0038438A"/>
    <w:rsid w:val="003864D2"/>
    <w:rsid w:val="0038765F"/>
    <w:rsid w:val="00390249"/>
    <w:rsid w:val="00390BF8"/>
    <w:rsid w:val="00392617"/>
    <w:rsid w:val="00392877"/>
    <w:rsid w:val="00392E12"/>
    <w:rsid w:val="00393F54"/>
    <w:rsid w:val="00394D7E"/>
    <w:rsid w:val="003956E9"/>
    <w:rsid w:val="003965EC"/>
    <w:rsid w:val="00396BA0"/>
    <w:rsid w:val="00397099"/>
    <w:rsid w:val="003A0E17"/>
    <w:rsid w:val="003A2284"/>
    <w:rsid w:val="003A2825"/>
    <w:rsid w:val="003A2BFE"/>
    <w:rsid w:val="003A357E"/>
    <w:rsid w:val="003A35D1"/>
    <w:rsid w:val="003A44D8"/>
    <w:rsid w:val="003A4F99"/>
    <w:rsid w:val="003A6E62"/>
    <w:rsid w:val="003A78B5"/>
    <w:rsid w:val="003A7BE8"/>
    <w:rsid w:val="003A7C85"/>
    <w:rsid w:val="003A7FBE"/>
    <w:rsid w:val="003B0B3F"/>
    <w:rsid w:val="003B0D09"/>
    <w:rsid w:val="003B1380"/>
    <w:rsid w:val="003B165A"/>
    <w:rsid w:val="003B1A7B"/>
    <w:rsid w:val="003B1BC8"/>
    <w:rsid w:val="003B1ED0"/>
    <w:rsid w:val="003B2140"/>
    <w:rsid w:val="003B5107"/>
    <w:rsid w:val="003B5412"/>
    <w:rsid w:val="003B5ECD"/>
    <w:rsid w:val="003B7D9E"/>
    <w:rsid w:val="003C28B8"/>
    <w:rsid w:val="003C5F9B"/>
    <w:rsid w:val="003C6441"/>
    <w:rsid w:val="003C6934"/>
    <w:rsid w:val="003C6F30"/>
    <w:rsid w:val="003C70D3"/>
    <w:rsid w:val="003C740E"/>
    <w:rsid w:val="003C7FD0"/>
    <w:rsid w:val="003D0268"/>
    <w:rsid w:val="003D18C5"/>
    <w:rsid w:val="003D1A43"/>
    <w:rsid w:val="003D1A64"/>
    <w:rsid w:val="003D1E30"/>
    <w:rsid w:val="003D4EA2"/>
    <w:rsid w:val="003D60F4"/>
    <w:rsid w:val="003D624F"/>
    <w:rsid w:val="003D7B6C"/>
    <w:rsid w:val="003E11BE"/>
    <w:rsid w:val="003E31E5"/>
    <w:rsid w:val="003E32ED"/>
    <w:rsid w:val="003E35D5"/>
    <w:rsid w:val="003E3A39"/>
    <w:rsid w:val="003E58C9"/>
    <w:rsid w:val="003E5FB8"/>
    <w:rsid w:val="003F01D6"/>
    <w:rsid w:val="003F0484"/>
    <w:rsid w:val="003F0DFC"/>
    <w:rsid w:val="003F5C0F"/>
    <w:rsid w:val="003F5FF5"/>
    <w:rsid w:val="003F632A"/>
    <w:rsid w:val="003F650B"/>
    <w:rsid w:val="004004E9"/>
    <w:rsid w:val="00401687"/>
    <w:rsid w:val="00404A6B"/>
    <w:rsid w:val="00404DFA"/>
    <w:rsid w:val="004052C5"/>
    <w:rsid w:val="004100AA"/>
    <w:rsid w:val="00410CD2"/>
    <w:rsid w:val="00412203"/>
    <w:rsid w:val="00412299"/>
    <w:rsid w:val="004142DD"/>
    <w:rsid w:val="00415478"/>
    <w:rsid w:val="00416E73"/>
    <w:rsid w:val="00417AF8"/>
    <w:rsid w:val="00417DE3"/>
    <w:rsid w:val="00420B07"/>
    <w:rsid w:val="00422869"/>
    <w:rsid w:val="00426448"/>
    <w:rsid w:val="00427457"/>
    <w:rsid w:val="004321C6"/>
    <w:rsid w:val="0043257A"/>
    <w:rsid w:val="00434D9A"/>
    <w:rsid w:val="00434DEB"/>
    <w:rsid w:val="004353F5"/>
    <w:rsid w:val="0043618C"/>
    <w:rsid w:val="004367EC"/>
    <w:rsid w:val="00436FD3"/>
    <w:rsid w:val="00437CFA"/>
    <w:rsid w:val="00437FA7"/>
    <w:rsid w:val="00440558"/>
    <w:rsid w:val="004406CF"/>
    <w:rsid w:val="00440C62"/>
    <w:rsid w:val="00441804"/>
    <w:rsid w:val="004435B4"/>
    <w:rsid w:val="0044482C"/>
    <w:rsid w:val="00446470"/>
    <w:rsid w:val="00446A5C"/>
    <w:rsid w:val="00447086"/>
    <w:rsid w:val="004510CF"/>
    <w:rsid w:val="00451A70"/>
    <w:rsid w:val="00457888"/>
    <w:rsid w:val="00457F4E"/>
    <w:rsid w:val="0046048A"/>
    <w:rsid w:val="0046369D"/>
    <w:rsid w:val="00463BD6"/>
    <w:rsid w:val="004644FC"/>
    <w:rsid w:val="004648C0"/>
    <w:rsid w:val="00464D73"/>
    <w:rsid w:val="0046542C"/>
    <w:rsid w:val="00465DED"/>
    <w:rsid w:val="00466346"/>
    <w:rsid w:val="004702B0"/>
    <w:rsid w:val="0047075B"/>
    <w:rsid w:val="00471A4A"/>
    <w:rsid w:val="004745DC"/>
    <w:rsid w:val="0047488D"/>
    <w:rsid w:val="004751D6"/>
    <w:rsid w:val="0047578E"/>
    <w:rsid w:val="00475E6B"/>
    <w:rsid w:val="00476A67"/>
    <w:rsid w:val="004778C2"/>
    <w:rsid w:val="00477DBA"/>
    <w:rsid w:val="00477E20"/>
    <w:rsid w:val="00480A43"/>
    <w:rsid w:val="00480BB8"/>
    <w:rsid w:val="00480D4A"/>
    <w:rsid w:val="00481D51"/>
    <w:rsid w:val="00481DDC"/>
    <w:rsid w:val="00483546"/>
    <w:rsid w:val="004845B4"/>
    <w:rsid w:val="0048519E"/>
    <w:rsid w:val="00485EC7"/>
    <w:rsid w:val="004860BD"/>
    <w:rsid w:val="00487430"/>
    <w:rsid w:val="004918F1"/>
    <w:rsid w:val="004934A0"/>
    <w:rsid w:val="00494D42"/>
    <w:rsid w:val="00497921"/>
    <w:rsid w:val="004A0A7B"/>
    <w:rsid w:val="004A0BB0"/>
    <w:rsid w:val="004A26CD"/>
    <w:rsid w:val="004A3584"/>
    <w:rsid w:val="004A35C0"/>
    <w:rsid w:val="004A5121"/>
    <w:rsid w:val="004A577A"/>
    <w:rsid w:val="004A6ECB"/>
    <w:rsid w:val="004A7990"/>
    <w:rsid w:val="004B1796"/>
    <w:rsid w:val="004B553F"/>
    <w:rsid w:val="004B591D"/>
    <w:rsid w:val="004B643D"/>
    <w:rsid w:val="004B7542"/>
    <w:rsid w:val="004C3D66"/>
    <w:rsid w:val="004C4ACC"/>
    <w:rsid w:val="004C4D7B"/>
    <w:rsid w:val="004C4E8F"/>
    <w:rsid w:val="004C6763"/>
    <w:rsid w:val="004C7E83"/>
    <w:rsid w:val="004D454E"/>
    <w:rsid w:val="004D587A"/>
    <w:rsid w:val="004D5DB3"/>
    <w:rsid w:val="004E0E8D"/>
    <w:rsid w:val="004E265B"/>
    <w:rsid w:val="004E345F"/>
    <w:rsid w:val="004E3914"/>
    <w:rsid w:val="004E3BBA"/>
    <w:rsid w:val="004E401B"/>
    <w:rsid w:val="004E41C7"/>
    <w:rsid w:val="004E63B4"/>
    <w:rsid w:val="004E71CE"/>
    <w:rsid w:val="004E7DB7"/>
    <w:rsid w:val="004E7FE7"/>
    <w:rsid w:val="004F0EFC"/>
    <w:rsid w:val="004F1030"/>
    <w:rsid w:val="004F2D88"/>
    <w:rsid w:val="004F2F40"/>
    <w:rsid w:val="004F33B4"/>
    <w:rsid w:val="004F3D21"/>
    <w:rsid w:val="004F67C2"/>
    <w:rsid w:val="004F772E"/>
    <w:rsid w:val="00500681"/>
    <w:rsid w:val="00500DFC"/>
    <w:rsid w:val="005070C3"/>
    <w:rsid w:val="0051113F"/>
    <w:rsid w:val="00512729"/>
    <w:rsid w:val="0051276F"/>
    <w:rsid w:val="005141C6"/>
    <w:rsid w:val="005159C7"/>
    <w:rsid w:val="00515FF4"/>
    <w:rsid w:val="0052031A"/>
    <w:rsid w:val="005220BE"/>
    <w:rsid w:val="00523761"/>
    <w:rsid w:val="00532353"/>
    <w:rsid w:val="0053405C"/>
    <w:rsid w:val="00535DB0"/>
    <w:rsid w:val="005360FC"/>
    <w:rsid w:val="0054194F"/>
    <w:rsid w:val="00542D5F"/>
    <w:rsid w:val="005435DE"/>
    <w:rsid w:val="005449F7"/>
    <w:rsid w:val="00544AB5"/>
    <w:rsid w:val="00544C28"/>
    <w:rsid w:val="00546BAE"/>
    <w:rsid w:val="005477CE"/>
    <w:rsid w:val="00547962"/>
    <w:rsid w:val="005519E2"/>
    <w:rsid w:val="00552EBD"/>
    <w:rsid w:val="00553827"/>
    <w:rsid w:val="00555F71"/>
    <w:rsid w:val="00557B6B"/>
    <w:rsid w:val="00563193"/>
    <w:rsid w:val="00563BEB"/>
    <w:rsid w:val="00566849"/>
    <w:rsid w:val="00567100"/>
    <w:rsid w:val="00567D08"/>
    <w:rsid w:val="0057298D"/>
    <w:rsid w:val="005740F6"/>
    <w:rsid w:val="005743D2"/>
    <w:rsid w:val="005745D7"/>
    <w:rsid w:val="00574F19"/>
    <w:rsid w:val="00575905"/>
    <w:rsid w:val="005764E6"/>
    <w:rsid w:val="00576ABA"/>
    <w:rsid w:val="00576C82"/>
    <w:rsid w:val="00576F31"/>
    <w:rsid w:val="005802BD"/>
    <w:rsid w:val="005818A1"/>
    <w:rsid w:val="00584899"/>
    <w:rsid w:val="00586FA8"/>
    <w:rsid w:val="00587F23"/>
    <w:rsid w:val="00590147"/>
    <w:rsid w:val="00590727"/>
    <w:rsid w:val="00591E3A"/>
    <w:rsid w:val="00592D40"/>
    <w:rsid w:val="00593CB4"/>
    <w:rsid w:val="00593E68"/>
    <w:rsid w:val="00596AF7"/>
    <w:rsid w:val="0059777D"/>
    <w:rsid w:val="005A22F0"/>
    <w:rsid w:val="005A2B23"/>
    <w:rsid w:val="005A4D34"/>
    <w:rsid w:val="005A4D4B"/>
    <w:rsid w:val="005A7D03"/>
    <w:rsid w:val="005B0D7C"/>
    <w:rsid w:val="005B0E86"/>
    <w:rsid w:val="005B1CF3"/>
    <w:rsid w:val="005B6854"/>
    <w:rsid w:val="005C1943"/>
    <w:rsid w:val="005C2B96"/>
    <w:rsid w:val="005C37A0"/>
    <w:rsid w:val="005C3AF3"/>
    <w:rsid w:val="005C4034"/>
    <w:rsid w:val="005C651C"/>
    <w:rsid w:val="005C656A"/>
    <w:rsid w:val="005C7E10"/>
    <w:rsid w:val="005D0033"/>
    <w:rsid w:val="005D0A80"/>
    <w:rsid w:val="005D1427"/>
    <w:rsid w:val="005D33D3"/>
    <w:rsid w:val="005D3FA2"/>
    <w:rsid w:val="005D49C8"/>
    <w:rsid w:val="005D5607"/>
    <w:rsid w:val="005E025E"/>
    <w:rsid w:val="005E0DB1"/>
    <w:rsid w:val="005E243B"/>
    <w:rsid w:val="005E37E9"/>
    <w:rsid w:val="005E426E"/>
    <w:rsid w:val="005E5AC3"/>
    <w:rsid w:val="005E5FA2"/>
    <w:rsid w:val="005E6910"/>
    <w:rsid w:val="005F03DB"/>
    <w:rsid w:val="005F3037"/>
    <w:rsid w:val="005F384D"/>
    <w:rsid w:val="005F4977"/>
    <w:rsid w:val="005F50F9"/>
    <w:rsid w:val="005F5970"/>
    <w:rsid w:val="005F6214"/>
    <w:rsid w:val="005F7B32"/>
    <w:rsid w:val="005F7E05"/>
    <w:rsid w:val="00600E7B"/>
    <w:rsid w:val="00600ED0"/>
    <w:rsid w:val="00601F66"/>
    <w:rsid w:val="00602210"/>
    <w:rsid w:val="00602978"/>
    <w:rsid w:val="00602D04"/>
    <w:rsid w:val="00602E54"/>
    <w:rsid w:val="006039AD"/>
    <w:rsid w:val="00603A46"/>
    <w:rsid w:val="00604816"/>
    <w:rsid w:val="00604EE0"/>
    <w:rsid w:val="00605E33"/>
    <w:rsid w:val="00606194"/>
    <w:rsid w:val="00606B55"/>
    <w:rsid w:val="006071FD"/>
    <w:rsid w:val="00610E97"/>
    <w:rsid w:val="0061115C"/>
    <w:rsid w:val="00611A49"/>
    <w:rsid w:val="00613017"/>
    <w:rsid w:val="00613A54"/>
    <w:rsid w:val="0061457F"/>
    <w:rsid w:val="00616189"/>
    <w:rsid w:val="0062078C"/>
    <w:rsid w:val="00620E8F"/>
    <w:rsid w:val="00620ECC"/>
    <w:rsid w:val="0062112C"/>
    <w:rsid w:val="00621760"/>
    <w:rsid w:val="006217BB"/>
    <w:rsid w:val="006217D0"/>
    <w:rsid w:val="00621B51"/>
    <w:rsid w:val="006246AC"/>
    <w:rsid w:val="006258C4"/>
    <w:rsid w:val="00625BD5"/>
    <w:rsid w:val="00625DFB"/>
    <w:rsid w:val="006277B7"/>
    <w:rsid w:val="00627856"/>
    <w:rsid w:val="0063037D"/>
    <w:rsid w:val="00630F1A"/>
    <w:rsid w:val="0063214D"/>
    <w:rsid w:val="00634D1A"/>
    <w:rsid w:val="006359A1"/>
    <w:rsid w:val="00635A86"/>
    <w:rsid w:val="00637179"/>
    <w:rsid w:val="00640155"/>
    <w:rsid w:val="00641037"/>
    <w:rsid w:val="00644A04"/>
    <w:rsid w:val="00645F7D"/>
    <w:rsid w:val="00646100"/>
    <w:rsid w:val="006476CA"/>
    <w:rsid w:val="0065395E"/>
    <w:rsid w:val="006552AE"/>
    <w:rsid w:val="00655773"/>
    <w:rsid w:val="006563CA"/>
    <w:rsid w:val="006578FC"/>
    <w:rsid w:val="00657A32"/>
    <w:rsid w:val="006608AB"/>
    <w:rsid w:val="006620DA"/>
    <w:rsid w:val="00662AB4"/>
    <w:rsid w:val="00664587"/>
    <w:rsid w:val="00665296"/>
    <w:rsid w:val="00665D72"/>
    <w:rsid w:val="00666F25"/>
    <w:rsid w:val="00667C1C"/>
    <w:rsid w:val="00673DD4"/>
    <w:rsid w:val="00674AEB"/>
    <w:rsid w:val="0067553F"/>
    <w:rsid w:val="00680397"/>
    <w:rsid w:val="006816E3"/>
    <w:rsid w:val="0068238F"/>
    <w:rsid w:val="006828D8"/>
    <w:rsid w:val="0068455C"/>
    <w:rsid w:val="00684887"/>
    <w:rsid w:val="006874A0"/>
    <w:rsid w:val="006911A8"/>
    <w:rsid w:val="0069169F"/>
    <w:rsid w:val="0069298B"/>
    <w:rsid w:val="00693C8E"/>
    <w:rsid w:val="006946F0"/>
    <w:rsid w:val="006969BA"/>
    <w:rsid w:val="00696E57"/>
    <w:rsid w:val="00697FF1"/>
    <w:rsid w:val="006A026A"/>
    <w:rsid w:val="006A0425"/>
    <w:rsid w:val="006A16F8"/>
    <w:rsid w:val="006A18B7"/>
    <w:rsid w:val="006A1A57"/>
    <w:rsid w:val="006A1D62"/>
    <w:rsid w:val="006A396E"/>
    <w:rsid w:val="006A4EAE"/>
    <w:rsid w:val="006A56C3"/>
    <w:rsid w:val="006A6D7F"/>
    <w:rsid w:val="006B0298"/>
    <w:rsid w:val="006B0E83"/>
    <w:rsid w:val="006B5493"/>
    <w:rsid w:val="006C10C0"/>
    <w:rsid w:val="006C1B1D"/>
    <w:rsid w:val="006C3180"/>
    <w:rsid w:val="006C32BB"/>
    <w:rsid w:val="006C3747"/>
    <w:rsid w:val="006C3A62"/>
    <w:rsid w:val="006C3D78"/>
    <w:rsid w:val="006C7760"/>
    <w:rsid w:val="006C7EEA"/>
    <w:rsid w:val="006D005D"/>
    <w:rsid w:val="006D50F0"/>
    <w:rsid w:val="006D522C"/>
    <w:rsid w:val="006D5588"/>
    <w:rsid w:val="006D56AA"/>
    <w:rsid w:val="006D6A81"/>
    <w:rsid w:val="006D7795"/>
    <w:rsid w:val="006D7ACB"/>
    <w:rsid w:val="006E00EF"/>
    <w:rsid w:val="006E058E"/>
    <w:rsid w:val="006E06AB"/>
    <w:rsid w:val="006E06BB"/>
    <w:rsid w:val="006E07DC"/>
    <w:rsid w:val="006E1A7A"/>
    <w:rsid w:val="006E716F"/>
    <w:rsid w:val="006E7603"/>
    <w:rsid w:val="006F01E7"/>
    <w:rsid w:val="006F01FC"/>
    <w:rsid w:val="006F1C08"/>
    <w:rsid w:val="006F1F3A"/>
    <w:rsid w:val="006F68FF"/>
    <w:rsid w:val="006F7EB8"/>
    <w:rsid w:val="00701CCE"/>
    <w:rsid w:val="00702A69"/>
    <w:rsid w:val="00702DD7"/>
    <w:rsid w:val="00703D83"/>
    <w:rsid w:val="00704385"/>
    <w:rsid w:val="00704741"/>
    <w:rsid w:val="007047D3"/>
    <w:rsid w:val="00705C40"/>
    <w:rsid w:val="007064AD"/>
    <w:rsid w:val="007100B2"/>
    <w:rsid w:val="0071087E"/>
    <w:rsid w:val="00712027"/>
    <w:rsid w:val="00712552"/>
    <w:rsid w:val="00713FFA"/>
    <w:rsid w:val="00716313"/>
    <w:rsid w:val="0072133B"/>
    <w:rsid w:val="00721648"/>
    <w:rsid w:val="007229A1"/>
    <w:rsid w:val="007235AA"/>
    <w:rsid w:val="007256FE"/>
    <w:rsid w:val="00725C12"/>
    <w:rsid w:val="00725F43"/>
    <w:rsid w:val="0072794C"/>
    <w:rsid w:val="007312E2"/>
    <w:rsid w:val="00732289"/>
    <w:rsid w:val="007332AD"/>
    <w:rsid w:val="007351F4"/>
    <w:rsid w:val="00735915"/>
    <w:rsid w:val="00735BA3"/>
    <w:rsid w:val="00735C21"/>
    <w:rsid w:val="0073614A"/>
    <w:rsid w:val="00736BF3"/>
    <w:rsid w:val="00736C21"/>
    <w:rsid w:val="00736FF2"/>
    <w:rsid w:val="0074082F"/>
    <w:rsid w:val="00740C8C"/>
    <w:rsid w:val="00741AC4"/>
    <w:rsid w:val="00742CA5"/>
    <w:rsid w:val="00744B86"/>
    <w:rsid w:val="00745469"/>
    <w:rsid w:val="00745F14"/>
    <w:rsid w:val="007477EE"/>
    <w:rsid w:val="00750251"/>
    <w:rsid w:val="00750F53"/>
    <w:rsid w:val="007515BC"/>
    <w:rsid w:val="00756181"/>
    <w:rsid w:val="007564BF"/>
    <w:rsid w:val="007573B2"/>
    <w:rsid w:val="007574BB"/>
    <w:rsid w:val="0075764C"/>
    <w:rsid w:val="00760540"/>
    <w:rsid w:val="007612A8"/>
    <w:rsid w:val="00762198"/>
    <w:rsid w:val="007621C9"/>
    <w:rsid w:val="0076306F"/>
    <w:rsid w:val="00763CE8"/>
    <w:rsid w:val="00767E64"/>
    <w:rsid w:val="00770792"/>
    <w:rsid w:val="00772166"/>
    <w:rsid w:val="00774FFE"/>
    <w:rsid w:val="00775638"/>
    <w:rsid w:val="00775677"/>
    <w:rsid w:val="0077599A"/>
    <w:rsid w:val="00775B00"/>
    <w:rsid w:val="00776327"/>
    <w:rsid w:val="0077724D"/>
    <w:rsid w:val="00777353"/>
    <w:rsid w:val="00780CD6"/>
    <w:rsid w:val="00782760"/>
    <w:rsid w:val="007827FA"/>
    <w:rsid w:val="00782EA4"/>
    <w:rsid w:val="00785461"/>
    <w:rsid w:val="00786FF3"/>
    <w:rsid w:val="007876CF"/>
    <w:rsid w:val="007877A8"/>
    <w:rsid w:val="00791941"/>
    <w:rsid w:val="00792C4A"/>
    <w:rsid w:val="00793090"/>
    <w:rsid w:val="00793566"/>
    <w:rsid w:val="00793659"/>
    <w:rsid w:val="00795C7A"/>
    <w:rsid w:val="00796F2A"/>
    <w:rsid w:val="00797B94"/>
    <w:rsid w:val="007A0176"/>
    <w:rsid w:val="007A2F67"/>
    <w:rsid w:val="007A3918"/>
    <w:rsid w:val="007B0E89"/>
    <w:rsid w:val="007B18FD"/>
    <w:rsid w:val="007B2C38"/>
    <w:rsid w:val="007B2E54"/>
    <w:rsid w:val="007B543E"/>
    <w:rsid w:val="007B575B"/>
    <w:rsid w:val="007B5AA1"/>
    <w:rsid w:val="007B6B7D"/>
    <w:rsid w:val="007B7498"/>
    <w:rsid w:val="007B7AEE"/>
    <w:rsid w:val="007B7EC6"/>
    <w:rsid w:val="007C0294"/>
    <w:rsid w:val="007C08DC"/>
    <w:rsid w:val="007C29F9"/>
    <w:rsid w:val="007C5436"/>
    <w:rsid w:val="007C6A2B"/>
    <w:rsid w:val="007C7E84"/>
    <w:rsid w:val="007C7EB6"/>
    <w:rsid w:val="007D18E2"/>
    <w:rsid w:val="007D2F75"/>
    <w:rsid w:val="007D396D"/>
    <w:rsid w:val="007D3BC2"/>
    <w:rsid w:val="007D52D5"/>
    <w:rsid w:val="007D5746"/>
    <w:rsid w:val="007D5CAA"/>
    <w:rsid w:val="007D6298"/>
    <w:rsid w:val="007D73A9"/>
    <w:rsid w:val="007D7882"/>
    <w:rsid w:val="007D7E3A"/>
    <w:rsid w:val="007E22E7"/>
    <w:rsid w:val="007E4232"/>
    <w:rsid w:val="007E493E"/>
    <w:rsid w:val="007E6704"/>
    <w:rsid w:val="007E69BB"/>
    <w:rsid w:val="007E6AB8"/>
    <w:rsid w:val="007E6ACB"/>
    <w:rsid w:val="007E6C4B"/>
    <w:rsid w:val="007E799C"/>
    <w:rsid w:val="007E7E96"/>
    <w:rsid w:val="007F2026"/>
    <w:rsid w:val="007F2109"/>
    <w:rsid w:val="007F21C5"/>
    <w:rsid w:val="007F3EF1"/>
    <w:rsid w:val="007F4EEB"/>
    <w:rsid w:val="007F703D"/>
    <w:rsid w:val="0080056E"/>
    <w:rsid w:val="008008CD"/>
    <w:rsid w:val="00801BCE"/>
    <w:rsid w:val="00802515"/>
    <w:rsid w:val="00802FEF"/>
    <w:rsid w:val="008032E7"/>
    <w:rsid w:val="00805EDE"/>
    <w:rsid w:val="00806B1C"/>
    <w:rsid w:val="0081283F"/>
    <w:rsid w:val="00812BD5"/>
    <w:rsid w:val="00812C0C"/>
    <w:rsid w:val="0081300F"/>
    <w:rsid w:val="0081480A"/>
    <w:rsid w:val="008164F4"/>
    <w:rsid w:val="00816B6E"/>
    <w:rsid w:val="008202EB"/>
    <w:rsid w:val="00820472"/>
    <w:rsid w:val="00820F86"/>
    <w:rsid w:val="00822BDD"/>
    <w:rsid w:val="00827C6A"/>
    <w:rsid w:val="00827F88"/>
    <w:rsid w:val="00832085"/>
    <w:rsid w:val="008321FB"/>
    <w:rsid w:val="00833388"/>
    <w:rsid w:val="008336A5"/>
    <w:rsid w:val="00834A6E"/>
    <w:rsid w:val="00835474"/>
    <w:rsid w:val="00835523"/>
    <w:rsid w:val="00835A36"/>
    <w:rsid w:val="008373C0"/>
    <w:rsid w:val="0084145F"/>
    <w:rsid w:val="00841DA2"/>
    <w:rsid w:val="00844CB5"/>
    <w:rsid w:val="008458F6"/>
    <w:rsid w:val="00845AED"/>
    <w:rsid w:val="00846900"/>
    <w:rsid w:val="00846D76"/>
    <w:rsid w:val="0084708E"/>
    <w:rsid w:val="00847703"/>
    <w:rsid w:val="0085041B"/>
    <w:rsid w:val="00850E73"/>
    <w:rsid w:val="00851AE4"/>
    <w:rsid w:val="00854977"/>
    <w:rsid w:val="008554B6"/>
    <w:rsid w:val="0085598D"/>
    <w:rsid w:val="008571F0"/>
    <w:rsid w:val="0086021B"/>
    <w:rsid w:val="00860A2D"/>
    <w:rsid w:val="0086154D"/>
    <w:rsid w:val="00862771"/>
    <w:rsid w:val="00865EF5"/>
    <w:rsid w:val="0086682F"/>
    <w:rsid w:val="00871098"/>
    <w:rsid w:val="00871719"/>
    <w:rsid w:val="00873888"/>
    <w:rsid w:val="00874639"/>
    <w:rsid w:val="00874894"/>
    <w:rsid w:val="00875938"/>
    <w:rsid w:val="00876975"/>
    <w:rsid w:val="00876D30"/>
    <w:rsid w:val="00876F54"/>
    <w:rsid w:val="0087722B"/>
    <w:rsid w:val="00877292"/>
    <w:rsid w:val="0087754A"/>
    <w:rsid w:val="0087766C"/>
    <w:rsid w:val="00877C66"/>
    <w:rsid w:val="00880552"/>
    <w:rsid w:val="00882031"/>
    <w:rsid w:val="0088299A"/>
    <w:rsid w:val="008839DA"/>
    <w:rsid w:val="00884782"/>
    <w:rsid w:val="00884EE8"/>
    <w:rsid w:val="00885168"/>
    <w:rsid w:val="00885F09"/>
    <w:rsid w:val="00886DF7"/>
    <w:rsid w:val="0089055D"/>
    <w:rsid w:val="0089173B"/>
    <w:rsid w:val="00891ACB"/>
    <w:rsid w:val="00891DD0"/>
    <w:rsid w:val="00891E76"/>
    <w:rsid w:val="0089220F"/>
    <w:rsid w:val="008935AA"/>
    <w:rsid w:val="008963F0"/>
    <w:rsid w:val="008964C2"/>
    <w:rsid w:val="00897444"/>
    <w:rsid w:val="008A022F"/>
    <w:rsid w:val="008A03A5"/>
    <w:rsid w:val="008A0677"/>
    <w:rsid w:val="008A0DF3"/>
    <w:rsid w:val="008A282C"/>
    <w:rsid w:val="008A368A"/>
    <w:rsid w:val="008A4138"/>
    <w:rsid w:val="008A5196"/>
    <w:rsid w:val="008A5D96"/>
    <w:rsid w:val="008B0067"/>
    <w:rsid w:val="008B03EE"/>
    <w:rsid w:val="008B13BF"/>
    <w:rsid w:val="008B4088"/>
    <w:rsid w:val="008B482B"/>
    <w:rsid w:val="008B5F5B"/>
    <w:rsid w:val="008B653F"/>
    <w:rsid w:val="008B6848"/>
    <w:rsid w:val="008C1CA0"/>
    <w:rsid w:val="008C269B"/>
    <w:rsid w:val="008C2FA1"/>
    <w:rsid w:val="008C4004"/>
    <w:rsid w:val="008D2C4C"/>
    <w:rsid w:val="008D5843"/>
    <w:rsid w:val="008D7679"/>
    <w:rsid w:val="008D77FC"/>
    <w:rsid w:val="008D789F"/>
    <w:rsid w:val="008D7A9D"/>
    <w:rsid w:val="008D7E0D"/>
    <w:rsid w:val="008D7EDB"/>
    <w:rsid w:val="008E17DB"/>
    <w:rsid w:val="008E1829"/>
    <w:rsid w:val="008E2327"/>
    <w:rsid w:val="008E2BCB"/>
    <w:rsid w:val="008E382F"/>
    <w:rsid w:val="008E5077"/>
    <w:rsid w:val="008E5CE5"/>
    <w:rsid w:val="008E64F0"/>
    <w:rsid w:val="008E6FF3"/>
    <w:rsid w:val="008E724E"/>
    <w:rsid w:val="008E72D6"/>
    <w:rsid w:val="008E7B05"/>
    <w:rsid w:val="008F18ED"/>
    <w:rsid w:val="008F46A9"/>
    <w:rsid w:val="008F46C2"/>
    <w:rsid w:val="008F4EB7"/>
    <w:rsid w:val="008F603D"/>
    <w:rsid w:val="008F7068"/>
    <w:rsid w:val="008F7EC7"/>
    <w:rsid w:val="00900CE3"/>
    <w:rsid w:val="009012BF"/>
    <w:rsid w:val="0090173A"/>
    <w:rsid w:val="00901B8B"/>
    <w:rsid w:val="009026B9"/>
    <w:rsid w:val="00903D37"/>
    <w:rsid w:val="00904FDB"/>
    <w:rsid w:val="00905F30"/>
    <w:rsid w:val="00907F6D"/>
    <w:rsid w:val="0091055D"/>
    <w:rsid w:val="0091324D"/>
    <w:rsid w:val="0091349A"/>
    <w:rsid w:val="00914C61"/>
    <w:rsid w:val="0091565B"/>
    <w:rsid w:val="00916BAE"/>
    <w:rsid w:val="00917D6F"/>
    <w:rsid w:val="00921B1A"/>
    <w:rsid w:val="00921B7F"/>
    <w:rsid w:val="00921DDA"/>
    <w:rsid w:val="00922DE1"/>
    <w:rsid w:val="009257D3"/>
    <w:rsid w:val="00925DA1"/>
    <w:rsid w:val="0092600D"/>
    <w:rsid w:val="0093039D"/>
    <w:rsid w:val="00931E4F"/>
    <w:rsid w:val="0093364D"/>
    <w:rsid w:val="00933A58"/>
    <w:rsid w:val="00935CE0"/>
    <w:rsid w:val="0093601D"/>
    <w:rsid w:val="00936574"/>
    <w:rsid w:val="00937843"/>
    <w:rsid w:val="00937EE1"/>
    <w:rsid w:val="00940424"/>
    <w:rsid w:val="00941824"/>
    <w:rsid w:val="009420D6"/>
    <w:rsid w:val="00943A13"/>
    <w:rsid w:val="00943BCE"/>
    <w:rsid w:val="00945C38"/>
    <w:rsid w:val="00946D30"/>
    <w:rsid w:val="0094749E"/>
    <w:rsid w:val="0095041B"/>
    <w:rsid w:val="00951D4D"/>
    <w:rsid w:val="0095200C"/>
    <w:rsid w:val="00954856"/>
    <w:rsid w:val="009551A4"/>
    <w:rsid w:val="00955AEE"/>
    <w:rsid w:val="00960346"/>
    <w:rsid w:val="009617D3"/>
    <w:rsid w:val="00962A57"/>
    <w:rsid w:val="00964203"/>
    <w:rsid w:val="00964578"/>
    <w:rsid w:val="0096463B"/>
    <w:rsid w:val="00965361"/>
    <w:rsid w:val="00966A95"/>
    <w:rsid w:val="00967869"/>
    <w:rsid w:val="0096796E"/>
    <w:rsid w:val="00971F54"/>
    <w:rsid w:val="009725C5"/>
    <w:rsid w:val="009729DA"/>
    <w:rsid w:val="00972A34"/>
    <w:rsid w:val="00973D07"/>
    <w:rsid w:val="00973F40"/>
    <w:rsid w:val="0097503F"/>
    <w:rsid w:val="00980900"/>
    <w:rsid w:val="00981E46"/>
    <w:rsid w:val="00982580"/>
    <w:rsid w:val="00983EED"/>
    <w:rsid w:val="009849EF"/>
    <w:rsid w:val="00986A7D"/>
    <w:rsid w:val="00986DB7"/>
    <w:rsid w:val="009873E6"/>
    <w:rsid w:val="009906DC"/>
    <w:rsid w:val="00990D35"/>
    <w:rsid w:val="009934CF"/>
    <w:rsid w:val="009959E5"/>
    <w:rsid w:val="009A0495"/>
    <w:rsid w:val="009A05A0"/>
    <w:rsid w:val="009A0D75"/>
    <w:rsid w:val="009A1D65"/>
    <w:rsid w:val="009A347A"/>
    <w:rsid w:val="009A3566"/>
    <w:rsid w:val="009A54CE"/>
    <w:rsid w:val="009A5F0F"/>
    <w:rsid w:val="009A620E"/>
    <w:rsid w:val="009A6619"/>
    <w:rsid w:val="009B0231"/>
    <w:rsid w:val="009B06B1"/>
    <w:rsid w:val="009B1C44"/>
    <w:rsid w:val="009B3281"/>
    <w:rsid w:val="009B6548"/>
    <w:rsid w:val="009B6A6F"/>
    <w:rsid w:val="009C1AFE"/>
    <w:rsid w:val="009C1F01"/>
    <w:rsid w:val="009C3DA6"/>
    <w:rsid w:val="009C3E33"/>
    <w:rsid w:val="009C428C"/>
    <w:rsid w:val="009C5178"/>
    <w:rsid w:val="009C5F24"/>
    <w:rsid w:val="009C648C"/>
    <w:rsid w:val="009C6E39"/>
    <w:rsid w:val="009C7314"/>
    <w:rsid w:val="009D048B"/>
    <w:rsid w:val="009D32E2"/>
    <w:rsid w:val="009D55D1"/>
    <w:rsid w:val="009D5AF9"/>
    <w:rsid w:val="009D69C6"/>
    <w:rsid w:val="009E0271"/>
    <w:rsid w:val="009E157E"/>
    <w:rsid w:val="009E401C"/>
    <w:rsid w:val="009E5419"/>
    <w:rsid w:val="009E5A6E"/>
    <w:rsid w:val="009E6CFF"/>
    <w:rsid w:val="009E70E7"/>
    <w:rsid w:val="009E7A1E"/>
    <w:rsid w:val="009F25A8"/>
    <w:rsid w:val="009F2922"/>
    <w:rsid w:val="009F46DC"/>
    <w:rsid w:val="009F5B9F"/>
    <w:rsid w:val="009F613F"/>
    <w:rsid w:val="00A005B3"/>
    <w:rsid w:val="00A01C00"/>
    <w:rsid w:val="00A021F4"/>
    <w:rsid w:val="00A03A50"/>
    <w:rsid w:val="00A049FF"/>
    <w:rsid w:val="00A04A21"/>
    <w:rsid w:val="00A075FF"/>
    <w:rsid w:val="00A0787D"/>
    <w:rsid w:val="00A116D2"/>
    <w:rsid w:val="00A11CAD"/>
    <w:rsid w:val="00A12D3B"/>
    <w:rsid w:val="00A12D5D"/>
    <w:rsid w:val="00A1515B"/>
    <w:rsid w:val="00A1620D"/>
    <w:rsid w:val="00A16AC0"/>
    <w:rsid w:val="00A16DC1"/>
    <w:rsid w:val="00A2372D"/>
    <w:rsid w:val="00A23D31"/>
    <w:rsid w:val="00A24C9B"/>
    <w:rsid w:val="00A253D6"/>
    <w:rsid w:val="00A25592"/>
    <w:rsid w:val="00A25C0B"/>
    <w:rsid w:val="00A26ECD"/>
    <w:rsid w:val="00A27D2B"/>
    <w:rsid w:val="00A301A7"/>
    <w:rsid w:val="00A3087F"/>
    <w:rsid w:val="00A30C34"/>
    <w:rsid w:val="00A30FD3"/>
    <w:rsid w:val="00A33EBC"/>
    <w:rsid w:val="00A3459B"/>
    <w:rsid w:val="00A3491E"/>
    <w:rsid w:val="00A34F04"/>
    <w:rsid w:val="00A35E2F"/>
    <w:rsid w:val="00A374F3"/>
    <w:rsid w:val="00A37891"/>
    <w:rsid w:val="00A40A51"/>
    <w:rsid w:val="00A4299C"/>
    <w:rsid w:val="00A4780F"/>
    <w:rsid w:val="00A47916"/>
    <w:rsid w:val="00A47C99"/>
    <w:rsid w:val="00A5003F"/>
    <w:rsid w:val="00A524FC"/>
    <w:rsid w:val="00A52C5B"/>
    <w:rsid w:val="00A536DA"/>
    <w:rsid w:val="00A5504D"/>
    <w:rsid w:val="00A571CD"/>
    <w:rsid w:val="00A57C3D"/>
    <w:rsid w:val="00A6076C"/>
    <w:rsid w:val="00A60D20"/>
    <w:rsid w:val="00A6247A"/>
    <w:rsid w:val="00A63B97"/>
    <w:rsid w:val="00A648A4"/>
    <w:rsid w:val="00A6697B"/>
    <w:rsid w:val="00A6767F"/>
    <w:rsid w:val="00A70F75"/>
    <w:rsid w:val="00A719AA"/>
    <w:rsid w:val="00A7280A"/>
    <w:rsid w:val="00A73DE3"/>
    <w:rsid w:val="00A74C2D"/>
    <w:rsid w:val="00A76B34"/>
    <w:rsid w:val="00A80046"/>
    <w:rsid w:val="00A81576"/>
    <w:rsid w:val="00A82209"/>
    <w:rsid w:val="00A83487"/>
    <w:rsid w:val="00A8413B"/>
    <w:rsid w:val="00A84860"/>
    <w:rsid w:val="00A854FF"/>
    <w:rsid w:val="00A87035"/>
    <w:rsid w:val="00A87156"/>
    <w:rsid w:val="00A8745D"/>
    <w:rsid w:val="00A906CB"/>
    <w:rsid w:val="00A908DA"/>
    <w:rsid w:val="00A90F9B"/>
    <w:rsid w:val="00A92694"/>
    <w:rsid w:val="00A93072"/>
    <w:rsid w:val="00A930EE"/>
    <w:rsid w:val="00A94AB9"/>
    <w:rsid w:val="00A9629C"/>
    <w:rsid w:val="00AA35D5"/>
    <w:rsid w:val="00AA393A"/>
    <w:rsid w:val="00AA417B"/>
    <w:rsid w:val="00AA533F"/>
    <w:rsid w:val="00AA5A86"/>
    <w:rsid w:val="00AA5E75"/>
    <w:rsid w:val="00AB010D"/>
    <w:rsid w:val="00AB0749"/>
    <w:rsid w:val="00AB2465"/>
    <w:rsid w:val="00AB34B5"/>
    <w:rsid w:val="00AB750F"/>
    <w:rsid w:val="00AB76D8"/>
    <w:rsid w:val="00AB7C96"/>
    <w:rsid w:val="00AB7E6A"/>
    <w:rsid w:val="00AC0DB1"/>
    <w:rsid w:val="00AC1272"/>
    <w:rsid w:val="00AC189E"/>
    <w:rsid w:val="00AC1B61"/>
    <w:rsid w:val="00AC2C6E"/>
    <w:rsid w:val="00AC5EE6"/>
    <w:rsid w:val="00AC7E53"/>
    <w:rsid w:val="00AD0850"/>
    <w:rsid w:val="00AD0D24"/>
    <w:rsid w:val="00AD1923"/>
    <w:rsid w:val="00AD2055"/>
    <w:rsid w:val="00AD2611"/>
    <w:rsid w:val="00AD36E9"/>
    <w:rsid w:val="00AD3AC5"/>
    <w:rsid w:val="00AD3D57"/>
    <w:rsid w:val="00AD3D95"/>
    <w:rsid w:val="00AE17F3"/>
    <w:rsid w:val="00AE47BF"/>
    <w:rsid w:val="00AF1F42"/>
    <w:rsid w:val="00AF21A5"/>
    <w:rsid w:val="00AF29DD"/>
    <w:rsid w:val="00AF2C2D"/>
    <w:rsid w:val="00AF49A6"/>
    <w:rsid w:val="00AF6432"/>
    <w:rsid w:val="00AF6DED"/>
    <w:rsid w:val="00AF79BD"/>
    <w:rsid w:val="00B00920"/>
    <w:rsid w:val="00B01182"/>
    <w:rsid w:val="00B02B02"/>
    <w:rsid w:val="00B03088"/>
    <w:rsid w:val="00B03B28"/>
    <w:rsid w:val="00B05835"/>
    <w:rsid w:val="00B05B64"/>
    <w:rsid w:val="00B05CCE"/>
    <w:rsid w:val="00B06ED1"/>
    <w:rsid w:val="00B07D52"/>
    <w:rsid w:val="00B07F12"/>
    <w:rsid w:val="00B10BAE"/>
    <w:rsid w:val="00B132DA"/>
    <w:rsid w:val="00B134B1"/>
    <w:rsid w:val="00B14154"/>
    <w:rsid w:val="00B1415B"/>
    <w:rsid w:val="00B14E8F"/>
    <w:rsid w:val="00B15278"/>
    <w:rsid w:val="00B1567E"/>
    <w:rsid w:val="00B222A2"/>
    <w:rsid w:val="00B223FD"/>
    <w:rsid w:val="00B234EC"/>
    <w:rsid w:val="00B26A72"/>
    <w:rsid w:val="00B26E12"/>
    <w:rsid w:val="00B274AE"/>
    <w:rsid w:val="00B274BF"/>
    <w:rsid w:val="00B31222"/>
    <w:rsid w:val="00B318EB"/>
    <w:rsid w:val="00B32F94"/>
    <w:rsid w:val="00B3581A"/>
    <w:rsid w:val="00B36A26"/>
    <w:rsid w:val="00B4044E"/>
    <w:rsid w:val="00B4245A"/>
    <w:rsid w:val="00B42780"/>
    <w:rsid w:val="00B42C7F"/>
    <w:rsid w:val="00B42E81"/>
    <w:rsid w:val="00B4329D"/>
    <w:rsid w:val="00B44978"/>
    <w:rsid w:val="00B44BB7"/>
    <w:rsid w:val="00B46F75"/>
    <w:rsid w:val="00B51D52"/>
    <w:rsid w:val="00B51E44"/>
    <w:rsid w:val="00B520F9"/>
    <w:rsid w:val="00B52812"/>
    <w:rsid w:val="00B53327"/>
    <w:rsid w:val="00B53C69"/>
    <w:rsid w:val="00B5495A"/>
    <w:rsid w:val="00B54B5C"/>
    <w:rsid w:val="00B56F89"/>
    <w:rsid w:val="00B576DA"/>
    <w:rsid w:val="00B577A3"/>
    <w:rsid w:val="00B60142"/>
    <w:rsid w:val="00B6144B"/>
    <w:rsid w:val="00B622A0"/>
    <w:rsid w:val="00B633C2"/>
    <w:rsid w:val="00B64641"/>
    <w:rsid w:val="00B65F99"/>
    <w:rsid w:val="00B6603D"/>
    <w:rsid w:val="00B66D58"/>
    <w:rsid w:val="00B67AFE"/>
    <w:rsid w:val="00B7262F"/>
    <w:rsid w:val="00B727C5"/>
    <w:rsid w:val="00B73FD4"/>
    <w:rsid w:val="00B74FC5"/>
    <w:rsid w:val="00B74FE5"/>
    <w:rsid w:val="00B75232"/>
    <w:rsid w:val="00B75A6C"/>
    <w:rsid w:val="00B804D4"/>
    <w:rsid w:val="00B810E2"/>
    <w:rsid w:val="00B82F2D"/>
    <w:rsid w:val="00B83E2A"/>
    <w:rsid w:val="00B83E38"/>
    <w:rsid w:val="00B84962"/>
    <w:rsid w:val="00B85DF3"/>
    <w:rsid w:val="00B86C19"/>
    <w:rsid w:val="00B92D0B"/>
    <w:rsid w:val="00B92EDF"/>
    <w:rsid w:val="00B93387"/>
    <w:rsid w:val="00B93510"/>
    <w:rsid w:val="00B9353C"/>
    <w:rsid w:val="00B93E33"/>
    <w:rsid w:val="00B9410B"/>
    <w:rsid w:val="00B94BAF"/>
    <w:rsid w:val="00B954F3"/>
    <w:rsid w:val="00B95BCD"/>
    <w:rsid w:val="00B95CDC"/>
    <w:rsid w:val="00B95CE5"/>
    <w:rsid w:val="00B96621"/>
    <w:rsid w:val="00B96C4F"/>
    <w:rsid w:val="00BA0D0B"/>
    <w:rsid w:val="00BA4577"/>
    <w:rsid w:val="00BA4F32"/>
    <w:rsid w:val="00BA5D5E"/>
    <w:rsid w:val="00BB1F39"/>
    <w:rsid w:val="00BB375D"/>
    <w:rsid w:val="00BB3A40"/>
    <w:rsid w:val="00BB49A0"/>
    <w:rsid w:val="00BB515F"/>
    <w:rsid w:val="00BB532B"/>
    <w:rsid w:val="00BB7198"/>
    <w:rsid w:val="00BB72E9"/>
    <w:rsid w:val="00BC11D8"/>
    <w:rsid w:val="00BC154A"/>
    <w:rsid w:val="00BC1FA5"/>
    <w:rsid w:val="00BC2C0C"/>
    <w:rsid w:val="00BC732A"/>
    <w:rsid w:val="00BC758B"/>
    <w:rsid w:val="00BD20A9"/>
    <w:rsid w:val="00BD2EAC"/>
    <w:rsid w:val="00BD36F8"/>
    <w:rsid w:val="00BD4BB3"/>
    <w:rsid w:val="00BD54FB"/>
    <w:rsid w:val="00BD55A9"/>
    <w:rsid w:val="00BD5739"/>
    <w:rsid w:val="00BD6411"/>
    <w:rsid w:val="00BE0ABC"/>
    <w:rsid w:val="00BE17C6"/>
    <w:rsid w:val="00BE2BD3"/>
    <w:rsid w:val="00BE3701"/>
    <w:rsid w:val="00BE4865"/>
    <w:rsid w:val="00BE5128"/>
    <w:rsid w:val="00BE5595"/>
    <w:rsid w:val="00BE69BF"/>
    <w:rsid w:val="00BE725A"/>
    <w:rsid w:val="00BE7430"/>
    <w:rsid w:val="00BE7B48"/>
    <w:rsid w:val="00BF0BBB"/>
    <w:rsid w:val="00BF0F8A"/>
    <w:rsid w:val="00BF3381"/>
    <w:rsid w:val="00BF3AC7"/>
    <w:rsid w:val="00BF3E37"/>
    <w:rsid w:val="00BF5E60"/>
    <w:rsid w:val="00BF65BD"/>
    <w:rsid w:val="00BF71F8"/>
    <w:rsid w:val="00C00DF3"/>
    <w:rsid w:val="00C013B3"/>
    <w:rsid w:val="00C078D4"/>
    <w:rsid w:val="00C07A30"/>
    <w:rsid w:val="00C10FCF"/>
    <w:rsid w:val="00C1200C"/>
    <w:rsid w:val="00C12FBA"/>
    <w:rsid w:val="00C142C6"/>
    <w:rsid w:val="00C16B4B"/>
    <w:rsid w:val="00C17427"/>
    <w:rsid w:val="00C206B3"/>
    <w:rsid w:val="00C20C00"/>
    <w:rsid w:val="00C210FD"/>
    <w:rsid w:val="00C22901"/>
    <w:rsid w:val="00C22E91"/>
    <w:rsid w:val="00C25238"/>
    <w:rsid w:val="00C27C34"/>
    <w:rsid w:val="00C305F2"/>
    <w:rsid w:val="00C31316"/>
    <w:rsid w:val="00C3215B"/>
    <w:rsid w:val="00C3345C"/>
    <w:rsid w:val="00C340A7"/>
    <w:rsid w:val="00C35C34"/>
    <w:rsid w:val="00C36461"/>
    <w:rsid w:val="00C3746C"/>
    <w:rsid w:val="00C407E5"/>
    <w:rsid w:val="00C40DDC"/>
    <w:rsid w:val="00C40EB1"/>
    <w:rsid w:val="00C4147E"/>
    <w:rsid w:val="00C42DAC"/>
    <w:rsid w:val="00C4342B"/>
    <w:rsid w:val="00C459A9"/>
    <w:rsid w:val="00C47938"/>
    <w:rsid w:val="00C502A5"/>
    <w:rsid w:val="00C521F7"/>
    <w:rsid w:val="00C52800"/>
    <w:rsid w:val="00C53008"/>
    <w:rsid w:val="00C53701"/>
    <w:rsid w:val="00C55151"/>
    <w:rsid w:val="00C5575D"/>
    <w:rsid w:val="00C558FF"/>
    <w:rsid w:val="00C55A39"/>
    <w:rsid w:val="00C55E97"/>
    <w:rsid w:val="00C560FA"/>
    <w:rsid w:val="00C565BF"/>
    <w:rsid w:val="00C56E69"/>
    <w:rsid w:val="00C572E2"/>
    <w:rsid w:val="00C57FF9"/>
    <w:rsid w:val="00C617E8"/>
    <w:rsid w:val="00C62D09"/>
    <w:rsid w:val="00C63194"/>
    <w:rsid w:val="00C64434"/>
    <w:rsid w:val="00C64B27"/>
    <w:rsid w:val="00C7063C"/>
    <w:rsid w:val="00C725F5"/>
    <w:rsid w:val="00C729F8"/>
    <w:rsid w:val="00C73C57"/>
    <w:rsid w:val="00C746D9"/>
    <w:rsid w:val="00C74D43"/>
    <w:rsid w:val="00C75CA7"/>
    <w:rsid w:val="00C771B1"/>
    <w:rsid w:val="00C825A9"/>
    <w:rsid w:val="00C843A4"/>
    <w:rsid w:val="00C84BFE"/>
    <w:rsid w:val="00C85807"/>
    <w:rsid w:val="00C862BB"/>
    <w:rsid w:val="00C86FC6"/>
    <w:rsid w:val="00C871D8"/>
    <w:rsid w:val="00C901BB"/>
    <w:rsid w:val="00C90CD3"/>
    <w:rsid w:val="00C91C86"/>
    <w:rsid w:val="00C92552"/>
    <w:rsid w:val="00C92611"/>
    <w:rsid w:val="00C931D3"/>
    <w:rsid w:val="00C93F1B"/>
    <w:rsid w:val="00C960F5"/>
    <w:rsid w:val="00C976D1"/>
    <w:rsid w:val="00CA308F"/>
    <w:rsid w:val="00CA3739"/>
    <w:rsid w:val="00CA3C14"/>
    <w:rsid w:val="00CA639D"/>
    <w:rsid w:val="00CA71D4"/>
    <w:rsid w:val="00CA7E2B"/>
    <w:rsid w:val="00CB06DC"/>
    <w:rsid w:val="00CB0D75"/>
    <w:rsid w:val="00CB1AB5"/>
    <w:rsid w:val="00CB329A"/>
    <w:rsid w:val="00CB547B"/>
    <w:rsid w:val="00CB5D29"/>
    <w:rsid w:val="00CB675A"/>
    <w:rsid w:val="00CB6C7D"/>
    <w:rsid w:val="00CB782B"/>
    <w:rsid w:val="00CC0E77"/>
    <w:rsid w:val="00CC2092"/>
    <w:rsid w:val="00CC285C"/>
    <w:rsid w:val="00CC3576"/>
    <w:rsid w:val="00CC3722"/>
    <w:rsid w:val="00CC46CD"/>
    <w:rsid w:val="00CC5E76"/>
    <w:rsid w:val="00CC6891"/>
    <w:rsid w:val="00CD07A4"/>
    <w:rsid w:val="00CD3A5D"/>
    <w:rsid w:val="00CD5FD4"/>
    <w:rsid w:val="00CD641D"/>
    <w:rsid w:val="00CD666B"/>
    <w:rsid w:val="00CD7206"/>
    <w:rsid w:val="00CE0DCE"/>
    <w:rsid w:val="00CE0E4C"/>
    <w:rsid w:val="00CE1BC9"/>
    <w:rsid w:val="00CE285C"/>
    <w:rsid w:val="00CE2AD6"/>
    <w:rsid w:val="00CE33C1"/>
    <w:rsid w:val="00CE33F7"/>
    <w:rsid w:val="00CE4DD6"/>
    <w:rsid w:val="00CE615A"/>
    <w:rsid w:val="00CE6AB6"/>
    <w:rsid w:val="00CE76FF"/>
    <w:rsid w:val="00CF04D6"/>
    <w:rsid w:val="00CF27EE"/>
    <w:rsid w:val="00CF2A7B"/>
    <w:rsid w:val="00CF3C85"/>
    <w:rsid w:val="00CF4012"/>
    <w:rsid w:val="00CF63F9"/>
    <w:rsid w:val="00D006B3"/>
    <w:rsid w:val="00D00A76"/>
    <w:rsid w:val="00D015EA"/>
    <w:rsid w:val="00D01F75"/>
    <w:rsid w:val="00D01F77"/>
    <w:rsid w:val="00D020BB"/>
    <w:rsid w:val="00D02BC6"/>
    <w:rsid w:val="00D0309E"/>
    <w:rsid w:val="00D0310D"/>
    <w:rsid w:val="00D04F0D"/>
    <w:rsid w:val="00D05803"/>
    <w:rsid w:val="00D05C7C"/>
    <w:rsid w:val="00D06906"/>
    <w:rsid w:val="00D07742"/>
    <w:rsid w:val="00D1010C"/>
    <w:rsid w:val="00D11424"/>
    <w:rsid w:val="00D1276A"/>
    <w:rsid w:val="00D138CF"/>
    <w:rsid w:val="00D141B6"/>
    <w:rsid w:val="00D14DB7"/>
    <w:rsid w:val="00D15ED5"/>
    <w:rsid w:val="00D17348"/>
    <w:rsid w:val="00D17A63"/>
    <w:rsid w:val="00D200AB"/>
    <w:rsid w:val="00D24944"/>
    <w:rsid w:val="00D26251"/>
    <w:rsid w:val="00D30A12"/>
    <w:rsid w:val="00D3127C"/>
    <w:rsid w:val="00D3150A"/>
    <w:rsid w:val="00D31CD5"/>
    <w:rsid w:val="00D348F7"/>
    <w:rsid w:val="00D34A17"/>
    <w:rsid w:val="00D36EF4"/>
    <w:rsid w:val="00D371D0"/>
    <w:rsid w:val="00D4004F"/>
    <w:rsid w:val="00D4062A"/>
    <w:rsid w:val="00D40BC3"/>
    <w:rsid w:val="00D40D6C"/>
    <w:rsid w:val="00D40D9A"/>
    <w:rsid w:val="00D41654"/>
    <w:rsid w:val="00D434B6"/>
    <w:rsid w:val="00D434EC"/>
    <w:rsid w:val="00D44E9D"/>
    <w:rsid w:val="00D472A7"/>
    <w:rsid w:val="00D509A6"/>
    <w:rsid w:val="00D51515"/>
    <w:rsid w:val="00D528B8"/>
    <w:rsid w:val="00D530EA"/>
    <w:rsid w:val="00D5321C"/>
    <w:rsid w:val="00D54ADE"/>
    <w:rsid w:val="00D56CAE"/>
    <w:rsid w:val="00D56E77"/>
    <w:rsid w:val="00D5797D"/>
    <w:rsid w:val="00D61A0E"/>
    <w:rsid w:val="00D61A7B"/>
    <w:rsid w:val="00D6288E"/>
    <w:rsid w:val="00D64164"/>
    <w:rsid w:val="00D6430B"/>
    <w:rsid w:val="00D64EFD"/>
    <w:rsid w:val="00D65F68"/>
    <w:rsid w:val="00D676F2"/>
    <w:rsid w:val="00D67DAD"/>
    <w:rsid w:val="00D70DAA"/>
    <w:rsid w:val="00D70E78"/>
    <w:rsid w:val="00D71CF9"/>
    <w:rsid w:val="00D71EAE"/>
    <w:rsid w:val="00D72862"/>
    <w:rsid w:val="00D729A2"/>
    <w:rsid w:val="00D73437"/>
    <w:rsid w:val="00D75BE9"/>
    <w:rsid w:val="00D8011B"/>
    <w:rsid w:val="00D80E1B"/>
    <w:rsid w:val="00D80F9D"/>
    <w:rsid w:val="00D81BAE"/>
    <w:rsid w:val="00D833A0"/>
    <w:rsid w:val="00D84B17"/>
    <w:rsid w:val="00D8507D"/>
    <w:rsid w:val="00D86735"/>
    <w:rsid w:val="00D8718E"/>
    <w:rsid w:val="00D871FB"/>
    <w:rsid w:val="00D90291"/>
    <w:rsid w:val="00D90C9D"/>
    <w:rsid w:val="00D90E57"/>
    <w:rsid w:val="00D91910"/>
    <w:rsid w:val="00D91AA8"/>
    <w:rsid w:val="00D91B83"/>
    <w:rsid w:val="00D93D2C"/>
    <w:rsid w:val="00D944A6"/>
    <w:rsid w:val="00D946D2"/>
    <w:rsid w:val="00D952B1"/>
    <w:rsid w:val="00D95D80"/>
    <w:rsid w:val="00D96FC3"/>
    <w:rsid w:val="00D976BA"/>
    <w:rsid w:val="00DA0839"/>
    <w:rsid w:val="00DA12C3"/>
    <w:rsid w:val="00DA22B5"/>
    <w:rsid w:val="00DA495D"/>
    <w:rsid w:val="00DA4BF2"/>
    <w:rsid w:val="00DA5621"/>
    <w:rsid w:val="00DA71B8"/>
    <w:rsid w:val="00DA7BA0"/>
    <w:rsid w:val="00DB469A"/>
    <w:rsid w:val="00DB50E5"/>
    <w:rsid w:val="00DB52C3"/>
    <w:rsid w:val="00DB5DA3"/>
    <w:rsid w:val="00DB6726"/>
    <w:rsid w:val="00DB78A4"/>
    <w:rsid w:val="00DB7E5F"/>
    <w:rsid w:val="00DC06F3"/>
    <w:rsid w:val="00DC0A7C"/>
    <w:rsid w:val="00DC10B0"/>
    <w:rsid w:val="00DC1594"/>
    <w:rsid w:val="00DC2005"/>
    <w:rsid w:val="00DC4BCD"/>
    <w:rsid w:val="00DC52B2"/>
    <w:rsid w:val="00DC5971"/>
    <w:rsid w:val="00DC73CA"/>
    <w:rsid w:val="00DC7ABC"/>
    <w:rsid w:val="00DD035E"/>
    <w:rsid w:val="00DD1107"/>
    <w:rsid w:val="00DD178F"/>
    <w:rsid w:val="00DD1FD7"/>
    <w:rsid w:val="00DD1FE4"/>
    <w:rsid w:val="00DD2405"/>
    <w:rsid w:val="00DD4D5E"/>
    <w:rsid w:val="00DD544E"/>
    <w:rsid w:val="00DD6CEF"/>
    <w:rsid w:val="00DE2966"/>
    <w:rsid w:val="00DE4107"/>
    <w:rsid w:val="00DE4125"/>
    <w:rsid w:val="00DF0060"/>
    <w:rsid w:val="00DF04ED"/>
    <w:rsid w:val="00DF0B5E"/>
    <w:rsid w:val="00DF0ED5"/>
    <w:rsid w:val="00DF2CE5"/>
    <w:rsid w:val="00DF5502"/>
    <w:rsid w:val="00DF72D9"/>
    <w:rsid w:val="00DF75DC"/>
    <w:rsid w:val="00DF7EC8"/>
    <w:rsid w:val="00E0240D"/>
    <w:rsid w:val="00E028ED"/>
    <w:rsid w:val="00E104F6"/>
    <w:rsid w:val="00E10748"/>
    <w:rsid w:val="00E11154"/>
    <w:rsid w:val="00E11540"/>
    <w:rsid w:val="00E12958"/>
    <w:rsid w:val="00E12F57"/>
    <w:rsid w:val="00E13B96"/>
    <w:rsid w:val="00E13CB8"/>
    <w:rsid w:val="00E14282"/>
    <w:rsid w:val="00E156F2"/>
    <w:rsid w:val="00E2250E"/>
    <w:rsid w:val="00E24BF5"/>
    <w:rsid w:val="00E25982"/>
    <w:rsid w:val="00E26342"/>
    <w:rsid w:val="00E27346"/>
    <w:rsid w:val="00E27DDF"/>
    <w:rsid w:val="00E27E01"/>
    <w:rsid w:val="00E30A90"/>
    <w:rsid w:val="00E32A95"/>
    <w:rsid w:val="00E32DBA"/>
    <w:rsid w:val="00E4110D"/>
    <w:rsid w:val="00E415B7"/>
    <w:rsid w:val="00E43469"/>
    <w:rsid w:val="00E43535"/>
    <w:rsid w:val="00E43624"/>
    <w:rsid w:val="00E43A0F"/>
    <w:rsid w:val="00E445DA"/>
    <w:rsid w:val="00E45379"/>
    <w:rsid w:val="00E50561"/>
    <w:rsid w:val="00E50B22"/>
    <w:rsid w:val="00E51E18"/>
    <w:rsid w:val="00E533BD"/>
    <w:rsid w:val="00E53706"/>
    <w:rsid w:val="00E563AC"/>
    <w:rsid w:val="00E57CE2"/>
    <w:rsid w:val="00E600C3"/>
    <w:rsid w:val="00E617BD"/>
    <w:rsid w:val="00E61E05"/>
    <w:rsid w:val="00E645BB"/>
    <w:rsid w:val="00E64BD9"/>
    <w:rsid w:val="00E66262"/>
    <w:rsid w:val="00E670C7"/>
    <w:rsid w:val="00E67A4D"/>
    <w:rsid w:val="00E67E50"/>
    <w:rsid w:val="00E700BB"/>
    <w:rsid w:val="00E705B4"/>
    <w:rsid w:val="00E70FBB"/>
    <w:rsid w:val="00E719AE"/>
    <w:rsid w:val="00E72263"/>
    <w:rsid w:val="00E72967"/>
    <w:rsid w:val="00E76C51"/>
    <w:rsid w:val="00E8093C"/>
    <w:rsid w:val="00E8155D"/>
    <w:rsid w:val="00E8554D"/>
    <w:rsid w:val="00E85CC0"/>
    <w:rsid w:val="00E87179"/>
    <w:rsid w:val="00E91616"/>
    <w:rsid w:val="00E924C8"/>
    <w:rsid w:val="00E92DB6"/>
    <w:rsid w:val="00E93C8B"/>
    <w:rsid w:val="00E975D3"/>
    <w:rsid w:val="00EA0E04"/>
    <w:rsid w:val="00EA0E12"/>
    <w:rsid w:val="00EA16C0"/>
    <w:rsid w:val="00EA17C7"/>
    <w:rsid w:val="00EA220D"/>
    <w:rsid w:val="00EA2B6F"/>
    <w:rsid w:val="00EA3156"/>
    <w:rsid w:val="00EA40A2"/>
    <w:rsid w:val="00EA479C"/>
    <w:rsid w:val="00EA4CD5"/>
    <w:rsid w:val="00EA4F5F"/>
    <w:rsid w:val="00EA5979"/>
    <w:rsid w:val="00EA5D2C"/>
    <w:rsid w:val="00EA5D8E"/>
    <w:rsid w:val="00EA6D17"/>
    <w:rsid w:val="00EA7463"/>
    <w:rsid w:val="00EB07CF"/>
    <w:rsid w:val="00EB3B88"/>
    <w:rsid w:val="00EC000C"/>
    <w:rsid w:val="00EC0C14"/>
    <w:rsid w:val="00EC1310"/>
    <w:rsid w:val="00EC1D18"/>
    <w:rsid w:val="00EC20A0"/>
    <w:rsid w:val="00EC2AFA"/>
    <w:rsid w:val="00EC3B8F"/>
    <w:rsid w:val="00EC4A46"/>
    <w:rsid w:val="00EC5327"/>
    <w:rsid w:val="00EC534B"/>
    <w:rsid w:val="00EC577C"/>
    <w:rsid w:val="00EC5CA0"/>
    <w:rsid w:val="00EC6274"/>
    <w:rsid w:val="00EC7372"/>
    <w:rsid w:val="00ED040E"/>
    <w:rsid w:val="00ED19D1"/>
    <w:rsid w:val="00ED30E8"/>
    <w:rsid w:val="00ED3B69"/>
    <w:rsid w:val="00ED4C2D"/>
    <w:rsid w:val="00ED6CD1"/>
    <w:rsid w:val="00ED74E8"/>
    <w:rsid w:val="00EE008C"/>
    <w:rsid w:val="00EE38A2"/>
    <w:rsid w:val="00EE4F3F"/>
    <w:rsid w:val="00EE5F2E"/>
    <w:rsid w:val="00EE7892"/>
    <w:rsid w:val="00EF0F1A"/>
    <w:rsid w:val="00EF1BA3"/>
    <w:rsid w:val="00EF1E4E"/>
    <w:rsid w:val="00EF307B"/>
    <w:rsid w:val="00EF3FE9"/>
    <w:rsid w:val="00EF4A64"/>
    <w:rsid w:val="00EF5627"/>
    <w:rsid w:val="00EF5896"/>
    <w:rsid w:val="00EF5A92"/>
    <w:rsid w:val="00EF79E1"/>
    <w:rsid w:val="00F004ED"/>
    <w:rsid w:val="00F02171"/>
    <w:rsid w:val="00F024EE"/>
    <w:rsid w:val="00F033EF"/>
    <w:rsid w:val="00F061A6"/>
    <w:rsid w:val="00F06DEF"/>
    <w:rsid w:val="00F0710C"/>
    <w:rsid w:val="00F076E3"/>
    <w:rsid w:val="00F102AC"/>
    <w:rsid w:val="00F11AB3"/>
    <w:rsid w:val="00F12310"/>
    <w:rsid w:val="00F12BBF"/>
    <w:rsid w:val="00F12E15"/>
    <w:rsid w:val="00F14017"/>
    <w:rsid w:val="00F1684C"/>
    <w:rsid w:val="00F16868"/>
    <w:rsid w:val="00F20633"/>
    <w:rsid w:val="00F20844"/>
    <w:rsid w:val="00F20ED1"/>
    <w:rsid w:val="00F2254F"/>
    <w:rsid w:val="00F23D94"/>
    <w:rsid w:val="00F247A1"/>
    <w:rsid w:val="00F24C3A"/>
    <w:rsid w:val="00F256F5"/>
    <w:rsid w:val="00F25CFE"/>
    <w:rsid w:val="00F26008"/>
    <w:rsid w:val="00F27A6E"/>
    <w:rsid w:val="00F324FE"/>
    <w:rsid w:val="00F33CEB"/>
    <w:rsid w:val="00F3523F"/>
    <w:rsid w:val="00F35243"/>
    <w:rsid w:val="00F35C7F"/>
    <w:rsid w:val="00F3748D"/>
    <w:rsid w:val="00F37635"/>
    <w:rsid w:val="00F41A4E"/>
    <w:rsid w:val="00F41EE5"/>
    <w:rsid w:val="00F436DA"/>
    <w:rsid w:val="00F43E6E"/>
    <w:rsid w:val="00F43EBF"/>
    <w:rsid w:val="00F44423"/>
    <w:rsid w:val="00F45D4E"/>
    <w:rsid w:val="00F479E2"/>
    <w:rsid w:val="00F47E84"/>
    <w:rsid w:val="00F510D1"/>
    <w:rsid w:val="00F51236"/>
    <w:rsid w:val="00F51242"/>
    <w:rsid w:val="00F5128A"/>
    <w:rsid w:val="00F5374C"/>
    <w:rsid w:val="00F541B8"/>
    <w:rsid w:val="00F5553C"/>
    <w:rsid w:val="00F56CC2"/>
    <w:rsid w:val="00F57438"/>
    <w:rsid w:val="00F60142"/>
    <w:rsid w:val="00F60BC0"/>
    <w:rsid w:val="00F618F1"/>
    <w:rsid w:val="00F61B7F"/>
    <w:rsid w:val="00F62370"/>
    <w:rsid w:val="00F628D3"/>
    <w:rsid w:val="00F63EB1"/>
    <w:rsid w:val="00F6497E"/>
    <w:rsid w:val="00F64B12"/>
    <w:rsid w:val="00F66984"/>
    <w:rsid w:val="00F677E2"/>
    <w:rsid w:val="00F67BDF"/>
    <w:rsid w:val="00F70616"/>
    <w:rsid w:val="00F72A5B"/>
    <w:rsid w:val="00F73751"/>
    <w:rsid w:val="00F73CEF"/>
    <w:rsid w:val="00F74156"/>
    <w:rsid w:val="00F7443C"/>
    <w:rsid w:val="00F75EAD"/>
    <w:rsid w:val="00F75F9F"/>
    <w:rsid w:val="00F766A3"/>
    <w:rsid w:val="00F770D3"/>
    <w:rsid w:val="00F77154"/>
    <w:rsid w:val="00F77895"/>
    <w:rsid w:val="00F80F33"/>
    <w:rsid w:val="00F846D6"/>
    <w:rsid w:val="00F86870"/>
    <w:rsid w:val="00F914BE"/>
    <w:rsid w:val="00F9173A"/>
    <w:rsid w:val="00F91800"/>
    <w:rsid w:val="00F92672"/>
    <w:rsid w:val="00F94E99"/>
    <w:rsid w:val="00F9650A"/>
    <w:rsid w:val="00F967C7"/>
    <w:rsid w:val="00FA0437"/>
    <w:rsid w:val="00FA233F"/>
    <w:rsid w:val="00FA2E05"/>
    <w:rsid w:val="00FA5052"/>
    <w:rsid w:val="00FA5684"/>
    <w:rsid w:val="00FA7D57"/>
    <w:rsid w:val="00FB0008"/>
    <w:rsid w:val="00FB067D"/>
    <w:rsid w:val="00FB071C"/>
    <w:rsid w:val="00FB1EB6"/>
    <w:rsid w:val="00FB3EA0"/>
    <w:rsid w:val="00FB5101"/>
    <w:rsid w:val="00FB55F4"/>
    <w:rsid w:val="00FB6164"/>
    <w:rsid w:val="00FB7140"/>
    <w:rsid w:val="00FC0B63"/>
    <w:rsid w:val="00FC2209"/>
    <w:rsid w:val="00FC40EC"/>
    <w:rsid w:val="00FC43D0"/>
    <w:rsid w:val="00FC5D7D"/>
    <w:rsid w:val="00FC73E5"/>
    <w:rsid w:val="00FC7531"/>
    <w:rsid w:val="00FC7977"/>
    <w:rsid w:val="00FC7EAA"/>
    <w:rsid w:val="00FD2B52"/>
    <w:rsid w:val="00FD2B88"/>
    <w:rsid w:val="00FD4FA5"/>
    <w:rsid w:val="00FD5166"/>
    <w:rsid w:val="00FD6F40"/>
    <w:rsid w:val="00FD7691"/>
    <w:rsid w:val="00FD7EB2"/>
    <w:rsid w:val="00FE4BFF"/>
    <w:rsid w:val="00FE51B5"/>
    <w:rsid w:val="00FE52BC"/>
    <w:rsid w:val="00FE56E0"/>
    <w:rsid w:val="00FE5CF1"/>
    <w:rsid w:val="00FE7A68"/>
    <w:rsid w:val="00FF1FCE"/>
    <w:rsid w:val="00FF3BAB"/>
    <w:rsid w:val="00FF456A"/>
    <w:rsid w:val="00FF46FD"/>
    <w:rsid w:val="00FF4933"/>
    <w:rsid w:val="00FF5C7F"/>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6CD60"/>
  <w15:docId w15:val="{A9B3BF75-5650-4A95-8D6D-823E6A94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07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237778">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552438">
      <w:bodyDiv w:val="1"/>
      <w:marLeft w:val="0"/>
      <w:marRight w:val="0"/>
      <w:marTop w:val="0"/>
      <w:marBottom w:val="0"/>
      <w:divBdr>
        <w:top w:val="none" w:sz="0" w:space="0" w:color="auto"/>
        <w:left w:val="none" w:sz="0" w:space="0" w:color="auto"/>
        <w:bottom w:val="none" w:sz="0" w:space="0" w:color="auto"/>
        <w:right w:val="none" w:sz="0" w:space="0" w:color="auto"/>
      </w:divBdr>
    </w:div>
    <w:div w:id="217478593">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9939674">
      <w:bodyDiv w:val="1"/>
      <w:marLeft w:val="0"/>
      <w:marRight w:val="0"/>
      <w:marTop w:val="0"/>
      <w:marBottom w:val="0"/>
      <w:divBdr>
        <w:top w:val="none" w:sz="0" w:space="0" w:color="auto"/>
        <w:left w:val="none" w:sz="0" w:space="0" w:color="auto"/>
        <w:bottom w:val="none" w:sz="0" w:space="0" w:color="auto"/>
        <w:right w:val="none" w:sz="0" w:space="0" w:color="auto"/>
      </w:divBdr>
    </w:div>
    <w:div w:id="31761681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5204200">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1542587">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1525024">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0799847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789897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F4135-54CA-4BDA-ABB1-81FD040FE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5388</Words>
  <Characters>29634</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3</cp:revision>
  <cp:lastPrinted>2019-09-12T16:35:00Z</cp:lastPrinted>
  <dcterms:created xsi:type="dcterms:W3CDTF">2019-10-08T19:10:00Z</dcterms:created>
  <dcterms:modified xsi:type="dcterms:W3CDTF">2019-12-05T17:37:00Z</dcterms:modified>
</cp:coreProperties>
</file>