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Pr="00CB2E7B" w:rsidRDefault="00C02AF0" w:rsidP="00625340">
      <w:pPr>
        <w:spacing w:after="0" w:line="360" w:lineRule="auto"/>
        <w:jc w:val="both"/>
        <w:rPr>
          <w:rFonts w:ascii="Palatino Linotype" w:hAnsi="Palatino Linotype" w:cs="Arial"/>
          <w:b/>
          <w:sz w:val="24"/>
          <w:szCs w:val="24"/>
        </w:rPr>
      </w:pPr>
      <w:bookmarkStart w:id="0" w:name="_GoBack"/>
      <w:bookmarkEnd w:id="0"/>
      <w:r w:rsidRPr="00CB2E7B">
        <w:rPr>
          <w:rFonts w:ascii="Palatino Linotype" w:hAnsi="Palatino Linotype" w:cs="Arial"/>
          <w:b/>
          <w:sz w:val="24"/>
          <w:szCs w:val="24"/>
        </w:rPr>
        <w:t>VOTO</w:t>
      </w:r>
      <w:r w:rsidR="00625340" w:rsidRPr="00CB2E7B">
        <w:rPr>
          <w:rFonts w:ascii="Palatino Linotype" w:hAnsi="Palatino Linotype" w:cs="Arial"/>
          <w:b/>
          <w:sz w:val="24"/>
          <w:szCs w:val="24"/>
        </w:rPr>
        <w:t xml:space="preserve"> </w:t>
      </w:r>
      <w:r w:rsidR="00FC0729">
        <w:rPr>
          <w:rFonts w:ascii="Palatino Linotype" w:hAnsi="Palatino Linotype" w:cs="Arial"/>
          <w:b/>
          <w:sz w:val="24"/>
          <w:szCs w:val="24"/>
        </w:rPr>
        <w:t>DISIDENTE</w:t>
      </w:r>
      <w:r w:rsidR="00625340" w:rsidRPr="00CB2E7B">
        <w:rPr>
          <w:rFonts w:ascii="Palatino Linotype" w:hAnsi="Palatino Linotype" w:cs="Arial"/>
          <w:b/>
          <w:sz w:val="24"/>
          <w:szCs w:val="24"/>
        </w:rPr>
        <w:t xml:space="preserve"> DEL COMISIONADO JOSÉ GUADALUPE LUNA HERNÁNDEZ EN EL RECURSO DE REVISIÓN </w:t>
      </w:r>
      <w:r w:rsidR="008F615E">
        <w:rPr>
          <w:rFonts w:ascii="Palatino Linotype" w:hAnsi="Palatino Linotype" w:cs="Arial"/>
          <w:b/>
          <w:sz w:val="24"/>
          <w:szCs w:val="24"/>
        </w:rPr>
        <w:t>02090</w:t>
      </w:r>
      <w:r w:rsidR="00625340" w:rsidRPr="00CB2E7B">
        <w:rPr>
          <w:rFonts w:ascii="Palatino Linotype" w:hAnsi="Palatino Linotype" w:cs="Arial"/>
          <w:b/>
          <w:sz w:val="24"/>
          <w:szCs w:val="24"/>
        </w:rPr>
        <w:t>/INFOEM/IP/RR/201</w:t>
      </w:r>
      <w:r w:rsidR="008F615E">
        <w:rPr>
          <w:rFonts w:ascii="Palatino Linotype" w:hAnsi="Palatino Linotype" w:cs="Arial"/>
          <w:b/>
          <w:sz w:val="24"/>
          <w:szCs w:val="24"/>
        </w:rPr>
        <w:t>9</w:t>
      </w:r>
      <w:r w:rsidR="00B60576">
        <w:rPr>
          <w:rFonts w:ascii="Palatino Linotype" w:hAnsi="Palatino Linotype" w:cs="Arial"/>
          <w:b/>
          <w:sz w:val="24"/>
          <w:szCs w:val="24"/>
        </w:rPr>
        <w:t xml:space="preserve"> y acumulados.</w:t>
      </w:r>
    </w:p>
    <w:p w:rsidR="00625340" w:rsidRPr="00CB2E7B" w:rsidRDefault="00625340" w:rsidP="00625340">
      <w:pPr>
        <w:spacing w:after="0" w:line="360" w:lineRule="auto"/>
        <w:jc w:val="both"/>
        <w:rPr>
          <w:rFonts w:ascii="Palatino Linotype" w:hAnsi="Palatino Linotype" w:cs="Arial"/>
          <w:b/>
          <w:sz w:val="24"/>
          <w:szCs w:val="24"/>
        </w:rPr>
      </w:pPr>
    </w:p>
    <w:p w:rsidR="00D96722" w:rsidRDefault="002D5499" w:rsidP="003B4A57">
      <w:pPr>
        <w:spacing w:after="0" w:line="360" w:lineRule="auto"/>
        <w:jc w:val="both"/>
        <w:rPr>
          <w:rFonts w:ascii="Palatino Linotype" w:eastAsia="Calibri" w:hAnsi="Palatino Linotype" w:cs="Arial"/>
          <w:sz w:val="24"/>
          <w:szCs w:val="24"/>
        </w:rPr>
      </w:pPr>
      <w:r w:rsidRPr="00CB2E7B">
        <w:rPr>
          <w:rFonts w:ascii="Palatino Linotype" w:hAnsi="Palatino Linotype" w:cs="Arial"/>
          <w:b/>
          <w:sz w:val="24"/>
          <w:szCs w:val="24"/>
        </w:rPr>
        <w:t>Resumen del voto</w:t>
      </w:r>
      <w:r w:rsidR="00625340" w:rsidRPr="00CB2E7B">
        <w:rPr>
          <w:rFonts w:ascii="Palatino Linotype" w:hAnsi="Palatino Linotype" w:cs="Arial"/>
          <w:b/>
          <w:sz w:val="24"/>
          <w:szCs w:val="24"/>
        </w:rPr>
        <w:t>:</w:t>
      </w:r>
      <w:r w:rsidR="00F7333F" w:rsidRPr="00CB2E7B">
        <w:rPr>
          <w:rFonts w:ascii="Palatino Linotype" w:hAnsi="Palatino Linotype" w:cs="Arial"/>
          <w:b/>
          <w:sz w:val="24"/>
          <w:szCs w:val="24"/>
        </w:rPr>
        <w:t xml:space="preserve"> </w:t>
      </w:r>
      <w:r w:rsidR="00B82949">
        <w:rPr>
          <w:rFonts w:ascii="Palatino Linotype" w:eastAsia="Calibri" w:hAnsi="Palatino Linotype" w:cs="Arial"/>
          <w:sz w:val="24"/>
          <w:szCs w:val="24"/>
        </w:rPr>
        <w:t>Los Sujetos Obligados en el ámbito de sus competencias, atribuciones y funciones deben</w:t>
      </w:r>
      <w:r w:rsidR="00ED5A5F">
        <w:rPr>
          <w:rFonts w:ascii="Palatino Linotype" w:eastAsia="Calibri" w:hAnsi="Palatino Linotype" w:cs="Arial"/>
          <w:sz w:val="24"/>
          <w:szCs w:val="24"/>
        </w:rPr>
        <w:t xml:space="preserve"> </w:t>
      </w:r>
      <w:r w:rsidR="00B82949">
        <w:rPr>
          <w:rFonts w:ascii="Palatino Linotype" w:eastAsia="Calibri" w:hAnsi="Palatino Linotype" w:cs="Arial"/>
          <w:sz w:val="24"/>
          <w:szCs w:val="24"/>
        </w:rPr>
        <w:t>permitir de manera eficiente el acceso a la información</w:t>
      </w:r>
      <w:r w:rsidR="00ED5A5F">
        <w:rPr>
          <w:rFonts w:ascii="Palatino Linotype" w:eastAsia="Calibri" w:hAnsi="Palatino Linotype" w:cs="Arial"/>
          <w:sz w:val="24"/>
          <w:szCs w:val="24"/>
        </w:rPr>
        <w:t>,</w:t>
      </w:r>
      <w:r w:rsidR="00B82949">
        <w:rPr>
          <w:rFonts w:ascii="Palatino Linotype" w:eastAsia="Calibri" w:hAnsi="Palatino Linotype" w:cs="Arial"/>
          <w:sz w:val="24"/>
          <w:szCs w:val="24"/>
        </w:rPr>
        <w:t xml:space="preserve"> al mismo tiempo</w:t>
      </w:r>
      <w:r w:rsidR="00ED5A5F">
        <w:rPr>
          <w:rFonts w:ascii="Palatino Linotype" w:eastAsia="Calibri" w:hAnsi="Palatino Linotype" w:cs="Arial"/>
          <w:sz w:val="24"/>
          <w:szCs w:val="24"/>
        </w:rPr>
        <w:t>,</w:t>
      </w:r>
      <w:r w:rsidR="00B82949">
        <w:rPr>
          <w:rFonts w:ascii="Palatino Linotype" w:eastAsia="Calibri" w:hAnsi="Palatino Linotype" w:cs="Arial"/>
          <w:sz w:val="24"/>
          <w:szCs w:val="24"/>
        </w:rPr>
        <w:t xml:space="preserve"> </w:t>
      </w:r>
      <w:r w:rsidR="00ED5A5F">
        <w:rPr>
          <w:rFonts w:ascii="Palatino Linotype" w:eastAsia="Calibri" w:hAnsi="Palatino Linotype" w:cs="Arial"/>
          <w:sz w:val="24"/>
          <w:szCs w:val="24"/>
        </w:rPr>
        <w:t>d</w:t>
      </w:r>
      <w:r w:rsidR="00B82949">
        <w:rPr>
          <w:rFonts w:ascii="Palatino Linotype" w:eastAsia="Calibri" w:hAnsi="Palatino Linotype" w:cs="Arial"/>
          <w:sz w:val="24"/>
          <w:szCs w:val="24"/>
        </w:rPr>
        <w:t xml:space="preserve">eben </w:t>
      </w:r>
      <w:r w:rsidR="00ED5A5F">
        <w:rPr>
          <w:rFonts w:ascii="Palatino Linotype" w:eastAsia="Calibri" w:hAnsi="Palatino Linotype" w:cs="Arial"/>
          <w:sz w:val="24"/>
          <w:szCs w:val="24"/>
        </w:rPr>
        <w:t xml:space="preserve">prever las situaciones en las que sea necesario realizar una clasificación de la información bajo argumentos y fundamentos válidos. </w:t>
      </w:r>
      <w:r w:rsidR="003C2FFB">
        <w:rPr>
          <w:rFonts w:ascii="Palatino Linotype" w:eastAsia="Calibri" w:hAnsi="Palatino Linotype" w:cs="Arial"/>
          <w:sz w:val="24"/>
          <w:szCs w:val="24"/>
        </w:rPr>
        <w:t xml:space="preserve">En el presente asunto, </w:t>
      </w:r>
      <w:r w:rsidR="00D96722" w:rsidRPr="00D96722">
        <w:rPr>
          <w:rFonts w:ascii="Palatino Linotype" w:eastAsia="Calibri" w:hAnsi="Palatino Linotype" w:cs="Arial"/>
          <w:b/>
          <w:sz w:val="24"/>
          <w:szCs w:val="24"/>
        </w:rPr>
        <w:t>no se aprecian</w:t>
      </w:r>
      <w:r w:rsidR="00D96722">
        <w:rPr>
          <w:rFonts w:ascii="Palatino Linotype" w:eastAsia="Calibri" w:hAnsi="Palatino Linotype" w:cs="Arial"/>
          <w:sz w:val="24"/>
          <w:szCs w:val="24"/>
        </w:rPr>
        <w:t xml:space="preserve"> los elementos suficientes que brinden certeza al particular en relación a la restricción de su derecho de acceder a la información por existir un daño mayor a la conducción de un procedimiento judicial por la divulgación de la información, en consecuencia, en ausencia de dichos elementos, prevalece el interés por acceder a las documentales.</w:t>
      </w:r>
    </w:p>
    <w:p w:rsidR="00D96722" w:rsidRDefault="00D96722" w:rsidP="003B4A57">
      <w:pPr>
        <w:spacing w:after="0" w:line="360" w:lineRule="auto"/>
        <w:jc w:val="both"/>
        <w:rPr>
          <w:rFonts w:ascii="Palatino Linotype" w:eastAsia="Calibri" w:hAnsi="Palatino Linotype" w:cs="Arial"/>
          <w:sz w:val="24"/>
          <w:szCs w:val="24"/>
        </w:rPr>
      </w:pPr>
    </w:p>
    <w:p w:rsidR="00D96722" w:rsidRDefault="00D96722" w:rsidP="003B4A57">
      <w:pPr>
        <w:spacing w:after="0" w:line="360" w:lineRule="auto"/>
        <w:jc w:val="both"/>
        <w:rPr>
          <w:rFonts w:ascii="Palatino Linotype" w:eastAsia="Calibri" w:hAnsi="Palatino Linotype" w:cs="Arial"/>
          <w:sz w:val="24"/>
          <w:szCs w:val="24"/>
        </w:rPr>
      </w:pPr>
    </w:p>
    <w:p w:rsidR="00ED5A5F" w:rsidRDefault="00541CF2" w:rsidP="003B4A57">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1557692" wp14:editId="36B2876C">
                <wp:simplePos x="0" y="0"/>
                <wp:positionH relativeFrom="column">
                  <wp:posOffset>62864</wp:posOffset>
                </wp:positionH>
                <wp:positionV relativeFrom="paragraph">
                  <wp:posOffset>76200</wp:posOffset>
                </wp:positionV>
                <wp:extent cx="5495925" cy="294322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495925" cy="29432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7DE6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6pt" to="437.7pt,2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" strokecolor="#5b9bd5 [3204]" strokeweight="2.25pt">
                <v:stroke joinstyle="miter"/>
              </v:line>
            </w:pict>
          </mc:Fallback>
        </mc:AlternateContent>
      </w:r>
    </w:p>
    <w:p w:rsidR="00F72F39" w:rsidRDefault="00F72F39" w:rsidP="00625340">
      <w:pPr>
        <w:spacing w:after="0" w:line="360" w:lineRule="auto"/>
        <w:jc w:val="both"/>
        <w:rPr>
          <w:rFonts w:ascii="Palatino Linotype" w:eastAsia="Calibri" w:hAnsi="Palatino Linotype" w:cs="Arial"/>
          <w:sz w:val="24"/>
          <w:szCs w:val="24"/>
        </w:rPr>
      </w:pPr>
    </w:p>
    <w:p w:rsidR="003C2FFB" w:rsidRDefault="003C2FFB" w:rsidP="00625340">
      <w:pPr>
        <w:spacing w:after="0" w:line="360" w:lineRule="auto"/>
        <w:jc w:val="both"/>
        <w:rPr>
          <w:rFonts w:ascii="Palatino Linotype" w:eastAsia="Calibri" w:hAnsi="Palatino Linotype" w:cs="Arial"/>
          <w:sz w:val="24"/>
          <w:szCs w:val="24"/>
        </w:rPr>
      </w:pPr>
    </w:p>
    <w:p w:rsidR="002D2293" w:rsidRDefault="002D2293" w:rsidP="00625340">
      <w:pPr>
        <w:spacing w:after="0" w:line="360" w:lineRule="auto"/>
        <w:jc w:val="both"/>
        <w:rPr>
          <w:rFonts w:ascii="Palatino Linotype" w:eastAsia="Calibri" w:hAnsi="Palatino Linotype" w:cs="Arial"/>
          <w:sz w:val="24"/>
          <w:szCs w:val="24"/>
        </w:rPr>
      </w:pPr>
    </w:p>
    <w:p w:rsidR="002D2293" w:rsidRDefault="002D2293" w:rsidP="00625340">
      <w:pPr>
        <w:spacing w:after="0" w:line="360" w:lineRule="auto"/>
        <w:jc w:val="both"/>
        <w:rPr>
          <w:rFonts w:ascii="Palatino Linotype" w:eastAsia="Calibri" w:hAnsi="Palatino Linotype" w:cs="Arial"/>
          <w:sz w:val="24"/>
          <w:szCs w:val="24"/>
        </w:rPr>
      </w:pPr>
    </w:p>
    <w:p w:rsidR="002D2293" w:rsidRDefault="002D2293" w:rsidP="00625340">
      <w:pPr>
        <w:spacing w:after="0" w:line="360" w:lineRule="auto"/>
        <w:jc w:val="both"/>
        <w:rPr>
          <w:rFonts w:ascii="Palatino Linotype" w:eastAsia="Calibri" w:hAnsi="Palatino Linotype" w:cs="Arial"/>
          <w:sz w:val="24"/>
          <w:szCs w:val="24"/>
        </w:rPr>
      </w:pPr>
    </w:p>
    <w:p w:rsidR="002D2293" w:rsidRDefault="002D2293" w:rsidP="00625340">
      <w:pPr>
        <w:spacing w:after="0" w:line="360" w:lineRule="auto"/>
        <w:jc w:val="both"/>
        <w:rPr>
          <w:rFonts w:ascii="Palatino Linotype" w:eastAsia="Calibri" w:hAnsi="Palatino Linotype" w:cs="Arial"/>
          <w:sz w:val="24"/>
          <w:szCs w:val="24"/>
        </w:rPr>
      </w:pPr>
    </w:p>
    <w:sdt>
      <w:sdtPr>
        <w:rPr>
          <w:rFonts w:asciiTheme="minorHAnsi" w:eastAsiaTheme="minorHAnsi" w:hAnsiTheme="minorHAnsi" w:cstheme="minorBidi"/>
          <w:b w:val="0"/>
          <w:sz w:val="22"/>
          <w:szCs w:val="24"/>
          <w:lang w:val="es-ES" w:eastAsia="en-US"/>
        </w:rPr>
        <w:id w:val="-1339223820"/>
        <w:docPartObj>
          <w:docPartGallery w:val="Table of Contents"/>
          <w:docPartUnique/>
        </w:docPartObj>
      </w:sdtPr>
      <w:sdtEndPr>
        <w:rPr>
          <w:bCs/>
        </w:rPr>
      </w:sdtEndPr>
      <w:sdtContent>
        <w:p w:rsidR="00625340" w:rsidRPr="00CB2E7B" w:rsidRDefault="00625340">
          <w:pPr>
            <w:pStyle w:val="TtulodeTDC"/>
            <w:rPr>
              <w:szCs w:val="24"/>
            </w:rPr>
          </w:pPr>
          <w:r w:rsidRPr="00CB2E7B">
            <w:rPr>
              <w:szCs w:val="24"/>
              <w:lang w:val="es-ES"/>
            </w:rPr>
            <w:t>Índice</w:t>
          </w:r>
        </w:p>
        <w:p w:rsidR="00572AB3" w:rsidRDefault="00625340">
          <w:pPr>
            <w:pStyle w:val="TDC1"/>
            <w:tabs>
              <w:tab w:val="left" w:pos="440"/>
              <w:tab w:val="right" w:leader="dot" w:pos="8828"/>
            </w:tabs>
            <w:rPr>
              <w:rFonts w:eastAsiaTheme="minorEastAsia"/>
              <w:noProof/>
              <w:lang w:eastAsia="es-MX"/>
            </w:rPr>
          </w:pPr>
          <w:r w:rsidRPr="00CB2E7B">
            <w:rPr>
              <w:rFonts w:ascii="Palatino Linotype" w:hAnsi="Palatino Linotype"/>
              <w:b/>
              <w:sz w:val="24"/>
              <w:szCs w:val="24"/>
            </w:rPr>
            <w:fldChar w:fldCharType="begin"/>
          </w:r>
          <w:r w:rsidRPr="00CB2E7B">
            <w:rPr>
              <w:rFonts w:ascii="Palatino Linotype" w:hAnsi="Palatino Linotype"/>
              <w:b/>
              <w:sz w:val="24"/>
              <w:szCs w:val="24"/>
            </w:rPr>
            <w:instrText xml:space="preserve"> TOC \o "1-3" \h \z \u </w:instrText>
          </w:r>
          <w:r w:rsidRPr="00CB2E7B">
            <w:rPr>
              <w:rFonts w:ascii="Palatino Linotype" w:hAnsi="Palatino Linotype"/>
              <w:b/>
              <w:sz w:val="24"/>
              <w:szCs w:val="24"/>
            </w:rPr>
            <w:fldChar w:fldCharType="separate"/>
          </w:r>
          <w:hyperlink w:anchor="_Toc11082141" w:history="1">
            <w:r w:rsidR="00572AB3" w:rsidRPr="007B03CE">
              <w:rPr>
                <w:rStyle w:val="Hipervnculo"/>
                <w:noProof/>
              </w:rPr>
              <w:t>A.</w:t>
            </w:r>
            <w:r w:rsidR="00572AB3">
              <w:rPr>
                <w:rFonts w:eastAsiaTheme="minorEastAsia"/>
                <w:noProof/>
                <w:lang w:eastAsia="es-MX"/>
              </w:rPr>
              <w:tab/>
            </w:r>
            <w:r w:rsidR="00572AB3" w:rsidRPr="007B03CE">
              <w:rPr>
                <w:rStyle w:val="Hipervnculo"/>
                <w:noProof/>
              </w:rPr>
              <w:t>Consideraciones Generales.</w:t>
            </w:r>
            <w:r w:rsidR="00572AB3">
              <w:rPr>
                <w:noProof/>
                <w:webHidden/>
              </w:rPr>
              <w:tab/>
            </w:r>
            <w:r w:rsidR="00572AB3">
              <w:rPr>
                <w:noProof/>
                <w:webHidden/>
              </w:rPr>
              <w:fldChar w:fldCharType="begin"/>
            </w:r>
            <w:r w:rsidR="00572AB3">
              <w:rPr>
                <w:noProof/>
                <w:webHidden/>
              </w:rPr>
              <w:instrText xml:space="preserve"> PAGEREF _Toc11082141 \h </w:instrText>
            </w:r>
            <w:r w:rsidR="00572AB3">
              <w:rPr>
                <w:noProof/>
                <w:webHidden/>
              </w:rPr>
            </w:r>
            <w:r w:rsidR="00572AB3">
              <w:rPr>
                <w:noProof/>
                <w:webHidden/>
              </w:rPr>
              <w:fldChar w:fldCharType="separate"/>
            </w:r>
            <w:r w:rsidR="00B60576">
              <w:rPr>
                <w:noProof/>
                <w:webHidden/>
              </w:rPr>
              <w:t>3</w:t>
            </w:r>
            <w:r w:rsidR="00572AB3">
              <w:rPr>
                <w:noProof/>
                <w:webHidden/>
              </w:rPr>
              <w:fldChar w:fldCharType="end"/>
            </w:r>
          </w:hyperlink>
        </w:p>
        <w:p w:rsidR="00572AB3" w:rsidRDefault="006639FF">
          <w:pPr>
            <w:pStyle w:val="TDC1"/>
            <w:tabs>
              <w:tab w:val="left" w:pos="440"/>
              <w:tab w:val="right" w:leader="dot" w:pos="8828"/>
            </w:tabs>
            <w:rPr>
              <w:rFonts w:eastAsiaTheme="minorEastAsia"/>
              <w:noProof/>
              <w:lang w:eastAsia="es-MX"/>
            </w:rPr>
          </w:pPr>
          <w:hyperlink w:anchor="_Toc11082142" w:history="1">
            <w:r w:rsidR="00572AB3" w:rsidRPr="007B03CE">
              <w:rPr>
                <w:rStyle w:val="Hipervnculo"/>
                <w:noProof/>
              </w:rPr>
              <w:t>B.</w:t>
            </w:r>
            <w:r w:rsidR="00572AB3">
              <w:rPr>
                <w:rFonts w:eastAsiaTheme="minorEastAsia"/>
                <w:noProof/>
                <w:lang w:eastAsia="es-MX"/>
              </w:rPr>
              <w:tab/>
            </w:r>
            <w:r w:rsidR="00572AB3" w:rsidRPr="007B03CE">
              <w:rPr>
                <w:rStyle w:val="Hipervnculo"/>
                <w:noProof/>
              </w:rPr>
              <w:t>De los requerimientos planteados.</w:t>
            </w:r>
            <w:r w:rsidR="00572AB3">
              <w:rPr>
                <w:noProof/>
                <w:webHidden/>
              </w:rPr>
              <w:tab/>
            </w:r>
            <w:r w:rsidR="00572AB3">
              <w:rPr>
                <w:noProof/>
                <w:webHidden/>
              </w:rPr>
              <w:fldChar w:fldCharType="begin"/>
            </w:r>
            <w:r w:rsidR="00572AB3">
              <w:rPr>
                <w:noProof/>
                <w:webHidden/>
              </w:rPr>
              <w:instrText xml:space="preserve"> PAGEREF _Toc11082142 \h </w:instrText>
            </w:r>
            <w:r w:rsidR="00572AB3">
              <w:rPr>
                <w:noProof/>
                <w:webHidden/>
              </w:rPr>
            </w:r>
            <w:r w:rsidR="00572AB3">
              <w:rPr>
                <w:noProof/>
                <w:webHidden/>
              </w:rPr>
              <w:fldChar w:fldCharType="separate"/>
            </w:r>
            <w:r w:rsidR="00B60576">
              <w:rPr>
                <w:noProof/>
                <w:webHidden/>
              </w:rPr>
              <w:t>4</w:t>
            </w:r>
            <w:r w:rsidR="00572AB3">
              <w:rPr>
                <w:noProof/>
                <w:webHidden/>
              </w:rPr>
              <w:fldChar w:fldCharType="end"/>
            </w:r>
          </w:hyperlink>
        </w:p>
        <w:p w:rsidR="00572AB3" w:rsidRDefault="006639FF">
          <w:pPr>
            <w:pStyle w:val="TDC1"/>
            <w:tabs>
              <w:tab w:val="left" w:pos="440"/>
              <w:tab w:val="right" w:leader="dot" w:pos="8828"/>
            </w:tabs>
            <w:rPr>
              <w:rFonts w:eastAsiaTheme="minorEastAsia"/>
              <w:noProof/>
              <w:lang w:eastAsia="es-MX"/>
            </w:rPr>
          </w:pPr>
          <w:hyperlink w:anchor="_Toc11082143" w:history="1">
            <w:r w:rsidR="00572AB3" w:rsidRPr="007B03CE">
              <w:rPr>
                <w:rStyle w:val="Hipervnculo"/>
                <w:rFonts w:cs="Arial"/>
                <w:noProof/>
              </w:rPr>
              <w:t>C.</w:t>
            </w:r>
            <w:r w:rsidR="00572AB3">
              <w:rPr>
                <w:rFonts w:eastAsiaTheme="minorEastAsia"/>
                <w:noProof/>
                <w:lang w:eastAsia="es-MX"/>
              </w:rPr>
              <w:tab/>
            </w:r>
            <w:r w:rsidR="00572AB3" w:rsidRPr="007B03CE">
              <w:rPr>
                <w:rStyle w:val="Hipervnculo"/>
                <w:noProof/>
              </w:rPr>
              <w:t>De la clasificación de la información.</w:t>
            </w:r>
            <w:r w:rsidR="00572AB3">
              <w:rPr>
                <w:noProof/>
                <w:webHidden/>
              </w:rPr>
              <w:tab/>
            </w:r>
            <w:r w:rsidR="00572AB3">
              <w:rPr>
                <w:noProof/>
                <w:webHidden/>
              </w:rPr>
              <w:fldChar w:fldCharType="begin"/>
            </w:r>
            <w:r w:rsidR="00572AB3">
              <w:rPr>
                <w:noProof/>
                <w:webHidden/>
              </w:rPr>
              <w:instrText xml:space="preserve"> PAGEREF _Toc11082143 \h </w:instrText>
            </w:r>
            <w:r w:rsidR="00572AB3">
              <w:rPr>
                <w:noProof/>
                <w:webHidden/>
              </w:rPr>
            </w:r>
            <w:r w:rsidR="00572AB3">
              <w:rPr>
                <w:noProof/>
                <w:webHidden/>
              </w:rPr>
              <w:fldChar w:fldCharType="separate"/>
            </w:r>
            <w:r w:rsidR="00B60576">
              <w:rPr>
                <w:noProof/>
                <w:webHidden/>
              </w:rPr>
              <w:t>5</w:t>
            </w:r>
            <w:r w:rsidR="00572AB3">
              <w:rPr>
                <w:noProof/>
                <w:webHidden/>
              </w:rPr>
              <w:fldChar w:fldCharType="end"/>
            </w:r>
          </w:hyperlink>
        </w:p>
        <w:p w:rsidR="00572AB3" w:rsidRDefault="006639FF">
          <w:pPr>
            <w:pStyle w:val="TDC2"/>
            <w:tabs>
              <w:tab w:val="left" w:pos="660"/>
              <w:tab w:val="right" w:leader="dot" w:pos="8828"/>
            </w:tabs>
            <w:rPr>
              <w:rFonts w:eastAsiaTheme="minorEastAsia"/>
              <w:noProof/>
              <w:lang w:eastAsia="es-MX"/>
            </w:rPr>
          </w:pPr>
          <w:hyperlink w:anchor="_Toc11082144" w:history="1">
            <w:r w:rsidR="00572AB3" w:rsidRPr="007B03CE">
              <w:rPr>
                <w:rStyle w:val="Hipervnculo"/>
                <w:rFonts w:ascii="Palatino Linotype" w:hAnsi="Palatino Linotype"/>
                <w:b/>
                <w:noProof/>
              </w:rPr>
              <w:t>I.</w:t>
            </w:r>
            <w:r w:rsidR="00572AB3">
              <w:rPr>
                <w:rFonts w:eastAsiaTheme="minorEastAsia"/>
                <w:noProof/>
                <w:lang w:eastAsia="es-MX"/>
              </w:rPr>
              <w:tab/>
            </w:r>
            <w:r w:rsidR="00572AB3" w:rsidRPr="007B03CE">
              <w:rPr>
                <w:rStyle w:val="Hipervnculo"/>
                <w:rFonts w:ascii="Palatino Linotype" w:hAnsi="Palatino Linotype"/>
                <w:b/>
                <w:noProof/>
              </w:rPr>
              <w:t>Requisitos previos</w:t>
            </w:r>
            <w:r w:rsidR="00572AB3">
              <w:rPr>
                <w:noProof/>
                <w:webHidden/>
              </w:rPr>
              <w:tab/>
            </w:r>
            <w:r w:rsidR="00572AB3">
              <w:rPr>
                <w:noProof/>
                <w:webHidden/>
              </w:rPr>
              <w:fldChar w:fldCharType="begin"/>
            </w:r>
            <w:r w:rsidR="00572AB3">
              <w:rPr>
                <w:noProof/>
                <w:webHidden/>
              </w:rPr>
              <w:instrText xml:space="preserve"> PAGEREF _Toc11082144 \h </w:instrText>
            </w:r>
            <w:r w:rsidR="00572AB3">
              <w:rPr>
                <w:noProof/>
                <w:webHidden/>
              </w:rPr>
            </w:r>
            <w:r w:rsidR="00572AB3">
              <w:rPr>
                <w:noProof/>
                <w:webHidden/>
              </w:rPr>
              <w:fldChar w:fldCharType="separate"/>
            </w:r>
            <w:r w:rsidR="00B60576">
              <w:rPr>
                <w:noProof/>
                <w:webHidden/>
              </w:rPr>
              <w:t>8</w:t>
            </w:r>
            <w:r w:rsidR="00572AB3">
              <w:rPr>
                <w:noProof/>
                <w:webHidden/>
              </w:rPr>
              <w:fldChar w:fldCharType="end"/>
            </w:r>
          </w:hyperlink>
        </w:p>
        <w:p w:rsidR="00572AB3" w:rsidRDefault="006639FF">
          <w:pPr>
            <w:pStyle w:val="TDC2"/>
            <w:tabs>
              <w:tab w:val="left" w:pos="880"/>
              <w:tab w:val="right" w:leader="dot" w:pos="8828"/>
            </w:tabs>
            <w:rPr>
              <w:rFonts w:eastAsiaTheme="minorEastAsia"/>
              <w:noProof/>
              <w:lang w:eastAsia="es-MX"/>
            </w:rPr>
          </w:pPr>
          <w:hyperlink w:anchor="_Toc11082145" w:history="1">
            <w:r w:rsidR="00572AB3" w:rsidRPr="007B03CE">
              <w:rPr>
                <w:rStyle w:val="Hipervnculo"/>
                <w:rFonts w:ascii="Palatino Linotype" w:hAnsi="Palatino Linotype"/>
                <w:b/>
                <w:noProof/>
              </w:rPr>
              <w:t>II.</w:t>
            </w:r>
            <w:r w:rsidR="00572AB3">
              <w:rPr>
                <w:rFonts w:eastAsiaTheme="minorEastAsia"/>
                <w:noProof/>
                <w:lang w:eastAsia="es-MX"/>
              </w:rPr>
              <w:tab/>
            </w:r>
            <w:r w:rsidR="00572AB3" w:rsidRPr="007B03CE">
              <w:rPr>
                <w:rStyle w:val="Hipervnculo"/>
                <w:rFonts w:ascii="Palatino Linotype" w:hAnsi="Palatino Linotype"/>
                <w:b/>
                <w:noProof/>
              </w:rPr>
              <w:t>Supuestos de clasificación</w:t>
            </w:r>
            <w:r w:rsidR="00572AB3">
              <w:rPr>
                <w:noProof/>
                <w:webHidden/>
              </w:rPr>
              <w:tab/>
            </w:r>
            <w:r w:rsidR="00572AB3">
              <w:rPr>
                <w:noProof/>
                <w:webHidden/>
              </w:rPr>
              <w:fldChar w:fldCharType="begin"/>
            </w:r>
            <w:r w:rsidR="00572AB3">
              <w:rPr>
                <w:noProof/>
                <w:webHidden/>
              </w:rPr>
              <w:instrText xml:space="preserve"> PAGEREF _Toc11082145 \h </w:instrText>
            </w:r>
            <w:r w:rsidR="00572AB3">
              <w:rPr>
                <w:noProof/>
                <w:webHidden/>
              </w:rPr>
            </w:r>
            <w:r w:rsidR="00572AB3">
              <w:rPr>
                <w:noProof/>
                <w:webHidden/>
              </w:rPr>
              <w:fldChar w:fldCharType="separate"/>
            </w:r>
            <w:r w:rsidR="00B60576">
              <w:rPr>
                <w:noProof/>
                <w:webHidden/>
              </w:rPr>
              <w:t>9</w:t>
            </w:r>
            <w:r w:rsidR="00572AB3">
              <w:rPr>
                <w:noProof/>
                <w:webHidden/>
              </w:rPr>
              <w:fldChar w:fldCharType="end"/>
            </w:r>
          </w:hyperlink>
        </w:p>
        <w:p w:rsidR="00572AB3" w:rsidRDefault="006639FF">
          <w:pPr>
            <w:pStyle w:val="TDC2"/>
            <w:tabs>
              <w:tab w:val="left" w:pos="880"/>
              <w:tab w:val="right" w:leader="dot" w:pos="8828"/>
            </w:tabs>
            <w:rPr>
              <w:rFonts w:eastAsiaTheme="minorEastAsia"/>
              <w:noProof/>
              <w:lang w:eastAsia="es-MX"/>
            </w:rPr>
          </w:pPr>
          <w:hyperlink w:anchor="_Toc11082146" w:history="1">
            <w:r w:rsidR="00572AB3" w:rsidRPr="007B03CE">
              <w:rPr>
                <w:rStyle w:val="Hipervnculo"/>
                <w:rFonts w:ascii="Palatino Linotype" w:hAnsi="Palatino Linotype"/>
                <w:b/>
                <w:noProof/>
              </w:rPr>
              <w:t>III.</w:t>
            </w:r>
            <w:r w:rsidR="00572AB3">
              <w:rPr>
                <w:rFonts w:eastAsiaTheme="minorEastAsia"/>
                <w:noProof/>
                <w:lang w:eastAsia="es-MX"/>
              </w:rPr>
              <w:tab/>
            </w:r>
            <w:r w:rsidR="00572AB3" w:rsidRPr="007B03CE">
              <w:rPr>
                <w:rStyle w:val="Hipervnculo"/>
                <w:rFonts w:ascii="Palatino Linotype" w:hAnsi="Palatino Linotype"/>
                <w:b/>
                <w:noProof/>
              </w:rPr>
              <w:t>Excepciones a los supuestos de clasificación de la información como reservada</w:t>
            </w:r>
            <w:r w:rsidR="00572AB3">
              <w:rPr>
                <w:noProof/>
                <w:webHidden/>
              </w:rPr>
              <w:tab/>
            </w:r>
            <w:r w:rsidR="00572AB3">
              <w:rPr>
                <w:noProof/>
                <w:webHidden/>
              </w:rPr>
              <w:fldChar w:fldCharType="begin"/>
            </w:r>
            <w:r w:rsidR="00572AB3">
              <w:rPr>
                <w:noProof/>
                <w:webHidden/>
              </w:rPr>
              <w:instrText xml:space="preserve"> PAGEREF _Toc11082146 \h </w:instrText>
            </w:r>
            <w:r w:rsidR="00572AB3">
              <w:rPr>
                <w:noProof/>
                <w:webHidden/>
              </w:rPr>
            </w:r>
            <w:r w:rsidR="00572AB3">
              <w:rPr>
                <w:noProof/>
                <w:webHidden/>
              </w:rPr>
              <w:fldChar w:fldCharType="separate"/>
            </w:r>
            <w:r w:rsidR="00B60576">
              <w:rPr>
                <w:noProof/>
                <w:webHidden/>
              </w:rPr>
              <w:t>17</w:t>
            </w:r>
            <w:r w:rsidR="00572AB3">
              <w:rPr>
                <w:noProof/>
                <w:webHidden/>
              </w:rPr>
              <w:fldChar w:fldCharType="end"/>
            </w:r>
          </w:hyperlink>
        </w:p>
        <w:p w:rsidR="00572AB3" w:rsidRDefault="006639FF">
          <w:pPr>
            <w:pStyle w:val="TDC2"/>
            <w:tabs>
              <w:tab w:val="left" w:pos="880"/>
              <w:tab w:val="right" w:leader="dot" w:pos="8828"/>
            </w:tabs>
            <w:rPr>
              <w:rFonts w:eastAsiaTheme="minorEastAsia"/>
              <w:noProof/>
              <w:lang w:eastAsia="es-MX"/>
            </w:rPr>
          </w:pPr>
          <w:hyperlink w:anchor="_Toc11082147" w:history="1">
            <w:r w:rsidR="00572AB3" w:rsidRPr="007B03CE">
              <w:rPr>
                <w:rStyle w:val="Hipervnculo"/>
                <w:rFonts w:ascii="Palatino Linotype" w:hAnsi="Palatino Linotype"/>
                <w:b/>
                <w:noProof/>
              </w:rPr>
              <w:t>IV.</w:t>
            </w:r>
            <w:r w:rsidR="00572AB3">
              <w:rPr>
                <w:rFonts w:eastAsiaTheme="minorEastAsia"/>
                <w:noProof/>
                <w:lang w:eastAsia="es-MX"/>
              </w:rPr>
              <w:tab/>
            </w:r>
            <w:r w:rsidR="00572AB3" w:rsidRPr="007B03CE">
              <w:rPr>
                <w:rStyle w:val="Hipervnculo"/>
                <w:rFonts w:ascii="Palatino Linotype" w:hAnsi="Palatino Linotype"/>
                <w:b/>
                <w:noProof/>
              </w:rPr>
              <w:t>La intervención del Comité de Transparencia.</w:t>
            </w:r>
            <w:r w:rsidR="00572AB3">
              <w:rPr>
                <w:noProof/>
                <w:webHidden/>
              </w:rPr>
              <w:tab/>
            </w:r>
            <w:r w:rsidR="00572AB3">
              <w:rPr>
                <w:noProof/>
                <w:webHidden/>
              </w:rPr>
              <w:fldChar w:fldCharType="begin"/>
            </w:r>
            <w:r w:rsidR="00572AB3">
              <w:rPr>
                <w:noProof/>
                <w:webHidden/>
              </w:rPr>
              <w:instrText xml:space="preserve"> PAGEREF _Toc11082147 \h </w:instrText>
            </w:r>
            <w:r w:rsidR="00572AB3">
              <w:rPr>
                <w:noProof/>
                <w:webHidden/>
              </w:rPr>
            </w:r>
            <w:r w:rsidR="00572AB3">
              <w:rPr>
                <w:noProof/>
                <w:webHidden/>
              </w:rPr>
              <w:fldChar w:fldCharType="separate"/>
            </w:r>
            <w:r w:rsidR="00B60576">
              <w:rPr>
                <w:noProof/>
                <w:webHidden/>
              </w:rPr>
              <w:t>18</w:t>
            </w:r>
            <w:r w:rsidR="00572AB3">
              <w:rPr>
                <w:noProof/>
                <w:webHidden/>
              </w:rPr>
              <w:fldChar w:fldCharType="end"/>
            </w:r>
          </w:hyperlink>
        </w:p>
        <w:p w:rsidR="00572AB3" w:rsidRDefault="006639FF">
          <w:pPr>
            <w:pStyle w:val="TDC3"/>
            <w:tabs>
              <w:tab w:val="left" w:pos="1100"/>
              <w:tab w:val="right" w:leader="dot" w:pos="8828"/>
            </w:tabs>
            <w:rPr>
              <w:rFonts w:eastAsiaTheme="minorEastAsia"/>
              <w:noProof/>
              <w:lang w:eastAsia="es-MX"/>
            </w:rPr>
          </w:pPr>
          <w:hyperlink w:anchor="_Toc11082148" w:history="1">
            <w:r w:rsidR="00572AB3" w:rsidRPr="007B03CE">
              <w:rPr>
                <w:rStyle w:val="Hipervnculo"/>
                <w:rFonts w:ascii="Palatino Linotype" w:hAnsi="Palatino Linotype"/>
                <w:b/>
                <w:noProof/>
              </w:rPr>
              <w:t>A)</w:t>
            </w:r>
            <w:r w:rsidR="00572AB3">
              <w:rPr>
                <w:rFonts w:eastAsiaTheme="minorEastAsia"/>
                <w:noProof/>
                <w:lang w:eastAsia="es-MX"/>
              </w:rPr>
              <w:tab/>
            </w:r>
            <w:r w:rsidR="00572AB3" w:rsidRPr="007B03CE">
              <w:rPr>
                <w:rStyle w:val="Hipervnculo"/>
                <w:rFonts w:ascii="Palatino Linotype" w:hAnsi="Palatino Linotype"/>
                <w:b/>
                <w:noProof/>
              </w:rPr>
              <w:t>Formalidades para emitir el acuerdo de clasificación.</w:t>
            </w:r>
            <w:r w:rsidR="00572AB3">
              <w:rPr>
                <w:noProof/>
                <w:webHidden/>
              </w:rPr>
              <w:tab/>
            </w:r>
            <w:r w:rsidR="00572AB3">
              <w:rPr>
                <w:noProof/>
                <w:webHidden/>
              </w:rPr>
              <w:fldChar w:fldCharType="begin"/>
            </w:r>
            <w:r w:rsidR="00572AB3">
              <w:rPr>
                <w:noProof/>
                <w:webHidden/>
              </w:rPr>
              <w:instrText xml:space="preserve"> PAGEREF _Toc11082148 \h </w:instrText>
            </w:r>
            <w:r w:rsidR="00572AB3">
              <w:rPr>
                <w:noProof/>
                <w:webHidden/>
              </w:rPr>
            </w:r>
            <w:r w:rsidR="00572AB3">
              <w:rPr>
                <w:noProof/>
                <w:webHidden/>
              </w:rPr>
              <w:fldChar w:fldCharType="separate"/>
            </w:r>
            <w:r w:rsidR="00B60576">
              <w:rPr>
                <w:noProof/>
                <w:webHidden/>
              </w:rPr>
              <w:t>18</w:t>
            </w:r>
            <w:r w:rsidR="00572AB3">
              <w:rPr>
                <w:noProof/>
                <w:webHidden/>
              </w:rPr>
              <w:fldChar w:fldCharType="end"/>
            </w:r>
          </w:hyperlink>
        </w:p>
        <w:p w:rsidR="00572AB3" w:rsidRDefault="006639FF">
          <w:pPr>
            <w:pStyle w:val="TDC3"/>
            <w:tabs>
              <w:tab w:val="left" w:pos="880"/>
              <w:tab w:val="right" w:leader="dot" w:pos="8828"/>
            </w:tabs>
            <w:rPr>
              <w:rFonts w:eastAsiaTheme="minorEastAsia"/>
              <w:noProof/>
              <w:lang w:eastAsia="es-MX"/>
            </w:rPr>
          </w:pPr>
          <w:hyperlink w:anchor="_Toc11082149" w:history="1">
            <w:r w:rsidR="00572AB3" w:rsidRPr="007B03CE">
              <w:rPr>
                <w:rStyle w:val="Hipervnculo"/>
                <w:rFonts w:ascii="Palatino Linotype" w:hAnsi="Palatino Linotype"/>
                <w:b/>
                <w:noProof/>
              </w:rPr>
              <w:t>B)</w:t>
            </w:r>
            <w:r w:rsidR="00572AB3">
              <w:rPr>
                <w:rFonts w:eastAsiaTheme="minorEastAsia"/>
                <w:noProof/>
                <w:lang w:eastAsia="es-MX"/>
              </w:rPr>
              <w:tab/>
            </w:r>
            <w:r w:rsidR="00572AB3" w:rsidRPr="007B03CE">
              <w:rPr>
                <w:rStyle w:val="Hipervnculo"/>
                <w:rFonts w:ascii="Palatino Linotype" w:hAnsi="Palatino Linotype"/>
                <w:b/>
                <w:noProof/>
              </w:rPr>
              <w:t>Requisitos de fondo del acuerdo de clasificación</w:t>
            </w:r>
            <w:r w:rsidR="00572AB3">
              <w:rPr>
                <w:noProof/>
                <w:webHidden/>
              </w:rPr>
              <w:tab/>
            </w:r>
            <w:r w:rsidR="00572AB3">
              <w:rPr>
                <w:noProof/>
                <w:webHidden/>
              </w:rPr>
              <w:fldChar w:fldCharType="begin"/>
            </w:r>
            <w:r w:rsidR="00572AB3">
              <w:rPr>
                <w:noProof/>
                <w:webHidden/>
              </w:rPr>
              <w:instrText xml:space="preserve"> PAGEREF _Toc11082149 \h </w:instrText>
            </w:r>
            <w:r w:rsidR="00572AB3">
              <w:rPr>
                <w:noProof/>
                <w:webHidden/>
              </w:rPr>
            </w:r>
            <w:r w:rsidR="00572AB3">
              <w:rPr>
                <w:noProof/>
                <w:webHidden/>
              </w:rPr>
              <w:fldChar w:fldCharType="separate"/>
            </w:r>
            <w:r w:rsidR="00B60576">
              <w:rPr>
                <w:noProof/>
                <w:webHidden/>
              </w:rPr>
              <w:t>19</w:t>
            </w:r>
            <w:r w:rsidR="00572AB3">
              <w:rPr>
                <w:noProof/>
                <w:webHidden/>
              </w:rPr>
              <w:fldChar w:fldCharType="end"/>
            </w:r>
          </w:hyperlink>
        </w:p>
        <w:p w:rsidR="00572AB3" w:rsidRDefault="006639FF">
          <w:pPr>
            <w:pStyle w:val="TDC2"/>
            <w:tabs>
              <w:tab w:val="left" w:pos="880"/>
              <w:tab w:val="right" w:leader="dot" w:pos="8828"/>
            </w:tabs>
            <w:rPr>
              <w:rFonts w:eastAsiaTheme="minorEastAsia"/>
              <w:noProof/>
              <w:lang w:eastAsia="es-MX"/>
            </w:rPr>
          </w:pPr>
          <w:hyperlink w:anchor="_Toc11082150" w:history="1">
            <w:r w:rsidR="00572AB3" w:rsidRPr="007B03CE">
              <w:rPr>
                <w:rStyle w:val="Hipervnculo"/>
                <w:rFonts w:ascii="Palatino Linotype" w:hAnsi="Palatino Linotype"/>
                <w:b/>
                <w:noProof/>
              </w:rPr>
              <w:t>V.</w:t>
            </w:r>
            <w:r w:rsidR="00572AB3">
              <w:rPr>
                <w:rFonts w:eastAsiaTheme="minorEastAsia"/>
                <w:noProof/>
                <w:lang w:eastAsia="es-MX"/>
              </w:rPr>
              <w:tab/>
            </w:r>
            <w:r w:rsidR="00572AB3" w:rsidRPr="007B03CE">
              <w:rPr>
                <w:rStyle w:val="Hipervnculo"/>
                <w:rFonts w:ascii="Palatino Linotype" w:hAnsi="Palatino Linotype"/>
                <w:b/>
                <w:noProof/>
              </w:rPr>
              <w:t>Condiciones especiales de la clasificación de la información como reservada</w:t>
            </w:r>
            <w:r w:rsidR="00572AB3">
              <w:rPr>
                <w:noProof/>
                <w:webHidden/>
              </w:rPr>
              <w:tab/>
            </w:r>
            <w:r w:rsidR="00572AB3">
              <w:rPr>
                <w:noProof/>
                <w:webHidden/>
              </w:rPr>
              <w:fldChar w:fldCharType="begin"/>
            </w:r>
            <w:r w:rsidR="00572AB3">
              <w:rPr>
                <w:noProof/>
                <w:webHidden/>
              </w:rPr>
              <w:instrText xml:space="preserve"> PAGEREF _Toc11082150 \h </w:instrText>
            </w:r>
            <w:r w:rsidR="00572AB3">
              <w:rPr>
                <w:noProof/>
                <w:webHidden/>
              </w:rPr>
            </w:r>
            <w:r w:rsidR="00572AB3">
              <w:rPr>
                <w:noProof/>
                <w:webHidden/>
              </w:rPr>
              <w:fldChar w:fldCharType="separate"/>
            </w:r>
            <w:r w:rsidR="00B60576">
              <w:rPr>
                <w:noProof/>
                <w:webHidden/>
              </w:rPr>
              <w:t>20</w:t>
            </w:r>
            <w:r w:rsidR="00572AB3">
              <w:rPr>
                <w:noProof/>
                <w:webHidden/>
              </w:rPr>
              <w:fldChar w:fldCharType="end"/>
            </w:r>
          </w:hyperlink>
        </w:p>
        <w:p w:rsidR="00572AB3" w:rsidRDefault="006639FF">
          <w:pPr>
            <w:pStyle w:val="TDC3"/>
            <w:tabs>
              <w:tab w:val="left" w:pos="880"/>
              <w:tab w:val="right" w:leader="dot" w:pos="8828"/>
            </w:tabs>
            <w:rPr>
              <w:rFonts w:eastAsiaTheme="minorEastAsia"/>
              <w:noProof/>
              <w:lang w:eastAsia="es-MX"/>
            </w:rPr>
          </w:pPr>
          <w:hyperlink w:anchor="_Toc11082151" w:history="1">
            <w:r w:rsidR="00572AB3" w:rsidRPr="007B03CE">
              <w:rPr>
                <w:rStyle w:val="Hipervnculo"/>
                <w:rFonts w:ascii="Palatino Linotype" w:hAnsi="Palatino Linotype"/>
                <w:b/>
                <w:noProof/>
              </w:rPr>
              <w:t>a.</w:t>
            </w:r>
            <w:r w:rsidR="00572AB3">
              <w:rPr>
                <w:rFonts w:eastAsiaTheme="minorEastAsia"/>
                <w:noProof/>
                <w:lang w:eastAsia="es-MX"/>
              </w:rPr>
              <w:tab/>
            </w:r>
            <w:r w:rsidR="00572AB3" w:rsidRPr="007B03CE">
              <w:rPr>
                <w:rStyle w:val="Hipervnculo"/>
                <w:rFonts w:ascii="Palatino Linotype" w:hAnsi="Palatino Linotype"/>
                <w:b/>
                <w:noProof/>
              </w:rPr>
              <w:t>La fundamentación específica</w:t>
            </w:r>
            <w:r w:rsidR="00572AB3">
              <w:rPr>
                <w:noProof/>
                <w:webHidden/>
              </w:rPr>
              <w:tab/>
            </w:r>
            <w:r w:rsidR="00572AB3">
              <w:rPr>
                <w:noProof/>
                <w:webHidden/>
              </w:rPr>
              <w:fldChar w:fldCharType="begin"/>
            </w:r>
            <w:r w:rsidR="00572AB3">
              <w:rPr>
                <w:noProof/>
                <w:webHidden/>
              </w:rPr>
              <w:instrText xml:space="preserve"> PAGEREF _Toc11082151 \h </w:instrText>
            </w:r>
            <w:r w:rsidR="00572AB3">
              <w:rPr>
                <w:noProof/>
                <w:webHidden/>
              </w:rPr>
            </w:r>
            <w:r w:rsidR="00572AB3">
              <w:rPr>
                <w:noProof/>
                <w:webHidden/>
              </w:rPr>
              <w:fldChar w:fldCharType="separate"/>
            </w:r>
            <w:r w:rsidR="00B60576">
              <w:rPr>
                <w:noProof/>
                <w:webHidden/>
              </w:rPr>
              <w:t>20</w:t>
            </w:r>
            <w:r w:rsidR="00572AB3">
              <w:rPr>
                <w:noProof/>
                <w:webHidden/>
              </w:rPr>
              <w:fldChar w:fldCharType="end"/>
            </w:r>
          </w:hyperlink>
        </w:p>
        <w:p w:rsidR="00572AB3" w:rsidRDefault="006639FF">
          <w:pPr>
            <w:pStyle w:val="TDC3"/>
            <w:tabs>
              <w:tab w:val="left" w:pos="880"/>
              <w:tab w:val="right" w:leader="dot" w:pos="8828"/>
            </w:tabs>
            <w:rPr>
              <w:rFonts w:eastAsiaTheme="minorEastAsia"/>
              <w:noProof/>
              <w:lang w:eastAsia="es-MX"/>
            </w:rPr>
          </w:pPr>
          <w:hyperlink w:anchor="_Toc11082152" w:history="1">
            <w:r w:rsidR="00572AB3" w:rsidRPr="007B03CE">
              <w:rPr>
                <w:rStyle w:val="Hipervnculo"/>
                <w:rFonts w:ascii="Palatino Linotype" w:hAnsi="Palatino Linotype"/>
                <w:b/>
                <w:noProof/>
              </w:rPr>
              <w:t>b.</w:t>
            </w:r>
            <w:r w:rsidR="00572AB3">
              <w:rPr>
                <w:rFonts w:eastAsiaTheme="minorEastAsia"/>
                <w:noProof/>
                <w:lang w:eastAsia="es-MX"/>
              </w:rPr>
              <w:tab/>
            </w:r>
            <w:r w:rsidR="00572AB3" w:rsidRPr="007B03CE">
              <w:rPr>
                <w:rStyle w:val="Hipervnculo"/>
                <w:rFonts w:ascii="Palatino Linotype" w:hAnsi="Palatino Linotype"/>
                <w:b/>
                <w:noProof/>
              </w:rPr>
              <w:t>La prueba de daño</w:t>
            </w:r>
            <w:r w:rsidR="00572AB3">
              <w:rPr>
                <w:noProof/>
                <w:webHidden/>
              </w:rPr>
              <w:tab/>
            </w:r>
            <w:r w:rsidR="00572AB3">
              <w:rPr>
                <w:noProof/>
                <w:webHidden/>
              </w:rPr>
              <w:fldChar w:fldCharType="begin"/>
            </w:r>
            <w:r w:rsidR="00572AB3">
              <w:rPr>
                <w:noProof/>
                <w:webHidden/>
              </w:rPr>
              <w:instrText xml:space="preserve"> PAGEREF _Toc11082152 \h </w:instrText>
            </w:r>
            <w:r w:rsidR="00572AB3">
              <w:rPr>
                <w:noProof/>
                <w:webHidden/>
              </w:rPr>
            </w:r>
            <w:r w:rsidR="00572AB3">
              <w:rPr>
                <w:noProof/>
                <w:webHidden/>
              </w:rPr>
              <w:fldChar w:fldCharType="separate"/>
            </w:r>
            <w:r w:rsidR="00B60576">
              <w:rPr>
                <w:noProof/>
                <w:webHidden/>
              </w:rPr>
              <w:t>21</w:t>
            </w:r>
            <w:r w:rsidR="00572AB3">
              <w:rPr>
                <w:noProof/>
                <w:webHidden/>
              </w:rPr>
              <w:fldChar w:fldCharType="end"/>
            </w:r>
          </w:hyperlink>
        </w:p>
        <w:p w:rsidR="00572AB3" w:rsidRDefault="006639FF">
          <w:pPr>
            <w:pStyle w:val="TDC3"/>
            <w:tabs>
              <w:tab w:val="left" w:pos="880"/>
              <w:tab w:val="right" w:leader="dot" w:pos="8828"/>
            </w:tabs>
            <w:rPr>
              <w:rFonts w:eastAsiaTheme="minorEastAsia"/>
              <w:noProof/>
              <w:lang w:eastAsia="es-MX"/>
            </w:rPr>
          </w:pPr>
          <w:hyperlink w:anchor="_Toc11082153" w:history="1">
            <w:r w:rsidR="00572AB3" w:rsidRPr="007B03CE">
              <w:rPr>
                <w:rStyle w:val="Hipervnculo"/>
                <w:rFonts w:ascii="Palatino Linotype" w:hAnsi="Palatino Linotype"/>
                <w:b/>
                <w:noProof/>
              </w:rPr>
              <w:t>c.</w:t>
            </w:r>
            <w:r w:rsidR="00572AB3">
              <w:rPr>
                <w:rFonts w:eastAsiaTheme="minorEastAsia"/>
                <w:noProof/>
                <w:lang w:eastAsia="es-MX"/>
              </w:rPr>
              <w:tab/>
            </w:r>
            <w:r w:rsidR="00572AB3" w:rsidRPr="007B03CE">
              <w:rPr>
                <w:rStyle w:val="Hipervnculo"/>
                <w:rFonts w:ascii="Palatino Linotype" w:hAnsi="Palatino Linotype"/>
                <w:b/>
                <w:noProof/>
              </w:rPr>
              <w:t>La clasificación de la información reservada debe ser de manera temporal.</w:t>
            </w:r>
            <w:r w:rsidR="00572AB3">
              <w:rPr>
                <w:noProof/>
                <w:webHidden/>
              </w:rPr>
              <w:tab/>
            </w:r>
            <w:r w:rsidR="00572AB3">
              <w:rPr>
                <w:noProof/>
                <w:webHidden/>
              </w:rPr>
              <w:fldChar w:fldCharType="begin"/>
            </w:r>
            <w:r w:rsidR="00572AB3">
              <w:rPr>
                <w:noProof/>
                <w:webHidden/>
              </w:rPr>
              <w:instrText xml:space="preserve"> PAGEREF _Toc11082153 \h </w:instrText>
            </w:r>
            <w:r w:rsidR="00572AB3">
              <w:rPr>
                <w:noProof/>
                <w:webHidden/>
              </w:rPr>
            </w:r>
            <w:r w:rsidR="00572AB3">
              <w:rPr>
                <w:noProof/>
                <w:webHidden/>
              </w:rPr>
              <w:fldChar w:fldCharType="separate"/>
            </w:r>
            <w:r w:rsidR="00B60576">
              <w:rPr>
                <w:noProof/>
                <w:webHidden/>
              </w:rPr>
              <w:t>24</w:t>
            </w:r>
            <w:r w:rsidR="00572AB3">
              <w:rPr>
                <w:noProof/>
                <w:webHidden/>
              </w:rPr>
              <w:fldChar w:fldCharType="end"/>
            </w:r>
          </w:hyperlink>
        </w:p>
        <w:p w:rsidR="00572AB3" w:rsidRDefault="006639FF">
          <w:pPr>
            <w:pStyle w:val="TDC1"/>
            <w:tabs>
              <w:tab w:val="left" w:pos="440"/>
              <w:tab w:val="right" w:leader="dot" w:pos="8828"/>
            </w:tabs>
            <w:rPr>
              <w:rFonts w:eastAsiaTheme="minorEastAsia"/>
              <w:noProof/>
              <w:lang w:eastAsia="es-MX"/>
            </w:rPr>
          </w:pPr>
          <w:hyperlink w:anchor="_Toc11082154" w:history="1">
            <w:r w:rsidR="00572AB3" w:rsidRPr="007B03CE">
              <w:rPr>
                <w:rStyle w:val="Hipervnculo"/>
                <w:noProof/>
              </w:rPr>
              <w:t>D.</w:t>
            </w:r>
            <w:r w:rsidR="00572AB3">
              <w:rPr>
                <w:rFonts w:eastAsiaTheme="minorEastAsia"/>
                <w:noProof/>
                <w:lang w:eastAsia="es-MX"/>
              </w:rPr>
              <w:tab/>
            </w:r>
            <w:r w:rsidR="00572AB3" w:rsidRPr="007B03CE">
              <w:rPr>
                <w:rStyle w:val="Hipervnculo"/>
                <w:noProof/>
              </w:rPr>
              <w:t>Conclusión.</w:t>
            </w:r>
            <w:r w:rsidR="00572AB3">
              <w:rPr>
                <w:noProof/>
                <w:webHidden/>
              </w:rPr>
              <w:tab/>
            </w:r>
            <w:r w:rsidR="00572AB3">
              <w:rPr>
                <w:noProof/>
                <w:webHidden/>
              </w:rPr>
              <w:fldChar w:fldCharType="begin"/>
            </w:r>
            <w:r w:rsidR="00572AB3">
              <w:rPr>
                <w:noProof/>
                <w:webHidden/>
              </w:rPr>
              <w:instrText xml:space="preserve"> PAGEREF _Toc11082154 \h </w:instrText>
            </w:r>
            <w:r w:rsidR="00572AB3">
              <w:rPr>
                <w:noProof/>
                <w:webHidden/>
              </w:rPr>
            </w:r>
            <w:r w:rsidR="00572AB3">
              <w:rPr>
                <w:noProof/>
                <w:webHidden/>
              </w:rPr>
              <w:fldChar w:fldCharType="separate"/>
            </w:r>
            <w:r w:rsidR="00B60576">
              <w:rPr>
                <w:noProof/>
                <w:webHidden/>
              </w:rPr>
              <w:t>30</w:t>
            </w:r>
            <w:r w:rsidR="00572AB3">
              <w:rPr>
                <w:noProof/>
                <w:webHidden/>
              </w:rPr>
              <w:fldChar w:fldCharType="end"/>
            </w:r>
          </w:hyperlink>
        </w:p>
        <w:p w:rsidR="00625340" w:rsidRPr="00CB2E7B" w:rsidRDefault="00625340">
          <w:pPr>
            <w:rPr>
              <w:rFonts w:ascii="Palatino Linotype" w:hAnsi="Palatino Linotype"/>
              <w:b/>
              <w:bCs/>
              <w:sz w:val="24"/>
              <w:szCs w:val="24"/>
              <w:lang w:val="es-ES"/>
            </w:rPr>
          </w:pPr>
          <w:r w:rsidRPr="00CB2E7B">
            <w:rPr>
              <w:rFonts w:ascii="Palatino Linotype" w:hAnsi="Palatino Linotype"/>
              <w:b/>
              <w:bCs/>
              <w:sz w:val="24"/>
              <w:szCs w:val="24"/>
              <w:lang w:val="es-ES"/>
            </w:rPr>
            <w:fldChar w:fldCharType="end"/>
          </w:r>
        </w:p>
      </w:sdtContent>
    </w:sdt>
    <w:p w:rsidR="0025332E" w:rsidRPr="00CB2E7B" w:rsidRDefault="0025332E" w:rsidP="0025332E">
      <w:pPr>
        <w:pStyle w:val="Ttulo1"/>
        <w:rPr>
          <w:szCs w:val="24"/>
        </w:rPr>
      </w:pPr>
    </w:p>
    <w:p w:rsidR="00D35091" w:rsidRPr="00CB2E7B" w:rsidRDefault="00D35091"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3C2FFB" w:rsidRDefault="003C2FFB"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625340" w:rsidRPr="00CB2E7B" w:rsidRDefault="00625340" w:rsidP="003E4DF1">
      <w:pPr>
        <w:pStyle w:val="Ttulo1"/>
        <w:numPr>
          <w:ilvl w:val="0"/>
          <w:numId w:val="2"/>
        </w:numPr>
        <w:ind w:left="993" w:hanging="567"/>
        <w:rPr>
          <w:szCs w:val="24"/>
        </w:rPr>
      </w:pPr>
      <w:bookmarkStart w:id="1" w:name="_Toc11082141"/>
      <w:r w:rsidRPr="00CB2E7B">
        <w:rPr>
          <w:szCs w:val="24"/>
        </w:rPr>
        <w:lastRenderedPageBreak/>
        <w:t>Consideraciones Generales</w:t>
      </w:r>
      <w:r w:rsidR="004074C0" w:rsidRPr="00CB2E7B">
        <w:rPr>
          <w:szCs w:val="24"/>
        </w:rPr>
        <w:t>.</w:t>
      </w:r>
      <w:bookmarkEnd w:id="1"/>
    </w:p>
    <w:p w:rsidR="003431E5" w:rsidRPr="00CB2E7B" w:rsidRDefault="003431E5" w:rsidP="003431E5">
      <w:pPr>
        <w:rPr>
          <w:rFonts w:ascii="Palatino Linotype" w:hAnsi="Palatino Linotype"/>
          <w:sz w:val="24"/>
          <w:szCs w:val="24"/>
        </w:rPr>
      </w:pPr>
    </w:p>
    <w:p w:rsidR="00D96722" w:rsidRPr="00D96722" w:rsidRDefault="00703F02" w:rsidP="00D96722">
      <w:pPr>
        <w:pStyle w:val="Prrafodelista"/>
        <w:numPr>
          <w:ilvl w:val="0"/>
          <w:numId w:val="1"/>
        </w:numPr>
        <w:spacing w:after="0" w:line="360" w:lineRule="auto"/>
        <w:ind w:left="426"/>
        <w:jc w:val="both"/>
        <w:rPr>
          <w:rFonts w:ascii="Palatino Linotype" w:hAnsi="Palatino Linotype" w:cs="Arial"/>
          <w:b/>
          <w:sz w:val="24"/>
          <w:szCs w:val="24"/>
        </w:rPr>
      </w:pPr>
      <w:r w:rsidRPr="00CB2E7B">
        <w:rPr>
          <w:rFonts w:ascii="Palatino Linotype" w:eastAsia="Times New Roman" w:hAnsi="Palatino Linotype" w:cs="Arial"/>
          <w:sz w:val="24"/>
          <w:szCs w:val="24"/>
          <w:lang w:val="es-ES_tradnl"/>
        </w:rPr>
        <w:t xml:space="preserve">He concurrido con mi </w:t>
      </w:r>
      <w:r w:rsidR="00C02AF0" w:rsidRPr="00CB2E7B">
        <w:rPr>
          <w:rFonts w:ascii="Palatino Linotype" w:eastAsia="Times New Roman" w:hAnsi="Palatino Linotype" w:cs="Arial"/>
          <w:sz w:val="24"/>
          <w:szCs w:val="24"/>
          <w:lang w:val="es-ES_tradnl"/>
        </w:rPr>
        <w:t>voto</w:t>
      </w:r>
      <w:r w:rsidR="00625340" w:rsidRPr="00CB2E7B">
        <w:rPr>
          <w:rFonts w:ascii="Palatino Linotype" w:eastAsia="Times New Roman" w:hAnsi="Palatino Linotype" w:cs="Arial"/>
          <w:sz w:val="24"/>
          <w:szCs w:val="24"/>
          <w:lang w:val="es-ES_tradnl"/>
        </w:rPr>
        <w:t xml:space="preserve"> </w:t>
      </w:r>
      <w:r w:rsidR="00FC0729">
        <w:rPr>
          <w:rFonts w:ascii="Palatino Linotype" w:eastAsia="Times New Roman" w:hAnsi="Palatino Linotype" w:cs="Arial"/>
          <w:sz w:val="24"/>
          <w:szCs w:val="24"/>
          <w:lang w:val="es-ES_tradnl"/>
        </w:rPr>
        <w:t>disidente</w:t>
      </w:r>
      <w:r w:rsidR="00625340" w:rsidRPr="00CB2E7B">
        <w:rPr>
          <w:rFonts w:ascii="Palatino Linotype" w:eastAsia="Times New Roman" w:hAnsi="Palatino Linotype" w:cs="Arial"/>
          <w:sz w:val="24"/>
          <w:szCs w:val="24"/>
          <w:lang w:val="es-ES_tradnl"/>
        </w:rPr>
        <w:t xml:space="preserve"> de la presente resolución emitida </w:t>
      </w:r>
      <w:r w:rsidR="00625340" w:rsidRPr="00CB2E7B">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2D2293">
        <w:rPr>
          <w:rFonts w:ascii="Palatino Linotype" w:hAnsi="Palatino Linotype" w:cs="Arial"/>
          <w:sz w:val="24"/>
          <w:szCs w:val="24"/>
        </w:rPr>
        <w:t>Novena</w:t>
      </w:r>
      <w:r w:rsidR="00F9751B" w:rsidRPr="00CB2E7B">
        <w:rPr>
          <w:rFonts w:ascii="Palatino Linotype" w:hAnsi="Palatino Linotype" w:cs="Arial"/>
          <w:sz w:val="24"/>
          <w:szCs w:val="24"/>
        </w:rPr>
        <w:t xml:space="preserve"> </w:t>
      </w:r>
      <w:r w:rsidR="00D42114" w:rsidRPr="00CB2E7B">
        <w:rPr>
          <w:rFonts w:ascii="Palatino Linotype" w:hAnsi="Palatino Linotype" w:cs="Arial"/>
          <w:sz w:val="24"/>
          <w:szCs w:val="24"/>
        </w:rPr>
        <w:t>Sesión O</w:t>
      </w:r>
      <w:r w:rsidR="00F9751B" w:rsidRPr="00CB2E7B">
        <w:rPr>
          <w:rFonts w:ascii="Palatino Linotype" w:hAnsi="Palatino Linotype" w:cs="Arial"/>
          <w:sz w:val="24"/>
          <w:szCs w:val="24"/>
        </w:rPr>
        <w:t xml:space="preserve">rdinaria celebrada el </w:t>
      </w:r>
      <w:r w:rsidR="00175E9F" w:rsidRPr="00CB2E7B">
        <w:rPr>
          <w:rFonts w:ascii="Palatino Linotype" w:hAnsi="Palatino Linotype" w:cs="Arial"/>
          <w:sz w:val="24"/>
          <w:szCs w:val="24"/>
        </w:rPr>
        <w:t xml:space="preserve">día </w:t>
      </w:r>
      <w:r w:rsidR="008F615E">
        <w:rPr>
          <w:rFonts w:ascii="Palatino Linotype" w:hAnsi="Palatino Linotype" w:cs="Arial"/>
          <w:sz w:val="24"/>
          <w:szCs w:val="24"/>
        </w:rPr>
        <w:t>Vigésima Primera</w:t>
      </w:r>
      <w:r w:rsidR="00F9751B" w:rsidRPr="00CB2E7B">
        <w:rPr>
          <w:rFonts w:ascii="Palatino Linotype" w:hAnsi="Palatino Linotype" w:cs="Arial"/>
          <w:sz w:val="24"/>
          <w:szCs w:val="24"/>
        </w:rPr>
        <w:t xml:space="preserve"> </w:t>
      </w:r>
      <w:r w:rsidR="00787C3A" w:rsidRPr="00CB2E7B">
        <w:rPr>
          <w:rFonts w:ascii="Palatino Linotype" w:hAnsi="Palatino Linotype" w:cs="Arial"/>
          <w:sz w:val="24"/>
          <w:szCs w:val="24"/>
        </w:rPr>
        <w:t>(</w:t>
      </w:r>
      <w:r w:rsidR="008F615E">
        <w:rPr>
          <w:rFonts w:ascii="Palatino Linotype" w:hAnsi="Palatino Linotype" w:cs="Arial"/>
          <w:sz w:val="24"/>
          <w:szCs w:val="24"/>
        </w:rPr>
        <w:t>5</w:t>
      </w:r>
      <w:r w:rsidR="00787C3A" w:rsidRPr="00CB2E7B">
        <w:rPr>
          <w:rFonts w:ascii="Palatino Linotype" w:hAnsi="Palatino Linotype" w:cs="Arial"/>
          <w:sz w:val="24"/>
          <w:szCs w:val="24"/>
        </w:rPr>
        <w:t xml:space="preserve">) </w:t>
      </w:r>
      <w:r w:rsidR="00175E9F" w:rsidRPr="00CB2E7B">
        <w:rPr>
          <w:rFonts w:ascii="Palatino Linotype" w:hAnsi="Palatino Linotype" w:cs="Arial"/>
          <w:sz w:val="24"/>
          <w:szCs w:val="24"/>
        </w:rPr>
        <w:t xml:space="preserve">de </w:t>
      </w:r>
      <w:r w:rsidR="008F615E">
        <w:rPr>
          <w:rFonts w:ascii="Palatino Linotype" w:hAnsi="Palatino Linotype" w:cs="Arial"/>
          <w:sz w:val="24"/>
          <w:szCs w:val="24"/>
        </w:rPr>
        <w:t>junio</w:t>
      </w:r>
      <w:r w:rsidR="00F72F39">
        <w:rPr>
          <w:rFonts w:ascii="Palatino Linotype" w:hAnsi="Palatino Linotype" w:cs="Arial"/>
          <w:sz w:val="24"/>
          <w:szCs w:val="24"/>
        </w:rPr>
        <w:t xml:space="preserve"> </w:t>
      </w:r>
      <w:r w:rsidR="00F9751B" w:rsidRPr="00CB2E7B">
        <w:rPr>
          <w:rFonts w:ascii="Palatino Linotype" w:hAnsi="Palatino Linotype" w:cs="Arial"/>
          <w:sz w:val="24"/>
          <w:szCs w:val="24"/>
        </w:rPr>
        <w:t>de dos mil dieci</w:t>
      </w:r>
      <w:r w:rsidR="00213DF0">
        <w:rPr>
          <w:rFonts w:ascii="Palatino Linotype" w:hAnsi="Palatino Linotype" w:cs="Arial"/>
          <w:sz w:val="24"/>
          <w:szCs w:val="24"/>
        </w:rPr>
        <w:t>nueve</w:t>
      </w:r>
      <w:r w:rsidR="00625340" w:rsidRPr="00CB2E7B">
        <w:rPr>
          <w:rFonts w:ascii="Palatino Linotype" w:hAnsi="Palatino Linotype" w:cs="Arial"/>
          <w:sz w:val="24"/>
          <w:szCs w:val="24"/>
        </w:rPr>
        <w:t xml:space="preserve">, en el recurso de revisión promovido en contra de la respuesta </w:t>
      </w:r>
      <w:r w:rsidR="00B02F56" w:rsidRPr="00CB2E7B">
        <w:rPr>
          <w:rFonts w:ascii="Palatino Linotype" w:hAnsi="Palatino Linotype" w:cs="Arial"/>
          <w:sz w:val="24"/>
          <w:szCs w:val="24"/>
        </w:rPr>
        <w:t>de</w:t>
      </w:r>
      <w:r w:rsidRPr="00CB2E7B">
        <w:rPr>
          <w:rFonts w:ascii="Palatino Linotype" w:hAnsi="Palatino Linotype" w:cs="Arial"/>
          <w:sz w:val="24"/>
          <w:szCs w:val="24"/>
        </w:rPr>
        <w:t>l</w:t>
      </w:r>
      <w:r w:rsidR="00B02F56" w:rsidRPr="00CB2E7B">
        <w:rPr>
          <w:rFonts w:ascii="Palatino Linotype" w:hAnsi="Palatino Linotype" w:cs="Arial"/>
          <w:sz w:val="24"/>
          <w:szCs w:val="24"/>
        </w:rPr>
        <w:t xml:space="preserve"> </w:t>
      </w:r>
      <w:r w:rsidR="008F615E">
        <w:rPr>
          <w:rFonts w:ascii="Palatino Linotype" w:hAnsi="Palatino Linotype"/>
          <w:b/>
        </w:rPr>
        <w:t>Ayuntamiento de Huixquilucan</w:t>
      </w:r>
      <w:r w:rsidR="00625340" w:rsidRPr="00CB2E7B">
        <w:rPr>
          <w:rFonts w:ascii="Palatino Linotype" w:hAnsi="Palatino Linotype" w:cs="Arial"/>
          <w:sz w:val="24"/>
          <w:szCs w:val="24"/>
        </w:rPr>
        <w:t xml:space="preserve">, procedimiento al que se le asignó el número de expediente </w:t>
      </w:r>
      <w:r w:rsidR="008F615E">
        <w:rPr>
          <w:rFonts w:ascii="Palatino Linotype" w:hAnsi="Palatino Linotype"/>
          <w:b/>
          <w:sz w:val="24"/>
          <w:szCs w:val="24"/>
        </w:rPr>
        <w:t>02090/INFOEM/IP/RR/2019</w:t>
      </w:r>
      <w:r w:rsidR="00D96722">
        <w:rPr>
          <w:rFonts w:ascii="Palatino Linotype" w:hAnsi="Palatino Linotype" w:cs="Arial"/>
          <w:b/>
          <w:sz w:val="24"/>
          <w:szCs w:val="24"/>
        </w:rPr>
        <w:t xml:space="preserve"> y acumulados.</w:t>
      </w:r>
    </w:p>
    <w:p w:rsidR="00D35091" w:rsidRPr="00CB2E7B" w:rsidRDefault="00D35091" w:rsidP="00530CB3">
      <w:pPr>
        <w:pStyle w:val="Prrafodelista"/>
        <w:spacing w:after="0" w:line="360" w:lineRule="auto"/>
        <w:ind w:left="426"/>
        <w:jc w:val="both"/>
        <w:rPr>
          <w:rFonts w:ascii="Palatino Linotype" w:hAnsi="Palatino Linotype" w:cs="Arial"/>
          <w:b/>
          <w:sz w:val="24"/>
          <w:szCs w:val="24"/>
        </w:rPr>
      </w:pPr>
    </w:p>
    <w:p w:rsidR="008F615E" w:rsidRPr="008F615E" w:rsidRDefault="00DA4B4E" w:rsidP="008F615E">
      <w:pPr>
        <w:pStyle w:val="Prrafodelista"/>
        <w:numPr>
          <w:ilvl w:val="0"/>
          <w:numId w:val="1"/>
        </w:numPr>
        <w:spacing w:after="0" w:line="360" w:lineRule="auto"/>
        <w:ind w:left="426"/>
        <w:jc w:val="both"/>
        <w:rPr>
          <w:rFonts w:ascii="Palatino Linotype" w:hAnsi="Palatino Linotype" w:cs="Arial"/>
          <w:b/>
          <w:sz w:val="24"/>
          <w:szCs w:val="24"/>
        </w:rPr>
      </w:pPr>
      <w:r w:rsidRPr="009D5257">
        <w:rPr>
          <w:rFonts w:ascii="Palatino Linotype" w:hAnsi="Palatino Linotype" w:cs="Arial"/>
          <w:sz w:val="24"/>
          <w:szCs w:val="24"/>
        </w:rPr>
        <w:t xml:space="preserve">La resolución </w:t>
      </w:r>
      <w:r w:rsidR="00340665" w:rsidRPr="009D5257">
        <w:rPr>
          <w:rFonts w:ascii="Palatino Linotype" w:hAnsi="Palatino Linotype" w:cs="Arial"/>
          <w:sz w:val="24"/>
          <w:szCs w:val="24"/>
        </w:rPr>
        <w:t xml:space="preserve">puntualmente </w:t>
      </w:r>
      <w:r w:rsidRPr="009D5257">
        <w:rPr>
          <w:rFonts w:ascii="Palatino Linotype" w:hAnsi="Palatino Linotype" w:cs="Arial"/>
          <w:sz w:val="24"/>
          <w:szCs w:val="24"/>
        </w:rPr>
        <w:t xml:space="preserve">determina </w:t>
      </w:r>
      <w:r w:rsidR="002D2293" w:rsidRPr="002D2293">
        <w:rPr>
          <w:rFonts w:ascii="Palatino Linotype" w:hAnsi="Palatino Linotype" w:cs="Arial"/>
          <w:b/>
          <w:sz w:val="24"/>
          <w:szCs w:val="24"/>
        </w:rPr>
        <w:t>MODIFICAR</w:t>
      </w:r>
      <w:r w:rsidR="00726689" w:rsidRPr="009D5257">
        <w:rPr>
          <w:rFonts w:ascii="Palatino Linotype" w:hAnsi="Palatino Linotype" w:cs="Arial"/>
          <w:sz w:val="24"/>
          <w:szCs w:val="24"/>
        </w:rPr>
        <w:t xml:space="preserve"> </w:t>
      </w:r>
      <w:r w:rsidR="002D2293">
        <w:rPr>
          <w:rFonts w:ascii="Palatino Linotype" w:hAnsi="Palatino Linotype" w:cs="Arial"/>
          <w:sz w:val="24"/>
          <w:szCs w:val="24"/>
        </w:rPr>
        <w:t xml:space="preserve">la respuesta del Sujeto Obligado y ORDENAR entregar </w:t>
      </w:r>
      <w:r w:rsidR="008F615E">
        <w:rPr>
          <w:rFonts w:ascii="Palatino Linotype" w:hAnsi="Palatino Linotype" w:cs="Arial"/>
          <w:sz w:val="24"/>
          <w:szCs w:val="24"/>
        </w:rPr>
        <w:t xml:space="preserve">el acuerdo mediante el cual se sustente la clasificación como información reservada, sobre los predios referidos en las solicitudes de acceso a la información </w:t>
      </w:r>
      <w:r w:rsidR="008F615E" w:rsidRPr="008F615E">
        <w:rPr>
          <w:rFonts w:ascii="Palatino Linotype" w:hAnsi="Palatino Linotype" w:cs="Arial"/>
          <w:b/>
          <w:sz w:val="24"/>
          <w:szCs w:val="24"/>
        </w:rPr>
        <w:t>00131/HUIXQUIL/IP/2019,</w:t>
      </w:r>
      <w:r w:rsidR="008F615E">
        <w:rPr>
          <w:rFonts w:ascii="Palatino Linotype" w:hAnsi="Palatino Linotype" w:cs="Arial"/>
          <w:b/>
          <w:sz w:val="24"/>
          <w:szCs w:val="24"/>
        </w:rPr>
        <w:t xml:space="preserve"> </w:t>
      </w:r>
      <w:r w:rsidR="008F615E" w:rsidRPr="008F615E">
        <w:rPr>
          <w:rFonts w:ascii="Palatino Linotype" w:hAnsi="Palatino Linotype" w:cs="Arial"/>
          <w:b/>
          <w:sz w:val="24"/>
          <w:szCs w:val="24"/>
        </w:rPr>
        <w:t>00130/HUIXQUIL/IP/2019 y 00132/HUIXQUIL/IP/2019.</w:t>
      </w:r>
    </w:p>
    <w:p w:rsidR="002D2293" w:rsidRPr="002D2293" w:rsidRDefault="002D2293" w:rsidP="002D2293">
      <w:pPr>
        <w:pStyle w:val="Prrafodelista"/>
        <w:rPr>
          <w:rFonts w:ascii="Palatino Linotype" w:hAnsi="Palatino Linotype" w:cs="Arial"/>
          <w:sz w:val="24"/>
          <w:szCs w:val="24"/>
        </w:rPr>
      </w:pPr>
    </w:p>
    <w:p w:rsidR="002D2293" w:rsidRDefault="002D2293" w:rsidP="003E4DF1">
      <w:pPr>
        <w:pStyle w:val="Prrafodelista"/>
        <w:numPr>
          <w:ilvl w:val="0"/>
          <w:numId w:val="1"/>
        </w:numPr>
        <w:spacing w:after="0" w:line="360" w:lineRule="auto"/>
        <w:ind w:left="426"/>
        <w:jc w:val="both"/>
        <w:rPr>
          <w:rFonts w:ascii="Palatino Linotype" w:hAnsi="Palatino Linotype" w:cs="Arial"/>
          <w:sz w:val="24"/>
          <w:szCs w:val="24"/>
        </w:rPr>
      </w:pPr>
      <w:r w:rsidRPr="002D2293">
        <w:rPr>
          <w:rFonts w:ascii="Palatino Linotype" w:hAnsi="Palatino Linotype" w:cs="Arial"/>
          <w:sz w:val="24"/>
          <w:szCs w:val="24"/>
        </w:rPr>
        <w:t xml:space="preserve">Mi voto </w:t>
      </w:r>
      <w:r w:rsidR="00FC0729">
        <w:rPr>
          <w:rFonts w:ascii="Palatino Linotype" w:hAnsi="Palatino Linotype" w:cs="Arial"/>
          <w:sz w:val="24"/>
          <w:szCs w:val="24"/>
        </w:rPr>
        <w:t>disidente</w:t>
      </w:r>
      <w:r w:rsidRPr="002D2293">
        <w:rPr>
          <w:rFonts w:ascii="Palatino Linotype" w:hAnsi="Palatino Linotype" w:cs="Arial"/>
          <w:sz w:val="24"/>
          <w:szCs w:val="24"/>
        </w:rPr>
        <w:t xml:space="preserve"> se deriva del hecho de que se haya</w:t>
      </w:r>
      <w:r w:rsidR="00FC0729">
        <w:rPr>
          <w:rFonts w:ascii="Palatino Linotype" w:hAnsi="Palatino Linotype" w:cs="Arial"/>
          <w:sz w:val="24"/>
          <w:szCs w:val="24"/>
        </w:rPr>
        <w:t xml:space="preserve"> ordenado entregar el acuerdo de clasificación como información reservada en relación a los documentos solicitados por el RECURRENTE sin realizar un estudio o análisis para determinar si efectivamente existe legitimidad para restringir el derecho de acceso a la información.</w:t>
      </w:r>
    </w:p>
    <w:p w:rsidR="002D2293" w:rsidRPr="002D2293" w:rsidRDefault="002D2293" w:rsidP="002D2293">
      <w:pPr>
        <w:pStyle w:val="Prrafodelista"/>
        <w:spacing w:after="0" w:line="360" w:lineRule="auto"/>
        <w:ind w:left="426"/>
        <w:jc w:val="both"/>
        <w:rPr>
          <w:rFonts w:ascii="Palatino Linotype" w:hAnsi="Palatino Linotype" w:cs="Arial"/>
          <w:sz w:val="24"/>
          <w:szCs w:val="24"/>
        </w:rPr>
      </w:pPr>
    </w:p>
    <w:p w:rsidR="00D42114" w:rsidRDefault="00625340" w:rsidP="003E4DF1">
      <w:pPr>
        <w:pStyle w:val="Prrafodelista"/>
        <w:numPr>
          <w:ilvl w:val="0"/>
          <w:numId w:val="1"/>
        </w:numPr>
        <w:spacing w:before="240" w:after="240" w:line="360" w:lineRule="auto"/>
        <w:ind w:left="426"/>
        <w:jc w:val="both"/>
        <w:rPr>
          <w:rFonts w:ascii="Palatino Linotype" w:hAnsi="Palatino Linotype" w:cs="Arial"/>
          <w:sz w:val="24"/>
          <w:szCs w:val="24"/>
        </w:rPr>
      </w:pPr>
      <w:r w:rsidRPr="00CB2E7B">
        <w:rPr>
          <w:rFonts w:ascii="Palatino Linotype" w:hAnsi="Palatino Linotype" w:cs="Arial"/>
          <w:sz w:val="24"/>
          <w:szCs w:val="24"/>
        </w:rPr>
        <w:lastRenderedPageBreak/>
        <w:t>Por tal motivo y e</w:t>
      </w:r>
      <w:r w:rsidR="006F18A4" w:rsidRPr="00CB2E7B">
        <w:rPr>
          <w:rFonts w:ascii="Palatino Linotype" w:hAnsi="Palatino Linotype" w:cs="Arial"/>
          <w:sz w:val="24"/>
          <w:szCs w:val="24"/>
        </w:rPr>
        <w:t>n términos de lo señalado por el</w:t>
      </w:r>
      <w:r w:rsidRPr="00CB2E7B">
        <w:rPr>
          <w:rFonts w:ascii="Palatino Linotype" w:hAnsi="Palatino Linotype" w:cs="Arial"/>
          <w:sz w:val="24"/>
          <w:szCs w:val="24"/>
        </w:rPr>
        <w:t xml:space="preserve"> artículo </w:t>
      </w:r>
      <w:r w:rsidR="006F18A4" w:rsidRPr="00CB2E7B">
        <w:rPr>
          <w:rFonts w:ascii="Palatino Linotype" w:hAnsi="Palatino Linotype" w:cs="Arial"/>
          <w:sz w:val="24"/>
          <w:szCs w:val="24"/>
        </w:rPr>
        <w:t>14</w:t>
      </w:r>
      <w:r w:rsidRPr="00CB2E7B">
        <w:rPr>
          <w:rFonts w:ascii="Palatino Linotype" w:hAnsi="Palatino Linotype" w:cs="Arial"/>
          <w:sz w:val="24"/>
          <w:szCs w:val="24"/>
        </w:rPr>
        <w:t xml:space="preserve"> fracción X</w:t>
      </w:r>
      <w:r w:rsidR="00F313D4" w:rsidRPr="00CB2E7B">
        <w:rPr>
          <w:rFonts w:ascii="Palatino Linotype" w:hAnsi="Palatino Linotype" w:cs="Arial"/>
          <w:sz w:val="24"/>
          <w:szCs w:val="24"/>
        </w:rPr>
        <w:t>I</w:t>
      </w:r>
      <w:r w:rsidRPr="00CB2E7B">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sidRPr="00CB2E7B">
        <w:rPr>
          <w:rFonts w:ascii="Palatino Linotype" w:hAnsi="Palatino Linotype" w:cs="Arial"/>
          <w:sz w:val="24"/>
          <w:szCs w:val="24"/>
        </w:rPr>
        <w:t xml:space="preserve"> </w:t>
      </w:r>
      <w:r w:rsidR="00C02AF0" w:rsidRPr="00CB2E7B">
        <w:rPr>
          <w:rFonts w:ascii="Palatino Linotype" w:hAnsi="Palatino Linotype" w:cs="Arial"/>
          <w:sz w:val="24"/>
          <w:szCs w:val="24"/>
        </w:rPr>
        <w:t>voto</w:t>
      </w:r>
      <w:r w:rsidRPr="00CB2E7B">
        <w:rPr>
          <w:rFonts w:ascii="Palatino Linotype" w:hAnsi="Palatino Linotype" w:cs="Arial"/>
          <w:sz w:val="24"/>
          <w:szCs w:val="24"/>
        </w:rPr>
        <w:t xml:space="preserve"> </w:t>
      </w:r>
      <w:r w:rsidR="00FC0729">
        <w:rPr>
          <w:rFonts w:ascii="Palatino Linotype" w:hAnsi="Palatino Linotype" w:cs="Arial"/>
          <w:sz w:val="24"/>
          <w:szCs w:val="24"/>
        </w:rPr>
        <w:t>disidente</w:t>
      </w:r>
      <w:r w:rsidRPr="00CB2E7B">
        <w:rPr>
          <w:rFonts w:ascii="Palatino Linotype" w:hAnsi="Palatino Linotype" w:cs="Arial"/>
          <w:sz w:val="24"/>
          <w:szCs w:val="24"/>
        </w:rPr>
        <w:t>.</w:t>
      </w:r>
    </w:p>
    <w:p w:rsidR="002D2293" w:rsidRPr="002D2293" w:rsidRDefault="002D2293" w:rsidP="002D2293">
      <w:pPr>
        <w:pStyle w:val="Prrafodelista"/>
        <w:rPr>
          <w:rFonts w:ascii="Palatino Linotype" w:hAnsi="Palatino Linotype" w:cs="Arial"/>
          <w:sz w:val="24"/>
          <w:szCs w:val="24"/>
        </w:rPr>
      </w:pPr>
    </w:p>
    <w:p w:rsidR="002D2293" w:rsidRDefault="002D2293" w:rsidP="003E4DF1">
      <w:pPr>
        <w:pStyle w:val="Ttulo1"/>
        <w:numPr>
          <w:ilvl w:val="0"/>
          <w:numId w:val="2"/>
        </w:numPr>
      </w:pPr>
      <w:bookmarkStart w:id="2" w:name="_Toc11082142"/>
      <w:r>
        <w:t>De los requerimientos planteados.</w:t>
      </w:r>
      <w:bookmarkEnd w:id="2"/>
    </w:p>
    <w:p w:rsidR="002D2293" w:rsidRDefault="002D2293" w:rsidP="002D2293">
      <w:pPr>
        <w:pStyle w:val="Prrafodelista"/>
        <w:spacing w:before="240" w:after="240" w:line="360" w:lineRule="auto"/>
        <w:jc w:val="both"/>
        <w:rPr>
          <w:rFonts w:ascii="Palatino Linotype" w:hAnsi="Palatino Linotype" w:cs="Arial"/>
          <w:sz w:val="24"/>
          <w:szCs w:val="24"/>
        </w:rPr>
      </w:pPr>
    </w:p>
    <w:p w:rsidR="00FC0729" w:rsidRDefault="002D2293"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Se solicitó </w:t>
      </w:r>
      <w:r w:rsidR="00FC0729">
        <w:rPr>
          <w:rFonts w:ascii="Palatino Linotype" w:hAnsi="Palatino Linotype" w:cs="Arial"/>
          <w:sz w:val="24"/>
          <w:szCs w:val="24"/>
        </w:rPr>
        <w:t xml:space="preserve">información relacionada con la fusión de un predio ubicado en la Colonia La Herradura, en el Municipio de Huixquilucan, tal como </w:t>
      </w:r>
      <w:r w:rsidR="0036351D">
        <w:rPr>
          <w:rFonts w:ascii="Palatino Linotype" w:hAnsi="Palatino Linotype" w:cs="Arial"/>
          <w:sz w:val="24"/>
          <w:szCs w:val="24"/>
        </w:rPr>
        <w:t xml:space="preserve">la </w:t>
      </w:r>
      <w:r w:rsidR="00FC0729">
        <w:rPr>
          <w:rFonts w:ascii="Palatino Linotype" w:hAnsi="Palatino Linotype" w:cs="Arial"/>
          <w:sz w:val="24"/>
          <w:szCs w:val="24"/>
        </w:rPr>
        <w:t>fecha, bajo qué circunstancias se fusionó y, la autorización</w:t>
      </w:r>
      <w:r w:rsidR="0036351D">
        <w:rPr>
          <w:rFonts w:ascii="Palatino Linotype" w:hAnsi="Palatino Linotype" w:cs="Arial"/>
          <w:sz w:val="24"/>
          <w:szCs w:val="24"/>
        </w:rPr>
        <w:t>.</w:t>
      </w:r>
    </w:p>
    <w:p w:rsidR="00FC0729" w:rsidRDefault="00FC0729" w:rsidP="0036351D">
      <w:pPr>
        <w:pStyle w:val="Prrafodelista"/>
        <w:spacing w:before="240" w:after="240" w:line="360" w:lineRule="auto"/>
        <w:ind w:left="426"/>
        <w:jc w:val="both"/>
        <w:rPr>
          <w:rFonts w:ascii="Palatino Linotype" w:hAnsi="Palatino Linotype" w:cs="Arial"/>
          <w:sz w:val="24"/>
          <w:szCs w:val="24"/>
        </w:rPr>
      </w:pPr>
    </w:p>
    <w:p w:rsidR="0036351D" w:rsidRDefault="0036351D"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E</w:t>
      </w:r>
      <w:r w:rsidR="002D2293">
        <w:rPr>
          <w:rFonts w:ascii="Palatino Linotype" w:hAnsi="Palatino Linotype" w:cs="Arial"/>
          <w:sz w:val="24"/>
          <w:szCs w:val="24"/>
        </w:rPr>
        <w:t xml:space="preserve">l Sujeto Obligado </w:t>
      </w:r>
      <w:r>
        <w:rPr>
          <w:rFonts w:ascii="Palatino Linotype" w:hAnsi="Palatino Linotype" w:cs="Arial"/>
          <w:sz w:val="24"/>
          <w:szCs w:val="24"/>
        </w:rPr>
        <w:t>manifestó que, no estaba en posibilidad de proporcionar la información porque la licencia se construcción de los predios se encuentra inmersa en un procedimiento judicial, radicado ante la Segunda Sala Regional del Tribunal de Justicia Administrativa del Estado de México. Asimismo, el Comité de Transparencia remitió el acuerdo que sustenta la clasificación de la información.</w:t>
      </w:r>
    </w:p>
    <w:p w:rsidR="0036351D" w:rsidRPr="0036351D" w:rsidRDefault="0036351D" w:rsidP="0036351D">
      <w:pPr>
        <w:pStyle w:val="Prrafodelista"/>
        <w:rPr>
          <w:rFonts w:ascii="Palatino Linotype" w:hAnsi="Palatino Linotype" w:cs="Arial"/>
          <w:sz w:val="24"/>
          <w:szCs w:val="24"/>
        </w:rPr>
      </w:pPr>
    </w:p>
    <w:p w:rsidR="0036351D" w:rsidRDefault="0036351D"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Inconforme, el Recurrente, interpuso los recursos de revisión, manifestando como motivos de inconformidad, la clasificación de la información.</w:t>
      </w:r>
    </w:p>
    <w:p w:rsidR="0036351D" w:rsidRPr="0036351D" w:rsidRDefault="0036351D" w:rsidP="0036351D">
      <w:pPr>
        <w:pStyle w:val="Prrafodelista"/>
        <w:rPr>
          <w:rFonts w:ascii="Palatino Linotype" w:hAnsi="Palatino Linotype" w:cs="Arial"/>
          <w:sz w:val="24"/>
          <w:szCs w:val="24"/>
        </w:rPr>
      </w:pPr>
    </w:p>
    <w:p w:rsidR="0036351D" w:rsidRDefault="0036351D"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El Sujeto Obligado remitió el informe justificado; sin embargo, no modificó su respuesta inicial.</w:t>
      </w:r>
    </w:p>
    <w:p w:rsidR="00D35091" w:rsidRDefault="00CC7D48" w:rsidP="003E4DF1">
      <w:pPr>
        <w:pStyle w:val="Ttulo1"/>
        <w:numPr>
          <w:ilvl w:val="0"/>
          <w:numId w:val="2"/>
        </w:numPr>
        <w:ind w:left="1134" w:hanging="708"/>
        <w:rPr>
          <w:rFonts w:cs="Arial"/>
          <w:szCs w:val="24"/>
        </w:rPr>
      </w:pPr>
      <w:bookmarkStart w:id="3" w:name="_Toc11082143"/>
      <w:r>
        <w:rPr>
          <w:szCs w:val="24"/>
        </w:rPr>
        <w:lastRenderedPageBreak/>
        <w:t>De la clasificación de la información.</w:t>
      </w:r>
      <w:bookmarkEnd w:id="3"/>
    </w:p>
    <w:p w:rsidR="0080047C" w:rsidRPr="0080047C" w:rsidRDefault="0080047C" w:rsidP="0080047C"/>
    <w:p w:rsidR="0036351D" w:rsidRDefault="001A71CA"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La Comisionada</w:t>
      </w:r>
      <w:r w:rsidR="00824147">
        <w:rPr>
          <w:rFonts w:ascii="Palatino Linotype" w:hAnsi="Palatino Linotype" w:cs="Arial"/>
          <w:sz w:val="24"/>
          <w:szCs w:val="24"/>
        </w:rPr>
        <w:t xml:space="preserve"> Ponente en el análisis y estudio del asunto punt</w:t>
      </w:r>
      <w:r w:rsidR="0036351D">
        <w:rPr>
          <w:rFonts w:ascii="Palatino Linotype" w:hAnsi="Palatino Linotype" w:cs="Arial"/>
          <w:sz w:val="24"/>
          <w:szCs w:val="24"/>
        </w:rPr>
        <w:t>ualizó que, al encontrarse dentro de un procedimiento administrativo, la información debe clasificarse como reservada, argumentando, únicamente que, el acuerdo que emitió el Sujeto Obligado, en respuesta a la solicitud, no cumple con las formalidades que establece la normatividad en materia.</w:t>
      </w:r>
    </w:p>
    <w:p w:rsidR="001A71CA" w:rsidRDefault="001A71CA" w:rsidP="001A71CA">
      <w:pPr>
        <w:pStyle w:val="Prrafodelista"/>
        <w:spacing w:before="240" w:after="240" w:line="360" w:lineRule="auto"/>
        <w:ind w:left="426"/>
        <w:jc w:val="both"/>
        <w:rPr>
          <w:rFonts w:ascii="Palatino Linotype" w:hAnsi="Palatino Linotype" w:cs="Arial"/>
          <w:sz w:val="24"/>
          <w:szCs w:val="24"/>
        </w:rPr>
      </w:pPr>
    </w:p>
    <w:p w:rsidR="001A71CA" w:rsidRDefault="001A71CA"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Siguiendo con el análisis que realizó la Comisionada Ponente, se tiene que en efecto, el acuerdo que emitió el Sujeto Obligado es deficiente. La prueba de daño expuesta no brinda certeza acerca del daño que se provocaría con la divulgación de la información, asimismo, no se hace referencia el daño real, demostrable e identificable que supondría la exposición de la información.</w:t>
      </w:r>
    </w:p>
    <w:p w:rsidR="0036351D" w:rsidRDefault="0036351D" w:rsidP="0036351D">
      <w:pPr>
        <w:pStyle w:val="Prrafodelista"/>
        <w:spacing w:before="240" w:after="240" w:line="360" w:lineRule="auto"/>
        <w:ind w:left="426"/>
        <w:jc w:val="both"/>
        <w:rPr>
          <w:rFonts w:ascii="Palatino Linotype" w:hAnsi="Palatino Linotype" w:cs="Arial"/>
          <w:sz w:val="24"/>
          <w:szCs w:val="24"/>
        </w:rPr>
      </w:pPr>
    </w:p>
    <w:p w:rsidR="0036351D" w:rsidRDefault="001A71CA"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Con la ausencia de dichos elementos, resulta improcedente el acuerdo de clasificación, toda vez que, no se precisan de manera clara, las razones por las cuales se está justificando una afectación directa al derecho del RECURRENTE.</w:t>
      </w:r>
    </w:p>
    <w:p w:rsidR="0036351D" w:rsidRDefault="0036351D" w:rsidP="001A71CA">
      <w:pPr>
        <w:pStyle w:val="Prrafodelista"/>
        <w:spacing w:before="240" w:after="240" w:line="360" w:lineRule="auto"/>
        <w:ind w:left="426"/>
        <w:jc w:val="both"/>
        <w:rPr>
          <w:rFonts w:ascii="Palatino Linotype" w:hAnsi="Palatino Linotype" w:cs="Arial"/>
          <w:sz w:val="24"/>
          <w:szCs w:val="24"/>
        </w:rPr>
      </w:pPr>
    </w:p>
    <w:p w:rsidR="001A71CA" w:rsidRDefault="00824147"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Consider</w:t>
      </w:r>
      <w:r w:rsidR="001A71CA">
        <w:rPr>
          <w:rFonts w:ascii="Palatino Linotype" w:hAnsi="Palatino Linotype" w:cs="Arial"/>
          <w:sz w:val="24"/>
          <w:szCs w:val="24"/>
        </w:rPr>
        <w:t>o que la postura adoptada por la Comisionada</w:t>
      </w:r>
      <w:r>
        <w:rPr>
          <w:rFonts w:ascii="Palatino Linotype" w:hAnsi="Palatino Linotype" w:cs="Arial"/>
          <w:sz w:val="24"/>
          <w:szCs w:val="24"/>
        </w:rPr>
        <w:t xml:space="preserve"> Ponente va encaminada a suplir deficiencias atribuibles</w:t>
      </w:r>
      <w:r w:rsidR="001A71CA">
        <w:rPr>
          <w:rFonts w:ascii="Palatino Linotype" w:hAnsi="Palatino Linotype" w:cs="Arial"/>
          <w:sz w:val="24"/>
          <w:szCs w:val="24"/>
        </w:rPr>
        <w:t xml:space="preserve">, pues al no acreditarse fehacientemente las causas por las cuales debe prevalecer la reserva de la información, lo procedente debe ser desclasificarse; sin embargo, en el presente asunto en particular, </w:t>
      </w:r>
      <w:r w:rsidR="001A71CA">
        <w:rPr>
          <w:rFonts w:ascii="Palatino Linotype" w:hAnsi="Palatino Linotype" w:cs="Arial"/>
          <w:sz w:val="24"/>
          <w:szCs w:val="24"/>
        </w:rPr>
        <w:lastRenderedPageBreak/>
        <w:t>únicamente se limitó a requerir nuevamente el acuerdo de clasificación con las formalidades necesarias, sin adentrarse a los motivos del por qué deberá ser reservada la información.</w:t>
      </w:r>
    </w:p>
    <w:p w:rsidR="001A71CA" w:rsidRPr="001A71CA" w:rsidRDefault="001A71CA" w:rsidP="001A71CA">
      <w:pPr>
        <w:pStyle w:val="Prrafodelista"/>
        <w:rPr>
          <w:rFonts w:ascii="Palatino Linotype" w:hAnsi="Palatino Linotype" w:cs="Arial"/>
          <w:sz w:val="24"/>
          <w:szCs w:val="24"/>
        </w:rPr>
      </w:pPr>
    </w:p>
    <w:p w:rsidR="000161B6" w:rsidRPr="000161B6" w:rsidRDefault="001A71CA" w:rsidP="003E4DF1">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t>L</w:t>
      </w:r>
      <w:r w:rsidR="000161B6" w:rsidRPr="000161B6">
        <w:rPr>
          <w:rFonts w:ascii="Palatino Linotype" w:hAnsi="Palatino Linotype"/>
          <w:sz w:val="24"/>
          <w:szCs w:val="24"/>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0161B6" w:rsidRPr="002021B7">
        <w:rPr>
          <w:rStyle w:val="Refdenotaalpie"/>
          <w:rFonts w:ascii="Palatino Linotype" w:hAnsi="Palatino Linotype"/>
          <w:sz w:val="24"/>
          <w:szCs w:val="24"/>
        </w:rPr>
        <w:footnoteReference w:id="1"/>
      </w:r>
      <w:r w:rsidR="000161B6" w:rsidRPr="000161B6">
        <w:rPr>
          <w:rFonts w:ascii="Palatino Linotype" w:hAnsi="Palatino Linotype"/>
          <w:sz w:val="24"/>
          <w:szCs w:val="24"/>
        </w:rPr>
        <w:t xml:space="preserve"> aunque cualquier límite o restricción, para ser legítimo, debe reunir con tres requisitos: primero, debe de </w:t>
      </w:r>
      <w:r w:rsidR="000161B6" w:rsidRPr="000161B6">
        <w:rPr>
          <w:rFonts w:ascii="Palatino Linotype" w:hAnsi="Palatino Linotype"/>
          <w:sz w:val="24"/>
          <w:szCs w:val="24"/>
        </w:rPr>
        <w:lastRenderedPageBreak/>
        <w:t>estar establecida en un ordenamiento legal, antes de su aplicación; debe de corresponder a un fin legítimo y ser estrictamente proporcional con el principio o valor que se pretende preservar.</w:t>
      </w:r>
      <w:r w:rsidR="000161B6" w:rsidRPr="002021B7">
        <w:rPr>
          <w:rStyle w:val="Refdenotaalpie"/>
          <w:rFonts w:ascii="Palatino Linotype" w:hAnsi="Palatino Linotype"/>
          <w:sz w:val="24"/>
          <w:szCs w:val="24"/>
        </w:rPr>
        <w:footnoteReference w:id="2"/>
      </w:r>
      <w:r w:rsidR="000161B6" w:rsidRPr="000161B6">
        <w:rPr>
          <w:rFonts w:ascii="Palatino Linotype" w:hAnsi="Palatino Linotype"/>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0161B6" w:rsidRPr="002021B7" w:rsidRDefault="000161B6" w:rsidP="000161B6">
      <w:pPr>
        <w:pStyle w:val="Prrafodelista"/>
        <w:spacing w:line="360" w:lineRule="auto"/>
        <w:ind w:left="360"/>
        <w:jc w:val="both"/>
        <w:rPr>
          <w:rFonts w:ascii="Palatino Linotype" w:hAnsi="Palatino Linotype"/>
          <w:sz w:val="24"/>
          <w:szCs w:val="24"/>
        </w:rPr>
      </w:pPr>
      <w:r w:rsidRPr="002021B7">
        <w:rPr>
          <w:rFonts w:ascii="Palatino Linotype" w:hAnsi="Palatino Linotype"/>
          <w:sz w:val="24"/>
          <w:szCs w:val="24"/>
        </w:rPr>
        <w:t xml:space="preserve"> </w:t>
      </w:r>
    </w:p>
    <w:p w:rsidR="000161B6" w:rsidRPr="002021B7" w:rsidRDefault="000161B6" w:rsidP="003E4DF1">
      <w:pPr>
        <w:pStyle w:val="Prrafodelista"/>
        <w:numPr>
          <w:ilvl w:val="0"/>
          <w:numId w:val="1"/>
        </w:numPr>
        <w:spacing w:line="360" w:lineRule="auto"/>
        <w:ind w:left="426"/>
        <w:jc w:val="both"/>
        <w:rPr>
          <w:rFonts w:ascii="Palatino Linotype" w:hAnsi="Palatino Linotype"/>
          <w:sz w:val="24"/>
          <w:szCs w:val="24"/>
        </w:rPr>
      </w:pPr>
      <w:r w:rsidRPr="002021B7">
        <w:rPr>
          <w:rFonts w:ascii="Palatino Linotype" w:hAnsi="Palatino Linotype"/>
          <w:sz w:val="24"/>
          <w:szCs w:val="24"/>
        </w:rPr>
        <w:t xml:space="preserve">El grave problema que enfrentamos todos los días, al resolver los recursos de revisión que se presenten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w:t>
      </w:r>
      <w:r w:rsidRPr="002021B7">
        <w:rPr>
          <w:rFonts w:ascii="Palatino Linotype" w:hAnsi="Palatino Linotype"/>
          <w:sz w:val="24"/>
          <w:szCs w:val="24"/>
        </w:rPr>
        <w:lastRenderedPageBreak/>
        <w:t>siguen sin observar los requisitos, tanto por la complejidad del procedimiento como por la falta de atención de los operadores jurídicos.</w:t>
      </w:r>
    </w:p>
    <w:p w:rsidR="000161B6" w:rsidRPr="002021B7" w:rsidRDefault="000161B6" w:rsidP="000161B6">
      <w:pPr>
        <w:pStyle w:val="Prrafodelista"/>
        <w:spacing w:line="360" w:lineRule="auto"/>
        <w:ind w:left="360"/>
        <w:jc w:val="both"/>
        <w:rPr>
          <w:rFonts w:ascii="Palatino Linotype" w:hAnsi="Palatino Linotype"/>
          <w:sz w:val="24"/>
          <w:szCs w:val="24"/>
        </w:rPr>
      </w:pPr>
    </w:p>
    <w:p w:rsidR="000161B6" w:rsidRDefault="000161B6" w:rsidP="003E4DF1">
      <w:pPr>
        <w:pStyle w:val="Prrafodelista"/>
        <w:numPr>
          <w:ilvl w:val="0"/>
          <w:numId w:val="1"/>
        </w:numPr>
        <w:spacing w:line="360" w:lineRule="auto"/>
        <w:ind w:left="426"/>
        <w:jc w:val="both"/>
        <w:rPr>
          <w:rFonts w:ascii="Palatino Linotype" w:hAnsi="Palatino Linotype"/>
          <w:sz w:val="24"/>
          <w:szCs w:val="24"/>
        </w:rPr>
      </w:pPr>
      <w:r w:rsidRPr="002021B7">
        <w:rPr>
          <w:rFonts w:ascii="Palatino Linotype" w:hAnsi="Palatino Linotype"/>
          <w:sz w:val="24"/>
          <w:szCs w:val="24"/>
        </w:rPr>
        <w:t>Por esa razón, es que en esta ocasión concurro con el presente voto, con la finalidad de presentar una valida clasificación de la información que debe considerar el sujeto obligado para emitir este tipo de acuerdos y que el Órgano Garante debe verificar que se cumplan.</w:t>
      </w:r>
    </w:p>
    <w:p w:rsidR="000161B6" w:rsidRPr="00CC7D48" w:rsidRDefault="000161B6" w:rsidP="003E4DF1">
      <w:pPr>
        <w:pStyle w:val="Ttulo2"/>
        <w:numPr>
          <w:ilvl w:val="0"/>
          <w:numId w:val="3"/>
        </w:numPr>
        <w:rPr>
          <w:rFonts w:ascii="Palatino Linotype" w:hAnsi="Palatino Linotype"/>
          <w:b/>
        </w:rPr>
      </w:pPr>
      <w:bookmarkStart w:id="4" w:name="_Toc11082144"/>
      <w:r w:rsidRPr="00CC7D48">
        <w:rPr>
          <w:rFonts w:ascii="Palatino Linotype" w:hAnsi="Palatino Linotype"/>
          <w:b/>
          <w:color w:val="auto"/>
          <w:sz w:val="24"/>
        </w:rPr>
        <w:t>Requisitos previos</w:t>
      </w:r>
      <w:bookmarkEnd w:id="4"/>
    </w:p>
    <w:p w:rsidR="000161B6" w:rsidRPr="0047457F" w:rsidRDefault="000161B6" w:rsidP="000161B6">
      <w:pPr>
        <w:pStyle w:val="Prrafodelista"/>
        <w:spacing w:line="360" w:lineRule="auto"/>
        <w:ind w:left="360"/>
        <w:jc w:val="both"/>
        <w:rPr>
          <w:rFonts w:ascii="Palatino Linotype" w:hAnsi="Palatino Linotype" w:cs="Arial"/>
          <w:b/>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 xml:space="preserve">Los </w:t>
      </w:r>
      <w:r w:rsidRPr="002021B7">
        <w:rPr>
          <w:rFonts w:ascii="Palatino Linotype" w:hAnsi="Palatino Linotype"/>
          <w:sz w:val="24"/>
          <w:szCs w:val="24"/>
        </w:rPr>
        <w:t>artículos</w:t>
      </w:r>
      <w:r w:rsidRPr="002021B7">
        <w:rPr>
          <w:rFonts w:ascii="Palatino Linotype" w:hAnsi="Palatino Linotype" w:cs="Arial"/>
          <w:color w:val="000000" w:themeColor="text1"/>
          <w:sz w:val="24"/>
          <w:szCs w:val="24"/>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 xml:space="preserve">Además, se debe señalar el procedimiento, de los tres que establecen los artículos 132 y 106 de la Ley Estatal y General, respectivamente, por el que se </w:t>
      </w:r>
      <w:r w:rsidRPr="002021B7">
        <w:rPr>
          <w:rFonts w:ascii="Palatino Linotype" w:hAnsi="Palatino Linotype" w:cs="Arial"/>
          <w:color w:val="000000" w:themeColor="text1"/>
          <w:sz w:val="24"/>
          <w:szCs w:val="24"/>
        </w:rPr>
        <w:lastRenderedPageBreak/>
        <w:t>realiza dicha clasificación, a saber, cuando se atiende una solicitud de acceso a la información, porque lo determina una autoridad competente o porque se va a generar una versión pública para cumplir con sus obligaciones.</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0161B6" w:rsidRDefault="000161B6" w:rsidP="000161B6">
      <w:pPr>
        <w:pStyle w:val="Prrafodelista"/>
        <w:spacing w:line="360" w:lineRule="auto"/>
        <w:ind w:left="1080"/>
        <w:jc w:val="both"/>
        <w:rPr>
          <w:rFonts w:ascii="Palatino Linotype" w:hAnsi="Palatino Linotype"/>
          <w:b/>
          <w:sz w:val="24"/>
          <w:szCs w:val="24"/>
        </w:rPr>
      </w:pPr>
    </w:p>
    <w:p w:rsidR="000161B6" w:rsidRPr="00CC7D48" w:rsidRDefault="000161B6" w:rsidP="003E4DF1">
      <w:pPr>
        <w:pStyle w:val="Ttulo2"/>
        <w:numPr>
          <w:ilvl w:val="0"/>
          <w:numId w:val="3"/>
        </w:numPr>
        <w:rPr>
          <w:rFonts w:ascii="Palatino Linotype" w:hAnsi="Palatino Linotype"/>
          <w:b/>
          <w:color w:val="auto"/>
          <w:sz w:val="24"/>
        </w:rPr>
      </w:pPr>
      <w:bookmarkStart w:id="5" w:name="_Toc11082145"/>
      <w:r w:rsidRPr="00CC7D48">
        <w:rPr>
          <w:rFonts w:ascii="Palatino Linotype" w:hAnsi="Palatino Linotype"/>
          <w:b/>
          <w:color w:val="auto"/>
          <w:sz w:val="24"/>
        </w:rPr>
        <w:t>Supuestos de clasificación</w:t>
      </w:r>
      <w:bookmarkEnd w:id="5"/>
    </w:p>
    <w:p w:rsidR="000161B6" w:rsidRDefault="000161B6" w:rsidP="000161B6">
      <w:pPr>
        <w:pStyle w:val="Prrafodelista"/>
        <w:spacing w:line="360" w:lineRule="auto"/>
        <w:ind w:left="567"/>
        <w:jc w:val="both"/>
        <w:rPr>
          <w:rFonts w:ascii="Palatino Linotype" w:hAnsi="Palatino Linotype"/>
          <w:b/>
          <w:sz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Los artículos 140 y 113 de la Ley Estatal y de la Ley General, respectivamente, señalan los supuestos para que una información pueda considerarse como reservada, que son los siguientes:</w:t>
      </w:r>
    </w:p>
    <w:tbl>
      <w:tblPr>
        <w:tblStyle w:val="Tablanormal1"/>
        <w:tblW w:w="0" w:type="auto"/>
        <w:tblInd w:w="688" w:type="dxa"/>
        <w:tblLook w:val="04A0" w:firstRow="1" w:lastRow="0" w:firstColumn="1" w:lastColumn="0" w:noHBand="0" w:noVBand="1"/>
      </w:tblPr>
      <w:tblGrid>
        <w:gridCol w:w="3726"/>
        <w:gridCol w:w="4089"/>
      </w:tblGrid>
      <w:tr w:rsidR="000161B6" w:rsidRPr="002021B7" w:rsidTr="00D967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b w:val="0"/>
                <w:sz w:val="24"/>
                <w:szCs w:val="24"/>
              </w:rPr>
            </w:pPr>
            <w:r w:rsidRPr="002021B7">
              <w:rPr>
                <w:rFonts w:ascii="Palatino Linotype" w:hAnsi="Palatino Linotype" w:cs="Gill Sans,Bold"/>
                <w:b w:val="0"/>
                <w:sz w:val="24"/>
                <w:szCs w:val="24"/>
              </w:rPr>
              <w:lastRenderedPageBreak/>
              <w:t>LEY ESTATAL</w:t>
            </w:r>
          </w:p>
        </w:tc>
        <w:tc>
          <w:tcPr>
            <w:tcW w:w="4089" w:type="dxa"/>
          </w:tcPr>
          <w:p w:rsidR="000161B6" w:rsidRPr="002021B7" w:rsidRDefault="000161B6" w:rsidP="00D9672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4"/>
                <w:szCs w:val="24"/>
              </w:rPr>
            </w:pPr>
            <w:r w:rsidRPr="002021B7">
              <w:rPr>
                <w:rFonts w:ascii="Palatino Linotype" w:hAnsi="Palatino Linotype"/>
                <w:b w:val="0"/>
                <w:sz w:val="24"/>
                <w:szCs w:val="24"/>
              </w:rPr>
              <w:t>LEY GENERAL</w:t>
            </w:r>
          </w:p>
        </w:tc>
      </w:tr>
      <w:tr w:rsidR="000161B6" w:rsidRPr="002021B7" w:rsidTr="00D96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I. Comprometa la seguridad pública y cuente con un propósito genuino y un efecto demostrable;</w:t>
            </w:r>
          </w:p>
          <w:p w:rsidR="000161B6" w:rsidRPr="002021B7" w:rsidRDefault="000161B6" w:rsidP="00D96722">
            <w:pPr>
              <w:spacing w:line="360" w:lineRule="auto"/>
              <w:jc w:val="both"/>
              <w:rPr>
                <w:rFonts w:ascii="Palatino Linotype" w:hAnsi="Palatino Linotype"/>
                <w:b w:val="0"/>
                <w:sz w:val="24"/>
                <w:szCs w:val="24"/>
              </w:rPr>
            </w:pPr>
          </w:p>
        </w:tc>
        <w:tc>
          <w:tcPr>
            <w:tcW w:w="4089" w:type="dxa"/>
          </w:tcPr>
          <w:p w:rsidR="000161B6" w:rsidRPr="002021B7" w:rsidRDefault="000161B6" w:rsidP="00D9672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I.</w:t>
            </w:r>
            <w:r w:rsidRPr="002021B7">
              <w:rPr>
                <w:rFonts w:ascii="Palatino Linotype" w:hAnsi="Palatino Linotype"/>
                <w:sz w:val="24"/>
                <w:szCs w:val="24"/>
                <w:lang w:val="es-ES"/>
              </w:rPr>
              <w:tab/>
              <w:t>Comprometa la seguridad nacional, la seguridad pública o la defensa nacional y cuente con un propósito genuino y un efecto demostrable;</w:t>
            </w:r>
          </w:p>
        </w:tc>
      </w:tr>
      <w:tr w:rsidR="000161B6" w:rsidRPr="002021B7" w:rsidTr="00D96722">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II. Pueda menoscabar la conducción de las negociaciones y relaciones internacionales;</w:t>
            </w:r>
          </w:p>
        </w:tc>
        <w:tc>
          <w:tcPr>
            <w:tcW w:w="4089" w:type="dxa"/>
          </w:tcPr>
          <w:p w:rsidR="000161B6" w:rsidRPr="002021B7" w:rsidRDefault="000161B6" w:rsidP="00D9672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II.</w:t>
            </w:r>
            <w:r w:rsidRPr="002021B7">
              <w:rPr>
                <w:rFonts w:ascii="Palatino Linotype" w:hAnsi="Palatino Linotype"/>
                <w:sz w:val="24"/>
                <w:szCs w:val="24"/>
                <w:lang w:val="es-ES"/>
              </w:rPr>
              <w:tab/>
              <w:t>Pueda menoscabar la conducción de las negociaciones y relaciones internacionales;</w:t>
            </w:r>
          </w:p>
        </w:tc>
      </w:tr>
      <w:tr w:rsidR="000161B6" w:rsidRPr="002021B7" w:rsidTr="00D96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tcPr>
          <w:p w:rsidR="000161B6" w:rsidRPr="002021B7" w:rsidRDefault="000161B6" w:rsidP="00D9672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III.</w:t>
            </w:r>
            <w:r w:rsidRPr="002021B7">
              <w:rPr>
                <w:rFonts w:ascii="Palatino Linotype" w:hAnsi="Palatino Linotype"/>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0161B6" w:rsidRPr="002021B7" w:rsidTr="00D96722">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0161B6" w:rsidRPr="002021B7" w:rsidRDefault="000161B6" w:rsidP="00D9672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IV.</w:t>
            </w:r>
            <w:r w:rsidRPr="002021B7">
              <w:rPr>
                <w:rFonts w:ascii="Palatino Linotype" w:hAnsi="Palatino Linotype"/>
                <w:sz w:val="24"/>
                <w:szCs w:val="24"/>
                <w:lang w:val="es-ES"/>
              </w:rPr>
              <w:tab/>
              <w:t xml:space="preserve">Pueda afectar la efectividad de las medidas adoptadas en relación con las políticas en materia monetaria, cambiaria o del sistema </w:t>
            </w:r>
            <w:r w:rsidRPr="002021B7">
              <w:rPr>
                <w:rFonts w:ascii="Palatino Linotype" w:hAnsi="Palatino Linotype"/>
                <w:sz w:val="24"/>
                <w:szCs w:val="24"/>
                <w:lang w:val="es-ES"/>
              </w:rPr>
              <w:lastRenderedPageBreak/>
              <w:t>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0161B6" w:rsidRPr="002021B7" w:rsidTr="00D96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lastRenderedPageBreak/>
              <w:t>IV. Ponga en riesgo la vida, la seguridad o la salud de una persona física;</w:t>
            </w:r>
          </w:p>
        </w:tc>
        <w:tc>
          <w:tcPr>
            <w:tcW w:w="4089" w:type="dxa"/>
          </w:tcPr>
          <w:p w:rsidR="000161B6" w:rsidRPr="002021B7" w:rsidRDefault="000161B6" w:rsidP="00D9672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V.</w:t>
            </w:r>
            <w:r w:rsidRPr="002021B7">
              <w:rPr>
                <w:rFonts w:ascii="Palatino Linotype" w:hAnsi="Palatino Linotype"/>
                <w:sz w:val="24"/>
                <w:szCs w:val="24"/>
                <w:lang w:val="es-ES"/>
              </w:rPr>
              <w:tab/>
              <w:t>Pueda poner en riesgo la vida, seguridad o salud de una persona física;</w:t>
            </w:r>
          </w:p>
        </w:tc>
      </w:tr>
      <w:tr w:rsidR="000161B6" w:rsidRPr="002021B7" w:rsidTr="00D96722">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V. Aquella cuya divulgación obstruya o pueda causar un serio perjuicio a:</w:t>
            </w:r>
          </w:p>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p>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 xml:space="preserve">1. Las actividades de fiscalización, verificación, inspección, comprobación y </w:t>
            </w:r>
            <w:r w:rsidRPr="002021B7">
              <w:rPr>
                <w:rFonts w:ascii="Palatino Linotype" w:hAnsi="Palatino Linotype" w:cs="Arial"/>
                <w:b w:val="0"/>
                <w:sz w:val="24"/>
                <w:szCs w:val="24"/>
              </w:rPr>
              <w:lastRenderedPageBreak/>
              <w:t>auditoría sobre el cumplimiento de las Leyes; o</w:t>
            </w:r>
          </w:p>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p>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2. La recaudación de las contribuciones.</w:t>
            </w:r>
          </w:p>
        </w:tc>
        <w:tc>
          <w:tcPr>
            <w:tcW w:w="4089" w:type="dxa"/>
          </w:tcPr>
          <w:p w:rsidR="000161B6" w:rsidRPr="002021B7" w:rsidRDefault="000161B6" w:rsidP="00D9672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lastRenderedPageBreak/>
              <w:t>VI.</w:t>
            </w:r>
            <w:r w:rsidRPr="002021B7">
              <w:rPr>
                <w:rFonts w:ascii="Palatino Linotype" w:hAnsi="Palatino Linotype"/>
                <w:sz w:val="24"/>
                <w:szCs w:val="24"/>
                <w:lang w:val="es-ES"/>
              </w:rPr>
              <w:tab/>
              <w:t>Obstruya las actividades de verificación, inspección y auditoría relativas al cumplimiento de las leyes o afecte la recaudación de contribuciones;</w:t>
            </w:r>
          </w:p>
          <w:p w:rsidR="000161B6" w:rsidRPr="002021B7" w:rsidRDefault="000161B6" w:rsidP="00D9672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p>
          <w:p w:rsidR="000161B6" w:rsidRPr="002021B7" w:rsidRDefault="000161B6" w:rsidP="00D9672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0161B6" w:rsidRPr="002021B7" w:rsidTr="00D96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w:t>
            </w:r>
            <w:r w:rsidRPr="002021B7">
              <w:rPr>
                <w:rFonts w:ascii="Palatino Linotype" w:hAnsi="Palatino Linotype" w:cs="Arial"/>
                <w:b w:val="0"/>
                <w:sz w:val="24"/>
                <w:szCs w:val="24"/>
              </w:rPr>
              <w:lastRenderedPageBreak/>
              <w:t>testigo, así como sus familias, en los términos de las disposiciones jurídicas aplicables;</w:t>
            </w:r>
          </w:p>
        </w:tc>
        <w:tc>
          <w:tcPr>
            <w:tcW w:w="4089" w:type="dxa"/>
          </w:tcPr>
          <w:p w:rsidR="000161B6" w:rsidRPr="002021B7" w:rsidRDefault="000161B6" w:rsidP="00D9672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lastRenderedPageBreak/>
              <w:t>VII.</w:t>
            </w:r>
            <w:r w:rsidRPr="002021B7">
              <w:rPr>
                <w:rFonts w:ascii="Palatino Linotype" w:hAnsi="Palatino Linotype"/>
                <w:sz w:val="24"/>
                <w:szCs w:val="24"/>
                <w:lang w:val="es-ES"/>
              </w:rPr>
              <w:tab/>
              <w:t>Obstruya la prevención o persecución de los delitos;</w:t>
            </w:r>
          </w:p>
          <w:p w:rsidR="000161B6" w:rsidRPr="002021B7" w:rsidRDefault="000161B6" w:rsidP="00D9672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p>
          <w:p w:rsidR="000161B6" w:rsidRPr="002021B7" w:rsidRDefault="000161B6" w:rsidP="00D9672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0161B6" w:rsidRPr="002021B7" w:rsidTr="00D96722">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VII. La que contengan las opiniones, recomendaciones o puntos de vista que formen parte del proceso deliberativo de los servidores públicos, hasta en tanto sea adoptada la decisión definitiva, la cual deberá estar documentada;</w:t>
            </w:r>
          </w:p>
        </w:tc>
        <w:tc>
          <w:tcPr>
            <w:tcW w:w="4089" w:type="dxa"/>
          </w:tcPr>
          <w:p w:rsidR="000161B6" w:rsidRPr="002021B7" w:rsidRDefault="000161B6" w:rsidP="00D9672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VIII.</w:t>
            </w:r>
            <w:r w:rsidRPr="002021B7">
              <w:rPr>
                <w:rFonts w:ascii="Palatino Linotype" w:hAnsi="Palatino Linotype"/>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0161B6" w:rsidRPr="002021B7" w:rsidTr="00D96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0161B6" w:rsidRPr="002021B7" w:rsidRDefault="000161B6" w:rsidP="00D9672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IX.</w:t>
            </w:r>
            <w:r w:rsidRPr="002021B7">
              <w:rPr>
                <w:rFonts w:ascii="Palatino Linotype" w:hAnsi="Palatino Linotype"/>
                <w:sz w:val="24"/>
                <w:szCs w:val="24"/>
                <w:lang w:val="es-ES"/>
              </w:rPr>
              <w:tab/>
              <w:t>Obstruya los procedimientos para fincar responsabilidad a los Servidores Públicos, en tanto no se haya dictado la resolución administrativa;</w:t>
            </w:r>
          </w:p>
        </w:tc>
      </w:tr>
      <w:tr w:rsidR="000161B6" w:rsidRPr="002021B7" w:rsidTr="00D96722">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0161B6" w:rsidRPr="002021B7" w:rsidRDefault="000161B6" w:rsidP="00D9672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X.</w:t>
            </w:r>
            <w:r w:rsidRPr="002021B7">
              <w:rPr>
                <w:rFonts w:ascii="Palatino Linotype" w:hAnsi="Palatino Linotype"/>
                <w:sz w:val="24"/>
                <w:szCs w:val="24"/>
                <w:lang w:val="es-ES"/>
              </w:rPr>
              <w:tab/>
              <w:t>Afecte los derechos del debido proceso;</w:t>
            </w:r>
          </w:p>
        </w:tc>
      </w:tr>
      <w:tr w:rsidR="000161B6" w:rsidRPr="002021B7" w:rsidTr="00D96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cs="Arial"/>
                <w:b w:val="0"/>
                <w:bCs w:val="0"/>
                <w:sz w:val="24"/>
                <w:szCs w:val="24"/>
              </w:rPr>
            </w:pPr>
            <w:r w:rsidRPr="002021B7">
              <w:rPr>
                <w:rFonts w:ascii="Palatino Linotype" w:hAnsi="Palatino Linotype" w:cs="Arial"/>
                <w:b w:val="0"/>
                <w:sz w:val="24"/>
                <w:szCs w:val="24"/>
              </w:rPr>
              <w:t xml:space="preserve">VIII. Vulnere la conducción de los expedientes judiciales o de los procedimientos administrativos </w:t>
            </w:r>
            <w:r w:rsidRPr="002021B7">
              <w:rPr>
                <w:rFonts w:ascii="Palatino Linotype" w:hAnsi="Palatino Linotype" w:cs="Arial"/>
                <w:b w:val="0"/>
                <w:sz w:val="24"/>
                <w:szCs w:val="24"/>
              </w:rPr>
              <w:lastRenderedPageBreak/>
              <w:t>seguidos en forma de juicio, en tanto no hayan quedado firmes;</w:t>
            </w:r>
          </w:p>
        </w:tc>
        <w:tc>
          <w:tcPr>
            <w:tcW w:w="4089" w:type="dxa"/>
          </w:tcPr>
          <w:p w:rsidR="000161B6" w:rsidRPr="002021B7" w:rsidRDefault="000161B6" w:rsidP="00D9672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lastRenderedPageBreak/>
              <w:t>XI.</w:t>
            </w:r>
            <w:r w:rsidRPr="002021B7">
              <w:rPr>
                <w:rFonts w:ascii="Palatino Linotype" w:hAnsi="Palatino Linotype"/>
                <w:sz w:val="24"/>
                <w:szCs w:val="24"/>
                <w:lang w:val="es-ES"/>
              </w:rPr>
              <w:tab/>
              <w:t xml:space="preserve">Vulnere la conducción de los Expedientes judiciales o de los procedimientos administrativos </w:t>
            </w:r>
            <w:r w:rsidRPr="002021B7">
              <w:rPr>
                <w:rFonts w:ascii="Palatino Linotype" w:hAnsi="Palatino Linotype"/>
                <w:sz w:val="24"/>
                <w:szCs w:val="24"/>
                <w:lang w:val="es-ES"/>
              </w:rPr>
              <w:lastRenderedPageBreak/>
              <w:t>seguidos en forma de juicio, en tanto no hayan causado estado;</w:t>
            </w:r>
          </w:p>
        </w:tc>
      </w:tr>
      <w:tr w:rsidR="000161B6" w:rsidRPr="002021B7" w:rsidTr="00D96722">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lastRenderedPageBreak/>
              <w:t>IX. Se encuentre contenida dentro de las investigaciones de hechos que la Ley señale como delitos y se tramiten ante el Ministerio Público;</w:t>
            </w:r>
          </w:p>
        </w:tc>
        <w:tc>
          <w:tcPr>
            <w:tcW w:w="4089" w:type="dxa"/>
          </w:tcPr>
          <w:p w:rsidR="000161B6" w:rsidRPr="002021B7" w:rsidRDefault="000161B6" w:rsidP="00D9672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XII.</w:t>
            </w:r>
            <w:r w:rsidRPr="002021B7">
              <w:rPr>
                <w:rFonts w:ascii="Palatino Linotype" w:hAnsi="Palatino Linotype"/>
                <w:sz w:val="24"/>
                <w:szCs w:val="24"/>
                <w:lang w:val="es-ES"/>
              </w:rPr>
              <w:tab/>
              <w:t>Se encuentre contenida dentro de las investigaciones de hechos que la ley señale como delitos y se tramiten ante el Ministerio Público, y</w:t>
            </w:r>
          </w:p>
        </w:tc>
      </w:tr>
      <w:tr w:rsidR="000161B6" w:rsidRPr="002021B7" w:rsidTr="00D96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161B6" w:rsidRPr="002021B7" w:rsidRDefault="000161B6" w:rsidP="00D96722">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 xml:space="preserve">Cuando se trate de información sobre estudios y proyectos cuya divulgación pueda causar daños al interés del Estado o suponga un riesgo para su realización, </w:t>
            </w:r>
            <w:r w:rsidRPr="002021B7">
              <w:rPr>
                <w:rFonts w:ascii="Palatino Linotype" w:hAnsi="Palatino Linotype" w:cs="Arial"/>
                <w:b w:val="0"/>
                <w:sz w:val="24"/>
                <w:szCs w:val="24"/>
              </w:rPr>
              <w:lastRenderedPageBreak/>
              <w:t>siempre que esté directamente relacionado con procesos o procedimientos administrativos o judiciales que no hayan quedado firmes; y</w:t>
            </w:r>
          </w:p>
        </w:tc>
        <w:tc>
          <w:tcPr>
            <w:tcW w:w="4089" w:type="dxa"/>
          </w:tcPr>
          <w:p w:rsidR="000161B6" w:rsidRPr="002021B7" w:rsidRDefault="000161B6" w:rsidP="00D9672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0161B6" w:rsidRPr="002021B7" w:rsidTr="00D96722">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D96722">
            <w:pPr>
              <w:spacing w:line="360" w:lineRule="auto"/>
              <w:jc w:val="both"/>
              <w:rPr>
                <w:rFonts w:ascii="Palatino Linotype" w:hAnsi="Palatino Linotype"/>
                <w:b w:val="0"/>
                <w:sz w:val="24"/>
                <w:szCs w:val="24"/>
              </w:rPr>
            </w:pPr>
            <w:r w:rsidRPr="002021B7">
              <w:rPr>
                <w:rFonts w:ascii="Palatino Linotype" w:hAnsi="Palatino Linotype" w:cs="Arial"/>
                <w:b w:val="0"/>
                <w:sz w:val="24"/>
                <w:szCs w:val="24"/>
              </w:rPr>
              <w:t>XI. Las que por disposición expresa de una ley tengan tal carácter, siempre que sean acordes con las bases, principios y disposiciones establecidos en esta Ley y no la contravengan; así como las previstas en tratados internacionales.</w:t>
            </w:r>
          </w:p>
        </w:tc>
        <w:tc>
          <w:tcPr>
            <w:tcW w:w="4089" w:type="dxa"/>
          </w:tcPr>
          <w:p w:rsidR="000161B6" w:rsidRPr="002021B7" w:rsidRDefault="000161B6" w:rsidP="00D9672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XIII.</w:t>
            </w:r>
            <w:r w:rsidRPr="002021B7">
              <w:rPr>
                <w:rFonts w:ascii="Palatino Linotype" w:hAnsi="Palatino Linotype"/>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0161B6" w:rsidRPr="002021B7" w:rsidRDefault="000161B6" w:rsidP="000161B6">
      <w:pPr>
        <w:spacing w:line="360" w:lineRule="auto"/>
        <w:jc w:val="both"/>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lastRenderedPageBreak/>
        <w:t>Como consecuencia de lo anterior, el sujeto obligado debe identificar claramente el tipo de información y hacer un juicio de subsunción o encaje</w:t>
      </w:r>
      <w:r w:rsidRPr="002021B7">
        <w:rPr>
          <w:rStyle w:val="Refdenotaalpie"/>
          <w:rFonts w:ascii="Palatino Linotype" w:hAnsi="Palatino Linotype" w:cs="Arial"/>
          <w:color w:val="000000" w:themeColor="text1"/>
          <w:sz w:val="24"/>
          <w:szCs w:val="24"/>
        </w:rPr>
        <w:footnoteReference w:id="3"/>
      </w:r>
      <w:r w:rsidRPr="002021B7">
        <w:rPr>
          <w:rFonts w:ascii="Palatino Linotype" w:hAnsi="Palatino Linotype" w:cs="Arial"/>
          <w:color w:val="000000" w:themeColor="text1"/>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Una vez hecho lo anterior, se remite la información al Titular de la Unidad de Transparencia, con el acuerdo de clasificación correspondiente, para que sea sometido al conocimiento del Comité de Transparencia.</w:t>
      </w:r>
    </w:p>
    <w:p w:rsidR="000161B6" w:rsidRDefault="000161B6" w:rsidP="000161B6">
      <w:pPr>
        <w:pStyle w:val="Prrafodelista"/>
        <w:spacing w:line="360" w:lineRule="auto"/>
        <w:ind w:left="1080"/>
        <w:jc w:val="both"/>
        <w:rPr>
          <w:rFonts w:ascii="Palatino Linotype" w:hAnsi="Palatino Linotype"/>
          <w:b/>
          <w:sz w:val="24"/>
          <w:szCs w:val="24"/>
        </w:rPr>
      </w:pPr>
    </w:p>
    <w:p w:rsidR="000161B6" w:rsidRPr="00CC7D48" w:rsidRDefault="000161B6" w:rsidP="003E4DF1">
      <w:pPr>
        <w:pStyle w:val="Ttulo2"/>
        <w:numPr>
          <w:ilvl w:val="0"/>
          <w:numId w:val="3"/>
        </w:numPr>
        <w:ind w:left="709"/>
        <w:rPr>
          <w:rFonts w:ascii="Palatino Linotype" w:hAnsi="Palatino Linotype"/>
          <w:b/>
          <w:color w:val="auto"/>
          <w:sz w:val="24"/>
        </w:rPr>
      </w:pPr>
      <w:bookmarkStart w:id="6" w:name="_Toc11082146"/>
      <w:r w:rsidRPr="00CC7D48">
        <w:rPr>
          <w:rFonts w:ascii="Palatino Linotype" w:hAnsi="Palatino Linotype"/>
          <w:b/>
          <w:color w:val="auto"/>
          <w:sz w:val="24"/>
        </w:rPr>
        <w:lastRenderedPageBreak/>
        <w:t>Excepciones a los supuestos de clasificación de la información como reservada</w:t>
      </w:r>
      <w:bookmarkEnd w:id="6"/>
    </w:p>
    <w:p w:rsidR="000161B6" w:rsidRDefault="000161B6" w:rsidP="003E4DF1">
      <w:pPr>
        <w:pStyle w:val="NormalWeb"/>
        <w:numPr>
          <w:ilvl w:val="0"/>
          <w:numId w:val="1"/>
        </w:numPr>
        <w:spacing w:line="360" w:lineRule="auto"/>
        <w:ind w:left="426"/>
        <w:jc w:val="both"/>
        <w:rPr>
          <w:rFonts w:ascii="Palatino Linotype" w:hAnsi="Palatino Linotype"/>
        </w:rPr>
      </w:pPr>
      <w:r w:rsidRPr="002021B7">
        <w:rPr>
          <w:rFonts w:ascii="Palatino Linotype" w:hAnsi="Palatino Linotype"/>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1A71CA" w:rsidRDefault="001A71CA" w:rsidP="001A71CA">
      <w:pPr>
        <w:pStyle w:val="NormalWeb"/>
        <w:spacing w:line="360" w:lineRule="auto"/>
        <w:jc w:val="both"/>
        <w:rPr>
          <w:rFonts w:ascii="Palatino Linotype" w:hAnsi="Palatino Linotype"/>
        </w:rPr>
      </w:pPr>
    </w:p>
    <w:p w:rsidR="001A71CA" w:rsidRDefault="001A71CA" w:rsidP="001A71CA">
      <w:pPr>
        <w:pStyle w:val="NormalWeb"/>
        <w:spacing w:line="360" w:lineRule="auto"/>
        <w:jc w:val="both"/>
        <w:rPr>
          <w:rFonts w:ascii="Palatino Linotype" w:hAnsi="Palatino Linotype"/>
        </w:rPr>
      </w:pPr>
    </w:p>
    <w:p w:rsidR="000161B6" w:rsidRPr="00CC7D48" w:rsidRDefault="000161B6" w:rsidP="003E4DF1">
      <w:pPr>
        <w:pStyle w:val="Ttulo2"/>
        <w:numPr>
          <w:ilvl w:val="0"/>
          <w:numId w:val="3"/>
        </w:numPr>
        <w:rPr>
          <w:rFonts w:ascii="Palatino Linotype" w:hAnsi="Palatino Linotype"/>
          <w:b/>
          <w:color w:val="auto"/>
          <w:sz w:val="24"/>
        </w:rPr>
      </w:pPr>
      <w:bookmarkStart w:id="7" w:name="_Toc485891456"/>
      <w:bookmarkStart w:id="8" w:name="_Toc11082147"/>
      <w:r w:rsidRPr="00CC7D48">
        <w:rPr>
          <w:rFonts w:ascii="Palatino Linotype" w:hAnsi="Palatino Linotype"/>
          <w:b/>
          <w:color w:val="auto"/>
          <w:sz w:val="24"/>
        </w:rPr>
        <w:lastRenderedPageBreak/>
        <w:t>La intervención del Comité de Transparencia.</w:t>
      </w:r>
      <w:bookmarkEnd w:id="7"/>
      <w:bookmarkEnd w:id="8"/>
    </w:p>
    <w:p w:rsidR="000161B6" w:rsidRPr="0047457F" w:rsidRDefault="000161B6" w:rsidP="000161B6">
      <w:pPr>
        <w:pStyle w:val="Prrafodelista"/>
        <w:spacing w:line="360" w:lineRule="auto"/>
        <w:ind w:left="567"/>
        <w:jc w:val="both"/>
        <w:rPr>
          <w:rFonts w:ascii="Palatino Linotype" w:hAnsi="Palatino Linotype" w:cs="Arial"/>
          <w:b/>
          <w:color w:val="000000" w:themeColor="text1"/>
          <w:sz w:val="24"/>
          <w:szCs w:val="24"/>
        </w:rPr>
      </w:pPr>
    </w:p>
    <w:p w:rsidR="000161B6" w:rsidRDefault="000161B6" w:rsidP="003E4DF1">
      <w:pPr>
        <w:pStyle w:val="Ttulo3"/>
        <w:numPr>
          <w:ilvl w:val="0"/>
          <w:numId w:val="4"/>
        </w:numPr>
        <w:rPr>
          <w:rFonts w:ascii="Palatino Linotype" w:hAnsi="Palatino Linotype"/>
          <w:b/>
          <w:color w:val="auto"/>
        </w:rPr>
      </w:pPr>
      <w:bookmarkStart w:id="9" w:name="_Toc11082148"/>
      <w:r w:rsidRPr="00CC7D48">
        <w:rPr>
          <w:rFonts w:ascii="Palatino Linotype" w:hAnsi="Palatino Linotype"/>
          <w:b/>
          <w:color w:val="auto"/>
        </w:rPr>
        <w:t>Formalidades para emitir el acuerdo de clasificación.</w:t>
      </w:r>
      <w:bookmarkEnd w:id="9"/>
    </w:p>
    <w:p w:rsidR="001A71CA" w:rsidRPr="001A71CA" w:rsidRDefault="001A71CA" w:rsidP="001A71CA"/>
    <w:p w:rsidR="000161B6" w:rsidRPr="002021B7" w:rsidRDefault="000161B6" w:rsidP="003E4DF1">
      <w:pPr>
        <w:pStyle w:val="Prrafodelista"/>
        <w:numPr>
          <w:ilvl w:val="0"/>
          <w:numId w:val="1"/>
        </w:numPr>
        <w:spacing w:line="360" w:lineRule="auto"/>
        <w:ind w:left="426"/>
        <w:jc w:val="both"/>
        <w:rPr>
          <w:rFonts w:ascii="Palatino Linotype" w:eastAsia="Times New Roman" w:hAnsi="Palatino Linotype" w:cs="Times New Roman"/>
          <w:sz w:val="24"/>
          <w:szCs w:val="24"/>
          <w:lang w:val="es-ES_tradnl" w:eastAsia="es-ES_tradnl"/>
        </w:rPr>
      </w:pPr>
      <w:r w:rsidRPr="002021B7">
        <w:rPr>
          <w:rFonts w:ascii="Palatino Linotype" w:hAnsi="Palatino Linotype" w:cs="Arial"/>
          <w:color w:val="000000" w:themeColor="text1"/>
          <w:sz w:val="24"/>
          <w:szCs w:val="24"/>
        </w:rPr>
        <w:t xml:space="preserve">El Comité de Transparencia, según lo dispuesto en los artículos 128 y 103 de la Ley Estatal y de la Ley General, respectivamente, y </w:t>
      </w:r>
      <w:r w:rsidRPr="002021B7">
        <w:rPr>
          <w:rFonts w:ascii="Palatino Linotype" w:hAnsi="Palatino Linotype"/>
          <w:sz w:val="24"/>
          <w:szCs w:val="24"/>
        </w:rPr>
        <w:t xml:space="preserve">la fracción III del numeral Segundo de los </w:t>
      </w:r>
      <w:r w:rsidRPr="002021B7">
        <w:rPr>
          <w:rFonts w:ascii="Palatino Linotype" w:hAnsi="Palatino Linotype" w:cs="Arial"/>
          <w:color w:val="000000" w:themeColor="text1"/>
          <w:sz w:val="24"/>
          <w:szCs w:val="24"/>
        </w:rPr>
        <w:t>Lineamientos generales en materia de clasificación y desclasificación de la información, así como para la elaboración de versiones públicas, en adelante los Lineamientos Generales,</w:t>
      </w:r>
      <w:r w:rsidRPr="002021B7">
        <w:rPr>
          <w:rFonts w:ascii="Palatino Linotype" w:hAnsi="Palatino Linotype"/>
          <w:sz w:val="24"/>
          <w:szCs w:val="24"/>
        </w:rPr>
        <w:t xml:space="preserve"> </w:t>
      </w:r>
      <w:r w:rsidRPr="002021B7">
        <w:rPr>
          <w:rFonts w:ascii="Palatino Linotype" w:hAnsi="Palatino Linotype" w:cs="Arial"/>
          <w:color w:val="000000" w:themeColor="text1"/>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w:t>
      </w:r>
      <w:r w:rsidRPr="002021B7">
        <w:rPr>
          <w:rFonts w:ascii="Palatino Linotype" w:hAnsi="Palatino Linotype" w:cs="Arial"/>
          <w:color w:val="000000" w:themeColor="text1"/>
          <w:sz w:val="24"/>
          <w:szCs w:val="24"/>
        </w:rPr>
        <w:lastRenderedPageBreak/>
        <w:t>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A71CA" w:rsidRPr="001A71CA" w:rsidRDefault="001A71CA" w:rsidP="001A71CA">
      <w:pPr>
        <w:pStyle w:val="Prrafodelista"/>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sz w:val="24"/>
          <w:szCs w:val="24"/>
        </w:rPr>
      </w:pPr>
      <w:r w:rsidRPr="002021B7">
        <w:rPr>
          <w:rFonts w:ascii="Palatino Linotype" w:hAnsi="Palatino Linotype"/>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0161B6" w:rsidRPr="00CC7D48" w:rsidRDefault="000161B6" w:rsidP="003E4DF1">
      <w:pPr>
        <w:pStyle w:val="Ttulo3"/>
        <w:numPr>
          <w:ilvl w:val="0"/>
          <w:numId w:val="4"/>
        </w:numPr>
        <w:rPr>
          <w:rFonts w:ascii="Palatino Linotype" w:hAnsi="Palatino Linotype"/>
          <w:b/>
          <w:color w:val="auto"/>
        </w:rPr>
      </w:pPr>
      <w:bookmarkStart w:id="10" w:name="_Toc11082149"/>
      <w:r w:rsidRPr="00CC7D48">
        <w:rPr>
          <w:rFonts w:ascii="Palatino Linotype" w:hAnsi="Palatino Linotype"/>
          <w:b/>
          <w:color w:val="auto"/>
        </w:rPr>
        <w:t>Requisitos de fondo del acuerdo de clasificación</w:t>
      </w:r>
      <w:bookmarkEnd w:id="10"/>
    </w:p>
    <w:p w:rsidR="000161B6" w:rsidRPr="0047457F" w:rsidRDefault="000161B6" w:rsidP="000161B6">
      <w:pPr>
        <w:pStyle w:val="Prrafodelista"/>
        <w:spacing w:line="360" w:lineRule="auto"/>
        <w:ind w:left="360"/>
        <w:jc w:val="both"/>
        <w:rPr>
          <w:rFonts w:ascii="Palatino Linotype" w:hAnsi="Palatino Linotype" w:cs="Arial"/>
          <w:b/>
          <w:color w:val="000000" w:themeColor="text1"/>
          <w:sz w:val="24"/>
          <w:szCs w:val="24"/>
        </w:rPr>
      </w:pPr>
    </w:p>
    <w:p w:rsidR="000161B6" w:rsidRPr="002021B7" w:rsidRDefault="000161B6" w:rsidP="003E4DF1">
      <w:pPr>
        <w:pStyle w:val="Prrafodelista"/>
        <w:numPr>
          <w:ilvl w:val="0"/>
          <w:numId w:val="1"/>
        </w:numPr>
        <w:spacing w:line="360" w:lineRule="auto"/>
        <w:ind w:left="426" w:hanging="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Pr="002021B7">
        <w:rPr>
          <w:rFonts w:ascii="Palatino Linotype" w:hAnsi="Palatino Linotype" w:cs="Arial"/>
          <w:color w:val="000000" w:themeColor="text1"/>
          <w:sz w:val="24"/>
          <w:szCs w:val="24"/>
        </w:rPr>
        <w:lastRenderedPageBreak/>
        <w:t xml:space="preserve">sujetos obligados, por lo que deberán fundar y motivar debidamente la clasificación. </w:t>
      </w:r>
    </w:p>
    <w:p w:rsidR="000161B6" w:rsidRPr="002021B7" w:rsidRDefault="000161B6" w:rsidP="000161B6">
      <w:pPr>
        <w:pStyle w:val="Prrafodelista"/>
        <w:spacing w:line="360" w:lineRule="auto"/>
        <w:ind w:left="426" w:hanging="426"/>
        <w:jc w:val="both"/>
        <w:rPr>
          <w:rFonts w:ascii="Palatino Linotype" w:hAnsi="Palatino Linotype"/>
          <w:sz w:val="24"/>
          <w:szCs w:val="24"/>
        </w:rPr>
      </w:pPr>
    </w:p>
    <w:p w:rsidR="000161B6" w:rsidRPr="002021B7" w:rsidRDefault="000161B6" w:rsidP="003E4DF1">
      <w:pPr>
        <w:pStyle w:val="Prrafodelista"/>
        <w:numPr>
          <w:ilvl w:val="0"/>
          <w:numId w:val="1"/>
        </w:numPr>
        <w:spacing w:line="360" w:lineRule="auto"/>
        <w:ind w:left="426" w:hanging="426"/>
        <w:jc w:val="both"/>
        <w:rPr>
          <w:rFonts w:ascii="Palatino Linotype" w:hAnsi="Palatino Linotype"/>
          <w:sz w:val="24"/>
          <w:szCs w:val="24"/>
        </w:rPr>
      </w:pPr>
      <w:r w:rsidRPr="002021B7">
        <w:rPr>
          <w:rFonts w:ascii="Palatino Linotype" w:hAnsi="Palatino Linotype"/>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161B6" w:rsidRPr="002021B7" w:rsidRDefault="000161B6" w:rsidP="000161B6">
      <w:pPr>
        <w:pStyle w:val="Prrafodelista"/>
        <w:spacing w:line="360" w:lineRule="auto"/>
        <w:ind w:left="1068"/>
        <w:jc w:val="both"/>
        <w:rPr>
          <w:rFonts w:ascii="Palatino Linotype" w:hAnsi="Palatino Linotype" w:cs="Arial"/>
          <w:color w:val="000000" w:themeColor="text1"/>
          <w:sz w:val="24"/>
          <w:szCs w:val="24"/>
        </w:rPr>
      </w:pPr>
    </w:p>
    <w:p w:rsidR="000161B6" w:rsidRPr="00CC7D48" w:rsidRDefault="000161B6" w:rsidP="003E4DF1">
      <w:pPr>
        <w:pStyle w:val="Ttulo2"/>
        <w:numPr>
          <w:ilvl w:val="0"/>
          <w:numId w:val="3"/>
        </w:numPr>
        <w:rPr>
          <w:rFonts w:ascii="Palatino Linotype" w:hAnsi="Palatino Linotype"/>
          <w:b/>
          <w:color w:val="auto"/>
          <w:sz w:val="24"/>
          <w:szCs w:val="24"/>
        </w:rPr>
      </w:pPr>
      <w:bookmarkStart w:id="11" w:name="_Toc485891457"/>
      <w:bookmarkStart w:id="12" w:name="_Toc11082150"/>
      <w:r w:rsidRPr="00CC7D48">
        <w:rPr>
          <w:rFonts w:ascii="Palatino Linotype" w:hAnsi="Palatino Linotype"/>
          <w:b/>
          <w:color w:val="auto"/>
          <w:sz w:val="24"/>
          <w:szCs w:val="24"/>
        </w:rPr>
        <w:t>Condiciones especiales de la clasificación de la información como reservada</w:t>
      </w:r>
      <w:bookmarkEnd w:id="11"/>
      <w:bookmarkEnd w:id="12"/>
      <w:r w:rsidRPr="00CC7D48">
        <w:rPr>
          <w:rFonts w:ascii="Palatino Linotype" w:hAnsi="Palatino Linotype"/>
          <w:b/>
          <w:color w:val="auto"/>
          <w:sz w:val="24"/>
          <w:szCs w:val="24"/>
        </w:rPr>
        <w:t xml:space="preserve"> </w:t>
      </w:r>
    </w:p>
    <w:p w:rsidR="000161B6" w:rsidRPr="002021B7" w:rsidRDefault="000161B6" w:rsidP="000161B6">
      <w:pPr>
        <w:pStyle w:val="Prrafodelista"/>
        <w:spacing w:line="360" w:lineRule="auto"/>
        <w:ind w:left="1428"/>
        <w:jc w:val="both"/>
        <w:rPr>
          <w:rFonts w:ascii="Palatino Linotype" w:hAnsi="Palatino Linotype" w:cs="Arial"/>
          <w:b/>
          <w:color w:val="000000" w:themeColor="text1"/>
          <w:sz w:val="24"/>
          <w:szCs w:val="24"/>
        </w:rPr>
      </w:pPr>
    </w:p>
    <w:p w:rsidR="000161B6" w:rsidRPr="00CC7D48" w:rsidRDefault="000161B6" w:rsidP="003E4DF1">
      <w:pPr>
        <w:pStyle w:val="Ttulo3"/>
        <w:numPr>
          <w:ilvl w:val="0"/>
          <w:numId w:val="5"/>
        </w:numPr>
        <w:rPr>
          <w:rFonts w:ascii="Palatino Linotype" w:hAnsi="Palatino Linotype"/>
          <w:b/>
          <w:color w:val="auto"/>
        </w:rPr>
      </w:pPr>
      <w:bookmarkStart w:id="13" w:name="_Toc11082151"/>
      <w:r w:rsidRPr="00CC7D48">
        <w:rPr>
          <w:rFonts w:ascii="Palatino Linotype" w:hAnsi="Palatino Linotype"/>
          <w:b/>
          <w:color w:val="auto"/>
        </w:rPr>
        <w:t>La fundamentación específica</w:t>
      </w:r>
      <w:bookmarkEnd w:id="13"/>
    </w:p>
    <w:p w:rsidR="000161B6" w:rsidRPr="002021B7" w:rsidRDefault="000161B6" w:rsidP="000161B6">
      <w:pPr>
        <w:pStyle w:val="Prrafodelista"/>
        <w:spacing w:line="360" w:lineRule="auto"/>
        <w:ind w:left="360"/>
        <w:jc w:val="both"/>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w:t>
      </w:r>
      <w:r w:rsidRPr="002021B7">
        <w:rPr>
          <w:rFonts w:ascii="Palatino Linotype" w:hAnsi="Palatino Linotype" w:cs="Arial"/>
          <w:color w:val="000000" w:themeColor="text1"/>
          <w:sz w:val="24"/>
          <w:szCs w:val="24"/>
        </w:rPr>
        <w:lastRenderedPageBreak/>
        <w:t>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0161B6" w:rsidRPr="002021B7" w:rsidRDefault="000161B6" w:rsidP="000161B6">
      <w:pPr>
        <w:pStyle w:val="Prrafodelista"/>
        <w:spacing w:line="360" w:lineRule="auto"/>
        <w:ind w:left="1428"/>
        <w:jc w:val="both"/>
        <w:rPr>
          <w:rFonts w:ascii="Palatino Linotype" w:hAnsi="Palatino Linotype" w:cs="Arial"/>
          <w:b/>
          <w:color w:val="000000" w:themeColor="text1"/>
          <w:sz w:val="24"/>
          <w:szCs w:val="24"/>
        </w:rPr>
      </w:pPr>
    </w:p>
    <w:p w:rsidR="000161B6" w:rsidRPr="00CC7D48" w:rsidRDefault="000161B6" w:rsidP="003E4DF1">
      <w:pPr>
        <w:pStyle w:val="Ttulo3"/>
        <w:numPr>
          <w:ilvl w:val="0"/>
          <w:numId w:val="5"/>
        </w:numPr>
        <w:rPr>
          <w:rFonts w:ascii="Palatino Linotype" w:hAnsi="Palatino Linotype"/>
          <w:b/>
          <w:color w:val="auto"/>
        </w:rPr>
      </w:pPr>
      <w:bookmarkStart w:id="14" w:name="_Toc11082152"/>
      <w:r w:rsidRPr="00CC7D48">
        <w:rPr>
          <w:rFonts w:ascii="Palatino Linotype" w:hAnsi="Palatino Linotype"/>
          <w:b/>
          <w:color w:val="auto"/>
        </w:rPr>
        <w:t>La prueba de daño</w:t>
      </w:r>
      <w:bookmarkEnd w:id="14"/>
    </w:p>
    <w:p w:rsidR="000161B6" w:rsidRPr="002021B7" w:rsidRDefault="000161B6" w:rsidP="000161B6">
      <w:pPr>
        <w:pStyle w:val="Prrafodelista"/>
        <w:spacing w:line="360" w:lineRule="auto"/>
        <w:ind w:left="360"/>
        <w:jc w:val="both"/>
        <w:rPr>
          <w:rFonts w:ascii="Palatino Linotype" w:hAnsi="Palatino Linotype"/>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sz w:val="24"/>
          <w:szCs w:val="24"/>
        </w:rPr>
      </w:pPr>
      <w:r w:rsidRPr="002021B7">
        <w:rPr>
          <w:rFonts w:ascii="Palatino Linotype" w:hAnsi="Palatino Linotype"/>
          <w:sz w:val="24"/>
          <w:szCs w:val="24"/>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0161B6" w:rsidRPr="002021B7" w:rsidRDefault="000161B6" w:rsidP="000161B6">
      <w:pPr>
        <w:pStyle w:val="Prrafodelista"/>
        <w:spacing w:line="360" w:lineRule="auto"/>
        <w:ind w:left="426"/>
        <w:jc w:val="both"/>
        <w:rPr>
          <w:rFonts w:ascii="Palatino Linotype" w:hAnsi="Palatino Linotype"/>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sz w:val="24"/>
          <w:szCs w:val="24"/>
        </w:rPr>
      </w:pPr>
      <w:r w:rsidRPr="002021B7">
        <w:rPr>
          <w:rFonts w:ascii="Palatino Linotype" w:hAnsi="Palatino Linotype"/>
          <w:sz w:val="24"/>
          <w:szCs w:val="24"/>
        </w:rPr>
        <w:t>Para aplicar la prueba de daño, se deberán de precisar la razones objetivas por las que la apertura genera una afectación, acreditando que:</w:t>
      </w:r>
    </w:p>
    <w:p w:rsidR="000161B6" w:rsidRPr="002021B7" w:rsidRDefault="000161B6" w:rsidP="000161B6">
      <w:pPr>
        <w:widowControl w:val="0"/>
        <w:autoSpaceDE w:val="0"/>
        <w:autoSpaceDN w:val="0"/>
        <w:adjustRightInd w:val="0"/>
        <w:spacing w:after="240" w:line="360" w:lineRule="auto"/>
        <w:ind w:left="709" w:right="333" w:hanging="283"/>
        <w:jc w:val="both"/>
        <w:rPr>
          <w:rFonts w:ascii="Palatino Linotype" w:hAnsi="Palatino Linotype" w:cs="Times"/>
          <w:color w:val="000000"/>
          <w:sz w:val="24"/>
          <w:szCs w:val="24"/>
          <w:lang w:val="es-ES_tradnl"/>
        </w:rPr>
      </w:pPr>
      <w:r w:rsidRPr="002021B7">
        <w:rPr>
          <w:rFonts w:ascii="Palatino Linotype" w:hAnsi="Palatino Linotype" w:cs="Bookman Old Style"/>
          <w:bCs/>
          <w:color w:val="000000"/>
          <w:sz w:val="24"/>
          <w:szCs w:val="24"/>
          <w:lang w:val="es-ES_tradnl"/>
        </w:rPr>
        <w:t xml:space="preserve">I. </w:t>
      </w:r>
      <w:r w:rsidRPr="002021B7">
        <w:rPr>
          <w:rFonts w:ascii="Palatino Linotype" w:hAnsi="Palatino Linotype" w:cs="Bookman Old Style"/>
          <w:color w:val="000000"/>
          <w:sz w:val="24"/>
          <w:szCs w:val="24"/>
          <w:lang w:val="es-ES_tradnl"/>
        </w:rPr>
        <w:t xml:space="preserve">La divulgación de la información representa un </w:t>
      </w:r>
      <w:r w:rsidRPr="001A71CA">
        <w:rPr>
          <w:rFonts w:ascii="Palatino Linotype" w:hAnsi="Palatino Linotype" w:cs="Bookman Old Style"/>
          <w:b/>
          <w:color w:val="000000"/>
          <w:sz w:val="24"/>
          <w:szCs w:val="24"/>
          <w:lang w:val="es-ES_tradnl"/>
        </w:rPr>
        <w:t xml:space="preserve">riesgo real, demostrable e </w:t>
      </w:r>
      <w:r w:rsidRPr="001A71CA">
        <w:rPr>
          <w:rFonts w:ascii="Palatino Linotype" w:hAnsi="Palatino Linotype" w:cs="Bookman Old Style"/>
          <w:b/>
          <w:color w:val="000000"/>
          <w:sz w:val="24"/>
          <w:szCs w:val="24"/>
          <w:lang w:val="es-ES_tradnl"/>
        </w:rPr>
        <w:lastRenderedPageBreak/>
        <w:t xml:space="preserve">identificable </w:t>
      </w:r>
      <w:r w:rsidRPr="002021B7">
        <w:rPr>
          <w:rFonts w:ascii="Palatino Linotype" w:hAnsi="Palatino Linotype" w:cs="Bookman Old Style"/>
          <w:color w:val="000000"/>
          <w:sz w:val="24"/>
          <w:szCs w:val="24"/>
          <w:lang w:val="es-ES_tradnl"/>
        </w:rPr>
        <w:t xml:space="preserve">del perjuicio significativo al interés público o a la seguridad pública; </w:t>
      </w:r>
    </w:p>
    <w:p w:rsidR="000161B6" w:rsidRPr="002021B7" w:rsidRDefault="000161B6" w:rsidP="000161B6">
      <w:pPr>
        <w:widowControl w:val="0"/>
        <w:autoSpaceDE w:val="0"/>
        <w:autoSpaceDN w:val="0"/>
        <w:adjustRightInd w:val="0"/>
        <w:spacing w:after="240" w:line="360" w:lineRule="auto"/>
        <w:ind w:left="709" w:right="333" w:hanging="283"/>
        <w:jc w:val="both"/>
        <w:rPr>
          <w:rFonts w:ascii="Palatino Linotype" w:hAnsi="Palatino Linotype" w:cs="Times"/>
          <w:color w:val="000000"/>
          <w:sz w:val="24"/>
          <w:szCs w:val="24"/>
          <w:lang w:val="es-ES_tradnl"/>
        </w:rPr>
      </w:pPr>
      <w:r w:rsidRPr="002021B7">
        <w:rPr>
          <w:rFonts w:ascii="Palatino Linotype" w:hAnsi="Palatino Linotype" w:cs="Bookman Old Style"/>
          <w:bCs/>
          <w:color w:val="000000"/>
          <w:sz w:val="24"/>
          <w:szCs w:val="24"/>
          <w:lang w:val="es-ES_tradnl"/>
        </w:rPr>
        <w:t xml:space="preserve">II. </w:t>
      </w:r>
      <w:r w:rsidRPr="002021B7">
        <w:rPr>
          <w:rFonts w:ascii="Palatino Linotype" w:hAnsi="Palatino Linotype" w:cs="Bookman Old Style"/>
          <w:color w:val="000000"/>
          <w:sz w:val="24"/>
          <w:szCs w:val="24"/>
          <w:lang w:val="es-ES_tradnl"/>
        </w:rPr>
        <w:t xml:space="preserve">El riesgo de perjuicio que supondría la divulgación supera el interés público general de que se difunda; y </w:t>
      </w:r>
    </w:p>
    <w:p w:rsidR="000161B6" w:rsidRPr="002021B7" w:rsidRDefault="000161B6" w:rsidP="000161B6">
      <w:pPr>
        <w:widowControl w:val="0"/>
        <w:autoSpaceDE w:val="0"/>
        <w:autoSpaceDN w:val="0"/>
        <w:adjustRightInd w:val="0"/>
        <w:spacing w:after="240" w:line="360" w:lineRule="auto"/>
        <w:ind w:left="709" w:right="333" w:hanging="283"/>
        <w:jc w:val="both"/>
        <w:rPr>
          <w:rFonts w:ascii="Palatino Linotype" w:hAnsi="Palatino Linotype" w:cs="Times"/>
          <w:color w:val="000000"/>
          <w:sz w:val="24"/>
          <w:szCs w:val="24"/>
          <w:lang w:val="es-ES_tradnl"/>
        </w:rPr>
      </w:pPr>
      <w:r w:rsidRPr="002021B7">
        <w:rPr>
          <w:rFonts w:ascii="Palatino Linotype" w:hAnsi="Palatino Linotype" w:cs="Bookman Old Style"/>
          <w:bCs/>
          <w:color w:val="000000"/>
          <w:sz w:val="24"/>
          <w:szCs w:val="24"/>
          <w:lang w:val="es-ES_tradnl"/>
        </w:rPr>
        <w:t xml:space="preserve">III. </w:t>
      </w:r>
      <w:r w:rsidRPr="002021B7">
        <w:rPr>
          <w:rFonts w:ascii="Palatino Linotype" w:hAnsi="Palatino Linotype" w:cs="Bookman Old Style"/>
          <w:color w:val="000000"/>
          <w:sz w:val="24"/>
          <w:szCs w:val="24"/>
          <w:lang w:val="es-ES_tradnl"/>
        </w:rPr>
        <w:t xml:space="preserve">La limitación se adecua al principio de proporcionalidad y representa el medio menos restrictivo disponible para evitar el perjuicio. </w:t>
      </w:r>
    </w:p>
    <w:p w:rsidR="000161B6" w:rsidRPr="00C618BE" w:rsidRDefault="000161B6" w:rsidP="003E4DF1">
      <w:pPr>
        <w:pStyle w:val="j"/>
        <w:numPr>
          <w:ilvl w:val="0"/>
          <w:numId w:val="1"/>
        </w:numPr>
        <w:shd w:val="clear" w:color="auto" w:fill="FFFFFF"/>
        <w:suppressAutoHyphens/>
        <w:spacing w:line="360" w:lineRule="auto"/>
        <w:ind w:left="426" w:hanging="357"/>
        <w:jc w:val="both"/>
        <w:textAlignment w:val="baseline"/>
        <w:rPr>
          <w:rFonts w:ascii="Palatino Linotype" w:hAnsi="Palatino Linotype"/>
        </w:rPr>
      </w:pPr>
      <w:r w:rsidRPr="00C618BE">
        <w:rPr>
          <w:rFonts w:ascii="Palatino Linotype" w:hAnsi="Palatino Linotype"/>
        </w:rPr>
        <w:t>Sobre el primer supuesto consideremos que según el diccionario del español jurídico, por riesgo podemos entender “la contingencia o proximidad de un daño”,</w:t>
      </w:r>
      <w:r w:rsidRPr="00C618BE">
        <w:rPr>
          <w:rStyle w:val="Refdenotaalpie"/>
          <w:rFonts w:ascii="Palatino Linotype" w:hAnsi="Palatino Linotype"/>
        </w:rPr>
        <w:footnoteReference w:id="4"/>
      </w:r>
      <w:r w:rsidRPr="00C618BE">
        <w:rPr>
          <w:rFonts w:ascii="Palatino Linotype" w:hAnsi="Palatino Linotype"/>
        </w:rPr>
        <w:t xml:space="preserve"> mientras que el daño es considerado como un “perjuicio o lesión”</w:t>
      </w:r>
      <w:r w:rsidRPr="00C618BE">
        <w:rPr>
          <w:rStyle w:val="Refdenotaalpie"/>
          <w:rFonts w:ascii="Palatino Linotype" w:hAnsi="Palatino Linotype"/>
        </w:rPr>
        <w:footnoteReference w:id="5"/>
      </w:r>
      <w:r w:rsidRPr="00C618BE">
        <w:rPr>
          <w:rFonts w:ascii="Palatino Linotype" w:hAnsi="Palatino Linotype"/>
        </w:rPr>
        <w:t>, mientras que según el Diccionario de la Lengua Española, lo real es</w:t>
      </w:r>
      <w:r w:rsidRPr="00C618BE">
        <w:rPr>
          <w:rFonts w:ascii="Palatino Linotype" w:eastAsia="Arial Unicode MS" w:hAnsi="Palatino Linotype" w:cs="Arial Unicode MS"/>
          <w:color w:val="000000"/>
          <w:spacing w:val="4"/>
          <w:shd w:val="clear" w:color="auto" w:fill="FFFFFF"/>
        </w:rPr>
        <w:t> lo “</w:t>
      </w:r>
      <w:r w:rsidRPr="00C618BE">
        <w:rPr>
          <w:rFonts w:ascii="Palatino Linotype" w:eastAsia="Times New Roman" w:hAnsi="Palatino Linotype"/>
        </w:rPr>
        <w:t>(q)ue</w:t>
      </w:r>
      <w:r w:rsidRPr="00C618BE">
        <w:rPr>
          <w:rFonts w:ascii="Palatino Linotype" w:eastAsia="Arial Unicode MS" w:hAnsi="Palatino Linotype" w:cs="Arial Unicode MS"/>
          <w:color w:val="000000"/>
          <w:spacing w:val="4"/>
          <w:shd w:val="clear" w:color="auto" w:fill="FFFFFF"/>
        </w:rPr>
        <w:t> </w:t>
      </w:r>
      <w:r w:rsidRPr="00C618BE">
        <w:rPr>
          <w:rFonts w:ascii="Palatino Linotype" w:eastAsia="Times New Roman" w:hAnsi="Palatino Linotype"/>
        </w:rPr>
        <w:t>tiene</w:t>
      </w:r>
      <w:r w:rsidRPr="00C618BE">
        <w:rPr>
          <w:rFonts w:ascii="Palatino Linotype" w:eastAsia="Arial Unicode MS" w:hAnsi="Palatino Linotype" w:cs="Arial Unicode MS"/>
          <w:color w:val="000000"/>
          <w:spacing w:val="4"/>
          <w:shd w:val="clear" w:color="auto" w:fill="FFFFFF"/>
        </w:rPr>
        <w:t> </w:t>
      </w:r>
      <w:r w:rsidRPr="00C618BE">
        <w:rPr>
          <w:rFonts w:ascii="Palatino Linotype" w:eastAsia="Times New Roman" w:hAnsi="Palatino Linotype"/>
        </w:rPr>
        <w:t>existencia</w:t>
      </w:r>
      <w:r w:rsidRPr="00C618BE">
        <w:rPr>
          <w:rFonts w:ascii="Palatino Linotype" w:eastAsia="Arial Unicode MS" w:hAnsi="Palatino Linotype" w:cs="Arial Unicode MS"/>
          <w:color w:val="000000"/>
          <w:spacing w:val="4"/>
          <w:shd w:val="clear" w:color="auto" w:fill="FFFFFF"/>
        </w:rPr>
        <w:t> </w:t>
      </w:r>
      <w:r w:rsidRPr="00C618BE">
        <w:rPr>
          <w:rFonts w:ascii="Palatino Linotype" w:eastAsia="Times New Roman" w:hAnsi="Palatino Linotype"/>
        </w:rPr>
        <w:t>objetiva”,</w:t>
      </w:r>
      <w:r w:rsidRPr="00C618BE">
        <w:rPr>
          <w:rStyle w:val="Refdenotaalpie"/>
          <w:rFonts w:ascii="Palatino Linotype" w:eastAsia="Times New Roman" w:hAnsi="Palatino Linotype"/>
        </w:rPr>
        <w:footnoteReference w:id="6"/>
      </w:r>
      <w:r w:rsidRPr="00C618BE">
        <w:rPr>
          <w:rFonts w:ascii="Palatino Linotype" w:eastAsia="Times New Roman" w:hAnsi="Palatino Linotype"/>
        </w:rPr>
        <w:t xml:space="preserve"> </w:t>
      </w:r>
      <w:r w:rsidRPr="00C618BE">
        <w:rPr>
          <w:rFonts w:ascii="Palatino Linotype" w:eastAsia="Arial Unicode MS" w:hAnsi="Palatino Linotype" w:cs="Arial Unicode MS"/>
          <w:color w:val="000000"/>
          <w:spacing w:val="4"/>
          <w:shd w:val="clear" w:color="auto" w:fill="FFFFFF"/>
        </w:rPr>
        <w:t>mientras que lo demostrables es, según la misma fuente, aquello que se puede demostrar,</w:t>
      </w:r>
      <w:r w:rsidRPr="00C618BE">
        <w:rPr>
          <w:rStyle w:val="Refdenotaalpie"/>
          <w:rFonts w:ascii="Palatino Linotype" w:eastAsia="Arial Unicode MS" w:hAnsi="Palatino Linotype" w:cs="Arial Unicode MS"/>
          <w:color w:val="000000"/>
          <w:spacing w:val="4"/>
          <w:shd w:val="clear" w:color="auto" w:fill="FFFFFF"/>
        </w:rPr>
        <w:footnoteReference w:id="7"/>
      </w:r>
      <w:r w:rsidRPr="00C618BE">
        <w:rPr>
          <w:rFonts w:ascii="Palatino Linotype" w:eastAsia="Arial Unicode MS" w:hAnsi="Palatino Linotype" w:cs="Arial Unicode MS"/>
          <w:color w:val="000000"/>
          <w:spacing w:val="4"/>
          <w:shd w:val="clear" w:color="auto" w:fill="FFFFFF"/>
        </w:rPr>
        <w:t xml:space="preserve"> es decir, </w:t>
      </w:r>
      <w:r w:rsidRPr="00C618BE">
        <w:rPr>
          <w:rFonts w:ascii="Palatino Linotype" w:hAnsi="Palatino Linotype" w:cstheme="minorBidi"/>
          <w:lang w:val="es-MX" w:eastAsia="en-US"/>
        </w:rPr>
        <w:t>“(m)anifestar, declarar. Probar, sirviéndose de cualquier género de demostración, </w:t>
      </w:r>
      <w:hyperlink r:id="rId8" w:anchor="6nAyKjE" w:history="1">
        <w:r w:rsidRPr="00C618BE">
          <w:rPr>
            <w:rFonts w:ascii="Palatino Linotype" w:hAnsi="Palatino Linotype" w:cstheme="minorBidi"/>
            <w:lang w:val="es-MX" w:eastAsia="en-US"/>
          </w:rPr>
          <w:t>enseñar</w:t>
        </w:r>
      </w:hyperlink>
      <w:r w:rsidRPr="00C618BE">
        <w:rPr>
          <w:rFonts w:ascii="Palatino Linotype" w:hAnsi="Palatino Linotype" w:cstheme="minorBidi"/>
          <w:lang w:val="es-MX" w:eastAsia="en-US"/>
        </w:rPr>
        <w:t> mostrar o exponer algo)”.</w:t>
      </w:r>
      <w:r w:rsidRPr="00C618BE">
        <w:rPr>
          <w:rStyle w:val="Refdenotaalpie"/>
          <w:rFonts w:ascii="Palatino Linotype" w:hAnsi="Palatino Linotype" w:cstheme="minorBidi"/>
          <w:lang w:val="es-MX" w:eastAsia="en-US"/>
        </w:rPr>
        <w:footnoteReference w:id="8"/>
      </w:r>
      <w:r w:rsidRPr="00C618BE">
        <w:rPr>
          <w:rFonts w:ascii="Palatino Linotype" w:hAnsi="Palatino Linotype" w:cstheme="minorBidi"/>
          <w:lang w:val="es-MX" w:eastAsia="en-US"/>
        </w:rPr>
        <w:t xml:space="preserve"> Mientras que lo identificable es lo que puede ser identificado,</w:t>
      </w:r>
      <w:r w:rsidRPr="00C618BE">
        <w:rPr>
          <w:rStyle w:val="Refdenotaalpie"/>
          <w:rFonts w:ascii="Palatino Linotype" w:hAnsi="Palatino Linotype" w:cstheme="minorBidi"/>
          <w:lang w:val="es-MX" w:eastAsia="en-US"/>
        </w:rPr>
        <w:footnoteReference w:id="9"/>
      </w:r>
      <w:r w:rsidRPr="00C618BE">
        <w:rPr>
          <w:rFonts w:ascii="Palatino Linotype" w:hAnsi="Palatino Linotype" w:cstheme="minorBidi"/>
          <w:lang w:val="es-MX" w:eastAsia="en-US"/>
        </w:rPr>
        <w:t xml:space="preserve"> esto es,</w:t>
      </w:r>
      <w:r w:rsidRPr="00C618BE">
        <w:rPr>
          <w:rFonts w:ascii="Palatino Linotype" w:hAnsi="Palatino Linotype" w:cstheme="minorBidi"/>
        </w:rPr>
        <w:t>  “(d)ar los datos necesarios para ser reconocido”.</w:t>
      </w:r>
      <w:r w:rsidRPr="00C618BE">
        <w:rPr>
          <w:rStyle w:val="Refdenotaalpie"/>
          <w:rFonts w:ascii="Palatino Linotype" w:hAnsi="Palatino Linotype" w:cstheme="minorBidi"/>
        </w:rPr>
        <w:footnoteReference w:id="10"/>
      </w:r>
    </w:p>
    <w:p w:rsidR="000161B6" w:rsidRPr="00C618BE" w:rsidRDefault="000161B6" w:rsidP="003E4DF1">
      <w:pPr>
        <w:pStyle w:val="Prrafodelista"/>
        <w:numPr>
          <w:ilvl w:val="0"/>
          <w:numId w:val="1"/>
        </w:numPr>
        <w:spacing w:line="360" w:lineRule="auto"/>
        <w:ind w:left="426"/>
        <w:jc w:val="both"/>
        <w:rPr>
          <w:rFonts w:ascii="Palatino Linotype" w:hAnsi="Palatino Linotype"/>
          <w:sz w:val="24"/>
          <w:szCs w:val="24"/>
        </w:rPr>
      </w:pPr>
      <w:r w:rsidRPr="00C618BE">
        <w:rPr>
          <w:rFonts w:ascii="Palatino Linotype" w:hAnsi="Palatino Linotype"/>
          <w:sz w:val="24"/>
          <w:szCs w:val="24"/>
        </w:rPr>
        <w:lastRenderedPageBreak/>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CC7D48" w:rsidRPr="00C618BE" w:rsidRDefault="00CC7D48" w:rsidP="00CC7D48">
      <w:pPr>
        <w:pStyle w:val="Prrafodelista"/>
        <w:rPr>
          <w:rFonts w:ascii="Palatino Linotype" w:hAnsi="Palatino Linotype"/>
          <w:sz w:val="24"/>
          <w:szCs w:val="24"/>
        </w:rPr>
      </w:pPr>
    </w:p>
    <w:p w:rsidR="000161B6" w:rsidRPr="00C618BE" w:rsidRDefault="000161B6" w:rsidP="003E4DF1">
      <w:pPr>
        <w:pStyle w:val="Prrafodelista"/>
        <w:numPr>
          <w:ilvl w:val="0"/>
          <w:numId w:val="1"/>
        </w:numPr>
        <w:spacing w:line="360" w:lineRule="auto"/>
        <w:ind w:left="426"/>
        <w:jc w:val="both"/>
        <w:rPr>
          <w:rFonts w:ascii="Palatino Linotype" w:hAnsi="Palatino Linotype"/>
          <w:sz w:val="24"/>
          <w:szCs w:val="24"/>
        </w:rPr>
      </w:pPr>
      <w:r w:rsidRPr="00C618BE">
        <w:rPr>
          <w:rFonts w:ascii="Palatino Linotype" w:hAnsi="Palatino Linotype"/>
          <w:sz w:val="24"/>
          <w:szCs w:val="24"/>
        </w:rPr>
        <w:t xml:space="preserve">Identificado ese riesgo, se debe demostrar que el mismo supera el interés público general porque se difunda dicha información. </w:t>
      </w:r>
    </w:p>
    <w:p w:rsidR="000161B6" w:rsidRPr="00C618BE" w:rsidRDefault="000161B6" w:rsidP="000161B6">
      <w:pPr>
        <w:pStyle w:val="Prrafodelista"/>
        <w:spacing w:line="360" w:lineRule="auto"/>
        <w:ind w:left="426"/>
        <w:jc w:val="both"/>
        <w:rPr>
          <w:rFonts w:ascii="Palatino Linotype" w:hAnsi="Palatino Linotype"/>
          <w:sz w:val="24"/>
          <w:szCs w:val="24"/>
        </w:rPr>
      </w:pPr>
    </w:p>
    <w:p w:rsidR="000161B6" w:rsidRPr="00C618BE" w:rsidRDefault="000161B6" w:rsidP="003E4DF1">
      <w:pPr>
        <w:pStyle w:val="Prrafodelista"/>
        <w:numPr>
          <w:ilvl w:val="0"/>
          <w:numId w:val="1"/>
        </w:numPr>
        <w:spacing w:line="360" w:lineRule="auto"/>
        <w:ind w:left="426"/>
        <w:jc w:val="both"/>
        <w:rPr>
          <w:rFonts w:ascii="Palatino Linotype" w:hAnsi="Palatino Linotype"/>
          <w:sz w:val="24"/>
          <w:szCs w:val="24"/>
        </w:rPr>
      </w:pPr>
      <w:r w:rsidRPr="00C618BE">
        <w:rPr>
          <w:rFonts w:ascii="Palatino Linotype" w:hAnsi="Palatino Linotype"/>
          <w:sz w:val="24"/>
          <w:szCs w:val="24"/>
        </w:rPr>
        <w:t>Y, por último,  que la limitación es acorde con el principio de proporcionalidad, para ello, se sugiere emplear los tres juicios propuestos por la Corte Constitucional Colombiana</w:t>
      </w:r>
      <w:r w:rsidRPr="00C618BE">
        <w:rPr>
          <w:rStyle w:val="Refdenotaalpie"/>
          <w:rFonts w:ascii="Palatino Linotype" w:hAnsi="Palatino Linotype"/>
          <w:sz w:val="24"/>
          <w:szCs w:val="24"/>
        </w:rPr>
        <w:footnoteReference w:id="11"/>
      </w:r>
      <w:r w:rsidRPr="00C618BE">
        <w:rPr>
          <w:rFonts w:ascii="Palatino Linotype" w:hAnsi="Palatino Linotype"/>
          <w:sz w:val="24"/>
          <w:szCs w:val="24"/>
        </w:rPr>
        <w:t xml:space="preserve">, siguiendo el principio de ponderación propuesto </w:t>
      </w:r>
      <w:r w:rsidRPr="00C618BE">
        <w:rPr>
          <w:rFonts w:ascii="Palatino Linotype" w:hAnsi="Palatino Linotype"/>
          <w:sz w:val="24"/>
          <w:szCs w:val="24"/>
        </w:rPr>
        <w:lastRenderedPageBreak/>
        <w:t>por el Tribunal Constitucional Alemán,</w:t>
      </w:r>
      <w:r w:rsidRPr="00C618BE">
        <w:rPr>
          <w:rStyle w:val="Refdenotaalpie"/>
          <w:rFonts w:ascii="Palatino Linotype" w:hAnsi="Palatino Linotype"/>
          <w:sz w:val="24"/>
          <w:szCs w:val="24"/>
        </w:rPr>
        <w:footnoteReference w:id="12"/>
      </w:r>
      <w:r w:rsidRPr="00C618BE">
        <w:rPr>
          <w:rFonts w:ascii="Palatino Linotype" w:hAnsi="Palatino Linotype"/>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0161B6" w:rsidRPr="00C618BE" w:rsidRDefault="000161B6" w:rsidP="000161B6">
      <w:pPr>
        <w:pStyle w:val="Prrafodelista"/>
        <w:rPr>
          <w:rFonts w:ascii="Palatino Linotype" w:hAnsi="Palatino Linotype"/>
          <w:sz w:val="24"/>
          <w:szCs w:val="24"/>
        </w:rPr>
      </w:pPr>
    </w:p>
    <w:p w:rsidR="000161B6" w:rsidRPr="00C618BE" w:rsidRDefault="000161B6" w:rsidP="003E4DF1">
      <w:pPr>
        <w:pStyle w:val="Ttulo3"/>
        <w:numPr>
          <w:ilvl w:val="0"/>
          <w:numId w:val="5"/>
        </w:numPr>
        <w:rPr>
          <w:rFonts w:ascii="Palatino Linotype" w:hAnsi="Palatino Linotype"/>
          <w:b/>
          <w:color w:val="auto"/>
        </w:rPr>
      </w:pPr>
      <w:bookmarkStart w:id="15" w:name="_Toc11082153"/>
      <w:r w:rsidRPr="00C618BE">
        <w:rPr>
          <w:rFonts w:ascii="Palatino Linotype" w:hAnsi="Palatino Linotype"/>
          <w:b/>
          <w:color w:val="auto"/>
        </w:rPr>
        <w:t>La clasificación de la información reservada debe ser de manera temporal.</w:t>
      </w:r>
      <w:bookmarkEnd w:id="15"/>
    </w:p>
    <w:p w:rsidR="000161B6" w:rsidRPr="00C618BE" w:rsidRDefault="000161B6" w:rsidP="000161B6">
      <w:pPr>
        <w:ind w:left="567"/>
        <w:rPr>
          <w:rFonts w:ascii="Palatino Linotype" w:hAnsi="Palatino Linotype"/>
          <w:b/>
          <w:sz w:val="24"/>
          <w:szCs w:val="24"/>
        </w:rPr>
      </w:pPr>
    </w:p>
    <w:p w:rsidR="000161B6" w:rsidRPr="00C618BE" w:rsidRDefault="000161B6" w:rsidP="003E4DF1">
      <w:pPr>
        <w:pStyle w:val="Prrafodelista"/>
        <w:numPr>
          <w:ilvl w:val="0"/>
          <w:numId w:val="1"/>
        </w:numPr>
        <w:spacing w:line="360" w:lineRule="auto"/>
        <w:ind w:left="426" w:hanging="426"/>
        <w:jc w:val="both"/>
        <w:rPr>
          <w:rFonts w:ascii="Palatino Linotype" w:hAnsi="Palatino Linotype"/>
          <w:sz w:val="24"/>
          <w:szCs w:val="24"/>
        </w:rPr>
      </w:pPr>
      <w:r w:rsidRPr="00C618BE">
        <w:rPr>
          <w:rFonts w:ascii="Palatino Linotype" w:hAnsi="Palatino Linotype"/>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0161B6" w:rsidRPr="00C618BE" w:rsidRDefault="000161B6" w:rsidP="000161B6">
      <w:pPr>
        <w:pStyle w:val="Prrafodelista"/>
        <w:spacing w:line="360" w:lineRule="auto"/>
        <w:ind w:left="426" w:hanging="426"/>
        <w:jc w:val="both"/>
        <w:rPr>
          <w:rFonts w:ascii="Palatino Linotype" w:hAnsi="Palatino Linotype"/>
          <w:sz w:val="24"/>
          <w:szCs w:val="24"/>
        </w:rPr>
      </w:pPr>
    </w:p>
    <w:p w:rsidR="000161B6" w:rsidRPr="00C618BE" w:rsidRDefault="000161B6" w:rsidP="003E4DF1">
      <w:pPr>
        <w:pStyle w:val="Prrafodelista"/>
        <w:numPr>
          <w:ilvl w:val="0"/>
          <w:numId w:val="1"/>
        </w:numPr>
        <w:spacing w:line="360" w:lineRule="auto"/>
        <w:ind w:left="426" w:hanging="426"/>
        <w:jc w:val="both"/>
        <w:rPr>
          <w:rFonts w:ascii="Palatino Linotype" w:hAnsi="Palatino Linotype"/>
          <w:sz w:val="24"/>
          <w:szCs w:val="24"/>
        </w:rPr>
      </w:pPr>
      <w:r w:rsidRPr="00C618BE">
        <w:rPr>
          <w:rFonts w:ascii="Palatino Linotype" w:hAnsi="Palatino Linotype"/>
          <w:sz w:val="24"/>
          <w:szCs w:val="24"/>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w:t>
      </w:r>
      <w:r w:rsidRPr="00C618BE">
        <w:rPr>
          <w:rFonts w:ascii="Palatino Linotype" w:hAnsi="Palatino Linotype"/>
          <w:sz w:val="24"/>
          <w:szCs w:val="24"/>
        </w:rPr>
        <w:lastRenderedPageBreak/>
        <w:t xml:space="preserve">del cumplimiento del periodo de restricción, dejaran de existir los motivos de su reserva. </w:t>
      </w:r>
    </w:p>
    <w:p w:rsidR="000161B6" w:rsidRPr="00C618BE" w:rsidRDefault="000161B6" w:rsidP="000161B6">
      <w:pPr>
        <w:pStyle w:val="Prrafodelista"/>
        <w:ind w:left="426" w:hanging="426"/>
        <w:rPr>
          <w:rFonts w:ascii="Palatino Linotype" w:hAnsi="Palatino Linotype"/>
          <w:sz w:val="24"/>
          <w:szCs w:val="24"/>
        </w:rPr>
      </w:pPr>
    </w:p>
    <w:p w:rsidR="000161B6" w:rsidRPr="00C618BE" w:rsidRDefault="000161B6" w:rsidP="003E4DF1">
      <w:pPr>
        <w:pStyle w:val="Prrafodelista"/>
        <w:numPr>
          <w:ilvl w:val="0"/>
          <w:numId w:val="1"/>
        </w:numPr>
        <w:spacing w:line="360" w:lineRule="auto"/>
        <w:ind w:left="426" w:hanging="426"/>
        <w:jc w:val="both"/>
        <w:rPr>
          <w:rFonts w:ascii="Palatino Linotype" w:hAnsi="Palatino Linotype"/>
          <w:sz w:val="24"/>
          <w:szCs w:val="24"/>
        </w:rPr>
      </w:pPr>
      <w:r w:rsidRPr="00C618BE">
        <w:rPr>
          <w:rFonts w:ascii="Palatino Linotype" w:hAnsi="Palatino Linotype"/>
          <w:sz w:val="24"/>
          <w:szCs w:val="24"/>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0161B6" w:rsidRPr="00C618BE" w:rsidRDefault="000161B6" w:rsidP="000161B6">
      <w:pPr>
        <w:pStyle w:val="Prrafodelista"/>
        <w:ind w:left="426" w:hanging="426"/>
        <w:rPr>
          <w:rFonts w:ascii="Palatino Linotype" w:hAnsi="Palatino Linotype"/>
          <w:b/>
          <w:sz w:val="24"/>
          <w:szCs w:val="24"/>
        </w:rPr>
      </w:pPr>
    </w:p>
    <w:p w:rsidR="000161B6" w:rsidRPr="00C618BE" w:rsidRDefault="000161B6" w:rsidP="003E4DF1">
      <w:pPr>
        <w:pStyle w:val="Prrafodelista"/>
        <w:numPr>
          <w:ilvl w:val="0"/>
          <w:numId w:val="1"/>
        </w:numPr>
        <w:spacing w:line="360" w:lineRule="auto"/>
        <w:ind w:left="426" w:hanging="426"/>
        <w:jc w:val="both"/>
        <w:rPr>
          <w:rFonts w:ascii="Palatino Linotype" w:hAnsi="Palatino Linotype"/>
          <w:sz w:val="24"/>
          <w:szCs w:val="24"/>
        </w:rPr>
      </w:pPr>
      <w:r w:rsidRPr="00C618BE">
        <w:rPr>
          <w:rFonts w:ascii="Palatino Linotype" w:hAnsi="Palatino Linotype"/>
          <w:sz w:val="24"/>
          <w:szCs w:val="24"/>
        </w:rPr>
        <w:t>De</w:t>
      </w:r>
      <w:r w:rsidRPr="00C618BE">
        <w:rPr>
          <w:rFonts w:ascii="Palatino Linotype" w:hAnsi="Palatino Linotype"/>
          <w:b/>
          <w:sz w:val="24"/>
          <w:szCs w:val="24"/>
        </w:rPr>
        <w:t xml:space="preserve"> </w:t>
      </w:r>
      <w:r w:rsidRPr="00C618BE">
        <w:rPr>
          <w:rFonts w:ascii="Palatino Linotype" w:hAnsi="Palatino Linotype"/>
          <w:sz w:val="24"/>
          <w:szCs w:val="24"/>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0161B6" w:rsidRPr="00C618BE" w:rsidRDefault="000161B6" w:rsidP="000161B6">
      <w:pPr>
        <w:pStyle w:val="Prrafodelista"/>
        <w:ind w:left="426" w:hanging="426"/>
        <w:rPr>
          <w:rFonts w:ascii="Palatino Linotype" w:hAnsi="Palatino Linotype"/>
          <w:sz w:val="24"/>
          <w:szCs w:val="24"/>
        </w:rPr>
      </w:pPr>
    </w:p>
    <w:p w:rsidR="000161B6" w:rsidRPr="00C618BE" w:rsidRDefault="000161B6" w:rsidP="003E4DF1">
      <w:pPr>
        <w:pStyle w:val="Prrafodelista"/>
        <w:numPr>
          <w:ilvl w:val="0"/>
          <w:numId w:val="1"/>
        </w:numPr>
        <w:spacing w:line="360" w:lineRule="auto"/>
        <w:ind w:left="426" w:hanging="426"/>
        <w:jc w:val="both"/>
        <w:rPr>
          <w:rFonts w:ascii="Palatino Linotype" w:hAnsi="Palatino Linotype"/>
          <w:sz w:val="24"/>
          <w:szCs w:val="24"/>
        </w:rPr>
      </w:pPr>
      <w:r w:rsidRPr="00C618BE">
        <w:rPr>
          <w:rFonts w:ascii="Palatino Linotype" w:hAnsi="Palatino Linotype"/>
          <w:sz w:val="24"/>
          <w:szCs w:val="24"/>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0161B6" w:rsidRPr="00C618BE" w:rsidRDefault="000161B6" w:rsidP="003E4DF1">
      <w:pPr>
        <w:pStyle w:val="Prrafodelista"/>
        <w:numPr>
          <w:ilvl w:val="0"/>
          <w:numId w:val="1"/>
        </w:numPr>
        <w:spacing w:line="360" w:lineRule="auto"/>
        <w:ind w:left="426" w:hanging="426"/>
        <w:jc w:val="both"/>
        <w:rPr>
          <w:rFonts w:ascii="Palatino Linotype" w:hAnsi="Palatino Linotype"/>
          <w:sz w:val="24"/>
          <w:szCs w:val="24"/>
        </w:rPr>
      </w:pPr>
      <w:r w:rsidRPr="00C618BE">
        <w:rPr>
          <w:rFonts w:ascii="Palatino Linotype" w:hAnsi="Palatino Linotype"/>
          <w:sz w:val="24"/>
          <w:szCs w:val="24"/>
        </w:rPr>
        <w:lastRenderedPageBreak/>
        <w:t>Ahora bien, al caso en particular, se debe estar atento a lo que contiene el artículo 132 y 106 de la Ley Estatal y Ley General respectivamente los cuales establecen lo siguiente:</w:t>
      </w:r>
    </w:p>
    <w:p w:rsidR="000161B6" w:rsidRPr="00C618BE" w:rsidRDefault="000161B6" w:rsidP="000161B6">
      <w:pPr>
        <w:autoSpaceDE w:val="0"/>
        <w:autoSpaceDN w:val="0"/>
        <w:adjustRightInd w:val="0"/>
        <w:spacing w:after="0" w:line="360" w:lineRule="auto"/>
        <w:ind w:left="567" w:right="616"/>
        <w:jc w:val="both"/>
        <w:rPr>
          <w:rFonts w:ascii="Palatino Linotype" w:hAnsi="Palatino Linotype" w:cs="Bookman Old Style"/>
          <w:i/>
          <w:szCs w:val="24"/>
          <w:lang w:val="es-ES"/>
        </w:rPr>
      </w:pPr>
      <w:r w:rsidRPr="00C618BE">
        <w:rPr>
          <w:rFonts w:ascii="Palatino Linotype" w:hAnsi="Palatino Linotype" w:cs="Bookman Old Style,Bold"/>
          <w:b/>
          <w:bCs/>
          <w:i/>
          <w:szCs w:val="24"/>
          <w:lang w:val="es-ES"/>
        </w:rPr>
        <w:t xml:space="preserve">Artículo 132. </w:t>
      </w:r>
      <w:r w:rsidRPr="00C618BE">
        <w:rPr>
          <w:rFonts w:ascii="Palatino Linotype" w:hAnsi="Palatino Linotype" w:cs="Bookman Old Style"/>
          <w:i/>
          <w:szCs w:val="24"/>
          <w:lang w:val="es-ES"/>
        </w:rPr>
        <w:t>La clasificación de la información se llevará a cabo en el momento en que:</w:t>
      </w:r>
    </w:p>
    <w:p w:rsidR="000161B6" w:rsidRPr="00C618BE" w:rsidRDefault="000161B6" w:rsidP="000161B6">
      <w:pPr>
        <w:autoSpaceDE w:val="0"/>
        <w:autoSpaceDN w:val="0"/>
        <w:adjustRightInd w:val="0"/>
        <w:spacing w:after="0" w:line="360" w:lineRule="auto"/>
        <w:ind w:left="567" w:right="616"/>
        <w:jc w:val="both"/>
        <w:rPr>
          <w:rFonts w:ascii="Palatino Linotype" w:hAnsi="Palatino Linotype" w:cs="Bookman Old Style"/>
          <w:i/>
          <w:szCs w:val="24"/>
          <w:lang w:val="es-ES"/>
        </w:rPr>
      </w:pPr>
    </w:p>
    <w:p w:rsidR="000161B6" w:rsidRPr="00C618BE" w:rsidRDefault="000161B6" w:rsidP="000161B6">
      <w:pPr>
        <w:autoSpaceDE w:val="0"/>
        <w:autoSpaceDN w:val="0"/>
        <w:adjustRightInd w:val="0"/>
        <w:spacing w:after="0" w:line="360" w:lineRule="auto"/>
        <w:ind w:left="567" w:right="616"/>
        <w:jc w:val="both"/>
        <w:rPr>
          <w:rFonts w:ascii="Palatino Linotype" w:hAnsi="Palatino Linotype" w:cs="Bookman Old Style"/>
          <w:i/>
          <w:szCs w:val="24"/>
          <w:lang w:val="es-ES"/>
        </w:rPr>
      </w:pPr>
      <w:r w:rsidRPr="00C618BE">
        <w:rPr>
          <w:rFonts w:ascii="Palatino Linotype" w:hAnsi="Palatino Linotype" w:cs="Bookman Old Style,Bold"/>
          <w:b/>
          <w:bCs/>
          <w:i/>
          <w:szCs w:val="24"/>
          <w:lang w:val="es-ES"/>
        </w:rPr>
        <w:t xml:space="preserve">I. </w:t>
      </w:r>
      <w:r w:rsidRPr="00C618BE">
        <w:rPr>
          <w:rFonts w:ascii="Palatino Linotype" w:hAnsi="Palatino Linotype" w:cs="Bookman Old Style"/>
          <w:i/>
          <w:szCs w:val="24"/>
          <w:lang w:val="es-ES"/>
        </w:rPr>
        <w:t>Se reciba una solicitud de acceso a la información;</w:t>
      </w:r>
    </w:p>
    <w:p w:rsidR="000161B6" w:rsidRPr="00C618BE" w:rsidRDefault="000161B6" w:rsidP="000161B6">
      <w:pPr>
        <w:autoSpaceDE w:val="0"/>
        <w:autoSpaceDN w:val="0"/>
        <w:adjustRightInd w:val="0"/>
        <w:spacing w:after="0" w:line="360" w:lineRule="auto"/>
        <w:ind w:left="567" w:right="616"/>
        <w:jc w:val="both"/>
        <w:rPr>
          <w:rFonts w:ascii="Palatino Linotype" w:hAnsi="Palatino Linotype" w:cs="Bookman Old Style"/>
          <w:i/>
          <w:szCs w:val="24"/>
          <w:lang w:val="es-ES"/>
        </w:rPr>
      </w:pPr>
      <w:r w:rsidRPr="00C618BE">
        <w:rPr>
          <w:rFonts w:ascii="Palatino Linotype" w:hAnsi="Palatino Linotype" w:cs="Bookman Old Style,Bold"/>
          <w:b/>
          <w:bCs/>
          <w:i/>
          <w:szCs w:val="24"/>
          <w:lang w:val="es-ES"/>
        </w:rPr>
        <w:t xml:space="preserve">II. </w:t>
      </w:r>
      <w:r w:rsidRPr="00C618BE">
        <w:rPr>
          <w:rFonts w:ascii="Palatino Linotype" w:hAnsi="Palatino Linotype" w:cs="Bookman Old Style"/>
          <w:i/>
          <w:szCs w:val="24"/>
          <w:lang w:val="es-ES"/>
        </w:rPr>
        <w:t>Se determine mediante resolución de autoridad competente; o</w:t>
      </w:r>
    </w:p>
    <w:p w:rsidR="000161B6" w:rsidRPr="00C618BE" w:rsidRDefault="000161B6" w:rsidP="000161B6">
      <w:pPr>
        <w:autoSpaceDE w:val="0"/>
        <w:autoSpaceDN w:val="0"/>
        <w:adjustRightInd w:val="0"/>
        <w:spacing w:after="0" w:line="360" w:lineRule="auto"/>
        <w:ind w:left="567" w:right="616"/>
        <w:jc w:val="both"/>
        <w:rPr>
          <w:rFonts w:ascii="Palatino Linotype" w:hAnsi="Palatino Linotype" w:cs="Bookman Old Style"/>
          <w:i/>
          <w:szCs w:val="24"/>
          <w:lang w:val="es-ES"/>
        </w:rPr>
      </w:pPr>
      <w:r w:rsidRPr="00C618BE">
        <w:rPr>
          <w:rFonts w:ascii="Palatino Linotype" w:hAnsi="Palatino Linotype" w:cs="Bookman Old Style,Bold"/>
          <w:b/>
          <w:bCs/>
          <w:i/>
          <w:szCs w:val="24"/>
          <w:lang w:val="es-ES"/>
        </w:rPr>
        <w:t xml:space="preserve">III. </w:t>
      </w:r>
      <w:r w:rsidRPr="00C618BE">
        <w:rPr>
          <w:rFonts w:ascii="Palatino Linotype" w:hAnsi="Palatino Linotype" w:cs="Bookman Old Style"/>
          <w:i/>
          <w:szCs w:val="24"/>
          <w:lang w:val="es-ES"/>
        </w:rPr>
        <w:t>Se generen versiones públicas para dar cumplimiento a las obligaciones de transparencia previstas en esta Ley.</w:t>
      </w:r>
    </w:p>
    <w:p w:rsidR="000161B6" w:rsidRPr="00C618BE" w:rsidRDefault="000161B6" w:rsidP="000161B6">
      <w:pPr>
        <w:autoSpaceDE w:val="0"/>
        <w:autoSpaceDN w:val="0"/>
        <w:adjustRightInd w:val="0"/>
        <w:spacing w:after="0" w:line="360" w:lineRule="auto"/>
        <w:ind w:left="567" w:right="616"/>
        <w:jc w:val="both"/>
        <w:rPr>
          <w:rFonts w:ascii="Palatino Linotype" w:hAnsi="Palatino Linotype" w:cs="Bookman Old Style"/>
          <w:i/>
          <w:szCs w:val="24"/>
          <w:lang w:val="es-ES"/>
        </w:rPr>
      </w:pPr>
    </w:p>
    <w:p w:rsidR="000161B6" w:rsidRPr="00C618BE" w:rsidRDefault="000161B6" w:rsidP="000161B6">
      <w:pPr>
        <w:autoSpaceDE w:val="0"/>
        <w:autoSpaceDN w:val="0"/>
        <w:adjustRightInd w:val="0"/>
        <w:spacing w:after="0" w:line="360" w:lineRule="auto"/>
        <w:ind w:left="567" w:right="616"/>
        <w:jc w:val="both"/>
        <w:rPr>
          <w:rFonts w:ascii="Palatino Linotype" w:hAnsi="Palatino Linotype" w:cs="Bookman Old Style"/>
          <w:i/>
          <w:szCs w:val="24"/>
          <w:lang w:val="es-ES"/>
        </w:rPr>
      </w:pPr>
      <w:r w:rsidRPr="00C618BE">
        <w:rPr>
          <w:rFonts w:ascii="Palatino Linotype" w:hAnsi="Palatino Linotype" w:cs="Bookman Old Style"/>
          <w:i/>
          <w:szCs w:val="24"/>
          <w:lang w:val="es-ES"/>
        </w:rPr>
        <w:t>Tratándose de información reservada, los titulares de las áreas deberán revisar la clasificación al momento de la recepción de una solicitud, para verificar si subsisten las causas que le dieron origen.</w:t>
      </w:r>
    </w:p>
    <w:p w:rsidR="00CC7D48" w:rsidRPr="002021B7" w:rsidRDefault="00CC7D48" w:rsidP="000161B6">
      <w:pPr>
        <w:autoSpaceDE w:val="0"/>
        <w:autoSpaceDN w:val="0"/>
        <w:adjustRightInd w:val="0"/>
        <w:spacing w:after="0" w:line="360" w:lineRule="auto"/>
        <w:ind w:left="567" w:right="616"/>
        <w:jc w:val="both"/>
        <w:rPr>
          <w:rFonts w:ascii="Palatino Linotype" w:hAnsi="Palatino Linotype"/>
          <w:i/>
          <w:sz w:val="24"/>
          <w:szCs w:val="24"/>
        </w:rPr>
      </w:pPr>
    </w:p>
    <w:p w:rsidR="00CC7D48" w:rsidRDefault="000161B6" w:rsidP="003E4DF1">
      <w:pPr>
        <w:pStyle w:val="Prrafodelista"/>
        <w:numPr>
          <w:ilvl w:val="0"/>
          <w:numId w:val="1"/>
        </w:numPr>
        <w:spacing w:line="360" w:lineRule="auto"/>
        <w:ind w:left="426"/>
        <w:jc w:val="both"/>
        <w:rPr>
          <w:rFonts w:ascii="Palatino Linotype" w:hAnsi="Palatino Linotype"/>
          <w:sz w:val="24"/>
          <w:szCs w:val="24"/>
        </w:rPr>
      </w:pPr>
      <w:r w:rsidRPr="00CC7D48">
        <w:rPr>
          <w:rFonts w:ascii="Palatino Linotype" w:hAnsi="Palatino Linotype"/>
          <w:sz w:val="24"/>
          <w:szCs w:val="24"/>
        </w:rPr>
        <w:t xml:space="preserve">En ese sentido, resulta importante señalar actuando conforme a derecho, la clasificación de la información es dable al momento de recibir una solicitud de información, o en su defecto, si ya anteriormente la información fue clasificada como reservada, las áreas deberán revisar si aún subsisten las causas que le dieron origen. </w:t>
      </w:r>
    </w:p>
    <w:p w:rsidR="00CC7D48" w:rsidRDefault="00CC7D48" w:rsidP="00CC7D48">
      <w:pPr>
        <w:pStyle w:val="Prrafodelista"/>
        <w:spacing w:line="360" w:lineRule="auto"/>
        <w:ind w:left="426"/>
        <w:jc w:val="both"/>
        <w:rPr>
          <w:rFonts w:ascii="Palatino Linotype" w:hAnsi="Palatino Linotype"/>
          <w:sz w:val="24"/>
          <w:szCs w:val="24"/>
        </w:rPr>
      </w:pPr>
    </w:p>
    <w:p w:rsidR="000161B6" w:rsidRDefault="000161B6" w:rsidP="003E4DF1">
      <w:pPr>
        <w:pStyle w:val="Prrafodelista"/>
        <w:numPr>
          <w:ilvl w:val="0"/>
          <w:numId w:val="1"/>
        </w:numPr>
        <w:spacing w:line="360" w:lineRule="auto"/>
        <w:ind w:left="426"/>
        <w:jc w:val="both"/>
        <w:rPr>
          <w:rFonts w:ascii="Palatino Linotype" w:hAnsi="Palatino Linotype"/>
          <w:sz w:val="24"/>
          <w:szCs w:val="24"/>
        </w:rPr>
      </w:pPr>
      <w:r w:rsidRPr="00CC7D48">
        <w:rPr>
          <w:rFonts w:ascii="Palatino Linotype" w:hAnsi="Palatino Linotype"/>
          <w:sz w:val="24"/>
          <w:szCs w:val="24"/>
        </w:rPr>
        <w:t xml:space="preserve">En otras palabras, la clasificación de la información no puede ser efectuada en el momento en que la autoridad lo desee, sino a menos que exista un elemento que </w:t>
      </w:r>
      <w:r w:rsidRPr="00CC7D48">
        <w:rPr>
          <w:rFonts w:ascii="Palatino Linotype" w:hAnsi="Palatino Linotype"/>
          <w:sz w:val="24"/>
          <w:szCs w:val="24"/>
        </w:rPr>
        <w:lastRenderedPageBreak/>
        <w:t>active el análisis de la información y derivado a la naturaleza de la información nos conduzca a su clasificación.</w:t>
      </w:r>
    </w:p>
    <w:p w:rsidR="00C618BE" w:rsidRPr="00C618BE" w:rsidRDefault="00C618BE" w:rsidP="00C618BE">
      <w:pPr>
        <w:pStyle w:val="Prrafodelista"/>
        <w:rPr>
          <w:rFonts w:ascii="Palatino Linotype" w:hAnsi="Palatino Linotype"/>
          <w:sz w:val="24"/>
          <w:szCs w:val="24"/>
        </w:rPr>
      </w:pPr>
    </w:p>
    <w:p w:rsidR="000161B6" w:rsidRDefault="000161B6" w:rsidP="003E4DF1">
      <w:pPr>
        <w:pStyle w:val="Prrafodelista"/>
        <w:numPr>
          <w:ilvl w:val="0"/>
          <w:numId w:val="1"/>
        </w:numPr>
        <w:spacing w:line="360" w:lineRule="auto"/>
        <w:ind w:left="426"/>
        <w:jc w:val="both"/>
        <w:rPr>
          <w:rFonts w:ascii="Palatino Linotype" w:hAnsi="Palatino Linotype"/>
          <w:sz w:val="24"/>
          <w:szCs w:val="24"/>
        </w:rPr>
      </w:pPr>
      <w:r w:rsidRPr="002021B7">
        <w:rPr>
          <w:rFonts w:ascii="Palatino Linotype" w:hAnsi="Palatino Linotype"/>
          <w:sz w:val="24"/>
          <w:szCs w:val="24"/>
        </w:rPr>
        <w:t>No obstante, existen bastos supuestos en los que la clasificación de la información como reservada debe ser efectuada, sin embargo, en todos los casos debe ser generada cuando se aprecien elementos concretos que nos ayuden a tener certeza de que se está llevando a cabo una correcta clasificación de la información conforme a lo establecido en la Ley Estatal y Ley General de Transparencia.</w:t>
      </w:r>
    </w:p>
    <w:p w:rsidR="001A71CA" w:rsidRPr="001A71CA" w:rsidRDefault="001A71CA" w:rsidP="001A71CA">
      <w:pPr>
        <w:pStyle w:val="Prrafodelista"/>
        <w:rPr>
          <w:rFonts w:ascii="Palatino Linotype" w:hAnsi="Palatino Linotype"/>
          <w:sz w:val="24"/>
          <w:szCs w:val="24"/>
        </w:rPr>
      </w:pPr>
    </w:p>
    <w:p w:rsidR="000F2B5D" w:rsidRDefault="000F2B5D" w:rsidP="003E4DF1">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t>Para que exista legitimidad en la clasificación de la información como reservada, es necesario realizar la prueba de daño, misma que debe acreditar que, la divulgación de la información de la información representa un riesgo real, demostrable e identificable del perjuicio significativo al interés público o a la seguridad pública.</w:t>
      </w:r>
    </w:p>
    <w:p w:rsidR="000F2B5D" w:rsidRPr="000F2B5D" w:rsidRDefault="000F2B5D" w:rsidP="000F2B5D">
      <w:pPr>
        <w:pStyle w:val="Prrafodelista"/>
        <w:rPr>
          <w:rFonts w:ascii="Palatino Linotype" w:hAnsi="Palatino Linotype"/>
          <w:sz w:val="24"/>
          <w:szCs w:val="24"/>
        </w:rPr>
      </w:pPr>
    </w:p>
    <w:p w:rsidR="001A71CA" w:rsidRDefault="000F2B5D" w:rsidP="003E4DF1">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t>Derivado de lo anterior,</w:t>
      </w:r>
      <w:r w:rsidR="001A71CA">
        <w:rPr>
          <w:rFonts w:ascii="Palatino Linotype" w:hAnsi="Palatino Linotype"/>
          <w:sz w:val="24"/>
          <w:szCs w:val="24"/>
        </w:rPr>
        <w:t xml:space="preserve"> en el presente asunto en particular, es necesario referir </w:t>
      </w:r>
      <w:r w:rsidR="00EF5494">
        <w:rPr>
          <w:rFonts w:ascii="Palatino Linotype" w:hAnsi="Palatino Linotype"/>
          <w:sz w:val="24"/>
          <w:szCs w:val="24"/>
        </w:rPr>
        <w:t xml:space="preserve">que un riesgo es la </w:t>
      </w:r>
      <w:r w:rsidR="00EF5494" w:rsidRPr="00EF5494">
        <w:rPr>
          <w:rFonts w:ascii="Palatino Linotype" w:hAnsi="Palatino Linotype"/>
          <w:i/>
          <w:szCs w:val="24"/>
        </w:rPr>
        <w:t>Contingencia o proximidad de un daño</w:t>
      </w:r>
      <w:r w:rsidR="00EF5494">
        <w:rPr>
          <w:rStyle w:val="Refdenotaalpie"/>
          <w:rFonts w:ascii="Palatino Linotype" w:hAnsi="Palatino Linotype"/>
          <w:sz w:val="24"/>
          <w:szCs w:val="24"/>
        </w:rPr>
        <w:footnoteReference w:id="13"/>
      </w:r>
      <w:r w:rsidR="00861A4B">
        <w:rPr>
          <w:rFonts w:ascii="Palatino Linotype" w:hAnsi="Palatino Linotype"/>
          <w:sz w:val="24"/>
          <w:szCs w:val="24"/>
        </w:rPr>
        <w:t>; mientras que, el término “</w:t>
      </w:r>
      <w:r w:rsidR="00EF5494" w:rsidRPr="00861A4B">
        <w:rPr>
          <w:rFonts w:ascii="Palatino Linotype" w:hAnsi="Palatino Linotype"/>
          <w:b/>
          <w:sz w:val="24"/>
          <w:szCs w:val="24"/>
        </w:rPr>
        <w:t>real</w:t>
      </w:r>
      <w:r w:rsidR="00861A4B">
        <w:rPr>
          <w:rFonts w:ascii="Palatino Linotype" w:hAnsi="Palatino Linotype"/>
          <w:b/>
          <w:sz w:val="24"/>
          <w:szCs w:val="24"/>
        </w:rPr>
        <w:t>”</w:t>
      </w:r>
      <w:r w:rsidR="00EF5494">
        <w:rPr>
          <w:rFonts w:ascii="Palatino Linotype" w:hAnsi="Palatino Linotype"/>
          <w:sz w:val="24"/>
          <w:szCs w:val="24"/>
        </w:rPr>
        <w:t xml:space="preserve"> hace alusión a </w:t>
      </w:r>
      <w:r w:rsidR="00EF5494" w:rsidRPr="00EF5494">
        <w:rPr>
          <w:rFonts w:ascii="Palatino Linotype" w:hAnsi="Palatino Linotype"/>
          <w:i/>
          <w:szCs w:val="24"/>
        </w:rPr>
        <w:t>existencia objetiva</w:t>
      </w:r>
      <w:r w:rsidR="00EF5494">
        <w:rPr>
          <w:rStyle w:val="Refdenotaalpie"/>
          <w:rFonts w:ascii="Palatino Linotype" w:hAnsi="Palatino Linotype"/>
          <w:sz w:val="24"/>
          <w:szCs w:val="24"/>
        </w:rPr>
        <w:footnoteReference w:id="14"/>
      </w:r>
      <w:r w:rsidR="00EF5494">
        <w:rPr>
          <w:rFonts w:ascii="Palatino Linotype" w:hAnsi="Palatino Linotype"/>
          <w:i/>
          <w:szCs w:val="24"/>
        </w:rPr>
        <w:t xml:space="preserve">, </w:t>
      </w:r>
      <w:r w:rsidR="00EF5494" w:rsidRPr="00EF5494">
        <w:rPr>
          <w:rFonts w:ascii="Palatino Linotype" w:hAnsi="Palatino Linotype"/>
          <w:sz w:val="24"/>
          <w:szCs w:val="24"/>
        </w:rPr>
        <w:t xml:space="preserve">entonces, </w:t>
      </w:r>
      <w:r w:rsidR="00EF5494">
        <w:rPr>
          <w:rFonts w:ascii="Palatino Linotype" w:hAnsi="Palatino Linotype"/>
          <w:sz w:val="24"/>
          <w:szCs w:val="24"/>
        </w:rPr>
        <w:t xml:space="preserve">en materia de Acceso a la información, el riesgo real de divulgar la información debe representar la proximidad </w:t>
      </w:r>
      <w:r w:rsidR="00B02067">
        <w:rPr>
          <w:rFonts w:ascii="Palatino Linotype" w:hAnsi="Palatino Linotype"/>
          <w:sz w:val="24"/>
          <w:szCs w:val="24"/>
        </w:rPr>
        <w:t>de un daño existente y objetivo, mismo que deberá superar el interés por acceder a la información.</w:t>
      </w:r>
    </w:p>
    <w:p w:rsidR="00EF5494" w:rsidRPr="00EF5494" w:rsidRDefault="00EF5494" w:rsidP="00EF5494">
      <w:pPr>
        <w:pStyle w:val="Prrafodelista"/>
        <w:rPr>
          <w:rFonts w:ascii="Palatino Linotype" w:hAnsi="Palatino Linotype"/>
          <w:sz w:val="24"/>
          <w:szCs w:val="24"/>
        </w:rPr>
      </w:pPr>
    </w:p>
    <w:p w:rsidR="00EF5494" w:rsidRDefault="00EF5494" w:rsidP="003E4DF1">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t xml:space="preserve">En este caso, debemos preguntarnos si, la divulgación de la fecha </w:t>
      </w:r>
      <w:r w:rsidR="00B02067">
        <w:rPr>
          <w:rFonts w:ascii="Palatino Linotype" w:hAnsi="Palatino Linotype"/>
          <w:sz w:val="24"/>
          <w:szCs w:val="24"/>
        </w:rPr>
        <w:t xml:space="preserve">y autorización </w:t>
      </w:r>
      <w:r>
        <w:rPr>
          <w:rFonts w:ascii="Palatino Linotype" w:hAnsi="Palatino Linotype"/>
          <w:sz w:val="24"/>
          <w:szCs w:val="24"/>
        </w:rPr>
        <w:t>de fusión del predio requerido provocaría la proximidad de un daño existente y objetivo a la conducción del procedimiento</w:t>
      </w:r>
      <w:r w:rsidR="00B02067">
        <w:rPr>
          <w:rFonts w:ascii="Palatino Linotype" w:hAnsi="Palatino Linotype"/>
          <w:sz w:val="24"/>
          <w:szCs w:val="24"/>
        </w:rPr>
        <w:t xml:space="preserve"> judicial</w:t>
      </w:r>
      <w:r>
        <w:rPr>
          <w:rFonts w:ascii="Palatino Linotype" w:hAnsi="Palatino Linotype"/>
          <w:sz w:val="24"/>
          <w:szCs w:val="24"/>
        </w:rPr>
        <w:t xml:space="preserve"> que se est</w:t>
      </w:r>
      <w:r w:rsidR="00B02067">
        <w:rPr>
          <w:rFonts w:ascii="Palatino Linotype" w:hAnsi="Palatino Linotype"/>
          <w:sz w:val="24"/>
          <w:szCs w:val="24"/>
        </w:rPr>
        <w:t>á llevando en relación a la licencia de construcción del inmueble.</w:t>
      </w:r>
    </w:p>
    <w:p w:rsidR="000F2B5D" w:rsidRPr="000F2B5D" w:rsidRDefault="000F2B5D" w:rsidP="000F2B5D">
      <w:pPr>
        <w:pStyle w:val="Prrafodelista"/>
        <w:rPr>
          <w:rFonts w:ascii="Palatino Linotype" w:hAnsi="Palatino Linotype"/>
          <w:sz w:val="24"/>
          <w:szCs w:val="24"/>
        </w:rPr>
      </w:pPr>
    </w:p>
    <w:p w:rsidR="00861A4B" w:rsidRDefault="00B02067" w:rsidP="00861A4B">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t xml:space="preserve">Considero firmemente que, dicha información no vulnera, ni pone en riesgo la conducción del procedimiento puesto que, </w:t>
      </w:r>
      <w:r w:rsidR="00861A4B">
        <w:rPr>
          <w:rFonts w:ascii="Palatino Linotype" w:hAnsi="Palatino Linotype"/>
          <w:sz w:val="24"/>
          <w:szCs w:val="24"/>
        </w:rPr>
        <w:t xml:space="preserve">para que exista una afectación a la conducción de un procedimiento, la información proporcionada debe otorgar ventaja a una de las partes, o bien, únicamente debe ser conocida por una de las partes. No obstante, </w:t>
      </w:r>
      <w:r w:rsidRPr="00861A4B">
        <w:rPr>
          <w:rFonts w:ascii="Palatino Linotype" w:hAnsi="Palatino Linotype"/>
          <w:sz w:val="24"/>
          <w:szCs w:val="24"/>
        </w:rPr>
        <w:t>la fecha y la autorización de la fusi</w:t>
      </w:r>
      <w:r w:rsidR="00D96722">
        <w:rPr>
          <w:rFonts w:ascii="Palatino Linotype" w:hAnsi="Palatino Linotype"/>
          <w:sz w:val="24"/>
          <w:szCs w:val="24"/>
        </w:rPr>
        <w:t>ón al ser materia del procedimiento,</w:t>
      </w:r>
      <w:r w:rsidRPr="00861A4B">
        <w:rPr>
          <w:rFonts w:ascii="Palatino Linotype" w:hAnsi="Palatino Linotype"/>
          <w:sz w:val="24"/>
          <w:szCs w:val="24"/>
        </w:rPr>
        <w:t xml:space="preserve"> es información que indudablemente deben conocer las partes involucradas en el procedimiento, </w:t>
      </w:r>
      <w:r w:rsidR="00861A4B">
        <w:rPr>
          <w:rFonts w:ascii="Palatino Linotype" w:hAnsi="Palatino Linotype"/>
          <w:sz w:val="24"/>
          <w:szCs w:val="24"/>
        </w:rPr>
        <w:t xml:space="preserve">por lo que, no se aprecia el daño a la conducción del procedimiento. </w:t>
      </w:r>
    </w:p>
    <w:p w:rsidR="00861A4B" w:rsidRDefault="00861A4B" w:rsidP="00861A4B">
      <w:pPr>
        <w:pStyle w:val="Prrafodelista"/>
        <w:spacing w:line="360" w:lineRule="auto"/>
        <w:ind w:left="426"/>
        <w:jc w:val="both"/>
        <w:rPr>
          <w:rFonts w:ascii="Palatino Linotype" w:hAnsi="Palatino Linotype"/>
          <w:sz w:val="24"/>
          <w:szCs w:val="24"/>
        </w:rPr>
      </w:pPr>
    </w:p>
    <w:p w:rsidR="00B02067" w:rsidRDefault="00D96722" w:rsidP="00861A4B">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t>Así también, no debemos perder de vista que, l</w:t>
      </w:r>
      <w:r w:rsidR="00B02067" w:rsidRPr="00861A4B">
        <w:rPr>
          <w:rFonts w:ascii="Palatino Linotype" w:hAnsi="Palatino Linotype"/>
          <w:sz w:val="24"/>
          <w:szCs w:val="24"/>
        </w:rPr>
        <w:t xml:space="preserve">a autorización </w:t>
      </w:r>
      <w:r w:rsidR="00920E5F" w:rsidRPr="00861A4B">
        <w:rPr>
          <w:rFonts w:ascii="Palatino Linotype" w:hAnsi="Palatino Linotype"/>
          <w:sz w:val="24"/>
          <w:szCs w:val="24"/>
        </w:rPr>
        <w:t xml:space="preserve">es un documento emitido por una autoridad y, recordando </w:t>
      </w:r>
      <w:r w:rsidR="00861A4B" w:rsidRPr="00861A4B">
        <w:rPr>
          <w:rFonts w:ascii="Palatino Linotype" w:hAnsi="Palatino Linotype"/>
          <w:sz w:val="24"/>
          <w:szCs w:val="24"/>
        </w:rPr>
        <w:t>la Ley de Transparencia y Acceso a la Información Pública del Estado de México y Municipios, en el artículo 92 fracción XXXII, las autorizaciones otorgadas, es información de carácter pública.</w:t>
      </w:r>
    </w:p>
    <w:p w:rsidR="000F2B5D" w:rsidRPr="000F2B5D" w:rsidRDefault="000F2B5D" w:rsidP="000F2B5D">
      <w:pPr>
        <w:pStyle w:val="Prrafodelista"/>
        <w:rPr>
          <w:rFonts w:ascii="Palatino Linotype" w:hAnsi="Palatino Linotype"/>
          <w:sz w:val="24"/>
          <w:szCs w:val="24"/>
        </w:rPr>
      </w:pPr>
    </w:p>
    <w:p w:rsidR="000F2B5D" w:rsidRDefault="000F2B5D" w:rsidP="00861A4B">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t>En consecuencia, al no acredita</w:t>
      </w:r>
      <w:r w:rsidR="00D96722">
        <w:rPr>
          <w:rFonts w:ascii="Palatino Linotype" w:hAnsi="Palatino Linotype"/>
          <w:sz w:val="24"/>
          <w:szCs w:val="24"/>
        </w:rPr>
        <w:t>rse el riesgo real, no puede ser</w:t>
      </w:r>
      <w:r>
        <w:rPr>
          <w:rFonts w:ascii="Palatino Linotype" w:hAnsi="Palatino Linotype"/>
          <w:sz w:val="24"/>
          <w:szCs w:val="24"/>
        </w:rPr>
        <w:t xml:space="preserve"> demostra</w:t>
      </w:r>
      <w:r w:rsidR="00D96722">
        <w:rPr>
          <w:rFonts w:ascii="Palatino Linotype" w:hAnsi="Palatino Linotype"/>
          <w:sz w:val="24"/>
          <w:szCs w:val="24"/>
        </w:rPr>
        <w:t>ble</w:t>
      </w:r>
      <w:r>
        <w:rPr>
          <w:rFonts w:ascii="Palatino Linotype" w:hAnsi="Palatino Linotype"/>
          <w:sz w:val="24"/>
          <w:szCs w:val="24"/>
        </w:rPr>
        <w:t xml:space="preserve"> ni tampoco identificarse, por lo que en este punto, no es procedente la clasificación de la información. </w:t>
      </w:r>
    </w:p>
    <w:p w:rsidR="000F2B5D" w:rsidRPr="000F2B5D" w:rsidRDefault="000F2B5D" w:rsidP="000F2B5D">
      <w:pPr>
        <w:pStyle w:val="Prrafodelista"/>
        <w:rPr>
          <w:rFonts w:ascii="Palatino Linotype" w:hAnsi="Palatino Linotype"/>
          <w:sz w:val="24"/>
          <w:szCs w:val="24"/>
        </w:rPr>
      </w:pPr>
    </w:p>
    <w:p w:rsidR="000F2B5D" w:rsidRDefault="000F2B5D" w:rsidP="00861A4B">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t>Es por ello que, el riesgo de perjuicio que supone la divulgación, en este caso en particular, es menor al interés público general de que se difunda, en razón de que no se aprecia el riesgo real por la divulgación de la información; sin embargo, existe un interés por el solicitante de conocer el acto de autoridad emitido por el Sujeto Obligado al inmueble señalado en la solicitud, en cuanto a la autorización por la fusión de dos predios.</w:t>
      </w:r>
    </w:p>
    <w:p w:rsidR="00333061" w:rsidRPr="00333061" w:rsidRDefault="00333061" w:rsidP="00333061">
      <w:pPr>
        <w:pStyle w:val="Prrafodelista"/>
        <w:rPr>
          <w:rFonts w:ascii="Palatino Linotype" w:hAnsi="Palatino Linotype"/>
          <w:sz w:val="24"/>
          <w:szCs w:val="24"/>
        </w:rPr>
      </w:pPr>
    </w:p>
    <w:p w:rsidR="00333061" w:rsidRPr="00861A4B" w:rsidRDefault="00333061" w:rsidP="00861A4B">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t>Por último, tampoco se acreditó que, la limitación realizada se adecuó al principio de proporcionalidad, representando el medio menos restrictivo disponible para evitar un perjuicio, toda vez que, el Sujeto Obligado se limitó a referir que toda la información requerida se encuentra clasificada por actualizar una causal de reserva, lo que a todas luces, no representó el principio de proporcionalidad, puesto que, se clasificó la totalidad de la información sin realizar un análisis exhaustivo del caso en concreto.</w:t>
      </w:r>
    </w:p>
    <w:p w:rsidR="008502BF" w:rsidRDefault="008502BF" w:rsidP="008502BF">
      <w:pPr>
        <w:pStyle w:val="Prrafodelista"/>
        <w:spacing w:line="360" w:lineRule="auto"/>
        <w:ind w:left="426"/>
        <w:jc w:val="both"/>
        <w:rPr>
          <w:rFonts w:ascii="Palatino Linotype" w:hAnsi="Palatino Linotype"/>
          <w:sz w:val="24"/>
          <w:szCs w:val="24"/>
        </w:rPr>
      </w:pPr>
    </w:p>
    <w:p w:rsidR="00333061" w:rsidRDefault="00333061" w:rsidP="008502BF">
      <w:pPr>
        <w:pStyle w:val="Prrafodelista"/>
        <w:spacing w:line="360" w:lineRule="auto"/>
        <w:ind w:left="426"/>
        <w:jc w:val="both"/>
        <w:rPr>
          <w:rFonts w:ascii="Palatino Linotype" w:hAnsi="Palatino Linotype"/>
          <w:sz w:val="24"/>
          <w:szCs w:val="24"/>
        </w:rPr>
      </w:pPr>
    </w:p>
    <w:p w:rsidR="00333061" w:rsidRDefault="00333061" w:rsidP="008502BF">
      <w:pPr>
        <w:pStyle w:val="Prrafodelista"/>
        <w:spacing w:line="360" w:lineRule="auto"/>
        <w:ind w:left="426"/>
        <w:jc w:val="both"/>
        <w:rPr>
          <w:rFonts w:ascii="Palatino Linotype" w:hAnsi="Palatino Linotype"/>
          <w:sz w:val="24"/>
          <w:szCs w:val="24"/>
        </w:rPr>
      </w:pPr>
    </w:p>
    <w:p w:rsidR="00333061" w:rsidRDefault="00333061" w:rsidP="008502BF">
      <w:pPr>
        <w:pStyle w:val="Prrafodelista"/>
        <w:spacing w:line="360" w:lineRule="auto"/>
        <w:ind w:left="426"/>
        <w:jc w:val="both"/>
        <w:rPr>
          <w:rFonts w:ascii="Palatino Linotype" w:hAnsi="Palatino Linotype"/>
          <w:sz w:val="24"/>
          <w:szCs w:val="24"/>
        </w:rPr>
      </w:pPr>
    </w:p>
    <w:p w:rsidR="004074C0" w:rsidRPr="00CB2E7B" w:rsidRDefault="00F7333F" w:rsidP="003E4DF1">
      <w:pPr>
        <w:pStyle w:val="Ttulo1"/>
        <w:numPr>
          <w:ilvl w:val="0"/>
          <w:numId w:val="2"/>
        </w:numPr>
        <w:rPr>
          <w:szCs w:val="24"/>
        </w:rPr>
      </w:pPr>
      <w:bookmarkStart w:id="16" w:name="_Toc11082154"/>
      <w:r w:rsidRPr="00CB2E7B">
        <w:rPr>
          <w:szCs w:val="24"/>
        </w:rPr>
        <w:t>Conclusión.</w:t>
      </w:r>
      <w:bookmarkEnd w:id="16"/>
    </w:p>
    <w:p w:rsidR="00771F1D" w:rsidRPr="00CB2E7B" w:rsidRDefault="00771F1D" w:rsidP="00530CB3">
      <w:pPr>
        <w:ind w:left="426"/>
        <w:rPr>
          <w:rFonts w:ascii="Palatino Linotype" w:hAnsi="Palatino Linotype"/>
          <w:sz w:val="24"/>
          <w:szCs w:val="24"/>
        </w:rPr>
      </w:pPr>
    </w:p>
    <w:p w:rsidR="00C618BE" w:rsidRDefault="00F12695" w:rsidP="00572AB3">
      <w:pPr>
        <w:numPr>
          <w:ilvl w:val="0"/>
          <w:numId w:val="1"/>
        </w:numPr>
        <w:spacing w:after="0" w:line="360" w:lineRule="auto"/>
        <w:ind w:left="426" w:hanging="426"/>
        <w:contextualSpacing/>
        <w:jc w:val="both"/>
        <w:rPr>
          <w:rFonts w:ascii="Palatino Linotype" w:hAnsi="Palatino Linotype"/>
          <w:sz w:val="24"/>
          <w:szCs w:val="24"/>
        </w:rPr>
      </w:pPr>
      <w:r>
        <w:rPr>
          <w:rFonts w:ascii="Palatino Linotype" w:hAnsi="Palatino Linotype"/>
          <w:sz w:val="24"/>
          <w:szCs w:val="24"/>
        </w:rPr>
        <w:t xml:space="preserve">No </w:t>
      </w:r>
      <w:r w:rsidR="00D96722">
        <w:rPr>
          <w:rFonts w:ascii="Palatino Linotype" w:hAnsi="Palatino Linotype"/>
          <w:sz w:val="24"/>
          <w:szCs w:val="24"/>
        </w:rPr>
        <w:t xml:space="preserve">comparto la clasificación de reserva de la información en el presente asunto en particular, porque considero que no actualiza la causal establecida en la Ley de Transparencia de Acceso a la Información Pública del Estado de México y Municipios, toda vez que no se acreditó la forma en que puede causar un perjuicio o menos cabo a la conducción del procedimiento judicial </w:t>
      </w:r>
      <w:r w:rsidR="00572AB3">
        <w:rPr>
          <w:rFonts w:ascii="Palatino Linotype" w:hAnsi="Palatino Linotype"/>
          <w:sz w:val="24"/>
          <w:szCs w:val="24"/>
        </w:rPr>
        <w:t>la divulgación de la información; sin embargo, existe una solicitud de acceso a la información que demuestra el interés por acceder a documentos donde fueron asentados actos de autoridad por parte del Sujeto Obligado, al emitir una autorización de fusión de dos predios que se encuentran dentro de los límites territoriales que son de su competencia.</w:t>
      </w:r>
    </w:p>
    <w:p w:rsidR="00572AB3" w:rsidRDefault="00572AB3" w:rsidP="00572AB3">
      <w:pPr>
        <w:spacing w:after="0" w:line="360" w:lineRule="auto"/>
        <w:contextualSpacing/>
        <w:jc w:val="both"/>
        <w:rPr>
          <w:rFonts w:ascii="Palatino Linotype" w:hAnsi="Palatino Linotype"/>
          <w:sz w:val="24"/>
          <w:szCs w:val="24"/>
        </w:rPr>
      </w:pPr>
    </w:p>
    <w:p w:rsidR="00572AB3" w:rsidRDefault="00572AB3" w:rsidP="00572AB3">
      <w:pPr>
        <w:spacing w:after="0" w:line="360" w:lineRule="auto"/>
        <w:contextualSpacing/>
        <w:jc w:val="both"/>
        <w:rPr>
          <w:rFonts w:ascii="Palatino Linotype" w:hAnsi="Palatino Linotype"/>
          <w:sz w:val="24"/>
          <w:szCs w:val="24"/>
        </w:rPr>
      </w:pPr>
    </w:p>
    <w:p w:rsidR="00572AB3" w:rsidRDefault="00572AB3" w:rsidP="00572AB3">
      <w:pPr>
        <w:spacing w:after="0" w:line="360" w:lineRule="auto"/>
        <w:contextualSpacing/>
        <w:jc w:val="both"/>
        <w:rPr>
          <w:rFonts w:ascii="Palatino Linotype" w:hAnsi="Palatino Linotype"/>
          <w:sz w:val="24"/>
          <w:szCs w:val="24"/>
        </w:rPr>
      </w:pPr>
    </w:p>
    <w:p w:rsidR="00F12695" w:rsidRDefault="00F12695" w:rsidP="00C618BE">
      <w:pPr>
        <w:spacing w:after="0" w:line="360" w:lineRule="auto"/>
        <w:contextualSpacing/>
        <w:jc w:val="both"/>
      </w:pPr>
    </w:p>
    <w:p w:rsidR="00B82949" w:rsidRPr="004800C4" w:rsidRDefault="00B82949" w:rsidP="003C1450"/>
    <w:p w:rsidR="00625340" w:rsidRPr="00CB2E7B" w:rsidRDefault="007A14A8"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J</w:t>
      </w:r>
      <w:r w:rsidR="00625340" w:rsidRPr="00CB2E7B">
        <w:rPr>
          <w:rFonts w:ascii="Palatino Linotype" w:eastAsia="Calibri" w:hAnsi="Palatino Linotype" w:cs="Arial"/>
          <w:b/>
          <w:sz w:val="24"/>
          <w:szCs w:val="24"/>
        </w:rPr>
        <w:t>OSÉ GUADALUPE LUNA HERNÁNDEZ</w:t>
      </w:r>
    </w:p>
    <w:p w:rsidR="00625340" w:rsidRDefault="009749F9"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C</w:t>
      </w:r>
      <w:r w:rsidR="00625340" w:rsidRPr="00CB2E7B">
        <w:rPr>
          <w:rFonts w:ascii="Palatino Linotype" w:eastAsia="Calibri" w:hAnsi="Palatino Linotype" w:cs="Arial"/>
          <w:b/>
          <w:sz w:val="24"/>
          <w:szCs w:val="24"/>
        </w:rPr>
        <w:t>OMISIONADO</w:t>
      </w:r>
    </w:p>
    <w:p w:rsidR="00541CF2" w:rsidRDefault="00F12695" w:rsidP="00F12695">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 xml:space="preserve">(Rúbrica) </w:t>
      </w:r>
    </w:p>
    <w:p w:rsidR="00DB6CC1" w:rsidRPr="00CB2E7B" w:rsidRDefault="00DB6CC1" w:rsidP="00DB6CC1">
      <w:pPr>
        <w:spacing w:line="360" w:lineRule="auto"/>
        <w:rPr>
          <w:rFonts w:ascii="Palatino Linotype" w:hAnsi="Palatino Linotype"/>
          <w:sz w:val="24"/>
          <w:szCs w:val="24"/>
        </w:rPr>
      </w:pPr>
      <w:r w:rsidRPr="00CB2E7B">
        <w:rPr>
          <w:rFonts w:ascii="Palatino Linotype" w:eastAsia="Calibri" w:hAnsi="Palatino Linotype" w:cs="Arial"/>
          <w:b/>
          <w:sz w:val="24"/>
          <w:szCs w:val="24"/>
        </w:rPr>
        <w:t>JGLH/ADM</w:t>
      </w:r>
    </w:p>
    <w:sectPr w:rsidR="00DB6CC1" w:rsidRPr="00CB2E7B" w:rsidSect="00267F73">
      <w:headerReference w:type="even" r:id="rId9"/>
      <w:headerReference w:type="default" r:id="rId10"/>
      <w:footerReference w:type="even" r:id="rId11"/>
      <w:footerReference w:type="default" r:id="rId12"/>
      <w:headerReference w:type="first" r:id="rId13"/>
      <w:footerReference w:type="first" r:id="rId14"/>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9FF" w:rsidRDefault="006639FF" w:rsidP="00DC559A">
      <w:pPr>
        <w:spacing w:after="0" w:line="240" w:lineRule="auto"/>
      </w:pPr>
      <w:r>
        <w:separator/>
      </w:r>
    </w:p>
  </w:endnote>
  <w:endnote w:type="continuationSeparator" w:id="0">
    <w:p w:rsidR="006639FF" w:rsidRDefault="006639FF"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22" w:rsidRDefault="00D967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D96722" w:rsidRDefault="00D9672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21C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21CD">
              <w:rPr>
                <w:b/>
                <w:bCs/>
                <w:noProof/>
              </w:rPr>
              <w:t>27</w:t>
            </w:r>
            <w:r>
              <w:rPr>
                <w:b/>
                <w:bCs/>
                <w:sz w:val="24"/>
                <w:szCs w:val="24"/>
              </w:rPr>
              <w:fldChar w:fldCharType="end"/>
            </w:r>
          </w:p>
        </w:sdtContent>
      </w:sdt>
    </w:sdtContent>
  </w:sdt>
  <w:p w:rsidR="00D96722" w:rsidRDefault="00D96722" w:rsidP="00B87289">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22" w:rsidRDefault="00D967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9FF" w:rsidRDefault="006639FF" w:rsidP="00DC559A">
      <w:pPr>
        <w:spacing w:after="0" w:line="240" w:lineRule="auto"/>
      </w:pPr>
      <w:r>
        <w:separator/>
      </w:r>
    </w:p>
  </w:footnote>
  <w:footnote w:type="continuationSeparator" w:id="0">
    <w:p w:rsidR="006639FF" w:rsidRDefault="006639FF" w:rsidP="00DC559A">
      <w:pPr>
        <w:spacing w:after="0" w:line="240" w:lineRule="auto"/>
      </w:pPr>
      <w:r>
        <w:continuationSeparator/>
      </w:r>
    </w:p>
  </w:footnote>
  <w:footnote w:id="1">
    <w:p w:rsidR="00D96722" w:rsidRDefault="00D96722" w:rsidP="000161B6">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96722" w:rsidRPr="00266430" w:rsidRDefault="00D96722" w:rsidP="000161B6">
      <w:pPr>
        <w:pStyle w:val="Textonotapie"/>
        <w:jc w:val="both"/>
      </w:pPr>
      <w:r w:rsidRPr="00266430">
        <w:t xml:space="preserve">1a./J. 2/2012 (9a.). Primera Sala. Décima Época. Semanario Judicial de la Federación y su Gaceta. Libro V, Febrero de 2012, Pág. 533.  </w:t>
      </w:r>
    </w:p>
  </w:footnote>
  <w:footnote w:id="2">
    <w:p w:rsidR="00D96722" w:rsidRPr="00A870EF" w:rsidRDefault="00D96722" w:rsidP="000161B6">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
    <w:p w:rsidR="00D96722" w:rsidRDefault="00D96722" w:rsidP="000161B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96722" w:rsidRDefault="00D96722" w:rsidP="000161B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96722" w:rsidRPr="001E1F95" w:rsidRDefault="00D96722" w:rsidP="000161B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D96722" w:rsidRPr="00ED2A04" w:rsidRDefault="00D96722" w:rsidP="000161B6">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5">
    <w:p w:rsidR="00D96722" w:rsidRPr="00ED2A04" w:rsidRDefault="00D96722" w:rsidP="000161B6">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6">
    <w:p w:rsidR="00D96722" w:rsidRPr="000406A4" w:rsidRDefault="00D96722" w:rsidP="000161B6">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7">
    <w:p w:rsidR="00D96722" w:rsidRPr="000406A4" w:rsidRDefault="00D96722" w:rsidP="000161B6">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8">
    <w:p w:rsidR="00D96722" w:rsidRPr="000406A4" w:rsidRDefault="00D96722" w:rsidP="000161B6">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9">
    <w:p w:rsidR="00D96722" w:rsidRPr="000406A4" w:rsidRDefault="00D96722" w:rsidP="000161B6">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0">
    <w:p w:rsidR="00D96722" w:rsidRPr="000406A4" w:rsidRDefault="00D96722" w:rsidP="000161B6">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1">
    <w:p w:rsidR="00D96722" w:rsidRPr="00AF123A" w:rsidRDefault="00D96722" w:rsidP="000161B6">
      <w:pPr>
        <w:jc w:val="both"/>
        <w:rPr>
          <w:rFonts w:ascii="Times New Roman" w:eastAsia="Times New Roman" w:hAnsi="Times New Roman" w:cs="Times New Roman"/>
          <w:sz w:val="24"/>
          <w:szCs w:val="24"/>
          <w:lang w:val="es-ES_tradnl"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val="es-ES_tradnl" w:eastAsia="es-ES_tradnl"/>
        </w:rPr>
        <w:t xml:space="preserve">” Citado en Corte Interamericana de Derechos Humanos. Caso Gonzales Lluy y otros contra Ecuador. Excepciones preliminares, fondo, reparaciones y costas. Sentencia del 01 de septiembre de 2015. Párr. 256. </w:t>
      </w:r>
      <w:r w:rsidRPr="00AF123A">
        <w:rPr>
          <w:rFonts w:ascii="Arial" w:eastAsia="Times New Roman" w:hAnsi="Arial" w:cs="Arial"/>
          <w:color w:val="333333"/>
          <w:sz w:val="18"/>
          <w:szCs w:val="18"/>
          <w:lang w:val="es-ES_tradnl" w:eastAsia="es-ES_tradnl"/>
        </w:rPr>
        <w:t> </w:t>
      </w:r>
    </w:p>
  </w:footnote>
  <w:footnote w:id="12">
    <w:p w:rsidR="00D96722" w:rsidRPr="00A4142C" w:rsidRDefault="00D96722" w:rsidP="000161B6">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3">
    <w:p w:rsidR="00D96722" w:rsidRDefault="00D96722">
      <w:pPr>
        <w:pStyle w:val="Textonotapie"/>
      </w:pPr>
      <w:r>
        <w:rPr>
          <w:rStyle w:val="Refdenotaalpie"/>
        </w:rPr>
        <w:footnoteRef/>
      </w:r>
      <w:r>
        <w:t xml:space="preserve"> Real Academia Española. (2014)</w:t>
      </w:r>
    </w:p>
  </w:footnote>
  <w:footnote w:id="14">
    <w:p w:rsidR="00D96722" w:rsidRDefault="00D96722">
      <w:pPr>
        <w:pStyle w:val="Textonotapie"/>
      </w:pPr>
      <w:r>
        <w:rPr>
          <w:rStyle w:val="Refdenotaalpie"/>
        </w:rPr>
        <w:footnoteRef/>
      </w:r>
      <w:r>
        <w:t xml:space="preserve">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22" w:rsidRDefault="006639F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573766" o:spid="_x0000_s2049" type="#_x0000_t136" style="position:absolute;margin-left:0;margin-top:0;width:553.8pt;height:69.2pt;rotation:315;z-index:-251659264;mso-position-horizontal:center;mso-position-horizontal-relative:margin;mso-position-vertical:center;mso-position-vertical-relative:margin" o:allowincell="f" fillcolor="#747070 [1614]" stroked="f">
          <v:fill opacity=".5"/>
          <v:textpath style="font-family:&quot;Arial&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22" w:rsidRDefault="006639FF">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573767" o:spid="_x0000_s2052" type="#_x0000_t136" style="position:absolute;margin-left:0;margin-top:0;width:553.8pt;height:69.2pt;rotation:315;z-index:-251656192;mso-position-horizontal:center;mso-position-horizontal-relative:margin;mso-position-vertical:center;mso-position-vertical-relative:margin" o:allowincell="f" fillcolor="#747070 [1614]" stroked="f">
          <v:fill opacity=".5"/>
          <v:textpath style="font-family:&quot;Arial&quot;;font-size:1pt" string="VOTO DISIDENTE"/>
          <w10:wrap anchorx="margin" anchory="margin"/>
        </v:shape>
      </w:pict>
    </w:r>
  </w:p>
  <w:p w:rsidR="00D96722" w:rsidRDefault="00D9672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22" w:rsidRDefault="006639F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573765" o:spid="_x0000_s2051" type="#_x0000_t136" style="position:absolute;margin-left:0;margin-top:0;width:553.8pt;height:69.2pt;rotation:315;z-index:-251657216;mso-position-horizontal:center;mso-position-horizontal-relative:margin;mso-position-vertical:center;mso-position-vertical-relative:margin" o:allowincell="f" fillcolor="#747070 [1614]" stroked="f">
          <v:fill opacity=".5"/>
          <v:textpath style="font-family:&quot;Arial&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335"/>
    <w:multiLevelType w:val="hybridMultilevel"/>
    <w:tmpl w:val="E790001E"/>
    <w:lvl w:ilvl="0" w:tplc="DAB871A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91E178F"/>
    <w:multiLevelType w:val="hybridMultilevel"/>
    <w:tmpl w:val="9A1A76C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6318EF"/>
    <w:multiLevelType w:val="hybridMultilevel"/>
    <w:tmpl w:val="EF669B56"/>
    <w:lvl w:ilvl="0" w:tplc="856AA21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338"/>
    <w:rsid w:val="00005556"/>
    <w:rsid w:val="00013F62"/>
    <w:rsid w:val="000161B6"/>
    <w:rsid w:val="0002112E"/>
    <w:rsid w:val="000227F4"/>
    <w:rsid w:val="00024F2A"/>
    <w:rsid w:val="00026199"/>
    <w:rsid w:val="0002684D"/>
    <w:rsid w:val="00037C7C"/>
    <w:rsid w:val="00064D2B"/>
    <w:rsid w:val="00085C1A"/>
    <w:rsid w:val="000A12BD"/>
    <w:rsid w:val="000A3711"/>
    <w:rsid w:val="000D5811"/>
    <w:rsid w:val="000D79A0"/>
    <w:rsid w:val="000E43AB"/>
    <w:rsid w:val="000F2B5D"/>
    <w:rsid w:val="000F4071"/>
    <w:rsid w:val="000F5099"/>
    <w:rsid w:val="001065F1"/>
    <w:rsid w:val="00123E07"/>
    <w:rsid w:val="00123E1D"/>
    <w:rsid w:val="00134DA0"/>
    <w:rsid w:val="00141135"/>
    <w:rsid w:val="00145961"/>
    <w:rsid w:val="001620F1"/>
    <w:rsid w:val="00175E9F"/>
    <w:rsid w:val="00183A1B"/>
    <w:rsid w:val="00184A6D"/>
    <w:rsid w:val="00187E2D"/>
    <w:rsid w:val="001A71CA"/>
    <w:rsid w:val="001B2F10"/>
    <w:rsid w:val="001B78B7"/>
    <w:rsid w:val="001D09E6"/>
    <w:rsid w:val="001D465C"/>
    <w:rsid w:val="001F1A7A"/>
    <w:rsid w:val="00203EB6"/>
    <w:rsid w:val="0020553B"/>
    <w:rsid w:val="00213DF0"/>
    <w:rsid w:val="00220BB9"/>
    <w:rsid w:val="00225758"/>
    <w:rsid w:val="002376B4"/>
    <w:rsid w:val="0025332E"/>
    <w:rsid w:val="00260A10"/>
    <w:rsid w:val="00267F73"/>
    <w:rsid w:val="00274EF3"/>
    <w:rsid w:val="00284349"/>
    <w:rsid w:val="002948E5"/>
    <w:rsid w:val="002959E9"/>
    <w:rsid w:val="00297258"/>
    <w:rsid w:val="002A6EF1"/>
    <w:rsid w:val="002B4023"/>
    <w:rsid w:val="002C430B"/>
    <w:rsid w:val="002D2293"/>
    <w:rsid w:val="002D2CD0"/>
    <w:rsid w:val="002D5499"/>
    <w:rsid w:val="002D63B3"/>
    <w:rsid w:val="00300947"/>
    <w:rsid w:val="00306AE2"/>
    <w:rsid w:val="00311D9E"/>
    <w:rsid w:val="0031350A"/>
    <w:rsid w:val="00323DF8"/>
    <w:rsid w:val="00333061"/>
    <w:rsid w:val="00336BC3"/>
    <w:rsid w:val="00340665"/>
    <w:rsid w:val="0034151E"/>
    <w:rsid w:val="003431E5"/>
    <w:rsid w:val="0036287F"/>
    <w:rsid w:val="0036351D"/>
    <w:rsid w:val="00384C92"/>
    <w:rsid w:val="00393382"/>
    <w:rsid w:val="0039566E"/>
    <w:rsid w:val="003B4A57"/>
    <w:rsid w:val="003B6EC6"/>
    <w:rsid w:val="003C1450"/>
    <w:rsid w:val="003C2FFB"/>
    <w:rsid w:val="003C35BC"/>
    <w:rsid w:val="003C7564"/>
    <w:rsid w:val="003E275E"/>
    <w:rsid w:val="003E4DF1"/>
    <w:rsid w:val="004058E2"/>
    <w:rsid w:val="004074C0"/>
    <w:rsid w:val="00432104"/>
    <w:rsid w:val="00433FCE"/>
    <w:rsid w:val="00435284"/>
    <w:rsid w:val="00460017"/>
    <w:rsid w:val="004665BF"/>
    <w:rsid w:val="004727BE"/>
    <w:rsid w:val="004800C4"/>
    <w:rsid w:val="0048383C"/>
    <w:rsid w:val="004A69D6"/>
    <w:rsid w:val="004B096A"/>
    <w:rsid w:val="004B4E07"/>
    <w:rsid w:val="004C273D"/>
    <w:rsid w:val="004C3125"/>
    <w:rsid w:val="004C6910"/>
    <w:rsid w:val="004C73FB"/>
    <w:rsid w:val="004D1010"/>
    <w:rsid w:val="004F3292"/>
    <w:rsid w:val="00517976"/>
    <w:rsid w:val="00526BA8"/>
    <w:rsid w:val="00530CB3"/>
    <w:rsid w:val="00541CF2"/>
    <w:rsid w:val="005429BB"/>
    <w:rsid w:val="00546237"/>
    <w:rsid w:val="005471F8"/>
    <w:rsid w:val="0056327C"/>
    <w:rsid w:val="00570DFF"/>
    <w:rsid w:val="00571B97"/>
    <w:rsid w:val="00572AB3"/>
    <w:rsid w:val="00585BED"/>
    <w:rsid w:val="0059666F"/>
    <w:rsid w:val="005A4257"/>
    <w:rsid w:val="005B54CA"/>
    <w:rsid w:val="005E324F"/>
    <w:rsid w:val="005E6A45"/>
    <w:rsid w:val="005F53BB"/>
    <w:rsid w:val="00602A7F"/>
    <w:rsid w:val="00611AB9"/>
    <w:rsid w:val="006207D7"/>
    <w:rsid w:val="00623541"/>
    <w:rsid w:val="00625340"/>
    <w:rsid w:val="00660259"/>
    <w:rsid w:val="006639FF"/>
    <w:rsid w:val="00674F8B"/>
    <w:rsid w:val="006773C0"/>
    <w:rsid w:val="00684D61"/>
    <w:rsid w:val="006903DD"/>
    <w:rsid w:val="0069542E"/>
    <w:rsid w:val="006B5BD5"/>
    <w:rsid w:val="006D22C2"/>
    <w:rsid w:val="006E4346"/>
    <w:rsid w:val="006E775A"/>
    <w:rsid w:val="006E7A8B"/>
    <w:rsid w:val="006F18A4"/>
    <w:rsid w:val="00703F02"/>
    <w:rsid w:val="0070418E"/>
    <w:rsid w:val="00712288"/>
    <w:rsid w:val="00726689"/>
    <w:rsid w:val="00740D72"/>
    <w:rsid w:val="007477B8"/>
    <w:rsid w:val="00756A7F"/>
    <w:rsid w:val="00764FF6"/>
    <w:rsid w:val="007715FF"/>
    <w:rsid w:val="00771D7C"/>
    <w:rsid w:val="00771F1D"/>
    <w:rsid w:val="00781495"/>
    <w:rsid w:val="0078520D"/>
    <w:rsid w:val="0078690A"/>
    <w:rsid w:val="00787C3A"/>
    <w:rsid w:val="00797A7B"/>
    <w:rsid w:val="007A13C3"/>
    <w:rsid w:val="007A14A8"/>
    <w:rsid w:val="007A2EC0"/>
    <w:rsid w:val="007A6841"/>
    <w:rsid w:val="007B4C9B"/>
    <w:rsid w:val="007D5A9C"/>
    <w:rsid w:val="007D69A7"/>
    <w:rsid w:val="007E514B"/>
    <w:rsid w:val="0080047C"/>
    <w:rsid w:val="0080411B"/>
    <w:rsid w:val="008107BE"/>
    <w:rsid w:val="00815B5D"/>
    <w:rsid w:val="00824147"/>
    <w:rsid w:val="00841881"/>
    <w:rsid w:val="008502BF"/>
    <w:rsid w:val="00861A4B"/>
    <w:rsid w:val="00870BA6"/>
    <w:rsid w:val="00890D79"/>
    <w:rsid w:val="008A491D"/>
    <w:rsid w:val="008B4955"/>
    <w:rsid w:val="008F435F"/>
    <w:rsid w:val="008F615E"/>
    <w:rsid w:val="00900C7B"/>
    <w:rsid w:val="00917801"/>
    <w:rsid w:val="00920D26"/>
    <w:rsid w:val="00920E5F"/>
    <w:rsid w:val="0092289B"/>
    <w:rsid w:val="00927436"/>
    <w:rsid w:val="00952495"/>
    <w:rsid w:val="00957F5D"/>
    <w:rsid w:val="00963FCC"/>
    <w:rsid w:val="00964B55"/>
    <w:rsid w:val="009749F9"/>
    <w:rsid w:val="00992F9E"/>
    <w:rsid w:val="00995EEC"/>
    <w:rsid w:val="009B6AAE"/>
    <w:rsid w:val="009C6D1F"/>
    <w:rsid w:val="009D4B91"/>
    <w:rsid w:val="009D5257"/>
    <w:rsid w:val="009E08AF"/>
    <w:rsid w:val="009F7309"/>
    <w:rsid w:val="009F7767"/>
    <w:rsid w:val="00A11153"/>
    <w:rsid w:val="00A143D1"/>
    <w:rsid w:val="00A2127D"/>
    <w:rsid w:val="00A37917"/>
    <w:rsid w:val="00A66803"/>
    <w:rsid w:val="00A67ADB"/>
    <w:rsid w:val="00A801BF"/>
    <w:rsid w:val="00A828B4"/>
    <w:rsid w:val="00A912FC"/>
    <w:rsid w:val="00A947EF"/>
    <w:rsid w:val="00AA45BE"/>
    <w:rsid w:val="00AC07BB"/>
    <w:rsid w:val="00AE30E5"/>
    <w:rsid w:val="00AE455C"/>
    <w:rsid w:val="00AE7918"/>
    <w:rsid w:val="00B02067"/>
    <w:rsid w:val="00B02F56"/>
    <w:rsid w:val="00B06DD6"/>
    <w:rsid w:val="00B14EBC"/>
    <w:rsid w:val="00B16CED"/>
    <w:rsid w:val="00B17543"/>
    <w:rsid w:val="00B3063B"/>
    <w:rsid w:val="00B43601"/>
    <w:rsid w:val="00B47F96"/>
    <w:rsid w:val="00B60576"/>
    <w:rsid w:val="00B76303"/>
    <w:rsid w:val="00B82949"/>
    <w:rsid w:val="00B87289"/>
    <w:rsid w:val="00BC3314"/>
    <w:rsid w:val="00BC7E6A"/>
    <w:rsid w:val="00BD29B2"/>
    <w:rsid w:val="00BD586B"/>
    <w:rsid w:val="00BE26FB"/>
    <w:rsid w:val="00BE6E85"/>
    <w:rsid w:val="00BF0ED2"/>
    <w:rsid w:val="00C00F08"/>
    <w:rsid w:val="00C02AF0"/>
    <w:rsid w:val="00C137A0"/>
    <w:rsid w:val="00C142A8"/>
    <w:rsid w:val="00C230CB"/>
    <w:rsid w:val="00C31FAC"/>
    <w:rsid w:val="00C320A9"/>
    <w:rsid w:val="00C42733"/>
    <w:rsid w:val="00C54DC0"/>
    <w:rsid w:val="00C60B48"/>
    <w:rsid w:val="00C618BE"/>
    <w:rsid w:val="00C75139"/>
    <w:rsid w:val="00C91DDB"/>
    <w:rsid w:val="00CA1D90"/>
    <w:rsid w:val="00CB290D"/>
    <w:rsid w:val="00CB2E7B"/>
    <w:rsid w:val="00CC7D48"/>
    <w:rsid w:val="00CD3FD7"/>
    <w:rsid w:val="00CD49FA"/>
    <w:rsid w:val="00CD65AA"/>
    <w:rsid w:val="00CD766A"/>
    <w:rsid w:val="00CD77B9"/>
    <w:rsid w:val="00CE64A4"/>
    <w:rsid w:val="00CE6C44"/>
    <w:rsid w:val="00CF05D3"/>
    <w:rsid w:val="00D02606"/>
    <w:rsid w:val="00D0514A"/>
    <w:rsid w:val="00D121CD"/>
    <w:rsid w:val="00D13632"/>
    <w:rsid w:val="00D35091"/>
    <w:rsid w:val="00D42114"/>
    <w:rsid w:val="00D4328A"/>
    <w:rsid w:val="00D4396D"/>
    <w:rsid w:val="00D5029F"/>
    <w:rsid w:val="00D60041"/>
    <w:rsid w:val="00D62508"/>
    <w:rsid w:val="00D7244B"/>
    <w:rsid w:val="00D72D15"/>
    <w:rsid w:val="00D90189"/>
    <w:rsid w:val="00D91003"/>
    <w:rsid w:val="00D95D5E"/>
    <w:rsid w:val="00D96722"/>
    <w:rsid w:val="00DA1785"/>
    <w:rsid w:val="00DA4B4E"/>
    <w:rsid w:val="00DB2E2D"/>
    <w:rsid w:val="00DB3E9F"/>
    <w:rsid w:val="00DB6CC1"/>
    <w:rsid w:val="00DC35D1"/>
    <w:rsid w:val="00DC559A"/>
    <w:rsid w:val="00DE456D"/>
    <w:rsid w:val="00DF36B0"/>
    <w:rsid w:val="00E015EC"/>
    <w:rsid w:val="00E3333F"/>
    <w:rsid w:val="00E40A86"/>
    <w:rsid w:val="00E419FE"/>
    <w:rsid w:val="00E52153"/>
    <w:rsid w:val="00E56EEA"/>
    <w:rsid w:val="00E61BE7"/>
    <w:rsid w:val="00E661C7"/>
    <w:rsid w:val="00E800CE"/>
    <w:rsid w:val="00E85FDE"/>
    <w:rsid w:val="00E940EB"/>
    <w:rsid w:val="00E94D66"/>
    <w:rsid w:val="00E96644"/>
    <w:rsid w:val="00E974FA"/>
    <w:rsid w:val="00EA3ED5"/>
    <w:rsid w:val="00EB2AB4"/>
    <w:rsid w:val="00ED4F35"/>
    <w:rsid w:val="00ED5A5F"/>
    <w:rsid w:val="00EF5494"/>
    <w:rsid w:val="00EF5CBC"/>
    <w:rsid w:val="00F02D41"/>
    <w:rsid w:val="00F11351"/>
    <w:rsid w:val="00F12695"/>
    <w:rsid w:val="00F12DC5"/>
    <w:rsid w:val="00F15522"/>
    <w:rsid w:val="00F237C4"/>
    <w:rsid w:val="00F313D4"/>
    <w:rsid w:val="00F3485F"/>
    <w:rsid w:val="00F358A9"/>
    <w:rsid w:val="00F36ACA"/>
    <w:rsid w:val="00F4017D"/>
    <w:rsid w:val="00F42DD4"/>
    <w:rsid w:val="00F54D5C"/>
    <w:rsid w:val="00F62245"/>
    <w:rsid w:val="00F67EC8"/>
    <w:rsid w:val="00F72C33"/>
    <w:rsid w:val="00F72F39"/>
    <w:rsid w:val="00F7333F"/>
    <w:rsid w:val="00F77A03"/>
    <w:rsid w:val="00F84DA1"/>
    <w:rsid w:val="00F96926"/>
    <w:rsid w:val="00F9751B"/>
    <w:rsid w:val="00FA00F2"/>
    <w:rsid w:val="00FA79F7"/>
    <w:rsid w:val="00FB30FD"/>
    <w:rsid w:val="00FB4059"/>
    <w:rsid w:val="00FC0729"/>
    <w:rsid w:val="00FC0FE3"/>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73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C7D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0514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1B2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1B2F1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1B2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0514A"/>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uiPriority w:val="9"/>
    <w:rsid w:val="00F7333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A2127D"/>
    <w:pPr>
      <w:spacing w:after="100"/>
      <w:ind w:left="220"/>
    </w:pPr>
  </w:style>
  <w:style w:type="character" w:customStyle="1" w:styleId="apple-converted-space">
    <w:name w:val="apple-converted-space"/>
    <w:basedOn w:val="Fuentedeprrafopredeter"/>
    <w:rsid w:val="000A3711"/>
  </w:style>
  <w:style w:type="character" w:customStyle="1" w:styleId="Ttulo3Car">
    <w:name w:val="Título 3 Car"/>
    <w:basedOn w:val="Fuentedeprrafopredeter"/>
    <w:link w:val="Ttulo3"/>
    <w:uiPriority w:val="9"/>
    <w:rsid w:val="00CC7D48"/>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CC7D4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9AFDE-3D63-4CA8-A894-71C3A3A8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5032</Words>
  <Characters>27676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32643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 INFOEM</cp:lastModifiedBy>
  <cp:revision>2</cp:revision>
  <cp:lastPrinted>2019-06-10T23:20:00Z</cp:lastPrinted>
  <dcterms:created xsi:type="dcterms:W3CDTF">2019-07-09T16:23:00Z</dcterms:created>
  <dcterms:modified xsi:type="dcterms:W3CDTF">2019-07-09T16:23:00Z</dcterms:modified>
</cp:coreProperties>
</file>