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DF4" w:rsidRPr="00262B05" w:rsidRDefault="00554DF4" w:rsidP="00262B05">
      <w:pPr>
        <w:spacing w:line="360" w:lineRule="auto"/>
        <w:jc w:val="center"/>
        <w:rPr>
          <w:rFonts w:ascii="Palatino Linotype" w:eastAsia="Times New Roman" w:hAnsi="Palatino Linotype" w:cs="Times New Roman"/>
          <w:b/>
        </w:rPr>
      </w:pPr>
      <w:bookmarkStart w:id="0" w:name="_GoBack"/>
      <w:bookmarkEnd w:id="0"/>
      <w:r w:rsidRPr="00262B05">
        <w:rPr>
          <w:rFonts w:ascii="Palatino Linotype" w:eastAsia="Times New Roman" w:hAnsi="Palatino Linotype" w:cs="Times New Roman"/>
          <w:b/>
        </w:rPr>
        <w:t>LÍNEAS ARGUMENTATIVAS</w:t>
      </w:r>
    </w:p>
    <w:p w:rsidR="00554DF4" w:rsidRPr="00262B05" w:rsidRDefault="00554DF4" w:rsidP="00262B05">
      <w:pPr>
        <w:spacing w:before="240" w:after="240" w:line="360" w:lineRule="auto"/>
        <w:jc w:val="both"/>
        <w:rPr>
          <w:rFonts w:ascii="Palatino Linotype" w:eastAsia="MS Mincho" w:hAnsi="Palatino Linotype" w:cs="Times New Roman"/>
        </w:rPr>
      </w:pPr>
      <w:r w:rsidRPr="00262B05">
        <w:rPr>
          <w:rFonts w:ascii="Palatino Linotype" w:eastAsia="MS Mincho" w:hAnsi="Palatino Linotype" w:cs="Times New Roman"/>
          <w:b/>
        </w:rPr>
        <w:t xml:space="preserve">DERECHO DE ACCESO A LA INFORMACIÓN PÚBLICA. </w:t>
      </w:r>
      <w:r w:rsidRPr="00262B05">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rsidR="007E4C92" w:rsidRPr="00262B05" w:rsidRDefault="007E4C92" w:rsidP="00262B05">
      <w:pPr>
        <w:spacing w:before="240" w:after="240" w:line="360" w:lineRule="auto"/>
        <w:jc w:val="both"/>
        <w:rPr>
          <w:rFonts w:ascii="Palatino Linotype" w:eastAsia="MS Mincho" w:hAnsi="Palatino Linotype" w:cs="Times New Roman"/>
        </w:rPr>
      </w:pPr>
      <w:r w:rsidRPr="00262B05">
        <w:rPr>
          <w:rFonts w:ascii="Palatino Linotype" w:eastAsia="Calibri" w:hAnsi="Palatino Linotype" w:cs="Times New Roman"/>
          <w:b/>
        </w:rPr>
        <w:t xml:space="preserve">CAMBIO DE MODALIDAD DE ENTREGA DE LA INFORMACIÓN, JUSTIFICACIÓN. </w:t>
      </w:r>
      <w:r w:rsidRPr="00262B05">
        <w:rPr>
          <w:rFonts w:ascii="Palatino Linotype" w:eastAsia="MS Mincho" w:hAnsi="Palatino Linotype" w:cs="Times New Roman"/>
        </w:rPr>
        <w:t xml:space="preserve">La modalidad de entrega y la forma de envío de la información se hará preferentemente como haya señalado el solicitante. Solo en los casos en que esto no sea posible, el </w:t>
      </w:r>
      <w:r w:rsidRPr="00262B05">
        <w:rPr>
          <w:rFonts w:ascii="Palatino Linotype" w:eastAsia="MS Mincho" w:hAnsi="Palatino Linotype" w:cs="Times New Roman"/>
          <w:b/>
        </w:rPr>
        <w:t xml:space="preserve">SUJETO OBLIGADO </w:t>
      </w:r>
      <w:r w:rsidRPr="00262B05">
        <w:rPr>
          <w:rFonts w:ascii="Palatino Linotype" w:eastAsia="MS Mincho" w:hAnsi="Palatino Linotype" w:cs="Times New Roman"/>
        </w:rPr>
        <w:t>podrá garantizar la entrega a través de cualquier otro medio, siempre y cuando funde y motive la razón para hacerlo. La necesidad de fundar y motivar es imperante en todos los actos que emite cualquier autoridad.</w:t>
      </w:r>
    </w:p>
    <w:p w:rsidR="00554DF4" w:rsidRPr="00262B05" w:rsidRDefault="00554DF4" w:rsidP="00262B05">
      <w:pPr>
        <w:spacing w:before="240" w:after="240" w:line="360" w:lineRule="auto"/>
        <w:jc w:val="both"/>
        <w:rPr>
          <w:rFonts w:ascii="Palatino Linotype" w:hAnsi="Palatino Linotype" w:cs="Arial"/>
        </w:rPr>
      </w:pPr>
      <w:r w:rsidRPr="00262B05">
        <w:rPr>
          <w:rFonts w:ascii="Palatino Linotype" w:eastAsia="Calibri" w:hAnsi="Palatino Linotype" w:cs="Arial"/>
          <w:b/>
          <w:lang w:val="es-ES" w:eastAsia="es-MX"/>
        </w:rPr>
        <w:t>DE LAS FORMALIDADES LEGALES DE LA CLASIFICACIÓN DE LA INFORMACIÓN.</w:t>
      </w:r>
      <w:r w:rsidRPr="00262B05">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262B05">
        <w:rPr>
          <w:rFonts w:ascii="Palatino Linotype" w:eastAsia="Calibri" w:hAnsi="Palatino Linotype" w:cs="Arial"/>
          <w:bCs/>
          <w:lang w:val="es-MX" w:eastAsia="en-US"/>
        </w:rPr>
        <w:t xml:space="preserve"> VIII,</w:t>
      </w:r>
      <w:r w:rsidRPr="00262B05">
        <w:rPr>
          <w:rFonts w:ascii="Palatino Linotype" w:eastAsia="Calibri" w:hAnsi="Palatino Linotype" w:cs="Arial"/>
          <w:lang w:val="es-ES" w:eastAsia="es-MX"/>
        </w:rPr>
        <w:t xml:space="preserve"> 122, 135 </w:t>
      </w:r>
      <w:r w:rsidRPr="00262B05">
        <w:rPr>
          <w:rFonts w:ascii="Palatino Linotype" w:hAnsi="Palatino Linotype" w:cs="Arial"/>
        </w:rPr>
        <w:t>143 y 149, así como los establecido en los Lineamientos Generales en Materia de Clasificación</w:t>
      </w:r>
      <w:r w:rsidRPr="00262B05">
        <w:rPr>
          <w:rFonts w:ascii="Palatino Linotype" w:hAnsi="Palatino Linotype"/>
        </w:rPr>
        <w:t xml:space="preserve"> </w:t>
      </w:r>
      <w:r w:rsidRPr="00262B05">
        <w:rPr>
          <w:rFonts w:ascii="Palatino Linotype" w:hAnsi="Palatino Linotype" w:cs="Arial"/>
        </w:rPr>
        <w:t>y Desclasificación de la Información.</w:t>
      </w:r>
    </w:p>
    <w:p w:rsidR="00554DF4" w:rsidRPr="00262B05" w:rsidRDefault="00554DF4" w:rsidP="00262B05">
      <w:pPr>
        <w:spacing w:line="360" w:lineRule="auto"/>
        <w:jc w:val="both"/>
        <w:rPr>
          <w:rFonts w:ascii="Palatino Linotype" w:hAnsi="Palatino Linotype"/>
        </w:rPr>
      </w:pPr>
    </w:p>
    <w:p w:rsidR="00554DF4" w:rsidRPr="00262B05" w:rsidRDefault="00554DF4" w:rsidP="00262B05">
      <w:pPr>
        <w:spacing w:before="240" w:after="240" w:line="360" w:lineRule="auto"/>
        <w:jc w:val="both"/>
        <w:rPr>
          <w:rFonts w:ascii="Palatino Linotype" w:hAnsi="Palatino Linotype"/>
          <w:b/>
        </w:rPr>
      </w:pPr>
    </w:p>
    <w:p w:rsidR="00554DF4" w:rsidRPr="00262B05" w:rsidRDefault="00554DF4" w:rsidP="00262B05">
      <w:pPr>
        <w:spacing w:before="240" w:after="240" w:line="360" w:lineRule="auto"/>
        <w:jc w:val="both"/>
        <w:rPr>
          <w:rFonts w:ascii="Palatino Linotype" w:eastAsia="Times New Roman" w:hAnsi="Palatino Linotype" w:cs="Times New Roman"/>
        </w:rPr>
      </w:pPr>
    </w:p>
    <w:p w:rsidR="00554DF4" w:rsidRPr="00262B05" w:rsidRDefault="00554DF4" w:rsidP="00262B05">
      <w:pPr>
        <w:spacing w:before="240" w:after="240" w:line="360" w:lineRule="auto"/>
        <w:jc w:val="center"/>
        <w:rPr>
          <w:rFonts w:ascii="Palatino Linotype" w:hAnsi="Palatino Linotype"/>
        </w:rPr>
      </w:pPr>
      <w:r w:rsidRPr="00262B05">
        <w:rPr>
          <w:rFonts w:ascii="Palatino Linotype" w:hAnsi="Palatino Linotype"/>
          <w:b/>
        </w:rPr>
        <w:t>Índice</w:t>
      </w:r>
      <w:r w:rsidRPr="00262B05">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rsidR="00554DF4" w:rsidRPr="00262B05" w:rsidRDefault="00554DF4" w:rsidP="00262B05">
          <w:pPr>
            <w:pStyle w:val="TtulodeTDC"/>
            <w:spacing w:line="360" w:lineRule="auto"/>
            <w:rPr>
              <w:szCs w:val="24"/>
            </w:rPr>
          </w:pPr>
        </w:p>
        <w:p w:rsidR="007E4C92" w:rsidRPr="00262B05" w:rsidRDefault="00554DF4" w:rsidP="00262B05">
          <w:pPr>
            <w:pStyle w:val="TDC1"/>
            <w:tabs>
              <w:tab w:val="right" w:leader="dot" w:pos="8779"/>
            </w:tabs>
            <w:spacing w:line="360" w:lineRule="auto"/>
            <w:rPr>
              <w:rFonts w:ascii="Palatino Linotype" w:hAnsi="Palatino Linotype"/>
              <w:noProof/>
              <w:lang w:val="es-MX" w:eastAsia="es-MX"/>
            </w:rPr>
          </w:pPr>
          <w:r w:rsidRPr="00262B05">
            <w:rPr>
              <w:rFonts w:ascii="Palatino Linotype" w:hAnsi="Palatino Linotype"/>
              <w:b/>
            </w:rPr>
            <w:fldChar w:fldCharType="begin"/>
          </w:r>
          <w:r w:rsidRPr="00262B05">
            <w:rPr>
              <w:rFonts w:ascii="Palatino Linotype" w:hAnsi="Palatino Linotype"/>
              <w:b/>
            </w:rPr>
            <w:instrText xml:space="preserve"> TOC \o "1-3" \h \z \u </w:instrText>
          </w:r>
          <w:r w:rsidRPr="00262B05">
            <w:rPr>
              <w:rFonts w:ascii="Palatino Linotype" w:hAnsi="Palatino Linotype"/>
              <w:b/>
            </w:rPr>
            <w:fldChar w:fldCharType="separate"/>
          </w:r>
          <w:hyperlink w:anchor="_Toc24476657" w:history="1">
            <w:r w:rsidR="007E4C92" w:rsidRPr="00262B05">
              <w:rPr>
                <w:rStyle w:val="Hipervnculo"/>
                <w:rFonts w:ascii="Palatino Linotype" w:hAnsi="Palatino Linotype"/>
                <w:noProof/>
              </w:rPr>
              <w:t>ANTECEDENTES</w:t>
            </w:r>
            <w:r w:rsidR="007E4C92" w:rsidRPr="00262B05">
              <w:rPr>
                <w:rFonts w:ascii="Palatino Linotype" w:hAnsi="Palatino Linotype"/>
                <w:noProof/>
                <w:webHidden/>
              </w:rPr>
              <w:tab/>
            </w:r>
            <w:r w:rsidR="007E4C92" w:rsidRPr="00262B05">
              <w:rPr>
                <w:rFonts w:ascii="Palatino Linotype" w:hAnsi="Palatino Linotype"/>
                <w:noProof/>
                <w:webHidden/>
              </w:rPr>
              <w:fldChar w:fldCharType="begin"/>
            </w:r>
            <w:r w:rsidR="007E4C92" w:rsidRPr="00262B05">
              <w:rPr>
                <w:rFonts w:ascii="Palatino Linotype" w:hAnsi="Palatino Linotype"/>
                <w:noProof/>
                <w:webHidden/>
              </w:rPr>
              <w:instrText xml:space="preserve"> PAGEREF _Toc24476657 \h </w:instrText>
            </w:r>
            <w:r w:rsidR="007E4C92" w:rsidRPr="00262B05">
              <w:rPr>
                <w:rFonts w:ascii="Palatino Linotype" w:hAnsi="Palatino Linotype"/>
                <w:noProof/>
                <w:webHidden/>
              </w:rPr>
            </w:r>
            <w:r w:rsidR="007E4C92" w:rsidRPr="00262B05">
              <w:rPr>
                <w:rFonts w:ascii="Palatino Linotype" w:hAnsi="Palatino Linotype"/>
                <w:noProof/>
                <w:webHidden/>
              </w:rPr>
              <w:fldChar w:fldCharType="separate"/>
            </w:r>
            <w:r w:rsidR="00F538F3">
              <w:rPr>
                <w:rFonts w:ascii="Palatino Linotype" w:hAnsi="Palatino Linotype"/>
                <w:noProof/>
                <w:webHidden/>
              </w:rPr>
              <w:t>3</w:t>
            </w:r>
            <w:r w:rsidR="007E4C92" w:rsidRPr="00262B05">
              <w:rPr>
                <w:rFonts w:ascii="Palatino Linotype" w:hAnsi="Palatino Linotype"/>
                <w:noProof/>
                <w:webHidden/>
              </w:rPr>
              <w:fldChar w:fldCharType="end"/>
            </w:r>
          </w:hyperlink>
        </w:p>
        <w:p w:rsidR="007E4C92" w:rsidRPr="00262B05" w:rsidRDefault="006C01E3" w:rsidP="00262B05">
          <w:pPr>
            <w:pStyle w:val="TDC1"/>
            <w:tabs>
              <w:tab w:val="right" w:leader="dot" w:pos="8779"/>
            </w:tabs>
            <w:spacing w:line="360" w:lineRule="auto"/>
            <w:rPr>
              <w:rFonts w:ascii="Palatino Linotype" w:hAnsi="Palatino Linotype"/>
              <w:noProof/>
              <w:lang w:val="es-MX" w:eastAsia="es-MX"/>
            </w:rPr>
          </w:pPr>
          <w:hyperlink w:anchor="_Toc24476658" w:history="1">
            <w:r w:rsidR="007E4C92" w:rsidRPr="00262B05">
              <w:rPr>
                <w:rStyle w:val="Hipervnculo"/>
                <w:rFonts w:ascii="Palatino Linotype" w:hAnsi="Palatino Linotype"/>
                <w:noProof/>
              </w:rPr>
              <w:t>CONSIDERANDO</w:t>
            </w:r>
            <w:r w:rsidR="007E4C92" w:rsidRPr="00262B05">
              <w:rPr>
                <w:rFonts w:ascii="Palatino Linotype" w:hAnsi="Palatino Linotype"/>
                <w:noProof/>
                <w:webHidden/>
              </w:rPr>
              <w:tab/>
            </w:r>
            <w:r w:rsidR="007E4C92" w:rsidRPr="00262B05">
              <w:rPr>
                <w:rFonts w:ascii="Palatino Linotype" w:hAnsi="Palatino Linotype"/>
                <w:noProof/>
                <w:webHidden/>
              </w:rPr>
              <w:fldChar w:fldCharType="begin"/>
            </w:r>
            <w:r w:rsidR="007E4C92" w:rsidRPr="00262B05">
              <w:rPr>
                <w:rFonts w:ascii="Palatino Linotype" w:hAnsi="Palatino Linotype"/>
                <w:noProof/>
                <w:webHidden/>
              </w:rPr>
              <w:instrText xml:space="preserve"> PAGEREF _Toc24476658 \h </w:instrText>
            </w:r>
            <w:r w:rsidR="007E4C92" w:rsidRPr="00262B05">
              <w:rPr>
                <w:rFonts w:ascii="Palatino Linotype" w:hAnsi="Palatino Linotype"/>
                <w:noProof/>
                <w:webHidden/>
              </w:rPr>
            </w:r>
            <w:r w:rsidR="007E4C92" w:rsidRPr="00262B05">
              <w:rPr>
                <w:rFonts w:ascii="Palatino Linotype" w:hAnsi="Palatino Linotype"/>
                <w:noProof/>
                <w:webHidden/>
              </w:rPr>
              <w:fldChar w:fldCharType="separate"/>
            </w:r>
            <w:r w:rsidR="00F538F3">
              <w:rPr>
                <w:rFonts w:ascii="Palatino Linotype" w:hAnsi="Palatino Linotype"/>
                <w:noProof/>
                <w:webHidden/>
              </w:rPr>
              <w:t>5</w:t>
            </w:r>
            <w:r w:rsidR="007E4C92" w:rsidRPr="00262B05">
              <w:rPr>
                <w:rFonts w:ascii="Palatino Linotype" w:hAnsi="Palatino Linotype"/>
                <w:noProof/>
                <w:webHidden/>
              </w:rPr>
              <w:fldChar w:fldCharType="end"/>
            </w:r>
          </w:hyperlink>
        </w:p>
        <w:p w:rsidR="007E4C92" w:rsidRPr="00262B05" w:rsidRDefault="006C01E3" w:rsidP="00262B05">
          <w:pPr>
            <w:pStyle w:val="TDC2"/>
            <w:spacing w:line="360" w:lineRule="auto"/>
            <w:ind w:left="0"/>
            <w:rPr>
              <w:rFonts w:ascii="Palatino Linotype" w:hAnsi="Palatino Linotype"/>
              <w:noProof/>
              <w:lang w:val="es-MX" w:eastAsia="es-MX"/>
            </w:rPr>
          </w:pPr>
          <w:hyperlink w:anchor="_Toc24476659" w:history="1">
            <w:r w:rsidR="007E4C92" w:rsidRPr="00262B05">
              <w:rPr>
                <w:rStyle w:val="Hipervnculo"/>
                <w:rFonts w:ascii="Palatino Linotype" w:hAnsi="Palatino Linotype"/>
                <w:b/>
                <w:noProof/>
              </w:rPr>
              <w:t>PRIMERO. De la competencia</w:t>
            </w:r>
            <w:r w:rsidR="007E4C92" w:rsidRPr="00262B05">
              <w:rPr>
                <w:rFonts w:ascii="Palatino Linotype" w:hAnsi="Palatino Linotype"/>
                <w:noProof/>
                <w:webHidden/>
              </w:rPr>
              <w:tab/>
            </w:r>
            <w:r w:rsidR="007E4C92" w:rsidRPr="00262B05">
              <w:rPr>
                <w:rFonts w:ascii="Palatino Linotype" w:hAnsi="Palatino Linotype"/>
                <w:noProof/>
                <w:webHidden/>
              </w:rPr>
              <w:fldChar w:fldCharType="begin"/>
            </w:r>
            <w:r w:rsidR="007E4C92" w:rsidRPr="00262B05">
              <w:rPr>
                <w:rFonts w:ascii="Palatino Linotype" w:hAnsi="Palatino Linotype"/>
                <w:noProof/>
                <w:webHidden/>
              </w:rPr>
              <w:instrText xml:space="preserve"> PAGEREF _Toc24476659 \h </w:instrText>
            </w:r>
            <w:r w:rsidR="007E4C92" w:rsidRPr="00262B05">
              <w:rPr>
                <w:rFonts w:ascii="Palatino Linotype" w:hAnsi="Palatino Linotype"/>
                <w:noProof/>
                <w:webHidden/>
              </w:rPr>
            </w:r>
            <w:r w:rsidR="007E4C92" w:rsidRPr="00262B05">
              <w:rPr>
                <w:rFonts w:ascii="Palatino Linotype" w:hAnsi="Palatino Linotype"/>
                <w:noProof/>
                <w:webHidden/>
              </w:rPr>
              <w:fldChar w:fldCharType="separate"/>
            </w:r>
            <w:r w:rsidR="00F538F3">
              <w:rPr>
                <w:rFonts w:ascii="Palatino Linotype" w:hAnsi="Palatino Linotype"/>
                <w:noProof/>
                <w:webHidden/>
              </w:rPr>
              <w:t>5</w:t>
            </w:r>
            <w:r w:rsidR="007E4C92" w:rsidRPr="00262B05">
              <w:rPr>
                <w:rFonts w:ascii="Palatino Linotype" w:hAnsi="Palatino Linotype"/>
                <w:noProof/>
                <w:webHidden/>
              </w:rPr>
              <w:fldChar w:fldCharType="end"/>
            </w:r>
          </w:hyperlink>
        </w:p>
        <w:p w:rsidR="007E4C92" w:rsidRPr="00262B05" w:rsidRDefault="006C01E3" w:rsidP="00262B05">
          <w:pPr>
            <w:pStyle w:val="TDC2"/>
            <w:spacing w:line="360" w:lineRule="auto"/>
            <w:ind w:left="0"/>
            <w:rPr>
              <w:rFonts w:ascii="Palatino Linotype" w:hAnsi="Palatino Linotype"/>
              <w:noProof/>
              <w:lang w:val="es-MX" w:eastAsia="es-MX"/>
            </w:rPr>
          </w:pPr>
          <w:hyperlink w:anchor="_Toc24476660" w:history="1">
            <w:r w:rsidR="007E4C92" w:rsidRPr="00262B05">
              <w:rPr>
                <w:rStyle w:val="Hipervnculo"/>
                <w:rFonts w:ascii="Palatino Linotype" w:hAnsi="Palatino Linotype"/>
                <w:b/>
                <w:noProof/>
              </w:rPr>
              <w:t>SEGUNDO. De la oportunidad y procedencia.</w:t>
            </w:r>
            <w:r w:rsidR="007E4C92" w:rsidRPr="00262B05">
              <w:rPr>
                <w:rFonts w:ascii="Palatino Linotype" w:hAnsi="Palatino Linotype"/>
                <w:noProof/>
                <w:webHidden/>
              </w:rPr>
              <w:tab/>
            </w:r>
            <w:r w:rsidR="007E4C92" w:rsidRPr="00262B05">
              <w:rPr>
                <w:rFonts w:ascii="Palatino Linotype" w:hAnsi="Palatino Linotype"/>
                <w:noProof/>
                <w:webHidden/>
              </w:rPr>
              <w:fldChar w:fldCharType="begin"/>
            </w:r>
            <w:r w:rsidR="007E4C92" w:rsidRPr="00262B05">
              <w:rPr>
                <w:rFonts w:ascii="Palatino Linotype" w:hAnsi="Palatino Linotype"/>
                <w:noProof/>
                <w:webHidden/>
              </w:rPr>
              <w:instrText xml:space="preserve"> PAGEREF _Toc24476660 \h </w:instrText>
            </w:r>
            <w:r w:rsidR="007E4C92" w:rsidRPr="00262B05">
              <w:rPr>
                <w:rFonts w:ascii="Palatino Linotype" w:hAnsi="Palatino Linotype"/>
                <w:noProof/>
                <w:webHidden/>
              </w:rPr>
            </w:r>
            <w:r w:rsidR="007E4C92" w:rsidRPr="00262B05">
              <w:rPr>
                <w:rFonts w:ascii="Palatino Linotype" w:hAnsi="Palatino Linotype"/>
                <w:noProof/>
                <w:webHidden/>
              </w:rPr>
              <w:fldChar w:fldCharType="separate"/>
            </w:r>
            <w:r w:rsidR="00F538F3">
              <w:rPr>
                <w:rFonts w:ascii="Palatino Linotype" w:hAnsi="Palatino Linotype"/>
                <w:noProof/>
                <w:webHidden/>
              </w:rPr>
              <w:t>6</w:t>
            </w:r>
            <w:r w:rsidR="007E4C92" w:rsidRPr="00262B05">
              <w:rPr>
                <w:rFonts w:ascii="Palatino Linotype" w:hAnsi="Palatino Linotype"/>
                <w:noProof/>
                <w:webHidden/>
              </w:rPr>
              <w:fldChar w:fldCharType="end"/>
            </w:r>
          </w:hyperlink>
        </w:p>
        <w:p w:rsidR="007E4C92" w:rsidRPr="00262B05" w:rsidRDefault="006C01E3" w:rsidP="00262B05">
          <w:pPr>
            <w:pStyle w:val="TDC2"/>
            <w:spacing w:line="360" w:lineRule="auto"/>
            <w:ind w:left="0"/>
            <w:rPr>
              <w:rFonts w:ascii="Palatino Linotype" w:hAnsi="Palatino Linotype"/>
              <w:noProof/>
              <w:lang w:val="es-MX" w:eastAsia="es-MX"/>
            </w:rPr>
          </w:pPr>
          <w:hyperlink w:anchor="_Toc24476661" w:history="1">
            <w:r w:rsidR="007E4C92" w:rsidRPr="00262B05">
              <w:rPr>
                <w:rStyle w:val="Hipervnculo"/>
                <w:rFonts w:ascii="Palatino Linotype" w:hAnsi="Palatino Linotype"/>
                <w:b/>
                <w:noProof/>
              </w:rPr>
              <w:t>TERCERO. Planteamiento de la Litis.</w:t>
            </w:r>
            <w:r w:rsidR="007E4C92" w:rsidRPr="00262B05">
              <w:rPr>
                <w:rFonts w:ascii="Palatino Linotype" w:hAnsi="Palatino Linotype"/>
                <w:noProof/>
                <w:webHidden/>
              </w:rPr>
              <w:tab/>
            </w:r>
            <w:r w:rsidR="007E4C92" w:rsidRPr="00262B05">
              <w:rPr>
                <w:rFonts w:ascii="Palatino Linotype" w:hAnsi="Palatino Linotype"/>
                <w:noProof/>
                <w:webHidden/>
              </w:rPr>
              <w:fldChar w:fldCharType="begin"/>
            </w:r>
            <w:r w:rsidR="007E4C92" w:rsidRPr="00262B05">
              <w:rPr>
                <w:rFonts w:ascii="Palatino Linotype" w:hAnsi="Palatino Linotype"/>
                <w:noProof/>
                <w:webHidden/>
              </w:rPr>
              <w:instrText xml:space="preserve"> PAGEREF _Toc24476661 \h </w:instrText>
            </w:r>
            <w:r w:rsidR="007E4C92" w:rsidRPr="00262B05">
              <w:rPr>
                <w:rFonts w:ascii="Palatino Linotype" w:hAnsi="Palatino Linotype"/>
                <w:noProof/>
                <w:webHidden/>
              </w:rPr>
            </w:r>
            <w:r w:rsidR="007E4C92" w:rsidRPr="00262B05">
              <w:rPr>
                <w:rFonts w:ascii="Palatino Linotype" w:hAnsi="Palatino Linotype"/>
                <w:noProof/>
                <w:webHidden/>
              </w:rPr>
              <w:fldChar w:fldCharType="separate"/>
            </w:r>
            <w:r w:rsidR="00F538F3">
              <w:rPr>
                <w:rFonts w:ascii="Palatino Linotype" w:hAnsi="Palatino Linotype"/>
                <w:noProof/>
                <w:webHidden/>
              </w:rPr>
              <w:t>7</w:t>
            </w:r>
            <w:r w:rsidR="007E4C92" w:rsidRPr="00262B05">
              <w:rPr>
                <w:rFonts w:ascii="Palatino Linotype" w:hAnsi="Palatino Linotype"/>
                <w:noProof/>
                <w:webHidden/>
              </w:rPr>
              <w:fldChar w:fldCharType="end"/>
            </w:r>
          </w:hyperlink>
        </w:p>
        <w:p w:rsidR="007E4C92" w:rsidRPr="00262B05" w:rsidRDefault="006C01E3" w:rsidP="00262B05">
          <w:pPr>
            <w:pStyle w:val="TDC2"/>
            <w:spacing w:line="360" w:lineRule="auto"/>
            <w:ind w:left="0"/>
            <w:rPr>
              <w:rFonts w:ascii="Palatino Linotype" w:hAnsi="Palatino Linotype"/>
              <w:noProof/>
              <w:lang w:val="es-MX" w:eastAsia="es-MX"/>
            </w:rPr>
          </w:pPr>
          <w:hyperlink w:anchor="_Toc24476662" w:history="1">
            <w:r w:rsidR="007E4C92" w:rsidRPr="00262B05">
              <w:rPr>
                <w:rStyle w:val="Hipervnculo"/>
                <w:rFonts w:ascii="Palatino Linotype" w:hAnsi="Palatino Linotype"/>
                <w:b/>
                <w:noProof/>
              </w:rPr>
              <w:t>CUARTO. Análisis y resolución del asunto.</w:t>
            </w:r>
            <w:r w:rsidR="007E4C92" w:rsidRPr="00262B05">
              <w:rPr>
                <w:rFonts w:ascii="Palatino Linotype" w:hAnsi="Palatino Linotype"/>
                <w:noProof/>
                <w:webHidden/>
              </w:rPr>
              <w:tab/>
            </w:r>
            <w:r w:rsidR="007E4C92" w:rsidRPr="00262B05">
              <w:rPr>
                <w:rFonts w:ascii="Palatino Linotype" w:hAnsi="Palatino Linotype"/>
                <w:noProof/>
                <w:webHidden/>
              </w:rPr>
              <w:fldChar w:fldCharType="begin"/>
            </w:r>
            <w:r w:rsidR="007E4C92" w:rsidRPr="00262B05">
              <w:rPr>
                <w:rFonts w:ascii="Palatino Linotype" w:hAnsi="Palatino Linotype"/>
                <w:noProof/>
                <w:webHidden/>
              </w:rPr>
              <w:instrText xml:space="preserve"> PAGEREF _Toc24476662 \h </w:instrText>
            </w:r>
            <w:r w:rsidR="007E4C92" w:rsidRPr="00262B05">
              <w:rPr>
                <w:rFonts w:ascii="Palatino Linotype" w:hAnsi="Palatino Linotype"/>
                <w:noProof/>
                <w:webHidden/>
              </w:rPr>
            </w:r>
            <w:r w:rsidR="007E4C92" w:rsidRPr="00262B05">
              <w:rPr>
                <w:rFonts w:ascii="Palatino Linotype" w:hAnsi="Palatino Linotype"/>
                <w:noProof/>
                <w:webHidden/>
              </w:rPr>
              <w:fldChar w:fldCharType="separate"/>
            </w:r>
            <w:r w:rsidR="00F538F3">
              <w:rPr>
                <w:rFonts w:ascii="Palatino Linotype" w:hAnsi="Palatino Linotype"/>
                <w:noProof/>
                <w:webHidden/>
              </w:rPr>
              <w:t>7</w:t>
            </w:r>
            <w:r w:rsidR="007E4C92" w:rsidRPr="00262B05">
              <w:rPr>
                <w:rFonts w:ascii="Palatino Linotype" w:hAnsi="Palatino Linotype"/>
                <w:noProof/>
                <w:webHidden/>
              </w:rPr>
              <w:fldChar w:fldCharType="end"/>
            </w:r>
          </w:hyperlink>
        </w:p>
        <w:p w:rsidR="007E4C92" w:rsidRPr="00262B05" w:rsidRDefault="006C01E3" w:rsidP="00262B05">
          <w:pPr>
            <w:pStyle w:val="TDC2"/>
            <w:spacing w:line="360" w:lineRule="auto"/>
            <w:ind w:left="0"/>
            <w:rPr>
              <w:rFonts w:ascii="Palatino Linotype" w:hAnsi="Palatino Linotype"/>
              <w:noProof/>
              <w:lang w:val="es-MX" w:eastAsia="es-MX"/>
            </w:rPr>
          </w:pPr>
          <w:hyperlink w:anchor="_Toc24476663" w:history="1">
            <w:r w:rsidR="007E4C92" w:rsidRPr="00262B05">
              <w:rPr>
                <w:rStyle w:val="Hipervnculo"/>
                <w:rFonts w:ascii="Palatino Linotype" w:hAnsi="Palatino Linotype"/>
                <w:b/>
                <w:noProof/>
              </w:rPr>
              <w:t>A.De la fuente obligacional.</w:t>
            </w:r>
            <w:r w:rsidR="007E4C92" w:rsidRPr="00262B05">
              <w:rPr>
                <w:rFonts w:ascii="Palatino Linotype" w:hAnsi="Palatino Linotype"/>
                <w:noProof/>
                <w:webHidden/>
              </w:rPr>
              <w:tab/>
            </w:r>
            <w:r w:rsidR="007E4C92" w:rsidRPr="00262B05">
              <w:rPr>
                <w:rFonts w:ascii="Palatino Linotype" w:hAnsi="Palatino Linotype"/>
                <w:noProof/>
                <w:webHidden/>
              </w:rPr>
              <w:fldChar w:fldCharType="begin"/>
            </w:r>
            <w:r w:rsidR="007E4C92" w:rsidRPr="00262B05">
              <w:rPr>
                <w:rFonts w:ascii="Palatino Linotype" w:hAnsi="Palatino Linotype"/>
                <w:noProof/>
                <w:webHidden/>
              </w:rPr>
              <w:instrText xml:space="preserve"> PAGEREF _Toc24476663 \h </w:instrText>
            </w:r>
            <w:r w:rsidR="007E4C92" w:rsidRPr="00262B05">
              <w:rPr>
                <w:rFonts w:ascii="Palatino Linotype" w:hAnsi="Palatino Linotype"/>
                <w:noProof/>
                <w:webHidden/>
              </w:rPr>
            </w:r>
            <w:r w:rsidR="007E4C92" w:rsidRPr="00262B05">
              <w:rPr>
                <w:rFonts w:ascii="Palatino Linotype" w:hAnsi="Palatino Linotype"/>
                <w:noProof/>
                <w:webHidden/>
              </w:rPr>
              <w:fldChar w:fldCharType="separate"/>
            </w:r>
            <w:r w:rsidR="00F538F3">
              <w:rPr>
                <w:rFonts w:ascii="Palatino Linotype" w:hAnsi="Palatino Linotype"/>
                <w:noProof/>
                <w:webHidden/>
              </w:rPr>
              <w:t>7</w:t>
            </w:r>
            <w:r w:rsidR="007E4C92" w:rsidRPr="00262B05">
              <w:rPr>
                <w:rFonts w:ascii="Palatino Linotype" w:hAnsi="Palatino Linotype"/>
                <w:noProof/>
                <w:webHidden/>
              </w:rPr>
              <w:fldChar w:fldCharType="end"/>
            </w:r>
          </w:hyperlink>
        </w:p>
        <w:p w:rsidR="007E4C92" w:rsidRPr="00262B05" w:rsidRDefault="006C01E3" w:rsidP="00262B05">
          <w:pPr>
            <w:pStyle w:val="TDC2"/>
            <w:spacing w:line="360" w:lineRule="auto"/>
            <w:ind w:left="0"/>
            <w:rPr>
              <w:rFonts w:ascii="Palatino Linotype" w:hAnsi="Palatino Linotype"/>
              <w:noProof/>
              <w:lang w:val="es-MX" w:eastAsia="es-MX"/>
            </w:rPr>
          </w:pPr>
          <w:hyperlink w:anchor="_Toc24476664" w:history="1">
            <w:r w:rsidR="007E4C92" w:rsidRPr="00262B05">
              <w:rPr>
                <w:rStyle w:val="Hipervnculo"/>
                <w:rFonts w:ascii="Palatino Linotype" w:hAnsi="Palatino Linotype"/>
                <w:b/>
                <w:noProof/>
              </w:rPr>
              <w:t>B.El derecho de acceso a la información.</w:t>
            </w:r>
            <w:r w:rsidR="007E4C92" w:rsidRPr="00262B05">
              <w:rPr>
                <w:rFonts w:ascii="Palatino Linotype" w:hAnsi="Palatino Linotype"/>
                <w:noProof/>
                <w:webHidden/>
              </w:rPr>
              <w:tab/>
            </w:r>
            <w:r w:rsidR="007E4C92" w:rsidRPr="00262B05">
              <w:rPr>
                <w:rFonts w:ascii="Palatino Linotype" w:hAnsi="Palatino Linotype"/>
                <w:noProof/>
                <w:webHidden/>
              </w:rPr>
              <w:fldChar w:fldCharType="begin"/>
            </w:r>
            <w:r w:rsidR="007E4C92" w:rsidRPr="00262B05">
              <w:rPr>
                <w:rFonts w:ascii="Palatino Linotype" w:hAnsi="Palatino Linotype"/>
                <w:noProof/>
                <w:webHidden/>
              </w:rPr>
              <w:instrText xml:space="preserve"> PAGEREF _Toc24476664 \h </w:instrText>
            </w:r>
            <w:r w:rsidR="007E4C92" w:rsidRPr="00262B05">
              <w:rPr>
                <w:rFonts w:ascii="Palatino Linotype" w:hAnsi="Palatino Linotype"/>
                <w:noProof/>
                <w:webHidden/>
              </w:rPr>
            </w:r>
            <w:r w:rsidR="007E4C92" w:rsidRPr="00262B05">
              <w:rPr>
                <w:rFonts w:ascii="Palatino Linotype" w:hAnsi="Palatino Linotype"/>
                <w:noProof/>
                <w:webHidden/>
              </w:rPr>
              <w:fldChar w:fldCharType="separate"/>
            </w:r>
            <w:r w:rsidR="00F538F3">
              <w:rPr>
                <w:rFonts w:ascii="Palatino Linotype" w:hAnsi="Palatino Linotype"/>
                <w:noProof/>
                <w:webHidden/>
              </w:rPr>
              <w:t>8</w:t>
            </w:r>
            <w:r w:rsidR="007E4C92" w:rsidRPr="00262B05">
              <w:rPr>
                <w:rFonts w:ascii="Palatino Linotype" w:hAnsi="Palatino Linotype"/>
                <w:noProof/>
                <w:webHidden/>
              </w:rPr>
              <w:fldChar w:fldCharType="end"/>
            </w:r>
          </w:hyperlink>
        </w:p>
        <w:p w:rsidR="007E4C92" w:rsidRPr="00262B05" w:rsidRDefault="006C01E3" w:rsidP="00262B05">
          <w:pPr>
            <w:pStyle w:val="TDC2"/>
            <w:spacing w:line="360" w:lineRule="auto"/>
            <w:ind w:left="0"/>
            <w:rPr>
              <w:rFonts w:ascii="Palatino Linotype" w:hAnsi="Palatino Linotype"/>
              <w:noProof/>
              <w:lang w:val="es-MX" w:eastAsia="es-MX"/>
            </w:rPr>
          </w:pPr>
          <w:hyperlink w:anchor="_Toc24476665" w:history="1">
            <w:r w:rsidR="007E4C92" w:rsidRPr="00262B05">
              <w:rPr>
                <w:rStyle w:val="Hipervnculo"/>
                <w:rFonts w:ascii="Palatino Linotype" w:hAnsi="Palatino Linotype"/>
                <w:b/>
                <w:noProof/>
              </w:rPr>
              <w:t>C.</w:t>
            </w:r>
            <w:r w:rsidR="007E4C92" w:rsidRPr="00262B05">
              <w:rPr>
                <w:rStyle w:val="Hipervnculo"/>
                <w:rFonts w:ascii="Palatino Linotype" w:eastAsia="MS Mincho" w:hAnsi="Palatino Linotype"/>
                <w:b/>
                <w:noProof/>
              </w:rPr>
              <w:t>Del cobro de la información.</w:t>
            </w:r>
            <w:r w:rsidR="007E4C92" w:rsidRPr="00262B05">
              <w:rPr>
                <w:rFonts w:ascii="Palatino Linotype" w:hAnsi="Palatino Linotype"/>
                <w:noProof/>
                <w:webHidden/>
              </w:rPr>
              <w:tab/>
            </w:r>
            <w:r w:rsidR="007E4C92" w:rsidRPr="00262B05">
              <w:rPr>
                <w:rFonts w:ascii="Palatino Linotype" w:hAnsi="Palatino Linotype"/>
                <w:noProof/>
                <w:webHidden/>
              </w:rPr>
              <w:fldChar w:fldCharType="begin"/>
            </w:r>
            <w:r w:rsidR="007E4C92" w:rsidRPr="00262B05">
              <w:rPr>
                <w:rFonts w:ascii="Palatino Linotype" w:hAnsi="Palatino Linotype"/>
                <w:noProof/>
                <w:webHidden/>
              </w:rPr>
              <w:instrText xml:space="preserve"> PAGEREF _Toc24476665 \h </w:instrText>
            </w:r>
            <w:r w:rsidR="007E4C92" w:rsidRPr="00262B05">
              <w:rPr>
                <w:rFonts w:ascii="Palatino Linotype" w:hAnsi="Palatino Linotype"/>
                <w:noProof/>
                <w:webHidden/>
              </w:rPr>
            </w:r>
            <w:r w:rsidR="007E4C92" w:rsidRPr="00262B05">
              <w:rPr>
                <w:rFonts w:ascii="Palatino Linotype" w:hAnsi="Palatino Linotype"/>
                <w:noProof/>
                <w:webHidden/>
              </w:rPr>
              <w:fldChar w:fldCharType="separate"/>
            </w:r>
            <w:r w:rsidR="00F538F3">
              <w:rPr>
                <w:rFonts w:ascii="Palatino Linotype" w:hAnsi="Palatino Linotype"/>
                <w:noProof/>
                <w:webHidden/>
              </w:rPr>
              <w:t>15</w:t>
            </w:r>
            <w:r w:rsidR="007E4C92" w:rsidRPr="00262B05">
              <w:rPr>
                <w:rFonts w:ascii="Palatino Linotype" w:hAnsi="Palatino Linotype"/>
                <w:noProof/>
                <w:webHidden/>
              </w:rPr>
              <w:fldChar w:fldCharType="end"/>
            </w:r>
          </w:hyperlink>
        </w:p>
        <w:p w:rsidR="007E4C92" w:rsidRPr="00262B05" w:rsidRDefault="006C01E3" w:rsidP="00262B05">
          <w:pPr>
            <w:pStyle w:val="TDC2"/>
            <w:spacing w:line="360" w:lineRule="auto"/>
            <w:ind w:left="0"/>
            <w:rPr>
              <w:rFonts w:ascii="Palatino Linotype" w:hAnsi="Palatino Linotype"/>
              <w:noProof/>
              <w:lang w:val="es-MX" w:eastAsia="es-MX"/>
            </w:rPr>
          </w:pPr>
          <w:hyperlink w:anchor="_Toc24476666" w:history="1">
            <w:r w:rsidR="007E4C92" w:rsidRPr="00262B05">
              <w:rPr>
                <w:rStyle w:val="Hipervnculo"/>
                <w:rFonts w:ascii="Palatino Linotype" w:hAnsi="Palatino Linotype"/>
                <w:b/>
                <w:noProof/>
              </w:rPr>
              <w:t>D.De los pagos.</w:t>
            </w:r>
            <w:r w:rsidR="007E4C92" w:rsidRPr="00262B05">
              <w:rPr>
                <w:rFonts w:ascii="Palatino Linotype" w:hAnsi="Palatino Linotype"/>
                <w:noProof/>
                <w:webHidden/>
              </w:rPr>
              <w:tab/>
            </w:r>
            <w:r w:rsidR="007E4C92" w:rsidRPr="00262B05">
              <w:rPr>
                <w:rFonts w:ascii="Palatino Linotype" w:hAnsi="Palatino Linotype"/>
                <w:noProof/>
                <w:webHidden/>
              </w:rPr>
              <w:fldChar w:fldCharType="begin"/>
            </w:r>
            <w:r w:rsidR="007E4C92" w:rsidRPr="00262B05">
              <w:rPr>
                <w:rFonts w:ascii="Palatino Linotype" w:hAnsi="Palatino Linotype"/>
                <w:noProof/>
                <w:webHidden/>
              </w:rPr>
              <w:instrText xml:space="preserve"> PAGEREF _Toc24476666 \h </w:instrText>
            </w:r>
            <w:r w:rsidR="007E4C92" w:rsidRPr="00262B05">
              <w:rPr>
                <w:rFonts w:ascii="Palatino Linotype" w:hAnsi="Palatino Linotype"/>
                <w:noProof/>
                <w:webHidden/>
              </w:rPr>
            </w:r>
            <w:r w:rsidR="007E4C92" w:rsidRPr="00262B05">
              <w:rPr>
                <w:rFonts w:ascii="Palatino Linotype" w:hAnsi="Palatino Linotype"/>
                <w:noProof/>
                <w:webHidden/>
              </w:rPr>
              <w:fldChar w:fldCharType="separate"/>
            </w:r>
            <w:r w:rsidR="00F538F3">
              <w:rPr>
                <w:rFonts w:ascii="Palatino Linotype" w:hAnsi="Palatino Linotype"/>
                <w:noProof/>
                <w:webHidden/>
              </w:rPr>
              <w:t>19</w:t>
            </w:r>
            <w:r w:rsidR="007E4C92" w:rsidRPr="00262B05">
              <w:rPr>
                <w:rFonts w:ascii="Palatino Linotype" w:hAnsi="Palatino Linotype"/>
                <w:noProof/>
                <w:webHidden/>
              </w:rPr>
              <w:fldChar w:fldCharType="end"/>
            </w:r>
          </w:hyperlink>
        </w:p>
        <w:p w:rsidR="007E4C92" w:rsidRPr="00262B05" w:rsidRDefault="006C01E3" w:rsidP="00262B05">
          <w:pPr>
            <w:pStyle w:val="TDC2"/>
            <w:spacing w:line="360" w:lineRule="auto"/>
            <w:ind w:left="0"/>
            <w:rPr>
              <w:rFonts w:ascii="Palatino Linotype" w:hAnsi="Palatino Linotype"/>
              <w:noProof/>
              <w:lang w:val="es-MX" w:eastAsia="es-MX"/>
            </w:rPr>
          </w:pPr>
          <w:hyperlink w:anchor="_Toc24476667" w:history="1">
            <w:r w:rsidR="007E4C92" w:rsidRPr="00262B05">
              <w:rPr>
                <w:rStyle w:val="Hipervnculo"/>
                <w:rFonts w:ascii="Palatino Linotype" w:hAnsi="Palatino Linotype"/>
                <w:b/>
                <w:noProof/>
              </w:rPr>
              <w:t>E.Modalidad de Entrega</w:t>
            </w:r>
            <w:r w:rsidR="007E4C92" w:rsidRPr="00262B05">
              <w:rPr>
                <w:rFonts w:ascii="Palatino Linotype" w:hAnsi="Palatino Linotype"/>
                <w:noProof/>
                <w:webHidden/>
              </w:rPr>
              <w:tab/>
            </w:r>
            <w:r w:rsidR="007E4C92" w:rsidRPr="00262B05">
              <w:rPr>
                <w:rFonts w:ascii="Palatino Linotype" w:hAnsi="Palatino Linotype"/>
                <w:noProof/>
                <w:webHidden/>
              </w:rPr>
              <w:fldChar w:fldCharType="begin"/>
            </w:r>
            <w:r w:rsidR="007E4C92" w:rsidRPr="00262B05">
              <w:rPr>
                <w:rFonts w:ascii="Palatino Linotype" w:hAnsi="Palatino Linotype"/>
                <w:noProof/>
                <w:webHidden/>
              </w:rPr>
              <w:instrText xml:space="preserve"> PAGEREF _Toc24476667 \h </w:instrText>
            </w:r>
            <w:r w:rsidR="007E4C92" w:rsidRPr="00262B05">
              <w:rPr>
                <w:rFonts w:ascii="Palatino Linotype" w:hAnsi="Palatino Linotype"/>
                <w:noProof/>
                <w:webHidden/>
              </w:rPr>
            </w:r>
            <w:r w:rsidR="007E4C92" w:rsidRPr="00262B05">
              <w:rPr>
                <w:rFonts w:ascii="Palatino Linotype" w:hAnsi="Palatino Linotype"/>
                <w:noProof/>
                <w:webHidden/>
              </w:rPr>
              <w:fldChar w:fldCharType="separate"/>
            </w:r>
            <w:r w:rsidR="00F538F3">
              <w:rPr>
                <w:rFonts w:ascii="Palatino Linotype" w:hAnsi="Palatino Linotype"/>
                <w:noProof/>
                <w:webHidden/>
              </w:rPr>
              <w:t>27</w:t>
            </w:r>
            <w:r w:rsidR="007E4C92" w:rsidRPr="00262B05">
              <w:rPr>
                <w:rFonts w:ascii="Palatino Linotype" w:hAnsi="Palatino Linotype"/>
                <w:noProof/>
                <w:webHidden/>
              </w:rPr>
              <w:fldChar w:fldCharType="end"/>
            </w:r>
          </w:hyperlink>
        </w:p>
        <w:p w:rsidR="007E4C92" w:rsidRPr="00262B05" w:rsidRDefault="006C01E3" w:rsidP="00262B05">
          <w:pPr>
            <w:pStyle w:val="TDC2"/>
            <w:spacing w:line="360" w:lineRule="auto"/>
            <w:ind w:left="0"/>
            <w:rPr>
              <w:rFonts w:ascii="Palatino Linotype" w:hAnsi="Palatino Linotype"/>
              <w:noProof/>
              <w:lang w:val="es-MX" w:eastAsia="es-MX"/>
            </w:rPr>
          </w:pPr>
          <w:hyperlink w:anchor="_Toc24476668" w:history="1">
            <w:r w:rsidR="007E4C92" w:rsidRPr="00262B05">
              <w:rPr>
                <w:rStyle w:val="Hipervnculo"/>
                <w:rFonts w:ascii="Palatino Linotype" w:hAnsi="Palatino Linotype"/>
                <w:b/>
                <w:noProof/>
              </w:rPr>
              <w:t>QUINTO. De la Versión Pública</w:t>
            </w:r>
            <w:r w:rsidR="007E4C92" w:rsidRPr="00262B05">
              <w:rPr>
                <w:rFonts w:ascii="Palatino Linotype" w:hAnsi="Palatino Linotype"/>
                <w:noProof/>
                <w:webHidden/>
              </w:rPr>
              <w:tab/>
            </w:r>
            <w:r w:rsidR="007E4C92" w:rsidRPr="00262B05">
              <w:rPr>
                <w:rFonts w:ascii="Palatino Linotype" w:hAnsi="Palatino Linotype"/>
                <w:noProof/>
                <w:webHidden/>
              </w:rPr>
              <w:fldChar w:fldCharType="begin"/>
            </w:r>
            <w:r w:rsidR="007E4C92" w:rsidRPr="00262B05">
              <w:rPr>
                <w:rFonts w:ascii="Palatino Linotype" w:hAnsi="Palatino Linotype"/>
                <w:noProof/>
                <w:webHidden/>
              </w:rPr>
              <w:instrText xml:space="preserve"> PAGEREF _Toc24476668 \h </w:instrText>
            </w:r>
            <w:r w:rsidR="007E4C92" w:rsidRPr="00262B05">
              <w:rPr>
                <w:rFonts w:ascii="Palatino Linotype" w:hAnsi="Palatino Linotype"/>
                <w:noProof/>
                <w:webHidden/>
              </w:rPr>
            </w:r>
            <w:r w:rsidR="007E4C92" w:rsidRPr="00262B05">
              <w:rPr>
                <w:rFonts w:ascii="Palatino Linotype" w:hAnsi="Palatino Linotype"/>
                <w:noProof/>
                <w:webHidden/>
              </w:rPr>
              <w:fldChar w:fldCharType="separate"/>
            </w:r>
            <w:r w:rsidR="00F538F3">
              <w:rPr>
                <w:rFonts w:ascii="Palatino Linotype" w:hAnsi="Palatino Linotype"/>
                <w:noProof/>
                <w:webHidden/>
              </w:rPr>
              <w:t>33</w:t>
            </w:r>
            <w:r w:rsidR="007E4C92" w:rsidRPr="00262B05">
              <w:rPr>
                <w:rFonts w:ascii="Palatino Linotype" w:hAnsi="Palatino Linotype"/>
                <w:noProof/>
                <w:webHidden/>
              </w:rPr>
              <w:fldChar w:fldCharType="end"/>
            </w:r>
          </w:hyperlink>
        </w:p>
        <w:p w:rsidR="007E4C92" w:rsidRPr="00262B05" w:rsidRDefault="006C01E3" w:rsidP="00262B05">
          <w:pPr>
            <w:pStyle w:val="TDC3"/>
            <w:tabs>
              <w:tab w:val="left" w:pos="1100"/>
              <w:tab w:val="right" w:leader="dot" w:pos="8779"/>
            </w:tabs>
            <w:spacing w:line="360" w:lineRule="auto"/>
            <w:ind w:left="0"/>
            <w:rPr>
              <w:rFonts w:ascii="Palatino Linotype" w:hAnsi="Palatino Linotype"/>
              <w:noProof/>
              <w:lang w:val="es-MX" w:eastAsia="es-MX"/>
            </w:rPr>
          </w:pPr>
          <w:hyperlink w:anchor="_Toc24476669" w:history="1">
            <w:r w:rsidR="007E4C92" w:rsidRPr="00262B05">
              <w:rPr>
                <w:rStyle w:val="Hipervnculo"/>
                <w:rFonts w:ascii="Palatino Linotype" w:hAnsi="Palatino Linotype"/>
                <w:b/>
                <w:noProof/>
              </w:rPr>
              <w:t>a.</w:t>
            </w:r>
            <w:r w:rsidR="00F21612">
              <w:rPr>
                <w:rFonts w:ascii="Palatino Linotype" w:hAnsi="Palatino Linotype"/>
                <w:noProof/>
                <w:lang w:val="es-MX" w:eastAsia="es-MX"/>
              </w:rPr>
              <w:t xml:space="preserve"> </w:t>
            </w:r>
            <w:r w:rsidR="007E4C92" w:rsidRPr="00262B05">
              <w:rPr>
                <w:rStyle w:val="Hipervnculo"/>
                <w:rFonts w:ascii="Palatino Linotype" w:hAnsi="Palatino Linotype"/>
                <w:b/>
                <w:noProof/>
              </w:rPr>
              <w:t>Requisitos previos.</w:t>
            </w:r>
            <w:r w:rsidR="007E4C92" w:rsidRPr="00262B05">
              <w:rPr>
                <w:rFonts w:ascii="Palatino Linotype" w:hAnsi="Palatino Linotype"/>
                <w:noProof/>
                <w:webHidden/>
              </w:rPr>
              <w:tab/>
            </w:r>
            <w:r w:rsidR="007E4C92" w:rsidRPr="00262B05">
              <w:rPr>
                <w:rFonts w:ascii="Palatino Linotype" w:hAnsi="Palatino Linotype"/>
                <w:noProof/>
                <w:webHidden/>
              </w:rPr>
              <w:fldChar w:fldCharType="begin"/>
            </w:r>
            <w:r w:rsidR="007E4C92" w:rsidRPr="00262B05">
              <w:rPr>
                <w:rFonts w:ascii="Palatino Linotype" w:hAnsi="Palatino Linotype"/>
                <w:noProof/>
                <w:webHidden/>
              </w:rPr>
              <w:instrText xml:space="preserve"> PAGEREF _Toc24476669 \h </w:instrText>
            </w:r>
            <w:r w:rsidR="007E4C92" w:rsidRPr="00262B05">
              <w:rPr>
                <w:rFonts w:ascii="Palatino Linotype" w:hAnsi="Palatino Linotype"/>
                <w:noProof/>
                <w:webHidden/>
              </w:rPr>
            </w:r>
            <w:r w:rsidR="007E4C92" w:rsidRPr="00262B05">
              <w:rPr>
                <w:rFonts w:ascii="Palatino Linotype" w:hAnsi="Palatino Linotype"/>
                <w:noProof/>
                <w:webHidden/>
              </w:rPr>
              <w:fldChar w:fldCharType="separate"/>
            </w:r>
            <w:r w:rsidR="00F538F3">
              <w:rPr>
                <w:rFonts w:ascii="Palatino Linotype" w:hAnsi="Palatino Linotype"/>
                <w:noProof/>
                <w:webHidden/>
              </w:rPr>
              <w:t>33</w:t>
            </w:r>
            <w:r w:rsidR="007E4C92" w:rsidRPr="00262B05">
              <w:rPr>
                <w:rFonts w:ascii="Palatino Linotype" w:hAnsi="Palatino Linotype"/>
                <w:noProof/>
                <w:webHidden/>
              </w:rPr>
              <w:fldChar w:fldCharType="end"/>
            </w:r>
          </w:hyperlink>
        </w:p>
        <w:p w:rsidR="007E4C92" w:rsidRPr="00262B05" w:rsidRDefault="006C01E3" w:rsidP="00262B05">
          <w:pPr>
            <w:pStyle w:val="TDC3"/>
            <w:tabs>
              <w:tab w:val="left" w:pos="1100"/>
              <w:tab w:val="right" w:leader="dot" w:pos="8779"/>
            </w:tabs>
            <w:spacing w:line="360" w:lineRule="auto"/>
            <w:ind w:left="0"/>
            <w:rPr>
              <w:rFonts w:ascii="Palatino Linotype" w:hAnsi="Palatino Linotype"/>
              <w:noProof/>
              <w:lang w:val="es-MX" w:eastAsia="es-MX"/>
            </w:rPr>
          </w:pPr>
          <w:hyperlink w:anchor="_Toc24476670" w:history="1">
            <w:r w:rsidR="007E4C92" w:rsidRPr="00262B05">
              <w:rPr>
                <w:rStyle w:val="Hipervnculo"/>
                <w:rFonts w:ascii="Palatino Linotype" w:hAnsi="Palatino Linotype"/>
                <w:b/>
                <w:noProof/>
              </w:rPr>
              <w:t>b.Supuesto de clasificación.</w:t>
            </w:r>
            <w:r w:rsidR="007E4C92" w:rsidRPr="00262B05">
              <w:rPr>
                <w:rFonts w:ascii="Palatino Linotype" w:hAnsi="Palatino Linotype"/>
                <w:noProof/>
                <w:webHidden/>
              </w:rPr>
              <w:tab/>
            </w:r>
            <w:r w:rsidR="007E4C92" w:rsidRPr="00262B05">
              <w:rPr>
                <w:rFonts w:ascii="Palatino Linotype" w:hAnsi="Palatino Linotype"/>
                <w:noProof/>
                <w:webHidden/>
              </w:rPr>
              <w:fldChar w:fldCharType="begin"/>
            </w:r>
            <w:r w:rsidR="007E4C92" w:rsidRPr="00262B05">
              <w:rPr>
                <w:rFonts w:ascii="Palatino Linotype" w:hAnsi="Palatino Linotype"/>
                <w:noProof/>
                <w:webHidden/>
              </w:rPr>
              <w:instrText xml:space="preserve"> PAGEREF _Toc24476670 \h </w:instrText>
            </w:r>
            <w:r w:rsidR="007E4C92" w:rsidRPr="00262B05">
              <w:rPr>
                <w:rFonts w:ascii="Palatino Linotype" w:hAnsi="Palatino Linotype"/>
                <w:noProof/>
                <w:webHidden/>
              </w:rPr>
            </w:r>
            <w:r w:rsidR="007E4C92" w:rsidRPr="00262B05">
              <w:rPr>
                <w:rFonts w:ascii="Palatino Linotype" w:hAnsi="Palatino Linotype"/>
                <w:noProof/>
                <w:webHidden/>
              </w:rPr>
              <w:fldChar w:fldCharType="separate"/>
            </w:r>
            <w:r w:rsidR="00F538F3">
              <w:rPr>
                <w:rFonts w:ascii="Palatino Linotype" w:hAnsi="Palatino Linotype"/>
                <w:noProof/>
                <w:webHidden/>
              </w:rPr>
              <w:t>34</w:t>
            </w:r>
            <w:r w:rsidR="007E4C92" w:rsidRPr="00262B05">
              <w:rPr>
                <w:rFonts w:ascii="Palatino Linotype" w:hAnsi="Palatino Linotype"/>
                <w:noProof/>
                <w:webHidden/>
              </w:rPr>
              <w:fldChar w:fldCharType="end"/>
            </w:r>
          </w:hyperlink>
        </w:p>
        <w:p w:rsidR="007E4C92" w:rsidRPr="00262B05" w:rsidRDefault="006C01E3" w:rsidP="00262B05">
          <w:pPr>
            <w:pStyle w:val="TDC3"/>
            <w:tabs>
              <w:tab w:val="left" w:pos="880"/>
              <w:tab w:val="right" w:leader="dot" w:pos="8779"/>
            </w:tabs>
            <w:spacing w:line="360" w:lineRule="auto"/>
            <w:ind w:left="0"/>
            <w:rPr>
              <w:rFonts w:ascii="Palatino Linotype" w:hAnsi="Palatino Linotype"/>
              <w:noProof/>
              <w:lang w:val="es-MX" w:eastAsia="es-MX"/>
            </w:rPr>
          </w:pPr>
          <w:hyperlink w:anchor="_Toc24476671" w:history="1">
            <w:r w:rsidR="007E4C92" w:rsidRPr="00262B05">
              <w:rPr>
                <w:rStyle w:val="Hipervnculo"/>
                <w:rFonts w:ascii="Palatino Linotype" w:hAnsi="Palatino Linotype"/>
                <w:b/>
                <w:noProof/>
              </w:rPr>
              <w:t>c.La intervención del Comité de Transparencia.</w:t>
            </w:r>
            <w:r w:rsidR="007E4C92" w:rsidRPr="00262B05">
              <w:rPr>
                <w:rFonts w:ascii="Palatino Linotype" w:hAnsi="Palatino Linotype"/>
                <w:noProof/>
                <w:webHidden/>
              </w:rPr>
              <w:tab/>
            </w:r>
            <w:r w:rsidR="007E4C92" w:rsidRPr="00262B05">
              <w:rPr>
                <w:rFonts w:ascii="Palatino Linotype" w:hAnsi="Palatino Linotype"/>
                <w:noProof/>
                <w:webHidden/>
              </w:rPr>
              <w:fldChar w:fldCharType="begin"/>
            </w:r>
            <w:r w:rsidR="007E4C92" w:rsidRPr="00262B05">
              <w:rPr>
                <w:rFonts w:ascii="Palatino Linotype" w:hAnsi="Palatino Linotype"/>
                <w:noProof/>
                <w:webHidden/>
              </w:rPr>
              <w:instrText xml:space="preserve"> PAGEREF _Toc24476671 \h </w:instrText>
            </w:r>
            <w:r w:rsidR="007E4C92" w:rsidRPr="00262B05">
              <w:rPr>
                <w:rFonts w:ascii="Palatino Linotype" w:hAnsi="Palatino Linotype"/>
                <w:noProof/>
                <w:webHidden/>
              </w:rPr>
            </w:r>
            <w:r w:rsidR="007E4C92" w:rsidRPr="00262B05">
              <w:rPr>
                <w:rFonts w:ascii="Palatino Linotype" w:hAnsi="Palatino Linotype"/>
                <w:noProof/>
                <w:webHidden/>
              </w:rPr>
              <w:fldChar w:fldCharType="separate"/>
            </w:r>
            <w:r w:rsidR="00F538F3">
              <w:rPr>
                <w:rFonts w:ascii="Palatino Linotype" w:hAnsi="Palatino Linotype"/>
                <w:noProof/>
                <w:webHidden/>
              </w:rPr>
              <w:t>37</w:t>
            </w:r>
            <w:r w:rsidR="007E4C92" w:rsidRPr="00262B05">
              <w:rPr>
                <w:rFonts w:ascii="Palatino Linotype" w:hAnsi="Palatino Linotype"/>
                <w:noProof/>
                <w:webHidden/>
              </w:rPr>
              <w:fldChar w:fldCharType="end"/>
            </w:r>
          </w:hyperlink>
        </w:p>
        <w:p w:rsidR="007E4C92" w:rsidRPr="00262B05" w:rsidRDefault="006C01E3" w:rsidP="00262B05">
          <w:pPr>
            <w:pStyle w:val="TDC1"/>
            <w:tabs>
              <w:tab w:val="right" w:leader="dot" w:pos="8779"/>
            </w:tabs>
            <w:spacing w:line="360" w:lineRule="auto"/>
            <w:rPr>
              <w:rFonts w:ascii="Palatino Linotype" w:hAnsi="Palatino Linotype"/>
              <w:noProof/>
              <w:lang w:val="es-MX" w:eastAsia="es-MX"/>
            </w:rPr>
          </w:pPr>
          <w:hyperlink w:anchor="_Toc24476672" w:history="1">
            <w:r w:rsidR="007E4C92" w:rsidRPr="00262B05">
              <w:rPr>
                <w:rStyle w:val="Hipervnculo"/>
                <w:rFonts w:ascii="Palatino Linotype" w:eastAsia="Times New Roman" w:hAnsi="Palatino Linotype" w:cstheme="majorBidi"/>
                <w:b/>
                <w:bCs/>
                <w:noProof/>
              </w:rPr>
              <w:t>R E S O L U T I V O S</w:t>
            </w:r>
            <w:r w:rsidR="007E4C92" w:rsidRPr="00262B05">
              <w:rPr>
                <w:rFonts w:ascii="Palatino Linotype" w:hAnsi="Palatino Linotype"/>
                <w:noProof/>
                <w:webHidden/>
              </w:rPr>
              <w:tab/>
            </w:r>
            <w:r w:rsidR="007E4C92" w:rsidRPr="00262B05">
              <w:rPr>
                <w:rFonts w:ascii="Palatino Linotype" w:hAnsi="Palatino Linotype"/>
                <w:noProof/>
                <w:webHidden/>
              </w:rPr>
              <w:fldChar w:fldCharType="begin"/>
            </w:r>
            <w:r w:rsidR="007E4C92" w:rsidRPr="00262B05">
              <w:rPr>
                <w:rFonts w:ascii="Palatino Linotype" w:hAnsi="Palatino Linotype"/>
                <w:noProof/>
                <w:webHidden/>
              </w:rPr>
              <w:instrText xml:space="preserve"> PAGEREF _Toc24476672 \h </w:instrText>
            </w:r>
            <w:r w:rsidR="007E4C92" w:rsidRPr="00262B05">
              <w:rPr>
                <w:rFonts w:ascii="Palatino Linotype" w:hAnsi="Palatino Linotype"/>
                <w:noProof/>
                <w:webHidden/>
              </w:rPr>
            </w:r>
            <w:r w:rsidR="007E4C92" w:rsidRPr="00262B05">
              <w:rPr>
                <w:rFonts w:ascii="Palatino Linotype" w:hAnsi="Palatino Linotype"/>
                <w:noProof/>
                <w:webHidden/>
              </w:rPr>
              <w:fldChar w:fldCharType="separate"/>
            </w:r>
            <w:r w:rsidR="00F538F3">
              <w:rPr>
                <w:rFonts w:ascii="Palatino Linotype" w:hAnsi="Palatino Linotype"/>
                <w:noProof/>
                <w:webHidden/>
              </w:rPr>
              <w:t>43</w:t>
            </w:r>
            <w:r w:rsidR="007E4C92" w:rsidRPr="00262B05">
              <w:rPr>
                <w:rFonts w:ascii="Palatino Linotype" w:hAnsi="Palatino Linotype"/>
                <w:noProof/>
                <w:webHidden/>
              </w:rPr>
              <w:fldChar w:fldCharType="end"/>
            </w:r>
          </w:hyperlink>
        </w:p>
        <w:p w:rsidR="007E4C92" w:rsidRPr="00262B05" w:rsidRDefault="006C01E3" w:rsidP="00262B05">
          <w:pPr>
            <w:pStyle w:val="TDC2"/>
            <w:spacing w:line="360" w:lineRule="auto"/>
            <w:ind w:left="0"/>
            <w:rPr>
              <w:rFonts w:ascii="Palatino Linotype" w:hAnsi="Palatino Linotype"/>
              <w:noProof/>
              <w:lang w:val="es-MX" w:eastAsia="es-MX"/>
            </w:rPr>
          </w:pPr>
          <w:hyperlink w:anchor="_Toc24476673" w:history="1">
            <w:r w:rsidR="007E4C92" w:rsidRPr="00262B05">
              <w:rPr>
                <w:rStyle w:val="Hipervnculo"/>
                <w:rFonts w:ascii="Palatino Linotype" w:hAnsi="Palatino Linotype"/>
                <w:b/>
                <w:noProof/>
              </w:rPr>
              <w:t>1)Documento donde consten los pagos que ha realizado la Tesorería Municipal, referidos en respuesta a la solicitud 00276/ZUMPANGO/IP/2019.</w:t>
            </w:r>
            <w:r w:rsidR="007E4C92" w:rsidRPr="00262B05">
              <w:rPr>
                <w:rFonts w:ascii="Palatino Linotype" w:hAnsi="Palatino Linotype"/>
                <w:noProof/>
                <w:webHidden/>
              </w:rPr>
              <w:tab/>
            </w:r>
            <w:r w:rsidR="007E4C92" w:rsidRPr="00262B05">
              <w:rPr>
                <w:rFonts w:ascii="Palatino Linotype" w:hAnsi="Palatino Linotype"/>
                <w:noProof/>
                <w:webHidden/>
              </w:rPr>
              <w:fldChar w:fldCharType="begin"/>
            </w:r>
            <w:r w:rsidR="007E4C92" w:rsidRPr="00262B05">
              <w:rPr>
                <w:rFonts w:ascii="Palatino Linotype" w:hAnsi="Palatino Linotype"/>
                <w:noProof/>
                <w:webHidden/>
              </w:rPr>
              <w:instrText xml:space="preserve"> PAGEREF _Toc24476673 \h </w:instrText>
            </w:r>
            <w:r w:rsidR="007E4C92" w:rsidRPr="00262B05">
              <w:rPr>
                <w:rFonts w:ascii="Palatino Linotype" w:hAnsi="Palatino Linotype"/>
                <w:noProof/>
                <w:webHidden/>
              </w:rPr>
            </w:r>
            <w:r w:rsidR="007E4C92" w:rsidRPr="00262B05">
              <w:rPr>
                <w:rFonts w:ascii="Palatino Linotype" w:hAnsi="Palatino Linotype"/>
                <w:noProof/>
                <w:webHidden/>
              </w:rPr>
              <w:fldChar w:fldCharType="separate"/>
            </w:r>
            <w:r w:rsidR="00F538F3">
              <w:rPr>
                <w:rFonts w:ascii="Palatino Linotype" w:hAnsi="Palatino Linotype"/>
                <w:noProof/>
                <w:webHidden/>
              </w:rPr>
              <w:t>43</w:t>
            </w:r>
            <w:r w:rsidR="007E4C92" w:rsidRPr="00262B05">
              <w:rPr>
                <w:rFonts w:ascii="Palatino Linotype" w:hAnsi="Palatino Linotype"/>
                <w:noProof/>
                <w:webHidden/>
              </w:rPr>
              <w:fldChar w:fldCharType="end"/>
            </w:r>
          </w:hyperlink>
        </w:p>
        <w:p w:rsidR="00262B05" w:rsidRDefault="00554DF4" w:rsidP="00262B05">
          <w:pPr>
            <w:spacing w:line="360" w:lineRule="auto"/>
            <w:jc w:val="both"/>
            <w:rPr>
              <w:rFonts w:ascii="Palatino Linotype" w:hAnsi="Palatino Linotype"/>
              <w:lang w:val="es-ES"/>
            </w:rPr>
          </w:pPr>
          <w:r w:rsidRPr="00262B05">
            <w:rPr>
              <w:rFonts w:ascii="Palatino Linotype" w:hAnsi="Palatino Linotype"/>
              <w:b/>
              <w:bCs/>
              <w:lang w:val="es-ES"/>
            </w:rPr>
            <w:lastRenderedPageBreak/>
            <w:fldChar w:fldCharType="end"/>
          </w:r>
        </w:p>
      </w:sdtContent>
    </w:sdt>
    <w:p w:rsidR="00554DF4" w:rsidRPr="00262B05" w:rsidRDefault="00554DF4" w:rsidP="00262B05">
      <w:pPr>
        <w:spacing w:line="360" w:lineRule="auto"/>
        <w:jc w:val="both"/>
        <w:rPr>
          <w:rFonts w:ascii="Palatino Linotype" w:hAnsi="Palatino Linotype"/>
        </w:rPr>
      </w:pPr>
      <w:r w:rsidRPr="00262B05">
        <w:rPr>
          <w:rFonts w:ascii="Palatino Linotype" w:hAnsi="Palatino Linotype"/>
        </w:rPr>
        <w:t>Resolución del Pleno del Instituto de Transparencia, Acceso a la Información Pública y Protección de Datos Personales del Estado de México y Municipios, con domicilio en Metepec, Es</w:t>
      </w:r>
      <w:r w:rsidR="00532BBA" w:rsidRPr="00262B05">
        <w:rPr>
          <w:rFonts w:ascii="Palatino Linotype" w:hAnsi="Palatino Linotype"/>
        </w:rPr>
        <w:t>tado de México; de fecha veinte (20</w:t>
      </w:r>
      <w:r w:rsidRPr="00262B05">
        <w:rPr>
          <w:rFonts w:ascii="Palatino Linotype" w:hAnsi="Palatino Linotype"/>
        </w:rPr>
        <w:t xml:space="preserve">) de noviembre de dos mil </w:t>
      </w:r>
      <w:r w:rsidRPr="00262B05">
        <w:rPr>
          <w:rFonts w:ascii="Palatino Linotype" w:eastAsia="Calibri" w:hAnsi="Palatino Linotype" w:cs="Arial"/>
          <w:lang w:val="es-ES"/>
        </w:rPr>
        <w:t>diecinueve</w:t>
      </w:r>
      <w:r w:rsidRPr="00262B05">
        <w:rPr>
          <w:rFonts w:ascii="Palatino Linotype" w:hAnsi="Palatino Linotype"/>
        </w:rPr>
        <w:t>.</w:t>
      </w:r>
    </w:p>
    <w:p w:rsidR="00554DF4" w:rsidRPr="00262B05" w:rsidRDefault="00554DF4" w:rsidP="00262B05">
      <w:pPr>
        <w:spacing w:before="240" w:after="360" w:line="360" w:lineRule="auto"/>
        <w:jc w:val="both"/>
        <w:rPr>
          <w:rFonts w:ascii="Palatino Linotype" w:hAnsi="Palatino Linotype"/>
        </w:rPr>
      </w:pPr>
      <w:r w:rsidRPr="00262B05">
        <w:rPr>
          <w:rFonts w:ascii="Palatino Linotype" w:hAnsi="Palatino Linotype"/>
          <w:b/>
        </w:rPr>
        <w:t>VISTO el</w:t>
      </w:r>
      <w:r w:rsidRPr="00262B05">
        <w:rPr>
          <w:rFonts w:ascii="Palatino Linotype" w:hAnsi="Palatino Linotype"/>
        </w:rPr>
        <w:t xml:space="preserve"> expediente electrónico formado con motivo del recurso de revisión </w:t>
      </w:r>
      <w:r w:rsidRPr="00262B05">
        <w:rPr>
          <w:rFonts w:ascii="Palatino Linotype" w:hAnsi="Palatino Linotype" w:cs="Arial"/>
          <w:b/>
          <w:bCs/>
          <w:lang w:eastAsia="es-MX"/>
        </w:rPr>
        <w:t>07383</w:t>
      </w:r>
      <w:r w:rsidRPr="00262B05">
        <w:rPr>
          <w:rFonts w:ascii="Palatino Linotype" w:hAnsi="Palatino Linotype" w:cs="Arial"/>
          <w:b/>
          <w:bCs/>
        </w:rPr>
        <w:t xml:space="preserve">/INFOEM/IP/RR/2019, </w:t>
      </w:r>
      <w:r w:rsidRPr="00262B05">
        <w:rPr>
          <w:rFonts w:ascii="Palatino Linotype" w:hAnsi="Palatino Linotype"/>
        </w:rPr>
        <w:t xml:space="preserve">promovido por </w:t>
      </w:r>
      <w:r w:rsidR="00810E1E" w:rsidRPr="00810E1E">
        <w:rPr>
          <w:rFonts w:ascii="Palatino Linotype" w:hAnsi="Palatino Linotype"/>
          <w:b/>
          <w:highlight w:val="black"/>
        </w:rPr>
        <w:t>-------------</w:t>
      </w:r>
      <w:r w:rsidRPr="00262B05">
        <w:rPr>
          <w:rFonts w:ascii="Palatino Linotype" w:hAnsi="Palatino Linotype"/>
        </w:rPr>
        <w:t xml:space="preserve"> en su calidad de </w:t>
      </w:r>
      <w:r w:rsidRPr="00262B05">
        <w:rPr>
          <w:rFonts w:ascii="Palatino Linotype" w:hAnsi="Palatino Linotype"/>
          <w:b/>
        </w:rPr>
        <w:t>RECURRENTE</w:t>
      </w:r>
      <w:r w:rsidRPr="00262B05">
        <w:rPr>
          <w:rFonts w:ascii="Palatino Linotype" w:hAnsi="Palatino Linotype" w:cs="Arial"/>
        </w:rPr>
        <w:t xml:space="preserve">, en contra de la respuesta del </w:t>
      </w:r>
      <w:r w:rsidRPr="00262B05">
        <w:rPr>
          <w:rFonts w:ascii="Palatino Linotype" w:hAnsi="Palatino Linotype"/>
          <w:b/>
          <w:bCs/>
        </w:rPr>
        <w:t>Ayuntamiento de Zumpango</w:t>
      </w:r>
      <w:r w:rsidRPr="00262B05">
        <w:rPr>
          <w:rFonts w:ascii="Palatino Linotype" w:hAnsi="Palatino Linotype" w:cs="Arial"/>
        </w:rPr>
        <w:t>,</w:t>
      </w:r>
      <w:r w:rsidRPr="00262B05">
        <w:rPr>
          <w:rFonts w:ascii="Palatino Linotype" w:hAnsi="Palatino Linotype"/>
          <w:b/>
        </w:rPr>
        <w:t xml:space="preserve"> </w:t>
      </w:r>
      <w:r w:rsidRPr="00262B05">
        <w:rPr>
          <w:rFonts w:ascii="Palatino Linotype" w:hAnsi="Palatino Linotype"/>
        </w:rPr>
        <w:t>en lo sucesivo el</w:t>
      </w:r>
      <w:r w:rsidRPr="00262B05">
        <w:rPr>
          <w:rFonts w:ascii="Palatino Linotype" w:hAnsi="Palatino Linotype"/>
          <w:b/>
        </w:rPr>
        <w:t xml:space="preserve"> SUJETO OBLIGADO, </w:t>
      </w:r>
      <w:r w:rsidRPr="00262B05">
        <w:rPr>
          <w:rFonts w:ascii="Palatino Linotype" w:hAnsi="Palatino Linotype"/>
        </w:rPr>
        <w:t xml:space="preserve">se procede a dictar la presente resolución, con base en los siguientes: </w:t>
      </w:r>
    </w:p>
    <w:p w:rsidR="00554DF4" w:rsidRPr="00262B05" w:rsidRDefault="00554DF4" w:rsidP="00262B05">
      <w:pPr>
        <w:pStyle w:val="Ttulo1"/>
        <w:spacing w:line="360" w:lineRule="auto"/>
        <w:jc w:val="center"/>
        <w:rPr>
          <w:szCs w:val="24"/>
        </w:rPr>
      </w:pPr>
      <w:bookmarkStart w:id="1" w:name="_Toc24476657"/>
      <w:r w:rsidRPr="00262B05">
        <w:rPr>
          <w:szCs w:val="24"/>
        </w:rPr>
        <w:t>ANTECEDENTES</w:t>
      </w:r>
      <w:bookmarkEnd w:id="1"/>
    </w:p>
    <w:p w:rsidR="00554DF4" w:rsidRPr="00262B05" w:rsidRDefault="00554DF4" w:rsidP="00262B05">
      <w:pPr>
        <w:spacing w:line="360" w:lineRule="auto"/>
        <w:rPr>
          <w:rFonts w:ascii="Palatino Linotype" w:hAnsi="Palatino Linotype"/>
          <w:lang w:val="es-MX" w:eastAsia="en-US"/>
        </w:rPr>
      </w:pPr>
    </w:p>
    <w:p w:rsidR="00554DF4" w:rsidRPr="00262B05" w:rsidRDefault="00554DF4" w:rsidP="00262B05">
      <w:pPr>
        <w:pStyle w:val="Prrafodelista"/>
        <w:numPr>
          <w:ilvl w:val="0"/>
          <w:numId w:val="1"/>
        </w:numPr>
        <w:spacing w:line="360" w:lineRule="auto"/>
        <w:ind w:left="0" w:firstLine="0"/>
        <w:jc w:val="both"/>
        <w:rPr>
          <w:rFonts w:ascii="Palatino Linotype" w:eastAsia="Times New Roman" w:hAnsi="Palatino Linotype" w:cs="Arial"/>
          <w:lang w:val="es-ES"/>
        </w:rPr>
      </w:pPr>
      <w:r w:rsidRPr="00262B05">
        <w:rPr>
          <w:rFonts w:ascii="Palatino Linotype" w:eastAsia="Calibri" w:hAnsi="Palatino Linotype" w:cs="Arial"/>
          <w:lang w:val="es-ES"/>
        </w:rPr>
        <w:t xml:space="preserve">El día treinta (30) </w:t>
      </w:r>
      <w:r w:rsidRPr="00262B05">
        <w:rPr>
          <w:rFonts w:ascii="Palatino Linotype" w:eastAsia="Calibri" w:hAnsi="Palatino Linotype" w:cs="Times New Roman"/>
          <w:lang w:val="es-ES"/>
        </w:rPr>
        <w:t>de julio de dos mil diecinueve</w:t>
      </w:r>
      <w:r w:rsidRPr="00262B05">
        <w:rPr>
          <w:rFonts w:ascii="Palatino Linotype" w:eastAsia="Calibri" w:hAnsi="Palatino Linotype" w:cs="Arial"/>
          <w:lang w:val="es-ES"/>
        </w:rPr>
        <w:t>,</w:t>
      </w:r>
      <w:r w:rsidRPr="00262B05">
        <w:rPr>
          <w:rFonts w:ascii="Palatino Linotype" w:eastAsia="Calibri" w:hAnsi="Palatino Linotype" w:cs="Times New Roman"/>
          <w:lang w:val="es-ES"/>
        </w:rPr>
        <w:t xml:space="preserve"> </w:t>
      </w:r>
      <w:r w:rsidRPr="00262B05">
        <w:rPr>
          <w:rFonts w:ascii="Palatino Linotype" w:eastAsia="Calibri" w:hAnsi="Palatino Linotype" w:cs="Times New Roman"/>
          <w:b/>
          <w:lang w:val="es-ES"/>
        </w:rPr>
        <w:t>EL RECURRENTE</w:t>
      </w:r>
      <w:r w:rsidRPr="00262B05">
        <w:rPr>
          <w:rFonts w:ascii="Palatino Linotype" w:hAnsi="Palatino Linotype"/>
          <w:b/>
        </w:rPr>
        <w:t>,</w:t>
      </w:r>
      <w:r w:rsidRPr="00262B05">
        <w:rPr>
          <w:rFonts w:ascii="Palatino Linotype" w:eastAsia="Calibri" w:hAnsi="Palatino Linotype" w:cs="Arial"/>
          <w:lang w:val="es-ES"/>
        </w:rPr>
        <w:t xml:space="preserve"> ante el </w:t>
      </w:r>
      <w:r w:rsidRPr="00262B05">
        <w:rPr>
          <w:rFonts w:ascii="Palatino Linotype" w:eastAsia="Calibri" w:hAnsi="Palatino Linotype" w:cs="Arial"/>
          <w:b/>
          <w:lang w:val="es-ES"/>
        </w:rPr>
        <w:t>SUJETO OBLIGADO</w:t>
      </w:r>
      <w:r w:rsidRPr="00262B05">
        <w:rPr>
          <w:rFonts w:ascii="Palatino Linotype" w:eastAsia="Calibri" w:hAnsi="Palatino Linotype" w:cs="Arial"/>
        </w:rPr>
        <w:t xml:space="preserve"> vía </w:t>
      </w:r>
      <w:r w:rsidRPr="00262B05">
        <w:rPr>
          <w:rFonts w:ascii="Palatino Linotype" w:eastAsia="Calibri" w:hAnsi="Palatino Linotype" w:cs="Arial"/>
          <w:lang w:val="es-ES"/>
        </w:rPr>
        <w:t>Sistema de Acceso a la Información Mexiquense (</w:t>
      </w:r>
      <w:r w:rsidRPr="00262B05">
        <w:rPr>
          <w:rFonts w:ascii="Palatino Linotype" w:eastAsia="Calibri" w:hAnsi="Palatino Linotype" w:cs="Arial"/>
          <w:b/>
          <w:lang w:val="es-ES"/>
        </w:rPr>
        <w:t>SAIMEX)</w:t>
      </w:r>
      <w:r w:rsidRPr="00262B05">
        <w:rPr>
          <w:rFonts w:ascii="Palatino Linotype" w:eastAsia="Calibri" w:hAnsi="Palatino Linotype" w:cs="Arial"/>
          <w:lang w:val="es-ES"/>
        </w:rPr>
        <w:t xml:space="preserve">, presentó la solicitud de información pública registrada con el número </w:t>
      </w:r>
      <w:r w:rsidRPr="00262B05">
        <w:rPr>
          <w:rFonts w:ascii="Palatino Linotype" w:eastAsia="Calibri" w:hAnsi="Palatino Linotype" w:cs="Arial"/>
          <w:b/>
          <w:lang w:val="es-ES"/>
        </w:rPr>
        <w:t>00276/ZUMPANGO/IP/2019</w:t>
      </w:r>
      <w:r w:rsidRPr="00262B05">
        <w:rPr>
          <w:rFonts w:ascii="Palatino Linotype" w:hAnsi="Palatino Linotype"/>
          <w:b/>
        </w:rPr>
        <w:t xml:space="preserve">, </w:t>
      </w:r>
      <w:r w:rsidRPr="00262B05">
        <w:rPr>
          <w:rFonts w:ascii="Palatino Linotype" w:eastAsia="Calibri" w:hAnsi="Palatino Linotype" w:cs="Arial"/>
          <w:lang w:val="es-ES"/>
        </w:rPr>
        <w:t>mediante la cual solicitó lo siguiente:</w:t>
      </w:r>
    </w:p>
    <w:p w:rsidR="00554DF4" w:rsidRPr="00262B05" w:rsidRDefault="00554DF4" w:rsidP="00262B05">
      <w:pPr>
        <w:pStyle w:val="Prrafodelista"/>
        <w:spacing w:line="360" w:lineRule="auto"/>
        <w:ind w:left="0"/>
        <w:jc w:val="both"/>
        <w:rPr>
          <w:rFonts w:ascii="Palatino Linotype" w:eastAsia="Times New Roman" w:hAnsi="Palatino Linotype" w:cs="Arial"/>
          <w:lang w:val="es-ES"/>
        </w:rPr>
      </w:pPr>
    </w:p>
    <w:p w:rsidR="00554DF4" w:rsidRPr="00262B05" w:rsidRDefault="00554DF4" w:rsidP="00262B05">
      <w:pPr>
        <w:pStyle w:val="Prrafodelista"/>
        <w:spacing w:before="240" w:after="240" w:line="360" w:lineRule="auto"/>
        <w:ind w:left="709" w:right="567"/>
        <w:jc w:val="both"/>
        <w:rPr>
          <w:rFonts w:ascii="Palatino Linotype" w:eastAsia="Calibri" w:hAnsi="Palatino Linotype" w:cs="Arial"/>
          <w:i/>
          <w:lang w:val="es-ES"/>
        </w:rPr>
      </w:pPr>
      <w:r w:rsidRPr="00262B05">
        <w:rPr>
          <w:rFonts w:ascii="Palatino Linotype" w:eastAsia="Calibri" w:hAnsi="Palatino Linotype" w:cs="Arial"/>
          <w:i/>
          <w:lang w:val="es-ES"/>
        </w:rPr>
        <w:t>“SOLICITO TODOS LOS EXPEDIENTES DE LOS PAGOS QUE HA REALIZADO LA TESORERIA MUNICIPAL” (Sic)</w:t>
      </w:r>
    </w:p>
    <w:p w:rsidR="00554DF4" w:rsidRPr="00262B05" w:rsidRDefault="00554DF4" w:rsidP="00262B05">
      <w:pPr>
        <w:pStyle w:val="Prrafodelista"/>
        <w:spacing w:before="240" w:after="240" w:line="360" w:lineRule="auto"/>
        <w:ind w:left="709" w:right="567"/>
        <w:jc w:val="both"/>
        <w:rPr>
          <w:rFonts w:ascii="Palatino Linotype" w:eastAsia="Calibri" w:hAnsi="Palatino Linotype" w:cs="Arial"/>
          <w:i/>
          <w:lang w:val="es-ES"/>
        </w:rPr>
      </w:pPr>
    </w:p>
    <w:p w:rsidR="00554DF4" w:rsidRPr="00262B05" w:rsidRDefault="00554DF4" w:rsidP="00262B05">
      <w:pPr>
        <w:pStyle w:val="Prrafodelista"/>
        <w:numPr>
          <w:ilvl w:val="0"/>
          <w:numId w:val="1"/>
        </w:numPr>
        <w:spacing w:line="360" w:lineRule="auto"/>
        <w:ind w:left="0" w:firstLine="0"/>
        <w:jc w:val="both"/>
        <w:rPr>
          <w:rFonts w:ascii="Palatino Linotype" w:eastAsia="Times New Roman" w:hAnsi="Palatino Linotype" w:cs="Arial"/>
          <w:lang w:val="es-ES"/>
        </w:rPr>
      </w:pPr>
      <w:r w:rsidRPr="00262B05">
        <w:rPr>
          <w:rFonts w:ascii="Palatino Linotype" w:eastAsia="Times New Roman" w:hAnsi="Palatino Linotype" w:cs="Arial"/>
          <w:lang w:val="es-ES"/>
        </w:rPr>
        <w:t>Señaló como modalidad de entrega de la información</w:t>
      </w:r>
      <w:r w:rsidRPr="00262B05">
        <w:rPr>
          <w:rFonts w:ascii="Palatino Linotype" w:eastAsia="Times New Roman" w:hAnsi="Palatino Linotype" w:cs="Arial"/>
          <w:b/>
          <w:lang w:val="es-ES"/>
        </w:rPr>
        <w:t>:</w:t>
      </w:r>
      <w:r w:rsidRPr="00262B05">
        <w:rPr>
          <w:rFonts w:ascii="Palatino Linotype" w:eastAsia="Times New Roman" w:hAnsi="Palatino Linotype" w:cs="Arial"/>
          <w:lang w:val="es-ES"/>
        </w:rPr>
        <w:t xml:space="preserve"> a través del </w:t>
      </w:r>
      <w:r w:rsidRPr="00262B05">
        <w:rPr>
          <w:rFonts w:ascii="Palatino Linotype" w:eastAsia="Times New Roman" w:hAnsi="Palatino Linotype" w:cs="Arial"/>
          <w:b/>
          <w:lang w:val="es-ES"/>
        </w:rPr>
        <w:t>SAIMEX.</w:t>
      </w:r>
    </w:p>
    <w:p w:rsidR="00554DF4" w:rsidRPr="00262B05" w:rsidRDefault="00554DF4" w:rsidP="00262B05">
      <w:pPr>
        <w:pStyle w:val="Prrafodelista"/>
        <w:spacing w:before="240" w:after="240" w:line="360" w:lineRule="auto"/>
        <w:ind w:left="0"/>
        <w:jc w:val="both"/>
        <w:rPr>
          <w:rFonts w:ascii="Palatino Linotype" w:hAnsi="Palatino Linotype"/>
        </w:rPr>
      </w:pPr>
    </w:p>
    <w:p w:rsidR="00554DF4" w:rsidRPr="00262B05" w:rsidRDefault="00554DF4" w:rsidP="00262B05">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262B05">
        <w:rPr>
          <w:rFonts w:ascii="Palatino Linotype" w:eastAsia="Calibri" w:hAnsi="Palatino Linotype" w:cs="Times New Roman"/>
          <w:lang w:val="es-ES"/>
        </w:rPr>
        <w:t xml:space="preserve">El día dos (2) de septiembre de dos mil diecinueve, el </w:t>
      </w:r>
      <w:r w:rsidRPr="00262B05">
        <w:rPr>
          <w:rFonts w:ascii="Palatino Linotype" w:eastAsia="Calibri" w:hAnsi="Palatino Linotype" w:cs="Arial"/>
          <w:b/>
          <w:lang w:val="es-AR"/>
        </w:rPr>
        <w:t>SUJETO OBLIGADO</w:t>
      </w:r>
      <w:r w:rsidRPr="00262B05">
        <w:rPr>
          <w:rFonts w:ascii="Palatino Linotype" w:eastAsia="Calibri" w:hAnsi="Palatino Linotype" w:cs="Arial"/>
          <w:b/>
          <w:i/>
          <w:lang w:val="es-AR"/>
        </w:rPr>
        <w:t xml:space="preserve"> </w:t>
      </w:r>
      <w:r w:rsidRPr="00262B05">
        <w:rPr>
          <w:rFonts w:ascii="Palatino Linotype" w:eastAsia="Times New Roman" w:hAnsi="Palatino Linotype" w:cs="Arial"/>
          <w:lang w:val="es-ES"/>
        </w:rPr>
        <w:t>dio respuesta a la solicitud de información, en los siguientes términos:</w:t>
      </w:r>
    </w:p>
    <w:p w:rsidR="00554DF4" w:rsidRPr="00262B05" w:rsidRDefault="00554DF4" w:rsidP="00262B05">
      <w:pPr>
        <w:pStyle w:val="Prrafodelista"/>
        <w:spacing w:line="360" w:lineRule="auto"/>
        <w:rPr>
          <w:rFonts w:ascii="Palatino Linotype" w:eastAsia="Times New Roman" w:hAnsi="Palatino Linotype" w:cs="Arial"/>
          <w:lang w:val="es-ES"/>
        </w:rPr>
      </w:pPr>
    </w:p>
    <w:p w:rsidR="00554DF4" w:rsidRPr="00262B05" w:rsidRDefault="00554DF4" w:rsidP="00262B05">
      <w:pPr>
        <w:pStyle w:val="Prrafodelista"/>
        <w:spacing w:before="240" w:after="240" w:line="360" w:lineRule="auto"/>
        <w:ind w:left="567" w:right="567"/>
        <w:jc w:val="both"/>
        <w:rPr>
          <w:rFonts w:ascii="Palatino Linotype" w:hAnsi="Palatino Linotype"/>
          <w:i/>
          <w:color w:val="000000"/>
        </w:rPr>
      </w:pPr>
      <w:r w:rsidRPr="00262B05">
        <w:rPr>
          <w:rFonts w:ascii="Palatino Linotype" w:eastAsia="Calibri" w:hAnsi="Palatino Linotype" w:cs="Times New Roman"/>
          <w:i/>
          <w:lang w:val="es-ES"/>
        </w:rPr>
        <w:lastRenderedPageBreak/>
        <w:t>“</w:t>
      </w:r>
      <w:r w:rsidRPr="00262B05">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54DF4" w:rsidRPr="00262B05" w:rsidRDefault="00554DF4" w:rsidP="00262B05">
      <w:pPr>
        <w:pStyle w:val="Prrafodelista"/>
        <w:spacing w:before="240" w:after="240" w:line="360" w:lineRule="auto"/>
        <w:ind w:left="567" w:right="567"/>
        <w:jc w:val="both"/>
        <w:rPr>
          <w:rFonts w:ascii="Palatino Linotype" w:hAnsi="Palatino Linotype"/>
          <w:i/>
          <w:color w:val="000000"/>
        </w:rPr>
      </w:pPr>
      <w:r w:rsidRPr="00262B05">
        <w:rPr>
          <w:rFonts w:ascii="Palatino Linotype" w:hAnsi="Palatino Linotype"/>
          <w:i/>
          <w:color w:val="000000"/>
        </w:rPr>
        <w:t>SE ADJUNTA DOCUMENTO CON LA RESPUESTA SOLICITADA</w:t>
      </w:r>
    </w:p>
    <w:p w:rsidR="00554DF4" w:rsidRPr="00262B05" w:rsidRDefault="00554DF4" w:rsidP="00262B05">
      <w:pPr>
        <w:pStyle w:val="Prrafodelista"/>
        <w:spacing w:before="240" w:after="240" w:line="360" w:lineRule="auto"/>
        <w:ind w:left="567" w:right="567"/>
        <w:jc w:val="both"/>
        <w:rPr>
          <w:rFonts w:ascii="Palatino Linotype" w:hAnsi="Palatino Linotype"/>
          <w:i/>
          <w:color w:val="000000"/>
        </w:rPr>
      </w:pPr>
      <w:r w:rsidRPr="00262B05">
        <w:rPr>
          <w:rFonts w:ascii="Palatino Linotype" w:hAnsi="Palatino Linotype"/>
          <w:i/>
          <w:color w:val="000000"/>
        </w:rPr>
        <w:t>ATENTAMENTE</w:t>
      </w:r>
    </w:p>
    <w:p w:rsidR="00554DF4" w:rsidRPr="00262B05" w:rsidRDefault="00554DF4" w:rsidP="00262B05">
      <w:pPr>
        <w:pStyle w:val="Prrafodelista"/>
        <w:spacing w:before="240" w:after="240" w:line="360" w:lineRule="auto"/>
        <w:ind w:left="567" w:right="567"/>
        <w:jc w:val="both"/>
        <w:rPr>
          <w:rFonts w:ascii="Palatino Linotype" w:hAnsi="Palatino Linotype"/>
          <w:i/>
          <w:color w:val="000000"/>
        </w:rPr>
      </w:pPr>
      <w:r w:rsidRPr="00262B05">
        <w:rPr>
          <w:rFonts w:ascii="Palatino Linotype" w:hAnsi="Palatino Linotype"/>
          <w:i/>
          <w:color w:val="000000"/>
        </w:rPr>
        <w:t>M. EN E. JORGE CAJIGA CALDERÓN” (sic)</w:t>
      </w:r>
    </w:p>
    <w:p w:rsidR="00554DF4" w:rsidRPr="00262B05" w:rsidRDefault="00554DF4" w:rsidP="00262B05">
      <w:pPr>
        <w:pStyle w:val="Prrafodelista"/>
        <w:spacing w:before="240" w:after="240" w:line="360" w:lineRule="auto"/>
        <w:ind w:left="567" w:right="567"/>
        <w:jc w:val="both"/>
        <w:rPr>
          <w:rFonts w:ascii="Palatino Linotype" w:hAnsi="Palatino Linotype"/>
          <w:i/>
          <w:color w:val="000000"/>
        </w:rPr>
      </w:pPr>
    </w:p>
    <w:p w:rsidR="00554DF4" w:rsidRPr="00262B05" w:rsidRDefault="00554DF4" w:rsidP="00262B05">
      <w:pPr>
        <w:pStyle w:val="Prrafodelista"/>
        <w:numPr>
          <w:ilvl w:val="0"/>
          <w:numId w:val="2"/>
        </w:numPr>
        <w:spacing w:before="240" w:after="240" w:line="360" w:lineRule="auto"/>
        <w:ind w:right="567"/>
        <w:jc w:val="both"/>
        <w:rPr>
          <w:rFonts w:ascii="Palatino Linotype" w:eastAsia="Times New Roman" w:hAnsi="Palatino Linotype" w:cs="Arial"/>
          <w:i/>
          <w:lang w:val="es-ES"/>
        </w:rPr>
      </w:pPr>
      <w:proofErr w:type="gramStart"/>
      <w:r w:rsidRPr="00262B05">
        <w:rPr>
          <w:rFonts w:ascii="Palatino Linotype" w:eastAsia="Times New Roman" w:hAnsi="Palatino Linotype" w:cs="Arial"/>
          <w:b/>
          <w:i/>
          <w:lang w:val="es-ES"/>
        </w:rPr>
        <w:t>2.pdf</w:t>
      </w:r>
      <w:proofErr w:type="gramEnd"/>
      <w:r w:rsidRPr="00262B05">
        <w:rPr>
          <w:rFonts w:ascii="Palatino Linotype" w:eastAsia="Times New Roman" w:hAnsi="Palatino Linotype" w:cs="Arial"/>
          <w:b/>
          <w:i/>
          <w:lang w:val="es-ES"/>
        </w:rPr>
        <w:t xml:space="preserve">: </w:t>
      </w:r>
      <w:r w:rsidRPr="00262B05">
        <w:rPr>
          <w:rFonts w:ascii="Palatino Linotype" w:eastAsia="Times New Roman" w:hAnsi="Palatino Linotype" w:cs="Arial"/>
          <w:lang w:val="es-ES"/>
        </w:rPr>
        <w:t xml:space="preserve">Oficio número TES/298/2019, suscrito por el Tesorero Municipal, mediante el cual hace referencia a que la información solicitada consta de un total de 33,654 fojas y, con </w:t>
      </w:r>
      <w:proofErr w:type="spellStart"/>
      <w:r w:rsidRPr="00262B05">
        <w:rPr>
          <w:rFonts w:ascii="Palatino Linotype" w:eastAsia="Times New Roman" w:hAnsi="Palatino Linotype" w:cs="Arial"/>
          <w:lang w:val="es-ES"/>
        </w:rPr>
        <w:t>bas</w:t>
      </w:r>
      <w:proofErr w:type="spellEnd"/>
      <w:r w:rsidRPr="00262B05">
        <w:rPr>
          <w:rFonts w:ascii="Palatino Linotype" w:eastAsia="Times New Roman" w:hAnsi="Palatino Linotype" w:cs="Arial"/>
          <w:lang w:val="es-ES"/>
        </w:rPr>
        <w:t xml:space="preserve"> en el Código Financiero, artículo 148 fracción I, inciso A y B, el solicitante tendrá que pagar la cantidad de $1, 185, 667.00 ( Un millón ciento ochenta y cinco mil seiscientos sesenta y siete pesos 00/100 m.n.)</w:t>
      </w:r>
    </w:p>
    <w:p w:rsidR="00554DF4" w:rsidRPr="00262B05" w:rsidRDefault="00554DF4" w:rsidP="00262B05">
      <w:pPr>
        <w:pStyle w:val="Prrafodelista"/>
        <w:spacing w:before="240" w:after="240" w:line="360" w:lineRule="auto"/>
        <w:ind w:left="786" w:right="567"/>
        <w:jc w:val="both"/>
        <w:rPr>
          <w:rFonts w:ascii="Palatino Linotype" w:eastAsia="Times New Roman" w:hAnsi="Palatino Linotype" w:cs="Arial"/>
          <w:b/>
          <w:i/>
          <w:lang w:val="es-ES"/>
        </w:rPr>
      </w:pP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i/>
        </w:rPr>
      </w:pPr>
      <w:r w:rsidRPr="00262B05">
        <w:rPr>
          <w:rFonts w:ascii="Palatino Linotype" w:eastAsia="Calibri" w:hAnsi="Palatino Linotype" w:cs="Arial"/>
          <w:lang w:val="es-AR"/>
        </w:rPr>
        <w:t>El día doce (12) de septiembre de</w:t>
      </w:r>
      <w:r w:rsidRPr="00262B05">
        <w:rPr>
          <w:rFonts w:ascii="Palatino Linotype" w:eastAsia="Times New Roman" w:hAnsi="Palatino Linotype" w:cs="Arial"/>
          <w:lang w:val="es-ES"/>
        </w:rPr>
        <w:t xml:space="preserve"> dos mil diecinueve, </w:t>
      </w:r>
      <w:r w:rsidRPr="00262B05">
        <w:rPr>
          <w:rFonts w:ascii="Palatino Linotype" w:hAnsi="Palatino Linotype"/>
          <w:b/>
        </w:rPr>
        <w:t>EL RECURRENTE</w:t>
      </w:r>
      <w:r w:rsidRPr="00262B05">
        <w:rPr>
          <w:rFonts w:ascii="Palatino Linotype" w:eastAsia="Times New Roman" w:hAnsi="Palatino Linotype" w:cs="Arial"/>
          <w:lang w:val="es-ES"/>
        </w:rPr>
        <w:t xml:space="preserve"> interpuso el recurso de revisión, en contra de la respuesta, y, señalando como:</w:t>
      </w:r>
      <w:bookmarkStart w:id="2" w:name="_Toc472500652"/>
      <w:bookmarkStart w:id="3" w:name="_Toc472427085"/>
      <w:bookmarkStart w:id="4" w:name="_Toc462307683"/>
    </w:p>
    <w:p w:rsidR="00554DF4" w:rsidRPr="00262B05" w:rsidRDefault="00554DF4" w:rsidP="00262B05">
      <w:pPr>
        <w:pStyle w:val="Prrafodelista"/>
        <w:spacing w:line="360" w:lineRule="auto"/>
        <w:rPr>
          <w:rFonts w:ascii="Palatino Linotype" w:hAnsi="Palatino Linotype" w:cs="Arial"/>
          <w:i/>
        </w:rPr>
      </w:pPr>
    </w:p>
    <w:p w:rsidR="00554DF4" w:rsidRPr="00262B05" w:rsidRDefault="00554DF4" w:rsidP="00262B05">
      <w:pPr>
        <w:pStyle w:val="Prrafodelista"/>
        <w:spacing w:line="360" w:lineRule="auto"/>
        <w:jc w:val="both"/>
        <w:rPr>
          <w:rFonts w:ascii="Palatino Linotype" w:eastAsia="Calibri" w:hAnsi="Palatino Linotype" w:cs="Arial"/>
          <w:lang w:val="es-ES"/>
        </w:rPr>
      </w:pPr>
      <w:r w:rsidRPr="00262B05">
        <w:rPr>
          <w:rFonts w:ascii="Palatino Linotype" w:hAnsi="Palatino Linotype"/>
          <w:b/>
        </w:rPr>
        <w:t>Acto impugnado:</w:t>
      </w:r>
      <w:r w:rsidRPr="00262B05">
        <w:rPr>
          <w:rStyle w:val="Ttulo2Car"/>
          <w:rFonts w:ascii="Palatino Linotype" w:hAnsi="Palatino Linotype"/>
          <w:b/>
          <w:i/>
          <w:sz w:val="24"/>
          <w:szCs w:val="24"/>
          <w:lang w:val="es-ES"/>
        </w:rPr>
        <w:t xml:space="preserve"> </w:t>
      </w:r>
      <w:r w:rsidRPr="00262B05">
        <w:rPr>
          <w:rFonts w:ascii="Palatino Linotype" w:hAnsi="Palatino Linotype"/>
        </w:rPr>
        <w:t>“</w:t>
      </w:r>
      <w:r w:rsidRPr="00262B05">
        <w:rPr>
          <w:rFonts w:ascii="Palatino Linotype" w:hAnsi="Palatino Linotype"/>
          <w:i/>
        </w:rPr>
        <w:t xml:space="preserve">Información incompleta </w:t>
      </w:r>
      <w:r w:rsidRPr="00262B05">
        <w:rPr>
          <w:rFonts w:ascii="Palatino Linotype" w:hAnsi="Palatino Linotype"/>
        </w:rPr>
        <w:t>"</w:t>
      </w:r>
      <w:r w:rsidRPr="00262B05">
        <w:rPr>
          <w:rFonts w:ascii="Palatino Linotype" w:eastAsia="Calibri" w:hAnsi="Palatino Linotype" w:cs="Arial"/>
          <w:lang w:val="es-ES"/>
        </w:rPr>
        <w:t xml:space="preserve"> (Sic); Y</w:t>
      </w:r>
    </w:p>
    <w:p w:rsidR="00554DF4" w:rsidRPr="00262B05" w:rsidRDefault="00554DF4" w:rsidP="00262B05">
      <w:pPr>
        <w:pStyle w:val="Prrafodelista"/>
        <w:spacing w:line="360" w:lineRule="auto"/>
        <w:jc w:val="both"/>
        <w:rPr>
          <w:rFonts w:ascii="Palatino Linotype" w:hAnsi="Palatino Linotype" w:cs="Arial"/>
        </w:rPr>
      </w:pPr>
      <w:r w:rsidRPr="00262B05">
        <w:rPr>
          <w:rFonts w:ascii="Palatino Linotype" w:hAnsi="Palatino Linotype"/>
          <w:b/>
        </w:rPr>
        <w:t>Razones o Motivos de inconformidad:</w:t>
      </w:r>
      <w:r w:rsidRPr="00262B05">
        <w:rPr>
          <w:rStyle w:val="Ttulo2Car"/>
          <w:rFonts w:ascii="Palatino Linotype" w:hAnsi="Palatino Linotype"/>
          <w:b/>
          <w:sz w:val="24"/>
          <w:szCs w:val="24"/>
          <w:lang w:val="es-ES"/>
        </w:rPr>
        <w:t xml:space="preserve"> </w:t>
      </w:r>
      <w:r w:rsidRPr="00262B05">
        <w:rPr>
          <w:rFonts w:ascii="Palatino Linotype" w:hAnsi="Palatino Linotype"/>
          <w:i/>
        </w:rPr>
        <w:t xml:space="preserve">“Información incompleta” </w:t>
      </w:r>
      <w:r w:rsidRPr="00262B05">
        <w:rPr>
          <w:rFonts w:ascii="Palatino Linotype" w:hAnsi="Palatino Linotype" w:cs="Arial"/>
          <w:i/>
        </w:rPr>
        <w:t>(Sic)</w:t>
      </w:r>
      <w:r w:rsidRPr="00262B05">
        <w:rPr>
          <w:rFonts w:ascii="Palatino Linotype" w:hAnsi="Palatino Linotype" w:cs="Arial"/>
        </w:rPr>
        <w:t xml:space="preserve"> </w:t>
      </w:r>
    </w:p>
    <w:p w:rsidR="00554DF4" w:rsidRPr="00262B05" w:rsidRDefault="00554DF4" w:rsidP="00262B05">
      <w:pPr>
        <w:pStyle w:val="Prrafodelista"/>
        <w:spacing w:line="360" w:lineRule="auto"/>
        <w:jc w:val="both"/>
        <w:rPr>
          <w:rFonts w:ascii="Palatino Linotype" w:hAnsi="Palatino Linotype" w:cs="Arial"/>
        </w:rPr>
      </w:pPr>
    </w:p>
    <w:bookmarkEnd w:id="2"/>
    <w:bookmarkEnd w:id="3"/>
    <w:bookmarkEnd w:id="4"/>
    <w:p w:rsidR="00554DF4" w:rsidRPr="00262B05" w:rsidRDefault="00554DF4" w:rsidP="00262B05">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262B05">
        <w:rPr>
          <w:rFonts w:ascii="Palatino Linotype" w:eastAsia="Times New Roman" w:hAnsi="Palatino Linotype" w:cs="Arial"/>
          <w:lang w:val="es-ES"/>
        </w:rPr>
        <w:t xml:space="preserve">Se registró el recurso de revisión bajo el número de expediente </w:t>
      </w:r>
      <w:r w:rsidRPr="00262B05">
        <w:rPr>
          <w:rFonts w:ascii="Palatino Linotype" w:hAnsi="Palatino Linotype" w:cs="Arial"/>
          <w:bCs/>
        </w:rPr>
        <w:t xml:space="preserve">al rubro indicado, asimismo con fundamento en lo dispuesto por el </w:t>
      </w:r>
      <w:r w:rsidRPr="00262B05">
        <w:rPr>
          <w:rFonts w:ascii="Palatino Linotype" w:eastAsia="Calibri" w:hAnsi="Palatino Linotype" w:cs="Arial"/>
          <w:lang w:val="es-ES"/>
        </w:rPr>
        <w:t xml:space="preserve">artículo 185 fracción I de la </w:t>
      </w:r>
      <w:r w:rsidRPr="00262B05">
        <w:rPr>
          <w:rFonts w:ascii="Palatino Linotype" w:eastAsia="Calibri" w:hAnsi="Palatino Linotype" w:cs="Arial"/>
          <w:b/>
          <w:lang w:val="es-ES"/>
        </w:rPr>
        <w:t xml:space="preserve">Ley de Transparencia y Acceso a la Información Pública del Estado de México y Municipios </w:t>
      </w:r>
      <w:r w:rsidRPr="00262B05">
        <w:rPr>
          <w:rFonts w:ascii="Palatino Linotype" w:eastAsia="Times New Roman" w:hAnsi="Palatino Linotype" w:cs="Arial"/>
          <w:lang w:val="es-ES"/>
        </w:rPr>
        <w:t xml:space="preserve">se turnó al </w:t>
      </w:r>
      <w:r w:rsidRPr="00262B05">
        <w:rPr>
          <w:rFonts w:ascii="Palatino Linotype" w:eastAsia="Times New Roman" w:hAnsi="Palatino Linotype" w:cs="Arial"/>
          <w:b/>
          <w:lang w:val="es-ES"/>
        </w:rPr>
        <w:t xml:space="preserve">Comisionado José Guadalupe Luna Hernández, </w:t>
      </w:r>
      <w:r w:rsidRPr="00262B05">
        <w:rPr>
          <w:rFonts w:ascii="Palatino Linotype" w:eastAsia="Times New Roman" w:hAnsi="Palatino Linotype" w:cs="Arial"/>
          <w:lang w:val="es-ES"/>
        </w:rPr>
        <w:t xml:space="preserve">con el objeto de </w:t>
      </w:r>
      <w:r w:rsidRPr="00262B05">
        <w:rPr>
          <w:rFonts w:ascii="Palatino Linotype" w:eastAsia="Times New Roman" w:hAnsi="Palatino Linotype" w:cs="Arial"/>
          <w:lang w:val="es-MX"/>
        </w:rPr>
        <w:t xml:space="preserve">su análisis. </w:t>
      </w:r>
    </w:p>
    <w:p w:rsidR="00554DF4" w:rsidRPr="00262B05" w:rsidRDefault="00554DF4" w:rsidP="00262B05">
      <w:pPr>
        <w:pStyle w:val="Prrafodelista"/>
        <w:spacing w:before="240" w:after="240" w:line="360" w:lineRule="auto"/>
        <w:ind w:left="0"/>
        <w:jc w:val="both"/>
        <w:rPr>
          <w:rFonts w:ascii="Palatino Linotype" w:eastAsia="Calibri" w:hAnsi="Palatino Linotype" w:cs="Arial"/>
          <w:lang w:val="es-AR"/>
        </w:rPr>
      </w:pP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i/>
          <w:color w:val="000000"/>
        </w:rPr>
      </w:pPr>
      <w:r w:rsidRPr="00262B05">
        <w:rPr>
          <w:rFonts w:ascii="Palatino Linotype" w:eastAsia="Calibri" w:hAnsi="Palatino Linotype" w:cs="Arial"/>
          <w:lang w:val="es-ES"/>
        </w:rPr>
        <w:lastRenderedPageBreak/>
        <w:t xml:space="preserve">El Comisionado Ponente con fundamento en lo dispuesto por el artículo 185 fracción II de la ley de la materia, a través del acuerdo de admisión de fecha diecinueve (19) de septiembre de dos mil diecinueve, puso a disposición de las partes el expediente electrónico </w:t>
      </w:r>
      <w:r w:rsidRPr="00262B05">
        <w:rPr>
          <w:rFonts w:ascii="Palatino Linotype" w:eastAsia="Calibri" w:hAnsi="Palatino Linotype" w:cs="Arial"/>
        </w:rPr>
        <w:t xml:space="preserve">vía </w:t>
      </w:r>
      <w:r w:rsidRPr="00262B05">
        <w:rPr>
          <w:rFonts w:ascii="Palatino Linotype" w:eastAsia="Calibri" w:hAnsi="Palatino Linotype" w:cs="Arial"/>
          <w:b/>
          <w:lang w:val="es-ES"/>
        </w:rPr>
        <w:t xml:space="preserve">SAIMEX </w:t>
      </w:r>
      <w:r w:rsidRPr="00262B05">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262B05">
        <w:rPr>
          <w:rFonts w:ascii="Palatino Linotype" w:eastAsia="Calibri" w:hAnsi="Palatino Linotype" w:cs="Arial"/>
          <w:b/>
          <w:lang w:val="es-ES"/>
        </w:rPr>
        <w:t>SUJETO OBLIGADO</w:t>
      </w:r>
      <w:r w:rsidRPr="00262B05">
        <w:rPr>
          <w:rFonts w:ascii="Palatino Linotype" w:eastAsia="Calibri" w:hAnsi="Palatino Linotype" w:cs="Arial"/>
          <w:lang w:val="es-ES"/>
        </w:rPr>
        <w:t xml:space="preserve"> presentara el informe justificado procedente.</w:t>
      </w:r>
    </w:p>
    <w:p w:rsidR="00554DF4" w:rsidRPr="00262B05" w:rsidRDefault="00554DF4" w:rsidP="00262B05">
      <w:pPr>
        <w:pStyle w:val="Prrafodelista"/>
        <w:spacing w:line="360" w:lineRule="auto"/>
        <w:rPr>
          <w:rFonts w:ascii="Palatino Linotype" w:hAnsi="Palatino Linotype"/>
          <w:i/>
          <w:color w:val="000000"/>
        </w:rPr>
      </w:pPr>
    </w:p>
    <w:p w:rsidR="00554DF4" w:rsidRPr="00262B05" w:rsidRDefault="00554DF4" w:rsidP="00262B05">
      <w:pPr>
        <w:pStyle w:val="Prrafodelista"/>
        <w:numPr>
          <w:ilvl w:val="0"/>
          <w:numId w:val="1"/>
        </w:numPr>
        <w:spacing w:line="360" w:lineRule="auto"/>
        <w:ind w:left="0" w:firstLine="0"/>
        <w:jc w:val="both"/>
        <w:rPr>
          <w:rFonts w:ascii="Palatino Linotype" w:eastAsia="Calibri" w:hAnsi="Palatino Linotype" w:cs="Arial"/>
          <w:lang w:val="es-ES"/>
        </w:rPr>
      </w:pPr>
      <w:r w:rsidRPr="00262B05">
        <w:rPr>
          <w:rFonts w:ascii="Palatino Linotype" w:eastAsia="Calibri" w:hAnsi="Palatino Linotype" w:cs="Arial"/>
          <w:lang w:val="es-ES"/>
        </w:rPr>
        <w:t>En fecha veintitrés (23) de septiembre de dos mil diecinueve, el Sujeto Obligado refirió que la información requiere un tratamiento y genera un costo de conformidad con el artículo 174 de la Ley en Materia.</w:t>
      </w:r>
    </w:p>
    <w:p w:rsidR="00554DF4" w:rsidRPr="00262B05" w:rsidRDefault="00554DF4" w:rsidP="00262B05">
      <w:pPr>
        <w:pStyle w:val="Prrafodelista"/>
        <w:spacing w:line="360" w:lineRule="auto"/>
        <w:rPr>
          <w:rFonts w:ascii="Palatino Linotype" w:eastAsia="Calibri" w:hAnsi="Palatino Linotype" w:cs="Arial"/>
          <w:lang w:val="es-ES"/>
        </w:rPr>
      </w:pPr>
    </w:p>
    <w:p w:rsidR="00554DF4" w:rsidRPr="00262B05" w:rsidRDefault="00554DF4" w:rsidP="00262B05">
      <w:pPr>
        <w:pStyle w:val="Prrafodelista"/>
        <w:numPr>
          <w:ilvl w:val="0"/>
          <w:numId w:val="1"/>
        </w:numPr>
        <w:spacing w:line="360" w:lineRule="auto"/>
        <w:ind w:left="0" w:hanging="11"/>
        <w:jc w:val="both"/>
        <w:rPr>
          <w:rFonts w:ascii="Palatino Linotype" w:hAnsi="Palatino Linotype"/>
          <w:b/>
          <w:u w:val="single"/>
        </w:rPr>
      </w:pPr>
      <w:r w:rsidRPr="00262B05">
        <w:rPr>
          <w:rFonts w:ascii="Palatino Linotype" w:hAnsi="Palatino Linotype"/>
        </w:rPr>
        <w:t>El Comisionado Ponente decretó el cierre de instrucción</w:t>
      </w:r>
      <w:r w:rsidRPr="00262B05">
        <w:rPr>
          <w:rFonts w:ascii="Palatino Linotype" w:hAnsi="Palatino Linotype" w:cs="Arial"/>
        </w:rPr>
        <w:t xml:space="preserve"> </w:t>
      </w:r>
      <w:r w:rsidRPr="00262B05">
        <w:rPr>
          <w:rFonts w:ascii="Palatino Linotype" w:hAnsi="Palatino Linotype"/>
        </w:rPr>
        <w:t>mediante el acuerdo de fecha catorce (14) de noviembre de dos mil diecinueve.</w:t>
      </w:r>
      <w:r w:rsidRPr="00262B05">
        <w:rPr>
          <w:rFonts w:ascii="Palatino Linotype" w:hAnsi="Palatino Linotype" w:cs="Arial"/>
        </w:rPr>
        <w:t xml:space="preserve"> Asimismo, </w:t>
      </w:r>
      <w:r w:rsidRPr="00262B05">
        <w:rPr>
          <w:rFonts w:ascii="Palatino Linotype" w:hAnsi="Palatino Linotype"/>
          <w:color w:val="000000" w:themeColor="text1"/>
        </w:rPr>
        <w:t xml:space="preserve">se amplió el plazo para resolver el recurso de revisión por un periodo de quince (15) días hábiles más, </w:t>
      </w:r>
      <w:r w:rsidRPr="00262B05">
        <w:rPr>
          <w:rFonts w:ascii="Palatino Linotype" w:hAnsi="Palatino Linotype" w:cs="Arial"/>
          <w:color w:val="000000" w:themeColor="text1"/>
        </w:rPr>
        <w:t xml:space="preserve">por lo que ordenó turnar el expediente para su resolución, misma que ahora se pronuncia; y  - - - - - - - - - - - </w:t>
      </w:r>
      <w:r w:rsidRPr="00262B05">
        <w:rPr>
          <w:rFonts w:ascii="Palatino Linotype" w:hAnsi="Palatino Linotype" w:cs="Arial"/>
        </w:rPr>
        <w:t xml:space="preserve">- - - - - - - - - - - - - - - - - - - - - - - - - - - - - - - - - - - - - - - - </w:t>
      </w:r>
    </w:p>
    <w:p w:rsidR="00554DF4" w:rsidRDefault="00554DF4" w:rsidP="00262B05">
      <w:pPr>
        <w:pStyle w:val="Ttulo1"/>
        <w:spacing w:line="360" w:lineRule="auto"/>
        <w:jc w:val="center"/>
        <w:rPr>
          <w:szCs w:val="24"/>
        </w:rPr>
      </w:pPr>
      <w:bookmarkStart w:id="5" w:name="_Toc24476658"/>
      <w:r w:rsidRPr="00262B05">
        <w:rPr>
          <w:szCs w:val="24"/>
        </w:rPr>
        <w:t>CONSIDERANDO</w:t>
      </w:r>
      <w:bookmarkEnd w:id="5"/>
      <w:r w:rsidRPr="00262B05">
        <w:rPr>
          <w:szCs w:val="24"/>
        </w:rPr>
        <w:t xml:space="preserve"> </w:t>
      </w:r>
    </w:p>
    <w:p w:rsidR="00262B05" w:rsidRPr="00262B05" w:rsidRDefault="00262B05" w:rsidP="00262B05">
      <w:pPr>
        <w:rPr>
          <w:lang w:val="es-MX" w:eastAsia="en-US"/>
        </w:rPr>
      </w:pPr>
    </w:p>
    <w:p w:rsidR="00554DF4" w:rsidRPr="00262B05" w:rsidRDefault="00554DF4" w:rsidP="00262B05">
      <w:pPr>
        <w:pStyle w:val="Ttulo2"/>
        <w:spacing w:line="360" w:lineRule="auto"/>
        <w:rPr>
          <w:rFonts w:ascii="Palatino Linotype" w:hAnsi="Palatino Linotype"/>
          <w:b/>
          <w:bCs/>
          <w:color w:val="auto"/>
          <w:spacing w:val="60"/>
          <w:sz w:val="24"/>
          <w:szCs w:val="24"/>
        </w:rPr>
      </w:pPr>
      <w:bookmarkStart w:id="6" w:name="_Toc24476659"/>
      <w:r w:rsidRPr="00262B05">
        <w:rPr>
          <w:rFonts w:ascii="Palatino Linotype" w:hAnsi="Palatino Linotype"/>
          <w:b/>
          <w:color w:val="auto"/>
          <w:sz w:val="24"/>
          <w:szCs w:val="24"/>
        </w:rPr>
        <w:t>PRIMERO. De la competencia</w:t>
      </w:r>
      <w:bookmarkEnd w:id="6"/>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rPr>
      </w:pPr>
      <w:r w:rsidRPr="00262B05">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62B05">
        <w:rPr>
          <w:rFonts w:ascii="Palatino Linotype" w:eastAsia="Calibri" w:hAnsi="Palatino Linotype" w:cs="Times New Roman"/>
          <w:b/>
          <w:lang w:val="es-ES"/>
        </w:rPr>
        <w:t>Constitución Política de los Estados Unidos Mexicanos</w:t>
      </w:r>
      <w:r w:rsidRPr="00262B05">
        <w:rPr>
          <w:rFonts w:ascii="Palatino Linotype" w:eastAsia="Calibri" w:hAnsi="Palatino Linotype" w:cs="Times New Roman"/>
          <w:lang w:val="es-ES"/>
        </w:rPr>
        <w:t xml:space="preserve">; 5, párrafos </w:t>
      </w:r>
      <w:r w:rsidRPr="00262B05">
        <w:rPr>
          <w:rFonts w:ascii="Palatino Linotype" w:hAnsi="Palatino Linotype" w:cs="Arial"/>
          <w:bCs/>
          <w:color w:val="222222"/>
          <w:lang w:val="es-ES"/>
        </w:rPr>
        <w:t>vigésimo</w:t>
      </w:r>
      <w:r w:rsidR="00262B05">
        <w:rPr>
          <w:rFonts w:ascii="Palatino Linotype" w:hAnsi="Palatino Linotype" w:cs="Arial"/>
          <w:bCs/>
          <w:color w:val="222222"/>
          <w:lang w:val="es-ES"/>
        </w:rPr>
        <w:t xml:space="preserve"> </w:t>
      </w:r>
      <w:r w:rsidR="00262B05">
        <w:rPr>
          <w:rFonts w:ascii="Palatino Linotype" w:hAnsi="Palatino Linotype" w:cs="Arial"/>
          <w:bCs/>
          <w:color w:val="222222"/>
          <w:lang w:val="es-ES"/>
        </w:rPr>
        <w:lastRenderedPageBreak/>
        <w:t>segundo, vigésimo tercero y vigésimo cuarto,</w:t>
      </w:r>
      <w:r w:rsidRPr="00262B05">
        <w:rPr>
          <w:rFonts w:ascii="Palatino Linotype" w:hAnsi="Palatino Linotype" w:cs="Arial"/>
          <w:bCs/>
          <w:color w:val="222222"/>
          <w:lang w:val="es-ES"/>
        </w:rPr>
        <w:t xml:space="preserve"> </w:t>
      </w:r>
      <w:r w:rsidRPr="00262B05">
        <w:rPr>
          <w:rFonts w:ascii="Palatino Linotype" w:eastAsia="Calibri" w:hAnsi="Palatino Linotype" w:cs="Times New Roman"/>
          <w:lang w:val="es-ES"/>
        </w:rPr>
        <w:t xml:space="preserve">fracciones IV y V de la </w:t>
      </w:r>
      <w:r w:rsidRPr="00262B05">
        <w:rPr>
          <w:rFonts w:ascii="Palatino Linotype" w:eastAsia="Calibri" w:hAnsi="Palatino Linotype" w:cs="Times New Roman"/>
          <w:b/>
          <w:lang w:val="es-ES"/>
        </w:rPr>
        <w:t>Constitución Política del Estado Libre y Soberano de México</w:t>
      </w:r>
      <w:r w:rsidRPr="00262B05">
        <w:rPr>
          <w:rFonts w:ascii="Palatino Linotype" w:eastAsia="Calibri" w:hAnsi="Palatino Linotype" w:cs="Times New Roman"/>
          <w:lang w:val="es-ES"/>
        </w:rPr>
        <w:t xml:space="preserve">; artículos 1, 2 fracción II, 13, 29, 36 fracciones I y II, 176, 178, 179, 181 párrafo tercero y 185 </w:t>
      </w:r>
      <w:r w:rsidRPr="00262B05">
        <w:rPr>
          <w:rFonts w:ascii="Palatino Linotype" w:eastAsia="Calibri" w:hAnsi="Palatino Linotype" w:cs="Arial"/>
          <w:lang w:val="es-ES"/>
        </w:rPr>
        <w:t xml:space="preserve">de la </w:t>
      </w:r>
      <w:r w:rsidRPr="00262B05">
        <w:rPr>
          <w:rFonts w:ascii="Palatino Linotype" w:eastAsia="Calibri" w:hAnsi="Palatino Linotype" w:cs="Arial"/>
          <w:b/>
          <w:lang w:val="es-ES"/>
        </w:rPr>
        <w:t>Ley de Transparencia y Acceso a la Información Pública del Estado de México y Municipios</w:t>
      </w:r>
      <w:r w:rsidRPr="00262B05">
        <w:rPr>
          <w:rFonts w:ascii="Palatino Linotype" w:eastAsia="Calibri" w:hAnsi="Palatino Linotype" w:cs="Arial"/>
          <w:lang w:val="es-ES"/>
        </w:rPr>
        <w:t xml:space="preserve">; y 7, 9 fracciones I y XXIV, y 11 del </w:t>
      </w:r>
      <w:r w:rsidRPr="00262B05">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262B05">
        <w:rPr>
          <w:rFonts w:ascii="Palatino Linotype" w:hAnsi="Palatino Linotype"/>
        </w:rPr>
        <w:t>.</w:t>
      </w:r>
    </w:p>
    <w:p w:rsidR="00554DF4" w:rsidRPr="00262B05" w:rsidRDefault="00554DF4" w:rsidP="00262B05">
      <w:pPr>
        <w:pStyle w:val="Ttulo2"/>
        <w:spacing w:line="360" w:lineRule="auto"/>
        <w:rPr>
          <w:rFonts w:ascii="Palatino Linotype" w:hAnsi="Palatino Linotype"/>
          <w:b/>
          <w:color w:val="auto"/>
          <w:sz w:val="24"/>
          <w:szCs w:val="24"/>
        </w:rPr>
      </w:pPr>
      <w:bookmarkStart w:id="7" w:name="_Toc24476660"/>
      <w:r w:rsidRPr="00262B05">
        <w:rPr>
          <w:rFonts w:ascii="Palatino Linotype" w:hAnsi="Palatino Linotype"/>
          <w:b/>
          <w:color w:val="auto"/>
          <w:sz w:val="24"/>
          <w:szCs w:val="24"/>
        </w:rPr>
        <w:t>SEGUNDO. De la oportunidad y procedencia.</w:t>
      </w:r>
      <w:bookmarkEnd w:id="7"/>
    </w:p>
    <w:p w:rsidR="00554DF4" w:rsidRPr="00262B05" w:rsidRDefault="00554DF4" w:rsidP="00262B05">
      <w:pPr>
        <w:pStyle w:val="Prrafodelista"/>
        <w:numPr>
          <w:ilvl w:val="0"/>
          <w:numId w:val="1"/>
        </w:numPr>
        <w:spacing w:before="240" w:after="240" w:line="360" w:lineRule="auto"/>
        <w:ind w:left="0" w:right="49" w:firstLine="0"/>
        <w:jc w:val="both"/>
        <w:rPr>
          <w:rFonts w:ascii="Palatino Linotype" w:hAnsi="Palatino Linotype"/>
        </w:rPr>
      </w:pPr>
      <w:r w:rsidRPr="00262B05">
        <w:rPr>
          <w:rFonts w:ascii="Palatino Linotype" w:eastAsia="Calibri" w:hAnsi="Palatino Linotype" w:cs="Arial"/>
        </w:rPr>
        <w:t xml:space="preserve">El medio de impugnación fue presentado a través del </w:t>
      </w:r>
      <w:r w:rsidRPr="00262B05">
        <w:rPr>
          <w:rFonts w:ascii="Palatino Linotype" w:eastAsia="Calibri" w:hAnsi="Palatino Linotype" w:cs="Arial"/>
          <w:b/>
        </w:rPr>
        <w:t>SAIMEX,</w:t>
      </w:r>
      <w:r w:rsidRPr="00262B05">
        <w:rPr>
          <w:rFonts w:ascii="Palatino Linotype" w:eastAsia="Calibri" w:hAnsi="Palatino Linotype" w:cs="Arial"/>
        </w:rPr>
        <w:t xml:space="preserve"> en el formato previamente aprobado para tal efecto y dentro del plazo legal de quince días hábiles otorgados; siendo así que el </w:t>
      </w:r>
      <w:r w:rsidRPr="00262B05">
        <w:rPr>
          <w:rFonts w:ascii="Palatino Linotype" w:eastAsia="Calibri" w:hAnsi="Palatino Linotype" w:cs="Arial"/>
          <w:b/>
        </w:rPr>
        <w:t>SUJETO OBLIGADO</w:t>
      </w:r>
      <w:r w:rsidRPr="00262B05">
        <w:rPr>
          <w:rFonts w:ascii="Palatino Linotype" w:eastAsia="Calibri" w:hAnsi="Palatino Linotype" w:cs="Arial"/>
        </w:rPr>
        <w:t xml:space="preserve"> entregó respuesta a la solicitud el día dos (2) de septiembre de dos mil diecinueve, </w:t>
      </w:r>
      <w:r w:rsidRPr="00262B05">
        <w:rPr>
          <w:rFonts w:ascii="Palatino Linotype" w:hAnsi="Palatino Linotype" w:cs="Arial"/>
        </w:rPr>
        <w:t>de tal forma que el plazo para interponer el recurso de revisión transcurrió del tres (3) al veinticuatro (24) de septiembre de dos mil diecinueve; en consecuencia, presentó su inconformidad el día trece</w:t>
      </w:r>
      <w:r w:rsidRPr="00262B05">
        <w:rPr>
          <w:rFonts w:ascii="Palatino Linotype" w:eastAsia="Calibri" w:hAnsi="Palatino Linotype" w:cs="Arial"/>
        </w:rPr>
        <w:t xml:space="preserve"> (13) de septiembre de dos mil diecinueve</w:t>
      </w:r>
      <w:r w:rsidRPr="00262B05">
        <w:rPr>
          <w:rFonts w:ascii="Palatino Linotype" w:hAnsi="Palatino Linotype" w:cs="Arial"/>
        </w:rPr>
        <w:t xml:space="preserve">, por lo que se encuentra dentro de los márgenes temporales previstos en el artículo 178 de la </w:t>
      </w:r>
      <w:r w:rsidRPr="00262B05">
        <w:rPr>
          <w:rFonts w:ascii="Palatino Linotype" w:hAnsi="Palatino Linotype" w:cs="Arial"/>
          <w:b/>
        </w:rPr>
        <w:t xml:space="preserve">Ley de Transparencia y Acceso a la Información Pública del Estado de México y Municipios </w:t>
      </w:r>
      <w:r w:rsidRPr="00262B05">
        <w:rPr>
          <w:rFonts w:ascii="Palatino Linotype" w:hAnsi="Palatino Linotype" w:cs="Arial"/>
        </w:rPr>
        <w:t>vigente.</w:t>
      </w:r>
    </w:p>
    <w:p w:rsidR="00554DF4" w:rsidRPr="00262B05" w:rsidRDefault="00554DF4" w:rsidP="00262B05">
      <w:pPr>
        <w:pStyle w:val="Prrafodelista"/>
        <w:spacing w:before="240" w:after="240" w:line="360" w:lineRule="auto"/>
        <w:ind w:left="0" w:right="49"/>
        <w:jc w:val="both"/>
        <w:rPr>
          <w:rFonts w:ascii="Palatino Linotype" w:hAnsi="Palatino Linotype"/>
        </w:rPr>
      </w:pPr>
    </w:p>
    <w:p w:rsidR="00554DF4" w:rsidRPr="00262B05" w:rsidRDefault="00554DF4" w:rsidP="00262B05">
      <w:pPr>
        <w:pStyle w:val="Prrafodelista"/>
        <w:numPr>
          <w:ilvl w:val="0"/>
          <w:numId w:val="1"/>
        </w:numPr>
        <w:spacing w:before="240" w:after="240" w:line="360" w:lineRule="auto"/>
        <w:ind w:left="0" w:right="49" w:firstLine="0"/>
        <w:jc w:val="both"/>
        <w:rPr>
          <w:rFonts w:ascii="Palatino Linotype" w:hAnsi="Palatino Linotype"/>
        </w:rPr>
      </w:pPr>
      <w:r w:rsidRPr="00262B05">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54DF4" w:rsidRPr="00262B05" w:rsidRDefault="00554DF4" w:rsidP="00262B05">
      <w:pPr>
        <w:pStyle w:val="Ttulo2"/>
        <w:spacing w:line="360" w:lineRule="auto"/>
        <w:rPr>
          <w:rFonts w:ascii="Palatino Linotype" w:hAnsi="Palatino Linotype"/>
          <w:b/>
          <w:color w:val="auto"/>
          <w:sz w:val="24"/>
          <w:szCs w:val="24"/>
        </w:rPr>
      </w:pPr>
      <w:bookmarkStart w:id="8" w:name="_Toc24476661"/>
      <w:bookmarkStart w:id="9" w:name="_Toc486525253"/>
      <w:r w:rsidRPr="00262B05">
        <w:rPr>
          <w:rFonts w:ascii="Palatino Linotype" w:hAnsi="Palatino Linotype"/>
          <w:b/>
          <w:color w:val="auto"/>
          <w:sz w:val="24"/>
          <w:szCs w:val="24"/>
        </w:rPr>
        <w:lastRenderedPageBreak/>
        <w:t>TERCERO. Planteamiento de la Litis.</w:t>
      </w:r>
      <w:bookmarkEnd w:id="8"/>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rPr>
      </w:pPr>
      <w:r w:rsidRPr="00262B05">
        <w:rPr>
          <w:rFonts w:ascii="Palatino Linotype" w:hAnsi="Palatino Linotype" w:cs="Arial"/>
        </w:rPr>
        <w:t>Se solicitó, al Sujeto Obligado, lo siguiente:</w:t>
      </w:r>
    </w:p>
    <w:p w:rsidR="00554DF4" w:rsidRPr="00262B05" w:rsidRDefault="00554DF4" w:rsidP="00262B05">
      <w:pPr>
        <w:pStyle w:val="Prrafodelista"/>
        <w:tabs>
          <w:tab w:val="left" w:pos="5460"/>
          <w:tab w:val="left" w:pos="5490"/>
        </w:tabs>
        <w:spacing w:before="240" w:after="240" w:line="360" w:lineRule="auto"/>
        <w:ind w:left="0"/>
        <w:jc w:val="both"/>
        <w:rPr>
          <w:rFonts w:ascii="Palatino Linotype" w:hAnsi="Palatino Linotype" w:cs="Arial"/>
        </w:rPr>
      </w:pPr>
      <w:r w:rsidRPr="00262B05">
        <w:rPr>
          <w:rFonts w:ascii="Palatino Linotype" w:hAnsi="Palatino Linotype" w:cs="Arial"/>
        </w:rPr>
        <w:tab/>
      </w:r>
      <w:r w:rsidRPr="00262B05">
        <w:rPr>
          <w:rFonts w:ascii="Palatino Linotype" w:hAnsi="Palatino Linotype" w:cs="Arial"/>
        </w:rPr>
        <w:tab/>
      </w:r>
    </w:p>
    <w:p w:rsidR="00554DF4" w:rsidRPr="00262B05" w:rsidRDefault="00554DF4" w:rsidP="00262B05">
      <w:pPr>
        <w:pStyle w:val="Prrafodelista"/>
        <w:numPr>
          <w:ilvl w:val="0"/>
          <w:numId w:val="3"/>
        </w:numPr>
        <w:spacing w:before="240" w:after="240" w:line="360" w:lineRule="auto"/>
        <w:jc w:val="both"/>
        <w:rPr>
          <w:rFonts w:ascii="Palatino Linotype" w:hAnsi="Palatino Linotype" w:cs="Arial"/>
        </w:rPr>
      </w:pPr>
      <w:r w:rsidRPr="00262B05">
        <w:rPr>
          <w:rFonts w:ascii="Palatino Linotype" w:hAnsi="Palatino Linotype"/>
          <w:lang w:val="es-ES"/>
        </w:rPr>
        <w:t>Expedientes de los pagos realizados por la Tesorería Municipal.</w:t>
      </w: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rPr>
      </w:pPr>
      <w:r w:rsidRPr="00262B05">
        <w:rPr>
          <w:rFonts w:ascii="Palatino Linotype" w:hAnsi="Palatino Linotype" w:cs="Arial"/>
        </w:rPr>
        <w:t>En respuesta requirió un pago para la entrega de la información, siendo esto el motivo de inconformidad del recurrente.</w:t>
      </w:r>
    </w:p>
    <w:p w:rsidR="00554DF4" w:rsidRPr="00262B05" w:rsidRDefault="00554DF4" w:rsidP="00262B05">
      <w:pPr>
        <w:pStyle w:val="Prrafodelista"/>
        <w:spacing w:before="240" w:after="240" w:line="360" w:lineRule="auto"/>
        <w:ind w:left="0"/>
        <w:jc w:val="both"/>
        <w:rPr>
          <w:rFonts w:ascii="Palatino Linotype" w:hAnsi="Palatino Linotype" w:cs="Arial"/>
        </w:rPr>
      </w:pP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rPr>
      </w:pPr>
      <w:r w:rsidRPr="00262B05">
        <w:rPr>
          <w:rFonts w:ascii="Palatino Linotype" w:hAnsi="Palatino Linotype" w:cs="Arial"/>
        </w:rPr>
        <w:t xml:space="preserve"> </w:t>
      </w:r>
      <w:r w:rsidRPr="00262B05">
        <w:rPr>
          <w:rFonts w:ascii="Palatino Linotype" w:eastAsia="Times New Roman" w:hAnsi="Palatino Linotype" w:cs="Arial"/>
        </w:rPr>
        <w:t xml:space="preserve">En dichas condiciones, la </w:t>
      </w:r>
      <w:proofErr w:type="spellStart"/>
      <w:r w:rsidRPr="00262B05">
        <w:rPr>
          <w:rFonts w:ascii="Palatino Linotype" w:eastAsia="Times New Roman" w:hAnsi="Palatino Linotype" w:cs="Arial"/>
          <w:i/>
        </w:rPr>
        <w:t>litis</w:t>
      </w:r>
      <w:proofErr w:type="spellEnd"/>
      <w:r w:rsidRPr="00262B05">
        <w:rPr>
          <w:rFonts w:ascii="Palatino Linotype" w:eastAsia="Times New Roman" w:hAnsi="Palatino Linotype" w:cs="Arial"/>
        </w:rPr>
        <w:t xml:space="preserve"> a resolver en este recurso se circunscribe a determinar si </w:t>
      </w:r>
      <w:r w:rsidRPr="00262B05">
        <w:rPr>
          <w:rFonts w:ascii="Palatino Linotype" w:eastAsia="MS Mincho" w:hAnsi="Palatino Linotype" w:cs="Arial"/>
        </w:rPr>
        <w:t xml:space="preserve">se actualiza la causal de procedencia prevista en el artículo 179, fracciones </w:t>
      </w:r>
      <w:r w:rsidRPr="00262B05">
        <w:rPr>
          <w:rFonts w:ascii="Palatino Linotype" w:eastAsia="MS Mincho" w:hAnsi="Palatino Linotype" w:cs="Arial"/>
          <w:b/>
        </w:rPr>
        <w:t>X</w:t>
      </w:r>
      <w:r w:rsidRPr="00262B05">
        <w:rPr>
          <w:rFonts w:ascii="Palatino Linotype" w:eastAsia="MS Mincho" w:hAnsi="Palatino Linotype" w:cs="Arial"/>
        </w:rPr>
        <w:t xml:space="preserve"> de la Ley de Transparencia y Acceso a la Información Pública del Estado de México y Municipios.</w:t>
      </w:r>
    </w:p>
    <w:p w:rsidR="00554DF4" w:rsidRPr="00262B05" w:rsidRDefault="00554DF4" w:rsidP="00262B05">
      <w:pPr>
        <w:pStyle w:val="Ttulo2"/>
        <w:spacing w:line="360" w:lineRule="auto"/>
        <w:rPr>
          <w:rFonts w:ascii="Palatino Linotype" w:eastAsia="Times New Roman" w:hAnsi="Palatino Linotype" w:cs="Arial"/>
          <w:color w:val="000000"/>
          <w:sz w:val="24"/>
          <w:szCs w:val="24"/>
        </w:rPr>
      </w:pPr>
      <w:bookmarkStart w:id="10" w:name="_Toc24476662"/>
      <w:r w:rsidRPr="00262B05">
        <w:rPr>
          <w:rFonts w:ascii="Palatino Linotype" w:hAnsi="Palatino Linotype"/>
          <w:b/>
          <w:color w:val="auto"/>
          <w:sz w:val="24"/>
          <w:szCs w:val="24"/>
        </w:rPr>
        <w:t xml:space="preserve">CUARTO. </w:t>
      </w:r>
      <w:bookmarkEnd w:id="9"/>
      <w:r w:rsidRPr="00262B05">
        <w:rPr>
          <w:rFonts w:ascii="Palatino Linotype" w:hAnsi="Palatino Linotype"/>
          <w:b/>
          <w:color w:val="auto"/>
          <w:sz w:val="24"/>
          <w:szCs w:val="24"/>
        </w:rPr>
        <w:t>Análisis y resolución del asunto.</w:t>
      </w:r>
      <w:bookmarkEnd w:id="10"/>
    </w:p>
    <w:p w:rsidR="00554DF4" w:rsidRPr="00262B05" w:rsidRDefault="00554DF4" w:rsidP="00262B05">
      <w:pPr>
        <w:spacing w:line="360" w:lineRule="auto"/>
        <w:rPr>
          <w:rFonts w:ascii="Palatino Linotype" w:hAnsi="Palatino Linotype" w:cs="Arial"/>
        </w:rPr>
      </w:pPr>
      <w:bookmarkStart w:id="11" w:name="_Toc476675991"/>
      <w:bookmarkStart w:id="12" w:name="_Toc454373811"/>
      <w:bookmarkStart w:id="13" w:name="_Toc452722829"/>
    </w:p>
    <w:p w:rsidR="00554DF4" w:rsidRPr="00262B05" w:rsidRDefault="00554DF4" w:rsidP="00262B05">
      <w:pPr>
        <w:pStyle w:val="Ttulo2"/>
        <w:numPr>
          <w:ilvl w:val="0"/>
          <w:numId w:val="4"/>
        </w:numPr>
        <w:spacing w:line="360" w:lineRule="auto"/>
        <w:rPr>
          <w:rFonts w:ascii="Palatino Linotype" w:hAnsi="Palatino Linotype"/>
          <w:b/>
          <w:color w:val="auto"/>
          <w:sz w:val="24"/>
          <w:szCs w:val="24"/>
        </w:rPr>
      </w:pPr>
      <w:bookmarkStart w:id="14" w:name="_Toc15463060"/>
      <w:bookmarkStart w:id="15" w:name="_Toc13659891"/>
      <w:bookmarkStart w:id="16" w:name="_Toc24476663"/>
      <w:bookmarkStart w:id="17" w:name="_Toc9525984"/>
      <w:r w:rsidRPr="00262B05">
        <w:rPr>
          <w:rFonts w:ascii="Palatino Linotype" w:hAnsi="Palatino Linotype"/>
          <w:b/>
          <w:color w:val="auto"/>
          <w:sz w:val="24"/>
          <w:szCs w:val="24"/>
        </w:rPr>
        <w:t>De la fuente obligacional.</w:t>
      </w:r>
      <w:bookmarkEnd w:id="14"/>
      <w:bookmarkEnd w:id="15"/>
      <w:bookmarkEnd w:id="16"/>
    </w:p>
    <w:p w:rsidR="00554DF4" w:rsidRPr="00262B05" w:rsidRDefault="00554DF4" w:rsidP="00262B05">
      <w:pPr>
        <w:spacing w:line="360" w:lineRule="auto"/>
        <w:rPr>
          <w:rFonts w:ascii="Palatino Linotype" w:hAnsi="Palatino Linotype"/>
          <w:lang w:val="es-MX" w:eastAsia="en-US"/>
        </w:rPr>
      </w:pPr>
    </w:p>
    <w:p w:rsidR="00554DF4" w:rsidRPr="00262B05" w:rsidRDefault="00554DF4" w:rsidP="00262B05">
      <w:pPr>
        <w:pStyle w:val="Prrafodelista"/>
        <w:numPr>
          <w:ilvl w:val="0"/>
          <w:numId w:val="1"/>
        </w:numPr>
        <w:spacing w:line="360" w:lineRule="auto"/>
        <w:ind w:left="0" w:firstLine="0"/>
        <w:jc w:val="both"/>
        <w:rPr>
          <w:rFonts w:ascii="Palatino Linotype" w:eastAsia="Calibri" w:hAnsi="Palatino Linotype" w:cs="Arial"/>
        </w:rPr>
      </w:pPr>
      <w:r w:rsidRPr="00262B05">
        <w:rPr>
          <w:rFonts w:ascii="Palatino Linotype" w:eastAsia="Calibri" w:hAnsi="Palatino Linotype" w:cs="Arial"/>
        </w:rPr>
        <w:t>Para determinar la fuente obligacional del Sujeto Obligado de generar, poseer y/o administrar, es necesario analizar el requerimiento planteado en la solicitud de acceso a la información, siendo que requiere información relativa a pagos realizados por la Tesorería.</w:t>
      </w:r>
    </w:p>
    <w:p w:rsidR="00554DF4" w:rsidRPr="00262B05" w:rsidRDefault="00554DF4" w:rsidP="00262B05">
      <w:pPr>
        <w:pStyle w:val="Prrafodelista"/>
        <w:spacing w:line="360" w:lineRule="auto"/>
        <w:ind w:left="0"/>
        <w:jc w:val="both"/>
        <w:rPr>
          <w:rFonts w:ascii="Palatino Linotype" w:eastAsia="Calibri" w:hAnsi="Palatino Linotype" w:cs="Arial"/>
        </w:rPr>
      </w:pPr>
      <w:r w:rsidRPr="00262B05">
        <w:rPr>
          <w:rFonts w:ascii="Palatino Linotype" w:eastAsia="Calibri" w:hAnsi="Palatino Linotype" w:cs="Arial"/>
        </w:rPr>
        <w:t xml:space="preserve"> </w:t>
      </w:r>
    </w:p>
    <w:p w:rsidR="00554DF4" w:rsidRPr="00262B05" w:rsidRDefault="00554DF4" w:rsidP="00262B05">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62B05">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w:t>
      </w:r>
      <w:r w:rsidRPr="00262B05">
        <w:rPr>
          <w:rFonts w:ascii="Palatino Linotype" w:eastAsia="Calibri" w:hAnsi="Palatino Linotype" w:cs="Arial"/>
        </w:rPr>
        <w:lastRenderedPageBreak/>
        <w:t>insiste, ya fue asumido por el propio Sujeto Obligado, lo cual ocurrió en el presente caso en particular, refirió que requiere un pago para entregar la información.</w:t>
      </w:r>
      <w:r w:rsidRPr="00262B05">
        <w:rPr>
          <w:rFonts w:ascii="Palatino Linotype" w:hAnsi="Palatino Linotype"/>
          <w:lang w:val="es-ES"/>
        </w:rPr>
        <w:t xml:space="preserve"> </w:t>
      </w:r>
      <w:r w:rsidRPr="00262B05">
        <w:rPr>
          <w:rFonts w:ascii="Palatino Linotype" w:eastAsia="Calibri" w:hAnsi="Palatino Linotype" w:cs="Arial"/>
        </w:rPr>
        <w:t>Bajo dicho pronunciamiento se entiende que el Sujeto Obligado genera, posee y administra la información solicitada.</w:t>
      </w:r>
    </w:p>
    <w:p w:rsidR="00262B05" w:rsidRPr="00262B05" w:rsidRDefault="00262B05" w:rsidP="00262B05">
      <w:pPr>
        <w:pStyle w:val="Prrafodelista"/>
        <w:tabs>
          <w:tab w:val="left" w:pos="851"/>
        </w:tabs>
        <w:spacing w:line="360" w:lineRule="auto"/>
        <w:ind w:left="0" w:right="49"/>
        <w:jc w:val="both"/>
        <w:rPr>
          <w:rFonts w:ascii="Palatino Linotype" w:hAnsi="Palatino Linotype"/>
          <w:lang w:val="es-ES"/>
        </w:rPr>
      </w:pPr>
    </w:p>
    <w:p w:rsidR="00554DF4" w:rsidRDefault="00554DF4" w:rsidP="00262B05">
      <w:pPr>
        <w:pStyle w:val="Ttulo2"/>
        <w:numPr>
          <w:ilvl w:val="0"/>
          <w:numId w:val="4"/>
        </w:numPr>
        <w:spacing w:line="360" w:lineRule="auto"/>
        <w:rPr>
          <w:rFonts w:ascii="Palatino Linotype" w:hAnsi="Palatino Linotype"/>
          <w:b/>
          <w:color w:val="auto"/>
          <w:sz w:val="24"/>
          <w:szCs w:val="24"/>
        </w:rPr>
      </w:pPr>
      <w:bookmarkStart w:id="18" w:name="_Toc24476664"/>
      <w:r w:rsidRPr="00262B05">
        <w:rPr>
          <w:rFonts w:ascii="Palatino Linotype" w:hAnsi="Palatino Linotype"/>
          <w:b/>
          <w:color w:val="auto"/>
          <w:sz w:val="24"/>
          <w:szCs w:val="24"/>
        </w:rPr>
        <w:t>El derecho de acceso a la información.</w:t>
      </w:r>
      <w:bookmarkEnd w:id="17"/>
      <w:bookmarkEnd w:id="18"/>
    </w:p>
    <w:p w:rsidR="00262B05" w:rsidRPr="00262B05" w:rsidRDefault="00262B05" w:rsidP="00262B05">
      <w:pPr>
        <w:rPr>
          <w:lang w:val="es-MX" w:eastAsia="en-US"/>
        </w:rPr>
      </w:pPr>
    </w:p>
    <w:p w:rsidR="00554DF4" w:rsidRPr="00262B05" w:rsidRDefault="00554DF4" w:rsidP="00262B05">
      <w:pPr>
        <w:pStyle w:val="Prrafodelista"/>
        <w:numPr>
          <w:ilvl w:val="0"/>
          <w:numId w:val="1"/>
        </w:numPr>
        <w:spacing w:line="360" w:lineRule="auto"/>
        <w:ind w:left="0" w:firstLine="0"/>
        <w:jc w:val="both"/>
        <w:rPr>
          <w:rFonts w:ascii="Palatino Linotype" w:hAnsi="Palatino Linotype"/>
          <w:color w:val="000000"/>
        </w:rPr>
      </w:pPr>
      <w:r w:rsidRPr="00262B05">
        <w:rPr>
          <w:rFonts w:ascii="Palatino Linotype" w:hAnsi="Palatino Linotype"/>
          <w:color w:val="000000"/>
        </w:rPr>
        <w:t xml:space="preserve">El Derecho que tutela este Órgano Garante es la </w:t>
      </w:r>
      <w:r w:rsidRPr="00262B05">
        <w:rPr>
          <w:rFonts w:ascii="Palatino Linotype" w:eastAsia="Times New Roman" w:hAnsi="Palatino Linotype" w:cs="Arial"/>
          <w:color w:val="000000" w:themeColor="text1"/>
          <w:lang w:eastAsia="es-MX"/>
        </w:rPr>
        <w:t xml:space="preserve"> </w:t>
      </w:r>
      <w:r w:rsidRPr="00262B05">
        <w:rPr>
          <w:rFonts w:ascii="Palatino Linotype" w:eastAsia="MS Mincho" w:hAnsi="Palatino Linotype" w:cs="Times New Roman"/>
          <w:i/>
        </w:rPr>
        <w:t>igualdad de oportunidades para recibir, buscar e impartir información</w:t>
      </w:r>
      <w:r w:rsidRPr="00262B05">
        <w:rPr>
          <w:rStyle w:val="Refdenotaalpie"/>
          <w:rFonts w:ascii="Palatino Linotype" w:eastAsia="MS Mincho" w:hAnsi="Palatino Linotype" w:cs="Times New Roman"/>
          <w:i/>
        </w:rPr>
        <w:footnoteReference w:id="1"/>
      </w:r>
      <w:r w:rsidRPr="00262B05">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62B05">
        <w:rPr>
          <w:rStyle w:val="Refdenotaalpie"/>
          <w:rFonts w:ascii="Palatino Linotype" w:eastAsia="MS Mincho" w:hAnsi="Palatino Linotype" w:cs="Times New Roman"/>
        </w:rPr>
        <w:footnoteReference w:id="2"/>
      </w:r>
      <w:r w:rsidRPr="00262B05">
        <w:rPr>
          <w:rFonts w:ascii="Palatino Linotype" w:eastAsia="MS Mincho" w:hAnsi="Palatino Linotype" w:cs="Times New Roman"/>
          <w:i/>
        </w:rPr>
        <w:t xml:space="preserve"> </w:t>
      </w:r>
      <w:r w:rsidRPr="00262B05">
        <w:rPr>
          <w:rFonts w:ascii="Palatino Linotype" w:eastAsia="MS Mincho" w:hAnsi="Palatino Linotype" w:cs="Times New Roman"/>
        </w:rPr>
        <w:t xml:space="preserve">que se constituye como una herramienta fundamental para </w:t>
      </w:r>
      <w:r w:rsidRPr="00262B05">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262B05">
        <w:rPr>
          <w:rStyle w:val="Refdenotaalpie"/>
          <w:rFonts w:ascii="Palatino Linotype" w:eastAsia="MS Mincho" w:hAnsi="Palatino Linotype" w:cs="Times New Roman"/>
          <w:i/>
        </w:rPr>
        <w:footnoteReference w:id="3"/>
      </w:r>
      <w:r w:rsidRPr="00262B05">
        <w:rPr>
          <w:rFonts w:ascii="Palatino Linotype" w:eastAsia="MS Mincho" w:hAnsi="Palatino Linotype" w:cs="Times New Roman"/>
        </w:rPr>
        <w:t>fomentando</w:t>
      </w:r>
      <w:r w:rsidRPr="00262B05">
        <w:rPr>
          <w:rFonts w:ascii="Palatino Linotype" w:eastAsia="MS Mincho" w:hAnsi="Palatino Linotype" w:cs="Times New Roman"/>
          <w:i/>
        </w:rPr>
        <w:t xml:space="preserve"> la transparencia de las actividades estatales y</w:t>
      </w:r>
      <w:r w:rsidRPr="00262B05">
        <w:rPr>
          <w:rFonts w:ascii="Palatino Linotype" w:eastAsia="MS Mincho" w:hAnsi="Palatino Linotype" w:cs="Times New Roman"/>
        </w:rPr>
        <w:t xml:space="preserve"> promoviendo</w:t>
      </w:r>
      <w:r w:rsidRPr="00262B05">
        <w:rPr>
          <w:rFonts w:ascii="Palatino Linotype" w:eastAsia="MS Mincho" w:hAnsi="Palatino Linotype" w:cs="Times New Roman"/>
          <w:i/>
        </w:rPr>
        <w:t xml:space="preserve"> la responsabilidad de los funcionarios sobre su gestión pública</w:t>
      </w:r>
      <w:r w:rsidRPr="00262B05">
        <w:rPr>
          <w:rStyle w:val="Refdenotaalpie"/>
          <w:rFonts w:ascii="Palatino Linotype" w:eastAsia="MS Mincho" w:hAnsi="Palatino Linotype" w:cs="Times New Roman"/>
          <w:i/>
        </w:rPr>
        <w:footnoteReference w:id="4"/>
      </w:r>
      <w:r w:rsidRPr="00262B05">
        <w:rPr>
          <w:rFonts w:ascii="Palatino Linotype" w:eastAsia="MS Mincho" w:hAnsi="Palatino Linotype" w:cs="Times New Roman"/>
          <w:i/>
        </w:rPr>
        <w:t xml:space="preserve"> </w:t>
      </w:r>
      <w:r w:rsidRPr="00262B05">
        <w:rPr>
          <w:rFonts w:ascii="Palatino Linotype" w:eastAsia="MS Mincho" w:hAnsi="Palatino Linotype" w:cs="Times New Roman"/>
        </w:rPr>
        <w:t>que permite</w:t>
      </w:r>
      <w:r w:rsidRPr="00262B05">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262B05">
        <w:rPr>
          <w:rStyle w:val="Refdenotaalpie"/>
          <w:rFonts w:ascii="Palatino Linotype" w:eastAsia="MS Mincho" w:hAnsi="Palatino Linotype" w:cs="Times New Roman"/>
          <w:i/>
        </w:rPr>
        <w:footnoteReference w:id="5"/>
      </w:r>
      <w:r w:rsidRPr="00262B05">
        <w:rPr>
          <w:rFonts w:ascii="Palatino Linotype" w:eastAsia="MS Mincho" w:hAnsi="Palatino Linotype" w:cs="Times New Roman"/>
        </w:rPr>
        <w:t xml:space="preserve"> ” </w:t>
      </w:r>
    </w:p>
    <w:p w:rsidR="00554DF4" w:rsidRPr="00262B05" w:rsidRDefault="00554DF4" w:rsidP="00262B05">
      <w:pPr>
        <w:pStyle w:val="Prrafodelista"/>
        <w:spacing w:line="360" w:lineRule="auto"/>
        <w:ind w:left="0"/>
        <w:jc w:val="both"/>
        <w:rPr>
          <w:rFonts w:ascii="Palatino Linotype" w:hAnsi="Palatino Linotype"/>
          <w:color w:val="000000"/>
        </w:rPr>
      </w:pPr>
    </w:p>
    <w:p w:rsidR="00554DF4" w:rsidRPr="00262B05" w:rsidRDefault="00554DF4" w:rsidP="00262B05">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262B05">
        <w:rPr>
          <w:rFonts w:ascii="Palatino Linotype" w:hAnsi="Palatino Linotype" w:cs="Arial"/>
        </w:rPr>
        <w:lastRenderedPageBreak/>
        <w:t xml:space="preserve">Ahora bien para entender los alcances de la información pública se considera importante citar el criterio </w:t>
      </w:r>
      <w:r w:rsidRPr="00262B05">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262B05">
        <w:rPr>
          <w:rFonts w:ascii="Palatino Linotype" w:hAnsi="Palatino Linotype" w:cs="Arial"/>
        </w:rPr>
        <w:t>cuyo rubro y texto dispone:</w:t>
      </w:r>
    </w:p>
    <w:p w:rsidR="00554DF4" w:rsidRPr="00262B05" w:rsidRDefault="00554DF4" w:rsidP="00262B05">
      <w:pPr>
        <w:pStyle w:val="Prrafodelista"/>
        <w:autoSpaceDE w:val="0"/>
        <w:autoSpaceDN w:val="0"/>
        <w:adjustRightInd w:val="0"/>
        <w:spacing w:line="360" w:lineRule="auto"/>
        <w:ind w:left="0"/>
        <w:jc w:val="both"/>
        <w:rPr>
          <w:rFonts w:ascii="Palatino Linotype" w:hAnsi="Palatino Linotype" w:cs="Arial"/>
          <w:lang w:val="es-MX"/>
        </w:rPr>
      </w:pPr>
    </w:p>
    <w:p w:rsidR="00554DF4" w:rsidRPr="00262B05" w:rsidRDefault="00554DF4" w:rsidP="00262B05">
      <w:pPr>
        <w:autoSpaceDE w:val="0"/>
        <w:autoSpaceDN w:val="0"/>
        <w:adjustRightInd w:val="0"/>
        <w:spacing w:line="360" w:lineRule="auto"/>
        <w:ind w:left="567" w:right="567"/>
        <w:jc w:val="both"/>
        <w:rPr>
          <w:rFonts w:ascii="Palatino Linotype" w:hAnsi="Palatino Linotype" w:cs="Arial"/>
          <w:b/>
          <w:i/>
          <w:lang w:val="es-MX" w:eastAsia="es-MX"/>
        </w:rPr>
      </w:pPr>
      <w:r w:rsidRPr="00262B05">
        <w:rPr>
          <w:rFonts w:ascii="Palatino Linotype" w:hAnsi="Palatino Linotype" w:cs="Arial"/>
          <w:b/>
          <w:i/>
          <w:lang w:val="es-MX" w:eastAsia="es-MX"/>
        </w:rPr>
        <w:t>“CRITERIO 0002-11</w:t>
      </w:r>
    </w:p>
    <w:p w:rsidR="00554DF4" w:rsidRPr="00262B05" w:rsidRDefault="00554DF4" w:rsidP="00262B05">
      <w:pPr>
        <w:autoSpaceDE w:val="0"/>
        <w:autoSpaceDN w:val="0"/>
        <w:adjustRightInd w:val="0"/>
        <w:spacing w:line="360" w:lineRule="auto"/>
        <w:ind w:left="567" w:right="567"/>
        <w:jc w:val="both"/>
        <w:rPr>
          <w:rFonts w:ascii="Palatino Linotype" w:hAnsi="Palatino Linotype" w:cs="Arial"/>
          <w:i/>
          <w:lang w:val="es-MX" w:eastAsia="es-MX"/>
        </w:rPr>
      </w:pPr>
      <w:r w:rsidRPr="00262B05">
        <w:rPr>
          <w:rFonts w:ascii="Palatino Linotype" w:hAnsi="Palatino Linotype" w:cs="Arial"/>
          <w:b/>
          <w:i/>
          <w:lang w:val="es-MX" w:eastAsia="es-MX"/>
        </w:rPr>
        <w:t xml:space="preserve">INFORMACIÓN PÚBLICA, CONCEPTO DE, EN MATERIA DE TRANSPARENCIA. INTERPRETACIÓN TEMÁTICA DE LOS ARTÍCULOS 2, FRACCIÓN </w:t>
      </w:r>
      <w:r w:rsidRPr="00262B05">
        <w:rPr>
          <w:rFonts w:ascii="Palatino Linotype" w:hAnsi="Palatino Linotype" w:cs="Arial"/>
          <w:b/>
          <w:bCs/>
          <w:i/>
          <w:lang w:val="es-MX" w:eastAsia="es-MX"/>
        </w:rPr>
        <w:t xml:space="preserve">V, XV, Y XVI, </w:t>
      </w:r>
      <w:r w:rsidRPr="00262B05">
        <w:rPr>
          <w:rFonts w:ascii="Palatino Linotype" w:hAnsi="Palatino Linotype" w:cs="Arial"/>
          <w:b/>
          <w:i/>
          <w:lang w:val="es-MX" w:eastAsia="es-MX"/>
        </w:rPr>
        <w:t>3, 4,11 Y 41.</w:t>
      </w:r>
      <w:r w:rsidRPr="00262B05">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54DF4" w:rsidRPr="00262B05" w:rsidRDefault="00554DF4" w:rsidP="00262B05">
      <w:pPr>
        <w:autoSpaceDE w:val="0"/>
        <w:autoSpaceDN w:val="0"/>
        <w:adjustRightInd w:val="0"/>
        <w:spacing w:line="360" w:lineRule="auto"/>
        <w:ind w:left="567" w:right="567"/>
        <w:jc w:val="both"/>
        <w:rPr>
          <w:rFonts w:ascii="Palatino Linotype" w:hAnsi="Palatino Linotype" w:cs="Arial"/>
          <w:i/>
          <w:lang w:val="es-MX" w:eastAsia="es-MX"/>
        </w:rPr>
      </w:pPr>
      <w:r w:rsidRPr="00262B05">
        <w:rPr>
          <w:rFonts w:ascii="Palatino Linotype" w:hAnsi="Palatino Linotype" w:cs="Arial"/>
          <w:i/>
          <w:lang w:val="es-MX" w:eastAsia="es-MX"/>
        </w:rPr>
        <w:t>En consecuencia el acceso a la información se refiere a que se cumplan cualquiera de los siguientes tres supuestos:</w:t>
      </w:r>
    </w:p>
    <w:p w:rsidR="00554DF4" w:rsidRPr="00262B05" w:rsidRDefault="00554DF4" w:rsidP="00262B05">
      <w:pPr>
        <w:autoSpaceDE w:val="0"/>
        <w:autoSpaceDN w:val="0"/>
        <w:adjustRightInd w:val="0"/>
        <w:spacing w:line="360" w:lineRule="auto"/>
        <w:ind w:left="567" w:right="567"/>
        <w:jc w:val="both"/>
        <w:rPr>
          <w:rFonts w:ascii="Palatino Linotype" w:hAnsi="Palatino Linotype" w:cs="Arial"/>
          <w:i/>
          <w:lang w:val="es-MX" w:eastAsia="es-MX"/>
        </w:rPr>
      </w:pPr>
      <w:r w:rsidRPr="00262B05">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554DF4" w:rsidRPr="00262B05" w:rsidRDefault="00554DF4" w:rsidP="00262B05">
      <w:pPr>
        <w:autoSpaceDE w:val="0"/>
        <w:autoSpaceDN w:val="0"/>
        <w:adjustRightInd w:val="0"/>
        <w:spacing w:line="360" w:lineRule="auto"/>
        <w:ind w:left="567" w:right="567"/>
        <w:jc w:val="both"/>
        <w:rPr>
          <w:rFonts w:ascii="Palatino Linotype" w:hAnsi="Palatino Linotype" w:cs="Arial"/>
          <w:i/>
          <w:lang w:val="es-MX" w:eastAsia="es-MX"/>
        </w:rPr>
      </w:pPr>
      <w:r w:rsidRPr="00262B05">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554DF4" w:rsidRPr="00262B05" w:rsidRDefault="00554DF4" w:rsidP="00262B05">
      <w:pPr>
        <w:spacing w:line="360" w:lineRule="auto"/>
        <w:ind w:left="567" w:right="567"/>
        <w:jc w:val="both"/>
        <w:rPr>
          <w:rFonts w:ascii="Palatino Linotype" w:hAnsi="Palatino Linotype" w:cs="Arial"/>
          <w:i/>
          <w:color w:val="000000" w:themeColor="text1"/>
        </w:rPr>
      </w:pPr>
      <w:r w:rsidRPr="00262B05">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554DF4" w:rsidRPr="00262B05" w:rsidRDefault="00554DF4" w:rsidP="00262B05">
      <w:pPr>
        <w:pStyle w:val="Prrafodelista"/>
        <w:tabs>
          <w:tab w:val="left" w:pos="851"/>
        </w:tabs>
        <w:spacing w:line="360" w:lineRule="auto"/>
        <w:ind w:left="0" w:right="49"/>
        <w:jc w:val="both"/>
        <w:rPr>
          <w:rFonts w:ascii="Palatino Linotype" w:hAnsi="Palatino Linotype"/>
          <w:lang w:val="es-ES"/>
        </w:rPr>
      </w:pPr>
    </w:p>
    <w:p w:rsidR="00554DF4" w:rsidRPr="00262B05" w:rsidRDefault="00554DF4" w:rsidP="00262B05">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262B05">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554DF4" w:rsidRPr="00262B05" w:rsidRDefault="00554DF4" w:rsidP="00262B05">
      <w:pPr>
        <w:autoSpaceDE w:val="0"/>
        <w:autoSpaceDN w:val="0"/>
        <w:adjustRightInd w:val="0"/>
        <w:spacing w:line="360" w:lineRule="auto"/>
        <w:ind w:left="567" w:right="567"/>
        <w:jc w:val="both"/>
        <w:rPr>
          <w:rFonts w:ascii="Palatino Linotype" w:hAnsi="Palatino Linotype"/>
          <w:i/>
          <w:lang w:val="es-ES"/>
        </w:rPr>
      </w:pPr>
      <w:r w:rsidRPr="00262B05">
        <w:rPr>
          <w:rFonts w:ascii="Palatino Linotype" w:eastAsiaTheme="minorHAnsi" w:hAnsi="Palatino Linotype" w:cs="Bookman Old Style,Bold"/>
          <w:b/>
          <w:bCs/>
          <w:i/>
          <w:lang w:val="es-MX" w:eastAsia="en-US"/>
        </w:rPr>
        <w:t xml:space="preserve">XI. Documento: </w:t>
      </w:r>
      <w:r w:rsidRPr="00262B05">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262B05">
        <w:rPr>
          <w:rFonts w:ascii="Palatino Linotype" w:eastAsiaTheme="minorHAnsi" w:hAnsi="Palatino Linotype" w:cs="Bookman Old Style"/>
          <w:b/>
          <w:i/>
          <w:lang w:val="es-MX" w:eastAsia="en-US"/>
        </w:rPr>
        <w:t>cualquier otro registro</w:t>
      </w:r>
      <w:r w:rsidRPr="00262B05">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54DF4" w:rsidRPr="00262B05" w:rsidRDefault="00554DF4" w:rsidP="00262B05">
      <w:pPr>
        <w:pStyle w:val="Prrafodelista"/>
        <w:tabs>
          <w:tab w:val="left" w:pos="851"/>
        </w:tabs>
        <w:spacing w:line="360" w:lineRule="auto"/>
        <w:ind w:left="0" w:right="49"/>
        <w:jc w:val="both"/>
        <w:rPr>
          <w:rFonts w:ascii="Palatino Linotype" w:hAnsi="Palatino Linotype"/>
          <w:lang w:val="es-ES"/>
        </w:rPr>
      </w:pPr>
    </w:p>
    <w:p w:rsidR="00554DF4" w:rsidRPr="00262B05" w:rsidRDefault="00554DF4" w:rsidP="00262B05">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62B05">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554DF4" w:rsidRPr="00262B05" w:rsidRDefault="00554DF4" w:rsidP="00262B05">
      <w:pPr>
        <w:pStyle w:val="Prrafodelista"/>
        <w:spacing w:line="360" w:lineRule="auto"/>
        <w:ind w:left="0"/>
        <w:jc w:val="both"/>
        <w:rPr>
          <w:rFonts w:ascii="Palatino Linotype" w:eastAsia="Calibri" w:hAnsi="Palatino Linotype" w:cs="Arial"/>
        </w:rPr>
      </w:pPr>
    </w:p>
    <w:p w:rsidR="00554DF4" w:rsidRPr="00262B05" w:rsidRDefault="00554DF4" w:rsidP="00262B05">
      <w:pPr>
        <w:pStyle w:val="Prrafodelista"/>
        <w:numPr>
          <w:ilvl w:val="0"/>
          <w:numId w:val="1"/>
        </w:numPr>
        <w:spacing w:line="360" w:lineRule="auto"/>
        <w:ind w:left="0" w:firstLine="0"/>
        <w:jc w:val="both"/>
        <w:rPr>
          <w:rFonts w:ascii="Palatino Linotype" w:eastAsia="Calibri" w:hAnsi="Palatino Linotype" w:cs="Arial"/>
        </w:rPr>
      </w:pPr>
      <w:r w:rsidRPr="00262B05">
        <w:rPr>
          <w:rFonts w:ascii="Palatino Linotype" w:eastAsia="Calibri" w:hAnsi="Palatino Linotype" w:cs="Arial"/>
        </w:rPr>
        <w:t>E</w:t>
      </w:r>
      <w:r w:rsidRPr="00262B05">
        <w:rPr>
          <w:rFonts w:ascii="Palatino Linotype" w:eastAsia="MS Mincho" w:hAnsi="Palatino Linotype"/>
        </w:rPr>
        <w:t xml:space="preserve">l acceso a la información es un derecho humano constitucional y convencionalmente reconocido y para tal efecto </w:t>
      </w:r>
      <w:r w:rsidRPr="00262B05">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262B05">
        <w:rPr>
          <w:rFonts w:ascii="Palatino Linotype" w:eastAsia="Calibri" w:hAnsi="Palatino Linotype"/>
          <w:i/>
          <w:lang w:val="es-ES"/>
        </w:rPr>
        <w:t xml:space="preserve">en el ámbito de sus atribuciones, de promover, respetar, proteger y </w:t>
      </w:r>
      <w:r w:rsidRPr="00262B05">
        <w:rPr>
          <w:rFonts w:ascii="Palatino Linotype" w:eastAsia="Calibri" w:hAnsi="Palatino Linotype"/>
          <w:b/>
          <w:i/>
          <w:lang w:val="es-ES"/>
        </w:rPr>
        <w:t>garantizar</w:t>
      </w:r>
      <w:r w:rsidRPr="00262B05">
        <w:rPr>
          <w:rFonts w:ascii="Palatino Linotype" w:eastAsia="Calibri" w:hAnsi="Palatino Linotype"/>
          <w:i/>
          <w:lang w:val="es-ES"/>
        </w:rPr>
        <w:t xml:space="preserve"> los derechos humanos. </w:t>
      </w:r>
      <w:r w:rsidRPr="00262B05">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262B05">
        <w:rPr>
          <w:rFonts w:ascii="Palatino Linotype" w:eastAsia="Calibri" w:hAnsi="Palatino Linotype"/>
          <w:b/>
          <w:i/>
          <w:lang w:val="es-ES"/>
        </w:rPr>
        <w:t xml:space="preserve"> e</w:t>
      </w:r>
      <w:r w:rsidRPr="00262B05">
        <w:rPr>
          <w:rFonts w:ascii="Palatino Linotype" w:hAnsi="Palatino Linotype"/>
          <w:i/>
        </w:rPr>
        <w:t xml:space="preserve">l procedimiento de acceso a la información es la garantía primaria del derecho en cuestión y se rige </w:t>
      </w:r>
      <w:r w:rsidRPr="00262B05">
        <w:rPr>
          <w:rFonts w:ascii="Palatino Linotype" w:hAnsi="Palatino Linotype"/>
          <w:i/>
        </w:rPr>
        <w:lastRenderedPageBreak/>
        <w:t>por los principios de simplicidad, rapidez y gratuidad del procedimiento, auxilio y orientación a los particulares</w:t>
      </w:r>
      <w:r w:rsidRPr="00262B05">
        <w:rPr>
          <w:rStyle w:val="Refdenotaalpie"/>
          <w:rFonts w:ascii="Palatino Linotype" w:hAnsi="Palatino Linotype"/>
          <w:i/>
        </w:rPr>
        <w:footnoteReference w:id="6"/>
      </w:r>
      <w:r w:rsidRPr="00262B05">
        <w:rPr>
          <w:rFonts w:ascii="Palatino Linotype" w:hAnsi="Palatino Linotype"/>
          <w:i/>
        </w:rPr>
        <w:t xml:space="preserve">, </w:t>
      </w:r>
      <w:r w:rsidRPr="00262B05">
        <w:rPr>
          <w:rFonts w:ascii="Palatino Linotype" w:hAnsi="Palatino Linotype"/>
        </w:rPr>
        <w:t>asimismo establece</w:t>
      </w:r>
      <w:r w:rsidRPr="00262B05">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554DF4" w:rsidRPr="00262B05" w:rsidRDefault="00554DF4" w:rsidP="00262B05">
      <w:pPr>
        <w:pStyle w:val="Prrafodelista"/>
        <w:spacing w:line="360" w:lineRule="auto"/>
        <w:rPr>
          <w:rFonts w:ascii="Palatino Linotype" w:eastAsia="Calibri" w:hAnsi="Palatino Linotype" w:cs="Arial"/>
        </w:rPr>
      </w:pPr>
    </w:p>
    <w:p w:rsidR="00554DF4" w:rsidRPr="00262B05" w:rsidRDefault="00554DF4" w:rsidP="00262B05">
      <w:pPr>
        <w:pStyle w:val="Prrafodelista"/>
        <w:numPr>
          <w:ilvl w:val="0"/>
          <w:numId w:val="1"/>
        </w:numPr>
        <w:spacing w:line="360" w:lineRule="auto"/>
        <w:ind w:left="0" w:firstLine="0"/>
        <w:jc w:val="both"/>
        <w:rPr>
          <w:rFonts w:ascii="Palatino Linotype" w:eastAsia="Calibri" w:hAnsi="Palatino Linotype" w:cs="Arial"/>
        </w:rPr>
      </w:pPr>
      <w:r w:rsidRPr="00262B05">
        <w:rPr>
          <w:rFonts w:ascii="Palatino Linotype" w:hAnsi="Palatino Linotype"/>
          <w:color w:val="000000" w:themeColor="text1"/>
        </w:rPr>
        <w:t xml:space="preserve">Resulta necesario referir que, el </w:t>
      </w:r>
      <w:r w:rsidRPr="00262B05">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262B05">
        <w:rPr>
          <w:rFonts w:ascii="Palatino Linotype" w:eastAsia="Calibri" w:hAnsi="Palatino Linotype" w:cs="Arial"/>
          <w:b/>
        </w:rPr>
        <w:t>los Sujetos Obligados deberán documentar todo acto que se derive del ejercicio de sus facultades, competencias o funciones,</w:t>
      </w:r>
      <w:r w:rsidRPr="00262B05">
        <w:rPr>
          <w:rFonts w:ascii="Palatino Linotype" w:eastAsia="Calibri" w:hAnsi="Palatino Linotype" w:cs="Arial"/>
        </w:rPr>
        <w:t xml:space="preserve"> considerando desde su origen la eventual publicidad y reutilización de la información que generen, posean o administren.</w:t>
      </w:r>
    </w:p>
    <w:p w:rsidR="00554DF4" w:rsidRPr="00262B05" w:rsidRDefault="00554DF4" w:rsidP="00262B05">
      <w:pPr>
        <w:pStyle w:val="Prrafodelista"/>
        <w:spacing w:line="360" w:lineRule="auto"/>
        <w:rPr>
          <w:rFonts w:ascii="Palatino Linotype" w:eastAsia="Calibri" w:hAnsi="Palatino Linotype" w:cs="Arial"/>
        </w:rPr>
      </w:pPr>
    </w:p>
    <w:p w:rsidR="00554DF4" w:rsidRPr="00262B05" w:rsidRDefault="00554DF4" w:rsidP="00262B05">
      <w:pPr>
        <w:pStyle w:val="Prrafodelista"/>
        <w:numPr>
          <w:ilvl w:val="0"/>
          <w:numId w:val="1"/>
        </w:numPr>
        <w:spacing w:line="360" w:lineRule="auto"/>
        <w:ind w:left="0" w:firstLine="0"/>
        <w:jc w:val="both"/>
        <w:rPr>
          <w:rFonts w:ascii="Palatino Linotype" w:eastAsia="Calibri" w:hAnsi="Palatino Linotype" w:cs="Arial"/>
        </w:rPr>
      </w:pPr>
      <w:r w:rsidRPr="00262B05">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554DF4" w:rsidRPr="00262B05" w:rsidRDefault="00554DF4" w:rsidP="00262B05">
      <w:pPr>
        <w:pStyle w:val="Prrafodelista"/>
        <w:spacing w:line="360" w:lineRule="auto"/>
        <w:rPr>
          <w:rFonts w:ascii="Palatino Linotype" w:eastAsia="Times New Roman" w:hAnsi="Palatino Linotype" w:cs="Arial"/>
          <w:color w:val="000000"/>
        </w:rPr>
      </w:pPr>
    </w:p>
    <w:p w:rsidR="00554DF4" w:rsidRPr="00262B05" w:rsidRDefault="00554DF4" w:rsidP="00262B05">
      <w:pPr>
        <w:autoSpaceDE w:val="0"/>
        <w:autoSpaceDN w:val="0"/>
        <w:adjustRightInd w:val="0"/>
        <w:spacing w:line="360" w:lineRule="auto"/>
        <w:ind w:left="567" w:right="567"/>
        <w:jc w:val="both"/>
        <w:rPr>
          <w:rFonts w:ascii="Palatino Linotype" w:hAnsi="Palatino Linotype" w:cs="Bookman Old Style"/>
          <w:i/>
          <w:lang w:val="es-MX"/>
        </w:rPr>
      </w:pPr>
      <w:r w:rsidRPr="00262B05">
        <w:rPr>
          <w:rFonts w:ascii="Palatino Linotype" w:hAnsi="Palatino Linotype" w:cs="Bookman Old Style,Bold"/>
          <w:b/>
          <w:bCs/>
          <w:i/>
          <w:lang w:val="es-MX"/>
        </w:rPr>
        <w:t xml:space="preserve">Artículo 4. </w:t>
      </w:r>
      <w:r w:rsidRPr="00262B05">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rsidR="00554DF4" w:rsidRPr="00262B05" w:rsidRDefault="00554DF4" w:rsidP="00262B05">
      <w:pPr>
        <w:autoSpaceDE w:val="0"/>
        <w:autoSpaceDN w:val="0"/>
        <w:adjustRightInd w:val="0"/>
        <w:spacing w:line="360" w:lineRule="auto"/>
        <w:ind w:left="567" w:right="567"/>
        <w:jc w:val="both"/>
        <w:rPr>
          <w:rFonts w:ascii="Palatino Linotype" w:hAnsi="Palatino Linotype" w:cs="Bookman Old Style"/>
          <w:i/>
          <w:lang w:val="es-MX"/>
        </w:rPr>
      </w:pPr>
    </w:p>
    <w:p w:rsidR="00554DF4" w:rsidRPr="00262B05" w:rsidRDefault="00554DF4" w:rsidP="00262B05">
      <w:pPr>
        <w:autoSpaceDE w:val="0"/>
        <w:autoSpaceDN w:val="0"/>
        <w:adjustRightInd w:val="0"/>
        <w:spacing w:line="360" w:lineRule="auto"/>
        <w:ind w:left="567" w:right="567"/>
        <w:jc w:val="both"/>
        <w:rPr>
          <w:rFonts w:ascii="Palatino Linotype" w:hAnsi="Palatino Linotype" w:cs="Bookman Old Style"/>
          <w:i/>
          <w:lang w:val="es-MX"/>
        </w:rPr>
      </w:pPr>
      <w:r w:rsidRPr="00262B05">
        <w:rPr>
          <w:rFonts w:ascii="Palatino Linotype" w:hAnsi="Palatino Linotype" w:cs="Bookman Old Style"/>
          <w:i/>
          <w:lang w:val="es-MX"/>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54DF4" w:rsidRPr="00262B05" w:rsidRDefault="00554DF4" w:rsidP="00262B05">
      <w:pPr>
        <w:autoSpaceDE w:val="0"/>
        <w:autoSpaceDN w:val="0"/>
        <w:adjustRightInd w:val="0"/>
        <w:spacing w:line="360" w:lineRule="auto"/>
        <w:ind w:left="567" w:right="567"/>
        <w:jc w:val="both"/>
        <w:rPr>
          <w:rFonts w:ascii="Palatino Linotype" w:hAnsi="Palatino Linotype" w:cs="Bookman Old Style"/>
          <w:i/>
          <w:lang w:val="es-MX"/>
        </w:rPr>
      </w:pPr>
    </w:p>
    <w:p w:rsidR="00554DF4" w:rsidRPr="00262B05" w:rsidRDefault="00554DF4" w:rsidP="00262B05">
      <w:pPr>
        <w:autoSpaceDE w:val="0"/>
        <w:autoSpaceDN w:val="0"/>
        <w:adjustRightInd w:val="0"/>
        <w:spacing w:line="360" w:lineRule="auto"/>
        <w:ind w:left="567" w:right="567"/>
        <w:jc w:val="both"/>
        <w:rPr>
          <w:rFonts w:ascii="Palatino Linotype" w:hAnsi="Palatino Linotype" w:cs="Bookman Old Style"/>
          <w:i/>
          <w:lang w:val="es-MX"/>
        </w:rPr>
      </w:pPr>
      <w:r w:rsidRPr="00262B05">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rsidR="00554DF4" w:rsidRPr="00262B05" w:rsidRDefault="00554DF4" w:rsidP="00262B05">
      <w:pPr>
        <w:autoSpaceDE w:val="0"/>
        <w:autoSpaceDN w:val="0"/>
        <w:adjustRightInd w:val="0"/>
        <w:spacing w:line="360" w:lineRule="auto"/>
        <w:ind w:right="567"/>
        <w:jc w:val="both"/>
        <w:rPr>
          <w:rFonts w:ascii="Palatino Linotype" w:eastAsia="Times New Roman" w:hAnsi="Palatino Linotype" w:cs="Arial"/>
          <w:i/>
          <w:color w:val="000000"/>
        </w:rPr>
      </w:pPr>
    </w:p>
    <w:p w:rsidR="00554DF4" w:rsidRPr="00262B05" w:rsidRDefault="00554DF4" w:rsidP="00262B05">
      <w:pPr>
        <w:autoSpaceDE w:val="0"/>
        <w:autoSpaceDN w:val="0"/>
        <w:adjustRightInd w:val="0"/>
        <w:spacing w:line="360" w:lineRule="auto"/>
        <w:ind w:left="567" w:right="567"/>
        <w:jc w:val="both"/>
        <w:rPr>
          <w:rFonts w:ascii="Palatino Linotype" w:hAnsi="Palatino Linotype" w:cs="Bookman Old Style"/>
          <w:i/>
          <w:lang w:val="es-MX"/>
        </w:rPr>
      </w:pPr>
      <w:r w:rsidRPr="00262B05">
        <w:rPr>
          <w:rFonts w:ascii="Palatino Linotype" w:hAnsi="Palatino Linotype" w:cs="Bookman Old Style,Bold"/>
          <w:b/>
          <w:bCs/>
          <w:i/>
          <w:lang w:val="es-MX"/>
        </w:rPr>
        <w:t xml:space="preserve">Artículo 12. </w:t>
      </w:r>
      <w:r w:rsidRPr="00262B05">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rsidR="00554DF4" w:rsidRPr="00262B05" w:rsidRDefault="00554DF4" w:rsidP="00262B05">
      <w:pPr>
        <w:autoSpaceDE w:val="0"/>
        <w:autoSpaceDN w:val="0"/>
        <w:adjustRightInd w:val="0"/>
        <w:spacing w:line="360" w:lineRule="auto"/>
        <w:ind w:left="567" w:right="567"/>
        <w:jc w:val="both"/>
        <w:rPr>
          <w:rFonts w:ascii="Palatino Linotype" w:hAnsi="Palatino Linotype" w:cs="Bookman Old Style"/>
          <w:i/>
          <w:lang w:val="es-MX"/>
        </w:rPr>
      </w:pPr>
    </w:p>
    <w:p w:rsidR="00554DF4" w:rsidRPr="00262B05" w:rsidRDefault="00554DF4" w:rsidP="00262B05">
      <w:pPr>
        <w:autoSpaceDE w:val="0"/>
        <w:autoSpaceDN w:val="0"/>
        <w:adjustRightInd w:val="0"/>
        <w:spacing w:line="360" w:lineRule="auto"/>
        <w:ind w:left="567" w:right="567"/>
        <w:jc w:val="both"/>
        <w:rPr>
          <w:rFonts w:ascii="Palatino Linotype" w:hAnsi="Palatino Linotype" w:cs="Bookman Old Style"/>
          <w:b/>
          <w:i/>
          <w:lang w:val="es-MX"/>
        </w:rPr>
      </w:pPr>
      <w:r w:rsidRPr="00262B05">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262B05">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rsidR="00554DF4" w:rsidRPr="00262B05" w:rsidRDefault="00554DF4" w:rsidP="00262B05">
      <w:pPr>
        <w:autoSpaceDE w:val="0"/>
        <w:autoSpaceDN w:val="0"/>
        <w:adjustRightInd w:val="0"/>
        <w:spacing w:line="360" w:lineRule="auto"/>
        <w:ind w:left="567" w:right="567"/>
        <w:jc w:val="both"/>
        <w:rPr>
          <w:rFonts w:ascii="Palatino Linotype" w:hAnsi="Palatino Linotype" w:cs="Bookman Old Style"/>
          <w:i/>
          <w:lang w:val="es-MX"/>
        </w:rPr>
      </w:pPr>
    </w:p>
    <w:p w:rsidR="00554DF4" w:rsidRPr="00262B05" w:rsidRDefault="00554DF4" w:rsidP="00262B05">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62B05">
        <w:rPr>
          <w:rFonts w:ascii="Palatino Linotype" w:hAnsi="Palatino Linotype"/>
          <w:lang w:val="es-ES"/>
        </w:rPr>
        <w:t xml:space="preserve">Es así que, por un lado se tiene la obligación de documentar todos los actos que se lleven a cabo en el ejercicio de sus funciones, atribuciones y competencias, mientras </w:t>
      </w:r>
      <w:r w:rsidRPr="00262B05">
        <w:rPr>
          <w:rFonts w:ascii="Palatino Linotype" w:hAnsi="Palatino Linotype"/>
          <w:lang w:val="es-ES"/>
        </w:rPr>
        <w:lastRenderedPageBreak/>
        <w:t>que por otro, se ven impuestos por la obligación de hacer pública toda aquella información que se encuentre en su posesión en estricto apego a los principios de eficacia</w:t>
      </w:r>
      <w:r w:rsidRPr="00262B05">
        <w:rPr>
          <w:rStyle w:val="Refdenotaalpie"/>
          <w:rFonts w:ascii="Palatino Linotype" w:hAnsi="Palatino Linotype"/>
          <w:lang w:val="es-ES"/>
        </w:rPr>
        <w:footnoteReference w:id="7"/>
      </w:r>
      <w:r w:rsidRPr="00262B05">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554DF4" w:rsidRPr="00262B05" w:rsidRDefault="00554DF4" w:rsidP="00262B05">
      <w:pPr>
        <w:pStyle w:val="Prrafodelista"/>
        <w:tabs>
          <w:tab w:val="left" w:pos="851"/>
        </w:tabs>
        <w:spacing w:line="360" w:lineRule="auto"/>
        <w:ind w:left="0" w:right="49"/>
        <w:jc w:val="both"/>
        <w:rPr>
          <w:rFonts w:ascii="Palatino Linotype" w:hAnsi="Palatino Linotype"/>
          <w:lang w:val="es-ES"/>
        </w:rPr>
      </w:pPr>
    </w:p>
    <w:p w:rsidR="00554DF4" w:rsidRPr="00262B05" w:rsidRDefault="00554DF4" w:rsidP="00262B05">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62B05">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554DF4" w:rsidRPr="00262B05" w:rsidRDefault="00554DF4" w:rsidP="00262B05">
      <w:pPr>
        <w:pStyle w:val="Prrafodelista"/>
        <w:spacing w:line="360" w:lineRule="auto"/>
        <w:rPr>
          <w:rFonts w:ascii="Palatino Linotype" w:hAnsi="Palatino Linotype"/>
          <w:lang w:val="es-ES"/>
        </w:rPr>
      </w:pPr>
    </w:p>
    <w:p w:rsidR="00554DF4" w:rsidRPr="00262B05" w:rsidRDefault="00554DF4" w:rsidP="00262B05">
      <w:pPr>
        <w:pStyle w:val="Prrafodelista"/>
        <w:tabs>
          <w:tab w:val="left" w:pos="851"/>
        </w:tabs>
        <w:spacing w:line="360" w:lineRule="auto"/>
        <w:ind w:left="567" w:right="567"/>
        <w:jc w:val="both"/>
        <w:rPr>
          <w:rFonts w:ascii="Palatino Linotype" w:hAnsi="Palatino Linotype"/>
          <w:i/>
        </w:rPr>
      </w:pPr>
      <w:r w:rsidRPr="00262B05">
        <w:rPr>
          <w:rFonts w:ascii="Palatino Linotype" w:hAnsi="Palatino Linotype"/>
          <w:b/>
          <w:i/>
        </w:rPr>
        <w:t>ACCESO A LA INFORMACIÓN. IMPLICACIÓN DEL PRINCIPIO DE MÁXIMA PUBLICIDAD EN EL DERECHO FUNDAMENTAL RELATIVO.</w:t>
      </w:r>
      <w:r w:rsidRPr="00262B05">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w:t>
      </w:r>
      <w:r w:rsidRPr="00262B05">
        <w:rPr>
          <w:rFonts w:ascii="Palatino Linotype" w:hAnsi="Palatino Linotype"/>
          <w:i/>
        </w:rPr>
        <w:lastRenderedPageBreak/>
        <w:t xml:space="preserve">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554DF4" w:rsidRPr="00262B05" w:rsidRDefault="00554DF4" w:rsidP="00262B05">
      <w:pPr>
        <w:pStyle w:val="Prrafodelista"/>
        <w:tabs>
          <w:tab w:val="left" w:pos="851"/>
        </w:tabs>
        <w:spacing w:line="360" w:lineRule="auto"/>
        <w:ind w:left="567" w:right="567"/>
        <w:jc w:val="both"/>
        <w:rPr>
          <w:rFonts w:ascii="Palatino Linotype" w:hAnsi="Palatino Linotype"/>
          <w:i/>
        </w:rPr>
      </w:pPr>
    </w:p>
    <w:p w:rsidR="00554DF4" w:rsidRPr="00262B05" w:rsidRDefault="00554DF4" w:rsidP="00262B05">
      <w:pPr>
        <w:pStyle w:val="Prrafodelista"/>
        <w:tabs>
          <w:tab w:val="left" w:pos="851"/>
        </w:tabs>
        <w:spacing w:line="360" w:lineRule="auto"/>
        <w:ind w:left="567" w:right="567"/>
        <w:jc w:val="both"/>
        <w:rPr>
          <w:rFonts w:ascii="Palatino Linotype" w:hAnsi="Palatino Linotype"/>
          <w:i/>
        </w:rPr>
      </w:pPr>
      <w:r w:rsidRPr="00262B05">
        <w:rPr>
          <w:rFonts w:ascii="Palatino Linotype" w:hAnsi="Palatino Linotype"/>
          <w:i/>
        </w:rPr>
        <w:t xml:space="preserve">CUARTO TRIBUNAL COLEGIADO EN MATERIA ADMINISTRATIVA DEL PRIMER CIRCUITO. </w:t>
      </w:r>
    </w:p>
    <w:p w:rsidR="00554DF4" w:rsidRPr="00262B05" w:rsidRDefault="00554DF4" w:rsidP="00262B05">
      <w:pPr>
        <w:pStyle w:val="Prrafodelista"/>
        <w:tabs>
          <w:tab w:val="left" w:pos="851"/>
        </w:tabs>
        <w:spacing w:line="360" w:lineRule="auto"/>
        <w:ind w:left="567" w:right="567"/>
        <w:jc w:val="both"/>
        <w:rPr>
          <w:rFonts w:ascii="Palatino Linotype" w:hAnsi="Palatino Linotype"/>
          <w:i/>
        </w:rPr>
      </w:pPr>
    </w:p>
    <w:p w:rsidR="00554DF4" w:rsidRPr="00262B05" w:rsidRDefault="00554DF4" w:rsidP="00262B05">
      <w:pPr>
        <w:pStyle w:val="Prrafodelista"/>
        <w:tabs>
          <w:tab w:val="left" w:pos="851"/>
        </w:tabs>
        <w:spacing w:line="360" w:lineRule="auto"/>
        <w:ind w:left="567" w:right="567"/>
        <w:jc w:val="both"/>
        <w:rPr>
          <w:rFonts w:ascii="Palatino Linotype" w:hAnsi="Palatino Linotype"/>
          <w:i/>
          <w:lang w:val="es-ES"/>
        </w:rPr>
      </w:pPr>
      <w:r w:rsidRPr="00262B05">
        <w:rPr>
          <w:rFonts w:ascii="Palatino Linotype" w:hAnsi="Palatino Linotype"/>
          <w:i/>
        </w:rPr>
        <w:t xml:space="preserve">Amparo en revisión 257/2012. Ruth Corona Muñoz. 6 de diciembre de 2012. Unanimidad de votos. Ponente: Jean Claude </w:t>
      </w:r>
      <w:proofErr w:type="spellStart"/>
      <w:r w:rsidRPr="00262B05">
        <w:rPr>
          <w:rFonts w:ascii="Palatino Linotype" w:hAnsi="Palatino Linotype"/>
          <w:i/>
        </w:rPr>
        <w:t>Tron</w:t>
      </w:r>
      <w:proofErr w:type="spellEnd"/>
      <w:r w:rsidRPr="00262B05">
        <w:rPr>
          <w:rFonts w:ascii="Palatino Linotype" w:hAnsi="Palatino Linotype"/>
          <w:i/>
        </w:rPr>
        <w:t xml:space="preserve"> </w:t>
      </w:r>
      <w:proofErr w:type="spellStart"/>
      <w:r w:rsidRPr="00262B05">
        <w:rPr>
          <w:rFonts w:ascii="Palatino Linotype" w:hAnsi="Palatino Linotype"/>
          <w:i/>
        </w:rPr>
        <w:t>Petit</w:t>
      </w:r>
      <w:proofErr w:type="spellEnd"/>
      <w:r w:rsidRPr="00262B05">
        <w:rPr>
          <w:rFonts w:ascii="Palatino Linotype" w:hAnsi="Palatino Linotype"/>
          <w:i/>
        </w:rPr>
        <w:t>. Secretaria: Mayra Susana Martínez López.</w:t>
      </w:r>
    </w:p>
    <w:p w:rsidR="00554DF4" w:rsidRPr="00262B05" w:rsidRDefault="00554DF4" w:rsidP="00262B05">
      <w:pPr>
        <w:pStyle w:val="Prrafodelista"/>
        <w:spacing w:line="360" w:lineRule="auto"/>
        <w:rPr>
          <w:rFonts w:ascii="Palatino Linotype" w:hAnsi="Palatino Linotype"/>
          <w:lang w:val="es-ES"/>
        </w:rPr>
      </w:pPr>
    </w:p>
    <w:p w:rsidR="00554DF4" w:rsidRPr="00262B05" w:rsidRDefault="00554DF4" w:rsidP="00262B05">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62B05">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554DF4" w:rsidRPr="00262B05" w:rsidRDefault="00554DF4" w:rsidP="00262B05">
      <w:pPr>
        <w:pStyle w:val="Prrafodelista"/>
        <w:tabs>
          <w:tab w:val="left" w:pos="851"/>
        </w:tabs>
        <w:spacing w:line="360" w:lineRule="auto"/>
        <w:ind w:left="0" w:right="49"/>
        <w:jc w:val="both"/>
        <w:rPr>
          <w:rFonts w:ascii="Palatino Linotype" w:hAnsi="Palatino Linotype"/>
          <w:lang w:val="es-ES"/>
        </w:rPr>
      </w:pPr>
    </w:p>
    <w:p w:rsidR="00554DF4" w:rsidRPr="00262B05" w:rsidRDefault="00554DF4" w:rsidP="00262B05">
      <w:pPr>
        <w:pStyle w:val="Ttulo2"/>
        <w:numPr>
          <w:ilvl w:val="0"/>
          <w:numId w:val="4"/>
        </w:numPr>
        <w:spacing w:line="360" w:lineRule="auto"/>
        <w:rPr>
          <w:rFonts w:ascii="Palatino Linotype" w:hAnsi="Palatino Linotype"/>
          <w:b/>
          <w:color w:val="auto"/>
          <w:sz w:val="24"/>
          <w:szCs w:val="24"/>
        </w:rPr>
      </w:pPr>
      <w:bookmarkStart w:id="19" w:name="_Toc15463062"/>
      <w:bookmarkStart w:id="20" w:name="_Toc13659894"/>
      <w:bookmarkStart w:id="21" w:name="_Toc24476665"/>
      <w:r w:rsidRPr="00262B05">
        <w:rPr>
          <w:rFonts w:ascii="Palatino Linotype" w:eastAsia="MS Mincho" w:hAnsi="Palatino Linotype"/>
          <w:b/>
          <w:color w:val="auto"/>
          <w:sz w:val="24"/>
          <w:szCs w:val="24"/>
        </w:rPr>
        <w:t>Del cobro de la información.</w:t>
      </w:r>
      <w:bookmarkEnd w:id="19"/>
      <w:bookmarkEnd w:id="20"/>
      <w:bookmarkEnd w:id="21"/>
    </w:p>
    <w:p w:rsidR="00554DF4" w:rsidRPr="00262B05" w:rsidRDefault="00554DF4" w:rsidP="00262B05">
      <w:pPr>
        <w:pStyle w:val="Prrafodelista"/>
        <w:spacing w:line="360" w:lineRule="auto"/>
        <w:rPr>
          <w:rFonts w:ascii="Palatino Linotype" w:eastAsia="MS Mincho" w:hAnsi="Palatino Linotype" w:cs="Arial"/>
        </w:rPr>
      </w:pPr>
    </w:p>
    <w:p w:rsidR="00554DF4" w:rsidRPr="00262B05" w:rsidRDefault="00554DF4" w:rsidP="00262B0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62B05">
        <w:rPr>
          <w:rFonts w:ascii="Palatino Linotype" w:hAnsi="Palatino Linotype"/>
          <w:lang w:val="es-ES"/>
        </w:rPr>
        <w:t>El Sujeto Obligado en respuesta a la solicitud de información refiere que la información será proporcionada una vez que se realice el pago correspondiente.</w:t>
      </w:r>
    </w:p>
    <w:p w:rsidR="00554DF4" w:rsidRPr="00262B05" w:rsidRDefault="00554DF4" w:rsidP="00262B05">
      <w:pPr>
        <w:pStyle w:val="Prrafodelista"/>
        <w:tabs>
          <w:tab w:val="left" w:pos="851"/>
        </w:tabs>
        <w:spacing w:before="240" w:after="240" w:line="360" w:lineRule="auto"/>
        <w:ind w:left="0" w:right="49"/>
        <w:jc w:val="both"/>
        <w:rPr>
          <w:rFonts w:ascii="Palatino Linotype" w:hAnsi="Palatino Linotype"/>
          <w:lang w:val="es-ES"/>
        </w:rPr>
      </w:pPr>
      <w:r w:rsidRPr="00262B05">
        <w:rPr>
          <w:rFonts w:ascii="Palatino Linotype" w:hAnsi="Palatino Linotype"/>
          <w:lang w:val="es-ES"/>
        </w:rPr>
        <w:t xml:space="preserve"> </w:t>
      </w:r>
    </w:p>
    <w:p w:rsidR="00554DF4" w:rsidRPr="00262B05" w:rsidRDefault="00554DF4" w:rsidP="00262B05">
      <w:pPr>
        <w:pStyle w:val="Prrafodelista"/>
        <w:numPr>
          <w:ilvl w:val="0"/>
          <w:numId w:val="1"/>
        </w:numPr>
        <w:tabs>
          <w:tab w:val="left" w:pos="851"/>
        </w:tabs>
        <w:spacing w:before="240" w:after="240" w:line="360" w:lineRule="auto"/>
        <w:ind w:left="0" w:right="49" w:firstLine="0"/>
        <w:jc w:val="both"/>
        <w:rPr>
          <w:rFonts w:ascii="Palatino Linotype" w:hAnsi="Palatino Linotype" w:cs="Arial"/>
        </w:rPr>
      </w:pPr>
      <w:r w:rsidRPr="00262B05">
        <w:rPr>
          <w:rFonts w:ascii="Palatino Linotype" w:hAnsi="Palatino Linotype"/>
          <w:lang w:val="es-ES"/>
        </w:rPr>
        <w:t xml:space="preserve">Ante tal situación es necesario traer a colación </w:t>
      </w:r>
      <w:r w:rsidRPr="00262B05">
        <w:rPr>
          <w:rFonts w:ascii="Palatino Linotype" w:hAnsi="Palatino Linotype" w:cs="Arial"/>
        </w:rPr>
        <w:t xml:space="preserve">la fracción II del artículo 2 de la Ley de Transparencia y Acceso a la Información Pública del Estado de México y Municipios, menciona que son objetivos de la misma, proveer lo necesario para garantizar a toda persona el derecho de acceso a la información pública, a través de procedimientos sencillos, expeditos, oportunos y </w:t>
      </w:r>
      <w:r w:rsidRPr="00262B05">
        <w:rPr>
          <w:rFonts w:ascii="Palatino Linotype" w:hAnsi="Palatino Linotype" w:cs="Arial"/>
          <w:b/>
        </w:rPr>
        <w:t xml:space="preserve">gratuitos; </w:t>
      </w:r>
      <w:r w:rsidRPr="00262B05">
        <w:rPr>
          <w:rFonts w:ascii="Palatino Linotype" w:hAnsi="Palatino Linotype" w:cs="Arial"/>
        </w:rPr>
        <w:t xml:space="preserve">mientras que los diversos 17 y 150, hacen referencia a que la búsqueda y acceso a la información es gratuita y sólo se cubrirá en su caso, los gastos de reproducción, por la modalidad de entrega solicitada, o por </w:t>
      </w:r>
      <w:proofErr w:type="spellStart"/>
      <w:r w:rsidRPr="00262B05">
        <w:rPr>
          <w:rFonts w:ascii="Palatino Linotype" w:hAnsi="Palatino Linotype" w:cs="Arial"/>
        </w:rPr>
        <w:t>el</w:t>
      </w:r>
      <w:proofErr w:type="spellEnd"/>
      <w:r w:rsidRPr="00262B05">
        <w:rPr>
          <w:rFonts w:ascii="Palatino Linotype" w:hAnsi="Palatino Linotype" w:cs="Arial"/>
        </w:rPr>
        <w:t xml:space="preserve"> envió de conformidad con los derechos, productos y aprovechamientos establecidos en la legislación aplicable, toda vez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de gobierno, lo que favorece la rendición de cuentas.</w:t>
      </w:r>
    </w:p>
    <w:p w:rsidR="00554DF4" w:rsidRPr="00262B05" w:rsidRDefault="00554DF4" w:rsidP="00262B05">
      <w:pPr>
        <w:pStyle w:val="Prrafodelista"/>
        <w:tabs>
          <w:tab w:val="left" w:pos="851"/>
        </w:tabs>
        <w:spacing w:before="240" w:after="240" w:line="360" w:lineRule="auto"/>
        <w:ind w:left="0" w:right="49"/>
        <w:jc w:val="both"/>
        <w:rPr>
          <w:rFonts w:ascii="Palatino Linotype" w:hAnsi="Palatino Linotype" w:cs="Arial"/>
        </w:rPr>
      </w:pPr>
    </w:p>
    <w:p w:rsidR="00554DF4" w:rsidRPr="00262B05" w:rsidRDefault="00554DF4" w:rsidP="00262B05">
      <w:pPr>
        <w:pStyle w:val="Prrafodelista"/>
        <w:numPr>
          <w:ilvl w:val="0"/>
          <w:numId w:val="1"/>
        </w:numPr>
        <w:tabs>
          <w:tab w:val="left" w:pos="851"/>
        </w:tabs>
        <w:spacing w:before="240" w:after="240" w:line="360" w:lineRule="auto"/>
        <w:ind w:left="0" w:right="49" w:firstLine="0"/>
        <w:jc w:val="both"/>
        <w:rPr>
          <w:rFonts w:ascii="Palatino Linotype" w:hAnsi="Palatino Linotype" w:cs="Arial"/>
        </w:rPr>
      </w:pPr>
      <w:r w:rsidRPr="00262B05">
        <w:rPr>
          <w:rFonts w:ascii="Palatino Linotype" w:hAnsi="Palatino Linotype" w:cs="Arial"/>
        </w:rPr>
        <w:t xml:space="preserve">En este contexto, al referirse la Constitución Política de los Estados Unidos Mexicanos y la Ley de Transparencia y Acceso a la Información del Estado de México y Municipios al procedimiento de acceso a la información pública, bajo el principio de </w:t>
      </w:r>
      <w:r w:rsidRPr="00262B05">
        <w:rPr>
          <w:rFonts w:ascii="Palatino Linotype" w:hAnsi="Palatino Linotype" w:cs="Arial"/>
        </w:rPr>
        <w:lastRenderedPageBreak/>
        <w:t>gratuidad, es garantizando la protección a un derecho fundamental que tienen dimensión social, al ser un condicionante necesario para el funcionamiento de una vida democrática, por lo que cualquier afectación a éste exige una justificación y jamás puede tener efectos recaudatorios, al menos que la reproducción de la información sea en fotocopias, respaldos informativos, entre otros.</w:t>
      </w:r>
    </w:p>
    <w:p w:rsidR="00554DF4" w:rsidRPr="00262B05" w:rsidRDefault="00554DF4" w:rsidP="00262B05">
      <w:pPr>
        <w:pStyle w:val="Prrafodelista"/>
        <w:tabs>
          <w:tab w:val="left" w:pos="851"/>
        </w:tabs>
        <w:spacing w:before="240" w:after="240" w:line="360" w:lineRule="auto"/>
        <w:ind w:left="0" w:right="49"/>
        <w:jc w:val="both"/>
        <w:rPr>
          <w:rFonts w:ascii="Palatino Linotype" w:hAnsi="Palatino Linotype" w:cs="Arial"/>
        </w:rPr>
      </w:pPr>
    </w:p>
    <w:p w:rsidR="00554DF4" w:rsidRPr="00262B05" w:rsidRDefault="00554DF4" w:rsidP="00262B05">
      <w:pPr>
        <w:pStyle w:val="Prrafodelista"/>
        <w:numPr>
          <w:ilvl w:val="0"/>
          <w:numId w:val="1"/>
        </w:numPr>
        <w:tabs>
          <w:tab w:val="left" w:pos="851"/>
        </w:tabs>
        <w:spacing w:before="240" w:after="240" w:line="360" w:lineRule="auto"/>
        <w:ind w:left="0" w:right="49" w:firstLine="0"/>
        <w:jc w:val="both"/>
        <w:rPr>
          <w:rFonts w:ascii="Palatino Linotype" w:hAnsi="Palatino Linotype" w:cs="Arial"/>
        </w:rPr>
      </w:pPr>
      <w:r w:rsidRPr="00262B05">
        <w:rPr>
          <w:rFonts w:ascii="Palatino Linotype" w:hAnsi="Palatino Linotype" w:cs="Arial"/>
        </w:rPr>
        <w:t xml:space="preserve">De tal manera que por regla general, la entrega de la información que se solicite en ejercicio del derecho de acceso a la información pública, deberá ser en completa congruencia con el principio de gratuidad y solamente en casos excepcionales procederá al cobro para la entrega de la información, situación que ocurrirá en caso de que se tenga que generar un gasto por la reproducción, por la modalidad de entrega solicitada, o por </w:t>
      </w:r>
      <w:proofErr w:type="spellStart"/>
      <w:r w:rsidRPr="00262B05">
        <w:rPr>
          <w:rFonts w:ascii="Palatino Linotype" w:hAnsi="Palatino Linotype" w:cs="Arial"/>
        </w:rPr>
        <w:t>el</w:t>
      </w:r>
      <w:proofErr w:type="spellEnd"/>
      <w:r w:rsidRPr="00262B05">
        <w:rPr>
          <w:rFonts w:ascii="Palatino Linotype" w:hAnsi="Palatino Linotype" w:cs="Arial"/>
        </w:rPr>
        <w:t xml:space="preserve"> envió, mismo que se relaciona con lo establecido en el artículo 174 de la Ley de la Materia el cual fue utilizado como fundamento por el Sujeto Obligado para solicitar un pago para la entrega de la información y que se considera es interpretado en perjuicio del solicitante como se explica enseguida, para lo cual es necesario traer a contexto su texto, en su parte conducente a saber:</w:t>
      </w:r>
    </w:p>
    <w:p w:rsidR="00554DF4" w:rsidRPr="00262B05" w:rsidRDefault="00554DF4" w:rsidP="00262B05">
      <w:pPr>
        <w:autoSpaceDE w:val="0"/>
        <w:autoSpaceDN w:val="0"/>
        <w:adjustRightInd w:val="0"/>
        <w:spacing w:line="360" w:lineRule="auto"/>
        <w:ind w:left="567" w:right="567"/>
        <w:jc w:val="both"/>
        <w:rPr>
          <w:rFonts w:ascii="Palatino Linotype" w:hAnsi="Palatino Linotype" w:cs="Arial"/>
          <w:bCs/>
          <w:i/>
        </w:rPr>
      </w:pPr>
      <w:r w:rsidRPr="00262B05">
        <w:rPr>
          <w:rFonts w:ascii="Palatino Linotype" w:hAnsi="Palatino Linotype" w:cs="Arial"/>
          <w:b/>
          <w:bCs/>
          <w:i/>
        </w:rPr>
        <w:t>“Artículo 174. En caso de existir costos para obtener la información</w:t>
      </w:r>
      <w:r w:rsidRPr="00262B05">
        <w:rPr>
          <w:rFonts w:ascii="Palatino Linotype" w:hAnsi="Palatino Linotype" w:cs="Arial"/>
          <w:bCs/>
          <w:i/>
        </w:rPr>
        <w:t xml:space="preserve"> deberán cubrirse de manera previa a la entrega y </w:t>
      </w:r>
      <w:r w:rsidRPr="00262B05">
        <w:rPr>
          <w:rFonts w:ascii="Palatino Linotype" w:hAnsi="Palatino Linotype" w:cs="Arial"/>
          <w:b/>
          <w:bCs/>
          <w:i/>
        </w:rPr>
        <w:t>no podrán ser superiores a la suma de</w:t>
      </w:r>
      <w:r w:rsidRPr="00262B05">
        <w:rPr>
          <w:rFonts w:ascii="Palatino Linotype" w:hAnsi="Palatino Linotype" w:cs="Arial"/>
          <w:bCs/>
          <w:i/>
        </w:rPr>
        <w:t>:</w:t>
      </w:r>
    </w:p>
    <w:p w:rsidR="00554DF4" w:rsidRPr="00262B05" w:rsidRDefault="00554DF4" w:rsidP="00262B05">
      <w:pPr>
        <w:autoSpaceDE w:val="0"/>
        <w:autoSpaceDN w:val="0"/>
        <w:adjustRightInd w:val="0"/>
        <w:spacing w:line="360" w:lineRule="auto"/>
        <w:ind w:left="567" w:right="567"/>
        <w:jc w:val="both"/>
        <w:rPr>
          <w:rFonts w:ascii="Palatino Linotype" w:hAnsi="Palatino Linotype" w:cs="Arial"/>
          <w:bCs/>
          <w:i/>
        </w:rPr>
      </w:pPr>
      <w:r w:rsidRPr="00262B05">
        <w:rPr>
          <w:rFonts w:ascii="Palatino Linotype" w:hAnsi="Palatino Linotype" w:cs="Arial"/>
          <w:b/>
          <w:bCs/>
          <w:i/>
        </w:rPr>
        <w:t>I.</w:t>
      </w:r>
      <w:r w:rsidRPr="00262B05">
        <w:rPr>
          <w:rFonts w:ascii="Palatino Linotype" w:hAnsi="Palatino Linotype" w:cs="Arial"/>
          <w:bCs/>
          <w:i/>
        </w:rPr>
        <w:t xml:space="preserve"> </w:t>
      </w:r>
      <w:r w:rsidRPr="00262B05">
        <w:rPr>
          <w:rFonts w:ascii="Palatino Linotype" w:hAnsi="Palatino Linotype" w:cs="Arial"/>
          <w:b/>
          <w:bCs/>
          <w:i/>
        </w:rPr>
        <w:t>El costo de los materiales utilizados en la reproducción</w:t>
      </w:r>
      <w:r w:rsidRPr="00262B05">
        <w:rPr>
          <w:rFonts w:ascii="Palatino Linotype" w:hAnsi="Palatino Linotype" w:cs="Arial"/>
          <w:bCs/>
          <w:i/>
        </w:rPr>
        <w:t xml:space="preserve"> de la información;</w:t>
      </w:r>
    </w:p>
    <w:p w:rsidR="00554DF4" w:rsidRPr="00262B05" w:rsidRDefault="00554DF4" w:rsidP="00262B05">
      <w:pPr>
        <w:autoSpaceDE w:val="0"/>
        <w:autoSpaceDN w:val="0"/>
        <w:adjustRightInd w:val="0"/>
        <w:spacing w:line="360" w:lineRule="auto"/>
        <w:ind w:left="567" w:right="567"/>
        <w:jc w:val="both"/>
        <w:rPr>
          <w:rFonts w:ascii="Palatino Linotype" w:hAnsi="Palatino Linotype" w:cs="Arial"/>
          <w:bCs/>
          <w:i/>
        </w:rPr>
      </w:pPr>
      <w:r w:rsidRPr="00262B05">
        <w:rPr>
          <w:rFonts w:ascii="Palatino Linotype" w:hAnsi="Palatino Linotype" w:cs="Arial"/>
          <w:b/>
          <w:bCs/>
          <w:i/>
        </w:rPr>
        <w:t>II.</w:t>
      </w:r>
      <w:r w:rsidRPr="00262B05">
        <w:rPr>
          <w:rFonts w:ascii="Palatino Linotype" w:hAnsi="Palatino Linotype" w:cs="Arial"/>
          <w:bCs/>
          <w:i/>
        </w:rPr>
        <w:t xml:space="preserve"> </w:t>
      </w:r>
      <w:r w:rsidRPr="00262B05">
        <w:rPr>
          <w:rFonts w:ascii="Palatino Linotype" w:hAnsi="Palatino Linotype" w:cs="Arial"/>
          <w:b/>
          <w:bCs/>
          <w:i/>
        </w:rPr>
        <w:t>El costo de envío</w:t>
      </w:r>
      <w:r w:rsidRPr="00262B05">
        <w:rPr>
          <w:rFonts w:ascii="Palatino Linotype" w:hAnsi="Palatino Linotype" w:cs="Arial"/>
          <w:bCs/>
          <w:i/>
        </w:rPr>
        <w:t>, en su caso; y</w:t>
      </w:r>
    </w:p>
    <w:p w:rsidR="00554DF4" w:rsidRPr="00262B05" w:rsidRDefault="00554DF4" w:rsidP="00262B05">
      <w:pPr>
        <w:autoSpaceDE w:val="0"/>
        <w:autoSpaceDN w:val="0"/>
        <w:adjustRightInd w:val="0"/>
        <w:spacing w:line="360" w:lineRule="auto"/>
        <w:ind w:left="567" w:right="567"/>
        <w:jc w:val="both"/>
        <w:rPr>
          <w:rFonts w:ascii="Palatino Linotype" w:hAnsi="Palatino Linotype" w:cs="Arial"/>
          <w:bCs/>
          <w:i/>
        </w:rPr>
      </w:pPr>
      <w:r w:rsidRPr="00262B05">
        <w:rPr>
          <w:rFonts w:ascii="Palatino Linotype" w:hAnsi="Palatino Linotype" w:cs="Arial"/>
          <w:b/>
          <w:bCs/>
          <w:i/>
        </w:rPr>
        <w:t>III.</w:t>
      </w:r>
      <w:r w:rsidRPr="00262B05">
        <w:rPr>
          <w:rFonts w:ascii="Palatino Linotype" w:hAnsi="Palatino Linotype" w:cs="Arial"/>
          <w:bCs/>
          <w:i/>
        </w:rPr>
        <w:t xml:space="preserve"> </w:t>
      </w:r>
      <w:r w:rsidRPr="00262B05">
        <w:rPr>
          <w:rFonts w:ascii="Palatino Linotype" w:hAnsi="Palatino Linotype" w:cs="Arial"/>
          <w:b/>
          <w:bCs/>
          <w:i/>
        </w:rPr>
        <w:t>El pago de la certificación de los documentos</w:t>
      </w:r>
      <w:r w:rsidRPr="00262B05">
        <w:rPr>
          <w:rFonts w:ascii="Palatino Linotype" w:hAnsi="Palatino Linotype" w:cs="Arial"/>
          <w:bCs/>
          <w:i/>
        </w:rPr>
        <w:t>, cuando proceda.</w:t>
      </w:r>
    </w:p>
    <w:p w:rsidR="00554DF4" w:rsidRPr="00262B05" w:rsidRDefault="00554DF4" w:rsidP="00262B05">
      <w:pPr>
        <w:spacing w:before="240" w:after="240" w:line="360" w:lineRule="auto"/>
        <w:ind w:left="567" w:right="567"/>
        <w:jc w:val="both"/>
        <w:rPr>
          <w:rFonts w:ascii="Palatino Linotype" w:hAnsi="Palatino Linotype" w:cs="Arial"/>
        </w:rPr>
      </w:pPr>
      <w:r w:rsidRPr="00262B05">
        <w:rPr>
          <w:rFonts w:ascii="Palatino Linotype" w:hAnsi="Palatino Linotype" w:cs="Arial"/>
          <w:bCs/>
          <w:i/>
        </w:rPr>
        <w:t xml:space="preserve">Las cuotas de los derechos aplicables deberán establecerse, en su caso, en el </w:t>
      </w:r>
      <w:r w:rsidRPr="00262B05">
        <w:rPr>
          <w:rFonts w:ascii="Palatino Linotype" w:hAnsi="Palatino Linotype" w:cs="Arial"/>
          <w:b/>
          <w:bCs/>
          <w:i/>
        </w:rPr>
        <w:t>Código Financiero del Estado de México y Municipios</w:t>
      </w:r>
      <w:r w:rsidRPr="00262B05">
        <w:rPr>
          <w:rFonts w:ascii="Palatino Linotype" w:hAnsi="Palatino Linotype" w:cs="Arial"/>
          <w:bCs/>
          <w:i/>
        </w:rPr>
        <w:t xml:space="preserve"> y demás disposiciones jurídicas aplicables, las cuales se publicarán en los sitios de internet de los sujetos obligados…”</w:t>
      </w:r>
      <w:r w:rsidRPr="00262B05">
        <w:rPr>
          <w:rFonts w:ascii="Palatino Linotype" w:hAnsi="Palatino Linotype" w:cs="Arial"/>
        </w:rPr>
        <w:t xml:space="preserve"> </w:t>
      </w: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rPr>
      </w:pPr>
      <w:r w:rsidRPr="00262B05">
        <w:rPr>
          <w:rFonts w:ascii="Palatino Linotype" w:hAnsi="Palatino Linotype"/>
        </w:rPr>
        <w:lastRenderedPageBreak/>
        <w:t xml:space="preserve">Del precepto anterior se puede desprender que la Ley de la Materia estableció el cobró de derechos para la entrega de la información con el objeto de que se cubran los costos de los materiales utilizados en la reproducción de la información, el costo por </w:t>
      </w:r>
      <w:proofErr w:type="spellStart"/>
      <w:r w:rsidRPr="00262B05">
        <w:rPr>
          <w:rFonts w:ascii="Palatino Linotype" w:hAnsi="Palatino Linotype"/>
        </w:rPr>
        <w:t>el</w:t>
      </w:r>
      <w:proofErr w:type="spellEnd"/>
      <w:r w:rsidRPr="00262B05">
        <w:rPr>
          <w:rFonts w:ascii="Palatino Linotype" w:hAnsi="Palatino Linotype"/>
        </w:rPr>
        <w:t xml:space="preserve"> envió de la misma o el pago por la certificación; sin embargo en el caso particular que se comenta no se estima que se actualice ninguno de esos supuestos y no debe perderse de vista que la parte solicitante requirió la información a través del SAIMEX, por lo que ello únicamente implica la digitalización o escaneo de la información a entregar, lo cual no conlleva la utilización de materiales que generen un costo para el Sujeto Obligado, como el caso por ejemplo de la emisión de copias; así tampoco se genera un gasto por </w:t>
      </w:r>
      <w:proofErr w:type="spellStart"/>
      <w:r w:rsidRPr="00262B05">
        <w:rPr>
          <w:rFonts w:ascii="Palatino Linotype" w:hAnsi="Palatino Linotype"/>
        </w:rPr>
        <w:t>el</w:t>
      </w:r>
      <w:proofErr w:type="spellEnd"/>
      <w:r w:rsidRPr="00262B05">
        <w:rPr>
          <w:rFonts w:ascii="Palatino Linotype" w:hAnsi="Palatino Linotype"/>
        </w:rPr>
        <w:t xml:space="preserve"> envió de la información, ya que una de las finalidades de la utilización del Sistema de Acceso a la Información Pública Mexiquense, es precisamente evitar la generación de gastos tanto para los solicitantes como para los Sujetos Obligados, pues se trata de un sistema electrónico que para acceder al mismo no necesita recurso alguno más que un equipo de cómputo con acceso a internet y un digitalizador de documentos, equipos que obligatoriamente debe tener el Sujeto Obligado para el correcto desempeño de sus labores; de igual manera en el caso no se actualiza el cobro por certificación, ya que la parte solicitante no requirió la entrega en alguna modalidad que requiera menoscabo alguno al Sujeto Obligado.</w:t>
      </w:r>
    </w:p>
    <w:p w:rsidR="00554DF4" w:rsidRPr="00262B05" w:rsidRDefault="00554DF4" w:rsidP="00262B05">
      <w:pPr>
        <w:pStyle w:val="Prrafodelista"/>
        <w:spacing w:before="240" w:after="240" w:line="360" w:lineRule="auto"/>
        <w:ind w:left="0"/>
        <w:jc w:val="both"/>
        <w:rPr>
          <w:rFonts w:ascii="Palatino Linotype" w:hAnsi="Palatino Linotype"/>
        </w:rPr>
      </w:pP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b/>
        </w:rPr>
      </w:pPr>
      <w:r w:rsidRPr="00262B05">
        <w:rPr>
          <w:rFonts w:ascii="Palatino Linotype" w:hAnsi="Palatino Linotype"/>
        </w:rPr>
        <w:t xml:space="preserve">Aunado a lo anterior, </w:t>
      </w:r>
      <w:r w:rsidRPr="00262B05">
        <w:rPr>
          <w:rFonts w:ascii="Palatino Linotype" w:hAnsi="Palatino Linotype" w:cs="Arial"/>
        </w:rPr>
        <w:t xml:space="preserve">la exposición de motivos de la Ley de Transparencia y Acceso a la Información Pública del Estado de México y Municipios, señala que se adoptara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w:t>
      </w:r>
      <w:r w:rsidRPr="00262B05">
        <w:rPr>
          <w:rFonts w:ascii="Palatino Linotype" w:hAnsi="Palatino Linotype" w:cs="Arial"/>
        </w:rPr>
        <w:lastRenderedPageBreak/>
        <w:t xml:space="preserve">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w:t>
      </w:r>
      <w:r w:rsidRPr="00262B05">
        <w:rPr>
          <w:rFonts w:ascii="Palatino Linotype" w:hAnsi="Palatino Linotype" w:cs="Arial"/>
          <w:b/>
        </w:rPr>
        <w:t>no podrán tener ningún costo, incluyendo aquella que se hubiera digitalizado previamente por cualquier motivo, y aún menos en aquellos casos en que la modalidad de entrega sea por medio de la plataforma o vía electrónica.</w:t>
      </w:r>
    </w:p>
    <w:p w:rsidR="00554DF4" w:rsidRPr="00262B05" w:rsidRDefault="00554DF4" w:rsidP="00262B05">
      <w:pPr>
        <w:pStyle w:val="Prrafodelista"/>
        <w:spacing w:before="240" w:after="240" w:line="360" w:lineRule="auto"/>
        <w:ind w:left="0"/>
        <w:jc w:val="both"/>
        <w:rPr>
          <w:rFonts w:ascii="Palatino Linotype" w:hAnsi="Palatino Linotype"/>
        </w:rPr>
      </w:pP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rPr>
      </w:pPr>
      <w:r w:rsidRPr="00262B05">
        <w:rPr>
          <w:rFonts w:ascii="Palatino Linotype" w:hAnsi="Palatino Linotype" w:cs="Arial"/>
        </w:rPr>
        <w:t xml:space="preserve">Por lo que no existe precepto jurídico que autorice al Sujeto Obligado a requerir un pago para entregar la información vía SAIMEX, </w:t>
      </w:r>
      <w:r w:rsidRPr="00262B05">
        <w:rPr>
          <w:rFonts w:ascii="Palatino Linotype" w:hAnsi="Palatino Linotype"/>
          <w:color w:val="000000"/>
        </w:rPr>
        <w:t xml:space="preserve">debido a que dicho sistema fue creado para facilitar el registro y atención de las solicitudes de información, y </w:t>
      </w:r>
      <w:r w:rsidRPr="00262B05">
        <w:rPr>
          <w:rFonts w:ascii="Palatino Linotype" w:hAnsi="Palatino Linotype" w:cs="Arial"/>
        </w:rPr>
        <w:t xml:space="preserve">es su obligación trasladar la </w:t>
      </w:r>
      <w:r w:rsidRPr="00262B05">
        <w:rPr>
          <w:rFonts w:ascii="Palatino Linotype" w:hAnsi="Palatino Linotype"/>
          <w:color w:val="000000"/>
        </w:rPr>
        <w:t>información de un soporte físico a uno electrónico y cuidar que los medios electrónicos o impresos en los que conste tanto información pública, como confidencial y reservada se entreguen en versión pública en los casos que eso resulte necesario.</w:t>
      </w:r>
    </w:p>
    <w:p w:rsidR="00554DF4" w:rsidRPr="00262B05" w:rsidRDefault="00554DF4" w:rsidP="00262B05">
      <w:pPr>
        <w:pStyle w:val="Prrafodelista"/>
        <w:spacing w:line="360" w:lineRule="auto"/>
        <w:rPr>
          <w:rFonts w:ascii="Palatino Linotype" w:hAnsi="Palatino Linotype"/>
        </w:rPr>
      </w:pP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rPr>
      </w:pPr>
      <w:r w:rsidRPr="00262B05">
        <w:rPr>
          <w:rFonts w:ascii="Palatino Linotype" w:hAnsi="Palatino Linotype" w:cs="Arial"/>
        </w:rPr>
        <w:t>Pensar lo contrario, sería tanto como reconocer que la utilización del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tal información no existe la obligación de tenerla digitalizada, en ese sentido se estaría condicionando a un pago el derecho humano de acceso a la información pública en los casos no previstos por la Ley y que en su mayoría resultan de interés público.</w:t>
      </w:r>
    </w:p>
    <w:p w:rsidR="00554DF4" w:rsidRPr="00262B05" w:rsidRDefault="00554DF4" w:rsidP="00262B05">
      <w:pPr>
        <w:pStyle w:val="Prrafodelista"/>
        <w:spacing w:line="360" w:lineRule="auto"/>
        <w:rPr>
          <w:rFonts w:ascii="Palatino Linotype" w:hAnsi="Palatino Linotype"/>
        </w:rPr>
      </w:pPr>
    </w:p>
    <w:p w:rsidR="00554DF4" w:rsidRPr="00262B05" w:rsidRDefault="00554DF4" w:rsidP="00262B05">
      <w:pPr>
        <w:pStyle w:val="Prrafodelista"/>
        <w:numPr>
          <w:ilvl w:val="0"/>
          <w:numId w:val="1"/>
        </w:numPr>
        <w:spacing w:line="360" w:lineRule="auto"/>
        <w:ind w:left="0" w:firstLine="0"/>
        <w:jc w:val="both"/>
        <w:rPr>
          <w:rFonts w:ascii="Palatino Linotype" w:hAnsi="Palatino Linotype"/>
          <w:lang w:val="es-MX" w:eastAsia="en-US"/>
        </w:rPr>
      </w:pPr>
      <w:r w:rsidRPr="00262B05">
        <w:rPr>
          <w:rFonts w:ascii="Palatino Linotype" w:hAnsi="Palatino Linotype"/>
        </w:rPr>
        <w:t xml:space="preserve">Por lo anterior, este Órgano Garante determina desestimar el supuesto cobro por la reproducción de la información, toda vez que, la Ley en materia prevé que la información que, por cualquier motivo se haya digitalizado previamente </w:t>
      </w:r>
      <w:r w:rsidRPr="00262B05">
        <w:rPr>
          <w:rFonts w:ascii="Palatino Linotype" w:hAnsi="Palatino Linotype"/>
          <w:b/>
        </w:rPr>
        <w:t>no podrá tener ningún costo.</w:t>
      </w:r>
    </w:p>
    <w:p w:rsidR="00554DF4" w:rsidRPr="00262B05" w:rsidRDefault="00554DF4" w:rsidP="00262B05">
      <w:pPr>
        <w:pStyle w:val="Prrafodelista"/>
        <w:spacing w:line="360" w:lineRule="auto"/>
        <w:rPr>
          <w:rFonts w:ascii="Palatino Linotype" w:hAnsi="Palatino Linotype"/>
          <w:lang w:val="es-MX" w:eastAsia="en-US"/>
        </w:rPr>
      </w:pPr>
    </w:p>
    <w:p w:rsidR="00554DF4" w:rsidRDefault="00554DF4" w:rsidP="00262B05">
      <w:pPr>
        <w:pStyle w:val="Ttulo2"/>
        <w:numPr>
          <w:ilvl w:val="0"/>
          <w:numId w:val="4"/>
        </w:numPr>
        <w:spacing w:line="360" w:lineRule="auto"/>
        <w:rPr>
          <w:rFonts w:ascii="Palatino Linotype" w:hAnsi="Palatino Linotype"/>
          <w:b/>
          <w:color w:val="auto"/>
          <w:sz w:val="24"/>
          <w:szCs w:val="24"/>
        </w:rPr>
      </w:pPr>
      <w:bookmarkStart w:id="22" w:name="_Toc24476666"/>
      <w:r w:rsidRPr="00262B05">
        <w:rPr>
          <w:rFonts w:ascii="Palatino Linotype" w:hAnsi="Palatino Linotype"/>
          <w:b/>
          <w:color w:val="auto"/>
          <w:sz w:val="24"/>
          <w:szCs w:val="24"/>
        </w:rPr>
        <w:t>De los pagos.</w:t>
      </w:r>
      <w:bookmarkEnd w:id="22"/>
    </w:p>
    <w:p w:rsidR="00262B05" w:rsidRPr="00262B05" w:rsidRDefault="00262B05" w:rsidP="00262B05">
      <w:pPr>
        <w:rPr>
          <w:lang w:val="es-MX" w:eastAsia="en-US"/>
        </w:rPr>
      </w:pPr>
    </w:p>
    <w:p w:rsidR="00554DF4" w:rsidRPr="00262B05" w:rsidRDefault="00554DF4" w:rsidP="00262B05">
      <w:pPr>
        <w:pStyle w:val="Prrafodelista"/>
        <w:numPr>
          <w:ilvl w:val="0"/>
          <w:numId w:val="1"/>
        </w:numPr>
        <w:spacing w:line="360" w:lineRule="auto"/>
        <w:ind w:left="0" w:firstLine="0"/>
        <w:jc w:val="both"/>
        <w:rPr>
          <w:rFonts w:ascii="Palatino Linotype" w:hAnsi="Palatino Linotype"/>
          <w:lang w:val="es-MX" w:eastAsia="en-US"/>
        </w:rPr>
      </w:pPr>
      <w:r w:rsidRPr="00262B05">
        <w:rPr>
          <w:rFonts w:ascii="Palatino Linotype" w:hAnsi="Palatino Linotype"/>
          <w:lang w:val="es-MX" w:eastAsia="en-US"/>
        </w:rPr>
        <w:t>La materia elemental del recurso de revisión se basa en pagos realizados. Por lo anterior, es necesario referir que, la Tesorería Municipal es el área encargada de realizar las erogaciones que requiera el Ayuntamiento, lo que pudieran ser facturas. Debemos</w:t>
      </w:r>
      <w:r w:rsidRPr="00262B05">
        <w:rPr>
          <w:rFonts w:ascii="Palatino Linotype" w:hAnsi="Palatino Linotype" w:cs="Arial"/>
        </w:rPr>
        <w:t xml:space="preserve"> primeramente conocer a que nos referimos por </w:t>
      </w:r>
      <w:r w:rsidRPr="00262B05">
        <w:rPr>
          <w:rFonts w:ascii="Palatino Linotype" w:hAnsi="Palatino Linotype" w:cs="Arial"/>
          <w:b/>
        </w:rPr>
        <w:t xml:space="preserve">“factura” y, </w:t>
      </w:r>
      <w:r w:rsidRPr="00262B05">
        <w:rPr>
          <w:rFonts w:ascii="Palatino Linotype" w:hAnsi="Palatino Linotype" w:cs="Arial"/>
        </w:rPr>
        <w:t>al respecto, nos referiremos a éste concepto aunque sea sucintamente de acuerdo a lo que dispone e</w:t>
      </w:r>
      <w:r w:rsidRPr="00262B05">
        <w:rPr>
          <w:rFonts w:ascii="Palatino Linotype" w:hAnsi="Palatino Linotype"/>
        </w:rPr>
        <w:t>l Glosario de Términos Hacendarios que emite el Instituto Hacendario del Estado de México, mismo que expresa lo siguiente:</w:t>
      </w:r>
    </w:p>
    <w:p w:rsidR="00554DF4" w:rsidRPr="00262B05" w:rsidRDefault="00554DF4" w:rsidP="00262B05">
      <w:pPr>
        <w:autoSpaceDE w:val="0"/>
        <w:autoSpaceDN w:val="0"/>
        <w:adjustRightInd w:val="0"/>
        <w:spacing w:before="120" w:after="120" w:line="360" w:lineRule="auto"/>
        <w:ind w:left="851" w:right="902"/>
        <w:jc w:val="both"/>
        <w:rPr>
          <w:rFonts w:ascii="Palatino Linotype" w:hAnsi="Palatino Linotype" w:cs="Arial"/>
          <w:b/>
          <w:i/>
        </w:rPr>
      </w:pPr>
      <w:r w:rsidRPr="00262B05">
        <w:rPr>
          <w:rFonts w:ascii="Palatino Linotype" w:hAnsi="Palatino Linotype" w:cs="Arial"/>
          <w:i/>
        </w:rPr>
        <w:t>“</w:t>
      </w:r>
      <w:r w:rsidRPr="00262B05">
        <w:rPr>
          <w:rFonts w:ascii="Palatino Linotype" w:hAnsi="Palatino Linotype" w:cs="Arial"/>
          <w:b/>
          <w:i/>
        </w:rPr>
        <w:t>FACTURA</w:t>
      </w:r>
    </w:p>
    <w:p w:rsidR="00554DF4" w:rsidRPr="00262B05" w:rsidRDefault="00554DF4" w:rsidP="00262B05">
      <w:pPr>
        <w:autoSpaceDE w:val="0"/>
        <w:autoSpaceDN w:val="0"/>
        <w:adjustRightInd w:val="0"/>
        <w:spacing w:before="120" w:after="120" w:line="360" w:lineRule="auto"/>
        <w:ind w:left="851" w:right="902"/>
        <w:jc w:val="both"/>
        <w:rPr>
          <w:rFonts w:ascii="Palatino Linotype" w:hAnsi="Palatino Linotype" w:cs="Arial"/>
          <w:i/>
        </w:rPr>
      </w:pPr>
      <w:r w:rsidRPr="00262B05">
        <w:rPr>
          <w:rFonts w:ascii="Palatino Linotype" w:hAnsi="Palatino Linotype" w:cs="Arial"/>
          <w:i/>
        </w:rPr>
        <w:t>Es el documento fiscal que emite la persona física o moral para comprobar la venta o adquisición de un bien y/o servicio.” (Sic)</w:t>
      </w: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rPr>
      </w:pPr>
      <w:r w:rsidRPr="00262B05">
        <w:rPr>
          <w:rFonts w:ascii="Palatino Linotype" w:hAnsi="Palatino Linotype" w:cs="Arial"/>
        </w:rPr>
        <w:t xml:space="preserve">Una vez precisado lo anterior, se procede a analizar si las facturas solicitadas son de acceso público; por lo que, es de señalarse que las facturas o </w:t>
      </w:r>
      <w:r w:rsidRPr="00262B05">
        <w:rPr>
          <w:rFonts w:ascii="Palatino Linotype" w:hAnsi="Palatino Linotype" w:cs="Arial"/>
          <w:b/>
        </w:rPr>
        <w:t>comprobantes que amparan las erogaciones</w:t>
      </w:r>
      <w:r w:rsidRPr="00262B05">
        <w:rPr>
          <w:rFonts w:ascii="Palatino Linotype" w:hAnsi="Palatino Linotype" w:cs="Arial"/>
        </w:rPr>
        <w:t xml:space="preserve"> que se realizan con erario público tienen naturaleza análoga pues, constituyen los medios idóneos de evidencia del gasto realizado con recursos públicos.</w:t>
      </w:r>
    </w:p>
    <w:p w:rsidR="00554DF4" w:rsidRPr="00262B05" w:rsidRDefault="00554DF4" w:rsidP="00262B05">
      <w:pPr>
        <w:pStyle w:val="Prrafodelista"/>
        <w:spacing w:before="240" w:after="240" w:line="360" w:lineRule="auto"/>
        <w:ind w:left="0"/>
        <w:jc w:val="both"/>
        <w:rPr>
          <w:rFonts w:ascii="Palatino Linotype" w:hAnsi="Palatino Linotype" w:cs="Arial"/>
        </w:rPr>
      </w:pP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rPr>
      </w:pPr>
      <w:r w:rsidRPr="00262B05">
        <w:rPr>
          <w:rFonts w:ascii="Palatino Linotype" w:hAnsi="Palatino Linotype" w:cs="Arial"/>
        </w:rPr>
        <w:lastRenderedPageBreak/>
        <w:t>Al respecto, conviene precisar que en el cumplimiento de los principios que rigen la función pública, la Constitución Política del Estado Libre y Soberano de México en su artículo 129 señala que l</w:t>
      </w:r>
      <w:r w:rsidRPr="00262B05">
        <w:rPr>
          <w:rFonts w:ascii="Palatino Linotype"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rsidR="00554DF4" w:rsidRPr="00262B05" w:rsidRDefault="00554DF4" w:rsidP="00262B05">
      <w:pPr>
        <w:pStyle w:val="Prrafodelista"/>
        <w:spacing w:line="360" w:lineRule="auto"/>
        <w:rPr>
          <w:rFonts w:ascii="Palatino Linotype" w:hAnsi="Palatino Linotype" w:cs="Arial"/>
        </w:rPr>
      </w:pP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rPr>
      </w:pPr>
      <w:r w:rsidRPr="00262B05">
        <w:rPr>
          <w:rFonts w:ascii="Palatino Linotype" w:hAnsi="Palatino Linotype" w:cs="Arial"/>
          <w:color w:val="000000"/>
        </w:rPr>
        <w:t>Asimismo, señala que todos los pagos se harán mediante orden escrita en la que se expresará la partida del presupuesto a cargo de la cual se realizan.</w:t>
      </w:r>
    </w:p>
    <w:p w:rsidR="00554DF4" w:rsidRPr="00262B05" w:rsidRDefault="00554DF4" w:rsidP="00262B05">
      <w:pPr>
        <w:pStyle w:val="Prrafodelista"/>
        <w:spacing w:line="360" w:lineRule="auto"/>
        <w:rPr>
          <w:rFonts w:ascii="Palatino Linotype" w:hAnsi="Palatino Linotype" w:cs="Arial"/>
        </w:rPr>
      </w:pPr>
    </w:p>
    <w:p w:rsidR="00554DF4" w:rsidRPr="00262B05" w:rsidRDefault="00554DF4" w:rsidP="00262B05">
      <w:pPr>
        <w:pStyle w:val="Prrafodelista"/>
        <w:numPr>
          <w:ilvl w:val="0"/>
          <w:numId w:val="1"/>
        </w:numPr>
        <w:spacing w:before="240" w:after="240" w:line="360" w:lineRule="auto"/>
        <w:ind w:left="0" w:right="49" w:firstLine="0"/>
        <w:jc w:val="both"/>
        <w:rPr>
          <w:rFonts w:ascii="Palatino Linotype" w:hAnsi="Palatino Linotype" w:cs="Arial"/>
        </w:rPr>
      </w:pPr>
      <w:r w:rsidRPr="00262B05">
        <w:rPr>
          <w:rFonts w:ascii="Palatino Linotype" w:hAnsi="Palatino Linotype" w:cs="Arial"/>
        </w:rPr>
        <w:t>Como se ha dicho anteriormente</w:t>
      </w:r>
      <w:r w:rsidRPr="00262B05">
        <w:rPr>
          <w:rFonts w:ascii="Palatino Linotype" w:hAnsi="Palatino Linotype" w:cs="Arial"/>
          <w:b/>
        </w:rPr>
        <w:t>, es atribución del Tesorero Municipal la de llevar los registros contables, financieros y administrativos de los ingresos, egresos e inventarios</w:t>
      </w:r>
      <w:r w:rsidRPr="00262B05">
        <w:rPr>
          <w:rFonts w:ascii="Palatino Linotype" w:hAnsi="Palatino Linotype" w:cs="Arial"/>
        </w:rPr>
        <w:t>.</w:t>
      </w:r>
    </w:p>
    <w:p w:rsidR="00554DF4" w:rsidRPr="00262B05" w:rsidRDefault="00554DF4" w:rsidP="00262B05">
      <w:pPr>
        <w:pStyle w:val="Prrafodelista"/>
        <w:spacing w:before="240" w:after="240" w:line="360" w:lineRule="auto"/>
        <w:ind w:left="0" w:right="49"/>
        <w:jc w:val="both"/>
        <w:rPr>
          <w:rFonts w:ascii="Palatino Linotype" w:hAnsi="Palatino Linotype" w:cs="Arial"/>
        </w:rPr>
      </w:pPr>
    </w:p>
    <w:p w:rsidR="00554DF4" w:rsidRPr="00262B05" w:rsidRDefault="00554DF4" w:rsidP="00262B05">
      <w:pPr>
        <w:pStyle w:val="Prrafodelista"/>
        <w:numPr>
          <w:ilvl w:val="0"/>
          <w:numId w:val="1"/>
        </w:numPr>
        <w:spacing w:before="240" w:after="240" w:line="360" w:lineRule="auto"/>
        <w:ind w:left="0" w:right="49" w:firstLine="0"/>
        <w:jc w:val="both"/>
        <w:rPr>
          <w:rFonts w:ascii="Palatino Linotype" w:hAnsi="Palatino Linotype" w:cs="Arial"/>
        </w:rPr>
      </w:pPr>
      <w:r w:rsidRPr="00262B05">
        <w:rPr>
          <w:rFonts w:ascii="Palatino Linotype" w:hAnsi="Palatino Linotype" w:cs="Arial"/>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rsidR="00554DF4" w:rsidRPr="00262B05" w:rsidRDefault="00554DF4" w:rsidP="00262B05">
      <w:pPr>
        <w:spacing w:before="120" w:after="120" w:line="360" w:lineRule="auto"/>
        <w:ind w:left="851" w:right="850"/>
        <w:jc w:val="both"/>
        <w:rPr>
          <w:rFonts w:ascii="Palatino Linotype" w:hAnsi="Palatino Linotype"/>
          <w:b/>
          <w:i/>
        </w:rPr>
      </w:pPr>
      <w:r w:rsidRPr="00262B05">
        <w:rPr>
          <w:rFonts w:ascii="Palatino Linotype" w:hAnsi="Palatino Linotype" w:cs="Arial"/>
          <w:bCs/>
          <w:i/>
          <w:color w:val="000000"/>
        </w:rPr>
        <w:t>“</w:t>
      </w:r>
      <w:r w:rsidRPr="00262B05">
        <w:rPr>
          <w:rFonts w:ascii="Palatino Linotype" w:hAnsi="Palatino Linotype"/>
          <w:b/>
          <w:i/>
        </w:rPr>
        <w:t>Artículo 342.-</w:t>
      </w:r>
      <w:r w:rsidRPr="00262B05">
        <w:rPr>
          <w:rFonts w:ascii="Palatino Linotype" w:hAnsi="Palatino Linotype"/>
          <w:i/>
        </w:rPr>
        <w:t xml:space="preserve"> </w:t>
      </w:r>
      <w:r w:rsidRPr="00262B05">
        <w:rPr>
          <w:rFonts w:ascii="Palatino Linotype" w:hAnsi="Palatino Linotype"/>
          <w:b/>
          <w:i/>
          <w:u w:val="single"/>
        </w:rPr>
        <w:t xml:space="preserve">El registro contable del efecto patrimonial y presupuestal de las operaciones financieras, se realizará conforme al sistema y a las disposiciones que se aprueben en materia </w:t>
      </w:r>
      <w:r w:rsidRPr="00262B05">
        <w:rPr>
          <w:rFonts w:ascii="Palatino Linotype" w:hAnsi="Palatino Linotype"/>
          <w:i/>
        </w:rPr>
        <w:t xml:space="preserve">de </w:t>
      </w:r>
      <w:r w:rsidRPr="00262B05">
        <w:rPr>
          <w:rFonts w:ascii="Palatino Linotype" w:hAnsi="Palatino Linotype" w:cs="Arial"/>
          <w:i/>
          <w:color w:val="000000"/>
        </w:rPr>
        <w:t>planeación</w:t>
      </w:r>
      <w:r w:rsidRPr="00262B05">
        <w:rPr>
          <w:rFonts w:ascii="Palatino Linotype" w:hAnsi="Palatino Linotype"/>
          <w:i/>
        </w:rPr>
        <w:t>,</w:t>
      </w:r>
      <w:r w:rsidRPr="00262B05">
        <w:rPr>
          <w:rFonts w:ascii="Palatino Linotype" w:hAnsi="Palatino Linotype"/>
          <w:b/>
          <w:i/>
        </w:rPr>
        <w:t xml:space="preserve"> programación, </w:t>
      </w:r>
      <w:proofErr w:type="spellStart"/>
      <w:r w:rsidRPr="00262B05">
        <w:rPr>
          <w:rFonts w:ascii="Palatino Linotype" w:hAnsi="Palatino Linotype"/>
          <w:b/>
          <w:i/>
        </w:rPr>
        <w:t>p</w:t>
      </w:r>
      <w:r w:rsidRPr="00262B05">
        <w:rPr>
          <w:rFonts w:ascii="Palatino Linotype" w:hAnsi="Palatino Linotype"/>
          <w:b/>
          <w:i/>
          <w:u w:val="single"/>
        </w:rPr>
        <w:t>resupuestación</w:t>
      </w:r>
      <w:proofErr w:type="spellEnd"/>
      <w:r w:rsidRPr="00262B05">
        <w:rPr>
          <w:rFonts w:ascii="Palatino Linotype" w:hAnsi="Palatino Linotype"/>
          <w:i/>
        </w:rPr>
        <w:t xml:space="preserve">, evaluación y </w:t>
      </w:r>
      <w:r w:rsidRPr="00262B05">
        <w:rPr>
          <w:rFonts w:ascii="Palatino Linotype" w:hAnsi="Palatino Linotype" w:cs="Arial"/>
          <w:b/>
          <w:i/>
          <w:color w:val="000000"/>
        </w:rPr>
        <w:t>contabilidad</w:t>
      </w:r>
      <w:r w:rsidRPr="00262B05">
        <w:rPr>
          <w:rFonts w:ascii="Palatino Linotype" w:hAnsi="Palatino Linotype"/>
          <w:b/>
          <w:i/>
        </w:rPr>
        <w:t xml:space="preserve"> gubernamental.</w:t>
      </w:r>
      <w:r w:rsidRPr="00262B05">
        <w:rPr>
          <w:rFonts w:ascii="Palatino Linotype" w:hAnsi="Palatino Linotype"/>
          <w:i/>
        </w:rPr>
        <w:t xml:space="preserve"> </w:t>
      </w:r>
    </w:p>
    <w:p w:rsidR="00554DF4" w:rsidRPr="00262B05" w:rsidRDefault="00554DF4" w:rsidP="00262B05">
      <w:pPr>
        <w:spacing w:before="120" w:after="120" w:line="360" w:lineRule="auto"/>
        <w:ind w:left="851" w:right="850"/>
        <w:jc w:val="both"/>
        <w:rPr>
          <w:rFonts w:ascii="Palatino Linotype" w:hAnsi="Palatino Linotype"/>
          <w:b/>
          <w:i/>
        </w:rPr>
      </w:pPr>
      <w:r w:rsidRPr="00262B05">
        <w:rPr>
          <w:rFonts w:ascii="Palatino Linotype" w:hAnsi="Palatino Linotype" w:cs="Arial"/>
          <w:b/>
          <w:bCs/>
          <w:i/>
          <w:color w:val="000000"/>
        </w:rPr>
        <w:t>…</w:t>
      </w:r>
    </w:p>
    <w:p w:rsidR="00554DF4" w:rsidRPr="00262B05" w:rsidRDefault="00554DF4" w:rsidP="00262B05">
      <w:pPr>
        <w:spacing w:before="120" w:after="120" w:line="360" w:lineRule="auto"/>
        <w:ind w:left="851" w:right="850"/>
        <w:jc w:val="both"/>
        <w:rPr>
          <w:rFonts w:ascii="Palatino Linotype" w:hAnsi="Palatino Linotype"/>
          <w:i/>
        </w:rPr>
      </w:pPr>
      <w:r w:rsidRPr="00262B05">
        <w:rPr>
          <w:rFonts w:ascii="Palatino Linotype" w:hAnsi="Palatino Linotype"/>
          <w:b/>
          <w:i/>
        </w:rPr>
        <w:t>Artículo 343.-</w:t>
      </w:r>
      <w:r w:rsidRPr="00262B05">
        <w:rPr>
          <w:rFonts w:ascii="Palatino Linotype" w:hAnsi="Palatino Linotype"/>
          <w:i/>
        </w:rPr>
        <w:t xml:space="preserve"> El </w:t>
      </w:r>
      <w:r w:rsidRPr="00262B05">
        <w:rPr>
          <w:rFonts w:ascii="Palatino Linotype" w:hAnsi="Palatino Linotype"/>
          <w:i/>
          <w:u w:val="single"/>
        </w:rPr>
        <w:t xml:space="preserve">sistema de contabilidad debe diseñarse sobre base acumulativa total y operarse en forma que facilite la fiscalización de los activos, pasivos, </w:t>
      </w:r>
      <w:r w:rsidRPr="00262B05">
        <w:rPr>
          <w:rFonts w:ascii="Palatino Linotype" w:hAnsi="Palatino Linotype"/>
          <w:i/>
          <w:u w:val="single"/>
        </w:rPr>
        <w:lastRenderedPageBreak/>
        <w:t xml:space="preserve">ingresos, egresos y, en general, </w:t>
      </w:r>
      <w:r w:rsidRPr="00262B05">
        <w:rPr>
          <w:rFonts w:ascii="Palatino Linotype" w:hAnsi="Palatino Linotype"/>
          <w:i/>
        </w:rPr>
        <w:t xml:space="preserve">que posibilite medir la eficacia del gasto público, y contener las medidas de control interno que permitan verificar el registro de la totalidad de las operaciones financieras. </w:t>
      </w:r>
    </w:p>
    <w:p w:rsidR="00554DF4" w:rsidRPr="00262B05" w:rsidRDefault="00554DF4" w:rsidP="00262B05">
      <w:pPr>
        <w:spacing w:before="120" w:after="120" w:line="360" w:lineRule="auto"/>
        <w:ind w:left="851" w:right="850"/>
        <w:jc w:val="both"/>
        <w:rPr>
          <w:rFonts w:ascii="Palatino Linotype" w:hAnsi="Palatino Linotype"/>
          <w:i/>
        </w:rPr>
      </w:pPr>
      <w:r w:rsidRPr="00262B05">
        <w:rPr>
          <w:rFonts w:ascii="Palatino Linotype" w:hAnsi="Palatino Linotype"/>
          <w:i/>
        </w:rPr>
        <w:t xml:space="preserve">El sistema de contabilidad sobre base acumulativa total se sustentará en los postulados básicos y el marco conceptual de la contabilidad gubernamental. </w:t>
      </w:r>
    </w:p>
    <w:p w:rsidR="00554DF4" w:rsidRPr="00262B05" w:rsidRDefault="00554DF4" w:rsidP="00262B05">
      <w:pPr>
        <w:spacing w:before="120" w:after="120" w:line="360" w:lineRule="auto"/>
        <w:ind w:left="851" w:right="850"/>
        <w:jc w:val="both"/>
        <w:rPr>
          <w:rFonts w:ascii="Palatino Linotype" w:hAnsi="Palatino Linotype"/>
          <w:i/>
        </w:rPr>
      </w:pPr>
      <w:r w:rsidRPr="00262B05">
        <w:rPr>
          <w:rFonts w:ascii="Palatino Linotype" w:hAnsi="Palatino Linotype"/>
          <w:b/>
          <w:i/>
          <w:u w:val="single"/>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262B05">
        <w:rPr>
          <w:rFonts w:ascii="Palatino Linotype" w:hAnsi="Palatino Linotype"/>
          <w:i/>
          <w:u w:val="single"/>
        </w:rPr>
        <w:t>en el caso de los Municipios se hará por la Tesorería</w:t>
      </w:r>
      <w:r w:rsidRPr="00262B05">
        <w:rPr>
          <w:rFonts w:ascii="Palatino Linotype" w:hAnsi="Palatino Linotype"/>
          <w:i/>
        </w:rPr>
        <w:t xml:space="preserve">. </w:t>
      </w:r>
    </w:p>
    <w:p w:rsidR="00554DF4" w:rsidRPr="00262B05" w:rsidRDefault="00554DF4" w:rsidP="00262B05">
      <w:pPr>
        <w:autoSpaceDE w:val="0"/>
        <w:autoSpaceDN w:val="0"/>
        <w:adjustRightInd w:val="0"/>
        <w:spacing w:before="120" w:after="120" w:line="360" w:lineRule="auto"/>
        <w:ind w:left="851" w:right="51"/>
        <w:jc w:val="both"/>
        <w:rPr>
          <w:rFonts w:ascii="Palatino Linotype" w:hAnsi="Palatino Linotype"/>
          <w:i/>
        </w:rPr>
      </w:pPr>
      <w:r w:rsidRPr="00262B05">
        <w:rPr>
          <w:rFonts w:ascii="Palatino Linotype" w:hAnsi="Palatino Linotype"/>
          <w:i/>
        </w:rPr>
        <w:t xml:space="preserve">Derogado. </w:t>
      </w:r>
    </w:p>
    <w:p w:rsidR="00554DF4" w:rsidRPr="00262B05" w:rsidRDefault="00554DF4" w:rsidP="00262B05">
      <w:pPr>
        <w:spacing w:before="120" w:after="120" w:line="360" w:lineRule="auto"/>
        <w:ind w:left="851" w:right="850"/>
        <w:jc w:val="both"/>
        <w:rPr>
          <w:rFonts w:ascii="Palatino Linotype" w:hAnsi="Palatino Linotype"/>
          <w:i/>
        </w:rPr>
      </w:pPr>
      <w:r w:rsidRPr="00262B05">
        <w:rPr>
          <w:rFonts w:ascii="Palatino Linotype" w:hAnsi="Palatino Linotype"/>
          <w:b/>
          <w:i/>
          <w:u w:val="single"/>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262B05">
        <w:rPr>
          <w:rFonts w:ascii="Palatino Linotype" w:hAnsi="Palatino Linotype"/>
          <w:i/>
        </w:rPr>
        <w:t xml:space="preserve"> a partir del ejercicio presupuestal siguiente al que corresponda, en el caso de los municipios se hará por la Tesorería. </w:t>
      </w:r>
    </w:p>
    <w:p w:rsidR="00554DF4" w:rsidRPr="00262B05" w:rsidRDefault="00554DF4" w:rsidP="00262B05">
      <w:pPr>
        <w:autoSpaceDE w:val="0"/>
        <w:autoSpaceDN w:val="0"/>
        <w:adjustRightInd w:val="0"/>
        <w:spacing w:before="120" w:after="120" w:line="360" w:lineRule="auto"/>
        <w:ind w:left="851" w:right="51"/>
        <w:jc w:val="both"/>
        <w:rPr>
          <w:rFonts w:ascii="Palatino Linotype" w:hAnsi="Palatino Linotype"/>
          <w:i/>
        </w:rPr>
      </w:pPr>
      <w:r w:rsidRPr="00262B05">
        <w:rPr>
          <w:rFonts w:ascii="Palatino Linotype" w:hAnsi="Palatino Linotype"/>
          <w:i/>
        </w:rPr>
        <w:t>…</w:t>
      </w:r>
    </w:p>
    <w:p w:rsidR="00554DF4" w:rsidRPr="00262B05" w:rsidRDefault="00554DF4" w:rsidP="00262B05">
      <w:pPr>
        <w:spacing w:before="120" w:after="120" w:line="360" w:lineRule="auto"/>
        <w:ind w:left="851" w:right="850"/>
        <w:jc w:val="both"/>
        <w:rPr>
          <w:rFonts w:ascii="Palatino Linotype" w:hAnsi="Palatino Linotype"/>
          <w:i/>
        </w:rPr>
      </w:pPr>
      <w:r w:rsidRPr="00262B05">
        <w:rPr>
          <w:rFonts w:ascii="Palatino Linotype" w:hAnsi="Palatino Linotype"/>
          <w:b/>
          <w:i/>
        </w:rPr>
        <w:t>Artículo 345.-</w:t>
      </w:r>
      <w:r w:rsidRPr="00262B05">
        <w:rPr>
          <w:rFonts w:ascii="Palatino Linotype" w:hAnsi="Palatino Linotype"/>
          <w:i/>
        </w:rPr>
        <w:t xml:space="preserve"> </w:t>
      </w:r>
      <w:r w:rsidRPr="00262B05">
        <w:rPr>
          <w:rFonts w:ascii="Palatino Linotype" w:hAnsi="Palatino Linotype"/>
          <w:b/>
          <w:i/>
          <w:u w:val="single"/>
        </w:rPr>
        <w:t xml:space="preserve">Las Dependencias, Entidades Públicas y unidades administrativas deberán conservar la documentación contable del año en curso y la de ejercicios anteriores cuyas cuentas públicas hayan sido </w:t>
      </w:r>
      <w:r w:rsidRPr="00262B05">
        <w:rPr>
          <w:rFonts w:ascii="Palatino Linotype" w:hAnsi="Palatino Linotype"/>
          <w:b/>
          <w:i/>
          <w:u w:val="single"/>
        </w:rPr>
        <w:lastRenderedPageBreak/>
        <w:t>revisadas y fiscalizadas por la Legislatura</w:t>
      </w:r>
      <w:r w:rsidRPr="00262B05">
        <w:rPr>
          <w:rFonts w:ascii="Palatino Linotype" w:hAnsi="Palatino Linotype"/>
          <w:i/>
        </w:rPr>
        <w:t xml:space="preserve">, la remitirán en un plazo que no excederá de seis meses al Archivo Contable Gubernamental. </w:t>
      </w:r>
      <w:r w:rsidRPr="00262B05">
        <w:rPr>
          <w:rFonts w:ascii="Palatino Linotype" w:hAnsi="Palatino Linotype"/>
          <w:b/>
          <w:i/>
          <w:u w:val="single"/>
        </w:rPr>
        <w:t>Tratándose de los comprobantes fiscales digitales, estos deberán estar agregados en forma electrónica en cada póliza de registro contable</w:t>
      </w:r>
      <w:r w:rsidRPr="00262B05">
        <w:rPr>
          <w:rFonts w:ascii="Palatino Linotype" w:hAnsi="Palatino Linotype"/>
          <w:i/>
        </w:rPr>
        <w:t xml:space="preserve">. </w:t>
      </w:r>
    </w:p>
    <w:p w:rsidR="00554DF4" w:rsidRPr="00262B05" w:rsidRDefault="00554DF4" w:rsidP="00262B05">
      <w:pPr>
        <w:spacing w:before="120" w:after="120" w:line="360" w:lineRule="auto"/>
        <w:ind w:left="851" w:right="850"/>
        <w:jc w:val="both"/>
        <w:rPr>
          <w:rFonts w:ascii="Palatino Linotype" w:hAnsi="Palatino Linotype" w:cs="Arial"/>
          <w:bCs/>
          <w:i/>
          <w:color w:val="000000"/>
        </w:rPr>
      </w:pPr>
      <w:r w:rsidRPr="00262B05">
        <w:rPr>
          <w:rFonts w:ascii="Palatino Linotype" w:hAnsi="Palatino Linotype"/>
          <w:i/>
        </w:rPr>
        <w:t>El plazo señalado en el párrafo anterior, empezará a contar a partir de la publicación en el Periódico Oficial, del decreto correspondiente.</w:t>
      </w:r>
      <w:r w:rsidRPr="00262B05">
        <w:rPr>
          <w:rFonts w:ascii="Palatino Linotype" w:hAnsi="Palatino Linotype" w:cs="Arial"/>
          <w:bCs/>
          <w:i/>
          <w:color w:val="000000"/>
        </w:rPr>
        <w:t xml:space="preserve"> “</w:t>
      </w:r>
      <w:r w:rsidRPr="00262B05">
        <w:rPr>
          <w:rFonts w:ascii="Palatino Linotype" w:hAnsi="Palatino Linotype" w:cs="Arial"/>
          <w:i/>
        </w:rPr>
        <w:t>(Sic)</w:t>
      </w:r>
      <w:r w:rsidRPr="00262B05">
        <w:rPr>
          <w:rFonts w:ascii="Palatino Linotype" w:hAnsi="Palatino Linotype" w:cs="Arial"/>
          <w:bCs/>
          <w:i/>
          <w:color w:val="000000"/>
        </w:rPr>
        <w:t xml:space="preserve"> </w:t>
      </w:r>
    </w:p>
    <w:p w:rsidR="00554DF4" w:rsidRPr="00262B05" w:rsidRDefault="00554DF4" w:rsidP="00262B05">
      <w:pPr>
        <w:spacing w:before="120" w:after="120" w:line="360" w:lineRule="auto"/>
        <w:ind w:left="851" w:right="850"/>
        <w:jc w:val="both"/>
        <w:rPr>
          <w:rFonts w:ascii="Palatino Linotype" w:hAnsi="Palatino Linotype" w:cs="Arial"/>
          <w:bCs/>
          <w:i/>
          <w:color w:val="000000"/>
        </w:rPr>
      </w:pPr>
      <w:r w:rsidRPr="00262B05">
        <w:rPr>
          <w:rFonts w:ascii="Palatino Linotype" w:hAnsi="Palatino Linotype" w:cs="Arial"/>
          <w:bCs/>
          <w:i/>
          <w:color w:val="000000"/>
        </w:rPr>
        <w:t>(Énfasis añadido)</w:t>
      </w: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bCs/>
          <w:color w:val="000000"/>
        </w:rPr>
      </w:pPr>
      <w:r w:rsidRPr="00262B05">
        <w:rPr>
          <w:rFonts w:ascii="Palatino Linotype" w:hAnsi="Palatino Linotype" w:cs="Arial"/>
        </w:rPr>
        <w:t>De una interpretación sistemática de los artículos transcritos, se desprende primeramente que el</w:t>
      </w:r>
      <w:r w:rsidRPr="00262B05">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w:t>
      </w:r>
      <w:proofErr w:type="spellStart"/>
      <w:r w:rsidRPr="00262B05">
        <w:rPr>
          <w:rFonts w:ascii="Palatino Linotype" w:hAnsi="Palatino Linotype" w:cs="Arial"/>
          <w:bCs/>
          <w:color w:val="000000"/>
        </w:rPr>
        <w:t>presupuestación</w:t>
      </w:r>
      <w:proofErr w:type="spellEnd"/>
      <w:r w:rsidRPr="00262B05">
        <w:rPr>
          <w:rFonts w:ascii="Palatino Linotype" w:hAnsi="Palatino Linotype" w:cs="Arial"/>
          <w:bCs/>
          <w:color w:val="000000"/>
        </w:rPr>
        <w:t>, evaluación y contabilidad gubernamental.</w:t>
      </w:r>
    </w:p>
    <w:p w:rsidR="00554DF4" w:rsidRPr="00262B05" w:rsidRDefault="00554DF4" w:rsidP="00262B05">
      <w:pPr>
        <w:pStyle w:val="Prrafodelista"/>
        <w:spacing w:before="240" w:after="240" w:line="360" w:lineRule="auto"/>
        <w:ind w:left="0"/>
        <w:jc w:val="both"/>
        <w:rPr>
          <w:rFonts w:ascii="Palatino Linotype" w:hAnsi="Palatino Linotype" w:cs="Arial"/>
          <w:bCs/>
          <w:color w:val="000000"/>
        </w:rPr>
      </w:pP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bCs/>
          <w:color w:val="000000"/>
        </w:rPr>
      </w:pPr>
      <w:r w:rsidRPr="00262B05">
        <w:rPr>
          <w:rFonts w:ascii="Palatino Linotype"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262B05">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w:t>
      </w:r>
      <w:proofErr w:type="spellStart"/>
      <w:r w:rsidRPr="00262B05">
        <w:rPr>
          <w:rFonts w:ascii="Palatino Linotype" w:hAnsi="Palatino Linotype" w:cs="Arial"/>
          <w:lang w:eastAsia="es-MX"/>
        </w:rPr>
        <w:t>Presupuestación</w:t>
      </w:r>
      <w:proofErr w:type="spellEnd"/>
      <w:r w:rsidRPr="00262B05">
        <w:rPr>
          <w:rFonts w:ascii="Palatino Linotype" w:hAnsi="Palatino Linotype" w:cs="Arial"/>
          <w:lang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554DF4" w:rsidRPr="00262B05" w:rsidRDefault="00554DF4" w:rsidP="00262B05">
      <w:pPr>
        <w:spacing w:before="120" w:after="120" w:line="360" w:lineRule="auto"/>
        <w:ind w:firstLine="708"/>
        <w:jc w:val="both"/>
        <w:rPr>
          <w:rFonts w:ascii="Palatino Linotype" w:hAnsi="Palatino Linotype" w:cs="Arial"/>
          <w:b/>
          <w:i/>
          <w:lang w:eastAsia="es-MX"/>
        </w:rPr>
      </w:pPr>
      <w:r w:rsidRPr="00262B05">
        <w:rPr>
          <w:rFonts w:ascii="Palatino Linotype" w:hAnsi="Palatino Linotype" w:cs="Arial"/>
          <w:b/>
          <w:i/>
          <w:lang w:eastAsia="es-MX"/>
        </w:rPr>
        <w:lastRenderedPageBreak/>
        <w:t xml:space="preserve">“REGISTRO CONTABLE </w:t>
      </w:r>
    </w:p>
    <w:p w:rsidR="00554DF4" w:rsidRPr="00262B05" w:rsidRDefault="00554DF4" w:rsidP="00262B05">
      <w:pPr>
        <w:spacing w:before="120" w:after="120" w:line="360" w:lineRule="auto"/>
        <w:ind w:left="851" w:right="899"/>
        <w:jc w:val="both"/>
        <w:rPr>
          <w:rFonts w:ascii="Palatino Linotype" w:hAnsi="Palatino Linotype" w:cs="Arial"/>
          <w:i/>
        </w:rPr>
      </w:pPr>
      <w:r w:rsidRPr="00262B05">
        <w:rPr>
          <w:rFonts w:ascii="Palatino Linotype" w:hAnsi="Palatino Linotype" w:cs="Arial"/>
          <w:i/>
          <w:lang w:eastAsia="es-MX"/>
        </w:rPr>
        <w:t xml:space="preserve">Asiento que se realiza en los libros de contabilidad de las actividades relacionadas con el ingreso y egresos de un ente económico.” </w:t>
      </w:r>
      <w:r w:rsidRPr="00262B05">
        <w:rPr>
          <w:rFonts w:ascii="Palatino Linotype" w:hAnsi="Palatino Linotype" w:cs="Arial"/>
          <w:i/>
        </w:rPr>
        <w:t>(Sic)</w:t>
      </w:r>
    </w:p>
    <w:p w:rsidR="00554DF4" w:rsidRPr="00262B05" w:rsidRDefault="00554DF4" w:rsidP="00262B05">
      <w:pPr>
        <w:spacing w:before="120" w:after="120" w:line="360" w:lineRule="auto"/>
        <w:ind w:left="851" w:right="899"/>
        <w:jc w:val="both"/>
        <w:rPr>
          <w:rFonts w:ascii="Palatino Linotype" w:hAnsi="Palatino Linotype" w:cs="Arial"/>
          <w:i/>
          <w:lang w:eastAsia="es-MX"/>
        </w:rPr>
      </w:pPr>
    </w:p>
    <w:p w:rsidR="00554DF4" w:rsidRPr="00262B05" w:rsidRDefault="00554DF4" w:rsidP="00262B05">
      <w:pPr>
        <w:spacing w:before="120" w:after="120" w:line="360" w:lineRule="auto"/>
        <w:ind w:right="899" w:firstLine="708"/>
        <w:jc w:val="both"/>
        <w:rPr>
          <w:rFonts w:ascii="Palatino Linotype" w:hAnsi="Palatino Linotype" w:cs="Arial"/>
          <w:b/>
          <w:i/>
          <w:lang w:eastAsia="es-MX"/>
        </w:rPr>
      </w:pPr>
      <w:r w:rsidRPr="00262B05">
        <w:rPr>
          <w:rFonts w:ascii="Palatino Linotype" w:hAnsi="Palatino Linotype" w:cs="Arial"/>
          <w:b/>
          <w:i/>
          <w:lang w:eastAsia="es-MX"/>
        </w:rPr>
        <w:t>“REGISTRO PRESUPUESTARIO</w:t>
      </w:r>
    </w:p>
    <w:p w:rsidR="00554DF4" w:rsidRPr="00262B05" w:rsidRDefault="00554DF4" w:rsidP="00262B05">
      <w:pPr>
        <w:spacing w:before="120" w:after="120" w:line="360" w:lineRule="auto"/>
        <w:ind w:left="708" w:right="899"/>
        <w:jc w:val="both"/>
        <w:rPr>
          <w:rFonts w:ascii="Palatino Linotype" w:hAnsi="Palatino Linotype" w:cs="Arial"/>
          <w:i/>
          <w:lang w:eastAsia="es-MX"/>
        </w:rPr>
      </w:pPr>
      <w:r w:rsidRPr="00262B05">
        <w:rPr>
          <w:rFonts w:ascii="Palatino Linotype" w:hAnsi="Palatino Linotype" w:cs="Arial"/>
          <w:i/>
          <w:lang w:eastAsia="es-MX"/>
        </w:rPr>
        <w:t xml:space="preserve">Asiento contable de las erogaciones realizadas por las dependencias y entidades con relación a la asignación, modificación y ejercicio de los recursos presupuestarios que se les hayan autorizado.” </w:t>
      </w:r>
      <w:r w:rsidRPr="00262B05">
        <w:rPr>
          <w:rFonts w:ascii="Palatino Linotype" w:hAnsi="Palatino Linotype" w:cs="Arial"/>
          <w:i/>
        </w:rPr>
        <w:t>(Sic)</w:t>
      </w: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bCs/>
          <w:color w:val="000000"/>
        </w:rPr>
      </w:pPr>
      <w:r w:rsidRPr="00262B05">
        <w:rPr>
          <w:rFonts w:ascii="Palatino Linotype" w:hAnsi="Palatino Linotype" w:cs="Arial"/>
          <w:bCs/>
          <w:color w:val="000000"/>
        </w:rPr>
        <w:t>Por otra parte, se establece que el sistema de contabilidad sobre base acumulativa total se sustentará en los principios de contabilidad gubernamental.</w:t>
      </w:r>
    </w:p>
    <w:p w:rsidR="00554DF4" w:rsidRPr="00262B05" w:rsidRDefault="00554DF4" w:rsidP="00262B05">
      <w:pPr>
        <w:pStyle w:val="Prrafodelista"/>
        <w:spacing w:before="240" w:after="240" w:line="360" w:lineRule="auto"/>
        <w:ind w:left="0"/>
        <w:jc w:val="both"/>
        <w:rPr>
          <w:rFonts w:ascii="Palatino Linotype" w:hAnsi="Palatino Linotype" w:cs="Arial"/>
          <w:bCs/>
          <w:color w:val="000000"/>
        </w:rPr>
      </w:pP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bCs/>
          <w:color w:val="000000"/>
        </w:rPr>
      </w:pPr>
      <w:r w:rsidRPr="00262B05">
        <w:rPr>
          <w:rFonts w:ascii="Palatino Linotype" w:hAnsi="Palatino Linotype" w:cs="Arial"/>
          <w:bCs/>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554DF4" w:rsidRPr="00262B05" w:rsidRDefault="00554DF4" w:rsidP="00262B05">
      <w:pPr>
        <w:pStyle w:val="Prrafodelista"/>
        <w:spacing w:line="360" w:lineRule="auto"/>
        <w:rPr>
          <w:rFonts w:ascii="Palatino Linotype" w:hAnsi="Palatino Linotype" w:cs="Arial"/>
          <w:bCs/>
          <w:color w:val="000000"/>
        </w:rPr>
      </w:pP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bCs/>
          <w:color w:val="000000"/>
        </w:rPr>
      </w:pPr>
      <w:r w:rsidRPr="00262B05">
        <w:rPr>
          <w:rFonts w:ascii="Palatino Linotype" w:hAnsi="Palatino Linotype" w:cs="Arial"/>
          <w:lang w:eastAsia="es-MX"/>
        </w:rPr>
        <w:t xml:space="preserve">Correlativo a lo anterior, es preciso referir una definición de </w:t>
      </w:r>
      <w:r w:rsidRPr="00262B05">
        <w:rPr>
          <w:rFonts w:ascii="Palatino Linotype" w:hAnsi="Palatino Linotype" w:cs="Arial"/>
          <w:i/>
          <w:lang w:eastAsia="es-MX"/>
        </w:rPr>
        <w:t>póliza contable</w:t>
      </w:r>
      <w:r w:rsidRPr="00262B05">
        <w:rPr>
          <w:rFonts w:ascii="Palatino Linotype" w:hAnsi="Palatino Linotype" w:cs="Arial"/>
          <w:lang w:eastAsia="es-MX"/>
        </w:rPr>
        <w:t xml:space="preserve">, la cual, primeramente, no está definida en el Código Financiero del Estado de México y Municipios; no obstante, los ya mencionados Glosarios la definen como: </w:t>
      </w:r>
    </w:p>
    <w:p w:rsidR="00554DF4" w:rsidRPr="00262B05" w:rsidRDefault="00554DF4" w:rsidP="00262B05">
      <w:pPr>
        <w:spacing w:before="120" w:after="120" w:line="360" w:lineRule="auto"/>
        <w:ind w:left="567" w:right="618"/>
        <w:jc w:val="both"/>
        <w:rPr>
          <w:rFonts w:ascii="Palatino Linotype" w:hAnsi="Palatino Linotype" w:cs="Arial"/>
          <w:b/>
          <w:i/>
          <w:lang w:eastAsia="es-MX"/>
        </w:rPr>
      </w:pPr>
      <w:r w:rsidRPr="00262B05">
        <w:rPr>
          <w:rFonts w:ascii="Palatino Linotype" w:hAnsi="Palatino Linotype" w:cs="Arial"/>
          <w:i/>
          <w:lang w:eastAsia="es-MX"/>
        </w:rPr>
        <w:t>“</w:t>
      </w:r>
      <w:r w:rsidRPr="00262B05">
        <w:rPr>
          <w:rFonts w:ascii="Palatino Linotype" w:hAnsi="Palatino Linotype" w:cs="Arial"/>
          <w:b/>
          <w:i/>
          <w:lang w:eastAsia="es-MX"/>
        </w:rPr>
        <w:t>PÓLIZA CONTABLE</w:t>
      </w:r>
    </w:p>
    <w:p w:rsidR="00554DF4" w:rsidRPr="00262B05" w:rsidRDefault="00554DF4" w:rsidP="00262B05">
      <w:pPr>
        <w:spacing w:before="120" w:after="120" w:line="360" w:lineRule="auto"/>
        <w:ind w:left="567" w:right="618"/>
        <w:jc w:val="both"/>
        <w:rPr>
          <w:rFonts w:ascii="Palatino Linotype" w:hAnsi="Palatino Linotype" w:cs="Arial"/>
          <w:i/>
          <w:lang w:eastAsia="es-MX"/>
        </w:rPr>
      </w:pPr>
      <w:r w:rsidRPr="00262B05">
        <w:rPr>
          <w:rFonts w:ascii="Palatino Linotype" w:hAnsi="Palatino Linotype" w:cs="Arial"/>
          <w:i/>
          <w:lang w:eastAsia="es-MX"/>
        </w:rPr>
        <w:t>Documento en el cual se asientan en forma individual todas y cada una de las operaciones desarrolladas por una institución, así como la información necesaria para la identificación de dichas operaciones.” (</w:t>
      </w:r>
      <w:proofErr w:type="gramStart"/>
      <w:r w:rsidRPr="00262B05">
        <w:rPr>
          <w:rFonts w:ascii="Palatino Linotype" w:hAnsi="Palatino Linotype" w:cs="Arial"/>
          <w:i/>
          <w:lang w:eastAsia="es-MX"/>
        </w:rPr>
        <w:t>sic</w:t>
      </w:r>
      <w:proofErr w:type="gramEnd"/>
      <w:r w:rsidRPr="00262B05">
        <w:rPr>
          <w:rFonts w:ascii="Palatino Linotype" w:hAnsi="Palatino Linotype" w:cs="Arial"/>
          <w:i/>
          <w:lang w:eastAsia="es-MX"/>
        </w:rPr>
        <w:t>)</w:t>
      </w: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lang w:eastAsia="es-MX"/>
        </w:rPr>
      </w:pPr>
      <w:r w:rsidRPr="00262B05">
        <w:rPr>
          <w:rFonts w:ascii="Palatino Linotype" w:hAnsi="Palatino Linotype" w:cs="Arial"/>
          <w:lang w:eastAsia="es-MX"/>
        </w:rPr>
        <w:lastRenderedPageBreak/>
        <w:t xml:space="preserve">Así, se advierte que la </w:t>
      </w:r>
      <w:r w:rsidRPr="00262B05">
        <w:rPr>
          <w:rFonts w:ascii="Palatino Linotype" w:hAnsi="Palatino Linotype" w:cs="Arial"/>
          <w:i/>
          <w:lang w:eastAsia="es-MX"/>
        </w:rPr>
        <w:t>póliza contable</w:t>
      </w:r>
      <w:r w:rsidRPr="00262B05">
        <w:rPr>
          <w:rFonts w:ascii="Palatino Linotype" w:hAnsi="Palatino Linotype" w:cs="Arial"/>
          <w:lang w:eastAsia="es-MX"/>
        </w:rPr>
        <w:t xml:space="preserve"> constituye un registro contable y presupuestal con el que cuentan los Municipios para el registro de sus operaciones relacionadas con sus ingresos y egresos </w:t>
      </w:r>
      <w:r w:rsidRPr="00262B05">
        <w:rPr>
          <w:rFonts w:ascii="Palatino Linotype" w:hAnsi="Palatino Linotype" w:cs="Arial"/>
          <w:b/>
          <w:lang w:eastAsia="es-MX"/>
        </w:rPr>
        <w:t>y se anexan los documentos o comprobantes que justifiquen las anotaciones y cantidades en ellas registradas</w:t>
      </w:r>
      <w:r w:rsidRPr="00262B05">
        <w:rPr>
          <w:rFonts w:ascii="Palatino Linotype" w:hAnsi="Palatino Linotype" w:cs="Arial"/>
          <w:lang w:eastAsia="es-MX"/>
        </w:rPr>
        <w:t>, lo que permite la identificación plena de dichas operaciones.</w:t>
      </w:r>
    </w:p>
    <w:p w:rsidR="00554DF4" w:rsidRPr="00262B05" w:rsidRDefault="00554DF4" w:rsidP="00262B05">
      <w:pPr>
        <w:pStyle w:val="Prrafodelista"/>
        <w:spacing w:before="240" w:after="240" w:line="360" w:lineRule="auto"/>
        <w:ind w:left="0"/>
        <w:jc w:val="both"/>
        <w:rPr>
          <w:rFonts w:ascii="Palatino Linotype" w:hAnsi="Palatino Linotype" w:cs="Arial"/>
          <w:lang w:eastAsia="es-MX"/>
        </w:rPr>
      </w:pP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lang w:eastAsia="es-MX"/>
        </w:rPr>
      </w:pPr>
      <w:r w:rsidRPr="00262B05">
        <w:rPr>
          <w:rFonts w:ascii="Palatino Linotype" w:hAnsi="Palatino Linotype" w:cs="Arial"/>
          <w:lang w:eastAsia="es-MX"/>
        </w:rPr>
        <w:t xml:space="preserve">En este sentido, existen diversos tipos de pólizas contables de acuerdo a las operaciones realizadas, dentro de las cuales, encontramos las llamadas </w:t>
      </w:r>
      <w:r w:rsidRPr="00262B05">
        <w:rPr>
          <w:rFonts w:ascii="Palatino Linotype" w:hAnsi="Palatino Linotype" w:cs="Arial"/>
          <w:i/>
          <w:lang w:eastAsia="es-MX"/>
        </w:rPr>
        <w:t>pólizas de egresos</w:t>
      </w:r>
      <w:r w:rsidRPr="00262B05">
        <w:rPr>
          <w:rFonts w:ascii="Palatino Linotype" w:hAnsi="Palatino Linotype" w:cs="Arial"/>
          <w:lang w:eastAsia="es-MX"/>
        </w:rPr>
        <w:t xml:space="preserve">, en las cuales se anotan diariamente las operaciones que representan egresos, es decir, salidas de dinero para </w:t>
      </w:r>
      <w:r w:rsidRPr="00262B05">
        <w:rPr>
          <w:rFonts w:ascii="Palatino Linotype" w:hAnsi="Palatino Linotype" w:cs="Arial"/>
          <w:b/>
          <w:lang w:eastAsia="es-MX"/>
        </w:rPr>
        <w:t>EL SUJETO OBLIGADO</w:t>
      </w:r>
      <w:r w:rsidRPr="00262B05">
        <w:rPr>
          <w:rFonts w:ascii="Palatino Linotype" w:hAnsi="Palatino Linotype" w:cs="Arial"/>
          <w:lang w:eastAsia="es-MX"/>
        </w:rPr>
        <w:t xml:space="preserve">, la cual además, debe encontrarse acompañada de las documentales que sirven de soporte de dicho movimiento. </w:t>
      </w:r>
    </w:p>
    <w:p w:rsidR="00554DF4" w:rsidRPr="00262B05" w:rsidRDefault="00554DF4" w:rsidP="00262B05">
      <w:pPr>
        <w:pStyle w:val="Prrafodelista"/>
        <w:spacing w:line="360" w:lineRule="auto"/>
        <w:rPr>
          <w:rFonts w:ascii="Palatino Linotype" w:hAnsi="Palatino Linotype" w:cs="Arial"/>
          <w:lang w:eastAsia="es-MX"/>
        </w:rPr>
      </w:pP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lang w:eastAsia="es-MX"/>
        </w:rPr>
      </w:pPr>
      <w:r w:rsidRPr="00262B05">
        <w:rPr>
          <w:rFonts w:ascii="Palatino Linotype" w:hAnsi="Palatino Linotype" w:cs="Arial"/>
          <w:bCs/>
          <w:color w:val="000000"/>
        </w:rPr>
        <w:t xml:space="preserve">En este sentido, los Lineamientos para la Integración del Informe Mensual </w:t>
      </w:r>
      <w:r w:rsidRPr="00262B05">
        <w:rPr>
          <w:rFonts w:ascii="Palatino Linotype" w:hAnsi="Palatino Linotype" w:cs="Arial"/>
        </w:rPr>
        <w:t xml:space="preserve">emitidos por el Órgano Superior de Fiscalización del Estado de México, contienen los formatos e información que debe ser proporcionada para la integración de los informes mensuales </w:t>
      </w:r>
      <w:r w:rsidRPr="00262B05">
        <w:rPr>
          <w:rFonts w:ascii="Palatino Linotype" w:hAnsi="Palatino Linotype" w:cs="Arial"/>
          <w:b/>
        </w:rPr>
        <w:t>en el Disco 5</w:t>
      </w:r>
      <w:r w:rsidRPr="00262B05">
        <w:rPr>
          <w:rFonts w:ascii="Palatino Linotype" w:hAnsi="Palatino Linotype" w:cs="Arial"/>
        </w:rPr>
        <w:t xml:space="preserve">, que se entregan a éste, siendo uno de ellos la información relativa a las </w:t>
      </w:r>
      <w:r w:rsidRPr="00262B05">
        <w:rPr>
          <w:rFonts w:ascii="Palatino Linotype" w:hAnsi="Palatino Linotype" w:cs="Arial"/>
          <w:i/>
        </w:rPr>
        <w:t xml:space="preserve">pólizas de ingresos, póliza de diario, póliza de egresos, póliza cheque y póliza de cuentas por pagar, </w:t>
      </w:r>
      <w:r w:rsidRPr="00262B05">
        <w:rPr>
          <w:rFonts w:ascii="Palatino Linotype" w:hAnsi="Palatino Linotype" w:cs="Arial"/>
        </w:rPr>
        <w:t xml:space="preserve">las cuales se encuentran contenidas dentro del Disco 5 “Imágenes Digitalizadas”, el cual guarda relación con el Disco 1 “Información Patrimonial (Contable y Administrativa) y para el Sistema Electrónico Auditor (Archivos </w:t>
      </w:r>
      <w:proofErr w:type="spellStart"/>
      <w:r w:rsidRPr="00262B05">
        <w:rPr>
          <w:rFonts w:ascii="Palatino Linotype" w:hAnsi="Palatino Linotype" w:cs="Arial"/>
        </w:rPr>
        <w:t>txt</w:t>
      </w:r>
      <w:proofErr w:type="spellEnd"/>
      <w:r w:rsidRPr="00262B05">
        <w:rPr>
          <w:rFonts w:ascii="Palatino Linotype" w:hAnsi="Palatino Linotype" w:cs="Arial"/>
        </w:rPr>
        <w:t>)”, d</w:t>
      </w:r>
      <w:r w:rsidRPr="00262B05">
        <w:rPr>
          <w:rFonts w:ascii="Palatino Linotype" w:hAnsi="Palatino Linotype" w:cs="Arial"/>
          <w:bCs/>
        </w:rPr>
        <w:t xml:space="preserve">e tal manera que, dichos formatos constituyen un soporte documental de que la información solicitada por el hoy </w:t>
      </w:r>
      <w:r w:rsidRPr="00262B05">
        <w:rPr>
          <w:rFonts w:ascii="Palatino Linotype" w:hAnsi="Palatino Linotype" w:cs="Arial"/>
          <w:b/>
          <w:bCs/>
        </w:rPr>
        <w:t>RECURRENTE</w:t>
      </w:r>
      <w:r w:rsidRPr="00262B05">
        <w:rPr>
          <w:rFonts w:ascii="Palatino Linotype" w:hAnsi="Palatino Linotype" w:cs="Arial"/>
          <w:bCs/>
        </w:rPr>
        <w:t xml:space="preserve"> obra en los archivos del </w:t>
      </w:r>
      <w:r w:rsidRPr="00262B05">
        <w:rPr>
          <w:rFonts w:ascii="Palatino Linotype" w:hAnsi="Palatino Linotype" w:cs="Arial"/>
          <w:b/>
          <w:bCs/>
        </w:rPr>
        <w:t>SUJETO OBLIGADO</w:t>
      </w:r>
      <w:r w:rsidRPr="00262B05">
        <w:rPr>
          <w:rFonts w:ascii="Palatino Linotype" w:hAnsi="Palatino Linotype" w:cs="Arial"/>
          <w:bCs/>
        </w:rPr>
        <w:t xml:space="preserve">, insertando a manera de referencia, el formato correspondiente de 2019: </w:t>
      </w:r>
    </w:p>
    <w:p w:rsidR="00554DF4" w:rsidRPr="00262B05" w:rsidRDefault="00554DF4" w:rsidP="00262B05">
      <w:pPr>
        <w:spacing w:before="240" w:after="240" w:line="360" w:lineRule="auto"/>
        <w:jc w:val="both"/>
        <w:rPr>
          <w:rFonts w:ascii="Palatino Linotype" w:hAnsi="Palatino Linotype" w:cs="Arial"/>
          <w:bCs/>
          <w:color w:val="000000"/>
        </w:rPr>
      </w:pPr>
      <w:r w:rsidRPr="00262B05">
        <w:rPr>
          <w:rFonts w:ascii="Palatino Linotype" w:hAnsi="Palatino Linotype"/>
          <w:noProof/>
          <w:lang w:val="es-MX" w:eastAsia="es-MX"/>
        </w:rPr>
        <w:lastRenderedPageBreak/>
        <w:drawing>
          <wp:inline distT="0" distB="0" distL="0" distR="0">
            <wp:extent cx="5438775" cy="2470150"/>
            <wp:effectExtent l="0" t="0" r="952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29929" t="41283" r="31044" b="27301"/>
                    <a:stretch>
                      <a:fillRect/>
                    </a:stretch>
                  </pic:blipFill>
                  <pic:spPr bwMode="auto">
                    <a:xfrm>
                      <a:off x="0" y="0"/>
                      <a:ext cx="5438775" cy="2470150"/>
                    </a:xfrm>
                    <a:prstGeom prst="rect">
                      <a:avLst/>
                    </a:prstGeom>
                    <a:noFill/>
                    <a:ln>
                      <a:noFill/>
                    </a:ln>
                  </pic:spPr>
                </pic:pic>
              </a:graphicData>
            </a:graphic>
          </wp:inline>
        </w:drawing>
      </w: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bCs/>
          <w:color w:val="000000"/>
        </w:rPr>
      </w:pPr>
      <w:r w:rsidRPr="00262B05">
        <w:rPr>
          <w:rFonts w:ascii="Palatino Linotype" w:hAnsi="Palatino Linotype" w:cs="Arial"/>
          <w:bCs/>
          <w:color w:val="000000"/>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rsidR="00554DF4" w:rsidRPr="00262B05" w:rsidRDefault="00554DF4" w:rsidP="00262B05">
      <w:pPr>
        <w:pStyle w:val="Prrafodelista"/>
        <w:spacing w:before="240" w:after="240" w:line="360" w:lineRule="auto"/>
        <w:ind w:left="0"/>
        <w:jc w:val="both"/>
        <w:rPr>
          <w:rFonts w:ascii="Palatino Linotype" w:hAnsi="Palatino Linotype" w:cs="Arial"/>
          <w:bCs/>
          <w:color w:val="000000"/>
        </w:rPr>
      </w:pP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bCs/>
          <w:color w:val="000000"/>
        </w:rPr>
      </w:pPr>
      <w:r w:rsidRPr="00262B05">
        <w:rPr>
          <w:rFonts w:ascii="Palatino Linotype" w:hAnsi="Palatino Linotype" w:cs="Arial"/>
          <w:bCs/>
          <w:color w:val="000000"/>
        </w:rPr>
        <w:t xml:space="preserve">Es de señalar que la información que es entregada al </w:t>
      </w:r>
      <w:r w:rsidRPr="00262B05">
        <w:rPr>
          <w:rFonts w:ascii="Palatino Linotype" w:hAnsi="Palatino Linotype" w:cs="Arial"/>
        </w:rPr>
        <w:t>Órgano Superior de Fiscalización del Estado de México,</w:t>
      </w:r>
      <w:r w:rsidRPr="00262B05">
        <w:rPr>
          <w:rFonts w:ascii="Palatino Linotype" w:hAnsi="Palatino Linotype" w:cs="Arial"/>
          <w:bCs/>
          <w:color w:val="000000"/>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correspondientes.</w:t>
      </w:r>
    </w:p>
    <w:p w:rsidR="00554DF4" w:rsidRPr="00262B05" w:rsidRDefault="00554DF4" w:rsidP="00262B05">
      <w:pPr>
        <w:pStyle w:val="Prrafodelista"/>
        <w:spacing w:line="360" w:lineRule="auto"/>
        <w:rPr>
          <w:rFonts w:ascii="Palatino Linotype" w:hAnsi="Palatino Linotype" w:cs="Arial"/>
          <w:bCs/>
          <w:color w:val="000000"/>
        </w:rPr>
      </w:pP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bCs/>
          <w:color w:val="000000"/>
        </w:rPr>
      </w:pPr>
      <w:r w:rsidRPr="00262B05">
        <w:rPr>
          <w:rFonts w:ascii="Palatino Linotype" w:hAnsi="Palatino Linotype" w:cs="Arial"/>
          <w:bCs/>
          <w:color w:val="000000"/>
        </w:rPr>
        <w:t xml:space="preserve">Cabe destacar, que el ordenamiento legal en cita refiere que todo registro contable y presupuestal </w:t>
      </w:r>
      <w:r w:rsidRPr="00262B05">
        <w:rPr>
          <w:rFonts w:ascii="Palatino Linotype" w:hAnsi="Palatino Linotype" w:cs="Arial"/>
          <w:b/>
          <w:bCs/>
          <w:color w:val="000000"/>
        </w:rPr>
        <w:t>deberá estar soportado con los documentos comprobatorios originales</w:t>
      </w:r>
      <w:r w:rsidRPr="00262B05">
        <w:rPr>
          <w:rFonts w:ascii="Palatino Linotype" w:hAnsi="Palatino Linotype" w:cs="Arial"/>
          <w:bCs/>
          <w:color w:val="000000"/>
        </w:rPr>
        <w:t xml:space="preserve">, como lo son las facturas solicitadas, los que deberán permanecer en custodia y </w:t>
      </w:r>
      <w:r w:rsidRPr="00262B05">
        <w:rPr>
          <w:rFonts w:ascii="Palatino Linotype" w:hAnsi="Palatino Linotype" w:cs="Arial"/>
          <w:bCs/>
          <w:color w:val="000000"/>
        </w:rPr>
        <w:lastRenderedPageBreak/>
        <w:t>conservación de la Unidad administrativa correspondiente y a disposición del Órgano Superior de Fiscalización del Estado de México; por un término de cinco años contados a partir del ejercicio presupuestal siguiente al que corresponda.</w:t>
      </w:r>
    </w:p>
    <w:p w:rsidR="00554DF4" w:rsidRPr="00262B05" w:rsidRDefault="00554DF4" w:rsidP="00262B05">
      <w:pPr>
        <w:pStyle w:val="Prrafodelista"/>
        <w:spacing w:line="360" w:lineRule="auto"/>
        <w:rPr>
          <w:rFonts w:ascii="Palatino Linotype" w:hAnsi="Palatino Linotype" w:cs="Arial"/>
          <w:bCs/>
          <w:color w:val="000000"/>
        </w:rPr>
      </w:pP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bCs/>
          <w:color w:val="000000"/>
        </w:rPr>
      </w:pPr>
      <w:r w:rsidRPr="00262B05">
        <w:rPr>
          <w:rFonts w:ascii="Palatino Linotype" w:hAnsi="Palatino Linotype" w:cs="Arial"/>
        </w:rPr>
        <w:t>Por otro lado, los Lineamientos de Control Financiero y Administrativo para las Entidades Fiscalizables Municipales del Estado de México, en sus numerales 4 y 11 fracción IV, establecen en su literalidad:</w:t>
      </w:r>
    </w:p>
    <w:p w:rsidR="00554DF4" w:rsidRPr="00262B05" w:rsidRDefault="00554DF4" w:rsidP="00262B05">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262B05">
        <w:rPr>
          <w:rFonts w:ascii="Palatino Linotype" w:hAnsi="Palatino Linotype" w:cs="Arial"/>
          <w:i/>
        </w:rPr>
        <w:t>“</w:t>
      </w:r>
      <w:r w:rsidRPr="00262B05">
        <w:rPr>
          <w:rFonts w:ascii="Palatino Linotype" w:hAnsi="Palatino Linotype" w:cs="Arial"/>
          <w:b/>
          <w:i/>
        </w:rPr>
        <w:t>CUARTO</w:t>
      </w:r>
      <w:r w:rsidRPr="00262B05">
        <w:rPr>
          <w:rFonts w:ascii="Palatino Linotype" w:hAnsi="Palatino Linotype" w:cs="Arial"/>
          <w:i/>
        </w:rPr>
        <w:t>: Son sujetos de los presentes Lineamientos:</w:t>
      </w:r>
    </w:p>
    <w:p w:rsidR="00554DF4" w:rsidRPr="00262B05" w:rsidRDefault="00554DF4" w:rsidP="00262B05">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262B05">
        <w:rPr>
          <w:rFonts w:ascii="Palatino Linotype" w:hAnsi="Palatino Linotype" w:cs="Arial"/>
          <w:i/>
        </w:rPr>
        <w:t>I. En los Municipios:</w:t>
      </w:r>
    </w:p>
    <w:p w:rsidR="00554DF4" w:rsidRPr="00262B05" w:rsidRDefault="00554DF4" w:rsidP="00262B05">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262B05">
        <w:rPr>
          <w:rFonts w:ascii="Palatino Linotype" w:hAnsi="Palatino Linotype" w:cs="Arial"/>
          <w:i/>
        </w:rPr>
        <w:t>a) Presidente;</w:t>
      </w:r>
    </w:p>
    <w:p w:rsidR="00554DF4" w:rsidRPr="00262B05" w:rsidRDefault="00554DF4" w:rsidP="00262B05">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262B05">
        <w:rPr>
          <w:rFonts w:ascii="Palatino Linotype" w:hAnsi="Palatino Linotype" w:cs="Arial"/>
          <w:i/>
        </w:rPr>
        <w:t>b) Síndico (s);</w:t>
      </w:r>
    </w:p>
    <w:p w:rsidR="00554DF4" w:rsidRPr="00262B05" w:rsidRDefault="00554DF4" w:rsidP="00262B05">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262B05">
        <w:rPr>
          <w:rFonts w:ascii="Palatino Linotype" w:hAnsi="Palatino Linotype" w:cs="Arial"/>
          <w:i/>
        </w:rPr>
        <w:t>c) Regidores;</w:t>
      </w:r>
    </w:p>
    <w:p w:rsidR="00554DF4" w:rsidRPr="00262B05" w:rsidRDefault="00554DF4" w:rsidP="00262B05">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262B05">
        <w:rPr>
          <w:rFonts w:ascii="Palatino Linotype" w:hAnsi="Palatino Linotype" w:cs="Arial"/>
          <w:i/>
        </w:rPr>
        <w:t>d) Secretario del ayuntamiento;</w:t>
      </w:r>
    </w:p>
    <w:p w:rsidR="00554DF4" w:rsidRPr="00262B05" w:rsidRDefault="00554DF4" w:rsidP="00262B05">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262B05">
        <w:rPr>
          <w:rFonts w:ascii="Palatino Linotype" w:hAnsi="Palatino Linotype" w:cs="Arial"/>
          <w:i/>
        </w:rPr>
        <w:t xml:space="preserve">e) </w:t>
      </w:r>
      <w:r w:rsidRPr="00262B05">
        <w:rPr>
          <w:rFonts w:ascii="Palatino Linotype" w:hAnsi="Palatino Linotype" w:cs="Arial"/>
          <w:b/>
          <w:i/>
          <w:u w:val="single"/>
        </w:rPr>
        <w:t>Tesorero o equivalente</w:t>
      </w:r>
      <w:r w:rsidRPr="00262B05">
        <w:rPr>
          <w:rFonts w:ascii="Palatino Linotype" w:hAnsi="Palatino Linotype" w:cs="Arial"/>
          <w:i/>
        </w:rPr>
        <w:t>;</w:t>
      </w:r>
    </w:p>
    <w:p w:rsidR="00554DF4" w:rsidRPr="00262B05" w:rsidRDefault="00554DF4" w:rsidP="00262B05">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262B05">
        <w:rPr>
          <w:rFonts w:ascii="Palatino Linotype" w:hAnsi="Palatino Linotype" w:cs="Arial"/>
          <w:i/>
        </w:rPr>
        <w:t>f) Director de administración o su equivalente;</w:t>
      </w:r>
    </w:p>
    <w:p w:rsidR="00554DF4" w:rsidRPr="00262B05" w:rsidRDefault="00554DF4" w:rsidP="00262B05">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262B05">
        <w:rPr>
          <w:rFonts w:ascii="Palatino Linotype" w:hAnsi="Palatino Linotype" w:cs="Arial"/>
          <w:i/>
        </w:rPr>
        <w:t>g) Director de obras públicas; y</w:t>
      </w:r>
    </w:p>
    <w:p w:rsidR="00554DF4" w:rsidRPr="00262B05" w:rsidRDefault="00554DF4" w:rsidP="00262B05">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262B05">
        <w:rPr>
          <w:rFonts w:ascii="Palatino Linotype" w:hAnsi="Palatino Linotype" w:cs="Arial"/>
          <w:i/>
        </w:rPr>
        <w:t>h) Titular del órgano de control interno.</w:t>
      </w:r>
    </w:p>
    <w:p w:rsidR="00554DF4" w:rsidRPr="00262B05" w:rsidRDefault="00554DF4" w:rsidP="00262B05">
      <w:pPr>
        <w:widowControl w:val="0"/>
        <w:tabs>
          <w:tab w:val="left" w:pos="8222"/>
        </w:tabs>
        <w:autoSpaceDE w:val="0"/>
        <w:autoSpaceDN w:val="0"/>
        <w:adjustRightInd w:val="0"/>
        <w:spacing w:before="120" w:after="120" w:line="360" w:lineRule="auto"/>
        <w:ind w:left="851" w:right="899"/>
        <w:jc w:val="both"/>
        <w:rPr>
          <w:rFonts w:ascii="Palatino Linotype" w:hAnsi="Palatino Linotype"/>
          <w:i/>
        </w:rPr>
      </w:pPr>
      <w:r w:rsidRPr="00262B05">
        <w:rPr>
          <w:rFonts w:ascii="Palatino Linotype" w:hAnsi="Palatino Linotype"/>
          <w:b/>
          <w:i/>
        </w:rPr>
        <w:t>DÉCIMO PRIMERO</w:t>
      </w:r>
      <w:r w:rsidRPr="00262B05">
        <w:rPr>
          <w:rFonts w:ascii="Palatino Linotype" w:hAnsi="Palatino Linotype"/>
          <w:i/>
        </w:rPr>
        <w:t>: Los servidores públicos municipales, tendrán en el ámbito de su competencia, respecto de los presentes Lineamientos, las obligaciones siguientes:</w:t>
      </w:r>
    </w:p>
    <w:p w:rsidR="00554DF4" w:rsidRPr="00262B05" w:rsidRDefault="00554DF4" w:rsidP="00262B05">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262B05">
        <w:rPr>
          <w:rFonts w:ascii="Palatino Linotype" w:hAnsi="Palatino Linotype"/>
          <w:i/>
        </w:rPr>
        <w:t xml:space="preserve">IV. El tesorero deberá verificar que todas las pólizas de registro contable y presupuestal, se encuentren firmadas por quién las elaboró, revisó y autorizó, las </w:t>
      </w:r>
      <w:r w:rsidRPr="00262B05">
        <w:rPr>
          <w:rFonts w:ascii="Palatino Linotype" w:hAnsi="Palatino Linotype"/>
          <w:i/>
        </w:rPr>
        <w:lastRenderedPageBreak/>
        <w:t xml:space="preserve">cuales deberán estar soportadas con la documentación original, justificativa, comprobatoria, suficiente, competente, pertinente y relevante, las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r w:rsidRPr="00262B05">
        <w:rPr>
          <w:rFonts w:ascii="Palatino Linotype" w:hAnsi="Palatino Linotype" w:cs="Arial"/>
          <w:i/>
        </w:rPr>
        <w:t>(Sic)</w:t>
      </w:r>
    </w:p>
    <w:p w:rsidR="00554DF4" w:rsidRPr="00262B05" w:rsidRDefault="00554DF4" w:rsidP="00262B05">
      <w:pPr>
        <w:pStyle w:val="Prrafodelista"/>
        <w:numPr>
          <w:ilvl w:val="0"/>
          <w:numId w:val="1"/>
        </w:numPr>
        <w:spacing w:line="360" w:lineRule="auto"/>
        <w:ind w:left="0" w:firstLine="0"/>
        <w:jc w:val="both"/>
        <w:rPr>
          <w:rFonts w:ascii="Palatino Linotype" w:hAnsi="Palatino Linotype"/>
          <w:lang w:val="es-MX" w:eastAsia="en-US"/>
        </w:rPr>
      </w:pPr>
      <w:r w:rsidRPr="00262B05">
        <w:rPr>
          <w:rFonts w:ascii="Palatino Linotype" w:hAnsi="Palatino Linotype" w:cs="Arial"/>
        </w:rPr>
        <w:t>De lo anterior se advierte que es responsabilidad del Tesorero Municipal verificar que todas las pólizas de registro contable y presupuestal, se encuentren firmadas por quien las elaboró. En ese sentido, se aprecia que los comprobantes de las erogaciones que realice el Ayuntamiento deben estar acompañadas en el disco 5.</w:t>
      </w:r>
    </w:p>
    <w:p w:rsidR="00262B05" w:rsidRPr="00262B05" w:rsidRDefault="00262B05" w:rsidP="00262B05">
      <w:pPr>
        <w:pStyle w:val="Prrafodelista"/>
        <w:spacing w:line="360" w:lineRule="auto"/>
        <w:ind w:left="0"/>
        <w:jc w:val="both"/>
        <w:rPr>
          <w:rFonts w:ascii="Palatino Linotype" w:hAnsi="Palatino Linotype"/>
          <w:lang w:val="es-MX" w:eastAsia="en-US"/>
        </w:rPr>
      </w:pPr>
    </w:p>
    <w:p w:rsidR="00554DF4" w:rsidRPr="00262B05" w:rsidRDefault="00554DF4" w:rsidP="00262B05">
      <w:pPr>
        <w:pStyle w:val="Prrafodelista"/>
        <w:numPr>
          <w:ilvl w:val="0"/>
          <w:numId w:val="1"/>
        </w:numPr>
        <w:spacing w:line="360" w:lineRule="auto"/>
        <w:ind w:left="0" w:firstLine="0"/>
        <w:jc w:val="both"/>
        <w:rPr>
          <w:rFonts w:ascii="Palatino Linotype" w:hAnsi="Palatino Linotype"/>
          <w:lang w:val="es-MX" w:eastAsia="en-US"/>
        </w:rPr>
      </w:pPr>
      <w:r w:rsidRPr="00262B05">
        <w:rPr>
          <w:rFonts w:ascii="Palatino Linotype" w:hAnsi="Palatino Linotype" w:cs="Arial"/>
        </w:rPr>
        <w:t>En conclusión, de determina que la información solicitada por el recurrente debió ser digitalizada previamente para ser remitida al OSFEM, por lo que encuadra perfectamente en la excepción al cobro de la información, aunado a que la modalidad de entrega fue vía SAIMEX. Por lo anterior, se desestima el supuesto cobro de la información y se ordena su entrega.</w:t>
      </w:r>
    </w:p>
    <w:p w:rsidR="00554DF4" w:rsidRPr="00262B05" w:rsidRDefault="00554DF4" w:rsidP="00262B05">
      <w:pPr>
        <w:spacing w:line="360" w:lineRule="auto"/>
        <w:rPr>
          <w:rFonts w:ascii="Palatino Linotype" w:hAnsi="Palatino Linotype"/>
          <w:lang w:val="es-MX" w:eastAsia="en-US"/>
        </w:rPr>
      </w:pPr>
    </w:p>
    <w:p w:rsidR="00554DF4" w:rsidRPr="00262B05" w:rsidRDefault="00554DF4" w:rsidP="00262B05">
      <w:pPr>
        <w:pStyle w:val="Ttulo2"/>
        <w:numPr>
          <w:ilvl w:val="0"/>
          <w:numId w:val="4"/>
        </w:numPr>
        <w:spacing w:line="360" w:lineRule="auto"/>
        <w:rPr>
          <w:rFonts w:ascii="Palatino Linotype" w:eastAsiaTheme="minorEastAsia" w:hAnsi="Palatino Linotype"/>
          <w:b/>
          <w:color w:val="auto"/>
          <w:sz w:val="24"/>
          <w:szCs w:val="24"/>
        </w:rPr>
      </w:pPr>
      <w:bookmarkStart w:id="23" w:name="_Toc15486833"/>
      <w:bookmarkStart w:id="24" w:name="_Toc24476667"/>
      <w:r w:rsidRPr="00262B05">
        <w:rPr>
          <w:rFonts w:ascii="Palatino Linotype" w:hAnsi="Palatino Linotype"/>
          <w:b/>
          <w:color w:val="auto"/>
          <w:sz w:val="24"/>
          <w:szCs w:val="24"/>
        </w:rPr>
        <w:t>Modalidad de Entrega</w:t>
      </w:r>
      <w:bookmarkEnd w:id="23"/>
      <w:bookmarkEnd w:id="24"/>
    </w:p>
    <w:p w:rsidR="00554DF4" w:rsidRPr="00262B05" w:rsidRDefault="00554DF4" w:rsidP="00262B0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62B05">
        <w:rPr>
          <w:rFonts w:ascii="Palatino Linotype" w:hAnsi="Palatino Linotype"/>
          <w:lang w:val="es-ES"/>
        </w:rPr>
        <w:t>Ahora bien, es importante mencionar que el particular al momento de formular su solicitud de información, manifestó que requiere la información a través del SAIMEX, sin embargo, derivado del cúmulo de información que debe proporcionar el Sujeto Obligado, la cual, a su dicho consta de 33, 654 resultando que dicha cantidad supera las capacidades del Sistema de Acceso a la Información Mexiquense (SAIMEX).</w:t>
      </w:r>
    </w:p>
    <w:p w:rsidR="00554DF4" w:rsidRPr="00262B05" w:rsidRDefault="00554DF4" w:rsidP="00262B05">
      <w:pPr>
        <w:pStyle w:val="Prrafodelista"/>
        <w:tabs>
          <w:tab w:val="left" w:pos="851"/>
        </w:tabs>
        <w:spacing w:before="240" w:after="240" w:line="360" w:lineRule="auto"/>
        <w:ind w:left="0" w:right="49"/>
        <w:jc w:val="both"/>
        <w:rPr>
          <w:rFonts w:ascii="Palatino Linotype" w:hAnsi="Palatino Linotype"/>
          <w:lang w:val="es-ES"/>
        </w:rPr>
      </w:pPr>
    </w:p>
    <w:p w:rsidR="00554DF4" w:rsidRPr="00262B05" w:rsidRDefault="00554DF4" w:rsidP="00262B0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62B05">
        <w:rPr>
          <w:rFonts w:ascii="Palatino Linotype" w:hAnsi="Palatino Linotype"/>
          <w:lang w:val="es-ES"/>
        </w:rPr>
        <w:t xml:space="preserve">Por tal razón, este Órgano Garante no pasa desapercibido el contenido del artículo 164 de la Ley de Transparencia y Acceso a la Información Pública del Estado de México y Municipios que dispone que </w:t>
      </w:r>
      <w:r w:rsidRPr="00262B05">
        <w:rPr>
          <w:rFonts w:ascii="Palatino Linotype" w:hAnsi="Palatino Linotype"/>
          <w:b/>
          <w:lang w:val="es-ES"/>
        </w:rPr>
        <w:t>en los casos en que la información no pueda ser puesta a disposición del particular en la modalidad elegida, se deberá fundamentar y motivar el cambio.</w:t>
      </w:r>
      <w:r w:rsidRPr="00262B05">
        <w:rPr>
          <w:rFonts w:ascii="Palatino Linotype" w:hAnsi="Palatino Linotype"/>
          <w:lang w:val="es-ES"/>
        </w:rPr>
        <w:t xml:space="preserve"> </w:t>
      </w:r>
    </w:p>
    <w:p w:rsidR="00554DF4" w:rsidRPr="00262B05" w:rsidRDefault="00554DF4" w:rsidP="00262B05">
      <w:pPr>
        <w:pStyle w:val="Prrafodelista"/>
        <w:spacing w:line="360" w:lineRule="auto"/>
        <w:rPr>
          <w:rFonts w:ascii="Palatino Linotype" w:hAnsi="Palatino Linotype"/>
          <w:lang w:val="es-ES"/>
        </w:rPr>
      </w:pPr>
    </w:p>
    <w:p w:rsidR="00554DF4" w:rsidRPr="00262B05" w:rsidRDefault="00554DF4" w:rsidP="00262B0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62B05">
        <w:rPr>
          <w:rFonts w:ascii="Palatino Linotype" w:hAnsi="Palatino Linotype"/>
          <w:lang w:val="es-ES"/>
        </w:rPr>
        <w:t xml:space="preserve">Esta Ponencia </w:t>
      </w:r>
      <w:proofErr w:type="spellStart"/>
      <w:r w:rsidRPr="00262B05">
        <w:rPr>
          <w:rFonts w:ascii="Palatino Linotype" w:hAnsi="Palatino Linotype"/>
          <w:lang w:val="es-ES"/>
        </w:rPr>
        <w:t>resolutora</w:t>
      </w:r>
      <w:proofErr w:type="spellEnd"/>
      <w:r w:rsidRPr="00262B05">
        <w:rPr>
          <w:rFonts w:ascii="Palatino Linotype" w:hAnsi="Palatino Linotype"/>
          <w:lang w:val="es-ES"/>
        </w:rPr>
        <w:t>, solicitó al área de soporte técnico que manifestara si el Sujeto Obligado solicitó el cambio de modalidad, toda vez que en respuesta manifestó la cantidad de fojas que suman el cúmulo de información solicitada. Soporte técnico remitió la siguiente información:</w:t>
      </w:r>
    </w:p>
    <w:p w:rsidR="00554DF4" w:rsidRPr="00262B05" w:rsidRDefault="00554DF4" w:rsidP="00262B05">
      <w:pPr>
        <w:pStyle w:val="Prrafodelista"/>
        <w:spacing w:line="360" w:lineRule="auto"/>
        <w:rPr>
          <w:rFonts w:ascii="Palatino Linotype" w:hAnsi="Palatino Linotype"/>
          <w:lang w:val="es-ES"/>
        </w:rPr>
      </w:pPr>
    </w:p>
    <w:p w:rsidR="00554DF4" w:rsidRPr="00262B05" w:rsidRDefault="00554DF4" w:rsidP="00262B05">
      <w:pPr>
        <w:pStyle w:val="Prrafodelista"/>
        <w:tabs>
          <w:tab w:val="left" w:pos="851"/>
        </w:tabs>
        <w:spacing w:before="240" w:after="240" w:line="360" w:lineRule="auto"/>
        <w:ind w:left="0" w:right="49"/>
        <w:jc w:val="both"/>
        <w:rPr>
          <w:rFonts w:ascii="Palatino Linotype" w:hAnsi="Palatino Linotype"/>
          <w:lang w:val="es-ES"/>
        </w:rPr>
      </w:pPr>
      <w:r w:rsidRPr="00262B05">
        <w:rPr>
          <w:rFonts w:ascii="Palatino Linotype" w:hAnsi="Palatino Linotype"/>
          <w:noProof/>
          <w:lang w:val="es-MX" w:eastAsia="es-MX"/>
        </w:rPr>
        <w:drawing>
          <wp:inline distT="0" distB="0" distL="0" distR="0">
            <wp:extent cx="5462905" cy="1199515"/>
            <wp:effectExtent l="0" t="0" r="444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a:extLst>
                        <a:ext uri="{28A0092B-C50C-407E-A947-70E740481C1C}">
                          <a14:useLocalDpi xmlns:a14="http://schemas.microsoft.com/office/drawing/2010/main" val="0"/>
                        </a:ext>
                      </a:extLst>
                    </a:blip>
                    <a:srcRect l="15106" t="36472" r="4546" b="32115"/>
                    <a:stretch>
                      <a:fillRect/>
                    </a:stretch>
                  </pic:blipFill>
                  <pic:spPr bwMode="auto">
                    <a:xfrm>
                      <a:off x="0" y="0"/>
                      <a:ext cx="5462905" cy="1199515"/>
                    </a:xfrm>
                    <a:prstGeom prst="rect">
                      <a:avLst/>
                    </a:prstGeom>
                    <a:noFill/>
                    <a:ln>
                      <a:noFill/>
                    </a:ln>
                  </pic:spPr>
                </pic:pic>
              </a:graphicData>
            </a:graphic>
          </wp:inline>
        </w:drawing>
      </w:r>
    </w:p>
    <w:p w:rsidR="00554DF4" w:rsidRPr="00262B05" w:rsidRDefault="00554DF4" w:rsidP="00262B05">
      <w:pPr>
        <w:pStyle w:val="Prrafodelista"/>
        <w:spacing w:line="360" w:lineRule="auto"/>
        <w:rPr>
          <w:rFonts w:ascii="Palatino Linotype" w:hAnsi="Palatino Linotype"/>
          <w:lang w:val="es-ES"/>
        </w:rPr>
      </w:pPr>
    </w:p>
    <w:p w:rsidR="00554DF4" w:rsidRPr="00262B05" w:rsidRDefault="00554DF4" w:rsidP="00262B0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62B05">
        <w:rPr>
          <w:rFonts w:ascii="Palatino Linotype" w:hAnsi="Palatino Linotype"/>
          <w:lang w:val="es-ES"/>
        </w:rPr>
        <w:t>Es así que, no existe reporte de incidencias por parte del Sujeto Obligado, en el cual se exponga la necesidad de realizar un cambio de modalidad de entrega de la información para satisfacer el derecho accionado por el recurrente.</w:t>
      </w:r>
    </w:p>
    <w:p w:rsidR="00554DF4" w:rsidRPr="00262B05" w:rsidRDefault="00554DF4" w:rsidP="00262B05">
      <w:pPr>
        <w:pStyle w:val="Prrafodelista"/>
        <w:tabs>
          <w:tab w:val="left" w:pos="851"/>
        </w:tabs>
        <w:spacing w:before="240" w:after="240" w:line="360" w:lineRule="auto"/>
        <w:ind w:left="0" w:right="49"/>
        <w:jc w:val="both"/>
        <w:rPr>
          <w:rFonts w:ascii="Palatino Linotype" w:hAnsi="Palatino Linotype"/>
          <w:lang w:val="es-ES"/>
        </w:rPr>
      </w:pPr>
    </w:p>
    <w:p w:rsidR="00554DF4" w:rsidRPr="00262B05" w:rsidRDefault="00554DF4" w:rsidP="00262B0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62B05">
        <w:rPr>
          <w:rFonts w:ascii="Palatino Linotype" w:hAnsi="Palatino Linotype"/>
          <w:lang w:val="es-ES"/>
        </w:rPr>
        <w:t xml:space="preserve">En estricto sentido, el Sujeto Obligado en ejercicio de sus funciones, atribuciones y competencias, debió informar imposibilidad a la parte recurrente, al mismo tiempo de que señala una nueva modalidad para proporcionar la información, a efecto de no vulnerar el derecho accionado; situación que no ocurrió. Por tal omisión, y en aras de </w:t>
      </w:r>
      <w:r w:rsidRPr="00262B05">
        <w:rPr>
          <w:rFonts w:ascii="Palatino Linotype" w:hAnsi="Palatino Linotype"/>
          <w:lang w:val="es-ES"/>
        </w:rPr>
        <w:lastRenderedPageBreak/>
        <w:t>garantizar plenamente del ejercicio del derecho de acceso a la información del recurrente, lo idóneo es realizar un cambio de modalidad de entrega, siendo la opción más viable, “in situ”, para tal efecto, el Sujeto Obligado deberá indicar al recurrente el lugar, día y hora, así como el nombre del personal que le permita el acceso a la información solicitada; siendo importante referir que el tiempo y el horario que sea establecido para tal efecto, debe ser razonable y accesible, con el objeto de dar cumplimiento al derecho de acceso a la información que le asiste.</w:t>
      </w:r>
    </w:p>
    <w:p w:rsidR="00554DF4" w:rsidRPr="00262B05" w:rsidRDefault="00554DF4" w:rsidP="00262B05">
      <w:pPr>
        <w:pStyle w:val="Prrafodelista"/>
        <w:spacing w:line="360" w:lineRule="auto"/>
        <w:rPr>
          <w:rFonts w:ascii="Palatino Linotype" w:hAnsi="Palatino Linotype"/>
          <w:lang w:val="es-ES"/>
        </w:rPr>
      </w:pPr>
    </w:p>
    <w:p w:rsidR="00554DF4" w:rsidRPr="00262B05" w:rsidRDefault="00554DF4" w:rsidP="00262B0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62B05">
        <w:rPr>
          <w:rFonts w:ascii="Palatino Linotype" w:hAnsi="Palatino Linotype"/>
        </w:rPr>
        <w:t>Sirve de sustento a lo anterior, el Criterio número 8/2013, y 02/2004 del entonces Instituto Federal de Acceso a la Información, cuyo texto y sentido literal es el siguiente:</w:t>
      </w:r>
    </w:p>
    <w:p w:rsidR="00554DF4" w:rsidRPr="00262B05" w:rsidRDefault="00554DF4" w:rsidP="00262B05">
      <w:pPr>
        <w:spacing w:line="360" w:lineRule="auto"/>
        <w:ind w:left="567" w:right="567"/>
        <w:jc w:val="both"/>
        <w:rPr>
          <w:rFonts w:ascii="Palatino Linotype" w:hAnsi="Palatino Linotype"/>
          <w:i/>
        </w:rPr>
      </w:pPr>
      <w:r w:rsidRPr="00262B05">
        <w:rPr>
          <w:rFonts w:ascii="Palatino Linotype" w:hAnsi="Palatino Linotype"/>
          <w:b/>
          <w:bCs/>
          <w:i/>
        </w:rPr>
        <w:t xml:space="preserve">Cuando exista impedimento justificado de atender la modalidad de entrega elegida por el solicitante, procede ofrecer </w:t>
      </w:r>
      <w:r w:rsidRPr="00262B05">
        <w:rPr>
          <w:rFonts w:ascii="Palatino Linotype" w:hAnsi="Palatino Linotype" w:cs="Arial"/>
          <w:b/>
          <w:bCs/>
          <w:i/>
          <w:noProof/>
        </w:rPr>
        <w:t>todas</w:t>
      </w:r>
      <w:r w:rsidRPr="00262B05">
        <w:rPr>
          <w:rFonts w:ascii="Palatino Linotype" w:hAnsi="Palatino Linotype"/>
          <w:b/>
          <w:bCs/>
          <w:i/>
        </w:rPr>
        <w:t xml:space="preserve"> las demás opciones previstas en la Ley.</w:t>
      </w:r>
      <w:r w:rsidRPr="00262B05">
        <w:rPr>
          <w:rFonts w:ascii="Palatino Linotype" w:hAnsi="Palatino Linotype"/>
          <w:bCs/>
          <w:i/>
        </w:rPr>
        <w:t xml:space="preserve"> </w:t>
      </w:r>
      <w:r w:rsidRPr="00262B05">
        <w:rPr>
          <w:rFonts w:ascii="Palatino Linotype" w:hAnsi="Palatino Linotype"/>
          <w:i/>
          <w:u w:val="single"/>
        </w:rPr>
        <w:t xml:space="preserve">De conformidad con lo dispuesto en los artículos 42 y 44 de la </w:t>
      </w:r>
      <w:r w:rsidRPr="00262B05">
        <w:rPr>
          <w:rFonts w:ascii="Palatino Linotype" w:hAnsi="Palatino Linotype"/>
          <w:i/>
          <w:iCs/>
          <w:u w:val="single"/>
        </w:rPr>
        <w:t>Ley Federal de Transparencia y Acceso a la Información Pública Gubernamental</w:t>
      </w:r>
      <w:r w:rsidRPr="00262B05">
        <w:rPr>
          <w:rFonts w:ascii="Palatino Linotype" w:hAnsi="Palatino Linotype"/>
          <w:i/>
          <w:u w:val="single"/>
        </w:rPr>
        <w:t>, y 54 de su Reglamento, la entrega de la información debe hacerse, en la medida de lo posible, en la forma solicitada por el interesado</w:t>
      </w:r>
      <w:r w:rsidRPr="00262B05">
        <w:rPr>
          <w:rFonts w:ascii="Palatino Linotype" w:hAnsi="Palatino Linotype"/>
          <w:i/>
        </w:rPr>
        <w:t xml:space="preserve">, salvo que exista un impedimento justificado para atenderla, en cuyo caso, deberán exponerse las razones por las cuales no es posible utilizar el medio de reproducción solicitado. </w:t>
      </w:r>
      <w:r w:rsidRPr="00262B05">
        <w:rPr>
          <w:rFonts w:ascii="Palatino Linotype" w:hAnsi="Palatino Linotype"/>
          <w:i/>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262B05">
        <w:rPr>
          <w:rFonts w:ascii="Palatino Linotype" w:hAnsi="Palatino Linotype"/>
          <w:i/>
        </w:rPr>
        <w:t xml:space="preserve">. Así, cuando se justifique el impedimento, los sujetos obligados deberán notificar al particular la disposición de la </w:t>
      </w:r>
      <w:r w:rsidRPr="00262B05">
        <w:rPr>
          <w:rFonts w:ascii="Palatino Linotype" w:hAnsi="Palatino Linotype"/>
          <w:i/>
        </w:rPr>
        <w:lastRenderedPageBreak/>
        <w:t xml:space="preserve">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554DF4" w:rsidRPr="00262B05" w:rsidRDefault="00554DF4" w:rsidP="00262B05">
      <w:pPr>
        <w:spacing w:line="360" w:lineRule="auto"/>
        <w:ind w:left="567" w:right="567"/>
        <w:jc w:val="both"/>
        <w:rPr>
          <w:rFonts w:ascii="Palatino Linotype" w:hAnsi="Palatino Linotype"/>
          <w:i/>
        </w:rPr>
      </w:pPr>
      <w:r w:rsidRPr="00262B05">
        <w:rPr>
          <w:rFonts w:ascii="Palatino Linotype" w:hAnsi="Palatino Linotype"/>
          <w:i/>
        </w:rPr>
        <w:t xml:space="preserve">Resoluciones </w:t>
      </w:r>
    </w:p>
    <w:p w:rsidR="00554DF4" w:rsidRPr="00262B05" w:rsidRDefault="00554DF4" w:rsidP="00262B05">
      <w:pPr>
        <w:spacing w:line="360" w:lineRule="auto"/>
        <w:ind w:left="567" w:right="567"/>
        <w:jc w:val="both"/>
        <w:rPr>
          <w:rFonts w:ascii="Palatino Linotype" w:hAnsi="Palatino Linotype"/>
          <w:i/>
        </w:rPr>
      </w:pPr>
      <w:r w:rsidRPr="00262B05">
        <w:rPr>
          <w:rFonts w:ascii="Palatino Linotype" w:hAnsi="Palatino Linotype"/>
          <w:i/>
        </w:rPr>
        <w:t xml:space="preserve">RDA 2012/12. Interpuesto en contra de la Secretaría de Comunicaciones y Transportes. Comisionada Ponente Jacqueline </w:t>
      </w:r>
      <w:proofErr w:type="spellStart"/>
      <w:r w:rsidRPr="00262B05">
        <w:rPr>
          <w:rFonts w:ascii="Palatino Linotype" w:hAnsi="Palatino Linotype"/>
          <w:i/>
        </w:rPr>
        <w:t>Peschard</w:t>
      </w:r>
      <w:proofErr w:type="spellEnd"/>
      <w:r w:rsidRPr="00262B05">
        <w:rPr>
          <w:rFonts w:ascii="Palatino Linotype" w:hAnsi="Palatino Linotype"/>
          <w:i/>
        </w:rPr>
        <w:t xml:space="preserve"> Mariscal. </w:t>
      </w:r>
    </w:p>
    <w:p w:rsidR="00554DF4" w:rsidRPr="00262B05" w:rsidRDefault="00554DF4" w:rsidP="00262B05">
      <w:pPr>
        <w:spacing w:line="360" w:lineRule="auto"/>
        <w:ind w:left="567" w:right="567"/>
        <w:jc w:val="both"/>
        <w:rPr>
          <w:rFonts w:ascii="Palatino Linotype" w:hAnsi="Palatino Linotype"/>
          <w:i/>
        </w:rPr>
      </w:pPr>
      <w:r w:rsidRPr="00262B05">
        <w:rPr>
          <w:rFonts w:ascii="Palatino Linotype" w:hAnsi="Palatino Linotype"/>
          <w:i/>
        </w:rPr>
        <w:t xml:space="preserve">RDA 0973/12. Interpuesto en contra de la Secretaría de Educación Pública. Comisionada Ponente Sigrid </w:t>
      </w:r>
      <w:proofErr w:type="spellStart"/>
      <w:r w:rsidRPr="00262B05">
        <w:rPr>
          <w:rFonts w:ascii="Palatino Linotype" w:hAnsi="Palatino Linotype"/>
          <w:i/>
        </w:rPr>
        <w:t>Arzt</w:t>
      </w:r>
      <w:proofErr w:type="spellEnd"/>
      <w:r w:rsidRPr="00262B05">
        <w:rPr>
          <w:rFonts w:ascii="Palatino Linotype" w:hAnsi="Palatino Linotype"/>
          <w:i/>
        </w:rPr>
        <w:t xml:space="preserve"> Colunga. </w:t>
      </w:r>
    </w:p>
    <w:p w:rsidR="00554DF4" w:rsidRPr="00262B05" w:rsidRDefault="00554DF4" w:rsidP="00262B05">
      <w:pPr>
        <w:spacing w:line="360" w:lineRule="auto"/>
        <w:ind w:left="567" w:right="567"/>
        <w:jc w:val="both"/>
        <w:rPr>
          <w:rFonts w:ascii="Palatino Linotype" w:hAnsi="Palatino Linotype"/>
          <w:i/>
        </w:rPr>
      </w:pPr>
      <w:r w:rsidRPr="00262B05">
        <w:rPr>
          <w:rFonts w:ascii="Palatino Linotype" w:hAnsi="Palatino Linotype"/>
          <w:i/>
        </w:rPr>
        <w:t xml:space="preserve">RDA 0112/12. Interpuesto en contra de Petróleos Mexicanos. Comisionado Ponente Ángel Trinidad Zaldívar. </w:t>
      </w:r>
    </w:p>
    <w:p w:rsidR="00554DF4" w:rsidRPr="00262B05" w:rsidRDefault="00554DF4" w:rsidP="00262B05">
      <w:pPr>
        <w:spacing w:line="360" w:lineRule="auto"/>
        <w:ind w:left="567" w:right="567"/>
        <w:jc w:val="both"/>
        <w:rPr>
          <w:rFonts w:ascii="Palatino Linotype" w:hAnsi="Palatino Linotype"/>
          <w:i/>
        </w:rPr>
      </w:pPr>
      <w:r w:rsidRPr="00262B05">
        <w:rPr>
          <w:rFonts w:ascii="Palatino Linotype" w:hAnsi="Palatino Linotype"/>
          <w:i/>
        </w:rPr>
        <w:t xml:space="preserve">RDA 0085/12. Interpuesto en contra del Instituto Nacional de Ciencias Médicas y Nutrición Salvador </w:t>
      </w:r>
      <w:proofErr w:type="spellStart"/>
      <w:r w:rsidRPr="00262B05">
        <w:rPr>
          <w:rFonts w:ascii="Palatino Linotype" w:hAnsi="Palatino Linotype"/>
          <w:i/>
        </w:rPr>
        <w:t>Zubirán</w:t>
      </w:r>
      <w:proofErr w:type="spellEnd"/>
      <w:r w:rsidRPr="00262B05">
        <w:rPr>
          <w:rFonts w:ascii="Palatino Linotype" w:hAnsi="Palatino Linotype"/>
          <w:i/>
        </w:rPr>
        <w:t xml:space="preserve">. Comisionada Ponente Sigrid </w:t>
      </w:r>
      <w:proofErr w:type="spellStart"/>
      <w:r w:rsidRPr="00262B05">
        <w:rPr>
          <w:rFonts w:ascii="Palatino Linotype" w:hAnsi="Palatino Linotype"/>
          <w:i/>
        </w:rPr>
        <w:t>Arzt</w:t>
      </w:r>
      <w:proofErr w:type="spellEnd"/>
      <w:r w:rsidRPr="00262B05">
        <w:rPr>
          <w:rFonts w:ascii="Palatino Linotype" w:hAnsi="Palatino Linotype"/>
          <w:i/>
        </w:rPr>
        <w:t xml:space="preserve"> Colunga. </w:t>
      </w:r>
    </w:p>
    <w:p w:rsidR="00554DF4" w:rsidRPr="00262B05" w:rsidRDefault="00554DF4" w:rsidP="00262B05">
      <w:pPr>
        <w:spacing w:line="360" w:lineRule="auto"/>
        <w:ind w:left="567" w:right="567"/>
        <w:jc w:val="both"/>
        <w:rPr>
          <w:rFonts w:ascii="Palatino Linotype" w:hAnsi="Palatino Linotype"/>
          <w:i/>
        </w:rPr>
      </w:pPr>
      <w:r w:rsidRPr="00262B05">
        <w:rPr>
          <w:rFonts w:ascii="Palatino Linotype" w:hAnsi="Palatino Linotype"/>
          <w:i/>
        </w:rPr>
        <w:t>3068/11. Interpuesto en contra de la Presidencia de la República. Comisionada Ponente María Elena Pérez-Jaén Zermeño. “</w:t>
      </w:r>
    </w:p>
    <w:p w:rsidR="00554DF4" w:rsidRPr="00262B05" w:rsidRDefault="00554DF4" w:rsidP="00262B05">
      <w:pPr>
        <w:spacing w:line="360" w:lineRule="auto"/>
        <w:ind w:left="567" w:right="567"/>
        <w:jc w:val="both"/>
        <w:rPr>
          <w:rFonts w:ascii="Palatino Linotype" w:hAnsi="Palatino Linotype"/>
          <w:i/>
        </w:rPr>
      </w:pPr>
    </w:p>
    <w:p w:rsidR="00554DF4" w:rsidRPr="00262B05" w:rsidRDefault="00554DF4" w:rsidP="00262B05">
      <w:pPr>
        <w:spacing w:line="360" w:lineRule="auto"/>
        <w:ind w:left="567" w:right="567"/>
        <w:jc w:val="both"/>
        <w:rPr>
          <w:rFonts w:ascii="Palatino Linotype" w:hAnsi="Palatino Linotype"/>
          <w:i/>
        </w:rPr>
      </w:pPr>
      <w:r w:rsidRPr="00262B05">
        <w:rPr>
          <w:rFonts w:ascii="Palatino Linotype" w:hAnsi="Palatino Linotype"/>
          <w:b/>
          <w:i/>
        </w:rPr>
        <w:t>Criterio 02/2004 INFORMACIÓN DISPERSA</w:t>
      </w:r>
      <w:r w:rsidRPr="00262B05">
        <w:rPr>
          <w:rFonts w:ascii="Palatino Linotype" w:hAnsi="Palatino Linotype"/>
          <w:b/>
        </w:rPr>
        <w:t xml:space="preserve"> </w:t>
      </w:r>
      <w:r w:rsidRPr="00262B05">
        <w:rPr>
          <w:rFonts w:ascii="Palatino Linotype" w:hAnsi="Palatino Linotype"/>
          <w:b/>
          <w:i/>
        </w:rPr>
        <w:t xml:space="preserve">EN DIVERSOS DOCUMENTOS. PARA RESPETAR EL DERECHO DE ACCESO A LA INFORMACIÓN BASTA CON QUE SE PERMITA LA CONSULTA FÍSICA DE AQUÉLLOS, SALVO EN EL CASO DE QUE EL RESPECTIVO ÓRGANO DEL ESTADO TENGA LA OBLIGACIÓN DE CONTAR CON UN </w:t>
      </w:r>
      <w:r w:rsidRPr="00262B05">
        <w:rPr>
          <w:rFonts w:ascii="Palatino Linotype" w:hAnsi="Palatino Linotype"/>
          <w:b/>
          <w:i/>
        </w:rPr>
        <w:lastRenderedPageBreak/>
        <w:t>DOCUMENTO QUE CONCENTRÉ AQUÉLLA.</w:t>
      </w:r>
      <w:r w:rsidRPr="00262B05">
        <w:rPr>
          <w:rFonts w:ascii="Palatino Linotype" w:hAnsi="Palatino Linotype"/>
          <w:i/>
        </w:rPr>
        <w:t xml:space="preserve"> </w:t>
      </w:r>
      <w:r w:rsidRPr="00262B05">
        <w:rPr>
          <w:rFonts w:ascii="Palatino Linotype" w:hAnsi="Palatino Linotype"/>
          <w:i/>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262B05">
        <w:rPr>
          <w:rFonts w:ascii="Palatino Linotype" w:hAnsi="Palatino Linotype"/>
          <w:i/>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262B05">
        <w:rPr>
          <w:rFonts w:ascii="Palatino Linotype" w:hAnsi="Palatino Linotype"/>
          <w:i/>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262B05">
        <w:rPr>
          <w:rFonts w:ascii="Palatino Linotype" w:hAnsi="Palatino Linotype"/>
          <w:i/>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rsidR="00554DF4" w:rsidRPr="00262B05" w:rsidRDefault="00554DF4" w:rsidP="00262B05">
      <w:pPr>
        <w:spacing w:line="360" w:lineRule="auto"/>
        <w:ind w:left="567" w:right="567"/>
        <w:jc w:val="both"/>
        <w:rPr>
          <w:rFonts w:ascii="Palatino Linotype" w:hAnsi="Palatino Linotype"/>
          <w:i/>
        </w:rPr>
      </w:pPr>
      <w:r w:rsidRPr="00262B05">
        <w:rPr>
          <w:rFonts w:ascii="Palatino Linotype" w:hAnsi="Palatino Linotype"/>
          <w:i/>
        </w:rPr>
        <w:t>(Énfasis añadido)</w:t>
      </w:r>
    </w:p>
    <w:p w:rsidR="00554DF4" w:rsidRPr="00262B05" w:rsidRDefault="00554DF4" w:rsidP="00262B05">
      <w:pPr>
        <w:pStyle w:val="Prrafodelista"/>
        <w:spacing w:line="360" w:lineRule="auto"/>
        <w:ind w:left="0"/>
        <w:jc w:val="both"/>
        <w:rPr>
          <w:rFonts w:ascii="Palatino Linotype" w:hAnsi="Palatino Linotype"/>
          <w:lang w:val="es-MX" w:eastAsia="en-US"/>
        </w:rPr>
      </w:pPr>
    </w:p>
    <w:p w:rsidR="00554DF4" w:rsidRPr="00262B05" w:rsidRDefault="00554DF4" w:rsidP="00262B05">
      <w:pPr>
        <w:pStyle w:val="Prrafodelista"/>
        <w:numPr>
          <w:ilvl w:val="0"/>
          <w:numId w:val="1"/>
        </w:numPr>
        <w:spacing w:line="360" w:lineRule="auto"/>
        <w:ind w:left="0" w:firstLine="0"/>
        <w:jc w:val="both"/>
        <w:rPr>
          <w:rFonts w:ascii="Palatino Linotype" w:hAnsi="Palatino Linotype"/>
          <w:lang w:val="es-MX" w:eastAsia="en-US"/>
        </w:rPr>
      </w:pPr>
      <w:r w:rsidRPr="00262B05">
        <w:rPr>
          <w:rFonts w:ascii="Palatino Linotype" w:hAnsi="Palatino Linotype"/>
          <w:lang w:val="es-MX" w:eastAsia="en-US"/>
        </w:rPr>
        <w:t xml:space="preserve">El cambio de modalidad realizado por este Órgano Garante es con el único objeto de dar cabal cumplimiento al derecho en cuestión. Además, el cambio de modalidad pudiera implicar un costo al particular únicamente para el caso de que éste requiera </w:t>
      </w:r>
      <w:r w:rsidRPr="00262B05">
        <w:rPr>
          <w:rFonts w:ascii="Palatino Linotype" w:hAnsi="Palatino Linotype"/>
          <w:lang w:val="es-MX" w:eastAsia="en-US"/>
        </w:rPr>
        <w:lastRenderedPageBreak/>
        <w:t xml:space="preserve">llevarse la información; no obstante, deberá estar a lo dispuesto en </w:t>
      </w:r>
      <w:r w:rsidRPr="00262B05">
        <w:rPr>
          <w:rFonts w:ascii="Palatino Linotype" w:eastAsia="Calibri" w:hAnsi="Palatino Linotype" w:cs="Arial"/>
          <w:lang w:val="es-ES"/>
        </w:rPr>
        <w:t>el</w:t>
      </w:r>
      <w:r w:rsidRPr="00262B05">
        <w:rPr>
          <w:rFonts w:ascii="Palatino Linotype" w:hAnsi="Palatino Linotype"/>
          <w:lang w:val="es-ES"/>
        </w:rPr>
        <w:t xml:space="preserve"> </w:t>
      </w:r>
      <w:r w:rsidRPr="00262B05">
        <w:rPr>
          <w:rFonts w:ascii="Palatino Linotype" w:hAnsi="Palatino Linotype"/>
        </w:rPr>
        <w:t xml:space="preserve">artículo 148 del </w:t>
      </w:r>
      <w:r w:rsidRPr="00262B05">
        <w:rPr>
          <w:rFonts w:ascii="Palatino Linotype" w:eastAsia="Calibri" w:hAnsi="Palatino Linotype" w:cs="Arial"/>
        </w:rPr>
        <w:t>Código Financiero del Estado de México y Municipios que señala lo siguiente:</w:t>
      </w:r>
    </w:p>
    <w:p w:rsidR="00554DF4" w:rsidRPr="00262B05" w:rsidRDefault="00554DF4" w:rsidP="00262B05">
      <w:pPr>
        <w:spacing w:before="240" w:line="360" w:lineRule="auto"/>
        <w:ind w:right="49"/>
        <w:contextualSpacing/>
        <w:jc w:val="both"/>
        <w:rPr>
          <w:rFonts w:ascii="Palatino Linotype" w:eastAsia="Calibri" w:hAnsi="Palatino Linotype" w:cs="Arial"/>
          <w:lang w:val="es-ES"/>
        </w:rPr>
      </w:pPr>
      <w:r w:rsidRPr="00262B05">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163830</wp:posOffset>
                </wp:positionH>
                <wp:positionV relativeFrom="paragraph">
                  <wp:posOffset>2897505</wp:posOffset>
                </wp:positionV>
                <wp:extent cx="5273675" cy="472440"/>
                <wp:effectExtent l="19050" t="19050" r="22225" b="22860"/>
                <wp:wrapNone/>
                <wp:docPr id="7" name="Rectángulo 7"/>
                <wp:cNvGraphicFramePr/>
                <a:graphic xmlns:a="http://schemas.openxmlformats.org/drawingml/2006/main">
                  <a:graphicData uri="http://schemas.microsoft.com/office/word/2010/wordprocessingShape">
                    <wps:wsp>
                      <wps:cNvSpPr/>
                      <wps:spPr>
                        <a:xfrm>
                          <a:off x="0" y="0"/>
                          <a:ext cx="5273675" cy="4724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492777" id="Rectángulo 7" o:spid="_x0000_s1026" style="position:absolute;margin-left:12.9pt;margin-top:228.15pt;width:415.25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" filled="f" strokecolor="red" strokeweight="3pt"/>
            </w:pict>
          </mc:Fallback>
        </mc:AlternateContent>
      </w:r>
      <w:r w:rsidRPr="00262B05">
        <w:rPr>
          <w:rFonts w:ascii="Palatino Linotype" w:hAnsi="Palatino Linotype"/>
          <w:noProof/>
          <w:lang w:val="es-MX" w:eastAsia="es-MX"/>
        </w:rPr>
        <w:drawing>
          <wp:inline distT="0" distB="0" distL="0" distR="0">
            <wp:extent cx="5521960" cy="336042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extLst>
                        <a:ext uri="{28A0092B-C50C-407E-A947-70E740481C1C}">
                          <a14:useLocalDpi xmlns:a14="http://schemas.microsoft.com/office/drawing/2010/main" val="0"/>
                        </a:ext>
                      </a:extLst>
                    </a:blip>
                    <a:srcRect l="31738" t="21725" r="31772" b="38745"/>
                    <a:stretch>
                      <a:fillRect/>
                    </a:stretch>
                  </pic:blipFill>
                  <pic:spPr bwMode="auto">
                    <a:xfrm>
                      <a:off x="0" y="0"/>
                      <a:ext cx="5521960" cy="3360420"/>
                    </a:xfrm>
                    <a:prstGeom prst="rect">
                      <a:avLst/>
                    </a:prstGeom>
                    <a:noFill/>
                    <a:ln>
                      <a:noFill/>
                    </a:ln>
                  </pic:spPr>
                </pic:pic>
              </a:graphicData>
            </a:graphic>
          </wp:inline>
        </w:drawing>
      </w:r>
    </w:p>
    <w:p w:rsidR="00554DF4" w:rsidRPr="00262B05" w:rsidRDefault="00554DF4" w:rsidP="00262B05">
      <w:pPr>
        <w:pStyle w:val="Prrafodelista"/>
        <w:spacing w:line="360" w:lineRule="auto"/>
        <w:rPr>
          <w:rFonts w:ascii="Palatino Linotype" w:eastAsia="Calibri" w:hAnsi="Palatino Linotype" w:cs="Arial"/>
        </w:rPr>
      </w:pPr>
    </w:p>
    <w:p w:rsidR="00554DF4" w:rsidRPr="00262B05" w:rsidRDefault="00554DF4" w:rsidP="00262B05">
      <w:pPr>
        <w:pStyle w:val="Prrafodelista"/>
        <w:numPr>
          <w:ilvl w:val="0"/>
          <w:numId w:val="1"/>
        </w:numPr>
        <w:spacing w:line="360" w:lineRule="auto"/>
        <w:ind w:left="0" w:firstLine="0"/>
        <w:jc w:val="both"/>
        <w:rPr>
          <w:rFonts w:ascii="Palatino Linotype" w:hAnsi="Palatino Linotype"/>
          <w:b/>
          <w:lang w:val="es-MX" w:eastAsia="en-US"/>
        </w:rPr>
      </w:pPr>
      <w:r w:rsidRPr="00262B05">
        <w:rPr>
          <w:rFonts w:ascii="Palatino Linotype" w:hAnsi="Palatino Linotype"/>
          <w:lang w:val="es-MX" w:eastAsia="en-US"/>
        </w:rPr>
        <w:t xml:space="preserve">Si bien, la ley dispone que se le cobrarán únicamente los derechos por la expedición de la información en medios magnéticos, </w:t>
      </w:r>
      <w:r w:rsidRPr="00262B05">
        <w:rPr>
          <w:rFonts w:ascii="Palatino Linotype" w:hAnsi="Palatino Linotype"/>
          <w:b/>
          <w:lang w:val="es-MX" w:eastAsia="en-US"/>
        </w:rPr>
        <w:t>también lo es que el solicitante podrá proporcionar el medio en el que requiera le sea entregada la información pública en cuyo caso no habrá costo que cubrir.</w:t>
      </w:r>
    </w:p>
    <w:p w:rsidR="00554DF4" w:rsidRPr="00262B05" w:rsidRDefault="00554DF4" w:rsidP="00262B05">
      <w:pPr>
        <w:pStyle w:val="Prrafodelista"/>
        <w:spacing w:line="360" w:lineRule="auto"/>
        <w:ind w:left="0"/>
        <w:jc w:val="both"/>
        <w:rPr>
          <w:rFonts w:ascii="Palatino Linotype" w:hAnsi="Palatino Linotype"/>
          <w:lang w:val="es-MX" w:eastAsia="en-US"/>
        </w:rPr>
      </w:pPr>
    </w:p>
    <w:p w:rsidR="00554DF4" w:rsidRPr="00262B05" w:rsidRDefault="00554DF4" w:rsidP="00262B05">
      <w:pPr>
        <w:pStyle w:val="Prrafodelista"/>
        <w:numPr>
          <w:ilvl w:val="0"/>
          <w:numId w:val="1"/>
        </w:numPr>
        <w:spacing w:line="360" w:lineRule="auto"/>
        <w:ind w:left="0" w:firstLine="0"/>
        <w:jc w:val="both"/>
        <w:rPr>
          <w:rFonts w:ascii="Palatino Linotype" w:hAnsi="Palatino Linotype"/>
          <w:lang w:val="es-ES"/>
        </w:rPr>
      </w:pPr>
      <w:r w:rsidRPr="00262B05">
        <w:rPr>
          <w:rFonts w:ascii="Palatino Linotype" w:eastAsia="Calibri" w:hAnsi="Palatino Linotype" w:cs="Arial"/>
        </w:rPr>
        <w:t xml:space="preserve">Por lo anteriormente expuesto, se </w:t>
      </w:r>
      <w:r w:rsidRPr="00262B05">
        <w:rPr>
          <w:rFonts w:ascii="Palatino Linotype" w:eastAsia="Calibri" w:hAnsi="Palatino Linotype" w:cs="Arial"/>
          <w:b/>
        </w:rPr>
        <w:t>ORDENA</w:t>
      </w:r>
      <w:r w:rsidRPr="00262B05">
        <w:rPr>
          <w:rFonts w:ascii="Palatino Linotype" w:eastAsia="Calibri" w:hAnsi="Palatino Linotype" w:cs="Arial"/>
        </w:rPr>
        <w:t xml:space="preserve"> entregar la información requerida mediante consulta directa; sin embargo, el Sujeto Obligado deberá elaborar las versiones públicas correspondientes, para tal efecto, estará a lo dispuesto en el considerando que a continuación se enuncia.</w:t>
      </w:r>
    </w:p>
    <w:p w:rsidR="00554DF4" w:rsidRPr="00262B05" w:rsidRDefault="00554DF4" w:rsidP="00262B05">
      <w:pPr>
        <w:pStyle w:val="Prrafodelista"/>
        <w:spacing w:line="360" w:lineRule="auto"/>
        <w:rPr>
          <w:rFonts w:ascii="Palatino Linotype" w:eastAsia="Calibri" w:hAnsi="Palatino Linotype" w:cs="Arial"/>
        </w:rPr>
      </w:pPr>
    </w:p>
    <w:p w:rsidR="00554DF4" w:rsidRPr="00262B05" w:rsidRDefault="00554DF4" w:rsidP="00262B05">
      <w:pPr>
        <w:pStyle w:val="Ttulo2"/>
        <w:spacing w:line="360" w:lineRule="auto"/>
        <w:rPr>
          <w:rFonts w:ascii="Palatino Linotype" w:hAnsi="Palatino Linotype"/>
          <w:b/>
          <w:color w:val="auto"/>
          <w:sz w:val="24"/>
          <w:szCs w:val="24"/>
        </w:rPr>
      </w:pPr>
      <w:bookmarkStart w:id="25" w:name="_Toc15463063"/>
      <w:bookmarkStart w:id="26" w:name="_Toc10142621"/>
      <w:bookmarkStart w:id="27" w:name="_Toc2871952"/>
      <w:bookmarkStart w:id="28" w:name="_Toc531859120"/>
      <w:bookmarkStart w:id="29" w:name="_Toc24476668"/>
      <w:bookmarkStart w:id="30" w:name="_Toc524000321"/>
      <w:bookmarkStart w:id="31" w:name="_Toc499201876"/>
      <w:bookmarkStart w:id="32" w:name="_Toc498503756"/>
      <w:bookmarkStart w:id="33" w:name="_Toc497297048"/>
      <w:bookmarkStart w:id="34" w:name="_Toc495606558"/>
      <w:bookmarkStart w:id="35" w:name="_Toc493790438"/>
      <w:bookmarkStart w:id="36" w:name="_Toc487025370"/>
      <w:bookmarkStart w:id="37" w:name="_Toc473799824"/>
      <w:r w:rsidRPr="00262B05">
        <w:rPr>
          <w:rFonts w:ascii="Palatino Linotype" w:hAnsi="Palatino Linotype"/>
          <w:b/>
          <w:color w:val="auto"/>
          <w:sz w:val="24"/>
          <w:szCs w:val="24"/>
        </w:rPr>
        <w:lastRenderedPageBreak/>
        <w:t>QUINTO. De la Versión Pública</w:t>
      </w:r>
      <w:bookmarkEnd w:id="25"/>
      <w:bookmarkEnd w:id="26"/>
      <w:bookmarkEnd w:id="27"/>
      <w:bookmarkEnd w:id="28"/>
      <w:bookmarkEnd w:id="29"/>
      <w:r w:rsidRPr="00262B05">
        <w:rPr>
          <w:rFonts w:ascii="Palatino Linotype" w:hAnsi="Palatino Linotype"/>
          <w:b/>
          <w:color w:val="auto"/>
          <w:sz w:val="24"/>
          <w:szCs w:val="24"/>
        </w:rPr>
        <w:t xml:space="preserve"> </w:t>
      </w:r>
    </w:p>
    <w:p w:rsidR="00554DF4" w:rsidRPr="00262B05" w:rsidRDefault="00554DF4" w:rsidP="00262B05">
      <w:pPr>
        <w:pStyle w:val="Prrafodelista"/>
        <w:numPr>
          <w:ilvl w:val="0"/>
          <w:numId w:val="1"/>
        </w:numPr>
        <w:spacing w:before="240" w:after="240" w:line="360" w:lineRule="auto"/>
        <w:ind w:left="0" w:right="49" w:firstLine="0"/>
        <w:jc w:val="both"/>
        <w:rPr>
          <w:rFonts w:ascii="Palatino Linotype" w:hAnsi="Palatino Linotype" w:cs="Bookman Old Style"/>
        </w:rPr>
      </w:pPr>
      <w:r w:rsidRPr="00262B05">
        <w:rPr>
          <w:rFonts w:ascii="Palatino Linotype" w:eastAsia="Calibri" w:hAnsi="Palatino Linotype" w:cs="Arial"/>
          <w:lang w:val="es-ES" w:eastAsia="es-MX"/>
        </w:rPr>
        <w:t xml:space="preserve">Como ya se ha señalado en el considerando anterior el </w:t>
      </w:r>
      <w:r w:rsidRPr="00262B05">
        <w:rPr>
          <w:rFonts w:ascii="Palatino Linotype" w:eastAsia="Calibri" w:hAnsi="Palatino Linotype" w:cs="Arial"/>
          <w:b/>
          <w:lang w:val="es-ES" w:eastAsia="es-MX"/>
        </w:rPr>
        <w:t>SUJETO OBLIGADO,</w:t>
      </w:r>
      <w:r w:rsidRPr="00262B05">
        <w:rPr>
          <w:rFonts w:ascii="Palatino Linotype" w:eastAsia="Calibri" w:hAnsi="Palatino Linotype" w:cs="Arial"/>
          <w:lang w:val="es-ES" w:eastAsia="es-MX"/>
        </w:rPr>
        <w:t xml:space="preserve"> deberá entregar la información señalada en el considerando anterior.</w:t>
      </w:r>
      <w:r w:rsidRPr="00262B05">
        <w:rPr>
          <w:rFonts w:ascii="Palatino Linotype" w:eastAsia="Times New Roman" w:hAnsi="Palatino Linotype" w:cs="Times New Roman"/>
          <w:b/>
          <w:lang w:val="es-ES"/>
        </w:rPr>
        <w:t xml:space="preserve"> </w:t>
      </w:r>
      <w:r w:rsidRPr="00262B05">
        <w:rPr>
          <w:rFonts w:ascii="Palatino Linotype" w:eastAsia="Calibri" w:hAnsi="Palatino Linotype" w:cs="Arial"/>
          <w:lang w:val="es-ES" w:eastAsia="es-MX"/>
        </w:rPr>
        <w:t>Documentos en los que, de ser el caso de contener datos personales que deban de ser clasificados como confidenciales, es necesario que se protejan mediante una versión pública</w:t>
      </w:r>
      <w:r w:rsidRPr="00262B05">
        <w:rPr>
          <w:rFonts w:ascii="Palatino Linotype" w:eastAsia="Times New Roman" w:hAnsi="Palatino Linotype" w:cs="Arial"/>
          <w:color w:val="222222"/>
          <w:lang w:val="es-ES" w:eastAsia="es-MX"/>
        </w:rPr>
        <w:t xml:space="preserve"> que deje a la vista los datos que ofrezcan la información requerida. </w:t>
      </w:r>
    </w:p>
    <w:p w:rsidR="00554DF4" w:rsidRPr="00262B05" w:rsidRDefault="00554DF4" w:rsidP="00262B05">
      <w:pPr>
        <w:pStyle w:val="Ttulo3"/>
        <w:numPr>
          <w:ilvl w:val="0"/>
          <w:numId w:val="5"/>
        </w:numPr>
        <w:spacing w:line="360" w:lineRule="auto"/>
        <w:rPr>
          <w:rFonts w:ascii="Palatino Linotype" w:eastAsia="Calibri" w:hAnsi="Palatino Linotype"/>
          <w:b/>
          <w:color w:val="auto"/>
        </w:rPr>
      </w:pPr>
      <w:bookmarkStart w:id="38" w:name="_Toc15463064"/>
      <w:bookmarkStart w:id="39" w:name="_Toc10142622"/>
      <w:bookmarkStart w:id="40" w:name="_Toc2871953"/>
      <w:bookmarkStart w:id="41" w:name="_Toc531859121"/>
      <w:bookmarkStart w:id="42" w:name="_Toc24476669"/>
      <w:r w:rsidRPr="00262B05">
        <w:rPr>
          <w:rFonts w:ascii="Palatino Linotype" w:hAnsi="Palatino Linotype"/>
          <w:b/>
          <w:color w:val="auto"/>
        </w:rPr>
        <w:t>Requisitos previos.</w:t>
      </w:r>
      <w:bookmarkEnd w:id="38"/>
      <w:bookmarkEnd w:id="39"/>
      <w:bookmarkEnd w:id="40"/>
      <w:bookmarkEnd w:id="41"/>
      <w:bookmarkEnd w:id="42"/>
    </w:p>
    <w:p w:rsidR="00554DF4" w:rsidRPr="00262B05" w:rsidRDefault="00554DF4" w:rsidP="00262B05">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554DF4" w:rsidRPr="00262B05" w:rsidRDefault="00554DF4" w:rsidP="00262B0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62B05">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554DF4" w:rsidRPr="00262B05" w:rsidRDefault="00554DF4" w:rsidP="00262B05">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554DF4" w:rsidRPr="00262B05" w:rsidRDefault="00554DF4" w:rsidP="00262B0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62B05">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554DF4" w:rsidRPr="00262B05" w:rsidRDefault="00554DF4" w:rsidP="00262B05">
      <w:pPr>
        <w:pStyle w:val="Prrafodelista"/>
        <w:spacing w:line="360" w:lineRule="auto"/>
        <w:rPr>
          <w:rFonts w:ascii="Palatino Linotype" w:eastAsia="Calibri" w:hAnsi="Palatino Linotype" w:cs="Arial"/>
          <w:lang w:val="es-ES" w:eastAsia="es-MX"/>
        </w:rPr>
      </w:pPr>
    </w:p>
    <w:p w:rsidR="00554DF4" w:rsidRPr="00262B05" w:rsidRDefault="00554DF4" w:rsidP="00262B0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62B05">
        <w:rPr>
          <w:rFonts w:ascii="Palatino Linotype" w:hAnsi="Palatino Linotype" w:cs="Arial"/>
        </w:rPr>
        <w:t xml:space="preserve">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w:t>
      </w:r>
      <w:r w:rsidRPr="00262B05">
        <w:rPr>
          <w:rFonts w:ascii="Palatino Linotype" w:hAnsi="Palatino Linotype" w:cs="Arial"/>
        </w:rPr>
        <w:lastRenderedPageBreak/>
        <w:t>se puede hacer un acuerdo por cada dato que se vaya a clasificar dentro de un documento con diez datos, por ejemplo, susceptibles de ser clasificados.</w:t>
      </w:r>
    </w:p>
    <w:p w:rsidR="00554DF4" w:rsidRPr="00262B05" w:rsidRDefault="00554DF4" w:rsidP="00262B05">
      <w:pPr>
        <w:pStyle w:val="Prrafodelista"/>
        <w:spacing w:line="360" w:lineRule="auto"/>
        <w:rPr>
          <w:rFonts w:ascii="Palatino Linotype" w:eastAsia="Calibri" w:hAnsi="Palatino Linotype" w:cs="Arial"/>
          <w:lang w:val="es-ES" w:eastAsia="es-MX"/>
        </w:rPr>
      </w:pPr>
    </w:p>
    <w:p w:rsidR="00554DF4" w:rsidRPr="00262B05" w:rsidRDefault="00554DF4" w:rsidP="00262B05">
      <w:pPr>
        <w:pStyle w:val="Ttulo3"/>
        <w:numPr>
          <w:ilvl w:val="0"/>
          <w:numId w:val="5"/>
        </w:numPr>
        <w:spacing w:line="360" w:lineRule="auto"/>
        <w:rPr>
          <w:rFonts w:ascii="Palatino Linotype" w:hAnsi="Palatino Linotype"/>
          <w:b/>
          <w:color w:val="auto"/>
        </w:rPr>
      </w:pPr>
      <w:bookmarkStart w:id="43" w:name="_Toc15463065"/>
      <w:bookmarkStart w:id="44" w:name="_Toc10142623"/>
      <w:bookmarkStart w:id="45" w:name="_Toc2871954"/>
      <w:bookmarkStart w:id="46" w:name="_Toc531859122"/>
      <w:bookmarkStart w:id="47" w:name="_Toc24476670"/>
      <w:r w:rsidRPr="00262B05">
        <w:rPr>
          <w:rFonts w:ascii="Palatino Linotype" w:hAnsi="Palatino Linotype"/>
          <w:b/>
          <w:color w:val="auto"/>
        </w:rPr>
        <w:t>Supuesto de clasificación.</w:t>
      </w:r>
      <w:bookmarkEnd w:id="43"/>
      <w:bookmarkEnd w:id="44"/>
      <w:bookmarkEnd w:id="45"/>
      <w:bookmarkEnd w:id="46"/>
      <w:bookmarkEnd w:id="47"/>
    </w:p>
    <w:p w:rsidR="00554DF4" w:rsidRPr="00262B05" w:rsidRDefault="00554DF4" w:rsidP="00262B05">
      <w:pPr>
        <w:spacing w:line="360" w:lineRule="auto"/>
        <w:rPr>
          <w:rFonts w:ascii="Palatino Linotype" w:hAnsi="Palatino Linotype"/>
          <w:lang w:val="es-MX" w:eastAsia="en-US"/>
        </w:rPr>
      </w:pPr>
    </w:p>
    <w:p w:rsidR="00554DF4" w:rsidRPr="00262B05" w:rsidRDefault="00554DF4" w:rsidP="00262B0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62B05">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554DF4" w:rsidRPr="00262B05" w:rsidRDefault="00554DF4" w:rsidP="00262B05">
      <w:pPr>
        <w:autoSpaceDE w:val="0"/>
        <w:autoSpaceDN w:val="0"/>
        <w:adjustRightInd w:val="0"/>
        <w:spacing w:after="160" w:line="360" w:lineRule="auto"/>
        <w:ind w:left="567" w:right="567"/>
        <w:jc w:val="both"/>
        <w:rPr>
          <w:rFonts w:ascii="Palatino Linotype" w:hAnsi="Palatino Linotype" w:cs="Arial"/>
          <w:i/>
          <w:lang w:val="es-MX"/>
        </w:rPr>
      </w:pPr>
      <w:r w:rsidRPr="00262B05">
        <w:rPr>
          <w:rFonts w:ascii="Palatino Linotype" w:hAnsi="Palatino Linotype" w:cs="Arial"/>
          <w:b/>
          <w:bCs/>
          <w:i/>
          <w:lang w:val="es-MX"/>
        </w:rPr>
        <w:t xml:space="preserve">Artículo 3. </w:t>
      </w:r>
      <w:r w:rsidRPr="00262B05">
        <w:rPr>
          <w:rFonts w:ascii="Palatino Linotype" w:hAnsi="Palatino Linotype" w:cs="Arial"/>
          <w:i/>
          <w:lang w:val="es-MX"/>
        </w:rPr>
        <w:t>Para los efectos de la presente Ley se entenderá por:</w:t>
      </w:r>
    </w:p>
    <w:p w:rsidR="00554DF4" w:rsidRPr="00262B05" w:rsidRDefault="00554DF4" w:rsidP="00262B05">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62B05">
        <w:rPr>
          <w:rFonts w:ascii="Palatino Linotype" w:eastAsia="Calibri" w:hAnsi="Palatino Linotype" w:cs="Arial"/>
          <w:i/>
          <w:lang w:val="es-ES" w:eastAsia="es-MX"/>
        </w:rPr>
        <w:t xml:space="preserve"> (…)</w:t>
      </w:r>
    </w:p>
    <w:p w:rsidR="00554DF4" w:rsidRPr="00262B05" w:rsidRDefault="00554DF4" w:rsidP="00262B05">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62B05">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554DF4" w:rsidRPr="00262B05" w:rsidRDefault="00554DF4" w:rsidP="00262B05">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62B05">
        <w:rPr>
          <w:rFonts w:ascii="Palatino Linotype" w:eastAsia="Calibri" w:hAnsi="Palatino Linotype" w:cs="Arial"/>
          <w:i/>
          <w:lang w:val="es-ES" w:eastAsia="es-MX"/>
        </w:rPr>
        <w:t>(…)</w:t>
      </w:r>
    </w:p>
    <w:p w:rsidR="00554DF4" w:rsidRPr="00262B05" w:rsidRDefault="00554DF4" w:rsidP="00262B05">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62B05">
        <w:rPr>
          <w:rFonts w:ascii="Palatino Linotype" w:eastAsia="Calibri" w:hAnsi="Palatino Linotype" w:cs="Arial"/>
          <w:i/>
          <w:lang w:val="es-ES" w:eastAsia="es-MX"/>
        </w:rPr>
        <w:t>XX. Información clasificada: Aquella considerada por la presente Ley como reservada o confidencial;</w:t>
      </w:r>
    </w:p>
    <w:p w:rsidR="00554DF4" w:rsidRPr="00262B05" w:rsidRDefault="00554DF4" w:rsidP="00262B05">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62B05">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554DF4" w:rsidRPr="00262B05" w:rsidRDefault="00554DF4" w:rsidP="00262B05">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62B05">
        <w:rPr>
          <w:rFonts w:ascii="Palatino Linotype" w:eastAsia="Calibri" w:hAnsi="Palatino Linotype" w:cs="Arial"/>
          <w:i/>
          <w:lang w:val="es-ES" w:eastAsia="es-MX"/>
        </w:rPr>
        <w:t>(…)</w:t>
      </w:r>
    </w:p>
    <w:p w:rsidR="00554DF4" w:rsidRPr="00262B05" w:rsidRDefault="00554DF4" w:rsidP="00262B05">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62B05">
        <w:rPr>
          <w:rFonts w:ascii="Palatino Linotype" w:eastAsia="Calibri" w:hAnsi="Palatino Linotype" w:cs="Arial"/>
          <w:i/>
          <w:lang w:val="es-ES" w:eastAsia="es-MX"/>
        </w:rPr>
        <w:lastRenderedPageBreak/>
        <w:t>XLV. Versión pública: Documento en el que se elimine, suprime o borra la información clasificada como reservada o confidencial para permitir su acceso.</w:t>
      </w:r>
    </w:p>
    <w:p w:rsidR="00554DF4" w:rsidRPr="00262B05" w:rsidRDefault="00554DF4" w:rsidP="00262B05">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62B05">
        <w:rPr>
          <w:rFonts w:ascii="Palatino Linotype" w:eastAsia="Calibri" w:hAnsi="Palatino Linotype" w:cs="Arial"/>
          <w:i/>
          <w:lang w:val="es-ES" w:eastAsia="es-MX"/>
        </w:rPr>
        <w:t>(…)</w:t>
      </w:r>
    </w:p>
    <w:p w:rsidR="00554DF4" w:rsidRPr="00262B05" w:rsidRDefault="00554DF4" w:rsidP="00262B05">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62B05">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554DF4" w:rsidRPr="00262B05" w:rsidRDefault="00554DF4" w:rsidP="00262B05">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62B05">
        <w:rPr>
          <w:rFonts w:ascii="Palatino Linotype" w:eastAsia="Calibri" w:hAnsi="Palatino Linotype" w:cs="Arial"/>
          <w:i/>
          <w:lang w:val="es-ES" w:eastAsia="es-MX"/>
        </w:rPr>
        <w:t>(…)</w:t>
      </w:r>
    </w:p>
    <w:p w:rsidR="00554DF4" w:rsidRPr="00262B05" w:rsidRDefault="00554DF4" w:rsidP="00262B05">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62B05">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554DF4" w:rsidRPr="00262B05" w:rsidRDefault="00554DF4" w:rsidP="00262B05">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62B05">
        <w:rPr>
          <w:rFonts w:ascii="Palatino Linotype" w:eastAsia="Calibri" w:hAnsi="Palatino Linotype" w:cs="Arial"/>
          <w:i/>
          <w:lang w:val="es-ES" w:eastAsia="es-MX"/>
        </w:rPr>
        <w:t>(…)</w:t>
      </w:r>
    </w:p>
    <w:p w:rsidR="00554DF4" w:rsidRPr="00262B05" w:rsidRDefault="00554DF4" w:rsidP="00262B05">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62B05">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554DF4" w:rsidRPr="00262B05" w:rsidRDefault="00554DF4" w:rsidP="00262B05">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62B05">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262B05">
        <w:rPr>
          <w:rFonts w:ascii="Palatino Linotype" w:eastAsia="Calibri" w:hAnsi="Palatino Linotype" w:cs="Arial"/>
          <w:i/>
          <w:lang w:val="es-ES" w:eastAsia="es-MX"/>
        </w:rPr>
        <w:t>jurídico</w:t>
      </w:r>
      <w:proofErr w:type="gramEnd"/>
      <w:r w:rsidRPr="00262B05">
        <w:rPr>
          <w:rFonts w:ascii="Palatino Linotype" w:eastAsia="Calibri" w:hAnsi="Palatino Linotype" w:cs="Arial"/>
          <w:i/>
          <w:lang w:val="es-ES" w:eastAsia="es-MX"/>
        </w:rPr>
        <w:t xml:space="preserve"> colectiva identificada o identificable;</w:t>
      </w:r>
    </w:p>
    <w:p w:rsidR="00554DF4" w:rsidRPr="00262B05" w:rsidRDefault="00554DF4" w:rsidP="00262B05">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62B05">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554DF4" w:rsidRPr="00262B05" w:rsidRDefault="00554DF4" w:rsidP="00262B05">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262B05">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554DF4" w:rsidRPr="00262B05" w:rsidRDefault="00554DF4" w:rsidP="00262B0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62B05">
        <w:rPr>
          <w:rFonts w:ascii="Palatino Linotype" w:hAnsi="Palatino Linotype" w:cs="Arial"/>
        </w:rPr>
        <w:lastRenderedPageBreak/>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554DF4" w:rsidRPr="00262B05" w:rsidRDefault="00554DF4" w:rsidP="00262B05">
      <w:pPr>
        <w:pStyle w:val="Prrafodelista"/>
        <w:autoSpaceDE w:val="0"/>
        <w:autoSpaceDN w:val="0"/>
        <w:adjustRightInd w:val="0"/>
        <w:spacing w:after="160" w:line="360" w:lineRule="auto"/>
        <w:ind w:left="426" w:right="50"/>
        <w:jc w:val="both"/>
        <w:rPr>
          <w:rFonts w:ascii="Palatino Linotype" w:eastAsia="Calibri" w:hAnsi="Palatino Linotype" w:cs="Arial"/>
          <w:lang w:val="es-ES" w:eastAsia="es-MX"/>
        </w:rPr>
      </w:pPr>
    </w:p>
    <w:p w:rsidR="00554DF4" w:rsidRPr="00262B05" w:rsidRDefault="00554DF4" w:rsidP="00262B0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62B05">
        <w:rPr>
          <w:rFonts w:ascii="Palatino Linotype" w:hAnsi="Palatino Linotype" w:cs="Arial"/>
        </w:rPr>
        <w:t>Como consecuencia de lo anterior, el sujeto obligado debe identificar claramente el tipo de información y hacer un juicio de subsunción o encaje</w:t>
      </w:r>
      <w:r w:rsidRPr="00262B05">
        <w:rPr>
          <w:rStyle w:val="Refdenotaalpie"/>
          <w:rFonts w:ascii="Palatino Linotype" w:hAnsi="Palatino Linotype" w:cs="Arial"/>
        </w:rPr>
        <w:footnoteReference w:id="8"/>
      </w:r>
      <w:r w:rsidRPr="00262B05">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554DF4" w:rsidRPr="00262B05" w:rsidRDefault="00554DF4" w:rsidP="00262B05">
      <w:pPr>
        <w:pStyle w:val="Prrafodelista"/>
        <w:spacing w:line="360" w:lineRule="auto"/>
        <w:rPr>
          <w:rFonts w:ascii="Palatino Linotype" w:eastAsia="Calibri" w:hAnsi="Palatino Linotype" w:cs="Arial"/>
          <w:lang w:val="es-ES" w:eastAsia="es-MX"/>
        </w:rPr>
      </w:pPr>
    </w:p>
    <w:p w:rsidR="00554DF4" w:rsidRPr="00262B05" w:rsidRDefault="00554DF4" w:rsidP="00262B0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62B05">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554DF4" w:rsidRPr="00262B05" w:rsidRDefault="00554DF4" w:rsidP="00262B05">
      <w:pPr>
        <w:pStyle w:val="Prrafodelista"/>
        <w:spacing w:line="360" w:lineRule="auto"/>
        <w:rPr>
          <w:rFonts w:ascii="Palatino Linotype" w:eastAsia="Calibri" w:hAnsi="Palatino Linotype" w:cs="Arial"/>
          <w:lang w:val="es-ES" w:eastAsia="es-MX"/>
        </w:rPr>
      </w:pPr>
    </w:p>
    <w:p w:rsidR="00554DF4" w:rsidRPr="00262B05" w:rsidRDefault="00554DF4" w:rsidP="00262B05">
      <w:pPr>
        <w:pStyle w:val="Ttulo3"/>
        <w:numPr>
          <w:ilvl w:val="0"/>
          <w:numId w:val="5"/>
        </w:numPr>
        <w:spacing w:line="360" w:lineRule="auto"/>
        <w:rPr>
          <w:rFonts w:ascii="Palatino Linotype" w:hAnsi="Palatino Linotype"/>
          <w:b/>
          <w:color w:val="auto"/>
        </w:rPr>
      </w:pPr>
      <w:bookmarkStart w:id="48" w:name="_Toc15463066"/>
      <w:bookmarkStart w:id="49" w:name="_Toc10142624"/>
      <w:bookmarkStart w:id="50" w:name="_Toc2871955"/>
      <w:bookmarkStart w:id="51" w:name="_Toc531859123"/>
      <w:bookmarkStart w:id="52" w:name="_Toc24476671"/>
      <w:r w:rsidRPr="00262B05">
        <w:rPr>
          <w:rFonts w:ascii="Palatino Linotype" w:hAnsi="Palatino Linotype"/>
          <w:b/>
          <w:color w:val="auto"/>
        </w:rPr>
        <w:lastRenderedPageBreak/>
        <w:t>La intervención del Comité de Transparencia.</w:t>
      </w:r>
      <w:bookmarkEnd w:id="48"/>
      <w:bookmarkEnd w:id="49"/>
      <w:bookmarkEnd w:id="50"/>
      <w:bookmarkEnd w:id="51"/>
      <w:bookmarkEnd w:id="52"/>
    </w:p>
    <w:p w:rsidR="00554DF4" w:rsidRPr="00262B05" w:rsidRDefault="00554DF4" w:rsidP="00262B05">
      <w:pPr>
        <w:spacing w:line="360" w:lineRule="auto"/>
        <w:rPr>
          <w:rFonts w:ascii="Palatino Linotype" w:hAnsi="Palatino Linotype"/>
        </w:rPr>
      </w:pPr>
    </w:p>
    <w:p w:rsidR="00554DF4" w:rsidRPr="00262B05" w:rsidRDefault="00554DF4" w:rsidP="00262B05">
      <w:pPr>
        <w:pStyle w:val="Ttulo4"/>
        <w:numPr>
          <w:ilvl w:val="1"/>
          <w:numId w:val="1"/>
        </w:numPr>
        <w:spacing w:line="360" w:lineRule="auto"/>
        <w:ind w:left="1560"/>
        <w:rPr>
          <w:rFonts w:ascii="Palatino Linotype" w:hAnsi="Palatino Linotype"/>
          <w:b/>
          <w:i w:val="0"/>
          <w:color w:val="auto"/>
        </w:rPr>
      </w:pPr>
      <w:r w:rsidRPr="00262B05">
        <w:rPr>
          <w:rFonts w:ascii="Palatino Linotype" w:hAnsi="Palatino Linotype"/>
          <w:b/>
          <w:i w:val="0"/>
          <w:color w:val="auto"/>
        </w:rPr>
        <w:t>Formalidades para emitir el acuerdo de clasificación.</w:t>
      </w:r>
    </w:p>
    <w:p w:rsidR="00554DF4" w:rsidRPr="00262B05" w:rsidRDefault="00554DF4" w:rsidP="00262B05">
      <w:pPr>
        <w:spacing w:line="360" w:lineRule="auto"/>
        <w:rPr>
          <w:rFonts w:ascii="Palatino Linotype" w:hAnsi="Palatino Linotype"/>
          <w:lang w:val="es-MX" w:eastAsia="en-US"/>
        </w:rPr>
      </w:pPr>
    </w:p>
    <w:p w:rsidR="00554DF4" w:rsidRPr="00262B05" w:rsidRDefault="00554DF4" w:rsidP="00262B0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62B05">
        <w:rPr>
          <w:rFonts w:ascii="Palatino Linotype" w:hAnsi="Palatino Linotype" w:cs="Arial"/>
        </w:rPr>
        <w:t xml:space="preserve">El Comité de Transparencia, según lo dispuesto en los artículos 128 y 103 de la Ley Estatal y de la Ley General, respectivamente, y </w:t>
      </w:r>
      <w:r w:rsidRPr="00262B05">
        <w:rPr>
          <w:rFonts w:ascii="Palatino Linotype" w:hAnsi="Palatino Linotype"/>
        </w:rPr>
        <w:t xml:space="preserve">la fracción III del numeral Segundo de los </w:t>
      </w:r>
      <w:r w:rsidRPr="00262B05">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262B05">
        <w:rPr>
          <w:rFonts w:ascii="Palatino Linotype" w:hAnsi="Palatino Linotype"/>
        </w:rPr>
        <w:t xml:space="preserve"> </w:t>
      </w:r>
      <w:r w:rsidRPr="00262B05">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554DF4" w:rsidRPr="00262B05" w:rsidRDefault="00554DF4" w:rsidP="00262B05">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554DF4" w:rsidRPr="00262B05" w:rsidRDefault="00554DF4" w:rsidP="00262B0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62B05">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554DF4" w:rsidRPr="00262B05" w:rsidRDefault="00554DF4" w:rsidP="00262B05">
      <w:pPr>
        <w:pStyle w:val="Prrafodelista"/>
        <w:spacing w:line="360" w:lineRule="auto"/>
        <w:rPr>
          <w:rFonts w:ascii="Palatino Linotype" w:eastAsia="Calibri" w:hAnsi="Palatino Linotype" w:cs="Arial"/>
          <w:lang w:val="es-ES" w:eastAsia="es-MX"/>
        </w:rPr>
      </w:pPr>
    </w:p>
    <w:p w:rsidR="00554DF4" w:rsidRPr="00262B05" w:rsidRDefault="00554DF4" w:rsidP="00262B0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62B05">
        <w:rPr>
          <w:rFonts w:ascii="Palatino Linotype" w:hAnsi="Palatino Linotype"/>
        </w:rPr>
        <w:lastRenderedPageBreak/>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554DF4" w:rsidRPr="00262B05" w:rsidRDefault="00554DF4" w:rsidP="00262B05">
      <w:pPr>
        <w:spacing w:line="360" w:lineRule="auto"/>
        <w:rPr>
          <w:rFonts w:ascii="Palatino Linotype" w:hAnsi="Palatino Linotype"/>
        </w:rPr>
      </w:pPr>
    </w:p>
    <w:p w:rsidR="00554DF4" w:rsidRPr="00262B05" w:rsidRDefault="00554DF4" w:rsidP="00262B05">
      <w:pPr>
        <w:pStyle w:val="Ttulo4"/>
        <w:numPr>
          <w:ilvl w:val="0"/>
          <w:numId w:val="6"/>
        </w:numPr>
        <w:spacing w:line="360" w:lineRule="auto"/>
        <w:rPr>
          <w:rFonts w:ascii="Palatino Linotype" w:hAnsi="Palatino Linotype"/>
          <w:b/>
          <w:i w:val="0"/>
        </w:rPr>
      </w:pPr>
      <w:r w:rsidRPr="00262B05">
        <w:rPr>
          <w:rFonts w:ascii="Palatino Linotype" w:hAnsi="Palatino Linotype"/>
          <w:b/>
          <w:i w:val="0"/>
          <w:color w:val="auto"/>
        </w:rPr>
        <w:t>Requisitos de fondo del acuerdo de clasificación</w:t>
      </w:r>
    </w:p>
    <w:p w:rsidR="00554DF4" w:rsidRPr="00262B05" w:rsidRDefault="00554DF4" w:rsidP="00262B05">
      <w:pPr>
        <w:pStyle w:val="Prrafodelista"/>
        <w:spacing w:line="360" w:lineRule="auto"/>
        <w:rPr>
          <w:rFonts w:ascii="Palatino Linotype" w:eastAsia="Calibri" w:hAnsi="Palatino Linotype" w:cs="Arial"/>
          <w:lang w:val="es-ES" w:eastAsia="es-MX"/>
        </w:rPr>
      </w:pPr>
    </w:p>
    <w:p w:rsidR="00554DF4" w:rsidRPr="00262B05" w:rsidRDefault="00554DF4" w:rsidP="00262B0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62B05">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554DF4" w:rsidRPr="00262B05" w:rsidRDefault="00554DF4" w:rsidP="00262B05">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554DF4" w:rsidRPr="00262B05" w:rsidRDefault="00554DF4" w:rsidP="00262B0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62B05">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554DF4" w:rsidRPr="00262B05" w:rsidRDefault="00554DF4" w:rsidP="00262B05">
      <w:pPr>
        <w:pStyle w:val="Prrafodelista"/>
        <w:spacing w:line="360" w:lineRule="auto"/>
        <w:rPr>
          <w:rFonts w:ascii="Palatino Linotype" w:eastAsia="Calibri" w:hAnsi="Palatino Linotype" w:cs="Arial"/>
          <w:lang w:val="es-ES" w:eastAsia="es-MX"/>
        </w:rPr>
      </w:pPr>
    </w:p>
    <w:p w:rsidR="00554DF4" w:rsidRPr="00262B05" w:rsidRDefault="00554DF4" w:rsidP="00262B0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62B05">
        <w:rPr>
          <w:rFonts w:ascii="Palatino Linotype" w:eastAsia="Times New Roman" w:hAnsi="Palatino Linotype" w:cs="Arial"/>
          <w:lang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262B05">
        <w:rPr>
          <w:rStyle w:val="Refdenotaalpie"/>
          <w:rFonts w:ascii="Palatino Linotype" w:eastAsia="Times New Roman" w:hAnsi="Palatino Linotype" w:cs="Arial"/>
          <w:lang w:eastAsia="es-MX"/>
        </w:rPr>
        <w:footnoteReference w:id="9"/>
      </w:r>
    </w:p>
    <w:p w:rsidR="00554DF4" w:rsidRPr="00262B05" w:rsidRDefault="00554DF4" w:rsidP="00262B05">
      <w:pPr>
        <w:pStyle w:val="Prrafodelista"/>
        <w:spacing w:line="360" w:lineRule="auto"/>
        <w:rPr>
          <w:rFonts w:ascii="Palatino Linotype" w:eastAsia="Calibri" w:hAnsi="Palatino Linotype" w:cs="Arial"/>
          <w:lang w:val="es-ES" w:eastAsia="es-MX"/>
        </w:rPr>
      </w:pPr>
    </w:p>
    <w:p w:rsidR="00554DF4" w:rsidRPr="00262B05" w:rsidRDefault="00554DF4" w:rsidP="00262B05">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262B05">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554DF4" w:rsidRPr="00262B05" w:rsidRDefault="00554DF4" w:rsidP="00262B05">
      <w:pPr>
        <w:spacing w:line="360" w:lineRule="auto"/>
        <w:ind w:left="567" w:right="567"/>
        <w:contextualSpacing/>
        <w:jc w:val="both"/>
        <w:rPr>
          <w:rFonts w:ascii="Palatino Linotype" w:hAnsi="Palatino Linotype" w:cs="Arial"/>
          <w:i/>
        </w:rPr>
      </w:pPr>
      <w:r w:rsidRPr="00262B05">
        <w:rPr>
          <w:rFonts w:ascii="Palatino Linotype" w:hAnsi="Palatino Linotype" w:cs="Arial"/>
          <w:b/>
          <w:i/>
        </w:rPr>
        <w:t>FUNDAMENTACIÓN Y MOTIVACIÓN.</w:t>
      </w:r>
      <w:r w:rsidRPr="00262B05">
        <w:rPr>
          <w:rFonts w:ascii="Palatino Linotype" w:hAnsi="Palatino Linotype" w:cs="Arial"/>
          <w:i/>
        </w:rPr>
        <w:t xml:space="preserve"> La </w:t>
      </w:r>
      <w:r w:rsidRPr="00262B05">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62B05">
        <w:rPr>
          <w:rFonts w:ascii="Palatino Linotype" w:hAnsi="Palatino Linotype" w:cs="Arial"/>
          <w:i/>
        </w:rPr>
        <w:t>.</w:t>
      </w:r>
    </w:p>
    <w:p w:rsidR="00554DF4" w:rsidRPr="00262B05" w:rsidRDefault="00554DF4" w:rsidP="00262B05">
      <w:pPr>
        <w:spacing w:line="360" w:lineRule="auto"/>
        <w:ind w:left="567" w:right="567"/>
        <w:contextualSpacing/>
        <w:jc w:val="both"/>
        <w:rPr>
          <w:rFonts w:ascii="Palatino Linotype" w:hAnsi="Palatino Linotype" w:cs="Arial"/>
          <w:i/>
        </w:rPr>
      </w:pPr>
      <w:r w:rsidRPr="00262B05">
        <w:rPr>
          <w:rFonts w:ascii="Palatino Linotype" w:hAnsi="Palatino Linotype" w:cs="Arial"/>
          <w:i/>
        </w:rPr>
        <w:t>SEGUNDO TRIBUNAL COLEGIADO DEL SEXTO CIRCUITO.</w:t>
      </w:r>
    </w:p>
    <w:p w:rsidR="00554DF4" w:rsidRPr="00262B05" w:rsidRDefault="00554DF4" w:rsidP="00262B05">
      <w:pPr>
        <w:spacing w:line="360" w:lineRule="auto"/>
        <w:ind w:left="567" w:right="567"/>
        <w:contextualSpacing/>
        <w:jc w:val="both"/>
        <w:rPr>
          <w:rFonts w:ascii="Palatino Linotype" w:hAnsi="Palatino Linotype" w:cs="Arial"/>
          <w:i/>
        </w:rPr>
      </w:pPr>
      <w:r w:rsidRPr="00262B05">
        <w:rPr>
          <w:rFonts w:ascii="Palatino Linotype" w:hAnsi="Palatino Linotype" w:cs="Arial"/>
          <w:i/>
        </w:rPr>
        <w:lastRenderedPageBreak/>
        <w:t>Amparo directo 194/88. Bufete Industrial Construcciones, S.A. de C.V. 28 de junio de 1988. Unanimidad de votos. Ponente: Gustavo Calvillo Rangel. Secretario: Jorge Alberto González Álvarez.</w:t>
      </w:r>
    </w:p>
    <w:p w:rsidR="00554DF4" w:rsidRPr="00262B05" w:rsidRDefault="00554DF4" w:rsidP="00262B05">
      <w:pPr>
        <w:spacing w:line="360" w:lineRule="auto"/>
        <w:ind w:left="567" w:right="567"/>
        <w:contextualSpacing/>
        <w:jc w:val="both"/>
        <w:rPr>
          <w:rFonts w:ascii="Palatino Linotype" w:hAnsi="Palatino Linotype" w:cs="Arial"/>
          <w:i/>
        </w:rPr>
      </w:pPr>
      <w:r w:rsidRPr="00262B05">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262B05">
        <w:rPr>
          <w:rFonts w:ascii="Palatino Linotype" w:hAnsi="Palatino Linotype" w:cs="Arial"/>
          <w:i/>
        </w:rPr>
        <w:t>Esponda</w:t>
      </w:r>
      <w:proofErr w:type="spellEnd"/>
      <w:r w:rsidRPr="00262B05">
        <w:rPr>
          <w:rFonts w:ascii="Palatino Linotype" w:hAnsi="Palatino Linotype" w:cs="Arial"/>
          <w:i/>
        </w:rPr>
        <w:t xml:space="preserve"> Rincón.</w:t>
      </w:r>
    </w:p>
    <w:p w:rsidR="00554DF4" w:rsidRPr="00262B05" w:rsidRDefault="00554DF4" w:rsidP="00262B05">
      <w:pPr>
        <w:spacing w:line="360" w:lineRule="auto"/>
        <w:ind w:left="567" w:right="567"/>
        <w:contextualSpacing/>
        <w:jc w:val="both"/>
        <w:rPr>
          <w:rFonts w:ascii="Palatino Linotype" w:hAnsi="Palatino Linotype" w:cs="Arial"/>
          <w:i/>
        </w:rPr>
      </w:pPr>
      <w:r w:rsidRPr="00262B05">
        <w:rPr>
          <w:rFonts w:ascii="Palatino Linotype" w:hAnsi="Palatino Linotype" w:cs="Arial"/>
          <w:i/>
        </w:rPr>
        <w:t xml:space="preserve">Amparo en revisión 333/88. </w:t>
      </w:r>
      <w:proofErr w:type="spellStart"/>
      <w:r w:rsidRPr="00262B05">
        <w:rPr>
          <w:rFonts w:ascii="Palatino Linotype" w:hAnsi="Palatino Linotype" w:cs="Arial"/>
          <w:i/>
        </w:rPr>
        <w:t>Adilia</w:t>
      </w:r>
      <w:proofErr w:type="spellEnd"/>
      <w:r w:rsidRPr="00262B05">
        <w:rPr>
          <w:rFonts w:ascii="Palatino Linotype" w:hAnsi="Palatino Linotype" w:cs="Arial"/>
          <w:i/>
        </w:rPr>
        <w:t xml:space="preserve"> Romero. 26 de octubre de 1988. Unanimidad de votos. Ponente: Arnoldo Nájera Virgen. Secretario: Enrique Crispín Campos Ramírez.</w:t>
      </w:r>
    </w:p>
    <w:p w:rsidR="00554DF4" w:rsidRPr="00262B05" w:rsidRDefault="00554DF4" w:rsidP="00262B05">
      <w:pPr>
        <w:spacing w:line="360" w:lineRule="auto"/>
        <w:ind w:left="567" w:right="567"/>
        <w:contextualSpacing/>
        <w:jc w:val="both"/>
        <w:rPr>
          <w:rFonts w:ascii="Palatino Linotype" w:hAnsi="Palatino Linotype" w:cs="Arial"/>
          <w:i/>
        </w:rPr>
      </w:pPr>
      <w:r w:rsidRPr="00262B05">
        <w:rPr>
          <w:rFonts w:ascii="Palatino Linotype" w:hAnsi="Palatino Linotype" w:cs="Arial"/>
          <w:i/>
        </w:rPr>
        <w:t xml:space="preserve">Amparo en revisión 597/95. Emilio Maurer Bretón. 15 de noviembre de 1995. Unanimidad de votos. Ponente: Clementina Ramírez Moguel </w:t>
      </w:r>
      <w:proofErr w:type="spellStart"/>
      <w:r w:rsidRPr="00262B05">
        <w:rPr>
          <w:rFonts w:ascii="Palatino Linotype" w:hAnsi="Palatino Linotype" w:cs="Arial"/>
          <w:i/>
        </w:rPr>
        <w:t>Goyzueta</w:t>
      </w:r>
      <w:proofErr w:type="spellEnd"/>
      <w:r w:rsidRPr="00262B05">
        <w:rPr>
          <w:rFonts w:ascii="Palatino Linotype" w:hAnsi="Palatino Linotype" w:cs="Arial"/>
          <w:i/>
        </w:rPr>
        <w:t>. Secretario: Gonzalo Carrera Molina.</w:t>
      </w:r>
    </w:p>
    <w:p w:rsidR="00554DF4" w:rsidRPr="00262B05" w:rsidRDefault="00554DF4" w:rsidP="00262B05">
      <w:pPr>
        <w:spacing w:line="360" w:lineRule="auto"/>
        <w:ind w:left="567" w:right="567"/>
        <w:contextualSpacing/>
        <w:jc w:val="both"/>
        <w:rPr>
          <w:rFonts w:ascii="Palatino Linotype" w:hAnsi="Palatino Linotype" w:cs="Arial"/>
          <w:i/>
        </w:rPr>
      </w:pPr>
      <w:r w:rsidRPr="00262B05">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262B05">
        <w:rPr>
          <w:rFonts w:ascii="Palatino Linotype" w:hAnsi="Palatino Linotype" w:cs="Arial"/>
          <w:i/>
        </w:rPr>
        <w:t>Baigts</w:t>
      </w:r>
      <w:proofErr w:type="spellEnd"/>
      <w:r w:rsidRPr="00262B05">
        <w:rPr>
          <w:rFonts w:ascii="Palatino Linotype" w:hAnsi="Palatino Linotype" w:cs="Arial"/>
          <w:i/>
        </w:rPr>
        <w:t xml:space="preserve"> Muñoz.</w:t>
      </w:r>
    </w:p>
    <w:p w:rsidR="00554DF4" w:rsidRPr="00262B05" w:rsidRDefault="00554DF4" w:rsidP="00262B05">
      <w:pPr>
        <w:spacing w:line="360" w:lineRule="auto"/>
        <w:ind w:firstLine="1418"/>
        <w:jc w:val="both"/>
        <w:rPr>
          <w:rFonts w:ascii="Palatino Linotype" w:hAnsi="Palatino Linotype" w:cs="Arial"/>
          <w:lang w:val="es-ES"/>
        </w:rPr>
      </w:pPr>
    </w:p>
    <w:p w:rsidR="00554DF4" w:rsidRPr="00262B05" w:rsidRDefault="00554DF4" w:rsidP="00262B05">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262B05">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554DF4" w:rsidRPr="00262B05" w:rsidRDefault="00554DF4" w:rsidP="00262B05">
      <w:pPr>
        <w:pStyle w:val="Prrafodelista"/>
        <w:shd w:val="clear" w:color="auto" w:fill="FFFFFF"/>
        <w:spacing w:line="360" w:lineRule="auto"/>
        <w:ind w:left="360"/>
        <w:jc w:val="both"/>
        <w:rPr>
          <w:rFonts w:ascii="Palatino Linotype" w:eastAsia="Times New Roman" w:hAnsi="Palatino Linotype" w:cs="Arial"/>
          <w:lang w:eastAsia="es-MX"/>
        </w:rPr>
      </w:pPr>
    </w:p>
    <w:p w:rsidR="00554DF4" w:rsidRPr="00262B05" w:rsidRDefault="00554DF4" w:rsidP="00262B05">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262B05">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554DF4" w:rsidRPr="00262B05" w:rsidRDefault="00554DF4" w:rsidP="00262B05">
      <w:pPr>
        <w:shd w:val="clear" w:color="auto" w:fill="FFFFFF"/>
        <w:spacing w:line="360" w:lineRule="auto"/>
        <w:jc w:val="both"/>
        <w:rPr>
          <w:rFonts w:ascii="Palatino Linotype" w:eastAsia="Times New Roman" w:hAnsi="Palatino Linotype" w:cs="Arial"/>
          <w:lang w:eastAsia="es-MX"/>
        </w:rPr>
      </w:pPr>
    </w:p>
    <w:p w:rsidR="00554DF4" w:rsidRPr="00262B05" w:rsidRDefault="00554DF4" w:rsidP="00262B05">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262B05">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554DF4" w:rsidRPr="00262B05" w:rsidRDefault="00554DF4" w:rsidP="00262B05">
      <w:pPr>
        <w:shd w:val="clear" w:color="auto" w:fill="FFFFFF"/>
        <w:spacing w:line="360" w:lineRule="auto"/>
        <w:jc w:val="both"/>
        <w:rPr>
          <w:rFonts w:ascii="Palatino Linotype" w:eastAsia="Times New Roman" w:hAnsi="Palatino Linotype" w:cs="Arial"/>
          <w:lang w:eastAsia="es-MX"/>
        </w:rPr>
      </w:pPr>
    </w:p>
    <w:p w:rsidR="00554DF4" w:rsidRPr="00262B05" w:rsidRDefault="00554DF4" w:rsidP="00262B05">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262B05">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262B05">
        <w:rPr>
          <w:rFonts w:ascii="Palatino Linotype" w:hAnsi="Palatino Linotype"/>
        </w:rPr>
        <w:t xml:space="preserve"> </w:t>
      </w:r>
      <w:r w:rsidRPr="00262B05">
        <w:rPr>
          <w:rFonts w:ascii="Palatino Linotype" w:eastAsia="Times New Roman" w:hAnsi="Palatino Linotype" w:cs="Arial"/>
          <w:lang w:eastAsia="es-MX"/>
        </w:rPr>
        <w:t>datos personales</w:t>
      </w:r>
      <w:r w:rsidRPr="00262B05">
        <w:rPr>
          <w:rStyle w:val="Refdenotaalpie"/>
          <w:rFonts w:ascii="Palatino Linotype" w:eastAsia="Times New Roman" w:hAnsi="Palatino Linotype" w:cs="Arial"/>
          <w:lang w:eastAsia="es-MX"/>
        </w:rPr>
        <w:footnoteReference w:id="10"/>
      </w:r>
      <w:r w:rsidRPr="00262B05">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262B05">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554DF4" w:rsidRPr="00262B05" w:rsidRDefault="00554DF4" w:rsidP="00262B05">
      <w:pPr>
        <w:pStyle w:val="Prrafodelista"/>
        <w:spacing w:line="360" w:lineRule="auto"/>
        <w:rPr>
          <w:rFonts w:ascii="Palatino Linotype" w:eastAsia="Times New Roman" w:hAnsi="Palatino Linotype" w:cs="Arial"/>
          <w:lang w:eastAsia="es-MX"/>
        </w:rPr>
      </w:pPr>
    </w:p>
    <w:p w:rsidR="00554DF4" w:rsidRPr="00262B05" w:rsidRDefault="00554DF4" w:rsidP="00262B05">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262B05">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554DF4" w:rsidRPr="00262B05" w:rsidRDefault="00554DF4" w:rsidP="00262B05">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554DF4" w:rsidRDefault="00554DF4" w:rsidP="00262B05">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262B05">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262B05">
        <w:rPr>
          <w:rFonts w:ascii="Palatino Linotype" w:hAnsi="Palatino Linotype"/>
          <w:lang w:val="es-ES"/>
        </w:rPr>
        <w:t xml:space="preserve"> </w:t>
      </w:r>
      <w:bookmarkEnd w:id="30"/>
      <w:bookmarkEnd w:id="31"/>
      <w:bookmarkEnd w:id="32"/>
      <w:bookmarkEnd w:id="33"/>
      <w:bookmarkEnd w:id="34"/>
      <w:bookmarkEnd w:id="35"/>
      <w:bookmarkEnd w:id="36"/>
      <w:bookmarkEnd w:id="37"/>
    </w:p>
    <w:p w:rsidR="00262B05" w:rsidRPr="00262B05" w:rsidRDefault="00262B05" w:rsidP="00262B05">
      <w:pPr>
        <w:pStyle w:val="Prrafodelista"/>
        <w:tabs>
          <w:tab w:val="left" w:pos="851"/>
        </w:tabs>
        <w:spacing w:before="240" w:after="240" w:line="360" w:lineRule="auto"/>
        <w:ind w:left="0" w:right="49"/>
        <w:jc w:val="both"/>
        <w:rPr>
          <w:rFonts w:ascii="Palatino Linotype" w:hAnsi="Palatino Linotype"/>
          <w:lang w:val="es-ES"/>
        </w:rPr>
      </w:pPr>
    </w:p>
    <w:p w:rsidR="00554DF4" w:rsidRPr="00262B05" w:rsidRDefault="00554DF4" w:rsidP="00262B05">
      <w:pPr>
        <w:pStyle w:val="Prrafodelista"/>
        <w:numPr>
          <w:ilvl w:val="0"/>
          <w:numId w:val="1"/>
        </w:numPr>
        <w:spacing w:before="240" w:after="240" w:line="360" w:lineRule="auto"/>
        <w:ind w:left="0" w:firstLine="0"/>
        <w:jc w:val="both"/>
        <w:rPr>
          <w:rFonts w:ascii="Palatino Linotype" w:hAnsi="Palatino Linotype" w:cs="Arial"/>
        </w:rPr>
      </w:pPr>
      <w:r w:rsidRPr="00262B05">
        <w:rPr>
          <w:rFonts w:ascii="Palatino Linotype" w:hAnsi="Palatino Linotype"/>
          <w:color w:val="000000"/>
          <w:lang w:val="es-ES" w:eastAsia="es-MX"/>
        </w:rPr>
        <w:t xml:space="preserve">Por lo anteriormente expuesto y fundado, este </w:t>
      </w:r>
      <w:r w:rsidRPr="00262B05">
        <w:rPr>
          <w:rFonts w:ascii="Palatino Linotype" w:hAnsi="Palatino Linotype"/>
          <w:b/>
          <w:bCs/>
          <w:color w:val="000000"/>
          <w:lang w:val="es-ES" w:eastAsia="es-MX"/>
        </w:rPr>
        <w:t>ÓRGANO GARANTE</w:t>
      </w:r>
      <w:r w:rsidRPr="00262B05">
        <w:rPr>
          <w:rFonts w:ascii="Palatino Linotype" w:hAnsi="Palatino Linotype"/>
          <w:color w:val="000000"/>
          <w:lang w:val="es-ES" w:eastAsia="es-MX"/>
        </w:rPr>
        <w:t xml:space="preserve"> emite los siguientes:</w:t>
      </w:r>
    </w:p>
    <w:p w:rsidR="00532BBA" w:rsidRPr="00262B05" w:rsidRDefault="00262B05" w:rsidP="00262B05">
      <w:pPr>
        <w:spacing w:before="240" w:after="240" w:line="360" w:lineRule="auto"/>
        <w:jc w:val="both"/>
        <w:rPr>
          <w:rFonts w:ascii="Palatino Linotype" w:hAnsi="Palatino Linotype" w:cs="Arial"/>
        </w:rPr>
      </w:pPr>
      <w:r w:rsidRPr="00262B05">
        <w:rPr>
          <w:rFonts w:ascii="Palatino Linotype" w:hAnsi="Palatino Linotype"/>
          <w:noProof/>
          <w:color w:val="000000"/>
          <w:lang w:val="es-MX" w:eastAsia="es-MX"/>
        </w:rPr>
        <mc:AlternateContent>
          <mc:Choice Requires="wps">
            <w:drawing>
              <wp:anchor distT="0" distB="0" distL="114300" distR="114300" simplePos="0" relativeHeight="251660288" behindDoc="0" locked="0" layoutInCell="1" allowOverlap="1">
                <wp:simplePos x="0" y="0"/>
                <wp:positionH relativeFrom="column">
                  <wp:posOffset>23909</wp:posOffset>
                </wp:positionH>
                <wp:positionV relativeFrom="paragraph">
                  <wp:posOffset>94808</wp:posOffset>
                </wp:positionV>
                <wp:extent cx="5854148" cy="4989444"/>
                <wp:effectExtent l="19050" t="19050" r="32385" b="20955"/>
                <wp:wrapNone/>
                <wp:docPr id="1" name="Conector recto 1"/>
                <wp:cNvGraphicFramePr/>
                <a:graphic xmlns:a="http://schemas.openxmlformats.org/drawingml/2006/main">
                  <a:graphicData uri="http://schemas.microsoft.com/office/word/2010/wordprocessingShape">
                    <wps:wsp>
                      <wps:cNvCnPr/>
                      <wps:spPr>
                        <a:xfrm>
                          <a:off x="0" y="0"/>
                          <a:ext cx="5854148" cy="498944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11355A" id="Conector rec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7.45pt" to="462.85pt,4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" strokecolor="#5b9bd5 [3204]" strokeweight="3pt">
                <v:stroke joinstyle="miter"/>
              </v:line>
            </w:pict>
          </mc:Fallback>
        </mc:AlternateContent>
      </w:r>
    </w:p>
    <w:p w:rsidR="00532BBA" w:rsidRPr="00262B05" w:rsidRDefault="00532BBA" w:rsidP="00262B05">
      <w:pPr>
        <w:spacing w:before="240" w:after="240" w:line="360" w:lineRule="auto"/>
        <w:jc w:val="both"/>
        <w:rPr>
          <w:rFonts w:ascii="Palatino Linotype" w:hAnsi="Palatino Linotype" w:cs="Arial"/>
        </w:rPr>
      </w:pPr>
    </w:p>
    <w:p w:rsidR="00532BBA" w:rsidRPr="00262B05" w:rsidRDefault="00532BBA" w:rsidP="00262B05">
      <w:pPr>
        <w:spacing w:before="240" w:after="240" w:line="360" w:lineRule="auto"/>
        <w:jc w:val="both"/>
        <w:rPr>
          <w:rFonts w:ascii="Palatino Linotype" w:hAnsi="Palatino Linotype" w:cs="Arial"/>
        </w:rPr>
      </w:pPr>
    </w:p>
    <w:p w:rsidR="00532BBA" w:rsidRPr="00262B05" w:rsidRDefault="00532BBA" w:rsidP="00262B05">
      <w:pPr>
        <w:spacing w:before="240" w:after="240" w:line="360" w:lineRule="auto"/>
        <w:jc w:val="both"/>
        <w:rPr>
          <w:rFonts w:ascii="Palatino Linotype" w:hAnsi="Palatino Linotype" w:cs="Arial"/>
        </w:rPr>
      </w:pPr>
    </w:p>
    <w:p w:rsidR="00532BBA" w:rsidRPr="00262B05" w:rsidRDefault="00532BBA" w:rsidP="00262B05">
      <w:pPr>
        <w:spacing w:before="240" w:after="240" w:line="360" w:lineRule="auto"/>
        <w:jc w:val="both"/>
        <w:rPr>
          <w:rFonts w:ascii="Palatino Linotype" w:hAnsi="Palatino Linotype" w:cs="Arial"/>
        </w:rPr>
      </w:pPr>
    </w:p>
    <w:p w:rsidR="00532BBA" w:rsidRPr="00262B05" w:rsidRDefault="00532BBA" w:rsidP="00262B05">
      <w:pPr>
        <w:spacing w:before="240" w:after="240" w:line="360" w:lineRule="auto"/>
        <w:jc w:val="both"/>
        <w:rPr>
          <w:rFonts w:ascii="Palatino Linotype" w:hAnsi="Palatino Linotype" w:cs="Arial"/>
        </w:rPr>
      </w:pPr>
    </w:p>
    <w:p w:rsidR="00532BBA" w:rsidRDefault="00532BBA" w:rsidP="00262B05">
      <w:pPr>
        <w:spacing w:before="240" w:after="240" w:line="360" w:lineRule="auto"/>
        <w:jc w:val="both"/>
        <w:rPr>
          <w:rFonts w:ascii="Palatino Linotype" w:hAnsi="Palatino Linotype" w:cs="Arial"/>
        </w:rPr>
      </w:pPr>
    </w:p>
    <w:p w:rsidR="00262B05" w:rsidRDefault="00262B05" w:rsidP="00262B05">
      <w:pPr>
        <w:spacing w:before="240" w:after="240" w:line="360" w:lineRule="auto"/>
        <w:jc w:val="both"/>
        <w:rPr>
          <w:rFonts w:ascii="Palatino Linotype" w:hAnsi="Palatino Linotype" w:cs="Arial"/>
        </w:rPr>
      </w:pPr>
    </w:p>
    <w:p w:rsidR="00262B05" w:rsidRDefault="00262B05" w:rsidP="00262B05">
      <w:pPr>
        <w:spacing w:before="240" w:after="240" w:line="360" w:lineRule="auto"/>
        <w:jc w:val="both"/>
        <w:rPr>
          <w:rFonts w:ascii="Palatino Linotype" w:hAnsi="Palatino Linotype" w:cs="Arial"/>
        </w:rPr>
      </w:pPr>
    </w:p>
    <w:p w:rsidR="00262B05" w:rsidRPr="00262B05" w:rsidRDefault="00262B05" w:rsidP="00262B05">
      <w:pPr>
        <w:spacing w:before="240" w:after="240" w:line="360" w:lineRule="auto"/>
        <w:jc w:val="both"/>
        <w:rPr>
          <w:rFonts w:ascii="Palatino Linotype" w:hAnsi="Palatino Linotype" w:cs="Arial"/>
        </w:rPr>
      </w:pPr>
    </w:p>
    <w:p w:rsidR="00554DF4" w:rsidRPr="00262B05" w:rsidRDefault="00554DF4" w:rsidP="00262B05">
      <w:pPr>
        <w:keepNext/>
        <w:keepLines/>
        <w:spacing w:line="360" w:lineRule="auto"/>
        <w:jc w:val="center"/>
        <w:outlineLvl w:val="0"/>
        <w:rPr>
          <w:rFonts w:ascii="Palatino Linotype" w:eastAsia="Times New Roman" w:hAnsi="Palatino Linotype" w:cstheme="majorBidi"/>
          <w:b/>
          <w:bCs/>
        </w:rPr>
      </w:pPr>
      <w:bookmarkStart w:id="53" w:name="_Toc486525261"/>
      <w:bookmarkStart w:id="54" w:name="_Toc445745148"/>
      <w:bookmarkStart w:id="55" w:name="_Toc447699324"/>
      <w:bookmarkStart w:id="56" w:name="_Toc24476672"/>
      <w:r w:rsidRPr="00262B05">
        <w:rPr>
          <w:rFonts w:ascii="Palatino Linotype" w:eastAsia="Times New Roman" w:hAnsi="Palatino Linotype" w:cstheme="majorBidi"/>
          <w:b/>
          <w:bCs/>
        </w:rPr>
        <w:lastRenderedPageBreak/>
        <w:t>R E S O L U T I V O S</w:t>
      </w:r>
      <w:bookmarkEnd w:id="53"/>
      <w:bookmarkEnd w:id="54"/>
      <w:bookmarkEnd w:id="55"/>
      <w:bookmarkEnd w:id="56"/>
    </w:p>
    <w:p w:rsidR="00554DF4" w:rsidRPr="00262B05" w:rsidRDefault="00554DF4" w:rsidP="00262B05">
      <w:pPr>
        <w:keepNext/>
        <w:keepLines/>
        <w:spacing w:line="360" w:lineRule="auto"/>
        <w:jc w:val="center"/>
        <w:outlineLvl w:val="0"/>
        <w:rPr>
          <w:rFonts w:ascii="Palatino Linotype" w:eastAsia="Times New Roman" w:hAnsi="Palatino Linotype" w:cstheme="majorBidi"/>
          <w:b/>
          <w:bCs/>
        </w:rPr>
      </w:pPr>
    </w:p>
    <w:p w:rsidR="00554DF4" w:rsidRPr="00262B05" w:rsidRDefault="00554DF4" w:rsidP="00262B05">
      <w:pPr>
        <w:pStyle w:val="Prrafodelista"/>
        <w:widowControl w:val="0"/>
        <w:tabs>
          <w:tab w:val="left" w:pos="1701"/>
        </w:tabs>
        <w:autoSpaceDE w:val="0"/>
        <w:autoSpaceDN w:val="0"/>
        <w:adjustRightInd w:val="0"/>
        <w:spacing w:before="120" w:line="360" w:lineRule="auto"/>
        <w:ind w:left="0"/>
        <w:jc w:val="both"/>
        <w:rPr>
          <w:rFonts w:ascii="Palatino Linotype" w:hAnsi="Palatino Linotype" w:cs="Arial"/>
        </w:rPr>
      </w:pPr>
      <w:bookmarkStart w:id="57" w:name="_Toc460947011"/>
      <w:bookmarkStart w:id="58" w:name="_Toc450120669"/>
      <w:bookmarkEnd w:id="11"/>
      <w:bookmarkEnd w:id="12"/>
      <w:bookmarkEnd w:id="13"/>
      <w:r w:rsidRPr="00262B05">
        <w:rPr>
          <w:rFonts w:ascii="Palatino Linotype" w:eastAsia="Times New Roman" w:hAnsi="Palatino Linotype" w:cs="Arial"/>
          <w:b/>
        </w:rPr>
        <w:t xml:space="preserve">PRIMERO. </w:t>
      </w:r>
      <w:r w:rsidRPr="00262B05">
        <w:rPr>
          <w:rFonts w:ascii="Palatino Linotype" w:hAnsi="Palatino Linotype"/>
        </w:rPr>
        <w:t xml:space="preserve">Resultan </w:t>
      </w:r>
      <w:r w:rsidR="000E2AC3" w:rsidRPr="00262B05">
        <w:rPr>
          <w:rFonts w:ascii="Palatino Linotype" w:hAnsi="Palatino Linotype"/>
        </w:rPr>
        <w:t xml:space="preserve">parcialmente </w:t>
      </w:r>
      <w:r w:rsidRPr="00262B05">
        <w:rPr>
          <w:rFonts w:ascii="Palatino Linotype" w:hAnsi="Palatino Linotype"/>
        </w:rPr>
        <w:t xml:space="preserve">fundadas las razones y motivos de inconformidad hechos valer en el recurso de revisión </w:t>
      </w:r>
      <w:r w:rsidRPr="00262B05">
        <w:rPr>
          <w:rFonts w:ascii="Palatino Linotype" w:hAnsi="Palatino Linotype"/>
          <w:b/>
        </w:rPr>
        <w:t xml:space="preserve">07383/INFOEM/IP/RR/2019 </w:t>
      </w:r>
      <w:r w:rsidRPr="00262B05">
        <w:rPr>
          <w:rFonts w:ascii="Palatino Linotype" w:hAnsi="Palatino Linotype"/>
        </w:rPr>
        <w:t>en términos de los considerandos</w:t>
      </w:r>
      <w:r w:rsidR="00532BBA" w:rsidRPr="00262B05">
        <w:rPr>
          <w:rFonts w:ascii="Palatino Linotype" w:hAnsi="Palatino Linotype"/>
          <w:b/>
        </w:rPr>
        <w:t xml:space="preserve"> CUARTO y</w:t>
      </w:r>
      <w:r w:rsidRPr="00262B05">
        <w:rPr>
          <w:rFonts w:ascii="Palatino Linotype" w:hAnsi="Palatino Linotype"/>
          <w:b/>
        </w:rPr>
        <w:t xml:space="preserve"> QUINTO </w:t>
      </w:r>
      <w:r w:rsidRPr="00262B05">
        <w:rPr>
          <w:rFonts w:ascii="Palatino Linotype" w:hAnsi="Palatino Linotype"/>
        </w:rPr>
        <w:t>de la presente resolución.</w:t>
      </w:r>
    </w:p>
    <w:p w:rsidR="00554DF4" w:rsidRPr="00262B05" w:rsidRDefault="00554DF4" w:rsidP="00262B05">
      <w:pPr>
        <w:spacing w:before="240" w:after="360" w:line="360" w:lineRule="auto"/>
        <w:jc w:val="both"/>
        <w:rPr>
          <w:rStyle w:val="Ttulo2Car"/>
          <w:rFonts w:ascii="Palatino Linotype" w:hAnsi="Palatino Linotype"/>
          <w:color w:val="000000" w:themeColor="text1"/>
          <w:sz w:val="24"/>
          <w:szCs w:val="24"/>
        </w:rPr>
      </w:pPr>
      <w:bookmarkStart w:id="59" w:name="_Toc504377974"/>
      <w:bookmarkStart w:id="60" w:name="_Toc499757020"/>
      <w:bookmarkStart w:id="61" w:name="_Toc499756977"/>
      <w:bookmarkStart w:id="62" w:name="_Toc496100166"/>
      <w:bookmarkStart w:id="63" w:name="_Toc496099789"/>
      <w:bookmarkStart w:id="64" w:name="_Toc462228129"/>
      <w:bookmarkStart w:id="65" w:name="_Toc462228049"/>
      <w:bookmarkStart w:id="66" w:name="_Toc461648682"/>
      <w:bookmarkStart w:id="67" w:name="_Toc461648590"/>
      <w:r w:rsidRPr="00262B05">
        <w:rPr>
          <w:rFonts w:ascii="Palatino Linotype" w:eastAsia="Times New Roman" w:hAnsi="Palatino Linotype" w:cs="Arial"/>
          <w:b/>
        </w:rPr>
        <w:t>SEGUNDO.</w:t>
      </w:r>
      <w:bookmarkEnd w:id="59"/>
      <w:bookmarkEnd w:id="60"/>
      <w:bookmarkEnd w:id="61"/>
      <w:bookmarkEnd w:id="62"/>
      <w:bookmarkEnd w:id="63"/>
      <w:bookmarkEnd w:id="64"/>
      <w:bookmarkEnd w:id="65"/>
      <w:bookmarkEnd w:id="66"/>
      <w:bookmarkEnd w:id="67"/>
      <w:r w:rsidRPr="00262B05">
        <w:rPr>
          <w:rStyle w:val="Ttulo2Car"/>
          <w:rFonts w:ascii="Palatino Linotype" w:hAnsi="Palatino Linotype"/>
          <w:b/>
          <w:color w:val="000000" w:themeColor="text1"/>
          <w:sz w:val="24"/>
          <w:szCs w:val="24"/>
        </w:rPr>
        <w:t xml:space="preserve"> Se REVOCA </w:t>
      </w:r>
      <w:r w:rsidRPr="00262B05">
        <w:rPr>
          <w:rStyle w:val="Ttulo2Car"/>
          <w:rFonts w:ascii="Palatino Linotype" w:hAnsi="Palatino Linotype"/>
          <w:color w:val="000000" w:themeColor="text1"/>
          <w:sz w:val="24"/>
          <w:szCs w:val="24"/>
        </w:rPr>
        <w:t>la respuesta emitida por el</w:t>
      </w:r>
      <w:r w:rsidRPr="00262B05">
        <w:rPr>
          <w:rStyle w:val="Ttulo2Car"/>
          <w:rFonts w:ascii="Palatino Linotype" w:hAnsi="Palatino Linotype"/>
          <w:b/>
          <w:color w:val="000000" w:themeColor="text1"/>
          <w:sz w:val="24"/>
          <w:szCs w:val="24"/>
        </w:rPr>
        <w:t xml:space="preserve"> </w:t>
      </w:r>
      <w:r w:rsidRPr="00262B05">
        <w:rPr>
          <w:rFonts w:ascii="Palatino Linotype" w:hAnsi="Palatino Linotype"/>
          <w:b/>
          <w:bCs/>
        </w:rPr>
        <w:t>Ayuntamiento de Zumpango</w:t>
      </w:r>
      <w:r w:rsidRPr="00262B05">
        <w:rPr>
          <w:rStyle w:val="Ttulo2Car"/>
          <w:rFonts w:ascii="Palatino Linotype" w:hAnsi="Palatino Linotype"/>
          <w:b/>
          <w:color w:val="000000" w:themeColor="text1"/>
          <w:sz w:val="24"/>
          <w:szCs w:val="24"/>
        </w:rPr>
        <w:t xml:space="preserve"> </w:t>
      </w:r>
      <w:r w:rsidRPr="00262B05">
        <w:rPr>
          <w:rStyle w:val="Ttulo2Car"/>
          <w:rFonts w:ascii="Palatino Linotype" w:hAnsi="Palatino Linotype"/>
          <w:color w:val="000000" w:themeColor="text1"/>
          <w:sz w:val="24"/>
          <w:szCs w:val="24"/>
        </w:rPr>
        <w:t>y se</w:t>
      </w:r>
      <w:r w:rsidRPr="00262B05">
        <w:rPr>
          <w:rStyle w:val="Ttulo2Car"/>
          <w:rFonts w:ascii="Palatino Linotype" w:hAnsi="Palatino Linotype"/>
          <w:b/>
          <w:color w:val="000000" w:themeColor="text1"/>
          <w:sz w:val="24"/>
          <w:szCs w:val="24"/>
        </w:rPr>
        <w:t xml:space="preserve"> ORDENA </w:t>
      </w:r>
      <w:r w:rsidR="00EF7434" w:rsidRPr="00262B05">
        <w:rPr>
          <w:rStyle w:val="Ttulo2Car"/>
          <w:rFonts w:ascii="Palatino Linotype" w:hAnsi="Palatino Linotype"/>
          <w:color w:val="000000" w:themeColor="text1"/>
          <w:sz w:val="24"/>
          <w:szCs w:val="24"/>
        </w:rPr>
        <w:t xml:space="preserve">permita la </w:t>
      </w:r>
      <w:r w:rsidR="00532BBA" w:rsidRPr="00262B05">
        <w:rPr>
          <w:rStyle w:val="Ttulo2Car"/>
          <w:rFonts w:ascii="Palatino Linotype" w:hAnsi="Palatino Linotype"/>
          <w:b/>
          <w:color w:val="000000" w:themeColor="text1"/>
          <w:sz w:val="24"/>
          <w:szCs w:val="24"/>
        </w:rPr>
        <w:t xml:space="preserve">consulta directa, </w:t>
      </w:r>
      <w:r w:rsidRPr="00262B05">
        <w:rPr>
          <w:rStyle w:val="Ttulo2Car"/>
          <w:rFonts w:ascii="Palatino Linotype" w:hAnsi="Palatino Linotype"/>
          <w:color w:val="000000" w:themeColor="text1"/>
          <w:sz w:val="24"/>
          <w:szCs w:val="24"/>
        </w:rPr>
        <w:t>en versión pública</w:t>
      </w:r>
      <w:r w:rsidRPr="00262B05">
        <w:rPr>
          <w:rStyle w:val="Ttulo2Car"/>
          <w:rFonts w:ascii="Palatino Linotype" w:hAnsi="Palatino Linotype"/>
          <w:b/>
          <w:color w:val="000000" w:themeColor="text1"/>
          <w:sz w:val="24"/>
          <w:szCs w:val="24"/>
        </w:rPr>
        <w:t xml:space="preserve">, </w:t>
      </w:r>
      <w:r w:rsidRPr="00262B05">
        <w:rPr>
          <w:rStyle w:val="Ttulo2Car"/>
          <w:rFonts w:ascii="Palatino Linotype" w:hAnsi="Palatino Linotype"/>
          <w:color w:val="000000" w:themeColor="text1"/>
          <w:sz w:val="24"/>
          <w:szCs w:val="24"/>
        </w:rPr>
        <w:t>lo siguiente:</w:t>
      </w:r>
    </w:p>
    <w:p w:rsidR="007E4C92" w:rsidRPr="00262B05" w:rsidRDefault="007E4C92" w:rsidP="00262B05">
      <w:pPr>
        <w:pStyle w:val="Prrafodelista"/>
        <w:numPr>
          <w:ilvl w:val="0"/>
          <w:numId w:val="7"/>
        </w:numPr>
        <w:spacing w:before="240" w:after="360" w:line="360" w:lineRule="auto"/>
        <w:jc w:val="both"/>
        <w:rPr>
          <w:rStyle w:val="Ttulo2Car"/>
          <w:rFonts w:ascii="Palatino Linotype" w:hAnsi="Palatino Linotype"/>
          <w:b/>
          <w:color w:val="000000" w:themeColor="text1"/>
          <w:sz w:val="24"/>
          <w:szCs w:val="24"/>
        </w:rPr>
      </w:pPr>
      <w:bookmarkStart w:id="68" w:name="_Toc24476673"/>
      <w:bookmarkStart w:id="69" w:name="_Toc23438284"/>
      <w:r w:rsidRPr="00262B05">
        <w:rPr>
          <w:rStyle w:val="Ttulo2Car"/>
          <w:rFonts w:ascii="Palatino Linotype" w:hAnsi="Palatino Linotype"/>
          <w:b/>
          <w:color w:val="000000" w:themeColor="text1"/>
          <w:sz w:val="24"/>
          <w:szCs w:val="24"/>
        </w:rPr>
        <w:t>Documento</w:t>
      </w:r>
      <w:r w:rsidR="00D92316" w:rsidRPr="00262B05">
        <w:rPr>
          <w:rStyle w:val="Ttulo2Car"/>
          <w:rFonts w:ascii="Palatino Linotype" w:hAnsi="Palatino Linotype"/>
          <w:b/>
          <w:color w:val="000000" w:themeColor="text1"/>
          <w:sz w:val="24"/>
          <w:szCs w:val="24"/>
        </w:rPr>
        <w:t>s</w:t>
      </w:r>
      <w:r w:rsidRPr="00262B05">
        <w:rPr>
          <w:rStyle w:val="Ttulo2Car"/>
          <w:rFonts w:ascii="Palatino Linotype" w:hAnsi="Palatino Linotype"/>
          <w:b/>
          <w:color w:val="000000" w:themeColor="text1"/>
          <w:sz w:val="24"/>
          <w:szCs w:val="24"/>
        </w:rPr>
        <w:t xml:space="preserve"> donde consten los pagos que ha realizado la Tesorería Municipal, referidos en respuesta a la solicitud 00276/ZUMPANGO/IP/2019.</w:t>
      </w:r>
      <w:bookmarkEnd w:id="68"/>
    </w:p>
    <w:bookmarkEnd w:id="69"/>
    <w:p w:rsidR="00554DF4" w:rsidRPr="00262B05" w:rsidRDefault="00554DF4" w:rsidP="00262B05">
      <w:pPr>
        <w:spacing w:line="360" w:lineRule="auto"/>
        <w:jc w:val="both"/>
        <w:rPr>
          <w:rFonts w:ascii="Palatino Linotype" w:hAnsi="Palatino Linotype"/>
        </w:rPr>
      </w:pPr>
      <w:r w:rsidRPr="00262B05">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r w:rsidRPr="00262B05">
        <w:rPr>
          <w:rFonts w:ascii="Palatino Linotype" w:hAnsi="Palatino Linotype"/>
          <w:b/>
        </w:rPr>
        <w:t>.</w:t>
      </w:r>
    </w:p>
    <w:p w:rsidR="00554DF4" w:rsidRPr="00262B05" w:rsidRDefault="00554DF4" w:rsidP="00262B05">
      <w:pPr>
        <w:spacing w:line="360" w:lineRule="auto"/>
        <w:jc w:val="both"/>
        <w:rPr>
          <w:rFonts w:ascii="Palatino Linotype" w:hAnsi="Palatino Linotype"/>
          <w:b/>
        </w:rPr>
      </w:pPr>
    </w:p>
    <w:p w:rsidR="00554DF4" w:rsidRPr="00262B05" w:rsidRDefault="00554DF4" w:rsidP="00262B05">
      <w:pPr>
        <w:spacing w:line="360" w:lineRule="auto"/>
        <w:jc w:val="both"/>
        <w:rPr>
          <w:rFonts w:ascii="Palatino Linotype" w:hAnsi="Palatino Linotype"/>
          <w:b/>
        </w:rPr>
      </w:pPr>
      <w:r w:rsidRPr="00262B05">
        <w:rPr>
          <w:rFonts w:ascii="Palatino Linotype" w:hAnsi="Palatino Linotype"/>
          <w:color w:val="222222"/>
          <w:shd w:val="clear" w:color="auto" w:fill="FFFFFF"/>
        </w:rPr>
        <w:t>Asimismo se ordena al Sujeto Obligado que previo a la consulta referida, haga del conocimiento al Recurrente, el domicilio al cual deberá acudir, el nombre de la dependencia o área respectiva, los días y horarios de atención en los cuales podrá realizar la consulta, la forma y procedimiento a seguir, así como el periodo durante el cual quedará a su disposición la información conforme a lo dispuesto por el artículo 166 de la Ley de Transparencia y Acceso a la Información Pública del Estado de México y Municipios.</w:t>
      </w:r>
    </w:p>
    <w:p w:rsidR="00554DF4" w:rsidRPr="00262B05" w:rsidRDefault="00554DF4" w:rsidP="00262B05">
      <w:pPr>
        <w:spacing w:line="360" w:lineRule="auto"/>
        <w:jc w:val="both"/>
        <w:rPr>
          <w:rFonts w:ascii="Palatino Linotype" w:hAnsi="Palatino Linotype"/>
          <w:b/>
        </w:rPr>
      </w:pPr>
    </w:p>
    <w:p w:rsidR="00554DF4" w:rsidRPr="00262B05" w:rsidRDefault="00554DF4" w:rsidP="00262B05">
      <w:pPr>
        <w:tabs>
          <w:tab w:val="left" w:pos="8080"/>
        </w:tabs>
        <w:spacing w:line="360" w:lineRule="auto"/>
        <w:ind w:right="49"/>
        <w:contextualSpacing/>
        <w:jc w:val="both"/>
        <w:rPr>
          <w:rFonts w:ascii="Palatino Linotype" w:hAnsi="Palatino Linotype"/>
          <w:color w:val="222222"/>
          <w:shd w:val="clear" w:color="auto" w:fill="FFFFFF"/>
        </w:rPr>
      </w:pPr>
      <w:r w:rsidRPr="00262B05">
        <w:rPr>
          <w:rFonts w:ascii="Palatino Linotype" w:eastAsia="Palatino Linotype" w:hAnsi="Palatino Linotype" w:cs="Palatino Linotype"/>
          <w:b/>
        </w:rPr>
        <w:lastRenderedPageBreak/>
        <w:t xml:space="preserve">TERCERO. Notifíquese </w:t>
      </w:r>
      <w:r w:rsidRPr="00262B05">
        <w:rPr>
          <w:rFonts w:ascii="Palatino Linotype" w:eastAsia="Palatino Linotype" w:hAnsi="Palatino Linotype" w:cs="Palatino Linotype"/>
        </w:rPr>
        <w:t xml:space="preserve">al Titular de la Unidad de Transparencia del </w:t>
      </w:r>
      <w:r w:rsidRPr="00262B05">
        <w:rPr>
          <w:rFonts w:ascii="Palatino Linotype" w:eastAsia="Palatino Linotype" w:hAnsi="Palatino Linotype" w:cs="Palatino Linotype"/>
          <w:b/>
        </w:rPr>
        <w:t>SUJETO OBLIGADO</w:t>
      </w:r>
      <w:r w:rsidRPr="00262B0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262B05">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554DF4" w:rsidRPr="00262B05" w:rsidRDefault="00554DF4" w:rsidP="00262B05">
      <w:pPr>
        <w:tabs>
          <w:tab w:val="left" w:pos="8080"/>
        </w:tabs>
        <w:spacing w:line="360" w:lineRule="auto"/>
        <w:ind w:right="49"/>
        <w:contextualSpacing/>
        <w:jc w:val="both"/>
        <w:rPr>
          <w:rFonts w:ascii="Palatino Linotype" w:eastAsia="Palatino Linotype" w:hAnsi="Palatino Linotype" w:cs="Palatino Linotype"/>
          <w:b/>
        </w:rPr>
      </w:pPr>
    </w:p>
    <w:p w:rsidR="00554DF4" w:rsidRPr="00262B05" w:rsidRDefault="00554DF4" w:rsidP="00262B05">
      <w:pPr>
        <w:spacing w:line="360" w:lineRule="auto"/>
        <w:jc w:val="both"/>
        <w:rPr>
          <w:rFonts w:ascii="Palatino Linotype" w:hAnsi="Palatino Linotype"/>
        </w:rPr>
      </w:pPr>
      <w:bookmarkStart w:id="70" w:name="_Toc460947013"/>
      <w:bookmarkEnd w:id="57"/>
      <w:bookmarkEnd w:id="58"/>
      <w:r w:rsidRPr="00262B05">
        <w:rPr>
          <w:rFonts w:ascii="Palatino Linotype" w:eastAsia="Times New Roman" w:hAnsi="Palatino Linotype" w:cs="Arial"/>
          <w:b/>
        </w:rPr>
        <w:t xml:space="preserve">CUARTO. </w:t>
      </w:r>
      <w:r w:rsidRPr="00262B05">
        <w:rPr>
          <w:rFonts w:ascii="Palatino Linotype" w:eastAsia="Times New Roman" w:hAnsi="Palatino Linotype" w:cs="Times New Roman"/>
          <w:b/>
          <w:bCs/>
          <w:color w:val="222222"/>
          <w:lang w:val="es-ES"/>
        </w:rPr>
        <w:t xml:space="preserve">Notifíquese a </w:t>
      </w:r>
      <w:r w:rsidR="00810E1E" w:rsidRPr="00810E1E">
        <w:rPr>
          <w:rFonts w:ascii="Palatino Linotype" w:eastAsia="Times New Roman" w:hAnsi="Palatino Linotype" w:cs="Times New Roman"/>
          <w:b/>
          <w:bCs/>
          <w:color w:val="222222"/>
          <w:highlight w:val="black"/>
          <w:lang w:val="es-ES"/>
        </w:rPr>
        <w:t>-------------</w:t>
      </w:r>
      <w:r w:rsidRPr="00262B05">
        <w:rPr>
          <w:rFonts w:ascii="Palatino Linotype" w:hAnsi="Palatino Linotype"/>
          <w:lang w:val="es-ES"/>
        </w:rPr>
        <w:t xml:space="preserve"> </w:t>
      </w:r>
      <w:r w:rsidRPr="00262B05">
        <w:rPr>
          <w:rFonts w:ascii="Palatino Linotype" w:hAnsi="Palatino Linotype"/>
        </w:rPr>
        <w:t>la presente resolución y su informe justificado.</w:t>
      </w:r>
    </w:p>
    <w:p w:rsidR="00554DF4" w:rsidRPr="00262B05" w:rsidRDefault="00554DF4" w:rsidP="00262B05">
      <w:pPr>
        <w:spacing w:line="360" w:lineRule="auto"/>
        <w:jc w:val="both"/>
        <w:rPr>
          <w:rFonts w:ascii="Palatino Linotype" w:hAnsi="Palatino Linotype"/>
        </w:rPr>
      </w:pPr>
    </w:p>
    <w:bookmarkEnd w:id="70"/>
    <w:p w:rsidR="00554DF4" w:rsidRPr="00262B05" w:rsidRDefault="00554DF4" w:rsidP="00262B05">
      <w:pPr>
        <w:spacing w:line="360" w:lineRule="auto"/>
        <w:jc w:val="both"/>
        <w:rPr>
          <w:rFonts w:ascii="Palatino Linotype" w:eastAsia="MS Mincho" w:hAnsi="Palatino Linotype" w:cs="Times New Roman"/>
          <w:lang w:val="es-ES"/>
        </w:rPr>
      </w:pPr>
      <w:r w:rsidRPr="00262B05">
        <w:rPr>
          <w:rFonts w:ascii="Palatino Linotype" w:eastAsia="MS Mincho" w:hAnsi="Palatino Linotype" w:cs="Times New Roman"/>
          <w:b/>
          <w:lang w:val="es-MX"/>
        </w:rPr>
        <w:t>QUINTO.</w:t>
      </w:r>
      <w:r w:rsidRPr="00262B05">
        <w:rPr>
          <w:rFonts w:ascii="Palatino Linotype" w:eastAsia="MS Mincho" w:hAnsi="Palatino Linotype" w:cs="Times New Roman"/>
          <w:lang w:val="es-MX"/>
        </w:rPr>
        <w:t xml:space="preserve"> </w:t>
      </w:r>
      <w:r w:rsidR="00D92316" w:rsidRPr="00262B05">
        <w:rPr>
          <w:rFonts w:ascii="Palatino Linotype" w:eastAsia="MS Mincho" w:hAnsi="Palatino Linotype" w:cs="Times New Roman"/>
          <w:lang w:val="es-ES"/>
        </w:rPr>
        <w:t>Se hace del conocimiento de</w:t>
      </w:r>
      <w:r w:rsidRPr="00262B05">
        <w:rPr>
          <w:rFonts w:ascii="Palatino Linotype" w:eastAsia="MS Mincho" w:hAnsi="Palatino Linotype" w:cs="Times New Roman"/>
          <w:lang w:val="es-ES"/>
        </w:rPr>
        <w:t xml:space="preserve"> </w:t>
      </w:r>
      <w:r w:rsidR="00810E1E" w:rsidRPr="00810E1E">
        <w:rPr>
          <w:rFonts w:ascii="Palatino Linotype" w:eastAsia="Times New Roman" w:hAnsi="Palatino Linotype" w:cs="Times New Roman"/>
          <w:b/>
          <w:bCs/>
          <w:color w:val="222222"/>
          <w:highlight w:val="black"/>
          <w:lang w:val="es-ES"/>
        </w:rPr>
        <w:t>-------------</w:t>
      </w:r>
      <w:r w:rsidRPr="00262B05">
        <w:rPr>
          <w:rFonts w:ascii="Palatino Linotype" w:eastAsia="MS Mincho" w:hAnsi="Palatino Linotype" w:cs="Times New Roman"/>
          <w:b/>
          <w:lang w:val="es-ES"/>
        </w:rPr>
        <w:t xml:space="preserve"> </w:t>
      </w:r>
      <w:r w:rsidRPr="00262B05">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262B05">
        <w:rPr>
          <w:rFonts w:ascii="Palatino Linotype" w:eastAsia="MS Mincho" w:hAnsi="Palatino Linotype" w:cs="Times New Roman"/>
          <w:bCs/>
          <w:lang w:val="es-ES"/>
        </w:rPr>
        <w:t>vía juicio de amparo</w:t>
      </w:r>
      <w:r w:rsidRPr="00262B05">
        <w:rPr>
          <w:rFonts w:ascii="Palatino Linotype" w:eastAsia="MS Mincho" w:hAnsi="Palatino Linotype" w:cs="Times New Roman"/>
          <w:lang w:val="es-ES"/>
        </w:rPr>
        <w:t> en los términos de las leyes aplicables.</w:t>
      </w:r>
    </w:p>
    <w:p w:rsidR="00554DF4" w:rsidRPr="00262B05" w:rsidRDefault="00554DF4" w:rsidP="00262B05">
      <w:pPr>
        <w:spacing w:before="100" w:beforeAutospacing="1" w:after="100" w:afterAutospacing="1" w:line="360" w:lineRule="auto"/>
        <w:ind w:right="49"/>
        <w:jc w:val="both"/>
        <w:rPr>
          <w:rFonts w:ascii="Palatino Linotype" w:hAnsi="Palatino Linotype" w:cs="Arial"/>
        </w:rPr>
      </w:pPr>
      <w:r w:rsidRPr="00262B05">
        <w:rPr>
          <w:rFonts w:ascii="Palatino Linotype" w:hAnsi="Palatino Linotype" w:cs="Arial"/>
        </w:rPr>
        <w:t>ASÍ LO RESUELVE, POR UNANIMIDAD DE VOTOS, EL PLENO DEL</w:t>
      </w:r>
      <w:r w:rsidRPr="00262B05">
        <w:rPr>
          <w:rFonts w:ascii="Palatino Linotype" w:eastAsia="Arial Unicode MS" w:hAnsi="Palatino Linotype" w:cs="Arial"/>
        </w:rPr>
        <w:t xml:space="preserve"> INSTITUTO DE TRANSPARENCIA, ACCESO A LA INFORMACIÓN PÚBLICA Y PROTECCIÓN DE DATOS PERSONALES DEL ESTADO DE MÉXICO Y MUNICIPIOS</w:t>
      </w:r>
      <w:r w:rsidRPr="00262B05">
        <w:rPr>
          <w:rFonts w:ascii="Palatino Linotype" w:hAnsi="Palatino Linotype" w:cs="Arial"/>
        </w:rPr>
        <w:t>, CONFORMADO POR LOS COMISIONADOS ZULEMA MARTÍNEZ SÁNCHEZ; EVA ABAID YAPUR; JOSÉ GUADALUPE LUNA HERNÁNDEZ; JAVIER MARTÍNEZ CRUZ</w:t>
      </w:r>
      <w:r w:rsidR="000C3F80">
        <w:rPr>
          <w:rFonts w:ascii="Palatino Linotype" w:hAnsi="Palatino Linotype" w:cs="Arial"/>
        </w:rPr>
        <w:t xml:space="preserve"> AUSENTE EN LA SESIÓN</w:t>
      </w:r>
      <w:r w:rsidRPr="00262B05">
        <w:rPr>
          <w:rFonts w:ascii="Palatino Linotype" w:hAnsi="Palatino Linotype" w:cs="Arial"/>
        </w:rPr>
        <w:t xml:space="preserve"> Y LUIS GUSTAVO P</w:t>
      </w:r>
      <w:r w:rsidR="00262B05">
        <w:rPr>
          <w:rFonts w:ascii="Palatino Linotype" w:hAnsi="Palatino Linotype" w:cs="Arial"/>
        </w:rPr>
        <w:t>ARRA NORIEGA; EN LA CUADRAG</w:t>
      </w:r>
      <w:r w:rsidR="00723D3D">
        <w:rPr>
          <w:rFonts w:ascii="Palatino Linotype" w:hAnsi="Palatino Linotype" w:cs="Arial"/>
        </w:rPr>
        <w:t>ÉSIMA TERCERA</w:t>
      </w:r>
      <w:r w:rsidRPr="00262B05">
        <w:rPr>
          <w:rFonts w:ascii="Palatino Linotype" w:hAnsi="Palatino Linotype" w:cs="Arial"/>
        </w:rPr>
        <w:t xml:space="preserve"> S</w:t>
      </w:r>
      <w:r w:rsidR="00723D3D">
        <w:rPr>
          <w:rFonts w:ascii="Palatino Linotype" w:hAnsi="Palatino Linotype" w:cs="Arial"/>
        </w:rPr>
        <w:t>ESIÓN ORDINARIA CELEBRADA EL VEINTE</w:t>
      </w:r>
      <w:r w:rsidRPr="00262B05">
        <w:rPr>
          <w:rFonts w:ascii="Palatino Linotype" w:hAnsi="Palatino Linotype" w:cs="Arial"/>
        </w:rPr>
        <w:t xml:space="preserve"> (2</w:t>
      </w:r>
      <w:r w:rsidR="00723D3D">
        <w:rPr>
          <w:rFonts w:ascii="Palatino Linotype" w:hAnsi="Palatino Linotype" w:cs="Arial"/>
        </w:rPr>
        <w:t>0) DE NOVIEMBRE</w:t>
      </w:r>
      <w:r w:rsidRPr="00262B05">
        <w:rPr>
          <w:rFonts w:ascii="Palatino Linotype" w:hAnsi="Palatino Linotype" w:cs="Arial"/>
        </w:rPr>
        <w:t xml:space="preserve"> DE DOS MIL DIECINUEVE, ANTE EL SECRETARIO TÉCNICO DEL PLENO, </w:t>
      </w:r>
      <w:r w:rsidRPr="00262B05">
        <w:rPr>
          <w:rFonts w:ascii="Palatino Linotype" w:hAnsi="Palatino Linotype"/>
        </w:rPr>
        <w:t>ALEXIS TAPIA RAMÍREZ</w:t>
      </w:r>
      <w:r w:rsidRPr="00262B05">
        <w:rPr>
          <w:rFonts w:ascii="Palatino Linotype" w:hAnsi="Palatino Linotype" w:cs="Arial"/>
        </w:rPr>
        <w:t>.</w:t>
      </w:r>
    </w:p>
    <w:p w:rsidR="00554DF4" w:rsidRPr="00262B05" w:rsidRDefault="00554DF4" w:rsidP="00262B05">
      <w:pPr>
        <w:spacing w:before="100" w:beforeAutospacing="1" w:after="100" w:afterAutospacing="1" w:line="360" w:lineRule="auto"/>
        <w:ind w:right="49"/>
        <w:jc w:val="both"/>
        <w:rPr>
          <w:rFonts w:ascii="Palatino Linotype" w:hAnsi="Palatino Linotype" w:cs="Arial"/>
        </w:rPr>
      </w:pPr>
    </w:p>
    <w:p w:rsidR="00554DF4" w:rsidRPr="00262B05" w:rsidRDefault="00554DF4" w:rsidP="00262B05">
      <w:pPr>
        <w:spacing w:before="100" w:beforeAutospacing="1" w:after="100" w:afterAutospacing="1" w:line="360" w:lineRule="auto"/>
        <w:ind w:right="49"/>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3"/>
        <w:gridCol w:w="5182"/>
      </w:tblGrid>
      <w:tr w:rsidR="00554DF4" w:rsidRPr="00262B05" w:rsidTr="00554DF4">
        <w:trPr>
          <w:jc w:val="center"/>
        </w:trPr>
        <w:tc>
          <w:tcPr>
            <w:tcW w:w="10368" w:type="dxa"/>
            <w:gridSpan w:val="2"/>
          </w:tcPr>
          <w:p w:rsidR="00554DF4" w:rsidRPr="00262B05" w:rsidRDefault="00554DF4" w:rsidP="00723D3D">
            <w:pPr>
              <w:spacing w:line="360" w:lineRule="auto"/>
              <w:rPr>
                <w:rFonts w:ascii="Palatino Linotype" w:hAnsi="Palatino Linotype" w:cs="Arial"/>
                <w:b/>
              </w:rPr>
            </w:pPr>
          </w:p>
          <w:p w:rsidR="00554DF4" w:rsidRPr="00262B05" w:rsidRDefault="00554DF4" w:rsidP="00262B05">
            <w:pPr>
              <w:spacing w:line="360" w:lineRule="auto"/>
              <w:jc w:val="center"/>
              <w:rPr>
                <w:rFonts w:ascii="Palatino Linotype" w:hAnsi="Palatino Linotype" w:cs="Arial"/>
                <w:b/>
              </w:rPr>
            </w:pPr>
            <w:r w:rsidRPr="00262B05">
              <w:rPr>
                <w:rFonts w:ascii="Palatino Linotype" w:hAnsi="Palatino Linotype" w:cs="Arial"/>
                <w:b/>
              </w:rPr>
              <w:t>Zulema Martínez Sánchez</w:t>
            </w:r>
          </w:p>
          <w:p w:rsidR="00554DF4" w:rsidRPr="00262B05" w:rsidRDefault="00554DF4" w:rsidP="00262B05">
            <w:pPr>
              <w:spacing w:line="360" w:lineRule="auto"/>
              <w:jc w:val="center"/>
              <w:rPr>
                <w:rFonts w:ascii="Palatino Linotype" w:hAnsi="Palatino Linotype" w:cs="Arial"/>
                <w:b/>
              </w:rPr>
            </w:pPr>
            <w:r w:rsidRPr="00262B05">
              <w:rPr>
                <w:rFonts w:ascii="Palatino Linotype" w:hAnsi="Palatino Linotype" w:cs="Arial"/>
              </w:rPr>
              <w:t>Comisionada Presidenta</w:t>
            </w:r>
          </w:p>
          <w:p w:rsidR="00554DF4" w:rsidRPr="00262B05" w:rsidRDefault="00554DF4" w:rsidP="00262B05">
            <w:pPr>
              <w:spacing w:line="360" w:lineRule="auto"/>
              <w:jc w:val="center"/>
              <w:rPr>
                <w:rFonts w:ascii="Palatino Linotype" w:hAnsi="Palatino Linotype" w:cs="Arial"/>
                <w:b/>
              </w:rPr>
            </w:pPr>
            <w:r w:rsidRPr="00262B05">
              <w:rPr>
                <w:rFonts w:ascii="Palatino Linotype" w:hAnsi="Palatino Linotype" w:cs="Arial"/>
                <w:b/>
              </w:rPr>
              <w:t xml:space="preserve">(RÚBRICA) </w:t>
            </w:r>
          </w:p>
          <w:p w:rsidR="00554DF4" w:rsidRPr="00262B05" w:rsidRDefault="00554DF4" w:rsidP="00723D3D">
            <w:pPr>
              <w:spacing w:line="360" w:lineRule="auto"/>
              <w:rPr>
                <w:rFonts w:ascii="Palatino Linotype" w:hAnsi="Palatino Linotype" w:cs="Arial"/>
                <w:b/>
              </w:rPr>
            </w:pPr>
          </w:p>
        </w:tc>
      </w:tr>
      <w:tr w:rsidR="00554DF4" w:rsidRPr="00262B05" w:rsidTr="00554DF4">
        <w:trPr>
          <w:jc w:val="center"/>
        </w:trPr>
        <w:tc>
          <w:tcPr>
            <w:tcW w:w="5184" w:type="dxa"/>
            <w:hideMark/>
          </w:tcPr>
          <w:p w:rsidR="00554DF4" w:rsidRPr="00262B05" w:rsidRDefault="00554DF4" w:rsidP="00262B05">
            <w:pPr>
              <w:spacing w:line="360" w:lineRule="auto"/>
              <w:jc w:val="center"/>
              <w:rPr>
                <w:rFonts w:ascii="Palatino Linotype" w:hAnsi="Palatino Linotype" w:cs="Arial"/>
                <w:b/>
              </w:rPr>
            </w:pPr>
            <w:r w:rsidRPr="00262B05">
              <w:rPr>
                <w:rFonts w:ascii="Palatino Linotype" w:hAnsi="Palatino Linotype" w:cs="Arial"/>
                <w:b/>
              </w:rPr>
              <w:t xml:space="preserve">Eva </w:t>
            </w:r>
            <w:proofErr w:type="spellStart"/>
            <w:r w:rsidRPr="00262B05">
              <w:rPr>
                <w:rFonts w:ascii="Palatino Linotype" w:hAnsi="Palatino Linotype" w:cs="Arial"/>
                <w:b/>
              </w:rPr>
              <w:t>Abaid</w:t>
            </w:r>
            <w:proofErr w:type="spellEnd"/>
            <w:r w:rsidRPr="00262B05">
              <w:rPr>
                <w:rFonts w:ascii="Palatino Linotype" w:hAnsi="Palatino Linotype" w:cs="Arial"/>
                <w:b/>
              </w:rPr>
              <w:t xml:space="preserve"> </w:t>
            </w:r>
            <w:proofErr w:type="spellStart"/>
            <w:r w:rsidRPr="00262B05">
              <w:rPr>
                <w:rFonts w:ascii="Palatino Linotype" w:hAnsi="Palatino Linotype" w:cs="Arial"/>
                <w:b/>
              </w:rPr>
              <w:t>Yapur</w:t>
            </w:r>
            <w:proofErr w:type="spellEnd"/>
          </w:p>
          <w:p w:rsidR="00554DF4" w:rsidRPr="00262B05" w:rsidRDefault="00554DF4" w:rsidP="00262B05">
            <w:pPr>
              <w:spacing w:line="360" w:lineRule="auto"/>
              <w:jc w:val="center"/>
              <w:rPr>
                <w:rFonts w:ascii="Palatino Linotype" w:hAnsi="Palatino Linotype" w:cs="Arial"/>
              </w:rPr>
            </w:pPr>
            <w:r w:rsidRPr="00262B05">
              <w:rPr>
                <w:rFonts w:ascii="Palatino Linotype" w:hAnsi="Palatino Linotype" w:cs="Arial"/>
              </w:rPr>
              <w:t>Comisionada</w:t>
            </w:r>
          </w:p>
          <w:p w:rsidR="00554DF4" w:rsidRPr="00262B05" w:rsidRDefault="00554DF4" w:rsidP="00262B05">
            <w:pPr>
              <w:spacing w:line="360" w:lineRule="auto"/>
              <w:jc w:val="center"/>
              <w:rPr>
                <w:rFonts w:ascii="Palatino Linotype" w:hAnsi="Palatino Linotype" w:cs="Arial"/>
                <w:b/>
              </w:rPr>
            </w:pPr>
            <w:r w:rsidRPr="00262B05">
              <w:rPr>
                <w:rFonts w:ascii="Palatino Linotype" w:hAnsi="Palatino Linotype" w:cs="Arial"/>
                <w:b/>
              </w:rPr>
              <w:t>(RÚBRICA)</w:t>
            </w:r>
          </w:p>
        </w:tc>
        <w:tc>
          <w:tcPr>
            <w:tcW w:w="5184" w:type="dxa"/>
          </w:tcPr>
          <w:p w:rsidR="00554DF4" w:rsidRPr="00262B05" w:rsidRDefault="00554DF4" w:rsidP="00262B05">
            <w:pPr>
              <w:spacing w:line="360" w:lineRule="auto"/>
              <w:jc w:val="center"/>
              <w:rPr>
                <w:rFonts w:ascii="Palatino Linotype" w:hAnsi="Palatino Linotype" w:cs="Arial"/>
                <w:b/>
              </w:rPr>
            </w:pPr>
            <w:r w:rsidRPr="00262B05">
              <w:rPr>
                <w:rFonts w:ascii="Palatino Linotype" w:hAnsi="Palatino Linotype" w:cs="Arial"/>
                <w:b/>
              </w:rPr>
              <w:t>José Guadalupe Luna Hernández</w:t>
            </w:r>
          </w:p>
          <w:p w:rsidR="00554DF4" w:rsidRPr="00262B05" w:rsidRDefault="00554DF4" w:rsidP="00262B05">
            <w:pPr>
              <w:spacing w:line="360" w:lineRule="auto"/>
              <w:jc w:val="center"/>
              <w:rPr>
                <w:rFonts w:ascii="Palatino Linotype" w:hAnsi="Palatino Linotype" w:cs="Arial"/>
              </w:rPr>
            </w:pPr>
            <w:r w:rsidRPr="00262B05">
              <w:rPr>
                <w:rFonts w:ascii="Palatino Linotype" w:hAnsi="Palatino Linotype" w:cs="Arial"/>
              </w:rPr>
              <w:t>Comisionado</w:t>
            </w:r>
          </w:p>
          <w:p w:rsidR="00554DF4" w:rsidRPr="00262B05" w:rsidRDefault="00554DF4" w:rsidP="00262B05">
            <w:pPr>
              <w:spacing w:line="360" w:lineRule="auto"/>
              <w:jc w:val="center"/>
              <w:rPr>
                <w:rFonts w:ascii="Palatino Linotype" w:hAnsi="Palatino Linotype" w:cs="Arial"/>
                <w:b/>
              </w:rPr>
            </w:pPr>
            <w:r w:rsidRPr="00262B05">
              <w:rPr>
                <w:rFonts w:ascii="Palatino Linotype" w:hAnsi="Palatino Linotype" w:cs="Arial"/>
                <w:b/>
              </w:rPr>
              <w:t>(RÚBRICA)</w:t>
            </w:r>
          </w:p>
          <w:p w:rsidR="00554DF4" w:rsidRPr="00262B05" w:rsidRDefault="00554DF4" w:rsidP="00262B05">
            <w:pPr>
              <w:spacing w:line="360" w:lineRule="auto"/>
              <w:jc w:val="center"/>
              <w:rPr>
                <w:rFonts w:ascii="Palatino Linotype" w:hAnsi="Palatino Linotype" w:cs="Arial"/>
                <w:b/>
              </w:rPr>
            </w:pPr>
          </w:p>
        </w:tc>
      </w:tr>
      <w:tr w:rsidR="00554DF4" w:rsidRPr="00262B05" w:rsidTr="00554DF4">
        <w:trPr>
          <w:jc w:val="center"/>
        </w:trPr>
        <w:tc>
          <w:tcPr>
            <w:tcW w:w="5184" w:type="dxa"/>
          </w:tcPr>
          <w:p w:rsidR="00554DF4" w:rsidRPr="00262B05" w:rsidRDefault="00554DF4" w:rsidP="00723D3D">
            <w:pPr>
              <w:spacing w:line="360" w:lineRule="auto"/>
              <w:rPr>
                <w:rFonts w:ascii="Palatino Linotype" w:hAnsi="Palatino Linotype" w:cs="Arial"/>
                <w:b/>
              </w:rPr>
            </w:pPr>
          </w:p>
          <w:p w:rsidR="00554DF4" w:rsidRPr="00262B05" w:rsidRDefault="00554DF4" w:rsidP="00262B05">
            <w:pPr>
              <w:spacing w:line="360" w:lineRule="auto"/>
              <w:jc w:val="center"/>
              <w:rPr>
                <w:rFonts w:ascii="Palatino Linotype" w:hAnsi="Palatino Linotype" w:cs="Arial"/>
                <w:b/>
              </w:rPr>
            </w:pPr>
            <w:r w:rsidRPr="00262B05">
              <w:rPr>
                <w:rFonts w:ascii="Palatino Linotype" w:hAnsi="Palatino Linotype" w:cs="Arial"/>
                <w:b/>
              </w:rPr>
              <w:t>Javier Martínez Cruz</w:t>
            </w:r>
          </w:p>
          <w:p w:rsidR="00554DF4" w:rsidRPr="00262B05" w:rsidRDefault="00554DF4" w:rsidP="00262B05">
            <w:pPr>
              <w:spacing w:line="360" w:lineRule="auto"/>
              <w:jc w:val="center"/>
              <w:rPr>
                <w:rFonts w:ascii="Palatino Linotype" w:hAnsi="Palatino Linotype" w:cs="Arial"/>
              </w:rPr>
            </w:pPr>
            <w:r w:rsidRPr="00262B05">
              <w:rPr>
                <w:rFonts w:ascii="Palatino Linotype" w:hAnsi="Palatino Linotype" w:cs="Arial"/>
              </w:rPr>
              <w:t>Comisionado</w:t>
            </w:r>
          </w:p>
          <w:p w:rsidR="00554DF4" w:rsidRPr="00262B05" w:rsidRDefault="000C3F80" w:rsidP="00262B05">
            <w:pPr>
              <w:spacing w:line="360" w:lineRule="auto"/>
              <w:jc w:val="center"/>
              <w:rPr>
                <w:rFonts w:ascii="Palatino Linotype" w:hAnsi="Palatino Linotype" w:cs="Arial"/>
                <w:b/>
              </w:rPr>
            </w:pPr>
            <w:r>
              <w:rPr>
                <w:rFonts w:ascii="Palatino Linotype" w:hAnsi="Palatino Linotype" w:cs="Arial"/>
                <w:b/>
              </w:rPr>
              <w:t>(AUSENTE EN LA SESIÓN</w:t>
            </w:r>
            <w:r w:rsidR="00554DF4" w:rsidRPr="00262B05">
              <w:rPr>
                <w:rFonts w:ascii="Palatino Linotype" w:hAnsi="Palatino Linotype" w:cs="Arial"/>
                <w:b/>
              </w:rPr>
              <w:t>)</w:t>
            </w:r>
          </w:p>
        </w:tc>
        <w:tc>
          <w:tcPr>
            <w:tcW w:w="5184" w:type="dxa"/>
          </w:tcPr>
          <w:p w:rsidR="00554DF4" w:rsidRPr="00262B05" w:rsidRDefault="00554DF4" w:rsidP="00723D3D">
            <w:pPr>
              <w:spacing w:line="360" w:lineRule="auto"/>
              <w:rPr>
                <w:rFonts w:ascii="Palatino Linotype" w:hAnsi="Palatino Linotype" w:cs="Arial"/>
                <w:b/>
              </w:rPr>
            </w:pPr>
          </w:p>
          <w:p w:rsidR="00554DF4" w:rsidRPr="00262B05" w:rsidRDefault="00554DF4" w:rsidP="00262B05">
            <w:pPr>
              <w:spacing w:line="360" w:lineRule="auto"/>
              <w:jc w:val="center"/>
              <w:rPr>
                <w:rFonts w:ascii="Palatino Linotype" w:hAnsi="Palatino Linotype" w:cs="Arial"/>
                <w:b/>
              </w:rPr>
            </w:pPr>
            <w:r w:rsidRPr="00262B05">
              <w:rPr>
                <w:rFonts w:ascii="Palatino Linotype" w:hAnsi="Palatino Linotype" w:cs="Arial"/>
                <w:b/>
              </w:rPr>
              <w:t>Luis Gustavo Parra Noriega</w:t>
            </w:r>
          </w:p>
          <w:p w:rsidR="00554DF4" w:rsidRPr="00262B05" w:rsidRDefault="00554DF4" w:rsidP="00262B05">
            <w:pPr>
              <w:spacing w:line="360" w:lineRule="auto"/>
              <w:jc w:val="center"/>
              <w:rPr>
                <w:rFonts w:ascii="Palatino Linotype" w:hAnsi="Palatino Linotype" w:cs="Arial"/>
              </w:rPr>
            </w:pPr>
            <w:r w:rsidRPr="00262B05">
              <w:rPr>
                <w:rFonts w:ascii="Palatino Linotype" w:hAnsi="Palatino Linotype" w:cs="Arial"/>
              </w:rPr>
              <w:t>Comisionado</w:t>
            </w:r>
          </w:p>
          <w:p w:rsidR="00554DF4" w:rsidRPr="00262B05" w:rsidRDefault="00554DF4" w:rsidP="00262B05">
            <w:pPr>
              <w:spacing w:line="360" w:lineRule="auto"/>
              <w:jc w:val="center"/>
              <w:rPr>
                <w:rFonts w:ascii="Palatino Linotype" w:hAnsi="Palatino Linotype" w:cs="Arial"/>
                <w:b/>
              </w:rPr>
            </w:pPr>
            <w:r w:rsidRPr="00262B05">
              <w:rPr>
                <w:rFonts w:ascii="Palatino Linotype" w:hAnsi="Palatino Linotype" w:cs="Arial"/>
                <w:b/>
              </w:rPr>
              <w:t>(RÚBRICA)</w:t>
            </w:r>
          </w:p>
        </w:tc>
      </w:tr>
      <w:tr w:rsidR="00554DF4" w:rsidRPr="00262B05" w:rsidTr="00554DF4">
        <w:trPr>
          <w:jc w:val="center"/>
        </w:trPr>
        <w:tc>
          <w:tcPr>
            <w:tcW w:w="10368" w:type="dxa"/>
            <w:gridSpan w:val="2"/>
          </w:tcPr>
          <w:p w:rsidR="00554DF4" w:rsidRPr="00262B05" w:rsidRDefault="00554DF4" w:rsidP="00723D3D">
            <w:pPr>
              <w:spacing w:line="360" w:lineRule="auto"/>
              <w:rPr>
                <w:rFonts w:ascii="Palatino Linotype" w:hAnsi="Palatino Linotype" w:cs="Arial"/>
                <w:b/>
              </w:rPr>
            </w:pPr>
          </w:p>
          <w:p w:rsidR="00554DF4" w:rsidRPr="00262B05" w:rsidRDefault="00554DF4" w:rsidP="00262B05">
            <w:pPr>
              <w:spacing w:line="360" w:lineRule="auto"/>
              <w:jc w:val="center"/>
              <w:rPr>
                <w:rFonts w:ascii="Palatino Linotype" w:hAnsi="Palatino Linotype" w:cs="Arial"/>
                <w:b/>
              </w:rPr>
            </w:pPr>
          </w:p>
          <w:p w:rsidR="00554DF4" w:rsidRPr="00262B05" w:rsidRDefault="00554DF4" w:rsidP="00262B05">
            <w:pPr>
              <w:spacing w:line="360" w:lineRule="auto"/>
              <w:jc w:val="center"/>
              <w:rPr>
                <w:rFonts w:ascii="Palatino Linotype" w:hAnsi="Palatino Linotype" w:cs="Arial"/>
                <w:b/>
              </w:rPr>
            </w:pPr>
            <w:r w:rsidRPr="00262B05">
              <w:rPr>
                <w:rFonts w:ascii="Palatino Linotype" w:hAnsi="Palatino Linotype" w:cs="Arial"/>
                <w:b/>
              </w:rPr>
              <w:t>Alexis Tapia Ramírez</w:t>
            </w:r>
          </w:p>
          <w:p w:rsidR="00554DF4" w:rsidRPr="00262B05" w:rsidRDefault="00554DF4" w:rsidP="00262B05">
            <w:pPr>
              <w:spacing w:line="360" w:lineRule="auto"/>
              <w:jc w:val="center"/>
              <w:rPr>
                <w:rFonts w:ascii="Palatino Linotype" w:hAnsi="Palatino Linotype" w:cs="Arial"/>
              </w:rPr>
            </w:pPr>
            <w:r w:rsidRPr="00262B05">
              <w:rPr>
                <w:rFonts w:ascii="Palatino Linotype" w:hAnsi="Palatino Linotype" w:cs="Arial"/>
              </w:rPr>
              <w:t>Secretario Técnico del Pleno</w:t>
            </w:r>
          </w:p>
          <w:p w:rsidR="00554DF4" w:rsidRDefault="00554DF4" w:rsidP="00723D3D">
            <w:pPr>
              <w:spacing w:line="360" w:lineRule="auto"/>
              <w:jc w:val="center"/>
              <w:rPr>
                <w:rFonts w:ascii="Palatino Linotype" w:hAnsi="Palatino Linotype" w:cs="Arial"/>
                <w:b/>
              </w:rPr>
            </w:pPr>
            <w:r w:rsidRPr="00262B05">
              <w:rPr>
                <w:rFonts w:ascii="Palatino Linotype" w:hAnsi="Palatino Linotype" w:cs="Arial"/>
                <w:b/>
              </w:rPr>
              <w:t>(RÚBRICA)</w:t>
            </w:r>
          </w:p>
          <w:p w:rsidR="00723D3D" w:rsidRPr="00723D3D" w:rsidRDefault="00723D3D" w:rsidP="00723D3D">
            <w:pPr>
              <w:spacing w:line="360" w:lineRule="auto"/>
              <w:jc w:val="center"/>
              <w:rPr>
                <w:rFonts w:ascii="Palatino Linotype" w:hAnsi="Palatino Linotype" w:cs="Arial"/>
                <w:b/>
              </w:rPr>
            </w:pPr>
          </w:p>
        </w:tc>
      </w:tr>
    </w:tbl>
    <w:p w:rsidR="00554DF4" w:rsidRPr="00262B05" w:rsidRDefault="00554DF4" w:rsidP="00262B05">
      <w:pPr>
        <w:spacing w:line="360" w:lineRule="auto"/>
        <w:jc w:val="both"/>
        <w:rPr>
          <w:rFonts w:ascii="Palatino Linotype" w:hAnsi="Palatino Linotype"/>
        </w:rPr>
      </w:pPr>
      <w:r w:rsidRPr="00262B05">
        <w:rPr>
          <w:rFonts w:ascii="Palatino Linotype" w:hAnsi="Palatino Linotype" w:cs="Arial"/>
        </w:rPr>
        <w:t xml:space="preserve">Esta hoja corresponde </w:t>
      </w:r>
      <w:r w:rsidR="00723D3D">
        <w:rPr>
          <w:rFonts w:ascii="Palatino Linotype" w:hAnsi="Palatino Linotype" w:cs="Arial"/>
        </w:rPr>
        <w:t>a la resolución de fecha veinte (20) de noviembre</w:t>
      </w:r>
      <w:r w:rsidRPr="00262B05">
        <w:rPr>
          <w:rFonts w:ascii="Palatino Linotype" w:hAnsi="Palatino Linotype" w:cs="Arial"/>
        </w:rPr>
        <w:t xml:space="preserve"> de dos mil diecinueve, emitida en el recurso de revisión </w:t>
      </w:r>
      <w:r w:rsidRPr="00262B05">
        <w:rPr>
          <w:rFonts w:ascii="Palatino Linotype" w:hAnsi="Palatino Linotype" w:cs="Arial"/>
          <w:b/>
          <w:bCs/>
          <w:lang w:eastAsia="es-MX"/>
        </w:rPr>
        <w:t>07</w:t>
      </w:r>
      <w:r w:rsidR="007E4C92" w:rsidRPr="00262B05">
        <w:rPr>
          <w:rFonts w:ascii="Palatino Linotype" w:hAnsi="Palatino Linotype" w:cs="Arial"/>
          <w:b/>
          <w:bCs/>
          <w:lang w:eastAsia="es-MX"/>
        </w:rPr>
        <w:t>383</w:t>
      </w:r>
      <w:r w:rsidRPr="00262B05">
        <w:rPr>
          <w:rFonts w:ascii="Palatino Linotype" w:hAnsi="Palatino Linotype" w:cs="Arial"/>
          <w:b/>
          <w:bCs/>
        </w:rPr>
        <w:t>/INFOEM/IP/RR/2019.</w:t>
      </w:r>
      <w:r w:rsidRPr="00262B05">
        <w:rPr>
          <w:rFonts w:ascii="Palatino Linotype" w:hAnsi="Palatino Linotype" w:cs="Arial"/>
          <w:bCs/>
        </w:rPr>
        <w:t xml:space="preserve"> </w:t>
      </w:r>
    </w:p>
    <w:p w:rsidR="002248D3" w:rsidRPr="00262B05" w:rsidRDefault="002248D3" w:rsidP="00262B05">
      <w:pPr>
        <w:spacing w:line="360" w:lineRule="auto"/>
        <w:rPr>
          <w:rFonts w:ascii="Palatino Linotype" w:hAnsi="Palatino Linotype"/>
        </w:rPr>
      </w:pPr>
    </w:p>
    <w:sectPr w:rsidR="002248D3" w:rsidRPr="00262B05" w:rsidSect="00262B05">
      <w:headerReference w:type="default" r:id="rId11"/>
      <w:footerReference w:type="default" r:id="rId12"/>
      <w:headerReference w:type="first" r:id="rId13"/>
      <w:footerReference w:type="first" r:id="rId14"/>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66B" w:rsidRDefault="00AB666B" w:rsidP="008B6F5F">
      <w:r>
        <w:separator/>
      </w:r>
    </w:p>
  </w:endnote>
  <w:endnote w:type="continuationSeparator" w:id="0">
    <w:p w:rsidR="00AB666B" w:rsidRDefault="00AB666B"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021CFC" w:rsidRPr="000A2541" w:rsidRDefault="00021CFC">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6C01E3">
              <w:rPr>
                <w:rFonts w:ascii="Palatino Linotype" w:hAnsi="Palatino Linotype"/>
                <w:b/>
                <w:bCs/>
                <w:noProof/>
              </w:rPr>
              <w:t>45</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6C01E3">
              <w:rPr>
                <w:rFonts w:ascii="Palatino Linotype" w:hAnsi="Palatino Linotype"/>
                <w:b/>
                <w:bCs/>
                <w:noProof/>
              </w:rPr>
              <w:t>45</w:t>
            </w:r>
            <w:r w:rsidRPr="000A2541">
              <w:rPr>
                <w:rFonts w:ascii="Palatino Linotype" w:hAnsi="Palatino Linotype"/>
                <w:b/>
                <w:bCs/>
              </w:rPr>
              <w:fldChar w:fldCharType="end"/>
            </w:r>
          </w:p>
        </w:sdtContent>
      </w:sdt>
    </w:sdtContent>
  </w:sdt>
  <w:p w:rsidR="00021CFC" w:rsidRDefault="00021C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CFC" w:rsidRPr="00883450" w:rsidRDefault="00021CFC"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C01E3" w:rsidRPr="006C01E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C01E3" w:rsidRPr="006C01E3">
      <w:rPr>
        <w:rFonts w:ascii="Palatino Linotype" w:hAnsi="Palatino Linotype"/>
        <w:noProof/>
        <w:sz w:val="22"/>
        <w:szCs w:val="22"/>
        <w:lang w:val="es-ES"/>
      </w:rPr>
      <w:t>45</w:t>
    </w:r>
    <w:r w:rsidRPr="00883450">
      <w:rPr>
        <w:rFonts w:ascii="Palatino Linotype" w:hAnsi="Palatino Linotype"/>
        <w:sz w:val="22"/>
        <w:szCs w:val="22"/>
      </w:rPr>
      <w:fldChar w:fldCharType="end"/>
    </w:r>
  </w:p>
  <w:p w:rsidR="00021CFC" w:rsidRPr="00883450" w:rsidRDefault="00021CF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66B" w:rsidRDefault="00AB666B" w:rsidP="008B6F5F">
      <w:r>
        <w:separator/>
      </w:r>
    </w:p>
  </w:footnote>
  <w:footnote w:type="continuationSeparator" w:id="0">
    <w:p w:rsidR="00AB666B" w:rsidRDefault="00AB666B" w:rsidP="008B6F5F">
      <w:r>
        <w:continuationSeparator/>
      </w:r>
    </w:p>
  </w:footnote>
  <w:footnote w:id="1">
    <w:p w:rsidR="00554DF4" w:rsidRDefault="00554DF4" w:rsidP="00554DF4">
      <w:pPr>
        <w:pStyle w:val="Textonotapie"/>
      </w:pPr>
      <w:r>
        <w:rPr>
          <w:rStyle w:val="Refdenotaalpie"/>
        </w:rPr>
        <w:footnoteRef/>
      </w:r>
      <w:r>
        <w:t xml:space="preserve"> Convención Americana sobre Derechos Humanos. Artículo 13.</w:t>
      </w:r>
    </w:p>
  </w:footnote>
  <w:footnote w:id="2">
    <w:p w:rsidR="00554DF4" w:rsidRDefault="00554DF4" w:rsidP="00554DF4">
      <w:pPr>
        <w:pStyle w:val="Textonotapie"/>
      </w:pPr>
      <w:r>
        <w:rPr>
          <w:rStyle w:val="Refdenotaalpie"/>
        </w:rPr>
        <w:footnoteRef/>
      </w:r>
      <w:r>
        <w:t xml:space="preserve"> Constitución Política de los Estados Unidos Mexicanos. Artículo sexto, sección A, Fracción I.</w:t>
      </w:r>
    </w:p>
  </w:footnote>
  <w:footnote w:id="3">
    <w:p w:rsidR="00554DF4" w:rsidRDefault="00554DF4" w:rsidP="00554DF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554DF4" w:rsidRDefault="00554DF4" w:rsidP="00554DF4">
      <w:pPr>
        <w:pStyle w:val="Textonotapie"/>
      </w:pPr>
      <w:r>
        <w:rPr>
          <w:rStyle w:val="Refdenotaalpie"/>
        </w:rPr>
        <w:footnoteRef/>
      </w:r>
      <w:r>
        <w:t xml:space="preserve"> Ibídem. Párr. 87.</w:t>
      </w:r>
    </w:p>
  </w:footnote>
  <w:footnote w:id="5">
    <w:p w:rsidR="00554DF4" w:rsidRDefault="00554DF4" w:rsidP="00554DF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6">
    <w:p w:rsidR="00554DF4" w:rsidRDefault="00554DF4" w:rsidP="00554DF4">
      <w:pPr>
        <w:pStyle w:val="Textonotapie"/>
      </w:pPr>
      <w:r>
        <w:rPr>
          <w:rStyle w:val="Refdenotaalpie"/>
        </w:rPr>
        <w:footnoteRef/>
      </w:r>
      <w:r>
        <w:t xml:space="preserve"> Artículo 150. Ley de Transparencia y Acceso a la Información Pública del Estado de México y Municipios.</w:t>
      </w:r>
    </w:p>
    <w:p w:rsidR="00554DF4" w:rsidRDefault="00554DF4" w:rsidP="00554DF4">
      <w:pPr>
        <w:pStyle w:val="Textonotapie"/>
      </w:pPr>
      <w:r>
        <w:t>Artículo 151. Ibídem.</w:t>
      </w:r>
    </w:p>
  </w:footnote>
  <w:footnote w:id="7">
    <w:p w:rsidR="00554DF4" w:rsidRDefault="00554DF4" w:rsidP="00554DF4">
      <w:pPr>
        <w:pStyle w:val="Textonotapie"/>
      </w:pPr>
      <w:r>
        <w:rPr>
          <w:rStyle w:val="Refdenotaalpie"/>
        </w:rPr>
        <w:footnoteRef/>
      </w:r>
      <w:r>
        <w:t xml:space="preserve"> Ley de Transparencia y Acceso a la Información Pública del Estado de México y Municipios. Artículo 9. …</w:t>
      </w:r>
    </w:p>
    <w:p w:rsidR="00554DF4" w:rsidRDefault="00554DF4" w:rsidP="00554DF4">
      <w:pPr>
        <w:pStyle w:val="Textonotapie"/>
      </w:pPr>
      <w:r>
        <w:t>II. Eficacia: Obligación del Instituto para tutelar, de manera efectiva, el derecho de acceso a la información;</w:t>
      </w:r>
    </w:p>
    <w:p w:rsidR="00554DF4" w:rsidRDefault="00554DF4" w:rsidP="00554DF4">
      <w:pPr>
        <w:pStyle w:val="Textonotapie"/>
      </w:pPr>
      <w:r>
        <w:t xml:space="preserve">… </w:t>
      </w:r>
    </w:p>
  </w:footnote>
  <w:footnote w:id="8">
    <w:p w:rsidR="00554DF4" w:rsidRDefault="00554DF4" w:rsidP="00554DF4">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554DF4" w:rsidRDefault="00554DF4" w:rsidP="00554DF4">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554DF4" w:rsidRDefault="00554DF4" w:rsidP="00554DF4">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9">
    <w:p w:rsidR="00554DF4" w:rsidRDefault="00554DF4" w:rsidP="00554DF4">
      <w:pPr>
        <w:pStyle w:val="Textonotapie"/>
        <w:jc w:val="both"/>
        <w:rPr>
          <w:lang w:val="es-ES"/>
        </w:rPr>
      </w:pPr>
      <w:r>
        <w:rPr>
          <w:rStyle w:val="Refdenotaalpie"/>
        </w:rPr>
        <w:footnoteRef/>
      </w:r>
      <w:r>
        <w:t xml:space="preserve"> </w:t>
      </w:r>
      <w:r>
        <w:rPr>
          <w:lang w:val="es-ES"/>
        </w:rPr>
        <w:t xml:space="preserve">Tribunales Colegiados de Circuito. Novena </w:t>
      </w:r>
      <w:proofErr w:type="spellStart"/>
      <w:r>
        <w:rPr>
          <w:lang w:val="es-ES"/>
        </w:rPr>
        <w:t>Epoca</w:t>
      </w:r>
      <w:proofErr w:type="spellEnd"/>
      <w:r>
        <w:rPr>
          <w:lang w:val="es-ES"/>
        </w:rPr>
        <w:t xml:space="preserve">. Semanario Judicial de la Federación y su Gaceta. Tomo III, marzo de 1996. </w:t>
      </w:r>
      <w:proofErr w:type="spellStart"/>
      <w:r>
        <w:rPr>
          <w:lang w:val="es-ES"/>
        </w:rPr>
        <w:t>Pág</w:t>
      </w:r>
      <w:proofErr w:type="spellEnd"/>
      <w:r>
        <w:rPr>
          <w:lang w:val="es-ES"/>
        </w:rPr>
        <w:t xml:space="preserve"> 769. Consultado en http://sjf.scjn.gob.mx/sjfsist/Documentos/Tesis/203/203143.pdf  el viernes 16 de junio de 2017.</w:t>
      </w:r>
    </w:p>
  </w:footnote>
  <w:footnote w:id="10">
    <w:p w:rsidR="00554DF4" w:rsidRDefault="00554DF4" w:rsidP="00554DF4">
      <w:pPr>
        <w:pStyle w:val="Textonotapie"/>
        <w:jc w:val="both"/>
      </w:pPr>
      <w:r>
        <w:rPr>
          <w:rStyle w:val="Refdenotaalpie"/>
        </w:rPr>
        <w:footnoteRef/>
      </w:r>
      <w:r>
        <w:t xml:space="preserve"> Artículo 3. Para los efectos de la presente Ley se entenderá por:</w:t>
      </w:r>
    </w:p>
    <w:p w:rsidR="00554DF4" w:rsidRDefault="00554DF4" w:rsidP="00554DF4">
      <w:pPr>
        <w:pStyle w:val="Textonotapie"/>
        <w:jc w:val="both"/>
      </w:pPr>
      <w:r>
        <w:t xml:space="preserve"> (…)</w:t>
      </w:r>
    </w:p>
    <w:p w:rsidR="00554DF4" w:rsidRDefault="00554DF4" w:rsidP="00554DF4">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21CFC" w:rsidRPr="00EF13C1" w:rsidTr="00646380">
      <w:trPr>
        <w:trHeight w:val="138"/>
        <w:jc w:val="right"/>
      </w:trPr>
      <w:tc>
        <w:tcPr>
          <w:tcW w:w="2552" w:type="dxa"/>
          <w:vAlign w:val="center"/>
        </w:tcPr>
        <w:p w:rsidR="00021CFC" w:rsidRPr="00EF13C1" w:rsidRDefault="00021CFC"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021CFC" w:rsidRPr="00EF13C1" w:rsidRDefault="00021CFC" w:rsidP="00644FEC">
          <w:pPr>
            <w:pStyle w:val="Encabezado"/>
            <w:jc w:val="right"/>
            <w:rPr>
              <w:rFonts w:ascii="Palatino Linotype" w:hAnsi="Palatino Linotype"/>
              <w:b/>
              <w:sz w:val="22"/>
              <w:szCs w:val="22"/>
            </w:rPr>
          </w:pPr>
          <w:r>
            <w:rPr>
              <w:rFonts w:ascii="Palatino Linotype" w:hAnsi="Palatino Linotype" w:cs="Arial"/>
              <w:b/>
              <w:bCs/>
              <w:sz w:val="22"/>
              <w:szCs w:val="22"/>
              <w:lang w:eastAsia="es-MX"/>
            </w:rPr>
            <w:t>07</w:t>
          </w:r>
          <w:r w:rsidR="007E4C92">
            <w:rPr>
              <w:rFonts w:ascii="Palatino Linotype" w:hAnsi="Palatino Linotype" w:cs="Arial"/>
              <w:b/>
              <w:bCs/>
              <w:sz w:val="22"/>
              <w:szCs w:val="22"/>
              <w:lang w:eastAsia="es-MX"/>
            </w:rPr>
            <w:t>383</w:t>
          </w:r>
          <w:r>
            <w:rPr>
              <w:rFonts w:ascii="Palatino Linotype" w:hAnsi="Palatino Linotype" w:cs="Arial"/>
              <w:b/>
              <w:bCs/>
              <w:sz w:val="22"/>
              <w:szCs w:val="22"/>
              <w:lang w:eastAsia="es-MX"/>
            </w:rPr>
            <w:t>/INFOEM/IP/RR/2019</w:t>
          </w:r>
        </w:p>
      </w:tc>
    </w:tr>
    <w:tr w:rsidR="00021CFC" w:rsidRPr="00EF13C1" w:rsidTr="00646380">
      <w:trPr>
        <w:trHeight w:val="233"/>
        <w:jc w:val="right"/>
      </w:trPr>
      <w:tc>
        <w:tcPr>
          <w:tcW w:w="2552" w:type="dxa"/>
          <w:vAlign w:val="center"/>
        </w:tcPr>
        <w:p w:rsidR="00021CFC" w:rsidRPr="00EF13C1" w:rsidRDefault="00021CFC" w:rsidP="00646380">
          <w:pPr>
            <w:rPr>
              <w:rFonts w:ascii="Palatino Linotype" w:hAnsi="Palatino Linotype"/>
              <w:b/>
              <w:sz w:val="22"/>
              <w:szCs w:val="22"/>
            </w:rPr>
          </w:pPr>
        </w:p>
      </w:tc>
      <w:tc>
        <w:tcPr>
          <w:tcW w:w="3826" w:type="dxa"/>
          <w:vAlign w:val="center"/>
        </w:tcPr>
        <w:p w:rsidR="00021CFC" w:rsidRPr="00EF13C1" w:rsidRDefault="00021CFC" w:rsidP="00141DF6">
          <w:pPr>
            <w:pStyle w:val="Encabezado"/>
            <w:jc w:val="center"/>
            <w:rPr>
              <w:rFonts w:ascii="Palatino Linotype" w:hAnsi="Palatino Linotype"/>
              <w:b/>
              <w:sz w:val="22"/>
              <w:szCs w:val="22"/>
            </w:rPr>
          </w:pPr>
        </w:p>
      </w:tc>
    </w:tr>
    <w:tr w:rsidR="00021CFC" w:rsidRPr="00EF13C1" w:rsidTr="00646380">
      <w:trPr>
        <w:trHeight w:val="321"/>
        <w:jc w:val="right"/>
      </w:trPr>
      <w:tc>
        <w:tcPr>
          <w:tcW w:w="2552" w:type="dxa"/>
          <w:vAlign w:val="center"/>
        </w:tcPr>
        <w:p w:rsidR="00021CFC" w:rsidRPr="00EF13C1" w:rsidRDefault="00021CFC"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021CFC" w:rsidRPr="00EF13C1" w:rsidRDefault="00021CFC" w:rsidP="007E4C92">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r w:rsidR="007E4C92">
            <w:rPr>
              <w:rFonts w:ascii="Palatino Linotype" w:hAnsi="Palatino Linotype"/>
              <w:b/>
              <w:bCs/>
              <w:sz w:val="22"/>
              <w:szCs w:val="22"/>
            </w:rPr>
            <w:t>Zumpango</w:t>
          </w:r>
        </w:p>
      </w:tc>
    </w:tr>
    <w:tr w:rsidR="00021CFC" w:rsidRPr="00EF13C1" w:rsidTr="00646380">
      <w:trPr>
        <w:trHeight w:val="321"/>
        <w:jc w:val="right"/>
      </w:trPr>
      <w:tc>
        <w:tcPr>
          <w:tcW w:w="2552" w:type="dxa"/>
          <w:vAlign w:val="center"/>
        </w:tcPr>
        <w:p w:rsidR="00021CFC" w:rsidRPr="00EF13C1" w:rsidRDefault="00021CFC"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021CFC" w:rsidRPr="00EF13C1" w:rsidRDefault="00021CFC"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021CFC" w:rsidRDefault="00021CFC"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021CFC" w:rsidRPr="00182113" w:rsidTr="00141DF6">
      <w:trPr>
        <w:trHeight w:val="138"/>
      </w:trPr>
      <w:tc>
        <w:tcPr>
          <w:tcW w:w="2532" w:type="dxa"/>
          <w:vAlign w:val="center"/>
        </w:tcPr>
        <w:p w:rsidR="00021CFC" w:rsidRPr="00EF13C1" w:rsidRDefault="00021CFC"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021CFC" w:rsidRPr="00EF13C1" w:rsidRDefault="00021CFC" w:rsidP="00644FEC">
          <w:pPr>
            <w:pStyle w:val="Encabezado"/>
            <w:jc w:val="right"/>
            <w:rPr>
              <w:rFonts w:ascii="Palatino Linotype" w:hAnsi="Palatino Linotype"/>
              <w:b/>
              <w:sz w:val="22"/>
              <w:szCs w:val="22"/>
            </w:rPr>
          </w:pPr>
          <w:r>
            <w:rPr>
              <w:rFonts w:ascii="Palatino Linotype" w:hAnsi="Palatino Linotype" w:cs="Arial"/>
              <w:b/>
              <w:bCs/>
              <w:sz w:val="22"/>
              <w:szCs w:val="22"/>
              <w:lang w:eastAsia="es-MX"/>
            </w:rPr>
            <w:t>07</w:t>
          </w:r>
          <w:r w:rsidR="007E4C92">
            <w:rPr>
              <w:rFonts w:ascii="Palatino Linotype" w:hAnsi="Palatino Linotype" w:cs="Arial"/>
              <w:b/>
              <w:bCs/>
              <w:sz w:val="22"/>
              <w:szCs w:val="22"/>
              <w:lang w:eastAsia="es-MX"/>
            </w:rPr>
            <w:t>383</w:t>
          </w:r>
          <w:r>
            <w:rPr>
              <w:rFonts w:ascii="Palatino Linotype" w:hAnsi="Palatino Linotype" w:cs="Arial"/>
              <w:b/>
              <w:bCs/>
              <w:sz w:val="22"/>
              <w:szCs w:val="22"/>
              <w:lang w:eastAsia="es-MX"/>
            </w:rPr>
            <w:t xml:space="preserve">/INFOEM/IP/RR/2019 </w:t>
          </w:r>
        </w:p>
      </w:tc>
      <w:tc>
        <w:tcPr>
          <w:tcW w:w="2532" w:type="dxa"/>
          <w:vAlign w:val="center"/>
        </w:tcPr>
        <w:p w:rsidR="00021CFC" w:rsidRPr="00182113" w:rsidRDefault="00021CFC" w:rsidP="00141DF6">
          <w:pPr>
            <w:rPr>
              <w:rFonts w:ascii="Palatino Linotype" w:hAnsi="Palatino Linotype"/>
              <w:b/>
              <w:sz w:val="22"/>
              <w:szCs w:val="22"/>
            </w:rPr>
          </w:pPr>
        </w:p>
      </w:tc>
      <w:tc>
        <w:tcPr>
          <w:tcW w:w="236" w:type="dxa"/>
          <w:vAlign w:val="center"/>
        </w:tcPr>
        <w:p w:rsidR="00021CFC" w:rsidRPr="00182113" w:rsidRDefault="00021CFC" w:rsidP="00141DF6">
          <w:pPr>
            <w:pStyle w:val="Encabezado"/>
            <w:jc w:val="center"/>
            <w:rPr>
              <w:rFonts w:ascii="Palatino Linotype" w:hAnsi="Palatino Linotype"/>
              <w:b/>
              <w:sz w:val="22"/>
              <w:szCs w:val="22"/>
            </w:rPr>
          </w:pPr>
        </w:p>
      </w:tc>
      <w:tc>
        <w:tcPr>
          <w:tcW w:w="3261" w:type="dxa"/>
          <w:vAlign w:val="center"/>
        </w:tcPr>
        <w:p w:rsidR="00021CFC" w:rsidRPr="00182113" w:rsidRDefault="00021CFC" w:rsidP="00141DF6">
          <w:pPr>
            <w:pStyle w:val="Encabezado"/>
            <w:rPr>
              <w:rFonts w:ascii="Palatino Linotype" w:hAnsi="Palatino Linotype"/>
              <w:b/>
              <w:sz w:val="22"/>
              <w:szCs w:val="22"/>
            </w:rPr>
          </w:pPr>
        </w:p>
      </w:tc>
    </w:tr>
    <w:tr w:rsidR="00021CFC" w:rsidRPr="00182113" w:rsidTr="00141DF6">
      <w:trPr>
        <w:trHeight w:val="227"/>
      </w:trPr>
      <w:tc>
        <w:tcPr>
          <w:tcW w:w="2532" w:type="dxa"/>
          <w:vAlign w:val="center"/>
        </w:tcPr>
        <w:p w:rsidR="00021CFC" w:rsidRPr="00EF13C1" w:rsidRDefault="00021CFC"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021CFC" w:rsidRPr="00EF13C1" w:rsidRDefault="00810E1E" w:rsidP="00141DF6">
          <w:pPr>
            <w:pStyle w:val="Encabezado"/>
            <w:jc w:val="right"/>
            <w:rPr>
              <w:rFonts w:ascii="Palatino Linotype" w:hAnsi="Palatino Linotype"/>
              <w:b/>
              <w:sz w:val="22"/>
              <w:szCs w:val="22"/>
            </w:rPr>
          </w:pPr>
          <w:r w:rsidRPr="00810E1E">
            <w:rPr>
              <w:rFonts w:ascii="Palatino Linotype" w:hAnsi="Palatino Linotype"/>
              <w:b/>
              <w:sz w:val="22"/>
              <w:szCs w:val="22"/>
              <w:highlight w:val="black"/>
            </w:rPr>
            <w:t>-----------------</w:t>
          </w:r>
        </w:p>
      </w:tc>
      <w:tc>
        <w:tcPr>
          <w:tcW w:w="2532" w:type="dxa"/>
          <w:vAlign w:val="center"/>
        </w:tcPr>
        <w:p w:rsidR="00021CFC" w:rsidRPr="00182113" w:rsidRDefault="00021CFC" w:rsidP="00141DF6">
          <w:pPr>
            <w:rPr>
              <w:rFonts w:ascii="Palatino Linotype" w:hAnsi="Palatino Linotype"/>
              <w:b/>
              <w:sz w:val="22"/>
              <w:szCs w:val="22"/>
            </w:rPr>
          </w:pPr>
        </w:p>
      </w:tc>
      <w:tc>
        <w:tcPr>
          <w:tcW w:w="236" w:type="dxa"/>
          <w:vAlign w:val="center"/>
        </w:tcPr>
        <w:p w:rsidR="00021CFC" w:rsidRPr="00182113" w:rsidRDefault="00021CFC" w:rsidP="00141DF6">
          <w:pPr>
            <w:pStyle w:val="Encabezado"/>
            <w:jc w:val="center"/>
            <w:rPr>
              <w:rFonts w:ascii="Palatino Linotype" w:hAnsi="Palatino Linotype"/>
              <w:b/>
              <w:sz w:val="22"/>
              <w:szCs w:val="22"/>
            </w:rPr>
          </w:pPr>
        </w:p>
      </w:tc>
      <w:tc>
        <w:tcPr>
          <w:tcW w:w="3261" w:type="dxa"/>
          <w:vAlign w:val="center"/>
        </w:tcPr>
        <w:p w:rsidR="00021CFC" w:rsidRPr="00182113" w:rsidRDefault="00021CFC" w:rsidP="00141DF6">
          <w:pPr>
            <w:pStyle w:val="Encabezado"/>
            <w:rPr>
              <w:rFonts w:ascii="Palatino Linotype" w:hAnsi="Palatino Linotype"/>
              <w:b/>
              <w:sz w:val="22"/>
              <w:szCs w:val="22"/>
            </w:rPr>
          </w:pPr>
        </w:p>
      </w:tc>
    </w:tr>
    <w:tr w:rsidR="00021CFC" w:rsidRPr="00182113" w:rsidTr="00141DF6">
      <w:trPr>
        <w:trHeight w:val="232"/>
      </w:trPr>
      <w:tc>
        <w:tcPr>
          <w:tcW w:w="2532" w:type="dxa"/>
          <w:vAlign w:val="center"/>
        </w:tcPr>
        <w:p w:rsidR="00021CFC" w:rsidRPr="00EF13C1" w:rsidRDefault="00021CFC"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021CFC" w:rsidRPr="00EF13C1" w:rsidRDefault="00021CFC" w:rsidP="007E4C92">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r w:rsidR="007E4C92">
            <w:rPr>
              <w:rFonts w:ascii="Palatino Linotype" w:hAnsi="Palatino Linotype"/>
              <w:b/>
              <w:bCs/>
              <w:sz w:val="22"/>
              <w:szCs w:val="22"/>
            </w:rPr>
            <w:t>Zumpango</w:t>
          </w:r>
        </w:p>
      </w:tc>
      <w:tc>
        <w:tcPr>
          <w:tcW w:w="2532" w:type="dxa"/>
          <w:vAlign w:val="center"/>
        </w:tcPr>
        <w:p w:rsidR="00021CFC" w:rsidRPr="00182113" w:rsidRDefault="00021CFC" w:rsidP="00141DF6">
          <w:pPr>
            <w:rPr>
              <w:rFonts w:ascii="Palatino Linotype" w:hAnsi="Palatino Linotype"/>
              <w:b/>
              <w:sz w:val="22"/>
              <w:szCs w:val="22"/>
            </w:rPr>
          </w:pPr>
        </w:p>
      </w:tc>
      <w:tc>
        <w:tcPr>
          <w:tcW w:w="236" w:type="dxa"/>
          <w:vAlign w:val="center"/>
        </w:tcPr>
        <w:p w:rsidR="00021CFC" w:rsidRPr="00182113" w:rsidRDefault="00021CFC" w:rsidP="00141DF6">
          <w:pPr>
            <w:pStyle w:val="Encabezado"/>
            <w:jc w:val="center"/>
            <w:rPr>
              <w:rFonts w:ascii="Palatino Linotype" w:hAnsi="Palatino Linotype"/>
              <w:b/>
              <w:sz w:val="22"/>
              <w:szCs w:val="22"/>
            </w:rPr>
          </w:pPr>
        </w:p>
      </w:tc>
      <w:tc>
        <w:tcPr>
          <w:tcW w:w="3261" w:type="dxa"/>
          <w:vAlign w:val="center"/>
        </w:tcPr>
        <w:p w:rsidR="00021CFC" w:rsidRPr="00182113" w:rsidRDefault="00021CFC" w:rsidP="00141DF6">
          <w:pPr>
            <w:pStyle w:val="Encabezado"/>
            <w:rPr>
              <w:rFonts w:ascii="Palatino Linotype" w:hAnsi="Palatino Linotype"/>
              <w:b/>
              <w:sz w:val="22"/>
              <w:szCs w:val="22"/>
            </w:rPr>
          </w:pPr>
        </w:p>
      </w:tc>
    </w:tr>
    <w:tr w:rsidR="00021CFC" w:rsidRPr="00182113" w:rsidTr="00141DF6">
      <w:trPr>
        <w:trHeight w:val="320"/>
      </w:trPr>
      <w:tc>
        <w:tcPr>
          <w:tcW w:w="2532" w:type="dxa"/>
          <w:vAlign w:val="center"/>
        </w:tcPr>
        <w:p w:rsidR="00021CFC" w:rsidRPr="00EF13C1" w:rsidRDefault="00021CFC"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021CFC" w:rsidRPr="00EF13C1" w:rsidRDefault="00021CFC"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021CFC" w:rsidRPr="00182113" w:rsidRDefault="00021CFC" w:rsidP="00141DF6">
          <w:pPr>
            <w:rPr>
              <w:rFonts w:ascii="Palatino Linotype" w:hAnsi="Palatino Linotype"/>
              <w:b/>
              <w:sz w:val="22"/>
              <w:szCs w:val="22"/>
            </w:rPr>
          </w:pPr>
        </w:p>
      </w:tc>
      <w:tc>
        <w:tcPr>
          <w:tcW w:w="236" w:type="dxa"/>
          <w:vAlign w:val="center"/>
        </w:tcPr>
        <w:p w:rsidR="00021CFC" w:rsidRPr="00182113" w:rsidRDefault="00021CFC" w:rsidP="00141DF6">
          <w:pPr>
            <w:pStyle w:val="Encabezado"/>
            <w:jc w:val="center"/>
            <w:rPr>
              <w:rFonts w:ascii="Palatino Linotype" w:hAnsi="Palatino Linotype"/>
              <w:b/>
              <w:sz w:val="22"/>
              <w:szCs w:val="22"/>
            </w:rPr>
          </w:pPr>
        </w:p>
      </w:tc>
      <w:tc>
        <w:tcPr>
          <w:tcW w:w="3261" w:type="dxa"/>
          <w:vAlign w:val="center"/>
        </w:tcPr>
        <w:p w:rsidR="00021CFC" w:rsidRPr="00182113" w:rsidRDefault="00021CFC" w:rsidP="00141DF6">
          <w:pPr>
            <w:pStyle w:val="Encabezado"/>
            <w:rPr>
              <w:rFonts w:ascii="Palatino Linotype" w:hAnsi="Palatino Linotype"/>
              <w:b/>
              <w:sz w:val="22"/>
              <w:szCs w:val="22"/>
            </w:rPr>
          </w:pPr>
        </w:p>
      </w:tc>
    </w:tr>
  </w:tbl>
  <w:p w:rsidR="00021CFC" w:rsidRDefault="00021CF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DE6D5C"/>
    <w:multiLevelType w:val="hybridMultilevel"/>
    <w:tmpl w:val="3DE6F8E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213E08E7"/>
    <w:multiLevelType w:val="hybridMultilevel"/>
    <w:tmpl w:val="4A8EA8C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6A4D6D"/>
    <w:multiLevelType w:val="hybridMultilevel"/>
    <w:tmpl w:val="0B3694C0"/>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Courier New" w:hint="default"/>
      </w:rPr>
    </w:lvl>
    <w:lvl w:ilvl="2" w:tplc="080A0005">
      <w:start w:val="1"/>
      <w:numFmt w:val="bullet"/>
      <w:lvlText w:val=""/>
      <w:lvlJc w:val="left"/>
      <w:pPr>
        <w:ind w:left="2226" w:hanging="360"/>
      </w:pPr>
      <w:rPr>
        <w:rFonts w:ascii="Wingdings" w:hAnsi="Wingdings" w:hint="default"/>
      </w:rPr>
    </w:lvl>
    <w:lvl w:ilvl="3" w:tplc="080A0001">
      <w:start w:val="1"/>
      <w:numFmt w:val="bullet"/>
      <w:lvlText w:val=""/>
      <w:lvlJc w:val="left"/>
      <w:pPr>
        <w:ind w:left="2946" w:hanging="360"/>
      </w:pPr>
      <w:rPr>
        <w:rFonts w:ascii="Symbol" w:hAnsi="Symbol" w:hint="default"/>
      </w:rPr>
    </w:lvl>
    <w:lvl w:ilvl="4" w:tplc="080A0003">
      <w:start w:val="1"/>
      <w:numFmt w:val="bullet"/>
      <w:lvlText w:val="o"/>
      <w:lvlJc w:val="left"/>
      <w:pPr>
        <w:ind w:left="3666" w:hanging="360"/>
      </w:pPr>
      <w:rPr>
        <w:rFonts w:ascii="Courier New" w:hAnsi="Courier New" w:cs="Courier New" w:hint="default"/>
      </w:rPr>
    </w:lvl>
    <w:lvl w:ilvl="5" w:tplc="080A0005">
      <w:start w:val="1"/>
      <w:numFmt w:val="bullet"/>
      <w:lvlText w:val=""/>
      <w:lvlJc w:val="left"/>
      <w:pPr>
        <w:ind w:left="4386" w:hanging="360"/>
      </w:pPr>
      <w:rPr>
        <w:rFonts w:ascii="Wingdings" w:hAnsi="Wingdings" w:hint="default"/>
      </w:rPr>
    </w:lvl>
    <w:lvl w:ilvl="6" w:tplc="080A0001">
      <w:start w:val="1"/>
      <w:numFmt w:val="bullet"/>
      <w:lvlText w:val=""/>
      <w:lvlJc w:val="left"/>
      <w:pPr>
        <w:ind w:left="5106" w:hanging="360"/>
      </w:pPr>
      <w:rPr>
        <w:rFonts w:ascii="Symbol" w:hAnsi="Symbol" w:hint="default"/>
      </w:rPr>
    </w:lvl>
    <w:lvl w:ilvl="7" w:tplc="080A0003">
      <w:start w:val="1"/>
      <w:numFmt w:val="bullet"/>
      <w:lvlText w:val="o"/>
      <w:lvlJc w:val="left"/>
      <w:pPr>
        <w:ind w:left="5826" w:hanging="360"/>
      </w:pPr>
      <w:rPr>
        <w:rFonts w:ascii="Courier New" w:hAnsi="Courier New" w:cs="Courier New" w:hint="default"/>
      </w:rPr>
    </w:lvl>
    <w:lvl w:ilvl="8" w:tplc="080A0005">
      <w:start w:val="1"/>
      <w:numFmt w:val="bullet"/>
      <w:lvlText w:val=""/>
      <w:lvlJc w:val="left"/>
      <w:pPr>
        <w:ind w:left="6546" w:hanging="360"/>
      </w:pPr>
      <w:rPr>
        <w:rFonts w:ascii="Wingdings" w:hAnsi="Wingdings" w:hint="default"/>
      </w:rPr>
    </w:lvl>
  </w:abstractNum>
  <w:abstractNum w:abstractNumId="5"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765F"/>
    <w:rsid w:val="00011298"/>
    <w:rsid w:val="000129FA"/>
    <w:rsid w:val="00013B7E"/>
    <w:rsid w:val="000205C3"/>
    <w:rsid w:val="00020A79"/>
    <w:rsid w:val="000218CD"/>
    <w:rsid w:val="00021CFC"/>
    <w:rsid w:val="00021EFC"/>
    <w:rsid w:val="000274EF"/>
    <w:rsid w:val="00031362"/>
    <w:rsid w:val="00032ED4"/>
    <w:rsid w:val="000343D4"/>
    <w:rsid w:val="00036E69"/>
    <w:rsid w:val="000404FD"/>
    <w:rsid w:val="0004269C"/>
    <w:rsid w:val="00045D8E"/>
    <w:rsid w:val="000471A3"/>
    <w:rsid w:val="000550E9"/>
    <w:rsid w:val="00055C0B"/>
    <w:rsid w:val="00057046"/>
    <w:rsid w:val="00061B8C"/>
    <w:rsid w:val="00066351"/>
    <w:rsid w:val="000663DD"/>
    <w:rsid w:val="0007491E"/>
    <w:rsid w:val="00075A4C"/>
    <w:rsid w:val="00091880"/>
    <w:rsid w:val="00092CD4"/>
    <w:rsid w:val="00094259"/>
    <w:rsid w:val="00096AFD"/>
    <w:rsid w:val="000A203F"/>
    <w:rsid w:val="000A2541"/>
    <w:rsid w:val="000A46A2"/>
    <w:rsid w:val="000A79E0"/>
    <w:rsid w:val="000B0650"/>
    <w:rsid w:val="000B3BC1"/>
    <w:rsid w:val="000C37A1"/>
    <w:rsid w:val="000C3F80"/>
    <w:rsid w:val="000C524E"/>
    <w:rsid w:val="000D0E72"/>
    <w:rsid w:val="000D4FCC"/>
    <w:rsid w:val="000D62D7"/>
    <w:rsid w:val="000E03A9"/>
    <w:rsid w:val="000E04B9"/>
    <w:rsid w:val="000E053C"/>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3D99"/>
    <w:rsid w:val="00105A38"/>
    <w:rsid w:val="00106334"/>
    <w:rsid w:val="0011051D"/>
    <w:rsid w:val="00110E2E"/>
    <w:rsid w:val="001168F4"/>
    <w:rsid w:val="00121044"/>
    <w:rsid w:val="00123610"/>
    <w:rsid w:val="001308F8"/>
    <w:rsid w:val="00130B1E"/>
    <w:rsid w:val="001319DC"/>
    <w:rsid w:val="00132F24"/>
    <w:rsid w:val="00133116"/>
    <w:rsid w:val="001336BF"/>
    <w:rsid w:val="001342EB"/>
    <w:rsid w:val="00140005"/>
    <w:rsid w:val="00141DF6"/>
    <w:rsid w:val="0014528A"/>
    <w:rsid w:val="00145959"/>
    <w:rsid w:val="00150242"/>
    <w:rsid w:val="0015151E"/>
    <w:rsid w:val="001515F1"/>
    <w:rsid w:val="001520C4"/>
    <w:rsid w:val="0015267F"/>
    <w:rsid w:val="0015525D"/>
    <w:rsid w:val="00156A90"/>
    <w:rsid w:val="00162483"/>
    <w:rsid w:val="001624FE"/>
    <w:rsid w:val="00163F26"/>
    <w:rsid w:val="001651E9"/>
    <w:rsid w:val="00166171"/>
    <w:rsid w:val="00167218"/>
    <w:rsid w:val="001672EA"/>
    <w:rsid w:val="00170DEE"/>
    <w:rsid w:val="001715AF"/>
    <w:rsid w:val="001720F9"/>
    <w:rsid w:val="00173525"/>
    <w:rsid w:val="00182731"/>
    <w:rsid w:val="001846A4"/>
    <w:rsid w:val="001864B6"/>
    <w:rsid w:val="00187676"/>
    <w:rsid w:val="00192EC4"/>
    <w:rsid w:val="0019703D"/>
    <w:rsid w:val="001A160C"/>
    <w:rsid w:val="001A556A"/>
    <w:rsid w:val="001A7D74"/>
    <w:rsid w:val="001B0E38"/>
    <w:rsid w:val="001B3D20"/>
    <w:rsid w:val="001B48A5"/>
    <w:rsid w:val="001C0763"/>
    <w:rsid w:val="001C0F74"/>
    <w:rsid w:val="001C1F82"/>
    <w:rsid w:val="001C32D4"/>
    <w:rsid w:val="001C6037"/>
    <w:rsid w:val="001C7C47"/>
    <w:rsid w:val="001D5D25"/>
    <w:rsid w:val="001D5F4A"/>
    <w:rsid w:val="001D6496"/>
    <w:rsid w:val="001E673C"/>
    <w:rsid w:val="001E69EF"/>
    <w:rsid w:val="001F1A61"/>
    <w:rsid w:val="001F27F5"/>
    <w:rsid w:val="001F2B1D"/>
    <w:rsid w:val="001F6878"/>
    <w:rsid w:val="001F7B21"/>
    <w:rsid w:val="00201C80"/>
    <w:rsid w:val="00203DB6"/>
    <w:rsid w:val="002065EF"/>
    <w:rsid w:val="0021062B"/>
    <w:rsid w:val="0021398B"/>
    <w:rsid w:val="002146B1"/>
    <w:rsid w:val="00216C93"/>
    <w:rsid w:val="0022089E"/>
    <w:rsid w:val="00220C8D"/>
    <w:rsid w:val="0022251B"/>
    <w:rsid w:val="00222845"/>
    <w:rsid w:val="002229DA"/>
    <w:rsid w:val="002248D3"/>
    <w:rsid w:val="00225AEA"/>
    <w:rsid w:val="00230ED8"/>
    <w:rsid w:val="00231687"/>
    <w:rsid w:val="00231FF4"/>
    <w:rsid w:val="00237EAE"/>
    <w:rsid w:val="00241128"/>
    <w:rsid w:val="0024503C"/>
    <w:rsid w:val="00245255"/>
    <w:rsid w:val="002456EB"/>
    <w:rsid w:val="002459BD"/>
    <w:rsid w:val="0025652B"/>
    <w:rsid w:val="00256D0A"/>
    <w:rsid w:val="00260E8C"/>
    <w:rsid w:val="00262949"/>
    <w:rsid w:val="00262B05"/>
    <w:rsid w:val="002655B2"/>
    <w:rsid w:val="00266D19"/>
    <w:rsid w:val="00266F04"/>
    <w:rsid w:val="00271ADB"/>
    <w:rsid w:val="00271AF3"/>
    <w:rsid w:val="00273E6D"/>
    <w:rsid w:val="002748FD"/>
    <w:rsid w:val="00274D1E"/>
    <w:rsid w:val="00274E75"/>
    <w:rsid w:val="00276B36"/>
    <w:rsid w:val="002770B1"/>
    <w:rsid w:val="0027779A"/>
    <w:rsid w:val="0028469E"/>
    <w:rsid w:val="00286C61"/>
    <w:rsid w:val="00294EEE"/>
    <w:rsid w:val="00296E48"/>
    <w:rsid w:val="00296EF2"/>
    <w:rsid w:val="002A0419"/>
    <w:rsid w:val="002A3EC2"/>
    <w:rsid w:val="002A4249"/>
    <w:rsid w:val="002A5BA4"/>
    <w:rsid w:val="002B0356"/>
    <w:rsid w:val="002B430C"/>
    <w:rsid w:val="002C32FE"/>
    <w:rsid w:val="002C51AA"/>
    <w:rsid w:val="002D2177"/>
    <w:rsid w:val="002D21B7"/>
    <w:rsid w:val="002D3F81"/>
    <w:rsid w:val="002D7BFD"/>
    <w:rsid w:val="002E01F3"/>
    <w:rsid w:val="002E2041"/>
    <w:rsid w:val="002E4801"/>
    <w:rsid w:val="002F1198"/>
    <w:rsid w:val="002F37F6"/>
    <w:rsid w:val="002F41D4"/>
    <w:rsid w:val="002F42C6"/>
    <w:rsid w:val="002F4E9B"/>
    <w:rsid w:val="003006D4"/>
    <w:rsid w:val="00302FF6"/>
    <w:rsid w:val="00311921"/>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F58"/>
    <w:rsid w:val="003530F1"/>
    <w:rsid w:val="00356876"/>
    <w:rsid w:val="0036237D"/>
    <w:rsid w:val="00366760"/>
    <w:rsid w:val="0036737F"/>
    <w:rsid w:val="0036741F"/>
    <w:rsid w:val="0038111F"/>
    <w:rsid w:val="00382C85"/>
    <w:rsid w:val="00385622"/>
    <w:rsid w:val="00392960"/>
    <w:rsid w:val="003950A7"/>
    <w:rsid w:val="003977F2"/>
    <w:rsid w:val="003A1075"/>
    <w:rsid w:val="003A3A45"/>
    <w:rsid w:val="003A75A4"/>
    <w:rsid w:val="003A7F47"/>
    <w:rsid w:val="003B0404"/>
    <w:rsid w:val="003B26E6"/>
    <w:rsid w:val="003B31C0"/>
    <w:rsid w:val="003B3BE1"/>
    <w:rsid w:val="003C2170"/>
    <w:rsid w:val="003C233B"/>
    <w:rsid w:val="003C2EEA"/>
    <w:rsid w:val="003C53A5"/>
    <w:rsid w:val="003C76B3"/>
    <w:rsid w:val="003C7AB3"/>
    <w:rsid w:val="003D0613"/>
    <w:rsid w:val="003D59AE"/>
    <w:rsid w:val="003D6FEA"/>
    <w:rsid w:val="003E000F"/>
    <w:rsid w:val="003E1028"/>
    <w:rsid w:val="003F369B"/>
    <w:rsid w:val="003F4747"/>
    <w:rsid w:val="003F688E"/>
    <w:rsid w:val="003F7AE2"/>
    <w:rsid w:val="003F7E47"/>
    <w:rsid w:val="00400CBE"/>
    <w:rsid w:val="00405905"/>
    <w:rsid w:val="00405F39"/>
    <w:rsid w:val="0041566F"/>
    <w:rsid w:val="00415864"/>
    <w:rsid w:val="00420A1F"/>
    <w:rsid w:val="004246CF"/>
    <w:rsid w:val="004311BF"/>
    <w:rsid w:val="004328C4"/>
    <w:rsid w:val="00433978"/>
    <w:rsid w:val="0043492B"/>
    <w:rsid w:val="00443C87"/>
    <w:rsid w:val="0044467F"/>
    <w:rsid w:val="00446859"/>
    <w:rsid w:val="00450462"/>
    <w:rsid w:val="0045387B"/>
    <w:rsid w:val="00456B4C"/>
    <w:rsid w:val="00457FE4"/>
    <w:rsid w:val="00465214"/>
    <w:rsid w:val="0046559A"/>
    <w:rsid w:val="00473FB2"/>
    <w:rsid w:val="00474D8F"/>
    <w:rsid w:val="00475B56"/>
    <w:rsid w:val="004817DA"/>
    <w:rsid w:val="00483E81"/>
    <w:rsid w:val="00484F9A"/>
    <w:rsid w:val="00485D79"/>
    <w:rsid w:val="00486B61"/>
    <w:rsid w:val="00490A69"/>
    <w:rsid w:val="004915E2"/>
    <w:rsid w:val="00493DF5"/>
    <w:rsid w:val="0049508E"/>
    <w:rsid w:val="00496F1E"/>
    <w:rsid w:val="004A18C9"/>
    <w:rsid w:val="004A2C19"/>
    <w:rsid w:val="004A4715"/>
    <w:rsid w:val="004A52A6"/>
    <w:rsid w:val="004A7BB6"/>
    <w:rsid w:val="004B019D"/>
    <w:rsid w:val="004B5E61"/>
    <w:rsid w:val="004C6DD1"/>
    <w:rsid w:val="004C775C"/>
    <w:rsid w:val="004D60FB"/>
    <w:rsid w:val="004D6254"/>
    <w:rsid w:val="004D6310"/>
    <w:rsid w:val="004D65D4"/>
    <w:rsid w:val="004E1E1B"/>
    <w:rsid w:val="004E2942"/>
    <w:rsid w:val="004E30FA"/>
    <w:rsid w:val="004E46DE"/>
    <w:rsid w:val="004E747E"/>
    <w:rsid w:val="004F2039"/>
    <w:rsid w:val="004F6C8A"/>
    <w:rsid w:val="004F7B23"/>
    <w:rsid w:val="004F7EE3"/>
    <w:rsid w:val="00500359"/>
    <w:rsid w:val="00500D9A"/>
    <w:rsid w:val="005044D6"/>
    <w:rsid w:val="00504780"/>
    <w:rsid w:val="0050618A"/>
    <w:rsid w:val="00513071"/>
    <w:rsid w:val="00513336"/>
    <w:rsid w:val="00514423"/>
    <w:rsid w:val="0051467E"/>
    <w:rsid w:val="0051509C"/>
    <w:rsid w:val="005200F5"/>
    <w:rsid w:val="0052012D"/>
    <w:rsid w:val="005212A5"/>
    <w:rsid w:val="005234DE"/>
    <w:rsid w:val="00524962"/>
    <w:rsid w:val="005272BF"/>
    <w:rsid w:val="00530E6E"/>
    <w:rsid w:val="00532BBA"/>
    <w:rsid w:val="0053423A"/>
    <w:rsid w:val="00534605"/>
    <w:rsid w:val="00541AC9"/>
    <w:rsid w:val="00543B5B"/>
    <w:rsid w:val="00546D26"/>
    <w:rsid w:val="005472AB"/>
    <w:rsid w:val="00550CB1"/>
    <w:rsid w:val="0055170E"/>
    <w:rsid w:val="005540A0"/>
    <w:rsid w:val="00554DF4"/>
    <w:rsid w:val="0055717D"/>
    <w:rsid w:val="0056331C"/>
    <w:rsid w:val="0056738A"/>
    <w:rsid w:val="00570FDC"/>
    <w:rsid w:val="00571A57"/>
    <w:rsid w:val="00580D78"/>
    <w:rsid w:val="00582A53"/>
    <w:rsid w:val="00583AB6"/>
    <w:rsid w:val="005855B3"/>
    <w:rsid w:val="00585CCF"/>
    <w:rsid w:val="00587D80"/>
    <w:rsid w:val="005933EC"/>
    <w:rsid w:val="0059406B"/>
    <w:rsid w:val="005949E1"/>
    <w:rsid w:val="005A1327"/>
    <w:rsid w:val="005B02E5"/>
    <w:rsid w:val="005B0AB7"/>
    <w:rsid w:val="005B34DC"/>
    <w:rsid w:val="005B3C42"/>
    <w:rsid w:val="005B4009"/>
    <w:rsid w:val="005C5C3E"/>
    <w:rsid w:val="005C6A6F"/>
    <w:rsid w:val="005D182C"/>
    <w:rsid w:val="005D31E4"/>
    <w:rsid w:val="005D4B68"/>
    <w:rsid w:val="005E06DC"/>
    <w:rsid w:val="005E10C3"/>
    <w:rsid w:val="005E1D42"/>
    <w:rsid w:val="005E2E2B"/>
    <w:rsid w:val="005E3616"/>
    <w:rsid w:val="005E6C51"/>
    <w:rsid w:val="005E6EC8"/>
    <w:rsid w:val="005F24F4"/>
    <w:rsid w:val="005F53F8"/>
    <w:rsid w:val="005F6D7D"/>
    <w:rsid w:val="00602483"/>
    <w:rsid w:val="006027FD"/>
    <w:rsid w:val="00604915"/>
    <w:rsid w:val="00605332"/>
    <w:rsid w:val="0060769D"/>
    <w:rsid w:val="0061346B"/>
    <w:rsid w:val="00616EC9"/>
    <w:rsid w:val="00617E6C"/>
    <w:rsid w:val="00617EB5"/>
    <w:rsid w:val="00621D34"/>
    <w:rsid w:val="00622BFB"/>
    <w:rsid w:val="0062799B"/>
    <w:rsid w:val="00630DD2"/>
    <w:rsid w:val="006339F3"/>
    <w:rsid w:val="00640FFB"/>
    <w:rsid w:val="006414BE"/>
    <w:rsid w:val="00644191"/>
    <w:rsid w:val="00644FEC"/>
    <w:rsid w:val="006456DF"/>
    <w:rsid w:val="00646380"/>
    <w:rsid w:val="00651373"/>
    <w:rsid w:val="006514CA"/>
    <w:rsid w:val="00654CE8"/>
    <w:rsid w:val="0065568B"/>
    <w:rsid w:val="006566D0"/>
    <w:rsid w:val="00660D0F"/>
    <w:rsid w:val="006650CC"/>
    <w:rsid w:val="00666351"/>
    <w:rsid w:val="00671EE2"/>
    <w:rsid w:val="006740AD"/>
    <w:rsid w:val="006758D9"/>
    <w:rsid w:val="00684855"/>
    <w:rsid w:val="00685022"/>
    <w:rsid w:val="00685C1F"/>
    <w:rsid w:val="00686CB3"/>
    <w:rsid w:val="00693768"/>
    <w:rsid w:val="00695DD2"/>
    <w:rsid w:val="006A2124"/>
    <w:rsid w:val="006A4E52"/>
    <w:rsid w:val="006A5CB3"/>
    <w:rsid w:val="006A6CC5"/>
    <w:rsid w:val="006B1786"/>
    <w:rsid w:val="006B1CCF"/>
    <w:rsid w:val="006B22CF"/>
    <w:rsid w:val="006B3D8E"/>
    <w:rsid w:val="006B4C4D"/>
    <w:rsid w:val="006C01E3"/>
    <w:rsid w:val="006C084A"/>
    <w:rsid w:val="006C1A67"/>
    <w:rsid w:val="006C37D6"/>
    <w:rsid w:val="006C3D1D"/>
    <w:rsid w:val="006C43CD"/>
    <w:rsid w:val="006D21E4"/>
    <w:rsid w:val="006E1918"/>
    <w:rsid w:val="006E3AC2"/>
    <w:rsid w:val="006E4CE1"/>
    <w:rsid w:val="006E5B19"/>
    <w:rsid w:val="006E74A1"/>
    <w:rsid w:val="006E78E6"/>
    <w:rsid w:val="006E7D30"/>
    <w:rsid w:val="006F05CF"/>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15DD"/>
    <w:rsid w:val="00721DFC"/>
    <w:rsid w:val="00723ABC"/>
    <w:rsid w:val="00723D3D"/>
    <w:rsid w:val="00725A86"/>
    <w:rsid w:val="007338EF"/>
    <w:rsid w:val="007401AD"/>
    <w:rsid w:val="00740ACC"/>
    <w:rsid w:val="00740D89"/>
    <w:rsid w:val="00742C51"/>
    <w:rsid w:val="00745072"/>
    <w:rsid w:val="00746CAC"/>
    <w:rsid w:val="007473A6"/>
    <w:rsid w:val="00747BD2"/>
    <w:rsid w:val="00755CC3"/>
    <w:rsid w:val="00756E1A"/>
    <w:rsid w:val="00757EFE"/>
    <w:rsid w:val="0076044B"/>
    <w:rsid w:val="007604AA"/>
    <w:rsid w:val="00766EB6"/>
    <w:rsid w:val="007740EB"/>
    <w:rsid w:val="0078539D"/>
    <w:rsid w:val="00785B79"/>
    <w:rsid w:val="00794037"/>
    <w:rsid w:val="00795D3A"/>
    <w:rsid w:val="00795EA1"/>
    <w:rsid w:val="00796727"/>
    <w:rsid w:val="00796D7E"/>
    <w:rsid w:val="007B40B0"/>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4C92"/>
    <w:rsid w:val="007E644F"/>
    <w:rsid w:val="007F175E"/>
    <w:rsid w:val="007F27B2"/>
    <w:rsid w:val="007F5923"/>
    <w:rsid w:val="007F611D"/>
    <w:rsid w:val="007F7C18"/>
    <w:rsid w:val="008004BE"/>
    <w:rsid w:val="00801CB0"/>
    <w:rsid w:val="00805C58"/>
    <w:rsid w:val="008078B6"/>
    <w:rsid w:val="00807FD2"/>
    <w:rsid w:val="0081044D"/>
    <w:rsid w:val="00810E1E"/>
    <w:rsid w:val="00811F2A"/>
    <w:rsid w:val="00812C54"/>
    <w:rsid w:val="00816BA0"/>
    <w:rsid w:val="00821599"/>
    <w:rsid w:val="00826DBC"/>
    <w:rsid w:val="00830751"/>
    <w:rsid w:val="00833DF1"/>
    <w:rsid w:val="00835853"/>
    <w:rsid w:val="00837A65"/>
    <w:rsid w:val="00840C2D"/>
    <w:rsid w:val="008427BB"/>
    <w:rsid w:val="00843D41"/>
    <w:rsid w:val="00844254"/>
    <w:rsid w:val="00847AFB"/>
    <w:rsid w:val="0085232E"/>
    <w:rsid w:val="00852825"/>
    <w:rsid w:val="00854A7E"/>
    <w:rsid w:val="008553BE"/>
    <w:rsid w:val="008555E0"/>
    <w:rsid w:val="00856687"/>
    <w:rsid w:val="00857345"/>
    <w:rsid w:val="00860BA4"/>
    <w:rsid w:val="00863F69"/>
    <w:rsid w:val="00865B1E"/>
    <w:rsid w:val="008706E3"/>
    <w:rsid w:val="00872FF9"/>
    <w:rsid w:val="00873B93"/>
    <w:rsid w:val="00881FAD"/>
    <w:rsid w:val="00885AF2"/>
    <w:rsid w:val="00886B78"/>
    <w:rsid w:val="00891001"/>
    <w:rsid w:val="00892DFF"/>
    <w:rsid w:val="00896802"/>
    <w:rsid w:val="00897A58"/>
    <w:rsid w:val="008A1EB9"/>
    <w:rsid w:val="008A4423"/>
    <w:rsid w:val="008B0105"/>
    <w:rsid w:val="008B1732"/>
    <w:rsid w:val="008B4115"/>
    <w:rsid w:val="008B48E5"/>
    <w:rsid w:val="008B575A"/>
    <w:rsid w:val="008B6A29"/>
    <w:rsid w:val="008B6F5F"/>
    <w:rsid w:val="008B768C"/>
    <w:rsid w:val="008C1660"/>
    <w:rsid w:val="008C31DF"/>
    <w:rsid w:val="008C40D3"/>
    <w:rsid w:val="008D11BC"/>
    <w:rsid w:val="008D42C3"/>
    <w:rsid w:val="008D59C7"/>
    <w:rsid w:val="008D5FE3"/>
    <w:rsid w:val="008D6200"/>
    <w:rsid w:val="008D75F0"/>
    <w:rsid w:val="008E5C56"/>
    <w:rsid w:val="008E6106"/>
    <w:rsid w:val="008E78E7"/>
    <w:rsid w:val="008F6153"/>
    <w:rsid w:val="008F7333"/>
    <w:rsid w:val="008F7F5F"/>
    <w:rsid w:val="00916C74"/>
    <w:rsid w:val="00923DF9"/>
    <w:rsid w:val="00924B1A"/>
    <w:rsid w:val="0092505E"/>
    <w:rsid w:val="0092772E"/>
    <w:rsid w:val="00933B2F"/>
    <w:rsid w:val="00936B23"/>
    <w:rsid w:val="009400E4"/>
    <w:rsid w:val="00941CA4"/>
    <w:rsid w:val="00941F93"/>
    <w:rsid w:val="00943DBF"/>
    <w:rsid w:val="0094493D"/>
    <w:rsid w:val="009472D4"/>
    <w:rsid w:val="00950645"/>
    <w:rsid w:val="009510E0"/>
    <w:rsid w:val="0095457D"/>
    <w:rsid w:val="00954B5F"/>
    <w:rsid w:val="00954B82"/>
    <w:rsid w:val="00954FB9"/>
    <w:rsid w:val="009603EC"/>
    <w:rsid w:val="00962CAE"/>
    <w:rsid w:val="009660E6"/>
    <w:rsid w:val="00970964"/>
    <w:rsid w:val="00970F94"/>
    <w:rsid w:val="00971105"/>
    <w:rsid w:val="00976E5F"/>
    <w:rsid w:val="0097749D"/>
    <w:rsid w:val="009947E6"/>
    <w:rsid w:val="009A30B5"/>
    <w:rsid w:val="009A3F44"/>
    <w:rsid w:val="009A66DF"/>
    <w:rsid w:val="009A6EC9"/>
    <w:rsid w:val="009B16BF"/>
    <w:rsid w:val="009B240E"/>
    <w:rsid w:val="009B441E"/>
    <w:rsid w:val="009B4DA9"/>
    <w:rsid w:val="009C06E9"/>
    <w:rsid w:val="009C234C"/>
    <w:rsid w:val="009C3642"/>
    <w:rsid w:val="009C5BE9"/>
    <w:rsid w:val="009D11CC"/>
    <w:rsid w:val="009D3239"/>
    <w:rsid w:val="009D3989"/>
    <w:rsid w:val="009D4D36"/>
    <w:rsid w:val="009E0CF4"/>
    <w:rsid w:val="009E5696"/>
    <w:rsid w:val="009F144C"/>
    <w:rsid w:val="009F1491"/>
    <w:rsid w:val="009F5288"/>
    <w:rsid w:val="00A02087"/>
    <w:rsid w:val="00A1302E"/>
    <w:rsid w:val="00A1731C"/>
    <w:rsid w:val="00A21FB0"/>
    <w:rsid w:val="00A22BE6"/>
    <w:rsid w:val="00A25F73"/>
    <w:rsid w:val="00A30000"/>
    <w:rsid w:val="00A3464C"/>
    <w:rsid w:val="00A349F8"/>
    <w:rsid w:val="00A359E8"/>
    <w:rsid w:val="00A40493"/>
    <w:rsid w:val="00A41C80"/>
    <w:rsid w:val="00A42F27"/>
    <w:rsid w:val="00A4679C"/>
    <w:rsid w:val="00A46922"/>
    <w:rsid w:val="00A470A3"/>
    <w:rsid w:val="00A47A67"/>
    <w:rsid w:val="00A500EA"/>
    <w:rsid w:val="00A516EA"/>
    <w:rsid w:val="00A51F07"/>
    <w:rsid w:val="00A53B90"/>
    <w:rsid w:val="00A55663"/>
    <w:rsid w:val="00A576C5"/>
    <w:rsid w:val="00A57B38"/>
    <w:rsid w:val="00A70D12"/>
    <w:rsid w:val="00A82194"/>
    <w:rsid w:val="00A828E4"/>
    <w:rsid w:val="00A848FC"/>
    <w:rsid w:val="00A8727A"/>
    <w:rsid w:val="00A9281A"/>
    <w:rsid w:val="00A9421A"/>
    <w:rsid w:val="00A9637C"/>
    <w:rsid w:val="00AA311C"/>
    <w:rsid w:val="00AB0497"/>
    <w:rsid w:val="00AB21D6"/>
    <w:rsid w:val="00AB2713"/>
    <w:rsid w:val="00AB3D5A"/>
    <w:rsid w:val="00AB3E67"/>
    <w:rsid w:val="00AB43B1"/>
    <w:rsid w:val="00AB666B"/>
    <w:rsid w:val="00AB679F"/>
    <w:rsid w:val="00AB6C1E"/>
    <w:rsid w:val="00AC3C31"/>
    <w:rsid w:val="00AC6FC5"/>
    <w:rsid w:val="00AC7D50"/>
    <w:rsid w:val="00AD184C"/>
    <w:rsid w:val="00AD2AF6"/>
    <w:rsid w:val="00AE094B"/>
    <w:rsid w:val="00AE1DD5"/>
    <w:rsid w:val="00AE5ED3"/>
    <w:rsid w:val="00AE6A0C"/>
    <w:rsid w:val="00AF064C"/>
    <w:rsid w:val="00AF0D0E"/>
    <w:rsid w:val="00B01F10"/>
    <w:rsid w:val="00B024CD"/>
    <w:rsid w:val="00B0363E"/>
    <w:rsid w:val="00B06E30"/>
    <w:rsid w:val="00B07912"/>
    <w:rsid w:val="00B07E62"/>
    <w:rsid w:val="00B1149A"/>
    <w:rsid w:val="00B12F05"/>
    <w:rsid w:val="00B13BA4"/>
    <w:rsid w:val="00B14AF0"/>
    <w:rsid w:val="00B14EF2"/>
    <w:rsid w:val="00B156D8"/>
    <w:rsid w:val="00B165CC"/>
    <w:rsid w:val="00B16FB2"/>
    <w:rsid w:val="00B21140"/>
    <w:rsid w:val="00B216D8"/>
    <w:rsid w:val="00B22D36"/>
    <w:rsid w:val="00B247C4"/>
    <w:rsid w:val="00B24B4D"/>
    <w:rsid w:val="00B258AA"/>
    <w:rsid w:val="00B34623"/>
    <w:rsid w:val="00B36CBB"/>
    <w:rsid w:val="00B37C23"/>
    <w:rsid w:val="00B40212"/>
    <w:rsid w:val="00B40B5C"/>
    <w:rsid w:val="00B50B83"/>
    <w:rsid w:val="00B5361E"/>
    <w:rsid w:val="00B61ED9"/>
    <w:rsid w:val="00B62D3A"/>
    <w:rsid w:val="00B62DE1"/>
    <w:rsid w:val="00B65F93"/>
    <w:rsid w:val="00B723EB"/>
    <w:rsid w:val="00B74A03"/>
    <w:rsid w:val="00B82B69"/>
    <w:rsid w:val="00B91C15"/>
    <w:rsid w:val="00B91D5C"/>
    <w:rsid w:val="00B9311E"/>
    <w:rsid w:val="00B95C98"/>
    <w:rsid w:val="00B962E1"/>
    <w:rsid w:val="00BA1118"/>
    <w:rsid w:val="00BA16B2"/>
    <w:rsid w:val="00BA2730"/>
    <w:rsid w:val="00BA76D6"/>
    <w:rsid w:val="00BB3360"/>
    <w:rsid w:val="00BB3486"/>
    <w:rsid w:val="00BB383B"/>
    <w:rsid w:val="00BB4217"/>
    <w:rsid w:val="00BB7073"/>
    <w:rsid w:val="00BB7618"/>
    <w:rsid w:val="00BC0ABE"/>
    <w:rsid w:val="00BC1428"/>
    <w:rsid w:val="00BC259E"/>
    <w:rsid w:val="00BD13E9"/>
    <w:rsid w:val="00BE0B34"/>
    <w:rsid w:val="00BE1F56"/>
    <w:rsid w:val="00BE3B9E"/>
    <w:rsid w:val="00BE7859"/>
    <w:rsid w:val="00BF5406"/>
    <w:rsid w:val="00BF7759"/>
    <w:rsid w:val="00C00901"/>
    <w:rsid w:val="00C11558"/>
    <w:rsid w:val="00C11D32"/>
    <w:rsid w:val="00C156B2"/>
    <w:rsid w:val="00C22445"/>
    <w:rsid w:val="00C24901"/>
    <w:rsid w:val="00C306D3"/>
    <w:rsid w:val="00C33621"/>
    <w:rsid w:val="00C353A3"/>
    <w:rsid w:val="00C36247"/>
    <w:rsid w:val="00C366FF"/>
    <w:rsid w:val="00C4140A"/>
    <w:rsid w:val="00C4149D"/>
    <w:rsid w:val="00C41A2E"/>
    <w:rsid w:val="00C4225D"/>
    <w:rsid w:val="00C434DD"/>
    <w:rsid w:val="00C43B58"/>
    <w:rsid w:val="00C45590"/>
    <w:rsid w:val="00C509A4"/>
    <w:rsid w:val="00C56D7E"/>
    <w:rsid w:val="00C57119"/>
    <w:rsid w:val="00C572EF"/>
    <w:rsid w:val="00C602D0"/>
    <w:rsid w:val="00C61C2B"/>
    <w:rsid w:val="00C63AA8"/>
    <w:rsid w:val="00C67F95"/>
    <w:rsid w:val="00C709B4"/>
    <w:rsid w:val="00C71693"/>
    <w:rsid w:val="00C7267B"/>
    <w:rsid w:val="00C7342E"/>
    <w:rsid w:val="00C753B1"/>
    <w:rsid w:val="00C755DD"/>
    <w:rsid w:val="00C82ADE"/>
    <w:rsid w:val="00C82E64"/>
    <w:rsid w:val="00C85949"/>
    <w:rsid w:val="00C85E60"/>
    <w:rsid w:val="00C87DFC"/>
    <w:rsid w:val="00C93E8B"/>
    <w:rsid w:val="00C946FB"/>
    <w:rsid w:val="00C9484F"/>
    <w:rsid w:val="00C95C04"/>
    <w:rsid w:val="00C9794C"/>
    <w:rsid w:val="00CA1FC6"/>
    <w:rsid w:val="00CA30C4"/>
    <w:rsid w:val="00CA7174"/>
    <w:rsid w:val="00CA7849"/>
    <w:rsid w:val="00CB07C2"/>
    <w:rsid w:val="00CC0101"/>
    <w:rsid w:val="00CC1066"/>
    <w:rsid w:val="00CC4B02"/>
    <w:rsid w:val="00CC5D6A"/>
    <w:rsid w:val="00CD20A6"/>
    <w:rsid w:val="00CD24A7"/>
    <w:rsid w:val="00CD5823"/>
    <w:rsid w:val="00CD7977"/>
    <w:rsid w:val="00CD7DB0"/>
    <w:rsid w:val="00CE58D0"/>
    <w:rsid w:val="00CE60E2"/>
    <w:rsid w:val="00CF1B65"/>
    <w:rsid w:val="00CF2A07"/>
    <w:rsid w:val="00CF71EA"/>
    <w:rsid w:val="00CF79AF"/>
    <w:rsid w:val="00D01008"/>
    <w:rsid w:val="00D047AC"/>
    <w:rsid w:val="00D077FB"/>
    <w:rsid w:val="00D11B0B"/>
    <w:rsid w:val="00D11E1D"/>
    <w:rsid w:val="00D16D22"/>
    <w:rsid w:val="00D31C70"/>
    <w:rsid w:val="00D343BD"/>
    <w:rsid w:val="00D345F4"/>
    <w:rsid w:val="00D35DE2"/>
    <w:rsid w:val="00D41D69"/>
    <w:rsid w:val="00D42221"/>
    <w:rsid w:val="00D521CD"/>
    <w:rsid w:val="00D57D6E"/>
    <w:rsid w:val="00D60131"/>
    <w:rsid w:val="00D6467C"/>
    <w:rsid w:val="00D70F0F"/>
    <w:rsid w:val="00D75159"/>
    <w:rsid w:val="00D7583A"/>
    <w:rsid w:val="00D765E3"/>
    <w:rsid w:val="00D76CEA"/>
    <w:rsid w:val="00D777C0"/>
    <w:rsid w:val="00D81D71"/>
    <w:rsid w:val="00D87A72"/>
    <w:rsid w:val="00D87AF3"/>
    <w:rsid w:val="00D92316"/>
    <w:rsid w:val="00D971A5"/>
    <w:rsid w:val="00DA11B6"/>
    <w:rsid w:val="00DA1A8A"/>
    <w:rsid w:val="00DA1D72"/>
    <w:rsid w:val="00DA2093"/>
    <w:rsid w:val="00DA3B9E"/>
    <w:rsid w:val="00DA3EE3"/>
    <w:rsid w:val="00DA46C8"/>
    <w:rsid w:val="00DA47E8"/>
    <w:rsid w:val="00DA618C"/>
    <w:rsid w:val="00DB255D"/>
    <w:rsid w:val="00DB2EC6"/>
    <w:rsid w:val="00DB3637"/>
    <w:rsid w:val="00DB5579"/>
    <w:rsid w:val="00DB60B7"/>
    <w:rsid w:val="00DC18BA"/>
    <w:rsid w:val="00DC6BB8"/>
    <w:rsid w:val="00DD0BF3"/>
    <w:rsid w:val="00DD2B67"/>
    <w:rsid w:val="00DD670C"/>
    <w:rsid w:val="00DD764A"/>
    <w:rsid w:val="00DE11CF"/>
    <w:rsid w:val="00DE38E9"/>
    <w:rsid w:val="00DE422B"/>
    <w:rsid w:val="00DF7895"/>
    <w:rsid w:val="00DF7CC5"/>
    <w:rsid w:val="00E02044"/>
    <w:rsid w:val="00E1317C"/>
    <w:rsid w:val="00E1743B"/>
    <w:rsid w:val="00E174E5"/>
    <w:rsid w:val="00E17F9A"/>
    <w:rsid w:val="00E22A84"/>
    <w:rsid w:val="00E26459"/>
    <w:rsid w:val="00E30414"/>
    <w:rsid w:val="00E345A7"/>
    <w:rsid w:val="00E37012"/>
    <w:rsid w:val="00E40062"/>
    <w:rsid w:val="00E40EC3"/>
    <w:rsid w:val="00E446ED"/>
    <w:rsid w:val="00E50C09"/>
    <w:rsid w:val="00E5400F"/>
    <w:rsid w:val="00E55AA1"/>
    <w:rsid w:val="00E60440"/>
    <w:rsid w:val="00E60771"/>
    <w:rsid w:val="00E616A4"/>
    <w:rsid w:val="00E62F4E"/>
    <w:rsid w:val="00E632D0"/>
    <w:rsid w:val="00E64135"/>
    <w:rsid w:val="00E6579F"/>
    <w:rsid w:val="00E65874"/>
    <w:rsid w:val="00E6663B"/>
    <w:rsid w:val="00E66780"/>
    <w:rsid w:val="00E66B3A"/>
    <w:rsid w:val="00E81879"/>
    <w:rsid w:val="00E83578"/>
    <w:rsid w:val="00E86891"/>
    <w:rsid w:val="00E876CA"/>
    <w:rsid w:val="00E91E3F"/>
    <w:rsid w:val="00E95C7C"/>
    <w:rsid w:val="00EA4970"/>
    <w:rsid w:val="00EA5687"/>
    <w:rsid w:val="00EA59B6"/>
    <w:rsid w:val="00EA606F"/>
    <w:rsid w:val="00EB1032"/>
    <w:rsid w:val="00EB2644"/>
    <w:rsid w:val="00EC033D"/>
    <w:rsid w:val="00EC1FDB"/>
    <w:rsid w:val="00EC220C"/>
    <w:rsid w:val="00EC5155"/>
    <w:rsid w:val="00ED0266"/>
    <w:rsid w:val="00ED2E65"/>
    <w:rsid w:val="00ED6F3B"/>
    <w:rsid w:val="00ED6F71"/>
    <w:rsid w:val="00ED70A8"/>
    <w:rsid w:val="00EE1693"/>
    <w:rsid w:val="00EE177E"/>
    <w:rsid w:val="00EE7803"/>
    <w:rsid w:val="00EF0D0E"/>
    <w:rsid w:val="00EF1ECC"/>
    <w:rsid w:val="00EF292B"/>
    <w:rsid w:val="00EF2BB2"/>
    <w:rsid w:val="00EF2C7E"/>
    <w:rsid w:val="00EF54D1"/>
    <w:rsid w:val="00EF5CFD"/>
    <w:rsid w:val="00EF7434"/>
    <w:rsid w:val="00F01334"/>
    <w:rsid w:val="00F06B7E"/>
    <w:rsid w:val="00F1459F"/>
    <w:rsid w:val="00F151C9"/>
    <w:rsid w:val="00F15D54"/>
    <w:rsid w:val="00F21612"/>
    <w:rsid w:val="00F21C23"/>
    <w:rsid w:val="00F22076"/>
    <w:rsid w:val="00F31162"/>
    <w:rsid w:val="00F34E81"/>
    <w:rsid w:val="00F416A5"/>
    <w:rsid w:val="00F4517B"/>
    <w:rsid w:val="00F51FCD"/>
    <w:rsid w:val="00F538F3"/>
    <w:rsid w:val="00F55213"/>
    <w:rsid w:val="00F55EBA"/>
    <w:rsid w:val="00F57F08"/>
    <w:rsid w:val="00F611A7"/>
    <w:rsid w:val="00F66D06"/>
    <w:rsid w:val="00F67AC6"/>
    <w:rsid w:val="00F67B5B"/>
    <w:rsid w:val="00F72E48"/>
    <w:rsid w:val="00F77D9B"/>
    <w:rsid w:val="00F77E6F"/>
    <w:rsid w:val="00F811F5"/>
    <w:rsid w:val="00F816E8"/>
    <w:rsid w:val="00F817E5"/>
    <w:rsid w:val="00F81C22"/>
    <w:rsid w:val="00F854E9"/>
    <w:rsid w:val="00F85B3C"/>
    <w:rsid w:val="00F87867"/>
    <w:rsid w:val="00F918B8"/>
    <w:rsid w:val="00F92ABE"/>
    <w:rsid w:val="00F94E78"/>
    <w:rsid w:val="00FA0954"/>
    <w:rsid w:val="00FA14AC"/>
    <w:rsid w:val="00FA1F4E"/>
    <w:rsid w:val="00FA204E"/>
    <w:rsid w:val="00FA5A1C"/>
    <w:rsid w:val="00FB4F8E"/>
    <w:rsid w:val="00FB61C7"/>
    <w:rsid w:val="00FB6647"/>
    <w:rsid w:val="00FC5D9F"/>
    <w:rsid w:val="00FC7332"/>
    <w:rsid w:val="00FD0D95"/>
    <w:rsid w:val="00FD731B"/>
    <w:rsid w:val="00FE069D"/>
    <w:rsid w:val="00FE49E8"/>
    <w:rsid w:val="00FE635A"/>
    <w:rsid w:val="00FE7D50"/>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F538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38F3"/>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197C7-91D8-4C68-A1F8-77391BAF2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45</Pages>
  <Words>10008</Words>
  <Characters>55046</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3</cp:revision>
  <cp:lastPrinted>2019-11-22T17:10:00Z</cp:lastPrinted>
  <dcterms:created xsi:type="dcterms:W3CDTF">2020-03-25T01:23:00Z</dcterms:created>
  <dcterms:modified xsi:type="dcterms:W3CDTF">2020-03-25T02:16:00Z</dcterms:modified>
</cp:coreProperties>
</file>