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9BC27" w14:textId="77777777" w:rsidR="001C27AD" w:rsidRDefault="001C27AD" w:rsidP="00677AB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6209A08C" w14:textId="6E7C6967" w:rsidR="0030072F" w:rsidRPr="00E42755" w:rsidRDefault="0007653D" w:rsidP="00677AB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</w:t>
      </w:r>
      <w:r w:rsidR="000C2CF9" w:rsidRPr="0007653D">
        <w:rPr>
          <w:rFonts w:ascii="Palatino Linotype" w:hAnsi="Palatino Linotype" w:cs="Arial"/>
          <w:b/>
        </w:rPr>
        <w:t xml:space="preserve">DATOS PERSONALES DEL ESTADO DE MÉXICO Y MUNICIPIOS, EN LA </w:t>
      </w:r>
      <w:r w:rsidR="002933C2">
        <w:rPr>
          <w:rFonts w:ascii="Palatino Linotype" w:hAnsi="Palatino Linotype" w:cs="Arial"/>
          <w:b/>
        </w:rPr>
        <w:t>TRIGÉSIMA</w:t>
      </w:r>
      <w:r w:rsidR="00677ABE">
        <w:rPr>
          <w:rFonts w:ascii="Palatino Linotype" w:hAnsi="Palatino Linotype" w:cs="Arial"/>
          <w:b/>
        </w:rPr>
        <w:t xml:space="preserve"> </w:t>
      </w:r>
      <w:r w:rsidR="002933C2">
        <w:rPr>
          <w:rFonts w:ascii="Palatino Linotype" w:hAnsi="Palatino Linotype" w:cs="Arial"/>
          <w:b/>
        </w:rPr>
        <w:t>SEGUNDA</w:t>
      </w:r>
      <w:r w:rsidR="00677ABE">
        <w:rPr>
          <w:rFonts w:ascii="Palatino Linotype" w:hAnsi="Palatino Linotype" w:cs="Arial"/>
          <w:b/>
        </w:rPr>
        <w:t xml:space="preserve"> </w:t>
      </w:r>
      <w:r w:rsidR="000C2CF9" w:rsidRPr="0007653D">
        <w:rPr>
          <w:rFonts w:ascii="Palatino Linotype" w:hAnsi="Palatino Linotype" w:cs="Arial"/>
          <w:b/>
        </w:rPr>
        <w:t xml:space="preserve">SESIÓN ORDINARIA </w:t>
      </w:r>
      <w:r w:rsidR="002933C2">
        <w:rPr>
          <w:rFonts w:ascii="Palatino Linotype" w:hAnsi="Palatino Linotype" w:cs="Arial"/>
          <w:b/>
        </w:rPr>
        <w:t>DEL CUATRO</w:t>
      </w:r>
      <w:r w:rsidR="00677ABE">
        <w:rPr>
          <w:rFonts w:ascii="Palatino Linotype" w:hAnsi="Palatino Linotype" w:cs="Arial"/>
          <w:b/>
        </w:rPr>
        <w:t xml:space="preserve"> DE </w:t>
      </w:r>
      <w:r w:rsidR="002933C2">
        <w:rPr>
          <w:rFonts w:ascii="Palatino Linotype" w:hAnsi="Palatino Linotype" w:cs="Arial"/>
          <w:b/>
        </w:rPr>
        <w:t xml:space="preserve">SEPTIEMBRE DE </w:t>
      </w:r>
      <w:r w:rsidR="00260589">
        <w:rPr>
          <w:rFonts w:ascii="Palatino Linotype" w:hAnsi="Palatino Linotype" w:cs="Arial"/>
          <w:b/>
        </w:rPr>
        <w:t>DO</w:t>
      </w:r>
      <w:r w:rsidR="002933C2">
        <w:rPr>
          <w:rFonts w:ascii="Palatino Linotype" w:hAnsi="Palatino Linotype" w:cs="Arial"/>
          <w:b/>
        </w:rPr>
        <w:t>S MIL DIECINUEVE</w:t>
      </w:r>
      <w:r w:rsidR="00260589" w:rsidRPr="0007653D">
        <w:rPr>
          <w:rFonts w:ascii="Palatino Linotype" w:hAnsi="Palatino Linotype" w:cs="Arial"/>
          <w:b/>
        </w:rPr>
        <w:t xml:space="preserve">, </w:t>
      </w:r>
      <w:r w:rsidR="00D557C2" w:rsidRPr="0007653D">
        <w:rPr>
          <w:rFonts w:ascii="Palatino Linotype" w:hAnsi="Palatino Linotype" w:cs="Arial"/>
          <w:b/>
        </w:rPr>
        <w:t>EN</w:t>
      </w:r>
      <w:r w:rsidR="00DA5209" w:rsidRPr="0007653D">
        <w:rPr>
          <w:rFonts w:ascii="Palatino Linotype" w:hAnsi="Palatino Linotype" w:cs="Arial"/>
          <w:b/>
        </w:rPr>
        <w:t xml:space="preserve"> </w:t>
      </w:r>
      <w:r w:rsidR="002D4526" w:rsidRPr="0007653D">
        <w:rPr>
          <w:rFonts w:ascii="Palatino Linotype" w:hAnsi="Palatino Linotype" w:cs="Arial"/>
          <w:b/>
        </w:rPr>
        <w:t>EL RECURSO DE REVISIÓN 0</w:t>
      </w:r>
      <w:r w:rsidR="002933C2">
        <w:rPr>
          <w:rFonts w:ascii="Palatino Linotype" w:hAnsi="Palatino Linotype" w:cs="Arial"/>
          <w:b/>
        </w:rPr>
        <w:t>5470</w:t>
      </w:r>
      <w:r w:rsidR="002D4526" w:rsidRPr="0007653D">
        <w:rPr>
          <w:rFonts w:ascii="Palatino Linotype" w:hAnsi="Palatino Linotype" w:cs="Arial"/>
          <w:b/>
        </w:rPr>
        <w:t>/INFOEM/IP/RR/201</w:t>
      </w:r>
      <w:r w:rsidR="002933C2">
        <w:rPr>
          <w:rFonts w:ascii="Palatino Linotype" w:hAnsi="Palatino Linotype" w:cs="Arial"/>
          <w:b/>
        </w:rPr>
        <w:t>9</w:t>
      </w:r>
      <w:r w:rsidR="002D4526" w:rsidRPr="00E42755">
        <w:rPr>
          <w:rFonts w:ascii="Palatino Linotype" w:eastAsia="Calibri" w:hAnsi="Palatino Linotype" w:cs="Arial"/>
          <w:b/>
          <w:color w:val="000000"/>
        </w:rPr>
        <w:t>.</w:t>
      </w:r>
    </w:p>
    <w:p w14:paraId="585372C0" w14:textId="77777777" w:rsidR="00773B49" w:rsidRDefault="00773B49" w:rsidP="00677AB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75976F25" w14:textId="64625F7E" w:rsidR="0030072F" w:rsidRDefault="0030072F" w:rsidP="00677ABE">
      <w:pPr>
        <w:spacing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>Con fundamento en lo dispuesto por</w:t>
      </w:r>
      <w:r w:rsidR="00260589" w:rsidRPr="00E42755">
        <w:rPr>
          <w:rFonts w:ascii="Palatino Linotype" w:hAnsi="Palatino Linotype" w:cs="Arial"/>
        </w:rPr>
        <w:t xml:space="preserve"> </w:t>
      </w:r>
      <w:r w:rsidR="00260589">
        <w:rPr>
          <w:rFonts w:ascii="Palatino Linotype" w:hAnsi="Palatino Linotype" w:cs="Arial"/>
        </w:rPr>
        <w:t>el</w:t>
      </w:r>
      <w:r w:rsidR="00260589" w:rsidRPr="00E42755">
        <w:rPr>
          <w:rFonts w:ascii="Palatino Linotype" w:hAnsi="Palatino Linotype" w:cs="Arial"/>
        </w:rPr>
        <w:t xml:space="preserve"> artículo </w:t>
      </w:r>
      <w:r w:rsidR="00260589">
        <w:rPr>
          <w:rFonts w:ascii="Palatino Linotype" w:hAnsi="Palatino Linotype" w:cs="Arial"/>
        </w:rPr>
        <w:t>14</w:t>
      </w:r>
      <w:r w:rsidR="00260589" w:rsidRPr="00E42755">
        <w:rPr>
          <w:rFonts w:ascii="Palatino Linotype" w:hAnsi="Palatino Linotype" w:cs="Arial"/>
        </w:rPr>
        <w:t xml:space="preserve">, fracciones </w:t>
      </w:r>
      <w:r w:rsidR="00260589">
        <w:rPr>
          <w:rFonts w:ascii="Palatino Linotype" w:hAnsi="Palatino Linotype" w:cs="Arial"/>
        </w:rPr>
        <w:t xml:space="preserve">X y XI </w:t>
      </w:r>
      <w:r w:rsidR="00260589" w:rsidRPr="00E42755">
        <w:rPr>
          <w:rFonts w:ascii="Palatino Linotype" w:hAnsi="Palatino Linotype" w:cs="Arial"/>
        </w:rPr>
        <w:t xml:space="preserve">del </w:t>
      </w:r>
      <w:r w:rsidRPr="00E42755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E42755">
        <w:rPr>
          <w:rFonts w:ascii="Palatino Linotype" w:hAnsi="Palatino Linotype" w:cs="Arial"/>
        </w:rPr>
        <w:t>a</w:t>
      </w:r>
      <w:r w:rsidRPr="00E42755">
        <w:rPr>
          <w:rFonts w:ascii="Palatino Linotype" w:hAnsi="Palatino Linotype" w:cs="Arial"/>
        </w:rPr>
        <w:t xml:space="preserve">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2933C2">
        <w:rPr>
          <w:rFonts w:ascii="Palatino Linotype" w:eastAsia="Calibri" w:hAnsi="Palatino Linotype" w:cs="Arial"/>
          <w:b/>
          <w:color w:val="000000"/>
        </w:rPr>
        <w:t>5470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 w:rsidR="002933C2"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2933C2"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Comisionad</w:t>
      </w:r>
      <w:r w:rsidR="002933C2">
        <w:rPr>
          <w:rFonts w:ascii="Palatino Linotype" w:hAnsi="Palatino Linotype" w:cs="Arial"/>
        </w:rPr>
        <w:t xml:space="preserve">a Presidenta </w:t>
      </w:r>
      <w:r w:rsidR="002933C2"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 w:rsidR="00FF08CB">
        <w:rPr>
          <w:rFonts w:ascii="Palatino Linotype" w:hAnsi="Palatino Linotype" w:cs="Arial"/>
        </w:rPr>
        <w:t>que es del tenor siguiente.</w:t>
      </w:r>
    </w:p>
    <w:p w14:paraId="584BCBF6" w14:textId="77777777" w:rsidR="00773B49" w:rsidRPr="00773B49" w:rsidRDefault="00773B49" w:rsidP="00677ABE">
      <w:pPr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14:paraId="3802A3D4" w14:textId="39281276" w:rsidR="0007653D" w:rsidRDefault="0007653D" w:rsidP="00677ABE">
      <w:pPr>
        <w:spacing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</w:t>
      </w:r>
      <w:r w:rsidR="00A04C79">
        <w:rPr>
          <w:rFonts w:ascii="Palatino Linotype" w:hAnsi="Palatino Linotype"/>
        </w:rPr>
        <w:t xml:space="preserve">esencialmente el estudio realizado en la resolución </w:t>
      </w:r>
      <w:r>
        <w:rPr>
          <w:rFonts w:ascii="Palatino Linotype" w:hAnsi="Palatino Linotype"/>
        </w:rPr>
        <w:t xml:space="preserve">del </w:t>
      </w:r>
      <w:r w:rsidRPr="00D93A88">
        <w:rPr>
          <w:rFonts w:ascii="Palatino Linotype" w:hAnsi="Palatino Linotype"/>
        </w:rPr>
        <w:t>recurso de revis</w:t>
      </w:r>
      <w:r w:rsidR="00D557C2">
        <w:rPr>
          <w:rFonts w:ascii="Palatino Linotype" w:hAnsi="Palatino Linotype"/>
        </w:rPr>
        <w:t xml:space="preserve">ión; empero, </w:t>
      </w:r>
      <w:r w:rsidR="00FF08CB">
        <w:rPr>
          <w:rFonts w:ascii="Palatino Linotype" w:hAnsi="Palatino Linotype"/>
        </w:rPr>
        <w:t>estimo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 xml:space="preserve">, </w:t>
      </w:r>
      <w:r w:rsidR="00773B49">
        <w:rPr>
          <w:rFonts w:ascii="Palatino Linotype" w:hAnsi="Palatino Linotype"/>
        </w:rPr>
        <w:t xml:space="preserve">respecto </w:t>
      </w:r>
      <w:r w:rsidR="00B85B04">
        <w:rPr>
          <w:rFonts w:ascii="Palatino Linotype" w:hAnsi="Palatino Linotype"/>
        </w:rPr>
        <w:t xml:space="preserve">a parte de lo ordenado en la </w:t>
      </w:r>
      <w:r w:rsidR="00773B49">
        <w:rPr>
          <w:rFonts w:ascii="Palatino Linotype" w:hAnsi="Palatino Linotype"/>
        </w:rPr>
        <w:t xml:space="preserve">resolución de </w:t>
      </w:r>
      <w:r w:rsidR="00B068D1">
        <w:rPr>
          <w:rFonts w:ascii="Palatino Linotype" w:hAnsi="Palatino Linotype"/>
        </w:rPr>
        <w:t>mérito</w:t>
      </w:r>
      <w:r w:rsidRPr="00D93A88">
        <w:rPr>
          <w:rFonts w:ascii="Palatino Linotype" w:hAnsi="Palatino Linotype"/>
        </w:rPr>
        <w:t>.</w:t>
      </w:r>
    </w:p>
    <w:p w14:paraId="5853D40E" w14:textId="77777777" w:rsidR="0007653D" w:rsidRPr="00D93A88" w:rsidRDefault="0007653D" w:rsidP="00677ABE">
      <w:pPr>
        <w:widowControl w:val="0"/>
        <w:spacing w:line="360" w:lineRule="auto"/>
        <w:ind w:right="-164"/>
        <w:jc w:val="both"/>
        <w:rPr>
          <w:rFonts w:ascii="Palatino Linotype" w:hAnsi="Palatino Linotype"/>
        </w:rPr>
      </w:pPr>
    </w:p>
    <w:p w14:paraId="25F2509A" w14:textId="116D67B9" w:rsidR="00260589" w:rsidRDefault="00FF08CB" w:rsidP="00677AB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lastRenderedPageBreak/>
        <w:t>En este sentido</w:t>
      </w:r>
      <w:r w:rsidR="0007653D">
        <w:rPr>
          <w:rFonts w:ascii="Palatino Linotype" w:hAnsi="Palatino Linotype"/>
        </w:rPr>
        <w:t>, t</w:t>
      </w:r>
      <w:r w:rsidR="0007653D"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 w:rsidR="008C0700">
        <w:rPr>
          <w:rFonts w:ascii="Palatino Linotype" w:hAnsi="Palatino Linotype"/>
        </w:rPr>
        <w:t xml:space="preserve">requirió del </w:t>
      </w:r>
      <w:r w:rsidR="002933C2">
        <w:rPr>
          <w:rFonts w:ascii="Palatino Linotype" w:hAnsi="Palatino Linotype"/>
          <w:b/>
        </w:rPr>
        <w:t xml:space="preserve">Ayuntamiento de Juchitepec </w:t>
      </w:r>
      <w:r w:rsidR="002933C2">
        <w:rPr>
          <w:rFonts w:ascii="Palatino Linotype" w:hAnsi="Palatino Linotype"/>
        </w:rPr>
        <w:t xml:space="preserve">en lo sucesivo </w:t>
      </w:r>
      <w:r w:rsidR="002933C2" w:rsidRPr="002933C2">
        <w:rPr>
          <w:rFonts w:ascii="Palatino Linotype" w:hAnsi="Palatino Linotype"/>
          <w:b/>
        </w:rPr>
        <w:t xml:space="preserve">EL </w:t>
      </w:r>
      <w:r w:rsidR="008C0700" w:rsidRPr="008C0700">
        <w:rPr>
          <w:rFonts w:ascii="Palatino Linotype" w:hAnsi="Palatino Linotype"/>
          <w:b/>
        </w:rPr>
        <w:t>SUJETO OBLIGADO</w:t>
      </w:r>
      <w:r w:rsidR="008C0700" w:rsidRPr="008C0700">
        <w:rPr>
          <w:rFonts w:ascii="Palatino Linotype" w:hAnsi="Palatino Linotype"/>
        </w:rPr>
        <w:t xml:space="preserve"> </w:t>
      </w:r>
      <w:r w:rsidR="003102FA">
        <w:rPr>
          <w:rFonts w:ascii="Palatino Linotype" w:hAnsi="Palatino Linotype"/>
        </w:rPr>
        <w:t xml:space="preserve">vía </w:t>
      </w:r>
      <w:r>
        <w:rPr>
          <w:rFonts w:ascii="Palatino Linotype" w:hAnsi="Palatino Linotype"/>
        </w:rPr>
        <w:t>S</w:t>
      </w:r>
      <w:r w:rsidR="003102FA">
        <w:rPr>
          <w:rFonts w:ascii="Palatino Linotype" w:hAnsi="Palatino Linotype"/>
        </w:rPr>
        <w:t>AIMEX,</w:t>
      </w:r>
      <w:r w:rsidR="000D66DE" w:rsidRPr="000D66DE">
        <w:rPr>
          <w:rFonts w:ascii="Palatino Linotype" w:hAnsi="Palatino Linotype" w:cs="Arial"/>
        </w:rPr>
        <w:t xml:space="preserve"> </w:t>
      </w:r>
      <w:r w:rsidR="000C1A85">
        <w:rPr>
          <w:rFonts w:ascii="Palatino Linotype" w:hAnsi="Palatino Linotype" w:cs="Arial"/>
        </w:rPr>
        <w:t xml:space="preserve">se le </w:t>
      </w:r>
      <w:r w:rsidR="00773B49">
        <w:rPr>
          <w:rFonts w:ascii="Palatino Linotype" w:hAnsi="Palatino Linotype" w:cs="Arial"/>
        </w:rPr>
        <w:t>proporcionara</w:t>
      </w:r>
      <w:r w:rsidR="002933C2">
        <w:rPr>
          <w:rFonts w:ascii="Palatino Linotype" w:hAnsi="Palatino Linotype" w:cs="Arial"/>
        </w:rPr>
        <w:t>,</w:t>
      </w:r>
      <w:r w:rsidR="00B85B04">
        <w:rPr>
          <w:rFonts w:ascii="Palatino Linotype" w:hAnsi="Palatino Linotype" w:cs="Arial"/>
        </w:rPr>
        <w:t xml:space="preserve"> </w:t>
      </w:r>
      <w:r w:rsidR="002933C2">
        <w:rPr>
          <w:rFonts w:ascii="Palatino Linotype" w:hAnsi="Palatino Linotype" w:cs="Arial"/>
        </w:rPr>
        <w:t>la información que a continuación se desagrega:</w:t>
      </w:r>
    </w:p>
    <w:p w14:paraId="1EABEF60" w14:textId="77777777" w:rsidR="002933C2" w:rsidRDefault="002933C2" w:rsidP="00677ABE">
      <w:pPr>
        <w:spacing w:line="360" w:lineRule="auto"/>
        <w:jc w:val="both"/>
        <w:rPr>
          <w:rFonts w:ascii="Palatino Linotype" w:hAnsi="Palatino Linotype" w:cs="Arial"/>
        </w:rPr>
      </w:pPr>
    </w:p>
    <w:p w14:paraId="450AFB55" w14:textId="06EB57F2" w:rsidR="002933C2" w:rsidRPr="001C27AD" w:rsidRDefault="002933C2" w:rsidP="002933C2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1C27AD">
        <w:rPr>
          <w:rFonts w:ascii="Palatino Linotype" w:hAnsi="Palatino Linotype" w:cs="Arial"/>
          <w:i/>
          <w:sz w:val="22"/>
          <w:szCs w:val="22"/>
        </w:rPr>
        <w:t>“los talones de pago de todos los asesores, ayudantes, auxiliares, secretarios, particulares de los regidores, presidente, secretario del ayuntamiento, directora del DIF, presidenta del DIF”</w:t>
      </w:r>
    </w:p>
    <w:p w14:paraId="04A5C69D" w14:textId="77777777" w:rsidR="00773B49" w:rsidRPr="00773B49" w:rsidRDefault="00773B49" w:rsidP="00677ABE">
      <w:pPr>
        <w:spacing w:line="360" w:lineRule="auto"/>
        <w:jc w:val="both"/>
        <w:rPr>
          <w:rFonts w:ascii="Palatino Linotype" w:hAnsi="Palatino Linotype" w:cs="Arial"/>
        </w:rPr>
      </w:pPr>
    </w:p>
    <w:p w14:paraId="406410DC" w14:textId="7DDA37E8" w:rsidR="00B57FE6" w:rsidRPr="003A0014" w:rsidRDefault="00B57FE6" w:rsidP="001C27A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respuesta, </w:t>
      </w:r>
      <w:r w:rsidRPr="00B57FE6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</w:t>
      </w:r>
      <w:r w:rsidR="002933C2">
        <w:rPr>
          <w:rFonts w:ascii="Palatino Linotype" w:hAnsi="Palatino Linotype" w:cs="Arial"/>
        </w:rPr>
        <w:t xml:space="preserve">remitió LOS ARCHOVOS ELECTRÓNICOS  </w:t>
      </w:r>
      <w:r w:rsidR="003A0014">
        <w:rPr>
          <w:rFonts w:ascii="Palatino Linotype" w:hAnsi="Palatino Linotype" w:cs="Arial"/>
          <w:b/>
        </w:rPr>
        <w:t>SOL. 00107 AYUNTAMIENTO</w:t>
      </w:r>
      <w:r w:rsidR="002933C2">
        <w:rPr>
          <w:rFonts w:ascii="Palatino Linotype" w:hAnsi="Palatino Linotype" w:cs="Arial"/>
          <w:b/>
        </w:rPr>
        <w:t xml:space="preserve">.pdf, </w:t>
      </w:r>
      <w:r w:rsidR="003A0014">
        <w:rPr>
          <w:rFonts w:ascii="Palatino Linotype" w:hAnsi="Palatino Linotype" w:cs="Arial"/>
          <w:b/>
        </w:rPr>
        <w:t xml:space="preserve">SOL. 00107DIF.pdf y OCTAVA SESION.pdf </w:t>
      </w:r>
      <w:r w:rsidR="003A0014">
        <w:rPr>
          <w:rFonts w:ascii="Palatino Linotype" w:hAnsi="Palatino Linotype" w:cs="Arial"/>
        </w:rPr>
        <w:t>los cuales no se ponen a la vista por ser del conocimiento de la partes.</w:t>
      </w:r>
    </w:p>
    <w:p w14:paraId="41EA7B40" w14:textId="77777777" w:rsidR="0041327F" w:rsidRDefault="0041327F" w:rsidP="001C27AD">
      <w:pPr>
        <w:spacing w:line="360" w:lineRule="auto"/>
        <w:jc w:val="both"/>
        <w:rPr>
          <w:rFonts w:ascii="Palatino Linotype" w:hAnsi="Palatino Linotype" w:cs="Arial"/>
        </w:rPr>
      </w:pPr>
    </w:p>
    <w:p w14:paraId="4A42EC57" w14:textId="05A69A0E" w:rsidR="003A0014" w:rsidRDefault="003A0014" w:rsidP="001C27AD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 </w:t>
      </w:r>
      <w:r w:rsidRPr="006D731E">
        <w:rPr>
          <w:rFonts w:ascii="Palatino Linotype" w:hAnsi="Palatino Linotype"/>
          <w:b/>
          <w:lang w:eastAsia="es-MX"/>
        </w:rPr>
        <w:t>EL RECURRENTE</w:t>
      </w:r>
      <w:r w:rsidRPr="006D731E">
        <w:rPr>
          <w:rFonts w:ascii="Palatino Linotype" w:hAnsi="Palatino Linotype"/>
          <w:lang w:eastAsia="es-MX"/>
        </w:rPr>
        <w:t xml:space="preserve"> </w:t>
      </w:r>
      <w:r>
        <w:rPr>
          <w:rFonts w:ascii="Palatino Linotype" w:hAnsi="Palatino Linotype"/>
          <w:lang w:eastAsia="es-MX"/>
        </w:rPr>
        <w:t>procedió a interponer</w:t>
      </w:r>
      <w:r w:rsidRPr="006D731E">
        <w:rPr>
          <w:rFonts w:ascii="Palatino Linotype" w:hAnsi="Palatino Linotype" w:cs="Arial"/>
        </w:rPr>
        <w:t xml:space="preserve"> el recurso de revisión de mérito señalando como razones o motivos de inconformidad </w:t>
      </w:r>
      <w:r>
        <w:rPr>
          <w:rFonts w:ascii="Palatino Linotype" w:hAnsi="Palatino Linotype" w:cs="Arial"/>
        </w:rPr>
        <w:t>que solo solicito los nombres y sueldos de asesores, auxiliares y ayudantes de los regidores, presidente, secretario del ayuntamiento, presidenta del DIF.</w:t>
      </w:r>
    </w:p>
    <w:p w14:paraId="7CF44C43" w14:textId="77777777" w:rsidR="003A0014" w:rsidRDefault="003A0014" w:rsidP="001C27AD">
      <w:pPr>
        <w:spacing w:line="360" w:lineRule="auto"/>
        <w:jc w:val="both"/>
        <w:rPr>
          <w:rFonts w:ascii="Palatino Linotype" w:hAnsi="Palatino Linotype" w:cs="Arial"/>
        </w:rPr>
      </w:pPr>
    </w:p>
    <w:p w14:paraId="760D1EA0" w14:textId="692634B9" w:rsidR="00021D68" w:rsidRDefault="007C0FDA" w:rsidP="001C27AD">
      <w:pPr>
        <w:spacing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</w:t>
      </w:r>
      <w:r w:rsidR="00B5072E">
        <w:rPr>
          <w:rFonts w:ascii="Palatino Linotype" w:hAnsi="Palatino Linotype" w:cs="Arial"/>
        </w:rPr>
        <w:t>de</w:t>
      </w:r>
      <w:r>
        <w:rPr>
          <w:rFonts w:ascii="Palatino Linotype" w:hAnsi="Palatino Linotype" w:cs="Arial"/>
        </w:rPr>
        <w:t xml:space="preserve">l estudio </w:t>
      </w:r>
      <w:r w:rsidR="00B5072E">
        <w:rPr>
          <w:rFonts w:ascii="Palatino Linotype" w:hAnsi="Palatino Linotype" w:cs="Arial"/>
        </w:rPr>
        <w:t>d</w:t>
      </w:r>
      <w:r w:rsidR="00B5072E">
        <w:rPr>
          <w:rFonts w:ascii="Palatino Linotype" w:hAnsi="Palatino Linotype"/>
        </w:rPr>
        <w:t xml:space="preserve">el </w:t>
      </w:r>
      <w:r w:rsidR="00B5072E" w:rsidRPr="00A01905">
        <w:rPr>
          <w:rFonts w:ascii="Palatino Linotype" w:hAnsi="Palatino Linotype"/>
        </w:rPr>
        <w:t>expediente electrónico del SAIMEX</w:t>
      </w:r>
      <w:r>
        <w:rPr>
          <w:rFonts w:ascii="Palatino Linotype" w:hAnsi="Palatino Linotype" w:cs="Arial"/>
        </w:rPr>
        <w:t xml:space="preserve">, </w:t>
      </w:r>
      <w:r w:rsidR="0007653D">
        <w:rPr>
          <w:rFonts w:ascii="Palatino Linotype" w:hAnsi="Palatino Linotype" w:cs="Arial"/>
        </w:rPr>
        <w:t>la Ponencia Resolut</w:t>
      </w:r>
      <w:r w:rsidR="00414E48">
        <w:rPr>
          <w:rFonts w:ascii="Palatino Linotype" w:hAnsi="Palatino Linotype" w:cs="Arial"/>
        </w:rPr>
        <w:t>o</w:t>
      </w:r>
      <w:r w:rsidR="0007653D">
        <w:rPr>
          <w:rFonts w:ascii="Palatino Linotype" w:hAnsi="Palatino Linotype" w:cs="Arial"/>
        </w:rPr>
        <w:t>ra determinó</w:t>
      </w:r>
      <w:r>
        <w:rPr>
          <w:rFonts w:ascii="Palatino Linotype" w:hAnsi="Palatino Linotype" w:cs="Arial"/>
        </w:rPr>
        <w:t xml:space="preserve"> </w:t>
      </w:r>
      <w:r w:rsidR="00E718A6">
        <w:rPr>
          <w:rFonts w:ascii="Palatino Linotype" w:hAnsi="Palatino Linotype" w:cs="Arial"/>
          <w:b/>
        </w:rPr>
        <w:t>MODIFICAR</w:t>
      </w:r>
      <w:r w:rsidR="00850268">
        <w:rPr>
          <w:rFonts w:ascii="Palatino Linotype" w:hAnsi="Palatino Linotype" w:cs="Arial"/>
          <w:b/>
        </w:rPr>
        <w:t xml:space="preserve"> </w:t>
      </w:r>
      <w:r w:rsidR="00850268" w:rsidRPr="00850268">
        <w:rPr>
          <w:rFonts w:ascii="Palatino Linotype" w:hAnsi="Palatino Linotype" w:cs="Arial"/>
        </w:rPr>
        <w:t>la respuesta del</w:t>
      </w:r>
      <w:r w:rsidR="00850268">
        <w:rPr>
          <w:rFonts w:ascii="Palatino Linotype" w:hAnsi="Palatino Linotype" w:cs="Arial"/>
          <w:b/>
        </w:rPr>
        <w:t xml:space="preserve"> SUJETO OBLIGADO</w:t>
      </w:r>
      <w:r w:rsidR="00021D68">
        <w:rPr>
          <w:rFonts w:ascii="Palatino Linotype" w:hAnsi="Palatino Linotype" w:cs="Arial"/>
          <w:b/>
        </w:rPr>
        <w:t xml:space="preserve"> </w:t>
      </w:r>
      <w:r w:rsidR="00850268" w:rsidRPr="00850268">
        <w:rPr>
          <w:rFonts w:ascii="Palatino Linotype" w:hAnsi="Palatino Linotype" w:cs="Arial"/>
        </w:rPr>
        <w:t>y</w:t>
      </w:r>
      <w:r w:rsidR="00850268">
        <w:rPr>
          <w:rFonts w:ascii="Palatino Linotype" w:hAnsi="Palatino Linotype" w:cs="Arial"/>
        </w:rPr>
        <w:t xml:space="preserve"> ordenar la entrega </w:t>
      </w:r>
      <w:r w:rsidR="00581248">
        <w:rPr>
          <w:rFonts w:ascii="Palatino Linotype" w:hAnsi="Palatino Linotype" w:cs="Arial"/>
        </w:rPr>
        <w:t>de la información siguiente:</w:t>
      </w:r>
    </w:p>
    <w:p w14:paraId="10AEF07B" w14:textId="3816ACF0" w:rsidR="004C4B38" w:rsidRDefault="004C4B38" w:rsidP="001C27AD">
      <w:pPr>
        <w:pStyle w:val="Prrafodelista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4C4B38">
        <w:rPr>
          <w:rFonts w:ascii="Palatino Linotype" w:hAnsi="Palatino Linotype" w:cs="Arial"/>
          <w:i/>
          <w:sz w:val="22"/>
          <w:szCs w:val="22"/>
        </w:rPr>
        <w:t>“Acuerdo del Comité de Transparencia en términos de los artículos 49, fracción VIII y 132 fracción II de la Ley de Transparencia y Acceso a la Información Pública del Estado de México y Municipios, en el que funde y motive las razones por las cuales se testaron datos en la información presentada y se ponga a disposición del recurrente.”</w:t>
      </w:r>
    </w:p>
    <w:p w14:paraId="0E0403CF" w14:textId="3144017F" w:rsidR="00E433D6" w:rsidRDefault="00E433D6" w:rsidP="001C27AD">
      <w:pPr>
        <w:spacing w:line="360" w:lineRule="auto"/>
        <w:contextualSpacing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lastRenderedPageBreak/>
        <w:t>Así, es evidente que el particular en ningún momento refirió “</w:t>
      </w:r>
      <w:r w:rsidRPr="00E433D6">
        <w:rPr>
          <w:rFonts w:ascii="Palatino Linotype" w:hAnsi="Palatino Linotype" w:cs="Arial"/>
          <w:b/>
          <w:i/>
          <w:lang w:val="es-MX"/>
        </w:rPr>
        <w:t xml:space="preserve">talones de pago de todos los asesores, ayudantes, auxiliares, secretarios, particulares de los regidores, presidente, secretario del ayuntamiento, directora del DIF, presidenta del </w:t>
      </w:r>
      <w:proofErr w:type="spellStart"/>
      <w:r w:rsidRPr="00E433D6">
        <w:rPr>
          <w:rFonts w:ascii="Palatino Linotype" w:hAnsi="Palatino Linotype" w:cs="Arial"/>
          <w:b/>
          <w:i/>
          <w:lang w:val="es-MX"/>
        </w:rPr>
        <w:t>Dif</w:t>
      </w:r>
      <w:proofErr w:type="spellEnd"/>
      <w:r w:rsidRPr="00E433D6">
        <w:rPr>
          <w:rFonts w:ascii="Palatino Linotype" w:hAnsi="Palatino Linotype" w:cs="Arial"/>
          <w:b/>
          <w:lang w:val="es-MX"/>
        </w:rPr>
        <w:t xml:space="preserve">”, </w:t>
      </w:r>
      <w:r>
        <w:rPr>
          <w:rFonts w:ascii="Palatino Linotype" w:hAnsi="Palatino Linotype" w:cs="Arial"/>
          <w:lang w:val="es-MX"/>
        </w:rPr>
        <w:t>circunstancia por la cual no debió ordenar la entrega del documento donde constara de dicha información.</w:t>
      </w:r>
    </w:p>
    <w:p w14:paraId="02DA5ADE" w14:textId="77777777" w:rsidR="001C27AD" w:rsidRDefault="001C27AD" w:rsidP="001C27AD">
      <w:pPr>
        <w:spacing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14:paraId="66C6617B" w14:textId="77777777" w:rsidR="00E433D6" w:rsidRDefault="00E433D6" w:rsidP="001C27AD">
      <w:pPr>
        <w:spacing w:before="240" w:after="240" w:line="360" w:lineRule="auto"/>
        <w:contextualSpacing/>
        <w:jc w:val="both"/>
        <w:rPr>
          <w:rStyle w:val="apple-style-span"/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</w:rPr>
        <w:t xml:space="preserve">Expuesto lo anterior, </w:t>
      </w:r>
      <w:r>
        <w:rPr>
          <w:rFonts w:ascii="Palatino Linotype" w:hAnsi="Palatino Linotype"/>
          <w:color w:val="000000"/>
        </w:rPr>
        <w:t xml:space="preserve">conviene recordar que los Municipios del Estado de México, son Sujetos de Fiscalización de conformidad con el numeral 4, fracción II de </w:t>
      </w:r>
      <w:r>
        <w:rPr>
          <w:rStyle w:val="apple-style-span"/>
          <w:rFonts w:ascii="Palatino Linotype" w:hAnsi="Palatino Linotype" w:cs="Arial"/>
          <w:color w:val="000000"/>
        </w:rPr>
        <w:t>Ley de Fiscalización Superior del Estado de México</w:t>
      </w:r>
      <w:r>
        <w:rPr>
          <w:rStyle w:val="Refdenotaalpie"/>
          <w:rFonts w:ascii="Palatino Linotype" w:hAnsi="Palatino Linotype" w:cs="Arial"/>
          <w:color w:val="000000"/>
        </w:rPr>
        <w:footnoteReference w:id="1"/>
      </w:r>
      <w:r>
        <w:rPr>
          <w:rStyle w:val="apple-style-span"/>
          <w:rFonts w:ascii="Palatino Linotype" w:hAnsi="Palatino Linotype" w:cs="Arial"/>
          <w:color w:val="000000"/>
        </w:rPr>
        <w:t xml:space="preserve">; razón por la cual, el Órgano Superior de Fiscalización del Estado de México (OSFEM), emite los </w:t>
      </w:r>
      <w:r>
        <w:rPr>
          <w:rStyle w:val="apple-style-span"/>
          <w:rFonts w:ascii="Palatino Linotype" w:hAnsi="Palatino Linotype" w:cs="Arial"/>
          <w:b/>
          <w:color w:val="000000"/>
        </w:rPr>
        <w:t>Lineamientos para la Integración del Informe Mensual</w:t>
      </w:r>
      <w:r>
        <w:rPr>
          <w:rStyle w:val="apple-style-span"/>
          <w:rFonts w:ascii="Palatino Linotype" w:hAnsi="Palatino Linotype" w:cs="Arial"/>
          <w:color w:val="000000"/>
        </w:rPr>
        <w:t xml:space="preserve">, en términos la fracción XI del artículo 8 de la Ley de Fiscalización Superior del Estado de México, que señala: </w:t>
      </w:r>
    </w:p>
    <w:p w14:paraId="648CCC37" w14:textId="77777777" w:rsidR="001C27AD" w:rsidRDefault="001C27AD" w:rsidP="001C27AD">
      <w:pPr>
        <w:spacing w:before="240" w:after="240" w:line="360" w:lineRule="auto"/>
        <w:contextualSpacing/>
        <w:jc w:val="both"/>
        <w:rPr>
          <w:rStyle w:val="apple-style-span"/>
          <w:rFonts w:ascii="Palatino Linotype" w:hAnsi="Palatino Linotype" w:cs="Arial"/>
          <w:bCs/>
          <w:color w:val="000000"/>
        </w:rPr>
      </w:pPr>
    </w:p>
    <w:p w14:paraId="63969D0C" w14:textId="77777777" w:rsidR="00E433D6" w:rsidRDefault="00E433D6" w:rsidP="001C27AD">
      <w:pPr>
        <w:autoSpaceDE w:val="0"/>
        <w:autoSpaceDN w:val="0"/>
        <w:adjustRightInd w:val="0"/>
        <w:ind w:left="851" w:right="899"/>
        <w:contextualSpacing/>
        <w:jc w:val="both"/>
        <w:rPr>
          <w:i/>
          <w:sz w:val="22"/>
          <w:szCs w:val="22"/>
        </w:rPr>
      </w:pPr>
      <w:r>
        <w:rPr>
          <w:rFonts w:ascii="Palatino Linotype" w:hAnsi="Palatino Linotype" w:cs="Arial"/>
          <w:b/>
          <w:bCs/>
          <w:i/>
          <w:sz w:val="22"/>
          <w:szCs w:val="22"/>
        </w:rPr>
        <w:t xml:space="preserve">“Artículo 8. </w:t>
      </w:r>
      <w:r>
        <w:rPr>
          <w:rFonts w:ascii="Palatino Linotype" w:hAnsi="Palatino Linotype" w:cs="Arial"/>
          <w:i/>
          <w:sz w:val="22"/>
          <w:szCs w:val="22"/>
        </w:rPr>
        <w:t>El Órgano Superior tendrá las siguientes atribuciones:</w:t>
      </w:r>
    </w:p>
    <w:p w14:paraId="2413CEBF" w14:textId="77777777" w:rsidR="00E433D6" w:rsidRDefault="00E433D6" w:rsidP="001C27AD">
      <w:pPr>
        <w:autoSpaceDE w:val="0"/>
        <w:autoSpaceDN w:val="0"/>
        <w:adjustRightInd w:val="0"/>
        <w:ind w:left="851" w:right="89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14:paraId="26EF32C1" w14:textId="77777777" w:rsidR="00E433D6" w:rsidRDefault="00E433D6" w:rsidP="001C27AD">
      <w:pPr>
        <w:autoSpaceDE w:val="0"/>
        <w:autoSpaceDN w:val="0"/>
        <w:adjustRightInd w:val="0"/>
        <w:ind w:left="851" w:right="899"/>
        <w:contextualSpacing/>
        <w:jc w:val="both"/>
        <w:rPr>
          <w:rStyle w:val="apple-style-span"/>
          <w:rFonts w:ascii="Palatino Linotype" w:hAnsi="Palatino Linotype" w:cs="Arial"/>
          <w:color w:val="000000"/>
          <w:sz w:val="22"/>
          <w:szCs w:val="22"/>
        </w:rPr>
      </w:pPr>
      <w:r>
        <w:rPr>
          <w:rFonts w:ascii="Palatino Linotype" w:hAnsi="Palatino Linotype" w:cs="Arial"/>
          <w:b/>
          <w:bCs/>
          <w:i/>
          <w:sz w:val="22"/>
          <w:szCs w:val="22"/>
        </w:rPr>
        <w:t xml:space="preserve">XI. </w:t>
      </w:r>
      <w:r>
        <w:rPr>
          <w:rFonts w:ascii="Palatino Linotype" w:hAnsi="Palatino Linotype" w:cs="Arial"/>
          <w:i/>
          <w:sz w:val="22"/>
          <w:szCs w:val="22"/>
        </w:rPr>
        <w:t>Establecer los lineamientos, criterios, procedimientos, métodos y sistemas para las acciones de control y evaluación, necesarios para la fiscalización de las cuentas públicas y los informes trimestrales;</w:t>
      </w:r>
      <w:r>
        <w:rPr>
          <w:rStyle w:val="apple-style-span"/>
          <w:rFonts w:ascii="Palatino Linotype" w:hAnsi="Palatino Linotype" w:cs="Arial"/>
          <w:color w:val="000000"/>
          <w:sz w:val="22"/>
          <w:szCs w:val="22"/>
        </w:rPr>
        <w:t>…” (Sic)</w:t>
      </w:r>
    </w:p>
    <w:p w14:paraId="07D00773" w14:textId="77777777" w:rsidR="001C27AD" w:rsidRDefault="001C27AD" w:rsidP="001C27AD">
      <w:pPr>
        <w:autoSpaceDE w:val="0"/>
        <w:autoSpaceDN w:val="0"/>
        <w:adjustRightInd w:val="0"/>
        <w:ind w:left="851" w:right="899"/>
        <w:contextualSpacing/>
        <w:jc w:val="both"/>
        <w:rPr>
          <w:rStyle w:val="apple-style-span"/>
          <w:bCs/>
          <w:color w:val="000000"/>
        </w:rPr>
      </w:pPr>
    </w:p>
    <w:p w14:paraId="417AE6E3" w14:textId="77777777" w:rsidR="00E433D6" w:rsidRDefault="00E433D6" w:rsidP="001C27AD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 esta forma, el OSFEM, emite anualmente dichos Lineamientos para definir los criterios, formatos y documentación necesaria para presentar los informes mensuales, dentro de los cuales destaca el Disco 4, relativo a la información de nómina; ya que, dichos lineamientos son de observancia general para todos los servidores públicos de </w:t>
      </w:r>
      <w:r>
        <w:rPr>
          <w:rFonts w:ascii="Palatino Linotype" w:hAnsi="Palatino Linotype"/>
        </w:rPr>
        <w:lastRenderedPageBreak/>
        <w:t>las entidades fiscalizables que desempeñen un empleo, cargo o comisión, de cualquier naturaleza en la administración pública municipal y que manejen recursos públicos como lo son los municipios; en atención a ello, el informe mensual deberá ser presentado al Órgano Superior de Fiscalización dentro de los 20 días posteriores al término del mes correspondiente de acuerdo a lo establecido en el artículo 32 de la Ley de Fiscalización Superior del Estado de México, que a la letra dice:</w:t>
      </w:r>
    </w:p>
    <w:p w14:paraId="0DDC9F31" w14:textId="77777777" w:rsidR="001C27AD" w:rsidRDefault="001C27AD" w:rsidP="001C27AD">
      <w:pPr>
        <w:spacing w:before="100" w:beforeAutospacing="1" w:after="100" w:afterAutospacing="1" w:line="360" w:lineRule="auto"/>
        <w:contextualSpacing/>
        <w:jc w:val="both"/>
      </w:pPr>
    </w:p>
    <w:p w14:paraId="22F864F7" w14:textId="77777777" w:rsidR="00E433D6" w:rsidRDefault="00E433D6" w:rsidP="001C27AD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“Artículo 32.-</w:t>
      </w:r>
      <w:r>
        <w:rPr>
          <w:rFonts w:ascii="Palatino Linotype" w:hAnsi="Palatino Linotype"/>
          <w:i/>
          <w:sz w:val="22"/>
          <w:szCs w:val="22"/>
        </w:rPr>
        <w:t xml:space="preserve"> El Gobernador del Estado, por conducto del titular de la dependencia competente, presentará a la Legislatura la cuenta pública del Gobierno del Estado del ejercicio fiscal inmediato anterior, a más tardar el quince de mayo de cada año.</w:t>
      </w:r>
    </w:p>
    <w:p w14:paraId="2E460AAF" w14:textId="77777777" w:rsidR="00E433D6" w:rsidRDefault="00E433D6" w:rsidP="001C27AD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5014A2D5" w14:textId="77777777" w:rsidR="00E433D6" w:rsidRDefault="00E433D6" w:rsidP="001C27AD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Los Presidentes Municipales presentarán a la Legislatura las cuentas públicas anuales</w:t>
      </w:r>
      <w:r>
        <w:rPr>
          <w:rFonts w:ascii="Palatino Linotype" w:hAnsi="Palatino Linotype"/>
          <w:i/>
          <w:sz w:val="22"/>
          <w:szCs w:val="22"/>
        </w:rPr>
        <w:t xml:space="preserve"> de sus respectivos municipios, del ejercicio fiscal inmediato anterior, </w:t>
      </w:r>
      <w:r>
        <w:rPr>
          <w:rFonts w:ascii="Palatino Linotype" w:hAnsi="Palatino Linotype"/>
          <w:b/>
          <w:i/>
          <w:sz w:val="22"/>
          <w:szCs w:val="22"/>
        </w:rPr>
        <w:t>dentro de los quince primeros días del mes de marzo</w:t>
      </w:r>
      <w:r>
        <w:rPr>
          <w:rFonts w:ascii="Palatino Linotype" w:hAnsi="Palatino Linotype"/>
          <w:i/>
          <w:sz w:val="22"/>
          <w:szCs w:val="22"/>
        </w:rPr>
        <w:t xml:space="preserve"> de cada año; </w:t>
      </w:r>
      <w:r>
        <w:rPr>
          <w:rFonts w:ascii="Palatino Linotype" w:hAnsi="Palatino Linotype"/>
          <w:b/>
          <w:i/>
          <w:sz w:val="22"/>
          <w:szCs w:val="22"/>
        </w:rPr>
        <w:t>asimism</w:t>
      </w:r>
      <w:r>
        <w:rPr>
          <w:rFonts w:ascii="Palatino Linotype" w:hAnsi="Palatino Linotype"/>
          <w:i/>
          <w:sz w:val="22"/>
          <w:szCs w:val="22"/>
        </w:rPr>
        <w:t xml:space="preserve">o, </w:t>
      </w:r>
      <w:r>
        <w:rPr>
          <w:rFonts w:ascii="Palatino Linotype" w:hAnsi="Palatino Linotype"/>
          <w:b/>
          <w:i/>
          <w:sz w:val="22"/>
          <w:szCs w:val="22"/>
        </w:rPr>
        <w:t>los informes mensuales</w:t>
      </w:r>
      <w:r>
        <w:rPr>
          <w:rFonts w:ascii="Palatino Linotype" w:hAnsi="Palatino Linotype"/>
          <w:i/>
          <w:sz w:val="22"/>
          <w:szCs w:val="22"/>
        </w:rPr>
        <w:t xml:space="preserve"> los deberán presentar </w:t>
      </w:r>
      <w:r>
        <w:rPr>
          <w:rFonts w:ascii="Palatino Linotype" w:hAnsi="Palatino Linotype"/>
          <w:b/>
          <w:i/>
          <w:sz w:val="22"/>
          <w:szCs w:val="22"/>
        </w:rPr>
        <w:t>dentro de los veinte días posteriores al término del mes correspondiente.”</w:t>
      </w:r>
    </w:p>
    <w:p w14:paraId="42B79541" w14:textId="77777777" w:rsidR="00E433D6" w:rsidRDefault="00E433D6" w:rsidP="001C27AD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(Énfasis añadido)</w:t>
      </w:r>
    </w:p>
    <w:p w14:paraId="209F9083" w14:textId="77777777" w:rsidR="001C27AD" w:rsidRDefault="001C27AD" w:rsidP="00E433D6">
      <w:pPr>
        <w:ind w:left="851" w:right="760"/>
        <w:jc w:val="both"/>
        <w:rPr>
          <w:rFonts w:ascii="Palatino Linotype" w:hAnsi="Palatino Linotype"/>
          <w:i/>
          <w:sz w:val="22"/>
          <w:szCs w:val="22"/>
        </w:rPr>
      </w:pPr>
    </w:p>
    <w:p w14:paraId="17E5AA38" w14:textId="77777777" w:rsidR="00E433D6" w:rsidRDefault="00E433D6" w:rsidP="00E433D6">
      <w:pPr>
        <w:spacing w:before="100" w:beforeAutospacing="1" w:after="100" w:afterAutospacing="1" w:line="360" w:lineRule="auto"/>
        <w:ind w:right="-91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</w:rPr>
        <w:t xml:space="preserve">Por ello, la información </w:t>
      </w:r>
      <w:r>
        <w:rPr>
          <w:rFonts w:ascii="Palatino Linotype" w:hAnsi="Palatino Linotype"/>
          <w:b/>
        </w:rPr>
        <w:t>documental comprobatoria</w:t>
      </w:r>
      <w:r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b/>
        </w:rPr>
        <w:t>deberá conservarse en los archivos de la entidad fiscalizada –Municipio</w:t>
      </w:r>
      <w:r>
        <w:rPr>
          <w:rFonts w:ascii="Palatino Linotype" w:hAnsi="Palatino Linotype"/>
        </w:rPr>
        <w:t xml:space="preserve">-, en original y debidamente integrada en términos de los lineamientos de referencia, pues son susceptibles de revisión directa por el </w:t>
      </w:r>
      <w:r>
        <w:rPr>
          <w:rFonts w:ascii="Palatino Linotype" w:hAnsi="Palatino Linotype"/>
          <w:color w:val="000000"/>
        </w:rPr>
        <w:t>OSFEM</w:t>
      </w:r>
      <w:r>
        <w:rPr>
          <w:rFonts w:ascii="Palatino Linotype" w:hAnsi="Palatino Linotype"/>
        </w:rPr>
        <w:t xml:space="preserve">; así que, </w:t>
      </w:r>
      <w:r>
        <w:rPr>
          <w:rFonts w:ascii="Palatino Linotype" w:hAnsi="Palatino Linotype"/>
          <w:color w:val="000000"/>
        </w:rPr>
        <w:t xml:space="preserve">para la Integración del Informe Mensual 2018, dichos lineamientos se encuentran visibles en la página oficial del OSFEM en el sitio de internet </w:t>
      </w:r>
      <w:r>
        <w:rPr>
          <w:rFonts w:ascii="Palatino Linotype" w:hAnsi="Palatino Linotype"/>
          <w:i/>
          <w:spacing w:val="-14"/>
        </w:rPr>
        <w:t>https://www.osfem.gob.mx/04_Normatividad/doc/Normatividad/2018/03_LinElabyPresInfoMenMpal18.pdf</w:t>
      </w:r>
      <w:r>
        <w:rPr>
          <w:rFonts w:ascii="Palatino Linotype" w:hAnsi="Palatino Linotype"/>
          <w:color w:val="000000"/>
        </w:rPr>
        <w:t xml:space="preserve"> destacando que dentro de los informes mensuales que </w:t>
      </w:r>
      <w:r>
        <w:rPr>
          <w:rFonts w:ascii="Palatino Linotype" w:hAnsi="Palatino Linotype"/>
          <w:b/>
          <w:color w:val="000000"/>
        </w:rPr>
        <w:t xml:space="preserve">EL SUJETO OBLIGADO </w:t>
      </w:r>
      <w:r>
        <w:rPr>
          <w:rFonts w:ascii="Palatino Linotype" w:hAnsi="Palatino Linotype"/>
          <w:color w:val="000000"/>
        </w:rPr>
        <w:t xml:space="preserve">tiene la obligación de rendir, se contempla precisamente la presentación de la Información </w:t>
      </w:r>
      <w:r>
        <w:rPr>
          <w:rFonts w:ascii="Palatino Linotype" w:hAnsi="Palatino Linotype"/>
          <w:color w:val="000000"/>
        </w:rPr>
        <w:lastRenderedPageBreak/>
        <w:t xml:space="preserve">referente a la Nómina y a los Comprobantes Fiscales Digitales por Internet, tal y como se muestra en las imágenes siguientes: </w:t>
      </w:r>
    </w:p>
    <w:p w14:paraId="60BFE462" w14:textId="21B68E31" w:rsidR="00E433D6" w:rsidRDefault="00E433D6" w:rsidP="00E433D6">
      <w:pPr>
        <w:spacing w:before="240" w:after="240" w:line="360" w:lineRule="auto"/>
        <w:jc w:val="center"/>
        <w:rPr>
          <w:rFonts w:ascii="Palatino Linotype" w:hAnsi="Palatino Linotype" w:cs="Arial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B9BEA" wp14:editId="12C5A71C">
                <wp:simplePos x="0" y="0"/>
                <wp:positionH relativeFrom="column">
                  <wp:posOffset>196215</wp:posOffset>
                </wp:positionH>
                <wp:positionV relativeFrom="paragraph">
                  <wp:posOffset>1184910</wp:posOffset>
                </wp:positionV>
                <wp:extent cx="2162175" cy="235585"/>
                <wp:effectExtent l="19050" t="19050" r="28575" b="120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558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97183" id="Rectángulo 11" o:spid="_x0000_s1026" style="position:absolute;margin-left:15.45pt;margin-top:93.3pt;width:170.25pt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" filled="f" strokecolor="#243f60 [1604]" strokeweight="2.25pt"/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 wp14:anchorId="356C8AE0" wp14:editId="7AF92276">
            <wp:extent cx="5705475" cy="1457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50" t="53220" r="35686" b="3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6CBA" w14:textId="32F33289" w:rsidR="00E433D6" w:rsidRDefault="00E433D6" w:rsidP="001C27AD">
      <w:pPr>
        <w:spacing w:before="240" w:after="240" w:line="360" w:lineRule="auto"/>
        <w:contextualSpacing/>
        <w:jc w:val="center"/>
        <w:rPr>
          <w:rFonts w:ascii="Palatino Linotype" w:hAnsi="Palatino Linotype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91521" wp14:editId="2284E4EE">
                <wp:simplePos x="0" y="0"/>
                <wp:positionH relativeFrom="column">
                  <wp:posOffset>110490</wp:posOffset>
                </wp:positionH>
                <wp:positionV relativeFrom="paragraph">
                  <wp:posOffset>3122295</wp:posOffset>
                </wp:positionV>
                <wp:extent cx="2386965" cy="857250"/>
                <wp:effectExtent l="19050" t="19050" r="1333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65" cy="8572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576A9" id="Rectángulo 12" o:spid="_x0000_s1026" style="position:absolute;margin-left:8.7pt;margin-top:245.85pt;width:187.9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" filled="f" strokecolor="#243f60 [1604]" strokeweight="2.25pt"/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 wp14:anchorId="20187ED4" wp14:editId="5FAD0740">
            <wp:extent cx="5629275" cy="4029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9" t="19270" r="15987" b="24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71A3" w14:textId="77777777" w:rsidR="001C27AD" w:rsidRDefault="001C27AD" w:rsidP="001C27AD">
      <w:pPr>
        <w:spacing w:before="240" w:after="240" w:line="360" w:lineRule="auto"/>
        <w:contextualSpacing/>
        <w:jc w:val="center"/>
        <w:rPr>
          <w:rFonts w:ascii="Palatino Linotype" w:hAnsi="Palatino Linotype" w:cs="Arial"/>
        </w:rPr>
      </w:pPr>
    </w:p>
    <w:p w14:paraId="4ABCEF57" w14:textId="77777777" w:rsidR="00E433D6" w:rsidRDefault="00E433D6" w:rsidP="001C27AD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Atento a lo anterior, resulta claro que existe fuente obligacional que constriñe al </w:t>
      </w:r>
      <w:r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, para entregar los informes mensuales al OSFEM de conformidad con el artículo 32 de la Ley de Fiscalización Superior del Estado de México, en los cuales se incluye lo referente a </w:t>
      </w:r>
      <w:r>
        <w:rPr>
          <w:rFonts w:ascii="Palatino Linotype" w:hAnsi="Palatino Linotype" w:cs="Arial"/>
          <w:b/>
        </w:rPr>
        <w:t>los comprobantes fiscales por internet por concepto de nómina,</w:t>
      </w:r>
      <w:r>
        <w:rPr>
          <w:rFonts w:ascii="Palatino Linotype" w:hAnsi="Palatino Linotype" w:cs="Arial"/>
          <w:i/>
        </w:rPr>
        <w:t xml:space="preserve"> </w:t>
      </w:r>
      <w:r>
        <w:rPr>
          <w:rFonts w:ascii="Palatino Linotype" w:hAnsi="Palatino Linotype" w:cs="Arial"/>
        </w:rPr>
        <w:t>que comprenden la información relativa al pago de las remuneraciones de cada uno de los servidores públicos correspondiente a un periodo determinado.</w:t>
      </w:r>
    </w:p>
    <w:p w14:paraId="2BAF5151" w14:textId="77777777" w:rsidR="001C27AD" w:rsidRDefault="001C27AD" w:rsidP="001C27AD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14:paraId="20513051" w14:textId="77777777" w:rsidR="009F2E40" w:rsidRDefault="009F2E40" w:rsidP="009F2E40">
      <w:pPr>
        <w:spacing w:line="360" w:lineRule="auto"/>
        <w:jc w:val="both"/>
        <w:rPr>
          <w:rFonts w:ascii="Palatino Linotype" w:hAnsi="Palatino Linotype"/>
          <w:lang w:eastAsia="es-MX"/>
        </w:rPr>
      </w:pPr>
      <w:r>
        <w:rPr>
          <w:rFonts w:ascii="Palatino Linotype" w:hAnsi="Palatino Linotype"/>
        </w:rPr>
        <w:t xml:space="preserve">A fin de robustecer lo expuesto, conviene citar </w:t>
      </w:r>
      <w:r>
        <w:rPr>
          <w:rFonts w:ascii="Palatino Linotype" w:hAnsi="Palatino Linotype" w:cs="Segoe UI"/>
        </w:rPr>
        <w:t xml:space="preserve">el criterio orientador </w:t>
      </w:r>
      <w:r>
        <w:rPr>
          <w:rFonts w:ascii="Palatino Linotype" w:hAnsi="Palatino Linotype"/>
          <w:lang w:eastAsia="es-MX"/>
        </w:rPr>
        <w:t>002/2017</w:t>
      </w:r>
      <w:r w:rsidRPr="0090521E">
        <w:rPr>
          <w:rFonts w:ascii="Palatino Linotype" w:hAnsi="Palatino Linotype"/>
          <w:lang w:eastAsia="es-MX"/>
        </w:rPr>
        <w:t xml:space="preserve"> del</w:t>
      </w:r>
      <w:r>
        <w:rPr>
          <w:rFonts w:ascii="Palatino Linotype" w:hAnsi="Palatino Linotype"/>
          <w:lang w:eastAsia="es-MX"/>
        </w:rPr>
        <w:t xml:space="preserve"> </w:t>
      </w:r>
      <w:r w:rsidRPr="0090521E">
        <w:rPr>
          <w:rFonts w:ascii="Palatino Linotype" w:hAnsi="Palatino Linotype"/>
          <w:lang w:eastAsia="es-MX"/>
        </w:rPr>
        <w:t>Instituto Nacional de Acceso a la Información y Protección de Datos (INAI)</w:t>
      </w:r>
      <w:r>
        <w:rPr>
          <w:rFonts w:ascii="Palatino Linotype" w:hAnsi="Palatino Linotype"/>
          <w:lang w:eastAsia="es-MX"/>
        </w:rPr>
        <w:t>, que señala lo siguiente:</w:t>
      </w:r>
    </w:p>
    <w:p w14:paraId="65B75F53" w14:textId="77777777" w:rsidR="009F2E40" w:rsidRDefault="009F2E40" w:rsidP="009F2E40">
      <w:pPr>
        <w:spacing w:line="360" w:lineRule="auto"/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</w:p>
    <w:p w14:paraId="46D0F36E" w14:textId="77777777" w:rsidR="009F2E40" w:rsidRDefault="009F2E40" w:rsidP="009F2E40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“Congruencia y exhaustividad.</w:t>
      </w:r>
      <w:r w:rsidRPr="006807DD">
        <w:rPr>
          <w:rFonts w:ascii="Palatino Linotype" w:hAnsi="Palatino Linotype" w:cs="Arial"/>
          <w:bCs/>
          <w:i/>
          <w:sz w:val="22"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  <w:sz w:val="22"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  <w:sz w:val="22"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  <w:sz w:val="22"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  <w:sz w:val="22"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  <w:sz w:val="22"/>
        </w:rPr>
        <w:t>cuando las respuestas que emitan guarden una relación lógica con lo solicitado y atiendan de manera puntual y expresa, cada uno de los contenidos de información.</w:t>
      </w:r>
    </w:p>
    <w:p w14:paraId="59179B9A" w14:textId="77777777" w:rsidR="009F2E40" w:rsidRPr="00D621C2" w:rsidRDefault="009F2E40" w:rsidP="009F2E40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</w:p>
    <w:p w14:paraId="79B93836" w14:textId="77777777" w:rsidR="009F2E40" w:rsidRDefault="009F2E40" w:rsidP="009F2E40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Cs/>
          <w:i/>
          <w:sz w:val="22"/>
        </w:rPr>
        <w:t xml:space="preserve">Resoluciones: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</w:t>
      </w:r>
      <w:r w:rsidRPr="006807DD">
        <w:rPr>
          <w:rFonts w:ascii="Palatino Linotype" w:hAnsi="Palatino Linotype" w:cs="Arial"/>
          <w:bCs/>
          <w:i/>
          <w:sz w:val="22"/>
        </w:rPr>
        <w:lastRenderedPageBreak/>
        <w:t xml:space="preserve">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  <w:sz w:val="22"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  <w:sz w:val="22"/>
        </w:rPr>
        <w:t>.”</w:t>
      </w:r>
    </w:p>
    <w:p w14:paraId="51AE6494" w14:textId="77777777" w:rsidR="009F2E40" w:rsidRPr="00A06C35" w:rsidRDefault="009F2E40" w:rsidP="009F2E40">
      <w:pPr>
        <w:spacing w:line="360" w:lineRule="auto"/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</w:p>
    <w:p w14:paraId="52251F45" w14:textId="77777777" w:rsidR="009F2E40" w:rsidRPr="00BD2D68" w:rsidRDefault="009F2E40" w:rsidP="009F2E40">
      <w:pPr>
        <w:spacing w:line="360" w:lineRule="auto"/>
        <w:jc w:val="both"/>
        <w:rPr>
          <w:rFonts w:ascii="Palatino Linotype" w:hAnsi="Palatino Linotype" w:cs="Arial"/>
          <w:b/>
        </w:rPr>
      </w:pPr>
      <w:r w:rsidRPr="00BD2D68">
        <w:rPr>
          <w:rFonts w:ascii="Palatino Linotype" w:hAnsi="Palatino Linotype"/>
        </w:rPr>
        <w:t>En ese contexto</w:t>
      </w:r>
      <w:r w:rsidRPr="00BD2D68">
        <w:rPr>
          <w:rFonts w:ascii="Palatino Linotype" w:hAnsi="Palatino Linotype" w:cs="Arial"/>
        </w:rPr>
        <w:t xml:space="preserve">, la que suscribe, emite </w:t>
      </w:r>
      <w:r w:rsidRPr="00BD2D68">
        <w:rPr>
          <w:rFonts w:ascii="Palatino Linotype" w:hAnsi="Palatino Linotype" w:cs="Arial"/>
          <w:b/>
        </w:rPr>
        <w:t>VOTO PARTICULAR</w:t>
      </w:r>
      <w:r w:rsidRPr="00BD2D68">
        <w:rPr>
          <w:rFonts w:ascii="Palatino Linotype" w:hAnsi="Palatino Linotype" w:cs="Arial"/>
        </w:rPr>
        <w:t xml:space="preserve">, pues se insiste que se debió ordenar </w:t>
      </w:r>
      <w:r>
        <w:rPr>
          <w:rFonts w:ascii="Palatino Linotype" w:hAnsi="Palatino Linotype" w:cs="Arial"/>
        </w:rPr>
        <w:t>el</w:t>
      </w:r>
      <w:r w:rsidRPr="00BD2D68">
        <w:rPr>
          <w:rFonts w:ascii="Palatino Linotype" w:hAnsi="Palatino Linotype" w:cs="Arial"/>
        </w:rPr>
        <w:t xml:space="preserve"> documento que más se asemejara a</w:t>
      </w:r>
      <w:r>
        <w:rPr>
          <w:rFonts w:ascii="Palatino Linotype" w:hAnsi="Palatino Linotype" w:cs="Arial"/>
        </w:rPr>
        <w:t xml:space="preserve"> </w:t>
      </w:r>
      <w:r w:rsidRPr="00BD2D68">
        <w:rPr>
          <w:rFonts w:ascii="Palatino Linotype" w:hAnsi="Palatino Linotype" w:cs="Arial"/>
        </w:rPr>
        <w:t>l</w:t>
      </w:r>
      <w:r>
        <w:rPr>
          <w:rFonts w:ascii="Palatino Linotype" w:hAnsi="Palatino Linotype" w:cs="Arial"/>
        </w:rPr>
        <w:t>o</w:t>
      </w:r>
      <w:r w:rsidRPr="00BD2D68">
        <w:rPr>
          <w:rFonts w:ascii="Palatino Linotype" w:hAnsi="Palatino Linotype" w:cs="Arial"/>
        </w:rPr>
        <w:t xml:space="preserve"> requerido por el particular, </w:t>
      </w:r>
      <w:r>
        <w:rPr>
          <w:rFonts w:ascii="Palatino Linotype" w:hAnsi="Palatino Linotype" w:cs="Arial"/>
        </w:rPr>
        <w:t xml:space="preserve">a fin de que se colmara en su totalidad el derecho de acceso a la información pública, </w:t>
      </w:r>
      <w:r w:rsidRPr="00BD2D68">
        <w:rPr>
          <w:rFonts w:ascii="Palatino Linotype" w:hAnsi="Palatino Linotype" w:cs="Arial"/>
        </w:rPr>
        <w:t xml:space="preserve">sin que por ello implique al </w:t>
      </w:r>
      <w:r w:rsidRPr="00BD2D68">
        <w:rPr>
          <w:rFonts w:ascii="Palatino Linotype" w:hAnsi="Palatino Linotype" w:cs="Arial"/>
          <w:b/>
        </w:rPr>
        <w:t>SUJETO OBLIGADO</w:t>
      </w:r>
      <w:r w:rsidRPr="00BD2D68">
        <w:rPr>
          <w:rFonts w:ascii="Palatino Linotype" w:hAnsi="Palatino Linotype" w:cs="Arial"/>
        </w:rPr>
        <w:t xml:space="preserve"> tenga que generar un documento ad hoc</w:t>
      </w:r>
      <w:r>
        <w:rPr>
          <w:rFonts w:ascii="Palatino Linotype" w:hAnsi="Palatino Linotype" w:cs="Arial"/>
        </w:rPr>
        <w:t xml:space="preserve"> (a modo)</w:t>
      </w:r>
      <w:r w:rsidRPr="00BD2D68">
        <w:rPr>
          <w:rFonts w:ascii="Palatino Linotype" w:hAnsi="Palatino Linotype" w:cs="Arial"/>
        </w:rPr>
        <w:t xml:space="preserve">, cuando la normatividad únicamente constriñe a la autoridad a hacer entrega de la información pública tal y como la genere y conste en sus archivos. 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EB7480" w:rsidRPr="001950C9" w14:paraId="2B315DB7" w14:textId="77777777" w:rsidTr="00B068D1">
        <w:trPr>
          <w:jc w:val="center"/>
        </w:trPr>
        <w:tc>
          <w:tcPr>
            <w:tcW w:w="4393" w:type="dxa"/>
          </w:tcPr>
          <w:p w14:paraId="33DFD783" w14:textId="77777777" w:rsidR="00167ECF" w:rsidRDefault="00167ECF" w:rsidP="00677ABE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70C1F044" w14:textId="77777777" w:rsidR="00F925EA" w:rsidRDefault="00F925EA" w:rsidP="00677ABE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5B2B58BD" w14:textId="77777777" w:rsidR="00F925EA" w:rsidRDefault="00F925EA" w:rsidP="00677ABE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28F82434" w14:textId="77777777" w:rsidR="00F925EA" w:rsidRDefault="00F925EA" w:rsidP="00677ABE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5F4F35C2" w14:textId="77777777" w:rsidR="00A6782E" w:rsidRDefault="00A6782E" w:rsidP="00677ABE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7CCE2F43" w14:textId="77777777" w:rsidR="00A6782E" w:rsidRDefault="00A6782E" w:rsidP="00677ABE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0CF80ABD" w14:textId="77777777" w:rsidR="00A6782E" w:rsidRDefault="00A6782E" w:rsidP="00677ABE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2AF1D8D4" w14:textId="77777777" w:rsidR="00A6782E" w:rsidRDefault="00A6782E" w:rsidP="00677ABE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3DC06E4B" w14:textId="2841F1CE" w:rsidR="00EB7480" w:rsidRPr="001950C9" w:rsidRDefault="00EB7480" w:rsidP="00F925EA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14:paraId="3BD13871" w14:textId="77777777" w:rsidR="00BC5D71" w:rsidRDefault="00EB7480" w:rsidP="00A6782E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14:paraId="2772608D" w14:textId="3949BD95" w:rsidR="009F433A" w:rsidRPr="001950C9" w:rsidRDefault="009F433A" w:rsidP="00A6782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14:paraId="4704ED41" w14:textId="77777777" w:rsidR="001950C9" w:rsidRDefault="001950C9" w:rsidP="00677ABE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1664E2F" w14:textId="77777777" w:rsidR="00414E7B" w:rsidRDefault="00414E7B" w:rsidP="00677ABE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7FCF4C4A" w14:textId="77777777" w:rsidR="001C27AD" w:rsidRDefault="001C27AD" w:rsidP="00F925E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B180B51" w14:textId="77777777" w:rsidR="00A6782E" w:rsidRDefault="00A6782E" w:rsidP="00F925E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0476F527" w14:textId="77777777" w:rsidR="00A6782E" w:rsidRDefault="00A6782E" w:rsidP="00F925E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F0C7E9B" w14:textId="1F83FF7A" w:rsidR="0030072F" w:rsidRPr="001950C9" w:rsidRDefault="0030072F" w:rsidP="00F925E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emitido en</w:t>
      </w:r>
      <w:r w:rsidR="00A6782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 de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l recurso de revisión 0</w:t>
      </w:r>
      <w:r w:rsidR="001F078D">
        <w:rPr>
          <w:rFonts w:ascii="Palatino Linotype" w:eastAsia="Calibri" w:hAnsi="Palatino Linotype" w:cs="Arial"/>
          <w:color w:val="000000" w:themeColor="text1"/>
          <w:sz w:val="20"/>
          <w:szCs w:val="20"/>
        </w:rPr>
        <w:t>5470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1F078D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 el</w:t>
      </w:r>
      <w:r w:rsidR="00D3460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1F078D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cuatro </w:t>
      </w:r>
      <w:r w:rsidR="00F925E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A6782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septiembre </w:t>
      </w:r>
      <w:r w:rsidR="001F078D">
        <w:rPr>
          <w:rFonts w:ascii="Palatino Linotype" w:eastAsia="Calibri" w:hAnsi="Palatino Linotype" w:cs="Arial"/>
          <w:color w:val="000000" w:themeColor="text1"/>
          <w:sz w:val="20"/>
          <w:szCs w:val="20"/>
        </w:rPr>
        <w:t>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14:paraId="02E7FA86" w14:textId="77777777" w:rsidR="00A6782E" w:rsidRPr="00A6782E" w:rsidRDefault="00A6782E" w:rsidP="00F925EA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73846EC1" w14:textId="25ECA7A4" w:rsidR="00EA1FA8" w:rsidRPr="00EB7480" w:rsidRDefault="0030072F" w:rsidP="00F925E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A6782E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</w:t>
      </w:r>
      <w:r w:rsidR="001F078D">
        <w:rPr>
          <w:rFonts w:ascii="Palatino Linotype" w:eastAsia="Calibri" w:hAnsi="Palatino Linotype" w:cs="Arial"/>
          <w:color w:val="000000" w:themeColor="text1"/>
          <w:sz w:val="20"/>
          <w:szCs w:val="20"/>
        </w:rPr>
        <w:t>LGMJ</w:t>
      </w:r>
    </w:p>
    <w:sectPr w:rsidR="00EA1FA8" w:rsidRPr="00EB7480" w:rsidSect="00773B49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27481" w14:textId="77777777" w:rsidR="001572B1" w:rsidRDefault="001572B1" w:rsidP="00C80F8C">
      <w:r>
        <w:separator/>
      </w:r>
    </w:p>
  </w:endnote>
  <w:endnote w:type="continuationSeparator" w:id="0">
    <w:p w14:paraId="68E6CC02" w14:textId="77777777" w:rsidR="001572B1" w:rsidRDefault="001572B1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F433A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F433A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6915E" w14:textId="77777777" w:rsidR="001572B1" w:rsidRDefault="001572B1" w:rsidP="00C80F8C">
      <w:r>
        <w:separator/>
      </w:r>
    </w:p>
  </w:footnote>
  <w:footnote w:type="continuationSeparator" w:id="0">
    <w:p w14:paraId="25F43C04" w14:textId="77777777" w:rsidR="001572B1" w:rsidRDefault="001572B1" w:rsidP="00C80F8C">
      <w:r>
        <w:continuationSeparator/>
      </w:r>
    </w:p>
  </w:footnote>
  <w:footnote w:id="1">
    <w:p w14:paraId="1A918BD5" w14:textId="77777777" w:rsidR="00E433D6" w:rsidRDefault="00E433D6" w:rsidP="00E433D6">
      <w:pPr>
        <w:autoSpaceDE w:val="0"/>
        <w:autoSpaceDN w:val="0"/>
        <w:adjustRightInd w:val="0"/>
        <w:jc w:val="both"/>
        <w:rPr>
          <w:rFonts w:ascii="Palatino Linotype" w:hAnsi="Palatino Linotype" w:cs="Arial"/>
          <w:i/>
          <w:sz w:val="16"/>
          <w:szCs w:val="16"/>
          <w:lang w:val="es-MX" w:eastAsia="es-MX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Palatino Linotype" w:hAnsi="Palatino Linotype" w:cs="Arial"/>
          <w:b/>
          <w:bCs/>
          <w:i/>
          <w:sz w:val="16"/>
          <w:szCs w:val="16"/>
          <w:lang w:eastAsia="es-MX"/>
        </w:rPr>
        <w:t xml:space="preserve">“Artículo 4. </w:t>
      </w:r>
      <w:r>
        <w:rPr>
          <w:rFonts w:ascii="Palatino Linotype" w:hAnsi="Palatino Linotype" w:cs="Arial"/>
          <w:i/>
          <w:sz w:val="16"/>
          <w:szCs w:val="16"/>
          <w:lang w:eastAsia="es-MX"/>
        </w:rPr>
        <w:t>Son sujetos de fiscalización:</w:t>
      </w:r>
    </w:p>
    <w:p w14:paraId="5CAE2559" w14:textId="77777777" w:rsidR="00E433D6" w:rsidRDefault="00E433D6" w:rsidP="00E433D6">
      <w:pPr>
        <w:autoSpaceDE w:val="0"/>
        <w:autoSpaceDN w:val="0"/>
        <w:adjustRightInd w:val="0"/>
        <w:jc w:val="both"/>
        <w:rPr>
          <w:rFonts w:ascii="Palatino Linotype" w:hAnsi="Palatino Linotype" w:cs="Arial"/>
          <w:i/>
          <w:sz w:val="16"/>
          <w:szCs w:val="16"/>
          <w:lang w:eastAsia="es-MX"/>
        </w:rPr>
      </w:pPr>
      <w:r>
        <w:rPr>
          <w:rFonts w:ascii="Palatino Linotype" w:hAnsi="Palatino Linotype" w:cs="Arial"/>
          <w:b/>
          <w:bCs/>
          <w:i/>
          <w:sz w:val="16"/>
          <w:szCs w:val="16"/>
          <w:lang w:eastAsia="es-MX"/>
        </w:rPr>
        <w:t>…</w:t>
      </w:r>
    </w:p>
    <w:p w14:paraId="1FDB9F4D" w14:textId="77777777" w:rsidR="00E433D6" w:rsidRDefault="00E433D6" w:rsidP="00E433D6">
      <w:pPr>
        <w:autoSpaceDE w:val="0"/>
        <w:autoSpaceDN w:val="0"/>
        <w:adjustRightInd w:val="0"/>
        <w:ind w:right="49"/>
        <w:jc w:val="both"/>
        <w:rPr>
          <w:rFonts w:ascii="Palatino Linotype" w:hAnsi="Palatino Linotype" w:cs="Arial"/>
          <w:i/>
          <w:sz w:val="16"/>
          <w:szCs w:val="16"/>
          <w:lang w:eastAsia="es-MX"/>
        </w:rPr>
      </w:pPr>
      <w:r>
        <w:rPr>
          <w:rFonts w:ascii="Palatino Linotype" w:hAnsi="Palatino Linotype" w:cs="Arial"/>
          <w:i/>
          <w:sz w:val="16"/>
          <w:szCs w:val="16"/>
          <w:lang w:eastAsia="es-MX"/>
        </w:rPr>
        <w:t>II. Los municipios del Estado de México;</w:t>
      </w:r>
    </w:p>
    <w:p w14:paraId="477B09E4" w14:textId="77777777" w:rsidR="00E433D6" w:rsidRDefault="00E433D6" w:rsidP="00E433D6">
      <w:pPr>
        <w:autoSpaceDE w:val="0"/>
        <w:autoSpaceDN w:val="0"/>
        <w:adjustRightInd w:val="0"/>
        <w:ind w:right="49"/>
        <w:jc w:val="both"/>
        <w:rPr>
          <w:rFonts w:ascii="Palatino Linotype" w:hAnsi="Palatino Linotype" w:cs="Arial"/>
          <w:i/>
          <w:color w:val="000000"/>
          <w:sz w:val="16"/>
          <w:szCs w:val="16"/>
        </w:rPr>
      </w:pPr>
      <w:r>
        <w:rPr>
          <w:rFonts w:ascii="Palatino Linotype" w:hAnsi="Palatino Linotype" w:cs="Arial"/>
          <w:i/>
          <w:sz w:val="16"/>
          <w:szCs w:val="16"/>
          <w:lang w:eastAsia="es-MX"/>
        </w:rPr>
        <w:t>…” (Sic)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9F433A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11A7B85F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3995A2" w14:textId="4EC491B7" w:rsidR="0030072F" w:rsidRDefault="00461A13" w:rsidP="00461A13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 xml:space="preserve">  </w:t>
    </w:r>
  </w:p>
  <w:p w14:paraId="2B80D1FB" w14:textId="3EA6F707" w:rsidR="002933C2" w:rsidRDefault="002933C2" w:rsidP="002933C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</w:p>
  <w:p w14:paraId="2984229D" w14:textId="265F91CC" w:rsidR="002933C2" w:rsidRDefault="002933C2" w:rsidP="002933C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080456D7" w14:textId="6A58CB48" w:rsidR="002933C2" w:rsidRDefault="009F433A" w:rsidP="002933C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55.4pt;height:93.5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2933C2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2933C2">
      <w:rPr>
        <w:rFonts w:ascii="Palatino Linotype" w:hAnsi="Palatino Linotype" w:cs="Arial"/>
        <w:sz w:val="20"/>
        <w:szCs w:val="20"/>
      </w:rPr>
      <w:t>05470/INFOEM/IP</w:t>
    </w:r>
    <w:r w:rsidR="002933C2" w:rsidRPr="00706042">
      <w:rPr>
        <w:rFonts w:ascii="Palatino Linotype" w:hAnsi="Palatino Linotype" w:cs="Arial"/>
        <w:sz w:val="20"/>
        <w:szCs w:val="20"/>
      </w:rPr>
      <w:t>/RR/201</w:t>
    </w:r>
    <w:r w:rsidR="002933C2">
      <w:rPr>
        <w:rFonts w:ascii="Palatino Linotype" w:hAnsi="Palatino Linotype" w:cs="Arial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9F433A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1374B"/>
    <w:multiLevelType w:val="hybridMultilevel"/>
    <w:tmpl w:val="FD34615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8563BC"/>
    <w:multiLevelType w:val="hybridMultilevel"/>
    <w:tmpl w:val="EF68F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DDB1C26"/>
    <w:multiLevelType w:val="hybridMultilevel"/>
    <w:tmpl w:val="3FC03296"/>
    <w:lvl w:ilvl="0" w:tplc="D45A32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322D8"/>
    <w:rsid w:val="000412FB"/>
    <w:rsid w:val="00055107"/>
    <w:rsid w:val="0006079D"/>
    <w:rsid w:val="0007653D"/>
    <w:rsid w:val="00082101"/>
    <w:rsid w:val="0008542A"/>
    <w:rsid w:val="0008745A"/>
    <w:rsid w:val="00087CC9"/>
    <w:rsid w:val="00092678"/>
    <w:rsid w:val="00095B30"/>
    <w:rsid w:val="000B058F"/>
    <w:rsid w:val="000B3FFD"/>
    <w:rsid w:val="000C1A85"/>
    <w:rsid w:val="000C2CF9"/>
    <w:rsid w:val="000C4453"/>
    <w:rsid w:val="000D136C"/>
    <w:rsid w:val="000D66DE"/>
    <w:rsid w:val="000E2B1A"/>
    <w:rsid w:val="000E4C17"/>
    <w:rsid w:val="00102EEC"/>
    <w:rsid w:val="0010583C"/>
    <w:rsid w:val="001059D0"/>
    <w:rsid w:val="00117749"/>
    <w:rsid w:val="00123644"/>
    <w:rsid w:val="0013735C"/>
    <w:rsid w:val="00140058"/>
    <w:rsid w:val="0014349E"/>
    <w:rsid w:val="001572B1"/>
    <w:rsid w:val="00167ECF"/>
    <w:rsid w:val="00175DEE"/>
    <w:rsid w:val="00187FFD"/>
    <w:rsid w:val="001950C9"/>
    <w:rsid w:val="0019763D"/>
    <w:rsid w:val="001A5699"/>
    <w:rsid w:val="001C27AD"/>
    <w:rsid w:val="001D3F57"/>
    <w:rsid w:val="001E757E"/>
    <w:rsid w:val="001E763C"/>
    <w:rsid w:val="001F078D"/>
    <w:rsid w:val="00231461"/>
    <w:rsid w:val="002314AA"/>
    <w:rsid w:val="0023504D"/>
    <w:rsid w:val="00237A37"/>
    <w:rsid w:val="0024119C"/>
    <w:rsid w:val="0025202C"/>
    <w:rsid w:val="0025299E"/>
    <w:rsid w:val="002562CC"/>
    <w:rsid w:val="00260589"/>
    <w:rsid w:val="00265F75"/>
    <w:rsid w:val="002933C2"/>
    <w:rsid w:val="002940F8"/>
    <w:rsid w:val="002B1345"/>
    <w:rsid w:val="002B7856"/>
    <w:rsid w:val="002D3BBD"/>
    <w:rsid w:val="002D4526"/>
    <w:rsid w:val="002D69E1"/>
    <w:rsid w:val="002E5711"/>
    <w:rsid w:val="002F5CF7"/>
    <w:rsid w:val="0030072F"/>
    <w:rsid w:val="003031E1"/>
    <w:rsid w:val="003056D9"/>
    <w:rsid w:val="003102FA"/>
    <w:rsid w:val="003169F5"/>
    <w:rsid w:val="0034309A"/>
    <w:rsid w:val="00351129"/>
    <w:rsid w:val="0037321B"/>
    <w:rsid w:val="003A0014"/>
    <w:rsid w:val="003A6F70"/>
    <w:rsid w:val="003B03E0"/>
    <w:rsid w:val="003C23BE"/>
    <w:rsid w:val="003C28FC"/>
    <w:rsid w:val="003C2D10"/>
    <w:rsid w:val="003C7226"/>
    <w:rsid w:val="003D1C14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315BB"/>
    <w:rsid w:val="00437356"/>
    <w:rsid w:val="0044271B"/>
    <w:rsid w:val="00443646"/>
    <w:rsid w:val="0044475B"/>
    <w:rsid w:val="00455CB3"/>
    <w:rsid w:val="00461A13"/>
    <w:rsid w:val="0046398B"/>
    <w:rsid w:val="004661D2"/>
    <w:rsid w:val="004776FF"/>
    <w:rsid w:val="004B7325"/>
    <w:rsid w:val="004C40EA"/>
    <w:rsid w:val="004C4B38"/>
    <w:rsid w:val="004C64D9"/>
    <w:rsid w:val="004D0A26"/>
    <w:rsid w:val="004E56FD"/>
    <w:rsid w:val="00500FFD"/>
    <w:rsid w:val="00516914"/>
    <w:rsid w:val="00520320"/>
    <w:rsid w:val="005236B6"/>
    <w:rsid w:val="005318AB"/>
    <w:rsid w:val="005321E3"/>
    <w:rsid w:val="00552317"/>
    <w:rsid w:val="00562649"/>
    <w:rsid w:val="00575235"/>
    <w:rsid w:val="0058067E"/>
    <w:rsid w:val="00581248"/>
    <w:rsid w:val="0058639E"/>
    <w:rsid w:val="005870DF"/>
    <w:rsid w:val="0058776D"/>
    <w:rsid w:val="00591971"/>
    <w:rsid w:val="00592A18"/>
    <w:rsid w:val="005B773B"/>
    <w:rsid w:val="005C66D4"/>
    <w:rsid w:val="005D14C4"/>
    <w:rsid w:val="005D1946"/>
    <w:rsid w:val="00612544"/>
    <w:rsid w:val="0061616C"/>
    <w:rsid w:val="006301B2"/>
    <w:rsid w:val="00630EDF"/>
    <w:rsid w:val="00634485"/>
    <w:rsid w:val="0063673D"/>
    <w:rsid w:val="00646A97"/>
    <w:rsid w:val="00663A16"/>
    <w:rsid w:val="00672211"/>
    <w:rsid w:val="00677ABE"/>
    <w:rsid w:val="006824EF"/>
    <w:rsid w:val="00684492"/>
    <w:rsid w:val="00694EB3"/>
    <w:rsid w:val="006967D4"/>
    <w:rsid w:val="006A496D"/>
    <w:rsid w:val="006C0991"/>
    <w:rsid w:val="006D6457"/>
    <w:rsid w:val="006D65D4"/>
    <w:rsid w:val="006E6389"/>
    <w:rsid w:val="006F30F8"/>
    <w:rsid w:val="00712BB4"/>
    <w:rsid w:val="00712BC2"/>
    <w:rsid w:val="0071346B"/>
    <w:rsid w:val="00721966"/>
    <w:rsid w:val="00724599"/>
    <w:rsid w:val="00736C06"/>
    <w:rsid w:val="007416E3"/>
    <w:rsid w:val="00742010"/>
    <w:rsid w:val="00744D22"/>
    <w:rsid w:val="00763029"/>
    <w:rsid w:val="00772360"/>
    <w:rsid w:val="00773B49"/>
    <w:rsid w:val="0078087A"/>
    <w:rsid w:val="007A4AB6"/>
    <w:rsid w:val="007B6E55"/>
    <w:rsid w:val="007C0FDA"/>
    <w:rsid w:val="007C3C0E"/>
    <w:rsid w:val="007D0FEE"/>
    <w:rsid w:val="008217CD"/>
    <w:rsid w:val="00827787"/>
    <w:rsid w:val="00846A21"/>
    <w:rsid w:val="00850268"/>
    <w:rsid w:val="008556C3"/>
    <w:rsid w:val="008562AB"/>
    <w:rsid w:val="00892AFC"/>
    <w:rsid w:val="008C0700"/>
    <w:rsid w:val="008C0C70"/>
    <w:rsid w:val="008C17F2"/>
    <w:rsid w:val="008D1526"/>
    <w:rsid w:val="008D584A"/>
    <w:rsid w:val="008E1FCA"/>
    <w:rsid w:val="009141A6"/>
    <w:rsid w:val="00926A92"/>
    <w:rsid w:val="0093343E"/>
    <w:rsid w:val="00953EC8"/>
    <w:rsid w:val="00966E59"/>
    <w:rsid w:val="00975AA3"/>
    <w:rsid w:val="00975EB9"/>
    <w:rsid w:val="00976BAB"/>
    <w:rsid w:val="009773AF"/>
    <w:rsid w:val="00986740"/>
    <w:rsid w:val="009A271C"/>
    <w:rsid w:val="009A67F5"/>
    <w:rsid w:val="009B65F4"/>
    <w:rsid w:val="009C2F32"/>
    <w:rsid w:val="009C46BF"/>
    <w:rsid w:val="009C73B7"/>
    <w:rsid w:val="009D63A9"/>
    <w:rsid w:val="009E40FB"/>
    <w:rsid w:val="009E5EDA"/>
    <w:rsid w:val="009F2E40"/>
    <w:rsid w:val="009F433A"/>
    <w:rsid w:val="00A032F1"/>
    <w:rsid w:val="00A04C79"/>
    <w:rsid w:val="00A14B1D"/>
    <w:rsid w:val="00A40057"/>
    <w:rsid w:val="00A4593D"/>
    <w:rsid w:val="00A53958"/>
    <w:rsid w:val="00A60D1E"/>
    <w:rsid w:val="00A6782E"/>
    <w:rsid w:val="00A73612"/>
    <w:rsid w:val="00A81140"/>
    <w:rsid w:val="00A824CA"/>
    <w:rsid w:val="00A913AB"/>
    <w:rsid w:val="00AB21DA"/>
    <w:rsid w:val="00AC248E"/>
    <w:rsid w:val="00AC3F99"/>
    <w:rsid w:val="00AC6B74"/>
    <w:rsid w:val="00AD0AF6"/>
    <w:rsid w:val="00AD13E4"/>
    <w:rsid w:val="00AD6AAD"/>
    <w:rsid w:val="00AE2B18"/>
    <w:rsid w:val="00AF0B38"/>
    <w:rsid w:val="00AF3F82"/>
    <w:rsid w:val="00B066F2"/>
    <w:rsid w:val="00B068D1"/>
    <w:rsid w:val="00B106EA"/>
    <w:rsid w:val="00B151A8"/>
    <w:rsid w:val="00B27BE5"/>
    <w:rsid w:val="00B337A5"/>
    <w:rsid w:val="00B3561F"/>
    <w:rsid w:val="00B35A45"/>
    <w:rsid w:val="00B36D1D"/>
    <w:rsid w:val="00B4641E"/>
    <w:rsid w:val="00B46E78"/>
    <w:rsid w:val="00B5072E"/>
    <w:rsid w:val="00B53290"/>
    <w:rsid w:val="00B57FE6"/>
    <w:rsid w:val="00B64C77"/>
    <w:rsid w:val="00B650A8"/>
    <w:rsid w:val="00B80485"/>
    <w:rsid w:val="00B85B04"/>
    <w:rsid w:val="00B95BF7"/>
    <w:rsid w:val="00BC5D71"/>
    <w:rsid w:val="00BD7483"/>
    <w:rsid w:val="00C1644D"/>
    <w:rsid w:val="00C30621"/>
    <w:rsid w:val="00C307F0"/>
    <w:rsid w:val="00C4493E"/>
    <w:rsid w:val="00C766EF"/>
    <w:rsid w:val="00C80F8C"/>
    <w:rsid w:val="00CA047D"/>
    <w:rsid w:val="00CB32B2"/>
    <w:rsid w:val="00CC5EAB"/>
    <w:rsid w:val="00CD13BC"/>
    <w:rsid w:val="00CF30E8"/>
    <w:rsid w:val="00D01B99"/>
    <w:rsid w:val="00D12B23"/>
    <w:rsid w:val="00D22D87"/>
    <w:rsid w:val="00D34604"/>
    <w:rsid w:val="00D46C00"/>
    <w:rsid w:val="00D557C2"/>
    <w:rsid w:val="00D64F32"/>
    <w:rsid w:val="00D93CE4"/>
    <w:rsid w:val="00DA5209"/>
    <w:rsid w:val="00DD6A6C"/>
    <w:rsid w:val="00DF733A"/>
    <w:rsid w:val="00E10A96"/>
    <w:rsid w:val="00E146AA"/>
    <w:rsid w:val="00E27F2A"/>
    <w:rsid w:val="00E313C4"/>
    <w:rsid w:val="00E42755"/>
    <w:rsid w:val="00E433D6"/>
    <w:rsid w:val="00E43B8E"/>
    <w:rsid w:val="00E45B76"/>
    <w:rsid w:val="00E46383"/>
    <w:rsid w:val="00E50E30"/>
    <w:rsid w:val="00E718A6"/>
    <w:rsid w:val="00E76ECF"/>
    <w:rsid w:val="00E8209A"/>
    <w:rsid w:val="00E91A10"/>
    <w:rsid w:val="00EA1FA8"/>
    <w:rsid w:val="00EA27CB"/>
    <w:rsid w:val="00EA5EEB"/>
    <w:rsid w:val="00EA7874"/>
    <w:rsid w:val="00EB7480"/>
    <w:rsid w:val="00EB7DE6"/>
    <w:rsid w:val="00EB7F1A"/>
    <w:rsid w:val="00EC0002"/>
    <w:rsid w:val="00ED5EE9"/>
    <w:rsid w:val="00F06505"/>
    <w:rsid w:val="00F36CDE"/>
    <w:rsid w:val="00F44E84"/>
    <w:rsid w:val="00F45F53"/>
    <w:rsid w:val="00F548A9"/>
    <w:rsid w:val="00F54D8B"/>
    <w:rsid w:val="00F57D55"/>
    <w:rsid w:val="00F925EA"/>
    <w:rsid w:val="00F92F15"/>
    <w:rsid w:val="00F9624E"/>
    <w:rsid w:val="00FA05FB"/>
    <w:rsid w:val="00FA6221"/>
    <w:rsid w:val="00FB48D6"/>
    <w:rsid w:val="00FE7408"/>
    <w:rsid w:val="00FF08CB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9C8181C2-48E6-4FA4-8C70-88783E6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  <w:style w:type="character" w:styleId="Refdenotaalpie">
    <w:name w:val="footnote reference"/>
    <w:aliases w:val="Ref. de nota al pie 2,Footnotes refss,Texto de nota al pie,Appel note de bas de page,referencia nota al pie,BVI fnr,Footnote number,4_G,16 Point,Superscript 6 Point,Texto nota al pie,Footnote Reference Char3,Ref,de nota al pie,註腳內容"/>
    <w:basedOn w:val="Fuentedeprrafopredeter"/>
    <w:uiPriority w:val="99"/>
    <w:semiHidden/>
    <w:unhideWhenUsed/>
    <w:rsid w:val="00E433D6"/>
    <w:rPr>
      <w:vertAlign w:val="superscript"/>
    </w:rPr>
  </w:style>
  <w:style w:type="character" w:customStyle="1" w:styleId="apple-style-span">
    <w:name w:val="apple-style-span"/>
    <w:rsid w:val="00E4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4B2AB-A3A7-48EA-8947-4F8A301D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1365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INFOEM usuario 2019</cp:lastModifiedBy>
  <cp:revision>5</cp:revision>
  <cp:lastPrinted>2019-09-06T17:29:00Z</cp:lastPrinted>
  <dcterms:created xsi:type="dcterms:W3CDTF">2019-09-06T17:33:00Z</dcterms:created>
  <dcterms:modified xsi:type="dcterms:W3CDTF">2019-10-14T16:24:00Z</dcterms:modified>
</cp:coreProperties>
</file>