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1662C" w14:textId="77777777" w:rsidR="00D40D31" w:rsidRDefault="00D40D31" w:rsidP="007706FD"/>
    <w:tbl>
      <w:tblPr>
        <w:tblStyle w:val="Tablaconcuadrcula"/>
        <w:tblpPr w:leftFromText="141" w:rightFromText="141" w:vertAnchor="page" w:horzAnchor="page" w:tblpX="4921" w:tblpY="556"/>
        <w:tblW w:w="6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35"/>
        <w:gridCol w:w="3216"/>
      </w:tblGrid>
      <w:tr w:rsidR="00264223" w:rsidRPr="00F208A6" w14:paraId="089235C6" w14:textId="77777777" w:rsidTr="00C91225">
        <w:trPr>
          <w:trHeight w:val="157"/>
        </w:trPr>
        <w:tc>
          <w:tcPr>
            <w:tcW w:w="3135" w:type="dxa"/>
          </w:tcPr>
          <w:p w14:paraId="58C4B3FF" w14:textId="77777777" w:rsidR="00264223" w:rsidRPr="00F208A6" w:rsidRDefault="00264223" w:rsidP="007706FD">
            <w:pPr>
              <w:tabs>
                <w:tab w:val="right" w:pos="8838"/>
              </w:tabs>
              <w:ind w:right="-105"/>
              <w:rPr>
                <w:rFonts w:ascii="Palatino Linotype" w:eastAsia="Calibri" w:hAnsi="Palatino Linotype" w:cs="Tahoma"/>
                <w:b/>
                <w:sz w:val="22"/>
                <w:szCs w:val="22"/>
                <w:lang w:val="es-MX" w:eastAsia="en-US"/>
              </w:rPr>
            </w:pPr>
            <w:r w:rsidRPr="00F208A6">
              <w:rPr>
                <w:rFonts w:ascii="Palatino Linotype" w:eastAsia="Calibri" w:hAnsi="Palatino Linotype" w:cs="Tahoma"/>
                <w:b/>
                <w:sz w:val="22"/>
                <w:szCs w:val="22"/>
                <w:lang w:val="es-MX" w:eastAsia="en-US"/>
              </w:rPr>
              <w:t>Recurso de Revisión:</w:t>
            </w:r>
          </w:p>
        </w:tc>
        <w:tc>
          <w:tcPr>
            <w:tcW w:w="3216" w:type="dxa"/>
          </w:tcPr>
          <w:p w14:paraId="0D3A1708" w14:textId="7D859EB0" w:rsidR="00264223" w:rsidRPr="00F208A6" w:rsidRDefault="00DB1CB2" w:rsidP="007706FD">
            <w:pPr>
              <w:tabs>
                <w:tab w:val="right" w:pos="8838"/>
              </w:tabs>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0</w:t>
            </w:r>
            <w:r w:rsidR="00C52E15" w:rsidRPr="00F208A6">
              <w:rPr>
                <w:rFonts w:ascii="Palatino Linotype" w:eastAsia="Calibri" w:hAnsi="Palatino Linotype" w:cs="Tahoma"/>
                <w:bCs/>
                <w:sz w:val="22"/>
                <w:szCs w:val="22"/>
                <w:lang w:eastAsia="en-US"/>
              </w:rPr>
              <w:t>6</w:t>
            </w:r>
            <w:r w:rsidR="00F31E71" w:rsidRPr="00F208A6">
              <w:rPr>
                <w:rFonts w:ascii="Palatino Linotype" w:eastAsia="Calibri" w:hAnsi="Palatino Linotype" w:cs="Tahoma"/>
                <w:bCs/>
                <w:sz w:val="22"/>
                <w:szCs w:val="22"/>
                <w:lang w:eastAsia="en-US"/>
              </w:rPr>
              <w:t>6</w:t>
            </w:r>
            <w:r w:rsidR="000C179F" w:rsidRPr="00F208A6">
              <w:rPr>
                <w:rFonts w:ascii="Palatino Linotype" w:eastAsia="Calibri" w:hAnsi="Palatino Linotype" w:cs="Tahoma"/>
                <w:bCs/>
                <w:sz w:val="22"/>
                <w:szCs w:val="22"/>
                <w:lang w:eastAsia="en-US"/>
              </w:rPr>
              <w:t>21</w:t>
            </w:r>
            <w:r w:rsidR="00F50401" w:rsidRPr="00F208A6">
              <w:rPr>
                <w:rFonts w:ascii="Palatino Linotype" w:eastAsia="Calibri" w:hAnsi="Palatino Linotype" w:cs="Tahoma"/>
                <w:bCs/>
                <w:sz w:val="22"/>
                <w:szCs w:val="22"/>
                <w:lang w:eastAsia="en-US"/>
              </w:rPr>
              <w:t>/INFOEM/IP/RR/201</w:t>
            </w:r>
            <w:r w:rsidR="00FE4D5E" w:rsidRPr="00F208A6">
              <w:rPr>
                <w:rFonts w:ascii="Palatino Linotype" w:eastAsia="Calibri" w:hAnsi="Palatino Linotype" w:cs="Tahoma"/>
                <w:bCs/>
                <w:sz w:val="22"/>
                <w:szCs w:val="22"/>
                <w:lang w:eastAsia="en-US"/>
              </w:rPr>
              <w:t>9</w:t>
            </w:r>
            <w:r w:rsidR="008B67C3" w:rsidRPr="00F208A6">
              <w:rPr>
                <w:rFonts w:ascii="Palatino Linotype" w:eastAsia="Calibri" w:hAnsi="Palatino Linotype" w:cs="Tahoma"/>
                <w:bCs/>
                <w:sz w:val="22"/>
                <w:szCs w:val="22"/>
                <w:lang w:eastAsia="en-US"/>
              </w:rPr>
              <w:t xml:space="preserve"> </w:t>
            </w:r>
          </w:p>
        </w:tc>
      </w:tr>
      <w:tr w:rsidR="00264223" w:rsidRPr="00F208A6" w14:paraId="40AE833C" w14:textId="77777777" w:rsidTr="00C91225">
        <w:trPr>
          <w:trHeight w:val="157"/>
        </w:trPr>
        <w:tc>
          <w:tcPr>
            <w:tcW w:w="3135" w:type="dxa"/>
          </w:tcPr>
          <w:p w14:paraId="6C259251" w14:textId="77777777" w:rsidR="00264223" w:rsidRPr="00F208A6" w:rsidRDefault="00264223" w:rsidP="007706FD">
            <w:pPr>
              <w:tabs>
                <w:tab w:val="right" w:pos="8838"/>
              </w:tabs>
              <w:ind w:right="-105"/>
              <w:rPr>
                <w:rFonts w:ascii="Palatino Linotype" w:eastAsia="Calibri" w:hAnsi="Palatino Linotype" w:cs="Tahoma"/>
                <w:b/>
                <w:sz w:val="22"/>
                <w:szCs w:val="22"/>
                <w:lang w:val="es-MX" w:eastAsia="en-US"/>
              </w:rPr>
            </w:pPr>
            <w:r w:rsidRPr="00F208A6">
              <w:rPr>
                <w:rFonts w:ascii="Palatino Linotype" w:eastAsia="Calibri" w:hAnsi="Palatino Linotype" w:cs="Tahoma"/>
                <w:b/>
                <w:sz w:val="22"/>
                <w:szCs w:val="22"/>
                <w:lang w:val="es-MX" w:eastAsia="en-US"/>
              </w:rPr>
              <w:t>Recurrente:</w:t>
            </w:r>
          </w:p>
        </w:tc>
        <w:tc>
          <w:tcPr>
            <w:tcW w:w="3216" w:type="dxa"/>
          </w:tcPr>
          <w:p w14:paraId="786B1FC3" w14:textId="0194F290" w:rsidR="00264223" w:rsidRPr="00F208A6" w:rsidRDefault="00F31E71" w:rsidP="007706FD">
            <w:pPr>
              <w:tabs>
                <w:tab w:val="right" w:pos="8838"/>
              </w:tabs>
              <w:jc w:val="both"/>
              <w:rPr>
                <w:rFonts w:ascii="Palatino Linotype" w:eastAsia="Calibri" w:hAnsi="Palatino Linotype" w:cs="Tahoma"/>
                <w:sz w:val="22"/>
                <w:szCs w:val="22"/>
                <w:lang w:val="es-MX" w:eastAsia="en-US"/>
              </w:rPr>
            </w:pPr>
            <w:r w:rsidRPr="00F208A6">
              <w:rPr>
                <w:rFonts w:ascii="Palatino Linotype" w:eastAsia="Calibri" w:hAnsi="Palatino Linotype" w:cs="Tahoma"/>
                <w:sz w:val="22"/>
                <w:szCs w:val="22"/>
                <w:lang w:val="es-MX" w:eastAsia="en-US"/>
              </w:rPr>
              <w:t xml:space="preserve"> </w:t>
            </w:r>
            <w:r w:rsidR="009A15E0" w:rsidRPr="00F208A6">
              <w:rPr>
                <w:rFonts w:ascii="Palatino Linotype" w:eastAsia="Calibri" w:hAnsi="Palatino Linotype" w:cs="Tahoma"/>
                <w:sz w:val="22"/>
                <w:szCs w:val="22"/>
                <w:lang w:val="es-MX" w:eastAsia="en-US"/>
              </w:rPr>
              <w:t xml:space="preserve"> </w:t>
            </w:r>
          </w:p>
        </w:tc>
      </w:tr>
      <w:tr w:rsidR="00264223" w:rsidRPr="00F208A6" w14:paraId="5673BD2C" w14:textId="77777777" w:rsidTr="00C91225">
        <w:trPr>
          <w:trHeight w:val="309"/>
        </w:trPr>
        <w:tc>
          <w:tcPr>
            <w:tcW w:w="3135" w:type="dxa"/>
          </w:tcPr>
          <w:p w14:paraId="01ED7755" w14:textId="77777777" w:rsidR="00264223" w:rsidRPr="00F208A6" w:rsidRDefault="001A1AAB" w:rsidP="007706FD">
            <w:pPr>
              <w:tabs>
                <w:tab w:val="right" w:pos="8838"/>
              </w:tabs>
              <w:ind w:right="-105"/>
              <w:rPr>
                <w:rFonts w:ascii="Palatino Linotype" w:eastAsia="Calibri" w:hAnsi="Palatino Linotype" w:cs="Tahoma"/>
                <w:b/>
                <w:sz w:val="22"/>
                <w:szCs w:val="22"/>
                <w:lang w:val="es-MX" w:eastAsia="en-US"/>
              </w:rPr>
            </w:pPr>
            <w:r w:rsidRPr="00F208A6">
              <w:rPr>
                <w:rFonts w:ascii="Palatino Linotype" w:eastAsia="Calibri" w:hAnsi="Palatino Linotype" w:cs="Tahoma"/>
                <w:b/>
                <w:sz w:val="22"/>
                <w:szCs w:val="22"/>
                <w:lang w:val="es-MX" w:eastAsia="en-US"/>
              </w:rPr>
              <w:t>Sujeto Obligado</w:t>
            </w:r>
            <w:r w:rsidR="00264223" w:rsidRPr="00F208A6">
              <w:rPr>
                <w:rFonts w:ascii="Palatino Linotype" w:eastAsia="Calibri" w:hAnsi="Palatino Linotype" w:cs="Tahoma"/>
                <w:b/>
                <w:sz w:val="22"/>
                <w:szCs w:val="22"/>
                <w:lang w:val="es-MX" w:eastAsia="en-US"/>
              </w:rPr>
              <w:t>:</w:t>
            </w:r>
          </w:p>
        </w:tc>
        <w:tc>
          <w:tcPr>
            <w:tcW w:w="3216" w:type="dxa"/>
          </w:tcPr>
          <w:p w14:paraId="0E07A5E3" w14:textId="101E9DB5" w:rsidR="00264223" w:rsidRPr="00F208A6" w:rsidRDefault="00C52E15" w:rsidP="007706FD">
            <w:pPr>
              <w:tabs>
                <w:tab w:val="left" w:pos="2834"/>
                <w:tab w:val="right" w:pos="8838"/>
              </w:tabs>
              <w:jc w:val="both"/>
              <w:rPr>
                <w:rFonts w:ascii="Palatino Linotype" w:eastAsia="Calibri" w:hAnsi="Palatino Linotype" w:cs="Tahoma"/>
                <w:sz w:val="22"/>
                <w:szCs w:val="22"/>
                <w:lang w:val="es-MX" w:eastAsia="en-US"/>
              </w:rPr>
            </w:pPr>
            <w:r w:rsidRPr="00F208A6">
              <w:rPr>
                <w:rFonts w:ascii="Palatino Linotype" w:hAnsi="Palatino Linotype"/>
                <w:bCs/>
                <w:color w:val="000000"/>
                <w:sz w:val="22"/>
                <w:szCs w:val="14"/>
              </w:rPr>
              <w:t xml:space="preserve">Ayuntamiento de </w:t>
            </w:r>
            <w:r w:rsidR="000C179F" w:rsidRPr="00F208A6">
              <w:rPr>
                <w:rFonts w:ascii="Palatino Linotype" w:hAnsi="Palatino Linotype"/>
                <w:bCs/>
                <w:color w:val="000000"/>
                <w:sz w:val="22"/>
                <w:szCs w:val="14"/>
              </w:rPr>
              <w:t>Tecámac</w:t>
            </w:r>
            <w:r w:rsidR="009A15E0" w:rsidRPr="00F208A6">
              <w:rPr>
                <w:rFonts w:ascii="Palatino Linotype" w:hAnsi="Palatino Linotype"/>
                <w:bCs/>
                <w:color w:val="000000"/>
                <w:sz w:val="22"/>
                <w:szCs w:val="14"/>
              </w:rPr>
              <w:t xml:space="preserve"> </w:t>
            </w:r>
          </w:p>
        </w:tc>
      </w:tr>
      <w:tr w:rsidR="00264223" w:rsidRPr="00F208A6" w14:paraId="25FC637D" w14:textId="77777777" w:rsidTr="00C91225">
        <w:trPr>
          <w:trHeight w:val="309"/>
        </w:trPr>
        <w:tc>
          <w:tcPr>
            <w:tcW w:w="3135" w:type="dxa"/>
          </w:tcPr>
          <w:p w14:paraId="312D2B4F" w14:textId="77777777" w:rsidR="00264223" w:rsidRPr="00F208A6" w:rsidRDefault="00264223" w:rsidP="007706FD">
            <w:pPr>
              <w:tabs>
                <w:tab w:val="right" w:pos="8838"/>
              </w:tabs>
              <w:ind w:right="-105"/>
              <w:rPr>
                <w:rFonts w:ascii="Palatino Linotype" w:eastAsia="Calibri" w:hAnsi="Palatino Linotype" w:cs="Tahoma"/>
                <w:b/>
                <w:sz w:val="22"/>
                <w:szCs w:val="22"/>
                <w:lang w:val="es-MX" w:eastAsia="en-US"/>
              </w:rPr>
            </w:pPr>
            <w:r w:rsidRPr="00F208A6">
              <w:rPr>
                <w:rFonts w:ascii="Palatino Linotype" w:eastAsia="Calibri" w:hAnsi="Palatino Linotype" w:cs="Tahoma"/>
                <w:b/>
                <w:sz w:val="22"/>
                <w:szCs w:val="22"/>
                <w:lang w:val="es-MX" w:eastAsia="en-US"/>
              </w:rPr>
              <w:t>Comisionado Ponente:</w:t>
            </w:r>
          </w:p>
        </w:tc>
        <w:tc>
          <w:tcPr>
            <w:tcW w:w="3216" w:type="dxa"/>
          </w:tcPr>
          <w:p w14:paraId="2CE345E0" w14:textId="77777777" w:rsidR="00264223" w:rsidRPr="00F208A6" w:rsidRDefault="00264223" w:rsidP="007706FD">
            <w:pPr>
              <w:tabs>
                <w:tab w:val="right" w:pos="8838"/>
              </w:tabs>
              <w:jc w:val="both"/>
              <w:rPr>
                <w:rFonts w:ascii="Palatino Linotype" w:eastAsia="Calibri" w:hAnsi="Palatino Linotype" w:cs="Tahoma"/>
                <w:b/>
                <w:sz w:val="22"/>
                <w:szCs w:val="22"/>
                <w:lang w:val="es-MX" w:eastAsia="en-US"/>
              </w:rPr>
            </w:pPr>
            <w:r w:rsidRPr="00F208A6">
              <w:rPr>
                <w:rFonts w:ascii="Palatino Linotype" w:eastAsia="Calibri" w:hAnsi="Palatino Linotype" w:cs="Tahoma"/>
                <w:sz w:val="22"/>
                <w:szCs w:val="22"/>
                <w:lang w:val="es-MX" w:eastAsia="en-US"/>
              </w:rPr>
              <w:t>Luis Gustavo Parra Noriega</w:t>
            </w:r>
          </w:p>
        </w:tc>
      </w:tr>
    </w:tbl>
    <w:p w14:paraId="2A0B2F24" w14:textId="74367F08" w:rsidR="0074285B" w:rsidRPr="00F208A6" w:rsidRDefault="00D22B6A" w:rsidP="007706FD">
      <w:pPr>
        <w:spacing w:line="360" w:lineRule="auto"/>
        <w:ind w:right="-1162"/>
        <w:jc w:val="both"/>
        <w:rPr>
          <w:rFonts w:ascii="Palatino Linotype" w:hAnsi="Palatino Linotype" w:cs="Tahoma"/>
          <w:bCs/>
          <w:sz w:val="22"/>
          <w:szCs w:val="22"/>
        </w:rPr>
      </w:pPr>
      <w:r w:rsidRPr="00F208A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A60EEE" w:rsidRPr="00F208A6">
        <w:rPr>
          <w:rFonts w:ascii="Palatino Linotype" w:hAnsi="Palatino Linotype" w:cs="Tahoma"/>
          <w:bCs/>
          <w:sz w:val="22"/>
          <w:szCs w:val="22"/>
        </w:rPr>
        <w:t>dieciséis</w:t>
      </w:r>
      <w:r w:rsidR="00F31E71" w:rsidRPr="00F208A6">
        <w:rPr>
          <w:rFonts w:ascii="Palatino Linotype" w:hAnsi="Palatino Linotype" w:cs="Tahoma"/>
          <w:bCs/>
          <w:sz w:val="22"/>
          <w:szCs w:val="22"/>
        </w:rPr>
        <w:t xml:space="preserve"> </w:t>
      </w:r>
      <w:r w:rsidR="00F34534" w:rsidRPr="00F208A6">
        <w:rPr>
          <w:rFonts w:ascii="Palatino Linotype" w:hAnsi="Palatino Linotype" w:cs="Tahoma"/>
          <w:bCs/>
          <w:sz w:val="22"/>
          <w:szCs w:val="22"/>
        </w:rPr>
        <w:t>de octubre</w:t>
      </w:r>
      <w:r w:rsidR="008E09AB" w:rsidRPr="00F208A6">
        <w:rPr>
          <w:rFonts w:ascii="Palatino Linotype" w:hAnsi="Palatino Linotype" w:cs="Tahoma"/>
          <w:bCs/>
          <w:sz w:val="22"/>
          <w:szCs w:val="22"/>
        </w:rPr>
        <w:t xml:space="preserve"> de dos mil diecinueve</w:t>
      </w:r>
      <w:r w:rsidRPr="00F208A6">
        <w:rPr>
          <w:rFonts w:ascii="Palatino Linotype" w:hAnsi="Palatino Linotype" w:cs="Tahoma"/>
          <w:bCs/>
          <w:sz w:val="22"/>
          <w:szCs w:val="22"/>
        </w:rPr>
        <w:t>.</w:t>
      </w:r>
    </w:p>
    <w:p w14:paraId="0A1C3DC4" w14:textId="77777777" w:rsidR="00492DCA" w:rsidRPr="00F208A6" w:rsidRDefault="00492DCA" w:rsidP="007706FD">
      <w:pPr>
        <w:spacing w:line="360" w:lineRule="auto"/>
        <w:ind w:right="-1162"/>
        <w:jc w:val="both"/>
        <w:rPr>
          <w:rFonts w:ascii="Palatino Linotype" w:hAnsi="Palatino Linotype"/>
          <w:noProof/>
          <w:sz w:val="22"/>
          <w:szCs w:val="22"/>
          <w:lang w:val="es-ES"/>
        </w:rPr>
      </w:pPr>
    </w:p>
    <w:p w14:paraId="787A38D4" w14:textId="5D3F986E" w:rsidR="00806E45" w:rsidRPr="00F208A6" w:rsidRDefault="00D9652C" w:rsidP="007706FD">
      <w:pPr>
        <w:spacing w:line="360" w:lineRule="auto"/>
        <w:ind w:right="-1162"/>
        <w:jc w:val="both"/>
        <w:rPr>
          <w:rFonts w:ascii="Palatino Linotype" w:eastAsia="Calibri" w:hAnsi="Palatino Linotype" w:cs="Tahoma"/>
          <w:bCs/>
          <w:sz w:val="22"/>
          <w:szCs w:val="22"/>
          <w:lang w:val="es-ES" w:eastAsia="en-US"/>
        </w:rPr>
      </w:pPr>
      <w:r w:rsidRPr="00F208A6">
        <w:rPr>
          <w:rFonts w:ascii="Palatino Linotype" w:eastAsia="Calibri" w:hAnsi="Palatino Linotype" w:cs="Tahoma"/>
          <w:b/>
          <w:bCs/>
          <w:sz w:val="22"/>
          <w:szCs w:val="22"/>
          <w:lang w:val="es-ES" w:eastAsia="en-US"/>
        </w:rPr>
        <w:t>VISTO</w:t>
      </w:r>
      <w:r w:rsidR="00806E45" w:rsidRPr="00F208A6">
        <w:rPr>
          <w:rFonts w:ascii="Palatino Linotype" w:eastAsia="Calibri" w:hAnsi="Palatino Linotype" w:cs="Tahoma"/>
          <w:bCs/>
          <w:sz w:val="22"/>
          <w:szCs w:val="22"/>
          <w:lang w:val="es-ES" w:eastAsia="en-US"/>
        </w:rPr>
        <w:t xml:space="preserve"> </w:t>
      </w:r>
      <w:r w:rsidR="00C52E15" w:rsidRPr="00F208A6">
        <w:rPr>
          <w:rFonts w:ascii="Palatino Linotype" w:eastAsia="Calibri" w:hAnsi="Palatino Linotype" w:cs="Tahoma"/>
          <w:bCs/>
          <w:sz w:val="22"/>
          <w:szCs w:val="22"/>
          <w:lang w:val="es-ES" w:eastAsia="en-US"/>
        </w:rPr>
        <w:t>el</w:t>
      </w:r>
      <w:r w:rsidR="00806E45" w:rsidRPr="00F208A6">
        <w:rPr>
          <w:rFonts w:ascii="Palatino Linotype" w:eastAsia="Calibri" w:hAnsi="Palatino Linotype" w:cs="Tahoma"/>
          <w:bCs/>
          <w:sz w:val="22"/>
          <w:szCs w:val="22"/>
          <w:lang w:val="es-ES" w:eastAsia="en-US"/>
        </w:rPr>
        <w:t xml:space="preserve"> expediente conformado con motivo </w:t>
      </w:r>
      <w:r w:rsidR="00C52E15" w:rsidRPr="00F208A6">
        <w:rPr>
          <w:rFonts w:ascii="Palatino Linotype" w:eastAsia="Calibri" w:hAnsi="Palatino Linotype" w:cs="Tahoma"/>
          <w:bCs/>
          <w:sz w:val="22"/>
          <w:szCs w:val="22"/>
          <w:lang w:val="es-ES" w:eastAsia="en-US"/>
        </w:rPr>
        <w:t xml:space="preserve">del </w:t>
      </w:r>
      <w:r w:rsidR="00806E45" w:rsidRPr="00F208A6">
        <w:rPr>
          <w:rFonts w:ascii="Palatino Linotype" w:eastAsia="Calibri" w:hAnsi="Palatino Linotype" w:cs="Tahoma"/>
          <w:bCs/>
          <w:sz w:val="22"/>
          <w:szCs w:val="22"/>
          <w:lang w:val="es-ES" w:eastAsia="en-US"/>
        </w:rPr>
        <w:t xml:space="preserve"> Recurso de Revisión </w:t>
      </w:r>
      <w:r w:rsidR="00DB1CB2" w:rsidRPr="00F208A6">
        <w:rPr>
          <w:rFonts w:ascii="Palatino Linotype" w:eastAsia="Calibri" w:hAnsi="Palatino Linotype" w:cs="Tahoma"/>
          <w:b/>
          <w:bCs/>
          <w:sz w:val="22"/>
          <w:szCs w:val="22"/>
          <w:lang w:val="es-ES" w:eastAsia="en-US"/>
        </w:rPr>
        <w:t>0</w:t>
      </w:r>
      <w:r w:rsidR="00F34534" w:rsidRPr="00F208A6">
        <w:rPr>
          <w:rFonts w:ascii="Palatino Linotype" w:eastAsia="Calibri" w:hAnsi="Palatino Linotype" w:cs="Tahoma"/>
          <w:b/>
          <w:bCs/>
          <w:sz w:val="22"/>
          <w:szCs w:val="22"/>
          <w:lang w:val="es-ES" w:eastAsia="en-US"/>
        </w:rPr>
        <w:t>6</w:t>
      </w:r>
      <w:r w:rsidR="00F31E71" w:rsidRPr="00F208A6">
        <w:rPr>
          <w:rFonts w:ascii="Palatino Linotype" w:eastAsia="Calibri" w:hAnsi="Palatino Linotype" w:cs="Tahoma"/>
          <w:b/>
          <w:bCs/>
          <w:sz w:val="22"/>
          <w:szCs w:val="22"/>
          <w:lang w:val="es-ES" w:eastAsia="en-US"/>
        </w:rPr>
        <w:t>6</w:t>
      </w:r>
      <w:r w:rsidR="000C179F" w:rsidRPr="00F208A6">
        <w:rPr>
          <w:rFonts w:ascii="Palatino Linotype" w:eastAsia="Calibri" w:hAnsi="Palatino Linotype" w:cs="Tahoma"/>
          <w:b/>
          <w:bCs/>
          <w:sz w:val="22"/>
          <w:szCs w:val="22"/>
          <w:lang w:val="es-ES" w:eastAsia="en-US"/>
        </w:rPr>
        <w:t>21</w:t>
      </w:r>
      <w:r w:rsidR="00F50401" w:rsidRPr="00F208A6">
        <w:rPr>
          <w:rFonts w:ascii="Palatino Linotype" w:eastAsia="Calibri" w:hAnsi="Palatino Linotype" w:cs="Tahoma"/>
          <w:b/>
          <w:bCs/>
          <w:sz w:val="22"/>
          <w:szCs w:val="22"/>
          <w:lang w:val="es-ES" w:eastAsia="en-US"/>
        </w:rPr>
        <w:t>/INFOEM/IP/RR/201</w:t>
      </w:r>
      <w:r w:rsidR="00AD79FC" w:rsidRPr="00F208A6">
        <w:rPr>
          <w:rFonts w:ascii="Palatino Linotype" w:eastAsia="Calibri" w:hAnsi="Palatino Linotype" w:cs="Tahoma"/>
          <w:b/>
          <w:bCs/>
          <w:sz w:val="22"/>
          <w:szCs w:val="22"/>
          <w:lang w:val="es-ES" w:eastAsia="en-US"/>
        </w:rPr>
        <w:t>9</w:t>
      </w:r>
      <w:r w:rsidR="00806E45" w:rsidRPr="00F208A6">
        <w:rPr>
          <w:rFonts w:ascii="Palatino Linotype" w:eastAsia="Calibri" w:hAnsi="Palatino Linotype" w:cs="Tahoma"/>
          <w:bCs/>
          <w:sz w:val="22"/>
          <w:szCs w:val="22"/>
          <w:lang w:val="es-ES" w:eastAsia="en-US"/>
        </w:rPr>
        <w:t xml:space="preserve">, interpuesto </w:t>
      </w:r>
      <w:r w:rsidR="00F34534" w:rsidRPr="00F208A6">
        <w:rPr>
          <w:rFonts w:ascii="Palatino Linotype" w:eastAsia="Calibri" w:hAnsi="Palatino Linotype" w:cs="Tahoma"/>
          <w:bCs/>
          <w:sz w:val="22"/>
          <w:szCs w:val="22"/>
          <w:lang w:val="es-ES" w:eastAsia="en-US"/>
        </w:rPr>
        <w:t>por el</w:t>
      </w:r>
      <w:r w:rsidRPr="00F208A6">
        <w:rPr>
          <w:rFonts w:ascii="Palatino Linotype" w:eastAsia="Calibri" w:hAnsi="Palatino Linotype" w:cs="Tahoma"/>
          <w:bCs/>
          <w:sz w:val="22"/>
          <w:szCs w:val="22"/>
          <w:lang w:val="es-ES" w:eastAsia="en-US"/>
        </w:rPr>
        <w:t xml:space="preserve"> </w:t>
      </w:r>
      <w:r w:rsidR="008A2809" w:rsidRPr="00F208A6">
        <w:rPr>
          <w:rFonts w:ascii="Palatino Linotype" w:eastAsia="Calibri" w:hAnsi="Palatino Linotype" w:cs="Tahoma"/>
          <w:b/>
          <w:bCs/>
          <w:sz w:val="22"/>
          <w:szCs w:val="22"/>
          <w:lang w:val="es-ES" w:eastAsia="en-US"/>
        </w:rPr>
        <w:t>Recurrente</w:t>
      </w:r>
      <w:r w:rsidR="00AD79FC" w:rsidRPr="00F208A6">
        <w:rPr>
          <w:rFonts w:ascii="Palatino Linotype" w:eastAsia="Calibri" w:hAnsi="Palatino Linotype" w:cs="Tahoma"/>
          <w:bCs/>
          <w:sz w:val="22"/>
          <w:szCs w:val="22"/>
          <w:lang w:val="es-ES" w:eastAsia="en-US"/>
        </w:rPr>
        <w:t xml:space="preserve"> o </w:t>
      </w:r>
      <w:r w:rsidR="008A2809" w:rsidRPr="00F208A6">
        <w:rPr>
          <w:rFonts w:ascii="Palatino Linotype" w:eastAsia="Calibri" w:hAnsi="Palatino Linotype" w:cs="Tahoma"/>
          <w:b/>
          <w:bCs/>
          <w:sz w:val="22"/>
          <w:szCs w:val="22"/>
          <w:lang w:val="es-ES" w:eastAsia="en-US"/>
        </w:rPr>
        <w:t>Particular</w:t>
      </w:r>
      <w:r w:rsidRPr="00F208A6">
        <w:rPr>
          <w:rFonts w:ascii="Palatino Linotype" w:eastAsia="Calibri" w:hAnsi="Palatino Linotype" w:cs="Tahoma"/>
          <w:bCs/>
          <w:sz w:val="22"/>
          <w:szCs w:val="22"/>
          <w:lang w:val="es-ES" w:eastAsia="en-US"/>
        </w:rPr>
        <w:t xml:space="preserve">, </w:t>
      </w:r>
      <w:r w:rsidR="00806E45" w:rsidRPr="00F208A6">
        <w:rPr>
          <w:rFonts w:ascii="Palatino Linotype" w:eastAsia="Calibri" w:hAnsi="Palatino Linotype" w:cs="Tahoma"/>
          <w:bCs/>
          <w:sz w:val="22"/>
          <w:szCs w:val="22"/>
          <w:lang w:val="es-ES" w:eastAsia="en-US"/>
        </w:rPr>
        <w:t>en contra de la</w:t>
      </w:r>
      <w:r w:rsidR="00B0065C" w:rsidRPr="00F208A6">
        <w:rPr>
          <w:rFonts w:ascii="Palatino Linotype" w:eastAsia="Calibri" w:hAnsi="Palatino Linotype" w:cs="Tahoma"/>
          <w:bCs/>
          <w:sz w:val="22"/>
          <w:szCs w:val="22"/>
          <w:lang w:val="es-ES" w:eastAsia="en-US"/>
        </w:rPr>
        <w:t xml:space="preserve"> </w:t>
      </w:r>
      <w:r w:rsidR="00806E45" w:rsidRPr="00F208A6">
        <w:rPr>
          <w:rFonts w:ascii="Palatino Linotype" w:eastAsia="Calibri" w:hAnsi="Palatino Linotype" w:cs="Tahoma"/>
          <w:bCs/>
          <w:sz w:val="22"/>
          <w:szCs w:val="22"/>
          <w:lang w:val="es-ES" w:eastAsia="en-US"/>
        </w:rPr>
        <w:t xml:space="preserve">respuesta </w:t>
      </w:r>
      <w:r w:rsidR="00B0065C" w:rsidRPr="00F208A6">
        <w:rPr>
          <w:rFonts w:ascii="Palatino Linotype" w:eastAsia="Calibri" w:hAnsi="Palatino Linotype" w:cs="Tahoma"/>
          <w:bCs/>
          <w:sz w:val="22"/>
          <w:szCs w:val="22"/>
          <w:lang w:val="es-ES" w:eastAsia="en-US"/>
        </w:rPr>
        <w:t>d</w:t>
      </w:r>
      <w:r w:rsidR="00F755E1" w:rsidRPr="00F208A6">
        <w:rPr>
          <w:rFonts w:ascii="Palatino Linotype" w:eastAsia="Calibri" w:hAnsi="Palatino Linotype" w:cs="Tahoma"/>
          <w:bCs/>
          <w:sz w:val="22"/>
          <w:szCs w:val="22"/>
          <w:lang w:val="es-ES" w:eastAsia="en-US"/>
        </w:rPr>
        <w:t xml:space="preserve">el </w:t>
      </w:r>
      <w:r w:rsidR="008A2809" w:rsidRPr="00F208A6">
        <w:rPr>
          <w:rFonts w:ascii="Palatino Linotype" w:eastAsia="Calibri" w:hAnsi="Palatino Linotype" w:cs="Tahoma"/>
          <w:b/>
          <w:bCs/>
          <w:sz w:val="22"/>
          <w:szCs w:val="22"/>
          <w:lang w:val="es-ES" w:eastAsia="en-US"/>
        </w:rPr>
        <w:t xml:space="preserve">Sujeto Obligado </w:t>
      </w:r>
      <w:r w:rsidR="00C52E15" w:rsidRPr="00F208A6">
        <w:rPr>
          <w:rFonts w:ascii="Palatino Linotype" w:hAnsi="Palatino Linotype"/>
          <w:bCs/>
          <w:color w:val="000000"/>
          <w:sz w:val="22"/>
          <w:szCs w:val="14"/>
        </w:rPr>
        <w:t xml:space="preserve">Ayuntamiento de </w:t>
      </w:r>
      <w:r w:rsidR="000C179F" w:rsidRPr="00F208A6">
        <w:rPr>
          <w:rFonts w:ascii="Palatino Linotype" w:hAnsi="Palatino Linotype"/>
          <w:bCs/>
          <w:color w:val="000000"/>
          <w:sz w:val="22"/>
          <w:szCs w:val="14"/>
        </w:rPr>
        <w:t>Tecámac</w:t>
      </w:r>
      <w:r w:rsidR="00806E45" w:rsidRPr="00F208A6">
        <w:rPr>
          <w:rFonts w:ascii="Palatino Linotype" w:eastAsia="Calibri" w:hAnsi="Palatino Linotype" w:cs="Tahoma"/>
          <w:bCs/>
          <w:sz w:val="22"/>
          <w:szCs w:val="22"/>
          <w:lang w:val="es-ES" w:eastAsia="en-US"/>
        </w:rPr>
        <w:t>, se emite la presente Resolución, con base en lo</w:t>
      </w:r>
      <w:r w:rsidR="008B0418" w:rsidRPr="00F208A6">
        <w:rPr>
          <w:rFonts w:ascii="Palatino Linotype" w:eastAsia="Calibri" w:hAnsi="Palatino Linotype" w:cs="Tahoma"/>
          <w:bCs/>
          <w:sz w:val="22"/>
          <w:szCs w:val="22"/>
          <w:lang w:val="es-ES" w:eastAsia="en-US"/>
        </w:rPr>
        <w:t xml:space="preserve">s </w:t>
      </w:r>
      <w:r w:rsidR="008E09AB" w:rsidRPr="00F208A6">
        <w:rPr>
          <w:rFonts w:ascii="Palatino Linotype" w:eastAsia="Calibri" w:hAnsi="Palatino Linotype" w:cs="Tahoma"/>
          <w:bCs/>
          <w:sz w:val="22"/>
          <w:szCs w:val="22"/>
          <w:lang w:val="es-ES" w:eastAsia="en-US"/>
        </w:rPr>
        <w:t>siguientes</w:t>
      </w:r>
      <w:r w:rsidR="00806E45" w:rsidRPr="00F208A6">
        <w:rPr>
          <w:rFonts w:ascii="Palatino Linotype" w:eastAsia="Calibri" w:hAnsi="Palatino Linotype" w:cs="Tahoma"/>
          <w:bCs/>
          <w:sz w:val="22"/>
          <w:szCs w:val="22"/>
          <w:lang w:val="es-ES" w:eastAsia="en-US"/>
        </w:rPr>
        <w:t>:</w:t>
      </w:r>
    </w:p>
    <w:p w14:paraId="03E318CD" w14:textId="77777777" w:rsidR="00806E45" w:rsidRPr="00F208A6" w:rsidRDefault="00806E45" w:rsidP="007706FD">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F208A6" w:rsidRDefault="00C614A6" w:rsidP="007706FD">
      <w:pPr>
        <w:spacing w:line="360" w:lineRule="auto"/>
        <w:ind w:right="-93"/>
        <w:jc w:val="center"/>
        <w:rPr>
          <w:rFonts w:ascii="Palatino Linotype" w:eastAsia="Calibri" w:hAnsi="Palatino Linotype" w:cs="Tahoma"/>
          <w:b/>
          <w:bCs/>
          <w:sz w:val="22"/>
          <w:szCs w:val="22"/>
          <w:lang w:eastAsia="en-US"/>
        </w:rPr>
      </w:pPr>
      <w:r w:rsidRPr="00F208A6">
        <w:rPr>
          <w:rFonts w:ascii="Palatino Linotype" w:eastAsia="Calibri" w:hAnsi="Palatino Linotype" w:cs="Tahoma"/>
          <w:b/>
          <w:bCs/>
          <w:sz w:val="22"/>
          <w:szCs w:val="22"/>
          <w:lang w:eastAsia="en-US"/>
        </w:rPr>
        <w:t>ANTECEDENTES</w:t>
      </w:r>
    </w:p>
    <w:p w14:paraId="0A466E4C" w14:textId="77777777" w:rsidR="00806E45" w:rsidRPr="00F208A6" w:rsidRDefault="00806E45" w:rsidP="007706FD">
      <w:pPr>
        <w:spacing w:line="360" w:lineRule="auto"/>
        <w:ind w:right="-93"/>
        <w:jc w:val="both"/>
        <w:rPr>
          <w:rFonts w:ascii="Palatino Linotype" w:eastAsia="Calibri" w:hAnsi="Palatino Linotype" w:cs="Tahoma"/>
          <w:bCs/>
          <w:sz w:val="22"/>
          <w:szCs w:val="22"/>
          <w:lang w:eastAsia="en-US"/>
        </w:rPr>
      </w:pPr>
    </w:p>
    <w:p w14:paraId="4B0211BB" w14:textId="3A17DD34" w:rsidR="00806E45" w:rsidRPr="00F208A6" w:rsidRDefault="00806E45" w:rsidP="007706FD">
      <w:pPr>
        <w:spacing w:line="360" w:lineRule="auto"/>
        <w:jc w:val="both"/>
        <w:rPr>
          <w:rFonts w:ascii="Palatino Linotype" w:eastAsia="Calibri" w:hAnsi="Palatino Linotype" w:cs="Tahoma"/>
          <w:b/>
          <w:bCs/>
          <w:sz w:val="22"/>
          <w:szCs w:val="22"/>
          <w:lang w:eastAsia="en-US"/>
        </w:rPr>
      </w:pPr>
      <w:r w:rsidRPr="00F208A6">
        <w:rPr>
          <w:rFonts w:ascii="Palatino Linotype" w:eastAsia="Calibri" w:hAnsi="Palatino Linotype" w:cs="Tahoma"/>
          <w:b/>
          <w:bCs/>
          <w:sz w:val="22"/>
          <w:szCs w:val="22"/>
          <w:lang w:eastAsia="en-US"/>
        </w:rPr>
        <w:t xml:space="preserve">I. Presentación de la solicitud de información. </w:t>
      </w:r>
    </w:p>
    <w:p w14:paraId="629F417A" w14:textId="77777777" w:rsidR="009533C1" w:rsidRPr="00F208A6" w:rsidRDefault="009533C1" w:rsidP="007706FD">
      <w:pPr>
        <w:spacing w:line="360" w:lineRule="auto"/>
        <w:ind w:right="-1162"/>
        <w:jc w:val="both"/>
        <w:rPr>
          <w:rFonts w:ascii="Palatino Linotype" w:eastAsia="Calibri" w:hAnsi="Palatino Linotype" w:cs="Tahoma"/>
          <w:b/>
          <w:bCs/>
          <w:sz w:val="22"/>
          <w:szCs w:val="22"/>
          <w:lang w:eastAsia="en-US"/>
        </w:rPr>
      </w:pPr>
    </w:p>
    <w:p w14:paraId="2491B65F" w14:textId="25B33DF4" w:rsidR="00806E45" w:rsidRPr="00F208A6" w:rsidRDefault="00F70903" w:rsidP="007706FD">
      <w:pPr>
        <w:spacing w:line="360" w:lineRule="auto"/>
        <w:ind w:right="-1162"/>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El</w:t>
      </w:r>
      <w:r w:rsidR="00806E45" w:rsidRPr="00F208A6">
        <w:rPr>
          <w:rFonts w:ascii="Palatino Linotype" w:eastAsia="Calibri" w:hAnsi="Palatino Linotype" w:cs="Tahoma"/>
          <w:bCs/>
          <w:sz w:val="22"/>
          <w:szCs w:val="22"/>
          <w:lang w:eastAsia="en-US"/>
        </w:rPr>
        <w:t xml:space="preserve"> </w:t>
      </w:r>
      <w:r w:rsidR="000C179F" w:rsidRPr="00F208A6">
        <w:rPr>
          <w:rFonts w:ascii="Palatino Linotype" w:eastAsia="Calibri" w:hAnsi="Palatino Linotype" w:cs="Tahoma"/>
          <w:bCs/>
          <w:sz w:val="22"/>
          <w:szCs w:val="22"/>
          <w:lang w:eastAsia="en-US"/>
        </w:rPr>
        <w:t>ocho</w:t>
      </w:r>
      <w:r w:rsidR="00F31E71" w:rsidRPr="00F208A6">
        <w:rPr>
          <w:rFonts w:ascii="Palatino Linotype" w:eastAsia="Calibri" w:hAnsi="Palatino Linotype" w:cs="Tahoma"/>
          <w:bCs/>
          <w:sz w:val="22"/>
          <w:szCs w:val="22"/>
          <w:lang w:eastAsia="en-US"/>
        </w:rPr>
        <w:t xml:space="preserve"> de julio</w:t>
      </w:r>
      <w:r w:rsidR="00F34534" w:rsidRPr="00F208A6">
        <w:rPr>
          <w:rFonts w:ascii="Palatino Linotype" w:eastAsia="Calibri" w:hAnsi="Palatino Linotype" w:cs="Tahoma"/>
          <w:bCs/>
          <w:sz w:val="22"/>
          <w:szCs w:val="22"/>
          <w:lang w:eastAsia="en-US"/>
        </w:rPr>
        <w:t xml:space="preserve"> </w:t>
      </w:r>
      <w:r w:rsidR="00B07D61" w:rsidRPr="00F208A6">
        <w:rPr>
          <w:rFonts w:ascii="Palatino Linotype" w:eastAsia="Calibri" w:hAnsi="Palatino Linotype" w:cs="Tahoma"/>
          <w:bCs/>
          <w:sz w:val="22"/>
          <w:szCs w:val="22"/>
          <w:lang w:eastAsia="en-US"/>
        </w:rPr>
        <w:t xml:space="preserve"> </w:t>
      </w:r>
      <w:r w:rsidR="008E09AB" w:rsidRPr="00F208A6">
        <w:rPr>
          <w:rFonts w:ascii="Palatino Linotype" w:eastAsia="Calibri" w:hAnsi="Palatino Linotype" w:cs="Tahoma"/>
          <w:bCs/>
          <w:sz w:val="22"/>
          <w:szCs w:val="22"/>
          <w:lang w:eastAsia="en-US"/>
        </w:rPr>
        <w:t>de dos mil dieci</w:t>
      </w:r>
      <w:r w:rsidR="00A205D7" w:rsidRPr="00F208A6">
        <w:rPr>
          <w:rFonts w:ascii="Palatino Linotype" w:eastAsia="Calibri" w:hAnsi="Palatino Linotype" w:cs="Tahoma"/>
          <w:bCs/>
          <w:sz w:val="22"/>
          <w:szCs w:val="22"/>
          <w:lang w:eastAsia="en-US"/>
        </w:rPr>
        <w:t>nueve</w:t>
      </w:r>
      <w:r w:rsidR="00806E45" w:rsidRPr="00F208A6">
        <w:rPr>
          <w:rFonts w:ascii="Palatino Linotype" w:eastAsia="Calibri" w:hAnsi="Palatino Linotype" w:cs="Tahoma"/>
          <w:bCs/>
          <w:sz w:val="22"/>
          <w:szCs w:val="22"/>
          <w:lang w:eastAsia="en-US"/>
        </w:rPr>
        <w:t>,</w:t>
      </w:r>
      <w:r w:rsidR="00F1077A" w:rsidRPr="00F208A6">
        <w:rPr>
          <w:rFonts w:ascii="Palatino Linotype" w:eastAsia="Calibri" w:hAnsi="Palatino Linotype" w:cs="Tahoma"/>
          <w:bCs/>
          <w:sz w:val="22"/>
          <w:szCs w:val="22"/>
          <w:lang w:eastAsia="en-US"/>
        </w:rPr>
        <w:t xml:space="preserve"> </w:t>
      </w:r>
      <w:r w:rsidR="00806E45" w:rsidRPr="00F208A6">
        <w:rPr>
          <w:rFonts w:ascii="Palatino Linotype" w:eastAsia="Calibri" w:hAnsi="Palatino Linotype" w:cs="Tahoma"/>
          <w:bCs/>
          <w:sz w:val="22"/>
          <w:szCs w:val="22"/>
          <w:lang w:eastAsia="en-US"/>
        </w:rPr>
        <w:t>mediante el</w:t>
      </w:r>
      <w:r w:rsidR="00806E45" w:rsidRPr="00F208A6">
        <w:rPr>
          <w:rFonts w:ascii="Palatino Linotype" w:eastAsia="Calibri" w:hAnsi="Palatino Linotype" w:cs="Tahoma"/>
          <w:bCs/>
          <w:sz w:val="22"/>
          <w:szCs w:val="22"/>
          <w:lang w:val="es-ES" w:eastAsia="en-US"/>
        </w:rPr>
        <w:t xml:space="preserve"> Sistema de Acceso a la Información Mexiquense (SAIMEX), </w:t>
      </w:r>
      <w:r w:rsidR="00A205D7" w:rsidRPr="00F208A6">
        <w:rPr>
          <w:rFonts w:ascii="Palatino Linotype" w:eastAsia="Calibri" w:hAnsi="Palatino Linotype" w:cs="Tahoma"/>
          <w:bCs/>
          <w:sz w:val="22"/>
          <w:szCs w:val="22"/>
          <w:lang w:eastAsia="en-US"/>
        </w:rPr>
        <w:t>el</w:t>
      </w:r>
      <w:r w:rsidR="00806E45" w:rsidRPr="00F208A6">
        <w:rPr>
          <w:rFonts w:ascii="Palatino Linotype" w:eastAsia="Calibri" w:hAnsi="Palatino Linotype" w:cs="Tahoma"/>
          <w:bCs/>
          <w:sz w:val="22"/>
          <w:szCs w:val="22"/>
          <w:lang w:eastAsia="en-US"/>
        </w:rPr>
        <w:t xml:space="preserve"> </w:t>
      </w:r>
      <w:r w:rsidR="008A2809" w:rsidRPr="00F208A6">
        <w:rPr>
          <w:rFonts w:ascii="Palatino Linotype" w:eastAsia="Calibri" w:hAnsi="Palatino Linotype" w:cs="Tahoma"/>
          <w:bCs/>
          <w:sz w:val="22"/>
          <w:szCs w:val="22"/>
          <w:lang w:eastAsia="en-US"/>
        </w:rPr>
        <w:t>Particular</w:t>
      </w:r>
      <w:r w:rsidR="00DB1CB2" w:rsidRPr="00F208A6">
        <w:rPr>
          <w:rFonts w:ascii="Palatino Linotype" w:eastAsia="Calibri" w:hAnsi="Palatino Linotype" w:cs="Tahoma"/>
          <w:bCs/>
          <w:sz w:val="22"/>
          <w:szCs w:val="22"/>
          <w:lang w:eastAsia="en-US"/>
        </w:rPr>
        <w:t xml:space="preserve"> presentó</w:t>
      </w:r>
      <w:r w:rsidR="003E5976" w:rsidRPr="00F208A6">
        <w:rPr>
          <w:rFonts w:ascii="Palatino Linotype" w:eastAsia="Calibri" w:hAnsi="Palatino Linotype" w:cs="Tahoma"/>
          <w:bCs/>
          <w:sz w:val="22"/>
          <w:szCs w:val="22"/>
          <w:lang w:eastAsia="en-US"/>
        </w:rPr>
        <w:t xml:space="preserve"> </w:t>
      </w:r>
      <w:r w:rsidR="00C52E15" w:rsidRPr="00F208A6">
        <w:rPr>
          <w:rFonts w:ascii="Palatino Linotype" w:eastAsia="Calibri" w:hAnsi="Palatino Linotype" w:cs="Tahoma"/>
          <w:bCs/>
          <w:sz w:val="22"/>
          <w:szCs w:val="22"/>
          <w:lang w:eastAsia="en-US"/>
        </w:rPr>
        <w:t>una</w:t>
      </w:r>
      <w:r w:rsidRPr="00F208A6">
        <w:rPr>
          <w:rFonts w:ascii="Palatino Linotype" w:eastAsia="Calibri" w:hAnsi="Palatino Linotype" w:cs="Tahoma"/>
          <w:bCs/>
          <w:sz w:val="22"/>
          <w:szCs w:val="22"/>
          <w:lang w:eastAsia="en-US"/>
        </w:rPr>
        <w:t xml:space="preserve"> </w:t>
      </w:r>
      <w:r w:rsidR="00806E45" w:rsidRPr="00F208A6">
        <w:rPr>
          <w:rFonts w:ascii="Palatino Linotype" w:eastAsia="Calibri" w:hAnsi="Palatino Linotype" w:cs="Tahoma"/>
          <w:bCs/>
          <w:sz w:val="22"/>
          <w:szCs w:val="22"/>
          <w:lang w:eastAsia="en-US"/>
        </w:rPr>
        <w:t xml:space="preserve">solicitud de </w:t>
      </w:r>
      <w:r w:rsidR="00F82119" w:rsidRPr="00F208A6">
        <w:rPr>
          <w:rFonts w:ascii="Palatino Linotype" w:eastAsia="Calibri" w:hAnsi="Palatino Linotype" w:cs="Tahoma"/>
          <w:bCs/>
          <w:sz w:val="22"/>
          <w:szCs w:val="22"/>
          <w:lang w:eastAsia="en-US"/>
        </w:rPr>
        <w:t xml:space="preserve">acceso a la </w:t>
      </w:r>
      <w:r w:rsidR="008B0418" w:rsidRPr="00F208A6">
        <w:rPr>
          <w:rFonts w:ascii="Palatino Linotype" w:eastAsia="Calibri" w:hAnsi="Palatino Linotype" w:cs="Tahoma"/>
          <w:bCs/>
          <w:sz w:val="22"/>
          <w:szCs w:val="22"/>
          <w:lang w:eastAsia="en-US"/>
        </w:rPr>
        <w:t>información pública</w:t>
      </w:r>
      <w:r w:rsidR="00806E45" w:rsidRPr="00F208A6">
        <w:rPr>
          <w:rFonts w:ascii="Palatino Linotype" w:eastAsia="Calibri" w:hAnsi="Palatino Linotype" w:cs="Tahoma"/>
          <w:bCs/>
          <w:sz w:val="22"/>
          <w:szCs w:val="22"/>
          <w:lang w:eastAsia="en-US"/>
        </w:rPr>
        <w:t xml:space="preserve"> ante la Unidad de Transparencia </w:t>
      </w:r>
      <w:r w:rsidRPr="00F208A6">
        <w:rPr>
          <w:rFonts w:ascii="Palatino Linotype" w:eastAsia="Calibri" w:hAnsi="Palatino Linotype" w:cs="Tahoma"/>
          <w:bCs/>
          <w:sz w:val="22"/>
          <w:szCs w:val="22"/>
          <w:lang w:eastAsia="en-US"/>
        </w:rPr>
        <w:t xml:space="preserve">del </w:t>
      </w:r>
      <w:r w:rsidR="00C52E15" w:rsidRPr="00F208A6">
        <w:rPr>
          <w:rFonts w:ascii="Palatino Linotype" w:hAnsi="Palatino Linotype"/>
          <w:bCs/>
          <w:color w:val="000000"/>
          <w:sz w:val="22"/>
          <w:szCs w:val="14"/>
        </w:rPr>
        <w:t xml:space="preserve">Ayuntamiento de </w:t>
      </w:r>
      <w:r w:rsidR="000C179F" w:rsidRPr="00F208A6">
        <w:rPr>
          <w:rFonts w:ascii="Palatino Linotype" w:hAnsi="Palatino Linotype"/>
          <w:bCs/>
          <w:color w:val="000000"/>
          <w:sz w:val="22"/>
          <w:szCs w:val="14"/>
        </w:rPr>
        <w:t>Tecámac</w:t>
      </w:r>
      <w:r w:rsidR="00806E45" w:rsidRPr="00F208A6">
        <w:rPr>
          <w:rFonts w:ascii="Palatino Linotype" w:eastAsia="Calibri" w:hAnsi="Palatino Linotype" w:cs="Tahoma"/>
          <w:bCs/>
          <w:sz w:val="22"/>
          <w:szCs w:val="22"/>
          <w:lang w:eastAsia="en-US"/>
        </w:rPr>
        <w:t xml:space="preserve">, </w:t>
      </w:r>
      <w:r w:rsidR="004C72EF" w:rsidRPr="00F208A6">
        <w:rPr>
          <w:rFonts w:ascii="Palatino Linotype" w:eastAsia="Calibri" w:hAnsi="Palatino Linotype" w:cs="Tahoma"/>
          <w:bCs/>
          <w:sz w:val="22"/>
          <w:szCs w:val="22"/>
          <w:lang w:eastAsia="en-US"/>
        </w:rPr>
        <w:t xml:space="preserve">mediante la cual requirió </w:t>
      </w:r>
      <w:r w:rsidR="00806E45" w:rsidRPr="00F208A6">
        <w:rPr>
          <w:rFonts w:ascii="Palatino Linotype" w:eastAsia="Calibri" w:hAnsi="Palatino Linotype" w:cs="Tahoma"/>
          <w:bCs/>
          <w:sz w:val="22"/>
          <w:szCs w:val="22"/>
          <w:lang w:eastAsia="en-US"/>
        </w:rPr>
        <w:t>lo siguiente:</w:t>
      </w:r>
    </w:p>
    <w:p w14:paraId="0AA6F1C8" w14:textId="77777777" w:rsidR="00A119D6" w:rsidRPr="00F208A6" w:rsidRDefault="00A119D6" w:rsidP="007706FD">
      <w:pPr>
        <w:spacing w:line="360" w:lineRule="auto"/>
        <w:jc w:val="both"/>
        <w:rPr>
          <w:rFonts w:ascii="Palatino Linotype" w:eastAsia="Calibri" w:hAnsi="Palatino Linotype" w:cs="Tahoma"/>
          <w:bCs/>
          <w:sz w:val="22"/>
          <w:szCs w:val="22"/>
          <w:lang w:eastAsia="en-US"/>
        </w:rPr>
      </w:pPr>
    </w:p>
    <w:p w14:paraId="08F9008A" w14:textId="77777777" w:rsidR="00806E45" w:rsidRPr="00F208A6" w:rsidRDefault="00806E45" w:rsidP="007706FD">
      <w:pPr>
        <w:spacing w:line="360" w:lineRule="auto"/>
        <w:ind w:left="567" w:right="567"/>
        <w:jc w:val="both"/>
        <w:rPr>
          <w:rFonts w:ascii="Palatino Linotype" w:eastAsia="Calibri" w:hAnsi="Palatino Linotype" w:cs="Tahoma"/>
          <w:b/>
          <w:bCs/>
          <w:lang w:val="es-ES" w:eastAsia="en-US"/>
        </w:rPr>
      </w:pPr>
      <w:r w:rsidRPr="00F208A6">
        <w:rPr>
          <w:rFonts w:ascii="Palatino Linotype" w:eastAsia="Calibri" w:hAnsi="Palatino Linotype" w:cs="Tahoma"/>
          <w:b/>
          <w:bCs/>
          <w:lang w:val="es-ES" w:eastAsia="en-US"/>
        </w:rPr>
        <w:t>DESCRIPCIÓN CLARA Y PRECISA DE LA INFORMACIÓN SOLICITADA</w:t>
      </w:r>
    </w:p>
    <w:p w14:paraId="0F0A798F" w14:textId="77777777" w:rsidR="00F31E71" w:rsidRPr="00F208A6" w:rsidRDefault="00F31E71" w:rsidP="007706FD">
      <w:pPr>
        <w:spacing w:line="360" w:lineRule="auto"/>
        <w:ind w:left="567" w:right="567"/>
        <w:jc w:val="both"/>
        <w:rPr>
          <w:rFonts w:ascii="Palatino Linotype" w:hAnsi="Palatino Linotype"/>
          <w:i/>
          <w:color w:val="000000"/>
        </w:rPr>
      </w:pPr>
    </w:p>
    <w:p w14:paraId="59005B4B" w14:textId="1901B807" w:rsidR="00B07D61" w:rsidRPr="00F208A6" w:rsidRDefault="00F70903" w:rsidP="007706FD">
      <w:pPr>
        <w:spacing w:line="360" w:lineRule="auto"/>
        <w:ind w:left="567" w:right="567"/>
        <w:jc w:val="both"/>
        <w:rPr>
          <w:rFonts w:ascii="Palatino Linotype" w:hAnsi="Palatino Linotype"/>
          <w:i/>
          <w:color w:val="000000"/>
        </w:rPr>
      </w:pPr>
      <w:r w:rsidRPr="00F208A6">
        <w:rPr>
          <w:rFonts w:ascii="Palatino Linotype" w:hAnsi="Palatino Linotype"/>
          <w:i/>
          <w:color w:val="000000"/>
        </w:rPr>
        <w:t>“</w:t>
      </w:r>
      <w:r w:rsidR="000C179F" w:rsidRPr="00F208A6">
        <w:rPr>
          <w:rFonts w:ascii="Palatino Linotype" w:hAnsi="Palatino Linotype"/>
          <w:i/>
          <w:color w:val="000000"/>
        </w:rPr>
        <w:t xml:space="preserve">Con base en la LEY PARA LA MEJORA REGULATORIA DEL ESTADO DE MÉXICO Y SUS MUNICIPIOS Artículo 62.-El Sistema de Protesta Ciudadana tiene como objeto analizar y dar seguimiento a las peticiones e inconformidades para el cumplimiento de trámites y servicios. El solicitante podrá presentar una Protesta Ciudadana cuando con acciones u omisiones el servidor público encargado del Trámite o Servicio niegue la gestión sin causa justificada, altere o incumpla con las fracciones VI, VII, VIII, IX, X, XI, XII, XIII y XIV del artículo 54 de esta Ley. . Artículo 63.-La Comisión y las Comisiones municipales dispondrán lo necesario para que las personas puedan presentar la Protesta Ciudadana tanto de manera presencial o a través de las tecnologías de la información y comunicación. La </w:t>
      </w:r>
      <w:r w:rsidR="000C179F" w:rsidRPr="00F208A6">
        <w:rPr>
          <w:rFonts w:ascii="Palatino Linotype" w:hAnsi="Palatino Linotype"/>
          <w:i/>
          <w:color w:val="000000"/>
        </w:rPr>
        <w:lastRenderedPageBreak/>
        <w:t xml:space="preserve">Protesta Ciudadana será revisada por la Comisión o las Comisiones municipales, según corresponda, quienes emitirán su opinión en un plazo de cinco días, dando contestación al ciudadano que la presentó, dará vista de la misma al Sujeto Obligado y, en su caso, al órgano competente en materia de responsabilidades. El procedimiento de la Protesta Ciudadana se regulará conforme a los lineamientos que emita el Consejo Nacional. Artículo 64.-Las infracciones administrativas que se generen por el incumplimiento al contenido de la Ley, se sancionarán de conformidad con lo previsto en el Código de Procedimientos Administrativos del Estado de México y la Ley de Responsabilidades Administrativas del Estado de México y Municipios. Artículo 65.-Sin perjuicio de las previstas en la Ley de Responsabilidades Administrativas del Estado de México y Municipios, constituyen infracciones administrativas en materia de mejora regulatoria imputables a los servidores públicos, las siguientes: I.La ausencia de notificación de la información susceptible de inscribirse o modificarse en el Registro Estatal o Municipal de Trámites y Servicios, respecto de trámites a realizarse por los particulares para cumplir una obligación, dentro de los cinco días hábiles siguientes a que entre en vigor la disposición que regule dicho trámite; II. La falta de entrega al responsable de la comisión de los anteproyectos y demás actos materia del conocimiento de ésta; III.La exigencia de trámites, requisitos, cobro de derechos o aprovechamientos, datos o documentos adicionales a los previstos en la legislación aplicable y en el Registro; IV. La falta de respuesta de la información que cualquier interesado realice por escrito sobre los anteproyectos de normatividad y sus estudios de impacto regulatorio; V.Incumplimiento de plazos de respuesta establecidos en los trámites, inscritos en los Registros Estatal y Municipales, de Trámites y Servicios; VI.Incumplimiento sin causa justificada a los programas y acciones de mejora regulatoria aprobados en el Ejercicio Fiscal que corresponda, en perjuicio de terceros, promotores de inversión, inversionistas, empresarios y emprendedores; VII.Obstrucción de la gestión empresarial consistente en cualquiera de las conductas siguientes:a)Alteración de reglas y procedimientos;b)Negligencia o mala fe en el manejo de los documentos del particular o pérdida de éstos;c)Negligencia o mala fe en la integración de expedientes;d)Negligencia o mala fe en el seguimiento de trámites que dé lugar a la aplicación de la afirmativa ficta;e)Cualquier otra que pueda generar intencionalmente perjuicios o atrasos en las materias previstas en esta Ley.VIII. Incumplimiento a lo dispuesto </w:t>
      </w:r>
      <w:r w:rsidR="000C179F" w:rsidRPr="00F208A6">
        <w:rPr>
          <w:rFonts w:ascii="Palatino Linotype" w:hAnsi="Palatino Linotype"/>
          <w:i/>
          <w:color w:val="000000"/>
        </w:rPr>
        <w:lastRenderedPageBreak/>
        <w:t>en la fracción V del artículo 2 de la presente Ley. Artículo 66.-Las infracciones administrativas a las que se refiere el artículo anterior serán imputables al servidor público estatal o municipal que por acción u omisión constituya una infracción a las disposiciones de esta Ley, mismas que serán calificadas por el órgano de control interno competente y sancionadas con :I. Amonestación; II.Multa de 50 a 1000 veces el valor diario de la Unidad de Medida y Actualización vigente; II. Suspensión de 15 a 60 días del empleo, cargo o comisión; IV. Destitución del empleo, cargo o comisión; y/o V. Inhabilitación de 1 a 10 años en el servicio público estatal y municipal. La Comisión dará vista a la Contraloría o al órgano de control interno que corresponda, de los casos que conozca sobre incumplimiento a lo previsto en esta Ley y su Reglamento, para que, conforme a sus atribuciones, instruya el procedimiento respectivo y aplique las sanciones correspondientes. Y de conformidad con la vigésima tercera sesión de cabildos de fecha 12 de junio del 2019, solicito únicamente en todo el punto donde se acuerda y autorizan entre otros lo siguientes: 1.- Catalogo municipal de unidades económicas 2.- Catalogo municipal de unidades económicas de alto impacto 3.- Catalogo municipal de cobro de giros específicos 4.- Catalogo municipal del sistema de apertura rápida de empresas De los cuales solicito respetuosamente me proporcione, copias del acuerdo de cabildo antes referido</w:t>
      </w:r>
      <w:r w:rsidR="00F31E71" w:rsidRPr="00F208A6">
        <w:rPr>
          <w:rFonts w:ascii="Palatino Linotype" w:hAnsi="Palatino Linotype"/>
          <w:i/>
          <w:color w:val="000000"/>
        </w:rPr>
        <w:t>.</w:t>
      </w:r>
      <w:r w:rsidRPr="00F208A6">
        <w:rPr>
          <w:rFonts w:ascii="Palatino Linotype" w:hAnsi="Palatino Linotype"/>
          <w:i/>
          <w:color w:val="000000"/>
        </w:rPr>
        <w:t>”</w:t>
      </w:r>
      <w:r w:rsidR="00F34534" w:rsidRPr="00F208A6">
        <w:rPr>
          <w:rFonts w:ascii="Palatino Linotype" w:hAnsi="Palatino Linotype"/>
          <w:i/>
          <w:color w:val="000000"/>
        </w:rPr>
        <w:t xml:space="preserve"> (Sic).</w:t>
      </w:r>
    </w:p>
    <w:p w14:paraId="7C4D4A03" w14:textId="77777777" w:rsidR="00351483" w:rsidRPr="00F208A6" w:rsidRDefault="00351483" w:rsidP="007706FD">
      <w:pPr>
        <w:tabs>
          <w:tab w:val="left" w:pos="4667"/>
        </w:tabs>
        <w:spacing w:line="360" w:lineRule="auto"/>
        <w:ind w:right="-595"/>
        <w:jc w:val="both"/>
        <w:rPr>
          <w:rFonts w:ascii="Palatino Linotype" w:hAnsi="Palatino Linotype" w:cs="Tahoma"/>
          <w:bCs/>
          <w:iCs/>
          <w:sz w:val="22"/>
          <w:szCs w:val="22"/>
        </w:rPr>
      </w:pPr>
    </w:p>
    <w:p w14:paraId="650F6434" w14:textId="77777777" w:rsidR="00C36785" w:rsidRPr="00F208A6" w:rsidRDefault="00C36785" w:rsidP="007706FD">
      <w:pPr>
        <w:spacing w:line="360" w:lineRule="auto"/>
        <w:ind w:left="567" w:right="567"/>
        <w:jc w:val="both"/>
        <w:rPr>
          <w:rFonts w:ascii="Palatino Linotype" w:eastAsia="Calibri" w:hAnsi="Palatino Linotype" w:cs="Tahoma"/>
          <w:bCs/>
          <w:lang w:val="es-ES" w:eastAsia="en-US"/>
        </w:rPr>
      </w:pPr>
      <w:r w:rsidRPr="00F208A6">
        <w:rPr>
          <w:rFonts w:ascii="Palatino Linotype" w:eastAsia="Calibri" w:hAnsi="Palatino Linotype" w:cs="Tahoma"/>
          <w:b/>
          <w:bCs/>
          <w:lang w:val="es-ES" w:eastAsia="en-US"/>
        </w:rPr>
        <w:t>MODALIDAD DE ENTREGA</w:t>
      </w:r>
    </w:p>
    <w:p w14:paraId="1A841DE6" w14:textId="77777777" w:rsidR="00C36785" w:rsidRPr="00F208A6" w:rsidRDefault="00C36785" w:rsidP="007706FD">
      <w:pPr>
        <w:spacing w:line="360" w:lineRule="auto"/>
        <w:ind w:left="567" w:right="567"/>
        <w:jc w:val="both"/>
        <w:rPr>
          <w:rFonts w:ascii="Palatino Linotype" w:eastAsia="Calibri" w:hAnsi="Palatino Linotype" w:cs="Tahoma"/>
          <w:bCs/>
          <w:sz w:val="22"/>
          <w:lang w:val="es-ES" w:eastAsia="en-US"/>
        </w:rPr>
      </w:pPr>
      <w:r w:rsidRPr="00F208A6">
        <w:rPr>
          <w:rFonts w:ascii="Palatino Linotype" w:eastAsia="Calibri" w:hAnsi="Palatino Linotype" w:cs="Tahoma"/>
          <w:bCs/>
          <w:sz w:val="22"/>
          <w:lang w:val="es-ES" w:eastAsia="en-US"/>
        </w:rPr>
        <w:t>A través del SAIMEX.</w:t>
      </w:r>
    </w:p>
    <w:p w14:paraId="7B914DE4" w14:textId="77777777" w:rsidR="00806E45" w:rsidRPr="00F208A6" w:rsidRDefault="00806E45" w:rsidP="007706FD">
      <w:pPr>
        <w:spacing w:line="360" w:lineRule="auto"/>
        <w:jc w:val="both"/>
        <w:rPr>
          <w:rFonts w:ascii="Palatino Linotype" w:eastAsia="Calibri" w:hAnsi="Palatino Linotype" w:cs="Tahoma"/>
          <w:bCs/>
          <w:sz w:val="22"/>
          <w:szCs w:val="22"/>
          <w:lang w:val="es-ES" w:eastAsia="en-US"/>
        </w:rPr>
      </w:pPr>
    </w:p>
    <w:p w14:paraId="2A0A1C4C" w14:textId="5994636D" w:rsidR="00806E45" w:rsidRPr="00F208A6" w:rsidRDefault="00827BDE" w:rsidP="007706FD">
      <w:pPr>
        <w:spacing w:line="360" w:lineRule="auto"/>
        <w:ind w:right="-1162"/>
        <w:jc w:val="both"/>
        <w:rPr>
          <w:rFonts w:ascii="Palatino Linotype" w:eastAsia="Calibri" w:hAnsi="Palatino Linotype" w:cs="Tahoma"/>
          <w:b/>
          <w:bCs/>
          <w:sz w:val="22"/>
          <w:szCs w:val="22"/>
          <w:lang w:val="es-ES" w:eastAsia="en-US"/>
        </w:rPr>
      </w:pPr>
      <w:r w:rsidRPr="00F208A6">
        <w:rPr>
          <w:rFonts w:ascii="Palatino Linotype" w:eastAsia="Calibri" w:hAnsi="Palatino Linotype" w:cs="Tahoma"/>
          <w:b/>
          <w:bCs/>
          <w:sz w:val="22"/>
          <w:szCs w:val="22"/>
          <w:lang w:val="es-ES" w:eastAsia="en-US"/>
        </w:rPr>
        <w:t>I</w:t>
      </w:r>
      <w:r w:rsidR="00694759" w:rsidRPr="00F208A6">
        <w:rPr>
          <w:rFonts w:ascii="Palatino Linotype" w:eastAsia="Calibri" w:hAnsi="Palatino Linotype" w:cs="Tahoma"/>
          <w:b/>
          <w:bCs/>
          <w:sz w:val="22"/>
          <w:szCs w:val="22"/>
          <w:lang w:val="es-ES" w:eastAsia="en-US"/>
        </w:rPr>
        <w:t>I</w:t>
      </w:r>
      <w:r w:rsidR="00806E45" w:rsidRPr="00F208A6">
        <w:rPr>
          <w:rFonts w:ascii="Palatino Linotype" w:eastAsia="Calibri" w:hAnsi="Palatino Linotype" w:cs="Tahoma"/>
          <w:b/>
          <w:bCs/>
          <w:sz w:val="22"/>
          <w:szCs w:val="22"/>
          <w:lang w:val="es-ES" w:eastAsia="en-US"/>
        </w:rPr>
        <w:t xml:space="preserve">. Respuesta del </w:t>
      </w:r>
      <w:r w:rsidR="001A1AAB" w:rsidRPr="00F208A6">
        <w:rPr>
          <w:rFonts w:ascii="Palatino Linotype" w:eastAsia="Calibri" w:hAnsi="Palatino Linotype" w:cs="Tahoma"/>
          <w:b/>
          <w:bCs/>
          <w:sz w:val="22"/>
          <w:szCs w:val="22"/>
          <w:lang w:val="es-ES" w:eastAsia="en-US"/>
        </w:rPr>
        <w:t>Sujeto Obligado</w:t>
      </w:r>
      <w:r w:rsidR="00806E45" w:rsidRPr="00F208A6">
        <w:rPr>
          <w:rFonts w:ascii="Palatino Linotype" w:eastAsia="Calibri" w:hAnsi="Palatino Linotype" w:cs="Tahoma"/>
          <w:b/>
          <w:bCs/>
          <w:sz w:val="22"/>
          <w:szCs w:val="22"/>
          <w:lang w:val="es-ES" w:eastAsia="en-US"/>
        </w:rPr>
        <w:t>.</w:t>
      </w:r>
    </w:p>
    <w:p w14:paraId="516F5490" w14:textId="77777777" w:rsidR="00351483" w:rsidRPr="00F208A6" w:rsidRDefault="00351483" w:rsidP="007706FD">
      <w:pPr>
        <w:spacing w:line="360" w:lineRule="auto"/>
        <w:jc w:val="both"/>
        <w:rPr>
          <w:rFonts w:ascii="Palatino Linotype" w:eastAsia="Calibri" w:hAnsi="Palatino Linotype" w:cs="Tahoma"/>
          <w:bCs/>
          <w:sz w:val="22"/>
          <w:szCs w:val="22"/>
          <w:lang w:val="es-ES" w:eastAsia="en-US"/>
        </w:rPr>
      </w:pPr>
    </w:p>
    <w:p w14:paraId="5CCBE76B" w14:textId="434FC4F6" w:rsidR="00374EB1" w:rsidRPr="00F208A6" w:rsidRDefault="00F31E71" w:rsidP="007706FD">
      <w:pPr>
        <w:spacing w:line="360" w:lineRule="auto"/>
        <w:ind w:right="-595"/>
        <w:jc w:val="both"/>
        <w:rPr>
          <w:rFonts w:ascii="Palatino Linotype" w:eastAsia="Calibri" w:hAnsi="Palatino Linotype" w:cs="Tahoma"/>
          <w:bCs/>
          <w:sz w:val="22"/>
          <w:szCs w:val="22"/>
          <w:lang w:val="es-ES" w:eastAsia="en-US"/>
        </w:rPr>
      </w:pPr>
      <w:r w:rsidRPr="00F208A6">
        <w:rPr>
          <w:rFonts w:ascii="Palatino Linotype" w:eastAsia="Calibri" w:hAnsi="Palatino Linotype" w:cs="Tahoma"/>
          <w:bCs/>
          <w:sz w:val="22"/>
          <w:szCs w:val="22"/>
          <w:lang w:val="es-ES" w:eastAsia="en-US"/>
        </w:rPr>
        <w:t xml:space="preserve">El doce de agosto de dos mil diecinueve, el Sujeto Obligado, notificó la respuesta al Sujeto Obligado, a través del Sistema de Acceso a la Información Mexiquense (SAIMEX), en los términos siguientes: </w:t>
      </w:r>
    </w:p>
    <w:p w14:paraId="44F698C6" w14:textId="77777777" w:rsidR="00F31E71" w:rsidRPr="00F208A6" w:rsidRDefault="00F31E71" w:rsidP="007706FD">
      <w:pPr>
        <w:spacing w:line="360" w:lineRule="auto"/>
        <w:ind w:right="-595"/>
        <w:jc w:val="both"/>
        <w:rPr>
          <w:rFonts w:ascii="Palatino Linotype" w:eastAsia="Calibri" w:hAnsi="Palatino Linotype" w:cs="Tahoma"/>
          <w:bCs/>
          <w:sz w:val="22"/>
          <w:szCs w:val="22"/>
          <w:lang w:val="es-ES" w:eastAsia="en-US"/>
        </w:rPr>
      </w:pPr>
    </w:p>
    <w:p w14:paraId="621883B1" w14:textId="61810B38" w:rsidR="000C179F" w:rsidRPr="00F208A6" w:rsidRDefault="000C179F" w:rsidP="007706FD">
      <w:pPr>
        <w:spacing w:line="360" w:lineRule="auto"/>
        <w:ind w:left="567" w:right="539"/>
        <w:jc w:val="both"/>
        <w:rPr>
          <w:rFonts w:ascii="Palatino Linotype" w:hAnsi="Palatino Linotype"/>
          <w:i/>
          <w:szCs w:val="18"/>
          <w:lang w:eastAsia="es-MX"/>
        </w:rPr>
      </w:pPr>
      <w:r w:rsidRPr="00F208A6">
        <w:rPr>
          <w:rFonts w:ascii="Palatino Linotype" w:hAnsi="Palatino Linotype"/>
          <w:i/>
          <w:szCs w:val="18"/>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2E984F18" w14:textId="77777777" w:rsidR="000C179F" w:rsidRPr="00F208A6" w:rsidRDefault="000C179F" w:rsidP="007706FD">
      <w:pPr>
        <w:spacing w:line="360" w:lineRule="auto"/>
        <w:ind w:left="567" w:right="539"/>
        <w:jc w:val="both"/>
        <w:rPr>
          <w:rFonts w:ascii="Palatino Linotype" w:hAnsi="Palatino Linotype"/>
          <w:i/>
          <w:szCs w:val="18"/>
          <w:lang w:eastAsia="es-MX"/>
        </w:rPr>
      </w:pPr>
    </w:p>
    <w:p w14:paraId="0D1665DC" w14:textId="2F4E647E" w:rsidR="000C179F" w:rsidRPr="00F208A6" w:rsidRDefault="000C179F" w:rsidP="007706FD">
      <w:pPr>
        <w:spacing w:line="360" w:lineRule="auto"/>
        <w:ind w:left="567" w:right="539"/>
        <w:jc w:val="both"/>
        <w:rPr>
          <w:rFonts w:ascii="Palatino Linotype" w:eastAsia="Calibri" w:hAnsi="Palatino Linotype" w:cs="Tahoma"/>
          <w:bCs/>
          <w:i/>
          <w:sz w:val="24"/>
          <w:szCs w:val="22"/>
          <w:lang w:val="es-ES" w:eastAsia="en-US"/>
        </w:rPr>
      </w:pPr>
      <w:r w:rsidRPr="00F208A6">
        <w:rPr>
          <w:rFonts w:ascii="Palatino Linotype" w:hAnsi="Palatino Linotype"/>
          <w:i/>
          <w:szCs w:val="18"/>
          <w:lang w:eastAsia="es-MX"/>
        </w:rPr>
        <w:t>En atención a su solicitud número 00444/TECAMAC/IP/2019/TSP/0001, y con fundamento en el artículo 158 de la Ley de Transparencia y Acceso a la Información Pública del Estado de México y Municipios, dado que no contamos con las capacidades técnicas y humanas para el procesamiento de dicha solicitud; se pone a disposición para su consulta el Acta de Cabildo correspondiente en la oficinas de esta Secretaria del Ayuntamiento del Municipio de Tecámac, Estado de México, de igual manera se les hace de su conocimiento que se encuentra disponible la Gaceta Municipal que contiene dicha Acta de Cabildo en la siguiente dirección web: http://www.tecamac.gob.mx/gaceta-municipal-2019/ Sin más por el momento quedamos a sus disposiciones en estas sus oficinas.</w:t>
      </w:r>
    </w:p>
    <w:p w14:paraId="6643F3D2" w14:textId="3AAE77B0" w:rsidR="00F31E71" w:rsidRPr="00F208A6" w:rsidRDefault="00F31E71" w:rsidP="007706FD">
      <w:pPr>
        <w:spacing w:line="360" w:lineRule="auto"/>
        <w:ind w:left="1134" w:right="539"/>
        <w:jc w:val="both"/>
        <w:rPr>
          <w:rFonts w:ascii="Palatino Linotype" w:hAnsi="Palatino Linotype"/>
          <w:i/>
          <w:color w:val="000000"/>
          <w:szCs w:val="18"/>
        </w:rPr>
      </w:pPr>
    </w:p>
    <w:p w14:paraId="7E63F570" w14:textId="2FDB7D2E" w:rsidR="00806E45" w:rsidRPr="00F208A6" w:rsidRDefault="00E20FF6" w:rsidP="007706FD">
      <w:pPr>
        <w:spacing w:line="360" w:lineRule="auto"/>
        <w:jc w:val="both"/>
        <w:rPr>
          <w:rFonts w:ascii="Palatino Linotype" w:eastAsia="Calibri" w:hAnsi="Palatino Linotype" w:cs="Tahoma"/>
          <w:b/>
          <w:bCs/>
          <w:sz w:val="22"/>
          <w:szCs w:val="22"/>
          <w:lang w:val="es-ES" w:eastAsia="en-US"/>
        </w:rPr>
      </w:pPr>
      <w:r w:rsidRPr="00F208A6">
        <w:rPr>
          <w:rFonts w:ascii="Palatino Linotype" w:eastAsia="Calibri" w:hAnsi="Palatino Linotype" w:cs="Tahoma"/>
          <w:b/>
          <w:bCs/>
          <w:sz w:val="22"/>
          <w:szCs w:val="22"/>
          <w:lang w:val="es-ES" w:eastAsia="en-US"/>
        </w:rPr>
        <w:t>I</w:t>
      </w:r>
      <w:r w:rsidR="00351483" w:rsidRPr="00F208A6">
        <w:rPr>
          <w:rFonts w:ascii="Palatino Linotype" w:eastAsia="Calibri" w:hAnsi="Palatino Linotype" w:cs="Tahoma"/>
          <w:b/>
          <w:bCs/>
          <w:sz w:val="22"/>
          <w:szCs w:val="22"/>
          <w:lang w:val="es-ES" w:eastAsia="en-US"/>
        </w:rPr>
        <w:t>II</w:t>
      </w:r>
      <w:r w:rsidR="00806E45" w:rsidRPr="00F208A6">
        <w:rPr>
          <w:rFonts w:ascii="Palatino Linotype" w:eastAsia="Calibri" w:hAnsi="Palatino Linotype" w:cs="Tahoma"/>
          <w:b/>
          <w:bCs/>
          <w:sz w:val="22"/>
          <w:szCs w:val="22"/>
          <w:lang w:val="es-ES" w:eastAsia="en-US"/>
        </w:rPr>
        <w:t xml:space="preserve">. Interposición </w:t>
      </w:r>
      <w:r w:rsidR="001A02A7" w:rsidRPr="00F208A6">
        <w:rPr>
          <w:rFonts w:ascii="Palatino Linotype" w:eastAsia="Calibri" w:hAnsi="Palatino Linotype" w:cs="Tahoma"/>
          <w:b/>
          <w:bCs/>
          <w:sz w:val="22"/>
          <w:szCs w:val="22"/>
          <w:lang w:val="es-ES" w:eastAsia="en-US"/>
        </w:rPr>
        <w:t>del</w:t>
      </w:r>
      <w:r w:rsidR="00806E45" w:rsidRPr="00F208A6">
        <w:rPr>
          <w:rFonts w:ascii="Palatino Linotype" w:eastAsia="Calibri" w:hAnsi="Palatino Linotype" w:cs="Tahoma"/>
          <w:b/>
          <w:bCs/>
          <w:sz w:val="22"/>
          <w:szCs w:val="22"/>
          <w:lang w:val="es-ES" w:eastAsia="en-US"/>
        </w:rPr>
        <w:t xml:space="preserve"> Recurso de Revisión. </w:t>
      </w:r>
    </w:p>
    <w:p w14:paraId="5BCBD581" w14:textId="77777777" w:rsidR="00806E45" w:rsidRPr="00F208A6" w:rsidRDefault="00806E45" w:rsidP="007706FD">
      <w:pPr>
        <w:spacing w:line="360" w:lineRule="auto"/>
        <w:ind w:right="-595"/>
        <w:jc w:val="both"/>
        <w:rPr>
          <w:rFonts w:ascii="Palatino Linotype" w:eastAsia="Calibri" w:hAnsi="Palatino Linotype" w:cs="Tahoma"/>
          <w:b/>
          <w:bCs/>
          <w:sz w:val="18"/>
          <w:szCs w:val="22"/>
          <w:lang w:val="es-ES" w:eastAsia="en-US"/>
        </w:rPr>
      </w:pPr>
    </w:p>
    <w:p w14:paraId="35CA8D9B" w14:textId="5FEFEE5D" w:rsidR="00806E45" w:rsidRPr="00F208A6" w:rsidRDefault="00F83A03" w:rsidP="007706FD">
      <w:pPr>
        <w:spacing w:line="360" w:lineRule="auto"/>
        <w:ind w:right="-595"/>
        <w:jc w:val="both"/>
        <w:rPr>
          <w:rFonts w:ascii="Palatino Linotype" w:eastAsia="Calibri" w:hAnsi="Palatino Linotype" w:cs="Tahoma"/>
          <w:bCs/>
          <w:sz w:val="22"/>
          <w:szCs w:val="22"/>
          <w:lang w:val="es-ES" w:eastAsia="en-US"/>
        </w:rPr>
      </w:pPr>
      <w:r w:rsidRPr="00F208A6">
        <w:rPr>
          <w:rFonts w:ascii="Palatino Linotype" w:eastAsia="Calibri" w:hAnsi="Palatino Linotype" w:cs="Tahoma"/>
          <w:bCs/>
          <w:sz w:val="22"/>
          <w:szCs w:val="22"/>
          <w:lang w:val="es-ES" w:eastAsia="en-US"/>
        </w:rPr>
        <w:t xml:space="preserve">El </w:t>
      </w:r>
      <w:r w:rsidR="000C179F" w:rsidRPr="00F208A6">
        <w:rPr>
          <w:rFonts w:ascii="Palatino Linotype" w:eastAsia="Calibri" w:hAnsi="Palatino Linotype" w:cs="Tahoma"/>
          <w:bCs/>
          <w:sz w:val="22"/>
          <w:szCs w:val="22"/>
          <w:lang w:val="es-ES" w:eastAsia="en-US"/>
        </w:rPr>
        <w:t>catorce</w:t>
      </w:r>
      <w:r w:rsidR="001A02A7" w:rsidRPr="00F208A6">
        <w:rPr>
          <w:rFonts w:ascii="Palatino Linotype" w:eastAsia="Calibri" w:hAnsi="Palatino Linotype" w:cs="Tahoma"/>
          <w:bCs/>
          <w:sz w:val="22"/>
          <w:szCs w:val="22"/>
          <w:lang w:val="es-ES" w:eastAsia="en-US"/>
        </w:rPr>
        <w:t xml:space="preserve"> de agosto</w:t>
      </w:r>
      <w:r w:rsidR="00806E45" w:rsidRPr="00F208A6">
        <w:rPr>
          <w:rFonts w:ascii="Palatino Linotype" w:eastAsia="Calibri" w:hAnsi="Palatino Linotype" w:cs="Tahoma"/>
          <w:bCs/>
          <w:sz w:val="22"/>
          <w:szCs w:val="22"/>
          <w:lang w:val="es-ES" w:eastAsia="en-US"/>
        </w:rPr>
        <w:t xml:space="preserve"> de dos mil dieci</w:t>
      </w:r>
      <w:r w:rsidR="00541410" w:rsidRPr="00F208A6">
        <w:rPr>
          <w:rFonts w:ascii="Palatino Linotype" w:eastAsia="Calibri" w:hAnsi="Palatino Linotype" w:cs="Tahoma"/>
          <w:bCs/>
          <w:sz w:val="22"/>
          <w:szCs w:val="22"/>
          <w:lang w:val="es-ES" w:eastAsia="en-US"/>
        </w:rPr>
        <w:t>nueve</w:t>
      </w:r>
      <w:r w:rsidR="00806E45" w:rsidRPr="00F208A6">
        <w:rPr>
          <w:rFonts w:ascii="Palatino Linotype" w:eastAsia="Calibri" w:hAnsi="Palatino Linotype" w:cs="Tahoma"/>
          <w:bCs/>
          <w:sz w:val="22"/>
          <w:szCs w:val="22"/>
          <w:lang w:val="es-ES" w:eastAsia="en-US"/>
        </w:rPr>
        <w:t xml:space="preserve">, </w:t>
      </w:r>
      <w:r w:rsidR="00806E45" w:rsidRPr="00F208A6">
        <w:rPr>
          <w:rFonts w:ascii="Palatino Linotype" w:eastAsia="Calibri" w:hAnsi="Palatino Linotype" w:cs="Tahoma"/>
          <w:bCs/>
          <w:sz w:val="22"/>
          <w:szCs w:val="22"/>
          <w:lang w:eastAsia="en-US"/>
        </w:rPr>
        <w:t xml:space="preserve">mediante el </w:t>
      </w:r>
      <w:r w:rsidR="00806E45" w:rsidRPr="00F208A6">
        <w:rPr>
          <w:rFonts w:ascii="Palatino Linotype" w:eastAsia="Calibri" w:hAnsi="Palatino Linotype" w:cs="Tahoma"/>
          <w:bCs/>
          <w:sz w:val="22"/>
          <w:szCs w:val="22"/>
          <w:lang w:val="es-ES" w:eastAsia="en-US"/>
        </w:rPr>
        <w:t>Sistema de Acceso a la Información</w:t>
      </w:r>
      <w:r w:rsidR="001F1D7F" w:rsidRPr="00F208A6">
        <w:rPr>
          <w:rFonts w:ascii="Palatino Linotype" w:eastAsia="Calibri" w:hAnsi="Palatino Linotype" w:cs="Tahoma"/>
          <w:bCs/>
          <w:sz w:val="22"/>
          <w:szCs w:val="22"/>
          <w:lang w:val="es-ES" w:eastAsia="en-US"/>
        </w:rPr>
        <w:t xml:space="preserve"> M</w:t>
      </w:r>
      <w:r w:rsidR="00C52E15" w:rsidRPr="00F208A6">
        <w:rPr>
          <w:rFonts w:ascii="Palatino Linotype" w:eastAsia="Calibri" w:hAnsi="Palatino Linotype" w:cs="Tahoma"/>
          <w:bCs/>
          <w:sz w:val="22"/>
          <w:szCs w:val="22"/>
          <w:lang w:val="es-ES" w:eastAsia="en-US"/>
        </w:rPr>
        <w:t>exiquense (SAIMEX), se recibió</w:t>
      </w:r>
      <w:r w:rsidR="00806E45" w:rsidRPr="00F208A6">
        <w:rPr>
          <w:rFonts w:ascii="Palatino Linotype" w:eastAsia="Calibri" w:hAnsi="Palatino Linotype" w:cs="Tahoma"/>
          <w:bCs/>
          <w:sz w:val="22"/>
          <w:szCs w:val="22"/>
          <w:lang w:val="es-ES" w:eastAsia="en-US"/>
        </w:rPr>
        <w:t xml:space="preserve"> en este </w:t>
      </w:r>
      <w:r w:rsidR="00806E45" w:rsidRPr="00F208A6">
        <w:rPr>
          <w:rFonts w:ascii="Palatino Linotype" w:eastAsia="Calibri" w:hAnsi="Palatino Linotype" w:cs="Tahoma"/>
          <w:bCs/>
          <w:sz w:val="22"/>
          <w:szCs w:val="22"/>
          <w:lang w:eastAsia="en-US"/>
        </w:rPr>
        <w:t xml:space="preserve">Instituto </w:t>
      </w:r>
      <w:r w:rsidR="00C52E15" w:rsidRPr="00F208A6">
        <w:rPr>
          <w:rFonts w:ascii="Palatino Linotype" w:eastAsia="Calibri" w:hAnsi="Palatino Linotype" w:cs="Tahoma"/>
          <w:bCs/>
          <w:sz w:val="22"/>
          <w:szCs w:val="22"/>
          <w:lang w:val="es-ES" w:eastAsia="en-US"/>
        </w:rPr>
        <w:t>el</w:t>
      </w:r>
      <w:r w:rsidR="00806E45" w:rsidRPr="00F208A6">
        <w:rPr>
          <w:rFonts w:ascii="Palatino Linotype" w:eastAsia="Calibri" w:hAnsi="Palatino Linotype" w:cs="Tahoma"/>
          <w:bCs/>
          <w:sz w:val="22"/>
          <w:szCs w:val="22"/>
          <w:lang w:val="es-ES" w:eastAsia="en-US"/>
        </w:rPr>
        <w:t xml:space="preserve"> Recurso </w:t>
      </w:r>
      <w:r w:rsidR="00C2093E" w:rsidRPr="00F208A6">
        <w:rPr>
          <w:rFonts w:ascii="Palatino Linotype" w:eastAsia="Calibri" w:hAnsi="Palatino Linotype" w:cs="Tahoma"/>
          <w:bCs/>
          <w:sz w:val="22"/>
          <w:szCs w:val="22"/>
          <w:lang w:val="es-ES" w:eastAsia="en-US"/>
        </w:rPr>
        <w:t xml:space="preserve">de Revisión interpuesto por </w:t>
      </w:r>
      <w:r w:rsidR="00541410" w:rsidRPr="00F208A6">
        <w:rPr>
          <w:rFonts w:ascii="Palatino Linotype" w:eastAsia="Calibri" w:hAnsi="Palatino Linotype" w:cs="Tahoma"/>
          <w:bCs/>
          <w:sz w:val="22"/>
          <w:szCs w:val="22"/>
          <w:lang w:val="es-ES" w:eastAsia="en-US"/>
        </w:rPr>
        <w:t xml:space="preserve">el </w:t>
      </w:r>
      <w:r w:rsidR="008A2809" w:rsidRPr="00F208A6">
        <w:rPr>
          <w:rFonts w:ascii="Palatino Linotype" w:eastAsia="Calibri" w:hAnsi="Palatino Linotype" w:cs="Tahoma"/>
          <w:bCs/>
          <w:sz w:val="22"/>
          <w:szCs w:val="22"/>
          <w:lang w:val="es-ES" w:eastAsia="en-US"/>
        </w:rPr>
        <w:t>Particular</w:t>
      </w:r>
      <w:r w:rsidR="00806E45" w:rsidRPr="00F208A6">
        <w:rPr>
          <w:rFonts w:ascii="Palatino Linotype" w:eastAsia="Calibri" w:hAnsi="Palatino Linotype" w:cs="Tahoma"/>
          <w:bCs/>
          <w:sz w:val="22"/>
          <w:szCs w:val="22"/>
          <w:lang w:val="es-ES" w:eastAsia="en-US"/>
        </w:rPr>
        <w:t>, en contra de la</w:t>
      </w:r>
      <w:r w:rsidR="00F34534" w:rsidRPr="00F208A6">
        <w:rPr>
          <w:rFonts w:ascii="Palatino Linotype" w:eastAsia="Calibri" w:hAnsi="Palatino Linotype" w:cs="Tahoma"/>
          <w:bCs/>
          <w:sz w:val="22"/>
          <w:szCs w:val="22"/>
          <w:lang w:val="es-ES" w:eastAsia="en-US"/>
        </w:rPr>
        <w:t xml:space="preserve"> </w:t>
      </w:r>
      <w:r w:rsidR="00806E45" w:rsidRPr="00F208A6">
        <w:rPr>
          <w:rFonts w:ascii="Palatino Linotype" w:eastAsia="Calibri" w:hAnsi="Palatino Linotype" w:cs="Tahoma"/>
          <w:bCs/>
          <w:sz w:val="22"/>
          <w:szCs w:val="22"/>
          <w:lang w:val="es-ES" w:eastAsia="en-US"/>
        </w:rPr>
        <w:t xml:space="preserve">respuesta </w:t>
      </w:r>
      <w:r w:rsidR="00F34534" w:rsidRPr="00F208A6">
        <w:rPr>
          <w:rFonts w:ascii="Palatino Linotype" w:eastAsia="Calibri" w:hAnsi="Palatino Linotype" w:cs="Tahoma"/>
          <w:bCs/>
          <w:sz w:val="22"/>
          <w:szCs w:val="22"/>
          <w:lang w:val="es-ES" w:eastAsia="en-US"/>
        </w:rPr>
        <w:t>d</w:t>
      </w:r>
      <w:r w:rsidRPr="00F208A6">
        <w:rPr>
          <w:rFonts w:ascii="Palatino Linotype" w:eastAsia="Calibri" w:hAnsi="Palatino Linotype" w:cs="Tahoma"/>
          <w:bCs/>
          <w:sz w:val="22"/>
          <w:szCs w:val="22"/>
          <w:lang w:val="es-ES" w:eastAsia="en-US"/>
        </w:rPr>
        <w:t xml:space="preserve">el </w:t>
      </w:r>
      <w:r w:rsidR="00C52E15" w:rsidRPr="00F208A6">
        <w:rPr>
          <w:rFonts w:ascii="Palatino Linotype" w:hAnsi="Palatino Linotype"/>
          <w:bCs/>
          <w:color w:val="000000"/>
          <w:sz w:val="22"/>
          <w:szCs w:val="14"/>
        </w:rPr>
        <w:t xml:space="preserve">Ayuntamiento de </w:t>
      </w:r>
      <w:r w:rsidR="000C179F" w:rsidRPr="00F208A6">
        <w:rPr>
          <w:rFonts w:ascii="Palatino Linotype" w:hAnsi="Palatino Linotype"/>
          <w:bCs/>
          <w:color w:val="000000"/>
          <w:sz w:val="22"/>
          <w:szCs w:val="14"/>
        </w:rPr>
        <w:t>Tecámac</w:t>
      </w:r>
      <w:r w:rsidR="00806E45" w:rsidRPr="00F208A6">
        <w:rPr>
          <w:rFonts w:ascii="Palatino Linotype" w:eastAsia="Calibri" w:hAnsi="Palatino Linotype" w:cs="Tahoma"/>
          <w:bCs/>
          <w:sz w:val="22"/>
          <w:szCs w:val="22"/>
          <w:lang w:val="es-ES" w:eastAsia="en-US"/>
        </w:rPr>
        <w:t xml:space="preserve">, </w:t>
      </w:r>
      <w:r w:rsidR="00806E45" w:rsidRPr="00F208A6">
        <w:rPr>
          <w:rFonts w:ascii="Palatino Linotype" w:eastAsia="Calibri" w:hAnsi="Palatino Linotype" w:cs="Tahoma"/>
          <w:bCs/>
          <w:sz w:val="22"/>
          <w:szCs w:val="22"/>
          <w:lang w:eastAsia="en-US"/>
        </w:rPr>
        <w:t>en los términos siguientes:</w:t>
      </w:r>
    </w:p>
    <w:p w14:paraId="2E06F5DE" w14:textId="77777777" w:rsidR="001F1D7F" w:rsidRPr="00F208A6" w:rsidRDefault="001F1D7F" w:rsidP="007706FD">
      <w:pPr>
        <w:spacing w:line="360" w:lineRule="auto"/>
        <w:jc w:val="both"/>
        <w:rPr>
          <w:rFonts w:ascii="Palatino Linotype" w:eastAsia="Calibri" w:hAnsi="Palatino Linotype" w:cs="Tahoma"/>
          <w:b/>
          <w:bCs/>
          <w:sz w:val="18"/>
          <w:szCs w:val="22"/>
          <w:lang w:val="es-ES" w:eastAsia="en-US"/>
        </w:rPr>
      </w:pPr>
    </w:p>
    <w:p w14:paraId="155B71D7" w14:textId="77777777" w:rsidR="001F1D7F" w:rsidRPr="00F208A6" w:rsidRDefault="001F1D7F" w:rsidP="007706FD">
      <w:pPr>
        <w:spacing w:line="360" w:lineRule="auto"/>
        <w:ind w:left="567" w:right="567"/>
        <w:jc w:val="both"/>
        <w:rPr>
          <w:rFonts w:ascii="Palatino Linotype" w:eastAsia="Calibri" w:hAnsi="Palatino Linotype" w:cs="Tahoma"/>
          <w:b/>
          <w:bCs/>
          <w:sz w:val="16"/>
          <w:lang w:eastAsia="en-US"/>
        </w:rPr>
      </w:pPr>
    </w:p>
    <w:p w14:paraId="7BBB42EA" w14:textId="77777777" w:rsidR="001F1D7F" w:rsidRPr="00F208A6" w:rsidRDefault="001F1D7F" w:rsidP="007706FD">
      <w:pPr>
        <w:spacing w:line="360" w:lineRule="auto"/>
        <w:ind w:left="567" w:right="567"/>
        <w:jc w:val="both"/>
        <w:rPr>
          <w:rFonts w:ascii="Palatino Linotype" w:eastAsia="Calibri" w:hAnsi="Palatino Linotype" w:cs="Tahoma"/>
          <w:bCs/>
          <w:lang w:eastAsia="en-US"/>
        </w:rPr>
      </w:pPr>
      <w:r w:rsidRPr="00F208A6">
        <w:rPr>
          <w:rFonts w:ascii="Palatino Linotype" w:eastAsia="Calibri" w:hAnsi="Palatino Linotype" w:cs="Tahoma"/>
          <w:b/>
          <w:bCs/>
          <w:lang w:eastAsia="en-US"/>
        </w:rPr>
        <w:t>ACTO IMPUGNADO</w:t>
      </w:r>
    </w:p>
    <w:p w14:paraId="3A2B807F" w14:textId="77777777" w:rsidR="001F1D7F" w:rsidRPr="00F208A6" w:rsidRDefault="001F1D7F" w:rsidP="007706FD">
      <w:pPr>
        <w:spacing w:line="360" w:lineRule="auto"/>
        <w:jc w:val="both"/>
        <w:rPr>
          <w:rFonts w:ascii="Verdana" w:hAnsi="Verdana"/>
          <w:color w:val="000000"/>
          <w:sz w:val="14"/>
          <w:szCs w:val="14"/>
        </w:rPr>
      </w:pPr>
    </w:p>
    <w:p w14:paraId="485E53A0" w14:textId="07FE6CE5" w:rsidR="00AB0507" w:rsidRPr="00F208A6" w:rsidRDefault="001F1D7F" w:rsidP="007706FD">
      <w:pPr>
        <w:spacing w:line="360" w:lineRule="auto"/>
        <w:ind w:left="567" w:right="539"/>
        <w:jc w:val="both"/>
        <w:rPr>
          <w:rFonts w:ascii="Palatino Linotype" w:hAnsi="Palatino Linotype"/>
          <w:i/>
          <w:color w:val="000000"/>
        </w:rPr>
      </w:pPr>
      <w:r w:rsidRPr="00F208A6">
        <w:rPr>
          <w:rFonts w:ascii="Palatino Linotype" w:hAnsi="Palatino Linotype"/>
          <w:i/>
          <w:color w:val="000000"/>
        </w:rPr>
        <w:t>“</w:t>
      </w:r>
      <w:r w:rsidR="008B1EF3" w:rsidRPr="00F208A6">
        <w:rPr>
          <w:rFonts w:ascii="Palatino Linotype" w:hAnsi="Palatino Linotype"/>
          <w:i/>
          <w:color w:val="000000"/>
        </w:rPr>
        <w:t xml:space="preserve">Con base en la LEY PARA LA MEJORA REGULATORIA DEL ESTADO DE MÉXICO Y SUS MUNICIPIOS Artículo 62.-El Sistema de Protesta Ciudadana tiene como objeto analizar y dar seguimiento a las peticiones e inconformidades para el cumplimiento de trámites y servicios. El solicitante podrá presentar una Protesta Ciudadana cuando con acciones u omisiones el servidor público encargado del Trámite o Servicio niegue la gestión sin causa justificada, altere o incumpla con las fracciones VI, VII, VIII, IX, X, XI, XII, XIII y XIV del artículo 54 de esta Ley. . Artículo 63.-La Comisión y las Comisiones municipales </w:t>
      </w:r>
      <w:r w:rsidR="008B1EF3" w:rsidRPr="00F208A6">
        <w:rPr>
          <w:rFonts w:ascii="Palatino Linotype" w:hAnsi="Palatino Linotype"/>
          <w:i/>
          <w:color w:val="000000"/>
        </w:rPr>
        <w:lastRenderedPageBreak/>
        <w:t xml:space="preserve">dispondrán lo necesario para que las personas puedan presentar la Protesta Ciudadana tanto de manera presencial o a través de las tecnologías de la información y comunicación. La Protesta Ciudadana será revisada por la Comisión o las Comisiones municipales, según corresponda, quienes emitirán su opinión en un plazo de cinco días, dando contestación al ciudadano que la presentó, dará vista de la misma al Sujeto Obligado y, en su caso, al órgano competente en materia de responsabilidades. El procedimiento de la Protesta Ciudadana se regulará conforme a los lineamientos que emita el Consejo Nacional. Artículo 64.-Las infracciones administrativas que se generen por el incumplimiento al contenido de la Ley, se sancionarán de conformidad con lo previsto en el Código de Procedimientos Administrativos del Estado de México y la Ley de Responsabilidades Administrativas del Estado de México y Municipios. Artículo 65.-Sin perjuicio de las previstas en la Ley de Responsabilidades Administrativas del Estado de México y Municipios, constituyen infracciones administrativas en materia de mejora regulatoria imputables a los servidores públicos, las siguientes: I.La ausencia de notificación de la información susceptible de inscribirse o modificarse en el Registro Estatal o Municipal de Trámites y Servicios, respecto de trámites a realizarse por los particulares para cumplir una obligación, dentro de los cinco días hábiles siguientes a que entre en vigor la disposición que regule dicho trámite; II. La falta de entrega al responsable de la comisión de los anteproyectos y demás actos materia del conocimiento de ésta; III.La exigencia de trámites, requisitos, cobro de derechos o aprovechamientos, datos o documentos adicionales a los previstos en la legislación aplicable y en el Registro; IV. La falta de respuesta de la información que cualquier interesado realice por escrito sobre los anteproyectos de normatividad y sus estudios de impacto regulatorio; V.Incumplimiento de plazos de respuesta establecidos en los trámites, inscritos en los Registros Estatal y Municipales, de Trámites y Servicios; VI.Incumplimiento sin causa justificada a los programas y acciones de mejora regulatoria aprobados en el Ejercicio Fiscal que corresponda, en perjuicio de terceros, promotores de inversión, inversionistas, empresarios y emprendedores; VII.Obstrucción de la gestión empresarial consistente en cualquiera de las conductas siguientes:a)Alteración de reglas y procedimientos;b)Negligencia o mala fe en el manejo de los documentos del particular o pérdida de éstos;c)Negligencia o mala fe en la integración de expedientes;d)Negligencia o mala fe en el seguimiento de trámites que dé lugar </w:t>
      </w:r>
      <w:r w:rsidR="008B1EF3" w:rsidRPr="00F208A6">
        <w:rPr>
          <w:rFonts w:ascii="Palatino Linotype" w:hAnsi="Palatino Linotype"/>
          <w:i/>
          <w:color w:val="000000"/>
        </w:rPr>
        <w:lastRenderedPageBreak/>
        <w:t>a la aplicación de la afirmativa ficta;e)Cualquier otra que pueda generar intencionalmente perjuicios o atrasos en las materias previstas en esta Ley.VIII. Incumplimiento a lo dispuesto en la fracción V del artículo 2 de la presente Ley. Artículo 66.-Las infracciones administrativas a las que se refiere el artículo anterior serán imputables al servidor público estatal o municipal que por acción u omisión constituya una infracción a las disposiciones de esta Ley, mismas que serán calificadas por el órgano de control interno competente y sancionadas con :I. Amonestación; II.Multa de 50 a 1000 veces el valor diario de la Unidad de Medida y Actualización vigente; II. Suspensión de 15 a 60 días del empleo, cargo o comisión; IV. Destitución del empleo, cargo o comisión; y/o V. Inhabilitación de 1 a 10 años en el servicio público estatal y municipal. La Comisión dará vista a la Contraloría o al órgano de control interno que corresponda, de los casos que conozca sobre incumplimiento a lo previsto en esta Ley y su Reglamento, para que, conforme a sus atribuciones, instruya el procedimiento respectivo y aplique las sanciones correspondientes. Y de conformidad con la vigésima tercera sesión de cabildos de fecha 12 de junio del 2019, solicito únicamente en todo el punto donde se acuerda y autorizan entre otros lo siguientes: 1.- Catalogo municipal de unidades económicas 2.- Catalogo municipal de unidades económicas de alto impacto 3.- Catalogo municipal de cobro de giros específicos 4.- Catalogo municipal del sistema de apertura rápida de empresas De los cuales solicito respetuosamente me proporcione, copias del acuerdo de cabildo antes referido</w:t>
      </w:r>
      <w:r w:rsidR="00BE625E" w:rsidRPr="00F208A6">
        <w:rPr>
          <w:rFonts w:ascii="Palatino Linotype" w:hAnsi="Palatino Linotype"/>
          <w:i/>
          <w:color w:val="000000"/>
        </w:rPr>
        <w:t>.</w:t>
      </w:r>
      <w:r w:rsidRPr="00F208A6">
        <w:rPr>
          <w:rFonts w:ascii="Palatino Linotype" w:hAnsi="Palatino Linotype"/>
          <w:i/>
          <w:color w:val="000000"/>
        </w:rPr>
        <w:t>”</w:t>
      </w:r>
      <w:r w:rsidR="00C52E15" w:rsidRPr="00F208A6">
        <w:rPr>
          <w:rFonts w:ascii="Palatino Linotype" w:hAnsi="Palatino Linotype"/>
          <w:i/>
          <w:color w:val="000000"/>
        </w:rPr>
        <w:t xml:space="preserve"> (Sic) </w:t>
      </w:r>
    </w:p>
    <w:p w14:paraId="01A59749" w14:textId="77777777" w:rsidR="001F1D7F" w:rsidRPr="00F208A6" w:rsidRDefault="001F1D7F" w:rsidP="007706FD">
      <w:pPr>
        <w:spacing w:line="360" w:lineRule="auto"/>
        <w:ind w:left="567" w:right="567"/>
        <w:jc w:val="both"/>
        <w:rPr>
          <w:rFonts w:ascii="Palatino Linotype" w:eastAsia="Calibri" w:hAnsi="Palatino Linotype" w:cs="Tahoma"/>
          <w:b/>
          <w:bCs/>
          <w:sz w:val="16"/>
          <w:lang w:val="es-ES" w:eastAsia="en-US"/>
        </w:rPr>
      </w:pPr>
    </w:p>
    <w:p w14:paraId="76E671B8" w14:textId="77777777" w:rsidR="001F1D7F" w:rsidRPr="00F208A6" w:rsidRDefault="001F1D7F" w:rsidP="007706FD">
      <w:pPr>
        <w:spacing w:line="360" w:lineRule="auto"/>
        <w:ind w:left="567" w:right="567"/>
        <w:jc w:val="both"/>
        <w:rPr>
          <w:rFonts w:ascii="Palatino Linotype" w:eastAsia="Calibri" w:hAnsi="Palatino Linotype" w:cs="Tahoma"/>
          <w:b/>
          <w:bCs/>
          <w:lang w:val="es-ES" w:eastAsia="en-US"/>
        </w:rPr>
      </w:pPr>
      <w:r w:rsidRPr="00F208A6">
        <w:rPr>
          <w:rFonts w:ascii="Palatino Linotype" w:eastAsia="Calibri" w:hAnsi="Palatino Linotype" w:cs="Tahoma"/>
          <w:b/>
          <w:bCs/>
          <w:lang w:val="es-ES" w:eastAsia="en-US"/>
        </w:rPr>
        <w:t>RAZONES O MOTIVOS DE LA INCONFORMIDAD</w:t>
      </w:r>
    </w:p>
    <w:p w14:paraId="6A73CCEA" w14:textId="67B33335" w:rsidR="006075FC" w:rsidRPr="00F208A6" w:rsidRDefault="006075FC" w:rsidP="007706FD">
      <w:pPr>
        <w:pStyle w:val="Default"/>
        <w:rPr>
          <w:sz w:val="20"/>
        </w:rPr>
      </w:pPr>
    </w:p>
    <w:p w14:paraId="38566154" w14:textId="3B42E74B" w:rsidR="001F1D7F" w:rsidRPr="00F208A6" w:rsidRDefault="00492383" w:rsidP="007706FD">
      <w:pPr>
        <w:pStyle w:val="Default"/>
        <w:spacing w:line="360" w:lineRule="auto"/>
        <w:ind w:left="567" w:right="539"/>
        <w:jc w:val="both"/>
        <w:rPr>
          <w:rFonts w:ascii="Palatino Linotype" w:hAnsi="Palatino Linotype"/>
          <w:i/>
          <w:sz w:val="20"/>
          <w:szCs w:val="20"/>
        </w:rPr>
      </w:pPr>
      <w:r w:rsidRPr="00F208A6">
        <w:rPr>
          <w:rFonts w:ascii="Palatino Linotype" w:hAnsi="Palatino Linotype"/>
          <w:i/>
          <w:sz w:val="20"/>
          <w:szCs w:val="20"/>
        </w:rPr>
        <w:t>“</w:t>
      </w:r>
      <w:r w:rsidR="008B1EF3" w:rsidRPr="00F208A6">
        <w:rPr>
          <w:rFonts w:ascii="Palatino Linotype" w:hAnsi="Palatino Linotype"/>
          <w:i/>
          <w:sz w:val="20"/>
          <w:szCs w:val="20"/>
        </w:rPr>
        <w:t xml:space="preserve">NO, entregan la información solicitada en forma completa, como se está solicitando claramente, la incompleta e imprecisa y con evasivas, Ya es la característica clásica, de un gobierno opaco sin transparencia a la información .FALTA DE ENTREGAR LO SIGUIENTE QUE CLARAMENTE SE SOLICITUD DE INFORMACIÓN Y NO SE NOS DE EL TRATO DE LIMOSNEROS DE LA INFORMACIÓN PUBLICA.: Por lo que exijo se me proporcione la información de forma completa, tal y como lo indica la ley de transparencia y acceso a la información pública de estado de México y municipios... Y NO TRAERNOS COMO LIMOSNEROS A LOS CIUDADANOS MEXIQUENSES, PARA </w:t>
      </w:r>
      <w:r w:rsidR="008B1EF3" w:rsidRPr="00F208A6">
        <w:rPr>
          <w:rFonts w:ascii="Palatino Linotype" w:hAnsi="Palatino Linotype"/>
          <w:i/>
          <w:sz w:val="20"/>
          <w:szCs w:val="20"/>
        </w:rPr>
        <w:lastRenderedPageBreak/>
        <w:t xml:space="preserve">SOLICITAR LA INFORMACIÓN,PONIÉNDONOS MILES DE TRABAS PARA SOLICITAR,LO QUE CONSTITUCIONALMENTE EN EL ART, 6 DE LA CONSTITUCIÓN FEDERAL .NOS MARCA,COMO UN DERECHO HUMANO.O TAMBIÉN LO CLÁSICO CLASIFICÁNDOLA COMO CONFIDENCIAL PARA NO,PROPORCIONAR LA INFORMACIÓN SOLICITADA QUE ES INFORMACIÓN PUBLICA.POR TAL SITUACIÓN Y HECHOS SE CASTIGUE ESTA CONDUCTA RECUENTE CONFORME A DERECHO. Como persona libre, el ser humano es un sujeto ético y social, dotado de derechos y deberes propios de su naturaleza, en este sentido, los derechos humanos son prerrogativas inherentes al hombre, por el simple hecho de su condición humana y sirven para garantizarle una vida digna. Es por ello que su realización efectiva o el pleno ejercicio de los mismos, es una condición indispensable para el desarrollo integral de la personas. En el Sistema Interamericano de Derechos Humanos, se concibe al derecho de acceso a la información en poder del Estado, como una de las prerrogativas fundamentales de la democracia representativa. En ese orden de ideas, dentro del catálogo de los derechos reconocidos por nuestra Carta Magna, encontramos que tanto el derecho a la información como el de acceso a la información, están consagrados en su artículo 6º, los cuales deberán ser garantizados por el Estado. En nuestra entidad, el artículo 5º de la Constitución Local, establece que “El derecho a la información será ? garantizado por el Estado” y que “Para garantizar el ejercicio del derecho de transparencia, acceso a la información pública y protección de datos personales, los poderes públicos y los organismos autónomos, transparentarán sus acciones, en términos de las disposiciones aplicables, la información será ? oportuna, clara, veraz y de fácil acceso”. Existe pues un consenso de la doctrina jurídica y el marco legal existente en relación a la importancia y lugar que ocupa el derecho de acceso a la información, no obstante lo anterior, las condiciones por la que atraviesa nuestro país reclaman especial cuidado y hacen imperiosa la necesidad de avanzar en esta materia. Por tanto, el derecho de acceso a la información es herramienta fundamental para el control ciudadano del funcionamiento del Estado y la gestión pública, en especial para el combate a la corrupción y una real cultura de rendición de cuentas, además que incentiva la participación ciudadana en asuntos públicos a través, entre otros, del ejercicio informado de los derechos políticos y, en general, para la exigibilidad de otros derechos humanos, que </w:t>
      </w:r>
      <w:r w:rsidR="008B1EF3" w:rsidRPr="00F208A6">
        <w:rPr>
          <w:rFonts w:ascii="Palatino Linotype" w:hAnsi="Palatino Linotype"/>
          <w:i/>
          <w:sz w:val="20"/>
          <w:szCs w:val="20"/>
        </w:rPr>
        <w:lastRenderedPageBreak/>
        <w:t xml:space="preserve">permitan el desarrollo integral de toda persona .La sociedad civil organizada ha hecho planteamientos trascendentes en este tema, entre los que destaca el de Transparencia Mexicana, organización que ha manifestado entre otros aspectos, su preocupación por que las acciones de Gobierno y Parlamento Abierto se conviertan en auténticas prácticas transversales y generales, más allá del Plan de Acción 2019 al que México se comprometió en el marco de Alianza para el Gobierno Abierto, al tiempo que hace un llamado a que México apruebe una política nacional de datos abiertos. Tiene por objeto establecer las bases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en el Estado de México y sus municipios, así como promover, mejorar, ampliar y consolidar la participación ciudadana en los asuntos públicos y de gobierno. Se incluye la integración de un catálogo amplio de conceptos relativos a la transparencia y Acceso a la Información Pública para orientar el margen de interpretación del Organismo Garante, sujetos obligados o particulares; esto con la finalidad de garantizar mayor certeza jurídica en la propia interpretación de la presente Ley. Se define que el Derecho de Acceso a la Información Pública es un derecho fundamental el cual contiene en sí mismo La libertad de toda persona para acceder, solicitar, difundir, investigar y recabar información pública generada, administrada o en poder de los sujetos obligados, en los términos de ley. Se contemplan la observancia de Principios para el Derecho de Acceso a la Información Pública, en su carácter de gratuita, veraz, confiable, oportuna, congruente, integral, actualizada, accesible, comprensible, verificable y de fácil acceso. Por lo que hace a Organismo Garante, se procura la observancia de los principios rectores que le dan sustento, los cuales son. Certeza; II. Eficacia; III. Imparcialidad; IV. Independencia; V. Legalidad; VI. Máxima Publicidad; VII. Objetividad; VIII. Profesionalismo y; IX. Transparencia .Se destacan los principios de presunción de existencia y el principio de documentar, es decir, que se presume que la información debe existir si se refiere a las facultades, competencias y funciones que los ordenamientos jurídicos aplicables otorgan a los sujetos obligados, así como la obligatoriedad de los servidores públicos de los diversos órdenes de gobierno de documentar la gestión pública o el ejercicio de sus atribuciones y facultades, </w:t>
      </w:r>
      <w:r w:rsidR="008B1EF3" w:rsidRPr="00F208A6">
        <w:rPr>
          <w:rFonts w:ascii="Palatino Linotype" w:hAnsi="Palatino Linotype"/>
          <w:i/>
          <w:sz w:val="20"/>
          <w:szCs w:val="20"/>
        </w:rPr>
        <w:lastRenderedPageBreak/>
        <w:t>como principio generador de información .POR LO ANTERIOR SOLICITO AL PLENO DEL Instituto de Transparencia, Acceso a la Información Pública y Protección de Datos Personales del Estado de México y Municipios. TERMINAR .CON ESTE TIPO DE PRACTICAS QUE TANTO HAN DAÑADO AL PAÍS, .NO, entregan la información solicitada en forma completa, como se está solicitando claramente Pacto Internacional de Derechos Económicos, Sociales y Culturales Adoptado y abierto a la firma, ratificación y adhesión por la Asamblea General en su resolución 2200 A (XXI), de 16 de diciembre de 1966 Entrada en vigor: 3 de enero de 1976, de conformidad con el artículo 27 2. No podrá admitirse restricción o menoscabo de ninguno de los derechos humanos fundamentales reconocidos o vigentes en un país en virtud de leyes, convenciones, reglamentos o costumbres, a pretexto de que el presente Pacto no los reconoce o los reconoce en menor grado. Artículo 18 En virtud de las atribuciones que la Carta de las Naciones Unidas le confiere en materia de derechos humanos y libertades fundamentales, el Consejo Económico y Social podrá concluir acuerdos con los organismos especializados sobre la presentación por tales organismos de informes relativos al cumplimiento de las disposiciones de este Pacto que corresponden a su campo de actividades. Estos informes podrán contener detalles sobre las decisiones y recomendaciones que en relación con ese cumplimiento hayan aprobado los órganos competentes de dichos organismos. Artículo 24 Ninguna disposición del presente Pacto deberá interpretarse en menoscabo de las disposiciones de la Carta de las Naciones Unidas o de las constituciones de los organismos especializados que definen las atribuciones de los diversos órganos de las Naciones Unidas y de los organismos especializados en cuanto a las materias a que se refiere el Pacto.</w:t>
      </w:r>
      <w:r w:rsidR="00EC56BB" w:rsidRPr="00F208A6">
        <w:rPr>
          <w:rFonts w:ascii="Palatino Linotype" w:hAnsi="Palatino Linotype"/>
          <w:i/>
          <w:sz w:val="20"/>
          <w:szCs w:val="20"/>
        </w:rPr>
        <w:t>”</w:t>
      </w:r>
      <w:r w:rsidR="00351483" w:rsidRPr="00F208A6">
        <w:rPr>
          <w:rFonts w:ascii="Palatino Linotype" w:hAnsi="Palatino Linotype"/>
          <w:i/>
          <w:sz w:val="20"/>
          <w:szCs w:val="20"/>
        </w:rPr>
        <w:t xml:space="preserve"> </w:t>
      </w:r>
      <w:r w:rsidR="001F1D7F" w:rsidRPr="00F208A6">
        <w:rPr>
          <w:rFonts w:ascii="Palatino Linotype" w:hAnsi="Palatino Linotype"/>
          <w:i/>
          <w:sz w:val="20"/>
          <w:szCs w:val="20"/>
        </w:rPr>
        <w:t xml:space="preserve"> </w:t>
      </w:r>
    </w:p>
    <w:p w14:paraId="4D783EDF" w14:textId="77777777" w:rsidR="00AB0507" w:rsidRPr="00F208A6" w:rsidRDefault="00AB0507" w:rsidP="007706FD">
      <w:pPr>
        <w:spacing w:line="360" w:lineRule="auto"/>
        <w:jc w:val="both"/>
        <w:rPr>
          <w:rFonts w:ascii="Verdana" w:hAnsi="Verdana"/>
          <w:color w:val="000000"/>
          <w:sz w:val="10"/>
          <w:szCs w:val="14"/>
        </w:rPr>
      </w:pPr>
    </w:p>
    <w:p w14:paraId="3551593D" w14:textId="4FE2EB90" w:rsidR="00182E3C" w:rsidRPr="00F208A6" w:rsidRDefault="00182E3C" w:rsidP="007706FD">
      <w:pPr>
        <w:spacing w:line="360" w:lineRule="auto"/>
        <w:jc w:val="both"/>
        <w:rPr>
          <w:rFonts w:ascii="Palatino Linotype" w:eastAsia="Calibri" w:hAnsi="Palatino Linotype" w:cs="Tahoma"/>
          <w:bCs/>
          <w:sz w:val="18"/>
          <w:szCs w:val="22"/>
          <w:lang w:eastAsia="en-US"/>
        </w:rPr>
      </w:pPr>
    </w:p>
    <w:p w14:paraId="7666FE9B" w14:textId="2688480F" w:rsidR="00806E45" w:rsidRPr="00F208A6" w:rsidRDefault="007F0030" w:rsidP="007706FD">
      <w:pPr>
        <w:spacing w:line="360" w:lineRule="auto"/>
        <w:jc w:val="both"/>
        <w:rPr>
          <w:rFonts w:ascii="Palatino Linotype" w:eastAsia="Calibri" w:hAnsi="Palatino Linotype" w:cs="Tahoma"/>
          <w:b/>
          <w:bCs/>
          <w:sz w:val="22"/>
          <w:szCs w:val="22"/>
          <w:lang w:val="es-ES" w:eastAsia="en-US"/>
        </w:rPr>
      </w:pPr>
      <w:r w:rsidRPr="00F208A6">
        <w:rPr>
          <w:rFonts w:ascii="Palatino Linotype" w:eastAsia="Calibri" w:hAnsi="Palatino Linotype" w:cs="Tahoma"/>
          <w:b/>
          <w:bCs/>
          <w:sz w:val="22"/>
          <w:szCs w:val="22"/>
          <w:lang w:val="es-ES" w:eastAsia="en-US"/>
        </w:rPr>
        <w:t>I</w:t>
      </w:r>
      <w:r w:rsidR="00806E45" w:rsidRPr="00F208A6">
        <w:rPr>
          <w:rFonts w:ascii="Palatino Linotype" w:eastAsia="Calibri" w:hAnsi="Palatino Linotype" w:cs="Tahoma"/>
          <w:b/>
          <w:bCs/>
          <w:sz w:val="22"/>
          <w:szCs w:val="22"/>
          <w:lang w:val="es-ES" w:eastAsia="en-US"/>
        </w:rPr>
        <w:t xml:space="preserve">V. Trámite </w:t>
      </w:r>
      <w:r w:rsidR="00C223E0" w:rsidRPr="00F208A6">
        <w:rPr>
          <w:rFonts w:ascii="Palatino Linotype" w:eastAsia="Calibri" w:hAnsi="Palatino Linotype" w:cs="Tahoma"/>
          <w:b/>
          <w:bCs/>
          <w:sz w:val="22"/>
          <w:szCs w:val="22"/>
          <w:lang w:val="es-ES" w:eastAsia="en-US"/>
        </w:rPr>
        <w:t>del</w:t>
      </w:r>
      <w:r w:rsidR="00806E45" w:rsidRPr="00F208A6">
        <w:rPr>
          <w:rFonts w:ascii="Palatino Linotype" w:eastAsia="Calibri" w:hAnsi="Palatino Linotype" w:cs="Tahoma"/>
          <w:b/>
          <w:bCs/>
          <w:sz w:val="22"/>
          <w:szCs w:val="22"/>
          <w:lang w:val="es-ES" w:eastAsia="en-US"/>
        </w:rPr>
        <w:t xml:space="preserve"> Recurso de Revisión ante el Instituto.</w:t>
      </w:r>
    </w:p>
    <w:p w14:paraId="68427C9D" w14:textId="77777777" w:rsidR="00806E45" w:rsidRPr="00F208A6" w:rsidRDefault="00806E45" w:rsidP="007706FD">
      <w:pPr>
        <w:spacing w:line="360" w:lineRule="auto"/>
        <w:jc w:val="both"/>
        <w:rPr>
          <w:rFonts w:ascii="Palatino Linotype" w:eastAsia="Calibri" w:hAnsi="Palatino Linotype" w:cs="Tahoma"/>
          <w:b/>
          <w:bCs/>
          <w:sz w:val="22"/>
          <w:szCs w:val="22"/>
          <w:lang w:val="es-ES" w:eastAsia="en-US"/>
        </w:rPr>
      </w:pPr>
    </w:p>
    <w:p w14:paraId="59B37A0F" w14:textId="58370830" w:rsidR="00806E45" w:rsidRPr="00F208A6" w:rsidRDefault="00806E45"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
          <w:bCs/>
          <w:sz w:val="22"/>
          <w:szCs w:val="22"/>
          <w:lang w:val="es-ES" w:eastAsia="en-US"/>
        </w:rPr>
        <w:t xml:space="preserve">a) Turno </w:t>
      </w:r>
      <w:r w:rsidR="00BE625E" w:rsidRPr="00F208A6">
        <w:rPr>
          <w:rFonts w:ascii="Palatino Linotype" w:eastAsia="Calibri" w:hAnsi="Palatino Linotype" w:cs="Tahoma"/>
          <w:b/>
          <w:bCs/>
          <w:sz w:val="22"/>
          <w:szCs w:val="22"/>
          <w:lang w:val="es-ES" w:eastAsia="en-US"/>
        </w:rPr>
        <w:t>del</w:t>
      </w:r>
      <w:r w:rsidRPr="00F208A6">
        <w:rPr>
          <w:rFonts w:ascii="Palatino Linotype" w:eastAsia="Calibri" w:hAnsi="Palatino Linotype" w:cs="Tahoma"/>
          <w:b/>
          <w:bCs/>
          <w:sz w:val="22"/>
          <w:szCs w:val="22"/>
          <w:lang w:val="es-ES" w:eastAsia="en-US"/>
        </w:rPr>
        <w:t xml:space="preserve"> Recurso de Revisión. </w:t>
      </w:r>
      <w:r w:rsidR="005F7C9D" w:rsidRPr="00F208A6">
        <w:rPr>
          <w:rFonts w:ascii="Palatino Linotype" w:eastAsia="Calibri" w:hAnsi="Palatino Linotype" w:cs="Tahoma"/>
          <w:bCs/>
          <w:sz w:val="22"/>
          <w:szCs w:val="22"/>
          <w:lang w:eastAsia="en-US"/>
        </w:rPr>
        <w:t xml:space="preserve">El </w:t>
      </w:r>
      <w:r w:rsidR="008B1EF3" w:rsidRPr="00F208A6">
        <w:rPr>
          <w:rFonts w:ascii="Palatino Linotype" w:eastAsia="Calibri" w:hAnsi="Palatino Linotype" w:cs="Tahoma"/>
          <w:bCs/>
          <w:sz w:val="22"/>
          <w:szCs w:val="22"/>
          <w:lang w:eastAsia="en-US"/>
        </w:rPr>
        <w:t>catorce</w:t>
      </w:r>
      <w:r w:rsidR="001A02A7" w:rsidRPr="00F208A6">
        <w:rPr>
          <w:rFonts w:ascii="Palatino Linotype" w:eastAsia="Calibri" w:hAnsi="Palatino Linotype" w:cs="Tahoma"/>
          <w:bCs/>
          <w:sz w:val="22"/>
          <w:szCs w:val="22"/>
          <w:lang w:eastAsia="en-US"/>
        </w:rPr>
        <w:t xml:space="preserve"> de agosto</w:t>
      </w:r>
      <w:r w:rsidR="005F7C9D" w:rsidRPr="00F208A6">
        <w:rPr>
          <w:rFonts w:ascii="Palatino Linotype" w:eastAsia="Calibri" w:hAnsi="Palatino Linotype" w:cs="Tahoma"/>
          <w:bCs/>
          <w:sz w:val="22"/>
          <w:szCs w:val="22"/>
          <w:lang w:eastAsia="en-US"/>
        </w:rPr>
        <w:t xml:space="preserve"> de la presente anualidad</w:t>
      </w:r>
      <w:r w:rsidRPr="00F208A6">
        <w:rPr>
          <w:rFonts w:ascii="Palatino Linotype" w:eastAsia="Calibri" w:hAnsi="Palatino Linotype" w:cs="Tahoma"/>
          <w:bCs/>
          <w:sz w:val="22"/>
          <w:szCs w:val="22"/>
          <w:lang w:eastAsia="en-US"/>
        </w:rPr>
        <w:t>, el Sistema de Acceso a la Información Mexiquense</w:t>
      </w:r>
      <w:r w:rsidR="00602617" w:rsidRPr="00F208A6">
        <w:rPr>
          <w:rFonts w:ascii="Palatino Linotype" w:eastAsia="Calibri" w:hAnsi="Palatino Linotype" w:cs="Tahoma"/>
          <w:bCs/>
          <w:sz w:val="22"/>
          <w:szCs w:val="22"/>
          <w:lang w:eastAsia="en-US"/>
        </w:rPr>
        <w:t xml:space="preserve"> (SAIMEX),</w:t>
      </w:r>
      <w:r w:rsidR="00656318" w:rsidRPr="00F208A6">
        <w:rPr>
          <w:rFonts w:ascii="Palatino Linotype" w:eastAsia="Calibri" w:hAnsi="Palatino Linotype" w:cs="Tahoma"/>
          <w:bCs/>
          <w:sz w:val="22"/>
          <w:szCs w:val="22"/>
          <w:lang w:eastAsia="en-US"/>
        </w:rPr>
        <w:t xml:space="preserve"> asignó </w:t>
      </w:r>
      <w:r w:rsidR="00C223E0" w:rsidRPr="00F208A6">
        <w:rPr>
          <w:rFonts w:ascii="Palatino Linotype" w:eastAsia="Calibri" w:hAnsi="Palatino Linotype" w:cs="Tahoma"/>
          <w:bCs/>
          <w:sz w:val="22"/>
          <w:szCs w:val="22"/>
          <w:lang w:eastAsia="en-US"/>
        </w:rPr>
        <w:t xml:space="preserve">el </w:t>
      </w:r>
      <w:r w:rsidRPr="00F208A6">
        <w:rPr>
          <w:rFonts w:ascii="Palatino Linotype" w:eastAsia="Calibri" w:hAnsi="Palatino Linotype" w:cs="Tahoma"/>
          <w:bCs/>
          <w:sz w:val="22"/>
          <w:szCs w:val="22"/>
          <w:lang w:eastAsia="en-US"/>
        </w:rPr>
        <w:t>número de expediente</w:t>
      </w:r>
      <w:r w:rsidR="00C223E0" w:rsidRPr="00F208A6">
        <w:rPr>
          <w:rFonts w:ascii="Palatino Linotype" w:eastAsia="Calibri" w:hAnsi="Palatino Linotype" w:cs="Tahoma"/>
          <w:bCs/>
          <w:sz w:val="22"/>
          <w:szCs w:val="22"/>
          <w:lang w:eastAsia="en-US"/>
        </w:rPr>
        <w:t xml:space="preserve"> </w:t>
      </w:r>
      <w:r w:rsidR="00384542" w:rsidRPr="00F208A6">
        <w:rPr>
          <w:rFonts w:ascii="Palatino Linotype" w:hAnsi="Palatino Linotype" w:cs="Tahoma"/>
          <w:b/>
          <w:bCs/>
          <w:color w:val="0D0D0D" w:themeColor="text1" w:themeTint="F2"/>
          <w:sz w:val="22"/>
          <w:szCs w:val="22"/>
        </w:rPr>
        <w:t>0</w:t>
      </w:r>
      <w:r w:rsidR="00730D30" w:rsidRPr="00F208A6">
        <w:rPr>
          <w:rFonts w:ascii="Palatino Linotype" w:hAnsi="Palatino Linotype" w:cs="Tahoma"/>
          <w:b/>
          <w:bCs/>
          <w:color w:val="0D0D0D" w:themeColor="text1" w:themeTint="F2"/>
          <w:sz w:val="22"/>
          <w:szCs w:val="22"/>
        </w:rPr>
        <w:t>6</w:t>
      </w:r>
      <w:r w:rsidR="00BE625E" w:rsidRPr="00F208A6">
        <w:rPr>
          <w:rFonts w:ascii="Palatino Linotype" w:hAnsi="Palatino Linotype" w:cs="Tahoma"/>
          <w:b/>
          <w:bCs/>
          <w:color w:val="0D0D0D" w:themeColor="text1" w:themeTint="F2"/>
          <w:sz w:val="22"/>
          <w:szCs w:val="22"/>
        </w:rPr>
        <w:t>6</w:t>
      </w:r>
      <w:r w:rsidR="008B1EF3" w:rsidRPr="00F208A6">
        <w:rPr>
          <w:rFonts w:ascii="Palatino Linotype" w:hAnsi="Palatino Linotype" w:cs="Tahoma"/>
          <w:b/>
          <w:bCs/>
          <w:color w:val="0D0D0D" w:themeColor="text1" w:themeTint="F2"/>
          <w:sz w:val="22"/>
          <w:szCs w:val="22"/>
        </w:rPr>
        <w:t>21</w:t>
      </w:r>
      <w:r w:rsidR="00BB247C" w:rsidRPr="00F208A6">
        <w:rPr>
          <w:rFonts w:ascii="Palatino Linotype" w:hAnsi="Palatino Linotype" w:cs="Tahoma"/>
          <w:b/>
          <w:bCs/>
          <w:color w:val="0D0D0D" w:themeColor="text1" w:themeTint="F2"/>
          <w:sz w:val="22"/>
          <w:szCs w:val="22"/>
        </w:rPr>
        <w:t>/INFOEM/IP/RR/2019</w:t>
      </w:r>
      <w:r w:rsidR="00384542" w:rsidRPr="00F208A6">
        <w:rPr>
          <w:rFonts w:ascii="Palatino Linotype" w:hAnsi="Palatino Linotype" w:cs="Tahoma"/>
          <w:b/>
          <w:bCs/>
          <w:color w:val="0D0D0D" w:themeColor="text1" w:themeTint="F2"/>
          <w:sz w:val="22"/>
          <w:szCs w:val="22"/>
        </w:rPr>
        <w:t xml:space="preserve">, </w:t>
      </w:r>
      <w:r w:rsidR="00C223E0" w:rsidRPr="00F208A6">
        <w:rPr>
          <w:rFonts w:ascii="Palatino Linotype" w:eastAsia="Calibri" w:hAnsi="Palatino Linotype" w:cs="Tahoma"/>
          <w:bCs/>
          <w:sz w:val="22"/>
          <w:szCs w:val="22"/>
          <w:lang w:eastAsia="en-US"/>
        </w:rPr>
        <w:t>al</w:t>
      </w:r>
      <w:r w:rsidRPr="00F208A6">
        <w:rPr>
          <w:rFonts w:ascii="Palatino Linotype" w:eastAsia="Calibri" w:hAnsi="Palatino Linotype" w:cs="Tahoma"/>
          <w:bCs/>
          <w:sz w:val="22"/>
          <w:szCs w:val="22"/>
          <w:lang w:eastAsia="en-US"/>
        </w:rPr>
        <w:t xml:space="preserve"> Recurso de Revisión y lo turnó al Comisionado Ponente </w:t>
      </w:r>
      <w:r w:rsidRPr="00F208A6">
        <w:rPr>
          <w:rFonts w:ascii="Palatino Linotype" w:eastAsia="Calibri" w:hAnsi="Palatino Linotype" w:cs="Tahoma"/>
          <w:b/>
          <w:bCs/>
          <w:sz w:val="22"/>
          <w:szCs w:val="22"/>
          <w:lang w:eastAsia="en-US"/>
        </w:rPr>
        <w:t xml:space="preserve">Luis </w:t>
      </w:r>
      <w:r w:rsidRPr="00F208A6">
        <w:rPr>
          <w:rFonts w:ascii="Palatino Linotype" w:eastAsia="Calibri" w:hAnsi="Palatino Linotype" w:cs="Tahoma"/>
          <w:b/>
          <w:bCs/>
          <w:sz w:val="22"/>
          <w:szCs w:val="22"/>
          <w:lang w:eastAsia="en-US"/>
        </w:rPr>
        <w:lastRenderedPageBreak/>
        <w:t>Gustavo Parra Noriega</w:t>
      </w:r>
      <w:r w:rsidRPr="00F208A6">
        <w:rPr>
          <w:rFonts w:ascii="Palatino Linotype" w:eastAsia="Calibri" w:hAnsi="Palatino Linotype" w:cs="Tahoma"/>
          <w:bCs/>
          <w:sz w:val="22"/>
          <w:szCs w:val="22"/>
          <w:lang w:eastAsia="en-US"/>
        </w:rPr>
        <w:t>, para los efectos del artículo 185, fracción I</w:t>
      </w:r>
      <w:r w:rsidR="00534263" w:rsidRPr="00F208A6">
        <w:rPr>
          <w:rFonts w:ascii="Palatino Linotype" w:eastAsia="Calibri" w:hAnsi="Palatino Linotype" w:cs="Tahoma"/>
          <w:bCs/>
          <w:sz w:val="22"/>
          <w:szCs w:val="22"/>
          <w:lang w:eastAsia="en-US"/>
        </w:rPr>
        <w:t>,</w:t>
      </w:r>
      <w:r w:rsidRPr="00F208A6">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F208A6" w:rsidRDefault="00806E45" w:rsidP="007706FD">
      <w:pPr>
        <w:spacing w:line="360" w:lineRule="auto"/>
        <w:jc w:val="both"/>
        <w:rPr>
          <w:rFonts w:ascii="Palatino Linotype" w:eastAsia="Calibri" w:hAnsi="Palatino Linotype" w:cs="Tahoma"/>
          <w:b/>
          <w:bCs/>
          <w:sz w:val="22"/>
          <w:szCs w:val="22"/>
          <w:lang w:val="es-ES" w:eastAsia="en-US"/>
        </w:rPr>
      </w:pPr>
    </w:p>
    <w:p w14:paraId="269F3582" w14:textId="1AC92F7F" w:rsidR="00806E45" w:rsidRPr="00F208A6" w:rsidRDefault="00806E45"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
          <w:bCs/>
          <w:sz w:val="22"/>
          <w:szCs w:val="22"/>
          <w:lang w:val="es-ES" w:eastAsia="en-US"/>
        </w:rPr>
        <w:t xml:space="preserve">b) Admisión </w:t>
      </w:r>
      <w:r w:rsidR="001A02A7" w:rsidRPr="00F208A6">
        <w:rPr>
          <w:rFonts w:ascii="Palatino Linotype" w:eastAsia="Calibri" w:hAnsi="Palatino Linotype" w:cs="Tahoma"/>
          <w:b/>
          <w:bCs/>
          <w:sz w:val="22"/>
          <w:szCs w:val="22"/>
          <w:lang w:val="es-ES" w:eastAsia="en-US"/>
        </w:rPr>
        <w:t>del</w:t>
      </w:r>
      <w:r w:rsidRPr="00F208A6">
        <w:rPr>
          <w:rFonts w:ascii="Palatino Linotype" w:eastAsia="Calibri" w:hAnsi="Palatino Linotype" w:cs="Tahoma"/>
          <w:b/>
          <w:bCs/>
          <w:sz w:val="22"/>
          <w:szCs w:val="22"/>
          <w:lang w:val="es-ES" w:eastAsia="en-US"/>
        </w:rPr>
        <w:t xml:space="preserve"> Recurso de Revisión</w:t>
      </w:r>
      <w:r w:rsidRPr="00F208A6">
        <w:rPr>
          <w:rFonts w:ascii="Palatino Linotype" w:eastAsia="Calibri" w:hAnsi="Palatino Linotype" w:cs="Tahoma"/>
          <w:b/>
          <w:bCs/>
          <w:sz w:val="22"/>
          <w:szCs w:val="22"/>
          <w:lang w:val="es-ES_tradnl" w:eastAsia="en-US"/>
        </w:rPr>
        <w:t xml:space="preserve">. </w:t>
      </w:r>
      <w:r w:rsidR="009B2917" w:rsidRPr="00F208A6">
        <w:rPr>
          <w:rFonts w:ascii="Palatino Linotype" w:eastAsia="Calibri" w:hAnsi="Palatino Linotype" w:cs="Tahoma"/>
          <w:bCs/>
          <w:sz w:val="22"/>
          <w:szCs w:val="22"/>
          <w:lang w:val="es-ES_tradnl" w:eastAsia="en-US"/>
        </w:rPr>
        <w:t xml:space="preserve">El </w:t>
      </w:r>
      <w:r w:rsidR="008B1EF3" w:rsidRPr="00F208A6">
        <w:rPr>
          <w:rFonts w:ascii="Palatino Linotype" w:eastAsia="Calibri" w:hAnsi="Palatino Linotype" w:cs="Tahoma"/>
          <w:bCs/>
          <w:sz w:val="22"/>
          <w:szCs w:val="22"/>
          <w:lang w:val="es-ES_tradnl" w:eastAsia="en-US"/>
        </w:rPr>
        <w:t>veinte</w:t>
      </w:r>
      <w:r w:rsidR="00730D30" w:rsidRPr="00F208A6">
        <w:rPr>
          <w:rFonts w:ascii="Palatino Linotype" w:eastAsia="Calibri" w:hAnsi="Palatino Linotype" w:cs="Tahoma"/>
          <w:bCs/>
          <w:sz w:val="22"/>
          <w:szCs w:val="22"/>
          <w:lang w:val="es-ES_tradnl" w:eastAsia="en-US"/>
        </w:rPr>
        <w:t xml:space="preserve"> de agosto</w:t>
      </w:r>
      <w:r w:rsidR="009B2917" w:rsidRPr="00F208A6">
        <w:rPr>
          <w:rFonts w:ascii="Palatino Linotype" w:eastAsia="Calibri" w:hAnsi="Palatino Linotype" w:cs="Tahoma"/>
          <w:bCs/>
          <w:sz w:val="22"/>
          <w:szCs w:val="22"/>
          <w:lang w:val="es-ES_tradnl" w:eastAsia="en-US"/>
        </w:rPr>
        <w:t xml:space="preserve"> de dos mil diecinueve</w:t>
      </w:r>
      <w:r w:rsidR="00BD0F30" w:rsidRPr="00F208A6">
        <w:rPr>
          <w:rFonts w:ascii="Palatino Linotype" w:eastAsia="Calibri" w:hAnsi="Palatino Linotype" w:cs="Tahoma"/>
          <w:bCs/>
          <w:sz w:val="22"/>
          <w:szCs w:val="22"/>
          <w:lang w:val="es-ES_tradnl" w:eastAsia="en-US"/>
        </w:rPr>
        <w:t xml:space="preserve">, </w:t>
      </w:r>
      <w:r w:rsidRPr="00F208A6">
        <w:rPr>
          <w:rFonts w:ascii="Palatino Linotype" w:eastAsia="Calibri" w:hAnsi="Palatino Linotype" w:cs="Tahoma"/>
          <w:bCs/>
          <w:sz w:val="22"/>
          <w:szCs w:val="22"/>
          <w:lang w:val="es-ES_tradnl" w:eastAsia="en-US"/>
        </w:rPr>
        <w:t xml:space="preserve">el Comisionado Ponente </w:t>
      </w:r>
      <w:r w:rsidRPr="00F208A6">
        <w:rPr>
          <w:rFonts w:ascii="Palatino Linotype" w:eastAsia="Calibri" w:hAnsi="Palatino Linotype" w:cs="Tahoma"/>
          <w:b/>
          <w:bCs/>
          <w:sz w:val="22"/>
          <w:szCs w:val="22"/>
          <w:lang w:eastAsia="en-US"/>
        </w:rPr>
        <w:t>acordó la admisión</w:t>
      </w:r>
      <w:r w:rsidRPr="00F208A6">
        <w:rPr>
          <w:rFonts w:ascii="Palatino Linotype" w:eastAsia="Calibri" w:hAnsi="Palatino Linotype" w:cs="Tahoma"/>
          <w:bCs/>
          <w:sz w:val="22"/>
          <w:szCs w:val="22"/>
          <w:lang w:eastAsia="en-US"/>
        </w:rPr>
        <w:t xml:space="preserve"> </w:t>
      </w:r>
      <w:r w:rsidR="008B1EF3" w:rsidRPr="00F208A6">
        <w:rPr>
          <w:rFonts w:ascii="Palatino Linotype" w:eastAsia="Calibri" w:hAnsi="Palatino Linotype" w:cs="Tahoma"/>
          <w:b/>
          <w:bCs/>
          <w:sz w:val="22"/>
          <w:szCs w:val="22"/>
          <w:lang w:eastAsia="en-US"/>
        </w:rPr>
        <w:t>del</w:t>
      </w:r>
      <w:r w:rsidRPr="00F208A6">
        <w:rPr>
          <w:rFonts w:ascii="Palatino Linotype" w:eastAsia="Calibri" w:hAnsi="Palatino Linotype" w:cs="Tahoma"/>
          <w:b/>
          <w:bCs/>
          <w:sz w:val="22"/>
          <w:szCs w:val="22"/>
          <w:lang w:val="es-ES" w:eastAsia="en-US"/>
        </w:rPr>
        <w:t xml:space="preserve"> Recurso de Revisión</w:t>
      </w:r>
      <w:r w:rsidRPr="00F208A6">
        <w:rPr>
          <w:rFonts w:ascii="Palatino Linotype" w:eastAsia="Calibri" w:hAnsi="Palatino Linotype" w:cs="Tahoma"/>
          <w:bCs/>
          <w:sz w:val="22"/>
          <w:szCs w:val="22"/>
          <w:lang w:val="es-ES" w:eastAsia="en-US"/>
        </w:rPr>
        <w:t xml:space="preserve"> interpuesto por </w:t>
      </w:r>
      <w:r w:rsidR="009B2917" w:rsidRPr="00F208A6">
        <w:rPr>
          <w:rFonts w:ascii="Palatino Linotype" w:eastAsia="Calibri" w:hAnsi="Palatino Linotype" w:cs="Tahoma"/>
          <w:bCs/>
          <w:sz w:val="22"/>
          <w:szCs w:val="22"/>
          <w:lang w:val="es-ES" w:eastAsia="en-US"/>
        </w:rPr>
        <w:t xml:space="preserve">el </w:t>
      </w:r>
      <w:r w:rsidR="008A2809" w:rsidRPr="00F208A6">
        <w:rPr>
          <w:rFonts w:ascii="Palatino Linotype" w:eastAsia="Calibri" w:hAnsi="Palatino Linotype" w:cs="Tahoma"/>
          <w:bCs/>
          <w:sz w:val="22"/>
          <w:szCs w:val="22"/>
          <w:lang w:val="es-ES" w:eastAsia="en-US"/>
        </w:rPr>
        <w:t xml:space="preserve">Recurrente </w:t>
      </w:r>
      <w:r w:rsidRPr="00F208A6">
        <w:rPr>
          <w:rFonts w:ascii="Palatino Linotype" w:eastAsia="Calibri" w:hAnsi="Palatino Linotype" w:cs="Tahoma"/>
          <w:bCs/>
          <w:sz w:val="22"/>
          <w:szCs w:val="22"/>
          <w:lang w:val="es-ES" w:eastAsia="en-US"/>
        </w:rPr>
        <w:t>en contra de la</w:t>
      </w:r>
      <w:r w:rsidR="00631C2C" w:rsidRPr="00F208A6">
        <w:rPr>
          <w:rFonts w:ascii="Palatino Linotype" w:eastAsia="Calibri" w:hAnsi="Palatino Linotype" w:cs="Tahoma"/>
          <w:bCs/>
          <w:sz w:val="22"/>
          <w:szCs w:val="22"/>
          <w:lang w:val="es-ES" w:eastAsia="en-US"/>
        </w:rPr>
        <w:t xml:space="preserve"> </w:t>
      </w:r>
      <w:r w:rsidRPr="00F208A6">
        <w:rPr>
          <w:rFonts w:ascii="Palatino Linotype" w:eastAsia="Calibri" w:hAnsi="Palatino Linotype" w:cs="Tahoma"/>
          <w:bCs/>
          <w:sz w:val="22"/>
          <w:szCs w:val="22"/>
          <w:lang w:val="es-ES" w:eastAsia="en-US"/>
        </w:rPr>
        <w:t xml:space="preserve">respuesta </w:t>
      </w:r>
      <w:r w:rsidR="00631C2C" w:rsidRPr="00F208A6">
        <w:rPr>
          <w:rFonts w:ascii="Palatino Linotype" w:eastAsia="Calibri" w:hAnsi="Palatino Linotype" w:cs="Tahoma"/>
          <w:bCs/>
          <w:sz w:val="22"/>
          <w:szCs w:val="22"/>
          <w:lang w:val="es-ES" w:eastAsia="en-US"/>
        </w:rPr>
        <w:t>d</w:t>
      </w:r>
      <w:r w:rsidR="00A119D6" w:rsidRPr="00F208A6">
        <w:rPr>
          <w:rFonts w:ascii="Palatino Linotype" w:eastAsia="Calibri" w:hAnsi="Palatino Linotype" w:cs="Tahoma"/>
          <w:bCs/>
          <w:sz w:val="22"/>
          <w:szCs w:val="22"/>
          <w:lang w:val="es-ES" w:eastAsia="en-US"/>
        </w:rPr>
        <w:t xml:space="preserve">el </w:t>
      </w:r>
      <w:r w:rsidR="00C223E0" w:rsidRPr="00F208A6">
        <w:rPr>
          <w:rFonts w:ascii="Palatino Linotype" w:hAnsi="Palatino Linotype"/>
          <w:b/>
          <w:bCs/>
          <w:color w:val="000000"/>
          <w:sz w:val="22"/>
          <w:szCs w:val="14"/>
        </w:rPr>
        <w:t xml:space="preserve">Ayuntamiento de </w:t>
      </w:r>
      <w:r w:rsidR="008B1EF3" w:rsidRPr="00F208A6">
        <w:rPr>
          <w:rFonts w:ascii="Palatino Linotype" w:hAnsi="Palatino Linotype"/>
          <w:b/>
          <w:bCs/>
          <w:color w:val="000000"/>
          <w:sz w:val="22"/>
          <w:szCs w:val="14"/>
        </w:rPr>
        <w:t>Tecámac</w:t>
      </w:r>
      <w:r w:rsidR="00C2093E" w:rsidRPr="00F208A6">
        <w:rPr>
          <w:rFonts w:ascii="Palatino Linotype" w:eastAsia="Calibri" w:hAnsi="Palatino Linotype" w:cs="Tahoma"/>
          <w:bCs/>
          <w:sz w:val="22"/>
          <w:szCs w:val="22"/>
          <w:lang w:val="es-ES" w:eastAsia="en-US"/>
        </w:rPr>
        <w:t>;</w:t>
      </w:r>
      <w:r w:rsidR="00176BDF" w:rsidRPr="00F208A6">
        <w:rPr>
          <w:rFonts w:ascii="Palatino Linotype" w:eastAsia="Calibri" w:hAnsi="Palatino Linotype" w:cs="Tahoma"/>
          <w:bCs/>
          <w:sz w:val="22"/>
          <w:szCs w:val="22"/>
          <w:lang w:val="es-ES" w:eastAsia="en-US"/>
        </w:rPr>
        <w:t xml:space="preserve"> la </w:t>
      </w:r>
      <w:r w:rsidR="00176BDF" w:rsidRPr="00F208A6">
        <w:rPr>
          <w:rFonts w:ascii="Palatino Linotype" w:eastAsia="Calibri" w:hAnsi="Palatino Linotype" w:cs="Tahoma"/>
          <w:b/>
          <w:bCs/>
          <w:sz w:val="22"/>
          <w:szCs w:val="22"/>
          <w:lang w:val="es-ES" w:eastAsia="en-US"/>
        </w:rPr>
        <w:t xml:space="preserve">integración </w:t>
      </w:r>
      <w:r w:rsidR="001A02A7" w:rsidRPr="00F208A6">
        <w:rPr>
          <w:rFonts w:ascii="Palatino Linotype" w:eastAsia="Calibri" w:hAnsi="Palatino Linotype" w:cs="Tahoma"/>
          <w:b/>
          <w:bCs/>
          <w:sz w:val="22"/>
          <w:szCs w:val="22"/>
          <w:lang w:val="es-ES" w:eastAsia="en-US"/>
        </w:rPr>
        <w:t>del</w:t>
      </w:r>
      <w:r w:rsidR="00176BDF" w:rsidRPr="00F208A6">
        <w:rPr>
          <w:rFonts w:ascii="Palatino Linotype" w:eastAsia="Calibri" w:hAnsi="Palatino Linotype" w:cs="Tahoma"/>
          <w:b/>
          <w:bCs/>
          <w:sz w:val="22"/>
          <w:szCs w:val="22"/>
          <w:lang w:val="es-ES" w:eastAsia="en-US"/>
        </w:rPr>
        <w:t xml:space="preserve"> expediente </w:t>
      </w:r>
      <w:r w:rsidR="00176BDF" w:rsidRPr="00F208A6">
        <w:rPr>
          <w:rFonts w:ascii="Palatino Linotype" w:eastAsia="Calibri" w:hAnsi="Palatino Linotype" w:cs="Tahoma"/>
          <w:bCs/>
          <w:sz w:val="22"/>
          <w:szCs w:val="22"/>
          <w:lang w:val="es-ES" w:eastAsia="en-US"/>
        </w:rPr>
        <w:t xml:space="preserve">y </w:t>
      </w:r>
      <w:r w:rsidR="00A119D6" w:rsidRPr="00F208A6">
        <w:rPr>
          <w:rFonts w:ascii="Palatino Linotype" w:eastAsia="Calibri" w:hAnsi="Palatino Linotype" w:cs="Tahoma"/>
          <w:b/>
          <w:bCs/>
          <w:sz w:val="22"/>
          <w:szCs w:val="22"/>
          <w:lang w:val="es-ES" w:eastAsia="en-US"/>
        </w:rPr>
        <w:t>la</w:t>
      </w:r>
      <w:r w:rsidR="00176BDF" w:rsidRPr="00F208A6">
        <w:rPr>
          <w:rFonts w:ascii="Palatino Linotype" w:eastAsia="Calibri" w:hAnsi="Palatino Linotype" w:cs="Tahoma"/>
          <w:b/>
          <w:bCs/>
          <w:sz w:val="22"/>
          <w:szCs w:val="22"/>
          <w:lang w:val="es-ES" w:eastAsia="en-US"/>
        </w:rPr>
        <w:t xml:space="preserve"> puesta a disposición </w:t>
      </w:r>
      <w:r w:rsidR="00176BDF" w:rsidRPr="00F208A6">
        <w:rPr>
          <w:rFonts w:ascii="Palatino Linotype" w:eastAsia="Calibri" w:hAnsi="Palatino Linotype" w:cs="Tahoma"/>
          <w:bCs/>
          <w:sz w:val="22"/>
          <w:szCs w:val="22"/>
          <w:lang w:val="es-ES" w:eastAsia="en-US"/>
        </w:rPr>
        <w:t xml:space="preserve">de las partes, </w:t>
      </w:r>
      <w:r w:rsidRPr="00F208A6">
        <w:rPr>
          <w:rFonts w:ascii="Palatino Linotype" w:eastAsia="Calibri" w:hAnsi="Palatino Linotype" w:cs="Tahoma"/>
          <w:bCs/>
          <w:sz w:val="22"/>
          <w:szCs w:val="22"/>
          <w:lang w:val="es-ES" w:eastAsia="en-US"/>
        </w:rPr>
        <w:t>en términos del a</w:t>
      </w:r>
      <w:r w:rsidR="00176BDF" w:rsidRPr="00F208A6">
        <w:rPr>
          <w:rFonts w:ascii="Palatino Linotype" w:eastAsia="Calibri" w:hAnsi="Palatino Linotype" w:cs="Tahoma"/>
          <w:bCs/>
          <w:sz w:val="22"/>
          <w:szCs w:val="22"/>
          <w:lang w:val="es-ES" w:eastAsia="en-US"/>
        </w:rPr>
        <w:t>rtículo 185, fracciones I y</w:t>
      </w:r>
      <w:r w:rsidRPr="00F208A6">
        <w:rPr>
          <w:rFonts w:ascii="Palatino Linotype" w:eastAsia="Calibri" w:hAnsi="Palatino Linotype" w:cs="Tahoma"/>
          <w:bCs/>
          <w:sz w:val="22"/>
          <w:szCs w:val="22"/>
          <w:lang w:val="es-ES" w:eastAsia="en-US"/>
        </w:rPr>
        <w:t xml:space="preserve"> II</w:t>
      </w:r>
      <w:r w:rsidR="00534263" w:rsidRPr="00F208A6">
        <w:rPr>
          <w:rFonts w:ascii="Palatino Linotype" w:eastAsia="Calibri" w:hAnsi="Palatino Linotype" w:cs="Tahoma"/>
          <w:bCs/>
          <w:sz w:val="22"/>
          <w:szCs w:val="22"/>
          <w:lang w:val="es-ES" w:eastAsia="en-US"/>
        </w:rPr>
        <w:t>,</w:t>
      </w:r>
      <w:r w:rsidRPr="00F208A6">
        <w:rPr>
          <w:rFonts w:ascii="Palatino Linotype" w:eastAsia="Calibri" w:hAnsi="Palatino Linotype" w:cs="Tahoma"/>
          <w:bCs/>
          <w:sz w:val="22"/>
          <w:szCs w:val="22"/>
          <w:lang w:val="es-ES" w:eastAsia="en-US"/>
        </w:rPr>
        <w:t xml:space="preserve"> de la </w:t>
      </w:r>
      <w:r w:rsidRPr="00F208A6">
        <w:rPr>
          <w:rFonts w:ascii="Palatino Linotype" w:eastAsia="Calibri" w:hAnsi="Palatino Linotype" w:cs="Tahoma"/>
          <w:bCs/>
          <w:sz w:val="22"/>
          <w:szCs w:val="22"/>
          <w:lang w:eastAsia="en-US"/>
        </w:rPr>
        <w:t xml:space="preserve">Ley de Transparencia y Acceso a la Información Pública del Estado de México y Municipios; </w:t>
      </w:r>
      <w:r w:rsidRPr="00F208A6">
        <w:rPr>
          <w:rFonts w:ascii="Palatino Linotype" w:eastAsia="Calibri" w:hAnsi="Palatino Linotype" w:cs="Tahoma"/>
          <w:b/>
          <w:bCs/>
          <w:sz w:val="22"/>
          <w:szCs w:val="22"/>
          <w:lang w:eastAsia="en-US"/>
        </w:rPr>
        <w:t>acto que fue notificado a las partes el mismo día</w:t>
      </w:r>
      <w:r w:rsidRPr="00F208A6">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w:t>
      </w:r>
      <w:r w:rsidR="009B2917" w:rsidRPr="00F208A6">
        <w:rPr>
          <w:rFonts w:ascii="Palatino Linotype" w:eastAsia="Calibri" w:hAnsi="Palatino Linotype" w:cs="Tahoma"/>
          <w:bCs/>
          <w:sz w:val="22"/>
          <w:szCs w:val="22"/>
          <w:lang w:eastAsia="en-US"/>
        </w:rPr>
        <w:t>a efecto de que</w:t>
      </w:r>
      <w:r w:rsidRPr="00F208A6">
        <w:rPr>
          <w:rFonts w:ascii="Palatino Linotype" w:eastAsia="Calibri" w:hAnsi="Palatino Linotype" w:cs="Tahoma"/>
          <w:bCs/>
          <w:sz w:val="22"/>
          <w:szCs w:val="22"/>
          <w:lang w:eastAsia="en-US"/>
        </w:rPr>
        <w:t xml:space="preserve"> manifestaran lo que a su derecho c</w:t>
      </w:r>
      <w:r w:rsidR="00176BDF" w:rsidRPr="00F208A6">
        <w:rPr>
          <w:rFonts w:ascii="Palatino Linotype" w:eastAsia="Calibri" w:hAnsi="Palatino Linotype" w:cs="Tahoma"/>
          <w:bCs/>
          <w:sz w:val="22"/>
          <w:szCs w:val="22"/>
          <w:lang w:eastAsia="en-US"/>
        </w:rPr>
        <w:t xml:space="preserve">onviniera y formularan </w:t>
      </w:r>
      <w:r w:rsidR="009B2917" w:rsidRPr="00F208A6">
        <w:rPr>
          <w:rFonts w:ascii="Palatino Linotype" w:eastAsia="Calibri" w:hAnsi="Palatino Linotype" w:cs="Tahoma"/>
          <w:bCs/>
          <w:sz w:val="22"/>
          <w:szCs w:val="22"/>
          <w:lang w:eastAsia="en-US"/>
        </w:rPr>
        <w:t xml:space="preserve">los </w:t>
      </w:r>
      <w:r w:rsidR="00176BDF" w:rsidRPr="00F208A6">
        <w:rPr>
          <w:rFonts w:ascii="Palatino Linotype" w:eastAsia="Calibri" w:hAnsi="Palatino Linotype" w:cs="Tahoma"/>
          <w:bCs/>
          <w:sz w:val="22"/>
          <w:szCs w:val="22"/>
          <w:lang w:eastAsia="en-US"/>
        </w:rPr>
        <w:t>alegatos</w:t>
      </w:r>
      <w:r w:rsidR="009B2917" w:rsidRPr="00F208A6">
        <w:rPr>
          <w:rFonts w:ascii="Palatino Linotype" w:eastAsia="Calibri" w:hAnsi="Palatino Linotype" w:cs="Tahoma"/>
          <w:bCs/>
          <w:sz w:val="22"/>
          <w:szCs w:val="22"/>
          <w:lang w:eastAsia="en-US"/>
        </w:rPr>
        <w:t xml:space="preserve"> respectivos</w:t>
      </w:r>
      <w:r w:rsidR="00176BDF" w:rsidRPr="00F208A6">
        <w:rPr>
          <w:rFonts w:ascii="Palatino Linotype" w:eastAsia="Calibri" w:hAnsi="Palatino Linotype" w:cs="Tahoma"/>
          <w:bCs/>
          <w:sz w:val="22"/>
          <w:szCs w:val="22"/>
          <w:lang w:eastAsia="en-US"/>
        </w:rPr>
        <w:t xml:space="preserve">, </w:t>
      </w:r>
      <w:r w:rsidR="00176BDF" w:rsidRPr="00F208A6">
        <w:rPr>
          <w:rFonts w:ascii="Palatino Linotype" w:eastAsia="Calibri" w:hAnsi="Palatino Linotype" w:cs="Tahoma"/>
          <w:bCs/>
          <w:sz w:val="22"/>
          <w:szCs w:val="22"/>
          <w:lang w:val="es-ES" w:eastAsia="en-US"/>
        </w:rPr>
        <w:t>en términos del artículo 185, fracción IV</w:t>
      </w:r>
      <w:r w:rsidR="00534263" w:rsidRPr="00F208A6">
        <w:rPr>
          <w:rFonts w:ascii="Palatino Linotype" w:eastAsia="Calibri" w:hAnsi="Palatino Linotype" w:cs="Tahoma"/>
          <w:bCs/>
          <w:sz w:val="22"/>
          <w:szCs w:val="22"/>
          <w:lang w:val="es-ES" w:eastAsia="en-US"/>
        </w:rPr>
        <w:t>,</w:t>
      </w:r>
      <w:r w:rsidR="00176BDF" w:rsidRPr="00F208A6">
        <w:rPr>
          <w:rFonts w:ascii="Palatino Linotype" w:eastAsia="Calibri" w:hAnsi="Palatino Linotype" w:cs="Tahoma"/>
          <w:bCs/>
          <w:sz w:val="22"/>
          <w:szCs w:val="22"/>
          <w:lang w:val="es-ES" w:eastAsia="en-US"/>
        </w:rPr>
        <w:t xml:space="preserve"> de la </w:t>
      </w:r>
      <w:r w:rsidR="00176BDF" w:rsidRPr="00F208A6">
        <w:rPr>
          <w:rFonts w:ascii="Palatino Linotype" w:eastAsia="Calibri" w:hAnsi="Palatino Linotype" w:cs="Tahoma"/>
          <w:bCs/>
          <w:sz w:val="22"/>
          <w:szCs w:val="22"/>
          <w:lang w:eastAsia="en-US"/>
        </w:rPr>
        <w:t>Ley de Transparencia y Acceso a la Información Pública del Estado de México y Municipios</w:t>
      </w:r>
      <w:r w:rsidR="00A22577" w:rsidRPr="00F208A6">
        <w:rPr>
          <w:rFonts w:ascii="Palatino Linotype" w:eastAsia="Calibri" w:hAnsi="Palatino Linotype" w:cs="Tahoma"/>
          <w:bCs/>
          <w:sz w:val="22"/>
          <w:szCs w:val="22"/>
          <w:lang w:eastAsia="en-US"/>
        </w:rPr>
        <w:t>.</w:t>
      </w:r>
    </w:p>
    <w:p w14:paraId="467E4D7A" w14:textId="77777777" w:rsidR="00D1514A" w:rsidRPr="00F208A6" w:rsidRDefault="00D1514A" w:rsidP="007706FD">
      <w:pPr>
        <w:spacing w:line="360" w:lineRule="auto"/>
        <w:jc w:val="both"/>
        <w:rPr>
          <w:rFonts w:ascii="Palatino Linotype" w:eastAsia="Calibri" w:hAnsi="Palatino Linotype" w:cs="Tahoma"/>
          <w:bCs/>
          <w:sz w:val="22"/>
          <w:szCs w:val="22"/>
          <w:lang w:eastAsia="en-US"/>
        </w:rPr>
      </w:pPr>
    </w:p>
    <w:p w14:paraId="258C36AF" w14:textId="0D679765" w:rsidR="005A6EA0" w:rsidRPr="00F208A6" w:rsidRDefault="00806E45" w:rsidP="007706FD">
      <w:pPr>
        <w:spacing w:line="360" w:lineRule="auto"/>
        <w:ind w:right="-595"/>
        <w:jc w:val="both"/>
        <w:rPr>
          <w:rFonts w:ascii="Palatino Linotype" w:eastAsia="Calibri" w:hAnsi="Palatino Linotype" w:cs="Tahoma"/>
          <w:bCs/>
          <w:i/>
          <w:szCs w:val="22"/>
          <w:lang w:val="es-ES" w:eastAsia="en-US"/>
        </w:rPr>
      </w:pPr>
      <w:r w:rsidRPr="00F208A6">
        <w:rPr>
          <w:rFonts w:ascii="Palatino Linotype" w:eastAsia="Calibri" w:hAnsi="Palatino Linotype" w:cs="Tahoma"/>
          <w:b/>
          <w:bCs/>
          <w:sz w:val="22"/>
          <w:szCs w:val="22"/>
          <w:lang w:val="es-ES" w:eastAsia="en-US"/>
        </w:rPr>
        <w:t>c) Informe Justificado</w:t>
      </w:r>
      <w:r w:rsidR="00E604DF" w:rsidRPr="00F208A6">
        <w:rPr>
          <w:rFonts w:ascii="Palatino Linotype" w:eastAsia="Calibri" w:hAnsi="Palatino Linotype" w:cs="Tahoma"/>
          <w:b/>
          <w:bCs/>
          <w:sz w:val="22"/>
          <w:szCs w:val="22"/>
          <w:lang w:val="es-ES" w:eastAsia="en-US"/>
        </w:rPr>
        <w:t xml:space="preserve">. </w:t>
      </w:r>
      <w:r w:rsidR="00BB247C" w:rsidRPr="00F208A6">
        <w:rPr>
          <w:rFonts w:ascii="Palatino Linotype" w:eastAsia="Calibri" w:hAnsi="Palatino Linotype" w:cs="Tahoma"/>
          <w:bCs/>
          <w:sz w:val="22"/>
          <w:szCs w:val="22"/>
          <w:lang w:val="es-ES" w:eastAsia="en-US"/>
        </w:rPr>
        <w:t xml:space="preserve">De las constancias que obran agregadas a los expedientes en que se actúan, se advierte que el Sujeto Obligado fue omiso en rendir </w:t>
      </w:r>
      <w:r w:rsidR="00C223E0" w:rsidRPr="00F208A6">
        <w:rPr>
          <w:rFonts w:ascii="Palatino Linotype" w:eastAsia="Calibri" w:hAnsi="Palatino Linotype" w:cs="Tahoma"/>
          <w:bCs/>
          <w:sz w:val="22"/>
          <w:szCs w:val="22"/>
          <w:lang w:val="es-ES" w:eastAsia="en-US"/>
        </w:rPr>
        <w:t>el</w:t>
      </w:r>
      <w:r w:rsidR="00BB247C" w:rsidRPr="00F208A6">
        <w:rPr>
          <w:rFonts w:ascii="Palatino Linotype" w:eastAsia="Calibri" w:hAnsi="Palatino Linotype" w:cs="Tahoma"/>
          <w:bCs/>
          <w:sz w:val="22"/>
          <w:szCs w:val="22"/>
          <w:lang w:val="es-ES" w:eastAsia="en-US"/>
        </w:rPr>
        <w:t xml:space="preserve"> respectivo Informe Justificado</w:t>
      </w:r>
      <w:r w:rsidR="00BB247C" w:rsidRPr="00F208A6">
        <w:rPr>
          <w:rFonts w:ascii="Palatino Linotype" w:eastAsia="Calibri" w:hAnsi="Palatino Linotype" w:cs="Tahoma"/>
          <w:b/>
          <w:bCs/>
          <w:sz w:val="22"/>
          <w:szCs w:val="22"/>
          <w:lang w:val="es-ES" w:eastAsia="en-US"/>
        </w:rPr>
        <w:t xml:space="preserve">. </w:t>
      </w:r>
    </w:p>
    <w:p w14:paraId="0C965E16" w14:textId="77777777" w:rsidR="00AE06D0" w:rsidRPr="00F208A6" w:rsidRDefault="00AE06D0" w:rsidP="007706FD">
      <w:pPr>
        <w:spacing w:line="360" w:lineRule="auto"/>
        <w:ind w:left="567" w:right="-595"/>
        <w:jc w:val="both"/>
        <w:rPr>
          <w:rFonts w:ascii="Palatino Linotype" w:eastAsia="Calibri" w:hAnsi="Palatino Linotype" w:cs="Tahoma"/>
          <w:bCs/>
          <w:i/>
          <w:szCs w:val="22"/>
          <w:lang w:val="es-ES" w:eastAsia="en-US"/>
        </w:rPr>
      </w:pPr>
    </w:p>
    <w:p w14:paraId="28C7390E" w14:textId="345BE97F" w:rsidR="00C36BF2" w:rsidRPr="00F208A6" w:rsidRDefault="00C223E0" w:rsidP="007706FD">
      <w:pPr>
        <w:spacing w:line="360" w:lineRule="auto"/>
        <w:ind w:right="-595"/>
        <w:jc w:val="both"/>
        <w:rPr>
          <w:rFonts w:ascii="Palatino Linotype" w:eastAsia="Calibri" w:hAnsi="Palatino Linotype" w:cs="Tahoma"/>
          <w:bCs/>
          <w:sz w:val="22"/>
          <w:szCs w:val="22"/>
          <w:lang w:val="es-ES" w:eastAsia="en-US"/>
        </w:rPr>
      </w:pPr>
      <w:r w:rsidRPr="00F208A6">
        <w:rPr>
          <w:rFonts w:ascii="Palatino Linotype" w:eastAsia="Calibri" w:hAnsi="Palatino Linotype" w:cs="Tahoma"/>
          <w:b/>
          <w:bCs/>
          <w:sz w:val="22"/>
          <w:szCs w:val="22"/>
          <w:lang w:val="es-ES" w:eastAsia="en-US"/>
        </w:rPr>
        <w:t>d</w:t>
      </w:r>
      <w:r w:rsidR="003C5229" w:rsidRPr="00F208A6">
        <w:rPr>
          <w:rFonts w:ascii="Palatino Linotype" w:eastAsia="Calibri" w:hAnsi="Palatino Linotype" w:cs="Tahoma"/>
          <w:b/>
          <w:bCs/>
          <w:sz w:val="22"/>
          <w:szCs w:val="22"/>
          <w:lang w:val="es-ES" w:eastAsia="en-US"/>
        </w:rPr>
        <w:t xml:space="preserve">) </w:t>
      </w:r>
      <w:r w:rsidR="00285B21" w:rsidRPr="00F208A6">
        <w:rPr>
          <w:rFonts w:ascii="Palatino Linotype" w:eastAsia="Calibri" w:hAnsi="Palatino Linotype" w:cs="Tahoma"/>
          <w:b/>
          <w:bCs/>
          <w:sz w:val="22"/>
          <w:szCs w:val="22"/>
          <w:lang w:val="es-ES" w:eastAsia="en-US"/>
        </w:rPr>
        <w:t xml:space="preserve">Ampliación del plazo para resolver: </w:t>
      </w:r>
      <w:r w:rsidR="007D7B02" w:rsidRPr="00F208A6">
        <w:rPr>
          <w:rFonts w:ascii="Palatino Linotype" w:eastAsia="Calibri" w:hAnsi="Palatino Linotype" w:cs="Tahoma"/>
          <w:bCs/>
          <w:sz w:val="22"/>
          <w:szCs w:val="22"/>
          <w:lang w:val="es-ES" w:eastAsia="en-US"/>
        </w:rPr>
        <w:t xml:space="preserve">El </w:t>
      </w:r>
      <w:r w:rsidR="008B1EF3" w:rsidRPr="00F208A6">
        <w:rPr>
          <w:rFonts w:ascii="Palatino Linotype" w:eastAsia="Calibri" w:hAnsi="Palatino Linotype" w:cs="Tahoma"/>
          <w:bCs/>
          <w:sz w:val="22"/>
          <w:szCs w:val="22"/>
          <w:lang w:val="es-ES" w:eastAsia="en-US"/>
        </w:rPr>
        <w:t>veintisiete de septiembre</w:t>
      </w:r>
      <w:r w:rsidR="00285B21" w:rsidRPr="00F208A6">
        <w:rPr>
          <w:rFonts w:ascii="Palatino Linotype" w:eastAsia="Calibri" w:hAnsi="Palatino Linotype" w:cs="Tahoma"/>
          <w:bCs/>
          <w:sz w:val="22"/>
          <w:szCs w:val="22"/>
          <w:lang w:val="es-ES" w:eastAsia="en-US"/>
        </w:rPr>
        <w:t xml:space="preserve"> de dos mil </w:t>
      </w:r>
      <w:r w:rsidR="00B13556" w:rsidRPr="00F208A6">
        <w:rPr>
          <w:rFonts w:ascii="Palatino Linotype" w:eastAsia="Calibri" w:hAnsi="Palatino Linotype" w:cs="Tahoma"/>
          <w:bCs/>
          <w:sz w:val="22"/>
          <w:szCs w:val="22"/>
          <w:lang w:val="es-ES" w:eastAsia="en-US"/>
        </w:rPr>
        <w:t>diecinueve</w:t>
      </w:r>
      <w:r w:rsidR="00285B21" w:rsidRPr="00F208A6">
        <w:rPr>
          <w:rFonts w:ascii="Palatino Linotype" w:eastAsia="Calibri" w:hAnsi="Palatino Linotype" w:cs="Tahoma"/>
          <w:bCs/>
          <w:sz w:val="22"/>
          <w:szCs w:val="22"/>
          <w:lang w:val="es-ES" w:eastAsia="en-US"/>
        </w:rPr>
        <w:t xml:space="preserve">, el Comisionado Ponente, con fundamento en lo dispuesto por el artículo 181, párrafo tercero, de la Ley de Transparencia y Acceso a la Información Pública del Estado de México y Municipios, </w:t>
      </w:r>
      <w:r w:rsidR="00285B21" w:rsidRPr="00F208A6">
        <w:rPr>
          <w:rFonts w:ascii="Palatino Linotype" w:eastAsia="Calibri" w:hAnsi="Palatino Linotype" w:cs="Tahoma"/>
          <w:b/>
          <w:bCs/>
          <w:sz w:val="22"/>
          <w:szCs w:val="22"/>
          <w:lang w:val="es-ES" w:eastAsia="en-US"/>
        </w:rPr>
        <w:t>acordó ampliar</w:t>
      </w:r>
      <w:r w:rsidR="00285B21" w:rsidRPr="00F208A6">
        <w:rPr>
          <w:rFonts w:ascii="Palatino Linotype" w:eastAsia="Calibri" w:hAnsi="Palatino Linotype" w:cs="Tahoma"/>
          <w:bCs/>
          <w:sz w:val="22"/>
          <w:szCs w:val="22"/>
          <w:lang w:val="es-ES" w:eastAsia="en-US"/>
        </w:rPr>
        <w:t xml:space="preserve"> por un periodo de quince días h</w:t>
      </w:r>
      <w:r w:rsidR="00DF7375" w:rsidRPr="00F208A6">
        <w:rPr>
          <w:rFonts w:ascii="Palatino Linotype" w:eastAsia="Calibri" w:hAnsi="Palatino Linotype" w:cs="Tahoma"/>
          <w:bCs/>
          <w:sz w:val="22"/>
          <w:szCs w:val="22"/>
          <w:lang w:val="es-ES" w:eastAsia="en-US"/>
        </w:rPr>
        <w:t xml:space="preserve">ábiles, el plazo para resolver </w:t>
      </w:r>
      <w:r w:rsidRPr="00F208A6">
        <w:rPr>
          <w:rFonts w:ascii="Palatino Linotype" w:eastAsia="Calibri" w:hAnsi="Palatino Linotype" w:cs="Tahoma"/>
          <w:bCs/>
          <w:sz w:val="22"/>
          <w:szCs w:val="22"/>
          <w:lang w:val="es-ES" w:eastAsia="en-US"/>
        </w:rPr>
        <w:t>e</w:t>
      </w:r>
      <w:r w:rsidR="00285B21" w:rsidRPr="00F208A6">
        <w:rPr>
          <w:rFonts w:ascii="Palatino Linotype" w:eastAsia="Calibri" w:hAnsi="Palatino Linotype" w:cs="Tahoma"/>
          <w:bCs/>
          <w:sz w:val="22"/>
          <w:szCs w:val="22"/>
          <w:lang w:val="es-ES" w:eastAsia="en-US"/>
        </w:rPr>
        <w:t xml:space="preserve">l </w:t>
      </w:r>
      <w:r w:rsidR="00D660B3" w:rsidRPr="00F208A6">
        <w:rPr>
          <w:rFonts w:ascii="Palatino Linotype" w:eastAsia="Calibri" w:hAnsi="Palatino Linotype" w:cs="Tahoma"/>
          <w:bCs/>
          <w:sz w:val="22"/>
          <w:szCs w:val="22"/>
          <w:lang w:val="es-ES" w:eastAsia="en-US"/>
        </w:rPr>
        <w:t xml:space="preserve">Recurso </w:t>
      </w:r>
      <w:r w:rsidR="00285B21" w:rsidRPr="00F208A6">
        <w:rPr>
          <w:rFonts w:ascii="Palatino Linotype" w:eastAsia="Calibri" w:hAnsi="Palatino Linotype" w:cs="Tahoma"/>
          <w:bCs/>
          <w:sz w:val="22"/>
          <w:szCs w:val="22"/>
          <w:lang w:val="es-ES" w:eastAsia="en-US"/>
        </w:rPr>
        <w:t xml:space="preserve">de </w:t>
      </w:r>
      <w:r w:rsidR="00D660B3" w:rsidRPr="00F208A6">
        <w:rPr>
          <w:rFonts w:ascii="Palatino Linotype" w:eastAsia="Calibri" w:hAnsi="Palatino Linotype" w:cs="Tahoma"/>
          <w:bCs/>
          <w:sz w:val="22"/>
          <w:szCs w:val="22"/>
          <w:lang w:val="es-ES" w:eastAsia="en-US"/>
        </w:rPr>
        <w:t xml:space="preserve">Revisión </w:t>
      </w:r>
      <w:r w:rsidR="00FD04D1" w:rsidRPr="00F208A6">
        <w:rPr>
          <w:rFonts w:ascii="Palatino Linotype" w:eastAsia="Calibri" w:hAnsi="Palatino Linotype" w:cs="Tahoma"/>
          <w:bCs/>
          <w:sz w:val="22"/>
          <w:szCs w:val="22"/>
          <w:lang w:val="es-ES" w:eastAsia="en-US"/>
        </w:rPr>
        <w:t>que nos ocupa.</w:t>
      </w:r>
    </w:p>
    <w:p w14:paraId="56153EAD" w14:textId="77777777" w:rsidR="001F39D1" w:rsidRPr="00F208A6" w:rsidRDefault="001F39D1" w:rsidP="007706FD">
      <w:pPr>
        <w:spacing w:line="360" w:lineRule="auto"/>
        <w:ind w:right="-595"/>
        <w:jc w:val="both"/>
        <w:rPr>
          <w:rFonts w:ascii="Palatino Linotype" w:eastAsia="Calibri" w:hAnsi="Palatino Linotype" w:cs="Tahoma"/>
          <w:bCs/>
          <w:sz w:val="22"/>
          <w:szCs w:val="22"/>
          <w:lang w:val="es-ES" w:eastAsia="en-US"/>
        </w:rPr>
      </w:pPr>
    </w:p>
    <w:p w14:paraId="1661C62E" w14:textId="7FE5F048" w:rsidR="003D0834" w:rsidRPr="00F208A6" w:rsidRDefault="00C223E0" w:rsidP="007706FD">
      <w:pPr>
        <w:spacing w:line="360" w:lineRule="auto"/>
        <w:ind w:left="1" w:right="-595" w:hanging="1"/>
        <w:jc w:val="both"/>
        <w:rPr>
          <w:rFonts w:ascii="Palatino Linotype" w:eastAsia="Calibri" w:hAnsi="Palatino Linotype" w:cs="Tahoma"/>
          <w:bCs/>
          <w:sz w:val="22"/>
          <w:szCs w:val="22"/>
          <w:lang w:val="es-ES" w:eastAsia="en-US"/>
        </w:rPr>
      </w:pPr>
      <w:r w:rsidRPr="00F208A6">
        <w:rPr>
          <w:rFonts w:ascii="Palatino Linotype" w:eastAsia="Calibri" w:hAnsi="Palatino Linotype" w:cs="Tahoma"/>
          <w:b/>
          <w:bCs/>
          <w:sz w:val="22"/>
          <w:szCs w:val="22"/>
          <w:lang w:val="es-ES" w:eastAsia="en-US"/>
        </w:rPr>
        <w:t>e</w:t>
      </w:r>
      <w:r w:rsidR="003D0834" w:rsidRPr="00F208A6">
        <w:rPr>
          <w:rFonts w:ascii="Palatino Linotype" w:eastAsia="Calibri" w:hAnsi="Palatino Linotype" w:cs="Tahoma"/>
          <w:b/>
          <w:bCs/>
          <w:sz w:val="22"/>
          <w:szCs w:val="22"/>
          <w:lang w:val="es-ES" w:eastAsia="en-US"/>
        </w:rPr>
        <w:t>) Cierre de instrucción:</w:t>
      </w:r>
      <w:r w:rsidR="003D0834" w:rsidRPr="00F208A6">
        <w:rPr>
          <w:rFonts w:ascii="Palatino Linotype" w:eastAsia="Calibri" w:hAnsi="Palatino Linotype" w:cs="Tahoma"/>
          <w:bCs/>
          <w:sz w:val="22"/>
          <w:szCs w:val="22"/>
          <w:lang w:val="es-ES" w:eastAsia="en-US"/>
        </w:rPr>
        <w:t xml:space="preserve"> </w:t>
      </w:r>
      <w:r w:rsidR="007D7B02" w:rsidRPr="00F208A6">
        <w:rPr>
          <w:rFonts w:ascii="Palatino Linotype" w:eastAsia="Calibri" w:hAnsi="Palatino Linotype" w:cs="Tahoma"/>
          <w:bCs/>
          <w:sz w:val="22"/>
          <w:szCs w:val="22"/>
          <w:lang w:val="es-ES" w:eastAsia="en-US"/>
        </w:rPr>
        <w:t xml:space="preserve">El </w:t>
      </w:r>
      <w:r w:rsidR="008B1EF3" w:rsidRPr="00F208A6">
        <w:rPr>
          <w:rFonts w:ascii="Palatino Linotype" w:eastAsia="Calibri" w:hAnsi="Palatino Linotype" w:cs="Tahoma"/>
          <w:bCs/>
          <w:sz w:val="22"/>
          <w:szCs w:val="22"/>
          <w:lang w:val="es-ES" w:eastAsia="en-US"/>
        </w:rPr>
        <w:t>uno de octubre</w:t>
      </w:r>
      <w:r w:rsidR="003C373A" w:rsidRPr="00F208A6">
        <w:rPr>
          <w:rFonts w:ascii="Palatino Linotype" w:eastAsia="Calibri" w:hAnsi="Palatino Linotype" w:cs="Tahoma"/>
          <w:bCs/>
          <w:sz w:val="22"/>
          <w:szCs w:val="22"/>
          <w:lang w:val="es-ES" w:eastAsia="en-US"/>
        </w:rPr>
        <w:t xml:space="preserve"> de dos mil diecinueve</w:t>
      </w:r>
      <w:r w:rsidR="003D0834" w:rsidRPr="00F208A6">
        <w:rPr>
          <w:rFonts w:ascii="Palatino Linotype" w:eastAsia="Calibri" w:hAnsi="Palatino Linotype" w:cs="Tahoma"/>
          <w:bCs/>
          <w:sz w:val="22"/>
          <w:szCs w:val="22"/>
          <w:lang w:val="es-ES" w:eastAsia="en-US"/>
        </w:rPr>
        <w:t xml:space="preserve">, al no existir diligencias pendientes por desahogar, </w:t>
      </w:r>
      <w:r w:rsidR="00DC766B" w:rsidRPr="00F208A6">
        <w:rPr>
          <w:rFonts w:ascii="Palatino Linotype" w:eastAsia="Calibri" w:hAnsi="Palatino Linotype" w:cs="Tahoma"/>
          <w:bCs/>
          <w:sz w:val="22"/>
          <w:szCs w:val="22"/>
          <w:lang w:val="es-ES" w:eastAsia="en-US"/>
        </w:rPr>
        <w:t xml:space="preserve">el Comisionado Ponente </w:t>
      </w:r>
      <w:r w:rsidR="00DC766B" w:rsidRPr="00F208A6">
        <w:rPr>
          <w:rFonts w:ascii="Palatino Linotype" w:eastAsia="Calibri" w:hAnsi="Palatino Linotype" w:cs="Tahoma"/>
          <w:b/>
          <w:bCs/>
          <w:sz w:val="22"/>
          <w:szCs w:val="22"/>
          <w:lang w:val="es-ES" w:eastAsia="en-US"/>
        </w:rPr>
        <w:t>decretó el cierre</w:t>
      </w:r>
      <w:r w:rsidR="003D0834" w:rsidRPr="00F208A6">
        <w:rPr>
          <w:rFonts w:ascii="Palatino Linotype" w:eastAsia="Calibri" w:hAnsi="Palatino Linotype" w:cs="Tahoma"/>
          <w:b/>
          <w:bCs/>
          <w:sz w:val="22"/>
          <w:szCs w:val="22"/>
          <w:lang w:val="es-ES" w:eastAsia="en-US"/>
        </w:rPr>
        <w:t xml:space="preserve"> </w:t>
      </w:r>
      <w:r w:rsidR="00DC766B" w:rsidRPr="00F208A6">
        <w:rPr>
          <w:rFonts w:ascii="Palatino Linotype" w:eastAsia="Calibri" w:hAnsi="Palatino Linotype" w:cs="Tahoma"/>
          <w:b/>
          <w:bCs/>
          <w:sz w:val="22"/>
          <w:szCs w:val="22"/>
          <w:lang w:val="es-ES" w:eastAsia="en-US"/>
        </w:rPr>
        <w:t>de</w:t>
      </w:r>
      <w:r w:rsidR="003D0834" w:rsidRPr="00F208A6">
        <w:rPr>
          <w:rFonts w:ascii="Palatino Linotype" w:eastAsia="Calibri" w:hAnsi="Palatino Linotype" w:cs="Tahoma"/>
          <w:b/>
          <w:bCs/>
          <w:sz w:val="22"/>
          <w:szCs w:val="22"/>
          <w:lang w:val="es-ES" w:eastAsia="en-US"/>
        </w:rPr>
        <w:t xml:space="preserve"> instrucción</w:t>
      </w:r>
      <w:r w:rsidR="00534263" w:rsidRPr="00F208A6">
        <w:rPr>
          <w:rFonts w:ascii="Palatino Linotype" w:eastAsia="Calibri" w:hAnsi="Palatino Linotype" w:cs="Tahoma"/>
          <w:b/>
          <w:bCs/>
          <w:sz w:val="22"/>
          <w:szCs w:val="22"/>
          <w:lang w:val="es-ES" w:eastAsia="en-US"/>
        </w:rPr>
        <w:t xml:space="preserve"> </w:t>
      </w:r>
      <w:r w:rsidR="00534263" w:rsidRPr="00F208A6">
        <w:rPr>
          <w:rFonts w:ascii="Palatino Linotype" w:eastAsia="Calibri" w:hAnsi="Palatino Linotype" w:cs="Tahoma"/>
          <w:bCs/>
          <w:sz w:val="22"/>
          <w:szCs w:val="22"/>
          <w:lang w:val="es-ES" w:eastAsia="en-US"/>
        </w:rPr>
        <w:t>y pasó</w:t>
      </w:r>
      <w:r w:rsidR="003D0834" w:rsidRPr="00F208A6">
        <w:rPr>
          <w:rFonts w:ascii="Palatino Linotype" w:eastAsia="Calibri" w:hAnsi="Palatino Linotype" w:cs="Tahoma"/>
          <w:bCs/>
          <w:sz w:val="22"/>
          <w:szCs w:val="22"/>
          <w:lang w:val="es-ES" w:eastAsia="en-US"/>
        </w:rPr>
        <w:t xml:space="preserve"> a resolución</w:t>
      </w:r>
      <w:r w:rsidR="007368A7" w:rsidRPr="00F208A6">
        <w:rPr>
          <w:rFonts w:ascii="Palatino Linotype" w:eastAsia="Calibri" w:hAnsi="Palatino Linotype" w:cs="Tahoma"/>
          <w:bCs/>
          <w:sz w:val="22"/>
          <w:szCs w:val="22"/>
          <w:lang w:val="es-ES" w:eastAsia="en-US"/>
        </w:rPr>
        <w:t xml:space="preserve"> el expediente</w:t>
      </w:r>
      <w:r w:rsidR="003D0834" w:rsidRPr="00F208A6">
        <w:rPr>
          <w:rFonts w:ascii="Palatino Linotype" w:eastAsia="Calibri" w:hAnsi="Palatino Linotype" w:cs="Tahoma"/>
          <w:bCs/>
          <w:sz w:val="22"/>
          <w:szCs w:val="22"/>
          <w:lang w:val="es-ES" w:eastAsia="en-US"/>
        </w:rPr>
        <w:t>, en términos de lo dispuesto en los artículos 185, fracciones VI y VIII</w:t>
      </w:r>
      <w:r w:rsidR="00534263" w:rsidRPr="00F208A6">
        <w:rPr>
          <w:rFonts w:ascii="Palatino Linotype" w:eastAsia="Calibri" w:hAnsi="Palatino Linotype" w:cs="Tahoma"/>
          <w:bCs/>
          <w:sz w:val="22"/>
          <w:szCs w:val="22"/>
          <w:lang w:val="es-ES" w:eastAsia="en-US"/>
        </w:rPr>
        <w:t>,</w:t>
      </w:r>
      <w:r w:rsidR="003D0834" w:rsidRPr="00F208A6">
        <w:rPr>
          <w:rFonts w:ascii="Palatino Linotype" w:eastAsia="Calibri" w:hAnsi="Palatino Linotype" w:cs="Tahoma"/>
          <w:bCs/>
          <w:sz w:val="22"/>
          <w:szCs w:val="22"/>
          <w:lang w:val="es-ES" w:eastAsia="en-US"/>
        </w:rPr>
        <w:t xml:space="preserve"> </w:t>
      </w:r>
      <w:r w:rsidR="003D0834" w:rsidRPr="00F208A6">
        <w:rPr>
          <w:rFonts w:ascii="Palatino Linotype" w:eastAsia="Calibri" w:hAnsi="Palatino Linotype" w:cs="Tahoma"/>
          <w:bCs/>
          <w:sz w:val="22"/>
          <w:szCs w:val="22"/>
          <w:lang w:val="es-ES" w:eastAsia="en-US"/>
        </w:rPr>
        <w:lastRenderedPageBreak/>
        <w:t xml:space="preserve">de la Ley de Transparencia y Acceso a la Información Pública del Estado de México y Municipios; </w:t>
      </w:r>
      <w:r w:rsidR="003D0834" w:rsidRPr="00F208A6">
        <w:rPr>
          <w:rFonts w:ascii="Palatino Linotype" w:eastAsia="Calibri" w:hAnsi="Palatino Linotype" w:cs="Tahoma"/>
          <w:b/>
          <w:bCs/>
          <w:sz w:val="22"/>
          <w:szCs w:val="22"/>
          <w:lang w:val="es-ES" w:eastAsia="en-US"/>
        </w:rPr>
        <w:t xml:space="preserve">acto que fue notificado a las partes el </w:t>
      </w:r>
      <w:r w:rsidR="00DC766B" w:rsidRPr="00F208A6">
        <w:rPr>
          <w:rFonts w:ascii="Palatino Linotype" w:eastAsia="Calibri" w:hAnsi="Palatino Linotype" w:cs="Tahoma"/>
          <w:b/>
          <w:bCs/>
          <w:sz w:val="22"/>
          <w:szCs w:val="22"/>
          <w:lang w:val="es-ES" w:eastAsia="en-US"/>
        </w:rPr>
        <w:t>mismo día de su emisión</w:t>
      </w:r>
      <w:r w:rsidR="003D0834" w:rsidRPr="00F208A6">
        <w:rPr>
          <w:rFonts w:ascii="Palatino Linotype" w:eastAsia="Calibri" w:hAnsi="Palatino Linotype" w:cs="Tahoma"/>
          <w:bCs/>
          <w:sz w:val="22"/>
          <w:szCs w:val="22"/>
          <w:lang w:val="es-ES" w:eastAsia="en-US"/>
        </w:rPr>
        <w:t>, a través del Sistema de Acceso a la Información Mexiquense</w:t>
      </w:r>
      <w:r w:rsidR="00534263" w:rsidRPr="00F208A6">
        <w:rPr>
          <w:rFonts w:ascii="Palatino Linotype" w:eastAsia="Calibri" w:hAnsi="Palatino Linotype" w:cs="Tahoma"/>
          <w:bCs/>
          <w:sz w:val="22"/>
          <w:szCs w:val="22"/>
          <w:lang w:val="es-ES" w:eastAsia="en-US"/>
        </w:rPr>
        <w:t xml:space="preserve"> (SAIMEX)</w:t>
      </w:r>
      <w:r w:rsidR="003D0834" w:rsidRPr="00F208A6">
        <w:rPr>
          <w:rFonts w:ascii="Palatino Linotype" w:eastAsia="Calibri" w:hAnsi="Palatino Linotype" w:cs="Tahoma"/>
          <w:bCs/>
          <w:sz w:val="22"/>
          <w:szCs w:val="22"/>
          <w:lang w:val="es-ES" w:eastAsia="en-US"/>
        </w:rPr>
        <w:t>.</w:t>
      </w:r>
    </w:p>
    <w:p w14:paraId="3FFC98C5" w14:textId="77777777" w:rsidR="003D0834" w:rsidRPr="00F208A6" w:rsidRDefault="003D0834" w:rsidP="007706FD">
      <w:pPr>
        <w:spacing w:line="360" w:lineRule="auto"/>
        <w:ind w:right="-595"/>
        <w:jc w:val="both"/>
        <w:rPr>
          <w:rFonts w:ascii="Palatino Linotype" w:eastAsia="Calibri" w:hAnsi="Palatino Linotype" w:cs="Tahoma"/>
          <w:b/>
          <w:bCs/>
          <w:sz w:val="22"/>
          <w:szCs w:val="22"/>
          <w:lang w:val="es-ES" w:eastAsia="en-US"/>
        </w:rPr>
      </w:pPr>
    </w:p>
    <w:p w14:paraId="587D9109" w14:textId="73D527A2" w:rsidR="00806E45" w:rsidRPr="00F208A6" w:rsidRDefault="00806E45" w:rsidP="007706FD">
      <w:pPr>
        <w:spacing w:line="360" w:lineRule="auto"/>
        <w:ind w:left="1" w:right="-595" w:hanging="1"/>
        <w:jc w:val="both"/>
        <w:rPr>
          <w:rFonts w:ascii="Palatino Linotype" w:eastAsia="Calibri" w:hAnsi="Palatino Linotype" w:cs="Tahoma"/>
          <w:bCs/>
          <w:sz w:val="22"/>
          <w:szCs w:val="22"/>
          <w:lang w:val="es-ES" w:eastAsia="en-US"/>
        </w:rPr>
      </w:pPr>
      <w:r w:rsidRPr="00F208A6">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F208A6">
        <w:rPr>
          <w:rFonts w:ascii="Palatino Linotype" w:eastAsia="Calibri" w:hAnsi="Palatino Linotype" w:cs="Tahoma"/>
          <w:bCs/>
          <w:sz w:val="22"/>
          <w:szCs w:val="22"/>
          <w:lang w:val="es-ES" w:eastAsia="en-US"/>
        </w:rPr>
        <w:t>recho procede</w:t>
      </w:r>
      <w:r w:rsidR="00285B21" w:rsidRPr="00F208A6">
        <w:rPr>
          <w:rFonts w:ascii="Palatino Linotype" w:eastAsia="Calibri" w:hAnsi="Palatino Linotype" w:cs="Tahoma"/>
          <w:bCs/>
          <w:sz w:val="22"/>
          <w:szCs w:val="22"/>
          <w:lang w:val="es-ES" w:eastAsia="en-US"/>
        </w:rPr>
        <w:t>, de acuerdo con lo</w:t>
      </w:r>
      <w:r w:rsidRPr="00F208A6">
        <w:rPr>
          <w:rFonts w:ascii="Palatino Linotype" w:eastAsia="Calibri" w:hAnsi="Palatino Linotype" w:cs="Tahoma"/>
          <w:bCs/>
          <w:sz w:val="22"/>
          <w:szCs w:val="22"/>
          <w:lang w:val="es-ES" w:eastAsia="en-US"/>
        </w:rPr>
        <w:t xml:space="preserve">s siguientes: </w:t>
      </w:r>
    </w:p>
    <w:p w14:paraId="0E221947" w14:textId="77777777" w:rsidR="00DE011C" w:rsidRPr="00F208A6" w:rsidRDefault="00DE011C" w:rsidP="007706FD">
      <w:pPr>
        <w:spacing w:line="360" w:lineRule="auto"/>
        <w:jc w:val="center"/>
        <w:rPr>
          <w:rFonts w:ascii="Palatino Linotype" w:eastAsia="Calibri" w:hAnsi="Palatino Linotype" w:cs="Tahoma"/>
          <w:b/>
          <w:bCs/>
          <w:sz w:val="22"/>
          <w:szCs w:val="22"/>
          <w:lang w:val="es-ES" w:eastAsia="en-US"/>
        </w:rPr>
      </w:pPr>
    </w:p>
    <w:p w14:paraId="6A6F0CD2" w14:textId="3763E3AC" w:rsidR="00806E45" w:rsidRPr="00F208A6" w:rsidRDefault="00285B21" w:rsidP="007706FD">
      <w:pPr>
        <w:spacing w:line="360" w:lineRule="auto"/>
        <w:jc w:val="center"/>
        <w:rPr>
          <w:rFonts w:ascii="Palatino Linotype" w:eastAsia="Calibri" w:hAnsi="Palatino Linotype" w:cs="Tahoma"/>
          <w:b/>
          <w:bCs/>
          <w:sz w:val="22"/>
          <w:szCs w:val="22"/>
          <w:lang w:val="es-ES" w:eastAsia="en-US"/>
        </w:rPr>
      </w:pPr>
      <w:r w:rsidRPr="00F208A6">
        <w:rPr>
          <w:rFonts w:ascii="Palatino Linotype" w:eastAsia="Calibri" w:hAnsi="Palatino Linotype" w:cs="Tahoma"/>
          <w:b/>
          <w:bCs/>
          <w:sz w:val="22"/>
          <w:szCs w:val="22"/>
          <w:lang w:val="es-ES" w:eastAsia="en-US"/>
        </w:rPr>
        <w:t>CONSIDERANDOS</w:t>
      </w:r>
    </w:p>
    <w:p w14:paraId="414BCF66" w14:textId="77777777" w:rsidR="0085547C" w:rsidRPr="00F208A6" w:rsidRDefault="0085547C" w:rsidP="007706FD">
      <w:pPr>
        <w:spacing w:line="360" w:lineRule="auto"/>
        <w:jc w:val="both"/>
        <w:rPr>
          <w:rFonts w:ascii="Palatino Linotype" w:eastAsia="Calibri" w:hAnsi="Palatino Linotype" w:cs="Tahoma"/>
          <w:b/>
          <w:bCs/>
          <w:sz w:val="22"/>
          <w:szCs w:val="22"/>
          <w:lang w:val="es-ES" w:eastAsia="en-US"/>
        </w:rPr>
      </w:pPr>
    </w:p>
    <w:p w14:paraId="1460403E" w14:textId="4D3064ED" w:rsidR="00806E45" w:rsidRPr="00F208A6" w:rsidRDefault="00285B21" w:rsidP="007706FD">
      <w:pPr>
        <w:spacing w:line="360" w:lineRule="auto"/>
        <w:jc w:val="both"/>
        <w:rPr>
          <w:rFonts w:ascii="Palatino Linotype" w:eastAsia="Calibri" w:hAnsi="Palatino Linotype" w:cs="Tahoma"/>
          <w:b/>
          <w:bCs/>
          <w:sz w:val="22"/>
          <w:szCs w:val="22"/>
          <w:lang w:val="es-ES" w:eastAsia="en-US"/>
        </w:rPr>
      </w:pPr>
      <w:r w:rsidRPr="00F208A6">
        <w:rPr>
          <w:rFonts w:ascii="Palatino Linotype" w:eastAsia="Calibri" w:hAnsi="Palatino Linotype" w:cs="Tahoma"/>
          <w:b/>
          <w:bCs/>
          <w:sz w:val="22"/>
          <w:szCs w:val="22"/>
          <w:lang w:val="es-ES" w:eastAsia="en-US"/>
        </w:rPr>
        <w:t>PRIMERO</w:t>
      </w:r>
      <w:r w:rsidR="00806E45" w:rsidRPr="00F208A6">
        <w:rPr>
          <w:rFonts w:ascii="Palatino Linotype" w:eastAsia="Calibri" w:hAnsi="Palatino Linotype" w:cs="Tahoma"/>
          <w:b/>
          <w:bCs/>
          <w:sz w:val="22"/>
          <w:szCs w:val="22"/>
          <w:lang w:val="es-ES" w:eastAsia="en-US"/>
        </w:rPr>
        <w:t xml:space="preserve">. Competencia. </w:t>
      </w:r>
    </w:p>
    <w:p w14:paraId="549CB169" w14:textId="77777777" w:rsidR="00DE011C" w:rsidRPr="00F208A6" w:rsidRDefault="00DE011C" w:rsidP="007706FD">
      <w:pPr>
        <w:spacing w:line="360" w:lineRule="auto"/>
        <w:jc w:val="both"/>
        <w:rPr>
          <w:rFonts w:ascii="Palatino Linotype" w:eastAsia="Calibri" w:hAnsi="Palatino Linotype" w:cs="Tahoma"/>
          <w:b/>
          <w:bCs/>
          <w:sz w:val="22"/>
          <w:szCs w:val="22"/>
          <w:lang w:val="es-ES" w:eastAsia="en-US"/>
        </w:rPr>
      </w:pPr>
    </w:p>
    <w:p w14:paraId="063F8447" w14:textId="795BE886" w:rsidR="00806E45" w:rsidRPr="00F208A6" w:rsidRDefault="00806E45" w:rsidP="007706FD">
      <w:pPr>
        <w:spacing w:line="360" w:lineRule="auto"/>
        <w:ind w:right="-595"/>
        <w:jc w:val="both"/>
        <w:rPr>
          <w:rFonts w:ascii="Palatino Linotype" w:eastAsia="Calibri" w:hAnsi="Palatino Linotype" w:cs="Tahoma"/>
          <w:bCs/>
          <w:sz w:val="22"/>
          <w:szCs w:val="22"/>
          <w:lang w:val="es-ES" w:eastAsia="en-US"/>
        </w:rPr>
      </w:pPr>
      <w:r w:rsidRPr="00F208A6">
        <w:rPr>
          <w:rFonts w:ascii="Palatino Linotype" w:eastAsia="Calibri" w:hAnsi="Palatino Linotype" w:cs="Tahoma"/>
          <w:bCs/>
          <w:sz w:val="22"/>
          <w:szCs w:val="22"/>
          <w:lang w:val="es-ES" w:eastAsia="en-US"/>
        </w:rPr>
        <w:t xml:space="preserve">El Instituto de Transparencia, Acceso a la Información Pública y Protección de Datos Personales del Estado de México y Municipios, es competente para conocer y resolver el presente recurso de revisión interpuesto por la parte </w:t>
      </w:r>
      <w:r w:rsidR="00F06ECD" w:rsidRPr="00F208A6">
        <w:rPr>
          <w:rFonts w:ascii="Palatino Linotype" w:eastAsia="Calibri" w:hAnsi="Palatino Linotype" w:cs="Tahoma"/>
          <w:bCs/>
          <w:sz w:val="22"/>
          <w:szCs w:val="22"/>
          <w:lang w:val="es-ES" w:eastAsia="en-US"/>
        </w:rPr>
        <w:t>Recurrente</w:t>
      </w:r>
      <w:r w:rsidRPr="00F208A6">
        <w:rPr>
          <w:rFonts w:ascii="Palatino Linotype" w:eastAsia="Calibri" w:hAnsi="Palatino Linotype" w:cs="Tahoma"/>
          <w:bCs/>
          <w:sz w:val="22"/>
          <w:szCs w:val="22"/>
          <w:lang w:val="es-ES" w:eastAsia="en-US"/>
        </w:rPr>
        <w:t>, conforme a lo dispuesto en los artículos 6</w:t>
      </w:r>
      <w:r w:rsidR="00DC766B" w:rsidRPr="00F208A6">
        <w:rPr>
          <w:rFonts w:ascii="Palatino Linotype" w:eastAsia="Calibri" w:hAnsi="Palatino Linotype" w:cs="Tahoma"/>
          <w:bCs/>
          <w:sz w:val="22"/>
          <w:szCs w:val="22"/>
          <w:lang w:val="es-ES" w:eastAsia="en-US"/>
        </w:rPr>
        <w:t>°</w:t>
      </w:r>
      <w:r w:rsidRPr="00F208A6">
        <w:rPr>
          <w:rFonts w:ascii="Palatino Linotype" w:eastAsia="Calibri" w:hAnsi="Palatino Linotype" w:cs="Tahoma"/>
          <w:bCs/>
          <w:sz w:val="22"/>
          <w:szCs w:val="22"/>
          <w:lang w:val="es-ES" w:eastAsia="en-US"/>
        </w:rPr>
        <w:t>, apartado A</w:t>
      </w:r>
      <w:r w:rsidR="0076766A" w:rsidRPr="00F208A6">
        <w:rPr>
          <w:rFonts w:ascii="Palatino Linotype" w:eastAsia="Calibri" w:hAnsi="Palatino Linotype" w:cs="Tahoma"/>
          <w:bCs/>
          <w:sz w:val="22"/>
          <w:szCs w:val="22"/>
          <w:lang w:val="es-ES" w:eastAsia="en-US"/>
        </w:rPr>
        <w:t>,</w:t>
      </w:r>
      <w:r w:rsidRPr="00F208A6">
        <w:rPr>
          <w:rFonts w:ascii="Palatino Linotype" w:eastAsia="Calibri" w:hAnsi="Palatino Linotype" w:cs="Tahoma"/>
          <w:bCs/>
          <w:sz w:val="22"/>
          <w:szCs w:val="22"/>
          <w:lang w:val="es-ES" w:eastAsia="en-US"/>
        </w:rPr>
        <w:t xml:space="preserve"> de la Constitución Política de los Estados Unidos Mexicanos; 5</w:t>
      </w:r>
      <w:r w:rsidR="00E477A3" w:rsidRPr="00F208A6">
        <w:rPr>
          <w:rFonts w:ascii="Palatino Linotype" w:eastAsia="Calibri" w:hAnsi="Palatino Linotype" w:cs="Tahoma"/>
          <w:bCs/>
          <w:sz w:val="22"/>
          <w:szCs w:val="22"/>
          <w:lang w:val="es-ES" w:eastAsia="en-US"/>
        </w:rPr>
        <w:t>°</w:t>
      </w:r>
      <w:r w:rsidR="00CF6923" w:rsidRPr="00F208A6">
        <w:rPr>
          <w:rFonts w:ascii="Palatino Linotype" w:eastAsia="Calibri" w:hAnsi="Palatino Linotype" w:cs="Tahoma"/>
          <w:bCs/>
          <w:sz w:val="22"/>
          <w:szCs w:val="22"/>
          <w:lang w:val="es-ES" w:eastAsia="en-US"/>
        </w:rPr>
        <w:t xml:space="preserve">, párrafos vigésimo </w:t>
      </w:r>
      <w:r w:rsidRPr="00F208A6">
        <w:rPr>
          <w:rFonts w:ascii="Palatino Linotype" w:eastAsia="Calibri" w:hAnsi="Palatino Linotype" w:cs="Tahoma"/>
          <w:bCs/>
          <w:sz w:val="22"/>
          <w:szCs w:val="22"/>
          <w:lang w:val="es-ES" w:eastAsia="en-US"/>
        </w:rPr>
        <w:t xml:space="preserve">segundo, </w:t>
      </w:r>
      <w:r w:rsidR="00CF6923" w:rsidRPr="00F208A6">
        <w:rPr>
          <w:rFonts w:ascii="Palatino Linotype" w:eastAsia="Calibri" w:hAnsi="Palatino Linotype" w:cs="Tahoma"/>
          <w:bCs/>
          <w:sz w:val="22"/>
          <w:szCs w:val="22"/>
          <w:lang w:val="es-ES" w:eastAsia="en-US"/>
        </w:rPr>
        <w:t xml:space="preserve">vigésimo tercero y vigésimo cuarto </w:t>
      </w:r>
      <w:r w:rsidRPr="00F208A6">
        <w:rPr>
          <w:rFonts w:ascii="Palatino Linotype" w:eastAsia="Calibri" w:hAnsi="Palatino Linotype" w:cs="Tahoma"/>
          <w:bCs/>
          <w:sz w:val="22"/>
          <w:szCs w:val="22"/>
          <w:lang w:val="es-ES" w:eastAsia="en-US"/>
        </w:rPr>
        <w:t>fracciones I, II, III, IV y V</w:t>
      </w:r>
      <w:r w:rsidR="00E477A3" w:rsidRPr="00F208A6">
        <w:rPr>
          <w:rFonts w:ascii="Palatino Linotype" w:eastAsia="Calibri" w:hAnsi="Palatino Linotype" w:cs="Tahoma"/>
          <w:bCs/>
          <w:sz w:val="22"/>
          <w:szCs w:val="22"/>
          <w:lang w:val="es-ES" w:eastAsia="en-US"/>
        </w:rPr>
        <w:t>,</w:t>
      </w:r>
      <w:r w:rsidRPr="00F208A6">
        <w:rPr>
          <w:rFonts w:ascii="Palatino Linotype" w:eastAsia="Calibri" w:hAnsi="Palatino Linotype" w:cs="Tahoma"/>
          <w:bCs/>
          <w:sz w:val="22"/>
          <w:szCs w:val="22"/>
          <w:lang w:val="es-ES" w:eastAsia="en-US"/>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w:t>
      </w:r>
      <w:r w:rsidR="00E477A3" w:rsidRPr="00F208A6">
        <w:rPr>
          <w:rFonts w:ascii="Palatino Linotype" w:eastAsia="Calibri" w:hAnsi="Palatino Linotype" w:cs="Tahoma"/>
          <w:bCs/>
          <w:sz w:val="22"/>
          <w:szCs w:val="22"/>
          <w:lang w:val="es-ES" w:eastAsia="en-US"/>
        </w:rPr>
        <w:t>,</w:t>
      </w:r>
      <w:r w:rsidRPr="00F208A6">
        <w:rPr>
          <w:rFonts w:ascii="Palatino Linotype" w:eastAsia="Calibri" w:hAnsi="Palatino Linotype" w:cs="Tahoma"/>
          <w:bCs/>
          <w:sz w:val="22"/>
          <w:szCs w:val="22"/>
          <w:lang w:val="es-ES" w:eastAsia="en-US"/>
        </w:rPr>
        <w:t xml:space="preserve"> de la Ley Transparencia y Acceso a la Información Pública del</w:t>
      </w:r>
      <w:r w:rsidR="00DC766B" w:rsidRPr="00F208A6">
        <w:rPr>
          <w:rFonts w:ascii="Palatino Linotype" w:eastAsia="Calibri" w:hAnsi="Palatino Linotype" w:cs="Tahoma"/>
          <w:bCs/>
          <w:sz w:val="22"/>
          <w:szCs w:val="22"/>
          <w:lang w:val="es-ES" w:eastAsia="en-US"/>
        </w:rPr>
        <w:t xml:space="preserve"> Estado de México y Municipios; 7</w:t>
      </w:r>
      <w:r w:rsidRPr="00F208A6">
        <w:rPr>
          <w:rFonts w:ascii="Palatino Linotype" w:eastAsia="Calibri" w:hAnsi="Palatino Linotype" w:cs="Tahoma"/>
          <w:bCs/>
          <w:sz w:val="22"/>
          <w:szCs w:val="22"/>
          <w:lang w:val="es-ES" w:eastAsia="en-US"/>
        </w:rPr>
        <w:t>, 9, fracciones I y XXIV y 11</w:t>
      </w:r>
      <w:r w:rsidR="00E477A3" w:rsidRPr="00F208A6">
        <w:rPr>
          <w:rFonts w:ascii="Palatino Linotype" w:eastAsia="Calibri" w:hAnsi="Palatino Linotype" w:cs="Tahoma"/>
          <w:bCs/>
          <w:sz w:val="22"/>
          <w:szCs w:val="22"/>
          <w:lang w:val="es-ES" w:eastAsia="en-US"/>
        </w:rPr>
        <w:t>,</w:t>
      </w:r>
      <w:r w:rsidRPr="00F208A6">
        <w:rPr>
          <w:rFonts w:ascii="Palatino Linotype" w:eastAsia="Calibri" w:hAnsi="Palatino Linotype" w:cs="Tahoma"/>
          <w:bCs/>
          <w:sz w:val="22"/>
          <w:szCs w:val="22"/>
          <w:lang w:val="es-ES" w:eastAsia="en-US"/>
        </w:rPr>
        <w:t xml:space="preserve"> del Reglamento Interior del Instituto de Transparencia, Acceso a la Información Pública y Protección de Datos Personales del Estado de México y Municipios.</w:t>
      </w:r>
    </w:p>
    <w:p w14:paraId="2EE1151E" w14:textId="77777777" w:rsidR="002140C9" w:rsidRPr="00F208A6" w:rsidRDefault="002140C9" w:rsidP="007706FD">
      <w:pPr>
        <w:spacing w:line="360" w:lineRule="auto"/>
        <w:jc w:val="both"/>
        <w:rPr>
          <w:rFonts w:ascii="Palatino Linotype" w:eastAsia="Calibri" w:hAnsi="Palatino Linotype" w:cs="Tahoma"/>
          <w:b/>
          <w:bCs/>
          <w:sz w:val="22"/>
          <w:szCs w:val="22"/>
          <w:lang w:val="es-ES" w:eastAsia="en-US"/>
        </w:rPr>
      </w:pPr>
    </w:p>
    <w:p w14:paraId="31167004" w14:textId="5B42DB3A" w:rsidR="00806E45" w:rsidRPr="00F208A6" w:rsidRDefault="00806E45" w:rsidP="007706FD">
      <w:pPr>
        <w:spacing w:line="360" w:lineRule="auto"/>
        <w:jc w:val="both"/>
        <w:rPr>
          <w:rFonts w:ascii="Palatino Linotype" w:eastAsia="Calibri" w:hAnsi="Palatino Linotype" w:cs="Tahoma"/>
          <w:bCs/>
          <w:sz w:val="22"/>
          <w:szCs w:val="22"/>
          <w:lang w:val="es-ES" w:eastAsia="en-US"/>
        </w:rPr>
      </w:pPr>
      <w:r w:rsidRPr="00F208A6">
        <w:rPr>
          <w:rFonts w:ascii="Palatino Linotype" w:eastAsia="Calibri" w:hAnsi="Palatino Linotype" w:cs="Tahoma"/>
          <w:b/>
          <w:bCs/>
          <w:sz w:val="22"/>
          <w:szCs w:val="22"/>
          <w:lang w:val="es-ES" w:eastAsia="en-US"/>
        </w:rPr>
        <w:t>SE</w:t>
      </w:r>
      <w:r w:rsidR="00285B21" w:rsidRPr="00F208A6">
        <w:rPr>
          <w:rFonts w:ascii="Palatino Linotype" w:eastAsia="Calibri" w:hAnsi="Palatino Linotype" w:cs="Tahoma"/>
          <w:b/>
          <w:bCs/>
          <w:sz w:val="22"/>
          <w:szCs w:val="22"/>
          <w:lang w:val="es-ES" w:eastAsia="en-US"/>
        </w:rPr>
        <w:t>GUNDO</w:t>
      </w:r>
      <w:r w:rsidRPr="00F208A6">
        <w:rPr>
          <w:rFonts w:ascii="Palatino Linotype" w:eastAsia="Calibri" w:hAnsi="Palatino Linotype" w:cs="Tahoma"/>
          <w:bCs/>
          <w:sz w:val="22"/>
          <w:szCs w:val="22"/>
          <w:lang w:val="es-ES" w:eastAsia="en-US"/>
        </w:rPr>
        <w:t xml:space="preserve">. </w:t>
      </w:r>
      <w:r w:rsidRPr="00F208A6">
        <w:rPr>
          <w:rFonts w:ascii="Palatino Linotype" w:eastAsia="Calibri" w:hAnsi="Palatino Linotype" w:cs="Tahoma"/>
          <w:b/>
          <w:bCs/>
          <w:sz w:val="22"/>
          <w:szCs w:val="22"/>
          <w:lang w:val="es-ES" w:eastAsia="en-US"/>
        </w:rPr>
        <w:t>Causales de improcedencia y sobreseimiento.</w:t>
      </w:r>
      <w:r w:rsidRPr="00F208A6">
        <w:rPr>
          <w:rFonts w:ascii="Palatino Linotype" w:eastAsia="Calibri" w:hAnsi="Palatino Linotype" w:cs="Tahoma"/>
          <w:bCs/>
          <w:sz w:val="22"/>
          <w:szCs w:val="22"/>
          <w:lang w:val="es-ES" w:eastAsia="en-US"/>
        </w:rPr>
        <w:t xml:space="preserve"> </w:t>
      </w:r>
    </w:p>
    <w:p w14:paraId="44D41E0C" w14:textId="77777777" w:rsidR="00806E45" w:rsidRPr="00F208A6" w:rsidRDefault="00806E45" w:rsidP="007706FD">
      <w:pPr>
        <w:spacing w:line="360" w:lineRule="auto"/>
        <w:jc w:val="both"/>
        <w:rPr>
          <w:rFonts w:ascii="Palatino Linotype" w:eastAsia="Calibri" w:hAnsi="Palatino Linotype" w:cs="Tahoma"/>
          <w:bCs/>
          <w:sz w:val="22"/>
          <w:szCs w:val="22"/>
          <w:lang w:val="es-ES" w:eastAsia="en-US"/>
        </w:rPr>
      </w:pPr>
    </w:p>
    <w:p w14:paraId="18918EF9" w14:textId="77777777" w:rsidR="0038319E" w:rsidRPr="00F208A6" w:rsidRDefault="00806E45" w:rsidP="007706FD">
      <w:pPr>
        <w:spacing w:line="360" w:lineRule="auto"/>
        <w:ind w:right="-595"/>
        <w:jc w:val="both"/>
        <w:rPr>
          <w:rFonts w:ascii="Palatino Linotype" w:eastAsia="Calibri" w:hAnsi="Palatino Linotype" w:cs="Tahoma"/>
          <w:bCs/>
          <w:sz w:val="22"/>
          <w:szCs w:val="22"/>
          <w:lang w:val="es-ES" w:eastAsia="en-US"/>
        </w:rPr>
      </w:pPr>
      <w:r w:rsidRPr="00F208A6">
        <w:rPr>
          <w:rFonts w:ascii="Palatino Linotype" w:eastAsia="Calibri" w:hAnsi="Palatino Linotype" w:cs="Tahoma"/>
          <w:bCs/>
          <w:sz w:val="22"/>
          <w:szCs w:val="22"/>
          <w:lang w:val="es-ES" w:eastAsia="en-US"/>
        </w:rPr>
        <w:lastRenderedPageBreak/>
        <w:t xml:space="preserve">Previo al análisis de fondo de la controversia presentada en el asunto que nos ocupa, este Instituto </w:t>
      </w:r>
      <w:r w:rsidR="00DC766B" w:rsidRPr="00F208A6">
        <w:rPr>
          <w:rFonts w:ascii="Palatino Linotype" w:eastAsia="Calibri" w:hAnsi="Palatino Linotype" w:cs="Tahoma"/>
          <w:bCs/>
          <w:sz w:val="22"/>
          <w:szCs w:val="22"/>
          <w:lang w:val="es-ES" w:eastAsia="en-US"/>
        </w:rPr>
        <w:t>se encuentra obligado a efectuar el</w:t>
      </w:r>
      <w:r w:rsidRPr="00F208A6">
        <w:rPr>
          <w:rFonts w:ascii="Palatino Linotype" w:eastAsia="Calibri" w:hAnsi="Palatino Linotype" w:cs="Tahoma"/>
          <w:bCs/>
          <w:sz w:val="22"/>
          <w:szCs w:val="22"/>
          <w:lang w:val="es-ES" w:eastAsia="en-US"/>
        </w:rPr>
        <w:t xml:space="preserve">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r w:rsidR="004F4B65" w:rsidRPr="00F208A6">
        <w:rPr>
          <w:rFonts w:ascii="Palatino Linotype" w:eastAsia="Calibri" w:hAnsi="Palatino Linotype" w:cs="Tahoma"/>
          <w:bCs/>
          <w:sz w:val="22"/>
          <w:szCs w:val="22"/>
          <w:lang w:val="es-ES" w:eastAsia="en-US"/>
        </w:rPr>
        <w:t>)</w:t>
      </w:r>
      <w:r w:rsidR="003C373A" w:rsidRPr="00F208A6">
        <w:rPr>
          <w:rFonts w:ascii="Palatino Linotype" w:eastAsia="Calibri" w:hAnsi="Palatino Linotype" w:cs="Tahoma"/>
          <w:bCs/>
          <w:sz w:val="22"/>
          <w:szCs w:val="22"/>
          <w:lang w:val="es-ES" w:eastAsia="en-US"/>
        </w:rPr>
        <w:t>.</w:t>
      </w:r>
      <w:r w:rsidR="0038319E" w:rsidRPr="00F208A6">
        <w:rPr>
          <w:rFonts w:ascii="Palatino Linotype" w:eastAsia="Calibri" w:hAnsi="Palatino Linotype" w:cs="Tahoma"/>
          <w:bCs/>
          <w:sz w:val="22"/>
          <w:szCs w:val="22"/>
          <w:lang w:val="es-ES" w:eastAsia="en-US"/>
        </w:rPr>
        <w:t xml:space="preserve"> </w:t>
      </w:r>
    </w:p>
    <w:p w14:paraId="625D8D13" w14:textId="77777777" w:rsidR="00DE011C" w:rsidRPr="00F208A6" w:rsidRDefault="00DE011C" w:rsidP="007706FD">
      <w:pPr>
        <w:spacing w:line="360" w:lineRule="auto"/>
        <w:jc w:val="both"/>
        <w:rPr>
          <w:rFonts w:ascii="Palatino Linotype" w:eastAsia="Calibri" w:hAnsi="Palatino Linotype" w:cs="Tahoma"/>
          <w:bCs/>
          <w:sz w:val="22"/>
          <w:szCs w:val="22"/>
          <w:lang w:val="es-ES" w:eastAsia="en-US"/>
        </w:rPr>
      </w:pPr>
    </w:p>
    <w:p w14:paraId="1DD795E0" w14:textId="77777777" w:rsidR="0038319E" w:rsidRPr="00F208A6" w:rsidRDefault="0038319E" w:rsidP="007706FD">
      <w:pPr>
        <w:pStyle w:val="Prrafodelista"/>
        <w:numPr>
          <w:ilvl w:val="0"/>
          <w:numId w:val="2"/>
        </w:numPr>
        <w:spacing w:line="360" w:lineRule="auto"/>
        <w:jc w:val="both"/>
        <w:rPr>
          <w:rFonts w:ascii="Palatino Linotype" w:eastAsia="Calibri" w:hAnsi="Palatino Linotype" w:cs="Tahoma"/>
          <w:b/>
          <w:bCs/>
          <w:szCs w:val="22"/>
          <w:lang w:val="es-ES" w:eastAsia="en-US"/>
        </w:rPr>
      </w:pPr>
      <w:r w:rsidRPr="00F208A6">
        <w:rPr>
          <w:rFonts w:ascii="Palatino Linotype" w:eastAsia="Calibri" w:hAnsi="Palatino Linotype" w:cs="Tahoma"/>
          <w:b/>
          <w:bCs/>
          <w:szCs w:val="22"/>
          <w:lang w:val="es-ES" w:eastAsia="en-US"/>
        </w:rPr>
        <w:t>Ca</w:t>
      </w:r>
      <w:r w:rsidR="004D0BE6" w:rsidRPr="00F208A6">
        <w:rPr>
          <w:rFonts w:ascii="Palatino Linotype" w:eastAsia="Calibri" w:hAnsi="Palatino Linotype" w:cs="Tahoma"/>
          <w:b/>
          <w:bCs/>
          <w:szCs w:val="22"/>
          <w:lang w:val="es-ES" w:eastAsia="en-US"/>
        </w:rPr>
        <w:t>us</w:t>
      </w:r>
      <w:r w:rsidRPr="00F208A6">
        <w:rPr>
          <w:rFonts w:ascii="Palatino Linotype" w:eastAsia="Calibri" w:hAnsi="Palatino Linotype" w:cs="Tahoma"/>
          <w:b/>
          <w:bCs/>
          <w:szCs w:val="22"/>
          <w:lang w:val="es-ES" w:eastAsia="en-US"/>
        </w:rPr>
        <w:t>ales de improcedencia.</w:t>
      </w:r>
    </w:p>
    <w:p w14:paraId="729D6819" w14:textId="77777777" w:rsidR="00E477A3" w:rsidRPr="00F208A6" w:rsidRDefault="00E477A3" w:rsidP="007706FD">
      <w:pPr>
        <w:spacing w:line="360" w:lineRule="auto"/>
        <w:jc w:val="both"/>
        <w:rPr>
          <w:rFonts w:ascii="Palatino Linotype" w:eastAsia="Calibri" w:hAnsi="Palatino Linotype" w:cs="Tahoma"/>
          <w:bCs/>
          <w:sz w:val="22"/>
          <w:szCs w:val="22"/>
          <w:lang w:val="es-ES" w:eastAsia="en-US"/>
        </w:rPr>
      </w:pPr>
    </w:p>
    <w:p w14:paraId="2BAE5D9E" w14:textId="51E0C529" w:rsidR="0041686D" w:rsidRPr="00F208A6" w:rsidRDefault="00E477A3" w:rsidP="007706FD">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r w:rsidRPr="00F208A6">
        <w:rPr>
          <w:rFonts w:ascii="Palatino Linotype" w:eastAsia="Calibri" w:hAnsi="Palatino Linotype" w:cs="Tahoma"/>
          <w:color w:val="000000"/>
          <w:sz w:val="22"/>
          <w:szCs w:val="22"/>
          <w:lang w:val="es-ES" w:eastAsia="es-MX"/>
        </w:rPr>
        <w:t>En el presente caso, no se actualiza ninguna de las causales de i</w:t>
      </w:r>
      <w:r w:rsidR="006A6A79" w:rsidRPr="00F208A6">
        <w:rPr>
          <w:rFonts w:ascii="Palatino Linotype" w:eastAsia="Calibri" w:hAnsi="Palatino Linotype" w:cs="Tahoma"/>
          <w:color w:val="000000"/>
          <w:sz w:val="22"/>
          <w:szCs w:val="22"/>
          <w:lang w:val="es-ES" w:eastAsia="es-MX"/>
        </w:rPr>
        <w:t>mprocedencia establecidas por el artículo 191</w:t>
      </w:r>
      <w:r w:rsidR="00AA2BD3" w:rsidRPr="00F208A6">
        <w:rPr>
          <w:rFonts w:ascii="Palatino Linotype" w:eastAsia="Calibri" w:hAnsi="Palatino Linotype" w:cs="Tahoma"/>
          <w:color w:val="000000"/>
          <w:sz w:val="22"/>
          <w:szCs w:val="22"/>
          <w:lang w:val="es-ES" w:eastAsia="es-MX"/>
        </w:rPr>
        <w:t xml:space="preserve">, </w:t>
      </w:r>
      <w:r w:rsidR="006A6A79" w:rsidRPr="00F208A6">
        <w:rPr>
          <w:rFonts w:ascii="Palatino Linotype" w:eastAsia="Calibri" w:hAnsi="Palatino Linotype" w:cs="Tahoma"/>
          <w:color w:val="000000"/>
          <w:sz w:val="22"/>
          <w:szCs w:val="22"/>
          <w:lang w:val="es-ES" w:eastAsia="es-MX"/>
        </w:rPr>
        <w:t>de la Ley de Transparencia y Acceso a la Información Pública del Estado de México y Municipios</w:t>
      </w:r>
      <w:r w:rsidRPr="00F208A6">
        <w:rPr>
          <w:rFonts w:ascii="Palatino Linotype" w:eastAsia="Calibri" w:hAnsi="Palatino Linotype" w:cs="Tahoma"/>
          <w:color w:val="000000"/>
          <w:sz w:val="22"/>
          <w:szCs w:val="22"/>
          <w:lang w:val="es-ES" w:eastAsia="es-MX"/>
        </w:rPr>
        <w:t xml:space="preserve">, toda vez que </w:t>
      </w:r>
      <w:r w:rsidR="009F376A" w:rsidRPr="00F208A6">
        <w:rPr>
          <w:rFonts w:ascii="Palatino Linotype" w:eastAsia="Calibri" w:hAnsi="Palatino Linotype" w:cs="Tahoma"/>
          <w:color w:val="000000"/>
          <w:sz w:val="22"/>
          <w:szCs w:val="22"/>
          <w:lang w:val="es-ES" w:eastAsia="es-MX"/>
        </w:rPr>
        <w:t xml:space="preserve">el recurso de revisión fue interpuesto dentro de los quince días que marca la norma; </w:t>
      </w:r>
      <w:r w:rsidRPr="00F208A6">
        <w:rPr>
          <w:rFonts w:ascii="Palatino Linotype" w:eastAsia="Calibri" w:hAnsi="Palatino Linotype" w:cs="Tahoma"/>
          <w:color w:val="000000"/>
          <w:sz w:val="22"/>
          <w:szCs w:val="22"/>
          <w:lang w:val="es-ES" w:eastAsia="es-MX"/>
        </w:rPr>
        <w:t xml:space="preserve">este Instituto no tiene conocimiento </w:t>
      </w:r>
      <w:r w:rsidRPr="00F208A6">
        <w:rPr>
          <w:rFonts w:ascii="Palatino Linotype" w:hAnsi="Palatino Linotype" w:cs="Tahoma"/>
          <w:sz w:val="22"/>
          <w:szCs w:val="22"/>
          <w:lang w:val="es-ES"/>
        </w:rPr>
        <w:t xml:space="preserve">de que se encuentre en trámite algún medio de defensa presentado por el </w:t>
      </w:r>
      <w:r w:rsidR="00F06ECD" w:rsidRPr="00F208A6">
        <w:rPr>
          <w:rFonts w:ascii="Palatino Linotype" w:hAnsi="Palatino Linotype" w:cs="Tahoma"/>
          <w:sz w:val="22"/>
          <w:szCs w:val="22"/>
          <w:lang w:val="es-ES"/>
        </w:rPr>
        <w:t xml:space="preserve">Recurrente </w:t>
      </w:r>
      <w:r w:rsidRPr="00F208A6">
        <w:rPr>
          <w:rFonts w:ascii="Palatino Linotype" w:hAnsi="Palatino Linotype" w:cs="Tahoma"/>
          <w:sz w:val="22"/>
          <w:szCs w:val="22"/>
          <w:lang w:val="es-ES"/>
        </w:rPr>
        <w:t>ante otra instancia; no existió prevención alguna; la veracidad de la respuesta no formó parte del agravio</w:t>
      </w:r>
      <w:r w:rsidR="009F376A" w:rsidRPr="00F208A6">
        <w:rPr>
          <w:rFonts w:ascii="Palatino Linotype" w:hAnsi="Palatino Linotype" w:cs="Tahoma"/>
          <w:sz w:val="22"/>
          <w:szCs w:val="22"/>
          <w:lang w:val="es-ES"/>
        </w:rPr>
        <w:t xml:space="preserve">; no se está ante una consulta o trámite en específico; </w:t>
      </w:r>
      <w:r w:rsidR="0041686D" w:rsidRPr="00F208A6">
        <w:rPr>
          <w:rFonts w:ascii="Palatino Linotype" w:hAnsi="Palatino Linotype" w:cs="Tahoma"/>
          <w:sz w:val="22"/>
          <w:szCs w:val="22"/>
          <w:lang w:val="es-ES"/>
        </w:rPr>
        <w:t xml:space="preserve">y, el </w:t>
      </w:r>
      <w:r w:rsidR="00F06ECD" w:rsidRPr="00F208A6">
        <w:rPr>
          <w:rFonts w:ascii="Palatino Linotype" w:hAnsi="Palatino Linotype" w:cs="Tahoma"/>
          <w:sz w:val="22"/>
          <w:szCs w:val="22"/>
          <w:lang w:val="es-ES"/>
        </w:rPr>
        <w:t>Recurrente</w:t>
      </w:r>
      <w:r w:rsidR="00D843FA" w:rsidRPr="00F208A6">
        <w:rPr>
          <w:rFonts w:ascii="Palatino Linotype" w:hAnsi="Palatino Linotype" w:cs="Tahoma"/>
          <w:sz w:val="22"/>
          <w:szCs w:val="22"/>
          <w:lang w:val="es-ES"/>
        </w:rPr>
        <w:t xml:space="preserve"> no amplió su solicitud en el recurso de revisión</w:t>
      </w:r>
      <w:r w:rsidRPr="00F208A6">
        <w:rPr>
          <w:rFonts w:ascii="Palatino Linotype" w:eastAsia="Calibri" w:hAnsi="Palatino Linotype" w:cs="Tahoma"/>
          <w:color w:val="000000"/>
          <w:sz w:val="22"/>
          <w:szCs w:val="22"/>
          <w:lang w:val="es-ES" w:eastAsia="es-MX"/>
        </w:rPr>
        <w:t>.</w:t>
      </w:r>
      <w:r w:rsidR="00295682" w:rsidRPr="00F208A6">
        <w:rPr>
          <w:rFonts w:ascii="Palatino Linotype" w:eastAsia="Calibri" w:hAnsi="Palatino Linotype" w:cs="Tahoma"/>
          <w:color w:val="000000"/>
          <w:sz w:val="22"/>
          <w:szCs w:val="22"/>
          <w:lang w:val="es-ES" w:eastAsia="es-MX"/>
        </w:rPr>
        <w:t xml:space="preserve"> </w:t>
      </w:r>
    </w:p>
    <w:p w14:paraId="4BD872A3" w14:textId="77777777" w:rsidR="0041686D" w:rsidRPr="00F208A6" w:rsidRDefault="0041686D" w:rsidP="007706FD">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p>
    <w:p w14:paraId="1871EEF2" w14:textId="526F9A87" w:rsidR="0038319E" w:rsidRPr="00F208A6" w:rsidRDefault="003C373A" w:rsidP="007706FD">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r w:rsidRPr="00F208A6">
        <w:rPr>
          <w:rFonts w:ascii="Palatino Linotype" w:hAnsi="Palatino Linotype" w:cs="Tahoma"/>
          <w:sz w:val="22"/>
          <w:szCs w:val="24"/>
        </w:rPr>
        <w:t xml:space="preserve">Aunado a lo anterior, del análisis al recurso de revisión interpuesto, </w:t>
      </w:r>
      <w:r w:rsidR="00E477A3" w:rsidRPr="00F208A6">
        <w:rPr>
          <w:rFonts w:ascii="Palatino Linotype" w:hAnsi="Palatino Linotype" w:cs="Tahoma"/>
          <w:sz w:val="22"/>
          <w:szCs w:val="24"/>
          <w:lang w:val="es-ES"/>
        </w:rPr>
        <w:t>se</w:t>
      </w:r>
      <w:r w:rsidRPr="00F208A6">
        <w:rPr>
          <w:rFonts w:ascii="Palatino Linotype" w:hAnsi="Palatino Linotype" w:cs="Tahoma"/>
          <w:sz w:val="22"/>
          <w:szCs w:val="24"/>
          <w:lang w:val="es-ES"/>
        </w:rPr>
        <w:t xml:space="preserve"> advierte que este</w:t>
      </w:r>
      <w:r w:rsidR="00E477A3" w:rsidRPr="00F208A6">
        <w:rPr>
          <w:rFonts w:ascii="Palatino Linotype" w:hAnsi="Palatino Linotype" w:cs="Tahoma"/>
          <w:sz w:val="22"/>
          <w:szCs w:val="24"/>
          <w:lang w:val="es-ES"/>
        </w:rPr>
        <w:t xml:space="preserve"> actualiza la</w:t>
      </w:r>
      <w:r w:rsidR="007368A7" w:rsidRPr="00F208A6">
        <w:rPr>
          <w:rFonts w:ascii="Palatino Linotype" w:hAnsi="Palatino Linotype" w:cs="Tahoma"/>
          <w:sz w:val="22"/>
          <w:szCs w:val="24"/>
          <w:lang w:val="es-ES"/>
        </w:rPr>
        <w:t xml:space="preserve"> </w:t>
      </w:r>
      <w:r w:rsidR="00E477A3" w:rsidRPr="00F208A6">
        <w:rPr>
          <w:rFonts w:ascii="Palatino Linotype" w:hAnsi="Palatino Linotype" w:cs="Tahoma"/>
          <w:sz w:val="22"/>
          <w:szCs w:val="24"/>
          <w:lang w:val="es-ES"/>
        </w:rPr>
        <w:t>causal</w:t>
      </w:r>
      <w:r w:rsidR="007368A7" w:rsidRPr="00F208A6">
        <w:rPr>
          <w:rFonts w:ascii="Palatino Linotype" w:hAnsi="Palatino Linotype" w:cs="Tahoma"/>
          <w:sz w:val="22"/>
          <w:szCs w:val="24"/>
          <w:lang w:val="es-ES"/>
        </w:rPr>
        <w:t xml:space="preserve"> </w:t>
      </w:r>
      <w:r w:rsidR="00E477A3" w:rsidRPr="00F208A6">
        <w:rPr>
          <w:rFonts w:ascii="Palatino Linotype" w:hAnsi="Palatino Linotype" w:cs="Tahoma"/>
          <w:sz w:val="22"/>
          <w:szCs w:val="24"/>
          <w:lang w:val="es-ES"/>
        </w:rPr>
        <w:t xml:space="preserve">de procedencia </w:t>
      </w:r>
      <w:r w:rsidR="00774D4B" w:rsidRPr="00F208A6">
        <w:rPr>
          <w:rFonts w:ascii="Palatino Linotype" w:hAnsi="Palatino Linotype" w:cs="Tahoma"/>
          <w:sz w:val="22"/>
          <w:szCs w:val="24"/>
          <w:lang w:val="es-ES"/>
        </w:rPr>
        <w:t xml:space="preserve">prevista por </w:t>
      </w:r>
      <w:r w:rsidR="00E477A3" w:rsidRPr="00F208A6">
        <w:rPr>
          <w:rFonts w:ascii="Palatino Linotype" w:hAnsi="Palatino Linotype" w:cs="Tahoma"/>
          <w:sz w:val="22"/>
          <w:szCs w:val="24"/>
          <w:lang w:val="es-ES"/>
        </w:rPr>
        <w:t xml:space="preserve">el artículo 179, </w:t>
      </w:r>
      <w:r w:rsidR="006A6A79" w:rsidRPr="00F208A6">
        <w:rPr>
          <w:rFonts w:ascii="Palatino Linotype" w:eastAsia="Calibri" w:hAnsi="Palatino Linotype" w:cs="Tahoma"/>
          <w:bCs/>
          <w:sz w:val="22"/>
          <w:szCs w:val="22"/>
          <w:lang w:val="es-ES" w:eastAsia="en-US"/>
        </w:rPr>
        <w:t>fracci</w:t>
      </w:r>
      <w:r w:rsidR="009C74D1" w:rsidRPr="00F208A6">
        <w:rPr>
          <w:rFonts w:ascii="Palatino Linotype" w:eastAsia="Calibri" w:hAnsi="Palatino Linotype" w:cs="Tahoma"/>
          <w:bCs/>
          <w:sz w:val="22"/>
          <w:szCs w:val="22"/>
          <w:lang w:val="es-ES" w:eastAsia="en-US"/>
        </w:rPr>
        <w:t>o</w:t>
      </w:r>
      <w:r w:rsidR="00423957" w:rsidRPr="00F208A6">
        <w:rPr>
          <w:rFonts w:ascii="Palatino Linotype" w:eastAsia="Calibri" w:hAnsi="Palatino Linotype" w:cs="Tahoma"/>
          <w:bCs/>
          <w:sz w:val="22"/>
          <w:szCs w:val="22"/>
          <w:lang w:val="es-ES" w:eastAsia="en-US"/>
        </w:rPr>
        <w:t>n</w:t>
      </w:r>
      <w:r w:rsidR="009C74D1" w:rsidRPr="00F208A6">
        <w:rPr>
          <w:rFonts w:ascii="Palatino Linotype" w:eastAsia="Calibri" w:hAnsi="Palatino Linotype" w:cs="Tahoma"/>
          <w:bCs/>
          <w:sz w:val="22"/>
          <w:szCs w:val="22"/>
          <w:lang w:val="es-ES" w:eastAsia="en-US"/>
        </w:rPr>
        <w:t>es V y</w:t>
      </w:r>
      <w:r w:rsidR="007368A7" w:rsidRPr="00F208A6">
        <w:rPr>
          <w:rFonts w:ascii="Palatino Linotype" w:eastAsia="Calibri" w:hAnsi="Palatino Linotype" w:cs="Tahoma"/>
          <w:bCs/>
          <w:sz w:val="22"/>
          <w:szCs w:val="22"/>
          <w:lang w:val="es-ES" w:eastAsia="en-US"/>
        </w:rPr>
        <w:t xml:space="preserve"> </w:t>
      </w:r>
      <w:r w:rsidR="009C74D1" w:rsidRPr="00F208A6">
        <w:rPr>
          <w:rFonts w:ascii="Palatino Linotype" w:eastAsia="Calibri" w:hAnsi="Palatino Linotype" w:cs="Tahoma"/>
          <w:bCs/>
          <w:sz w:val="22"/>
          <w:szCs w:val="22"/>
          <w:lang w:val="es-ES" w:eastAsia="en-US"/>
        </w:rPr>
        <w:t>VII</w:t>
      </w:r>
      <w:r w:rsidR="00423957" w:rsidRPr="00F208A6">
        <w:rPr>
          <w:rFonts w:ascii="Palatino Linotype" w:eastAsia="Calibri" w:hAnsi="Palatino Linotype" w:cs="Tahoma"/>
          <w:bCs/>
          <w:sz w:val="22"/>
          <w:szCs w:val="22"/>
          <w:lang w:val="es-ES" w:eastAsia="en-US"/>
        </w:rPr>
        <w:t>I</w:t>
      </w:r>
      <w:r w:rsidR="0008740C" w:rsidRPr="00F208A6">
        <w:rPr>
          <w:rFonts w:ascii="Palatino Linotype" w:eastAsia="Calibri" w:hAnsi="Palatino Linotype" w:cs="Tahoma"/>
          <w:bCs/>
          <w:sz w:val="22"/>
          <w:szCs w:val="22"/>
          <w:lang w:val="es-ES" w:eastAsia="en-US"/>
        </w:rPr>
        <w:t xml:space="preserve"> </w:t>
      </w:r>
      <w:r w:rsidR="003D4CB4" w:rsidRPr="00F208A6">
        <w:rPr>
          <w:rFonts w:ascii="Palatino Linotype" w:eastAsia="Calibri" w:hAnsi="Palatino Linotype" w:cs="Tahoma"/>
          <w:bCs/>
          <w:sz w:val="22"/>
          <w:szCs w:val="22"/>
          <w:lang w:val="es-ES" w:eastAsia="en-US"/>
        </w:rPr>
        <w:t>de la Ley en cita.</w:t>
      </w:r>
    </w:p>
    <w:p w14:paraId="63A350B1" w14:textId="77777777" w:rsidR="00783BF6" w:rsidRPr="00F208A6" w:rsidRDefault="00783BF6" w:rsidP="007706FD">
      <w:pPr>
        <w:spacing w:line="360" w:lineRule="auto"/>
        <w:jc w:val="both"/>
        <w:rPr>
          <w:rFonts w:ascii="Palatino Linotype" w:eastAsia="Calibri" w:hAnsi="Palatino Linotype" w:cs="Tahoma"/>
          <w:bCs/>
          <w:sz w:val="22"/>
          <w:szCs w:val="22"/>
          <w:lang w:val="es-ES" w:eastAsia="en-US"/>
        </w:rPr>
      </w:pPr>
    </w:p>
    <w:p w14:paraId="20072F05" w14:textId="77777777" w:rsidR="0038319E" w:rsidRPr="00F208A6" w:rsidRDefault="0038319E" w:rsidP="007706FD">
      <w:pPr>
        <w:pStyle w:val="Prrafodelista"/>
        <w:numPr>
          <w:ilvl w:val="0"/>
          <w:numId w:val="2"/>
        </w:numPr>
        <w:spacing w:line="276" w:lineRule="auto"/>
        <w:jc w:val="both"/>
        <w:rPr>
          <w:rFonts w:ascii="Palatino Linotype" w:eastAsia="Calibri" w:hAnsi="Palatino Linotype" w:cs="Tahoma"/>
          <w:bCs/>
          <w:szCs w:val="22"/>
          <w:lang w:val="es-ES" w:eastAsia="en-US"/>
        </w:rPr>
      </w:pPr>
      <w:r w:rsidRPr="00F208A6">
        <w:rPr>
          <w:rFonts w:ascii="Palatino Linotype" w:eastAsia="Calibri" w:hAnsi="Palatino Linotype" w:cs="Tahoma"/>
          <w:b/>
          <w:bCs/>
          <w:szCs w:val="22"/>
          <w:lang w:val="es-ES" w:eastAsia="en-US"/>
        </w:rPr>
        <w:t>Causales de sobreseimiento</w:t>
      </w:r>
      <w:r w:rsidRPr="00F208A6">
        <w:rPr>
          <w:rFonts w:ascii="Palatino Linotype" w:eastAsia="Calibri" w:hAnsi="Palatino Linotype" w:cs="Tahoma"/>
          <w:bCs/>
          <w:szCs w:val="22"/>
          <w:lang w:val="es-ES" w:eastAsia="en-US"/>
        </w:rPr>
        <w:t>.</w:t>
      </w:r>
    </w:p>
    <w:p w14:paraId="4EA39F2B" w14:textId="77777777" w:rsidR="00806E45" w:rsidRPr="00F208A6" w:rsidRDefault="00806E45" w:rsidP="007706FD">
      <w:pPr>
        <w:spacing w:line="276" w:lineRule="auto"/>
        <w:ind w:right="-595"/>
        <w:jc w:val="both"/>
        <w:rPr>
          <w:rFonts w:ascii="Palatino Linotype" w:eastAsia="Calibri" w:hAnsi="Palatino Linotype" w:cs="Tahoma"/>
          <w:bCs/>
          <w:sz w:val="22"/>
          <w:szCs w:val="22"/>
          <w:lang w:val="es-ES" w:eastAsia="en-US"/>
        </w:rPr>
      </w:pPr>
    </w:p>
    <w:p w14:paraId="761E11FB" w14:textId="2AC5C40D" w:rsidR="006E3C12" w:rsidRPr="00F208A6" w:rsidRDefault="006E3C12" w:rsidP="007706FD">
      <w:pPr>
        <w:spacing w:line="360" w:lineRule="auto"/>
        <w:ind w:right="-595"/>
        <w:jc w:val="both"/>
        <w:rPr>
          <w:rFonts w:ascii="Palatino Linotype" w:eastAsia="Calibri" w:hAnsi="Palatino Linotype" w:cs="Tahoma"/>
          <w:bCs/>
          <w:sz w:val="22"/>
          <w:szCs w:val="22"/>
          <w:lang w:val="es-ES" w:eastAsia="en-US"/>
        </w:rPr>
      </w:pPr>
      <w:r w:rsidRPr="00F208A6">
        <w:rPr>
          <w:rFonts w:ascii="Palatino Linotype" w:eastAsia="Calibri" w:hAnsi="Palatino Linotype" w:cs="Tahoma"/>
          <w:bCs/>
          <w:sz w:val="22"/>
          <w:szCs w:val="22"/>
          <w:lang w:val="es-ES" w:eastAsia="en-US"/>
        </w:rPr>
        <w:t>De los autos que corren agregados al expediente en el que se actúa, no fue posibl</w:t>
      </w:r>
      <w:r w:rsidR="00D20B1D" w:rsidRPr="00F208A6">
        <w:rPr>
          <w:rFonts w:ascii="Palatino Linotype" w:eastAsia="Calibri" w:hAnsi="Palatino Linotype" w:cs="Tahoma"/>
          <w:bCs/>
          <w:sz w:val="22"/>
          <w:szCs w:val="22"/>
          <w:lang w:val="es-ES" w:eastAsia="en-US"/>
        </w:rPr>
        <w:t xml:space="preserve">e advertir que se actualizarán </w:t>
      </w:r>
      <w:r w:rsidRPr="00F208A6">
        <w:rPr>
          <w:rFonts w:ascii="Palatino Linotype" w:eastAsia="Calibri" w:hAnsi="Palatino Linotype" w:cs="Tahoma"/>
          <w:bCs/>
          <w:sz w:val="22"/>
          <w:szCs w:val="22"/>
          <w:lang w:val="es-ES" w:eastAsia="en-US"/>
        </w:rPr>
        <w:t>las causales de sobreseimiento previstas por el artículo 192</w:t>
      </w:r>
      <w:r w:rsidR="00DF648F" w:rsidRPr="00F208A6">
        <w:rPr>
          <w:rFonts w:ascii="Palatino Linotype" w:eastAsia="Calibri" w:hAnsi="Palatino Linotype" w:cs="Tahoma"/>
          <w:bCs/>
          <w:sz w:val="22"/>
          <w:szCs w:val="22"/>
          <w:lang w:val="es-ES" w:eastAsia="en-US"/>
        </w:rPr>
        <w:t xml:space="preserve"> </w:t>
      </w:r>
      <w:r w:rsidRPr="00F208A6">
        <w:rPr>
          <w:rFonts w:ascii="Palatino Linotype" w:eastAsia="Calibri" w:hAnsi="Palatino Linotype" w:cs="Tahoma"/>
          <w:bCs/>
          <w:sz w:val="22"/>
          <w:szCs w:val="22"/>
          <w:lang w:val="es-ES" w:eastAsia="en-US"/>
        </w:rPr>
        <w:t>de la Ley de Transparencia y Acceso a la Información Pública del Estado de México y Municipios; toda vez que no obra constancia de que el solicitante se hubiera desistido del recurso, que hubiera fallecido, que hubiera aparecido una causal de improcedencia durante e</w:t>
      </w:r>
      <w:r w:rsidR="00F70797" w:rsidRPr="00F208A6">
        <w:rPr>
          <w:rFonts w:ascii="Palatino Linotype" w:eastAsia="Calibri" w:hAnsi="Palatino Linotype" w:cs="Tahoma"/>
          <w:bCs/>
          <w:sz w:val="22"/>
          <w:szCs w:val="22"/>
          <w:lang w:val="es-ES" w:eastAsia="en-US"/>
        </w:rPr>
        <w:t>l trámite del presente recurso,</w:t>
      </w:r>
      <w:r w:rsidRPr="00F208A6">
        <w:rPr>
          <w:rFonts w:ascii="Palatino Linotype" w:eastAsia="Calibri" w:hAnsi="Palatino Linotype" w:cs="Tahoma"/>
          <w:bCs/>
          <w:sz w:val="22"/>
          <w:szCs w:val="22"/>
          <w:lang w:val="es-ES" w:eastAsia="en-US"/>
        </w:rPr>
        <w:t xml:space="preserve"> </w:t>
      </w:r>
      <w:r w:rsidR="00DF648F" w:rsidRPr="00F208A6">
        <w:rPr>
          <w:rFonts w:ascii="Palatino Linotype" w:eastAsia="Calibri" w:hAnsi="Palatino Linotype" w:cs="Tahoma"/>
          <w:bCs/>
          <w:sz w:val="22"/>
          <w:szCs w:val="22"/>
          <w:lang w:val="es-ES" w:eastAsia="en-US"/>
        </w:rPr>
        <w:t xml:space="preserve">que el </w:t>
      </w:r>
      <w:r w:rsidR="00F06ECD" w:rsidRPr="00F208A6">
        <w:rPr>
          <w:rFonts w:ascii="Palatino Linotype" w:eastAsia="Calibri" w:hAnsi="Palatino Linotype" w:cs="Tahoma"/>
          <w:bCs/>
          <w:sz w:val="22"/>
          <w:szCs w:val="22"/>
          <w:lang w:val="es-ES" w:eastAsia="en-US"/>
        </w:rPr>
        <w:t xml:space="preserve">Sujeto Obligado </w:t>
      </w:r>
      <w:r w:rsidR="00DF648F" w:rsidRPr="00F208A6">
        <w:rPr>
          <w:rFonts w:ascii="Palatino Linotype" w:eastAsia="Calibri" w:hAnsi="Palatino Linotype" w:cs="Tahoma"/>
          <w:bCs/>
          <w:sz w:val="22"/>
          <w:szCs w:val="22"/>
          <w:lang w:val="es-ES" w:eastAsia="en-US"/>
        </w:rPr>
        <w:t xml:space="preserve">hubiera modificado su respuesta y con ello dejado sin materia </w:t>
      </w:r>
      <w:r w:rsidR="00DF648F" w:rsidRPr="00F208A6">
        <w:rPr>
          <w:rFonts w:ascii="Palatino Linotype" w:eastAsia="Calibri" w:hAnsi="Palatino Linotype" w:cs="Tahoma"/>
          <w:bCs/>
          <w:sz w:val="22"/>
          <w:szCs w:val="22"/>
          <w:lang w:val="es-ES" w:eastAsia="en-US"/>
        </w:rPr>
        <w:lastRenderedPageBreak/>
        <w:t xml:space="preserve">el recurso de revisión, </w:t>
      </w:r>
      <w:r w:rsidRPr="00F208A6">
        <w:rPr>
          <w:rFonts w:ascii="Palatino Linotype" w:eastAsia="Calibri" w:hAnsi="Palatino Linotype" w:cs="Tahoma"/>
          <w:bCs/>
          <w:sz w:val="22"/>
          <w:szCs w:val="22"/>
          <w:lang w:val="es-ES" w:eastAsia="en-US"/>
        </w:rPr>
        <w:t xml:space="preserve">o </w:t>
      </w:r>
      <w:r w:rsidR="00DF648F" w:rsidRPr="00F208A6">
        <w:rPr>
          <w:rFonts w:ascii="Palatino Linotype" w:eastAsia="Calibri" w:hAnsi="Palatino Linotype" w:cs="Tahoma"/>
          <w:bCs/>
          <w:sz w:val="22"/>
          <w:szCs w:val="22"/>
          <w:lang w:val="es-ES" w:eastAsia="en-US"/>
        </w:rPr>
        <w:t xml:space="preserve">bien </w:t>
      </w:r>
      <w:r w:rsidRPr="00F208A6">
        <w:rPr>
          <w:rFonts w:ascii="Palatino Linotype" w:eastAsia="Calibri" w:hAnsi="Palatino Linotype" w:cs="Tahoma"/>
          <w:bCs/>
          <w:sz w:val="22"/>
          <w:szCs w:val="22"/>
          <w:lang w:val="es-ES" w:eastAsia="en-US"/>
        </w:rPr>
        <w:t xml:space="preserve">que el recurso de revisión hubiera quedado sin materia por algún otro motivo. </w:t>
      </w:r>
    </w:p>
    <w:p w14:paraId="6293AAEC" w14:textId="77777777" w:rsidR="001327FA" w:rsidRPr="00F208A6" w:rsidRDefault="001327FA" w:rsidP="007706FD">
      <w:pPr>
        <w:spacing w:line="360" w:lineRule="auto"/>
        <w:ind w:right="-595"/>
        <w:jc w:val="both"/>
        <w:rPr>
          <w:rFonts w:ascii="Palatino Linotype" w:eastAsia="Calibri" w:hAnsi="Palatino Linotype" w:cs="Tahoma"/>
          <w:bCs/>
          <w:sz w:val="22"/>
          <w:szCs w:val="22"/>
          <w:lang w:val="es-ES" w:eastAsia="en-US"/>
        </w:rPr>
      </w:pPr>
    </w:p>
    <w:p w14:paraId="66406B23" w14:textId="0F3575A8" w:rsidR="006E3C12" w:rsidRPr="00F208A6" w:rsidRDefault="006E3C12" w:rsidP="007706FD">
      <w:pPr>
        <w:spacing w:line="360" w:lineRule="auto"/>
        <w:ind w:right="-595"/>
        <w:jc w:val="both"/>
        <w:rPr>
          <w:rFonts w:ascii="Palatino Linotype" w:eastAsia="Calibri" w:hAnsi="Palatino Linotype" w:cs="Tahoma"/>
          <w:bCs/>
          <w:sz w:val="22"/>
          <w:szCs w:val="22"/>
          <w:lang w:val="es-ES" w:eastAsia="en-US"/>
        </w:rPr>
      </w:pPr>
      <w:r w:rsidRPr="00F208A6">
        <w:rPr>
          <w:rFonts w:ascii="Palatino Linotype" w:eastAsia="Calibri" w:hAnsi="Palatino Linotype" w:cs="Tahoma"/>
          <w:bCs/>
          <w:sz w:val="22"/>
          <w:szCs w:val="22"/>
          <w:lang w:val="es-ES" w:eastAsia="en-US"/>
        </w:rPr>
        <w:t xml:space="preserve">Consecuentemente, al </w:t>
      </w:r>
      <w:r w:rsidRPr="00F208A6">
        <w:rPr>
          <w:rFonts w:ascii="Palatino Linotype" w:eastAsia="Calibri" w:hAnsi="Palatino Linotype" w:cs="Tahoma"/>
          <w:b/>
          <w:bCs/>
          <w:sz w:val="22"/>
          <w:szCs w:val="22"/>
          <w:lang w:val="es-ES" w:eastAsia="en-US"/>
        </w:rPr>
        <w:t xml:space="preserve">no existir motivo de </w:t>
      </w:r>
      <w:r w:rsidR="00D843FA" w:rsidRPr="00F208A6">
        <w:rPr>
          <w:rFonts w:ascii="Palatino Linotype" w:eastAsia="Calibri" w:hAnsi="Palatino Linotype" w:cs="Tahoma"/>
          <w:b/>
          <w:bCs/>
          <w:sz w:val="22"/>
          <w:szCs w:val="22"/>
          <w:lang w:val="es-ES" w:eastAsia="en-US"/>
        </w:rPr>
        <w:t xml:space="preserve">improcedencia y/o </w:t>
      </w:r>
      <w:r w:rsidRPr="00F208A6">
        <w:rPr>
          <w:rFonts w:ascii="Palatino Linotype" w:eastAsia="Calibri" w:hAnsi="Palatino Linotype" w:cs="Tahoma"/>
          <w:b/>
          <w:bCs/>
          <w:sz w:val="22"/>
          <w:szCs w:val="22"/>
          <w:lang w:val="es-ES" w:eastAsia="en-US"/>
        </w:rPr>
        <w:t>sobreseimiento en el presente asunto,</w:t>
      </w:r>
      <w:r w:rsidRPr="00F208A6">
        <w:rPr>
          <w:rFonts w:ascii="Palatino Linotype" w:eastAsia="Calibri" w:hAnsi="Palatino Linotype" w:cs="Tahoma"/>
          <w:bCs/>
          <w:sz w:val="22"/>
          <w:szCs w:val="22"/>
          <w:lang w:val="es-ES"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505B02F1" w14:textId="77777777" w:rsidR="00EF7AFC" w:rsidRPr="00F208A6" w:rsidRDefault="00EF7AFC" w:rsidP="007706FD">
      <w:pPr>
        <w:spacing w:line="360" w:lineRule="auto"/>
        <w:jc w:val="both"/>
        <w:rPr>
          <w:rFonts w:ascii="Palatino Linotype" w:eastAsia="Calibri" w:hAnsi="Palatino Linotype" w:cs="Tahoma"/>
          <w:bCs/>
          <w:sz w:val="22"/>
          <w:szCs w:val="22"/>
          <w:lang w:eastAsia="en-US"/>
        </w:rPr>
      </w:pPr>
    </w:p>
    <w:p w14:paraId="4E8CC09A" w14:textId="65FFFD28" w:rsidR="0085547C" w:rsidRPr="00F208A6" w:rsidRDefault="006E3C12" w:rsidP="007706FD">
      <w:pPr>
        <w:spacing w:line="360" w:lineRule="auto"/>
        <w:jc w:val="both"/>
        <w:rPr>
          <w:rFonts w:ascii="Palatino Linotype" w:eastAsia="Calibri" w:hAnsi="Palatino Linotype" w:cs="Tahoma"/>
          <w:bCs/>
          <w:sz w:val="22"/>
          <w:szCs w:val="22"/>
          <w:lang w:eastAsia="en-US"/>
        </w:rPr>
      </w:pPr>
      <w:r w:rsidRPr="00F208A6">
        <w:rPr>
          <w:rFonts w:ascii="Palatino Linotype" w:eastAsia="Calibri" w:hAnsi="Palatino Linotype" w:cs="Tahoma"/>
          <w:b/>
          <w:bCs/>
          <w:sz w:val="22"/>
          <w:szCs w:val="22"/>
          <w:lang w:eastAsia="en-US"/>
        </w:rPr>
        <w:t>TERCERO.</w:t>
      </w:r>
      <w:r w:rsidRPr="00F208A6">
        <w:rPr>
          <w:rFonts w:ascii="Palatino Linotype" w:eastAsia="Calibri" w:hAnsi="Palatino Linotype" w:cs="Tahoma"/>
          <w:bCs/>
          <w:sz w:val="22"/>
          <w:szCs w:val="22"/>
          <w:lang w:eastAsia="en-US"/>
        </w:rPr>
        <w:t xml:space="preserve"> </w:t>
      </w:r>
      <w:r w:rsidR="00024005" w:rsidRPr="00F208A6">
        <w:rPr>
          <w:rFonts w:ascii="Palatino Linotype" w:eastAsia="Calibri" w:hAnsi="Palatino Linotype" w:cs="Tahoma"/>
          <w:b/>
          <w:bCs/>
          <w:sz w:val="22"/>
          <w:szCs w:val="22"/>
          <w:lang w:eastAsia="en-US"/>
        </w:rPr>
        <w:t xml:space="preserve">Determinación de la Controversia. </w:t>
      </w:r>
    </w:p>
    <w:p w14:paraId="08C5A0C0" w14:textId="77777777" w:rsidR="0085547C" w:rsidRPr="00F208A6" w:rsidRDefault="0085547C" w:rsidP="007706FD">
      <w:pPr>
        <w:spacing w:line="360" w:lineRule="auto"/>
        <w:jc w:val="both"/>
        <w:rPr>
          <w:rFonts w:ascii="Palatino Linotype" w:eastAsia="Calibri" w:hAnsi="Palatino Linotype" w:cs="Tahoma"/>
          <w:bCs/>
          <w:sz w:val="22"/>
          <w:szCs w:val="22"/>
          <w:lang w:eastAsia="en-US"/>
        </w:rPr>
      </w:pPr>
    </w:p>
    <w:p w14:paraId="0DCA8D75" w14:textId="18698D86" w:rsidR="006F5E21" w:rsidRPr="00F208A6" w:rsidRDefault="00024005" w:rsidP="007706FD">
      <w:pPr>
        <w:spacing w:line="360" w:lineRule="auto"/>
        <w:ind w:right="-595"/>
        <w:jc w:val="both"/>
        <w:rPr>
          <w:rFonts w:ascii="Palatino Linotype" w:hAnsi="Palatino Linotype" w:cs="Tahoma"/>
          <w:bCs/>
          <w:sz w:val="22"/>
          <w:szCs w:val="22"/>
        </w:rPr>
      </w:pPr>
      <w:r w:rsidRPr="00F208A6">
        <w:rPr>
          <w:rFonts w:ascii="Palatino Linotype" w:eastAsia="Calibri" w:hAnsi="Palatino Linotype" w:cs="Tahoma"/>
          <w:bCs/>
          <w:sz w:val="22"/>
          <w:szCs w:val="22"/>
          <w:lang w:eastAsia="en-US"/>
        </w:rPr>
        <w:t xml:space="preserve">Una vez realizado el estudio de las constancias que integran </w:t>
      </w:r>
      <w:r w:rsidR="001E64F2" w:rsidRPr="00F208A6">
        <w:rPr>
          <w:rFonts w:ascii="Palatino Linotype" w:eastAsia="Calibri" w:hAnsi="Palatino Linotype" w:cs="Tahoma"/>
          <w:bCs/>
          <w:sz w:val="22"/>
          <w:szCs w:val="22"/>
          <w:lang w:eastAsia="en-US"/>
        </w:rPr>
        <w:t>e</w:t>
      </w:r>
      <w:r w:rsidRPr="00F208A6">
        <w:rPr>
          <w:rFonts w:ascii="Palatino Linotype" w:eastAsia="Calibri" w:hAnsi="Palatino Linotype" w:cs="Tahoma"/>
          <w:bCs/>
          <w:sz w:val="22"/>
          <w:szCs w:val="22"/>
          <w:lang w:eastAsia="en-US"/>
        </w:rPr>
        <w:t>l</w:t>
      </w:r>
      <w:r w:rsidR="001E64F2" w:rsidRPr="00F208A6">
        <w:rPr>
          <w:rFonts w:ascii="Palatino Linotype" w:eastAsia="Calibri" w:hAnsi="Palatino Linotype" w:cs="Tahoma"/>
          <w:bCs/>
          <w:sz w:val="22"/>
          <w:szCs w:val="22"/>
          <w:lang w:eastAsia="en-US"/>
        </w:rPr>
        <w:t xml:space="preserve"> </w:t>
      </w:r>
      <w:r w:rsidRPr="00F208A6">
        <w:rPr>
          <w:rFonts w:ascii="Palatino Linotype" w:eastAsia="Calibri" w:hAnsi="Palatino Linotype" w:cs="Tahoma"/>
          <w:bCs/>
          <w:sz w:val="22"/>
          <w:szCs w:val="22"/>
          <w:lang w:eastAsia="en-US"/>
        </w:rPr>
        <w:t>expediente en que se actúa, se desprende que el Recurrente solicitó</w:t>
      </w:r>
      <w:r w:rsidR="006F5E21" w:rsidRPr="00F208A6">
        <w:rPr>
          <w:rFonts w:ascii="Palatino Linotype" w:eastAsia="Calibri" w:hAnsi="Palatino Linotype" w:cs="Tahoma"/>
          <w:bCs/>
          <w:sz w:val="22"/>
          <w:szCs w:val="22"/>
          <w:lang w:eastAsia="en-US"/>
        </w:rPr>
        <w:t xml:space="preserve"> al </w:t>
      </w:r>
      <w:r w:rsidR="006F5E21" w:rsidRPr="00F208A6">
        <w:rPr>
          <w:rFonts w:ascii="Palatino Linotype" w:hAnsi="Palatino Linotype" w:cs="Tahoma"/>
          <w:bCs/>
          <w:sz w:val="22"/>
          <w:szCs w:val="22"/>
        </w:rPr>
        <w:t xml:space="preserve">Sujeto Obligado, </w:t>
      </w:r>
      <w:r w:rsidR="006F5E21" w:rsidRPr="00F208A6">
        <w:rPr>
          <w:rFonts w:ascii="Palatino Linotype" w:eastAsia="Calibri" w:hAnsi="Palatino Linotype" w:cs="Tahoma"/>
          <w:bCs/>
          <w:sz w:val="22"/>
          <w:szCs w:val="22"/>
          <w:lang w:eastAsia="en-US"/>
        </w:rPr>
        <w:t>de conformidad con la vigésima tercera sesión de cabildos de fecha 12 de junio del 2019</w:t>
      </w:r>
      <w:r w:rsidRPr="00F208A6">
        <w:rPr>
          <w:rFonts w:ascii="Palatino Linotype" w:hAnsi="Palatino Linotype" w:cs="Tahoma"/>
          <w:bCs/>
          <w:sz w:val="22"/>
          <w:szCs w:val="22"/>
        </w:rPr>
        <w:t xml:space="preserve">, </w:t>
      </w:r>
      <w:r w:rsidR="006F5E21" w:rsidRPr="00F208A6">
        <w:rPr>
          <w:rFonts w:ascii="Palatino Linotype" w:hAnsi="Palatino Linotype" w:cs="Tahoma"/>
          <w:bCs/>
          <w:sz w:val="22"/>
          <w:szCs w:val="22"/>
        </w:rPr>
        <w:t xml:space="preserve">lo siguiente: </w:t>
      </w:r>
    </w:p>
    <w:p w14:paraId="070711B4" w14:textId="77777777" w:rsidR="001D09B2" w:rsidRPr="00F208A6" w:rsidRDefault="001D09B2" w:rsidP="007706FD">
      <w:pPr>
        <w:spacing w:line="360" w:lineRule="auto"/>
        <w:ind w:right="-595"/>
        <w:jc w:val="both"/>
        <w:rPr>
          <w:rFonts w:ascii="Palatino Linotype" w:hAnsi="Palatino Linotype" w:cs="Tahoma"/>
          <w:bCs/>
          <w:sz w:val="22"/>
          <w:szCs w:val="22"/>
        </w:rPr>
      </w:pPr>
    </w:p>
    <w:p w14:paraId="23D504E9" w14:textId="1C327188" w:rsidR="00AE413B" w:rsidRPr="00F208A6" w:rsidRDefault="006F5E21" w:rsidP="007706FD">
      <w:pPr>
        <w:pStyle w:val="Prrafodelista"/>
        <w:numPr>
          <w:ilvl w:val="0"/>
          <w:numId w:val="39"/>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 xml:space="preserve">Catálogo municipal de unidades económicas </w:t>
      </w:r>
    </w:p>
    <w:p w14:paraId="68BC55BF" w14:textId="5E4D1AB8" w:rsidR="006F5E21" w:rsidRPr="00F208A6" w:rsidRDefault="006F5E21" w:rsidP="007706FD">
      <w:pPr>
        <w:pStyle w:val="Prrafodelista"/>
        <w:numPr>
          <w:ilvl w:val="0"/>
          <w:numId w:val="39"/>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Catálogo municipal de unidades económicas de alto impacto</w:t>
      </w:r>
    </w:p>
    <w:p w14:paraId="73E35C9A" w14:textId="28317DB9" w:rsidR="006F5E21" w:rsidRPr="00F208A6" w:rsidRDefault="006F5E21" w:rsidP="007706FD">
      <w:pPr>
        <w:pStyle w:val="Prrafodelista"/>
        <w:numPr>
          <w:ilvl w:val="0"/>
          <w:numId w:val="39"/>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 xml:space="preserve">Catálogo municipal de cobro </w:t>
      </w:r>
      <w:r w:rsidR="001D09B2" w:rsidRPr="00F208A6">
        <w:rPr>
          <w:rFonts w:ascii="Palatino Linotype" w:hAnsi="Palatino Linotype" w:cs="Tahoma"/>
          <w:bCs/>
          <w:szCs w:val="22"/>
        </w:rPr>
        <w:t xml:space="preserve">de giros específicos </w:t>
      </w:r>
    </w:p>
    <w:p w14:paraId="44A27A0F" w14:textId="28D824C3" w:rsidR="001D09B2" w:rsidRPr="00F208A6" w:rsidRDefault="001D09B2" w:rsidP="007706FD">
      <w:pPr>
        <w:pStyle w:val="Prrafodelista"/>
        <w:numPr>
          <w:ilvl w:val="0"/>
          <w:numId w:val="39"/>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 xml:space="preserve">Catálogo municipal del sistema de apertura rápida de empresas </w:t>
      </w:r>
    </w:p>
    <w:p w14:paraId="13A4803B" w14:textId="77777777" w:rsidR="001D09B2" w:rsidRPr="00F208A6" w:rsidRDefault="001D09B2" w:rsidP="007706FD">
      <w:pPr>
        <w:pStyle w:val="Prrafodelista"/>
        <w:spacing w:line="360" w:lineRule="auto"/>
        <w:ind w:right="-595"/>
        <w:jc w:val="both"/>
        <w:rPr>
          <w:rFonts w:ascii="Palatino Linotype" w:hAnsi="Palatino Linotype" w:cs="Tahoma"/>
          <w:bCs/>
          <w:szCs w:val="22"/>
        </w:rPr>
      </w:pPr>
    </w:p>
    <w:p w14:paraId="353ED718" w14:textId="37147435" w:rsidR="001D09B2" w:rsidRPr="00F208A6" w:rsidRDefault="00AE413B" w:rsidP="007706FD">
      <w:pPr>
        <w:spacing w:line="360" w:lineRule="auto"/>
        <w:ind w:right="-595"/>
        <w:jc w:val="both"/>
        <w:rPr>
          <w:rFonts w:ascii="Palatino Linotype" w:hAnsi="Palatino Linotype" w:cs="Tahoma"/>
          <w:b/>
          <w:bCs/>
          <w:sz w:val="28"/>
          <w:szCs w:val="22"/>
        </w:rPr>
      </w:pPr>
      <w:r w:rsidRPr="00F208A6">
        <w:rPr>
          <w:rFonts w:ascii="Palatino Linotype" w:hAnsi="Palatino Linotype" w:cs="Tahoma"/>
          <w:bCs/>
          <w:sz w:val="22"/>
          <w:szCs w:val="22"/>
        </w:rPr>
        <w:t xml:space="preserve">Derivado de lo anterior, el Sujeto Obligado, respondió que no cuenta con </w:t>
      </w:r>
      <w:r w:rsidR="001D09B2" w:rsidRPr="00F208A6">
        <w:rPr>
          <w:rFonts w:ascii="Palatino Linotype" w:hAnsi="Palatino Linotype" w:cs="Tahoma"/>
          <w:bCs/>
          <w:sz w:val="22"/>
          <w:szCs w:val="22"/>
        </w:rPr>
        <w:t xml:space="preserve"> las </w:t>
      </w:r>
      <w:r w:rsidR="00F81A63" w:rsidRPr="00F208A6">
        <w:rPr>
          <w:rFonts w:ascii="Palatino Linotype" w:hAnsi="Palatino Linotype" w:cs="Tahoma"/>
          <w:bCs/>
          <w:sz w:val="22"/>
          <w:szCs w:val="22"/>
        </w:rPr>
        <w:t>capacidades técnicas y humanas para el procesamiento de lo solicitado; por lo que, manifestó que se ponía a disposición del Recurrente</w:t>
      </w:r>
      <w:r w:rsidR="00B92937" w:rsidRPr="00F208A6">
        <w:rPr>
          <w:rFonts w:ascii="Palatino Linotype" w:hAnsi="Palatino Linotype" w:cs="Tahoma"/>
          <w:bCs/>
          <w:sz w:val="22"/>
          <w:szCs w:val="22"/>
        </w:rPr>
        <w:t xml:space="preserve"> para consultar</w:t>
      </w:r>
      <w:r w:rsidR="00F81A63" w:rsidRPr="00F208A6">
        <w:rPr>
          <w:rFonts w:ascii="Palatino Linotype" w:hAnsi="Palatino Linotype" w:cs="Tahoma"/>
          <w:bCs/>
          <w:sz w:val="22"/>
          <w:szCs w:val="22"/>
        </w:rPr>
        <w:t xml:space="preserve"> </w:t>
      </w:r>
      <w:r w:rsidR="00B92937" w:rsidRPr="00F208A6">
        <w:rPr>
          <w:rFonts w:ascii="Palatino Linotype" w:hAnsi="Palatino Linotype" w:cs="Tahoma"/>
          <w:bCs/>
          <w:sz w:val="22"/>
          <w:szCs w:val="22"/>
        </w:rPr>
        <w:t xml:space="preserve">la información en las oficinas que ocupa la Secretaría del Ayuntamiento del municipio de Tecámac; asimismo, refirió que el acta de cabildo donde se encontraba lo solicitado la podía consultar en la liga electrónica </w:t>
      </w:r>
      <w:hyperlink r:id="rId8" w:history="1">
        <w:r w:rsidR="00B92937" w:rsidRPr="00F208A6">
          <w:rPr>
            <w:rStyle w:val="Hipervnculo"/>
            <w:rFonts w:ascii="Palatino Linotype" w:hAnsi="Palatino Linotype"/>
            <w:b/>
            <w:sz w:val="22"/>
            <w:szCs w:val="18"/>
          </w:rPr>
          <w:t>http://www.tecamac.gob.mx/gaceta-municipal-2019/</w:t>
        </w:r>
      </w:hyperlink>
      <w:r w:rsidR="00B92937" w:rsidRPr="00F208A6">
        <w:rPr>
          <w:rFonts w:ascii="Palatino Linotype" w:hAnsi="Palatino Linotype"/>
          <w:b/>
          <w:color w:val="000000"/>
          <w:sz w:val="22"/>
          <w:szCs w:val="18"/>
        </w:rPr>
        <w:t xml:space="preserve">. </w:t>
      </w:r>
    </w:p>
    <w:p w14:paraId="7D7B3438" w14:textId="77777777" w:rsidR="001D09B2" w:rsidRPr="00F208A6" w:rsidRDefault="001D09B2" w:rsidP="007706FD">
      <w:pPr>
        <w:spacing w:line="360" w:lineRule="auto"/>
        <w:ind w:right="-595"/>
        <w:jc w:val="both"/>
        <w:rPr>
          <w:rFonts w:ascii="Palatino Linotype" w:hAnsi="Palatino Linotype" w:cs="Tahoma"/>
          <w:bCs/>
          <w:sz w:val="22"/>
          <w:szCs w:val="22"/>
        </w:rPr>
      </w:pPr>
    </w:p>
    <w:p w14:paraId="3E2A1EC9" w14:textId="1633E8FE" w:rsidR="00AE413B" w:rsidRPr="00F208A6" w:rsidRDefault="009C74D1" w:rsidP="007706FD">
      <w:pPr>
        <w:spacing w:line="360" w:lineRule="auto"/>
        <w:ind w:right="-595"/>
        <w:jc w:val="both"/>
        <w:rPr>
          <w:rFonts w:ascii="Palatino Linotype" w:eastAsia="Calibri" w:hAnsi="Palatino Linotype" w:cs="Tahoma"/>
          <w:iCs/>
          <w:sz w:val="22"/>
          <w:szCs w:val="22"/>
          <w:lang w:eastAsia="es-ES_tradnl"/>
        </w:rPr>
      </w:pPr>
      <w:r w:rsidRPr="00F208A6">
        <w:rPr>
          <w:rFonts w:ascii="Palatino Linotype" w:hAnsi="Palatino Linotype" w:cs="Tahoma"/>
          <w:bCs/>
          <w:sz w:val="22"/>
          <w:szCs w:val="22"/>
        </w:rPr>
        <w:lastRenderedPageBreak/>
        <w:t>In</w:t>
      </w:r>
      <w:r w:rsidR="00AE413B" w:rsidRPr="00F208A6">
        <w:rPr>
          <w:rFonts w:ascii="Palatino Linotype" w:hAnsi="Palatino Linotype" w:cs="Tahoma"/>
          <w:bCs/>
          <w:sz w:val="22"/>
          <w:szCs w:val="22"/>
        </w:rPr>
        <w:t xml:space="preserve">conforme con lo anterior, el Recurrente presentó el Recurso de Revisión que nos ocupa, a través del cual se agravió por considerar que el Ayuntamiento de </w:t>
      </w:r>
      <w:r w:rsidR="00E73E06" w:rsidRPr="00F208A6">
        <w:rPr>
          <w:rFonts w:ascii="Palatino Linotype" w:hAnsi="Palatino Linotype" w:cs="Tahoma"/>
          <w:bCs/>
          <w:sz w:val="22"/>
          <w:szCs w:val="22"/>
        </w:rPr>
        <w:t>Tecámac</w:t>
      </w:r>
      <w:r w:rsidR="00AE413B" w:rsidRPr="00F208A6">
        <w:rPr>
          <w:rFonts w:ascii="Palatino Linotype" w:hAnsi="Palatino Linotype" w:cs="Tahoma"/>
          <w:bCs/>
          <w:sz w:val="22"/>
          <w:szCs w:val="22"/>
        </w:rPr>
        <w:t xml:space="preserve">, había </w:t>
      </w:r>
      <w:r w:rsidR="00E73E06" w:rsidRPr="00F208A6">
        <w:rPr>
          <w:rFonts w:ascii="Palatino Linotype" w:hAnsi="Palatino Linotype" w:cs="Tahoma"/>
          <w:bCs/>
          <w:sz w:val="22"/>
          <w:szCs w:val="22"/>
        </w:rPr>
        <w:t>entregado la información de forma incompleta</w:t>
      </w:r>
      <w:r w:rsidR="00AE413B" w:rsidRPr="00F208A6">
        <w:rPr>
          <w:rFonts w:ascii="Palatino Linotype" w:hAnsi="Palatino Linotype" w:cs="Tahoma"/>
          <w:bCs/>
          <w:sz w:val="22"/>
          <w:szCs w:val="22"/>
        </w:rPr>
        <w:t xml:space="preserve">. </w:t>
      </w:r>
    </w:p>
    <w:p w14:paraId="236D9852" w14:textId="77777777" w:rsidR="000D68F0" w:rsidRPr="00F208A6" w:rsidRDefault="000D68F0" w:rsidP="007706FD">
      <w:pPr>
        <w:tabs>
          <w:tab w:val="left" w:pos="4962"/>
        </w:tabs>
        <w:spacing w:line="360" w:lineRule="auto"/>
        <w:ind w:right="-595"/>
        <w:jc w:val="both"/>
        <w:rPr>
          <w:rFonts w:ascii="Palatino Linotype" w:eastAsia="Calibri" w:hAnsi="Palatino Linotype" w:cs="Tahoma"/>
          <w:b/>
          <w:iCs/>
          <w:sz w:val="22"/>
          <w:szCs w:val="22"/>
          <w:lang w:eastAsia="es-ES_tradnl"/>
        </w:rPr>
      </w:pPr>
    </w:p>
    <w:p w14:paraId="3E794FA4" w14:textId="4215FF78" w:rsidR="000D68F0" w:rsidRPr="00F208A6" w:rsidRDefault="000D68F0" w:rsidP="007706FD">
      <w:pPr>
        <w:tabs>
          <w:tab w:val="left" w:pos="4962"/>
        </w:tabs>
        <w:spacing w:line="360" w:lineRule="auto"/>
        <w:ind w:right="-595"/>
        <w:jc w:val="both"/>
        <w:rPr>
          <w:rFonts w:ascii="Palatino Linotype" w:eastAsia="Calibri" w:hAnsi="Palatino Linotype" w:cs="Tahoma"/>
          <w:iCs/>
          <w:sz w:val="22"/>
          <w:szCs w:val="22"/>
          <w:lang w:eastAsia="es-ES_tradnl"/>
        </w:rPr>
      </w:pPr>
      <w:r w:rsidRPr="00F208A6">
        <w:rPr>
          <w:rFonts w:ascii="Palatino Linotype" w:eastAsia="Calibri" w:hAnsi="Palatino Linotype" w:cs="Tahoma"/>
          <w:iCs/>
          <w:sz w:val="22"/>
          <w:szCs w:val="22"/>
          <w:lang w:eastAsia="es-ES_tradnl"/>
        </w:rPr>
        <w:t xml:space="preserve">Establecido lo anterior, lo consecuente es analizar los agravios manifestados por </w:t>
      </w:r>
      <w:r w:rsidR="00691A45" w:rsidRPr="00F208A6">
        <w:rPr>
          <w:rFonts w:ascii="Palatino Linotype" w:eastAsia="Calibri" w:hAnsi="Palatino Linotype" w:cs="Tahoma"/>
          <w:iCs/>
          <w:sz w:val="22"/>
          <w:szCs w:val="22"/>
          <w:lang w:eastAsia="es-ES_tradnl"/>
        </w:rPr>
        <w:t>el</w:t>
      </w:r>
      <w:r w:rsidRPr="00F208A6">
        <w:rPr>
          <w:rFonts w:ascii="Palatino Linotype" w:eastAsia="Calibri" w:hAnsi="Palatino Linotype" w:cs="Tahoma"/>
          <w:iCs/>
          <w:sz w:val="22"/>
          <w:szCs w:val="22"/>
          <w:lang w:eastAsia="es-ES_tradnl"/>
        </w:rPr>
        <w:t xml:space="preserve"> ahora Recurrente, de conformidad con lo dispuesto por la Ley de Transparencia y Acceso a la Información Pública del Estado de México y Municipios y demás disposiciones legales aplicables a la materia que se resuelve.</w:t>
      </w:r>
    </w:p>
    <w:p w14:paraId="60CDA315" w14:textId="77777777" w:rsidR="00F8104F" w:rsidRPr="00F208A6" w:rsidRDefault="00F8104F" w:rsidP="007706FD">
      <w:pPr>
        <w:tabs>
          <w:tab w:val="left" w:pos="4962"/>
        </w:tabs>
        <w:spacing w:line="360" w:lineRule="auto"/>
        <w:ind w:right="-595"/>
        <w:jc w:val="both"/>
        <w:rPr>
          <w:rFonts w:ascii="Palatino Linotype" w:eastAsia="Calibri" w:hAnsi="Palatino Linotype" w:cs="Tahoma"/>
          <w:iCs/>
          <w:sz w:val="22"/>
          <w:szCs w:val="22"/>
          <w:lang w:eastAsia="es-ES_tradnl"/>
        </w:rPr>
      </w:pPr>
    </w:p>
    <w:p w14:paraId="3B3A77F9" w14:textId="77777777" w:rsidR="00024005" w:rsidRPr="00F208A6" w:rsidRDefault="00024005" w:rsidP="007706FD">
      <w:pPr>
        <w:spacing w:line="360" w:lineRule="auto"/>
        <w:ind w:right="-595"/>
        <w:jc w:val="both"/>
        <w:rPr>
          <w:rFonts w:ascii="Palatino Linotype" w:hAnsi="Palatino Linotype" w:cs="Tahoma"/>
          <w:b/>
          <w:sz w:val="22"/>
          <w:szCs w:val="22"/>
        </w:rPr>
      </w:pPr>
      <w:r w:rsidRPr="00F208A6">
        <w:rPr>
          <w:rFonts w:ascii="Palatino Linotype" w:eastAsia="Calibri" w:hAnsi="Palatino Linotype" w:cs="Tahoma"/>
          <w:b/>
          <w:bCs/>
          <w:sz w:val="22"/>
          <w:szCs w:val="22"/>
          <w:lang w:eastAsia="en-US"/>
        </w:rPr>
        <w:t xml:space="preserve">CUARTO. </w:t>
      </w:r>
      <w:r w:rsidRPr="00F208A6">
        <w:rPr>
          <w:rFonts w:ascii="Palatino Linotype" w:hAnsi="Palatino Linotype" w:cs="Tahoma"/>
          <w:b/>
          <w:sz w:val="22"/>
          <w:szCs w:val="22"/>
        </w:rPr>
        <w:t>Marco normativo aplicable en materia de transparencia y acceso a la información pública.</w:t>
      </w:r>
    </w:p>
    <w:p w14:paraId="4D1956E9" w14:textId="77777777" w:rsidR="00024005" w:rsidRPr="00F208A6" w:rsidRDefault="00024005" w:rsidP="007706FD">
      <w:pPr>
        <w:spacing w:line="360" w:lineRule="auto"/>
        <w:ind w:right="-595"/>
        <w:jc w:val="both"/>
        <w:rPr>
          <w:rFonts w:ascii="Palatino Linotype" w:eastAsia="Calibri" w:hAnsi="Palatino Linotype" w:cs="Tahoma"/>
          <w:b/>
          <w:bCs/>
          <w:sz w:val="22"/>
          <w:szCs w:val="22"/>
          <w:lang w:eastAsia="en-US"/>
        </w:rPr>
      </w:pPr>
    </w:p>
    <w:p w14:paraId="6027FF1C" w14:textId="77777777" w:rsidR="00024005" w:rsidRPr="00F208A6" w:rsidRDefault="00024005" w:rsidP="007706FD">
      <w:pPr>
        <w:spacing w:line="360" w:lineRule="auto"/>
        <w:ind w:right="-595"/>
        <w:contextualSpacing/>
        <w:jc w:val="both"/>
        <w:rPr>
          <w:rFonts w:ascii="Palatino Linotype" w:hAnsi="Palatino Linotype" w:cs="Tahoma"/>
          <w:sz w:val="22"/>
          <w:szCs w:val="22"/>
        </w:rPr>
      </w:pPr>
      <w:r w:rsidRPr="00F208A6">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72C689" w14:textId="77777777" w:rsidR="00024005" w:rsidRPr="00F208A6" w:rsidRDefault="00024005" w:rsidP="007706FD">
      <w:pPr>
        <w:spacing w:line="360" w:lineRule="auto"/>
        <w:ind w:right="-595"/>
        <w:contextualSpacing/>
        <w:jc w:val="both"/>
        <w:rPr>
          <w:rFonts w:ascii="Palatino Linotype" w:hAnsi="Palatino Linotype" w:cs="Tahoma"/>
          <w:sz w:val="22"/>
          <w:szCs w:val="22"/>
        </w:rPr>
      </w:pPr>
    </w:p>
    <w:p w14:paraId="43376F27" w14:textId="77777777" w:rsidR="00024005" w:rsidRPr="00F208A6" w:rsidRDefault="00024005" w:rsidP="007706FD">
      <w:pPr>
        <w:spacing w:line="360" w:lineRule="auto"/>
        <w:ind w:right="-595"/>
        <w:jc w:val="both"/>
        <w:rPr>
          <w:rFonts w:ascii="Palatino Linotype" w:hAnsi="Palatino Linotype" w:cs="Tahoma"/>
          <w:sz w:val="22"/>
          <w:szCs w:val="22"/>
        </w:rPr>
      </w:pPr>
      <w:r w:rsidRPr="00F208A6">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0B00EE6" w14:textId="77777777" w:rsidR="00024005" w:rsidRPr="00F208A6" w:rsidRDefault="00024005" w:rsidP="007706FD">
      <w:pPr>
        <w:spacing w:line="360" w:lineRule="auto"/>
        <w:ind w:right="-595"/>
        <w:jc w:val="both"/>
        <w:rPr>
          <w:rFonts w:ascii="Palatino Linotype" w:hAnsi="Palatino Linotype" w:cs="Tahoma"/>
          <w:sz w:val="22"/>
          <w:szCs w:val="22"/>
        </w:rPr>
      </w:pPr>
    </w:p>
    <w:p w14:paraId="3D385E54" w14:textId="77777777" w:rsidR="00024005" w:rsidRPr="00F208A6" w:rsidRDefault="00024005" w:rsidP="007706FD">
      <w:pPr>
        <w:spacing w:line="360" w:lineRule="auto"/>
        <w:ind w:right="-595"/>
        <w:jc w:val="both"/>
        <w:rPr>
          <w:rFonts w:ascii="Palatino Linotype" w:hAnsi="Palatino Linotype" w:cs="Tahoma"/>
          <w:sz w:val="22"/>
          <w:szCs w:val="22"/>
        </w:rPr>
      </w:pPr>
      <w:r w:rsidRPr="00F208A6">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6878F03" w14:textId="77777777" w:rsidR="00024005" w:rsidRPr="00F208A6" w:rsidRDefault="00024005" w:rsidP="007706FD">
      <w:pPr>
        <w:spacing w:line="360" w:lineRule="auto"/>
        <w:ind w:right="-595"/>
        <w:jc w:val="both"/>
        <w:rPr>
          <w:rFonts w:ascii="Palatino Linotype" w:hAnsi="Palatino Linotype" w:cs="Tahoma"/>
          <w:sz w:val="22"/>
          <w:szCs w:val="22"/>
        </w:rPr>
      </w:pPr>
    </w:p>
    <w:p w14:paraId="09863F68" w14:textId="77777777" w:rsidR="00024005" w:rsidRPr="00F208A6" w:rsidRDefault="00024005" w:rsidP="007706FD">
      <w:pPr>
        <w:spacing w:line="360" w:lineRule="auto"/>
        <w:ind w:right="-595"/>
        <w:jc w:val="both"/>
        <w:rPr>
          <w:rFonts w:ascii="Palatino Linotype" w:hAnsi="Palatino Linotype" w:cs="Tahoma"/>
          <w:sz w:val="22"/>
          <w:szCs w:val="22"/>
        </w:rPr>
      </w:pPr>
      <w:r w:rsidRPr="00F208A6">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E3B4009" w14:textId="77777777" w:rsidR="00024005" w:rsidRPr="00F208A6" w:rsidRDefault="00024005" w:rsidP="007706FD">
      <w:pPr>
        <w:spacing w:line="360" w:lineRule="auto"/>
        <w:ind w:right="-595"/>
        <w:jc w:val="both"/>
        <w:rPr>
          <w:rFonts w:ascii="Palatino Linotype" w:hAnsi="Palatino Linotype" w:cs="Tahoma"/>
          <w:sz w:val="22"/>
          <w:szCs w:val="22"/>
        </w:rPr>
      </w:pPr>
    </w:p>
    <w:p w14:paraId="42148F82" w14:textId="77777777" w:rsidR="00024005" w:rsidRPr="00F208A6" w:rsidRDefault="00024005" w:rsidP="007706FD">
      <w:pPr>
        <w:spacing w:line="360" w:lineRule="auto"/>
        <w:ind w:right="-595"/>
        <w:jc w:val="both"/>
        <w:rPr>
          <w:rFonts w:ascii="Palatino Linotype" w:hAnsi="Palatino Linotype" w:cs="Tahoma"/>
          <w:sz w:val="22"/>
          <w:szCs w:val="22"/>
        </w:rPr>
      </w:pPr>
      <w:r w:rsidRPr="00F208A6">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9D239FB" w14:textId="77777777" w:rsidR="00024005" w:rsidRPr="00F208A6" w:rsidRDefault="00024005" w:rsidP="007706FD">
      <w:pPr>
        <w:spacing w:line="360" w:lineRule="auto"/>
        <w:ind w:right="-595"/>
        <w:jc w:val="both"/>
        <w:rPr>
          <w:rFonts w:ascii="Palatino Linotype" w:hAnsi="Palatino Linotype" w:cs="Tahoma"/>
          <w:sz w:val="22"/>
          <w:szCs w:val="22"/>
        </w:rPr>
      </w:pPr>
    </w:p>
    <w:p w14:paraId="01071E2A" w14:textId="77777777" w:rsidR="00024005" w:rsidRPr="00F208A6" w:rsidRDefault="00024005" w:rsidP="007706FD">
      <w:pPr>
        <w:spacing w:line="360" w:lineRule="auto"/>
        <w:ind w:right="-595"/>
        <w:jc w:val="both"/>
        <w:rPr>
          <w:rFonts w:ascii="Palatino Linotype" w:hAnsi="Palatino Linotype" w:cs="Tahoma"/>
          <w:sz w:val="22"/>
          <w:szCs w:val="22"/>
        </w:rPr>
      </w:pPr>
      <w:r w:rsidRPr="00F208A6">
        <w:rPr>
          <w:rFonts w:ascii="Palatino Linotype" w:hAnsi="Palatino Linotype" w:cs="Tahoma"/>
          <w:sz w:val="22"/>
          <w:szCs w:val="22"/>
        </w:rPr>
        <w:t>El artículo 12, que, quienes generen, recopilen, administren, manejen, procesen, archiven o conserven información pública serán responsables de la misma.</w:t>
      </w:r>
    </w:p>
    <w:p w14:paraId="091CEBC8" w14:textId="77777777" w:rsidR="00024005" w:rsidRPr="00F208A6" w:rsidRDefault="00024005" w:rsidP="007706FD">
      <w:pPr>
        <w:spacing w:line="360" w:lineRule="auto"/>
        <w:ind w:right="-595"/>
        <w:jc w:val="both"/>
        <w:rPr>
          <w:rFonts w:ascii="Palatino Linotype" w:hAnsi="Palatino Linotype" w:cs="Tahoma"/>
          <w:sz w:val="22"/>
          <w:szCs w:val="22"/>
        </w:rPr>
      </w:pPr>
    </w:p>
    <w:p w14:paraId="358E05D0" w14:textId="77777777" w:rsidR="00024005" w:rsidRPr="00F208A6" w:rsidRDefault="00024005" w:rsidP="007706FD">
      <w:pPr>
        <w:spacing w:line="360" w:lineRule="auto"/>
        <w:ind w:right="-595"/>
        <w:jc w:val="both"/>
        <w:rPr>
          <w:rFonts w:ascii="Palatino Linotype" w:hAnsi="Palatino Linotype" w:cs="Tahoma"/>
          <w:sz w:val="22"/>
          <w:szCs w:val="22"/>
        </w:rPr>
      </w:pPr>
      <w:r w:rsidRPr="00F208A6">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481DDB6" w14:textId="77777777" w:rsidR="00024005" w:rsidRPr="00F208A6" w:rsidRDefault="00024005" w:rsidP="007706FD">
      <w:pPr>
        <w:spacing w:line="360" w:lineRule="auto"/>
        <w:ind w:right="-595"/>
        <w:jc w:val="both"/>
        <w:rPr>
          <w:rFonts w:ascii="Palatino Linotype" w:hAnsi="Palatino Linotype" w:cs="Tahoma"/>
          <w:sz w:val="22"/>
          <w:szCs w:val="22"/>
        </w:rPr>
      </w:pPr>
    </w:p>
    <w:p w14:paraId="25234285" w14:textId="77777777" w:rsidR="00024005" w:rsidRPr="00F208A6" w:rsidRDefault="00024005" w:rsidP="007706FD">
      <w:pPr>
        <w:spacing w:line="360" w:lineRule="auto"/>
        <w:ind w:right="-595"/>
        <w:jc w:val="both"/>
        <w:rPr>
          <w:rFonts w:ascii="Palatino Linotype" w:hAnsi="Palatino Linotype" w:cs="Tahoma"/>
          <w:sz w:val="22"/>
          <w:szCs w:val="22"/>
        </w:rPr>
      </w:pPr>
      <w:r w:rsidRPr="00F208A6">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B55E3BE" w14:textId="77777777" w:rsidR="00A86E24" w:rsidRPr="00F208A6" w:rsidRDefault="00A86E24" w:rsidP="007706FD">
      <w:pPr>
        <w:spacing w:line="360" w:lineRule="auto"/>
        <w:ind w:right="-595"/>
        <w:jc w:val="both"/>
        <w:rPr>
          <w:rFonts w:ascii="Palatino Linotype" w:hAnsi="Palatino Linotype" w:cs="Tahoma"/>
          <w:b/>
          <w:sz w:val="22"/>
          <w:szCs w:val="22"/>
        </w:rPr>
      </w:pPr>
    </w:p>
    <w:p w14:paraId="3FCFA454" w14:textId="5B078A6A" w:rsidR="00024005" w:rsidRPr="00F208A6" w:rsidRDefault="00024005" w:rsidP="007706FD">
      <w:pPr>
        <w:spacing w:line="360" w:lineRule="auto"/>
        <w:ind w:right="-595"/>
        <w:jc w:val="both"/>
        <w:rPr>
          <w:rFonts w:ascii="Palatino Linotype" w:hAnsi="Palatino Linotype" w:cs="Tahoma"/>
          <w:b/>
          <w:sz w:val="22"/>
          <w:szCs w:val="22"/>
        </w:rPr>
      </w:pPr>
      <w:r w:rsidRPr="00F208A6">
        <w:rPr>
          <w:rFonts w:ascii="Palatino Linotype" w:hAnsi="Palatino Linotype" w:cs="Tahoma"/>
          <w:b/>
          <w:sz w:val="22"/>
          <w:szCs w:val="22"/>
        </w:rPr>
        <w:t>QUINTO. Estudio de Fondo.</w:t>
      </w:r>
    </w:p>
    <w:p w14:paraId="1BDFF85E" w14:textId="77777777" w:rsidR="00024005" w:rsidRPr="00F208A6" w:rsidRDefault="00024005" w:rsidP="007706FD">
      <w:pPr>
        <w:spacing w:line="360" w:lineRule="auto"/>
        <w:ind w:right="-595"/>
        <w:jc w:val="both"/>
        <w:rPr>
          <w:rFonts w:ascii="Palatino Linotype" w:eastAsia="Calibri" w:hAnsi="Palatino Linotype" w:cs="Tahoma"/>
          <w:bCs/>
          <w:sz w:val="22"/>
          <w:szCs w:val="22"/>
          <w:lang w:eastAsia="en-US"/>
        </w:rPr>
      </w:pPr>
    </w:p>
    <w:p w14:paraId="7A47FD6B" w14:textId="77777777" w:rsidR="00024005" w:rsidRPr="00F208A6" w:rsidRDefault="00024005"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w:t>
      </w:r>
      <w:r w:rsidRPr="00F208A6">
        <w:rPr>
          <w:rFonts w:ascii="Palatino Linotype" w:eastAsia="Calibri" w:hAnsi="Palatino Linotype" w:cs="Tahoma"/>
          <w:bCs/>
          <w:sz w:val="22"/>
          <w:szCs w:val="22"/>
          <w:lang w:eastAsia="en-US"/>
        </w:rPr>
        <w:lastRenderedPageBreak/>
        <w:t>acceso por parte de los Sujetos Obligados, los cuales se encuentran establecidos en el artículo 2° de dicho ordenamiento jurídico y son los siguientes:</w:t>
      </w:r>
    </w:p>
    <w:p w14:paraId="36D1F8D1" w14:textId="77777777" w:rsidR="00024005" w:rsidRPr="00F208A6" w:rsidRDefault="00024005" w:rsidP="007706FD">
      <w:pPr>
        <w:spacing w:line="360" w:lineRule="auto"/>
        <w:ind w:right="-93"/>
        <w:jc w:val="both"/>
        <w:rPr>
          <w:rFonts w:ascii="Palatino Linotype" w:eastAsia="Calibri" w:hAnsi="Palatino Linotype" w:cs="Tahoma"/>
          <w:bCs/>
          <w:sz w:val="22"/>
          <w:szCs w:val="22"/>
          <w:lang w:eastAsia="en-US"/>
        </w:rPr>
      </w:pPr>
    </w:p>
    <w:p w14:paraId="30434903" w14:textId="77777777" w:rsidR="00024005" w:rsidRPr="00F208A6" w:rsidRDefault="00024005" w:rsidP="007706FD">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F208A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054BED3" w14:textId="77777777" w:rsidR="00024005" w:rsidRPr="00F208A6" w:rsidRDefault="00024005" w:rsidP="007706FD">
      <w:pPr>
        <w:spacing w:line="360" w:lineRule="auto"/>
        <w:ind w:left="360" w:right="-595"/>
        <w:jc w:val="both"/>
        <w:rPr>
          <w:rFonts w:ascii="Palatino Linotype" w:eastAsia="Calibri" w:hAnsi="Palatino Linotype" w:cs="Tahoma"/>
          <w:bCs/>
          <w:sz w:val="22"/>
          <w:szCs w:val="22"/>
          <w:lang w:eastAsia="en-US"/>
        </w:rPr>
      </w:pPr>
    </w:p>
    <w:p w14:paraId="6E296A1C" w14:textId="77777777" w:rsidR="00024005" w:rsidRPr="00F208A6" w:rsidRDefault="00024005" w:rsidP="007706FD">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F208A6">
        <w:rPr>
          <w:rFonts w:ascii="Palatino Linotype" w:eastAsia="Calibri" w:hAnsi="Palatino Linotype" w:cs="Tahoma"/>
          <w:bCs/>
          <w:szCs w:val="22"/>
          <w:lang w:eastAsia="en-US"/>
        </w:rPr>
        <w:t>Transparentar la gestión pública, mediante la difusión de la información generada por los Sujetos Obligados, y</w:t>
      </w:r>
    </w:p>
    <w:p w14:paraId="45D89C9F" w14:textId="77777777" w:rsidR="00024005" w:rsidRPr="00F208A6" w:rsidRDefault="00024005" w:rsidP="007706FD">
      <w:pPr>
        <w:pStyle w:val="Prrafodelista"/>
        <w:spacing w:line="360" w:lineRule="auto"/>
        <w:ind w:right="-595"/>
        <w:rPr>
          <w:rFonts w:ascii="Palatino Linotype" w:eastAsia="Calibri" w:hAnsi="Palatino Linotype" w:cs="Tahoma"/>
          <w:bCs/>
          <w:szCs w:val="22"/>
          <w:lang w:eastAsia="en-US"/>
        </w:rPr>
      </w:pPr>
    </w:p>
    <w:p w14:paraId="21FD61B2" w14:textId="77777777" w:rsidR="00024005" w:rsidRPr="00F208A6" w:rsidRDefault="00024005" w:rsidP="007706FD">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F208A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099ACA7" w14:textId="77777777" w:rsidR="00024005" w:rsidRPr="00F208A6" w:rsidRDefault="00024005" w:rsidP="007706FD">
      <w:pPr>
        <w:spacing w:line="360" w:lineRule="auto"/>
        <w:ind w:right="-595"/>
        <w:jc w:val="both"/>
        <w:rPr>
          <w:rFonts w:ascii="Palatino Linotype" w:eastAsia="Calibri" w:hAnsi="Palatino Linotype" w:cs="Tahoma"/>
          <w:bCs/>
          <w:sz w:val="22"/>
          <w:szCs w:val="22"/>
          <w:lang w:eastAsia="en-US"/>
        </w:rPr>
      </w:pPr>
    </w:p>
    <w:p w14:paraId="728144FA" w14:textId="77777777" w:rsidR="00024005" w:rsidRPr="00F208A6" w:rsidRDefault="00024005"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Conforme a lo anterior, se deprende que </w:t>
      </w:r>
      <w:r w:rsidRPr="00F208A6">
        <w:rPr>
          <w:rFonts w:ascii="Palatino Linotype" w:eastAsia="Calibri" w:hAnsi="Palatino Linotype" w:cs="Tahoma"/>
          <w:b/>
          <w:bCs/>
          <w:sz w:val="22"/>
          <w:szCs w:val="22"/>
          <w:lang w:eastAsia="en-US"/>
        </w:rPr>
        <w:t>los objetivos de la Ley de la materia,</w:t>
      </w:r>
      <w:r w:rsidRPr="00F208A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4402181" w14:textId="77777777" w:rsidR="00024005" w:rsidRPr="00F208A6" w:rsidRDefault="00024005" w:rsidP="007706FD">
      <w:pPr>
        <w:spacing w:line="360" w:lineRule="auto"/>
        <w:ind w:right="-595"/>
        <w:jc w:val="both"/>
        <w:rPr>
          <w:rFonts w:ascii="Palatino Linotype" w:eastAsia="Calibri" w:hAnsi="Palatino Linotype" w:cs="Tahoma"/>
          <w:bCs/>
          <w:sz w:val="22"/>
          <w:szCs w:val="22"/>
          <w:lang w:eastAsia="en-US"/>
        </w:rPr>
      </w:pPr>
    </w:p>
    <w:p w14:paraId="0B524748" w14:textId="77777777" w:rsidR="00024005" w:rsidRPr="00F208A6" w:rsidRDefault="00024005"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F208A6">
        <w:rPr>
          <w:rFonts w:ascii="Palatino Linotype" w:eastAsia="Calibri" w:hAnsi="Palatino Linotype" w:cs="Tahoma"/>
          <w:b/>
          <w:bCs/>
          <w:sz w:val="22"/>
          <w:szCs w:val="22"/>
          <w:lang w:eastAsia="en-US"/>
        </w:rPr>
        <w:t>principio de máxima publicidad</w:t>
      </w:r>
      <w:r w:rsidRPr="00F208A6">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E853A78" w14:textId="77777777" w:rsidR="00024005" w:rsidRPr="00F208A6" w:rsidRDefault="00024005" w:rsidP="007706FD">
      <w:pPr>
        <w:spacing w:line="360" w:lineRule="auto"/>
        <w:ind w:right="-93"/>
        <w:jc w:val="both"/>
        <w:rPr>
          <w:rFonts w:ascii="Palatino Linotype" w:eastAsia="Calibri" w:hAnsi="Palatino Linotype" w:cs="Tahoma"/>
          <w:bCs/>
          <w:sz w:val="22"/>
          <w:szCs w:val="22"/>
          <w:lang w:eastAsia="en-US"/>
        </w:rPr>
      </w:pPr>
    </w:p>
    <w:p w14:paraId="0820F8F8" w14:textId="77777777" w:rsidR="00024005" w:rsidRPr="00F208A6" w:rsidRDefault="00024005"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lastRenderedPageBreak/>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3FC00CE" w14:textId="77777777" w:rsidR="00024005" w:rsidRPr="00F208A6" w:rsidRDefault="00024005" w:rsidP="007706FD">
      <w:pPr>
        <w:spacing w:line="360" w:lineRule="auto"/>
        <w:ind w:right="-595"/>
        <w:jc w:val="both"/>
        <w:rPr>
          <w:rFonts w:ascii="Palatino Linotype" w:eastAsia="Calibri" w:hAnsi="Palatino Linotype" w:cs="Tahoma"/>
          <w:bCs/>
          <w:sz w:val="22"/>
          <w:szCs w:val="22"/>
          <w:lang w:eastAsia="en-US"/>
        </w:rPr>
      </w:pPr>
    </w:p>
    <w:p w14:paraId="25B7E050" w14:textId="77777777" w:rsidR="00024005" w:rsidRPr="00F208A6" w:rsidRDefault="00024005" w:rsidP="007706FD">
      <w:pPr>
        <w:pStyle w:val="Prrafodelista"/>
        <w:numPr>
          <w:ilvl w:val="0"/>
          <w:numId w:val="4"/>
        </w:numPr>
        <w:spacing w:line="360" w:lineRule="auto"/>
        <w:ind w:right="-595"/>
        <w:jc w:val="both"/>
        <w:rPr>
          <w:rFonts w:ascii="Palatino Linotype" w:eastAsia="Calibri" w:hAnsi="Palatino Linotype" w:cs="Tahoma"/>
          <w:bCs/>
          <w:szCs w:val="22"/>
          <w:lang w:eastAsia="en-US"/>
        </w:rPr>
      </w:pPr>
      <w:r w:rsidRPr="00F208A6">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A25321C" w14:textId="77777777" w:rsidR="00024005" w:rsidRPr="00F208A6" w:rsidRDefault="00024005" w:rsidP="007706FD">
      <w:pPr>
        <w:pStyle w:val="Prrafodelista"/>
        <w:spacing w:line="360" w:lineRule="auto"/>
        <w:ind w:right="-595"/>
        <w:jc w:val="both"/>
        <w:rPr>
          <w:rFonts w:ascii="Palatino Linotype" w:eastAsia="Calibri" w:hAnsi="Palatino Linotype" w:cs="Tahoma"/>
          <w:bCs/>
          <w:szCs w:val="22"/>
          <w:lang w:eastAsia="en-US"/>
        </w:rPr>
      </w:pPr>
    </w:p>
    <w:p w14:paraId="200015DE" w14:textId="77777777" w:rsidR="00024005" w:rsidRPr="00F208A6" w:rsidRDefault="00024005" w:rsidP="007706FD">
      <w:pPr>
        <w:pStyle w:val="Prrafodelista"/>
        <w:numPr>
          <w:ilvl w:val="0"/>
          <w:numId w:val="4"/>
        </w:numPr>
        <w:spacing w:line="360" w:lineRule="auto"/>
        <w:ind w:right="-595"/>
        <w:jc w:val="both"/>
        <w:rPr>
          <w:rFonts w:ascii="Palatino Linotype" w:eastAsia="Calibri" w:hAnsi="Palatino Linotype" w:cs="Tahoma"/>
          <w:bCs/>
          <w:szCs w:val="22"/>
          <w:lang w:eastAsia="en-US"/>
        </w:rPr>
      </w:pPr>
      <w:r w:rsidRPr="00F208A6">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F208A6">
        <w:rPr>
          <w:rFonts w:ascii="Palatino Linotype" w:eastAsia="Calibri" w:hAnsi="Palatino Linotype" w:cs="Tahoma"/>
          <w:b/>
          <w:bCs/>
          <w:szCs w:val="22"/>
          <w:lang w:eastAsia="en-US"/>
        </w:rPr>
        <w:t>quince días, contados a partir del día siguiente a la presentación de esta.</w:t>
      </w:r>
      <w:r w:rsidRPr="00F208A6">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3E53BA3E" w14:textId="77777777" w:rsidR="00024005" w:rsidRPr="00F208A6" w:rsidRDefault="00024005" w:rsidP="007706FD">
      <w:pPr>
        <w:pStyle w:val="Prrafodelista"/>
        <w:spacing w:line="360" w:lineRule="auto"/>
        <w:ind w:right="-595"/>
        <w:rPr>
          <w:rFonts w:ascii="Palatino Linotype" w:eastAsia="Calibri" w:hAnsi="Palatino Linotype" w:cs="Tahoma"/>
          <w:bCs/>
          <w:szCs w:val="22"/>
          <w:lang w:eastAsia="en-US"/>
        </w:rPr>
      </w:pPr>
    </w:p>
    <w:p w14:paraId="2D1CB923" w14:textId="77777777" w:rsidR="00024005" w:rsidRPr="00F208A6" w:rsidRDefault="00024005" w:rsidP="007706FD">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F208A6">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F208A6">
        <w:rPr>
          <w:rFonts w:ascii="Palatino Linotype" w:eastAsia="Calibri" w:hAnsi="Palatino Linotype" w:cs="Tahoma"/>
          <w:b/>
          <w:bCs/>
          <w:szCs w:val="22"/>
          <w:lang w:eastAsia="en-US"/>
        </w:rPr>
        <w:t>que se encuentren en sus archivos o que estén constreñidos a elaborar;</w:t>
      </w:r>
    </w:p>
    <w:p w14:paraId="41F73AAC" w14:textId="77777777" w:rsidR="00024005" w:rsidRPr="00F208A6" w:rsidRDefault="00024005" w:rsidP="007706FD">
      <w:pPr>
        <w:pStyle w:val="Prrafodelista"/>
        <w:spacing w:line="360" w:lineRule="auto"/>
        <w:ind w:right="-595"/>
        <w:rPr>
          <w:rFonts w:ascii="Palatino Linotype" w:eastAsia="Calibri" w:hAnsi="Palatino Linotype" w:cs="Tahoma"/>
          <w:b/>
          <w:bCs/>
          <w:szCs w:val="22"/>
          <w:lang w:eastAsia="en-US"/>
        </w:rPr>
      </w:pPr>
    </w:p>
    <w:p w14:paraId="4492B2D9" w14:textId="77777777" w:rsidR="00024005" w:rsidRPr="00F208A6" w:rsidRDefault="00024005" w:rsidP="007706FD">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F208A6">
        <w:rPr>
          <w:rFonts w:ascii="Palatino Linotype" w:eastAsia="Calibri" w:hAnsi="Palatino Linotype" w:cs="Tahoma"/>
          <w:bCs/>
          <w:szCs w:val="22"/>
          <w:lang w:eastAsia="en-US"/>
        </w:rPr>
        <w:t xml:space="preserve">El acceso se dará en la modalidad de entrega y en su caso, de envío elegido por la solicitante, cuando no se pueda entregarse en dicha modalidad, el Sujeto Obligado </w:t>
      </w:r>
      <w:r w:rsidRPr="00F208A6">
        <w:rPr>
          <w:rFonts w:ascii="Palatino Linotype" w:eastAsia="Calibri" w:hAnsi="Palatino Linotype" w:cs="Tahoma"/>
          <w:bCs/>
          <w:szCs w:val="22"/>
          <w:lang w:eastAsia="en-US"/>
        </w:rPr>
        <w:lastRenderedPageBreak/>
        <w:t>deberá ofrecer otras; por lo cual, deberá fundamentar y motivar la necesidad de modificar el medio de entrega, y</w:t>
      </w:r>
    </w:p>
    <w:p w14:paraId="4AE40AEB" w14:textId="77777777" w:rsidR="00024005" w:rsidRPr="00F208A6" w:rsidRDefault="00024005" w:rsidP="007706FD">
      <w:pPr>
        <w:pStyle w:val="Prrafodelista"/>
        <w:ind w:right="-595"/>
        <w:rPr>
          <w:rFonts w:ascii="Palatino Linotype" w:eastAsia="Calibri" w:hAnsi="Palatino Linotype" w:cs="Tahoma"/>
          <w:b/>
          <w:bCs/>
          <w:szCs w:val="22"/>
          <w:lang w:eastAsia="en-US"/>
        </w:rPr>
      </w:pPr>
    </w:p>
    <w:p w14:paraId="2983BC47" w14:textId="77777777" w:rsidR="00024005" w:rsidRPr="00F208A6" w:rsidRDefault="00024005" w:rsidP="007706FD">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F208A6">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DDAC0A4" w14:textId="77777777" w:rsidR="00024005" w:rsidRPr="00F208A6" w:rsidRDefault="00024005" w:rsidP="007706FD">
      <w:pPr>
        <w:pStyle w:val="Prrafodelista"/>
        <w:ind w:right="-595"/>
        <w:rPr>
          <w:rFonts w:ascii="Palatino Linotype" w:eastAsia="Calibri" w:hAnsi="Palatino Linotype" w:cs="Tahoma"/>
          <w:b/>
          <w:bCs/>
          <w:szCs w:val="22"/>
          <w:lang w:eastAsia="en-US"/>
        </w:rPr>
      </w:pPr>
    </w:p>
    <w:p w14:paraId="289AF2C2" w14:textId="1F30D1EB" w:rsidR="001429BE" w:rsidRPr="00F208A6" w:rsidRDefault="00B95B65" w:rsidP="007706FD">
      <w:pPr>
        <w:spacing w:line="360" w:lineRule="auto"/>
        <w:ind w:right="-595"/>
        <w:jc w:val="both"/>
        <w:rPr>
          <w:rFonts w:ascii="Palatino Linotype" w:hAnsi="Palatino Linotype" w:cs="Tahoma"/>
          <w:bCs/>
          <w:sz w:val="22"/>
          <w:szCs w:val="22"/>
        </w:rPr>
      </w:pPr>
      <w:r w:rsidRPr="00F208A6">
        <w:rPr>
          <w:rFonts w:ascii="Palatino Linotype" w:eastAsia="Calibri" w:hAnsi="Palatino Linotype" w:cs="Tahoma"/>
          <w:bCs/>
          <w:sz w:val="22"/>
          <w:szCs w:val="22"/>
          <w:lang w:eastAsia="en-US"/>
        </w:rPr>
        <w:t>Ahora bien, se advierte</w:t>
      </w:r>
      <w:r w:rsidR="001429BE" w:rsidRPr="00F208A6">
        <w:rPr>
          <w:rFonts w:ascii="Palatino Linotype" w:eastAsia="Calibri" w:hAnsi="Palatino Linotype" w:cs="Tahoma"/>
          <w:bCs/>
          <w:sz w:val="22"/>
          <w:szCs w:val="22"/>
          <w:lang w:eastAsia="en-US"/>
        </w:rPr>
        <w:t xml:space="preserve"> que el Recurrente solicitó al </w:t>
      </w:r>
      <w:r w:rsidR="001429BE" w:rsidRPr="00F208A6">
        <w:rPr>
          <w:rFonts w:ascii="Palatino Linotype" w:hAnsi="Palatino Linotype" w:cs="Tahoma"/>
          <w:bCs/>
          <w:sz w:val="22"/>
          <w:szCs w:val="22"/>
        </w:rPr>
        <w:t xml:space="preserve">Sujeto Obligado, </w:t>
      </w:r>
      <w:r w:rsidR="001429BE" w:rsidRPr="00F208A6">
        <w:rPr>
          <w:rFonts w:ascii="Palatino Linotype" w:eastAsia="Calibri" w:hAnsi="Palatino Linotype" w:cs="Tahoma"/>
          <w:bCs/>
          <w:sz w:val="22"/>
          <w:szCs w:val="22"/>
          <w:lang w:eastAsia="en-US"/>
        </w:rPr>
        <w:t>de conformidad con la vigésima tercera sesión de cabildos de fecha 12 de junio del 2019</w:t>
      </w:r>
      <w:r w:rsidR="001429BE" w:rsidRPr="00F208A6">
        <w:rPr>
          <w:rFonts w:ascii="Palatino Linotype" w:hAnsi="Palatino Linotype" w:cs="Tahoma"/>
          <w:bCs/>
          <w:sz w:val="22"/>
          <w:szCs w:val="22"/>
        </w:rPr>
        <w:t>,</w:t>
      </w:r>
      <w:r w:rsidR="00CB48A3" w:rsidRPr="00F208A6">
        <w:rPr>
          <w:rFonts w:ascii="Palatino Linotype" w:hAnsi="Palatino Linotype" w:cs="Tahoma"/>
          <w:bCs/>
          <w:sz w:val="22"/>
          <w:szCs w:val="22"/>
        </w:rPr>
        <w:t xml:space="preserve"> únicamente en el punto donde se acuerda y autoriza</w:t>
      </w:r>
      <w:r w:rsidR="001429BE" w:rsidRPr="00F208A6">
        <w:rPr>
          <w:rFonts w:ascii="Palatino Linotype" w:hAnsi="Palatino Linotype" w:cs="Tahoma"/>
          <w:bCs/>
          <w:sz w:val="22"/>
          <w:szCs w:val="22"/>
        </w:rPr>
        <w:t xml:space="preserve"> lo siguiente: </w:t>
      </w:r>
    </w:p>
    <w:p w14:paraId="5B5FC156" w14:textId="77777777" w:rsidR="001429BE" w:rsidRPr="00F208A6" w:rsidRDefault="001429BE" w:rsidP="007706FD">
      <w:pPr>
        <w:spacing w:line="360" w:lineRule="auto"/>
        <w:ind w:right="-595"/>
        <w:jc w:val="both"/>
        <w:rPr>
          <w:rFonts w:ascii="Palatino Linotype" w:hAnsi="Palatino Linotype" w:cs="Tahoma"/>
          <w:bCs/>
          <w:sz w:val="22"/>
          <w:szCs w:val="22"/>
        </w:rPr>
      </w:pPr>
    </w:p>
    <w:p w14:paraId="0388D750" w14:textId="77777777" w:rsidR="001429BE" w:rsidRPr="00F208A6" w:rsidRDefault="001429BE" w:rsidP="007706FD">
      <w:pPr>
        <w:pStyle w:val="Prrafodelista"/>
        <w:numPr>
          <w:ilvl w:val="0"/>
          <w:numId w:val="40"/>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 xml:space="preserve">Catálogo municipal de unidades económicas </w:t>
      </w:r>
    </w:p>
    <w:p w14:paraId="33B8CE16" w14:textId="77777777" w:rsidR="001429BE" w:rsidRPr="00F208A6" w:rsidRDefault="001429BE" w:rsidP="007706FD">
      <w:pPr>
        <w:pStyle w:val="Prrafodelista"/>
        <w:numPr>
          <w:ilvl w:val="0"/>
          <w:numId w:val="40"/>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Catálogo municipal de unidades económicas de alto impacto</w:t>
      </w:r>
    </w:p>
    <w:p w14:paraId="53C6FA68" w14:textId="77777777" w:rsidR="001429BE" w:rsidRPr="00F208A6" w:rsidRDefault="001429BE" w:rsidP="007706FD">
      <w:pPr>
        <w:pStyle w:val="Prrafodelista"/>
        <w:numPr>
          <w:ilvl w:val="0"/>
          <w:numId w:val="40"/>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 xml:space="preserve">Catálogo municipal de cobro de giros específicos </w:t>
      </w:r>
    </w:p>
    <w:p w14:paraId="13814E83" w14:textId="77777777" w:rsidR="001429BE" w:rsidRPr="00F208A6" w:rsidRDefault="001429BE" w:rsidP="007706FD">
      <w:pPr>
        <w:pStyle w:val="Prrafodelista"/>
        <w:numPr>
          <w:ilvl w:val="0"/>
          <w:numId w:val="40"/>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 xml:space="preserve">Catálogo municipal del sistema de apertura rápida de empresas </w:t>
      </w:r>
    </w:p>
    <w:p w14:paraId="62ADAC30" w14:textId="77777777" w:rsidR="001429BE" w:rsidRPr="00F208A6" w:rsidRDefault="001429BE" w:rsidP="007706FD">
      <w:pPr>
        <w:pStyle w:val="Prrafodelista"/>
        <w:spacing w:line="360" w:lineRule="auto"/>
        <w:ind w:right="-595"/>
        <w:jc w:val="both"/>
        <w:rPr>
          <w:rFonts w:ascii="Palatino Linotype" w:hAnsi="Palatino Linotype" w:cs="Tahoma"/>
          <w:bCs/>
          <w:szCs w:val="22"/>
        </w:rPr>
      </w:pPr>
    </w:p>
    <w:p w14:paraId="3BB39AE9" w14:textId="5F38187A" w:rsidR="001429BE" w:rsidRPr="00F208A6" w:rsidRDefault="001429BE" w:rsidP="007706FD">
      <w:pPr>
        <w:spacing w:line="360" w:lineRule="auto"/>
        <w:ind w:right="-595"/>
        <w:jc w:val="both"/>
        <w:rPr>
          <w:rFonts w:ascii="Palatino Linotype" w:hAnsi="Palatino Linotype" w:cs="Tahoma"/>
          <w:b/>
          <w:bCs/>
          <w:sz w:val="28"/>
          <w:szCs w:val="22"/>
        </w:rPr>
      </w:pPr>
      <w:r w:rsidRPr="00F208A6">
        <w:rPr>
          <w:rFonts w:ascii="Palatino Linotype" w:hAnsi="Palatino Linotype" w:cs="Tahoma"/>
          <w:bCs/>
          <w:sz w:val="22"/>
          <w:szCs w:val="22"/>
        </w:rPr>
        <w:t xml:space="preserve">Derivado de lo anterior, el Sujeto Obligado, respondió que no contaba con  las capacidades técnicas y humanas para el procesamiento de lo solicitado; por lo que, manifestó que se ponía a disposición del Recurrente para consultar la información en las oficinas que ocupa la Secretaría del Ayuntamiento del municipio de Tecámac; asimismo, refirió que el acta de cabildo donde se encontraba lo solicitado la podía consultar en la liga electrónica </w:t>
      </w:r>
      <w:hyperlink r:id="rId9" w:history="1">
        <w:r w:rsidRPr="00F208A6">
          <w:rPr>
            <w:rStyle w:val="Hipervnculo"/>
            <w:rFonts w:ascii="Palatino Linotype" w:hAnsi="Palatino Linotype"/>
            <w:b/>
            <w:sz w:val="22"/>
            <w:szCs w:val="18"/>
          </w:rPr>
          <w:t>http://www.tecamac.gob.mx/gaceta-municipal-2019/</w:t>
        </w:r>
      </w:hyperlink>
      <w:r w:rsidRPr="00F208A6">
        <w:rPr>
          <w:rFonts w:ascii="Palatino Linotype" w:hAnsi="Palatino Linotype"/>
          <w:b/>
          <w:color w:val="000000"/>
          <w:sz w:val="22"/>
          <w:szCs w:val="18"/>
        </w:rPr>
        <w:t xml:space="preserve">. </w:t>
      </w:r>
    </w:p>
    <w:p w14:paraId="26EB084F" w14:textId="77777777" w:rsidR="001429BE" w:rsidRPr="00F208A6" w:rsidRDefault="001429BE" w:rsidP="007706FD">
      <w:pPr>
        <w:spacing w:line="360" w:lineRule="auto"/>
        <w:ind w:right="-595"/>
        <w:jc w:val="both"/>
        <w:rPr>
          <w:rFonts w:ascii="Palatino Linotype" w:eastAsia="Calibri" w:hAnsi="Palatino Linotype" w:cs="Tahoma"/>
          <w:bCs/>
          <w:sz w:val="22"/>
          <w:szCs w:val="22"/>
          <w:lang w:eastAsia="en-US"/>
        </w:rPr>
      </w:pPr>
    </w:p>
    <w:p w14:paraId="4B89F803" w14:textId="77777777" w:rsidR="00C63B03" w:rsidRPr="00F208A6" w:rsidRDefault="00C63B03" w:rsidP="007706FD">
      <w:pPr>
        <w:spacing w:line="360" w:lineRule="auto"/>
        <w:ind w:right="-595"/>
        <w:jc w:val="both"/>
        <w:rPr>
          <w:rFonts w:ascii="Palatino Linotype" w:eastAsia="Calibri" w:hAnsi="Palatino Linotype" w:cs="Tahoma"/>
          <w:iCs/>
          <w:sz w:val="22"/>
          <w:szCs w:val="22"/>
          <w:lang w:eastAsia="es-ES_tradnl"/>
        </w:rPr>
      </w:pPr>
      <w:r w:rsidRPr="00F208A6">
        <w:rPr>
          <w:rFonts w:ascii="Palatino Linotype" w:hAnsi="Palatino Linotype" w:cs="Tahoma"/>
          <w:bCs/>
          <w:sz w:val="22"/>
          <w:szCs w:val="22"/>
        </w:rPr>
        <w:lastRenderedPageBreak/>
        <w:t xml:space="preserve">Inconforme con lo anterior, el Recurrente presentó el Recurso de Revisión que nos ocupa, a través del cual se agravió por considerar que el Ayuntamiento de Tecámac, había entregado la información de forma incompleta. </w:t>
      </w:r>
    </w:p>
    <w:p w14:paraId="21AA79AC" w14:textId="77777777" w:rsidR="001429BE" w:rsidRPr="00F208A6" w:rsidRDefault="001429BE" w:rsidP="007706FD">
      <w:pPr>
        <w:spacing w:line="360" w:lineRule="auto"/>
        <w:ind w:right="-595"/>
        <w:jc w:val="both"/>
        <w:rPr>
          <w:rFonts w:ascii="Palatino Linotype" w:eastAsia="Calibri" w:hAnsi="Palatino Linotype" w:cs="Tahoma"/>
          <w:bCs/>
          <w:sz w:val="22"/>
          <w:szCs w:val="22"/>
          <w:lang w:eastAsia="en-US"/>
        </w:rPr>
      </w:pPr>
    </w:p>
    <w:p w14:paraId="240A6D17" w14:textId="08DBBF4C" w:rsidR="001429BE" w:rsidRPr="00F208A6" w:rsidRDefault="004C2F0D"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Establecido lo anterior, </w:t>
      </w:r>
      <w:r w:rsidR="00B95B65" w:rsidRPr="00F208A6">
        <w:rPr>
          <w:rFonts w:ascii="Palatino Linotype" w:eastAsia="Calibri" w:hAnsi="Palatino Linotype" w:cs="Tahoma"/>
          <w:bCs/>
          <w:sz w:val="22"/>
          <w:szCs w:val="22"/>
          <w:lang w:eastAsia="en-US"/>
        </w:rPr>
        <w:t xml:space="preserve">es preciso indicar que si bien el Recurrente </w:t>
      </w:r>
      <w:r w:rsidR="00953884" w:rsidRPr="00F208A6">
        <w:rPr>
          <w:rFonts w:ascii="Palatino Linotype" w:eastAsia="Calibri" w:hAnsi="Palatino Linotype" w:cs="Tahoma"/>
          <w:bCs/>
          <w:sz w:val="22"/>
          <w:szCs w:val="22"/>
          <w:lang w:eastAsia="en-US"/>
        </w:rPr>
        <w:t>manifestó que la información solicitada se encontraba de manera incompleta, lo cierto es que, a la fecha de la presente Resolución</w:t>
      </w:r>
      <w:r w:rsidR="00174554" w:rsidRPr="00F208A6">
        <w:rPr>
          <w:rFonts w:ascii="Palatino Linotype" w:eastAsia="Calibri" w:hAnsi="Palatino Linotype" w:cs="Tahoma"/>
          <w:bCs/>
          <w:sz w:val="22"/>
          <w:szCs w:val="22"/>
          <w:lang w:eastAsia="en-US"/>
        </w:rPr>
        <w:t xml:space="preserve">, no es posible ingresar a la liga electrónica proporcionada por el Sujeto Obligado, tal y como evidenciado a continuación. </w:t>
      </w:r>
    </w:p>
    <w:p w14:paraId="71467C55" w14:textId="77777777" w:rsidR="00174554" w:rsidRPr="00F208A6" w:rsidRDefault="00174554" w:rsidP="007706FD">
      <w:pPr>
        <w:spacing w:line="360" w:lineRule="auto"/>
        <w:ind w:right="-595"/>
        <w:jc w:val="both"/>
        <w:rPr>
          <w:rFonts w:ascii="Palatino Linotype" w:eastAsia="Calibri" w:hAnsi="Palatino Linotype" w:cs="Tahoma"/>
          <w:bCs/>
          <w:sz w:val="22"/>
          <w:szCs w:val="22"/>
          <w:lang w:eastAsia="en-US"/>
        </w:rPr>
      </w:pPr>
    </w:p>
    <w:p w14:paraId="2B89E2EE" w14:textId="25B503F1" w:rsidR="001E16A1" w:rsidRPr="00F208A6" w:rsidRDefault="001E16A1"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Así las cosas, este Órgano Resolutor, ingresó a la liga electrónica</w:t>
      </w:r>
      <w:r w:rsidR="009E3A37" w:rsidRPr="00F208A6">
        <w:rPr>
          <w:rFonts w:ascii="Palatino Linotype" w:eastAsia="Calibri" w:hAnsi="Palatino Linotype" w:cs="Tahoma"/>
          <w:bCs/>
          <w:sz w:val="22"/>
          <w:szCs w:val="22"/>
          <w:lang w:eastAsia="en-US"/>
        </w:rPr>
        <w:t xml:space="preserve"> </w:t>
      </w:r>
      <w:hyperlink r:id="rId10" w:history="1">
        <w:r w:rsidR="009E3A37" w:rsidRPr="00F208A6">
          <w:rPr>
            <w:rStyle w:val="Hipervnculo"/>
            <w:rFonts w:ascii="Palatino Linotype" w:hAnsi="Palatino Linotype"/>
            <w:b/>
            <w:sz w:val="22"/>
            <w:szCs w:val="18"/>
          </w:rPr>
          <w:t>http://www.tecamac.gob.mx/gaceta-municipal-2019/</w:t>
        </w:r>
      </w:hyperlink>
      <w:r w:rsidR="009E3A37" w:rsidRPr="00F208A6">
        <w:rPr>
          <w:rFonts w:ascii="Palatino Linotype" w:hAnsi="Palatino Linotype"/>
          <w:b/>
          <w:color w:val="000000"/>
          <w:sz w:val="22"/>
          <w:szCs w:val="18"/>
        </w:rPr>
        <w:t xml:space="preserve">, </w:t>
      </w:r>
      <w:r w:rsidR="009E3A37" w:rsidRPr="00F208A6">
        <w:rPr>
          <w:rFonts w:ascii="Palatino Linotype" w:hAnsi="Palatino Linotype"/>
          <w:color w:val="000000"/>
          <w:sz w:val="22"/>
          <w:szCs w:val="18"/>
        </w:rPr>
        <w:t>(consultada el dos de octubre de la anualidad en curso a las quince horas con treinta minutos), misma que fue</w:t>
      </w:r>
      <w:r w:rsidRPr="00F208A6">
        <w:rPr>
          <w:rFonts w:ascii="Palatino Linotype" w:eastAsia="Calibri" w:hAnsi="Palatino Linotype" w:cs="Tahoma"/>
          <w:bCs/>
          <w:sz w:val="22"/>
          <w:szCs w:val="22"/>
          <w:lang w:eastAsia="en-US"/>
        </w:rPr>
        <w:t xml:space="preserve"> proporcionada por el Ayuntamiento de Tecámac, para dar respuesta al requerimiento de información</w:t>
      </w:r>
      <w:r w:rsidR="009E3A37" w:rsidRPr="00F208A6">
        <w:rPr>
          <w:rFonts w:ascii="Palatino Linotype" w:eastAsia="Calibri" w:hAnsi="Palatino Linotype" w:cs="Tahoma"/>
          <w:bCs/>
          <w:sz w:val="22"/>
          <w:szCs w:val="22"/>
          <w:lang w:eastAsia="en-US"/>
        </w:rPr>
        <w:t>, con la finalidad de corroborar si la información requerida se encontraba publicada tal como lo había referido el Sujeto Obligado; sin embargo, se advirtió que</w:t>
      </w:r>
      <w:r w:rsidR="00B8257C" w:rsidRPr="00F208A6">
        <w:rPr>
          <w:rFonts w:ascii="Palatino Linotype" w:eastAsia="Calibri" w:hAnsi="Palatino Linotype" w:cs="Tahoma"/>
          <w:bCs/>
          <w:sz w:val="22"/>
          <w:szCs w:val="22"/>
          <w:lang w:eastAsia="en-US"/>
        </w:rPr>
        <w:t xml:space="preserve">, </w:t>
      </w:r>
      <w:r w:rsidR="009E3A37" w:rsidRPr="00F208A6">
        <w:rPr>
          <w:rFonts w:ascii="Palatino Linotype" w:eastAsia="Calibri" w:hAnsi="Palatino Linotype" w:cs="Tahoma"/>
          <w:bCs/>
          <w:sz w:val="22"/>
          <w:szCs w:val="22"/>
          <w:lang w:eastAsia="en-US"/>
        </w:rPr>
        <w:t xml:space="preserve"> </w:t>
      </w:r>
      <w:r w:rsidR="00B8257C" w:rsidRPr="00F208A6">
        <w:rPr>
          <w:rFonts w:ascii="Palatino Linotype" w:eastAsia="Calibri" w:hAnsi="Palatino Linotype" w:cs="Tahoma"/>
          <w:b/>
          <w:bCs/>
          <w:sz w:val="22"/>
          <w:szCs w:val="22"/>
          <w:u w:val="single"/>
          <w:lang w:eastAsia="en-US"/>
        </w:rPr>
        <w:t>las Gacetas Municipales de julio,</w:t>
      </w:r>
      <w:r w:rsidR="00B8257C" w:rsidRPr="00F208A6">
        <w:rPr>
          <w:rFonts w:ascii="Palatino Linotype" w:eastAsia="Calibri" w:hAnsi="Palatino Linotype" w:cs="Tahoma"/>
          <w:bCs/>
          <w:sz w:val="22"/>
          <w:szCs w:val="22"/>
          <w:lang w:eastAsia="en-US"/>
        </w:rPr>
        <w:t xml:space="preserve"> </w:t>
      </w:r>
      <w:r w:rsidR="00B8257C" w:rsidRPr="00F208A6">
        <w:rPr>
          <w:rFonts w:ascii="Palatino Linotype" w:eastAsia="Calibri" w:hAnsi="Palatino Linotype" w:cs="Tahoma"/>
          <w:b/>
          <w:bCs/>
          <w:sz w:val="22"/>
          <w:szCs w:val="22"/>
          <w:u w:val="single"/>
          <w:lang w:eastAsia="en-US"/>
        </w:rPr>
        <w:t xml:space="preserve">agosto y </w:t>
      </w:r>
      <w:r w:rsidR="009E3A37" w:rsidRPr="00F208A6">
        <w:rPr>
          <w:rFonts w:ascii="Palatino Linotype" w:eastAsia="Calibri" w:hAnsi="Palatino Linotype" w:cs="Tahoma"/>
          <w:b/>
          <w:bCs/>
          <w:sz w:val="22"/>
          <w:szCs w:val="22"/>
          <w:u w:val="single"/>
          <w:lang w:eastAsia="en-US"/>
        </w:rPr>
        <w:t>específicamente la Gaceta Municipal</w:t>
      </w:r>
      <w:r w:rsidR="00CC2DCF" w:rsidRPr="00F208A6">
        <w:rPr>
          <w:rFonts w:ascii="Palatino Linotype" w:eastAsia="Calibri" w:hAnsi="Palatino Linotype" w:cs="Tahoma"/>
          <w:b/>
          <w:bCs/>
          <w:sz w:val="22"/>
          <w:szCs w:val="22"/>
          <w:u w:val="single"/>
          <w:lang w:eastAsia="en-US"/>
        </w:rPr>
        <w:t xml:space="preserve"> de </w:t>
      </w:r>
      <w:r w:rsidR="009E3A37" w:rsidRPr="00F208A6">
        <w:rPr>
          <w:rFonts w:ascii="Palatino Linotype" w:eastAsia="Calibri" w:hAnsi="Palatino Linotype" w:cs="Tahoma"/>
          <w:b/>
          <w:bCs/>
          <w:sz w:val="22"/>
          <w:szCs w:val="22"/>
          <w:u w:val="single"/>
          <w:lang w:eastAsia="en-US"/>
        </w:rPr>
        <w:t xml:space="preserve"> </w:t>
      </w:r>
      <w:r w:rsidR="00CC2DCF" w:rsidRPr="00F208A6">
        <w:rPr>
          <w:rFonts w:ascii="Palatino Linotype" w:eastAsia="Calibri" w:hAnsi="Palatino Linotype" w:cs="Tahoma"/>
          <w:b/>
          <w:bCs/>
          <w:sz w:val="22"/>
          <w:szCs w:val="22"/>
          <w:u w:val="single"/>
          <w:lang w:eastAsia="en-US"/>
        </w:rPr>
        <w:t xml:space="preserve">junio 2019, </w:t>
      </w:r>
      <w:r w:rsidR="009E3A37" w:rsidRPr="00F208A6">
        <w:rPr>
          <w:rFonts w:ascii="Palatino Linotype" w:eastAsia="Calibri" w:hAnsi="Palatino Linotype" w:cs="Tahoma"/>
          <w:b/>
          <w:bCs/>
          <w:sz w:val="22"/>
          <w:szCs w:val="22"/>
          <w:u w:val="single"/>
          <w:lang w:eastAsia="en-US"/>
        </w:rPr>
        <w:t>en donde, a decir del Ayuntamiento de Tecámac, se encontraba la información solicitada, es de imposible acceso</w:t>
      </w:r>
      <w:r w:rsidR="00CC2DCF" w:rsidRPr="00F208A6">
        <w:rPr>
          <w:rFonts w:ascii="Palatino Linotype" w:eastAsia="Calibri" w:hAnsi="Palatino Linotype" w:cs="Tahoma"/>
          <w:b/>
          <w:bCs/>
          <w:sz w:val="22"/>
          <w:szCs w:val="22"/>
          <w:u w:val="single"/>
          <w:lang w:eastAsia="en-US"/>
        </w:rPr>
        <w:t>.</w:t>
      </w:r>
      <w:r w:rsidR="009E3A37" w:rsidRPr="00F208A6">
        <w:rPr>
          <w:rFonts w:ascii="Palatino Linotype" w:eastAsia="Calibri" w:hAnsi="Palatino Linotype" w:cs="Tahoma"/>
          <w:bCs/>
          <w:sz w:val="22"/>
          <w:szCs w:val="22"/>
          <w:lang w:eastAsia="en-US"/>
        </w:rPr>
        <w:t xml:space="preserve"> </w:t>
      </w:r>
    </w:p>
    <w:p w14:paraId="6F2951DD" w14:textId="77777777" w:rsidR="009E3A37" w:rsidRPr="00F208A6" w:rsidRDefault="009E3A37" w:rsidP="007706FD">
      <w:pPr>
        <w:spacing w:line="360" w:lineRule="auto"/>
        <w:ind w:right="-595"/>
        <w:jc w:val="both"/>
        <w:rPr>
          <w:rFonts w:ascii="Palatino Linotype" w:eastAsia="Calibri" w:hAnsi="Palatino Linotype" w:cs="Tahoma"/>
          <w:bCs/>
          <w:sz w:val="22"/>
          <w:szCs w:val="22"/>
          <w:lang w:eastAsia="en-US"/>
        </w:rPr>
      </w:pPr>
    </w:p>
    <w:p w14:paraId="61CC50F6" w14:textId="275B9BB6" w:rsidR="00B8257C" w:rsidRPr="00F208A6" w:rsidRDefault="00B07F6C"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Derivado </w:t>
      </w:r>
      <w:r w:rsidR="00E7396C" w:rsidRPr="00F208A6">
        <w:rPr>
          <w:rFonts w:ascii="Palatino Linotype" w:eastAsia="Calibri" w:hAnsi="Palatino Linotype" w:cs="Tahoma"/>
          <w:bCs/>
          <w:sz w:val="22"/>
          <w:szCs w:val="22"/>
          <w:lang w:eastAsia="en-US"/>
        </w:rPr>
        <w:t xml:space="preserve">de lo </w:t>
      </w:r>
      <w:r w:rsidR="007E4F4D" w:rsidRPr="00F208A6">
        <w:rPr>
          <w:rFonts w:ascii="Palatino Linotype" w:eastAsia="Calibri" w:hAnsi="Palatino Linotype" w:cs="Tahoma"/>
          <w:bCs/>
          <w:sz w:val="22"/>
          <w:szCs w:val="22"/>
          <w:lang w:eastAsia="en-US"/>
        </w:rPr>
        <w:t>anterior</w:t>
      </w:r>
      <w:r w:rsidR="00E7396C" w:rsidRPr="00F208A6">
        <w:rPr>
          <w:rFonts w:ascii="Palatino Linotype" w:eastAsia="Calibri" w:hAnsi="Palatino Linotype" w:cs="Tahoma"/>
          <w:bCs/>
          <w:sz w:val="22"/>
          <w:szCs w:val="22"/>
          <w:lang w:eastAsia="en-US"/>
        </w:rPr>
        <w:t xml:space="preserve">, se </w:t>
      </w:r>
      <w:r w:rsidR="007E4F4D" w:rsidRPr="00F208A6">
        <w:rPr>
          <w:rFonts w:ascii="Palatino Linotype" w:eastAsia="Calibri" w:hAnsi="Palatino Linotype" w:cs="Tahoma"/>
          <w:bCs/>
          <w:sz w:val="22"/>
          <w:szCs w:val="22"/>
          <w:lang w:eastAsia="en-US"/>
        </w:rPr>
        <w:t>tiene</w:t>
      </w:r>
      <w:r w:rsidR="00E7396C" w:rsidRPr="00F208A6">
        <w:rPr>
          <w:rFonts w:ascii="Palatino Linotype" w:eastAsia="Calibri" w:hAnsi="Palatino Linotype" w:cs="Tahoma"/>
          <w:bCs/>
          <w:sz w:val="22"/>
          <w:szCs w:val="22"/>
          <w:lang w:eastAsia="en-US"/>
        </w:rPr>
        <w:t xml:space="preserve"> que, si bien el Particular se inconformó de la entrega de la información incompleta, lo cierto es que, como se ha referido en líneas precedentes, es imposible ingresar a la Gaceta Municipal de junio de 2019, en la cual a decir del Sujeto Obliga</w:t>
      </w:r>
      <w:r w:rsidR="00D42A0C" w:rsidRPr="00F208A6">
        <w:rPr>
          <w:rFonts w:ascii="Palatino Linotype" w:eastAsia="Calibri" w:hAnsi="Palatino Linotype" w:cs="Tahoma"/>
          <w:bCs/>
          <w:sz w:val="22"/>
          <w:szCs w:val="22"/>
          <w:lang w:eastAsia="en-US"/>
        </w:rPr>
        <w:t xml:space="preserve">do, se encuentra lo solicitado; por lo que no se encuentra colmado parcialmente el requerimiento de información realizado por el Particular, es decir el Ayuntamiento de Tecámac fue omiso en entregar lo requerido en su totalidad. </w:t>
      </w:r>
    </w:p>
    <w:p w14:paraId="55283219" w14:textId="77777777" w:rsidR="00E7396C" w:rsidRPr="00F208A6" w:rsidRDefault="00E7396C" w:rsidP="007706FD">
      <w:pPr>
        <w:spacing w:line="360" w:lineRule="auto"/>
        <w:ind w:right="-595"/>
        <w:jc w:val="both"/>
        <w:rPr>
          <w:rFonts w:ascii="Palatino Linotype" w:eastAsia="Calibri" w:hAnsi="Palatino Linotype" w:cs="Tahoma"/>
          <w:bCs/>
          <w:sz w:val="22"/>
          <w:szCs w:val="22"/>
          <w:lang w:eastAsia="en-US"/>
        </w:rPr>
      </w:pPr>
    </w:p>
    <w:p w14:paraId="60FCB719" w14:textId="77777777" w:rsidR="00174554" w:rsidRPr="00F208A6" w:rsidRDefault="00174554" w:rsidP="007706FD">
      <w:pPr>
        <w:spacing w:line="360" w:lineRule="auto"/>
        <w:ind w:right="-595"/>
        <w:jc w:val="both"/>
        <w:rPr>
          <w:rFonts w:ascii="Palatino Linotype" w:eastAsia="Calibri" w:hAnsi="Palatino Linotype" w:cs="Tahoma"/>
          <w:bCs/>
          <w:iCs/>
          <w:sz w:val="22"/>
          <w:szCs w:val="22"/>
          <w:lang w:val="es-ES_tradnl" w:eastAsia="en-US"/>
        </w:rPr>
      </w:pPr>
      <w:r w:rsidRPr="00F208A6">
        <w:rPr>
          <w:rFonts w:ascii="Palatino Linotype" w:eastAsia="Calibri" w:hAnsi="Palatino Linotype" w:cs="Tahoma"/>
          <w:bCs/>
          <w:sz w:val="22"/>
          <w:szCs w:val="22"/>
          <w:lang w:eastAsia="en-US"/>
        </w:rPr>
        <w:t xml:space="preserve">En ese sentido, </w:t>
      </w:r>
      <w:r w:rsidRPr="00F208A6">
        <w:rPr>
          <w:rFonts w:ascii="Palatino Linotype" w:eastAsia="Calibri" w:hAnsi="Palatino Linotype" w:cs="Tahoma"/>
          <w:bCs/>
          <w:iCs/>
          <w:sz w:val="22"/>
          <w:szCs w:val="22"/>
          <w:lang w:val="es-ES_tradnl" w:eastAsia="es-ES_tradnl"/>
        </w:rPr>
        <w:t xml:space="preserve">este Órgano </w:t>
      </w:r>
      <w:r w:rsidRPr="00F208A6">
        <w:rPr>
          <w:rFonts w:ascii="Palatino Linotype" w:eastAsia="Calibri" w:hAnsi="Palatino Linotype" w:cs="Tahoma"/>
          <w:bCs/>
          <w:iCs/>
          <w:sz w:val="22"/>
          <w:szCs w:val="22"/>
          <w:lang w:val="es-ES_tradnl" w:eastAsia="en-US"/>
        </w:rPr>
        <w:t>Garante</w:t>
      </w:r>
      <w:r w:rsidRPr="00F208A6">
        <w:rPr>
          <w:rFonts w:ascii="Palatino Linotype" w:eastAsia="Calibri" w:hAnsi="Palatino Linotype" w:cs="Tahoma"/>
          <w:bCs/>
          <w:iCs/>
          <w:sz w:val="22"/>
          <w:szCs w:val="22"/>
          <w:lang w:val="es-ES_tradnl" w:eastAsia="es-ES_tradnl"/>
        </w:rPr>
        <w:t xml:space="preserve">, atentos al contenido de los numerales 13 y 181 de la Ley de la Materia, procede a realizar la suplencia de la queja deficiente en favor del </w:t>
      </w:r>
      <w:r w:rsidRPr="00F208A6">
        <w:rPr>
          <w:rFonts w:ascii="Palatino Linotype" w:eastAsia="Calibri" w:hAnsi="Palatino Linotype" w:cs="Tahoma"/>
          <w:b/>
          <w:bCs/>
          <w:iCs/>
          <w:sz w:val="22"/>
          <w:szCs w:val="22"/>
          <w:lang w:val="es-ES_tradnl" w:eastAsia="es-ES_tradnl"/>
        </w:rPr>
        <w:lastRenderedPageBreak/>
        <w:t>RECURRENTE</w:t>
      </w:r>
      <w:r w:rsidRPr="00F208A6">
        <w:rPr>
          <w:rFonts w:ascii="Palatino Linotype" w:eastAsia="Calibri" w:hAnsi="Palatino Linotype" w:cs="Tahoma"/>
          <w:bCs/>
          <w:iCs/>
          <w:sz w:val="22"/>
          <w:szCs w:val="22"/>
          <w:lang w:val="es-ES_tradnl" w:eastAsia="es-ES_tradnl"/>
        </w:rPr>
        <w:t xml:space="preserve">, sirve </w:t>
      </w:r>
      <w:r w:rsidRPr="00F208A6">
        <w:rPr>
          <w:rFonts w:ascii="Palatino Linotype" w:eastAsia="Calibri" w:hAnsi="Palatino Linotype" w:cs="Tahoma"/>
          <w:bCs/>
          <w:iCs/>
          <w:sz w:val="22"/>
          <w:szCs w:val="22"/>
          <w:lang w:val="es-ES_tradnl" w:eastAsia="en-US"/>
        </w:rPr>
        <w:t>como</w:t>
      </w:r>
      <w:r w:rsidRPr="00F208A6">
        <w:rPr>
          <w:rFonts w:ascii="Palatino Linotype" w:eastAsia="Calibri" w:hAnsi="Palatino Linotype" w:cs="Tahoma"/>
          <w:bCs/>
          <w:iCs/>
          <w:sz w:val="22"/>
          <w:szCs w:val="22"/>
          <w:lang w:val="es-ES_tradnl" w:eastAsia="es-ES_tradnl"/>
        </w:rPr>
        <w:t xml:space="preserve"> criterio orientador la jurisprudencia administrativa 1a./J. 17/2000, emanada por la Suprema Corte de Justicia de la Nación, la cual dicta lo siguiente:</w:t>
      </w:r>
    </w:p>
    <w:p w14:paraId="5A091711" w14:textId="77777777" w:rsidR="00174554" w:rsidRPr="00F208A6" w:rsidRDefault="00174554" w:rsidP="007706FD">
      <w:pPr>
        <w:spacing w:line="360" w:lineRule="auto"/>
        <w:jc w:val="both"/>
        <w:rPr>
          <w:rFonts w:ascii="Palatino Linotype" w:eastAsia="Calibri" w:hAnsi="Palatino Linotype" w:cs="Tahoma"/>
          <w:bCs/>
          <w:iCs/>
          <w:szCs w:val="22"/>
          <w:lang w:val="es-ES_tradnl" w:eastAsia="es-ES_tradnl"/>
        </w:rPr>
      </w:pPr>
    </w:p>
    <w:p w14:paraId="29C6D0FA" w14:textId="77777777" w:rsidR="00174554" w:rsidRPr="00F208A6" w:rsidRDefault="00174554" w:rsidP="007706FD">
      <w:pPr>
        <w:spacing w:line="360" w:lineRule="auto"/>
        <w:ind w:left="567" w:right="539"/>
        <w:jc w:val="both"/>
        <w:rPr>
          <w:rFonts w:ascii="Palatino Linotype" w:eastAsia="Calibri" w:hAnsi="Palatino Linotype" w:cs="Tahoma"/>
          <w:bCs/>
          <w:i/>
          <w:iCs/>
          <w:szCs w:val="22"/>
          <w:lang w:val="es-ES_tradnl" w:eastAsia="es-ES_tradnl"/>
        </w:rPr>
      </w:pPr>
      <w:r w:rsidRPr="00F208A6">
        <w:rPr>
          <w:rFonts w:ascii="Palatino Linotype" w:eastAsia="Calibri" w:hAnsi="Palatino Linotype" w:cs="Tahoma"/>
          <w:b/>
          <w:bCs/>
          <w:i/>
          <w:iCs/>
          <w:szCs w:val="22"/>
          <w:lang w:val="es-ES_tradnl" w:eastAsia="es-ES_tradnl"/>
        </w:rPr>
        <w:t>“SUPLENCIA DE LA QUEJA DEFICIENTE EN MATERIA ADMINISTRATIVA. PROCEDENCIA.</w:t>
      </w:r>
      <w:r w:rsidRPr="00F208A6">
        <w:rPr>
          <w:rFonts w:ascii="Palatino Linotype" w:eastAsia="Calibri" w:hAnsi="Palatino Linotype" w:cs="Tahoma"/>
          <w:bCs/>
          <w:i/>
          <w:iCs/>
          <w:szCs w:val="22"/>
          <w:lang w:val="es-ES_tradnl" w:eastAsia="es-ES_tradnl"/>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promovente del amparo, para acreditar la ilegalidad o inconstitucionalidad del acto, o bien, de allegarse de cuestiones ajenas a la litis planteada, porque de ser así, ya no se estaría ante la presencia de una violación manifiesta de la ley que deje sin defensa al quejoso o agraviado.”</w:t>
      </w:r>
    </w:p>
    <w:p w14:paraId="4B4BCC94" w14:textId="77777777" w:rsidR="00174554" w:rsidRPr="00F208A6" w:rsidRDefault="00174554" w:rsidP="007706FD">
      <w:pPr>
        <w:spacing w:line="360" w:lineRule="auto"/>
        <w:jc w:val="both"/>
        <w:rPr>
          <w:rFonts w:ascii="Palatino Linotype" w:eastAsia="Calibri" w:hAnsi="Palatino Linotype" w:cs="Tahoma"/>
          <w:bCs/>
          <w:iCs/>
          <w:sz w:val="22"/>
          <w:szCs w:val="22"/>
          <w:lang w:val="es-ES_tradnl" w:eastAsia="es-ES_tradnl"/>
        </w:rPr>
      </w:pPr>
    </w:p>
    <w:p w14:paraId="35F427BA" w14:textId="77777777" w:rsidR="00174554" w:rsidRPr="00F208A6" w:rsidRDefault="00174554" w:rsidP="007706FD">
      <w:pPr>
        <w:spacing w:line="360" w:lineRule="auto"/>
        <w:ind w:right="-595"/>
        <w:jc w:val="both"/>
        <w:rPr>
          <w:rFonts w:ascii="Palatino Linotype" w:eastAsia="Calibri" w:hAnsi="Palatino Linotype" w:cs="Tahoma"/>
          <w:bCs/>
          <w:iCs/>
          <w:sz w:val="22"/>
          <w:szCs w:val="22"/>
          <w:lang w:val="es-ES_tradnl" w:eastAsia="es-ES_tradnl"/>
        </w:rPr>
      </w:pPr>
      <w:r w:rsidRPr="00F208A6">
        <w:rPr>
          <w:rFonts w:ascii="Palatino Linotype" w:eastAsia="Calibri" w:hAnsi="Palatino Linotype" w:cs="Tahoma"/>
          <w:bCs/>
          <w:iCs/>
          <w:sz w:val="22"/>
          <w:szCs w:val="22"/>
          <w:lang w:val="es-ES_tradnl" w:eastAsia="es-ES_tradnl"/>
        </w:rPr>
        <w:t xml:space="preserve">Así, de acuerdo a la Ley de Transparencia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w:t>
      </w:r>
    </w:p>
    <w:p w14:paraId="72A4DBDD" w14:textId="77777777" w:rsidR="00174554" w:rsidRPr="00F208A6" w:rsidRDefault="00174554" w:rsidP="007706FD">
      <w:pPr>
        <w:tabs>
          <w:tab w:val="left" w:pos="4962"/>
        </w:tabs>
        <w:spacing w:line="360" w:lineRule="auto"/>
        <w:jc w:val="both"/>
        <w:rPr>
          <w:rFonts w:ascii="Palatino Linotype" w:eastAsia="Calibri" w:hAnsi="Palatino Linotype" w:cs="Tahoma"/>
          <w:iCs/>
          <w:sz w:val="22"/>
          <w:szCs w:val="22"/>
          <w:lang w:val="es-ES" w:eastAsia="es-ES_tradnl"/>
        </w:rPr>
      </w:pPr>
    </w:p>
    <w:p w14:paraId="3CAF1EC4" w14:textId="3F4B88A7" w:rsidR="00C25F07" w:rsidRPr="00F208A6" w:rsidRDefault="009D2117"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lastRenderedPageBreak/>
        <w:t xml:space="preserve">En ese tenor, se analizan los requerimientos de información planteados por el Recurrente, consistentes en lo siguiente: </w:t>
      </w:r>
    </w:p>
    <w:p w14:paraId="1E802ECB" w14:textId="77777777" w:rsidR="009D2117" w:rsidRPr="00F208A6" w:rsidRDefault="009D2117" w:rsidP="007706FD">
      <w:pPr>
        <w:spacing w:line="360" w:lineRule="auto"/>
        <w:ind w:right="-595"/>
        <w:jc w:val="both"/>
        <w:rPr>
          <w:rFonts w:ascii="Palatino Linotype" w:eastAsia="Calibri" w:hAnsi="Palatino Linotype" w:cs="Tahoma"/>
          <w:bCs/>
          <w:sz w:val="22"/>
          <w:szCs w:val="22"/>
          <w:lang w:eastAsia="en-US"/>
        </w:rPr>
      </w:pPr>
    </w:p>
    <w:p w14:paraId="4BCD8582" w14:textId="77777777" w:rsidR="009D2117" w:rsidRPr="00F208A6" w:rsidRDefault="009D2117" w:rsidP="007706FD">
      <w:pPr>
        <w:pStyle w:val="Prrafodelista"/>
        <w:numPr>
          <w:ilvl w:val="0"/>
          <w:numId w:val="45"/>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 xml:space="preserve">Catálogo municipal de unidades económicas </w:t>
      </w:r>
    </w:p>
    <w:p w14:paraId="2687BC65" w14:textId="77777777" w:rsidR="009D2117" w:rsidRPr="00F208A6" w:rsidRDefault="009D2117" w:rsidP="007706FD">
      <w:pPr>
        <w:pStyle w:val="Prrafodelista"/>
        <w:numPr>
          <w:ilvl w:val="0"/>
          <w:numId w:val="45"/>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Catálogo municipal de unidades económicas de alto impacto</w:t>
      </w:r>
    </w:p>
    <w:p w14:paraId="4053454F" w14:textId="77777777" w:rsidR="009D2117" w:rsidRPr="00F208A6" w:rsidRDefault="009D2117" w:rsidP="007706FD">
      <w:pPr>
        <w:pStyle w:val="Prrafodelista"/>
        <w:numPr>
          <w:ilvl w:val="0"/>
          <w:numId w:val="45"/>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 xml:space="preserve">Catálogo municipal de cobro de giros específicos </w:t>
      </w:r>
    </w:p>
    <w:p w14:paraId="5596C0A3" w14:textId="77777777" w:rsidR="009D2117" w:rsidRPr="00F208A6" w:rsidRDefault="009D2117" w:rsidP="007706FD">
      <w:pPr>
        <w:pStyle w:val="Prrafodelista"/>
        <w:numPr>
          <w:ilvl w:val="0"/>
          <w:numId w:val="45"/>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 xml:space="preserve">Catálogo municipal del sistema de apertura rápida de empresas </w:t>
      </w:r>
    </w:p>
    <w:p w14:paraId="368FF597" w14:textId="77777777" w:rsidR="009D2117" w:rsidRPr="00F208A6" w:rsidRDefault="009D2117" w:rsidP="007706FD">
      <w:pPr>
        <w:spacing w:line="360" w:lineRule="auto"/>
        <w:ind w:right="-595"/>
        <w:jc w:val="both"/>
        <w:rPr>
          <w:rFonts w:ascii="Palatino Linotype" w:eastAsia="Calibri" w:hAnsi="Palatino Linotype" w:cs="Tahoma"/>
          <w:bCs/>
          <w:sz w:val="22"/>
          <w:szCs w:val="22"/>
          <w:lang w:eastAsia="en-US"/>
        </w:rPr>
      </w:pPr>
    </w:p>
    <w:p w14:paraId="6DA3B4B4" w14:textId="37DA3716" w:rsidR="00D11AA0" w:rsidRPr="00F208A6" w:rsidRDefault="00D11AA0"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Los cuales a decir del Recurrente, se encuentran publicados en la Gaceta Municipal de doce de junio de dos mil diecinueve. </w:t>
      </w:r>
    </w:p>
    <w:p w14:paraId="44D6ADD8" w14:textId="77777777" w:rsidR="00400520" w:rsidRPr="00F208A6" w:rsidRDefault="00400520" w:rsidP="007706FD">
      <w:pPr>
        <w:spacing w:line="360" w:lineRule="auto"/>
        <w:ind w:right="-595"/>
        <w:jc w:val="both"/>
        <w:rPr>
          <w:rFonts w:ascii="Palatino Linotype" w:eastAsia="Calibri" w:hAnsi="Palatino Linotype" w:cs="Tahoma"/>
          <w:bCs/>
          <w:sz w:val="22"/>
          <w:szCs w:val="22"/>
          <w:lang w:eastAsia="en-US"/>
        </w:rPr>
      </w:pPr>
    </w:p>
    <w:p w14:paraId="11031AA5" w14:textId="77777777" w:rsidR="00571E74" w:rsidRDefault="009D2117" w:rsidP="00571E74">
      <w:pPr>
        <w:spacing w:line="360" w:lineRule="auto"/>
        <w:ind w:right="-595"/>
        <w:jc w:val="both"/>
        <w:rPr>
          <w:rFonts w:ascii="Palatino Linotype" w:hAnsi="Palatino Linotype"/>
          <w:sz w:val="22"/>
        </w:rPr>
      </w:pPr>
      <w:r w:rsidRPr="00F208A6">
        <w:rPr>
          <w:rFonts w:ascii="Palatino Linotype" w:eastAsia="Calibri" w:hAnsi="Palatino Linotype" w:cs="Tahoma"/>
          <w:bCs/>
          <w:sz w:val="22"/>
          <w:szCs w:val="22"/>
          <w:lang w:eastAsia="en-US"/>
        </w:rPr>
        <w:t xml:space="preserve">Al respecto, es necesario traer a </w:t>
      </w:r>
      <w:r w:rsidR="00400520" w:rsidRPr="00F208A6">
        <w:rPr>
          <w:rFonts w:ascii="Palatino Linotype" w:eastAsia="Calibri" w:hAnsi="Palatino Linotype" w:cs="Tahoma"/>
          <w:bCs/>
          <w:sz w:val="22"/>
          <w:szCs w:val="22"/>
          <w:lang w:eastAsia="en-US"/>
        </w:rPr>
        <w:t xml:space="preserve">manera de referencia </w:t>
      </w:r>
      <w:r w:rsidRPr="00F208A6">
        <w:rPr>
          <w:rFonts w:ascii="Palatino Linotype" w:eastAsia="Calibri" w:hAnsi="Palatino Linotype" w:cs="Tahoma"/>
          <w:bCs/>
          <w:sz w:val="22"/>
          <w:szCs w:val="22"/>
          <w:lang w:eastAsia="en-US"/>
        </w:rPr>
        <w:t xml:space="preserve">el </w:t>
      </w:r>
      <w:r w:rsidR="00400520" w:rsidRPr="00F208A6">
        <w:rPr>
          <w:rFonts w:ascii="Palatino Linotype" w:eastAsia="Calibri" w:hAnsi="Palatino Linotype" w:cs="Tahoma"/>
          <w:bCs/>
          <w:sz w:val="22"/>
          <w:szCs w:val="22"/>
          <w:lang w:eastAsia="en-US"/>
        </w:rPr>
        <w:t xml:space="preserve">Manual de Procedimientos del Sistema de Apertura Rápida de Empresas (SARE) del municipio de Tecámac 2016-2018 (Consultado en la página electrónica </w:t>
      </w:r>
      <w:hyperlink r:id="rId11" w:history="1">
        <w:r w:rsidR="00400520" w:rsidRPr="00F208A6">
          <w:rPr>
            <w:rStyle w:val="Hipervnculo"/>
            <w:rFonts w:ascii="Palatino Linotype" w:eastAsiaTheme="majorEastAsia" w:hAnsi="Palatino Linotype"/>
            <w:sz w:val="22"/>
          </w:rPr>
          <w:t>https://www.ipomex.org.mx/recursos/ipo/files_ipo/2016/1/2/81887368f69f17ea822304a9abd24edd.pdf</w:t>
        </w:r>
      </w:hyperlink>
      <w:r w:rsidR="00400520" w:rsidRPr="00F208A6">
        <w:rPr>
          <w:rFonts w:ascii="Palatino Linotype" w:hAnsi="Palatino Linotype"/>
          <w:sz w:val="22"/>
        </w:rPr>
        <w:t xml:space="preserve">, el dos de octubre de dos mil diecinueve a las diecisiete horas con cuarenta minutos); el cual establece </w:t>
      </w:r>
      <w:r w:rsidR="00033892" w:rsidRPr="00F208A6">
        <w:rPr>
          <w:rFonts w:ascii="Palatino Linotype" w:hAnsi="Palatino Linotype"/>
          <w:sz w:val="22"/>
        </w:rPr>
        <w:t xml:space="preserve">el Catálogo de giros, industrial, comercial y de servicios del SARE Tecámac, mismo que se inserta a continuación: </w:t>
      </w:r>
    </w:p>
    <w:p w14:paraId="3D8E7621" w14:textId="3F21D647" w:rsidR="009D2117" w:rsidRPr="00F208A6" w:rsidRDefault="00033892" w:rsidP="00571E74">
      <w:pPr>
        <w:spacing w:line="360" w:lineRule="auto"/>
        <w:ind w:right="-595"/>
        <w:jc w:val="both"/>
        <w:rPr>
          <w:rFonts w:ascii="Palatino Linotype" w:hAnsi="Palatino Linotype"/>
          <w:sz w:val="22"/>
        </w:rPr>
      </w:pPr>
      <w:r w:rsidRPr="00F208A6">
        <w:rPr>
          <w:noProof/>
          <w:lang w:eastAsia="es-MX"/>
        </w:rPr>
        <w:lastRenderedPageBreak/>
        <w:drawing>
          <wp:inline distT="0" distB="0" distL="0" distR="0" wp14:anchorId="7D7F796C" wp14:editId="52A6EC92">
            <wp:extent cx="5113736" cy="33725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04" t="14786" r="26212" b="26384"/>
                    <a:stretch/>
                  </pic:blipFill>
                  <pic:spPr bwMode="auto">
                    <a:xfrm>
                      <a:off x="0" y="0"/>
                      <a:ext cx="5133457" cy="3385598"/>
                    </a:xfrm>
                    <a:prstGeom prst="rect">
                      <a:avLst/>
                    </a:prstGeom>
                    <a:ln>
                      <a:noFill/>
                    </a:ln>
                    <a:extLst>
                      <a:ext uri="{53640926-AAD7-44D8-BBD7-CCE9431645EC}">
                        <a14:shadowObscured xmlns:a14="http://schemas.microsoft.com/office/drawing/2010/main"/>
                      </a:ext>
                    </a:extLst>
                  </pic:spPr>
                </pic:pic>
              </a:graphicData>
            </a:graphic>
          </wp:inline>
        </w:drawing>
      </w:r>
    </w:p>
    <w:p w14:paraId="0F86ED46" w14:textId="77777777" w:rsidR="00400520" w:rsidRPr="00F208A6" w:rsidRDefault="00400520" w:rsidP="007706FD">
      <w:pPr>
        <w:spacing w:line="360" w:lineRule="auto"/>
        <w:ind w:right="-595"/>
        <w:jc w:val="both"/>
        <w:rPr>
          <w:rFonts w:ascii="Palatino Linotype" w:hAnsi="Palatino Linotype"/>
          <w:sz w:val="22"/>
        </w:rPr>
      </w:pPr>
    </w:p>
    <w:p w14:paraId="0F803376" w14:textId="4CF3CF70" w:rsidR="00373B21" w:rsidRPr="00F208A6" w:rsidRDefault="00373B21" w:rsidP="007706FD">
      <w:pPr>
        <w:spacing w:line="360" w:lineRule="auto"/>
        <w:ind w:right="-595"/>
        <w:jc w:val="both"/>
        <w:rPr>
          <w:rFonts w:ascii="Palatino Linotype" w:hAnsi="Palatino Linotype"/>
          <w:sz w:val="22"/>
        </w:rPr>
      </w:pPr>
      <w:r w:rsidRPr="00F208A6">
        <w:rPr>
          <w:rFonts w:ascii="Palatino Linotype" w:hAnsi="Palatino Linotype"/>
          <w:sz w:val="22"/>
        </w:rPr>
        <w:t xml:space="preserve">De lo anterior, se advierte que el Sujeto Obligado, genera la información que solicitada el Recurrente, toda vez que en la administración 2016-2018, se emitió el Catálogo de unidades económicas. </w:t>
      </w:r>
    </w:p>
    <w:p w14:paraId="24041DB1" w14:textId="77777777" w:rsidR="00373B21" w:rsidRPr="00F208A6" w:rsidRDefault="00373B21" w:rsidP="007706FD">
      <w:pPr>
        <w:spacing w:line="360" w:lineRule="auto"/>
        <w:ind w:right="-595"/>
        <w:jc w:val="both"/>
        <w:rPr>
          <w:rFonts w:ascii="Palatino Linotype" w:hAnsi="Palatino Linotype"/>
          <w:sz w:val="22"/>
        </w:rPr>
      </w:pPr>
    </w:p>
    <w:p w14:paraId="54C47B20" w14:textId="10B44C26" w:rsidR="00571E74" w:rsidRDefault="00033892" w:rsidP="007706FD">
      <w:pPr>
        <w:spacing w:line="360" w:lineRule="auto"/>
        <w:ind w:right="-595"/>
        <w:jc w:val="both"/>
        <w:rPr>
          <w:rFonts w:ascii="Palatino Linotype" w:hAnsi="Palatino Linotype"/>
          <w:sz w:val="22"/>
        </w:rPr>
      </w:pPr>
      <w:r w:rsidRPr="00F208A6">
        <w:rPr>
          <w:rFonts w:ascii="Palatino Linotype" w:hAnsi="Palatino Linotype"/>
          <w:sz w:val="22"/>
        </w:rPr>
        <w:t xml:space="preserve">De igual forma, este Instituto realizó una búsqueda en la página del Ayuntamiento de Tecámac, </w:t>
      </w:r>
      <w:hyperlink r:id="rId13" w:history="1">
        <w:r w:rsidRPr="00F208A6">
          <w:rPr>
            <w:rStyle w:val="Hipervnculo"/>
            <w:rFonts w:ascii="Palatino Linotype" w:eastAsiaTheme="majorEastAsia" w:hAnsi="Palatino Linotype"/>
            <w:sz w:val="22"/>
          </w:rPr>
          <w:t>http://www.tecamac.gob.mx/catalogo-municipal-2019/</w:t>
        </w:r>
      </w:hyperlink>
      <w:r w:rsidRPr="00F208A6">
        <w:rPr>
          <w:rFonts w:ascii="Palatino Linotype" w:hAnsi="Palatino Linotype"/>
          <w:sz w:val="22"/>
        </w:rPr>
        <w:t xml:space="preserve"> (Consultada el dos de octubre de la anualidad en curso a las dieciocho horas)</w:t>
      </w:r>
      <w:r w:rsidRPr="00F208A6">
        <w:t xml:space="preserve">, </w:t>
      </w:r>
      <w:r w:rsidRPr="00F208A6">
        <w:rPr>
          <w:rFonts w:ascii="Palatino Linotype" w:hAnsi="Palatino Linotype"/>
          <w:sz w:val="22"/>
        </w:rPr>
        <w:t>a efecto de advertir si los catálogos solicitados</w:t>
      </w:r>
      <w:r w:rsidR="00373B21" w:rsidRPr="00F208A6">
        <w:rPr>
          <w:rFonts w:ascii="Palatino Linotype" w:hAnsi="Palatino Linotype"/>
          <w:sz w:val="22"/>
        </w:rPr>
        <w:t>, habían sido emitidos</w:t>
      </w:r>
      <w:r w:rsidRPr="00F208A6">
        <w:rPr>
          <w:rFonts w:ascii="Palatino Linotype" w:hAnsi="Palatino Linotype"/>
          <w:sz w:val="22"/>
        </w:rPr>
        <w:t xml:space="preserve"> </w:t>
      </w:r>
      <w:r w:rsidR="00373B21" w:rsidRPr="00F208A6">
        <w:rPr>
          <w:rFonts w:ascii="Palatino Linotype" w:hAnsi="Palatino Linotype"/>
          <w:sz w:val="22"/>
        </w:rPr>
        <w:t>en la sesión de cabildo de doce de junio del año en curso</w:t>
      </w:r>
      <w:r w:rsidRPr="00F208A6">
        <w:rPr>
          <w:rFonts w:ascii="Palatino Linotype" w:hAnsi="Palatino Linotype"/>
          <w:sz w:val="22"/>
        </w:rPr>
        <w:t xml:space="preserve">, </w:t>
      </w:r>
      <w:r w:rsidR="00373B21" w:rsidRPr="00F208A6">
        <w:rPr>
          <w:rFonts w:ascii="Palatino Linotype" w:hAnsi="Palatino Linotype"/>
          <w:sz w:val="22"/>
        </w:rPr>
        <w:t xml:space="preserve">de </w:t>
      </w:r>
      <w:r w:rsidRPr="00F208A6">
        <w:rPr>
          <w:rFonts w:ascii="Palatino Linotype" w:hAnsi="Palatino Linotype"/>
          <w:sz w:val="22"/>
        </w:rPr>
        <w:t xml:space="preserve">lo cual este Órgano observó lo siguiente: </w:t>
      </w:r>
    </w:p>
    <w:p w14:paraId="6FDA1941" w14:textId="77777777" w:rsidR="00571E74" w:rsidRDefault="00571E74" w:rsidP="007706FD">
      <w:pPr>
        <w:spacing w:line="360" w:lineRule="auto"/>
        <w:ind w:right="-595"/>
        <w:jc w:val="both"/>
        <w:rPr>
          <w:rFonts w:ascii="Palatino Linotype" w:hAnsi="Palatino Linotype"/>
          <w:sz w:val="22"/>
        </w:rPr>
      </w:pPr>
    </w:p>
    <w:p w14:paraId="1D07CF72" w14:textId="77777777" w:rsidR="00571E74" w:rsidRDefault="00571E74" w:rsidP="007706FD">
      <w:pPr>
        <w:spacing w:line="360" w:lineRule="auto"/>
        <w:ind w:right="-595"/>
        <w:jc w:val="both"/>
        <w:rPr>
          <w:rFonts w:ascii="Palatino Linotype" w:hAnsi="Palatino Linotype"/>
          <w:sz w:val="22"/>
        </w:rPr>
      </w:pPr>
    </w:p>
    <w:p w14:paraId="4FAE1391" w14:textId="77777777" w:rsidR="00571E74" w:rsidRDefault="00571E74" w:rsidP="007706FD">
      <w:pPr>
        <w:spacing w:line="360" w:lineRule="auto"/>
        <w:ind w:right="-595"/>
        <w:jc w:val="both"/>
        <w:rPr>
          <w:rFonts w:ascii="Palatino Linotype" w:hAnsi="Palatino Linotype"/>
          <w:sz w:val="22"/>
        </w:rPr>
      </w:pPr>
    </w:p>
    <w:p w14:paraId="643182A2" w14:textId="77777777" w:rsidR="00571E74" w:rsidRDefault="00571E74" w:rsidP="007706FD">
      <w:pPr>
        <w:spacing w:line="360" w:lineRule="auto"/>
        <w:ind w:right="-595"/>
        <w:jc w:val="both"/>
        <w:rPr>
          <w:rFonts w:ascii="Palatino Linotype" w:hAnsi="Palatino Linotype"/>
          <w:sz w:val="22"/>
        </w:rPr>
      </w:pPr>
    </w:p>
    <w:p w14:paraId="5A6D5C56" w14:textId="77777777" w:rsidR="00571E74" w:rsidRDefault="00571E74" w:rsidP="007706FD">
      <w:pPr>
        <w:spacing w:line="360" w:lineRule="auto"/>
        <w:ind w:right="-595"/>
        <w:jc w:val="both"/>
        <w:rPr>
          <w:rFonts w:ascii="Palatino Linotype" w:hAnsi="Palatino Linotype"/>
          <w:sz w:val="22"/>
        </w:rPr>
      </w:pPr>
    </w:p>
    <w:p w14:paraId="307C4721" w14:textId="77777777" w:rsidR="00571E74" w:rsidRDefault="00571E74" w:rsidP="007706FD">
      <w:pPr>
        <w:spacing w:line="360" w:lineRule="auto"/>
        <w:ind w:right="-595"/>
        <w:jc w:val="both"/>
        <w:rPr>
          <w:rFonts w:ascii="Palatino Linotype" w:hAnsi="Palatino Linotype"/>
          <w:sz w:val="22"/>
        </w:rPr>
      </w:pPr>
    </w:p>
    <w:p w14:paraId="2AC18871" w14:textId="77777777" w:rsidR="00571E74" w:rsidRDefault="00571E74" w:rsidP="007706FD">
      <w:pPr>
        <w:spacing w:line="360" w:lineRule="auto"/>
        <w:ind w:right="-595"/>
        <w:jc w:val="both"/>
        <w:rPr>
          <w:rFonts w:ascii="Palatino Linotype" w:hAnsi="Palatino Linotype"/>
          <w:sz w:val="22"/>
        </w:rPr>
      </w:pPr>
    </w:p>
    <w:p w14:paraId="5D9C2D84" w14:textId="77777777" w:rsidR="00571E74" w:rsidRPr="00F208A6" w:rsidRDefault="00571E74" w:rsidP="007706FD">
      <w:pPr>
        <w:spacing w:line="360" w:lineRule="auto"/>
        <w:ind w:right="-595"/>
        <w:jc w:val="both"/>
        <w:rPr>
          <w:rFonts w:ascii="Palatino Linotype" w:hAnsi="Palatino Linotype"/>
          <w:sz w:val="22"/>
        </w:rPr>
      </w:pPr>
    </w:p>
    <w:p w14:paraId="46C7B494" w14:textId="21E469F7" w:rsidR="00373B21" w:rsidRPr="00F208A6" w:rsidRDefault="00373B21" w:rsidP="007706FD">
      <w:pPr>
        <w:spacing w:line="360" w:lineRule="auto"/>
        <w:ind w:right="-595"/>
        <w:jc w:val="center"/>
        <w:rPr>
          <w:rFonts w:ascii="Palatino Linotype" w:hAnsi="Palatino Linotype"/>
          <w:sz w:val="22"/>
        </w:rPr>
      </w:pPr>
      <w:r w:rsidRPr="00F208A6">
        <w:rPr>
          <w:noProof/>
          <w:lang w:eastAsia="es-MX"/>
        </w:rPr>
        <w:drawing>
          <wp:inline distT="0" distB="0" distL="0" distR="0" wp14:anchorId="52C1F4A2" wp14:editId="2C45DCF6">
            <wp:extent cx="5331763" cy="1662546"/>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27" t="6607" r="26389" b="74832"/>
                    <a:stretch/>
                  </pic:blipFill>
                  <pic:spPr bwMode="auto">
                    <a:xfrm>
                      <a:off x="0" y="0"/>
                      <a:ext cx="5359935" cy="1671331"/>
                    </a:xfrm>
                    <a:prstGeom prst="rect">
                      <a:avLst/>
                    </a:prstGeom>
                    <a:ln>
                      <a:noFill/>
                    </a:ln>
                    <a:extLst>
                      <a:ext uri="{53640926-AAD7-44D8-BBD7-CCE9431645EC}">
                        <a14:shadowObscured xmlns:a14="http://schemas.microsoft.com/office/drawing/2010/main"/>
                      </a:ext>
                    </a:extLst>
                  </pic:spPr>
                </pic:pic>
              </a:graphicData>
            </a:graphic>
          </wp:inline>
        </w:drawing>
      </w:r>
    </w:p>
    <w:p w14:paraId="0F9A1B7C" w14:textId="77777777" w:rsidR="00A4730E" w:rsidRPr="00F208A6" w:rsidRDefault="00A4730E" w:rsidP="007706FD">
      <w:pPr>
        <w:spacing w:line="360" w:lineRule="auto"/>
        <w:ind w:right="-595"/>
        <w:jc w:val="center"/>
        <w:rPr>
          <w:rFonts w:ascii="Palatino Linotype" w:hAnsi="Palatino Linotype"/>
          <w:sz w:val="22"/>
        </w:rPr>
      </w:pPr>
    </w:p>
    <w:p w14:paraId="4B345F9F" w14:textId="45F92A3A" w:rsidR="00373B21" w:rsidRPr="00F208A6" w:rsidRDefault="00373B21" w:rsidP="007706FD">
      <w:pPr>
        <w:spacing w:line="360" w:lineRule="auto"/>
        <w:ind w:right="-595"/>
        <w:jc w:val="center"/>
        <w:rPr>
          <w:rFonts w:ascii="Palatino Linotype" w:hAnsi="Palatino Linotype"/>
          <w:sz w:val="22"/>
        </w:rPr>
      </w:pPr>
      <w:r w:rsidRPr="00F208A6">
        <w:rPr>
          <w:noProof/>
          <w:lang w:eastAsia="es-MX"/>
        </w:rPr>
        <w:drawing>
          <wp:inline distT="0" distB="0" distL="0" distR="0" wp14:anchorId="02D5BA55" wp14:editId="4C162849">
            <wp:extent cx="5457825" cy="2755076"/>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118" t="49392" r="23205" b="26384"/>
                    <a:stretch/>
                  </pic:blipFill>
                  <pic:spPr bwMode="auto">
                    <a:xfrm>
                      <a:off x="0" y="0"/>
                      <a:ext cx="5483259" cy="2767915"/>
                    </a:xfrm>
                    <a:prstGeom prst="rect">
                      <a:avLst/>
                    </a:prstGeom>
                    <a:ln>
                      <a:noFill/>
                    </a:ln>
                    <a:extLst>
                      <a:ext uri="{53640926-AAD7-44D8-BBD7-CCE9431645EC}">
                        <a14:shadowObscured xmlns:a14="http://schemas.microsoft.com/office/drawing/2010/main"/>
                      </a:ext>
                    </a:extLst>
                  </pic:spPr>
                </pic:pic>
              </a:graphicData>
            </a:graphic>
          </wp:inline>
        </w:drawing>
      </w:r>
    </w:p>
    <w:p w14:paraId="3A286082" w14:textId="0C7222EE" w:rsidR="009D2117" w:rsidRPr="00F208A6" w:rsidRDefault="00D11AA0" w:rsidP="007706FD">
      <w:pPr>
        <w:spacing w:line="360" w:lineRule="auto"/>
        <w:ind w:right="-595"/>
        <w:jc w:val="center"/>
      </w:pPr>
      <w:r w:rsidRPr="00F208A6">
        <w:rPr>
          <w:noProof/>
          <w:lang w:eastAsia="es-MX"/>
        </w:rPr>
        <w:lastRenderedPageBreak/>
        <mc:AlternateContent>
          <mc:Choice Requires="wps">
            <w:drawing>
              <wp:anchor distT="0" distB="0" distL="114300" distR="114300" simplePos="0" relativeHeight="251667456" behindDoc="0" locked="0" layoutInCell="1" allowOverlap="1" wp14:anchorId="11B2BEAF" wp14:editId="3A804324">
                <wp:simplePos x="0" y="0"/>
                <wp:positionH relativeFrom="column">
                  <wp:posOffset>706120</wp:posOffset>
                </wp:positionH>
                <wp:positionV relativeFrom="paragraph">
                  <wp:posOffset>812799</wp:posOffset>
                </wp:positionV>
                <wp:extent cx="4410075" cy="11906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4410075" cy="1190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9FFEAF" id="Rectángulo 3" o:spid="_x0000_s1026" style="position:absolute;margin-left:55.6pt;margin-top:64pt;width:347.25pt;height:9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oogIAAJI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" filled="f" strokecolor="red" strokeweight="3pt"/>
            </w:pict>
          </mc:Fallback>
        </mc:AlternateContent>
      </w:r>
      <w:r w:rsidRPr="00F208A6">
        <w:rPr>
          <w:noProof/>
          <w:lang w:eastAsia="es-MX"/>
        </w:rPr>
        <mc:AlternateContent>
          <mc:Choice Requires="wps">
            <w:drawing>
              <wp:anchor distT="0" distB="0" distL="114300" distR="114300" simplePos="0" relativeHeight="251665408" behindDoc="0" locked="0" layoutInCell="1" allowOverlap="1" wp14:anchorId="1047BA6C" wp14:editId="64680EDB">
                <wp:simplePos x="0" y="0"/>
                <wp:positionH relativeFrom="column">
                  <wp:posOffset>3477894</wp:posOffset>
                </wp:positionH>
                <wp:positionV relativeFrom="paragraph">
                  <wp:posOffset>3432175</wp:posOffset>
                </wp:positionV>
                <wp:extent cx="1571625" cy="1000125"/>
                <wp:effectExtent l="19050" t="19050" r="28575" b="28575"/>
                <wp:wrapNone/>
                <wp:docPr id="2" name="Rectángulo 2"/>
                <wp:cNvGraphicFramePr/>
                <a:graphic xmlns:a="http://schemas.openxmlformats.org/drawingml/2006/main">
                  <a:graphicData uri="http://schemas.microsoft.com/office/word/2010/wordprocessingShape">
                    <wps:wsp>
                      <wps:cNvSpPr/>
                      <wps:spPr>
                        <a:xfrm>
                          <a:off x="0" y="0"/>
                          <a:ext cx="1571625" cy="1000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ECDFDC" id="Rectángulo 2" o:spid="_x0000_s1026" style="position:absolute;margin-left:273.85pt;margin-top:270.25pt;width:123.7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" filled="f" strokecolor="red" strokeweight="3pt"/>
            </w:pict>
          </mc:Fallback>
        </mc:AlternateContent>
      </w:r>
      <w:r w:rsidRPr="00F208A6">
        <w:rPr>
          <w:noProof/>
          <w:lang w:eastAsia="es-MX"/>
        </w:rPr>
        <w:drawing>
          <wp:inline distT="0" distB="0" distL="0" distR="0" wp14:anchorId="77CEDEC1" wp14:editId="032E9240">
            <wp:extent cx="4605655" cy="6080373"/>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74" t="10067" r="32405" b="5621"/>
                    <a:stretch/>
                  </pic:blipFill>
                  <pic:spPr bwMode="auto">
                    <a:xfrm>
                      <a:off x="0" y="0"/>
                      <a:ext cx="4638467" cy="6123692"/>
                    </a:xfrm>
                    <a:prstGeom prst="rect">
                      <a:avLst/>
                    </a:prstGeom>
                    <a:ln>
                      <a:noFill/>
                    </a:ln>
                    <a:extLst>
                      <a:ext uri="{53640926-AAD7-44D8-BBD7-CCE9431645EC}">
                        <a14:shadowObscured xmlns:a14="http://schemas.microsoft.com/office/drawing/2010/main"/>
                      </a:ext>
                    </a:extLst>
                  </pic:spPr>
                </pic:pic>
              </a:graphicData>
            </a:graphic>
          </wp:inline>
        </w:drawing>
      </w:r>
    </w:p>
    <w:p w14:paraId="2CAD6237" w14:textId="77777777" w:rsidR="00A4730E" w:rsidRPr="00F208A6" w:rsidRDefault="00A4730E" w:rsidP="007706FD">
      <w:pPr>
        <w:spacing w:line="360" w:lineRule="auto"/>
        <w:ind w:right="-595"/>
        <w:jc w:val="center"/>
      </w:pPr>
    </w:p>
    <w:p w14:paraId="129D9DF8" w14:textId="6A108787" w:rsidR="00A4730E" w:rsidRPr="00F208A6" w:rsidRDefault="00A4730E" w:rsidP="007706FD">
      <w:pPr>
        <w:spacing w:line="360" w:lineRule="auto"/>
        <w:ind w:right="-595"/>
        <w:jc w:val="both"/>
        <w:rPr>
          <w:rFonts w:ascii="Palatino Linotype" w:hAnsi="Palatino Linotype"/>
          <w:sz w:val="22"/>
        </w:rPr>
      </w:pPr>
      <w:r w:rsidRPr="00F208A6">
        <w:rPr>
          <w:rFonts w:ascii="Palatino Linotype" w:hAnsi="Palatino Linotype"/>
          <w:sz w:val="22"/>
        </w:rPr>
        <w:t xml:space="preserve">Derivado de lo anterior, se advierte que tal y como lo manifiesta el Recurrente, el Ayuntamiento de Tecámac en la vigésima tercera sesión ordinaria de cabildo de fecha doce de junio de dos mil diecinueve, llevó a cabo el empadronamiento de unidades económicas. </w:t>
      </w:r>
    </w:p>
    <w:p w14:paraId="329A71E7" w14:textId="77777777" w:rsidR="00A4730E" w:rsidRPr="00F208A6" w:rsidRDefault="00A4730E" w:rsidP="007706FD">
      <w:pPr>
        <w:spacing w:line="360" w:lineRule="auto"/>
        <w:ind w:right="-595"/>
        <w:jc w:val="both"/>
        <w:rPr>
          <w:rFonts w:ascii="Palatino Linotype" w:hAnsi="Palatino Linotype"/>
          <w:sz w:val="22"/>
        </w:rPr>
      </w:pPr>
    </w:p>
    <w:p w14:paraId="4E1764FB" w14:textId="77777777" w:rsidR="00A4730E" w:rsidRPr="00F208A6" w:rsidRDefault="00A4730E" w:rsidP="007706FD">
      <w:pPr>
        <w:tabs>
          <w:tab w:val="left" w:pos="4962"/>
        </w:tabs>
        <w:spacing w:line="360" w:lineRule="auto"/>
        <w:ind w:right="-595"/>
        <w:jc w:val="both"/>
        <w:rPr>
          <w:rFonts w:ascii="Palatino Linotype" w:eastAsia="Calibri" w:hAnsi="Palatino Linotype" w:cs="Tahoma"/>
          <w:iCs/>
          <w:sz w:val="22"/>
          <w:szCs w:val="22"/>
          <w:lang w:eastAsia="es-ES_tradnl"/>
        </w:rPr>
      </w:pPr>
      <w:r w:rsidRPr="00F208A6">
        <w:rPr>
          <w:rFonts w:ascii="Palatino Linotype" w:hAnsi="Palatino Linotype"/>
          <w:sz w:val="22"/>
        </w:rPr>
        <w:lastRenderedPageBreak/>
        <w:t xml:space="preserve">Aunado a lo anterior, </w:t>
      </w:r>
      <w:r w:rsidRPr="00F208A6">
        <w:rPr>
          <w:rFonts w:ascii="Palatino Linotype" w:eastAsia="Calibri" w:hAnsi="Palatino Linotype" w:cs="Tahoma"/>
          <w:iCs/>
          <w:sz w:val="22"/>
          <w:szCs w:val="22"/>
          <w:lang w:eastAsia="es-ES_tradnl"/>
        </w:rPr>
        <w:t xml:space="preserve">de la respuesta proporcionada por el Sujeto Obligado, se evidencia que dicho ente acepta de forma tácita que cuenta con la información que solicita el Particular; toda vez que refirió que ponía a disposición del Solicitante el Acta de Cabildo en la cual se encontraba la información requerida, en las oficinas de la Secretaría del Ayuntamiento, así como en la liga electrónica que se analizó en párrafos precedentes. </w:t>
      </w:r>
    </w:p>
    <w:p w14:paraId="172C335E" w14:textId="4E24FAE4" w:rsidR="00A4730E" w:rsidRPr="00F208A6" w:rsidRDefault="00A4730E" w:rsidP="007706FD">
      <w:pPr>
        <w:spacing w:line="360" w:lineRule="auto"/>
        <w:ind w:right="-595"/>
        <w:jc w:val="both"/>
        <w:rPr>
          <w:rFonts w:ascii="Palatino Linotype" w:hAnsi="Palatino Linotype"/>
          <w:sz w:val="22"/>
        </w:rPr>
      </w:pPr>
    </w:p>
    <w:p w14:paraId="50A9D43A" w14:textId="465F7131" w:rsidR="00D42A0C" w:rsidRPr="00F208A6" w:rsidRDefault="00D42A0C"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Establecido lo anterior, se analiza</w:t>
      </w:r>
      <w:r w:rsidR="00CB48A3" w:rsidRPr="00F208A6">
        <w:rPr>
          <w:rFonts w:ascii="Palatino Linotype" w:eastAsia="Calibri" w:hAnsi="Palatino Linotype" w:cs="Tahoma"/>
          <w:bCs/>
          <w:sz w:val="22"/>
          <w:szCs w:val="22"/>
          <w:lang w:eastAsia="en-US"/>
        </w:rPr>
        <w:t>n</w:t>
      </w:r>
      <w:r w:rsidRPr="00F208A6">
        <w:rPr>
          <w:rFonts w:ascii="Palatino Linotype" w:eastAsia="Calibri" w:hAnsi="Palatino Linotype" w:cs="Tahoma"/>
          <w:bCs/>
          <w:sz w:val="22"/>
          <w:szCs w:val="22"/>
          <w:lang w:eastAsia="en-US"/>
        </w:rPr>
        <w:t xml:space="preserve"> la</w:t>
      </w:r>
      <w:r w:rsidR="00CB48A3" w:rsidRPr="00F208A6">
        <w:rPr>
          <w:rFonts w:ascii="Palatino Linotype" w:eastAsia="Calibri" w:hAnsi="Palatino Linotype" w:cs="Tahoma"/>
          <w:bCs/>
          <w:sz w:val="22"/>
          <w:szCs w:val="22"/>
          <w:lang w:eastAsia="en-US"/>
        </w:rPr>
        <w:t xml:space="preserve">s demás manifestaciones realizadas por el </w:t>
      </w:r>
      <w:r w:rsidRPr="00F208A6">
        <w:rPr>
          <w:rFonts w:ascii="Palatino Linotype" w:eastAsia="Calibri" w:hAnsi="Palatino Linotype" w:cs="Tahoma"/>
          <w:bCs/>
          <w:sz w:val="22"/>
          <w:szCs w:val="22"/>
          <w:lang w:eastAsia="en-US"/>
        </w:rPr>
        <w:t xml:space="preserve"> </w:t>
      </w:r>
      <w:r w:rsidR="00CB48A3" w:rsidRPr="00F208A6">
        <w:rPr>
          <w:rFonts w:ascii="Palatino Linotype" w:eastAsia="Calibri" w:hAnsi="Palatino Linotype" w:cs="Tahoma"/>
          <w:bCs/>
          <w:sz w:val="22"/>
          <w:szCs w:val="22"/>
          <w:lang w:eastAsia="en-US"/>
        </w:rPr>
        <w:t xml:space="preserve">Ayuntamiento de Tecámac dentro de la </w:t>
      </w:r>
      <w:r w:rsidRPr="00F208A6">
        <w:rPr>
          <w:rFonts w:ascii="Palatino Linotype" w:eastAsia="Calibri" w:hAnsi="Palatino Linotype" w:cs="Tahoma"/>
          <w:bCs/>
          <w:sz w:val="22"/>
          <w:szCs w:val="22"/>
          <w:lang w:eastAsia="en-US"/>
        </w:rPr>
        <w:t>respuesta otor</w:t>
      </w:r>
      <w:r w:rsidR="00CB48A3" w:rsidRPr="00F208A6">
        <w:rPr>
          <w:rFonts w:ascii="Palatino Linotype" w:eastAsia="Calibri" w:hAnsi="Palatino Linotype" w:cs="Tahoma"/>
          <w:bCs/>
          <w:sz w:val="22"/>
          <w:szCs w:val="22"/>
          <w:lang w:eastAsia="en-US"/>
        </w:rPr>
        <w:t xml:space="preserve">gada, </w:t>
      </w:r>
      <w:r w:rsidRPr="00F208A6">
        <w:rPr>
          <w:rFonts w:ascii="Palatino Linotype" w:eastAsia="Calibri" w:hAnsi="Palatino Linotype" w:cs="Tahoma"/>
          <w:bCs/>
          <w:sz w:val="22"/>
          <w:szCs w:val="22"/>
          <w:lang w:eastAsia="en-US"/>
        </w:rPr>
        <w:t>consistente</w:t>
      </w:r>
      <w:r w:rsidR="00CB48A3" w:rsidRPr="00F208A6">
        <w:rPr>
          <w:rFonts w:ascii="Palatino Linotype" w:eastAsia="Calibri" w:hAnsi="Palatino Linotype" w:cs="Tahoma"/>
          <w:bCs/>
          <w:sz w:val="22"/>
          <w:szCs w:val="22"/>
          <w:lang w:eastAsia="en-US"/>
        </w:rPr>
        <w:t>s</w:t>
      </w:r>
      <w:r w:rsidRPr="00F208A6">
        <w:rPr>
          <w:rFonts w:ascii="Palatino Linotype" w:eastAsia="Calibri" w:hAnsi="Palatino Linotype" w:cs="Tahoma"/>
          <w:bCs/>
          <w:sz w:val="22"/>
          <w:szCs w:val="22"/>
          <w:lang w:eastAsia="en-US"/>
        </w:rPr>
        <w:t xml:space="preserve"> en poner a disposición del Recurrente de manera física en las oficinas que ocupa la Secretaría del Ayuntamiento </w:t>
      </w:r>
      <w:r w:rsidR="00CB48A3" w:rsidRPr="00F208A6">
        <w:rPr>
          <w:rFonts w:ascii="Palatino Linotype" w:eastAsia="Calibri" w:hAnsi="Palatino Linotype" w:cs="Tahoma"/>
          <w:bCs/>
          <w:sz w:val="22"/>
          <w:szCs w:val="22"/>
          <w:lang w:eastAsia="en-US"/>
        </w:rPr>
        <w:t>la informaci</w:t>
      </w:r>
      <w:r w:rsidR="008A7A18" w:rsidRPr="00F208A6">
        <w:rPr>
          <w:rFonts w:ascii="Palatino Linotype" w:eastAsia="Calibri" w:hAnsi="Palatino Linotype" w:cs="Tahoma"/>
          <w:bCs/>
          <w:sz w:val="22"/>
          <w:szCs w:val="22"/>
          <w:lang w:eastAsia="en-US"/>
        </w:rPr>
        <w:t xml:space="preserve">ón requerida, toda vez que a su decir, no contaba con las capacidades técnicas y humanas para el procesamiento de lo solicitado.  </w:t>
      </w:r>
    </w:p>
    <w:p w14:paraId="2A836957"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p>
    <w:p w14:paraId="4848EAEB" w14:textId="77777777" w:rsidR="00CB48A3" w:rsidRPr="00F208A6" w:rsidRDefault="00CB48A3" w:rsidP="007706FD">
      <w:pPr>
        <w:spacing w:line="360" w:lineRule="auto"/>
        <w:ind w:right="-595"/>
        <w:jc w:val="both"/>
        <w:rPr>
          <w:rFonts w:ascii="Palatino Linotype" w:eastAsia="Calibri" w:hAnsi="Palatino Linotype" w:cs="Tahoma"/>
          <w:bCs/>
          <w:i/>
          <w:sz w:val="22"/>
          <w:szCs w:val="22"/>
          <w:lang w:eastAsia="en-US"/>
        </w:rPr>
      </w:pPr>
      <w:r w:rsidRPr="00F208A6">
        <w:rPr>
          <w:rFonts w:ascii="Palatino Linotype" w:eastAsia="Calibri" w:hAnsi="Palatino Linotype" w:cs="Tahoma"/>
          <w:bCs/>
          <w:sz w:val="22"/>
          <w:szCs w:val="22"/>
          <w:lang w:eastAsia="en-US"/>
        </w:rPr>
        <w:t xml:space="preserve">Así las cosas, se logra desprender que el Sujeto Obligado manifestó el cambio de modalidad elegida por la parte recurrente para proporcionar la información, a saber, Sistema de Acceso a la Información Mexiquense (SAIMEX); sin embargo, dicha decisión no fue justificada ni acreditada, ya sea a través de indicar el número de hojas que corresponde a la información o su peso en </w:t>
      </w:r>
      <w:r w:rsidRPr="00F208A6">
        <w:rPr>
          <w:rFonts w:ascii="Palatino Linotype" w:eastAsia="Calibri" w:hAnsi="Palatino Linotype" w:cs="Tahoma"/>
          <w:bCs/>
          <w:i/>
          <w:sz w:val="22"/>
          <w:szCs w:val="22"/>
          <w:lang w:eastAsia="en-US"/>
        </w:rPr>
        <w:t>GB.</w:t>
      </w:r>
    </w:p>
    <w:p w14:paraId="30691DED" w14:textId="77777777" w:rsidR="00CB48A3" w:rsidRPr="00F208A6" w:rsidRDefault="00CB48A3" w:rsidP="007706FD">
      <w:pPr>
        <w:tabs>
          <w:tab w:val="left" w:pos="4962"/>
        </w:tabs>
        <w:spacing w:line="360" w:lineRule="auto"/>
        <w:jc w:val="both"/>
        <w:rPr>
          <w:rFonts w:ascii="Palatino Linotype" w:eastAsia="Calibri" w:hAnsi="Palatino Linotype" w:cs="Tahoma"/>
          <w:iCs/>
          <w:sz w:val="22"/>
          <w:szCs w:val="22"/>
          <w:lang w:eastAsia="es-ES_tradnl"/>
        </w:rPr>
      </w:pPr>
    </w:p>
    <w:p w14:paraId="4BADDDCC"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Al respecto, el artículo 155, fracción V, de la Ley de Transparencia y Acceso a la Información Pública del Estado de México y Municipios, precisa que para presentar una solicitud, el Particular podrá señalar </w:t>
      </w:r>
      <w:r w:rsidRPr="00F208A6">
        <w:rPr>
          <w:rFonts w:ascii="Palatino Linotype" w:eastAsia="Calibri" w:hAnsi="Palatino Linotype" w:cs="Tahoma"/>
          <w:b/>
          <w:bCs/>
          <w:sz w:val="22"/>
          <w:szCs w:val="22"/>
          <w:lang w:eastAsia="en-US"/>
        </w:rPr>
        <w:t>la modalidad en la que prefiere se otorgue el acceso a la información</w:t>
      </w:r>
      <w:r w:rsidRPr="00F208A6">
        <w:rPr>
          <w:rFonts w:ascii="Palatino Linotype" w:eastAsia="Calibri" w:hAnsi="Palatino Linotype"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14:paraId="6822A6A3"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p>
    <w:p w14:paraId="145F98A7" w14:textId="77777777" w:rsidR="00CB48A3" w:rsidRPr="00F208A6" w:rsidRDefault="00CB48A3" w:rsidP="007706FD">
      <w:pPr>
        <w:spacing w:line="360" w:lineRule="auto"/>
        <w:ind w:right="-595"/>
        <w:jc w:val="both"/>
        <w:rPr>
          <w:rFonts w:ascii="Palatino Linotype" w:eastAsia="Calibri" w:hAnsi="Palatino Linotype" w:cs="Tahoma"/>
          <w:b/>
          <w:bCs/>
          <w:sz w:val="22"/>
          <w:szCs w:val="22"/>
          <w:lang w:eastAsia="en-US"/>
        </w:rPr>
      </w:pPr>
      <w:r w:rsidRPr="00F208A6">
        <w:rPr>
          <w:rFonts w:ascii="Palatino Linotype" w:eastAsia="Calibri" w:hAnsi="Palatino Linotype" w:cs="Tahoma"/>
          <w:bCs/>
          <w:sz w:val="22"/>
          <w:szCs w:val="22"/>
          <w:lang w:eastAsia="en-US"/>
        </w:rPr>
        <w:t xml:space="preserve">El artículo 158, dispone que de manera excepcional, cuando de manera fundada y motivada lo determine el Sujeto Obligado, </w:t>
      </w:r>
      <w:r w:rsidRPr="00F208A6">
        <w:rPr>
          <w:rFonts w:ascii="Palatino Linotype" w:eastAsia="Calibri" w:hAnsi="Palatino Linotype" w:cs="Tahoma"/>
          <w:b/>
          <w:bCs/>
          <w:sz w:val="22"/>
          <w:szCs w:val="22"/>
          <w:lang w:eastAsia="en-US"/>
        </w:rPr>
        <w:t xml:space="preserve">en los casos en que la entrega de la información que se </w:t>
      </w:r>
      <w:r w:rsidRPr="00F208A6">
        <w:rPr>
          <w:rFonts w:ascii="Palatino Linotype" w:eastAsia="Calibri" w:hAnsi="Palatino Linotype" w:cs="Tahoma"/>
          <w:b/>
          <w:bCs/>
          <w:sz w:val="22"/>
          <w:szCs w:val="22"/>
          <w:lang w:eastAsia="en-US"/>
        </w:rPr>
        <w:lastRenderedPageBreak/>
        <w:t>encuentre a su disposición, sobre pase las capacidades técnicas del Sujeto Obligado para cumplir con la solicitud, se podrá poner a disposición del solicitante la información en consulta directa.</w:t>
      </w:r>
    </w:p>
    <w:p w14:paraId="3270058D"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 </w:t>
      </w:r>
    </w:p>
    <w:p w14:paraId="0E91C59F"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En ese orden de ideas, el artículo 164 de dicho ordenamiento jurídico, prevé que el acceso se dará en la modalidad de entrega y, en su caso, de envío elegidos por al solicitante. </w:t>
      </w:r>
      <w:r w:rsidRPr="00F208A6">
        <w:rPr>
          <w:rFonts w:ascii="Palatino Linotype" w:eastAsia="Calibri" w:hAnsi="Palatino Linotype" w:cs="Tahoma"/>
          <w:b/>
          <w:bCs/>
          <w:sz w:val="22"/>
          <w:szCs w:val="22"/>
          <w:lang w:eastAsia="en-US"/>
        </w:rPr>
        <w:t>Cuando la información no pueda entregarse o enviarse en la modalidad elegida, el sujeto obligado deberá ofrecer otra u otras modalidades de entrega.</w:t>
      </w:r>
      <w:r w:rsidRPr="00F208A6">
        <w:rPr>
          <w:rFonts w:ascii="Palatino Linotype" w:eastAsia="Calibri" w:hAnsi="Palatino Linotype" w:cs="Tahoma"/>
          <w:bCs/>
          <w:sz w:val="22"/>
          <w:szCs w:val="22"/>
          <w:lang w:eastAsia="en-US"/>
        </w:rPr>
        <w:t xml:space="preserve"> En cualquier caso, </w:t>
      </w:r>
      <w:r w:rsidRPr="00F208A6">
        <w:rPr>
          <w:rFonts w:ascii="Palatino Linotype" w:eastAsia="Calibri" w:hAnsi="Palatino Linotype" w:cs="Tahoma"/>
          <w:b/>
          <w:bCs/>
          <w:sz w:val="22"/>
          <w:szCs w:val="22"/>
          <w:lang w:eastAsia="en-US"/>
        </w:rPr>
        <w:t>se deberá fundar y motivar</w:t>
      </w:r>
      <w:r w:rsidRPr="00F208A6">
        <w:rPr>
          <w:rFonts w:ascii="Palatino Linotype" w:eastAsia="Calibri" w:hAnsi="Palatino Linotype" w:cs="Tahoma"/>
          <w:bCs/>
          <w:sz w:val="22"/>
          <w:szCs w:val="22"/>
          <w:lang w:eastAsia="en-US"/>
        </w:rPr>
        <w:t xml:space="preserve"> la necesidad de ofrecer otras modalidades.</w:t>
      </w:r>
    </w:p>
    <w:p w14:paraId="09571E9C"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p>
    <w:p w14:paraId="6E3E02D6"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Para ello, el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F208A6">
        <w:rPr>
          <w:rFonts w:ascii="Palatino Linotype" w:eastAsia="Calibri" w:hAnsi="Palatino Linotype" w:cs="Tahoma"/>
          <w:b/>
          <w:bCs/>
          <w:sz w:val="22"/>
          <w:szCs w:val="22"/>
          <w:lang w:eastAsia="en-US"/>
        </w:rPr>
        <w:t>en la medida de lo posible, en la forma solicitada por el interesado, salvo que exista un impedimento justificado para atenderla</w:t>
      </w:r>
      <w:r w:rsidRPr="00F208A6">
        <w:rPr>
          <w:rFonts w:ascii="Palatino Linotype" w:eastAsia="Calibri" w:hAnsi="Palatino Linotype" w:cs="Tahoma"/>
          <w:bCs/>
          <w:sz w:val="22"/>
          <w:szCs w:val="22"/>
          <w:lang w:eastAsia="en-US"/>
        </w:rPr>
        <w:t xml:space="preserve">, </w:t>
      </w:r>
      <w:r w:rsidRPr="00F208A6">
        <w:rPr>
          <w:rFonts w:ascii="Palatino Linotype" w:eastAsia="Calibri" w:hAnsi="Palatino Linotype" w:cs="Tahoma"/>
          <w:b/>
          <w:bCs/>
          <w:sz w:val="22"/>
          <w:szCs w:val="22"/>
          <w:u w:val="single"/>
          <w:lang w:eastAsia="en-US"/>
        </w:rPr>
        <w:t>en cuyo caso, deberán exponerse las razones por las cuales no es posible utilizar el medio de reproducción solicitado;</w:t>
      </w:r>
      <w:r w:rsidRPr="00F208A6">
        <w:rPr>
          <w:rFonts w:ascii="Palatino Linotype" w:eastAsia="Calibri" w:hAnsi="Palatino Linotype" w:cs="Tahoma"/>
          <w:bCs/>
          <w:sz w:val="22"/>
          <w:szCs w:val="22"/>
          <w:lang w:eastAsia="en-US"/>
        </w:rPr>
        <w:t xml:space="preserve"> en este sentido, la entrega de la información en una modalidad distinta a la elegida por la particular </w:t>
      </w:r>
      <w:r w:rsidRPr="00F208A6">
        <w:rPr>
          <w:rFonts w:ascii="Palatino Linotype" w:eastAsia="Calibri" w:hAnsi="Palatino Linotype" w:cs="Tahoma"/>
          <w:b/>
          <w:bCs/>
          <w:sz w:val="22"/>
          <w:szCs w:val="22"/>
          <w:lang w:eastAsia="en-US"/>
        </w:rPr>
        <w:t>sólo procede, en caso de que se acredite la imposibilidad de atenderla.</w:t>
      </w:r>
      <w:r w:rsidRPr="00F208A6">
        <w:rPr>
          <w:rFonts w:ascii="Palatino Linotype" w:eastAsia="Calibri" w:hAnsi="Palatino Linotype" w:cs="Tahoma"/>
          <w:bCs/>
          <w:sz w:val="22"/>
          <w:szCs w:val="22"/>
          <w:lang w:eastAsia="en-US"/>
        </w:rPr>
        <w:t xml:space="preserve"> </w:t>
      </w:r>
    </w:p>
    <w:p w14:paraId="5BFFC679"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p>
    <w:p w14:paraId="7E6DFE2C"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Así, cuando se justifique el impedimento, </w:t>
      </w:r>
      <w:r w:rsidRPr="00F208A6">
        <w:rPr>
          <w:rFonts w:ascii="Palatino Linotype" w:eastAsia="Calibri" w:hAnsi="Palatino Linotype" w:cs="Tahoma"/>
          <w:b/>
          <w:bCs/>
          <w:sz w:val="22"/>
          <w:szCs w:val="22"/>
          <w:lang w:eastAsia="en-US"/>
        </w:rPr>
        <w:t>los Sujetos Obligados deberán ofrecer al particular otras modalidades de entrega que permita la información</w:t>
      </w:r>
      <w:r w:rsidRPr="00F208A6">
        <w:rPr>
          <w:rFonts w:ascii="Palatino Linotype" w:eastAsia="Calibri" w:hAnsi="Palatino Linotype" w:cs="Tahoma"/>
          <w:bCs/>
          <w:sz w:val="22"/>
          <w:szCs w:val="22"/>
          <w:lang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5CBCE59A" w14:textId="77777777" w:rsidR="00CB48A3" w:rsidRPr="00F208A6" w:rsidRDefault="00CB48A3" w:rsidP="007706FD">
      <w:pPr>
        <w:spacing w:line="360" w:lineRule="auto"/>
        <w:jc w:val="both"/>
        <w:rPr>
          <w:rFonts w:ascii="Palatino Linotype" w:eastAsia="Calibri" w:hAnsi="Palatino Linotype" w:cs="Tahoma"/>
          <w:bCs/>
          <w:lang w:eastAsia="en-US"/>
        </w:rPr>
      </w:pPr>
    </w:p>
    <w:p w14:paraId="55C13C74" w14:textId="77777777" w:rsidR="00CB48A3" w:rsidRPr="00F208A6" w:rsidRDefault="00CB48A3" w:rsidP="007706FD">
      <w:pPr>
        <w:spacing w:line="360" w:lineRule="auto"/>
        <w:ind w:left="567" w:right="567"/>
        <w:jc w:val="both"/>
        <w:rPr>
          <w:rFonts w:ascii="Palatino Linotype" w:eastAsia="Calibri" w:hAnsi="Palatino Linotype" w:cs="Tahoma"/>
          <w:bCs/>
          <w:i/>
          <w:lang w:eastAsia="en-US"/>
        </w:rPr>
      </w:pPr>
      <w:r w:rsidRPr="00F208A6">
        <w:rPr>
          <w:rFonts w:ascii="Palatino Linotype" w:eastAsia="Calibri" w:hAnsi="Palatino Linotype" w:cs="Tahoma"/>
          <w:b/>
          <w:bCs/>
          <w:i/>
          <w:lang w:eastAsia="en-US"/>
        </w:rPr>
        <w:t>“Modalidad de entrega. Procedencia de proporcionar la información solicitada en una diversa a la elegida por el solicitante.</w:t>
      </w:r>
      <w:r w:rsidRPr="00F208A6">
        <w:rPr>
          <w:rFonts w:ascii="Palatino Linotype" w:eastAsia="Calibri" w:hAnsi="Palatino Linotype" w:cs="Tahoma"/>
          <w:bCs/>
          <w:i/>
          <w:lang w:eastAsia="en-US"/>
        </w:rPr>
        <w:t xml:space="preserve"> De una interpretación a los artículos 133 de </w:t>
      </w:r>
      <w:r w:rsidRPr="00F208A6">
        <w:rPr>
          <w:rFonts w:ascii="Palatino Linotype" w:eastAsia="Calibri" w:hAnsi="Palatino Linotype" w:cs="Tahoma"/>
          <w:bCs/>
          <w:i/>
          <w:lang w:eastAsia="en-US"/>
        </w:rPr>
        <w:lastRenderedPageBreak/>
        <w:t>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7139237A" w14:textId="77777777" w:rsidR="00CB48A3" w:rsidRPr="00F208A6" w:rsidRDefault="00CB48A3" w:rsidP="007706FD">
      <w:pPr>
        <w:spacing w:line="360" w:lineRule="auto"/>
        <w:jc w:val="both"/>
        <w:rPr>
          <w:rFonts w:ascii="Palatino Linotype" w:eastAsia="Calibri" w:hAnsi="Palatino Linotype" w:cs="Tahoma"/>
          <w:bCs/>
          <w:sz w:val="22"/>
          <w:szCs w:val="22"/>
          <w:lang w:eastAsia="en-US"/>
        </w:rPr>
      </w:pPr>
    </w:p>
    <w:p w14:paraId="3812EA65"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Del citado criterio, se desprende que cuando no sea posible atener la modalidad elegida por los solicitantes, la obligación de acceso a la información se tendrá por cumplida cuando el Sujeto Obligado </w:t>
      </w:r>
      <w:r w:rsidRPr="00F208A6">
        <w:rPr>
          <w:rFonts w:ascii="Palatino Linotype" w:eastAsia="Calibri" w:hAnsi="Palatino Linotype" w:cs="Tahoma"/>
          <w:b/>
          <w:bCs/>
          <w:sz w:val="22"/>
          <w:szCs w:val="22"/>
          <w:lang w:eastAsia="en-US"/>
        </w:rPr>
        <w:t>justifique el impedimento para atender la misma</w:t>
      </w:r>
      <w:r w:rsidRPr="00F208A6">
        <w:rPr>
          <w:rFonts w:ascii="Palatino Linotype" w:eastAsia="Calibri" w:hAnsi="Palatino Linotype" w:cs="Tahoma"/>
          <w:bCs/>
          <w:sz w:val="22"/>
          <w:szCs w:val="22"/>
          <w:lang w:eastAsia="en-US"/>
        </w:rPr>
        <w:t xml:space="preserve"> y se notifique al particular la puesta a disposición de la información en todas las modalidades que lo permitan, procurando reducir los costos de entrega.</w:t>
      </w:r>
    </w:p>
    <w:p w14:paraId="48B6EDE5"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p>
    <w:p w14:paraId="2CD155CA"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En ese orden de ideas, dado que el particular requirió la información en el Sistema de Acceso a la Información Mexiquense (SAIMEX), se considera que solicitaba la misma, a través de medios electrónicos.</w:t>
      </w:r>
    </w:p>
    <w:p w14:paraId="75D4F9ED"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p>
    <w:p w14:paraId="0684E73F"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Al respecto, este Instituto localizó la Resolución del Recurso de Revisión con número </w:t>
      </w:r>
      <w:r w:rsidRPr="00F208A6">
        <w:rPr>
          <w:sz w:val="22"/>
          <w:szCs w:val="22"/>
        </w:rPr>
        <w:t>01088/INFOEM/IP/RR/2016</w:t>
      </w:r>
      <w:r w:rsidRPr="00F208A6">
        <w:rPr>
          <w:rFonts w:ascii="Palatino Linotype" w:eastAsia="Calibri" w:hAnsi="Palatino Linotype" w:cs="Tahoma"/>
          <w:bCs/>
          <w:sz w:val="22"/>
          <w:szCs w:val="22"/>
          <w:lang w:eastAsia="en-US"/>
        </w:rPr>
        <w:t xml:space="preserve">, en la cual el Director de Informática de este Instituto, informó que la capacidad máxima para adjuntar un archivo en el </w:t>
      </w:r>
      <w:r w:rsidRPr="00F208A6">
        <w:rPr>
          <w:rFonts w:ascii="Palatino Linotype" w:eastAsia="Calibri" w:hAnsi="Palatino Linotype" w:cs="Tahoma"/>
          <w:b/>
          <w:bCs/>
          <w:sz w:val="22"/>
          <w:szCs w:val="22"/>
          <w:lang w:eastAsia="en-US"/>
        </w:rPr>
        <w:t xml:space="preserve">Sistema de Acceso a la Información Mexiquense, es de aproximadamente de 250 megabytes. </w:t>
      </w:r>
    </w:p>
    <w:p w14:paraId="33A80FF7" w14:textId="77777777"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p>
    <w:p w14:paraId="5179336C" w14:textId="77777777" w:rsidR="00CB48A3" w:rsidRPr="00F208A6" w:rsidRDefault="00CB48A3" w:rsidP="007706FD">
      <w:pPr>
        <w:spacing w:line="360" w:lineRule="auto"/>
        <w:ind w:right="-595"/>
        <w:jc w:val="both"/>
        <w:rPr>
          <w:rFonts w:ascii="Palatino Linotype" w:hAnsi="Palatino Linotype" w:cs="Tahoma"/>
          <w:sz w:val="22"/>
          <w:szCs w:val="22"/>
          <w:shd w:val="clear" w:color="auto" w:fill="FFFFFF"/>
        </w:rPr>
      </w:pPr>
      <w:r w:rsidRPr="00F208A6">
        <w:rPr>
          <w:rFonts w:ascii="Palatino Linotype" w:hAnsi="Palatino Linotype" w:cs="Tahoma"/>
          <w:sz w:val="22"/>
          <w:szCs w:val="22"/>
          <w:shd w:val="clear" w:color="auto" w:fill="FFFFFF"/>
        </w:rPr>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w:t>
      </w:r>
      <w:r w:rsidRPr="00F208A6">
        <w:rPr>
          <w:rFonts w:ascii="Palatino Linotype" w:hAnsi="Palatino Linotype" w:cs="Tahoma"/>
          <w:sz w:val="22"/>
          <w:szCs w:val="22"/>
          <w:shd w:val="clear" w:color="auto" w:fill="FFFFFF"/>
        </w:rPr>
        <w:lastRenderedPageBreak/>
        <w:t>se establece que los órganos jurisdiccionales pueden invocar como hechos notorios las resoluciones que hayan emitido.</w:t>
      </w:r>
    </w:p>
    <w:p w14:paraId="31B69505" w14:textId="77777777" w:rsidR="00CB48A3" w:rsidRPr="00F208A6" w:rsidRDefault="00CB48A3" w:rsidP="007706FD">
      <w:pPr>
        <w:spacing w:line="360" w:lineRule="auto"/>
        <w:ind w:right="-595"/>
        <w:jc w:val="both"/>
        <w:rPr>
          <w:rFonts w:ascii="Palatino Linotype" w:hAnsi="Palatino Linotype" w:cs="Tahoma"/>
          <w:i/>
          <w:sz w:val="22"/>
          <w:szCs w:val="22"/>
          <w:shd w:val="clear" w:color="auto" w:fill="FFFFFF"/>
        </w:rPr>
      </w:pPr>
    </w:p>
    <w:p w14:paraId="029FEC01" w14:textId="04A1B16B" w:rsidR="00CB48A3" w:rsidRPr="00F208A6" w:rsidRDefault="00CB48A3"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De tales circunstancias, es de precisar que el Sujeto Obligado no acreditó el impedimento señalado para proporcionar </w:t>
      </w:r>
      <w:r w:rsidR="00505164" w:rsidRPr="00F208A6">
        <w:rPr>
          <w:rFonts w:ascii="Palatino Linotype" w:eastAsia="Calibri" w:hAnsi="Palatino Linotype" w:cs="Tahoma"/>
          <w:bCs/>
          <w:sz w:val="22"/>
          <w:szCs w:val="22"/>
          <w:lang w:eastAsia="en-US"/>
        </w:rPr>
        <w:t xml:space="preserve">lo </w:t>
      </w:r>
      <w:r w:rsidR="00E32459" w:rsidRPr="00F208A6">
        <w:rPr>
          <w:rFonts w:ascii="Palatino Linotype" w:eastAsia="Calibri" w:hAnsi="Palatino Linotype" w:cs="Tahoma"/>
          <w:bCs/>
          <w:sz w:val="22"/>
          <w:szCs w:val="22"/>
          <w:lang w:eastAsia="en-US"/>
        </w:rPr>
        <w:t>acordado y autorizado</w:t>
      </w:r>
      <w:r w:rsidR="00505164" w:rsidRPr="00F208A6">
        <w:rPr>
          <w:rFonts w:ascii="Palatino Linotype" w:eastAsia="Calibri" w:hAnsi="Palatino Linotype" w:cs="Tahoma"/>
          <w:bCs/>
          <w:sz w:val="22"/>
          <w:szCs w:val="22"/>
          <w:lang w:eastAsia="en-US"/>
        </w:rPr>
        <w:t xml:space="preserve"> en</w:t>
      </w:r>
      <w:r w:rsidRPr="00F208A6">
        <w:rPr>
          <w:rFonts w:ascii="Palatino Linotype" w:eastAsia="Calibri" w:hAnsi="Palatino Linotype" w:cs="Tahoma"/>
          <w:bCs/>
          <w:sz w:val="22"/>
          <w:szCs w:val="22"/>
          <w:lang w:eastAsia="en-US"/>
        </w:rPr>
        <w:t xml:space="preserve"> la vigésima tercera sesión </w:t>
      </w:r>
      <w:r w:rsidR="00505164" w:rsidRPr="00F208A6">
        <w:rPr>
          <w:rFonts w:ascii="Palatino Linotype" w:eastAsia="Calibri" w:hAnsi="Palatino Linotype" w:cs="Tahoma"/>
          <w:bCs/>
          <w:sz w:val="22"/>
          <w:szCs w:val="22"/>
          <w:lang w:eastAsia="en-US"/>
        </w:rPr>
        <w:t>ordinaria de cabildo</w:t>
      </w:r>
      <w:r w:rsidRPr="00F208A6">
        <w:rPr>
          <w:rFonts w:ascii="Palatino Linotype" w:eastAsia="Calibri" w:hAnsi="Palatino Linotype" w:cs="Tahoma"/>
          <w:bCs/>
          <w:sz w:val="22"/>
          <w:szCs w:val="22"/>
          <w:lang w:eastAsia="en-US"/>
        </w:rPr>
        <w:t xml:space="preserve"> de fecha 12 de junio del 2019</w:t>
      </w:r>
      <w:r w:rsidRPr="00F208A6">
        <w:rPr>
          <w:rFonts w:ascii="Palatino Linotype" w:hAnsi="Palatino Linotype" w:cs="Tahoma"/>
          <w:bCs/>
          <w:sz w:val="22"/>
          <w:szCs w:val="22"/>
        </w:rPr>
        <w:t xml:space="preserve">, </w:t>
      </w:r>
      <w:r w:rsidR="00505164" w:rsidRPr="00F208A6">
        <w:rPr>
          <w:rFonts w:ascii="Palatino Linotype" w:hAnsi="Palatino Linotype" w:cs="Tahoma"/>
          <w:bCs/>
          <w:sz w:val="22"/>
          <w:szCs w:val="22"/>
        </w:rPr>
        <w:t xml:space="preserve">consistente </w:t>
      </w:r>
      <w:r w:rsidRPr="00F208A6">
        <w:rPr>
          <w:rFonts w:ascii="Palatino Linotype" w:hAnsi="Palatino Linotype" w:cs="Tahoma"/>
          <w:bCs/>
          <w:sz w:val="22"/>
          <w:szCs w:val="22"/>
        </w:rPr>
        <w:t xml:space="preserve"> en los Catálogos municipales de unidades económicas, unidades económicas de alto impacto, de cobro de giros específicos y del sistema de apertura rápida de empresas, </w:t>
      </w:r>
      <w:r w:rsidRPr="00F208A6">
        <w:rPr>
          <w:rFonts w:ascii="Palatino Linotype" w:eastAsia="Calibri" w:hAnsi="Palatino Linotype" w:cs="Tahoma"/>
          <w:bCs/>
          <w:sz w:val="22"/>
          <w:szCs w:val="22"/>
          <w:lang w:eastAsia="en-US"/>
        </w:rPr>
        <w:t xml:space="preserve">a través del </w:t>
      </w:r>
      <w:r w:rsidRPr="00F208A6">
        <w:rPr>
          <w:rFonts w:ascii="Palatino Linotype" w:eastAsia="Calibri" w:hAnsi="Palatino Linotype" w:cs="Tahoma"/>
          <w:b/>
          <w:bCs/>
          <w:sz w:val="22"/>
          <w:szCs w:val="22"/>
          <w:lang w:eastAsia="en-US"/>
        </w:rPr>
        <w:t>Sistema de Acceso a la Información Mexiquense (SAIMEX)</w:t>
      </w:r>
      <w:r w:rsidRPr="00F208A6">
        <w:rPr>
          <w:rFonts w:ascii="Palatino Linotype" w:eastAsia="Calibri" w:hAnsi="Palatino Linotype" w:cs="Tahoma"/>
          <w:bCs/>
          <w:sz w:val="22"/>
          <w:szCs w:val="22"/>
          <w:lang w:eastAsia="en-US"/>
        </w:rPr>
        <w:t>.</w:t>
      </w:r>
    </w:p>
    <w:p w14:paraId="56864BAD" w14:textId="77777777" w:rsidR="008A7A18" w:rsidRPr="00F208A6" w:rsidRDefault="008A7A18" w:rsidP="007706FD">
      <w:pPr>
        <w:spacing w:line="360" w:lineRule="auto"/>
        <w:ind w:right="-595"/>
        <w:jc w:val="both"/>
        <w:rPr>
          <w:rFonts w:ascii="Palatino Linotype" w:eastAsia="Calibri" w:hAnsi="Palatino Linotype" w:cs="Tahoma"/>
          <w:bCs/>
          <w:sz w:val="22"/>
          <w:szCs w:val="22"/>
          <w:lang w:eastAsia="en-US"/>
        </w:rPr>
      </w:pPr>
    </w:p>
    <w:p w14:paraId="787C1C09" w14:textId="4BFF9959" w:rsidR="00E32459" w:rsidRPr="00F208A6" w:rsidRDefault="008A7A18" w:rsidP="007706FD">
      <w:pPr>
        <w:spacing w:line="360" w:lineRule="auto"/>
        <w:ind w:right="-595"/>
        <w:jc w:val="both"/>
        <w:rPr>
          <w:rFonts w:ascii="Palatino Linotype" w:eastAsia="Calibri" w:hAnsi="Palatino Linotype" w:cs="Tahoma"/>
          <w:bCs/>
          <w:sz w:val="22"/>
          <w:szCs w:val="22"/>
          <w:lang w:eastAsia="en-US"/>
        </w:rPr>
      </w:pPr>
      <w:r w:rsidRPr="00F208A6">
        <w:rPr>
          <w:rFonts w:ascii="Palatino Linotype" w:eastAsia="Calibri" w:hAnsi="Palatino Linotype" w:cs="Tahoma"/>
          <w:bCs/>
          <w:sz w:val="22"/>
          <w:szCs w:val="22"/>
          <w:lang w:eastAsia="en-US"/>
        </w:rPr>
        <w:t xml:space="preserve">Derivado de los argumentos vertidos con antelación, </w:t>
      </w:r>
      <w:r w:rsidR="00260902" w:rsidRPr="00F208A6">
        <w:rPr>
          <w:rFonts w:ascii="Palatino Linotype" w:eastAsia="Calibri" w:hAnsi="Palatino Linotype" w:cs="Tahoma"/>
          <w:bCs/>
          <w:sz w:val="22"/>
          <w:szCs w:val="22"/>
          <w:lang w:eastAsia="en-US"/>
        </w:rPr>
        <w:t xml:space="preserve">se concluye que el Ayuntamiento de Tecámac omitió justificar la imposibilidad de atender la entrega de la información requerida a través del Sistema de Acceso a la Información Mexiquense (SAIMEX); en consecuencia, </w:t>
      </w:r>
      <w:r w:rsidRPr="00F208A6">
        <w:rPr>
          <w:rFonts w:ascii="Palatino Linotype" w:eastAsia="Calibri" w:hAnsi="Palatino Linotype" w:cs="Tahoma"/>
          <w:bCs/>
          <w:sz w:val="22"/>
          <w:szCs w:val="22"/>
          <w:lang w:eastAsia="en-US"/>
        </w:rPr>
        <w:t xml:space="preserve">es dable </w:t>
      </w:r>
      <w:r w:rsidR="00260902" w:rsidRPr="00F208A6">
        <w:rPr>
          <w:rFonts w:ascii="Palatino Linotype" w:eastAsia="Calibri" w:hAnsi="Palatino Linotype" w:cs="Tahoma"/>
          <w:bCs/>
          <w:sz w:val="22"/>
          <w:szCs w:val="22"/>
          <w:lang w:eastAsia="en-US"/>
        </w:rPr>
        <w:t>ordenar</w:t>
      </w:r>
      <w:r w:rsidRPr="00F208A6">
        <w:rPr>
          <w:rFonts w:ascii="Palatino Linotype" w:eastAsia="Calibri" w:hAnsi="Palatino Linotype" w:cs="Tahoma"/>
          <w:bCs/>
          <w:sz w:val="22"/>
          <w:szCs w:val="22"/>
          <w:lang w:eastAsia="en-US"/>
        </w:rPr>
        <w:t xml:space="preserve"> al Sujeto Obligado, proporcione </w:t>
      </w:r>
      <w:r w:rsidR="00260902" w:rsidRPr="00F208A6">
        <w:rPr>
          <w:rFonts w:ascii="Palatino Linotype" w:eastAsia="Calibri" w:hAnsi="Palatino Linotype" w:cs="Tahoma"/>
          <w:bCs/>
          <w:sz w:val="22"/>
          <w:szCs w:val="22"/>
          <w:lang w:eastAsia="en-US"/>
        </w:rPr>
        <w:t xml:space="preserve">la información solicitada por el Recurrente, en la modalidad que la requirió el Particular (SAIMEX). </w:t>
      </w:r>
    </w:p>
    <w:p w14:paraId="3110B136" w14:textId="77777777" w:rsidR="008A7A18" w:rsidRPr="00F208A6" w:rsidRDefault="008A7A18" w:rsidP="007706FD">
      <w:pPr>
        <w:spacing w:line="360" w:lineRule="auto"/>
        <w:ind w:right="-595"/>
        <w:jc w:val="both"/>
        <w:rPr>
          <w:rFonts w:ascii="Palatino Linotype" w:eastAsia="Calibri" w:hAnsi="Palatino Linotype" w:cs="Tahoma"/>
          <w:bCs/>
          <w:sz w:val="22"/>
          <w:szCs w:val="22"/>
          <w:lang w:eastAsia="en-US"/>
        </w:rPr>
      </w:pPr>
    </w:p>
    <w:p w14:paraId="37B8EB17" w14:textId="4A7D7FE1" w:rsidR="00F65E31" w:rsidRPr="00F208A6" w:rsidRDefault="00E32459" w:rsidP="00F409C4">
      <w:pPr>
        <w:shd w:val="clear" w:color="auto" w:fill="FFFFFF" w:themeFill="background1"/>
        <w:spacing w:line="360" w:lineRule="auto"/>
        <w:ind w:right="-737"/>
        <w:jc w:val="both"/>
        <w:rPr>
          <w:rFonts w:ascii="Palatino Linotype" w:hAnsi="Palatino Linotype"/>
          <w:sz w:val="22"/>
          <w:szCs w:val="22"/>
        </w:rPr>
      </w:pPr>
      <w:r w:rsidRPr="00F208A6">
        <w:rPr>
          <w:rFonts w:ascii="Palatino Linotype" w:eastAsia="Calibri" w:hAnsi="Palatino Linotype" w:cs="Tahoma"/>
          <w:bCs/>
          <w:sz w:val="22"/>
          <w:szCs w:val="22"/>
          <w:lang w:eastAsia="en-US"/>
        </w:rPr>
        <w:t>Ahora bien, n</w:t>
      </w:r>
      <w:r w:rsidR="00260902" w:rsidRPr="00F208A6">
        <w:rPr>
          <w:rFonts w:ascii="Palatino Linotype" w:eastAsia="Calibri" w:hAnsi="Palatino Linotype" w:cs="Tahoma"/>
          <w:bCs/>
          <w:sz w:val="22"/>
          <w:szCs w:val="22"/>
          <w:lang w:eastAsia="en-US"/>
        </w:rPr>
        <w:t>o pasa desapercibido</w:t>
      </w:r>
      <w:r w:rsidR="00DE6B10" w:rsidRPr="00F208A6">
        <w:rPr>
          <w:rFonts w:ascii="Palatino Linotype" w:eastAsia="Calibri" w:hAnsi="Palatino Linotype" w:cs="Tahoma"/>
          <w:bCs/>
          <w:sz w:val="22"/>
          <w:szCs w:val="22"/>
          <w:lang w:eastAsia="en-US"/>
        </w:rPr>
        <w:t>, sólo de manera pre</w:t>
      </w:r>
      <w:r w:rsidR="00171A50" w:rsidRPr="00F208A6">
        <w:rPr>
          <w:rFonts w:ascii="Palatino Linotype" w:eastAsia="Calibri" w:hAnsi="Palatino Linotype" w:cs="Tahoma"/>
          <w:bCs/>
          <w:sz w:val="22"/>
          <w:szCs w:val="22"/>
          <w:lang w:eastAsia="en-US"/>
        </w:rPr>
        <w:t>cautoria que la nueva administración que inició este año, pueda haber generado algún formato distinto</w:t>
      </w:r>
      <w:r w:rsidR="00260902" w:rsidRPr="00F208A6">
        <w:rPr>
          <w:rFonts w:ascii="Palatino Linotype" w:eastAsia="Calibri" w:hAnsi="Palatino Linotype" w:cs="Tahoma"/>
          <w:bCs/>
          <w:sz w:val="22"/>
          <w:szCs w:val="22"/>
          <w:lang w:eastAsia="en-US"/>
        </w:rPr>
        <w:t xml:space="preserve"> que</w:t>
      </w:r>
      <w:r w:rsidR="00C35F17" w:rsidRPr="00F208A6">
        <w:rPr>
          <w:rFonts w:ascii="Palatino Linotype" w:eastAsia="Calibri" w:hAnsi="Palatino Linotype" w:cs="Tahoma"/>
          <w:bCs/>
          <w:sz w:val="22"/>
          <w:szCs w:val="22"/>
          <w:lang w:eastAsia="en-US"/>
        </w:rPr>
        <w:t>,</w:t>
      </w:r>
      <w:r w:rsidR="00260902" w:rsidRPr="00F208A6">
        <w:rPr>
          <w:rFonts w:ascii="Palatino Linotype" w:eastAsia="Calibri" w:hAnsi="Palatino Linotype" w:cs="Tahoma"/>
          <w:bCs/>
          <w:sz w:val="22"/>
          <w:szCs w:val="22"/>
          <w:lang w:eastAsia="en-US"/>
        </w:rPr>
        <w:t xml:space="preserve"> </w:t>
      </w:r>
      <w:r w:rsidR="00C35F17" w:rsidRPr="00F208A6">
        <w:rPr>
          <w:rFonts w:ascii="Palatino Linotype" w:eastAsia="Calibri" w:hAnsi="Palatino Linotype" w:cs="Tahoma"/>
          <w:bCs/>
          <w:sz w:val="22"/>
          <w:szCs w:val="22"/>
          <w:lang w:eastAsia="en-US"/>
        </w:rPr>
        <w:t>pudiera</w:t>
      </w:r>
      <w:r w:rsidR="00260902" w:rsidRPr="00F208A6">
        <w:rPr>
          <w:rFonts w:ascii="Palatino Linotype" w:eastAsia="Calibri" w:hAnsi="Palatino Linotype" w:cs="Tahoma"/>
          <w:bCs/>
          <w:sz w:val="22"/>
          <w:szCs w:val="22"/>
          <w:lang w:eastAsia="en-US"/>
        </w:rPr>
        <w:t xml:space="preserve"> contener </w:t>
      </w:r>
      <w:r w:rsidR="00C35F17" w:rsidRPr="00F208A6">
        <w:rPr>
          <w:rFonts w:ascii="Palatino Linotype" w:eastAsia="Calibri" w:hAnsi="Palatino Linotype" w:cs="Tahoma"/>
          <w:bCs/>
          <w:sz w:val="22"/>
          <w:szCs w:val="22"/>
          <w:lang w:eastAsia="en-US"/>
        </w:rPr>
        <w:t xml:space="preserve">algún tipo de </w:t>
      </w:r>
      <w:r w:rsidR="00260902" w:rsidRPr="00F208A6">
        <w:rPr>
          <w:rFonts w:ascii="Palatino Linotype" w:eastAsia="Calibri" w:hAnsi="Palatino Linotype" w:cs="Tahoma"/>
          <w:bCs/>
          <w:sz w:val="22"/>
          <w:szCs w:val="22"/>
          <w:lang w:eastAsia="en-US"/>
        </w:rPr>
        <w:t>dato</w:t>
      </w:r>
      <w:r w:rsidR="00C35F17" w:rsidRPr="00F208A6">
        <w:rPr>
          <w:rFonts w:ascii="Palatino Linotype" w:eastAsia="Calibri" w:hAnsi="Palatino Linotype" w:cs="Tahoma"/>
          <w:bCs/>
          <w:sz w:val="22"/>
          <w:szCs w:val="22"/>
          <w:lang w:eastAsia="en-US"/>
        </w:rPr>
        <w:t xml:space="preserve"> personal</w:t>
      </w:r>
      <w:r w:rsidR="00260902" w:rsidRPr="00F208A6">
        <w:rPr>
          <w:rFonts w:ascii="Palatino Linotype" w:eastAsia="Calibri" w:hAnsi="Palatino Linotype" w:cs="Tahoma"/>
          <w:bCs/>
          <w:sz w:val="22"/>
          <w:szCs w:val="22"/>
          <w:lang w:eastAsia="en-US"/>
        </w:rPr>
        <w:t xml:space="preserve"> confidencial</w:t>
      </w:r>
      <w:r w:rsidRPr="00F208A6">
        <w:rPr>
          <w:rFonts w:ascii="Palatino Linotype" w:eastAsia="Calibri" w:hAnsi="Palatino Linotype" w:cs="Tahoma"/>
          <w:bCs/>
          <w:sz w:val="22"/>
          <w:szCs w:val="22"/>
          <w:lang w:eastAsia="en-US"/>
        </w:rPr>
        <w:t xml:space="preserve">, </w:t>
      </w:r>
      <w:r w:rsidR="00C35F17" w:rsidRPr="00F208A6">
        <w:rPr>
          <w:rFonts w:ascii="Palatino Linotype" w:hAnsi="Palatino Linotype" w:cs="Tahoma"/>
          <w:bCs/>
          <w:iCs/>
          <w:sz w:val="22"/>
          <w:szCs w:val="22"/>
          <w:lang w:val="es-ES"/>
        </w:rPr>
        <w:t xml:space="preserve">esto es, algún dato de persona física vinculado </w:t>
      </w:r>
      <w:r w:rsidR="00F409C4" w:rsidRPr="00F208A6">
        <w:rPr>
          <w:rFonts w:ascii="Palatino Linotype" w:hAnsi="Palatino Linotype" w:cs="Tahoma"/>
          <w:bCs/>
          <w:iCs/>
          <w:sz w:val="22"/>
          <w:szCs w:val="22"/>
          <w:lang w:val="es-ES"/>
        </w:rPr>
        <w:t>únicamente con su vida privada,</w:t>
      </w:r>
      <w:r w:rsidR="0092320A" w:rsidRPr="00F208A6">
        <w:rPr>
          <w:rFonts w:ascii="Palatino Linotype" w:hAnsi="Palatino Linotype" w:cs="Tahoma"/>
          <w:bCs/>
          <w:iCs/>
          <w:sz w:val="22"/>
          <w:szCs w:val="22"/>
          <w:lang w:val="es-ES"/>
        </w:rPr>
        <w:t xml:space="preserve"> de igual forma, al tratarse de los acuerdo de cabildo, es posible que en los mismo se hayan insertado datos personales de la misma especie,</w:t>
      </w:r>
      <w:r w:rsidR="00F409C4" w:rsidRPr="00F208A6">
        <w:rPr>
          <w:rFonts w:ascii="Palatino Linotype" w:hAnsi="Palatino Linotype" w:cs="Tahoma"/>
          <w:bCs/>
          <w:iCs/>
          <w:sz w:val="22"/>
          <w:szCs w:val="22"/>
          <w:lang w:val="es-ES"/>
        </w:rPr>
        <w:t xml:space="preserve"> por lo que, de ser el caso, </w:t>
      </w:r>
      <w:r w:rsidR="00F409C4" w:rsidRPr="00F208A6">
        <w:rPr>
          <w:rFonts w:ascii="Palatino Linotype" w:hAnsi="Palatino Linotype"/>
          <w:sz w:val="22"/>
          <w:szCs w:val="22"/>
        </w:rPr>
        <w:t xml:space="preserve">se </w:t>
      </w:r>
      <w:r w:rsidR="00F65E31" w:rsidRPr="00F208A6">
        <w:rPr>
          <w:rFonts w:ascii="Palatino Linotype" w:hAnsi="Palatino Linotype"/>
          <w:sz w:val="22"/>
          <w:szCs w:val="22"/>
        </w:rPr>
        <w:t>deberá entregar, la versión pública en donde únicamente podrá testar</w:t>
      </w:r>
      <w:r w:rsidR="00F409C4" w:rsidRPr="00F208A6">
        <w:rPr>
          <w:rFonts w:ascii="Palatino Linotype" w:hAnsi="Palatino Linotype"/>
          <w:sz w:val="22"/>
          <w:szCs w:val="22"/>
        </w:rPr>
        <w:t xml:space="preserve"> la información confidencial</w:t>
      </w:r>
      <w:r w:rsidR="00F65E31" w:rsidRPr="00F208A6">
        <w:rPr>
          <w:rFonts w:ascii="Palatino Linotype" w:hAnsi="Palatino Linotype"/>
          <w:sz w:val="22"/>
          <w:szCs w:val="22"/>
        </w:rPr>
        <w:t>, en términos del artículo 143, fracción I de la Ley de la materia</w:t>
      </w:r>
      <w:r w:rsidR="00EF7D86" w:rsidRPr="00F208A6">
        <w:rPr>
          <w:rFonts w:ascii="Palatino Linotype" w:hAnsi="Palatino Linotype"/>
          <w:sz w:val="22"/>
          <w:szCs w:val="22"/>
        </w:rPr>
        <w:t xml:space="preserve"> y </w:t>
      </w:r>
      <w:r w:rsidR="00F65E31" w:rsidRPr="00F208A6">
        <w:rPr>
          <w:rFonts w:ascii="Palatino Linotype" w:hAnsi="Palatino Linotype"/>
          <w:sz w:val="22"/>
          <w:szCs w:val="22"/>
        </w:rPr>
        <w:t>proporcionar el acuerdo emitido por el Comité de Transparencia en donde confirme dicha clasificación.</w:t>
      </w:r>
    </w:p>
    <w:p w14:paraId="686B365D" w14:textId="77777777" w:rsidR="008A7A18" w:rsidRPr="00F208A6" w:rsidRDefault="008A7A18" w:rsidP="007706FD">
      <w:pPr>
        <w:spacing w:line="360" w:lineRule="auto"/>
        <w:ind w:right="-595"/>
        <w:jc w:val="both"/>
        <w:rPr>
          <w:rFonts w:ascii="Palatino Linotype" w:eastAsia="Calibri" w:hAnsi="Palatino Linotype" w:cs="Tahoma"/>
          <w:bCs/>
          <w:sz w:val="22"/>
          <w:szCs w:val="22"/>
          <w:lang w:eastAsia="en-US"/>
        </w:rPr>
      </w:pPr>
    </w:p>
    <w:p w14:paraId="0AADD48E" w14:textId="77777777" w:rsidR="00260902" w:rsidRPr="00F208A6" w:rsidRDefault="00260902" w:rsidP="007706FD">
      <w:pPr>
        <w:spacing w:line="360" w:lineRule="auto"/>
        <w:jc w:val="both"/>
        <w:rPr>
          <w:rFonts w:ascii="Palatino Linotype" w:eastAsia="Calibri" w:hAnsi="Palatino Linotype" w:cs="Tahoma"/>
          <w:b/>
          <w:bCs/>
          <w:sz w:val="22"/>
          <w:szCs w:val="22"/>
          <w:lang w:eastAsia="en-US"/>
        </w:rPr>
      </w:pPr>
      <w:r w:rsidRPr="00F208A6">
        <w:rPr>
          <w:rFonts w:ascii="Palatino Linotype" w:eastAsia="Calibri" w:hAnsi="Palatino Linotype" w:cs="Tahoma"/>
          <w:b/>
          <w:bCs/>
          <w:sz w:val="22"/>
          <w:szCs w:val="22"/>
          <w:lang w:eastAsia="en-US"/>
        </w:rPr>
        <w:t>SEXTO. Decisión.</w:t>
      </w:r>
    </w:p>
    <w:p w14:paraId="49C00415" w14:textId="77777777" w:rsidR="00260902" w:rsidRPr="00F208A6" w:rsidRDefault="00260902" w:rsidP="007706FD">
      <w:pPr>
        <w:spacing w:line="360" w:lineRule="auto"/>
        <w:jc w:val="both"/>
        <w:rPr>
          <w:rFonts w:ascii="Palatino Linotype" w:eastAsia="Calibri" w:hAnsi="Palatino Linotype" w:cs="Tahoma"/>
          <w:b/>
          <w:bCs/>
          <w:sz w:val="22"/>
          <w:szCs w:val="22"/>
          <w:lang w:eastAsia="en-US"/>
        </w:rPr>
      </w:pPr>
    </w:p>
    <w:p w14:paraId="54F28272" w14:textId="77777777" w:rsidR="00585249" w:rsidRPr="00F208A6" w:rsidRDefault="00260902" w:rsidP="00585249">
      <w:pPr>
        <w:spacing w:line="360" w:lineRule="auto"/>
        <w:ind w:right="-595"/>
        <w:jc w:val="both"/>
        <w:rPr>
          <w:rFonts w:ascii="Palatino Linotype" w:hAnsi="Palatino Linotype" w:cs="Tahoma"/>
          <w:bCs/>
          <w:sz w:val="22"/>
          <w:szCs w:val="22"/>
        </w:rPr>
      </w:pPr>
      <w:r w:rsidRPr="00F208A6">
        <w:rPr>
          <w:rFonts w:ascii="Palatino Linotype" w:hAnsi="Palatino Linotype" w:cs="Tahoma"/>
          <w:bCs/>
          <w:sz w:val="22"/>
          <w:szCs w:val="22"/>
        </w:rPr>
        <w:lastRenderedPageBreak/>
        <w:t xml:space="preserve">Con fundamento en el artículo 186, fracción III, de la Ley de Transparencia y Acceso a la Información Pública del Estado de México y Municipios, este Instituto considera procedente </w:t>
      </w:r>
      <w:r w:rsidRPr="00F208A6">
        <w:rPr>
          <w:rFonts w:ascii="Palatino Linotype" w:hAnsi="Palatino Linotype" w:cs="Tahoma"/>
          <w:b/>
          <w:bCs/>
          <w:sz w:val="22"/>
          <w:szCs w:val="22"/>
        </w:rPr>
        <w:t>REVOCAR</w:t>
      </w:r>
      <w:r w:rsidRPr="00F208A6">
        <w:rPr>
          <w:rFonts w:ascii="Palatino Linotype" w:hAnsi="Palatino Linotype" w:cs="Tahoma"/>
          <w:bCs/>
          <w:sz w:val="22"/>
          <w:szCs w:val="22"/>
        </w:rPr>
        <w:t xml:space="preserve"> la respuesta otorgada por el Ayuntamiento de Tecámac,</w:t>
      </w:r>
      <w:r w:rsidR="001D4813" w:rsidRPr="00F208A6">
        <w:rPr>
          <w:rFonts w:ascii="Palatino Linotype" w:hAnsi="Palatino Linotype" w:cs="Tahoma"/>
          <w:bCs/>
          <w:sz w:val="22"/>
          <w:szCs w:val="22"/>
        </w:rPr>
        <w:t xml:space="preserve"> en la solicitud de información </w:t>
      </w:r>
      <w:r w:rsidR="001D4813" w:rsidRPr="00F208A6">
        <w:rPr>
          <w:rFonts w:ascii="Palatino Linotype" w:hAnsi="Palatino Linotype"/>
          <w:b/>
          <w:bCs/>
          <w:sz w:val="22"/>
        </w:rPr>
        <w:t>00444/TECAMAC/IP/2019</w:t>
      </w:r>
      <w:r w:rsidR="001D4813" w:rsidRPr="00F208A6">
        <w:rPr>
          <w:rFonts w:ascii="Palatino Linotype" w:hAnsi="Palatino Linotype" w:cs="Tahoma"/>
          <w:bCs/>
          <w:sz w:val="22"/>
          <w:szCs w:val="22"/>
        </w:rPr>
        <w:t>,</w:t>
      </w:r>
      <w:r w:rsidRPr="00F208A6">
        <w:rPr>
          <w:rFonts w:ascii="Palatino Linotype" w:hAnsi="Palatino Linotype" w:cs="Tahoma"/>
          <w:bCs/>
          <w:sz w:val="22"/>
          <w:szCs w:val="22"/>
        </w:rPr>
        <w:t xml:space="preserve"> a efecto de que entregue en </w:t>
      </w:r>
      <w:r w:rsidR="002C00B0" w:rsidRPr="00F208A6">
        <w:rPr>
          <w:rFonts w:ascii="Palatino Linotype" w:hAnsi="Palatino Linotype" w:cs="Tahoma"/>
          <w:bCs/>
          <w:sz w:val="22"/>
          <w:szCs w:val="22"/>
        </w:rPr>
        <w:t xml:space="preserve">su caso, en </w:t>
      </w:r>
      <w:r w:rsidRPr="00F208A6">
        <w:rPr>
          <w:rFonts w:ascii="Palatino Linotype" w:hAnsi="Palatino Linotype" w:cs="Tahoma"/>
          <w:bCs/>
          <w:sz w:val="22"/>
          <w:szCs w:val="22"/>
        </w:rPr>
        <w:t xml:space="preserve">versión pública, mediante el Sistema de Acceso a la Información Mexiquense (SAIMEX), </w:t>
      </w:r>
      <w:r w:rsidR="00585249" w:rsidRPr="00F208A6">
        <w:rPr>
          <w:rFonts w:ascii="Palatino Linotype" w:eastAsia="Calibri" w:hAnsi="Palatino Linotype" w:cs="Tahoma"/>
          <w:bCs/>
          <w:sz w:val="22"/>
          <w:szCs w:val="22"/>
          <w:lang w:eastAsia="en-US"/>
        </w:rPr>
        <w:t>el Acta de Cabildo de la Vigésima Tercera Sesión Ordinaria celebrada en fecha 12 de junio del 2019</w:t>
      </w:r>
      <w:r w:rsidR="00585249" w:rsidRPr="00F208A6">
        <w:rPr>
          <w:rFonts w:ascii="Palatino Linotype" w:hAnsi="Palatino Linotype" w:cs="Tahoma"/>
          <w:bCs/>
          <w:sz w:val="22"/>
          <w:szCs w:val="22"/>
        </w:rPr>
        <w:t>, en la cual, entre otras cuestiones se haya acordado y autorizado, lo siguiente:</w:t>
      </w:r>
    </w:p>
    <w:p w14:paraId="76832EA5" w14:textId="77777777" w:rsidR="00585249" w:rsidRPr="00F208A6" w:rsidRDefault="00585249" w:rsidP="00585249">
      <w:pPr>
        <w:spacing w:line="360" w:lineRule="auto"/>
        <w:ind w:right="-595"/>
        <w:jc w:val="both"/>
        <w:rPr>
          <w:rFonts w:ascii="Palatino Linotype" w:hAnsi="Palatino Linotype" w:cs="Tahoma"/>
          <w:bCs/>
          <w:sz w:val="22"/>
          <w:szCs w:val="22"/>
        </w:rPr>
      </w:pPr>
    </w:p>
    <w:p w14:paraId="21A16AFA" w14:textId="77777777" w:rsidR="00585249" w:rsidRPr="00F208A6" w:rsidRDefault="00585249" w:rsidP="00585249">
      <w:pPr>
        <w:pStyle w:val="Prrafodelista"/>
        <w:numPr>
          <w:ilvl w:val="0"/>
          <w:numId w:val="43"/>
        </w:numPr>
        <w:spacing w:line="360" w:lineRule="auto"/>
        <w:ind w:left="709" w:right="-595"/>
        <w:jc w:val="both"/>
        <w:rPr>
          <w:rFonts w:ascii="Palatino Linotype" w:hAnsi="Palatino Linotype" w:cs="Tahoma"/>
          <w:bCs/>
          <w:szCs w:val="22"/>
        </w:rPr>
      </w:pPr>
      <w:r w:rsidRPr="00F208A6">
        <w:rPr>
          <w:rFonts w:ascii="Palatino Linotype" w:hAnsi="Palatino Linotype" w:cs="Tahoma"/>
          <w:bCs/>
          <w:szCs w:val="22"/>
        </w:rPr>
        <w:t xml:space="preserve">Catálogo municipal de unidades económicas </w:t>
      </w:r>
    </w:p>
    <w:p w14:paraId="4891B630" w14:textId="77777777" w:rsidR="00585249" w:rsidRPr="00F208A6" w:rsidRDefault="00585249" w:rsidP="00585249">
      <w:pPr>
        <w:pStyle w:val="Prrafodelista"/>
        <w:numPr>
          <w:ilvl w:val="0"/>
          <w:numId w:val="43"/>
        </w:numPr>
        <w:spacing w:line="360" w:lineRule="auto"/>
        <w:ind w:left="709" w:right="-595"/>
        <w:jc w:val="both"/>
        <w:rPr>
          <w:rFonts w:ascii="Palatino Linotype" w:hAnsi="Palatino Linotype" w:cs="Tahoma"/>
          <w:bCs/>
          <w:szCs w:val="22"/>
        </w:rPr>
      </w:pPr>
      <w:r w:rsidRPr="00F208A6">
        <w:rPr>
          <w:rFonts w:ascii="Palatino Linotype" w:hAnsi="Palatino Linotype" w:cs="Tahoma"/>
          <w:bCs/>
          <w:szCs w:val="22"/>
        </w:rPr>
        <w:t>Catálogo municipal de unidades económicas de alto impacto</w:t>
      </w:r>
    </w:p>
    <w:p w14:paraId="19072037" w14:textId="77777777" w:rsidR="00585249" w:rsidRPr="00F208A6" w:rsidRDefault="00585249" w:rsidP="00585249">
      <w:pPr>
        <w:pStyle w:val="Prrafodelista"/>
        <w:numPr>
          <w:ilvl w:val="0"/>
          <w:numId w:val="43"/>
        </w:numPr>
        <w:spacing w:line="360" w:lineRule="auto"/>
        <w:ind w:left="709" w:right="-595"/>
        <w:jc w:val="both"/>
        <w:rPr>
          <w:rFonts w:ascii="Palatino Linotype" w:hAnsi="Palatino Linotype" w:cs="Tahoma"/>
          <w:bCs/>
          <w:szCs w:val="22"/>
        </w:rPr>
      </w:pPr>
      <w:r w:rsidRPr="00F208A6">
        <w:rPr>
          <w:rFonts w:ascii="Palatino Linotype" w:hAnsi="Palatino Linotype" w:cs="Tahoma"/>
          <w:bCs/>
          <w:szCs w:val="22"/>
        </w:rPr>
        <w:t xml:space="preserve">Catálogo municipal de cobro de giros específicos </w:t>
      </w:r>
    </w:p>
    <w:p w14:paraId="416B8A1D" w14:textId="77777777" w:rsidR="00585249" w:rsidRPr="00F208A6" w:rsidRDefault="00585249" w:rsidP="00585249">
      <w:pPr>
        <w:pStyle w:val="Prrafodelista"/>
        <w:numPr>
          <w:ilvl w:val="0"/>
          <w:numId w:val="43"/>
        </w:numPr>
        <w:spacing w:line="360" w:lineRule="auto"/>
        <w:ind w:left="709" w:right="-595"/>
        <w:jc w:val="both"/>
        <w:rPr>
          <w:rFonts w:ascii="Palatino Linotype" w:hAnsi="Palatino Linotype" w:cs="Tahoma"/>
          <w:bCs/>
          <w:szCs w:val="22"/>
        </w:rPr>
      </w:pPr>
      <w:r w:rsidRPr="00F208A6">
        <w:rPr>
          <w:rFonts w:ascii="Palatino Linotype" w:hAnsi="Palatino Linotype" w:cs="Tahoma"/>
          <w:bCs/>
          <w:szCs w:val="22"/>
        </w:rPr>
        <w:t xml:space="preserve">Catálogo municipal del sistema de apertura rápida de empresas </w:t>
      </w:r>
    </w:p>
    <w:p w14:paraId="56148B51" w14:textId="793A844D" w:rsidR="00260902" w:rsidRPr="00F208A6" w:rsidRDefault="00260902" w:rsidP="00585249">
      <w:pPr>
        <w:spacing w:line="360" w:lineRule="auto"/>
        <w:ind w:right="-595"/>
        <w:jc w:val="both"/>
        <w:rPr>
          <w:rFonts w:ascii="Palatino Linotype" w:hAnsi="Palatino Linotype" w:cs="Tahoma"/>
          <w:bCs/>
          <w:sz w:val="22"/>
          <w:szCs w:val="22"/>
        </w:rPr>
      </w:pPr>
    </w:p>
    <w:p w14:paraId="29A81C3C" w14:textId="01623CC6" w:rsidR="00260902" w:rsidRPr="00F208A6" w:rsidRDefault="00260902" w:rsidP="007706FD">
      <w:pPr>
        <w:shd w:val="clear" w:color="auto" w:fill="FFFFFF" w:themeFill="background1"/>
        <w:tabs>
          <w:tab w:val="left" w:pos="2130"/>
        </w:tabs>
        <w:spacing w:line="360" w:lineRule="auto"/>
        <w:ind w:right="-595"/>
        <w:jc w:val="both"/>
        <w:rPr>
          <w:rFonts w:ascii="Palatino Linotype" w:eastAsia="Calibri" w:hAnsi="Palatino Linotype" w:cs="Tahoma"/>
          <w:bCs/>
          <w:sz w:val="22"/>
          <w:szCs w:val="22"/>
          <w:lang w:eastAsia="en-US"/>
        </w:rPr>
      </w:pPr>
      <w:r w:rsidRPr="00F208A6">
        <w:rPr>
          <w:rFonts w:ascii="Palatino Linotype" w:hAnsi="Palatino Linotype" w:cs="Tahoma"/>
          <w:sz w:val="22"/>
          <w:szCs w:val="22"/>
          <w:lang w:val="es-ES"/>
        </w:rPr>
        <w:t xml:space="preserve">En caso de que la información solicitada </w:t>
      </w:r>
      <w:r w:rsidR="00F65E31" w:rsidRPr="00F208A6">
        <w:rPr>
          <w:rFonts w:ascii="Palatino Linotype" w:hAnsi="Palatino Linotype" w:cs="Tahoma"/>
          <w:sz w:val="22"/>
          <w:szCs w:val="22"/>
          <w:lang w:val="es-ES"/>
        </w:rPr>
        <w:t>contenga</w:t>
      </w:r>
      <w:r w:rsidRPr="00F208A6">
        <w:rPr>
          <w:rFonts w:ascii="Palatino Linotype" w:hAnsi="Palatino Linotype" w:cs="Tahoma"/>
          <w:sz w:val="22"/>
          <w:szCs w:val="22"/>
          <w:lang w:val="es-ES"/>
        </w:rPr>
        <w:t xml:space="preserve"> datos confidenciales,</w:t>
      </w:r>
      <w:r w:rsidR="002C00B0" w:rsidRPr="00F208A6">
        <w:rPr>
          <w:rFonts w:ascii="Palatino Linotype" w:hAnsi="Palatino Linotype" w:cs="Tahoma"/>
          <w:sz w:val="22"/>
          <w:szCs w:val="22"/>
          <w:lang w:val="es-ES"/>
        </w:rPr>
        <w:t xml:space="preserve"> </w:t>
      </w:r>
      <w:r w:rsidR="00EF7D86" w:rsidRPr="00F208A6">
        <w:rPr>
          <w:rFonts w:ascii="Palatino Linotype" w:hAnsi="Palatino Linotype" w:cs="Tahoma"/>
          <w:sz w:val="22"/>
          <w:szCs w:val="22"/>
          <w:lang w:val="es-ES"/>
        </w:rPr>
        <w:t>deberá entregarla en versión pública</w:t>
      </w:r>
      <w:r w:rsidRPr="00F208A6">
        <w:rPr>
          <w:rFonts w:ascii="Palatino Linotype" w:hAnsi="Palatino Linotype" w:cs="Tahoma"/>
          <w:sz w:val="22"/>
          <w:szCs w:val="22"/>
          <w:lang w:val="es-ES"/>
        </w:rPr>
        <w:t xml:space="preserve"> junto con el Acuerdo de Clasificación del Comité de Transparencia mediante el cual se funde y motive la eliminación de los mismos, en términos de los artículos </w:t>
      </w:r>
      <w:r w:rsidR="004F6571" w:rsidRPr="00F208A6">
        <w:rPr>
          <w:rFonts w:ascii="Palatino Linotype" w:hAnsi="Palatino Linotype" w:cs="Tahoma"/>
          <w:sz w:val="22"/>
          <w:szCs w:val="22"/>
          <w:lang w:val="es-ES"/>
        </w:rPr>
        <w:t xml:space="preserve">49, fracción II, </w:t>
      </w:r>
      <w:r w:rsidRPr="00F208A6">
        <w:rPr>
          <w:rFonts w:ascii="Palatino Linotype" w:eastAsia="Calibri" w:hAnsi="Palatino Linotype" w:cs="Tahoma"/>
          <w:bCs/>
          <w:sz w:val="22"/>
          <w:szCs w:val="22"/>
          <w:lang w:eastAsia="en-US"/>
        </w:rPr>
        <w:t>143</w:t>
      </w:r>
      <w:r w:rsidR="004F6571" w:rsidRPr="00F208A6">
        <w:rPr>
          <w:rFonts w:ascii="Palatino Linotype" w:eastAsia="Calibri" w:hAnsi="Palatino Linotype" w:cs="Tahoma"/>
          <w:bCs/>
          <w:sz w:val="22"/>
          <w:szCs w:val="22"/>
          <w:lang w:eastAsia="en-US"/>
        </w:rPr>
        <w:t>,</w:t>
      </w:r>
      <w:r w:rsidRPr="00F208A6">
        <w:rPr>
          <w:rFonts w:ascii="Palatino Linotype" w:eastAsia="Calibri" w:hAnsi="Palatino Linotype" w:cs="Tahoma"/>
          <w:bCs/>
          <w:sz w:val="22"/>
          <w:szCs w:val="22"/>
          <w:lang w:eastAsia="en-US"/>
        </w:rPr>
        <w:t xml:space="preserve"> fracción I y 149 de la Ley de Transparencia y Acceso a la Información Pública de Estado de México y Municipios.</w:t>
      </w:r>
    </w:p>
    <w:p w14:paraId="04147056" w14:textId="77777777" w:rsidR="001D4813" w:rsidRPr="00F208A6" w:rsidRDefault="001D4813" w:rsidP="007706FD">
      <w:pPr>
        <w:tabs>
          <w:tab w:val="left" w:pos="2595"/>
        </w:tabs>
        <w:spacing w:line="360" w:lineRule="auto"/>
        <w:ind w:right="-595"/>
        <w:jc w:val="both"/>
        <w:rPr>
          <w:rFonts w:ascii="Palatino Linotype" w:hAnsi="Palatino Linotype"/>
          <w:sz w:val="22"/>
          <w:szCs w:val="22"/>
        </w:rPr>
      </w:pPr>
    </w:p>
    <w:p w14:paraId="78E2289D" w14:textId="381A2515" w:rsidR="00E50891" w:rsidRPr="00F208A6" w:rsidRDefault="00620118" w:rsidP="007706FD">
      <w:pPr>
        <w:tabs>
          <w:tab w:val="left" w:pos="2595"/>
        </w:tabs>
        <w:spacing w:line="360" w:lineRule="auto"/>
        <w:ind w:right="-595"/>
        <w:jc w:val="both"/>
        <w:rPr>
          <w:rFonts w:ascii="Palatino Linotype" w:eastAsia="Calibri" w:hAnsi="Palatino Linotype" w:cs="Tahoma"/>
          <w:bCs/>
          <w:sz w:val="22"/>
          <w:szCs w:val="22"/>
          <w:lang w:eastAsia="en-US"/>
        </w:rPr>
      </w:pPr>
      <w:r w:rsidRPr="00F208A6">
        <w:rPr>
          <w:rFonts w:ascii="Palatino Linotype" w:hAnsi="Palatino Linotype"/>
          <w:sz w:val="22"/>
          <w:szCs w:val="22"/>
        </w:rPr>
        <w:t xml:space="preserve"> </w:t>
      </w:r>
      <w:r w:rsidR="00E50891" w:rsidRPr="00F208A6">
        <w:rPr>
          <w:rFonts w:ascii="Palatino Linotype" w:eastAsia="Calibri" w:hAnsi="Palatino Linotype" w:cs="Tahoma"/>
          <w:bCs/>
          <w:sz w:val="22"/>
          <w:szCs w:val="22"/>
          <w:lang w:eastAsia="en-US"/>
        </w:rPr>
        <w:t>Por lo expuesto y fundado, este Pleno:</w:t>
      </w:r>
    </w:p>
    <w:p w14:paraId="241F23A0" w14:textId="77777777" w:rsidR="008C5C50" w:rsidRPr="00F208A6" w:rsidRDefault="008C5C50" w:rsidP="007706FD">
      <w:pPr>
        <w:tabs>
          <w:tab w:val="left" w:pos="2595"/>
        </w:tabs>
        <w:spacing w:line="360" w:lineRule="auto"/>
        <w:ind w:right="-93"/>
        <w:jc w:val="both"/>
        <w:rPr>
          <w:rFonts w:ascii="Palatino Linotype" w:eastAsia="Calibri" w:hAnsi="Palatino Linotype" w:cs="Tahoma"/>
          <w:bCs/>
          <w:lang w:eastAsia="en-US"/>
        </w:rPr>
      </w:pPr>
    </w:p>
    <w:p w14:paraId="59E99667" w14:textId="4150057B" w:rsidR="005B1377" w:rsidRPr="00F208A6" w:rsidRDefault="005B1377" w:rsidP="007706FD">
      <w:pPr>
        <w:spacing w:line="360" w:lineRule="auto"/>
        <w:jc w:val="center"/>
        <w:rPr>
          <w:rFonts w:ascii="Palatino Linotype" w:hAnsi="Palatino Linotype" w:cs="Tahoma"/>
          <w:b/>
          <w:bCs/>
          <w:sz w:val="22"/>
          <w:szCs w:val="22"/>
        </w:rPr>
      </w:pPr>
      <w:r w:rsidRPr="00F208A6">
        <w:rPr>
          <w:rFonts w:ascii="Palatino Linotype" w:hAnsi="Palatino Linotype" w:cs="Tahoma"/>
          <w:b/>
          <w:bCs/>
          <w:sz w:val="22"/>
          <w:szCs w:val="22"/>
        </w:rPr>
        <w:t>R</w:t>
      </w:r>
      <w:r w:rsidR="006226D5" w:rsidRPr="00F208A6">
        <w:rPr>
          <w:rFonts w:ascii="Palatino Linotype" w:hAnsi="Palatino Linotype" w:cs="Tahoma"/>
          <w:b/>
          <w:bCs/>
          <w:sz w:val="22"/>
          <w:szCs w:val="22"/>
        </w:rPr>
        <w:t xml:space="preserve"> </w:t>
      </w:r>
      <w:r w:rsidRPr="00F208A6">
        <w:rPr>
          <w:rFonts w:ascii="Palatino Linotype" w:hAnsi="Palatino Linotype" w:cs="Tahoma"/>
          <w:b/>
          <w:bCs/>
          <w:sz w:val="22"/>
          <w:szCs w:val="22"/>
        </w:rPr>
        <w:t>E</w:t>
      </w:r>
      <w:r w:rsidR="006226D5" w:rsidRPr="00F208A6">
        <w:rPr>
          <w:rFonts w:ascii="Palatino Linotype" w:hAnsi="Palatino Linotype" w:cs="Tahoma"/>
          <w:b/>
          <w:bCs/>
          <w:sz w:val="22"/>
          <w:szCs w:val="22"/>
        </w:rPr>
        <w:t xml:space="preserve"> </w:t>
      </w:r>
      <w:r w:rsidRPr="00F208A6">
        <w:rPr>
          <w:rFonts w:ascii="Palatino Linotype" w:hAnsi="Palatino Linotype" w:cs="Tahoma"/>
          <w:b/>
          <w:bCs/>
          <w:sz w:val="22"/>
          <w:szCs w:val="22"/>
        </w:rPr>
        <w:t>S</w:t>
      </w:r>
      <w:r w:rsidR="006226D5" w:rsidRPr="00F208A6">
        <w:rPr>
          <w:rFonts w:ascii="Palatino Linotype" w:hAnsi="Palatino Linotype" w:cs="Tahoma"/>
          <w:b/>
          <w:bCs/>
          <w:sz w:val="22"/>
          <w:szCs w:val="22"/>
        </w:rPr>
        <w:t xml:space="preserve"> </w:t>
      </w:r>
      <w:r w:rsidRPr="00F208A6">
        <w:rPr>
          <w:rFonts w:ascii="Palatino Linotype" w:hAnsi="Palatino Linotype" w:cs="Tahoma"/>
          <w:b/>
          <w:bCs/>
          <w:sz w:val="22"/>
          <w:szCs w:val="22"/>
        </w:rPr>
        <w:t>U</w:t>
      </w:r>
      <w:r w:rsidR="006226D5" w:rsidRPr="00F208A6">
        <w:rPr>
          <w:rFonts w:ascii="Palatino Linotype" w:hAnsi="Palatino Linotype" w:cs="Tahoma"/>
          <w:b/>
          <w:bCs/>
          <w:sz w:val="22"/>
          <w:szCs w:val="22"/>
        </w:rPr>
        <w:t xml:space="preserve"> </w:t>
      </w:r>
      <w:r w:rsidRPr="00F208A6">
        <w:rPr>
          <w:rFonts w:ascii="Palatino Linotype" w:hAnsi="Palatino Linotype" w:cs="Tahoma"/>
          <w:b/>
          <w:bCs/>
          <w:sz w:val="22"/>
          <w:szCs w:val="22"/>
        </w:rPr>
        <w:t>E</w:t>
      </w:r>
      <w:r w:rsidR="006226D5" w:rsidRPr="00F208A6">
        <w:rPr>
          <w:rFonts w:ascii="Palatino Linotype" w:hAnsi="Palatino Linotype" w:cs="Tahoma"/>
          <w:b/>
          <w:bCs/>
          <w:sz w:val="22"/>
          <w:szCs w:val="22"/>
        </w:rPr>
        <w:t xml:space="preserve"> </w:t>
      </w:r>
      <w:r w:rsidRPr="00F208A6">
        <w:rPr>
          <w:rFonts w:ascii="Palatino Linotype" w:hAnsi="Palatino Linotype" w:cs="Tahoma"/>
          <w:b/>
          <w:bCs/>
          <w:sz w:val="22"/>
          <w:szCs w:val="22"/>
        </w:rPr>
        <w:t>L</w:t>
      </w:r>
      <w:r w:rsidR="006226D5" w:rsidRPr="00F208A6">
        <w:rPr>
          <w:rFonts w:ascii="Palatino Linotype" w:hAnsi="Palatino Linotype" w:cs="Tahoma"/>
          <w:b/>
          <w:bCs/>
          <w:sz w:val="22"/>
          <w:szCs w:val="22"/>
        </w:rPr>
        <w:t xml:space="preserve"> </w:t>
      </w:r>
      <w:r w:rsidRPr="00F208A6">
        <w:rPr>
          <w:rFonts w:ascii="Palatino Linotype" w:hAnsi="Palatino Linotype" w:cs="Tahoma"/>
          <w:b/>
          <w:bCs/>
          <w:sz w:val="22"/>
          <w:szCs w:val="22"/>
        </w:rPr>
        <w:t>V</w:t>
      </w:r>
      <w:r w:rsidR="006226D5" w:rsidRPr="00F208A6">
        <w:rPr>
          <w:rFonts w:ascii="Palatino Linotype" w:hAnsi="Palatino Linotype" w:cs="Tahoma"/>
          <w:b/>
          <w:bCs/>
          <w:sz w:val="22"/>
          <w:szCs w:val="22"/>
        </w:rPr>
        <w:t xml:space="preserve"> </w:t>
      </w:r>
      <w:r w:rsidRPr="00F208A6">
        <w:rPr>
          <w:rFonts w:ascii="Palatino Linotype" w:hAnsi="Palatino Linotype" w:cs="Tahoma"/>
          <w:b/>
          <w:bCs/>
          <w:sz w:val="22"/>
          <w:szCs w:val="22"/>
        </w:rPr>
        <w:t>E</w:t>
      </w:r>
    </w:p>
    <w:p w14:paraId="1D60BFBF" w14:textId="77777777" w:rsidR="003E079F" w:rsidRPr="00F208A6" w:rsidRDefault="003E079F" w:rsidP="007706FD">
      <w:pPr>
        <w:spacing w:line="360" w:lineRule="auto"/>
        <w:jc w:val="center"/>
        <w:rPr>
          <w:rFonts w:ascii="Palatino Linotype" w:hAnsi="Palatino Linotype" w:cs="Tahoma"/>
          <w:bCs/>
          <w:sz w:val="22"/>
          <w:szCs w:val="22"/>
        </w:rPr>
      </w:pPr>
    </w:p>
    <w:p w14:paraId="0C22052E" w14:textId="7AFB6B8C" w:rsidR="004F6571" w:rsidRPr="00F208A6" w:rsidRDefault="007F674D" w:rsidP="004F6571">
      <w:pPr>
        <w:shd w:val="clear" w:color="auto" w:fill="FFFFFF" w:themeFill="background1"/>
        <w:spacing w:line="360" w:lineRule="auto"/>
        <w:ind w:right="-595"/>
        <w:jc w:val="both"/>
        <w:rPr>
          <w:rFonts w:ascii="Palatino Linotype" w:eastAsia="Calibri" w:hAnsi="Palatino Linotype" w:cs="Tahoma"/>
          <w:bCs/>
          <w:sz w:val="22"/>
          <w:szCs w:val="22"/>
          <w:lang w:eastAsia="en-US"/>
        </w:rPr>
      </w:pPr>
      <w:r w:rsidRPr="00F208A6">
        <w:rPr>
          <w:rFonts w:ascii="Palatino Linotype" w:hAnsi="Palatino Linotype"/>
          <w:b/>
          <w:bCs/>
          <w:color w:val="201F1E"/>
          <w:sz w:val="22"/>
          <w:szCs w:val="22"/>
          <w:bdr w:val="none" w:sz="0" w:space="0" w:color="auto" w:frame="1"/>
        </w:rPr>
        <w:t>P</w:t>
      </w:r>
      <w:r w:rsidR="00795DF7" w:rsidRPr="00F208A6">
        <w:rPr>
          <w:rFonts w:ascii="Palatino Linotype" w:hAnsi="Palatino Linotype"/>
          <w:b/>
          <w:bCs/>
          <w:color w:val="201F1E"/>
          <w:sz w:val="22"/>
          <w:szCs w:val="22"/>
          <w:bdr w:val="none" w:sz="0" w:space="0" w:color="auto" w:frame="1"/>
        </w:rPr>
        <w:t>RIMERO</w:t>
      </w:r>
      <w:r w:rsidR="0064280D" w:rsidRPr="00F208A6">
        <w:rPr>
          <w:rFonts w:ascii="Palatino Linotype" w:hAnsi="Palatino Linotype"/>
          <w:color w:val="201F1E"/>
          <w:sz w:val="22"/>
          <w:szCs w:val="22"/>
          <w:bdr w:val="none" w:sz="0" w:space="0" w:color="auto" w:frame="1"/>
        </w:rPr>
        <w:t xml:space="preserve">. </w:t>
      </w:r>
      <w:r w:rsidR="004F6571" w:rsidRPr="00F208A6">
        <w:rPr>
          <w:rFonts w:ascii="Palatino Linotype" w:eastAsia="Calibri" w:hAnsi="Palatino Linotype" w:cs="Tahoma"/>
          <w:bCs/>
          <w:sz w:val="22"/>
          <w:szCs w:val="22"/>
          <w:lang w:eastAsia="en-US"/>
        </w:rPr>
        <w:t xml:space="preserve"> </w:t>
      </w:r>
      <w:r w:rsidR="007B17DD" w:rsidRPr="00F208A6">
        <w:rPr>
          <w:rFonts w:ascii="Palatino Linotype" w:hAnsi="Palatino Linotype" w:cs="Tahoma"/>
          <w:sz w:val="22"/>
          <w:szCs w:val="22"/>
        </w:rPr>
        <w:t xml:space="preserve">Se </w:t>
      </w:r>
      <w:r w:rsidR="00E262DD" w:rsidRPr="00F208A6">
        <w:rPr>
          <w:rFonts w:ascii="Palatino Linotype" w:hAnsi="Palatino Linotype" w:cs="Tahoma"/>
          <w:b/>
          <w:sz w:val="22"/>
          <w:szCs w:val="22"/>
        </w:rPr>
        <w:t>REVOCA</w:t>
      </w:r>
      <w:r w:rsidR="00E262DD" w:rsidRPr="00F208A6">
        <w:rPr>
          <w:rFonts w:ascii="Palatino Linotype" w:hAnsi="Palatino Linotype" w:cs="Tahoma"/>
          <w:sz w:val="22"/>
          <w:szCs w:val="22"/>
        </w:rPr>
        <w:t xml:space="preserve"> la respuesta emitida por el Ayuntamiento de </w:t>
      </w:r>
      <w:r w:rsidR="001D4813" w:rsidRPr="00F208A6">
        <w:rPr>
          <w:rFonts w:ascii="Palatino Linotype" w:hAnsi="Palatino Linotype" w:cs="Tahoma"/>
          <w:sz w:val="22"/>
          <w:szCs w:val="22"/>
        </w:rPr>
        <w:t>Tecámac</w:t>
      </w:r>
      <w:r w:rsidR="00E262DD" w:rsidRPr="00F208A6">
        <w:rPr>
          <w:rFonts w:ascii="Palatino Linotype" w:hAnsi="Palatino Linotype" w:cs="Tahoma"/>
          <w:sz w:val="22"/>
          <w:szCs w:val="22"/>
        </w:rPr>
        <w:t xml:space="preserve">, en la solicitud de información </w:t>
      </w:r>
      <w:r w:rsidR="001D4813" w:rsidRPr="00F208A6">
        <w:rPr>
          <w:rFonts w:ascii="Palatino Linotype" w:hAnsi="Palatino Linotype"/>
          <w:b/>
          <w:bCs/>
          <w:sz w:val="22"/>
        </w:rPr>
        <w:t>00444/TECAMAC/IP/2019</w:t>
      </w:r>
      <w:r w:rsidR="004F6571" w:rsidRPr="00F208A6">
        <w:rPr>
          <w:rFonts w:ascii="Palatino Linotype" w:hAnsi="Palatino Linotype"/>
          <w:b/>
          <w:bCs/>
          <w:sz w:val="22"/>
        </w:rPr>
        <w:t xml:space="preserve">, </w:t>
      </w:r>
      <w:r w:rsidR="004F6571" w:rsidRPr="00F208A6">
        <w:rPr>
          <w:rFonts w:ascii="Palatino Linotype" w:eastAsia="Calibri" w:hAnsi="Palatino Linotype" w:cs="Tahoma"/>
          <w:bCs/>
          <w:sz w:val="22"/>
          <w:szCs w:val="22"/>
          <w:lang w:eastAsia="en-US"/>
        </w:rPr>
        <w:t xml:space="preserve">por resultar </w:t>
      </w:r>
      <w:r w:rsidR="004F6571" w:rsidRPr="00F208A6">
        <w:rPr>
          <w:rFonts w:ascii="Palatino Linotype" w:eastAsia="Calibri" w:hAnsi="Palatino Linotype" w:cs="Tahoma"/>
          <w:b/>
          <w:bCs/>
          <w:sz w:val="22"/>
          <w:szCs w:val="22"/>
          <w:lang w:eastAsia="en-US"/>
        </w:rPr>
        <w:t>FUNDADAS</w:t>
      </w:r>
      <w:r w:rsidR="004F6571" w:rsidRPr="00F208A6">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004F6571" w:rsidRPr="00F208A6">
        <w:rPr>
          <w:rFonts w:ascii="Palatino Linotype" w:eastAsia="Calibri" w:hAnsi="Palatino Linotype" w:cs="Tahoma"/>
          <w:b/>
          <w:bCs/>
          <w:sz w:val="22"/>
          <w:szCs w:val="22"/>
          <w:lang w:eastAsia="en-US"/>
        </w:rPr>
        <w:t>QUINTO y SEXTO</w:t>
      </w:r>
      <w:r w:rsidR="004F6571" w:rsidRPr="00F208A6">
        <w:rPr>
          <w:rFonts w:ascii="Palatino Linotype" w:eastAsia="Calibri" w:hAnsi="Palatino Linotype" w:cs="Tahoma"/>
          <w:bCs/>
          <w:sz w:val="22"/>
          <w:szCs w:val="22"/>
          <w:lang w:eastAsia="en-US"/>
        </w:rPr>
        <w:t xml:space="preserve"> de la presente Resolución</w:t>
      </w:r>
      <w:r w:rsidR="004F6571" w:rsidRPr="00F208A6">
        <w:rPr>
          <w:rFonts w:ascii="Palatino Linotype" w:hAnsi="Palatino Linotype"/>
          <w:bCs/>
          <w:sz w:val="22"/>
          <w:szCs w:val="22"/>
        </w:rPr>
        <w:t>.</w:t>
      </w:r>
    </w:p>
    <w:p w14:paraId="45F1B5D5" w14:textId="145EB054" w:rsidR="003E7AE7" w:rsidRPr="00F208A6" w:rsidRDefault="001D3293" w:rsidP="001D3293">
      <w:pPr>
        <w:spacing w:line="360" w:lineRule="auto"/>
        <w:ind w:right="-595"/>
        <w:jc w:val="both"/>
        <w:rPr>
          <w:rFonts w:ascii="Palatino Linotype" w:hAnsi="Palatino Linotype" w:cs="Tahoma"/>
          <w:bCs/>
          <w:sz w:val="22"/>
          <w:szCs w:val="22"/>
        </w:rPr>
      </w:pPr>
      <w:r w:rsidRPr="00F208A6">
        <w:rPr>
          <w:rFonts w:ascii="Palatino Linotype" w:hAnsi="Palatino Linotype" w:cs="Tahoma"/>
          <w:b/>
          <w:sz w:val="22"/>
          <w:szCs w:val="22"/>
        </w:rPr>
        <w:lastRenderedPageBreak/>
        <w:t>SEGUNDO</w:t>
      </w:r>
      <w:r w:rsidR="00E262DD" w:rsidRPr="00F208A6">
        <w:rPr>
          <w:rFonts w:ascii="Palatino Linotype" w:hAnsi="Palatino Linotype" w:cs="Tahoma"/>
          <w:b/>
          <w:sz w:val="22"/>
          <w:szCs w:val="22"/>
        </w:rPr>
        <w:t xml:space="preserve">. </w:t>
      </w:r>
      <w:r w:rsidR="00E262DD" w:rsidRPr="00F208A6">
        <w:rPr>
          <w:rFonts w:ascii="Palatino Linotype" w:hAnsi="Palatino Linotype" w:cs="Tahoma"/>
          <w:sz w:val="22"/>
          <w:szCs w:val="22"/>
        </w:rPr>
        <w:t>Se</w:t>
      </w:r>
      <w:r w:rsidR="00E262DD" w:rsidRPr="00F208A6">
        <w:rPr>
          <w:rFonts w:ascii="Palatino Linotype" w:hAnsi="Palatino Linotype" w:cs="Tahoma"/>
          <w:b/>
          <w:sz w:val="22"/>
          <w:szCs w:val="22"/>
        </w:rPr>
        <w:t xml:space="preserve"> </w:t>
      </w:r>
      <w:r w:rsidR="007B17DD" w:rsidRPr="00F208A6">
        <w:rPr>
          <w:rFonts w:ascii="Palatino Linotype" w:hAnsi="Palatino Linotype" w:cs="Tahoma"/>
          <w:b/>
          <w:sz w:val="22"/>
          <w:szCs w:val="22"/>
        </w:rPr>
        <w:t xml:space="preserve">ORDENA </w:t>
      </w:r>
      <w:r w:rsidR="007B17DD" w:rsidRPr="00F208A6">
        <w:rPr>
          <w:rFonts w:ascii="Palatino Linotype" w:hAnsi="Palatino Linotype" w:cs="Tahoma"/>
          <w:sz w:val="22"/>
          <w:szCs w:val="22"/>
        </w:rPr>
        <w:t xml:space="preserve">al </w:t>
      </w:r>
      <w:r w:rsidR="00430859" w:rsidRPr="00F208A6">
        <w:rPr>
          <w:rFonts w:ascii="Palatino Linotype" w:hAnsi="Palatino Linotype"/>
          <w:bCs/>
          <w:color w:val="000000"/>
          <w:sz w:val="22"/>
          <w:szCs w:val="14"/>
        </w:rPr>
        <w:t xml:space="preserve">Ayuntamiento de </w:t>
      </w:r>
      <w:r w:rsidR="001D4813" w:rsidRPr="00F208A6">
        <w:rPr>
          <w:rFonts w:ascii="Palatino Linotype" w:hAnsi="Palatino Linotype"/>
          <w:bCs/>
          <w:color w:val="000000"/>
          <w:sz w:val="22"/>
          <w:szCs w:val="14"/>
        </w:rPr>
        <w:t>Tecámac</w:t>
      </w:r>
      <w:r w:rsidR="007B17DD" w:rsidRPr="00F208A6">
        <w:rPr>
          <w:rFonts w:ascii="Palatino Linotype" w:hAnsi="Palatino Linotype" w:cs="Tahoma"/>
          <w:sz w:val="22"/>
          <w:szCs w:val="22"/>
        </w:rPr>
        <w:t xml:space="preserve">, a efecto de que </w:t>
      </w:r>
      <w:r w:rsidR="00621FA0" w:rsidRPr="00F208A6">
        <w:rPr>
          <w:rFonts w:ascii="Palatino Linotype" w:eastAsia="Calibri" w:hAnsi="Palatino Linotype" w:cs="Tahoma"/>
          <w:sz w:val="22"/>
          <w:szCs w:val="22"/>
          <w:lang w:eastAsia="en-US"/>
        </w:rPr>
        <w:t>entregue</w:t>
      </w:r>
      <w:r w:rsidR="003E7AE7" w:rsidRPr="00F208A6">
        <w:rPr>
          <w:rFonts w:ascii="Palatino Linotype" w:eastAsia="Calibri" w:hAnsi="Palatino Linotype" w:cs="Tahoma"/>
          <w:sz w:val="22"/>
          <w:szCs w:val="22"/>
          <w:lang w:eastAsia="en-US"/>
        </w:rPr>
        <w:t>,</w:t>
      </w:r>
      <w:r w:rsidR="00621FA0" w:rsidRPr="00F208A6">
        <w:rPr>
          <w:rFonts w:ascii="Palatino Linotype" w:hAnsi="Palatino Linotype" w:cs="Tahoma"/>
          <w:sz w:val="22"/>
          <w:szCs w:val="22"/>
        </w:rPr>
        <w:t xml:space="preserve"> </w:t>
      </w:r>
      <w:r w:rsidRPr="00F208A6">
        <w:rPr>
          <w:rFonts w:ascii="Palatino Linotype" w:hAnsi="Palatino Linotype" w:cs="Tahoma"/>
          <w:bCs/>
          <w:sz w:val="22"/>
          <w:szCs w:val="22"/>
        </w:rPr>
        <w:t xml:space="preserve">en su caso, en versión pública, mediante el Sistema de Acceso a la Información Mexiquense (SAIMEX), </w:t>
      </w:r>
      <w:r w:rsidR="00585249" w:rsidRPr="00F208A6">
        <w:rPr>
          <w:rFonts w:ascii="Palatino Linotype" w:eastAsia="Calibri" w:hAnsi="Palatino Linotype" w:cs="Tahoma"/>
          <w:bCs/>
          <w:sz w:val="22"/>
          <w:szCs w:val="22"/>
          <w:lang w:eastAsia="en-US"/>
        </w:rPr>
        <w:t xml:space="preserve">el Acta de Cabildo de </w:t>
      </w:r>
      <w:r w:rsidRPr="00F208A6">
        <w:rPr>
          <w:rFonts w:ascii="Palatino Linotype" w:eastAsia="Calibri" w:hAnsi="Palatino Linotype" w:cs="Tahoma"/>
          <w:bCs/>
          <w:sz w:val="22"/>
          <w:szCs w:val="22"/>
          <w:lang w:eastAsia="en-US"/>
        </w:rPr>
        <w:t xml:space="preserve">la </w:t>
      </w:r>
      <w:r w:rsidR="003E7AE7" w:rsidRPr="00F208A6">
        <w:rPr>
          <w:rFonts w:ascii="Palatino Linotype" w:eastAsia="Calibri" w:hAnsi="Palatino Linotype" w:cs="Tahoma"/>
          <w:bCs/>
          <w:sz w:val="22"/>
          <w:szCs w:val="22"/>
          <w:lang w:eastAsia="en-US"/>
        </w:rPr>
        <w:t>V</w:t>
      </w:r>
      <w:r w:rsidRPr="00F208A6">
        <w:rPr>
          <w:rFonts w:ascii="Palatino Linotype" w:eastAsia="Calibri" w:hAnsi="Palatino Linotype" w:cs="Tahoma"/>
          <w:bCs/>
          <w:sz w:val="22"/>
          <w:szCs w:val="22"/>
          <w:lang w:eastAsia="en-US"/>
        </w:rPr>
        <w:t xml:space="preserve">igésima </w:t>
      </w:r>
      <w:r w:rsidR="003E7AE7" w:rsidRPr="00F208A6">
        <w:rPr>
          <w:rFonts w:ascii="Palatino Linotype" w:eastAsia="Calibri" w:hAnsi="Palatino Linotype" w:cs="Tahoma"/>
          <w:bCs/>
          <w:sz w:val="22"/>
          <w:szCs w:val="22"/>
          <w:lang w:eastAsia="en-US"/>
        </w:rPr>
        <w:t>T</w:t>
      </w:r>
      <w:r w:rsidRPr="00F208A6">
        <w:rPr>
          <w:rFonts w:ascii="Palatino Linotype" w:eastAsia="Calibri" w:hAnsi="Palatino Linotype" w:cs="Tahoma"/>
          <w:bCs/>
          <w:sz w:val="22"/>
          <w:szCs w:val="22"/>
          <w:lang w:eastAsia="en-US"/>
        </w:rPr>
        <w:t xml:space="preserve">ercera </w:t>
      </w:r>
      <w:r w:rsidR="003E7AE7" w:rsidRPr="00F208A6">
        <w:rPr>
          <w:rFonts w:ascii="Palatino Linotype" w:eastAsia="Calibri" w:hAnsi="Palatino Linotype" w:cs="Tahoma"/>
          <w:bCs/>
          <w:sz w:val="22"/>
          <w:szCs w:val="22"/>
          <w:lang w:eastAsia="en-US"/>
        </w:rPr>
        <w:t>S</w:t>
      </w:r>
      <w:r w:rsidRPr="00F208A6">
        <w:rPr>
          <w:rFonts w:ascii="Palatino Linotype" w:eastAsia="Calibri" w:hAnsi="Palatino Linotype" w:cs="Tahoma"/>
          <w:bCs/>
          <w:sz w:val="22"/>
          <w:szCs w:val="22"/>
          <w:lang w:eastAsia="en-US"/>
        </w:rPr>
        <w:t xml:space="preserve">esión </w:t>
      </w:r>
      <w:r w:rsidR="003E7AE7" w:rsidRPr="00F208A6">
        <w:rPr>
          <w:rFonts w:ascii="Palatino Linotype" w:eastAsia="Calibri" w:hAnsi="Palatino Linotype" w:cs="Tahoma"/>
          <w:bCs/>
          <w:sz w:val="22"/>
          <w:szCs w:val="22"/>
          <w:lang w:eastAsia="en-US"/>
        </w:rPr>
        <w:t>O</w:t>
      </w:r>
      <w:r w:rsidRPr="00F208A6">
        <w:rPr>
          <w:rFonts w:ascii="Palatino Linotype" w:eastAsia="Calibri" w:hAnsi="Palatino Linotype" w:cs="Tahoma"/>
          <w:bCs/>
          <w:sz w:val="22"/>
          <w:szCs w:val="22"/>
          <w:lang w:eastAsia="en-US"/>
        </w:rPr>
        <w:t xml:space="preserve">rdinaria </w:t>
      </w:r>
      <w:r w:rsidR="00585249" w:rsidRPr="00F208A6">
        <w:rPr>
          <w:rFonts w:ascii="Palatino Linotype" w:eastAsia="Calibri" w:hAnsi="Palatino Linotype" w:cs="Tahoma"/>
          <w:bCs/>
          <w:sz w:val="22"/>
          <w:szCs w:val="22"/>
          <w:lang w:eastAsia="en-US"/>
        </w:rPr>
        <w:t>celebrada en</w:t>
      </w:r>
      <w:r w:rsidRPr="00F208A6">
        <w:rPr>
          <w:rFonts w:ascii="Palatino Linotype" w:eastAsia="Calibri" w:hAnsi="Palatino Linotype" w:cs="Tahoma"/>
          <w:bCs/>
          <w:sz w:val="22"/>
          <w:szCs w:val="22"/>
          <w:lang w:eastAsia="en-US"/>
        </w:rPr>
        <w:t xml:space="preserve"> fecha 12 de junio del 2019</w:t>
      </w:r>
      <w:r w:rsidRPr="00F208A6">
        <w:rPr>
          <w:rFonts w:ascii="Palatino Linotype" w:hAnsi="Palatino Linotype" w:cs="Tahoma"/>
          <w:bCs/>
          <w:sz w:val="22"/>
          <w:szCs w:val="22"/>
        </w:rPr>
        <w:t xml:space="preserve">, </w:t>
      </w:r>
      <w:r w:rsidR="00585249" w:rsidRPr="00F208A6">
        <w:rPr>
          <w:rFonts w:ascii="Palatino Linotype" w:hAnsi="Palatino Linotype" w:cs="Tahoma"/>
          <w:bCs/>
          <w:sz w:val="22"/>
          <w:szCs w:val="22"/>
        </w:rPr>
        <w:t>en la cual, entre otras cuestiones se haya acordado y autorizado,</w:t>
      </w:r>
      <w:r w:rsidRPr="00F208A6">
        <w:rPr>
          <w:rFonts w:ascii="Palatino Linotype" w:hAnsi="Palatino Linotype" w:cs="Tahoma"/>
          <w:bCs/>
          <w:sz w:val="22"/>
          <w:szCs w:val="22"/>
        </w:rPr>
        <w:t xml:space="preserve"> lo siguiente:</w:t>
      </w:r>
    </w:p>
    <w:p w14:paraId="0F9F502C" w14:textId="77777777" w:rsidR="00585249" w:rsidRPr="00F208A6" w:rsidRDefault="00585249" w:rsidP="001D3293">
      <w:pPr>
        <w:spacing w:line="360" w:lineRule="auto"/>
        <w:ind w:right="-595"/>
        <w:jc w:val="both"/>
        <w:rPr>
          <w:rFonts w:ascii="Palatino Linotype" w:hAnsi="Palatino Linotype" w:cs="Tahoma"/>
          <w:bCs/>
          <w:sz w:val="22"/>
          <w:szCs w:val="22"/>
        </w:rPr>
      </w:pPr>
    </w:p>
    <w:p w14:paraId="7D77AE0A" w14:textId="77777777" w:rsidR="001D4813" w:rsidRPr="00F208A6" w:rsidRDefault="001D4813" w:rsidP="00471595">
      <w:pPr>
        <w:pStyle w:val="Prrafodelista"/>
        <w:numPr>
          <w:ilvl w:val="0"/>
          <w:numId w:val="46"/>
        </w:numPr>
        <w:spacing w:line="360" w:lineRule="auto"/>
        <w:ind w:right="-595"/>
        <w:jc w:val="both"/>
        <w:rPr>
          <w:rFonts w:ascii="Palatino Linotype" w:hAnsi="Palatino Linotype" w:cs="Tahoma"/>
          <w:bCs/>
          <w:szCs w:val="22"/>
        </w:rPr>
      </w:pPr>
      <w:r w:rsidRPr="00F208A6">
        <w:rPr>
          <w:rFonts w:ascii="Palatino Linotype" w:hAnsi="Palatino Linotype" w:cs="Tahoma"/>
          <w:bCs/>
          <w:szCs w:val="22"/>
        </w:rPr>
        <w:t xml:space="preserve">Catálogo municipal de unidades económicas </w:t>
      </w:r>
    </w:p>
    <w:p w14:paraId="735CB7B5" w14:textId="77777777" w:rsidR="001D4813" w:rsidRPr="00F208A6" w:rsidRDefault="001D4813" w:rsidP="00471595">
      <w:pPr>
        <w:pStyle w:val="Prrafodelista"/>
        <w:numPr>
          <w:ilvl w:val="0"/>
          <w:numId w:val="46"/>
        </w:numPr>
        <w:spacing w:line="360" w:lineRule="auto"/>
        <w:ind w:left="709" w:right="-595"/>
        <w:jc w:val="both"/>
        <w:rPr>
          <w:rFonts w:ascii="Palatino Linotype" w:hAnsi="Palatino Linotype" w:cs="Tahoma"/>
          <w:bCs/>
          <w:szCs w:val="22"/>
        </w:rPr>
      </w:pPr>
      <w:r w:rsidRPr="00F208A6">
        <w:rPr>
          <w:rFonts w:ascii="Palatino Linotype" w:hAnsi="Palatino Linotype" w:cs="Tahoma"/>
          <w:bCs/>
          <w:szCs w:val="22"/>
        </w:rPr>
        <w:t>Catálogo municipal de unidades económicas de alto impacto</w:t>
      </w:r>
    </w:p>
    <w:p w14:paraId="4700812E" w14:textId="77777777" w:rsidR="001D4813" w:rsidRPr="00F208A6" w:rsidRDefault="001D4813" w:rsidP="00471595">
      <w:pPr>
        <w:pStyle w:val="Prrafodelista"/>
        <w:numPr>
          <w:ilvl w:val="0"/>
          <w:numId w:val="46"/>
        </w:numPr>
        <w:spacing w:line="360" w:lineRule="auto"/>
        <w:ind w:left="709" w:right="-595"/>
        <w:jc w:val="both"/>
        <w:rPr>
          <w:rFonts w:ascii="Palatino Linotype" w:hAnsi="Palatino Linotype" w:cs="Tahoma"/>
          <w:bCs/>
          <w:szCs w:val="22"/>
        </w:rPr>
      </w:pPr>
      <w:r w:rsidRPr="00F208A6">
        <w:rPr>
          <w:rFonts w:ascii="Palatino Linotype" w:hAnsi="Palatino Linotype" w:cs="Tahoma"/>
          <w:bCs/>
          <w:szCs w:val="22"/>
        </w:rPr>
        <w:t xml:space="preserve">Catálogo municipal de cobro de giros específicos </w:t>
      </w:r>
    </w:p>
    <w:p w14:paraId="7968A73C" w14:textId="77777777" w:rsidR="001D4813" w:rsidRPr="00F208A6" w:rsidRDefault="001D4813" w:rsidP="00471595">
      <w:pPr>
        <w:pStyle w:val="Prrafodelista"/>
        <w:numPr>
          <w:ilvl w:val="0"/>
          <w:numId w:val="46"/>
        </w:numPr>
        <w:spacing w:line="360" w:lineRule="auto"/>
        <w:ind w:left="709" w:right="-595"/>
        <w:jc w:val="both"/>
        <w:rPr>
          <w:rFonts w:ascii="Palatino Linotype" w:hAnsi="Palatino Linotype" w:cs="Tahoma"/>
          <w:bCs/>
          <w:szCs w:val="22"/>
        </w:rPr>
      </w:pPr>
      <w:r w:rsidRPr="00F208A6">
        <w:rPr>
          <w:rFonts w:ascii="Palatino Linotype" w:hAnsi="Palatino Linotype" w:cs="Tahoma"/>
          <w:bCs/>
          <w:szCs w:val="22"/>
        </w:rPr>
        <w:t xml:space="preserve">Catálogo municipal del sistema de apertura rápida de empresas </w:t>
      </w:r>
    </w:p>
    <w:p w14:paraId="3EE4ADB8" w14:textId="77777777" w:rsidR="001D4813" w:rsidRPr="00F208A6" w:rsidRDefault="001D4813" w:rsidP="007706FD">
      <w:pPr>
        <w:spacing w:line="360" w:lineRule="auto"/>
        <w:ind w:right="-595"/>
        <w:jc w:val="both"/>
        <w:rPr>
          <w:rFonts w:ascii="Palatino Linotype" w:hAnsi="Palatino Linotype" w:cs="Tahoma"/>
          <w:bCs/>
          <w:sz w:val="22"/>
          <w:szCs w:val="22"/>
        </w:rPr>
      </w:pPr>
    </w:p>
    <w:p w14:paraId="23BC3BD9" w14:textId="77777777" w:rsidR="004F6571" w:rsidRPr="00F208A6" w:rsidRDefault="004F6571" w:rsidP="004F6571">
      <w:pPr>
        <w:shd w:val="clear" w:color="auto" w:fill="FFFFFF" w:themeFill="background1"/>
        <w:tabs>
          <w:tab w:val="left" w:pos="2130"/>
        </w:tabs>
        <w:spacing w:line="360" w:lineRule="auto"/>
        <w:ind w:right="-595"/>
        <w:jc w:val="both"/>
        <w:rPr>
          <w:rFonts w:ascii="Palatino Linotype" w:eastAsia="Calibri" w:hAnsi="Palatino Linotype" w:cs="Tahoma"/>
          <w:bCs/>
          <w:sz w:val="22"/>
          <w:szCs w:val="22"/>
          <w:lang w:eastAsia="en-US"/>
        </w:rPr>
      </w:pPr>
      <w:r w:rsidRPr="00F208A6">
        <w:rPr>
          <w:rFonts w:ascii="Palatino Linotype" w:hAnsi="Palatino Linotype" w:cs="Tahoma"/>
          <w:sz w:val="22"/>
          <w:szCs w:val="22"/>
          <w:lang w:val="es-ES"/>
        </w:rPr>
        <w:t xml:space="preserve">En caso de que la información solicitada contenga datos confidenciales, deberá entregarla en versión pública junto con el Acuerdo de Clasificación del Comité de Transparencia mediante el cual se funde y motive la eliminación de los mismos, en términos de los artículos 49, fracción II, </w:t>
      </w:r>
      <w:r w:rsidRPr="00F208A6">
        <w:rPr>
          <w:rFonts w:ascii="Palatino Linotype" w:eastAsia="Calibri" w:hAnsi="Palatino Linotype" w:cs="Tahoma"/>
          <w:bCs/>
          <w:sz w:val="22"/>
          <w:szCs w:val="22"/>
          <w:lang w:eastAsia="en-US"/>
        </w:rPr>
        <w:t>143, fracción I y 149 de la Ley de Transparencia y A</w:t>
      </w:r>
      <w:bookmarkStart w:id="0" w:name="_GoBack"/>
      <w:bookmarkEnd w:id="0"/>
      <w:r w:rsidRPr="00F208A6">
        <w:rPr>
          <w:rFonts w:ascii="Palatino Linotype" w:eastAsia="Calibri" w:hAnsi="Palatino Linotype" w:cs="Tahoma"/>
          <w:bCs/>
          <w:sz w:val="22"/>
          <w:szCs w:val="22"/>
          <w:lang w:eastAsia="en-US"/>
        </w:rPr>
        <w:t>cceso a la Información Pública de Estado de México y Municipios.</w:t>
      </w:r>
    </w:p>
    <w:p w14:paraId="3F4F2028" w14:textId="38E766C7" w:rsidR="00947C21" w:rsidRPr="00F208A6" w:rsidRDefault="00947C21" w:rsidP="007706FD">
      <w:pPr>
        <w:spacing w:line="360" w:lineRule="auto"/>
        <w:ind w:right="-595"/>
        <w:jc w:val="both"/>
        <w:rPr>
          <w:rFonts w:ascii="Palatino Linotype" w:eastAsia="Calibri" w:hAnsi="Palatino Linotype" w:cs="Tahoma"/>
          <w:bCs/>
          <w:szCs w:val="22"/>
          <w:lang w:eastAsia="en-US"/>
        </w:rPr>
      </w:pPr>
    </w:p>
    <w:p w14:paraId="28D4879D" w14:textId="231EE2CA" w:rsidR="007B17DD" w:rsidRPr="00F208A6" w:rsidRDefault="007B0810" w:rsidP="007706FD">
      <w:pPr>
        <w:spacing w:line="360" w:lineRule="auto"/>
        <w:ind w:right="-595"/>
        <w:jc w:val="both"/>
        <w:rPr>
          <w:rFonts w:ascii="Palatino Linotype" w:hAnsi="Palatino Linotype" w:cs="Tahoma"/>
          <w:i/>
          <w:sz w:val="22"/>
          <w:szCs w:val="22"/>
        </w:rPr>
      </w:pPr>
      <w:r w:rsidRPr="00F208A6">
        <w:rPr>
          <w:rFonts w:ascii="Palatino Linotype" w:hAnsi="Palatino Linotype" w:cs="Tahoma"/>
          <w:b/>
          <w:sz w:val="22"/>
          <w:szCs w:val="22"/>
        </w:rPr>
        <w:t>TERCERO</w:t>
      </w:r>
      <w:r w:rsidR="007B17DD" w:rsidRPr="00F208A6">
        <w:rPr>
          <w:rFonts w:ascii="Palatino Linotype" w:hAnsi="Palatino Linotype" w:cs="Tahoma"/>
          <w:b/>
          <w:sz w:val="22"/>
          <w:szCs w:val="22"/>
        </w:rPr>
        <w:t xml:space="preserve">. NOTIFÍQUESE </w:t>
      </w:r>
      <w:r w:rsidR="007B17DD" w:rsidRPr="00F208A6">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8F5DF90" w14:textId="77777777" w:rsidR="007B17DD" w:rsidRPr="00F208A6" w:rsidRDefault="007B17DD" w:rsidP="007706FD">
      <w:pPr>
        <w:shd w:val="clear" w:color="auto" w:fill="FFFFFF" w:themeFill="background1"/>
        <w:spacing w:line="360" w:lineRule="auto"/>
        <w:ind w:right="-595"/>
        <w:jc w:val="both"/>
        <w:rPr>
          <w:rFonts w:ascii="Palatino Linotype" w:eastAsia="Calibri" w:hAnsi="Palatino Linotype" w:cs="Tahoma"/>
          <w:b/>
          <w:sz w:val="22"/>
          <w:szCs w:val="22"/>
          <w:lang w:eastAsia="es-MX"/>
        </w:rPr>
      </w:pPr>
    </w:p>
    <w:p w14:paraId="7C63577E" w14:textId="56643EAB" w:rsidR="007B17DD" w:rsidRPr="00F208A6" w:rsidRDefault="007B0810" w:rsidP="007706FD">
      <w:pPr>
        <w:shd w:val="clear" w:color="auto" w:fill="FFFFFF" w:themeFill="background1"/>
        <w:spacing w:line="360" w:lineRule="auto"/>
        <w:ind w:right="-595"/>
        <w:jc w:val="both"/>
        <w:rPr>
          <w:rFonts w:ascii="Palatino Linotype" w:hAnsi="Palatino Linotype" w:cs="Tahoma"/>
          <w:sz w:val="22"/>
          <w:szCs w:val="22"/>
        </w:rPr>
      </w:pPr>
      <w:r w:rsidRPr="00F208A6">
        <w:rPr>
          <w:rFonts w:ascii="Palatino Linotype" w:eastAsia="Calibri" w:hAnsi="Palatino Linotype" w:cs="Tahoma"/>
          <w:b/>
          <w:sz w:val="22"/>
          <w:szCs w:val="22"/>
          <w:lang w:eastAsia="es-MX"/>
        </w:rPr>
        <w:t>CUARTO</w:t>
      </w:r>
      <w:r w:rsidR="007B17DD" w:rsidRPr="00F208A6">
        <w:rPr>
          <w:rFonts w:ascii="Palatino Linotype" w:eastAsia="Calibri" w:hAnsi="Palatino Linotype" w:cs="Tahoma"/>
          <w:b/>
          <w:bCs/>
          <w:sz w:val="22"/>
          <w:szCs w:val="22"/>
          <w:lang w:eastAsia="en-US"/>
        </w:rPr>
        <w:t xml:space="preserve">. </w:t>
      </w:r>
      <w:r w:rsidR="007B17DD" w:rsidRPr="00F208A6">
        <w:rPr>
          <w:rFonts w:ascii="Palatino Linotype" w:hAnsi="Palatino Linotype" w:cs="Tahoma"/>
          <w:b/>
          <w:sz w:val="22"/>
          <w:szCs w:val="22"/>
        </w:rPr>
        <w:t>NOTIFÍQUESE</w:t>
      </w:r>
      <w:r w:rsidR="007B17DD" w:rsidRPr="00F208A6">
        <w:rPr>
          <w:rFonts w:ascii="Palatino Linotype" w:hAnsi="Palatino Linotype" w:cs="Tahoma"/>
          <w:sz w:val="22"/>
          <w:szCs w:val="22"/>
        </w:rPr>
        <w:t xml:space="preserve"> </w:t>
      </w:r>
      <w:r w:rsidR="001D4813" w:rsidRPr="00F208A6">
        <w:rPr>
          <w:rFonts w:ascii="Palatino Linotype" w:hAnsi="Palatino Linotype" w:cs="Tahoma"/>
          <w:sz w:val="22"/>
          <w:szCs w:val="22"/>
        </w:rPr>
        <w:t>al</w:t>
      </w:r>
      <w:r w:rsidR="007B17DD" w:rsidRPr="00F208A6">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3217007" w14:textId="77777777" w:rsidR="001F216E" w:rsidRPr="00F208A6" w:rsidRDefault="001F216E" w:rsidP="007706FD">
      <w:pPr>
        <w:shd w:val="clear" w:color="auto" w:fill="FFFFFF" w:themeFill="background1"/>
        <w:spacing w:line="360" w:lineRule="auto"/>
        <w:jc w:val="both"/>
        <w:rPr>
          <w:rFonts w:ascii="Palatino Linotype" w:hAnsi="Palatino Linotype" w:cs="Tahoma"/>
          <w:sz w:val="22"/>
          <w:szCs w:val="22"/>
        </w:rPr>
      </w:pPr>
    </w:p>
    <w:p w14:paraId="12BA2D84" w14:textId="77777777" w:rsidR="00571E74" w:rsidRPr="00F012DF" w:rsidRDefault="00571E74" w:rsidP="00571E74">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02DA2E67" w14:textId="77777777" w:rsidR="00571E74" w:rsidRPr="00F012DF" w:rsidRDefault="00571E74" w:rsidP="00571E74">
      <w:pPr>
        <w:spacing w:line="360" w:lineRule="auto"/>
        <w:ind w:right="-93"/>
        <w:jc w:val="both"/>
        <w:rPr>
          <w:rFonts w:ascii="Palatino Linotype" w:eastAsia="Calibri" w:hAnsi="Palatino Linotype" w:cs="Tahoma"/>
          <w:bCs/>
          <w:sz w:val="22"/>
          <w:szCs w:val="22"/>
          <w:lang w:eastAsia="en-US"/>
        </w:rPr>
      </w:pPr>
    </w:p>
    <w:p w14:paraId="0732E483" w14:textId="77777777" w:rsidR="00571E74" w:rsidRDefault="00571E74" w:rsidP="00571E74">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9504" behindDoc="0" locked="0" layoutInCell="1" allowOverlap="1" wp14:anchorId="49E27942" wp14:editId="1052B418">
                <wp:simplePos x="0" y="0"/>
                <wp:positionH relativeFrom="margin">
                  <wp:align>center</wp:align>
                </wp:positionH>
                <wp:positionV relativeFrom="paragraph">
                  <wp:posOffset>129540</wp:posOffset>
                </wp:positionV>
                <wp:extent cx="2551430" cy="809625"/>
                <wp:effectExtent l="0" t="0" r="2032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F05743"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4507D9B"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EEF7C1A" w14:textId="77777777" w:rsidR="00571E74" w:rsidRPr="00DA1AD1" w:rsidRDefault="00571E74" w:rsidP="00571E74">
                            <w:pPr>
                              <w:jc w:val="center"/>
                              <w:rPr>
                                <w:rFonts w:ascii="Palatino Linotype" w:hAnsi="Palatino Linotype"/>
                                <w:b/>
                                <w:sz w:val="22"/>
                                <w:szCs w:val="24"/>
                              </w:rPr>
                            </w:pPr>
                            <w:r w:rsidRPr="00DA1AD1">
                              <w:rPr>
                                <w:rFonts w:ascii="Palatino Linotype" w:hAnsi="Palatino Linotype"/>
                                <w:b/>
                                <w:sz w:val="22"/>
                                <w:szCs w:val="24"/>
                              </w:rPr>
                              <w:t>(Rúbrica)</w:t>
                            </w:r>
                          </w:p>
                          <w:p w14:paraId="3478AE4A" w14:textId="77777777" w:rsidR="00571E74" w:rsidRPr="00016AF3" w:rsidRDefault="00571E74" w:rsidP="00571E74">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27942" id="_x0000_t202" coordsize="21600,21600" o:spt="202" path="m,l,21600r21600,l21600,xe">
                <v:stroke joinstyle="miter"/>
                <v:path gradientshapeok="t" o:connecttype="rect"/>
              </v:shapetype>
              <v:shape id="Cuadro de texto 7" o:spid="_x0000_s1026" type="#_x0000_t202" style="position:absolute;left:0;text-align:left;margin-left:0;margin-top:10.2pt;width:200.9pt;height:63.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Isdb4OdAgAA0gUAAA4AAAAAAAAAAAAAAAAALgIAAGRycy9lMm9E&#10;b2MueG1sUEsBAi0AFAAGAAgAAAAhAIS8GP3aAAAABwEAAA8AAAAAAAAAAAAAAAAA9wQAAGRycy9k&#10;b3ducmV2LnhtbFBLBQYAAAAABAAEAPMAAAD+BQAAAAA=&#10;" fillcolor="white [3201]" strokecolor="white [3212]" strokeweight=".5pt">
                <v:path arrowok="t"/>
                <v:textbox>
                  <w:txbxContent>
                    <w:p w14:paraId="39F05743"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4507D9B"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EEF7C1A" w14:textId="77777777" w:rsidR="00571E74" w:rsidRPr="00DA1AD1" w:rsidRDefault="00571E74" w:rsidP="00571E74">
                      <w:pPr>
                        <w:jc w:val="center"/>
                        <w:rPr>
                          <w:rFonts w:ascii="Palatino Linotype" w:hAnsi="Palatino Linotype"/>
                          <w:b/>
                          <w:sz w:val="22"/>
                          <w:szCs w:val="24"/>
                        </w:rPr>
                      </w:pPr>
                      <w:r w:rsidRPr="00DA1AD1">
                        <w:rPr>
                          <w:rFonts w:ascii="Palatino Linotype" w:hAnsi="Palatino Linotype"/>
                          <w:b/>
                          <w:sz w:val="22"/>
                          <w:szCs w:val="24"/>
                        </w:rPr>
                        <w:t>(Rúbrica)</w:t>
                      </w:r>
                    </w:p>
                    <w:p w14:paraId="3478AE4A" w14:textId="77777777" w:rsidR="00571E74" w:rsidRPr="00016AF3" w:rsidRDefault="00571E74" w:rsidP="00571E74">
                      <w:pPr>
                        <w:jc w:val="center"/>
                        <w:rPr>
                          <w:rFonts w:ascii="Palatino Linotype" w:hAnsi="Palatino Linotype"/>
                          <w:b/>
                          <w:sz w:val="24"/>
                          <w:szCs w:val="24"/>
                        </w:rPr>
                      </w:pPr>
                    </w:p>
                  </w:txbxContent>
                </v:textbox>
                <w10:wrap anchorx="margin"/>
              </v:shape>
            </w:pict>
          </mc:Fallback>
        </mc:AlternateContent>
      </w:r>
    </w:p>
    <w:p w14:paraId="467526D2" w14:textId="77777777" w:rsidR="00571E74" w:rsidRDefault="00571E74" w:rsidP="00571E74">
      <w:pPr>
        <w:spacing w:line="360" w:lineRule="auto"/>
        <w:ind w:right="-93"/>
        <w:jc w:val="both"/>
        <w:rPr>
          <w:rFonts w:ascii="Palatino Linotype" w:eastAsia="Calibri" w:hAnsi="Palatino Linotype" w:cs="Tahoma"/>
          <w:b/>
          <w:bCs/>
          <w:sz w:val="22"/>
          <w:szCs w:val="22"/>
          <w:lang w:eastAsia="en-US"/>
        </w:rPr>
      </w:pPr>
    </w:p>
    <w:p w14:paraId="175F1DB9" w14:textId="77777777" w:rsidR="00571E74" w:rsidRDefault="00571E74" w:rsidP="00571E74">
      <w:pPr>
        <w:spacing w:line="360" w:lineRule="auto"/>
        <w:ind w:right="-93"/>
        <w:jc w:val="both"/>
        <w:rPr>
          <w:rFonts w:ascii="Palatino Linotype" w:eastAsia="Calibri" w:hAnsi="Palatino Linotype" w:cs="Tahoma"/>
          <w:b/>
          <w:bCs/>
          <w:sz w:val="22"/>
          <w:szCs w:val="22"/>
          <w:lang w:eastAsia="en-US"/>
        </w:rPr>
      </w:pPr>
    </w:p>
    <w:p w14:paraId="31450619" w14:textId="77777777" w:rsidR="00571E74" w:rsidRPr="00F012DF" w:rsidRDefault="00571E74" w:rsidP="00571E74">
      <w:pPr>
        <w:spacing w:line="360" w:lineRule="auto"/>
        <w:ind w:right="-93"/>
        <w:jc w:val="both"/>
        <w:rPr>
          <w:rFonts w:ascii="Palatino Linotype" w:eastAsia="Calibri" w:hAnsi="Palatino Linotype" w:cs="Tahoma"/>
          <w:b/>
          <w:bCs/>
          <w:sz w:val="22"/>
          <w:szCs w:val="22"/>
          <w:lang w:eastAsia="en-US"/>
        </w:rPr>
      </w:pPr>
    </w:p>
    <w:p w14:paraId="4007AC06" w14:textId="77777777" w:rsidR="00571E74" w:rsidRPr="00F012DF" w:rsidRDefault="00571E74" w:rsidP="00571E74">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1552" behindDoc="0" locked="0" layoutInCell="1" allowOverlap="1" wp14:anchorId="4FD3AB66" wp14:editId="0663481E">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C3133E"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AC5FA82"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827FD8E" w14:textId="77777777" w:rsidR="00571E74" w:rsidRPr="00DA1AD1" w:rsidRDefault="00571E74" w:rsidP="00571E74">
                            <w:pPr>
                              <w:jc w:val="center"/>
                              <w:rPr>
                                <w:rFonts w:ascii="Palatino Linotype" w:hAnsi="Palatino Linotype"/>
                                <w:b/>
                                <w:sz w:val="22"/>
                                <w:szCs w:val="24"/>
                              </w:rPr>
                            </w:pPr>
                            <w:r w:rsidRPr="00DA1AD1">
                              <w:rPr>
                                <w:rFonts w:ascii="Palatino Linotype" w:hAnsi="Palatino Linotype"/>
                                <w:b/>
                                <w:sz w:val="22"/>
                                <w:szCs w:val="24"/>
                              </w:rPr>
                              <w:t>(Rúbrica)</w:t>
                            </w:r>
                          </w:p>
                          <w:p w14:paraId="7137107E" w14:textId="77777777" w:rsidR="00571E74" w:rsidRPr="00DA1AD1" w:rsidRDefault="00571E74" w:rsidP="00571E74">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3AB66" id="Cuadro de texto 35" o:spid="_x0000_s1027" type="#_x0000_t202" style="position:absolute;left:0;text-align:left;margin-left:237.15pt;margin-top:.75pt;width:220.5pt;height:61.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14C3133E"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AC5FA82"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827FD8E" w14:textId="77777777" w:rsidR="00571E74" w:rsidRPr="00DA1AD1" w:rsidRDefault="00571E74" w:rsidP="00571E74">
                      <w:pPr>
                        <w:jc w:val="center"/>
                        <w:rPr>
                          <w:rFonts w:ascii="Palatino Linotype" w:hAnsi="Palatino Linotype"/>
                          <w:b/>
                          <w:sz w:val="22"/>
                          <w:szCs w:val="24"/>
                        </w:rPr>
                      </w:pPr>
                      <w:r w:rsidRPr="00DA1AD1">
                        <w:rPr>
                          <w:rFonts w:ascii="Palatino Linotype" w:hAnsi="Palatino Linotype"/>
                          <w:b/>
                          <w:sz w:val="22"/>
                          <w:szCs w:val="24"/>
                        </w:rPr>
                        <w:t>(Rúbrica)</w:t>
                      </w:r>
                    </w:p>
                    <w:p w14:paraId="7137107E" w14:textId="77777777" w:rsidR="00571E74" w:rsidRPr="00DA1AD1" w:rsidRDefault="00571E74" w:rsidP="00571E74">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29D25522" wp14:editId="0518AF9B">
                <wp:simplePos x="0" y="0"/>
                <wp:positionH relativeFrom="margin">
                  <wp:align>left</wp:align>
                </wp:positionH>
                <wp:positionV relativeFrom="paragraph">
                  <wp:posOffset>12328</wp:posOffset>
                </wp:positionV>
                <wp:extent cx="1943100" cy="752475"/>
                <wp:effectExtent l="0" t="0" r="19050"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809ECB" w14:textId="77777777" w:rsidR="00571E74" w:rsidRPr="00DA1AD1" w:rsidRDefault="00571E74" w:rsidP="00571E74">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958B6AD"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B64D806" w14:textId="77777777" w:rsidR="00571E74" w:rsidRPr="00DA1AD1" w:rsidRDefault="00571E74" w:rsidP="00571E74">
                            <w:pPr>
                              <w:jc w:val="center"/>
                              <w:rPr>
                                <w:rFonts w:ascii="Palatino Linotype" w:hAnsi="Palatino Linotype"/>
                                <w:b/>
                                <w:sz w:val="22"/>
                                <w:szCs w:val="24"/>
                              </w:rPr>
                            </w:pPr>
                            <w:r w:rsidRPr="00DA1AD1">
                              <w:rPr>
                                <w:rFonts w:ascii="Palatino Linotype" w:hAnsi="Palatino Linotype"/>
                                <w:b/>
                                <w:sz w:val="22"/>
                                <w:szCs w:val="24"/>
                              </w:rPr>
                              <w:t>(Rúbrica)</w:t>
                            </w:r>
                          </w:p>
                          <w:p w14:paraId="76C03B76" w14:textId="77777777" w:rsidR="00571E74" w:rsidRPr="00DA1AD1" w:rsidRDefault="00571E74" w:rsidP="00571E74">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25522" id="Cuadro de texto 8" o:spid="_x0000_s1028" type="#_x0000_t202" style="position:absolute;left:0;text-align:left;margin-left:0;margin-top:.95pt;width:153pt;height:59.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DuqIv6fAgAA2QUAAA4AAAAAAAAAAAAAAAAALgIAAGRycy9lMm9E&#10;b2MueG1sUEsBAi0AFAAGAAgAAAAhABJTHqPYAAAABgEAAA8AAAAAAAAAAAAAAAAA+QQAAGRycy9k&#10;b3ducmV2LnhtbFBLBQYAAAAABAAEAPMAAAD+BQAAAAA=&#10;" fillcolor="white [3201]" strokecolor="white [3212]" strokeweight=".5pt">
                <v:path arrowok="t"/>
                <v:textbox>
                  <w:txbxContent>
                    <w:p w14:paraId="68809ECB" w14:textId="77777777" w:rsidR="00571E74" w:rsidRPr="00DA1AD1" w:rsidRDefault="00571E74" w:rsidP="00571E74">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958B6AD"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B64D806" w14:textId="77777777" w:rsidR="00571E74" w:rsidRPr="00DA1AD1" w:rsidRDefault="00571E74" w:rsidP="00571E74">
                      <w:pPr>
                        <w:jc w:val="center"/>
                        <w:rPr>
                          <w:rFonts w:ascii="Palatino Linotype" w:hAnsi="Palatino Linotype"/>
                          <w:b/>
                          <w:sz w:val="22"/>
                          <w:szCs w:val="24"/>
                        </w:rPr>
                      </w:pPr>
                      <w:r w:rsidRPr="00DA1AD1">
                        <w:rPr>
                          <w:rFonts w:ascii="Palatino Linotype" w:hAnsi="Palatino Linotype"/>
                          <w:b/>
                          <w:sz w:val="22"/>
                          <w:szCs w:val="24"/>
                        </w:rPr>
                        <w:t>(Rúbrica)</w:t>
                      </w:r>
                    </w:p>
                    <w:p w14:paraId="76C03B76" w14:textId="77777777" w:rsidR="00571E74" w:rsidRPr="00DA1AD1" w:rsidRDefault="00571E74" w:rsidP="00571E74">
                      <w:pPr>
                        <w:jc w:val="center"/>
                        <w:rPr>
                          <w:sz w:val="18"/>
                        </w:rPr>
                      </w:pPr>
                    </w:p>
                  </w:txbxContent>
                </v:textbox>
                <w10:wrap anchorx="margin"/>
              </v:shape>
            </w:pict>
          </mc:Fallback>
        </mc:AlternateContent>
      </w:r>
    </w:p>
    <w:p w14:paraId="015F2BD7" w14:textId="77777777" w:rsidR="00571E74" w:rsidRPr="00F012DF" w:rsidRDefault="00571E74" w:rsidP="00571E74">
      <w:pPr>
        <w:spacing w:line="360" w:lineRule="auto"/>
        <w:ind w:right="-93"/>
        <w:jc w:val="both"/>
        <w:rPr>
          <w:rFonts w:ascii="Palatino Linotype" w:eastAsia="Calibri" w:hAnsi="Palatino Linotype" w:cs="Tahoma"/>
          <w:b/>
          <w:bCs/>
          <w:sz w:val="22"/>
          <w:szCs w:val="22"/>
          <w:lang w:eastAsia="en-US"/>
        </w:rPr>
      </w:pPr>
    </w:p>
    <w:p w14:paraId="3B21796C" w14:textId="77777777" w:rsidR="00571E74" w:rsidRPr="00F012DF" w:rsidRDefault="00571E74" w:rsidP="00571E74">
      <w:pPr>
        <w:spacing w:line="360" w:lineRule="auto"/>
        <w:ind w:right="-93"/>
        <w:jc w:val="both"/>
        <w:rPr>
          <w:rFonts w:ascii="Palatino Linotype" w:eastAsia="Calibri" w:hAnsi="Palatino Linotype" w:cs="Tahoma"/>
          <w:b/>
          <w:bCs/>
          <w:sz w:val="22"/>
          <w:szCs w:val="22"/>
          <w:lang w:eastAsia="en-US"/>
        </w:rPr>
      </w:pPr>
    </w:p>
    <w:p w14:paraId="2FA8AF5E" w14:textId="77777777" w:rsidR="00571E74" w:rsidRDefault="00571E74" w:rsidP="00571E74">
      <w:pPr>
        <w:spacing w:line="360" w:lineRule="auto"/>
        <w:ind w:right="-93"/>
        <w:jc w:val="both"/>
        <w:rPr>
          <w:rFonts w:ascii="Palatino Linotype" w:eastAsia="Calibri" w:hAnsi="Palatino Linotype" w:cs="Tahoma"/>
          <w:b/>
          <w:bCs/>
          <w:sz w:val="22"/>
          <w:szCs w:val="22"/>
          <w:lang w:eastAsia="en-US"/>
        </w:rPr>
      </w:pPr>
    </w:p>
    <w:p w14:paraId="755C6649" w14:textId="77777777" w:rsidR="00571E74" w:rsidRPr="00F012DF" w:rsidRDefault="00571E74" w:rsidP="00571E74">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4624" behindDoc="0" locked="0" layoutInCell="1" allowOverlap="1" wp14:anchorId="1F156DE8" wp14:editId="14261149">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B6238A" w14:textId="77777777" w:rsidR="00571E74" w:rsidRPr="00DA1AD1" w:rsidRDefault="00571E74" w:rsidP="00571E74">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17E40C5"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387A506" w14:textId="77777777" w:rsidR="00571E74" w:rsidRPr="00DA1AD1" w:rsidRDefault="00571E74" w:rsidP="00571E74">
                            <w:pPr>
                              <w:jc w:val="center"/>
                              <w:rPr>
                                <w:rFonts w:ascii="Palatino Linotype" w:hAnsi="Palatino Linotype"/>
                                <w:b/>
                                <w:sz w:val="18"/>
                              </w:rPr>
                            </w:pPr>
                            <w:r w:rsidRPr="00DA1AD1">
                              <w:rPr>
                                <w:rFonts w:ascii="Palatino Linotype" w:hAnsi="Palatino Linotype"/>
                                <w:b/>
                                <w:sz w:val="22"/>
                                <w:szCs w:val="24"/>
                              </w:rPr>
                              <w:t>(Rúbrica)</w:t>
                            </w:r>
                          </w:p>
                          <w:p w14:paraId="15D2C0C2" w14:textId="77777777" w:rsidR="00571E74" w:rsidRDefault="00571E74" w:rsidP="00571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6DE8" id="Cuadro de texto 9" o:spid="_x0000_s1029" type="#_x0000_t202" style="position:absolute;left:0;text-align:left;margin-left:128.05pt;margin-top:.4pt;width:179.25pt;height:57.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47B6238A" w14:textId="77777777" w:rsidR="00571E74" w:rsidRPr="00DA1AD1" w:rsidRDefault="00571E74" w:rsidP="00571E74">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17E40C5"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387A506" w14:textId="77777777" w:rsidR="00571E74" w:rsidRPr="00DA1AD1" w:rsidRDefault="00571E74" w:rsidP="00571E74">
                      <w:pPr>
                        <w:jc w:val="center"/>
                        <w:rPr>
                          <w:rFonts w:ascii="Palatino Linotype" w:hAnsi="Palatino Linotype"/>
                          <w:b/>
                          <w:sz w:val="18"/>
                        </w:rPr>
                      </w:pPr>
                      <w:r w:rsidRPr="00DA1AD1">
                        <w:rPr>
                          <w:rFonts w:ascii="Palatino Linotype" w:hAnsi="Palatino Linotype"/>
                          <w:b/>
                          <w:sz w:val="22"/>
                          <w:szCs w:val="24"/>
                        </w:rPr>
                        <w:t>(Rúbrica)</w:t>
                      </w:r>
                    </w:p>
                    <w:p w14:paraId="15D2C0C2" w14:textId="77777777" w:rsidR="00571E74" w:rsidRDefault="00571E74" w:rsidP="00571E74"/>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3600" behindDoc="0" locked="0" layoutInCell="1" allowOverlap="1" wp14:anchorId="1371D33F" wp14:editId="10C1D46F">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398354"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67017D7"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4F6348" w14:textId="77777777" w:rsidR="00571E74" w:rsidRPr="00DA1AD1" w:rsidRDefault="00571E74" w:rsidP="00571E74">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D33F" id="_x0000_s1030" type="#_x0000_t202" style="position:absolute;left:0;text-align:left;margin-left:0;margin-top:.7pt;width:168pt;height:53.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51398354"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67017D7"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4F6348" w14:textId="77777777" w:rsidR="00571E74" w:rsidRPr="00DA1AD1" w:rsidRDefault="00571E74" w:rsidP="00571E74">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4CD071C" w14:textId="77777777" w:rsidR="00571E74" w:rsidRPr="00F012DF" w:rsidRDefault="00571E74" w:rsidP="00571E74">
      <w:pPr>
        <w:spacing w:line="360" w:lineRule="auto"/>
        <w:ind w:right="-93"/>
        <w:jc w:val="both"/>
        <w:rPr>
          <w:rFonts w:ascii="Palatino Linotype" w:eastAsia="Calibri" w:hAnsi="Palatino Linotype" w:cs="Tahoma"/>
          <w:bCs/>
          <w:sz w:val="22"/>
          <w:szCs w:val="22"/>
          <w:lang w:eastAsia="en-US"/>
        </w:rPr>
      </w:pPr>
    </w:p>
    <w:p w14:paraId="7896C277" w14:textId="77777777" w:rsidR="00571E74" w:rsidRPr="00F012DF" w:rsidRDefault="00571E74" w:rsidP="00571E74">
      <w:pPr>
        <w:spacing w:line="360" w:lineRule="auto"/>
        <w:ind w:right="-93"/>
        <w:jc w:val="both"/>
        <w:rPr>
          <w:rFonts w:ascii="Palatino Linotype" w:eastAsia="Calibri" w:hAnsi="Palatino Linotype" w:cs="Tahoma"/>
          <w:bCs/>
          <w:sz w:val="22"/>
          <w:szCs w:val="22"/>
          <w:lang w:eastAsia="en-US"/>
        </w:rPr>
      </w:pPr>
    </w:p>
    <w:p w14:paraId="4AAF54D4" w14:textId="77777777" w:rsidR="00571E74" w:rsidRPr="00F012DF" w:rsidRDefault="00571E74" w:rsidP="00571E74">
      <w:pPr>
        <w:spacing w:line="360" w:lineRule="auto"/>
        <w:ind w:right="-93"/>
        <w:jc w:val="both"/>
        <w:rPr>
          <w:rFonts w:ascii="Palatino Linotype" w:eastAsia="Calibri" w:hAnsi="Palatino Linotype" w:cs="Tahoma"/>
          <w:bCs/>
          <w:sz w:val="22"/>
          <w:szCs w:val="22"/>
          <w:lang w:eastAsia="en-US"/>
        </w:rPr>
      </w:pPr>
    </w:p>
    <w:p w14:paraId="43561DC2" w14:textId="77777777" w:rsidR="00571E74" w:rsidRDefault="00571E74" w:rsidP="00571E74">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2576" behindDoc="0" locked="0" layoutInCell="1" allowOverlap="1" wp14:anchorId="76FF50CE" wp14:editId="3BCBEEAA">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A08245" w14:textId="77777777" w:rsidR="00571E74" w:rsidRPr="00DA1AD1" w:rsidRDefault="00571E74" w:rsidP="00571E74">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B264FC"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B3517AC" w14:textId="198FC51B" w:rsidR="00571E74" w:rsidRDefault="00571E74" w:rsidP="00571E74">
                            <w:pPr>
                              <w:jc w:val="center"/>
                              <w:rPr>
                                <w:rFonts w:ascii="Palatino Linotype" w:hAnsi="Palatino Linotype"/>
                                <w:b/>
                                <w:sz w:val="22"/>
                                <w:szCs w:val="24"/>
                              </w:rPr>
                            </w:pPr>
                            <w:r w:rsidRPr="00DA1AD1">
                              <w:rPr>
                                <w:rFonts w:ascii="Palatino Linotype" w:hAnsi="Palatino Linotype"/>
                                <w:b/>
                                <w:sz w:val="22"/>
                                <w:szCs w:val="24"/>
                              </w:rPr>
                              <w:t>(Rúbrica)</w:t>
                            </w:r>
                          </w:p>
                          <w:p w14:paraId="0ED9D21E" w14:textId="77777777" w:rsidR="00571E74" w:rsidRPr="00DA1AD1" w:rsidRDefault="00571E74" w:rsidP="00571E74">
                            <w:pPr>
                              <w:jc w:val="center"/>
                              <w:rPr>
                                <w:rFonts w:ascii="Palatino Linotype" w:hAnsi="Palatino Linotype"/>
                                <w:b/>
                                <w:sz w:val="22"/>
                                <w:szCs w:val="24"/>
                              </w:rPr>
                            </w:pPr>
                          </w:p>
                          <w:p w14:paraId="555E77F4" w14:textId="77777777" w:rsidR="00571E74" w:rsidRPr="00DA1AD1" w:rsidRDefault="00571E74" w:rsidP="00571E74">
                            <w:pPr>
                              <w:jc w:val="center"/>
                              <w:rPr>
                                <w:rFonts w:ascii="Palatino Linotype" w:hAnsi="Palatino Linotype"/>
                                <w:sz w:val="22"/>
                                <w:szCs w:val="24"/>
                              </w:rPr>
                            </w:pPr>
                          </w:p>
                          <w:p w14:paraId="242CA82E" w14:textId="77777777" w:rsidR="00571E74" w:rsidRPr="00EF2FC0" w:rsidRDefault="00571E74" w:rsidP="00571E74">
                            <w:pPr>
                              <w:jc w:val="center"/>
                              <w:rPr>
                                <w:rFonts w:ascii="Palatino Linotype" w:hAnsi="Palatino Linotype"/>
                                <w:sz w:val="24"/>
                                <w:szCs w:val="24"/>
                              </w:rPr>
                            </w:pPr>
                          </w:p>
                          <w:p w14:paraId="603CACB3" w14:textId="77777777" w:rsidR="00571E74" w:rsidRDefault="00571E74" w:rsidP="00571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F50CE" id="Cuadro de texto 24" o:spid="_x0000_s1031" type="#_x0000_t202" style="position:absolute;left:0;text-align:left;margin-left:180.7pt;margin-top:.8pt;width:248.25pt;height:55.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41A08245" w14:textId="77777777" w:rsidR="00571E74" w:rsidRPr="00DA1AD1" w:rsidRDefault="00571E74" w:rsidP="00571E74">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B264FC" w14:textId="77777777" w:rsidR="00571E74" w:rsidRPr="00DA1AD1" w:rsidRDefault="00571E74" w:rsidP="00571E74">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B3517AC" w14:textId="198FC51B" w:rsidR="00571E74" w:rsidRDefault="00571E74" w:rsidP="00571E74">
                      <w:pPr>
                        <w:jc w:val="center"/>
                        <w:rPr>
                          <w:rFonts w:ascii="Palatino Linotype" w:hAnsi="Palatino Linotype"/>
                          <w:b/>
                          <w:sz w:val="22"/>
                          <w:szCs w:val="24"/>
                        </w:rPr>
                      </w:pPr>
                      <w:r w:rsidRPr="00DA1AD1">
                        <w:rPr>
                          <w:rFonts w:ascii="Palatino Linotype" w:hAnsi="Palatino Linotype"/>
                          <w:b/>
                          <w:sz w:val="22"/>
                          <w:szCs w:val="24"/>
                        </w:rPr>
                        <w:t>(Rúbrica)</w:t>
                      </w:r>
                    </w:p>
                    <w:p w14:paraId="0ED9D21E" w14:textId="77777777" w:rsidR="00571E74" w:rsidRPr="00DA1AD1" w:rsidRDefault="00571E74" w:rsidP="00571E74">
                      <w:pPr>
                        <w:jc w:val="center"/>
                        <w:rPr>
                          <w:rFonts w:ascii="Palatino Linotype" w:hAnsi="Palatino Linotype"/>
                          <w:b/>
                          <w:sz w:val="22"/>
                          <w:szCs w:val="24"/>
                        </w:rPr>
                      </w:pPr>
                    </w:p>
                    <w:p w14:paraId="555E77F4" w14:textId="77777777" w:rsidR="00571E74" w:rsidRPr="00DA1AD1" w:rsidRDefault="00571E74" w:rsidP="00571E74">
                      <w:pPr>
                        <w:jc w:val="center"/>
                        <w:rPr>
                          <w:rFonts w:ascii="Palatino Linotype" w:hAnsi="Palatino Linotype"/>
                          <w:sz w:val="22"/>
                          <w:szCs w:val="24"/>
                        </w:rPr>
                      </w:pPr>
                    </w:p>
                    <w:p w14:paraId="242CA82E" w14:textId="77777777" w:rsidR="00571E74" w:rsidRPr="00EF2FC0" w:rsidRDefault="00571E74" w:rsidP="00571E74">
                      <w:pPr>
                        <w:jc w:val="center"/>
                        <w:rPr>
                          <w:rFonts w:ascii="Palatino Linotype" w:hAnsi="Palatino Linotype"/>
                          <w:sz w:val="24"/>
                          <w:szCs w:val="24"/>
                        </w:rPr>
                      </w:pPr>
                    </w:p>
                    <w:p w14:paraId="603CACB3" w14:textId="77777777" w:rsidR="00571E74" w:rsidRDefault="00571E74" w:rsidP="00571E74"/>
                  </w:txbxContent>
                </v:textbox>
                <w10:wrap anchorx="page"/>
              </v:shape>
            </w:pict>
          </mc:Fallback>
        </mc:AlternateContent>
      </w:r>
    </w:p>
    <w:p w14:paraId="6B0DBAEF" w14:textId="77777777" w:rsidR="00806E45" w:rsidRDefault="00806E45" w:rsidP="007706FD">
      <w:pPr>
        <w:spacing w:line="360" w:lineRule="auto"/>
        <w:ind w:right="-93"/>
        <w:jc w:val="both"/>
        <w:rPr>
          <w:rFonts w:ascii="Palatino Linotype" w:eastAsia="Calibri" w:hAnsi="Palatino Linotype" w:cs="Tahoma"/>
          <w:bCs/>
          <w:sz w:val="22"/>
          <w:szCs w:val="22"/>
          <w:lang w:eastAsia="en-US"/>
        </w:rPr>
      </w:pPr>
    </w:p>
    <w:p w14:paraId="3B894C04" w14:textId="77777777" w:rsidR="00571E74" w:rsidRPr="00F208A6" w:rsidRDefault="00571E74" w:rsidP="007706FD">
      <w:pPr>
        <w:spacing w:line="360" w:lineRule="auto"/>
        <w:ind w:right="-93"/>
        <w:jc w:val="both"/>
        <w:rPr>
          <w:rFonts w:ascii="Palatino Linotype" w:eastAsia="Calibri" w:hAnsi="Palatino Linotype" w:cs="Tahoma"/>
          <w:bCs/>
          <w:sz w:val="22"/>
          <w:szCs w:val="22"/>
          <w:lang w:eastAsia="en-US"/>
        </w:rPr>
      </w:pPr>
    </w:p>
    <w:p w14:paraId="08C9540B" w14:textId="068C4544" w:rsidR="00F4018F" w:rsidRDefault="000813B0" w:rsidP="007706FD">
      <w:pPr>
        <w:tabs>
          <w:tab w:val="left" w:pos="8931"/>
        </w:tabs>
        <w:spacing w:line="360" w:lineRule="auto"/>
        <w:jc w:val="both"/>
        <w:rPr>
          <w:rFonts w:ascii="Palatino Linotype" w:eastAsia="Calibri" w:hAnsi="Palatino Linotype" w:cs="Arial"/>
          <w:sz w:val="22"/>
          <w:szCs w:val="22"/>
          <w:lang w:eastAsia="en-US"/>
        </w:rPr>
      </w:pPr>
      <w:r w:rsidRPr="00F208A6">
        <w:rPr>
          <w:rFonts w:ascii="Palatino Linotype" w:eastAsia="Calibri" w:hAnsi="Palatino Linotype" w:cs="Arial"/>
          <w:sz w:val="22"/>
          <w:szCs w:val="22"/>
          <w:lang w:eastAsia="en-US"/>
        </w:rPr>
        <w:t>Esta foja corresponde a la resolución de</w:t>
      </w:r>
      <w:r w:rsidR="00F4018F" w:rsidRPr="00F208A6">
        <w:rPr>
          <w:rFonts w:ascii="Palatino Linotype" w:eastAsia="Calibri" w:hAnsi="Palatino Linotype" w:cs="Arial"/>
          <w:sz w:val="22"/>
          <w:szCs w:val="22"/>
          <w:lang w:eastAsia="en-US"/>
        </w:rPr>
        <w:t xml:space="preserve"> fecha </w:t>
      </w:r>
      <w:r w:rsidR="00A60EEE" w:rsidRPr="00F208A6">
        <w:rPr>
          <w:rFonts w:ascii="Palatino Linotype" w:eastAsia="Calibri" w:hAnsi="Palatino Linotype" w:cs="Arial"/>
          <w:sz w:val="22"/>
          <w:szCs w:val="22"/>
          <w:lang w:eastAsia="en-US"/>
        </w:rPr>
        <w:t>dieciséis</w:t>
      </w:r>
      <w:r w:rsidR="00ED1796" w:rsidRPr="00F208A6">
        <w:rPr>
          <w:rFonts w:ascii="Palatino Linotype" w:eastAsia="Calibri" w:hAnsi="Palatino Linotype" w:cs="Arial"/>
          <w:sz w:val="22"/>
          <w:szCs w:val="22"/>
          <w:lang w:eastAsia="en-US"/>
        </w:rPr>
        <w:t xml:space="preserve"> de octubre</w:t>
      </w:r>
      <w:r w:rsidR="00464EA1" w:rsidRPr="00F208A6">
        <w:rPr>
          <w:rFonts w:ascii="Palatino Linotype" w:eastAsia="Calibri" w:hAnsi="Palatino Linotype" w:cs="Arial"/>
          <w:sz w:val="22"/>
          <w:szCs w:val="22"/>
          <w:lang w:eastAsia="en-US"/>
        </w:rPr>
        <w:t xml:space="preserve"> de dos mil diecinueve</w:t>
      </w:r>
      <w:r w:rsidR="00F4018F" w:rsidRPr="00F208A6">
        <w:rPr>
          <w:rFonts w:ascii="Palatino Linotype" w:eastAsia="Calibri" w:hAnsi="Palatino Linotype" w:cs="Arial"/>
          <w:sz w:val="22"/>
          <w:szCs w:val="22"/>
          <w:lang w:eastAsia="en-US"/>
        </w:rPr>
        <w:t xml:space="preserve">, emitida en </w:t>
      </w:r>
      <w:r w:rsidR="00947C21" w:rsidRPr="00F208A6">
        <w:rPr>
          <w:rFonts w:ascii="Palatino Linotype" w:eastAsia="Calibri" w:hAnsi="Palatino Linotype" w:cs="Arial"/>
          <w:sz w:val="22"/>
          <w:szCs w:val="22"/>
          <w:lang w:eastAsia="en-US"/>
        </w:rPr>
        <w:t>el</w:t>
      </w:r>
      <w:r w:rsidR="0097203B" w:rsidRPr="00F208A6">
        <w:rPr>
          <w:rFonts w:ascii="Palatino Linotype" w:eastAsia="Calibri" w:hAnsi="Palatino Linotype" w:cs="Arial"/>
          <w:sz w:val="22"/>
          <w:szCs w:val="22"/>
          <w:lang w:eastAsia="en-US"/>
        </w:rPr>
        <w:t xml:space="preserve"> </w:t>
      </w:r>
      <w:r w:rsidR="00571E74">
        <w:rPr>
          <w:rFonts w:ascii="Palatino Linotype" w:eastAsia="Calibri" w:hAnsi="Palatino Linotype" w:cs="Arial"/>
          <w:sz w:val="22"/>
          <w:szCs w:val="22"/>
          <w:lang w:eastAsia="en-US"/>
        </w:rPr>
        <w:t>R</w:t>
      </w:r>
      <w:r w:rsidR="00F4018F" w:rsidRPr="00F208A6">
        <w:rPr>
          <w:rFonts w:ascii="Palatino Linotype" w:eastAsia="Calibri" w:hAnsi="Palatino Linotype" w:cs="Arial"/>
          <w:sz w:val="22"/>
          <w:szCs w:val="22"/>
          <w:lang w:eastAsia="en-US"/>
        </w:rPr>
        <w:t xml:space="preserve">ecurso de </w:t>
      </w:r>
      <w:r w:rsidR="00571E74">
        <w:rPr>
          <w:rFonts w:ascii="Palatino Linotype" w:eastAsia="Calibri" w:hAnsi="Palatino Linotype" w:cs="Arial"/>
          <w:sz w:val="22"/>
          <w:szCs w:val="22"/>
          <w:lang w:eastAsia="en-US"/>
        </w:rPr>
        <w:t>R</w:t>
      </w:r>
      <w:r w:rsidR="00F4018F" w:rsidRPr="00F208A6">
        <w:rPr>
          <w:rFonts w:ascii="Palatino Linotype" w:eastAsia="Calibri" w:hAnsi="Palatino Linotype" w:cs="Arial"/>
          <w:sz w:val="22"/>
          <w:szCs w:val="22"/>
          <w:lang w:eastAsia="en-US"/>
        </w:rPr>
        <w:t xml:space="preserve">evisión </w:t>
      </w:r>
      <w:r w:rsidR="00C720A7" w:rsidRPr="00F208A6">
        <w:rPr>
          <w:rFonts w:ascii="Palatino Linotype" w:eastAsia="Calibri" w:hAnsi="Palatino Linotype" w:cs="Tahoma"/>
          <w:bCs/>
          <w:sz w:val="22"/>
          <w:szCs w:val="22"/>
          <w:lang w:val="es-ES" w:eastAsia="en-US"/>
        </w:rPr>
        <w:t>0</w:t>
      </w:r>
      <w:r w:rsidR="00ED1796" w:rsidRPr="00F208A6">
        <w:rPr>
          <w:rFonts w:ascii="Palatino Linotype" w:eastAsia="Calibri" w:hAnsi="Palatino Linotype" w:cs="Tahoma"/>
          <w:bCs/>
          <w:sz w:val="22"/>
          <w:szCs w:val="22"/>
          <w:lang w:val="es-ES" w:eastAsia="en-US"/>
        </w:rPr>
        <w:t>6</w:t>
      </w:r>
      <w:r w:rsidR="00FD64A9" w:rsidRPr="00F208A6">
        <w:rPr>
          <w:rFonts w:ascii="Palatino Linotype" w:eastAsia="Calibri" w:hAnsi="Palatino Linotype" w:cs="Tahoma"/>
          <w:bCs/>
          <w:sz w:val="22"/>
          <w:szCs w:val="22"/>
          <w:lang w:val="es-ES" w:eastAsia="en-US"/>
        </w:rPr>
        <w:t>6</w:t>
      </w:r>
      <w:r w:rsidR="001D4813" w:rsidRPr="00F208A6">
        <w:rPr>
          <w:rFonts w:ascii="Palatino Linotype" w:eastAsia="Calibri" w:hAnsi="Palatino Linotype" w:cs="Tahoma"/>
          <w:bCs/>
          <w:sz w:val="22"/>
          <w:szCs w:val="22"/>
          <w:lang w:val="es-ES" w:eastAsia="en-US"/>
        </w:rPr>
        <w:t>21</w:t>
      </w:r>
      <w:r w:rsidR="00947C21" w:rsidRPr="00F208A6">
        <w:rPr>
          <w:rFonts w:ascii="Palatino Linotype" w:eastAsia="Calibri" w:hAnsi="Palatino Linotype" w:cs="Tahoma"/>
          <w:bCs/>
          <w:sz w:val="22"/>
          <w:szCs w:val="22"/>
          <w:lang w:val="es-ES" w:eastAsia="en-US"/>
        </w:rPr>
        <w:t>/INFOEM/IP/RR/2019.</w:t>
      </w:r>
    </w:p>
    <w:sectPr w:rsidR="00F4018F" w:rsidSect="00F95035">
      <w:headerReference w:type="default" r:id="rId17"/>
      <w:footerReference w:type="default" r:id="rId18"/>
      <w:headerReference w:type="first" r:id="rId19"/>
      <w:footerReference w:type="first" r:id="rId20"/>
      <w:pgSz w:w="12240" w:h="15840" w:code="1"/>
      <w:pgMar w:top="80" w:right="2175"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5EB4A" w14:textId="77777777" w:rsidR="003619DC" w:rsidRDefault="003619DC" w:rsidP="00B31222">
      <w:r>
        <w:separator/>
      </w:r>
    </w:p>
  </w:endnote>
  <w:endnote w:type="continuationSeparator" w:id="0">
    <w:p w14:paraId="15733C05" w14:textId="77777777" w:rsidR="003619DC" w:rsidRDefault="003619D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77777777" w:rsidR="005C59E9" w:rsidRDefault="005C59E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71595">
              <w:rPr>
                <w:b/>
                <w:bCs/>
                <w:noProof/>
              </w:rPr>
              <w:t>29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71595">
              <w:rPr>
                <w:b/>
                <w:bCs/>
                <w:noProof/>
              </w:rPr>
              <w:t>31</w:t>
            </w:r>
            <w:r>
              <w:rPr>
                <w:b/>
                <w:bCs/>
                <w:sz w:val="24"/>
                <w:szCs w:val="24"/>
              </w:rPr>
              <w:fldChar w:fldCharType="end"/>
            </w:r>
          </w:p>
        </w:sdtContent>
      </w:sdt>
    </w:sdtContent>
  </w:sdt>
  <w:p w14:paraId="1A6D9D63" w14:textId="77777777" w:rsidR="005C59E9" w:rsidRDefault="005C59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77777777" w:rsidR="005C59E9" w:rsidRDefault="005C59E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7159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71595">
              <w:rPr>
                <w:b/>
                <w:bCs/>
                <w:noProof/>
              </w:rPr>
              <w:t>31</w:t>
            </w:r>
            <w:r>
              <w:rPr>
                <w:b/>
                <w:bCs/>
                <w:sz w:val="24"/>
                <w:szCs w:val="24"/>
              </w:rPr>
              <w:fldChar w:fldCharType="end"/>
            </w:r>
          </w:p>
        </w:sdtContent>
      </w:sdt>
    </w:sdtContent>
  </w:sdt>
  <w:p w14:paraId="1A121499" w14:textId="77777777" w:rsidR="005C59E9" w:rsidRDefault="005C59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2A6F2" w14:textId="77777777" w:rsidR="003619DC" w:rsidRDefault="003619DC" w:rsidP="00B31222">
      <w:r>
        <w:separator/>
      </w:r>
    </w:p>
  </w:footnote>
  <w:footnote w:type="continuationSeparator" w:id="0">
    <w:p w14:paraId="57905328" w14:textId="77777777" w:rsidR="003619DC" w:rsidRDefault="003619DC"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C59E9" w:rsidRPr="005C106F" w14:paraId="05B13F31" w14:textId="77777777" w:rsidTr="00202DB8">
      <w:trPr>
        <w:trHeight w:val="1435"/>
      </w:trPr>
      <w:tc>
        <w:tcPr>
          <w:tcW w:w="2835" w:type="dxa"/>
          <w:shd w:val="clear" w:color="auto" w:fill="auto"/>
        </w:tcPr>
        <w:p w14:paraId="65D13340" w14:textId="77777777" w:rsidR="005C59E9" w:rsidRPr="005C106F" w:rsidRDefault="005C59E9"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5C59E9" w:rsidRDefault="005C59E9"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5C59E9" w14:paraId="4BCA9D73" w14:textId="77777777" w:rsidTr="005743D2">
            <w:trPr>
              <w:gridBefore w:val="1"/>
              <w:gridAfter w:val="1"/>
              <w:wBefore w:w="572" w:type="dxa"/>
              <w:wAfter w:w="77" w:type="dxa"/>
              <w:trHeight w:val="144"/>
            </w:trPr>
            <w:tc>
              <w:tcPr>
                <w:tcW w:w="2698" w:type="dxa"/>
                <w:gridSpan w:val="2"/>
              </w:tcPr>
              <w:p w14:paraId="393B781A" w14:textId="77777777" w:rsidR="005C59E9" w:rsidRPr="008B0418" w:rsidRDefault="005C59E9"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1DEB7745" w:rsidR="005C59E9" w:rsidRPr="008B0418" w:rsidRDefault="005C59E9" w:rsidP="00B92937">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06621/</w:t>
                </w:r>
                <w:r w:rsidRPr="00F50401">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 xml:space="preserve">9 </w:t>
                </w:r>
              </w:p>
            </w:tc>
          </w:tr>
          <w:tr w:rsidR="005C59E9" w14:paraId="06834190" w14:textId="77777777" w:rsidTr="005743D2">
            <w:trPr>
              <w:gridBefore w:val="1"/>
              <w:gridAfter w:val="1"/>
              <w:wBefore w:w="572" w:type="dxa"/>
              <w:wAfter w:w="77" w:type="dxa"/>
              <w:trHeight w:val="144"/>
            </w:trPr>
            <w:tc>
              <w:tcPr>
                <w:tcW w:w="2698" w:type="dxa"/>
                <w:gridSpan w:val="2"/>
              </w:tcPr>
              <w:p w14:paraId="37072669" w14:textId="77777777" w:rsidR="005C59E9" w:rsidRPr="008B0418" w:rsidRDefault="005C59E9" w:rsidP="00F34534">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5A465866" w:rsidR="005C59E9" w:rsidRPr="008B0418" w:rsidRDefault="005C59E9" w:rsidP="00B92937">
                <w:pPr>
                  <w:tabs>
                    <w:tab w:val="right" w:pos="8838"/>
                  </w:tabs>
                  <w:jc w:val="both"/>
                  <w:rPr>
                    <w:rFonts w:ascii="Palatino Linotype" w:eastAsia="Calibri" w:hAnsi="Palatino Linotype" w:cs="Tahoma"/>
                    <w:sz w:val="22"/>
                    <w:szCs w:val="22"/>
                    <w:lang w:val="es-MX" w:eastAsia="en-US"/>
                  </w:rPr>
                </w:pPr>
                <w:r>
                  <w:rPr>
                    <w:rFonts w:ascii="Palatino Linotype" w:hAnsi="Palatino Linotype"/>
                    <w:bCs/>
                    <w:color w:val="000000"/>
                    <w:sz w:val="22"/>
                    <w:szCs w:val="14"/>
                  </w:rPr>
                  <w:t>Ayuntamiento de Tecámac</w:t>
                </w:r>
              </w:p>
            </w:tc>
          </w:tr>
          <w:tr w:rsidR="005C59E9" w14:paraId="605E839F" w14:textId="77777777" w:rsidTr="005743D2">
            <w:trPr>
              <w:gridBefore w:val="1"/>
              <w:gridAfter w:val="1"/>
              <w:wBefore w:w="572" w:type="dxa"/>
              <w:wAfter w:w="77" w:type="dxa"/>
              <w:trHeight w:val="138"/>
            </w:trPr>
            <w:tc>
              <w:tcPr>
                <w:tcW w:w="2698" w:type="dxa"/>
                <w:gridSpan w:val="2"/>
              </w:tcPr>
              <w:p w14:paraId="7476D9C5" w14:textId="77777777" w:rsidR="005C59E9" w:rsidRPr="008B0418" w:rsidRDefault="005C59E9" w:rsidP="00F34534">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5C59E9" w:rsidRPr="008B0418" w:rsidRDefault="005C59E9" w:rsidP="00F34534">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5C59E9" w14:paraId="3B5200F8" w14:textId="77777777" w:rsidTr="00DB7E5F">
            <w:trPr>
              <w:trHeight w:val="283"/>
            </w:trPr>
            <w:tc>
              <w:tcPr>
                <w:tcW w:w="2698" w:type="dxa"/>
                <w:gridSpan w:val="2"/>
              </w:tcPr>
              <w:p w14:paraId="24EC559D" w14:textId="77777777" w:rsidR="005C59E9" w:rsidRPr="00E10748" w:rsidRDefault="005C59E9" w:rsidP="00F34534">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5C59E9" w:rsidRPr="00E10748" w:rsidRDefault="005C59E9" w:rsidP="00F34534">
                <w:pPr>
                  <w:tabs>
                    <w:tab w:val="right" w:pos="8838"/>
                  </w:tabs>
                  <w:jc w:val="both"/>
                  <w:rPr>
                    <w:rFonts w:ascii="Tahoma" w:eastAsia="Calibri" w:hAnsi="Tahoma" w:cs="Tahoma"/>
                    <w:b/>
                    <w:sz w:val="22"/>
                    <w:szCs w:val="22"/>
                    <w:lang w:val="es-MX" w:eastAsia="en-US"/>
                  </w:rPr>
                </w:pPr>
              </w:p>
            </w:tc>
          </w:tr>
        </w:tbl>
        <w:p w14:paraId="53FC00A3" w14:textId="77777777" w:rsidR="005C59E9" w:rsidRPr="005C106F" w:rsidRDefault="005C59E9" w:rsidP="005743D2">
          <w:pPr>
            <w:tabs>
              <w:tab w:val="right" w:pos="8838"/>
            </w:tabs>
            <w:ind w:left="-28"/>
            <w:jc w:val="both"/>
            <w:rPr>
              <w:rFonts w:ascii="Arial" w:eastAsia="Calibri" w:hAnsi="Arial" w:cs="Arial"/>
              <w:b/>
              <w:sz w:val="22"/>
              <w:szCs w:val="22"/>
              <w:lang w:eastAsia="en-US"/>
            </w:rPr>
          </w:pPr>
        </w:p>
      </w:tc>
    </w:tr>
  </w:tbl>
  <w:p w14:paraId="7BD1E355" w14:textId="77777777" w:rsidR="005C59E9" w:rsidRPr="00443C6B" w:rsidRDefault="005C59E9"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C59E9" w:rsidRPr="005C106F" w14:paraId="7E400374" w14:textId="77777777" w:rsidTr="003B165A">
      <w:trPr>
        <w:trHeight w:val="1435"/>
      </w:trPr>
      <w:tc>
        <w:tcPr>
          <w:tcW w:w="2835" w:type="dxa"/>
          <w:shd w:val="clear" w:color="auto" w:fill="auto"/>
        </w:tcPr>
        <w:p w14:paraId="5AA18865" w14:textId="77777777" w:rsidR="005C59E9" w:rsidRPr="005C106F" w:rsidRDefault="005C59E9"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5C59E9" w:rsidRPr="005C106F" w:rsidRDefault="005C59E9" w:rsidP="00DB7E5F">
          <w:pPr>
            <w:tabs>
              <w:tab w:val="right" w:pos="8838"/>
            </w:tabs>
            <w:ind w:left="-28"/>
            <w:jc w:val="both"/>
            <w:rPr>
              <w:rFonts w:ascii="Arial" w:eastAsia="Calibri" w:hAnsi="Arial" w:cs="Arial"/>
              <w:b/>
              <w:sz w:val="22"/>
              <w:szCs w:val="22"/>
              <w:lang w:eastAsia="en-US"/>
            </w:rPr>
          </w:pPr>
        </w:p>
      </w:tc>
    </w:tr>
  </w:tbl>
  <w:p w14:paraId="78D17898" w14:textId="77777777" w:rsidR="005C59E9" w:rsidRDefault="005C59E9"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4536"/>
        </w:tabs>
        <w:ind w:left="4536" w:hanging="360"/>
      </w:pPr>
      <w:rPr>
        <w:rFonts w:ascii="Symbol" w:hAnsi="Symbol" w:hint="default"/>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767B61"/>
    <w:multiLevelType w:val="hybridMultilevel"/>
    <w:tmpl w:val="10E8ED2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40B4E29"/>
    <w:multiLevelType w:val="hybridMultilevel"/>
    <w:tmpl w:val="61101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4B0236"/>
    <w:multiLevelType w:val="hybridMultilevel"/>
    <w:tmpl w:val="F5A8C018"/>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EE6D2A"/>
    <w:multiLevelType w:val="hybridMultilevel"/>
    <w:tmpl w:val="EFE25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F06CA7"/>
    <w:multiLevelType w:val="hybridMultilevel"/>
    <w:tmpl w:val="69869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B61944"/>
    <w:multiLevelType w:val="hybridMultilevel"/>
    <w:tmpl w:val="F3882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7C3EFC"/>
    <w:multiLevelType w:val="hybridMultilevel"/>
    <w:tmpl w:val="61101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4A1A0A"/>
    <w:multiLevelType w:val="hybridMultilevel"/>
    <w:tmpl w:val="40205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2551EC"/>
    <w:multiLevelType w:val="hybridMultilevel"/>
    <w:tmpl w:val="3D624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4D22BB"/>
    <w:multiLevelType w:val="hybridMultilevel"/>
    <w:tmpl w:val="2D767804"/>
    <w:lvl w:ilvl="0" w:tplc="A18E4A4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896E44"/>
    <w:multiLevelType w:val="hybridMultilevel"/>
    <w:tmpl w:val="1226A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9C2DD4"/>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A64D98"/>
    <w:multiLevelType w:val="hybridMultilevel"/>
    <w:tmpl w:val="DCD216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5995E75"/>
    <w:multiLevelType w:val="hybridMultilevel"/>
    <w:tmpl w:val="FEB28B76"/>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3B0C05"/>
    <w:multiLevelType w:val="hybridMultilevel"/>
    <w:tmpl w:val="9A785F3E"/>
    <w:lvl w:ilvl="0" w:tplc="080A000F">
      <w:start w:val="1"/>
      <w:numFmt w:val="decimal"/>
      <w:lvlText w:val="%1."/>
      <w:lvlJc w:val="left"/>
      <w:pPr>
        <w:ind w:left="720" w:hanging="360"/>
      </w:pPr>
    </w:lvl>
    <w:lvl w:ilvl="1" w:tplc="CD76DA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4E13AF"/>
    <w:multiLevelType w:val="hybridMultilevel"/>
    <w:tmpl w:val="8396970E"/>
    <w:lvl w:ilvl="0" w:tplc="080A0017">
      <w:start w:val="1"/>
      <w:numFmt w:val="lowerLetter"/>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21" w15:restartNumberingAfterBreak="0">
    <w:nsid w:val="3FB00DCE"/>
    <w:multiLevelType w:val="hybridMultilevel"/>
    <w:tmpl w:val="C484B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046C3D"/>
    <w:multiLevelType w:val="hybridMultilevel"/>
    <w:tmpl w:val="10E8ED2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15E01DE"/>
    <w:multiLevelType w:val="hybridMultilevel"/>
    <w:tmpl w:val="80D85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7B2C00"/>
    <w:multiLevelType w:val="hybridMultilevel"/>
    <w:tmpl w:val="61101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B20D9F"/>
    <w:multiLevelType w:val="hybridMultilevel"/>
    <w:tmpl w:val="63F88B2A"/>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FF4CFA"/>
    <w:multiLevelType w:val="hybridMultilevel"/>
    <w:tmpl w:val="8CD095E2"/>
    <w:lvl w:ilvl="0" w:tplc="8C04F03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F64BC0"/>
    <w:multiLevelType w:val="hybridMultilevel"/>
    <w:tmpl w:val="2D767804"/>
    <w:lvl w:ilvl="0" w:tplc="A18E4A4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AC1F43"/>
    <w:multiLevelType w:val="hybridMultilevel"/>
    <w:tmpl w:val="0180D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B440FB"/>
    <w:multiLevelType w:val="hybridMultilevel"/>
    <w:tmpl w:val="4FBE9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817183"/>
    <w:multiLevelType w:val="hybridMultilevel"/>
    <w:tmpl w:val="61101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5D53D6"/>
    <w:multiLevelType w:val="hybridMultilevel"/>
    <w:tmpl w:val="8396970E"/>
    <w:lvl w:ilvl="0" w:tplc="080A0017">
      <w:start w:val="1"/>
      <w:numFmt w:val="lowerLetter"/>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37" w15:restartNumberingAfterBreak="0">
    <w:nsid w:val="65513175"/>
    <w:multiLevelType w:val="hybridMultilevel"/>
    <w:tmpl w:val="F64090FC"/>
    <w:lvl w:ilvl="0" w:tplc="7F1AACD4">
      <w:start w:val="1"/>
      <w:numFmt w:val="decimal"/>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8" w15:restartNumberingAfterBreak="0">
    <w:nsid w:val="65717BA1"/>
    <w:multiLevelType w:val="hybridMultilevel"/>
    <w:tmpl w:val="2D767804"/>
    <w:lvl w:ilvl="0" w:tplc="A18E4A4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46515D"/>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496DB1"/>
    <w:multiLevelType w:val="hybridMultilevel"/>
    <w:tmpl w:val="61101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EC7C19"/>
    <w:multiLevelType w:val="hybridMultilevel"/>
    <w:tmpl w:val="61101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CA3693"/>
    <w:multiLevelType w:val="hybridMultilevel"/>
    <w:tmpl w:val="D15E9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5"/>
  </w:num>
  <w:num w:numId="4">
    <w:abstractNumId w:val="41"/>
  </w:num>
  <w:num w:numId="5">
    <w:abstractNumId w:val="24"/>
  </w:num>
  <w:num w:numId="6">
    <w:abstractNumId w:val="27"/>
  </w:num>
  <w:num w:numId="7">
    <w:abstractNumId w:val="44"/>
  </w:num>
  <w:num w:numId="8">
    <w:abstractNumId w:val="19"/>
  </w:num>
  <w:num w:numId="9">
    <w:abstractNumId w:val="26"/>
  </w:num>
  <w:num w:numId="10">
    <w:abstractNumId w:val="21"/>
  </w:num>
  <w:num w:numId="11">
    <w:abstractNumId w:val="12"/>
  </w:num>
  <w:num w:numId="12">
    <w:abstractNumId w:val="39"/>
  </w:num>
  <w:num w:numId="13">
    <w:abstractNumId w:val="16"/>
  </w:num>
  <w:num w:numId="14">
    <w:abstractNumId w:val="9"/>
  </w:num>
  <w:num w:numId="15">
    <w:abstractNumId w:val="33"/>
  </w:num>
  <w:num w:numId="16">
    <w:abstractNumId w:val="7"/>
  </w:num>
  <w:num w:numId="17">
    <w:abstractNumId w:val="38"/>
  </w:num>
  <w:num w:numId="18">
    <w:abstractNumId w:val="35"/>
  </w:num>
  <w:num w:numId="19">
    <w:abstractNumId w:val="43"/>
  </w:num>
  <w:num w:numId="20">
    <w:abstractNumId w:val="10"/>
  </w:num>
  <w:num w:numId="21">
    <w:abstractNumId w:val="1"/>
  </w:num>
  <w:num w:numId="22">
    <w:abstractNumId w:val="45"/>
  </w:num>
  <w:num w:numId="23">
    <w:abstractNumId w:val="31"/>
  </w:num>
  <w:num w:numId="24">
    <w:abstractNumId w:val="2"/>
  </w:num>
  <w:num w:numId="25">
    <w:abstractNumId w:val="20"/>
  </w:num>
  <w:num w:numId="26">
    <w:abstractNumId w:val="22"/>
  </w:num>
  <w:num w:numId="27">
    <w:abstractNumId w:val="37"/>
  </w:num>
  <w:num w:numId="28">
    <w:abstractNumId w:val="36"/>
  </w:num>
  <w:num w:numId="29">
    <w:abstractNumId w:val="17"/>
  </w:num>
  <w:num w:numId="30">
    <w:abstractNumId w:val="11"/>
  </w:num>
  <w:num w:numId="31">
    <w:abstractNumId w:val="28"/>
  </w:num>
  <w:num w:numId="32">
    <w:abstractNumId w:val="18"/>
  </w:num>
  <w:num w:numId="33">
    <w:abstractNumId w:val="4"/>
  </w:num>
  <w:num w:numId="34">
    <w:abstractNumId w:val="6"/>
  </w:num>
  <w:num w:numId="35">
    <w:abstractNumId w:val="30"/>
  </w:num>
  <w:num w:numId="36">
    <w:abstractNumId w:val="14"/>
  </w:num>
  <w:num w:numId="37">
    <w:abstractNumId w:val="32"/>
  </w:num>
  <w:num w:numId="38">
    <w:abstractNumId w:val="13"/>
  </w:num>
  <w:num w:numId="39">
    <w:abstractNumId w:val="3"/>
  </w:num>
  <w:num w:numId="40">
    <w:abstractNumId w:val="40"/>
  </w:num>
  <w:num w:numId="41">
    <w:abstractNumId w:val="42"/>
  </w:num>
  <w:num w:numId="42">
    <w:abstractNumId w:val="34"/>
  </w:num>
  <w:num w:numId="43">
    <w:abstractNumId w:val="25"/>
  </w:num>
  <w:num w:numId="44">
    <w:abstractNumId w:val="23"/>
  </w:num>
  <w:num w:numId="45">
    <w:abstractNumId w:val="8"/>
  </w:num>
  <w:num w:numId="46">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07B5"/>
    <w:rsid w:val="0000236F"/>
    <w:rsid w:val="00002654"/>
    <w:rsid w:val="000027EB"/>
    <w:rsid w:val="000037B2"/>
    <w:rsid w:val="0000409A"/>
    <w:rsid w:val="0000485A"/>
    <w:rsid w:val="00004A55"/>
    <w:rsid w:val="00005713"/>
    <w:rsid w:val="00006543"/>
    <w:rsid w:val="00006CF6"/>
    <w:rsid w:val="00013A19"/>
    <w:rsid w:val="000140C8"/>
    <w:rsid w:val="000140FC"/>
    <w:rsid w:val="00014465"/>
    <w:rsid w:val="00016318"/>
    <w:rsid w:val="00017268"/>
    <w:rsid w:val="000212E5"/>
    <w:rsid w:val="00021588"/>
    <w:rsid w:val="00021C64"/>
    <w:rsid w:val="00024005"/>
    <w:rsid w:val="0002402A"/>
    <w:rsid w:val="000241C5"/>
    <w:rsid w:val="0002429D"/>
    <w:rsid w:val="00026C8E"/>
    <w:rsid w:val="000272E4"/>
    <w:rsid w:val="00030996"/>
    <w:rsid w:val="000313A7"/>
    <w:rsid w:val="00032F5B"/>
    <w:rsid w:val="00033892"/>
    <w:rsid w:val="00034E9D"/>
    <w:rsid w:val="0003646E"/>
    <w:rsid w:val="000373BC"/>
    <w:rsid w:val="00037B34"/>
    <w:rsid w:val="00037C6F"/>
    <w:rsid w:val="00037F4B"/>
    <w:rsid w:val="00040B9B"/>
    <w:rsid w:val="000431F4"/>
    <w:rsid w:val="00043C4B"/>
    <w:rsid w:val="00045CD1"/>
    <w:rsid w:val="0004646B"/>
    <w:rsid w:val="0004650D"/>
    <w:rsid w:val="0004728F"/>
    <w:rsid w:val="00047D67"/>
    <w:rsid w:val="00050F25"/>
    <w:rsid w:val="000528E6"/>
    <w:rsid w:val="00054E79"/>
    <w:rsid w:val="00055CF0"/>
    <w:rsid w:val="00055F00"/>
    <w:rsid w:val="00056F8B"/>
    <w:rsid w:val="00057445"/>
    <w:rsid w:val="00057467"/>
    <w:rsid w:val="00057EF7"/>
    <w:rsid w:val="0006017B"/>
    <w:rsid w:val="00060DDC"/>
    <w:rsid w:val="00065D00"/>
    <w:rsid w:val="000665C9"/>
    <w:rsid w:val="00067234"/>
    <w:rsid w:val="000672A3"/>
    <w:rsid w:val="000675BF"/>
    <w:rsid w:val="0006783C"/>
    <w:rsid w:val="00070098"/>
    <w:rsid w:val="000716B9"/>
    <w:rsid w:val="00072ED8"/>
    <w:rsid w:val="00074657"/>
    <w:rsid w:val="00075AF5"/>
    <w:rsid w:val="000778D0"/>
    <w:rsid w:val="000813B0"/>
    <w:rsid w:val="0008148B"/>
    <w:rsid w:val="00081561"/>
    <w:rsid w:val="0008165E"/>
    <w:rsid w:val="000822DE"/>
    <w:rsid w:val="00083297"/>
    <w:rsid w:val="00085ADA"/>
    <w:rsid w:val="0008740C"/>
    <w:rsid w:val="000879FC"/>
    <w:rsid w:val="00087C30"/>
    <w:rsid w:val="0009089E"/>
    <w:rsid w:val="000911D8"/>
    <w:rsid w:val="0009462F"/>
    <w:rsid w:val="000946D7"/>
    <w:rsid w:val="00094F51"/>
    <w:rsid w:val="000961BD"/>
    <w:rsid w:val="00097211"/>
    <w:rsid w:val="00097AA2"/>
    <w:rsid w:val="000A155A"/>
    <w:rsid w:val="000A20A4"/>
    <w:rsid w:val="000A238F"/>
    <w:rsid w:val="000A563F"/>
    <w:rsid w:val="000A6105"/>
    <w:rsid w:val="000A7211"/>
    <w:rsid w:val="000A798A"/>
    <w:rsid w:val="000B1D37"/>
    <w:rsid w:val="000B2C93"/>
    <w:rsid w:val="000B34C2"/>
    <w:rsid w:val="000B36DD"/>
    <w:rsid w:val="000B45F7"/>
    <w:rsid w:val="000B54E2"/>
    <w:rsid w:val="000B5711"/>
    <w:rsid w:val="000B6020"/>
    <w:rsid w:val="000B691A"/>
    <w:rsid w:val="000B77A5"/>
    <w:rsid w:val="000C179F"/>
    <w:rsid w:val="000C18EA"/>
    <w:rsid w:val="000C1BED"/>
    <w:rsid w:val="000C2283"/>
    <w:rsid w:val="000C25A5"/>
    <w:rsid w:val="000C27CA"/>
    <w:rsid w:val="000C5940"/>
    <w:rsid w:val="000C59CB"/>
    <w:rsid w:val="000C649E"/>
    <w:rsid w:val="000C70A3"/>
    <w:rsid w:val="000D0B08"/>
    <w:rsid w:val="000D0F6E"/>
    <w:rsid w:val="000D40FB"/>
    <w:rsid w:val="000D5062"/>
    <w:rsid w:val="000D5CE6"/>
    <w:rsid w:val="000D68F0"/>
    <w:rsid w:val="000D77C6"/>
    <w:rsid w:val="000E0BEA"/>
    <w:rsid w:val="000E2DE8"/>
    <w:rsid w:val="000E3A23"/>
    <w:rsid w:val="000E4A8A"/>
    <w:rsid w:val="000E549D"/>
    <w:rsid w:val="000E7145"/>
    <w:rsid w:val="000F1D9C"/>
    <w:rsid w:val="000F1FFF"/>
    <w:rsid w:val="000F24C8"/>
    <w:rsid w:val="000F34D6"/>
    <w:rsid w:val="000F36AE"/>
    <w:rsid w:val="000F3DA0"/>
    <w:rsid w:val="000F47B6"/>
    <w:rsid w:val="000F4876"/>
    <w:rsid w:val="000F555D"/>
    <w:rsid w:val="000F5D28"/>
    <w:rsid w:val="000F6A61"/>
    <w:rsid w:val="000F7A45"/>
    <w:rsid w:val="000F7D68"/>
    <w:rsid w:val="000F7FD8"/>
    <w:rsid w:val="00100BAC"/>
    <w:rsid w:val="001017B7"/>
    <w:rsid w:val="00101F68"/>
    <w:rsid w:val="0010289A"/>
    <w:rsid w:val="001034C6"/>
    <w:rsid w:val="001049B0"/>
    <w:rsid w:val="00104ADB"/>
    <w:rsid w:val="001052E1"/>
    <w:rsid w:val="001057BC"/>
    <w:rsid w:val="001069CA"/>
    <w:rsid w:val="0010756D"/>
    <w:rsid w:val="00107AA6"/>
    <w:rsid w:val="00107D2F"/>
    <w:rsid w:val="00110816"/>
    <w:rsid w:val="00111E1C"/>
    <w:rsid w:val="0011288E"/>
    <w:rsid w:val="001133D5"/>
    <w:rsid w:val="00114068"/>
    <w:rsid w:val="001150E9"/>
    <w:rsid w:val="001172A0"/>
    <w:rsid w:val="00120295"/>
    <w:rsid w:val="00121B4B"/>
    <w:rsid w:val="00123795"/>
    <w:rsid w:val="001239F8"/>
    <w:rsid w:val="00123A5B"/>
    <w:rsid w:val="00124AF3"/>
    <w:rsid w:val="001255B0"/>
    <w:rsid w:val="00126842"/>
    <w:rsid w:val="00127757"/>
    <w:rsid w:val="00130F33"/>
    <w:rsid w:val="0013100F"/>
    <w:rsid w:val="00131868"/>
    <w:rsid w:val="001327CA"/>
    <w:rsid w:val="001327FA"/>
    <w:rsid w:val="00132A80"/>
    <w:rsid w:val="00132F95"/>
    <w:rsid w:val="001343B6"/>
    <w:rsid w:val="00135A65"/>
    <w:rsid w:val="00136FF0"/>
    <w:rsid w:val="00141A24"/>
    <w:rsid w:val="001429BE"/>
    <w:rsid w:val="0014307A"/>
    <w:rsid w:val="00144729"/>
    <w:rsid w:val="001448F2"/>
    <w:rsid w:val="00144D0B"/>
    <w:rsid w:val="00147223"/>
    <w:rsid w:val="00147566"/>
    <w:rsid w:val="00150361"/>
    <w:rsid w:val="00150FFF"/>
    <w:rsid w:val="00151053"/>
    <w:rsid w:val="00151FBB"/>
    <w:rsid w:val="001530E2"/>
    <w:rsid w:val="00154C3E"/>
    <w:rsid w:val="00155F96"/>
    <w:rsid w:val="00156408"/>
    <w:rsid w:val="00156A6B"/>
    <w:rsid w:val="00160DB9"/>
    <w:rsid w:val="001613F8"/>
    <w:rsid w:val="0016169D"/>
    <w:rsid w:val="00161DF9"/>
    <w:rsid w:val="00162CCE"/>
    <w:rsid w:val="001638A3"/>
    <w:rsid w:val="0016547C"/>
    <w:rsid w:val="001654C9"/>
    <w:rsid w:val="00165891"/>
    <w:rsid w:val="00165BFA"/>
    <w:rsid w:val="00166063"/>
    <w:rsid w:val="00166363"/>
    <w:rsid w:val="0016755F"/>
    <w:rsid w:val="00170545"/>
    <w:rsid w:val="00170A4B"/>
    <w:rsid w:val="001711C4"/>
    <w:rsid w:val="001713D1"/>
    <w:rsid w:val="00171A50"/>
    <w:rsid w:val="00171ADD"/>
    <w:rsid w:val="001742D2"/>
    <w:rsid w:val="00174515"/>
    <w:rsid w:val="00174554"/>
    <w:rsid w:val="0017459B"/>
    <w:rsid w:val="00174BB8"/>
    <w:rsid w:val="00175902"/>
    <w:rsid w:val="00176BDF"/>
    <w:rsid w:val="0017765C"/>
    <w:rsid w:val="00177788"/>
    <w:rsid w:val="00180BA0"/>
    <w:rsid w:val="0018110D"/>
    <w:rsid w:val="00181C8A"/>
    <w:rsid w:val="00182E3C"/>
    <w:rsid w:val="00182F0F"/>
    <w:rsid w:val="00183D24"/>
    <w:rsid w:val="00184897"/>
    <w:rsid w:val="001851A6"/>
    <w:rsid w:val="001875A7"/>
    <w:rsid w:val="001879E1"/>
    <w:rsid w:val="00187ED9"/>
    <w:rsid w:val="0019133D"/>
    <w:rsid w:val="001914BC"/>
    <w:rsid w:val="0019389B"/>
    <w:rsid w:val="00193D40"/>
    <w:rsid w:val="00197584"/>
    <w:rsid w:val="001A02A7"/>
    <w:rsid w:val="001A063E"/>
    <w:rsid w:val="001A1AAB"/>
    <w:rsid w:val="001A1B94"/>
    <w:rsid w:val="001A1DE3"/>
    <w:rsid w:val="001A22F5"/>
    <w:rsid w:val="001A275F"/>
    <w:rsid w:val="001A2809"/>
    <w:rsid w:val="001A74F2"/>
    <w:rsid w:val="001A7FD2"/>
    <w:rsid w:val="001B107D"/>
    <w:rsid w:val="001B1203"/>
    <w:rsid w:val="001B138A"/>
    <w:rsid w:val="001B2CD9"/>
    <w:rsid w:val="001B364A"/>
    <w:rsid w:val="001B3AB6"/>
    <w:rsid w:val="001B3F68"/>
    <w:rsid w:val="001B58AD"/>
    <w:rsid w:val="001B62A0"/>
    <w:rsid w:val="001B681A"/>
    <w:rsid w:val="001C0460"/>
    <w:rsid w:val="001C08CB"/>
    <w:rsid w:val="001C1132"/>
    <w:rsid w:val="001C282F"/>
    <w:rsid w:val="001C447A"/>
    <w:rsid w:val="001C44EF"/>
    <w:rsid w:val="001D0086"/>
    <w:rsid w:val="001D0094"/>
    <w:rsid w:val="001D09B2"/>
    <w:rsid w:val="001D3293"/>
    <w:rsid w:val="001D4813"/>
    <w:rsid w:val="001D4D2A"/>
    <w:rsid w:val="001D4E54"/>
    <w:rsid w:val="001D6BEC"/>
    <w:rsid w:val="001D7012"/>
    <w:rsid w:val="001D7BD2"/>
    <w:rsid w:val="001E16A1"/>
    <w:rsid w:val="001E2360"/>
    <w:rsid w:val="001E2A4D"/>
    <w:rsid w:val="001E53C2"/>
    <w:rsid w:val="001E64F2"/>
    <w:rsid w:val="001F0CDF"/>
    <w:rsid w:val="001F0E9C"/>
    <w:rsid w:val="001F1540"/>
    <w:rsid w:val="001F1D7F"/>
    <w:rsid w:val="001F216E"/>
    <w:rsid w:val="001F3213"/>
    <w:rsid w:val="001F39D1"/>
    <w:rsid w:val="001F3A10"/>
    <w:rsid w:val="001F49D1"/>
    <w:rsid w:val="001F652C"/>
    <w:rsid w:val="001F654F"/>
    <w:rsid w:val="001F739F"/>
    <w:rsid w:val="001F78D9"/>
    <w:rsid w:val="001F7BB6"/>
    <w:rsid w:val="001F7D1A"/>
    <w:rsid w:val="002005AD"/>
    <w:rsid w:val="00202DB8"/>
    <w:rsid w:val="00205907"/>
    <w:rsid w:val="0020593C"/>
    <w:rsid w:val="0020623E"/>
    <w:rsid w:val="00207736"/>
    <w:rsid w:val="00210E5F"/>
    <w:rsid w:val="00212460"/>
    <w:rsid w:val="00213F38"/>
    <w:rsid w:val="002140C9"/>
    <w:rsid w:val="00215D0D"/>
    <w:rsid w:val="002161EB"/>
    <w:rsid w:val="00217AEF"/>
    <w:rsid w:val="00217C98"/>
    <w:rsid w:val="002217AC"/>
    <w:rsid w:val="00221EC9"/>
    <w:rsid w:val="00222302"/>
    <w:rsid w:val="00222E88"/>
    <w:rsid w:val="002234B7"/>
    <w:rsid w:val="002238CB"/>
    <w:rsid w:val="00223ECD"/>
    <w:rsid w:val="002241A6"/>
    <w:rsid w:val="002241E8"/>
    <w:rsid w:val="00224774"/>
    <w:rsid w:val="002247B0"/>
    <w:rsid w:val="00224EAB"/>
    <w:rsid w:val="00224F7A"/>
    <w:rsid w:val="00225152"/>
    <w:rsid w:val="002259C6"/>
    <w:rsid w:val="00230A86"/>
    <w:rsid w:val="00230E81"/>
    <w:rsid w:val="0023255A"/>
    <w:rsid w:val="00232673"/>
    <w:rsid w:val="0023427A"/>
    <w:rsid w:val="002342F0"/>
    <w:rsid w:val="00234310"/>
    <w:rsid w:val="002348AE"/>
    <w:rsid w:val="002364C9"/>
    <w:rsid w:val="00236863"/>
    <w:rsid w:val="00237C1F"/>
    <w:rsid w:val="00237D0D"/>
    <w:rsid w:val="00240D97"/>
    <w:rsid w:val="00241300"/>
    <w:rsid w:val="0024133E"/>
    <w:rsid w:val="002422DC"/>
    <w:rsid w:val="00242D46"/>
    <w:rsid w:val="002433A4"/>
    <w:rsid w:val="002435DC"/>
    <w:rsid w:val="00243816"/>
    <w:rsid w:val="00245460"/>
    <w:rsid w:val="002479ED"/>
    <w:rsid w:val="00247B17"/>
    <w:rsid w:val="00250033"/>
    <w:rsid w:val="00250389"/>
    <w:rsid w:val="00252383"/>
    <w:rsid w:val="00252669"/>
    <w:rsid w:val="00252878"/>
    <w:rsid w:val="00252D8C"/>
    <w:rsid w:val="00254209"/>
    <w:rsid w:val="00254288"/>
    <w:rsid w:val="0025469C"/>
    <w:rsid w:val="00255A26"/>
    <w:rsid w:val="0025773A"/>
    <w:rsid w:val="002579CE"/>
    <w:rsid w:val="00257EFF"/>
    <w:rsid w:val="00260902"/>
    <w:rsid w:val="00260FEC"/>
    <w:rsid w:val="002618D5"/>
    <w:rsid w:val="00261DD6"/>
    <w:rsid w:val="00262D13"/>
    <w:rsid w:val="00262F26"/>
    <w:rsid w:val="00263F37"/>
    <w:rsid w:val="00264223"/>
    <w:rsid w:val="00265333"/>
    <w:rsid w:val="0026579C"/>
    <w:rsid w:val="002657E2"/>
    <w:rsid w:val="0026581A"/>
    <w:rsid w:val="00266A13"/>
    <w:rsid w:val="00267130"/>
    <w:rsid w:val="00270597"/>
    <w:rsid w:val="002705D2"/>
    <w:rsid w:val="0027180F"/>
    <w:rsid w:val="0027203E"/>
    <w:rsid w:val="002727CC"/>
    <w:rsid w:val="00272F65"/>
    <w:rsid w:val="00273679"/>
    <w:rsid w:val="00274080"/>
    <w:rsid w:val="002762F7"/>
    <w:rsid w:val="0027698F"/>
    <w:rsid w:val="00277FD0"/>
    <w:rsid w:val="00281A35"/>
    <w:rsid w:val="00282141"/>
    <w:rsid w:val="00283E90"/>
    <w:rsid w:val="00284486"/>
    <w:rsid w:val="00284514"/>
    <w:rsid w:val="002845C3"/>
    <w:rsid w:val="00284ED8"/>
    <w:rsid w:val="00284F1D"/>
    <w:rsid w:val="00285644"/>
    <w:rsid w:val="0028581E"/>
    <w:rsid w:val="00285B21"/>
    <w:rsid w:val="0028729F"/>
    <w:rsid w:val="00291188"/>
    <w:rsid w:val="00293020"/>
    <w:rsid w:val="00293491"/>
    <w:rsid w:val="00295682"/>
    <w:rsid w:val="0029643B"/>
    <w:rsid w:val="002978E1"/>
    <w:rsid w:val="0029799C"/>
    <w:rsid w:val="002A0E6F"/>
    <w:rsid w:val="002A0FB8"/>
    <w:rsid w:val="002A17C7"/>
    <w:rsid w:val="002A3921"/>
    <w:rsid w:val="002A5DA6"/>
    <w:rsid w:val="002A6024"/>
    <w:rsid w:val="002A6193"/>
    <w:rsid w:val="002A6981"/>
    <w:rsid w:val="002A7253"/>
    <w:rsid w:val="002A7BD4"/>
    <w:rsid w:val="002A7F32"/>
    <w:rsid w:val="002B12AB"/>
    <w:rsid w:val="002B20A1"/>
    <w:rsid w:val="002B226E"/>
    <w:rsid w:val="002B3AD1"/>
    <w:rsid w:val="002B3E2B"/>
    <w:rsid w:val="002B45BA"/>
    <w:rsid w:val="002B46D4"/>
    <w:rsid w:val="002B54CF"/>
    <w:rsid w:val="002B6253"/>
    <w:rsid w:val="002B6CE7"/>
    <w:rsid w:val="002C00B0"/>
    <w:rsid w:val="002C4646"/>
    <w:rsid w:val="002C4ACE"/>
    <w:rsid w:val="002C514B"/>
    <w:rsid w:val="002C6AA1"/>
    <w:rsid w:val="002C7AF6"/>
    <w:rsid w:val="002D14A6"/>
    <w:rsid w:val="002D1BE4"/>
    <w:rsid w:val="002D55A2"/>
    <w:rsid w:val="002D70F3"/>
    <w:rsid w:val="002E199B"/>
    <w:rsid w:val="002E1ED0"/>
    <w:rsid w:val="002E27E0"/>
    <w:rsid w:val="002E5015"/>
    <w:rsid w:val="002E7769"/>
    <w:rsid w:val="002E7ACF"/>
    <w:rsid w:val="002F0790"/>
    <w:rsid w:val="002F0CE9"/>
    <w:rsid w:val="002F0DD2"/>
    <w:rsid w:val="002F2220"/>
    <w:rsid w:val="002F2764"/>
    <w:rsid w:val="002F3BD0"/>
    <w:rsid w:val="002F5079"/>
    <w:rsid w:val="002F72F1"/>
    <w:rsid w:val="00300A0B"/>
    <w:rsid w:val="0030114E"/>
    <w:rsid w:val="00301F46"/>
    <w:rsid w:val="00303CAD"/>
    <w:rsid w:val="003056EC"/>
    <w:rsid w:val="00306418"/>
    <w:rsid w:val="00306547"/>
    <w:rsid w:val="003075B1"/>
    <w:rsid w:val="003100F3"/>
    <w:rsid w:val="00310454"/>
    <w:rsid w:val="00310BA7"/>
    <w:rsid w:val="00310C11"/>
    <w:rsid w:val="003130EC"/>
    <w:rsid w:val="003141C4"/>
    <w:rsid w:val="00315492"/>
    <w:rsid w:val="00315FC8"/>
    <w:rsid w:val="00316600"/>
    <w:rsid w:val="003168B9"/>
    <w:rsid w:val="003172EC"/>
    <w:rsid w:val="00317331"/>
    <w:rsid w:val="0032170B"/>
    <w:rsid w:val="003223DD"/>
    <w:rsid w:val="00323325"/>
    <w:rsid w:val="0032342B"/>
    <w:rsid w:val="003243B0"/>
    <w:rsid w:val="00324E56"/>
    <w:rsid w:val="003253A5"/>
    <w:rsid w:val="00325EC0"/>
    <w:rsid w:val="00330CA2"/>
    <w:rsid w:val="003311AE"/>
    <w:rsid w:val="00331403"/>
    <w:rsid w:val="003340EC"/>
    <w:rsid w:val="00334183"/>
    <w:rsid w:val="003350FF"/>
    <w:rsid w:val="0034057C"/>
    <w:rsid w:val="0034158C"/>
    <w:rsid w:val="00341767"/>
    <w:rsid w:val="00342D94"/>
    <w:rsid w:val="00342DB6"/>
    <w:rsid w:val="00343D8D"/>
    <w:rsid w:val="00346906"/>
    <w:rsid w:val="00347DC4"/>
    <w:rsid w:val="00350142"/>
    <w:rsid w:val="0035025D"/>
    <w:rsid w:val="00350627"/>
    <w:rsid w:val="00351483"/>
    <w:rsid w:val="00351AF0"/>
    <w:rsid w:val="00352F0F"/>
    <w:rsid w:val="00353B6D"/>
    <w:rsid w:val="00354920"/>
    <w:rsid w:val="00355DC6"/>
    <w:rsid w:val="00356AB6"/>
    <w:rsid w:val="003604D7"/>
    <w:rsid w:val="003619DC"/>
    <w:rsid w:val="003632DF"/>
    <w:rsid w:val="00363505"/>
    <w:rsid w:val="0036351E"/>
    <w:rsid w:val="00364521"/>
    <w:rsid w:val="003648B5"/>
    <w:rsid w:val="00365026"/>
    <w:rsid w:val="00365D9A"/>
    <w:rsid w:val="00366866"/>
    <w:rsid w:val="0036709C"/>
    <w:rsid w:val="00367549"/>
    <w:rsid w:val="00367F82"/>
    <w:rsid w:val="00371ECE"/>
    <w:rsid w:val="00373B21"/>
    <w:rsid w:val="00374489"/>
    <w:rsid w:val="00374EB1"/>
    <w:rsid w:val="00374FD9"/>
    <w:rsid w:val="003756AF"/>
    <w:rsid w:val="00375815"/>
    <w:rsid w:val="00375D4D"/>
    <w:rsid w:val="00377D1A"/>
    <w:rsid w:val="00380441"/>
    <w:rsid w:val="003824C0"/>
    <w:rsid w:val="00382696"/>
    <w:rsid w:val="0038319E"/>
    <w:rsid w:val="00383777"/>
    <w:rsid w:val="003842A0"/>
    <w:rsid w:val="0038438A"/>
    <w:rsid w:val="00384542"/>
    <w:rsid w:val="00385D20"/>
    <w:rsid w:val="003864D2"/>
    <w:rsid w:val="00386A06"/>
    <w:rsid w:val="00390249"/>
    <w:rsid w:val="00390BF8"/>
    <w:rsid w:val="00391464"/>
    <w:rsid w:val="00392877"/>
    <w:rsid w:val="00392E12"/>
    <w:rsid w:val="00394D7E"/>
    <w:rsid w:val="0039548D"/>
    <w:rsid w:val="003956E9"/>
    <w:rsid w:val="00395EA7"/>
    <w:rsid w:val="003965EC"/>
    <w:rsid w:val="00396BA0"/>
    <w:rsid w:val="00397113"/>
    <w:rsid w:val="003978FB"/>
    <w:rsid w:val="00397BD8"/>
    <w:rsid w:val="003A0E17"/>
    <w:rsid w:val="003A357E"/>
    <w:rsid w:val="003A4414"/>
    <w:rsid w:val="003A537C"/>
    <w:rsid w:val="003A697E"/>
    <w:rsid w:val="003A6E62"/>
    <w:rsid w:val="003A78B5"/>
    <w:rsid w:val="003A7BE8"/>
    <w:rsid w:val="003A7C85"/>
    <w:rsid w:val="003A7FBE"/>
    <w:rsid w:val="003B00A3"/>
    <w:rsid w:val="003B0D09"/>
    <w:rsid w:val="003B165A"/>
    <w:rsid w:val="003B2140"/>
    <w:rsid w:val="003B21AF"/>
    <w:rsid w:val="003B23CC"/>
    <w:rsid w:val="003B2641"/>
    <w:rsid w:val="003B2C8F"/>
    <w:rsid w:val="003B5453"/>
    <w:rsid w:val="003B5A37"/>
    <w:rsid w:val="003B63C2"/>
    <w:rsid w:val="003B7B65"/>
    <w:rsid w:val="003C28B8"/>
    <w:rsid w:val="003C373A"/>
    <w:rsid w:val="003C5229"/>
    <w:rsid w:val="003C5E4D"/>
    <w:rsid w:val="003C6934"/>
    <w:rsid w:val="003C6BCF"/>
    <w:rsid w:val="003C7E9C"/>
    <w:rsid w:val="003C7EE9"/>
    <w:rsid w:val="003C7FD0"/>
    <w:rsid w:val="003D0268"/>
    <w:rsid w:val="003D0834"/>
    <w:rsid w:val="003D1A43"/>
    <w:rsid w:val="003D1A64"/>
    <w:rsid w:val="003D3375"/>
    <w:rsid w:val="003D4416"/>
    <w:rsid w:val="003D4CB4"/>
    <w:rsid w:val="003D6881"/>
    <w:rsid w:val="003D7014"/>
    <w:rsid w:val="003E079F"/>
    <w:rsid w:val="003E0E1B"/>
    <w:rsid w:val="003E18BA"/>
    <w:rsid w:val="003E2EDF"/>
    <w:rsid w:val="003E31E5"/>
    <w:rsid w:val="003E32ED"/>
    <w:rsid w:val="003E3A39"/>
    <w:rsid w:val="003E3DA3"/>
    <w:rsid w:val="003E58C9"/>
    <w:rsid w:val="003E5976"/>
    <w:rsid w:val="003E5CB3"/>
    <w:rsid w:val="003E761F"/>
    <w:rsid w:val="003E7AE7"/>
    <w:rsid w:val="003F14D9"/>
    <w:rsid w:val="003F1601"/>
    <w:rsid w:val="003F1956"/>
    <w:rsid w:val="003F1F9E"/>
    <w:rsid w:val="003F553B"/>
    <w:rsid w:val="003F578D"/>
    <w:rsid w:val="003F5F1F"/>
    <w:rsid w:val="003F650B"/>
    <w:rsid w:val="004004E9"/>
    <w:rsid w:val="00400520"/>
    <w:rsid w:val="004007AA"/>
    <w:rsid w:val="00400FDE"/>
    <w:rsid w:val="00402223"/>
    <w:rsid w:val="0040223D"/>
    <w:rsid w:val="00402595"/>
    <w:rsid w:val="004028C7"/>
    <w:rsid w:val="00404BCA"/>
    <w:rsid w:val="004052C5"/>
    <w:rsid w:val="00405BF8"/>
    <w:rsid w:val="00407A56"/>
    <w:rsid w:val="004100AA"/>
    <w:rsid w:val="00412203"/>
    <w:rsid w:val="004127C3"/>
    <w:rsid w:val="004127EB"/>
    <w:rsid w:val="0041359D"/>
    <w:rsid w:val="00414808"/>
    <w:rsid w:val="0041686D"/>
    <w:rsid w:val="00417DE3"/>
    <w:rsid w:val="00420A58"/>
    <w:rsid w:val="00420B07"/>
    <w:rsid w:val="00420F21"/>
    <w:rsid w:val="004223F5"/>
    <w:rsid w:val="00422869"/>
    <w:rsid w:val="00423947"/>
    <w:rsid w:val="00423957"/>
    <w:rsid w:val="0042569B"/>
    <w:rsid w:val="00426448"/>
    <w:rsid w:val="00427946"/>
    <w:rsid w:val="00427FFE"/>
    <w:rsid w:val="00430859"/>
    <w:rsid w:val="004316BB"/>
    <w:rsid w:val="0043257A"/>
    <w:rsid w:val="00432680"/>
    <w:rsid w:val="00436FD3"/>
    <w:rsid w:val="004406CF"/>
    <w:rsid w:val="00440BB9"/>
    <w:rsid w:val="00440BCF"/>
    <w:rsid w:val="00441804"/>
    <w:rsid w:val="00442BDD"/>
    <w:rsid w:val="00442CBF"/>
    <w:rsid w:val="004435B4"/>
    <w:rsid w:val="00443787"/>
    <w:rsid w:val="004441F9"/>
    <w:rsid w:val="00445088"/>
    <w:rsid w:val="004450D5"/>
    <w:rsid w:val="00445359"/>
    <w:rsid w:val="00452669"/>
    <w:rsid w:val="00452AEA"/>
    <w:rsid w:val="00453069"/>
    <w:rsid w:val="00453D6D"/>
    <w:rsid w:val="00457FAE"/>
    <w:rsid w:val="0046048A"/>
    <w:rsid w:val="0046213D"/>
    <w:rsid w:val="0046313B"/>
    <w:rsid w:val="00463D94"/>
    <w:rsid w:val="00463DE5"/>
    <w:rsid w:val="00464463"/>
    <w:rsid w:val="00464BC2"/>
    <w:rsid w:val="00464EA1"/>
    <w:rsid w:val="004656CC"/>
    <w:rsid w:val="00466346"/>
    <w:rsid w:val="00471595"/>
    <w:rsid w:val="004719B2"/>
    <w:rsid w:val="00471ADA"/>
    <w:rsid w:val="00471F77"/>
    <w:rsid w:val="004727B2"/>
    <w:rsid w:val="0047479F"/>
    <w:rsid w:val="004751D6"/>
    <w:rsid w:val="004766BF"/>
    <w:rsid w:val="00477DBA"/>
    <w:rsid w:val="00477E20"/>
    <w:rsid w:val="00480BB8"/>
    <w:rsid w:val="00480EA1"/>
    <w:rsid w:val="00481C07"/>
    <w:rsid w:val="00481D51"/>
    <w:rsid w:val="00484691"/>
    <w:rsid w:val="0048519E"/>
    <w:rsid w:val="00485EC7"/>
    <w:rsid w:val="004860BD"/>
    <w:rsid w:val="00487430"/>
    <w:rsid w:val="00491C69"/>
    <w:rsid w:val="00492383"/>
    <w:rsid w:val="00492DCA"/>
    <w:rsid w:val="00496E64"/>
    <w:rsid w:val="004A0A7B"/>
    <w:rsid w:val="004A0BB0"/>
    <w:rsid w:val="004A26CD"/>
    <w:rsid w:val="004A3584"/>
    <w:rsid w:val="004A4592"/>
    <w:rsid w:val="004A5121"/>
    <w:rsid w:val="004A577A"/>
    <w:rsid w:val="004A645D"/>
    <w:rsid w:val="004A68A0"/>
    <w:rsid w:val="004A7990"/>
    <w:rsid w:val="004B1458"/>
    <w:rsid w:val="004B168F"/>
    <w:rsid w:val="004B1796"/>
    <w:rsid w:val="004B19B8"/>
    <w:rsid w:val="004B464C"/>
    <w:rsid w:val="004B46A2"/>
    <w:rsid w:val="004B5670"/>
    <w:rsid w:val="004B591D"/>
    <w:rsid w:val="004B612D"/>
    <w:rsid w:val="004B73A8"/>
    <w:rsid w:val="004B7542"/>
    <w:rsid w:val="004B7B8D"/>
    <w:rsid w:val="004C2F0D"/>
    <w:rsid w:val="004C367F"/>
    <w:rsid w:val="004C4219"/>
    <w:rsid w:val="004C432F"/>
    <w:rsid w:val="004C4624"/>
    <w:rsid w:val="004C4ACC"/>
    <w:rsid w:val="004C72EF"/>
    <w:rsid w:val="004C7E83"/>
    <w:rsid w:val="004D0BE6"/>
    <w:rsid w:val="004D0DAE"/>
    <w:rsid w:val="004D1BDD"/>
    <w:rsid w:val="004D5DB3"/>
    <w:rsid w:val="004D612D"/>
    <w:rsid w:val="004D6A26"/>
    <w:rsid w:val="004D6BA8"/>
    <w:rsid w:val="004E08D6"/>
    <w:rsid w:val="004E0D16"/>
    <w:rsid w:val="004E2E15"/>
    <w:rsid w:val="004E345F"/>
    <w:rsid w:val="004E41C7"/>
    <w:rsid w:val="004E4DD6"/>
    <w:rsid w:val="004E6587"/>
    <w:rsid w:val="004E7C6E"/>
    <w:rsid w:val="004E7DAD"/>
    <w:rsid w:val="004E7E28"/>
    <w:rsid w:val="004E7F7F"/>
    <w:rsid w:val="004F2D88"/>
    <w:rsid w:val="004F4B65"/>
    <w:rsid w:val="004F4E50"/>
    <w:rsid w:val="004F5BA0"/>
    <w:rsid w:val="004F6571"/>
    <w:rsid w:val="004F71E5"/>
    <w:rsid w:val="005001BB"/>
    <w:rsid w:val="005001C4"/>
    <w:rsid w:val="00500E1E"/>
    <w:rsid w:val="00505164"/>
    <w:rsid w:val="005070C3"/>
    <w:rsid w:val="0050763D"/>
    <w:rsid w:val="005124DC"/>
    <w:rsid w:val="00514022"/>
    <w:rsid w:val="0051606B"/>
    <w:rsid w:val="005220BE"/>
    <w:rsid w:val="0052246F"/>
    <w:rsid w:val="00522553"/>
    <w:rsid w:val="005239D6"/>
    <w:rsid w:val="00524047"/>
    <w:rsid w:val="00534263"/>
    <w:rsid w:val="0053509C"/>
    <w:rsid w:val="00535676"/>
    <w:rsid w:val="00535DC5"/>
    <w:rsid w:val="005361EE"/>
    <w:rsid w:val="00537716"/>
    <w:rsid w:val="005379EA"/>
    <w:rsid w:val="0054023A"/>
    <w:rsid w:val="0054062B"/>
    <w:rsid w:val="0054131B"/>
    <w:rsid w:val="00541410"/>
    <w:rsid w:val="00542D5F"/>
    <w:rsid w:val="005435DE"/>
    <w:rsid w:val="00543784"/>
    <w:rsid w:val="0054489E"/>
    <w:rsid w:val="00544C28"/>
    <w:rsid w:val="00546BAE"/>
    <w:rsid w:val="00547C7E"/>
    <w:rsid w:val="00547F86"/>
    <w:rsid w:val="00551A65"/>
    <w:rsid w:val="00552241"/>
    <w:rsid w:val="00552EBD"/>
    <w:rsid w:val="00553121"/>
    <w:rsid w:val="00553827"/>
    <w:rsid w:val="0055438C"/>
    <w:rsid w:val="00555F71"/>
    <w:rsid w:val="005571CD"/>
    <w:rsid w:val="005609F6"/>
    <w:rsid w:val="00566B02"/>
    <w:rsid w:val="00567E1B"/>
    <w:rsid w:val="00571E74"/>
    <w:rsid w:val="005726B1"/>
    <w:rsid w:val="0057347E"/>
    <w:rsid w:val="0057407D"/>
    <w:rsid w:val="005740F6"/>
    <w:rsid w:val="005743D2"/>
    <w:rsid w:val="00574747"/>
    <w:rsid w:val="00575DE3"/>
    <w:rsid w:val="00575E04"/>
    <w:rsid w:val="00575E2B"/>
    <w:rsid w:val="0057605C"/>
    <w:rsid w:val="00576F74"/>
    <w:rsid w:val="00577EB9"/>
    <w:rsid w:val="005802BD"/>
    <w:rsid w:val="00583243"/>
    <w:rsid w:val="005838B6"/>
    <w:rsid w:val="0058504D"/>
    <w:rsid w:val="00585249"/>
    <w:rsid w:val="00585F82"/>
    <w:rsid w:val="00586FA8"/>
    <w:rsid w:val="00587F23"/>
    <w:rsid w:val="00590DD9"/>
    <w:rsid w:val="00591E3A"/>
    <w:rsid w:val="0059229A"/>
    <w:rsid w:val="005934C8"/>
    <w:rsid w:val="00593CB4"/>
    <w:rsid w:val="00596C86"/>
    <w:rsid w:val="00596D1D"/>
    <w:rsid w:val="00597CC7"/>
    <w:rsid w:val="005A090E"/>
    <w:rsid w:val="005A091A"/>
    <w:rsid w:val="005A17A5"/>
    <w:rsid w:val="005A253A"/>
    <w:rsid w:val="005A282D"/>
    <w:rsid w:val="005A28EB"/>
    <w:rsid w:val="005A2AF0"/>
    <w:rsid w:val="005A5ACC"/>
    <w:rsid w:val="005A5E07"/>
    <w:rsid w:val="005A62F5"/>
    <w:rsid w:val="005A6EA0"/>
    <w:rsid w:val="005B0D7C"/>
    <w:rsid w:val="005B0E86"/>
    <w:rsid w:val="005B1377"/>
    <w:rsid w:val="005B4B02"/>
    <w:rsid w:val="005B5DEE"/>
    <w:rsid w:val="005B662D"/>
    <w:rsid w:val="005B6854"/>
    <w:rsid w:val="005B68D6"/>
    <w:rsid w:val="005B727A"/>
    <w:rsid w:val="005C1AAA"/>
    <w:rsid w:val="005C4034"/>
    <w:rsid w:val="005C44B3"/>
    <w:rsid w:val="005C465F"/>
    <w:rsid w:val="005C5825"/>
    <w:rsid w:val="005C59E9"/>
    <w:rsid w:val="005C5C63"/>
    <w:rsid w:val="005C651C"/>
    <w:rsid w:val="005C7C83"/>
    <w:rsid w:val="005D1427"/>
    <w:rsid w:val="005D1461"/>
    <w:rsid w:val="005D21E7"/>
    <w:rsid w:val="005D49C8"/>
    <w:rsid w:val="005D4A61"/>
    <w:rsid w:val="005D5607"/>
    <w:rsid w:val="005D6485"/>
    <w:rsid w:val="005E0986"/>
    <w:rsid w:val="005E37E9"/>
    <w:rsid w:val="005E3D43"/>
    <w:rsid w:val="005E4DD7"/>
    <w:rsid w:val="005F03DB"/>
    <w:rsid w:val="005F0B96"/>
    <w:rsid w:val="005F17EC"/>
    <w:rsid w:val="005F3BAB"/>
    <w:rsid w:val="005F3D50"/>
    <w:rsid w:val="005F7031"/>
    <w:rsid w:val="005F7C9D"/>
    <w:rsid w:val="0060108B"/>
    <w:rsid w:val="00602617"/>
    <w:rsid w:val="00603A46"/>
    <w:rsid w:val="0060406F"/>
    <w:rsid w:val="0060602B"/>
    <w:rsid w:val="006075FC"/>
    <w:rsid w:val="006109E0"/>
    <w:rsid w:val="00611A49"/>
    <w:rsid w:val="0061283D"/>
    <w:rsid w:val="00613017"/>
    <w:rsid w:val="00613A54"/>
    <w:rsid w:val="00615DF2"/>
    <w:rsid w:val="00616189"/>
    <w:rsid w:val="006174F4"/>
    <w:rsid w:val="00617779"/>
    <w:rsid w:val="0061785B"/>
    <w:rsid w:val="00620118"/>
    <w:rsid w:val="00621760"/>
    <w:rsid w:val="006217BB"/>
    <w:rsid w:val="00621FA0"/>
    <w:rsid w:val="00622583"/>
    <w:rsid w:val="006226D5"/>
    <w:rsid w:val="00625BD5"/>
    <w:rsid w:val="00625D59"/>
    <w:rsid w:val="00625DFB"/>
    <w:rsid w:val="00627A75"/>
    <w:rsid w:val="00631C2C"/>
    <w:rsid w:val="00631D20"/>
    <w:rsid w:val="0063244C"/>
    <w:rsid w:val="00632A66"/>
    <w:rsid w:val="0063373F"/>
    <w:rsid w:val="00634CEB"/>
    <w:rsid w:val="0063563C"/>
    <w:rsid w:val="00636BB5"/>
    <w:rsid w:val="00637179"/>
    <w:rsid w:val="0063723C"/>
    <w:rsid w:val="00637E34"/>
    <w:rsid w:val="0064280D"/>
    <w:rsid w:val="00644C90"/>
    <w:rsid w:val="006453C9"/>
    <w:rsid w:val="00646100"/>
    <w:rsid w:val="006476CA"/>
    <w:rsid w:val="00651BAE"/>
    <w:rsid w:val="006552AE"/>
    <w:rsid w:val="00655561"/>
    <w:rsid w:val="00655773"/>
    <w:rsid w:val="00656318"/>
    <w:rsid w:val="006563CA"/>
    <w:rsid w:val="006578FC"/>
    <w:rsid w:val="006608AB"/>
    <w:rsid w:val="006618AC"/>
    <w:rsid w:val="00661908"/>
    <w:rsid w:val="00663E12"/>
    <w:rsid w:val="00664587"/>
    <w:rsid w:val="00665DA0"/>
    <w:rsid w:val="0066644C"/>
    <w:rsid w:val="00666F25"/>
    <w:rsid w:val="00667C1C"/>
    <w:rsid w:val="006702B2"/>
    <w:rsid w:val="00671900"/>
    <w:rsid w:val="00671DC4"/>
    <w:rsid w:val="00673DD4"/>
    <w:rsid w:val="00673DF5"/>
    <w:rsid w:val="00674AEB"/>
    <w:rsid w:val="006776BD"/>
    <w:rsid w:val="00677AD0"/>
    <w:rsid w:val="006821F2"/>
    <w:rsid w:val="00682B4B"/>
    <w:rsid w:val="0068301F"/>
    <w:rsid w:val="006843C5"/>
    <w:rsid w:val="00684445"/>
    <w:rsid w:val="0068455C"/>
    <w:rsid w:val="00685328"/>
    <w:rsid w:val="006866D1"/>
    <w:rsid w:val="00686714"/>
    <w:rsid w:val="0068703D"/>
    <w:rsid w:val="006871A9"/>
    <w:rsid w:val="00691A45"/>
    <w:rsid w:val="00692021"/>
    <w:rsid w:val="00692640"/>
    <w:rsid w:val="00692E17"/>
    <w:rsid w:val="00692FC4"/>
    <w:rsid w:val="0069333E"/>
    <w:rsid w:val="00693BA0"/>
    <w:rsid w:val="00693C8E"/>
    <w:rsid w:val="00694759"/>
    <w:rsid w:val="0069630D"/>
    <w:rsid w:val="006969BA"/>
    <w:rsid w:val="0069788A"/>
    <w:rsid w:val="006A026A"/>
    <w:rsid w:val="006A0425"/>
    <w:rsid w:val="006A1C11"/>
    <w:rsid w:val="006A1D62"/>
    <w:rsid w:val="006A1D78"/>
    <w:rsid w:val="006A1F51"/>
    <w:rsid w:val="006A2165"/>
    <w:rsid w:val="006A380B"/>
    <w:rsid w:val="006A6A79"/>
    <w:rsid w:val="006A6D7F"/>
    <w:rsid w:val="006B0298"/>
    <w:rsid w:val="006B0E83"/>
    <w:rsid w:val="006B2556"/>
    <w:rsid w:val="006B32E4"/>
    <w:rsid w:val="006B33EF"/>
    <w:rsid w:val="006B5493"/>
    <w:rsid w:val="006B5A1D"/>
    <w:rsid w:val="006B67C2"/>
    <w:rsid w:val="006B73EB"/>
    <w:rsid w:val="006C00F9"/>
    <w:rsid w:val="006C0BB6"/>
    <w:rsid w:val="006C10C0"/>
    <w:rsid w:val="006C13B6"/>
    <w:rsid w:val="006C1653"/>
    <w:rsid w:val="006C1B1D"/>
    <w:rsid w:val="006C24EB"/>
    <w:rsid w:val="006C32BB"/>
    <w:rsid w:val="006C3747"/>
    <w:rsid w:val="006C59BE"/>
    <w:rsid w:val="006C7760"/>
    <w:rsid w:val="006C7776"/>
    <w:rsid w:val="006C7EEA"/>
    <w:rsid w:val="006D141B"/>
    <w:rsid w:val="006D1F9C"/>
    <w:rsid w:val="006D2431"/>
    <w:rsid w:val="006D243F"/>
    <w:rsid w:val="006D2A2B"/>
    <w:rsid w:val="006D4FF1"/>
    <w:rsid w:val="006D522C"/>
    <w:rsid w:val="006D56AA"/>
    <w:rsid w:val="006D7795"/>
    <w:rsid w:val="006D7ACB"/>
    <w:rsid w:val="006D7DD7"/>
    <w:rsid w:val="006E00EF"/>
    <w:rsid w:val="006E1A7A"/>
    <w:rsid w:val="006E20C3"/>
    <w:rsid w:val="006E29B0"/>
    <w:rsid w:val="006E2CA1"/>
    <w:rsid w:val="006E3C12"/>
    <w:rsid w:val="006E5291"/>
    <w:rsid w:val="006E7BE2"/>
    <w:rsid w:val="006F01E7"/>
    <w:rsid w:val="006F1F3A"/>
    <w:rsid w:val="006F5E21"/>
    <w:rsid w:val="006F7C7D"/>
    <w:rsid w:val="006F7E54"/>
    <w:rsid w:val="006F7EB8"/>
    <w:rsid w:val="00700699"/>
    <w:rsid w:val="007015A1"/>
    <w:rsid w:val="00702DD7"/>
    <w:rsid w:val="00703308"/>
    <w:rsid w:val="00704156"/>
    <w:rsid w:val="007047D3"/>
    <w:rsid w:val="007058C5"/>
    <w:rsid w:val="00705C40"/>
    <w:rsid w:val="00707E5C"/>
    <w:rsid w:val="0071087E"/>
    <w:rsid w:val="00710AFF"/>
    <w:rsid w:val="00710E2F"/>
    <w:rsid w:val="007134D8"/>
    <w:rsid w:val="00716EEF"/>
    <w:rsid w:val="00717DCC"/>
    <w:rsid w:val="007200C3"/>
    <w:rsid w:val="00721B7D"/>
    <w:rsid w:val="007227E8"/>
    <w:rsid w:val="007229A1"/>
    <w:rsid w:val="00723418"/>
    <w:rsid w:val="007235AA"/>
    <w:rsid w:val="00723D59"/>
    <w:rsid w:val="00724AAC"/>
    <w:rsid w:val="00726682"/>
    <w:rsid w:val="00726F0D"/>
    <w:rsid w:val="00727A55"/>
    <w:rsid w:val="00730D30"/>
    <w:rsid w:val="007311A8"/>
    <w:rsid w:val="00731B2E"/>
    <w:rsid w:val="00731B91"/>
    <w:rsid w:val="00732289"/>
    <w:rsid w:val="007329EB"/>
    <w:rsid w:val="007336F6"/>
    <w:rsid w:val="007344FC"/>
    <w:rsid w:val="007349B2"/>
    <w:rsid w:val="00735915"/>
    <w:rsid w:val="00735C21"/>
    <w:rsid w:val="0073614A"/>
    <w:rsid w:val="007367CD"/>
    <w:rsid w:val="007368A7"/>
    <w:rsid w:val="00736FF2"/>
    <w:rsid w:val="00740C8C"/>
    <w:rsid w:val="00740EF8"/>
    <w:rsid w:val="00741AC4"/>
    <w:rsid w:val="0074285B"/>
    <w:rsid w:val="007433A6"/>
    <w:rsid w:val="00745BF1"/>
    <w:rsid w:val="007479F2"/>
    <w:rsid w:val="00747AB2"/>
    <w:rsid w:val="007512EE"/>
    <w:rsid w:val="007515BC"/>
    <w:rsid w:val="00754713"/>
    <w:rsid w:val="00756BAE"/>
    <w:rsid w:val="007573B2"/>
    <w:rsid w:val="007574BB"/>
    <w:rsid w:val="0075764C"/>
    <w:rsid w:val="00757701"/>
    <w:rsid w:val="007618B3"/>
    <w:rsid w:val="0076211E"/>
    <w:rsid w:val="00762198"/>
    <w:rsid w:val="00763C8B"/>
    <w:rsid w:val="00763CE8"/>
    <w:rsid w:val="007649B8"/>
    <w:rsid w:val="00764A93"/>
    <w:rsid w:val="007658AA"/>
    <w:rsid w:val="0076713B"/>
    <w:rsid w:val="0076766A"/>
    <w:rsid w:val="00767EE7"/>
    <w:rsid w:val="007706FD"/>
    <w:rsid w:val="00770792"/>
    <w:rsid w:val="007719F4"/>
    <w:rsid w:val="00772B84"/>
    <w:rsid w:val="007733C3"/>
    <w:rsid w:val="00774D4B"/>
    <w:rsid w:val="00774FFE"/>
    <w:rsid w:val="00775638"/>
    <w:rsid w:val="00775677"/>
    <w:rsid w:val="0077599A"/>
    <w:rsid w:val="007761FD"/>
    <w:rsid w:val="007762AF"/>
    <w:rsid w:val="00776A0A"/>
    <w:rsid w:val="00777353"/>
    <w:rsid w:val="00777901"/>
    <w:rsid w:val="007808C5"/>
    <w:rsid w:val="00780CD6"/>
    <w:rsid w:val="00782EA4"/>
    <w:rsid w:val="00783BF6"/>
    <w:rsid w:val="007852C9"/>
    <w:rsid w:val="00785461"/>
    <w:rsid w:val="00785E10"/>
    <w:rsid w:val="00785F00"/>
    <w:rsid w:val="00786FF3"/>
    <w:rsid w:val="007876CF"/>
    <w:rsid w:val="0079152B"/>
    <w:rsid w:val="007927FF"/>
    <w:rsid w:val="00792A7A"/>
    <w:rsid w:val="00793090"/>
    <w:rsid w:val="007949A3"/>
    <w:rsid w:val="007952E1"/>
    <w:rsid w:val="00795DF7"/>
    <w:rsid w:val="007961CF"/>
    <w:rsid w:val="00796F2A"/>
    <w:rsid w:val="007A0176"/>
    <w:rsid w:val="007A2116"/>
    <w:rsid w:val="007A2F67"/>
    <w:rsid w:val="007A31BB"/>
    <w:rsid w:val="007A3918"/>
    <w:rsid w:val="007A5570"/>
    <w:rsid w:val="007A6721"/>
    <w:rsid w:val="007A6BE8"/>
    <w:rsid w:val="007A7AF9"/>
    <w:rsid w:val="007B058D"/>
    <w:rsid w:val="007B0810"/>
    <w:rsid w:val="007B0E89"/>
    <w:rsid w:val="007B17DD"/>
    <w:rsid w:val="007B184C"/>
    <w:rsid w:val="007B2BAE"/>
    <w:rsid w:val="007B2C38"/>
    <w:rsid w:val="007B2E54"/>
    <w:rsid w:val="007B3B15"/>
    <w:rsid w:val="007B550E"/>
    <w:rsid w:val="007B5C00"/>
    <w:rsid w:val="007B6F5A"/>
    <w:rsid w:val="007B7498"/>
    <w:rsid w:val="007B7AEE"/>
    <w:rsid w:val="007C14A2"/>
    <w:rsid w:val="007C2786"/>
    <w:rsid w:val="007C339B"/>
    <w:rsid w:val="007C3D67"/>
    <w:rsid w:val="007C4879"/>
    <w:rsid w:val="007C74D9"/>
    <w:rsid w:val="007C7D9B"/>
    <w:rsid w:val="007C7EB6"/>
    <w:rsid w:val="007D1110"/>
    <w:rsid w:val="007D1375"/>
    <w:rsid w:val="007D1624"/>
    <w:rsid w:val="007D2976"/>
    <w:rsid w:val="007D2E51"/>
    <w:rsid w:val="007D2F75"/>
    <w:rsid w:val="007D3EE9"/>
    <w:rsid w:val="007D3FE9"/>
    <w:rsid w:val="007D4032"/>
    <w:rsid w:val="007D46AD"/>
    <w:rsid w:val="007D49C6"/>
    <w:rsid w:val="007D7B02"/>
    <w:rsid w:val="007E213E"/>
    <w:rsid w:val="007E22E7"/>
    <w:rsid w:val="007E2F03"/>
    <w:rsid w:val="007E4232"/>
    <w:rsid w:val="007E493B"/>
    <w:rsid w:val="007E4C04"/>
    <w:rsid w:val="007E4F4D"/>
    <w:rsid w:val="007E543B"/>
    <w:rsid w:val="007E62AB"/>
    <w:rsid w:val="007E69BB"/>
    <w:rsid w:val="007E6AB8"/>
    <w:rsid w:val="007F0030"/>
    <w:rsid w:val="007F0B31"/>
    <w:rsid w:val="007F2109"/>
    <w:rsid w:val="007F21C5"/>
    <w:rsid w:val="007F3AFC"/>
    <w:rsid w:val="007F3EF1"/>
    <w:rsid w:val="007F4FCA"/>
    <w:rsid w:val="007F5030"/>
    <w:rsid w:val="007F674D"/>
    <w:rsid w:val="00801251"/>
    <w:rsid w:val="00801BCE"/>
    <w:rsid w:val="00802515"/>
    <w:rsid w:val="00802633"/>
    <w:rsid w:val="00803391"/>
    <w:rsid w:val="0080411F"/>
    <w:rsid w:val="00805121"/>
    <w:rsid w:val="00806E45"/>
    <w:rsid w:val="00811893"/>
    <w:rsid w:val="00811938"/>
    <w:rsid w:val="008123D0"/>
    <w:rsid w:val="00812452"/>
    <w:rsid w:val="0081283F"/>
    <w:rsid w:val="00812F5A"/>
    <w:rsid w:val="0081480A"/>
    <w:rsid w:val="00815F9B"/>
    <w:rsid w:val="00816E19"/>
    <w:rsid w:val="008202EB"/>
    <w:rsid w:val="00821AA4"/>
    <w:rsid w:val="00821DEC"/>
    <w:rsid w:val="00822356"/>
    <w:rsid w:val="00824038"/>
    <w:rsid w:val="00825142"/>
    <w:rsid w:val="00825898"/>
    <w:rsid w:val="008259F0"/>
    <w:rsid w:val="00827BDE"/>
    <w:rsid w:val="00827F88"/>
    <w:rsid w:val="008336A5"/>
    <w:rsid w:val="008352A0"/>
    <w:rsid w:val="00835474"/>
    <w:rsid w:val="008364FF"/>
    <w:rsid w:val="008373C0"/>
    <w:rsid w:val="00837470"/>
    <w:rsid w:val="00837BD7"/>
    <w:rsid w:val="0084034B"/>
    <w:rsid w:val="0084145F"/>
    <w:rsid w:val="00841DA2"/>
    <w:rsid w:val="0084359C"/>
    <w:rsid w:val="008458F6"/>
    <w:rsid w:val="00845AED"/>
    <w:rsid w:val="00845D45"/>
    <w:rsid w:val="00846A6D"/>
    <w:rsid w:val="0084708E"/>
    <w:rsid w:val="008511E5"/>
    <w:rsid w:val="00851AE4"/>
    <w:rsid w:val="008530A1"/>
    <w:rsid w:val="00853765"/>
    <w:rsid w:val="00854E77"/>
    <w:rsid w:val="0085547C"/>
    <w:rsid w:val="0085598D"/>
    <w:rsid w:val="00856CDE"/>
    <w:rsid w:val="008572E0"/>
    <w:rsid w:val="008601E6"/>
    <w:rsid w:val="00861B3C"/>
    <w:rsid w:val="008620FB"/>
    <w:rsid w:val="00862771"/>
    <w:rsid w:val="00862A2E"/>
    <w:rsid w:val="00863412"/>
    <w:rsid w:val="00863B97"/>
    <w:rsid w:val="00864351"/>
    <w:rsid w:val="0086682F"/>
    <w:rsid w:val="0087115D"/>
    <w:rsid w:val="008721D9"/>
    <w:rsid w:val="00872A21"/>
    <w:rsid w:val="00876B5D"/>
    <w:rsid w:val="00876F54"/>
    <w:rsid w:val="00877292"/>
    <w:rsid w:val="0087754A"/>
    <w:rsid w:val="008775B9"/>
    <w:rsid w:val="0087766C"/>
    <w:rsid w:val="00880552"/>
    <w:rsid w:val="00882233"/>
    <w:rsid w:val="008839DA"/>
    <w:rsid w:val="00884EE8"/>
    <w:rsid w:val="00885168"/>
    <w:rsid w:val="008851C5"/>
    <w:rsid w:val="0089147E"/>
    <w:rsid w:val="0089173B"/>
    <w:rsid w:val="00891E76"/>
    <w:rsid w:val="0089220F"/>
    <w:rsid w:val="008935AA"/>
    <w:rsid w:val="008963F0"/>
    <w:rsid w:val="0089716C"/>
    <w:rsid w:val="008A03A5"/>
    <w:rsid w:val="008A095C"/>
    <w:rsid w:val="008A09A9"/>
    <w:rsid w:val="008A0DF3"/>
    <w:rsid w:val="008A0E69"/>
    <w:rsid w:val="008A1282"/>
    <w:rsid w:val="008A19EA"/>
    <w:rsid w:val="008A2809"/>
    <w:rsid w:val="008A4138"/>
    <w:rsid w:val="008A55AF"/>
    <w:rsid w:val="008A5D96"/>
    <w:rsid w:val="008A735F"/>
    <w:rsid w:val="008A7A18"/>
    <w:rsid w:val="008B0418"/>
    <w:rsid w:val="008B0C65"/>
    <w:rsid w:val="008B1633"/>
    <w:rsid w:val="008B1EF3"/>
    <w:rsid w:val="008B22F1"/>
    <w:rsid w:val="008B2618"/>
    <w:rsid w:val="008B3D75"/>
    <w:rsid w:val="008B3FC1"/>
    <w:rsid w:val="008B4817"/>
    <w:rsid w:val="008B5C93"/>
    <w:rsid w:val="008B67C3"/>
    <w:rsid w:val="008B6848"/>
    <w:rsid w:val="008C0D0C"/>
    <w:rsid w:val="008C1DD1"/>
    <w:rsid w:val="008C2FA1"/>
    <w:rsid w:val="008C59CD"/>
    <w:rsid w:val="008C5C50"/>
    <w:rsid w:val="008C6323"/>
    <w:rsid w:val="008C6A38"/>
    <w:rsid w:val="008D0EEC"/>
    <w:rsid w:val="008D2C4C"/>
    <w:rsid w:val="008D320A"/>
    <w:rsid w:val="008D7E0D"/>
    <w:rsid w:val="008D7EDB"/>
    <w:rsid w:val="008E065E"/>
    <w:rsid w:val="008E09AB"/>
    <w:rsid w:val="008E0B40"/>
    <w:rsid w:val="008E1829"/>
    <w:rsid w:val="008E18D2"/>
    <w:rsid w:val="008E1EB3"/>
    <w:rsid w:val="008E2327"/>
    <w:rsid w:val="008E232F"/>
    <w:rsid w:val="008E2560"/>
    <w:rsid w:val="008E29A1"/>
    <w:rsid w:val="008E2A88"/>
    <w:rsid w:val="008E4D68"/>
    <w:rsid w:val="008E5077"/>
    <w:rsid w:val="008E5B85"/>
    <w:rsid w:val="008E64F0"/>
    <w:rsid w:val="008E6FF3"/>
    <w:rsid w:val="008E7B05"/>
    <w:rsid w:val="008F18ED"/>
    <w:rsid w:val="008F3DBB"/>
    <w:rsid w:val="008F46C2"/>
    <w:rsid w:val="008F5B63"/>
    <w:rsid w:val="0090154E"/>
    <w:rsid w:val="00901840"/>
    <w:rsid w:val="009020A8"/>
    <w:rsid w:val="00902BF5"/>
    <w:rsid w:val="00903747"/>
    <w:rsid w:val="00903D37"/>
    <w:rsid w:val="00903F35"/>
    <w:rsid w:val="00906845"/>
    <w:rsid w:val="00906E34"/>
    <w:rsid w:val="00907E2A"/>
    <w:rsid w:val="0091055D"/>
    <w:rsid w:val="0091389A"/>
    <w:rsid w:val="00914C61"/>
    <w:rsid w:val="00917283"/>
    <w:rsid w:val="00917D6F"/>
    <w:rsid w:val="00921B1A"/>
    <w:rsid w:val="00921BF8"/>
    <w:rsid w:val="00921DDA"/>
    <w:rsid w:val="00921F37"/>
    <w:rsid w:val="0092320A"/>
    <w:rsid w:val="0092600D"/>
    <w:rsid w:val="009265C1"/>
    <w:rsid w:val="00927A7C"/>
    <w:rsid w:val="00927D70"/>
    <w:rsid w:val="0093039D"/>
    <w:rsid w:val="009317F3"/>
    <w:rsid w:val="00931E4F"/>
    <w:rsid w:val="00932DA6"/>
    <w:rsid w:val="0093353A"/>
    <w:rsid w:val="0093364D"/>
    <w:rsid w:val="00935FBA"/>
    <w:rsid w:val="00936574"/>
    <w:rsid w:val="00943BCE"/>
    <w:rsid w:val="009444B3"/>
    <w:rsid w:val="00944FCB"/>
    <w:rsid w:val="00947C21"/>
    <w:rsid w:val="0095267D"/>
    <w:rsid w:val="009533C1"/>
    <w:rsid w:val="009537A1"/>
    <w:rsid w:val="00953884"/>
    <w:rsid w:val="0095422A"/>
    <w:rsid w:val="00954571"/>
    <w:rsid w:val="0095489F"/>
    <w:rsid w:val="009548FB"/>
    <w:rsid w:val="009552EB"/>
    <w:rsid w:val="00960346"/>
    <w:rsid w:val="00961771"/>
    <w:rsid w:val="009617D3"/>
    <w:rsid w:val="00962500"/>
    <w:rsid w:val="009642E2"/>
    <w:rsid w:val="0096463B"/>
    <w:rsid w:val="00964F37"/>
    <w:rsid w:val="00965BE5"/>
    <w:rsid w:val="00966214"/>
    <w:rsid w:val="0096654D"/>
    <w:rsid w:val="009677C9"/>
    <w:rsid w:val="00967869"/>
    <w:rsid w:val="00967901"/>
    <w:rsid w:val="00971F54"/>
    <w:rsid w:val="0097203B"/>
    <w:rsid w:val="00972494"/>
    <w:rsid w:val="009725C5"/>
    <w:rsid w:val="00973F40"/>
    <w:rsid w:val="00974AED"/>
    <w:rsid w:val="009767B2"/>
    <w:rsid w:val="00977B4C"/>
    <w:rsid w:val="009810E8"/>
    <w:rsid w:val="0098493A"/>
    <w:rsid w:val="009849EF"/>
    <w:rsid w:val="0098691A"/>
    <w:rsid w:val="00986DB7"/>
    <w:rsid w:val="0098748F"/>
    <w:rsid w:val="0098766E"/>
    <w:rsid w:val="00992B55"/>
    <w:rsid w:val="00992EF8"/>
    <w:rsid w:val="009934CF"/>
    <w:rsid w:val="00995DBB"/>
    <w:rsid w:val="009963E0"/>
    <w:rsid w:val="0099644F"/>
    <w:rsid w:val="00997765"/>
    <w:rsid w:val="009A006C"/>
    <w:rsid w:val="009A0D75"/>
    <w:rsid w:val="009A134F"/>
    <w:rsid w:val="009A15E0"/>
    <w:rsid w:val="009A347A"/>
    <w:rsid w:val="009A620E"/>
    <w:rsid w:val="009A6766"/>
    <w:rsid w:val="009A7126"/>
    <w:rsid w:val="009A79AD"/>
    <w:rsid w:val="009A7D5B"/>
    <w:rsid w:val="009B0149"/>
    <w:rsid w:val="009B0834"/>
    <w:rsid w:val="009B2917"/>
    <w:rsid w:val="009B2AAD"/>
    <w:rsid w:val="009B4703"/>
    <w:rsid w:val="009B548D"/>
    <w:rsid w:val="009B6A6F"/>
    <w:rsid w:val="009C084A"/>
    <w:rsid w:val="009C1800"/>
    <w:rsid w:val="009C1AFE"/>
    <w:rsid w:val="009C325D"/>
    <w:rsid w:val="009C5F24"/>
    <w:rsid w:val="009C743F"/>
    <w:rsid w:val="009C74D1"/>
    <w:rsid w:val="009D048B"/>
    <w:rsid w:val="009D0F07"/>
    <w:rsid w:val="009D1C19"/>
    <w:rsid w:val="009D2117"/>
    <w:rsid w:val="009D2AA3"/>
    <w:rsid w:val="009D3ECA"/>
    <w:rsid w:val="009D4EFA"/>
    <w:rsid w:val="009D6490"/>
    <w:rsid w:val="009D69C6"/>
    <w:rsid w:val="009E1F78"/>
    <w:rsid w:val="009E3A37"/>
    <w:rsid w:val="009E4375"/>
    <w:rsid w:val="009E48CB"/>
    <w:rsid w:val="009E5419"/>
    <w:rsid w:val="009E5A6E"/>
    <w:rsid w:val="009E5E9B"/>
    <w:rsid w:val="009E66AB"/>
    <w:rsid w:val="009E735F"/>
    <w:rsid w:val="009F0CD3"/>
    <w:rsid w:val="009F2B80"/>
    <w:rsid w:val="009F376A"/>
    <w:rsid w:val="009F3822"/>
    <w:rsid w:val="009F46DC"/>
    <w:rsid w:val="009F48CD"/>
    <w:rsid w:val="009F5D2A"/>
    <w:rsid w:val="009F6922"/>
    <w:rsid w:val="00A00216"/>
    <w:rsid w:val="00A014B2"/>
    <w:rsid w:val="00A01869"/>
    <w:rsid w:val="00A01C00"/>
    <w:rsid w:val="00A01C04"/>
    <w:rsid w:val="00A0326B"/>
    <w:rsid w:val="00A045E2"/>
    <w:rsid w:val="00A0476F"/>
    <w:rsid w:val="00A04DAA"/>
    <w:rsid w:val="00A04E39"/>
    <w:rsid w:val="00A04F3C"/>
    <w:rsid w:val="00A055E6"/>
    <w:rsid w:val="00A05C4B"/>
    <w:rsid w:val="00A1061C"/>
    <w:rsid w:val="00A119D6"/>
    <w:rsid w:val="00A11CAD"/>
    <w:rsid w:val="00A126FA"/>
    <w:rsid w:val="00A14615"/>
    <w:rsid w:val="00A14D93"/>
    <w:rsid w:val="00A158DF"/>
    <w:rsid w:val="00A1620D"/>
    <w:rsid w:val="00A16AC0"/>
    <w:rsid w:val="00A205D7"/>
    <w:rsid w:val="00A20AF2"/>
    <w:rsid w:val="00A20C0D"/>
    <w:rsid w:val="00A22577"/>
    <w:rsid w:val="00A23817"/>
    <w:rsid w:val="00A23D31"/>
    <w:rsid w:val="00A24C9B"/>
    <w:rsid w:val="00A26963"/>
    <w:rsid w:val="00A27D2B"/>
    <w:rsid w:val="00A27D3A"/>
    <w:rsid w:val="00A301A7"/>
    <w:rsid w:val="00A30C34"/>
    <w:rsid w:val="00A30FD3"/>
    <w:rsid w:val="00A35E2F"/>
    <w:rsid w:val="00A37891"/>
    <w:rsid w:val="00A40A51"/>
    <w:rsid w:val="00A41F1D"/>
    <w:rsid w:val="00A4202F"/>
    <w:rsid w:val="00A42776"/>
    <w:rsid w:val="00A429DE"/>
    <w:rsid w:val="00A43CA4"/>
    <w:rsid w:val="00A44367"/>
    <w:rsid w:val="00A44535"/>
    <w:rsid w:val="00A44809"/>
    <w:rsid w:val="00A44BDD"/>
    <w:rsid w:val="00A45329"/>
    <w:rsid w:val="00A4726C"/>
    <w:rsid w:val="00A4730E"/>
    <w:rsid w:val="00A47916"/>
    <w:rsid w:val="00A47AB9"/>
    <w:rsid w:val="00A47CB1"/>
    <w:rsid w:val="00A536DA"/>
    <w:rsid w:val="00A5512B"/>
    <w:rsid w:val="00A571CD"/>
    <w:rsid w:val="00A578BE"/>
    <w:rsid w:val="00A57C3D"/>
    <w:rsid w:val="00A60EEE"/>
    <w:rsid w:val="00A63F14"/>
    <w:rsid w:val="00A65D52"/>
    <w:rsid w:val="00A65F35"/>
    <w:rsid w:val="00A6697B"/>
    <w:rsid w:val="00A67218"/>
    <w:rsid w:val="00A70754"/>
    <w:rsid w:val="00A719E3"/>
    <w:rsid w:val="00A7214F"/>
    <w:rsid w:val="00A7352E"/>
    <w:rsid w:val="00A74C2D"/>
    <w:rsid w:val="00A76B34"/>
    <w:rsid w:val="00A823AB"/>
    <w:rsid w:val="00A823C0"/>
    <w:rsid w:val="00A82E65"/>
    <w:rsid w:val="00A8321D"/>
    <w:rsid w:val="00A83487"/>
    <w:rsid w:val="00A845A5"/>
    <w:rsid w:val="00A854FF"/>
    <w:rsid w:val="00A8559F"/>
    <w:rsid w:val="00A859DF"/>
    <w:rsid w:val="00A86BDE"/>
    <w:rsid w:val="00A86E24"/>
    <w:rsid w:val="00A87035"/>
    <w:rsid w:val="00A8745D"/>
    <w:rsid w:val="00A90F9B"/>
    <w:rsid w:val="00A91DD3"/>
    <w:rsid w:val="00A92694"/>
    <w:rsid w:val="00A93072"/>
    <w:rsid w:val="00A93B98"/>
    <w:rsid w:val="00A961E0"/>
    <w:rsid w:val="00A9629C"/>
    <w:rsid w:val="00AA053A"/>
    <w:rsid w:val="00AA0957"/>
    <w:rsid w:val="00AA0FC8"/>
    <w:rsid w:val="00AA1D73"/>
    <w:rsid w:val="00AA234F"/>
    <w:rsid w:val="00AA24D1"/>
    <w:rsid w:val="00AA2521"/>
    <w:rsid w:val="00AA2BD3"/>
    <w:rsid w:val="00AA35D5"/>
    <w:rsid w:val="00AA417B"/>
    <w:rsid w:val="00AA4A7D"/>
    <w:rsid w:val="00AA4B9F"/>
    <w:rsid w:val="00AA533F"/>
    <w:rsid w:val="00AA5A86"/>
    <w:rsid w:val="00AB010D"/>
    <w:rsid w:val="00AB0507"/>
    <w:rsid w:val="00AB0749"/>
    <w:rsid w:val="00AB08B9"/>
    <w:rsid w:val="00AB178F"/>
    <w:rsid w:val="00AB1EC6"/>
    <w:rsid w:val="00AB1ECD"/>
    <w:rsid w:val="00AB64FA"/>
    <w:rsid w:val="00AB76D8"/>
    <w:rsid w:val="00AB7E6A"/>
    <w:rsid w:val="00AC0510"/>
    <w:rsid w:val="00AC07FD"/>
    <w:rsid w:val="00AC1B61"/>
    <w:rsid w:val="00AC2C6E"/>
    <w:rsid w:val="00AC3CAB"/>
    <w:rsid w:val="00AC48B7"/>
    <w:rsid w:val="00AC5A5A"/>
    <w:rsid w:val="00AC5EE6"/>
    <w:rsid w:val="00AC755D"/>
    <w:rsid w:val="00AD0D24"/>
    <w:rsid w:val="00AD11D7"/>
    <w:rsid w:val="00AD1923"/>
    <w:rsid w:val="00AD2611"/>
    <w:rsid w:val="00AD3AC5"/>
    <w:rsid w:val="00AD3D57"/>
    <w:rsid w:val="00AD5005"/>
    <w:rsid w:val="00AD5A8C"/>
    <w:rsid w:val="00AD79FC"/>
    <w:rsid w:val="00AE06D0"/>
    <w:rsid w:val="00AE08C5"/>
    <w:rsid w:val="00AE13CA"/>
    <w:rsid w:val="00AE23AD"/>
    <w:rsid w:val="00AE3F3E"/>
    <w:rsid w:val="00AE413B"/>
    <w:rsid w:val="00AE47BF"/>
    <w:rsid w:val="00AE5106"/>
    <w:rsid w:val="00AE55F6"/>
    <w:rsid w:val="00AF3932"/>
    <w:rsid w:val="00AF4A5F"/>
    <w:rsid w:val="00AF55C8"/>
    <w:rsid w:val="00AF6432"/>
    <w:rsid w:val="00AF79BD"/>
    <w:rsid w:val="00B0065C"/>
    <w:rsid w:val="00B00EB5"/>
    <w:rsid w:val="00B01064"/>
    <w:rsid w:val="00B05DD2"/>
    <w:rsid w:val="00B07D61"/>
    <w:rsid w:val="00B07F12"/>
    <w:rsid w:val="00B07F6C"/>
    <w:rsid w:val="00B10248"/>
    <w:rsid w:val="00B10D26"/>
    <w:rsid w:val="00B10D7A"/>
    <w:rsid w:val="00B122F3"/>
    <w:rsid w:val="00B12C0D"/>
    <w:rsid w:val="00B13556"/>
    <w:rsid w:val="00B1415B"/>
    <w:rsid w:val="00B15278"/>
    <w:rsid w:val="00B159BB"/>
    <w:rsid w:val="00B200AC"/>
    <w:rsid w:val="00B20C9C"/>
    <w:rsid w:val="00B2231D"/>
    <w:rsid w:val="00B2318F"/>
    <w:rsid w:val="00B234EC"/>
    <w:rsid w:val="00B244DE"/>
    <w:rsid w:val="00B26779"/>
    <w:rsid w:val="00B274AE"/>
    <w:rsid w:val="00B274BF"/>
    <w:rsid w:val="00B303E3"/>
    <w:rsid w:val="00B310B9"/>
    <w:rsid w:val="00B31222"/>
    <w:rsid w:val="00B324A5"/>
    <w:rsid w:val="00B35BE8"/>
    <w:rsid w:val="00B400E0"/>
    <w:rsid w:val="00B408A3"/>
    <w:rsid w:val="00B427A8"/>
    <w:rsid w:val="00B42E81"/>
    <w:rsid w:val="00B4329D"/>
    <w:rsid w:val="00B443F5"/>
    <w:rsid w:val="00B468A5"/>
    <w:rsid w:val="00B50CA4"/>
    <w:rsid w:val="00B51199"/>
    <w:rsid w:val="00B51407"/>
    <w:rsid w:val="00B51557"/>
    <w:rsid w:val="00B520F9"/>
    <w:rsid w:val="00B52812"/>
    <w:rsid w:val="00B52925"/>
    <w:rsid w:val="00B5495A"/>
    <w:rsid w:val="00B572B3"/>
    <w:rsid w:val="00B577A3"/>
    <w:rsid w:val="00B6242F"/>
    <w:rsid w:val="00B632A7"/>
    <w:rsid w:val="00B644CD"/>
    <w:rsid w:val="00B64641"/>
    <w:rsid w:val="00B65F32"/>
    <w:rsid w:val="00B66245"/>
    <w:rsid w:val="00B70369"/>
    <w:rsid w:val="00B7262F"/>
    <w:rsid w:val="00B727C5"/>
    <w:rsid w:val="00B7350D"/>
    <w:rsid w:val="00B73FD4"/>
    <w:rsid w:val="00B74FC5"/>
    <w:rsid w:val="00B75A6C"/>
    <w:rsid w:val="00B8257C"/>
    <w:rsid w:val="00B82DBD"/>
    <w:rsid w:val="00B82F2D"/>
    <w:rsid w:val="00B837BB"/>
    <w:rsid w:val="00B83DA4"/>
    <w:rsid w:val="00B83E2A"/>
    <w:rsid w:val="00B83E38"/>
    <w:rsid w:val="00B85DF3"/>
    <w:rsid w:val="00B86C19"/>
    <w:rsid w:val="00B87654"/>
    <w:rsid w:val="00B9072C"/>
    <w:rsid w:val="00B90FD4"/>
    <w:rsid w:val="00B92937"/>
    <w:rsid w:val="00B92EDF"/>
    <w:rsid w:val="00B9301A"/>
    <w:rsid w:val="00B93510"/>
    <w:rsid w:val="00B93A57"/>
    <w:rsid w:val="00B93D3E"/>
    <w:rsid w:val="00B93E33"/>
    <w:rsid w:val="00B954F3"/>
    <w:rsid w:val="00B95B65"/>
    <w:rsid w:val="00B95BCD"/>
    <w:rsid w:val="00B95CDC"/>
    <w:rsid w:val="00B95CE5"/>
    <w:rsid w:val="00B96956"/>
    <w:rsid w:val="00BA0D0B"/>
    <w:rsid w:val="00BA338D"/>
    <w:rsid w:val="00BA44BC"/>
    <w:rsid w:val="00BA5EB5"/>
    <w:rsid w:val="00BA7B72"/>
    <w:rsid w:val="00BB0B9E"/>
    <w:rsid w:val="00BB1816"/>
    <w:rsid w:val="00BB247C"/>
    <w:rsid w:val="00BB2B36"/>
    <w:rsid w:val="00BB375D"/>
    <w:rsid w:val="00BB49A0"/>
    <w:rsid w:val="00BB515F"/>
    <w:rsid w:val="00BB71BC"/>
    <w:rsid w:val="00BC0662"/>
    <w:rsid w:val="00BC1FA5"/>
    <w:rsid w:val="00BC207C"/>
    <w:rsid w:val="00BC2C0C"/>
    <w:rsid w:val="00BC3966"/>
    <w:rsid w:val="00BC5BC0"/>
    <w:rsid w:val="00BC6834"/>
    <w:rsid w:val="00BC732A"/>
    <w:rsid w:val="00BC758B"/>
    <w:rsid w:val="00BD06BD"/>
    <w:rsid w:val="00BD07A0"/>
    <w:rsid w:val="00BD0F30"/>
    <w:rsid w:val="00BD14B8"/>
    <w:rsid w:val="00BD1EF5"/>
    <w:rsid w:val="00BD28A5"/>
    <w:rsid w:val="00BD2EAC"/>
    <w:rsid w:val="00BD4BB3"/>
    <w:rsid w:val="00BE0982"/>
    <w:rsid w:val="00BE17C6"/>
    <w:rsid w:val="00BE29C2"/>
    <w:rsid w:val="00BE2BD3"/>
    <w:rsid w:val="00BE3644"/>
    <w:rsid w:val="00BE40BA"/>
    <w:rsid w:val="00BE4865"/>
    <w:rsid w:val="00BE5DAD"/>
    <w:rsid w:val="00BE625E"/>
    <w:rsid w:val="00BE69BF"/>
    <w:rsid w:val="00BE725A"/>
    <w:rsid w:val="00BE7430"/>
    <w:rsid w:val="00BE7B48"/>
    <w:rsid w:val="00BE7DC1"/>
    <w:rsid w:val="00BF05CB"/>
    <w:rsid w:val="00BF0E29"/>
    <w:rsid w:val="00BF1EC6"/>
    <w:rsid w:val="00BF3128"/>
    <w:rsid w:val="00BF3381"/>
    <w:rsid w:val="00BF35DC"/>
    <w:rsid w:val="00BF3F7B"/>
    <w:rsid w:val="00BF4843"/>
    <w:rsid w:val="00BF5BC3"/>
    <w:rsid w:val="00BF7E16"/>
    <w:rsid w:val="00C01574"/>
    <w:rsid w:val="00C03F02"/>
    <w:rsid w:val="00C04B28"/>
    <w:rsid w:val="00C060E4"/>
    <w:rsid w:val="00C0693C"/>
    <w:rsid w:val="00C06C69"/>
    <w:rsid w:val="00C0735C"/>
    <w:rsid w:val="00C07B97"/>
    <w:rsid w:val="00C10D5A"/>
    <w:rsid w:val="00C10FCF"/>
    <w:rsid w:val="00C11B8A"/>
    <w:rsid w:val="00C13947"/>
    <w:rsid w:val="00C13A2C"/>
    <w:rsid w:val="00C16B4B"/>
    <w:rsid w:val="00C170DA"/>
    <w:rsid w:val="00C17427"/>
    <w:rsid w:val="00C17CF6"/>
    <w:rsid w:val="00C2093E"/>
    <w:rsid w:val="00C20C00"/>
    <w:rsid w:val="00C210FD"/>
    <w:rsid w:val="00C21B5B"/>
    <w:rsid w:val="00C221EC"/>
    <w:rsid w:val="00C223B6"/>
    <w:rsid w:val="00C223E0"/>
    <w:rsid w:val="00C22704"/>
    <w:rsid w:val="00C22901"/>
    <w:rsid w:val="00C23344"/>
    <w:rsid w:val="00C23700"/>
    <w:rsid w:val="00C24848"/>
    <w:rsid w:val="00C2487B"/>
    <w:rsid w:val="00C25238"/>
    <w:rsid w:val="00C25F07"/>
    <w:rsid w:val="00C2770F"/>
    <w:rsid w:val="00C305F2"/>
    <w:rsid w:val="00C308CE"/>
    <w:rsid w:val="00C30B0B"/>
    <w:rsid w:val="00C31897"/>
    <w:rsid w:val="00C3345C"/>
    <w:rsid w:val="00C3471C"/>
    <w:rsid w:val="00C35F17"/>
    <w:rsid w:val="00C36785"/>
    <w:rsid w:val="00C36BF2"/>
    <w:rsid w:val="00C372A0"/>
    <w:rsid w:val="00C3768E"/>
    <w:rsid w:val="00C37911"/>
    <w:rsid w:val="00C407E5"/>
    <w:rsid w:val="00C40CB8"/>
    <w:rsid w:val="00C42DAC"/>
    <w:rsid w:val="00C4342B"/>
    <w:rsid w:val="00C437DF"/>
    <w:rsid w:val="00C43B26"/>
    <w:rsid w:val="00C44815"/>
    <w:rsid w:val="00C4484A"/>
    <w:rsid w:val="00C45874"/>
    <w:rsid w:val="00C459A9"/>
    <w:rsid w:val="00C502A5"/>
    <w:rsid w:val="00C5158B"/>
    <w:rsid w:val="00C521F7"/>
    <w:rsid w:val="00C52E15"/>
    <w:rsid w:val="00C53008"/>
    <w:rsid w:val="00C55151"/>
    <w:rsid w:val="00C558FF"/>
    <w:rsid w:val="00C55BE3"/>
    <w:rsid w:val="00C560FA"/>
    <w:rsid w:val="00C570C5"/>
    <w:rsid w:val="00C57FF9"/>
    <w:rsid w:val="00C60838"/>
    <w:rsid w:val="00C614A6"/>
    <w:rsid w:val="00C61A0D"/>
    <w:rsid w:val="00C61D21"/>
    <w:rsid w:val="00C62210"/>
    <w:rsid w:val="00C63B03"/>
    <w:rsid w:val="00C64434"/>
    <w:rsid w:val="00C64BCC"/>
    <w:rsid w:val="00C64CEE"/>
    <w:rsid w:val="00C6562A"/>
    <w:rsid w:val="00C66C7F"/>
    <w:rsid w:val="00C7063C"/>
    <w:rsid w:val="00C715E8"/>
    <w:rsid w:val="00C720A7"/>
    <w:rsid w:val="00C727D4"/>
    <w:rsid w:val="00C73C57"/>
    <w:rsid w:val="00C73D7B"/>
    <w:rsid w:val="00C73F13"/>
    <w:rsid w:val="00C7458A"/>
    <w:rsid w:val="00C7474B"/>
    <w:rsid w:val="00C74D43"/>
    <w:rsid w:val="00C757DE"/>
    <w:rsid w:val="00C75CA7"/>
    <w:rsid w:val="00C7660B"/>
    <w:rsid w:val="00C76A00"/>
    <w:rsid w:val="00C76D2D"/>
    <w:rsid w:val="00C76F50"/>
    <w:rsid w:val="00C77386"/>
    <w:rsid w:val="00C8057C"/>
    <w:rsid w:val="00C8079B"/>
    <w:rsid w:val="00C85707"/>
    <w:rsid w:val="00C87B6B"/>
    <w:rsid w:val="00C901BB"/>
    <w:rsid w:val="00C90CD3"/>
    <w:rsid w:val="00C91225"/>
    <w:rsid w:val="00C92098"/>
    <w:rsid w:val="00C92552"/>
    <w:rsid w:val="00C93F1B"/>
    <w:rsid w:val="00C9469A"/>
    <w:rsid w:val="00C96422"/>
    <w:rsid w:val="00C976D1"/>
    <w:rsid w:val="00CA0918"/>
    <w:rsid w:val="00CA0DFF"/>
    <w:rsid w:val="00CA5BFC"/>
    <w:rsid w:val="00CA6A15"/>
    <w:rsid w:val="00CA701F"/>
    <w:rsid w:val="00CA71D4"/>
    <w:rsid w:val="00CB2993"/>
    <w:rsid w:val="00CB2B19"/>
    <w:rsid w:val="00CB48A3"/>
    <w:rsid w:val="00CB4951"/>
    <w:rsid w:val="00CB4C97"/>
    <w:rsid w:val="00CB5185"/>
    <w:rsid w:val="00CB5200"/>
    <w:rsid w:val="00CB5D29"/>
    <w:rsid w:val="00CB675A"/>
    <w:rsid w:val="00CB71B8"/>
    <w:rsid w:val="00CB782B"/>
    <w:rsid w:val="00CB7E1B"/>
    <w:rsid w:val="00CC0D52"/>
    <w:rsid w:val="00CC0E77"/>
    <w:rsid w:val="00CC2092"/>
    <w:rsid w:val="00CC2DCF"/>
    <w:rsid w:val="00CC403E"/>
    <w:rsid w:val="00CC5E76"/>
    <w:rsid w:val="00CC7B01"/>
    <w:rsid w:val="00CD006E"/>
    <w:rsid w:val="00CD2F2B"/>
    <w:rsid w:val="00CD2F83"/>
    <w:rsid w:val="00CD3A1F"/>
    <w:rsid w:val="00CD3A5D"/>
    <w:rsid w:val="00CD4816"/>
    <w:rsid w:val="00CD4D69"/>
    <w:rsid w:val="00CD5491"/>
    <w:rsid w:val="00CD5FD4"/>
    <w:rsid w:val="00CD6496"/>
    <w:rsid w:val="00CD6CC0"/>
    <w:rsid w:val="00CD70B4"/>
    <w:rsid w:val="00CD7FB9"/>
    <w:rsid w:val="00CE00C1"/>
    <w:rsid w:val="00CE07E3"/>
    <w:rsid w:val="00CE0DCE"/>
    <w:rsid w:val="00CE1BC9"/>
    <w:rsid w:val="00CE24A9"/>
    <w:rsid w:val="00CE32EA"/>
    <w:rsid w:val="00CE33C1"/>
    <w:rsid w:val="00CE4DD6"/>
    <w:rsid w:val="00CE557B"/>
    <w:rsid w:val="00CE5B77"/>
    <w:rsid w:val="00CE6470"/>
    <w:rsid w:val="00CE654B"/>
    <w:rsid w:val="00CE76FF"/>
    <w:rsid w:val="00CF1A78"/>
    <w:rsid w:val="00CF1BB3"/>
    <w:rsid w:val="00CF28F5"/>
    <w:rsid w:val="00CF4012"/>
    <w:rsid w:val="00CF43BC"/>
    <w:rsid w:val="00CF5967"/>
    <w:rsid w:val="00CF5C25"/>
    <w:rsid w:val="00CF67BE"/>
    <w:rsid w:val="00CF680D"/>
    <w:rsid w:val="00CF6923"/>
    <w:rsid w:val="00D00E02"/>
    <w:rsid w:val="00D02BC6"/>
    <w:rsid w:val="00D0310D"/>
    <w:rsid w:val="00D05497"/>
    <w:rsid w:val="00D05803"/>
    <w:rsid w:val="00D05B47"/>
    <w:rsid w:val="00D05C7C"/>
    <w:rsid w:val="00D06906"/>
    <w:rsid w:val="00D07611"/>
    <w:rsid w:val="00D07742"/>
    <w:rsid w:val="00D10583"/>
    <w:rsid w:val="00D11AA0"/>
    <w:rsid w:val="00D12432"/>
    <w:rsid w:val="00D1276A"/>
    <w:rsid w:val="00D12E86"/>
    <w:rsid w:val="00D14DB7"/>
    <w:rsid w:val="00D14F61"/>
    <w:rsid w:val="00D1514A"/>
    <w:rsid w:val="00D15922"/>
    <w:rsid w:val="00D15ED5"/>
    <w:rsid w:val="00D17A8F"/>
    <w:rsid w:val="00D17D9D"/>
    <w:rsid w:val="00D2069D"/>
    <w:rsid w:val="00D2075E"/>
    <w:rsid w:val="00D20B1D"/>
    <w:rsid w:val="00D221D6"/>
    <w:rsid w:val="00D226C4"/>
    <w:rsid w:val="00D22B6A"/>
    <w:rsid w:val="00D22F8D"/>
    <w:rsid w:val="00D23F43"/>
    <w:rsid w:val="00D241DB"/>
    <w:rsid w:val="00D25A03"/>
    <w:rsid w:val="00D25B0D"/>
    <w:rsid w:val="00D27441"/>
    <w:rsid w:val="00D30487"/>
    <w:rsid w:val="00D30D98"/>
    <w:rsid w:val="00D31732"/>
    <w:rsid w:val="00D32958"/>
    <w:rsid w:val="00D34077"/>
    <w:rsid w:val="00D348F7"/>
    <w:rsid w:val="00D35895"/>
    <w:rsid w:val="00D35B55"/>
    <w:rsid w:val="00D3615C"/>
    <w:rsid w:val="00D3773A"/>
    <w:rsid w:val="00D40BC3"/>
    <w:rsid w:val="00D40D31"/>
    <w:rsid w:val="00D41105"/>
    <w:rsid w:val="00D424B7"/>
    <w:rsid w:val="00D42A0C"/>
    <w:rsid w:val="00D434EC"/>
    <w:rsid w:val="00D4400B"/>
    <w:rsid w:val="00D44E9D"/>
    <w:rsid w:val="00D472A7"/>
    <w:rsid w:val="00D51503"/>
    <w:rsid w:val="00D546DC"/>
    <w:rsid w:val="00D55CC4"/>
    <w:rsid w:val="00D56BC4"/>
    <w:rsid w:val="00D5703F"/>
    <w:rsid w:val="00D576BE"/>
    <w:rsid w:val="00D606D1"/>
    <w:rsid w:val="00D612D5"/>
    <w:rsid w:val="00D61750"/>
    <w:rsid w:val="00D61A0E"/>
    <w:rsid w:val="00D61CD7"/>
    <w:rsid w:val="00D61E14"/>
    <w:rsid w:val="00D61E76"/>
    <w:rsid w:val="00D62B39"/>
    <w:rsid w:val="00D65B6C"/>
    <w:rsid w:val="00D660B3"/>
    <w:rsid w:val="00D670CA"/>
    <w:rsid w:val="00D706A6"/>
    <w:rsid w:val="00D70A95"/>
    <w:rsid w:val="00D71CF9"/>
    <w:rsid w:val="00D734E6"/>
    <w:rsid w:val="00D77388"/>
    <w:rsid w:val="00D80D61"/>
    <w:rsid w:val="00D80F1B"/>
    <w:rsid w:val="00D80F9D"/>
    <w:rsid w:val="00D81BAE"/>
    <w:rsid w:val="00D822EB"/>
    <w:rsid w:val="00D82728"/>
    <w:rsid w:val="00D82A3B"/>
    <w:rsid w:val="00D833A7"/>
    <w:rsid w:val="00D843FA"/>
    <w:rsid w:val="00D845B0"/>
    <w:rsid w:val="00D84B17"/>
    <w:rsid w:val="00D8507D"/>
    <w:rsid w:val="00D864AC"/>
    <w:rsid w:val="00D86735"/>
    <w:rsid w:val="00D8718E"/>
    <w:rsid w:val="00D871FB"/>
    <w:rsid w:val="00D87BB8"/>
    <w:rsid w:val="00D87DA9"/>
    <w:rsid w:val="00D9051E"/>
    <w:rsid w:val="00D90A3C"/>
    <w:rsid w:val="00D90C9D"/>
    <w:rsid w:val="00D90E57"/>
    <w:rsid w:val="00D91910"/>
    <w:rsid w:val="00D91AA8"/>
    <w:rsid w:val="00D944A6"/>
    <w:rsid w:val="00D9518A"/>
    <w:rsid w:val="00D95193"/>
    <w:rsid w:val="00D95B92"/>
    <w:rsid w:val="00D95F6E"/>
    <w:rsid w:val="00D9652C"/>
    <w:rsid w:val="00D96D78"/>
    <w:rsid w:val="00D96FC3"/>
    <w:rsid w:val="00DA00F9"/>
    <w:rsid w:val="00DA12C3"/>
    <w:rsid w:val="00DA1AD1"/>
    <w:rsid w:val="00DA22D0"/>
    <w:rsid w:val="00DA2D44"/>
    <w:rsid w:val="00DA466C"/>
    <w:rsid w:val="00DA495D"/>
    <w:rsid w:val="00DA5A21"/>
    <w:rsid w:val="00DA7BA0"/>
    <w:rsid w:val="00DB1CB2"/>
    <w:rsid w:val="00DB469A"/>
    <w:rsid w:val="00DB50FD"/>
    <w:rsid w:val="00DB52C3"/>
    <w:rsid w:val="00DB5307"/>
    <w:rsid w:val="00DB5DA3"/>
    <w:rsid w:val="00DB6343"/>
    <w:rsid w:val="00DB760D"/>
    <w:rsid w:val="00DB7E5F"/>
    <w:rsid w:val="00DC0095"/>
    <w:rsid w:val="00DC09C9"/>
    <w:rsid w:val="00DC10B0"/>
    <w:rsid w:val="00DC1594"/>
    <w:rsid w:val="00DC26C6"/>
    <w:rsid w:val="00DC380B"/>
    <w:rsid w:val="00DC3919"/>
    <w:rsid w:val="00DC4B70"/>
    <w:rsid w:val="00DC4BCD"/>
    <w:rsid w:val="00DC6322"/>
    <w:rsid w:val="00DC766B"/>
    <w:rsid w:val="00DC7B0A"/>
    <w:rsid w:val="00DD1107"/>
    <w:rsid w:val="00DD178F"/>
    <w:rsid w:val="00DD1F3E"/>
    <w:rsid w:val="00DD1FE4"/>
    <w:rsid w:val="00DD2C67"/>
    <w:rsid w:val="00DD3ACA"/>
    <w:rsid w:val="00DD5478"/>
    <w:rsid w:val="00DE011C"/>
    <w:rsid w:val="00DE03B7"/>
    <w:rsid w:val="00DE2966"/>
    <w:rsid w:val="00DE4107"/>
    <w:rsid w:val="00DE4798"/>
    <w:rsid w:val="00DE6446"/>
    <w:rsid w:val="00DE6B10"/>
    <w:rsid w:val="00DF0B5E"/>
    <w:rsid w:val="00DF0ED5"/>
    <w:rsid w:val="00DF1699"/>
    <w:rsid w:val="00DF22FB"/>
    <w:rsid w:val="00DF4AFF"/>
    <w:rsid w:val="00DF648F"/>
    <w:rsid w:val="00DF6BB1"/>
    <w:rsid w:val="00DF72D9"/>
    <w:rsid w:val="00DF7375"/>
    <w:rsid w:val="00DF7EC8"/>
    <w:rsid w:val="00E01F66"/>
    <w:rsid w:val="00E028ED"/>
    <w:rsid w:val="00E0363D"/>
    <w:rsid w:val="00E04A4C"/>
    <w:rsid w:val="00E064F1"/>
    <w:rsid w:val="00E104F6"/>
    <w:rsid w:val="00E10748"/>
    <w:rsid w:val="00E10FB5"/>
    <w:rsid w:val="00E11D58"/>
    <w:rsid w:val="00E120A2"/>
    <w:rsid w:val="00E12F57"/>
    <w:rsid w:val="00E13740"/>
    <w:rsid w:val="00E14282"/>
    <w:rsid w:val="00E15DDC"/>
    <w:rsid w:val="00E15EF6"/>
    <w:rsid w:val="00E161E0"/>
    <w:rsid w:val="00E20FF6"/>
    <w:rsid w:val="00E22410"/>
    <w:rsid w:val="00E262DD"/>
    <w:rsid w:val="00E27DDF"/>
    <w:rsid w:val="00E27E01"/>
    <w:rsid w:val="00E27F3B"/>
    <w:rsid w:val="00E30A90"/>
    <w:rsid w:val="00E30F55"/>
    <w:rsid w:val="00E31BAE"/>
    <w:rsid w:val="00E32459"/>
    <w:rsid w:val="00E32DB7"/>
    <w:rsid w:val="00E32DBA"/>
    <w:rsid w:val="00E350F4"/>
    <w:rsid w:val="00E35970"/>
    <w:rsid w:val="00E3695F"/>
    <w:rsid w:val="00E40F06"/>
    <w:rsid w:val="00E43469"/>
    <w:rsid w:val="00E4427F"/>
    <w:rsid w:val="00E445DA"/>
    <w:rsid w:val="00E45379"/>
    <w:rsid w:val="00E455FF"/>
    <w:rsid w:val="00E45819"/>
    <w:rsid w:val="00E46352"/>
    <w:rsid w:val="00E477A3"/>
    <w:rsid w:val="00E47CB1"/>
    <w:rsid w:val="00E500DA"/>
    <w:rsid w:val="00E50891"/>
    <w:rsid w:val="00E50B22"/>
    <w:rsid w:val="00E51747"/>
    <w:rsid w:val="00E51A18"/>
    <w:rsid w:val="00E51E18"/>
    <w:rsid w:val="00E533BD"/>
    <w:rsid w:val="00E53706"/>
    <w:rsid w:val="00E53EAC"/>
    <w:rsid w:val="00E541BF"/>
    <w:rsid w:val="00E5445E"/>
    <w:rsid w:val="00E57CE2"/>
    <w:rsid w:val="00E600DD"/>
    <w:rsid w:val="00E604DF"/>
    <w:rsid w:val="00E61171"/>
    <w:rsid w:val="00E613B9"/>
    <w:rsid w:val="00E617BD"/>
    <w:rsid w:val="00E617C4"/>
    <w:rsid w:val="00E6354F"/>
    <w:rsid w:val="00E705B4"/>
    <w:rsid w:val="00E714FE"/>
    <w:rsid w:val="00E72967"/>
    <w:rsid w:val="00E72DD2"/>
    <w:rsid w:val="00E7396C"/>
    <w:rsid w:val="00E73E06"/>
    <w:rsid w:val="00E73F3B"/>
    <w:rsid w:val="00E741E2"/>
    <w:rsid w:val="00E745BF"/>
    <w:rsid w:val="00E76A9E"/>
    <w:rsid w:val="00E777C0"/>
    <w:rsid w:val="00E804B2"/>
    <w:rsid w:val="00E8155D"/>
    <w:rsid w:val="00E817E0"/>
    <w:rsid w:val="00E82C41"/>
    <w:rsid w:val="00E8494C"/>
    <w:rsid w:val="00E84D8D"/>
    <w:rsid w:val="00E85576"/>
    <w:rsid w:val="00E86C7A"/>
    <w:rsid w:val="00E94F09"/>
    <w:rsid w:val="00EA03E0"/>
    <w:rsid w:val="00EA0C03"/>
    <w:rsid w:val="00EA0E04"/>
    <w:rsid w:val="00EA220D"/>
    <w:rsid w:val="00EA29C9"/>
    <w:rsid w:val="00EA2B04"/>
    <w:rsid w:val="00EA3156"/>
    <w:rsid w:val="00EA394B"/>
    <w:rsid w:val="00EA40A2"/>
    <w:rsid w:val="00EA4CD5"/>
    <w:rsid w:val="00EA4F2A"/>
    <w:rsid w:val="00EA5D2C"/>
    <w:rsid w:val="00EA5D8E"/>
    <w:rsid w:val="00EA642B"/>
    <w:rsid w:val="00EB063A"/>
    <w:rsid w:val="00EB0760"/>
    <w:rsid w:val="00EB07CF"/>
    <w:rsid w:val="00EB2584"/>
    <w:rsid w:val="00EB2A6B"/>
    <w:rsid w:val="00EB3741"/>
    <w:rsid w:val="00EB3B88"/>
    <w:rsid w:val="00EB5E78"/>
    <w:rsid w:val="00EB6116"/>
    <w:rsid w:val="00EB6B5B"/>
    <w:rsid w:val="00EB71D5"/>
    <w:rsid w:val="00EC1092"/>
    <w:rsid w:val="00EC2802"/>
    <w:rsid w:val="00EC3B8F"/>
    <w:rsid w:val="00EC5009"/>
    <w:rsid w:val="00EC56BB"/>
    <w:rsid w:val="00EC5CA0"/>
    <w:rsid w:val="00EC6DDF"/>
    <w:rsid w:val="00EC7326"/>
    <w:rsid w:val="00EC7372"/>
    <w:rsid w:val="00ED1796"/>
    <w:rsid w:val="00ED1AC1"/>
    <w:rsid w:val="00ED29DB"/>
    <w:rsid w:val="00ED30E8"/>
    <w:rsid w:val="00ED3B69"/>
    <w:rsid w:val="00ED3F1C"/>
    <w:rsid w:val="00ED5E82"/>
    <w:rsid w:val="00ED6829"/>
    <w:rsid w:val="00ED686B"/>
    <w:rsid w:val="00ED695F"/>
    <w:rsid w:val="00ED6CD1"/>
    <w:rsid w:val="00ED7781"/>
    <w:rsid w:val="00EE199D"/>
    <w:rsid w:val="00EE1A26"/>
    <w:rsid w:val="00EE20AF"/>
    <w:rsid w:val="00EE45B2"/>
    <w:rsid w:val="00EE5F2E"/>
    <w:rsid w:val="00EE7F6C"/>
    <w:rsid w:val="00EF1904"/>
    <w:rsid w:val="00EF378C"/>
    <w:rsid w:val="00EF436A"/>
    <w:rsid w:val="00EF4A64"/>
    <w:rsid w:val="00EF4A97"/>
    <w:rsid w:val="00EF5986"/>
    <w:rsid w:val="00EF64EA"/>
    <w:rsid w:val="00EF6C64"/>
    <w:rsid w:val="00EF7AFC"/>
    <w:rsid w:val="00EF7D86"/>
    <w:rsid w:val="00F02171"/>
    <w:rsid w:val="00F02813"/>
    <w:rsid w:val="00F033EF"/>
    <w:rsid w:val="00F03B24"/>
    <w:rsid w:val="00F061A6"/>
    <w:rsid w:val="00F06ECD"/>
    <w:rsid w:val="00F07368"/>
    <w:rsid w:val="00F0756F"/>
    <w:rsid w:val="00F1077A"/>
    <w:rsid w:val="00F10DFC"/>
    <w:rsid w:val="00F11AB3"/>
    <w:rsid w:val="00F13B67"/>
    <w:rsid w:val="00F15F56"/>
    <w:rsid w:val="00F1674F"/>
    <w:rsid w:val="00F16EF8"/>
    <w:rsid w:val="00F20633"/>
    <w:rsid w:val="00F208A6"/>
    <w:rsid w:val="00F20BCE"/>
    <w:rsid w:val="00F21B93"/>
    <w:rsid w:val="00F23E9F"/>
    <w:rsid w:val="00F25912"/>
    <w:rsid w:val="00F25927"/>
    <w:rsid w:val="00F25C37"/>
    <w:rsid w:val="00F25CFE"/>
    <w:rsid w:val="00F26393"/>
    <w:rsid w:val="00F318E7"/>
    <w:rsid w:val="00F31AD8"/>
    <w:rsid w:val="00F31E71"/>
    <w:rsid w:val="00F34534"/>
    <w:rsid w:val="00F35243"/>
    <w:rsid w:val="00F3644B"/>
    <w:rsid w:val="00F36AC2"/>
    <w:rsid w:val="00F377D1"/>
    <w:rsid w:val="00F37FC1"/>
    <w:rsid w:val="00F4018F"/>
    <w:rsid w:val="00F409C4"/>
    <w:rsid w:val="00F40D2C"/>
    <w:rsid w:val="00F425D0"/>
    <w:rsid w:val="00F42790"/>
    <w:rsid w:val="00F43029"/>
    <w:rsid w:val="00F43AC4"/>
    <w:rsid w:val="00F43E6E"/>
    <w:rsid w:val="00F4431D"/>
    <w:rsid w:val="00F44423"/>
    <w:rsid w:val="00F451A1"/>
    <w:rsid w:val="00F454D8"/>
    <w:rsid w:val="00F50401"/>
    <w:rsid w:val="00F50614"/>
    <w:rsid w:val="00F50F94"/>
    <w:rsid w:val="00F51236"/>
    <w:rsid w:val="00F5133F"/>
    <w:rsid w:val="00F51F31"/>
    <w:rsid w:val="00F52D81"/>
    <w:rsid w:val="00F52F63"/>
    <w:rsid w:val="00F5374C"/>
    <w:rsid w:val="00F541B8"/>
    <w:rsid w:val="00F54EBC"/>
    <w:rsid w:val="00F56CC2"/>
    <w:rsid w:val="00F574B7"/>
    <w:rsid w:val="00F60B15"/>
    <w:rsid w:val="00F60BC0"/>
    <w:rsid w:val="00F61B7F"/>
    <w:rsid w:val="00F62370"/>
    <w:rsid w:val="00F628D3"/>
    <w:rsid w:val="00F62E5C"/>
    <w:rsid w:val="00F63453"/>
    <w:rsid w:val="00F63B87"/>
    <w:rsid w:val="00F6487A"/>
    <w:rsid w:val="00F6497E"/>
    <w:rsid w:val="00F65B6B"/>
    <w:rsid w:val="00F65E31"/>
    <w:rsid w:val="00F677E2"/>
    <w:rsid w:val="00F70797"/>
    <w:rsid w:val="00F70903"/>
    <w:rsid w:val="00F716C7"/>
    <w:rsid w:val="00F718DA"/>
    <w:rsid w:val="00F72283"/>
    <w:rsid w:val="00F73751"/>
    <w:rsid w:val="00F73A90"/>
    <w:rsid w:val="00F741E5"/>
    <w:rsid w:val="00F755E1"/>
    <w:rsid w:val="00F75805"/>
    <w:rsid w:val="00F75EAD"/>
    <w:rsid w:val="00F76F77"/>
    <w:rsid w:val="00F77154"/>
    <w:rsid w:val="00F80F33"/>
    <w:rsid w:val="00F8104F"/>
    <w:rsid w:val="00F81A63"/>
    <w:rsid w:val="00F81FBF"/>
    <w:rsid w:val="00F82119"/>
    <w:rsid w:val="00F83359"/>
    <w:rsid w:val="00F83A03"/>
    <w:rsid w:val="00F846D6"/>
    <w:rsid w:val="00F9173A"/>
    <w:rsid w:val="00F91800"/>
    <w:rsid w:val="00F91951"/>
    <w:rsid w:val="00F92681"/>
    <w:rsid w:val="00F93948"/>
    <w:rsid w:val="00F944D0"/>
    <w:rsid w:val="00F94E99"/>
    <w:rsid w:val="00F95035"/>
    <w:rsid w:val="00F9650A"/>
    <w:rsid w:val="00F967C7"/>
    <w:rsid w:val="00FA0437"/>
    <w:rsid w:val="00FA1F92"/>
    <w:rsid w:val="00FA233F"/>
    <w:rsid w:val="00FA2E05"/>
    <w:rsid w:val="00FA2F86"/>
    <w:rsid w:val="00FA45DA"/>
    <w:rsid w:val="00FA5AA6"/>
    <w:rsid w:val="00FA6435"/>
    <w:rsid w:val="00FA7D57"/>
    <w:rsid w:val="00FB0008"/>
    <w:rsid w:val="00FB0392"/>
    <w:rsid w:val="00FB071C"/>
    <w:rsid w:val="00FB0E25"/>
    <w:rsid w:val="00FB2416"/>
    <w:rsid w:val="00FB2C3A"/>
    <w:rsid w:val="00FB3B9E"/>
    <w:rsid w:val="00FB3D71"/>
    <w:rsid w:val="00FB3EA0"/>
    <w:rsid w:val="00FB44A8"/>
    <w:rsid w:val="00FB55F4"/>
    <w:rsid w:val="00FB5B9E"/>
    <w:rsid w:val="00FC0B63"/>
    <w:rsid w:val="00FC1754"/>
    <w:rsid w:val="00FC2209"/>
    <w:rsid w:val="00FC312A"/>
    <w:rsid w:val="00FC409F"/>
    <w:rsid w:val="00FC5565"/>
    <w:rsid w:val="00FC61CE"/>
    <w:rsid w:val="00FC73E6"/>
    <w:rsid w:val="00FC7531"/>
    <w:rsid w:val="00FC7EAA"/>
    <w:rsid w:val="00FD04D1"/>
    <w:rsid w:val="00FD1673"/>
    <w:rsid w:val="00FD1938"/>
    <w:rsid w:val="00FD1BB8"/>
    <w:rsid w:val="00FD3660"/>
    <w:rsid w:val="00FD3801"/>
    <w:rsid w:val="00FD4FA5"/>
    <w:rsid w:val="00FD5166"/>
    <w:rsid w:val="00FD5A8E"/>
    <w:rsid w:val="00FD604B"/>
    <w:rsid w:val="00FD64A9"/>
    <w:rsid w:val="00FD7A7A"/>
    <w:rsid w:val="00FE1407"/>
    <w:rsid w:val="00FE14EE"/>
    <w:rsid w:val="00FE16F9"/>
    <w:rsid w:val="00FE1CAE"/>
    <w:rsid w:val="00FE3DD3"/>
    <w:rsid w:val="00FE4D5E"/>
    <w:rsid w:val="00FE5FAD"/>
    <w:rsid w:val="00FE681C"/>
    <w:rsid w:val="00FF0701"/>
    <w:rsid w:val="00FF3C5D"/>
    <w:rsid w:val="00FF40F6"/>
    <w:rsid w:val="00FF4218"/>
    <w:rsid w:val="00FF456A"/>
    <w:rsid w:val="00FF5745"/>
    <w:rsid w:val="00FF5C0E"/>
    <w:rsid w:val="00FF6204"/>
    <w:rsid w:val="00FF634D"/>
    <w:rsid w:val="00FF7E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1C0A9"/>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BF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Mencinsinresolver2">
    <w:name w:val="Mención sin resolver2"/>
    <w:basedOn w:val="Fuentedeprrafopredeter"/>
    <w:uiPriority w:val="99"/>
    <w:semiHidden/>
    <w:unhideWhenUsed/>
    <w:rsid w:val="008B4817"/>
    <w:rPr>
      <w:color w:val="605E5C"/>
      <w:shd w:val="clear" w:color="auto" w:fill="E1DFDD"/>
    </w:rPr>
  </w:style>
  <w:style w:type="paragraph" w:styleId="NormalWeb">
    <w:name w:val="Normal (Web)"/>
    <w:basedOn w:val="Normal"/>
    <w:uiPriority w:val="99"/>
    <w:unhideWhenUsed/>
    <w:rsid w:val="00DE03B7"/>
    <w:pPr>
      <w:spacing w:before="100" w:beforeAutospacing="1" w:after="100" w:afterAutospacing="1"/>
    </w:pPr>
    <w:rPr>
      <w:sz w:val="24"/>
      <w:szCs w:val="24"/>
      <w:lang w:eastAsia="es-MX"/>
    </w:rPr>
  </w:style>
  <w:style w:type="paragraph" w:customStyle="1" w:styleId="Texto">
    <w:name w:val="Texto"/>
    <w:basedOn w:val="Normal"/>
    <w:link w:val="TextoCar"/>
    <w:rsid w:val="00552241"/>
    <w:pPr>
      <w:spacing w:after="101" w:line="216" w:lineRule="exact"/>
      <w:ind w:firstLine="288"/>
      <w:jc w:val="both"/>
    </w:pPr>
    <w:rPr>
      <w:rFonts w:ascii="Arial" w:hAnsi="Arial" w:cs="Arial"/>
      <w:sz w:val="18"/>
      <w:lang w:val="es-ES"/>
    </w:rPr>
  </w:style>
  <w:style w:type="character" w:customStyle="1" w:styleId="TextoCar">
    <w:name w:val="Texto Car"/>
    <w:link w:val="Texto"/>
    <w:locked/>
    <w:rsid w:val="00552241"/>
    <w:rPr>
      <w:rFonts w:ascii="Arial" w:eastAsia="Times New Roman" w:hAnsi="Arial" w:cs="Arial"/>
      <w:sz w:val="18"/>
      <w:szCs w:val="20"/>
      <w:lang w:val="es-ES" w:eastAsia="es-ES"/>
    </w:rPr>
  </w:style>
  <w:style w:type="paragraph" w:customStyle="1" w:styleId="xmsonormal">
    <w:name w:val="x_msonormal"/>
    <w:basedOn w:val="Normal"/>
    <w:rsid w:val="00795DF7"/>
    <w:pPr>
      <w:spacing w:before="100" w:beforeAutospacing="1" w:after="100" w:afterAutospacing="1"/>
    </w:pPr>
    <w:rPr>
      <w:sz w:val="24"/>
      <w:szCs w:val="24"/>
      <w:lang w:eastAsia="es-MX"/>
    </w:rPr>
  </w:style>
  <w:style w:type="paragraph" w:customStyle="1" w:styleId="xgmail-msolistparagraph">
    <w:name w:val="x_gmail-msolistparagraph"/>
    <w:basedOn w:val="Normal"/>
    <w:rsid w:val="00795DF7"/>
    <w:pPr>
      <w:spacing w:before="100" w:beforeAutospacing="1" w:after="100" w:afterAutospacing="1"/>
    </w:pPr>
    <w:rPr>
      <w:sz w:val="24"/>
      <w:szCs w:val="24"/>
      <w:lang w:eastAsia="es-MX"/>
    </w:rPr>
  </w:style>
  <w:style w:type="numbering" w:customStyle="1" w:styleId="Sinlista1">
    <w:name w:val="Sin lista1"/>
    <w:next w:val="Sinlista"/>
    <w:uiPriority w:val="99"/>
    <w:semiHidden/>
    <w:unhideWhenUsed/>
    <w:rsid w:val="00F95035"/>
  </w:style>
  <w:style w:type="table" w:customStyle="1" w:styleId="Tablaconcuadrcula1">
    <w:name w:val="Tabla con cuadrícula1"/>
    <w:basedOn w:val="Tablanormal"/>
    <w:next w:val="Tablaconcuadrcula"/>
    <w:uiPriority w:val="59"/>
    <w:rsid w:val="00F9503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95035"/>
  </w:style>
  <w:style w:type="paragraph" w:customStyle="1" w:styleId="msonormal0">
    <w:name w:val="msonormal"/>
    <w:basedOn w:val="Normal"/>
    <w:rsid w:val="00F95035"/>
    <w:pPr>
      <w:spacing w:before="100" w:beforeAutospacing="1" w:after="100" w:afterAutospacing="1"/>
    </w:pPr>
    <w:rPr>
      <w:sz w:val="24"/>
      <w:szCs w:val="24"/>
      <w:lang w:eastAsia="es-MX"/>
    </w:rPr>
  </w:style>
  <w:style w:type="table" w:customStyle="1" w:styleId="Tablaconcuadrcula11">
    <w:name w:val="Tabla con cuadrícula11"/>
    <w:basedOn w:val="Tablanormal"/>
    <w:next w:val="Tablaconcuadrcula"/>
    <w:uiPriority w:val="39"/>
    <w:rsid w:val="00F950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c8g1vnou7">
    <w:name w:val="markc8g1vnou7"/>
    <w:basedOn w:val="Fuentedeprrafopredeter"/>
    <w:rsid w:val="005A2AF0"/>
  </w:style>
  <w:style w:type="character" w:customStyle="1" w:styleId="markra5wz1b56">
    <w:name w:val="markra5wz1b56"/>
    <w:basedOn w:val="Fuentedeprrafopredeter"/>
    <w:rsid w:val="005A2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274044">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997922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4359982">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24209415">
      <w:bodyDiv w:val="1"/>
      <w:marLeft w:val="0"/>
      <w:marRight w:val="0"/>
      <w:marTop w:val="0"/>
      <w:marBottom w:val="0"/>
      <w:divBdr>
        <w:top w:val="none" w:sz="0" w:space="0" w:color="auto"/>
        <w:left w:val="none" w:sz="0" w:space="0" w:color="auto"/>
        <w:bottom w:val="none" w:sz="0" w:space="0" w:color="auto"/>
        <w:right w:val="none" w:sz="0" w:space="0" w:color="auto"/>
      </w:divBdr>
    </w:div>
    <w:div w:id="330257402">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75935262">
      <w:bodyDiv w:val="1"/>
      <w:marLeft w:val="0"/>
      <w:marRight w:val="0"/>
      <w:marTop w:val="0"/>
      <w:marBottom w:val="0"/>
      <w:divBdr>
        <w:top w:val="none" w:sz="0" w:space="0" w:color="auto"/>
        <w:left w:val="none" w:sz="0" w:space="0" w:color="auto"/>
        <w:bottom w:val="none" w:sz="0" w:space="0" w:color="auto"/>
        <w:right w:val="none" w:sz="0" w:space="0" w:color="auto"/>
      </w:divBdr>
    </w:div>
    <w:div w:id="3937008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1424684">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9365004">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59351809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7587977">
      <w:bodyDiv w:val="1"/>
      <w:marLeft w:val="0"/>
      <w:marRight w:val="0"/>
      <w:marTop w:val="0"/>
      <w:marBottom w:val="0"/>
      <w:divBdr>
        <w:top w:val="none" w:sz="0" w:space="0" w:color="auto"/>
        <w:left w:val="none" w:sz="0" w:space="0" w:color="auto"/>
        <w:bottom w:val="none" w:sz="0" w:space="0" w:color="auto"/>
        <w:right w:val="none" w:sz="0" w:space="0" w:color="auto"/>
      </w:divBdr>
    </w:div>
    <w:div w:id="655962627">
      <w:bodyDiv w:val="1"/>
      <w:marLeft w:val="0"/>
      <w:marRight w:val="0"/>
      <w:marTop w:val="0"/>
      <w:marBottom w:val="0"/>
      <w:divBdr>
        <w:top w:val="none" w:sz="0" w:space="0" w:color="auto"/>
        <w:left w:val="none" w:sz="0" w:space="0" w:color="auto"/>
        <w:bottom w:val="none" w:sz="0" w:space="0" w:color="auto"/>
        <w:right w:val="none" w:sz="0" w:space="0" w:color="auto"/>
      </w:divBdr>
    </w:div>
    <w:div w:id="73546854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979073">
      <w:bodyDiv w:val="1"/>
      <w:marLeft w:val="0"/>
      <w:marRight w:val="0"/>
      <w:marTop w:val="0"/>
      <w:marBottom w:val="0"/>
      <w:divBdr>
        <w:top w:val="none" w:sz="0" w:space="0" w:color="auto"/>
        <w:left w:val="none" w:sz="0" w:space="0" w:color="auto"/>
        <w:bottom w:val="none" w:sz="0" w:space="0" w:color="auto"/>
        <w:right w:val="none" w:sz="0" w:space="0" w:color="auto"/>
      </w:divBdr>
    </w:div>
    <w:div w:id="783309128">
      <w:bodyDiv w:val="1"/>
      <w:marLeft w:val="0"/>
      <w:marRight w:val="0"/>
      <w:marTop w:val="0"/>
      <w:marBottom w:val="0"/>
      <w:divBdr>
        <w:top w:val="none" w:sz="0" w:space="0" w:color="auto"/>
        <w:left w:val="none" w:sz="0" w:space="0" w:color="auto"/>
        <w:bottom w:val="none" w:sz="0" w:space="0" w:color="auto"/>
        <w:right w:val="none" w:sz="0" w:space="0" w:color="auto"/>
      </w:divBdr>
    </w:div>
    <w:div w:id="786583462">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56426629">
      <w:bodyDiv w:val="1"/>
      <w:marLeft w:val="0"/>
      <w:marRight w:val="0"/>
      <w:marTop w:val="0"/>
      <w:marBottom w:val="0"/>
      <w:divBdr>
        <w:top w:val="none" w:sz="0" w:space="0" w:color="auto"/>
        <w:left w:val="none" w:sz="0" w:space="0" w:color="auto"/>
        <w:bottom w:val="none" w:sz="0" w:space="0" w:color="auto"/>
        <w:right w:val="none" w:sz="0" w:space="0" w:color="auto"/>
      </w:divBdr>
    </w:div>
    <w:div w:id="87118575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19738">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375649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4064818">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9514392">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29072245">
      <w:bodyDiv w:val="1"/>
      <w:marLeft w:val="0"/>
      <w:marRight w:val="0"/>
      <w:marTop w:val="0"/>
      <w:marBottom w:val="0"/>
      <w:divBdr>
        <w:top w:val="none" w:sz="0" w:space="0" w:color="auto"/>
        <w:left w:val="none" w:sz="0" w:space="0" w:color="auto"/>
        <w:bottom w:val="none" w:sz="0" w:space="0" w:color="auto"/>
        <w:right w:val="none" w:sz="0" w:space="0" w:color="auto"/>
      </w:divBdr>
    </w:div>
    <w:div w:id="1262491392">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8780001">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658684">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47702153">
      <w:bodyDiv w:val="1"/>
      <w:marLeft w:val="0"/>
      <w:marRight w:val="0"/>
      <w:marTop w:val="0"/>
      <w:marBottom w:val="0"/>
      <w:divBdr>
        <w:top w:val="none" w:sz="0" w:space="0" w:color="auto"/>
        <w:left w:val="none" w:sz="0" w:space="0" w:color="auto"/>
        <w:bottom w:val="none" w:sz="0" w:space="0" w:color="auto"/>
        <w:right w:val="none" w:sz="0" w:space="0" w:color="auto"/>
      </w:divBdr>
    </w:div>
    <w:div w:id="145833512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0581126">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6352482">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05447391">
      <w:bodyDiv w:val="1"/>
      <w:marLeft w:val="0"/>
      <w:marRight w:val="0"/>
      <w:marTop w:val="0"/>
      <w:marBottom w:val="0"/>
      <w:divBdr>
        <w:top w:val="none" w:sz="0" w:space="0" w:color="auto"/>
        <w:left w:val="none" w:sz="0" w:space="0" w:color="auto"/>
        <w:bottom w:val="none" w:sz="0" w:space="0" w:color="auto"/>
        <w:right w:val="none" w:sz="0" w:space="0" w:color="auto"/>
      </w:divBdr>
    </w:div>
    <w:div w:id="171816383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0855110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8698941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87105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4971072">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4862889">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1393782">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camac.gob.mx/gaceta-municipal-2019/" TargetMode="External"/><Relationship Id="rId13" Type="http://schemas.openxmlformats.org/officeDocument/2006/relationships/hyperlink" Target="http://www.tecamac.gob.mx/catalogo-municipal-201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recursos/ipo/files_ipo/2016/1/2/81887368f69f17ea822304a9abd24edd.pdf"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tecamac.gob.mx/gaceta-municipal-2019/"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camac.gob.mx/gaceta-municipal-2019/"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5CED4-508F-4211-9C34-AE9323B66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8262</Words>
  <Characters>45444</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5</cp:revision>
  <cp:lastPrinted>2019-10-21T22:47:00Z</cp:lastPrinted>
  <dcterms:created xsi:type="dcterms:W3CDTF">2019-10-11T00:29:00Z</dcterms:created>
  <dcterms:modified xsi:type="dcterms:W3CDTF">2019-10-21T22:48:00Z</dcterms:modified>
</cp:coreProperties>
</file>