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4396" w:rsidRPr="002E1218" w:rsidRDefault="00994396" w:rsidP="00336D6C">
      <w:pPr>
        <w:spacing w:line="360" w:lineRule="auto"/>
        <w:contextualSpacing/>
        <w:jc w:val="both"/>
        <w:rPr>
          <w:rFonts w:ascii="Palatino Linotype" w:hAnsi="Palatino Linotype" w:cs="Tahoma"/>
          <w:sz w:val="22"/>
          <w:szCs w:val="22"/>
        </w:rPr>
      </w:pPr>
      <w:r w:rsidRPr="002E1218">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w:t>
      </w:r>
      <w:r w:rsidR="004B1DA9" w:rsidRPr="002E1218">
        <w:rPr>
          <w:rFonts w:ascii="Palatino Linotype" w:hAnsi="Palatino Linotype" w:cs="Tahoma"/>
          <w:bCs/>
          <w:sz w:val="22"/>
          <w:szCs w:val="22"/>
        </w:rPr>
        <w:t xml:space="preserve">fecha </w:t>
      </w:r>
      <w:r w:rsidR="00700017">
        <w:rPr>
          <w:rFonts w:ascii="Palatino Linotype" w:hAnsi="Palatino Linotype" w:cs="Tahoma"/>
          <w:bCs/>
          <w:sz w:val="22"/>
          <w:szCs w:val="22"/>
        </w:rPr>
        <w:t>diecinueve de septiembre</w:t>
      </w:r>
      <w:r w:rsidRPr="002E1218">
        <w:rPr>
          <w:rFonts w:ascii="Palatino Linotype" w:hAnsi="Palatino Linotype" w:cs="Tahoma"/>
          <w:bCs/>
          <w:sz w:val="22"/>
          <w:szCs w:val="22"/>
        </w:rPr>
        <w:t xml:space="preserve"> de dos mil </w:t>
      </w:r>
      <w:r w:rsidR="00D34402" w:rsidRPr="002E1218">
        <w:rPr>
          <w:rFonts w:ascii="Palatino Linotype" w:hAnsi="Palatino Linotype" w:cs="Tahoma"/>
          <w:bCs/>
          <w:sz w:val="22"/>
          <w:szCs w:val="22"/>
        </w:rPr>
        <w:t>diecinueve</w:t>
      </w:r>
      <w:r w:rsidRPr="002E1218">
        <w:rPr>
          <w:rFonts w:ascii="Palatino Linotype" w:hAnsi="Palatino Linotype" w:cs="Tahoma"/>
          <w:bCs/>
          <w:sz w:val="22"/>
          <w:szCs w:val="22"/>
        </w:rPr>
        <w:t>.</w:t>
      </w:r>
    </w:p>
    <w:p w:rsidR="00B31222" w:rsidRPr="002E1218" w:rsidRDefault="00B31222" w:rsidP="00336D6C">
      <w:pPr>
        <w:spacing w:line="360" w:lineRule="auto"/>
        <w:contextualSpacing/>
        <w:rPr>
          <w:rFonts w:ascii="Palatino Linotype" w:hAnsi="Palatino Linotype" w:cs="Tahoma"/>
          <w:bCs/>
          <w:sz w:val="22"/>
          <w:szCs w:val="22"/>
        </w:rPr>
      </w:pPr>
    </w:p>
    <w:p w:rsidR="00B31222" w:rsidRPr="002E1218" w:rsidRDefault="00994396" w:rsidP="00336D6C">
      <w:pPr>
        <w:spacing w:line="360" w:lineRule="auto"/>
        <w:contextualSpacing/>
        <w:jc w:val="both"/>
        <w:rPr>
          <w:rFonts w:ascii="Palatino Linotype" w:hAnsi="Palatino Linotype" w:cs="Tahoma"/>
          <w:bCs/>
          <w:sz w:val="22"/>
          <w:szCs w:val="22"/>
        </w:rPr>
      </w:pPr>
      <w:r w:rsidRPr="002E1218">
        <w:rPr>
          <w:rFonts w:ascii="Palatino Linotype" w:hAnsi="Palatino Linotype" w:cs="Tahoma"/>
          <w:b/>
          <w:bCs/>
          <w:color w:val="0D0D0D" w:themeColor="text1" w:themeTint="F2"/>
          <w:sz w:val="22"/>
          <w:szCs w:val="22"/>
        </w:rPr>
        <w:t>VISTO</w:t>
      </w:r>
      <w:r w:rsidR="00F41B19" w:rsidRPr="002E1218">
        <w:rPr>
          <w:rFonts w:ascii="Palatino Linotype" w:hAnsi="Palatino Linotype" w:cs="Tahoma"/>
          <w:b/>
          <w:bCs/>
          <w:color w:val="0D0D0D" w:themeColor="text1" w:themeTint="F2"/>
          <w:sz w:val="22"/>
          <w:szCs w:val="22"/>
        </w:rPr>
        <w:t xml:space="preserve"> </w:t>
      </w:r>
      <w:r w:rsidR="001171BD" w:rsidRPr="002E1218">
        <w:rPr>
          <w:rFonts w:ascii="Palatino Linotype" w:hAnsi="Palatino Linotype" w:cs="Tahoma"/>
          <w:bCs/>
          <w:color w:val="0D0D0D" w:themeColor="text1" w:themeTint="F2"/>
          <w:sz w:val="22"/>
          <w:szCs w:val="22"/>
        </w:rPr>
        <w:t>el expediente</w:t>
      </w:r>
      <w:r w:rsidR="0019389B" w:rsidRPr="002E1218">
        <w:rPr>
          <w:rFonts w:ascii="Palatino Linotype" w:hAnsi="Palatino Linotype" w:cs="Tahoma"/>
          <w:bCs/>
          <w:color w:val="0D0D0D" w:themeColor="text1" w:themeTint="F2"/>
          <w:sz w:val="22"/>
          <w:szCs w:val="22"/>
        </w:rPr>
        <w:t xml:space="preserve"> conformado </w:t>
      </w:r>
      <w:r w:rsidR="00422869" w:rsidRPr="002E1218">
        <w:rPr>
          <w:rFonts w:ascii="Palatino Linotype" w:hAnsi="Palatino Linotype" w:cs="Tahoma"/>
          <w:bCs/>
          <w:color w:val="0D0D0D" w:themeColor="text1" w:themeTint="F2"/>
          <w:sz w:val="22"/>
          <w:szCs w:val="22"/>
        </w:rPr>
        <w:t xml:space="preserve">con motivo del Recurso de Revisión </w:t>
      </w:r>
      <w:r w:rsidR="00700017" w:rsidRPr="00700017">
        <w:rPr>
          <w:rFonts w:ascii="Palatino Linotype" w:hAnsi="Palatino Linotype" w:cs="Tahoma"/>
          <w:b/>
          <w:bCs/>
          <w:color w:val="0D0D0D" w:themeColor="text1" w:themeTint="F2"/>
          <w:sz w:val="22"/>
          <w:szCs w:val="22"/>
        </w:rPr>
        <w:t xml:space="preserve"> 06091/INFOEM/IP/RR/2019</w:t>
      </w:r>
      <w:r w:rsidR="00422869" w:rsidRPr="002E1218">
        <w:rPr>
          <w:rFonts w:ascii="Palatino Linotype" w:hAnsi="Palatino Linotype" w:cs="Tahoma"/>
          <w:b/>
          <w:bCs/>
          <w:color w:val="0D0D0D" w:themeColor="text1" w:themeTint="F2"/>
          <w:sz w:val="22"/>
          <w:szCs w:val="22"/>
        </w:rPr>
        <w:t>,</w:t>
      </w:r>
      <w:r w:rsidR="00422869" w:rsidRPr="002E1218">
        <w:rPr>
          <w:rFonts w:ascii="Palatino Linotype" w:hAnsi="Palatino Linotype" w:cs="Tahoma"/>
          <w:bCs/>
          <w:color w:val="0D0D0D" w:themeColor="text1" w:themeTint="F2"/>
          <w:sz w:val="22"/>
          <w:szCs w:val="22"/>
        </w:rPr>
        <w:t xml:space="preserve"> </w:t>
      </w:r>
      <w:r w:rsidR="00127757" w:rsidRPr="002E1218">
        <w:rPr>
          <w:rFonts w:ascii="Palatino Linotype" w:hAnsi="Palatino Linotype" w:cs="Tahoma"/>
          <w:bCs/>
          <w:color w:val="0D0D0D" w:themeColor="text1" w:themeTint="F2"/>
          <w:sz w:val="22"/>
          <w:szCs w:val="22"/>
        </w:rPr>
        <w:t xml:space="preserve">interpuesto por </w:t>
      </w:r>
      <w:bookmarkStart w:id="0" w:name="_GoBack"/>
      <w:bookmarkEnd w:id="0"/>
      <w:r w:rsidR="006911B0" w:rsidRPr="006911B0">
        <w:rPr>
          <w:rFonts w:ascii="Palatino Linotype" w:hAnsi="Palatino Linotype" w:cs="Tahoma"/>
          <w:b/>
          <w:bCs/>
          <w:color w:val="0D0D0D" w:themeColor="text1" w:themeTint="F2"/>
          <w:sz w:val="22"/>
          <w:szCs w:val="22"/>
          <w:highlight w:val="black"/>
        </w:rPr>
        <w:t>XXXXXXXXXXXXXXXXXXXXXXX</w:t>
      </w:r>
      <w:r w:rsidRPr="002E1218">
        <w:rPr>
          <w:rFonts w:ascii="Palatino Linotype" w:hAnsi="Palatino Linotype" w:cs="Tahoma"/>
          <w:bCs/>
          <w:color w:val="0D0D0D" w:themeColor="text1" w:themeTint="F2"/>
          <w:sz w:val="22"/>
          <w:szCs w:val="22"/>
        </w:rPr>
        <w:t xml:space="preserve">, en lo sucesivo </w:t>
      </w:r>
      <w:r w:rsidR="00D34402" w:rsidRPr="002E1218">
        <w:rPr>
          <w:rFonts w:ascii="Palatino Linotype" w:hAnsi="Palatino Linotype" w:cs="Tahoma"/>
          <w:bCs/>
          <w:color w:val="0D0D0D" w:themeColor="text1" w:themeTint="F2"/>
          <w:sz w:val="22"/>
          <w:szCs w:val="22"/>
        </w:rPr>
        <w:t>R</w:t>
      </w:r>
      <w:r w:rsidRPr="002E1218">
        <w:rPr>
          <w:rFonts w:ascii="Palatino Linotype" w:hAnsi="Palatino Linotype" w:cs="Tahoma"/>
          <w:bCs/>
          <w:color w:val="0D0D0D" w:themeColor="text1" w:themeTint="F2"/>
          <w:sz w:val="22"/>
          <w:szCs w:val="22"/>
        </w:rPr>
        <w:t xml:space="preserve">ecurrente o </w:t>
      </w:r>
      <w:r w:rsidR="00D34402" w:rsidRPr="002E1218">
        <w:rPr>
          <w:rFonts w:ascii="Palatino Linotype" w:hAnsi="Palatino Linotype" w:cs="Tahoma"/>
          <w:bCs/>
          <w:color w:val="0D0D0D" w:themeColor="text1" w:themeTint="F2"/>
          <w:sz w:val="22"/>
          <w:szCs w:val="22"/>
        </w:rPr>
        <w:t>P</w:t>
      </w:r>
      <w:r w:rsidRPr="002E1218">
        <w:rPr>
          <w:rFonts w:ascii="Palatino Linotype" w:hAnsi="Palatino Linotype" w:cs="Tahoma"/>
          <w:bCs/>
          <w:color w:val="0D0D0D" w:themeColor="text1" w:themeTint="F2"/>
          <w:sz w:val="22"/>
          <w:szCs w:val="22"/>
        </w:rPr>
        <w:t>articular,</w:t>
      </w:r>
      <w:r w:rsidR="00F41B19" w:rsidRPr="002E1218">
        <w:rPr>
          <w:rFonts w:ascii="Palatino Linotype" w:hAnsi="Palatino Linotype" w:cs="Tahoma"/>
          <w:bCs/>
          <w:color w:val="0D0D0D" w:themeColor="text1" w:themeTint="F2"/>
          <w:sz w:val="22"/>
          <w:szCs w:val="22"/>
        </w:rPr>
        <w:t xml:space="preserve"> </w:t>
      </w:r>
      <w:r w:rsidR="00DC1594" w:rsidRPr="002E1218">
        <w:rPr>
          <w:rFonts w:ascii="Palatino Linotype" w:hAnsi="Palatino Linotype" w:cs="Tahoma"/>
          <w:bCs/>
          <w:color w:val="0D0D0D" w:themeColor="text1" w:themeTint="F2"/>
          <w:sz w:val="22"/>
          <w:szCs w:val="22"/>
        </w:rPr>
        <w:t xml:space="preserve">en contra de la </w:t>
      </w:r>
      <w:r w:rsidR="005723F0">
        <w:rPr>
          <w:rFonts w:ascii="Palatino Linotype" w:hAnsi="Palatino Linotype" w:cs="Tahoma"/>
          <w:bCs/>
          <w:color w:val="0D0D0D" w:themeColor="text1" w:themeTint="F2"/>
          <w:sz w:val="22"/>
          <w:szCs w:val="22"/>
        </w:rPr>
        <w:t xml:space="preserve">falta de </w:t>
      </w:r>
      <w:r w:rsidR="00DC1594" w:rsidRPr="002E1218">
        <w:rPr>
          <w:rFonts w:ascii="Palatino Linotype" w:hAnsi="Palatino Linotype" w:cs="Tahoma"/>
          <w:bCs/>
          <w:color w:val="0D0D0D" w:themeColor="text1" w:themeTint="F2"/>
          <w:sz w:val="22"/>
          <w:szCs w:val="22"/>
        </w:rPr>
        <w:t xml:space="preserve">respuesta del </w:t>
      </w:r>
      <w:r w:rsidR="002A0FB8" w:rsidRPr="002E1218">
        <w:rPr>
          <w:rFonts w:ascii="Palatino Linotype" w:hAnsi="Palatino Linotype" w:cs="Tahoma"/>
          <w:bCs/>
          <w:color w:val="0D0D0D" w:themeColor="text1" w:themeTint="F2"/>
          <w:sz w:val="22"/>
          <w:szCs w:val="22"/>
        </w:rPr>
        <w:t>Sujeto Obligado</w:t>
      </w:r>
      <w:r w:rsidR="002060B4" w:rsidRPr="002E1218">
        <w:rPr>
          <w:rFonts w:ascii="Palatino Linotype" w:hAnsi="Palatino Linotype" w:cs="Tahoma"/>
          <w:bCs/>
          <w:color w:val="0D0D0D" w:themeColor="text1" w:themeTint="F2"/>
          <w:sz w:val="22"/>
          <w:szCs w:val="22"/>
        </w:rPr>
        <w:t>,</w:t>
      </w:r>
      <w:r w:rsidR="00180DE9" w:rsidRPr="002E1218">
        <w:rPr>
          <w:rFonts w:ascii="Palatino Linotype" w:hAnsi="Palatino Linotype" w:cs="Tahoma"/>
          <w:bCs/>
          <w:color w:val="0D0D0D" w:themeColor="text1" w:themeTint="F2"/>
          <w:sz w:val="22"/>
          <w:szCs w:val="22"/>
        </w:rPr>
        <w:t xml:space="preserve"> </w:t>
      </w:r>
      <w:r w:rsidR="00700017" w:rsidRPr="00700017">
        <w:rPr>
          <w:rFonts w:ascii="Palatino Linotype" w:hAnsi="Palatino Linotype" w:cs="Tahoma"/>
          <w:b/>
          <w:bCs/>
          <w:color w:val="0D0D0D" w:themeColor="text1" w:themeTint="F2"/>
          <w:sz w:val="22"/>
          <w:szCs w:val="22"/>
        </w:rPr>
        <w:t>Ayuntamiento de Tonatico</w:t>
      </w:r>
      <w:r w:rsidR="00DC1594" w:rsidRPr="002E1218">
        <w:rPr>
          <w:rFonts w:ascii="Palatino Linotype" w:hAnsi="Palatino Linotype" w:cs="Tahoma"/>
          <w:bCs/>
          <w:color w:val="0D0D0D" w:themeColor="text1" w:themeTint="F2"/>
          <w:sz w:val="22"/>
          <w:szCs w:val="22"/>
        </w:rPr>
        <w:t xml:space="preserve">, </w:t>
      </w:r>
      <w:r w:rsidR="00422869" w:rsidRPr="002E1218">
        <w:rPr>
          <w:rFonts w:ascii="Palatino Linotype" w:hAnsi="Palatino Linotype" w:cs="Tahoma"/>
          <w:bCs/>
          <w:color w:val="0D0D0D" w:themeColor="text1" w:themeTint="F2"/>
          <w:sz w:val="22"/>
          <w:szCs w:val="22"/>
        </w:rPr>
        <w:t xml:space="preserve">se emite la presente Resolución, </w:t>
      </w:r>
      <w:r w:rsidR="00DC1594" w:rsidRPr="002E1218">
        <w:rPr>
          <w:rFonts w:ascii="Palatino Linotype" w:hAnsi="Palatino Linotype" w:cs="Tahoma"/>
          <w:bCs/>
          <w:color w:val="0D0D0D" w:themeColor="text1" w:themeTint="F2"/>
          <w:sz w:val="22"/>
          <w:szCs w:val="22"/>
        </w:rPr>
        <w:t>con base en</w:t>
      </w:r>
      <w:r w:rsidR="00F41B19" w:rsidRPr="002E1218">
        <w:rPr>
          <w:rFonts w:ascii="Palatino Linotype" w:hAnsi="Palatino Linotype" w:cs="Tahoma"/>
          <w:bCs/>
          <w:color w:val="0D0D0D" w:themeColor="text1" w:themeTint="F2"/>
          <w:sz w:val="22"/>
          <w:szCs w:val="22"/>
        </w:rPr>
        <w:t xml:space="preserve"> </w:t>
      </w:r>
      <w:r w:rsidR="00DC1594" w:rsidRPr="002E1218">
        <w:rPr>
          <w:rFonts w:ascii="Palatino Linotype" w:hAnsi="Palatino Linotype" w:cs="Tahoma"/>
          <w:bCs/>
          <w:color w:val="0D0D0D" w:themeColor="text1" w:themeTint="F2"/>
          <w:sz w:val="22"/>
          <w:szCs w:val="22"/>
        </w:rPr>
        <w:t xml:space="preserve">los </w:t>
      </w:r>
      <w:r w:rsidR="006C1B1D" w:rsidRPr="002E1218">
        <w:rPr>
          <w:rFonts w:ascii="Palatino Linotype" w:hAnsi="Palatino Linotype" w:cs="Tahoma"/>
          <w:bCs/>
          <w:color w:val="0D0D0D" w:themeColor="text1" w:themeTint="F2"/>
          <w:sz w:val="22"/>
          <w:szCs w:val="22"/>
        </w:rPr>
        <w:t>A</w:t>
      </w:r>
      <w:r w:rsidR="00DC1594" w:rsidRPr="002E1218">
        <w:rPr>
          <w:rFonts w:ascii="Palatino Linotype" w:hAnsi="Palatino Linotype" w:cs="Tahoma"/>
          <w:bCs/>
          <w:color w:val="0D0D0D" w:themeColor="text1" w:themeTint="F2"/>
          <w:sz w:val="22"/>
          <w:szCs w:val="22"/>
        </w:rPr>
        <w:t xml:space="preserve">ntecedentes y </w:t>
      </w:r>
      <w:r w:rsidR="002A0FB8" w:rsidRPr="002E1218">
        <w:rPr>
          <w:rFonts w:ascii="Palatino Linotype" w:hAnsi="Palatino Linotype" w:cs="Tahoma"/>
          <w:bCs/>
          <w:color w:val="0D0D0D" w:themeColor="text1" w:themeTint="F2"/>
          <w:sz w:val="22"/>
          <w:szCs w:val="22"/>
        </w:rPr>
        <w:t>C</w:t>
      </w:r>
      <w:r w:rsidR="002A0FB8" w:rsidRPr="002E1218">
        <w:rPr>
          <w:rFonts w:ascii="Palatino Linotype" w:hAnsi="Palatino Linotype" w:cs="Tahoma"/>
          <w:bCs/>
          <w:sz w:val="22"/>
          <w:szCs w:val="22"/>
        </w:rPr>
        <w:t xml:space="preserve">onsiderandos </w:t>
      </w:r>
      <w:r w:rsidR="00DC1594" w:rsidRPr="002E1218">
        <w:rPr>
          <w:rFonts w:ascii="Palatino Linotype" w:hAnsi="Palatino Linotype" w:cs="Tahoma"/>
          <w:bCs/>
          <w:sz w:val="22"/>
          <w:szCs w:val="22"/>
        </w:rPr>
        <w:t>que a continuación se exponen</w:t>
      </w:r>
      <w:r w:rsidR="00B31222" w:rsidRPr="002E1218">
        <w:rPr>
          <w:rFonts w:ascii="Palatino Linotype" w:hAnsi="Palatino Linotype" w:cs="Tahoma"/>
          <w:bCs/>
          <w:sz w:val="22"/>
          <w:szCs w:val="22"/>
        </w:rPr>
        <w:t>:</w:t>
      </w:r>
    </w:p>
    <w:p w:rsidR="00735915" w:rsidRPr="002E1218" w:rsidRDefault="00735915" w:rsidP="00336D6C">
      <w:pPr>
        <w:spacing w:line="360" w:lineRule="auto"/>
        <w:contextualSpacing/>
        <w:rPr>
          <w:rFonts w:ascii="Palatino Linotype" w:hAnsi="Palatino Linotype" w:cs="Tahoma"/>
          <w:sz w:val="22"/>
          <w:szCs w:val="22"/>
        </w:rPr>
      </w:pPr>
    </w:p>
    <w:p w:rsidR="00B31222" w:rsidRPr="002E1218" w:rsidRDefault="00B31222" w:rsidP="00336D6C">
      <w:pPr>
        <w:tabs>
          <w:tab w:val="center" w:pos="4522"/>
          <w:tab w:val="left" w:pos="7245"/>
        </w:tabs>
        <w:spacing w:line="360" w:lineRule="auto"/>
        <w:contextualSpacing/>
        <w:jc w:val="center"/>
        <w:rPr>
          <w:rFonts w:ascii="Palatino Linotype" w:hAnsi="Palatino Linotype" w:cs="Tahoma"/>
          <w:b/>
          <w:sz w:val="22"/>
          <w:szCs w:val="22"/>
        </w:rPr>
      </w:pPr>
      <w:r w:rsidRPr="002E1218">
        <w:rPr>
          <w:rFonts w:ascii="Palatino Linotype" w:hAnsi="Palatino Linotype" w:cs="Tahoma"/>
          <w:b/>
          <w:sz w:val="22"/>
          <w:szCs w:val="22"/>
        </w:rPr>
        <w:t>A</w:t>
      </w:r>
      <w:r w:rsidR="00177532" w:rsidRPr="002E1218">
        <w:rPr>
          <w:rFonts w:ascii="Palatino Linotype" w:hAnsi="Palatino Linotype" w:cs="Tahoma"/>
          <w:b/>
          <w:sz w:val="22"/>
          <w:szCs w:val="22"/>
        </w:rPr>
        <w:t xml:space="preserve"> </w:t>
      </w:r>
      <w:r w:rsidRPr="002E1218">
        <w:rPr>
          <w:rFonts w:ascii="Palatino Linotype" w:hAnsi="Palatino Linotype" w:cs="Tahoma"/>
          <w:b/>
          <w:sz w:val="22"/>
          <w:szCs w:val="22"/>
        </w:rPr>
        <w:t>N</w:t>
      </w:r>
      <w:r w:rsidR="00177532" w:rsidRPr="002E1218">
        <w:rPr>
          <w:rFonts w:ascii="Palatino Linotype" w:hAnsi="Palatino Linotype" w:cs="Tahoma"/>
          <w:b/>
          <w:sz w:val="22"/>
          <w:szCs w:val="22"/>
        </w:rPr>
        <w:t xml:space="preserve"> </w:t>
      </w:r>
      <w:r w:rsidRPr="002E1218">
        <w:rPr>
          <w:rFonts w:ascii="Palatino Linotype" w:hAnsi="Palatino Linotype" w:cs="Tahoma"/>
          <w:b/>
          <w:sz w:val="22"/>
          <w:szCs w:val="22"/>
        </w:rPr>
        <w:t>T</w:t>
      </w:r>
      <w:r w:rsidR="00177532" w:rsidRPr="002E1218">
        <w:rPr>
          <w:rFonts w:ascii="Palatino Linotype" w:hAnsi="Palatino Linotype" w:cs="Tahoma"/>
          <w:b/>
          <w:sz w:val="22"/>
          <w:szCs w:val="22"/>
        </w:rPr>
        <w:t xml:space="preserve"> </w:t>
      </w:r>
      <w:r w:rsidRPr="002E1218">
        <w:rPr>
          <w:rFonts w:ascii="Palatino Linotype" w:hAnsi="Palatino Linotype" w:cs="Tahoma"/>
          <w:b/>
          <w:sz w:val="22"/>
          <w:szCs w:val="22"/>
        </w:rPr>
        <w:t>E</w:t>
      </w:r>
      <w:r w:rsidR="00177532" w:rsidRPr="002E1218">
        <w:rPr>
          <w:rFonts w:ascii="Palatino Linotype" w:hAnsi="Palatino Linotype" w:cs="Tahoma"/>
          <w:b/>
          <w:sz w:val="22"/>
          <w:szCs w:val="22"/>
        </w:rPr>
        <w:t xml:space="preserve"> </w:t>
      </w:r>
      <w:r w:rsidRPr="002E1218">
        <w:rPr>
          <w:rFonts w:ascii="Palatino Linotype" w:hAnsi="Palatino Linotype" w:cs="Tahoma"/>
          <w:b/>
          <w:sz w:val="22"/>
          <w:szCs w:val="22"/>
        </w:rPr>
        <w:t>C</w:t>
      </w:r>
      <w:r w:rsidR="00177532" w:rsidRPr="002E1218">
        <w:rPr>
          <w:rFonts w:ascii="Palatino Linotype" w:hAnsi="Palatino Linotype" w:cs="Tahoma"/>
          <w:b/>
          <w:sz w:val="22"/>
          <w:szCs w:val="22"/>
        </w:rPr>
        <w:t xml:space="preserve"> </w:t>
      </w:r>
      <w:r w:rsidRPr="002E1218">
        <w:rPr>
          <w:rFonts w:ascii="Palatino Linotype" w:hAnsi="Palatino Linotype" w:cs="Tahoma"/>
          <w:b/>
          <w:sz w:val="22"/>
          <w:szCs w:val="22"/>
        </w:rPr>
        <w:t>E</w:t>
      </w:r>
      <w:r w:rsidR="00177532" w:rsidRPr="002E1218">
        <w:rPr>
          <w:rFonts w:ascii="Palatino Linotype" w:hAnsi="Palatino Linotype" w:cs="Tahoma"/>
          <w:b/>
          <w:sz w:val="22"/>
          <w:szCs w:val="22"/>
        </w:rPr>
        <w:t xml:space="preserve"> </w:t>
      </w:r>
      <w:r w:rsidRPr="002E1218">
        <w:rPr>
          <w:rFonts w:ascii="Palatino Linotype" w:hAnsi="Palatino Linotype" w:cs="Tahoma"/>
          <w:b/>
          <w:sz w:val="22"/>
          <w:szCs w:val="22"/>
        </w:rPr>
        <w:t>D</w:t>
      </w:r>
      <w:r w:rsidR="00177532" w:rsidRPr="002E1218">
        <w:rPr>
          <w:rFonts w:ascii="Palatino Linotype" w:hAnsi="Palatino Linotype" w:cs="Tahoma"/>
          <w:b/>
          <w:sz w:val="22"/>
          <w:szCs w:val="22"/>
        </w:rPr>
        <w:t xml:space="preserve"> </w:t>
      </w:r>
      <w:r w:rsidRPr="002E1218">
        <w:rPr>
          <w:rFonts w:ascii="Palatino Linotype" w:hAnsi="Palatino Linotype" w:cs="Tahoma"/>
          <w:b/>
          <w:sz w:val="22"/>
          <w:szCs w:val="22"/>
        </w:rPr>
        <w:t>E</w:t>
      </w:r>
      <w:r w:rsidR="00177532" w:rsidRPr="002E1218">
        <w:rPr>
          <w:rFonts w:ascii="Palatino Linotype" w:hAnsi="Palatino Linotype" w:cs="Tahoma"/>
          <w:b/>
          <w:sz w:val="22"/>
          <w:szCs w:val="22"/>
        </w:rPr>
        <w:t xml:space="preserve"> </w:t>
      </w:r>
      <w:r w:rsidRPr="002E1218">
        <w:rPr>
          <w:rFonts w:ascii="Palatino Linotype" w:hAnsi="Palatino Linotype" w:cs="Tahoma"/>
          <w:b/>
          <w:sz w:val="22"/>
          <w:szCs w:val="22"/>
        </w:rPr>
        <w:t>N</w:t>
      </w:r>
      <w:r w:rsidR="00177532" w:rsidRPr="002E1218">
        <w:rPr>
          <w:rFonts w:ascii="Palatino Linotype" w:hAnsi="Palatino Linotype" w:cs="Tahoma"/>
          <w:b/>
          <w:sz w:val="22"/>
          <w:szCs w:val="22"/>
        </w:rPr>
        <w:t xml:space="preserve"> </w:t>
      </w:r>
      <w:r w:rsidRPr="002E1218">
        <w:rPr>
          <w:rFonts w:ascii="Palatino Linotype" w:hAnsi="Palatino Linotype" w:cs="Tahoma"/>
          <w:b/>
          <w:sz w:val="22"/>
          <w:szCs w:val="22"/>
        </w:rPr>
        <w:t>T</w:t>
      </w:r>
      <w:r w:rsidR="00177532" w:rsidRPr="002E1218">
        <w:rPr>
          <w:rFonts w:ascii="Palatino Linotype" w:hAnsi="Palatino Linotype" w:cs="Tahoma"/>
          <w:b/>
          <w:sz w:val="22"/>
          <w:szCs w:val="22"/>
        </w:rPr>
        <w:t xml:space="preserve"> </w:t>
      </w:r>
      <w:r w:rsidRPr="002E1218">
        <w:rPr>
          <w:rFonts w:ascii="Palatino Linotype" w:hAnsi="Palatino Linotype" w:cs="Tahoma"/>
          <w:b/>
          <w:sz w:val="22"/>
          <w:szCs w:val="22"/>
        </w:rPr>
        <w:t>E</w:t>
      </w:r>
      <w:r w:rsidR="00177532" w:rsidRPr="002E1218">
        <w:rPr>
          <w:rFonts w:ascii="Palatino Linotype" w:hAnsi="Palatino Linotype" w:cs="Tahoma"/>
          <w:b/>
          <w:sz w:val="22"/>
          <w:szCs w:val="22"/>
        </w:rPr>
        <w:t xml:space="preserve"> </w:t>
      </w:r>
      <w:r w:rsidRPr="002E1218">
        <w:rPr>
          <w:rFonts w:ascii="Palatino Linotype" w:hAnsi="Palatino Linotype" w:cs="Tahoma"/>
          <w:b/>
          <w:sz w:val="22"/>
          <w:szCs w:val="22"/>
        </w:rPr>
        <w:t>S:</w:t>
      </w:r>
    </w:p>
    <w:p w:rsidR="00B31222" w:rsidRPr="002E1218" w:rsidRDefault="00B31222" w:rsidP="00336D6C">
      <w:pPr>
        <w:pStyle w:val="Prrafodelista"/>
        <w:tabs>
          <w:tab w:val="left" w:pos="567"/>
        </w:tabs>
        <w:spacing w:line="360" w:lineRule="auto"/>
        <w:ind w:left="0"/>
        <w:jc w:val="both"/>
        <w:rPr>
          <w:rFonts w:ascii="Palatino Linotype" w:hAnsi="Palatino Linotype" w:cs="Tahoma"/>
          <w:szCs w:val="22"/>
        </w:rPr>
      </w:pPr>
    </w:p>
    <w:p w:rsidR="00DC1594" w:rsidRDefault="00B31222" w:rsidP="00336D6C">
      <w:pPr>
        <w:pStyle w:val="Prrafodelista"/>
        <w:tabs>
          <w:tab w:val="left" w:pos="567"/>
        </w:tabs>
        <w:spacing w:line="360" w:lineRule="auto"/>
        <w:ind w:left="0"/>
        <w:jc w:val="both"/>
        <w:rPr>
          <w:rFonts w:ascii="Palatino Linotype" w:hAnsi="Palatino Linotype" w:cs="Tahoma"/>
          <w:b/>
          <w:szCs w:val="22"/>
        </w:rPr>
      </w:pPr>
      <w:r w:rsidRPr="002E1218">
        <w:rPr>
          <w:rFonts w:ascii="Palatino Linotype" w:hAnsi="Palatino Linotype" w:cs="Tahoma"/>
          <w:b/>
          <w:szCs w:val="22"/>
        </w:rPr>
        <w:t xml:space="preserve">I. Presentación de la solicitud de información. </w:t>
      </w:r>
    </w:p>
    <w:p w:rsidR="009D653D" w:rsidRPr="0017695B" w:rsidRDefault="009D653D" w:rsidP="00336D6C">
      <w:pPr>
        <w:pStyle w:val="Prrafodelista"/>
        <w:tabs>
          <w:tab w:val="left" w:pos="567"/>
        </w:tabs>
        <w:spacing w:line="360" w:lineRule="auto"/>
        <w:ind w:left="0"/>
        <w:jc w:val="both"/>
        <w:rPr>
          <w:rFonts w:ascii="Palatino Linotype" w:hAnsi="Palatino Linotype" w:cs="Tahoma"/>
          <w:b/>
          <w:szCs w:val="22"/>
        </w:rPr>
      </w:pPr>
    </w:p>
    <w:p w:rsidR="00B31222" w:rsidRPr="002E1218" w:rsidRDefault="00AA417B" w:rsidP="00336D6C">
      <w:pPr>
        <w:pStyle w:val="Prrafodelista"/>
        <w:tabs>
          <w:tab w:val="left" w:pos="567"/>
        </w:tabs>
        <w:spacing w:line="360" w:lineRule="auto"/>
        <w:ind w:left="0"/>
        <w:jc w:val="both"/>
        <w:rPr>
          <w:rFonts w:ascii="Palatino Linotype" w:hAnsi="Palatino Linotype" w:cs="Tahoma"/>
          <w:szCs w:val="22"/>
        </w:rPr>
      </w:pPr>
      <w:r w:rsidRPr="002E1218">
        <w:rPr>
          <w:rFonts w:ascii="Palatino Linotype" w:hAnsi="Palatino Linotype" w:cs="Tahoma"/>
          <w:szCs w:val="22"/>
        </w:rPr>
        <w:t>Con fecha</w:t>
      </w:r>
      <w:r w:rsidR="00F41B19" w:rsidRPr="002E1218">
        <w:rPr>
          <w:rFonts w:ascii="Palatino Linotype" w:hAnsi="Palatino Linotype" w:cs="Tahoma"/>
          <w:szCs w:val="22"/>
        </w:rPr>
        <w:t xml:space="preserve"> </w:t>
      </w:r>
      <w:r w:rsidR="00700017">
        <w:rPr>
          <w:rFonts w:ascii="Palatino Linotype" w:hAnsi="Palatino Linotype" w:cs="Tahoma"/>
          <w:szCs w:val="22"/>
        </w:rPr>
        <w:t>treinta y uno de mayo</w:t>
      </w:r>
      <w:r w:rsidR="00D34402" w:rsidRPr="002E1218">
        <w:rPr>
          <w:rFonts w:ascii="Palatino Linotype" w:hAnsi="Palatino Linotype" w:cs="Tahoma"/>
          <w:szCs w:val="22"/>
        </w:rPr>
        <w:t xml:space="preserve"> de dos mil diecinueve</w:t>
      </w:r>
      <w:r w:rsidR="00B31222" w:rsidRPr="002E1218">
        <w:rPr>
          <w:rFonts w:ascii="Palatino Linotype" w:hAnsi="Palatino Linotype" w:cs="Tahoma"/>
          <w:szCs w:val="22"/>
        </w:rPr>
        <w:t xml:space="preserve">, </w:t>
      </w:r>
      <w:r w:rsidR="00924F21">
        <w:rPr>
          <w:rFonts w:ascii="Palatino Linotype" w:hAnsi="Palatino Linotype" w:cs="Tahoma"/>
          <w:szCs w:val="22"/>
        </w:rPr>
        <w:t>el</w:t>
      </w:r>
      <w:r w:rsidR="001171BD" w:rsidRPr="002E1218">
        <w:rPr>
          <w:rFonts w:ascii="Palatino Linotype" w:hAnsi="Palatino Linotype" w:cs="Tahoma"/>
          <w:szCs w:val="22"/>
        </w:rPr>
        <w:t xml:space="preserve"> </w:t>
      </w:r>
      <w:r w:rsidR="00D34402" w:rsidRPr="002E1218">
        <w:rPr>
          <w:rFonts w:ascii="Palatino Linotype" w:hAnsi="Palatino Linotype" w:cs="Tahoma"/>
          <w:szCs w:val="22"/>
        </w:rPr>
        <w:t>P</w:t>
      </w:r>
      <w:r w:rsidR="00B31222" w:rsidRPr="002E1218">
        <w:rPr>
          <w:rFonts w:ascii="Palatino Linotype" w:hAnsi="Palatino Linotype" w:cs="Tahoma"/>
          <w:szCs w:val="22"/>
        </w:rPr>
        <w:t xml:space="preserve">articular </w:t>
      </w:r>
      <w:r w:rsidR="001171BD" w:rsidRPr="002E1218">
        <w:rPr>
          <w:rFonts w:ascii="Palatino Linotype" w:hAnsi="Palatino Linotype" w:cs="Tahoma"/>
          <w:szCs w:val="22"/>
        </w:rPr>
        <w:t xml:space="preserve">presentó solicitud de acceso a la información pública a través del Sistema de Acceso a la Información Mexiquense </w:t>
      </w:r>
      <w:r w:rsidR="004100AA" w:rsidRPr="002E1218">
        <w:rPr>
          <w:rFonts w:ascii="Palatino Linotype" w:hAnsi="Palatino Linotype" w:cs="Tahoma"/>
          <w:szCs w:val="22"/>
          <w:lang w:val="es-ES"/>
        </w:rPr>
        <w:t>(SAIMEX)</w:t>
      </w:r>
      <w:r w:rsidR="00B31222" w:rsidRPr="002E1218">
        <w:rPr>
          <w:rFonts w:ascii="Palatino Linotype" w:hAnsi="Palatino Linotype" w:cs="Tahoma"/>
          <w:szCs w:val="22"/>
        </w:rPr>
        <w:t xml:space="preserve">, </w:t>
      </w:r>
      <w:r w:rsidR="00C55151" w:rsidRPr="002E1218">
        <w:rPr>
          <w:rFonts w:ascii="Palatino Linotype" w:hAnsi="Palatino Linotype" w:cs="Tahoma"/>
          <w:szCs w:val="22"/>
        </w:rPr>
        <w:t>ante e</w:t>
      </w:r>
      <w:r w:rsidR="000C27CA" w:rsidRPr="002E1218">
        <w:rPr>
          <w:rFonts w:ascii="Palatino Linotype" w:hAnsi="Palatino Linotype" w:cs="Tahoma"/>
          <w:szCs w:val="22"/>
        </w:rPr>
        <w:t>l</w:t>
      </w:r>
      <w:r w:rsidR="00FC7950" w:rsidRPr="002E1218">
        <w:rPr>
          <w:rFonts w:ascii="Palatino Linotype" w:hAnsi="Palatino Linotype" w:cs="Tahoma"/>
          <w:szCs w:val="22"/>
        </w:rPr>
        <w:t xml:space="preserve"> </w:t>
      </w:r>
      <w:r w:rsidR="00700017" w:rsidRPr="00700017">
        <w:rPr>
          <w:rFonts w:ascii="Palatino Linotype" w:hAnsi="Palatino Linotype" w:cs="Tahoma"/>
          <w:b/>
          <w:szCs w:val="22"/>
        </w:rPr>
        <w:t>Ayuntamiento de Tonatico</w:t>
      </w:r>
      <w:r w:rsidR="00B31222" w:rsidRPr="002E1218">
        <w:rPr>
          <w:rFonts w:ascii="Palatino Linotype" w:hAnsi="Palatino Linotype" w:cs="Tahoma"/>
          <w:szCs w:val="22"/>
        </w:rPr>
        <w:t xml:space="preserve">, </w:t>
      </w:r>
      <w:r w:rsidR="00C55151" w:rsidRPr="002E1218">
        <w:rPr>
          <w:rFonts w:ascii="Palatino Linotype" w:hAnsi="Palatino Linotype" w:cs="Tahoma"/>
          <w:szCs w:val="22"/>
        </w:rPr>
        <w:t xml:space="preserve">mediante </w:t>
      </w:r>
      <w:r w:rsidR="001171BD" w:rsidRPr="002E1218">
        <w:rPr>
          <w:rFonts w:ascii="Palatino Linotype" w:hAnsi="Palatino Linotype" w:cs="Tahoma"/>
          <w:szCs w:val="22"/>
        </w:rPr>
        <w:t>el cual requirió</w:t>
      </w:r>
      <w:r w:rsidR="00B31222" w:rsidRPr="002E1218">
        <w:rPr>
          <w:rFonts w:ascii="Palatino Linotype" w:hAnsi="Palatino Linotype" w:cs="Tahoma"/>
          <w:szCs w:val="22"/>
        </w:rPr>
        <w:t>:</w:t>
      </w:r>
    </w:p>
    <w:p w:rsidR="00637179" w:rsidRPr="002E1218" w:rsidRDefault="00637179" w:rsidP="00336D6C">
      <w:pPr>
        <w:pStyle w:val="Prrafodelista"/>
        <w:tabs>
          <w:tab w:val="left" w:pos="567"/>
        </w:tabs>
        <w:spacing w:line="360" w:lineRule="auto"/>
        <w:ind w:left="0"/>
        <w:jc w:val="both"/>
        <w:rPr>
          <w:rFonts w:ascii="Palatino Linotype" w:hAnsi="Palatino Linotype" w:cs="Tahoma"/>
          <w:szCs w:val="22"/>
        </w:rPr>
      </w:pPr>
    </w:p>
    <w:p w:rsidR="003B5F3B" w:rsidRDefault="002B4C49" w:rsidP="00336D6C">
      <w:pPr>
        <w:tabs>
          <w:tab w:val="left" w:pos="4667"/>
        </w:tabs>
        <w:spacing w:line="360" w:lineRule="auto"/>
        <w:ind w:left="567" w:right="539"/>
        <w:contextualSpacing/>
        <w:jc w:val="both"/>
        <w:rPr>
          <w:rFonts w:ascii="Palatino Linotype" w:hAnsi="Palatino Linotype" w:cs="Tahoma"/>
          <w:b/>
          <w:bCs/>
          <w:sz w:val="22"/>
          <w:szCs w:val="22"/>
        </w:rPr>
      </w:pPr>
      <w:r w:rsidRPr="002E1218">
        <w:rPr>
          <w:rFonts w:ascii="Palatino Linotype" w:hAnsi="Palatino Linotype" w:cs="Tahoma"/>
          <w:b/>
          <w:bCs/>
          <w:sz w:val="22"/>
          <w:szCs w:val="22"/>
        </w:rPr>
        <w:t xml:space="preserve">Solicitud de folio: </w:t>
      </w:r>
      <w:r w:rsidR="00700017" w:rsidRPr="00700017">
        <w:rPr>
          <w:rFonts w:ascii="Palatino Linotype" w:hAnsi="Palatino Linotype" w:cs="Tahoma"/>
          <w:b/>
          <w:bCs/>
          <w:sz w:val="22"/>
          <w:szCs w:val="22"/>
        </w:rPr>
        <w:t>00059/TONATICO/IP/2019</w:t>
      </w:r>
    </w:p>
    <w:p w:rsidR="00D01F75" w:rsidRPr="002E1218" w:rsidRDefault="00D01F75" w:rsidP="00336D6C">
      <w:pPr>
        <w:tabs>
          <w:tab w:val="left" w:pos="4667"/>
        </w:tabs>
        <w:spacing w:line="360" w:lineRule="auto"/>
        <w:ind w:left="567" w:right="539"/>
        <w:contextualSpacing/>
        <w:jc w:val="both"/>
        <w:rPr>
          <w:rFonts w:ascii="Palatino Linotype" w:hAnsi="Palatino Linotype" w:cs="Tahoma"/>
          <w:b/>
          <w:bCs/>
          <w:i/>
          <w:sz w:val="22"/>
          <w:szCs w:val="22"/>
        </w:rPr>
      </w:pPr>
      <w:r w:rsidRPr="002E1218">
        <w:rPr>
          <w:rFonts w:ascii="Palatino Linotype" w:hAnsi="Palatino Linotype" w:cs="Tahoma"/>
          <w:b/>
          <w:bCs/>
          <w:i/>
          <w:sz w:val="22"/>
          <w:szCs w:val="22"/>
        </w:rPr>
        <w:t>DESCRIPCIÓN CLARA Y PRECISA DE LA INFORMACIÓN SOLICITADA</w:t>
      </w:r>
    </w:p>
    <w:p w:rsidR="00D01F75" w:rsidRPr="00E96AB8" w:rsidRDefault="002B4C49" w:rsidP="00336D6C">
      <w:pPr>
        <w:tabs>
          <w:tab w:val="left" w:pos="4667"/>
        </w:tabs>
        <w:spacing w:line="360" w:lineRule="auto"/>
        <w:ind w:left="567" w:right="539"/>
        <w:contextualSpacing/>
        <w:jc w:val="both"/>
        <w:rPr>
          <w:rFonts w:ascii="Palatino Linotype" w:hAnsi="Palatino Linotype" w:cs="Tahoma"/>
          <w:bCs/>
          <w:i/>
        </w:rPr>
      </w:pPr>
      <w:r w:rsidRPr="00E96AB8">
        <w:rPr>
          <w:rFonts w:ascii="Palatino Linotype" w:hAnsi="Palatino Linotype" w:cs="Tahoma"/>
          <w:bCs/>
          <w:i/>
        </w:rPr>
        <w:t>“</w:t>
      </w:r>
      <w:r w:rsidR="00700017" w:rsidRPr="00700017">
        <w:rPr>
          <w:rFonts w:ascii="Palatino Linotype" w:hAnsi="Palatino Linotype" w:cs="Tahoma"/>
          <w:bCs/>
          <w:i/>
        </w:rPr>
        <w:t xml:space="preserve">Solicito me sean expedidos los EXPEDIENTES TÉCNICOS COMPLETOS de las obras programadas a ejecutarse con cargo a los recursos del programa Fondo Estatal de Fortalecimiento Municipal correspondientes al ejercicio fiscal 2019 (FEFOM 2019). de su lista que fue sometida al pleno del cabildo, siendo una lista de 25 obras, con un monto total de 22 millones 687 mil 409.84 pesos. </w:t>
      </w:r>
      <w:r w:rsidR="004D519A" w:rsidRPr="00E96AB8">
        <w:rPr>
          <w:rFonts w:ascii="Palatino Linotype" w:hAnsi="Palatino Linotype" w:cs="Tahoma"/>
          <w:bCs/>
          <w:i/>
        </w:rPr>
        <w:t>“(</w:t>
      </w:r>
      <w:r w:rsidR="00D01F75" w:rsidRPr="00E96AB8">
        <w:rPr>
          <w:rFonts w:ascii="Palatino Linotype" w:hAnsi="Palatino Linotype" w:cs="Tahoma"/>
          <w:bCs/>
          <w:i/>
        </w:rPr>
        <w:t>Sic.)</w:t>
      </w:r>
    </w:p>
    <w:p w:rsidR="00D01F75" w:rsidRPr="002E1218" w:rsidRDefault="00D01F75" w:rsidP="00336D6C">
      <w:pPr>
        <w:tabs>
          <w:tab w:val="left" w:pos="4667"/>
        </w:tabs>
        <w:spacing w:line="360" w:lineRule="auto"/>
        <w:ind w:left="567" w:right="539"/>
        <w:contextualSpacing/>
        <w:jc w:val="both"/>
        <w:rPr>
          <w:rFonts w:ascii="Palatino Linotype" w:hAnsi="Palatino Linotype" w:cs="Tahoma"/>
          <w:bCs/>
          <w:i/>
          <w:sz w:val="22"/>
          <w:szCs w:val="22"/>
        </w:rPr>
      </w:pPr>
    </w:p>
    <w:p w:rsidR="00D01F75" w:rsidRPr="002E1218" w:rsidRDefault="00D01F75" w:rsidP="00336D6C">
      <w:pPr>
        <w:tabs>
          <w:tab w:val="left" w:pos="4667"/>
        </w:tabs>
        <w:spacing w:line="360" w:lineRule="auto"/>
        <w:ind w:left="567" w:right="539"/>
        <w:contextualSpacing/>
        <w:jc w:val="both"/>
        <w:rPr>
          <w:rFonts w:ascii="Palatino Linotype" w:hAnsi="Palatino Linotype" w:cs="Tahoma"/>
          <w:bCs/>
          <w:i/>
          <w:sz w:val="22"/>
          <w:szCs w:val="22"/>
        </w:rPr>
      </w:pPr>
      <w:r w:rsidRPr="002E1218">
        <w:rPr>
          <w:rFonts w:ascii="Palatino Linotype" w:hAnsi="Palatino Linotype" w:cs="Tahoma"/>
          <w:b/>
          <w:bCs/>
          <w:i/>
          <w:sz w:val="22"/>
          <w:szCs w:val="22"/>
        </w:rPr>
        <w:t>MODALIDAD DE ENTREGA</w:t>
      </w:r>
    </w:p>
    <w:p w:rsidR="00D01F75" w:rsidRPr="002E1218" w:rsidRDefault="002B4C49" w:rsidP="00336D6C">
      <w:pPr>
        <w:tabs>
          <w:tab w:val="left" w:pos="4667"/>
        </w:tabs>
        <w:spacing w:line="360" w:lineRule="auto"/>
        <w:ind w:left="567" w:right="539"/>
        <w:contextualSpacing/>
        <w:jc w:val="both"/>
        <w:rPr>
          <w:rFonts w:ascii="Palatino Linotype" w:hAnsi="Palatino Linotype" w:cs="Tahoma"/>
          <w:bCs/>
          <w:i/>
          <w:sz w:val="22"/>
          <w:szCs w:val="22"/>
        </w:rPr>
      </w:pPr>
      <w:r w:rsidRPr="002E1218">
        <w:rPr>
          <w:rFonts w:ascii="Palatino Linotype" w:hAnsi="Palatino Linotype" w:cs="Tahoma"/>
          <w:bCs/>
          <w:i/>
          <w:sz w:val="22"/>
          <w:szCs w:val="22"/>
        </w:rPr>
        <w:lastRenderedPageBreak/>
        <w:t>“</w:t>
      </w:r>
      <w:r w:rsidR="00E64BD9" w:rsidRPr="002E1218">
        <w:rPr>
          <w:rFonts w:ascii="Palatino Linotype" w:hAnsi="Palatino Linotype" w:cs="Tahoma"/>
          <w:bCs/>
          <w:i/>
          <w:sz w:val="22"/>
          <w:szCs w:val="22"/>
        </w:rPr>
        <w:t>A través del SAIMEX</w:t>
      </w:r>
      <w:r w:rsidRPr="002E1218">
        <w:rPr>
          <w:rFonts w:ascii="Palatino Linotype" w:hAnsi="Palatino Linotype" w:cs="Tahoma"/>
          <w:bCs/>
          <w:i/>
          <w:sz w:val="22"/>
          <w:szCs w:val="22"/>
        </w:rPr>
        <w:t>”</w:t>
      </w:r>
    </w:p>
    <w:p w:rsidR="00BA643E" w:rsidRDefault="00BA643E" w:rsidP="00336D6C">
      <w:pPr>
        <w:pStyle w:val="Prrafodelista"/>
        <w:tabs>
          <w:tab w:val="left" w:pos="567"/>
        </w:tabs>
        <w:spacing w:line="360" w:lineRule="auto"/>
        <w:ind w:left="0"/>
        <w:jc w:val="both"/>
        <w:rPr>
          <w:rFonts w:ascii="Palatino Linotype" w:hAnsi="Palatino Linotype" w:cs="Tahoma"/>
          <w:b/>
          <w:szCs w:val="22"/>
        </w:rPr>
      </w:pPr>
    </w:p>
    <w:p w:rsidR="0092073B" w:rsidRDefault="00FE4E2D" w:rsidP="00336D6C">
      <w:pPr>
        <w:pStyle w:val="Prrafodelista"/>
        <w:tabs>
          <w:tab w:val="left" w:pos="567"/>
        </w:tabs>
        <w:spacing w:line="360" w:lineRule="auto"/>
        <w:ind w:left="0"/>
        <w:jc w:val="both"/>
        <w:rPr>
          <w:rFonts w:ascii="Palatino Linotype" w:hAnsi="Palatino Linotype" w:cs="Tahoma"/>
          <w:b/>
          <w:szCs w:val="22"/>
        </w:rPr>
      </w:pPr>
      <w:r>
        <w:rPr>
          <w:rFonts w:ascii="Palatino Linotype" w:hAnsi="Palatino Linotype" w:cs="Tahoma"/>
          <w:b/>
          <w:szCs w:val="22"/>
        </w:rPr>
        <w:t>II. Prórroga.</w:t>
      </w:r>
    </w:p>
    <w:p w:rsidR="00BA643E" w:rsidRDefault="00BA643E" w:rsidP="00336D6C">
      <w:pPr>
        <w:tabs>
          <w:tab w:val="left" w:pos="567"/>
        </w:tabs>
        <w:spacing w:line="360" w:lineRule="auto"/>
        <w:contextualSpacing/>
        <w:jc w:val="both"/>
        <w:rPr>
          <w:rFonts w:ascii="Palatino Linotype" w:hAnsi="Palatino Linotype" w:cs="Tahoma"/>
          <w:bCs/>
          <w:sz w:val="22"/>
          <w:szCs w:val="24"/>
        </w:rPr>
      </w:pPr>
    </w:p>
    <w:p w:rsidR="00FE4E2D" w:rsidRDefault="0017695B" w:rsidP="00336D6C">
      <w:pPr>
        <w:tabs>
          <w:tab w:val="left" w:pos="567"/>
        </w:tabs>
        <w:spacing w:line="360" w:lineRule="auto"/>
        <w:contextualSpacing/>
        <w:jc w:val="both"/>
        <w:rPr>
          <w:rFonts w:ascii="Palatino Linotype" w:hAnsi="Palatino Linotype" w:cs="Tahoma"/>
          <w:bCs/>
          <w:sz w:val="22"/>
          <w:szCs w:val="24"/>
        </w:rPr>
      </w:pPr>
      <w:r w:rsidRPr="0017695B">
        <w:rPr>
          <w:rFonts w:ascii="Palatino Linotype" w:hAnsi="Palatino Linotype" w:cs="Tahoma"/>
          <w:bCs/>
          <w:sz w:val="22"/>
          <w:szCs w:val="24"/>
        </w:rPr>
        <w:t xml:space="preserve">Con fecha </w:t>
      </w:r>
      <w:r w:rsidR="00700017">
        <w:rPr>
          <w:rFonts w:ascii="Palatino Linotype" w:hAnsi="Palatino Linotype" w:cs="Tahoma"/>
          <w:bCs/>
          <w:sz w:val="22"/>
          <w:szCs w:val="24"/>
        </w:rPr>
        <w:t>veintiuno de junio</w:t>
      </w:r>
      <w:r w:rsidRPr="0017695B">
        <w:rPr>
          <w:rFonts w:ascii="Palatino Linotype" w:hAnsi="Palatino Linotype" w:cs="Tahoma"/>
          <w:bCs/>
          <w:sz w:val="22"/>
          <w:szCs w:val="24"/>
        </w:rPr>
        <w:t xml:space="preserve"> de dos mil diecinueve, a través del Sistema de Acceso a la Información Mexiquense (SAIMEX), el Sujeto Obligado</w:t>
      </w:r>
      <w:r w:rsidR="00D276E8">
        <w:rPr>
          <w:rFonts w:ascii="Palatino Linotype" w:hAnsi="Palatino Linotype" w:cs="Tahoma"/>
          <w:bCs/>
          <w:sz w:val="22"/>
          <w:szCs w:val="24"/>
        </w:rPr>
        <w:t xml:space="preserve"> solicitó una prórroga</w:t>
      </w:r>
      <w:r w:rsidR="00BA643E">
        <w:rPr>
          <w:rFonts w:ascii="Palatino Linotype" w:hAnsi="Palatino Linotype" w:cs="Tahoma"/>
          <w:bCs/>
          <w:sz w:val="22"/>
          <w:szCs w:val="24"/>
        </w:rPr>
        <w:t xml:space="preserve"> para dar respuesta</w:t>
      </w:r>
      <w:r w:rsidRPr="0017695B">
        <w:rPr>
          <w:rFonts w:ascii="Palatino Linotype" w:hAnsi="Palatino Linotype" w:cs="Tahoma"/>
          <w:bCs/>
          <w:sz w:val="22"/>
          <w:szCs w:val="24"/>
        </w:rPr>
        <w:t xml:space="preserve"> a la solicitud de acceso a la información con número de folio </w:t>
      </w:r>
      <w:r w:rsidR="00700017" w:rsidRPr="00700017">
        <w:rPr>
          <w:rFonts w:ascii="Palatino Linotype" w:hAnsi="Palatino Linotype" w:cs="Tahoma"/>
          <w:b/>
          <w:sz w:val="22"/>
          <w:szCs w:val="24"/>
        </w:rPr>
        <w:t>00059/TONATICO/IP/2019</w:t>
      </w:r>
      <w:r w:rsidRPr="0017695B">
        <w:rPr>
          <w:rFonts w:ascii="Palatino Linotype" w:hAnsi="Palatino Linotype" w:cs="Tahoma"/>
          <w:bCs/>
          <w:sz w:val="22"/>
          <w:szCs w:val="24"/>
        </w:rPr>
        <w:t>, en los términos siguientes:</w:t>
      </w:r>
    </w:p>
    <w:p w:rsidR="00BA643E" w:rsidRPr="0017695B" w:rsidRDefault="00BA643E" w:rsidP="00336D6C">
      <w:pPr>
        <w:tabs>
          <w:tab w:val="left" w:pos="567"/>
        </w:tabs>
        <w:spacing w:line="360" w:lineRule="auto"/>
        <w:contextualSpacing/>
        <w:jc w:val="both"/>
        <w:rPr>
          <w:rFonts w:ascii="Palatino Linotype" w:hAnsi="Palatino Linotype" w:cs="Tahoma"/>
          <w:bCs/>
          <w:sz w:val="22"/>
          <w:szCs w:val="24"/>
        </w:rPr>
      </w:pPr>
    </w:p>
    <w:p w:rsidR="00700017" w:rsidRPr="00700017" w:rsidRDefault="00D276E8" w:rsidP="002D4E8C">
      <w:pPr>
        <w:tabs>
          <w:tab w:val="left" w:pos="567"/>
        </w:tabs>
        <w:spacing w:line="360" w:lineRule="auto"/>
        <w:ind w:left="567" w:right="680"/>
        <w:contextualSpacing/>
        <w:jc w:val="both"/>
        <w:rPr>
          <w:rFonts w:ascii="Palatino Linotype" w:hAnsi="Palatino Linotype" w:cs="Tahoma"/>
          <w:bCs/>
          <w:i/>
          <w:iCs/>
          <w:szCs w:val="22"/>
        </w:rPr>
      </w:pPr>
      <w:r w:rsidRPr="00D276E8">
        <w:rPr>
          <w:rFonts w:ascii="Palatino Linotype" w:hAnsi="Palatino Linotype" w:cs="Tahoma"/>
          <w:bCs/>
          <w:i/>
          <w:iCs/>
          <w:szCs w:val="22"/>
        </w:rPr>
        <w:t>“</w:t>
      </w:r>
      <w:r w:rsidR="00700017" w:rsidRPr="00700017">
        <w:rPr>
          <w:rFonts w:ascii="Palatino Linotype" w:hAnsi="Palatino Linotype" w:cs="Tahoma"/>
          <w:bCs/>
          <w:i/>
          <w:iCs/>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700017" w:rsidRDefault="00700017" w:rsidP="002D4E8C">
      <w:pPr>
        <w:tabs>
          <w:tab w:val="left" w:pos="567"/>
        </w:tabs>
        <w:spacing w:line="360" w:lineRule="auto"/>
        <w:ind w:left="567" w:right="680"/>
        <w:contextualSpacing/>
        <w:jc w:val="both"/>
        <w:rPr>
          <w:rFonts w:ascii="Palatino Linotype" w:hAnsi="Palatino Linotype" w:cs="Tahoma"/>
          <w:bCs/>
          <w:i/>
          <w:iCs/>
          <w:szCs w:val="22"/>
        </w:rPr>
      </w:pPr>
    </w:p>
    <w:p w:rsidR="0017695B" w:rsidRDefault="00700017" w:rsidP="002D4E8C">
      <w:pPr>
        <w:tabs>
          <w:tab w:val="left" w:pos="567"/>
        </w:tabs>
        <w:spacing w:line="360" w:lineRule="auto"/>
        <w:ind w:left="567" w:right="680"/>
        <w:contextualSpacing/>
        <w:jc w:val="both"/>
        <w:rPr>
          <w:rFonts w:ascii="Palatino Linotype" w:hAnsi="Palatino Linotype" w:cs="Tahoma"/>
          <w:bCs/>
          <w:i/>
          <w:iCs/>
          <w:szCs w:val="22"/>
        </w:rPr>
      </w:pPr>
      <w:r w:rsidRPr="00700017">
        <w:rPr>
          <w:rFonts w:ascii="Palatino Linotype" w:hAnsi="Palatino Linotype" w:cs="Tahoma"/>
          <w:bCs/>
          <w:i/>
          <w:iCs/>
          <w:szCs w:val="22"/>
        </w:rPr>
        <w:t>se aprueba prorroga, haciendo hincapié en que este sera el ultimo termino para dar contestación a la solicitud turnada</w:t>
      </w:r>
      <w:r w:rsidR="00D276E8" w:rsidRPr="00D276E8">
        <w:rPr>
          <w:rFonts w:ascii="Palatino Linotype" w:hAnsi="Palatino Linotype" w:cs="Tahoma"/>
          <w:bCs/>
          <w:i/>
          <w:iCs/>
          <w:szCs w:val="22"/>
        </w:rPr>
        <w:t>.” (Sic.)</w:t>
      </w:r>
    </w:p>
    <w:p w:rsidR="00D276E8" w:rsidRDefault="00D276E8" w:rsidP="00336D6C">
      <w:pPr>
        <w:tabs>
          <w:tab w:val="left" w:pos="567"/>
        </w:tabs>
        <w:spacing w:line="360" w:lineRule="auto"/>
        <w:contextualSpacing/>
        <w:jc w:val="both"/>
        <w:rPr>
          <w:rFonts w:ascii="Palatino Linotype" w:hAnsi="Palatino Linotype" w:cs="Tahoma"/>
          <w:bCs/>
          <w:i/>
          <w:iCs/>
          <w:szCs w:val="22"/>
        </w:rPr>
      </w:pPr>
    </w:p>
    <w:p w:rsidR="00BA643E" w:rsidRDefault="00BA643E" w:rsidP="00336D6C">
      <w:pPr>
        <w:tabs>
          <w:tab w:val="left" w:pos="567"/>
        </w:tabs>
        <w:spacing w:line="360" w:lineRule="auto"/>
        <w:contextualSpacing/>
        <w:jc w:val="both"/>
        <w:rPr>
          <w:rFonts w:ascii="Palatino Linotype" w:hAnsi="Palatino Linotype" w:cs="Tahoma"/>
          <w:bCs/>
          <w:iCs/>
          <w:sz w:val="22"/>
          <w:szCs w:val="22"/>
        </w:rPr>
      </w:pPr>
      <w:r>
        <w:rPr>
          <w:rFonts w:ascii="Palatino Linotype" w:hAnsi="Palatino Linotype" w:cs="Tahoma"/>
          <w:bCs/>
          <w:iCs/>
          <w:sz w:val="22"/>
          <w:szCs w:val="22"/>
        </w:rPr>
        <w:t>Es de resaltar que el Sujeto Obligado no adjuntó el Acuerdo correspondiente por el que se autorizó la prórroga, por lo que se le insta para que en futuras ocasiones se abstenga de ampliar plazos de respuesta sin adjuntar el respecto Acuerdo de Comité.</w:t>
      </w:r>
    </w:p>
    <w:p w:rsidR="00BA643E" w:rsidRPr="00BA643E" w:rsidRDefault="00BA643E" w:rsidP="00336D6C">
      <w:pPr>
        <w:tabs>
          <w:tab w:val="left" w:pos="567"/>
        </w:tabs>
        <w:spacing w:line="360" w:lineRule="auto"/>
        <w:contextualSpacing/>
        <w:jc w:val="both"/>
        <w:rPr>
          <w:rFonts w:ascii="Palatino Linotype" w:hAnsi="Palatino Linotype" w:cs="Tahoma"/>
          <w:bCs/>
          <w:iCs/>
          <w:sz w:val="22"/>
          <w:szCs w:val="22"/>
        </w:rPr>
      </w:pPr>
    </w:p>
    <w:p w:rsidR="00AA5A86" w:rsidRDefault="006C1B1D" w:rsidP="00336D6C">
      <w:pPr>
        <w:pStyle w:val="Prrafodelista"/>
        <w:tabs>
          <w:tab w:val="left" w:pos="567"/>
        </w:tabs>
        <w:spacing w:line="360" w:lineRule="auto"/>
        <w:ind w:left="0"/>
        <w:jc w:val="both"/>
        <w:rPr>
          <w:rFonts w:ascii="Palatino Linotype" w:hAnsi="Palatino Linotype" w:cs="Tahoma"/>
          <w:b/>
          <w:szCs w:val="22"/>
        </w:rPr>
      </w:pPr>
      <w:r w:rsidRPr="002E1218">
        <w:rPr>
          <w:rFonts w:ascii="Palatino Linotype" w:hAnsi="Palatino Linotype" w:cs="Tahoma"/>
          <w:b/>
          <w:szCs w:val="22"/>
        </w:rPr>
        <w:t>II</w:t>
      </w:r>
      <w:r w:rsidR="00FE4E2D">
        <w:rPr>
          <w:rFonts w:ascii="Palatino Linotype" w:hAnsi="Palatino Linotype" w:cs="Tahoma"/>
          <w:b/>
          <w:szCs w:val="22"/>
        </w:rPr>
        <w:t>I</w:t>
      </w:r>
      <w:r w:rsidR="00C55151" w:rsidRPr="002E1218">
        <w:rPr>
          <w:rFonts w:ascii="Palatino Linotype" w:hAnsi="Palatino Linotype" w:cs="Tahoma"/>
          <w:b/>
          <w:szCs w:val="22"/>
        </w:rPr>
        <w:t>.</w:t>
      </w:r>
      <w:r w:rsidR="00D34402" w:rsidRPr="002E1218">
        <w:rPr>
          <w:rFonts w:ascii="Palatino Linotype" w:hAnsi="Palatino Linotype" w:cs="Tahoma"/>
          <w:b/>
          <w:szCs w:val="22"/>
        </w:rPr>
        <w:t xml:space="preserve"> </w:t>
      </w:r>
      <w:r w:rsidR="00AA5A86" w:rsidRPr="002E1218">
        <w:rPr>
          <w:rFonts w:ascii="Palatino Linotype" w:hAnsi="Palatino Linotype" w:cs="Tahoma"/>
          <w:b/>
          <w:szCs w:val="22"/>
        </w:rPr>
        <w:t>Respuesta del Sujeto Obligado.</w:t>
      </w:r>
    </w:p>
    <w:p w:rsidR="00BA643E" w:rsidRPr="002E1218" w:rsidRDefault="00BA643E" w:rsidP="00336D6C">
      <w:pPr>
        <w:pStyle w:val="Prrafodelista"/>
        <w:tabs>
          <w:tab w:val="left" w:pos="567"/>
        </w:tabs>
        <w:spacing w:line="360" w:lineRule="auto"/>
        <w:ind w:left="0"/>
        <w:jc w:val="both"/>
        <w:rPr>
          <w:rFonts w:ascii="Palatino Linotype" w:hAnsi="Palatino Linotype" w:cs="Tahoma"/>
          <w:b/>
          <w:szCs w:val="22"/>
        </w:rPr>
      </w:pPr>
    </w:p>
    <w:p w:rsidR="005723F0" w:rsidRDefault="005723F0" w:rsidP="00336D6C">
      <w:pPr>
        <w:autoSpaceDE w:val="0"/>
        <w:autoSpaceDN w:val="0"/>
        <w:adjustRightInd w:val="0"/>
        <w:spacing w:line="360" w:lineRule="auto"/>
        <w:contextualSpacing/>
        <w:jc w:val="both"/>
        <w:rPr>
          <w:rFonts w:ascii="Palatino Linotype" w:hAnsi="Palatino Linotype" w:cs="Tahoma"/>
          <w:sz w:val="22"/>
          <w:szCs w:val="22"/>
        </w:rPr>
      </w:pPr>
      <w:r w:rsidRPr="005723F0">
        <w:rPr>
          <w:rFonts w:ascii="Palatino Linotype" w:hAnsi="Palatino Linotype" w:cs="Tahoma"/>
          <w:sz w:val="22"/>
          <w:szCs w:val="22"/>
        </w:rPr>
        <w:t>De las constancias que obran en el expediente electrónico del Sistema de Acceso a la</w:t>
      </w:r>
      <w:r w:rsidR="00924F21">
        <w:rPr>
          <w:rFonts w:ascii="Palatino Linotype" w:hAnsi="Palatino Linotype" w:cs="Tahoma"/>
          <w:sz w:val="22"/>
          <w:szCs w:val="22"/>
        </w:rPr>
        <w:t xml:space="preserve"> </w:t>
      </w:r>
      <w:r w:rsidRPr="005723F0">
        <w:rPr>
          <w:rFonts w:ascii="Palatino Linotype" w:hAnsi="Palatino Linotype" w:cs="Tahoma"/>
          <w:sz w:val="22"/>
          <w:szCs w:val="22"/>
        </w:rPr>
        <w:t xml:space="preserve">Información Mexiquense (SAIMEX), se advierte que el </w:t>
      </w:r>
      <w:r w:rsidR="00691231" w:rsidRPr="00691231">
        <w:rPr>
          <w:rFonts w:ascii="Palatino Linotype" w:hAnsi="Palatino Linotype" w:cs="Tahoma"/>
          <w:b/>
          <w:bCs/>
          <w:sz w:val="22"/>
          <w:szCs w:val="22"/>
        </w:rPr>
        <w:t>Ayuntamiento de Tonatico</w:t>
      </w:r>
      <w:r w:rsidR="00691231">
        <w:rPr>
          <w:rFonts w:ascii="Palatino Linotype" w:hAnsi="Palatino Linotype" w:cs="Tahoma"/>
          <w:b/>
          <w:bCs/>
          <w:sz w:val="22"/>
          <w:szCs w:val="22"/>
        </w:rPr>
        <w:t xml:space="preserve"> </w:t>
      </w:r>
      <w:r w:rsidRPr="005723F0">
        <w:rPr>
          <w:rFonts w:ascii="Palatino Linotype" w:hAnsi="Palatino Linotype" w:cs="Tahoma"/>
          <w:sz w:val="22"/>
          <w:szCs w:val="22"/>
        </w:rPr>
        <w:t>no otorgó respuesta a la solicitud de acceso a la información pública con número de</w:t>
      </w:r>
      <w:r w:rsidR="00924F21">
        <w:rPr>
          <w:rFonts w:ascii="Palatino Linotype" w:hAnsi="Palatino Linotype" w:cs="Tahoma"/>
          <w:sz w:val="22"/>
          <w:szCs w:val="22"/>
        </w:rPr>
        <w:t xml:space="preserve"> </w:t>
      </w:r>
      <w:r w:rsidRPr="005723F0">
        <w:rPr>
          <w:rFonts w:ascii="Palatino Linotype" w:hAnsi="Palatino Linotype" w:cs="Tahoma"/>
          <w:sz w:val="22"/>
          <w:szCs w:val="22"/>
        </w:rPr>
        <w:t xml:space="preserve">folio </w:t>
      </w:r>
      <w:r w:rsidR="00691231" w:rsidRPr="00691231">
        <w:rPr>
          <w:rFonts w:ascii="Palatino Linotype" w:hAnsi="Palatino Linotype" w:cs="Tahoma"/>
          <w:b/>
          <w:bCs/>
          <w:sz w:val="22"/>
          <w:szCs w:val="22"/>
        </w:rPr>
        <w:t>00059/TONATICO/IP/2019</w:t>
      </w:r>
      <w:r w:rsidR="00D276E8">
        <w:rPr>
          <w:rFonts w:ascii="Palatino Linotype" w:hAnsi="Palatino Linotype" w:cs="Tahoma"/>
          <w:b/>
          <w:bCs/>
          <w:sz w:val="22"/>
          <w:szCs w:val="22"/>
        </w:rPr>
        <w:t>.</w:t>
      </w:r>
    </w:p>
    <w:p w:rsidR="005723F0" w:rsidRPr="005723F0" w:rsidRDefault="005723F0" w:rsidP="00336D6C">
      <w:pPr>
        <w:autoSpaceDE w:val="0"/>
        <w:autoSpaceDN w:val="0"/>
        <w:adjustRightInd w:val="0"/>
        <w:spacing w:line="360" w:lineRule="auto"/>
        <w:contextualSpacing/>
        <w:jc w:val="both"/>
        <w:rPr>
          <w:rFonts w:ascii="Palatino Linotype" w:hAnsi="Palatino Linotype" w:cs="Tahoma"/>
          <w:bCs/>
          <w:sz w:val="22"/>
          <w:szCs w:val="22"/>
        </w:rPr>
      </w:pPr>
    </w:p>
    <w:p w:rsidR="00587F23" w:rsidRDefault="0030032A" w:rsidP="00336D6C">
      <w:pPr>
        <w:autoSpaceDE w:val="0"/>
        <w:autoSpaceDN w:val="0"/>
        <w:adjustRightInd w:val="0"/>
        <w:spacing w:line="360" w:lineRule="auto"/>
        <w:contextualSpacing/>
        <w:jc w:val="both"/>
        <w:rPr>
          <w:rFonts w:ascii="Palatino Linotype" w:hAnsi="Palatino Linotype" w:cs="Tahoma"/>
          <w:b/>
          <w:sz w:val="22"/>
          <w:szCs w:val="22"/>
        </w:rPr>
      </w:pPr>
      <w:r w:rsidRPr="002E1218">
        <w:rPr>
          <w:rFonts w:ascii="Palatino Linotype" w:hAnsi="Palatino Linotype" w:cs="Tahoma"/>
          <w:b/>
          <w:sz w:val="22"/>
          <w:szCs w:val="22"/>
        </w:rPr>
        <w:lastRenderedPageBreak/>
        <w:t>III</w:t>
      </w:r>
      <w:r w:rsidR="00AA5A86" w:rsidRPr="002E1218">
        <w:rPr>
          <w:rFonts w:ascii="Palatino Linotype" w:hAnsi="Palatino Linotype" w:cs="Tahoma"/>
          <w:b/>
          <w:sz w:val="22"/>
          <w:szCs w:val="22"/>
        </w:rPr>
        <w:t xml:space="preserve">. </w:t>
      </w:r>
      <w:r w:rsidR="004100AA" w:rsidRPr="002E1218">
        <w:rPr>
          <w:rFonts w:ascii="Palatino Linotype" w:hAnsi="Palatino Linotype" w:cs="Tahoma"/>
          <w:b/>
          <w:sz w:val="22"/>
          <w:szCs w:val="22"/>
        </w:rPr>
        <w:t>Interposición</w:t>
      </w:r>
      <w:r w:rsidR="00C459A9" w:rsidRPr="002E1218">
        <w:rPr>
          <w:rFonts w:ascii="Palatino Linotype" w:hAnsi="Palatino Linotype" w:cs="Tahoma"/>
          <w:b/>
          <w:sz w:val="22"/>
          <w:szCs w:val="22"/>
        </w:rPr>
        <w:t xml:space="preserve"> del Recurso de R</w:t>
      </w:r>
      <w:r w:rsidR="00C25238" w:rsidRPr="002E1218">
        <w:rPr>
          <w:rFonts w:ascii="Palatino Linotype" w:hAnsi="Palatino Linotype" w:cs="Tahoma"/>
          <w:b/>
          <w:sz w:val="22"/>
          <w:szCs w:val="22"/>
        </w:rPr>
        <w:t xml:space="preserve">evisión. </w:t>
      </w:r>
    </w:p>
    <w:p w:rsidR="00BA643E" w:rsidRPr="002E1218" w:rsidRDefault="00BA643E" w:rsidP="00336D6C">
      <w:pPr>
        <w:autoSpaceDE w:val="0"/>
        <w:autoSpaceDN w:val="0"/>
        <w:adjustRightInd w:val="0"/>
        <w:spacing w:line="360" w:lineRule="auto"/>
        <w:contextualSpacing/>
        <w:jc w:val="both"/>
        <w:rPr>
          <w:rFonts w:ascii="Palatino Linotype" w:hAnsi="Palatino Linotype" w:cs="Tahoma"/>
          <w:b/>
          <w:sz w:val="22"/>
          <w:szCs w:val="22"/>
        </w:rPr>
      </w:pPr>
    </w:p>
    <w:p w:rsidR="00C25238" w:rsidRPr="002E1218" w:rsidRDefault="004E401B" w:rsidP="00336D6C">
      <w:pPr>
        <w:tabs>
          <w:tab w:val="left" w:pos="3122"/>
          <w:tab w:val="right" w:pos="8838"/>
        </w:tabs>
        <w:spacing w:line="360" w:lineRule="auto"/>
        <w:ind w:left="-74"/>
        <w:contextualSpacing/>
        <w:jc w:val="both"/>
        <w:rPr>
          <w:rFonts w:ascii="Palatino Linotype" w:eastAsia="Calibri" w:hAnsi="Palatino Linotype" w:cs="Tahoma"/>
          <w:sz w:val="22"/>
          <w:szCs w:val="22"/>
          <w:lang w:eastAsia="en-US"/>
        </w:rPr>
      </w:pPr>
      <w:r w:rsidRPr="002E1218">
        <w:rPr>
          <w:rFonts w:ascii="Palatino Linotype" w:hAnsi="Palatino Linotype" w:cs="Tahoma"/>
          <w:sz w:val="22"/>
          <w:szCs w:val="22"/>
        </w:rPr>
        <w:t xml:space="preserve">Con fecha </w:t>
      </w:r>
      <w:r w:rsidR="00691231">
        <w:rPr>
          <w:rFonts w:ascii="Palatino Linotype" w:hAnsi="Palatino Linotype" w:cs="Tahoma"/>
          <w:sz w:val="22"/>
          <w:szCs w:val="22"/>
        </w:rPr>
        <w:t>cinco de julio</w:t>
      </w:r>
      <w:r w:rsidR="0030032A" w:rsidRPr="002E1218">
        <w:rPr>
          <w:rFonts w:ascii="Palatino Linotype" w:hAnsi="Palatino Linotype" w:cs="Tahoma"/>
          <w:sz w:val="22"/>
          <w:szCs w:val="22"/>
        </w:rPr>
        <w:t xml:space="preserve"> de dos mil diecinueve</w:t>
      </w:r>
      <w:r w:rsidR="00C25238" w:rsidRPr="002E1218">
        <w:rPr>
          <w:rFonts w:ascii="Palatino Linotype" w:hAnsi="Palatino Linotype" w:cs="Tahoma"/>
          <w:sz w:val="22"/>
          <w:szCs w:val="22"/>
        </w:rPr>
        <w:t xml:space="preserve">, </w:t>
      </w:r>
      <w:r w:rsidR="00BE4843" w:rsidRPr="002E1218">
        <w:rPr>
          <w:rFonts w:ascii="Palatino Linotype" w:hAnsi="Palatino Linotype" w:cs="Tahoma"/>
          <w:sz w:val="22"/>
          <w:szCs w:val="22"/>
        </w:rPr>
        <w:t xml:space="preserve">se recibió en este Instituto, a través del </w:t>
      </w:r>
      <w:r w:rsidR="00BE4843" w:rsidRPr="002E1218">
        <w:rPr>
          <w:rFonts w:ascii="Palatino Linotype" w:hAnsi="Palatino Linotype" w:cs="Tahoma"/>
          <w:sz w:val="22"/>
          <w:szCs w:val="22"/>
          <w:lang w:val="es-ES"/>
        </w:rPr>
        <w:t>Sistema de Acceso a la Información Mexiquense (SAIMEX)</w:t>
      </w:r>
      <w:r w:rsidR="00BE4843" w:rsidRPr="002E1218">
        <w:rPr>
          <w:rFonts w:ascii="Palatino Linotype" w:hAnsi="Palatino Linotype" w:cs="Tahoma"/>
          <w:sz w:val="22"/>
          <w:szCs w:val="22"/>
        </w:rPr>
        <w:t>, Recurso de Revisión interpuesto por</w:t>
      </w:r>
      <w:r w:rsidR="002020FA" w:rsidRPr="002E1218">
        <w:rPr>
          <w:rFonts w:ascii="Palatino Linotype" w:hAnsi="Palatino Linotype" w:cs="Tahoma"/>
          <w:sz w:val="22"/>
          <w:szCs w:val="22"/>
        </w:rPr>
        <w:t xml:space="preserve"> el </w:t>
      </w:r>
      <w:r w:rsidR="002020FA" w:rsidRPr="002E1218">
        <w:rPr>
          <w:rFonts w:ascii="Palatino Linotype" w:hAnsi="Palatino Linotype" w:cs="Tahoma"/>
          <w:b/>
          <w:sz w:val="22"/>
          <w:szCs w:val="22"/>
        </w:rPr>
        <w:t>Recurrente</w:t>
      </w:r>
      <w:r w:rsidR="00BE4843" w:rsidRPr="002E1218">
        <w:rPr>
          <w:rFonts w:ascii="Palatino Linotype" w:hAnsi="Palatino Linotype" w:cs="Tahoma"/>
          <w:sz w:val="22"/>
          <w:szCs w:val="22"/>
        </w:rPr>
        <w:t xml:space="preserve">, en contra de la </w:t>
      </w:r>
      <w:r w:rsidR="00924F21">
        <w:rPr>
          <w:rFonts w:ascii="Palatino Linotype" w:hAnsi="Palatino Linotype" w:cs="Tahoma"/>
          <w:sz w:val="22"/>
          <w:szCs w:val="22"/>
        </w:rPr>
        <w:t xml:space="preserve">falta de </w:t>
      </w:r>
      <w:r w:rsidR="00BE4843" w:rsidRPr="002E1218">
        <w:rPr>
          <w:rFonts w:ascii="Palatino Linotype" w:hAnsi="Palatino Linotype" w:cs="Tahoma"/>
          <w:sz w:val="22"/>
          <w:szCs w:val="22"/>
        </w:rPr>
        <w:t xml:space="preserve">respuesta </w:t>
      </w:r>
      <w:r w:rsidR="00924F21">
        <w:rPr>
          <w:rFonts w:ascii="Palatino Linotype" w:hAnsi="Palatino Linotype" w:cs="Tahoma"/>
          <w:sz w:val="22"/>
          <w:szCs w:val="22"/>
        </w:rPr>
        <w:t>d</w:t>
      </w:r>
      <w:r w:rsidR="00BE4843" w:rsidRPr="002E1218">
        <w:rPr>
          <w:rFonts w:ascii="Palatino Linotype" w:hAnsi="Palatino Linotype" w:cs="Tahoma"/>
          <w:sz w:val="22"/>
          <w:szCs w:val="22"/>
        </w:rPr>
        <w:t xml:space="preserve">el </w:t>
      </w:r>
      <w:r w:rsidR="00BE4843" w:rsidRPr="002E1218">
        <w:rPr>
          <w:rFonts w:ascii="Palatino Linotype" w:hAnsi="Palatino Linotype" w:cs="Tahoma"/>
          <w:b/>
          <w:sz w:val="22"/>
          <w:szCs w:val="22"/>
        </w:rPr>
        <w:t>Sujeto Obligado</w:t>
      </w:r>
      <w:r w:rsidR="00BE4843" w:rsidRPr="002E1218">
        <w:rPr>
          <w:rFonts w:ascii="Palatino Linotype" w:hAnsi="Palatino Linotype" w:cs="Tahoma"/>
          <w:sz w:val="22"/>
          <w:szCs w:val="22"/>
        </w:rPr>
        <w:t xml:space="preserve"> a la solicitud de información, en los siguientes términos:</w:t>
      </w:r>
    </w:p>
    <w:p w:rsidR="004F2C69" w:rsidRPr="002E1218" w:rsidRDefault="004F2C69" w:rsidP="00336D6C">
      <w:pPr>
        <w:tabs>
          <w:tab w:val="left" w:pos="4667"/>
        </w:tabs>
        <w:spacing w:line="360" w:lineRule="auto"/>
        <w:ind w:left="567"/>
        <w:contextualSpacing/>
        <w:jc w:val="both"/>
        <w:rPr>
          <w:rFonts w:ascii="Palatino Linotype" w:hAnsi="Palatino Linotype" w:cs="Tahoma"/>
          <w:b/>
          <w:bCs/>
          <w:i/>
          <w:sz w:val="22"/>
          <w:szCs w:val="22"/>
        </w:rPr>
      </w:pPr>
    </w:p>
    <w:p w:rsidR="00C25238" w:rsidRPr="002E1218" w:rsidRDefault="00C25238" w:rsidP="002D4E8C">
      <w:pPr>
        <w:tabs>
          <w:tab w:val="left" w:pos="4667"/>
        </w:tabs>
        <w:spacing w:line="360" w:lineRule="auto"/>
        <w:ind w:left="567" w:right="539"/>
        <w:contextualSpacing/>
        <w:jc w:val="both"/>
        <w:rPr>
          <w:rFonts w:ascii="Palatino Linotype" w:hAnsi="Palatino Linotype" w:cs="Tahoma"/>
          <w:bCs/>
          <w:i/>
          <w:sz w:val="22"/>
          <w:szCs w:val="22"/>
        </w:rPr>
      </w:pPr>
      <w:r w:rsidRPr="002E1218">
        <w:rPr>
          <w:rFonts w:ascii="Palatino Linotype" w:hAnsi="Palatino Linotype" w:cs="Tahoma"/>
          <w:b/>
          <w:bCs/>
          <w:i/>
          <w:sz w:val="22"/>
          <w:szCs w:val="22"/>
        </w:rPr>
        <w:t>ACTO IMPUGNADO</w:t>
      </w:r>
    </w:p>
    <w:p w:rsidR="00CD3A5D" w:rsidRPr="002D4C3D" w:rsidRDefault="008F13A5" w:rsidP="002D4E8C">
      <w:pPr>
        <w:autoSpaceDE w:val="0"/>
        <w:autoSpaceDN w:val="0"/>
        <w:adjustRightInd w:val="0"/>
        <w:spacing w:line="360" w:lineRule="auto"/>
        <w:ind w:left="567" w:right="539"/>
        <w:contextualSpacing/>
        <w:jc w:val="both"/>
        <w:rPr>
          <w:rFonts w:ascii="Palatino Linotype" w:hAnsi="Palatino Linotype" w:cs="Tahoma"/>
          <w:i/>
        </w:rPr>
      </w:pPr>
      <w:r w:rsidRPr="002D4C3D">
        <w:rPr>
          <w:rFonts w:ascii="Palatino Linotype" w:hAnsi="Palatino Linotype" w:cs="Tahoma"/>
          <w:i/>
        </w:rPr>
        <w:t>“</w:t>
      </w:r>
      <w:r w:rsidR="00691231" w:rsidRPr="00691231">
        <w:rPr>
          <w:rFonts w:ascii="Palatino Linotype" w:hAnsi="Palatino Linotype" w:cs="Tahoma"/>
          <w:i/>
        </w:rPr>
        <w:t>La negativa a la información solicitada, violando los términos que establecen los artículos: 163 párrafo segundo y 166, párrafo cuarto de la Ley De Transparencia Acceso A La Información Pública Del Estado De México Y Municipios, en la solicitud con datos de identificación 00059/TONATICO/IP/2019</w:t>
      </w:r>
      <w:r w:rsidRPr="002D4C3D">
        <w:rPr>
          <w:rFonts w:ascii="Palatino Linotype" w:hAnsi="Palatino Linotype" w:cs="Tahoma"/>
          <w:i/>
        </w:rPr>
        <w:t>”</w:t>
      </w:r>
      <w:r w:rsidR="00092475" w:rsidRPr="002D4C3D">
        <w:rPr>
          <w:rFonts w:ascii="Palatino Linotype" w:hAnsi="Palatino Linotype" w:cs="Tahoma"/>
          <w:i/>
        </w:rPr>
        <w:t xml:space="preserve"> </w:t>
      </w:r>
      <w:r w:rsidR="002D4C3D">
        <w:rPr>
          <w:rFonts w:ascii="Palatino Linotype" w:hAnsi="Palatino Linotype" w:cs="Tahoma"/>
          <w:i/>
        </w:rPr>
        <w:t>(Sic.)</w:t>
      </w:r>
    </w:p>
    <w:p w:rsidR="000313A7" w:rsidRPr="002E1218" w:rsidRDefault="000313A7" w:rsidP="002D4E8C">
      <w:pPr>
        <w:autoSpaceDE w:val="0"/>
        <w:autoSpaceDN w:val="0"/>
        <w:adjustRightInd w:val="0"/>
        <w:spacing w:line="360" w:lineRule="auto"/>
        <w:ind w:left="567" w:right="539"/>
        <w:contextualSpacing/>
        <w:jc w:val="both"/>
        <w:rPr>
          <w:rFonts w:ascii="Palatino Linotype" w:hAnsi="Palatino Linotype" w:cs="Tahoma"/>
          <w:i/>
          <w:sz w:val="22"/>
          <w:szCs w:val="22"/>
        </w:rPr>
      </w:pPr>
    </w:p>
    <w:p w:rsidR="00C25238" w:rsidRPr="002E1218" w:rsidRDefault="00C25238" w:rsidP="002D4E8C">
      <w:pPr>
        <w:autoSpaceDE w:val="0"/>
        <w:autoSpaceDN w:val="0"/>
        <w:adjustRightInd w:val="0"/>
        <w:spacing w:line="360" w:lineRule="auto"/>
        <w:ind w:left="567" w:right="539"/>
        <w:contextualSpacing/>
        <w:jc w:val="both"/>
        <w:rPr>
          <w:rFonts w:ascii="Palatino Linotype" w:hAnsi="Palatino Linotype" w:cs="Tahoma"/>
          <w:b/>
          <w:i/>
          <w:sz w:val="22"/>
          <w:szCs w:val="22"/>
        </w:rPr>
      </w:pPr>
      <w:r w:rsidRPr="002E1218">
        <w:rPr>
          <w:rFonts w:ascii="Palatino Linotype" w:hAnsi="Palatino Linotype" w:cs="Tahoma"/>
          <w:b/>
          <w:i/>
          <w:sz w:val="22"/>
          <w:szCs w:val="22"/>
        </w:rPr>
        <w:t>RAZONES O MOTIVOS DE LA INCONFORMIDAD</w:t>
      </w:r>
    </w:p>
    <w:p w:rsidR="00B31222" w:rsidRPr="002D4C3D" w:rsidRDefault="008F13A5" w:rsidP="002D4E8C">
      <w:pPr>
        <w:autoSpaceDE w:val="0"/>
        <w:autoSpaceDN w:val="0"/>
        <w:adjustRightInd w:val="0"/>
        <w:spacing w:line="360" w:lineRule="auto"/>
        <w:ind w:left="567" w:right="539"/>
        <w:contextualSpacing/>
        <w:jc w:val="both"/>
        <w:rPr>
          <w:rFonts w:ascii="Palatino Linotype" w:hAnsi="Palatino Linotype" w:cs="Tahoma"/>
          <w:i/>
        </w:rPr>
      </w:pPr>
      <w:r w:rsidRPr="002D4C3D">
        <w:rPr>
          <w:rFonts w:ascii="Palatino Linotype" w:hAnsi="Palatino Linotype" w:cs="Tahoma"/>
          <w:i/>
        </w:rPr>
        <w:t>“</w:t>
      </w:r>
      <w:r w:rsidR="00691231" w:rsidRPr="00691231">
        <w:rPr>
          <w:rFonts w:ascii="Palatino Linotype" w:hAnsi="Palatino Linotype" w:cs="Tahoma"/>
          <w:i/>
        </w:rPr>
        <w:t>En fecha 31/05/19 a las 15:50:54, mediante la plataforma SAIMEX, se presentó una solicitud de acceso a la información al Ayuntamiento de Tonatico como sujeto obligado, conforme a lo siguiente: UNICO: Solicitud de expedición de los EXPEDIENTES TÉCNICOS COMPLETOS de las obras programadas a ejecutarse con cargo a los recursos del programa Fondo Estatal de Fortalecimiento Municipal correspondientes al ejercicio fiscal 2019 (FEFOM 2019) de su lista que fue sometida al pleno del cabildo, siendo una lista de 25 obras, con un monto total de 22 millones 687 mil 409.84 pesos La autoridad obligada solicitó prórroga para dar contestación a la solicitud, la cual se aprobó el día 21 de Junio de 2019 En el acuse de la solicitud de prórroga se establece que se han añadido 7 días más al tiempo de la contestación de la solicitud y que este sería el último término para dar contestación a la solicitud turnada, dicho término feneció el día 02 de julio de 2019, y hasta este momento no se tiene respuesta de la solicitud recurrida. En términos del artículo 181 párrafo cuarto de la Ley de Transparencia Acceso a la Información Pública del Estado de México y Municipios, solicito se me tenga aplicada la suplencia de la queja.</w:t>
      </w:r>
      <w:r w:rsidRPr="002D4C3D">
        <w:rPr>
          <w:rFonts w:ascii="Palatino Linotype" w:hAnsi="Palatino Linotype" w:cs="Tahoma"/>
          <w:i/>
        </w:rPr>
        <w:t>”</w:t>
      </w:r>
      <w:r w:rsidR="00AE0890" w:rsidRPr="002D4C3D">
        <w:rPr>
          <w:rFonts w:ascii="Palatino Linotype" w:hAnsi="Palatino Linotype" w:cs="Tahoma"/>
          <w:i/>
        </w:rPr>
        <w:t xml:space="preserve"> </w:t>
      </w:r>
      <w:r w:rsidR="006C1B1D" w:rsidRPr="002D4C3D">
        <w:rPr>
          <w:rFonts w:ascii="Palatino Linotype" w:hAnsi="Palatino Linotype" w:cs="Tahoma"/>
          <w:i/>
        </w:rPr>
        <w:t>(Sic.)</w:t>
      </w:r>
    </w:p>
    <w:p w:rsidR="00787B77" w:rsidRDefault="00787B77" w:rsidP="00336D6C">
      <w:pPr>
        <w:spacing w:line="360" w:lineRule="auto"/>
        <w:contextualSpacing/>
        <w:jc w:val="both"/>
        <w:rPr>
          <w:rFonts w:ascii="Palatino Linotype" w:hAnsi="Palatino Linotype" w:cs="Tahoma"/>
          <w:b/>
          <w:sz w:val="22"/>
          <w:szCs w:val="22"/>
        </w:rPr>
      </w:pPr>
    </w:p>
    <w:p w:rsidR="00691231" w:rsidRDefault="00691231" w:rsidP="00336D6C">
      <w:pPr>
        <w:spacing w:line="360" w:lineRule="auto"/>
        <w:contextualSpacing/>
        <w:jc w:val="both"/>
        <w:rPr>
          <w:rFonts w:ascii="Palatino Linotype" w:hAnsi="Palatino Linotype" w:cs="Tahoma"/>
          <w:sz w:val="22"/>
          <w:szCs w:val="22"/>
        </w:rPr>
      </w:pPr>
      <w:r>
        <w:rPr>
          <w:rFonts w:ascii="Palatino Linotype" w:hAnsi="Palatino Linotype" w:cs="Tahoma"/>
          <w:sz w:val="22"/>
          <w:szCs w:val="22"/>
        </w:rPr>
        <w:lastRenderedPageBreak/>
        <w:t>A la interposición del Recurso de Revisión, el Particular adjunto un archivo denominado “</w:t>
      </w:r>
      <w:r w:rsidRPr="00691231">
        <w:rPr>
          <w:rFonts w:ascii="Palatino Linotype" w:hAnsi="Palatino Linotype" w:cs="Tahoma"/>
          <w:sz w:val="22"/>
          <w:szCs w:val="22"/>
        </w:rPr>
        <w:t>PRORROGA 059-2019.docx</w:t>
      </w:r>
      <w:r>
        <w:rPr>
          <w:rFonts w:ascii="Palatino Linotype" w:hAnsi="Palatino Linotype" w:cs="Tahoma"/>
          <w:sz w:val="22"/>
          <w:szCs w:val="22"/>
        </w:rPr>
        <w:t xml:space="preserve">”, en el que inserto una imagen de la prórroga del Sujeto Obligado. </w:t>
      </w:r>
    </w:p>
    <w:p w:rsidR="00691231" w:rsidRPr="00691231" w:rsidRDefault="00691231" w:rsidP="00336D6C">
      <w:pPr>
        <w:spacing w:line="360" w:lineRule="auto"/>
        <w:contextualSpacing/>
        <w:jc w:val="both"/>
        <w:rPr>
          <w:rFonts w:ascii="Palatino Linotype" w:hAnsi="Palatino Linotype" w:cs="Tahoma"/>
          <w:sz w:val="22"/>
          <w:szCs w:val="22"/>
        </w:rPr>
      </w:pPr>
    </w:p>
    <w:p w:rsidR="00B31222" w:rsidRPr="002E1218" w:rsidRDefault="00BE4843" w:rsidP="00336D6C">
      <w:pPr>
        <w:spacing w:line="360" w:lineRule="auto"/>
        <w:contextualSpacing/>
        <w:jc w:val="both"/>
        <w:rPr>
          <w:rFonts w:ascii="Palatino Linotype" w:eastAsia="Batang" w:hAnsi="Palatino Linotype" w:cs="Tahoma"/>
          <w:b/>
          <w:bCs/>
          <w:sz w:val="22"/>
          <w:szCs w:val="22"/>
        </w:rPr>
      </w:pPr>
      <w:r w:rsidRPr="002E1218">
        <w:rPr>
          <w:rFonts w:ascii="Palatino Linotype" w:hAnsi="Palatino Linotype" w:cs="Tahoma"/>
          <w:b/>
          <w:sz w:val="22"/>
          <w:szCs w:val="22"/>
        </w:rPr>
        <w:t>I</w:t>
      </w:r>
      <w:r w:rsidR="0030032A" w:rsidRPr="002E1218">
        <w:rPr>
          <w:rFonts w:ascii="Palatino Linotype" w:hAnsi="Palatino Linotype" w:cs="Tahoma"/>
          <w:b/>
          <w:sz w:val="22"/>
          <w:szCs w:val="22"/>
        </w:rPr>
        <w:t>V</w:t>
      </w:r>
      <w:r w:rsidR="00B31222" w:rsidRPr="002E1218">
        <w:rPr>
          <w:rFonts w:ascii="Palatino Linotype" w:hAnsi="Palatino Linotype" w:cs="Tahoma"/>
          <w:b/>
          <w:sz w:val="22"/>
          <w:szCs w:val="22"/>
        </w:rPr>
        <w:t xml:space="preserve">. </w:t>
      </w:r>
      <w:r w:rsidR="00B31222" w:rsidRPr="002E1218">
        <w:rPr>
          <w:rFonts w:ascii="Palatino Linotype" w:eastAsia="Batang" w:hAnsi="Palatino Linotype" w:cs="Tahoma"/>
          <w:b/>
          <w:bCs/>
          <w:sz w:val="22"/>
          <w:szCs w:val="22"/>
        </w:rPr>
        <w:t xml:space="preserve">Trámite del </w:t>
      </w:r>
      <w:r w:rsidR="00C459A9" w:rsidRPr="002E1218">
        <w:rPr>
          <w:rFonts w:ascii="Palatino Linotype" w:hAnsi="Palatino Linotype" w:cs="Tahoma"/>
          <w:b/>
          <w:sz w:val="22"/>
          <w:szCs w:val="22"/>
        </w:rPr>
        <w:t>Recurso de Revisión</w:t>
      </w:r>
      <w:r w:rsidR="00AE489D" w:rsidRPr="002E1218">
        <w:rPr>
          <w:rFonts w:ascii="Palatino Linotype" w:hAnsi="Palatino Linotype" w:cs="Tahoma"/>
          <w:b/>
          <w:sz w:val="22"/>
          <w:szCs w:val="22"/>
        </w:rPr>
        <w:t xml:space="preserve"> </w:t>
      </w:r>
      <w:r w:rsidR="00B31222" w:rsidRPr="002E1218">
        <w:rPr>
          <w:rFonts w:ascii="Palatino Linotype" w:eastAsia="Batang" w:hAnsi="Palatino Linotype" w:cs="Tahoma"/>
          <w:b/>
          <w:bCs/>
          <w:sz w:val="22"/>
          <w:szCs w:val="22"/>
        </w:rPr>
        <w:t>ante el Instituto</w:t>
      </w:r>
      <w:r w:rsidR="00E445DA" w:rsidRPr="002E1218">
        <w:rPr>
          <w:rFonts w:ascii="Palatino Linotype" w:eastAsia="Batang" w:hAnsi="Palatino Linotype" w:cs="Tahoma"/>
          <w:b/>
          <w:bCs/>
          <w:sz w:val="22"/>
          <w:szCs w:val="22"/>
        </w:rPr>
        <w:t>.</w:t>
      </w:r>
    </w:p>
    <w:p w:rsidR="00E445DA" w:rsidRPr="002E1218" w:rsidRDefault="00E445DA" w:rsidP="00336D6C">
      <w:pPr>
        <w:spacing w:line="360" w:lineRule="auto"/>
        <w:contextualSpacing/>
        <w:jc w:val="both"/>
        <w:rPr>
          <w:rFonts w:ascii="Palatino Linotype" w:eastAsia="Batang" w:hAnsi="Palatino Linotype" w:cs="Tahoma"/>
          <w:b/>
          <w:bCs/>
          <w:sz w:val="22"/>
          <w:szCs w:val="22"/>
        </w:rPr>
      </w:pPr>
    </w:p>
    <w:p w:rsidR="008F13A5" w:rsidRDefault="00A90F9B" w:rsidP="00336D6C">
      <w:pPr>
        <w:spacing w:line="360" w:lineRule="auto"/>
        <w:contextualSpacing/>
        <w:jc w:val="both"/>
        <w:rPr>
          <w:rFonts w:ascii="Palatino Linotype" w:eastAsia="Batang" w:hAnsi="Palatino Linotype" w:cs="Tahoma"/>
          <w:b/>
          <w:bCs/>
          <w:sz w:val="22"/>
          <w:szCs w:val="22"/>
        </w:rPr>
      </w:pPr>
      <w:r w:rsidRPr="002E1218">
        <w:rPr>
          <w:rFonts w:ascii="Palatino Linotype" w:eastAsia="Batang" w:hAnsi="Palatino Linotype" w:cs="Tahoma"/>
          <w:b/>
          <w:bCs/>
          <w:sz w:val="22"/>
          <w:szCs w:val="22"/>
        </w:rPr>
        <w:t xml:space="preserve">a) </w:t>
      </w:r>
      <w:r w:rsidR="00B31222" w:rsidRPr="002E1218">
        <w:rPr>
          <w:rFonts w:ascii="Palatino Linotype" w:eastAsia="Batang" w:hAnsi="Palatino Linotype" w:cs="Tahoma"/>
          <w:b/>
          <w:bCs/>
          <w:sz w:val="22"/>
          <w:szCs w:val="22"/>
        </w:rPr>
        <w:t xml:space="preserve">Turno del </w:t>
      </w:r>
      <w:r w:rsidR="00C459A9" w:rsidRPr="002E1218">
        <w:rPr>
          <w:rFonts w:ascii="Palatino Linotype" w:hAnsi="Palatino Linotype" w:cs="Tahoma"/>
          <w:b/>
          <w:sz w:val="22"/>
          <w:szCs w:val="22"/>
        </w:rPr>
        <w:t>Recurso de Revisión</w:t>
      </w:r>
      <w:r w:rsidRPr="002E1218">
        <w:rPr>
          <w:rFonts w:ascii="Palatino Linotype" w:eastAsia="Batang" w:hAnsi="Palatino Linotype" w:cs="Tahoma"/>
          <w:b/>
          <w:bCs/>
          <w:sz w:val="22"/>
          <w:szCs w:val="22"/>
        </w:rPr>
        <w:t>.</w:t>
      </w:r>
      <w:r w:rsidR="00AE489D" w:rsidRPr="002E1218">
        <w:rPr>
          <w:rFonts w:ascii="Palatino Linotype" w:eastAsia="Batang" w:hAnsi="Palatino Linotype" w:cs="Tahoma"/>
          <w:b/>
          <w:bCs/>
          <w:sz w:val="22"/>
          <w:szCs w:val="22"/>
        </w:rPr>
        <w:t xml:space="preserve"> </w:t>
      </w:r>
    </w:p>
    <w:p w:rsidR="00AB086D" w:rsidRPr="00D276E8" w:rsidRDefault="00AB086D" w:rsidP="00336D6C">
      <w:pPr>
        <w:spacing w:line="360" w:lineRule="auto"/>
        <w:contextualSpacing/>
        <w:jc w:val="both"/>
        <w:rPr>
          <w:rFonts w:ascii="Palatino Linotype" w:eastAsia="Batang" w:hAnsi="Palatino Linotype" w:cs="Tahoma"/>
          <w:b/>
          <w:bCs/>
          <w:sz w:val="22"/>
          <w:szCs w:val="22"/>
        </w:rPr>
      </w:pPr>
    </w:p>
    <w:p w:rsidR="00BE4843" w:rsidRPr="002E1218" w:rsidRDefault="008216D3" w:rsidP="00336D6C">
      <w:pPr>
        <w:spacing w:line="360" w:lineRule="auto"/>
        <w:contextualSpacing/>
        <w:jc w:val="both"/>
        <w:rPr>
          <w:rFonts w:ascii="Palatino Linotype" w:eastAsia="Batang" w:hAnsi="Palatino Linotype" w:cs="Tahoma"/>
          <w:bCs/>
          <w:sz w:val="22"/>
          <w:szCs w:val="22"/>
        </w:rPr>
      </w:pPr>
      <w:r w:rsidRPr="002E1218">
        <w:rPr>
          <w:rFonts w:ascii="Palatino Linotype" w:eastAsia="Batang" w:hAnsi="Palatino Linotype" w:cs="Tahoma"/>
          <w:bCs/>
          <w:sz w:val="22"/>
          <w:szCs w:val="22"/>
        </w:rPr>
        <w:t xml:space="preserve">El </w:t>
      </w:r>
      <w:r w:rsidR="00743155">
        <w:rPr>
          <w:rFonts w:ascii="Palatino Linotype" w:eastAsia="Batang" w:hAnsi="Palatino Linotype" w:cs="Tahoma"/>
          <w:bCs/>
          <w:sz w:val="22"/>
          <w:szCs w:val="22"/>
        </w:rPr>
        <w:t>d</w:t>
      </w:r>
      <w:r w:rsidR="00377913">
        <w:rPr>
          <w:rFonts w:ascii="Palatino Linotype" w:eastAsia="Batang" w:hAnsi="Palatino Linotype" w:cs="Tahoma"/>
          <w:bCs/>
          <w:sz w:val="22"/>
          <w:szCs w:val="22"/>
        </w:rPr>
        <w:t>ie</w:t>
      </w:r>
      <w:r w:rsidR="00924F21">
        <w:rPr>
          <w:rFonts w:ascii="Palatino Linotype" w:eastAsia="Batang" w:hAnsi="Palatino Linotype" w:cs="Tahoma"/>
          <w:bCs/>
          <w:sz w:val="22"/>
          <w:szCs w:val="22"/>
        </w:rPr>
        <w:t>ciocho</w:t>
      </w:r>
      <w:r w:rsidRPr="002E1218">
        <w:rPr>
          <w:rFonts w:ascii="Palatino Linotype" w:eastAsia="Batang" w:hAnsi="Palatino Linotype" w:cs="Tahoma"/>
          <w:bCs/>
          <w:sz w:val="22"/>
          <w:szCs w:val="22"/>
        </w:rPr>
        <w:t xml:space="preserve"> de </w:t>
      </w:r>
      <w:r w:rsidR="002D4C3D">
        <w:rPr>
          <w:rFonts w:ascii="Palatino Linotype" w:eastAsia="Batang" w:hAnsi="Palatino Linotype" w:cs="Tahoma"/>
          <w:bCs/>
          <w:sz w:val="22"/>
          <w:szCs w:val="22"/>
        </w:rPr>
        <w:t>j</w:t>
      </w:r>
      <w:r w:rsidR="00691231">
        <w:rPr>
          <w:rFonts w:ascii="Palatino Linotype" w:eastAsia="Batang" w:hAnsi="Palatino Linotype" w:cs="Tahoma"/>
          <w:bCs/>
          <w:sz w:val="22"/>
          <w:szCs w:val="22"/>
        </w:rPr>
        <w:t>ulio</w:t>
      </w:r>
      <w:r w:rsidR="0030032A" w:rsidRPr="002E1218">
        <w:rPr>
          <w:rFonts w:ascii="Palatino Linotype" w:eastAsia="Batang" w:hAnsi="Palatino Linotype" w:cs="Tahoma"/>
          <w:bCs/>
          <w:sz w:val="22"/>
          <w:szCs w:val="22"/>
        </w:rPr>
        <w:t xml:space="preserve"> de dos mil diecinueve</w:t>
      </w:r>
      <w:r w:rsidR="00BE4843" w:rsidRPr="002E1218">
        <w:rPr>
          <w:rFonts w:ascii="Palatino Linotype" w:eastAsia="Batang" w:hAnsi="Palatino Linotype" w:cs="Tahoma"/>
          <w:bCs/>
          <w:sz w:val="22"/>
          <w:szCs w:val="22"/>
        </w:rPr>
        <w:t xml:space="preserve">, el </w:t>
      </w:r>
      <w:r w:rsidR="00BE4843" w:rsidRPr="002E1218">
        <w:rPr>
          <w:rFonts w:ascii="Palatino Linotype" w:hAnsi="Palatino Linotype" w:cs="Tahoma"/>
          <w:sz w:val="22"/>
          <w:szCs w:val="22"/>
          <w:lang w:val="es-ES"/>
        </w:rPr>
        <w:t>Sistema de Acceso a la Información Mexiquense (SAIMEX),</w:t>
      </w:r>
      <w:r w:rsidR="00BE4843" w:rsidRPr="002E1218">
        <w:rPr>
          <w:rFonts w:ascii="Palatino Linotype" w:eastAsia="Batang" w:hAnsi="Palatino Linotype" w:cs="Tahoma"/>
          <w:bCs/>
          <w:sz w:val="22"/>
          <w:szCs w:val="22"/>
        </w:rPr>
        <w:t xml:space="preserve"> asignó el número de expediente </w:t>
      </w:r>
      <w:r w:rsidR="00691231" w:rsidRPr="00691231">
        <w:rPr>
          <w:rFonts w:ascii="Palatino Linotype" w:eastAsia="Batang" w:hAnsi="Palatino Linotype" w:cs="Tahoma"/>
          <w:b/>
          <w:bCs/>
          <w:sz w:val="22"/>
          <w:szCs w:val="22"/>
        </w:rPr>
        <w:t xml:space="preserve"> 06091/INFOEM/IP/RR/2019</w:t>
      </w:r>
      <w:r w:rsidR="00BE4843" w:rsidRPr="002E1218">
        <w:rPr>
          <w:rFonts w:ascii="Palatino Linotype" w:eastAsia="Batang" w:hAnsi="Palatino Linotype" w:cs="Tahoma"/>
          <w:bCs/>
          <w:sz w:val="22"/>
          <w:szCs w:val="22"/>
        </w:rPr>
        <w:t>,</w:t>
      </w:r>
      <w:r w:rsidR="00AE489D" w:rsidRPr="002E1218">
        <w:rPr>
          <w:rFonts w:ascii="Palatino Linotype" w:eastAsia="Batang" w:hAnsi="Palatino Linotype" w:cs="Tahoma"/>
          <w:bCs/>
          <w:sz w:val="22"/>
          <w:szCs w:val="22"/>
        </w:rPr>
        <w:t xml:space="preserve"> </w:t>
      </w:r>
      <w:r w:rsidR="00BE4843" w:rsidRPr="002E1218">
        <w:rPr>
          <w:rFonts w:ascii="Palatino Linotype" w:eastAsia="Batang" w:hAnsi="Palatino Linotype" w:cs="Tahoma"/>
          <w:bCs/>
          <w:sz w:val="22"/>
          <w:szCs w:val="22"/>
        </w:rPr>
        <w:t xml:space="preserve">al medio de impugnación que nos ocupa, con base en el sistema aprobado por el Pleno de este Órgano Garante y lo turnó al </w:t>
      </w:r>
      <w:r w:rsidR="00BE4843" w:rsidRPr="002E1218">
        <w:rPr>
          <w:rFonts w:ascii="Palatino Linotype" w:eastAsia="Batang" w:hAnsi="Palatino Linotype" w:cs="Tahoma"/>
          <w:b/>
          <w:bCs/>
          <w:sz w:val="22"/>
          <w:szCs w:val="22"/>
        </w:rPr>
        <w:t>Comisionado Ponente Luis Gustavo Parra Noriega</w:t>
      </w:r>
      <w:r w:rsidR="00BE4843" w:rsidRPr="002E1218">
        <w:rPr>
          <w:rFonts w:ascii="Palatino Linotype" w:eastAsia="Batang" w:hAnsi="Palatino Linotype" w:cs="Tahoma"/>
          <w:bCs/>
          <w:sz w:val="22"/>
          <w:szCs w:val="22"/>
        </w:rPr>
        <w:t>, para los efectos del artículo 185, fracción I de la Ley de Transparencia y Acceso a la Información Pública del Estado de México y Municipios.</w:t>
      </w:r>
    </w:p>
    <w:p w:rsidR="008216D3" w:rsidRPr="002E1218" w:rsidRDefault="008216D3" w:rsidP="00336D6C">
      <w:pPr>
        <w:spacing w:line="360" w:lineRule="auto"/>
        <w:contextualSpacing/>
        <w:jc w:val="both"/>
        <w:rPr>
          <w:rFonts w:ascii="Palatino Linotype" w:eastAsia="Batang" w:hAnsi="Palatino Linotype" w:cs="Tahoma"/>
          <w:bCs/>
          <w:sz w:val="22"/>
          <w:szCs w:val="22"/>
        </w:rPr>
      </w:pPr>
    </w:p>
    <w:p w:rsidR="008F13A5" w:rsidRDefault="00625DFB" w:rsidP="00336D6C">
      <w:pPr>
        <w:spacing w:line="360" w:lineRule="auto"/>
        <w:contextualSpacing/>
        <w:jc w:val="both"/>
        <w:rPr>
          <w:rFonts w:ascii="Palatino Linotype" w:eastAsia="Batang" w:hAnsi="Palatino Linotype" w:cs="Tahoma"/>
          <w:b/>
          <w:bCs/>
          <w:sz w:val="22"/>
          <w:szCs w:val="22"/>
          <w:lang w:val="es-ES_tradnl"/>
        </w:rPr>
      </w:pPr>
      <w:r w:rsidRPr="002E1218">
        <w:rPr>
          <w:rFonts w:ascii="Palatino Linotype" w:eastAsia="Batang" w:hAnsi="Palatino Linotype" w:cs="Tahoma"/>
          <w:b/>
          <w:bCs/>
          <w:sz w:val="22"/>
          <w:szCs w:val="22"/>
        </w:rPr>
        <w:t>b</w:t>
      </w:r>
      <w:r w:rsidR="009F46DC" w:rsidRPr="002E1218">
        <w:rPr>
          <w:rFonts w:ascii="Palatino Linotype" w:eastAsia="Batang" w:hAnsi="Palatino Linotype" w:cs="Tahoma"/>
          <w:b/>
          <w:bCs/>
          <w:sz w:val="22"/>
          <w:szCs w:val="22"/>
        </w:rPr>
        <w:t xml:space="preserve">) </w:t>
      </w:r>
      <w:r w:rsidR="00B31222" w:rsidRPr="002E1218">
        <w:rPr>
          <w:rFonts w:ascii="Palatino Linotype" w:eastAsia="Batang" w:hAnsi="Palatino Linotype" w:cs="Tahoma"/>
          <w:b/>
          <w:bCs/>
          <w:sz w:val="22"/>
          <w:szCs w:val="22"/>
        </w:rPr>
        <w:t>Admisión del</w:t>
      </w:r>
      <w:r w:rsidR="00AE489D" w:rsidRPr="002E1218">
        <w:rPr>
          <w:rFonts w:ascii="Palatino Linotype" w:eastAsia="Batang" w:hAnsi="Palatino Linotype" w:cs="Tahoma"/>
          <w:b/>
          <w:bCs/>
          <w:sz w:val="22"/>
          <w:szCs w:val="22"/>
        </w:rPr>
        <w:t xml:space="preserve"> </w:t>
      </w:r>
      <w:r w:rsidR="00C459A9" w:rsidRPr="002E1218">
        <w:rPr>
          <w:rFonts w:ascii="Palatino Linotype" w:hAnsi="Palatino Linotype" w:cs="Tahoma"/>
          <w:b/>
          <w:sz w:val="22"/>
          <w:szCs w:val="22"/>
        </w:rPr>
        <w:t>Recurso de Revisión</w:t>
      </w:r>
      <w:r w:rsidR="00B31222" w:rsidRPr="002E1218">
        <w:rPr>
          <w:rFonts w:ascii="Palatino Linotype" w:eastAsia="Batang" w:hAnsi="Palatino Linotype" w:cs="Tahoma"/>
          <w:b/>
          <w:bCs/>
          <w:sz w:val="22"/>
          <w:szCs w:val="22"/>
          <w:lang w:val="es-ES_tradnl"/>
        </w:rPr>
        <w:t xml:space="preserve">. </w:t>
      </w:r>
    </w:p>
    <w:p w:rsidR="00AB086D" w:rsidRPr="002E1218" w:rsidRDefault="00AB086D" w:rsidP="00336D6C">
      <w:pPr>
        <w:spacing w:line="360" w:lineRule="auto"/>
        <w:contextualSpacing/>
        <w:jc w:val="both"/>
        <w:rPr>
          <w:rFonts w:ascii="Palatino Linotype" w:eastAsia="Batang" w:hAnsi="Palatino Linotype" w:cs="Tahoma"/>
          <w:b/>
          <w:bCs/>
          <w:sz w:val="22"/>
          <w:szCs w:val="22"/>
          <w:lang w:val="es-ES_tradnl"/>
        </w:rPr>
      </w:pPr>
    </w:p>
    <w:p w:rsidR="00B31222" w:rsidRPr="002E1218" w:rsidRDefault="00BE4843" w:rsidP="00336D6C">
      <w:pPr>
        <w:spacing w:line="360" w:lineRule="auto"/>
        <w:contextualSpacing/>
        <w:jc w:val="both"/>
        <w:rPr>
          <w:rFonts w:ascii="Palatino Linotype" w:hAnsi="Palatino Linotype" w:cs="Tahoma"/>
          <w:bCs/>
          <w:sz w:val="22"/>
          <w:szCs w:val="22"/>
        </w:rPr>
      </w:pPr>
      <w:r w:rsidRPr="002E1218">
        <w:rPr>
          <w:rFonts w:ascii="Palatino Linotype" w:eastAsia="Batang" w:hAnsi="Palatino Linotype" w:cs="Tahoma"/>
          <w:bCs/>
          <w:sz w:val="22"/>
          <w:szCs w:val="22"/>
          <w:lang w:val="es-ES_tradnl"/>
        </w:rPr>
        <w:t xml:space="preserve">El </w:t>
      </w:r>
      <w:r w:rsidR="00691231">
        <w:rPr>
          <w:rFonts w:ascii="Palatino Linotype" w:eastAsia="Batang" w:hAnsi="Palatino Linotype" w:cs="Tahoma"/>
          <w:bCs/>
          <w:sz w:val="22"/>
          <w:szCs w:val="22"/>
          <w:lang w:val="es-ES_tradnl"/>
        </w:rPr>
        <w:t>once de julio</w:t>
      </w:r>
      <w:r w:rsidR="0030032A" w:rsidRPr="002E1218">
        <w:rPr>
          <w:rFonts w:ascii="Palatino Linotype" w:eastAsia="Batang" w:hAnsi="Palatino Linotype" w:cs="Tahoma"/>
          <w:bCs/>
          <w:sz w:val="22"/>
          <w:szCs w:val="22"/>
          <w:lang w:val="es-ES_tradnl"/>
        </w:rPr>
        <w:t xml:space="preserve"> de dos mil diecinueve</w:t>
      </w:r>
      <w:r w:rsidRPr="002E1218">
        <w:rPr>
          <w:rFonts w:ascii="Palatino Linotype" w:eastAsia="Batang" w:hAnsi="Palatino Linotype" w:cs="Tahoma"/>
          <w:bCs/>
          <w:sz w:val="22"/>
          <w:szCs w:val="22"/>
          <w:lang w:val="es-ES_tradnl"/>
        </w:rPr>
        <w:t xml:space="preserve">, se acordó la admisión del Recurso de Revisión interpuesto por </w:t>
      </w:r>
      <w:r w:rsidR="00377913">
        <w:rPr>
          <w:rFonts w:ascii="Palatino Linotype" w:eastAsia="Batang" w:hAnsi="Palatino Linotype" w:cs="Tahoma"/>
          <w:bCs/>
          <w:sz w:val="22"/>
          <w:szCs w:val="22"/>
          <w:lang w:val="es-ES_tradnl"/>
        </w:rPr>
        <w:t>el</w:t>
      </w:r>
      <w:r w:rsidRPr="002E1218">
        <w:rPr>
          <w:rFonts w:ascii="Palatino Linotype" w:eastAsia="Batang" w:hAnsi="Palatino Linotype" w:cs="Tahoma"/>
          <w:bCs/>
          <w:sz w:val="22"/>
          <w:szCs w:val="22"/>
          <w:lang w:val="es-ES_tradnl"/>
        </w:rPr>
        <w:t xml:space="preserve"> </w:t>
      </w:r>
      <w:r w:rsidRPr="002E1218">
        <w:rPr>
          <w:rFonts w:ascii="Palatino Linotype" w:eastAsia="Batang" w:hAnsi="Palatino Linotype" w:cs="Tahoma"/>
          <w:b/>
          <w:bCs/>
          <w:sz w:val="22"/>
          <w:szCs w:val="22"/>
          <w:lang w:val="es-ES_tradnl"/>
        </w:rPr>
        <w:t>Recurrente</w:t>
      </w:r>
      <w:r w:rsidRPr="002E1218">
        <w:rPr>
          <w:rFonts w:ascii="Palatino Linotype" w:eastAsia="Batang" w:hAnsi="Palatino Linotype" w:cs="Tahoma"/>
          <w:bCs/>
          <w:sz w:val="22"/>
          <w:szCs w:val="22"/>
          <w:lang w:val="es-ES_tradnl"/>
        </w:rPr>
        <w:t xml:space="preserve"> en contra del </w:t>
      </w:r>
      <w:r w:rsidR="00141895" w:rsidRPr="002E1218">
        <w:rPr>
          <w:rFonts w:ascii="Palatino Linotype" w:eastAsia="Batang" w:hAnsi="Palatino Linotype" w:cs="Tahoma"/>
          <w:b/>
          <w:bCs/>
          <w:sz w:val="22"/>
          <w:szCs w:val="22"/>
          <w:lang w:val="es-ES_tradnl"/>
        </w:rPr>
        <w:t>Sujeto Obligado</w:t>
      </w:r>
      <w:r w:rsidRPr="002E1218">
        <w:rPr>
          <w:rFonts w:ascii="Palatino Linotype" w:eastAsia="Batang" w:hAnsi="Palatino Linotype" w:cs="Tahoma"/>
          <w:bCs/>
          <w:sz w:val="22"/>
          <w:szCs w:val="22"/>
          <w:lang w:val="es-ES_tradnl"/>
        </w:rPr>
        <w:t>,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rsidR="0061115C" w:rsidRDefault="0061115C" w:rsidP="00336D6C">
      <w:pPr>
        <w:spacing w:line="360" w:lineRule="auto"/>
        <w:contextualSpacing/>
        <w:jc w:val="both"/>
        <w:rPr>
          <w:rFonts w:ascii="Palatino Linotype" w:hAnsi="Palatino Linotype" w:cs="Tahoma"/>
          <w:bCs/>
          <w:sz w:val="22"/>
          <w:szCs w:val="22"/>
        </w:rPr>
      </w:pPr>
    </w:p>
    <w:p w:rsidR="00B64AF0" w:rsidRDefault="00B64AF0" w:rsidP="00336D6C">
      <w:pPr>
        <w:spacing w:line="360" w:lineRule="auto"/>
        <w:contextualSpacing/>
        <w:jc w:val="both"/>
        <w:rPr>
          <w:rFonts w:ascii="Palatino Linotype" w:hAnsi="Palatino Linotype" w:cs="Tahoma"/>
          <w:bCs/>
          <w:sz w:val="22"/>
          <w:szCs w:val="22"/>
        </w:rPr>
      </w:pPr>
    </w:p>
    <w:p w:rsidR="00B64AF0" w:rsidRDefault="00B64AF0" w:rsidP="00336D6C">
      <w:pPr>
        <w:spacing w:line="360" w:lineRule="auto"/>
        <w:contextualSpacing/>
        <w:jc w:val="both"/>
        <w:rPr>
          <w:rFonts w:ascii="Palatino Linotype" w:hAnsi="Palatino Linotype" w:cs="Tahoma"/>
          <w:bCs/>
          <w:sz w:val="22"/>
          <w:szCs w:val="22"/>
        </w:rPr>
      </w:pPr>
    </w:p>
    <w:p w:rsidR="008F13A5" w:rsidRDefault="004406CF" w:rsidP="00336D6C">
      <w:pPr>
        <w:spacing w:line="360" w:lineRule="auto"/>
        <w:contextualSpacing/>
        <w:jc w:val="both"/>
        <w:rPr>
          <w:rFonts w:ascii="Palatino Linotype" w:hAnsi="Palatino Linotype" w:cs="Tahoma"/>
          <w:b/>
          <w:sz w:val="22"/>
          <w:szCs w:val="22"/>
        </w:rPr>
      </w:pPr>
      <w:r w:rsidRPr="002E1218">
        <w:rPr>
          <w:rFonts w:ascii="Palatino Linotype" w:hAnsi="Palatino Linotype" w:cs="Tahoma"/>
          <w:b/>
          <w:sz w:val="22"/>
          <w:szCs w:val="22"/>
        </w:rPr>
        <w:lastRenderedPageBreak/>
        <w:t>c</w:t>
      </w:r>
      <w:r w:rsidR="00B31222" w:rsidRPr="002E1218">
        <w:rPr>
          <w:rFonts w:ascii="Palatino Linotype" w:hAnsi="Palatino Linotype" w:cs="Tahoma"/>
          <w:b/>
          <w:sz w:val="22"/>
          <w:szCs w:val="22"/>
        </w:rPr>
        <w:t xml:space="preserve">) </w:t>
      </w:r>
      <w:r w:rsidR="00BE4843" w:rsidRPr="00217476">
        <w:rPr>
          <w:rFonts w:ascii="Palatino Linotype" w:hAnsi="Palatino Linotype" w:cs="Tahoma"/>
          <w:b/>
          <w:sz w:val="22"/>
          <w:szCs w:val="22"/>
        </w:rPr>
        <w:t>Informe justificado del Sujeto Obligado.</w:t>
      </w:r>
    </w:p>
    <w:p w:rsidR="002C3071" w:rsidRPr="00691231" w:rsidRDefault="00691231" w:rsidP="00691231">
      <w:pPr>
        <w:spacing w:line="360" w:lineRule="auto"/>
        <w:ind w:right="539"/>
        <w:jc w:val="both"/>
        <w:rPr>
          <w:rFonts w:ascii="Palatino Linotype" w:hAnsi="Palatino Linotype" w:cs="Tahoma"/>
          <w:i/>
          <w:iCs/>
          <w:szCs w:val="22"/>
        </w:rPr>
      </w:pPr>
      <w:r w:rsidRPr="00691231">
        <w:rPr>
          <w:rFonts w:ascii="Palatino Linotype" w:hAnsi="Palatino Linotype" w:cs="Tahoma"/>
          <w:sz w:val="22"/>
          <w:szCs w:val="22"/>
        </w:rPr>
        <w:t xml:space="preserve">De las constancias que integran el Sistema de Acceso a la Información Mexiquense (SAIMEX), se advierte que el Sujeto Obligado fue omiso en rendir informe justificado. </w:t>
      </w:r>
    </w:p>
    <w:p w:rsidR="00217476" w:rsidRDefault="00217476" w:rsidP="00336D6C">
      <w:pPr>
        <w:spacing w:line="360" w:lineRule="auto"/>
        <w:contextualSpacing/>
        <w:jc w:val="both"/>
        <w:rPr>
          <w:rFonts w:ascii="Palatino Linotype" w:hAnsi="Palatino Linotype" w:cs="Tahoma"/>
          <w:sz w:val="22"/>
          <w:szCs w:val="24"/>
        </w:rPr>
      </w:pPr>
    </w:p>
    <w:p w:rsidR="00691231" w:rsidRDefault="00217476" w:rsidP="00336D6C">
      <w:pPr>
        <w:spacing w:line="360" w:lineRule="auto"/>
        <w:contextualSpacing/>
        <w:jc w:val="both"/>
        <w:rPr>
          <w:rFonts w:ascii="Palatino Linotype" w:hAnsi="Palatino Linotype" w:cs="Tahoma"/>
          <w:b/>
          <w:bCs/>
          <w:sz w:val="22"/>
          <w:szCs w:val="24"/>
        </w:rPr>
      </w:pPr>
      <w:r w:rsidRPr="00217476">
        <w:rPr>
          <w:rFonts w:ascii="Palatino Linotype" w:hAnsi="Palatino Linotype" w:cs="Tahoma"/>
          <w:b/>
          <w:bCs/>
          <w:sz w:val="22"/>
          <w:szCs w:val="24"/>
        </w:rPr>
        <w:t xml:space="preserve">d) </w:t>
      </w:r>
      <w:r w:rsidR="00691231">
        <w:rPr>
          <w:rFonts w:ascii="Palatino Linotype" w:hAnsi="Palatino Linotype" w:cs="Tahoma"/>
          <w:b/>
          <w:bCs/>
          <w:sz w:val="22"/>
          <w:szCs w:val="24"/>
        </w:rPr>
        <w:t>Manifestaciones del Recurrente.</w:t>
      </w:r>
    </w:p>
    <w:p w:rsidR="00691231" w:rsidRDefault="00691231" w:rsidP="00336D6C">
      <w:pPr>
        <w:spacing w:line="360" w:lineRule="auto"/>
        <w:contextualSpacing/>
        <w:jc w:val="both"/>
        <w:rPr>
          <w:rFonts w:ascii="Palatino Linotype" w:hAnsi="Palatino Linotype" w:cs="Tahoma"/>
          <w:bCs/>
          <w:sz w:val="22"/>
          <w:szCs w:val="24"/>
        </w:rPr>
      </w:pPr>
      <w:r>
        <w:rPr>
          <w:rFonts w:ascii="Palatino Linotype" w:hAnsi="Palatino Linotype" w:cs="Tahoma"/>
          <w:bCs/>
          <w:sz w:val="22"/>
          <w:szCs w:val="24"/>
        </w:rPr>
        <w:t>En fecha dieciocho de julio de dos mil diecinueve el Recurrente adjunto un documento denominado “</w:t>
      </w:r>
      <w:r w:rsidRPr="00691231">
        <w:rPr>
          <w:rFonts w:ascii="Palatino Linotype" w:hAnsi="Palatino Linotype" w:cs="Tahoma"/>
          <w:bCs/>
          <w:sz w:val="22"/>
          <w:szCs w:val="24"/>
        </w:rPr>
        <w:t>ALEGATOS 059.docx</w:t>
      </w:r>
      <w:r>
        <w:rPr>
          <w:rFonts w:ascii="Palatino Linotype" w:hAnsi="Palatino Linotype" w:cs="Tahoma"/>
          <w:bCs/>
          <w:sz w:val="22"/>
          <w:szCs w:val="24"/>
        </w:rPr>
        <w:t xml:space="preserve">”, en el que reitero en la solicitud de información y ratifico sus motivos de agravio. </w:t>
      </w:r>
    </w:p>
    <w:p w:rsidR="00691231" w:rsidRPr="00691231" w:rsidRDefault="00691231" w:rsidP="00336D6C">
      <w:pPr>
        <w:spacing w:line="360" w:lineRule="auto"/>
        <w:contextualSpacing/>
        <w:jc w:val="both"/>
        <w:rPr>
          <w:rFonts w:ascii="Palatino Linotype" w:hAnsi="Palatino Linotype" w:cs="Tahoma"/>
          <w:bCs/>
          <w:sz w:val="22"/>
          <w:szCs w:val="24"/>
        </w:rPr>
      </w:pPr>
    </w:p>
    <w:p w:rsidR="003F25D4" w:rsidRDefault="00756D3D" w:rsidP="00336D6C">
      <w:pPr>
        <w:widowControl w:val="0"/>
        <w:spacing w:line="360" w:lineRule="auto"/>
        <w:contextualSpacing/>
        <w:jc w:val="both"/>
        <w:rPr>
          <w:rFonts w:ascii="Palatino Linotype" w:hAnsi="Palatino Linotype" w:cs="Tahoma"/>
          <w:b/>
          <w:bCs/>
          <w:sz w:val="22"/>
          <w:szCs w:val="22"/>
          <w:lang w:val="es-ES"/>
        </w:rPr>
      </w:pPr>
      <w:r w:rsidRPr="002E1218">
        <w:rPr>
          <w:rFonts w:ascii="Palatino Linotype" w:hAnsi="Palatino Linotype" w:cs="Tahoma"/>
          <w:b/>
          <w:bCs/>
          <w:sz w:val="22"/>
          <w:szCs w:val="22"/>
          <w:lang w:val="es-ES"/>
        </w:rPr>
        <w:t xml:space="preserve">e) </w:t>
      </w:r>
      <w:r w:rsidR="003F25D4" w:rsidRPr="002E1218">
        <w:rPr>
          <w:rFonts w:ascii="Palatino Linotype" w:hAnsi="Palatino Linotype" w:cs="Tahoma"/>
          <w:b/>
          <w:bCs/>
          <w:sz w:val="22"/>
          <w:szCs w:val="22"/>
          <w:lang w:val="es-ES"/>
        </w:rPr>
        <w:t>Ampliación del plazo para resolver. </w:t>
      </w:r>
    </w:p>
    <w:p w:rsidR="00E622D5" w:rsidRPr="007224B7" w:rsidRDefault="00E622D5" w:rsidP="00336D6C">
      <w:pPr>
        <w:widowControl w:val="0"/>
        <w:spacing w:line="360" w:lineRule="auto"/>
        <w:contextualSpacing/>
        <w:jc w:val="both"/>
        <w:rPr>
          <w:rFonts w:ascii="Palatino Linotype" w:hAnsi="Palatino Linotype" w:cs="Tahoma"/>
          <w:b/>
          <w:bCs/>
          <w:sz w:val="22"/>
          <w:szCs w:val="22"/>
          <w:lang w:val="es-ES"/>
        </w:rPr>
      </w:pPr>
    </w:p>
    <w:p w:rsidR="003F25D4" w:rsidRPr="002E1218" w:rsidRDefault="003F25D4" w:rsidP="00336D6C">
      <w:pPr>
        <w:widowControl w:val="0"/>
        <w:spacing w:line="360" w:lineRule="auto"/>
        <w:contextualSpacing/>
        <w:jc w:val="both"/>
        <w:rPr>
          <w:rFonts w:ascii="Palatino Linotype" w:hAnsi="Palatino Linotype" w:cs="Tahoma"/>
          <w:b/>
          <w:sz w:val="22"/>
          <w:szCs w:val="22"/>
        </w:rPr>
      </w:pPr>
      <w:r w:rsidRPr="002E1218">
        <w:rPr>
          <w:rFonts w:ascii="Palatino Linotype" w:hAnsi="Palatino Linotype" w:cs="Tahoma"/>
          <w:sz w:val="22"/>
          <w:szCs w:val="22"/>
          <w:lang w:val="es-ES"/>
        </w:rPr>
        <w:t xml:space="preserve">En fecha </w:t>
      </w:r>
      <w:r w:rsidR="00BD3B29">
        <w:rPr>
          <w:rFonts w:ascii="Palatino Linotype" w:hAnsi="Palatino Linotype" w:cs="Tahoma"/>
          <w:sz w:val="22"/>
          <w:szCs w:val="22"/>
          <w:lang w:val="es-ES"/>
        </w:rPr>
        <w:t>doce de septiembre</w:t>
      </w:r>
      <w:r w:rsidRPr="002E1218">
        <w:rPr>
          <w:rFonts w:ascii="Palatino Linotype" w:hAnsi="Palatino Linotype" w:cs="Tahoma"/>
          <w:sz w:val="22"/>
          <w:szCs w:val="22"/>
          <w:lang w:val="es-ES"/>
        </w:rPr>
        <w:t xml:space="preserve">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w:t>
      </w:r>
      <w:r w:rsidR="00173E8F">
        <w:rPr>
          <w:rFonts w:ascii="Palatino Linotype" w:hAnsi="Palatino Linotype" w:cs="Tahoma"/>
          <w:sz w:val="22"/>
          <w:szCs w:val="22"/>
          <w:lang w:val="es-ES"/>
        </w:rPr>
        <w:t>el</w:t>
      </w:r>
      <w:r w:rsidRPr="002E1218">
        <w:rPr>
          <w:rFonts w:ascii="Palatino Linotype" w:hAnsi="Palatino Linotype" w:cs="Tahoma"/>
          <w:sz w:val="22"/>
          <w:szCs w:val="22"/>
          <w:lang w:val="es-ES"/>
        </w:rPr>
        <w:t xml:space="preserve"> recurso de revisión que nos ocupa; acto que fue notificado a las partes, mediante el Sistema de Acceso a la Información Mexiquense (SAIMEX), el</w:t>
      </w:r>
      <w:r w:rsidR="00AF4610">
        <w:rPr>
          <w:rFonts w:ascii="Palatino Linotype" w:hAnsi="Palatino Linotype" w:cs="Tahoma"/>
          <w:sz w:val="22"/>
          <w:szCs w:val="22"/>
          <w:lang w:val="es-ES"/>
        </w:rPr>
        <w:t xml:space="preserve"> </w:t>
      </w:r>
      <w:r w:rsidR="00173E8F">
        <w:rPr>
          <w:rFonts w:ascii="Palatino Linotype" w:hAnsi="Palatino Linotype" w:cs="Tahoma"/>
          <w:sz w:val="22"/>
          <w:szCs w:val="22"/>
          <w:lang w:val="es-ES"/>
        </w:rPr>
        <w:t>mismo día</w:t>
      </w:r>
      <w:r w:rsidRPr="002E1218">
        <w:rPr>
          <w:rFonts w:ascii="Palatino Linotype" w:hAnsi="Palatino Linotype" w:cs="Tahoma"/>
          <w:sz w:val="22"/>
          <w:szCs w:val="22"/>
          <w:lang w:val="es-ES"/>
        </w:rPr>
        <w:t>.</w:t>
      </w:r>
    </w:p>
    <w:p w:rsidR="00AF4C29" w:rsidRPr="002E1218" w:rsidRDefault="00AF4C29" w:rsidP="00336D6C">
      <w:pPr>
        <w:spacing w:line="360" w:lineRule="auto"/>
        <w:contextualSpacing/>
        <w:jc w:val="both"/>
        <w:rPr>
          <w:rFonts w:ascii="Palatino Linotype" w:hAnsi="Palatino Linotype" w:cs="Tahoma"/>
          <w:b/>
          <w:sz w:val="22"/>
          <w:szCs w:val="22"/>
        </w:rPr>
      </w:pPr>
    </w:p>
    <w:p w:rsidR="0071508D" w:rsidRDefault="00AF4C29" w:rsidP="00336D6C">
      <w:pPr>
        <w:spacing w:line="360" w:lineRule="auto"/>
        <w:contextualSpacing/>
        <w:jc w:val="both"/>
        <w:rPr>
          <w:rFonts w:ascii="Palatino Linotype" w:hAnsi="Palatino Linotype" w:cs="Tahoma"/>
          <w:sz w:val="22"/>
          <w:szCs w:val="22"/>
        </w:rPr>
      </w:pPr>
      <w:r w:rsidRPr="00173E8F">
        <w:rPr>
          <w:rFonts w:ascii="Palatino Linotype" w:hAnsi="Palatino Linotype" w:cs="Tahoma"/>
          <w:b/>
          <w:sz w:val="22"/>
          <w:szCs w:val="22"/>
        </w:rPr>
        <w:t xml:space="preserve">f) </w:t>
      </w:r>
      <w:r w:rsidR="00B31222" w:rsidRPr="00173E8F">
        <w:rPr>
          <w:rFonts w:ascii="Palatino Linotype" w:hAnsi="Palatino Linotype" w:cs="Tahoma"/>
          <w:b/>
          <w:sz w:val="22"/>
          <w:szCs w:val="22"/>
        </w:rPr>
        <w:t>Cierre de instrucción</w:t>
      </w:r>
      <w:r w:rsidR="008E5077" w:rsidRPr="00173E8F">
        <w:rPr>
          <w:rFonts w:ascii="Palatino Linotype" w:hAnsi="Palatino Linotype" w:cs="Tahoma"/>
          <w:b/>
          <w:sz w:val="22"/>
          <w:szCs w:val="22"/>
        </w:rPr>
        <w:t>.</w:t>
      </w:r>
      <w:r w:rsidR="00B31222" w:rsidRPr="002E1218">
        <w:rPr>
          <w:rFonts w:ascii="Palatino Linotype" w:hAnsi="Palatino Linotype" w:cs="Tahoma"/>
          <w:sz w:val="22"/>
          <w:szCs w:val="22"/>
        </w:rPr>
        <w:t xml:space="preserve"> </w:t>
      </w:r>
    </w:p>
    <w:p w:rsidR="00E622D5" w:rsidRPr="002E1218" w:rsidRDefault="00E622D5" w:rsidP="00336D6C">
      <w:pPr>
        <w:spacing w:line="360" w:lineRule="auto"/>
        <w:contextualSpacing/>
        <w:jc w:val="both"/>
        <w:rPr>
          <w:rFonts w:ascii="Palatino Linotype" w:hAnsi="Palatino Linotype" w:cs="Tahoma"/>
          <w:sz w:val="22"/>
          <w:szCs w:val="22"/>
        </w:rPr>
      </w:pPr>
    </w:p>
    <w:p w:rsidR="00B31222" w:rsidRPr="002E1218" w:rsidRDefault="00B31222" w:rsidP="00336D6C">
      <w:pPr>
        <w:spacing w:line="360" w:lineRule="auto"/>
        <w:contextualSpacing/>
        <w:jc w:val="both"/>
        <w:rPr>
          <w:rFonts w:ascii="Palatino Linotype" w:hAnsi="Palatino Linotype" w:cs="Tahoma"/>
          <w:sz w:val="22"/>
          <w:szCs w:val="22"/>
        </w:rPr>
      </w:pPr>
      <w:r w:rsidRPr="002E1218">
        <w:rPr>
          <w:rFonts w:ascii="Palatino Linotype" w:hAnsi="Palatino Linotype" w:cs="Tahoma"/>
          <w:sz w:val="22"/>
          <w:szCs w:val="22"/>
        </w:rPr>
        <w:t xml:space="preserve">El </w:t>
      </w:r>
      <w:r w:rsidR="00BD3B29">
        <w:rPr>
          <w:rFonts w:ascii="Palatino Linotype" w:hAnsi="Palatino Linotype" w:cs="Tahoma"/>
          <w:sz w:val="22"/>
          <w:szCs w:val="22"/>
        </w:rPr>
        <w:t>doce de septiembre</w:t>
      </w:r>
      <w:r w:rsidR="00AF4C29" w:rsidRPr="002E1218">
        <w:rPr>
          <w:rFonts w:ascii="Palatino Linotype" w:hAnsi="Palatino Linotype" w:cs="Tahoma"/>
          <w:sz w:val="22"/>
          <w:szCs w:val="22"/>
        </w:rPr>
        <w:t xml:space="preserve"> de dos mil diecinueve</w:t>
      </w:r>
      <w:r w:rsidRPr="002E1218">
        <w:rPr>
          <w:rFonts w:ascii="Palatino Linotype" w:hAnsi="Palatino Linotype" w:cs="Tahoma"/>
          <w:sz w:val="22"/>
          <w:szCs w:val="22"/>
        </w:rPr>
        <w:t>, al no existir diligencias pendientes por desahogar, se emitió el acuerdo por medio del cual se declaró cerrada la instrucción</w:t>
      </w:r>
      <w:r w:rsidR="008839DA" w:rsidRPr="002E1218">
        <w:rPr>
          <w:rFonts w:ascii="Palatino Linotype" w:hAnsi="Palatino Linotype" w:cs="Tahoma"/>
          <w:sz w:val="22"/>
          <w:szCs w:val="22"/>
        </w:rPr>
        <w:t xml:space="preserve"> y se determinó</w:t>
      </w:r>
      <w:r w:rsidR="00CF43D5" w:rsidRPr="002E1218">
        <w:rPr>
          <w:rFonts w:ascii="Palatino Linotype" w:hAnsi="Palatino Linotype" w:cs="Tahoma"/>
          <w:sz w:val="22"/>
          <w:szCs w:val="22"/>
        </w:rPr>
        <w:t xml:space="preserve"> </w:t>
      </w:r>
      <w:r w:rsidR="008839DA" w:rsidRPr="002E1218">
        <w:rPr>
          <w:rFonts w:ascii="Palatino Linotype" w:hAnsi="Palatino Linotype" w:cs="Tahoma"/>
          <w:sz w:val="22"/>
          <w:szCs w:val="22"/>
        </w:rPr>
        <w:t xml:space="preserve">pasar </w:t>
      </w:r>
      <w:r w:rsidRPr="002E1218">
        <w:rPr>
          <w:rFonts w:ascii="Palatino Linotype" w:hAnsi="Palatino Linotype" w:cs="Tahoma"/>
          <w:sz w:val="22"/>
          <w:szCs w:val="22"/>
        </w:rPr>
        <w:t>el expediente a resolución, en términos de lo dispuesto en los artículos 1</w:t>
      </w:r>
      <w:r w:rsidR="0048519E" w:rsidRPr="002E1218">
        <w:rPr>
          <w:rFonts w:ascii="Palatino Linotype" w:hAnsi="Palatino Linotype" w:cs="Tahoma"/>
          <w:sz w:val="22"/>
          <w:szCs w:val="22"/>
        </w:rPr>
        <w:t>85</w:t>
      </w:r>
      <w:r w:rsidRPr="002E1218">
        <w:rPr>
          <w:rFonts w:ascii="Palatino Linotype" w:hAnsi="Palatino Linotype" w:cs="Tahoma"/>
          <w:sz w:val="22"/>
          <w:szCs w:val="22"/>
        </w:rPr>
        <w:t xml:space="preserve">, fracciones VI y VIII de la Ley </w:t>
      </w:r>
      <w:r w:rsidR="0048519E" w:rsidRPr="002E1218">
        <w:rPr>
          <w:rFonts w:ascii="Palatino Linotype" w:hAnsi="Palatino Linotype" w:cs="Tahoma"/>
          <w:sz w:val="22"/>
          <w:szCs w:val="22"/>
        </w:rPr>
        <w:t>de Transparencia y Acceso a la Información Pública del Estado de México y Municipios</w:t>
      </w:r>
      <w:r w:rsidRPr="002E1218">
        <w:rPr>
          <w:rFonts w:ascii="Palatino Linotype" w:hAnsi="Palatino Linotype" w:cs="Tahoma"/>
          <w:sz w:val="22"/>
          <w:szCs w:val="22"/>
        </w:rPr>
        <w:t xml:space="preserve">, mismo que fue notificado a las partes </w:t>
      </w:r>
      <w:r w:rsidR="0048519E" w:rsidRPr="002E1218">
        <w:rPr>
          <w:rFonts w:ascii="Palatino Linotype" w:hAnsi="Palatino Linotype" w:cs="Tahoma"/>
          <w:sz w:val="22"/>
          <w:szCs w:val="22"/>
        </w:rPr>
        <w:t xml:space="preserve">el mismo día, a través del </w:t>
      </w:r>
      <w:r w:rsidR="000313A7" w:rsidRPr="002E1218">
        <w:rPr>
          <w:rFonts w:ascii="Palatino Linotype" w:hAnsi="Palatino Linotype" w:cs="Tahoma"/>
          <w:sz w:val="22"/>
          <w:szCs w:val="22"/>
          <w:lang w:val="es-ES"/>
        </w:rPr>
        <w:t>Sistema de Acceso a la Información Mexiquense (SAIMEX)</w:t>
      </w:r>
      <w:r w:rsidR="006A026A" w:rsidRPr="002E1218">
        <w:rPr>
          <w:rFonts w:ascii="Palatino Linotype" w:hAnsi="Palatino Linotype" w:cs="Tahoma"/>
          <w:sz w:val="22"/>
          <w:szCs w:val="22"/>
        </w:rPr>
        <w:t>.</w:t>
      </w:r>
    </w:p>
    <w:p w:rsidR="00B31222" w:rsidRPr="002E1218" w:rsidRDefault="00B31222" w:rsidP="00336D6C">
      <w:pPr>
        <w:spacing w:line="360" w:lineRule="auto"/>
        <w:contextualSpacing/>
        <w:jc w:val="both"/>
        <w:rPr>
          <w:rFonts w:ascii="Palatino Linotype" w:hAnsi="Palatino Linotype" w:cs="Tahoma"/>
          <w:b/>
          <w:sz w:val="22"/>
          <w:szCs w:val="22"/>
        </w:rPr>
      </w:pPr>
    </w:p>
    <w:p w:rsidR="004F2D88" w:rsidRPr="002E1218" w:rsidRDefault="004F2D88" w:rsidP="00336D6C">
      <w:pPr>
        <w:spacing w:line="360" w:lineRule="auto"/>
        <w:contextualSpacing/>
        <w:jc w:val="both"/>
        <w:rPr>
          <w:rFonts w:ascii="Palatino Linotype" w:hAnsi="Palatino Linotype" w:cs="Tahoma"/>
          <w:color w:val="000000"/>
          <w:sz w:val="22"/>
          <w:szCs w:val="22"/>
        </w:rPr>
      </w:pPr>
      <w:r w:rsidRPr="002E1218">
        <w:rPr>
          <w:rFonts w:ascii="Palatino Linotype" w:hAnsi="Palatino Linotype" w:cs="Tahoma"/>
          <w:color w:val="000000"/>
          <w:sz w:val="22"/>
          <w:szCs w:val="22"/>
        </w:rPr>
        <w:lastRenderedPageBreak/>
        <w:t xml:space="preserve">En </w:t>
      </w:r>
      <w:r w:rsidR="00367F82" w:rsidRPr="002E1218">
        <w:rPr>
          <w:rFonts w:ascii="Palatino Linotype" w:hAnsi="Palatino Linotype" w:cs="Tahoma"/>
          <w:color w:val="000000"/>
          <w:sz w:val="22"/>
          <w:szCs w:val="22"/>
        </w:rPr>
        <w:t>razón de que fue debidamente su</w:t>
      </w:r>
      <w:r w:rsidRPr="002E1218">
        <w:rPr>
          <w:rFonts w:ascii="Palatino Linotype" w:hAnsi="Palatino Linotype" w:cs="Tahoma"/>
          <w:color w:val="000000"/>
          <w:sz w:val="22"/>
          <w:szCs w:val="22"/>
        </w:rPr>
        <w:t xml:space="preserve">stanciado el expediente </w:t>
      </w:r>
      <w:r w:rsidR="00367F82" w:rsidRPr="002E1218">
        <w:rPr>
          <w:rFonts w:ascii="Palatino Linotype" w:hAnsi="Palatino Linotype" w:cs="Tahoma"/>
          <w:color w:val="000000"/>
          <w:sz w:val="22"/>
          <w:szCs w:val="22"/>
        </w:rPr>
        <w:t xml:space="preserve">electrónico </w:t>
      </w:r>
      <w:r w:rsidRPr="002E1218">
        <w:rPr>
          <w:rFonts w:ascii="Palatino Linotype" w:hAnsi="Palatino Linotype" w:cs="Tahoma"/>
          <w:color w:val="000000"/>
          <w:sz w:val="22"/>
          <w:szCs w:val="22"/>
        </w:rPr>
        <w:t>y no exist</w:t>
      </w:r>
      <w:r w:rsidR="00367F82" w:rsidRPr="002E1218">
        <w:rPr>
          <w:rFonts w:ascii="Palatino Linotype" w:hAnsi="Palatino Linotype" w:cs="Tahoma"/>
          <w:color w:val="000000"/>
          <w:sz w:val="22"/>
          <w:szCs w:val="22"/>
        </w:rPr>
        <w:t>e</w:t>
      </w:r>
      <w:r w:rsidRPr="002E1218">
        <w:rPr>
          <w:rFonts w:ascii="Palatino Linotype" w:hAnsi="Palatino Linotype" w:cs="Tahoma"/>
          <w:color w:val="000000"/>
          <w:sz w:val="22"/>
          <w:szCs w:val="22"/>
        </w:rPr>
        <w:t xml:space="preserve"> dilige</w:t>
      </w:r>
      <w:r w:rsidR="00367F82" w:rsidRPr="002E1218">
        <w:rPr>
          <w:rFonts w:ascii="Palatino Linotype" w:hAnsi="Palatino Linotype" w:cs="Tahoma"/>
          <w:color w:val="000000"/>
          <w:sz w:val="22"/>
          <w:szCs w:val="22"/>
        </w:rPr>
        <w:t xml:space="preserve">ncia pendiente de desahogo, se </w:t>
      </w:r>
      <w:r w:rsidRPr="002E1218">
        <w:rPr>
          <w:rFonts w:ascii="Palatino Linotype" w:hAnsi="Palatino Linotype" w:cs="Tahoma"/>
          <w:color w:val="000000"/>
          <w:sz w:val="22"/>
          <w:szCs w:val="22"/>
        </w:rPr>
        <w:t>emit</w:t>
      </w:r>
      <w:r w:rsidR="00367F82" w:rsidRPr="002E1218">
        <w:rPr>
          <w:rFonts w:ascii="Palatino Linotype" w:hAnsi="Palatino Linotype" w:cs="Tahoma"/>
          <w:color w:val="000000"/>
          <w:sz w:val="22"/>
          <w:szCs w:val="22"/>
        </w:rPr>
        <w:t>e</w:t>
      </w:r>
      <w:r w:rsidRPr="002E1218">
        <w:rPr>
          <w:rFonts w:ascii="Palatino Linotype" w:hAnsi="Palatino Linotype" w:cs="Tahoma"/>
          <w:color w:val="000000"/>
          <w:sz w:val="22"/>
          <w:szCs w:val="22"/>
        </w:rPr>
        <w:t xml:space="preserve"> la resolución que conforme a Derecho proceda, de acuerdo a l</w:t>
      </w:r>
      <w:r w:rsidR="009A620E" w:rsidRPr="002E1218">
        <w:rPr>
          <w:rFonts w:ascii="Palatino Linotype" w:hAnsi="Palatino Linotype" w:cs="Tahoma"/>
          <w:color w:val="000000"/>
          <w:sz w:val="22"/>
          <w:szCs w:val="22"/>
        </w:rPr>
        <w:t>o</w:t>
      </w:r>
      <w:r w:rsidRPr="002E1218">
        <w:rPr>
          <w:rFonts w:ascii="Palatino Linotype" w:hAnsi="Palatino Linotype" w:cs="Tahoma"/>
          <w:color w:val="000000"/>
          <w:sz w:val="22"/>
          <w:szCs w:val="22"/>
        </w:rPr>
        <w:t xml:space="preserve">s siguientes: </w:t>
      </w:r>
    </w:p>
    <w:p w:rsidR="00177532" w:rsidRPr="002E1218" w:rsidRDefault="00177532" w:rsidP="00336D6C">
      <w:pPr>
        <w:spacing w:line="360" w:lineRule="auto"/>
        <w:ind w:left="708" w:hanging="708"/>
        <w:contextualSpacing/>
        <w:jc w:val="center"/>
        <w:rPr>
          <w:rFonts w:ascii="Palatino Linotype" w:eastAsia="Calibri" w:hAnsi="Palatino Linotype" w:cs="Tahoma"/>
          <w:b/>
          <w:bCs/>
          <w:sz w:val="22"/>
          <w:szCs w:val="22"/>
          <w:lang w:val="es-ES" w:eastAsia="en-US"/>
        </w:rPr>
      </w:pPr>
      <w:r w:rsidRPr="002E1218">
        <w:rPr>
          <w:rFonts w:ascii="Palatino Linotype" w:eastAsia="Calibri" w:hAnsi="Palatino Linotype" w:cs="Tahoma"/>
          <w:b/>
          <w:bCs/>
          <w:sz w:val="22"/>
          <w:szCs w:val="22"/>
          <w:lang w:val="es-ES" w:eastAsia="en-US"/>
        </w:rPr>
        <w:t>C O N S I D E R A N D O S</w:t>
      </w:r>
    </w:p>
    <w:p w:rsidR="00177532" w:rsidRPr="002E1218" w:rsidRDefault="00177532" w:rsidP="00336D6C">
      <w:pPr>
        <w:spacing w:line="360" w:lineRule="auto"/>
        <w:contextualSpacing/>
        <w:jc w:val="both"/>
        <w:rPr>
          <w:rFonts w:ascii="Palatino Linotype" w:eastAsia="Calibri" w:hAnsi="Palatino Linotype" w:cs="Tahoma"/>
          <w:b/>
          <w:bCs/>
          <w:sz w:val="22"/>
          <w:szCs w:val="22"/>
          <w:lang w:val="es-ES" w:eastAsia="en-US"/>
        </w:rPr>
      </w:pPr>
    </w:p>
    <w:p w:rsidR="00177532" w:rsidRPr="002E1218" w:rsidRDefault="00177532" w:rsidP="00336D6C">
      <w:pPr>
        <w:spacing w:line="360" w:lineRule="auto"/>
        <w:contextualSpacing/>
        <w:jc w:val="both"/>
        <w:rPr>
          <w:rFonts w:ascii="Palatino Linotype" w:eastAsia="Calibri" w:hAnsi="Palatino Linotype" w:cs="Tahoma"/>
          <w:b/>
          <w:bCs/>
          <w:sz w:val="22"/>
          <w:szCs w:val="22"/>
          <w:lang w:val="es-ES" w:eastAsia="en-US"/>
        </w:rPr>
      </w:pPr>
      <w:r w:rsidRPr="002E1218">
        <w:rPr>
          <w:rFonts w:ascii="Palatino Linotype" w:eastAsia="Calibri" w:hAnsi="Palatino Linotype" w:cs="Tahoma"/>
          <w:b/>
          <w:bCs/>
          <w:sz w:val="22"/>
          <w:szCs w:val="22"/>
          <w:lang w:val="es-ES" w:eastAsia="en-US"/>
        </w:rPr>
        <w:t xml:space="preserve">PRIMERA. Competencia. </w:t>
      </w:r>
    </w:p>
    <w:p w:rsidR="00177532" w:rsidRPr="002E1218" w:rsidRDefault="00177532" w:rsidP="00336D6C">
      <w:pPr>
        <w:spacing w:line="360" w:lineRule="auto"/>
        <w:contextualSpacing/>
        <w:jc w:val="both"/>
        <w:rPr>
          <w:rFonts w:ascii="Palatino Linotype" w:eastAsia="Calibri" w:hAnsi="Palatino Linotype" w:cs="Tahoma"/>
          <w:b/>
          <w:bCs/>
          <w:sz w:val="22"/>
          <w:szCs w:val="22"/>
          <w:lang w:val="es-ES" w:eastAsia="en-US"/>
        </w:rPr>
      </w:pPr>
    </w:p>
    <w:p w:rsidR="00177532" w:rsidRPr="002E1218" w:rsidRDefault="00177532" w:rsidP="00336D6C">
      <w:pPr>
        <w:spacing w:line="360" w:lineRule="auto"/>
        <w:contextualSpacing/>
        <w:jc w:val="both"/>
        <w:rPr>
          <w:rFonts w:ascii="Palatino Linotype" w:eastAsia="Calibri" w:hAnsi="Palatino Linotype" w:cs="Tahoma"/>
          <w:bCs/>
          <w:sz w:val="22"/>
          <w:szCs w:val="22"/>
          <w:lang w:val="es-ES" w:eastAsia="en-US"/>
        </w:rPr>
      </w:pPr>
      <w:r w:rsidRPr="002E1218">
        <w:rPr>
          <w:rFonts w:ascii="Palatino Linotype" w:eastAsia="Calibri" w:hAnsi="Palatino Linotype" w:cs="Tahoma"/>
          <w:bCs/>
          <w:sz w:val="22"/>
          <w:szCs w:val="22"/>
          <w:lang w:val="es-ES" w:eastAsia="en-US"/>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w:t>
      </w:r>
      <w:r w:rsidR="00B27D0A">
        <w:rPr>
          <w:rFonts w:ascii="Palatino Linotype" w:eastAsia="Calibri" w:hAnsi="Palatino Linotype" w:cs="Tahoma"/>
          <w:bCs/>
          <w:sz w:val="22"/>
          <w:szCs w:val="22"/>
          <w:lang w:val="es-ES" w:eastAsia="en-US"/>
        </w:rPr>
        <w:t xml:space="preserve"> segundo</w:t>
      </w:r>
      <w:r w:rsidRPr="002E1218">
        <w:rPr>
          <w:rFonts w:ascii="Palatino Linotype" w:eastAsia="Calibri" w:hAnsi="Palatino Linotype" w:cs="Tahoma"/>
          <w:bCs/>
          <w:sz w:val="22"/>
          <w:szCs w:val="22"/>
          <w:lang w:val="es-ES" w:eastAsia="en-US"/>
        </w:rPr>
        <w:t xml:space="preserve">, vigésimo </w:t>
      </w:r>
      <w:r w:rsidR="00B27D0A">
        <w:rPr>
          <w:rFonts w:ascii="Palatino Linotype" w:eastAsia="Calibri" w:hAnsi="Palatino Linotype" w:cs="Tahoma"/>
          <w:bCs/>
          <w:sz w:val="22"/>
          <w:szCs w:val="22"/>
          <w:lang w:val="es-ES" w:eastAsia="en-US"/>
        </w:rPr>
        <w:t>tercero</w:t>
      </w:r>
      <w:r w:rsidRPr="002E1218">
        <w:rPr>
          <w:rFonts w:ascii="Palatino Linotype" w:eastAsia="Calibri" w:hAnsi="Palatino Linotype" w:cs="Tahoma"/>
          <w:bCs/>
          <w:sz w:val="22"/>
          <w:szCs w:val="22"/>
          <w:lang w:val="es-ES" w:eastAsia="en-US"/>
        </w:rPr>
        <w:t xml:space="preserve"> y vigésimo </w:t>
      </w:r>
      <w:r w:rsidR="00B27D0A">
        <w:rPr>
          <w:rFonts w:ascii="Palatino Linotype" w:eastAsia="Calibri" w:hAnsi="Palatino Linotype" w:cs="Tahoma"/>
          <w:bCs/>
          <w:sz w:val="22"/>
          <w:szCs w:val="22"/>
          <w:lang w:val="es-ES" w:eastAsia="en-US"/>
        </w:rPr>
        <w:t>cuarto</w:t>
      </w:r>
      <w:r w:rsidRPr="002E1218">
        <w:rPr>
          <w:rFonts w:ascii="Palatino Linotype" w:eastAsia="Calibri" w:hAnsi="Palatino Linotype" w:cs="Tahoma"/>
          <w:bCs/>
          <w:sz w:val="22"/>
          <w:szCs w:val="22"/>
          <w:lang w:val="es-ES" w:eastAsia="en-US"/>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00E622D5" w:rsidRPr="002E1218" w:rsidRDefault="00E622D5" w:rsidP="00336D6C">
      <w:pPr>
        <w:autoSpaceDE w:val="0"/>
        <w:autoSpaceDN w:val="0"/>
        <w:adjustRightInd w:val="0"/>
        <w:spacing w:line="360" w:lineRule="auto"/>
        <w:contextualSpacing/>
        <w:jc w:val="both"/>
        <w:rPr>
          <w:rFonts w:ascii="Palatino Linotype" w:eastAsia="Calibri" w:hAnsi="Palatino Linotype" w:cs="Tahoma"/>
          <w:b/>
          <w:color w:val="000000"/>
          <w:sz w:val="22"/>
          <w:szCs w:val="22"/>
          <w:lang w:val="es-ES" w:eastAsia="es-MX"/>
        </w:rPr>
      </w:pPr>
    </w:p>
    <w:p w:rsidR="00E622D5" w:rsidRPr="00F0768B" w:rsidRDefault="00E622D5" w:rsidP="00336D6C">
      <w:pPr>
        <w:autoSpaceDE w:val="0"/>
        <w:autoSpaceDN w:val="0"/>
        <w:adjustRightInd w:val="0"/>
        <w:spacing w:line="360" w:lineRule="auto"/>
        <w:contextualSpacing/>
        <w:jc w:val="both"/>
        <w:rPr>
          <w:rFonts w:ascii="Palatino Linotype" w:hAnsi="Palatino Linotype" w:cs="Tahoma"/>
          <w:sz w:val="22"/>
          <w:szCs w:val="22"/>
          <w:lang w:val="es-ES"/>
        </w:rPr>
      </w:pPr>
      <w:r w:rsidRPr="00F0768B">
        <w:rPr>
          <w:rFonts w:ascii="Palatino Linotype" w:eastAsia="Calibri" w:hAnsi="Palatino Linotype" w:cs="Tahoma"/>
          <w:b/>
          <w:color w:val="000000"/>
          <w:sz w:val="22"/>
          <w:szCs w:val="22"/>
          <w:lang w:val="es-ES" w:eastAsia="es-MX"/>
        </w:rPr>
        <w:t>SEGUNDO</w:t>
      </w:r>
      <w:r w:rsidRPr="00F0768B">
        <w:rPr>
          <w:rFonts w:ascii="Palatino Linotype" w:eastAsia="Calibri" w:hAnsi="Palatino Linotype" w:cs="Tahoma"/>
          <w:color w:val="000000"/>
          <w:sz w:val="22"/>
          <w:szCs w:val="22"/>
          <w:lang w:val="es-ES" w:eastAsia="es-MX"/>
        </w:rPr>
        <w:t xml:space="preserve">. </w:t>
      </w:r>
      <w:r w:rsidRPr="00F0768B">
        <w:rPr>
          <w:rFonts w:ascii="Palatino Linotype" w:hAnsi="Palatino Linotype" w:cs="Tahoma"/>
          <w:b/>
          <w:sz w:val="22"/>
          <w:szCs w:val="22"/>
          <w:lang w:val="es-ES"/>
        </w:rPr>
        <w:t>Metodología de estudio.</w:t>
      </w:r>
      <w:r w:rsidRPr="00F0768B">
        <w:rPr>
          <w:rFonts w:ascii="Palatino Linotype" w:hAnsi="Palatino Linotype" w:cs="Tahoma"/>
          <w:sz w:val="22"/>
          <w:szCs w:val="22"/>
          <w:lang w:val="es-ES"/>
        </w:rPr>
        <w:t xml:space="preserve"> </w:t>
      </w:r>
    </w:p>
    <w:p w:rsidR="00E622D5" w:rsidRPr="00F0768B" w:rsidRDefault="00E622D5" w:rsidP="00336D6C">
      <w:pPr>
        <w:autoSpaceDE w:val="0"/>
        <w:autoSpaceDN w:val="0"/>
        <w:adjustRightInd w:val="0"/>
        <w:spacing w:line="360" w:lineRule="auto"/>
        <w:contextualSpacing/>
        <w:jc w:val="both"/>
        <w:rPr>
          <w:rFonts w:ascii="Palatino Linotype" w:hAnsi="Palatino Linotype" w:cs="Tahoma"/>
          <w:sz w:val="22"/>
          <w:szCs w:val="22"/>
          <w:lang w:val="es-ES"/>
        </w:rPr>
      </w:pPr>
    </w:p>
    <w:p w:rsidR="00E622D5" w:rsidRPr="00F0768B" w:rsidRDefault="00E622D5" w:rsidP="00336D6C">
      <w:pPr>
        <w:autoSpaceDE w:val="0"/>
        <w:autoSpaceDN w:val="0"/>
        <w:adjustRightInd w:val="0"/>
        <w:spacing w:line="360" w:lineRule="auto"/>
        <w:contextualSpacing/>
        <w:jc w:val="both"/>
        <w:rPr>
          <w:rFonts w:ascii="Palatino Linotype" w:hAnsi="Palatino Linotype" w:cs="Tahoma"/>
          <w:sz w:val="22"/>
          <w:szCs w:val="22"/>
          <w:lang w:val="es-ES"/>
        </w:rPr>
      </w:pPr>
      <w:r w:rsidRPr="00F0768B">
        <w:rPr>
          <w:rFonts w:ascii="Palatino Linotype" w:hAnsi="Palatino Linotype" w:cs="Tahoma"/>
          <w:sz w:val="22"/>
          <w:szCs w:val="22"/>
          <w:lang w:val="es-ES"/>
        </w:rPr>
        <w:t xml:space="preserve">De las constancias que forman parte de los Recursos de Revisión que se analizan, se advierte que previo al estudio del fondo de la </w:t>
      </w:r>
      <w:r w:rsidRPr="00F0768B">
        <w:rPr>
          <w:rFonts w:ascii="Palatino Linotype" w:hAnsi="Palatino Linotype" w:cs="Tahoma"/>
          <w:i/>
          <w:sz w:val="22"/>
          <w:szCs w:val="22"/>
          <w:lang w:val="es-ES"/>
        </w:rPr>
        <w:t>litis</w:t>
      </w:r>
      <w:r w:rsidRPr="00F0768B">
        <w:rPr>
          <w:rFonts w:ascii="Palatino Linotype" w:hAnsi="Palatino Linotype" w:cs="Tahoma"/>
          <w:sz w:val="22"/>
          <w:szCs w:val="22"/>
          <w:lang w:val="es-ES"/>
        </w:rPr>
        <w:t>, es necesario estudiar las causales de improcedencia y sobreseimiento, para determinar lo que en Derecho proceda.</w:t>
      </w:r>
    </w:p>
    <w:p w:rsidR="00E622D5" w:rsidRPr="00F0768B" w:rsidRDefault="00E622D5" w:rsidP="00336D6C">
      <w:pPr>
        <w:autoSpaceDE w:val="0"/>
        <w:autoSpaceDN w:val="0"/>
        <w:adjustRightInd w:val="0"/>
        <w:spacing w:line="360" w:lineRule="auto"/>
        <w:contextualSpacing/>
        <w:jc w:val="both"/>
        <w:rPr>
          <w:rFonts w:ascii="Palatino Linotype" w:hAnsi="Palatino Linotype" w:cs="Tahoma"/>
          <w:sz w:val="22"/>
          <w:szCs w:val="22"/>
          <w:lang w:val="es-ES"/>
        </w:rPr>
      </w:pPr>
    </w:p>
    <w:p w:rsidR="00E622D5" w:rsidRPr="00F0768B" w:rsidRDefault="00E622D5" w:rsidP="00336D6C">
      <w:pPr>
        <w:pStyle w:val="Prrafodelista"/>
        <w:numPr>
          <w:ilvl w:val="0"/>
          <w:numId w:val="6"/>
        </w:numPr>
        <w:autoSpaceDE w:val="0"/>
        <w:autoSpaceDN w:val="0"/>
        <w:adjustRightInd w:val="0"/>
        <w:spacing w:line="360" w:lineRule="auto"/>
        <w:jc w:val="both"/>
        <w:rPr>
          <w:rFonts w:ascii="Palatino Linotype" w:eastAsia="Calibri" w:hAnsi="Palatino Linotype" w:cs="Tahoma"/>
          <w:color w:val="000000"/>
          <w:szCs w:val="22"/>
          <w:lang w:val="es-ES" w:eastAsia="es-MX"/>
        </w:rPr>
      </w:pPr>
      <w:r w:rsidRPr="00F0768B">
        <w:rPr>
          <w:rFonts w:ascii="Palatino Linotype" w:eastAsia="Calibri" w:hAnsi="Palatino Linotype" w:cs="Tahoma"/>
          <w:b/>
          <w:color w:val="000000"/>
          <w:szCs w:val="22"/>
          <w:lang w:val="es-ES" w:eastAsia="es-MX"/>
        </w:rPr>
        <w:t>Causales de improcedencia.</w:t>
      </w:r>
      <w:r w:rsidRPr="00F0768B">
        <w:rPr>
          <w:rFonts w:ascii="Palatino Linotype" w:eastAsia="Calibri" w:hAnsi="Palatino Linotype" w:cs="Tahoma"/>
          <w:color w:val="000000"/>
          <w:szCs w:val="22"/>
          <w:lang w:val="es-ES" w:eastAsia="es-MX"/>
        </w:rPr>
        <w:t xml:space="preserve"> </w:t>
      </w:r>
    </w:p>
    <w:p w:rsidR="00E622D5" w:rsidRPr="00F0768B" w:rsidRDefault="00E622D5" w:rsidP="00336D6C">
      <w:pPr>
        <w:spacing w:line="360" w:lineRule="auto"/>
        <w:contextualSpacing/>
        <w:jc w:val="both"/>
        <w:rPr>
          <w:rFonts w:ascii="Palatino Linotype" w:hAnsi="Palatino Linotype" w:cs="Tahoma"/>
          <w:sz w:val="22"/>
          <w:szCs w:val="22"/>
        </w:rPr>
      </w:pPr>
      <w:r w:rsidRPr="00F0768B">
        <w:rPr>
          <w:rFonts w:ascii="Palatino Linotype" w:hAnsi="Palatino Linotype" w:cs="Tahoma"/>
          <w:sz w:val="22"/>
          <w:szCs w:val="22"/>
        </w:rPr>
        <w:lastRenderedPageBreak/>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E622D5" w:rsidRPr="00F0768B" w:rsidRDefault="00E622D5" w:rsidP="00336D6C">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p>
    <w:p w:rsidR="00E622D5" w:rsidRPr="00F0768B" w:rsidRDefault="00E622D5" w:rsidP="00336D6C">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r w:rsidRPr="00F0768B">
        <w:rPr>
          <w:rFonts w:ascii="Palatino Linotype" w:eastAsia="Calibri" w:hAnsi="Palatino Linotype" w:cs="Tahoma"/>
          <w:color w:val="000000"/>
          <w:sz w:val="22"/>
          <w:szCs w:val="22"/>
          <w:lang w:val="es-ES"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rsidR="00E622D5" w:rsidRPr="00F0768B" w:rsidRDefault="00E622D5" w:rsidP="00336D6C">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p>
    <w:p w:rsidR="00E622D5" w:rsidRPr="00F0768B" w:rsidRDefault="00E622D5" w:rsidP="00336D6C">
      <w:pPr>
        <w:autoSpaceDE w:val="0"/>
        <w:autoSpaceDN w:val="0"/>
        <w:adjustRightInd w:val="0"/>
        <w:spacing w:line="360" w:lineRule="auto"/>
        <w:contextualSpacing/>
        <w:jc w:val="both"/>
        <w:rPr>
          <w:rFonts w:ascii="Palatino Linotype" w:hAnsi="Palatino Linotype" w:cs="Tahoma"/>
          <w:sz w:val="22"/>
          <w:szCs w:val="22"/>
          <w:lang w:val="es-ES"/>
        </w:rPr>
      </w:pPr>
      <w:r w:rsidRPr="00F0768B">
        <w:rPr>
          <w:rFonts w:ascii="Palatino Linotype" w:eastAsia="Calibri" w:hAnsi="Palatino Linotype" w:cs="Tahoma"/>
          <w:color w:val="000000"/>
          <w:sz w:val="22"/>
          <w:szCs w:val="22"/>
          <w:lang w:val="es-ES" w:eastAsia="es-MX"/>
        </w:rPr>
        <w:t xml:space="preserve">En los asuntos que nos ocupan, no se actualiza ninguna de las causales de improcedencia establecidas en el ordenamiento jurídico previamente señalado, toda vez que este Instituto no tiene conocimiento </w:t>
      </w:r>
      <w:r w:rsidRPr="00F0768B">
        <w:rPr>
          <w:rFonts w:ascii="Palatino Linotype" w:hAnsi="Palatino Linotype" w:cs="Tahoma"/>
          <w:sz w:val="22"/>
          <w:szCs w:val="22"/>
          <w:lang w:val="es-ES"/>
        </w:rPr>
        <w:t>de que se encuentre en trámite algún medio de defensa presentado por el Recurrente ante otra instancia; no existió prevención alguna; la veracidad de las respuestas no formó parte de los agravios; ni se realizó una consulta o ampliación a los alcances de los requerimientos informativos.</w:t>
      </w:r>
    </w:p>
    <w:p w:rsidR="00E622D5" w:rsidRPr="00F0768B" w:rsidRDefault="00E622D5" w:rsidP="00336D6C">
      <w:pPr>
        <w:autoSpaceDE w:val="0"/>
        <w:autoSpaceDN w:val="0"/>
        <w:adjustRightInd w:val="0"/>
        <w:spacing w:line="360" w:lineRule="auto"/>
        <w:contextualSpacing/>
        <w:jc w:val="both"/>
        <w:rPr>
          <w:rFonts w:ascii="Palatino Linotype" w:hAnsi="Palatino Linotype" w:cs="Tahoma"/>
          <w:sz w:val="22"/>
          <w:szCs w:val="22"/>
          <w:lang w:val="es-ES"/>
        </w:rPr>
      </w:pPr>
    </w:p>
    <w:p w:rsidR="00E622D5" w:rsidRPr="00F0768B" w:rsidRDefault="00E622D5" w:rsidP="00336D6C">
      <w:pPr>
        <w:autoSpaceDE w:val="0"/>
        <w:autoSpaceDN w:val="0"/>
        <w:adjustRightInd w:val="0"/>
        <w:spacing w:line="360" w:lineRule="auto"/>
        <w:contextualSpacing/>
        <w:jc w:val="both"/>
        <w:rPr>
          <w:rFonts w:ascii="Palatino Linotype" w:hAnsi="Palatino Linotype" w:cs="Tahoma"/>
          <w:sz w:val="22"/>
          <w:szCs w:val="22"/>
          <w:lang w:val="es-ES"/>
        </w:rPr>
      </w:pPr>
      <w:r w:rsidRPr="00F0768B">
        <w:rPr>
          <w:rFonts w:ascii="Palatino Linotype" w:hAnsi="Palatino Linotype" w:cs="Tahoma"/>
          <w:sz w:val="22"/>
          <w:szCs w:val="22"/>
          <w:lang w:val="es-ES"/>
        </w:rPr>
        <w:t xml:space="preserve">Aunado a lo anterior, se observa que los medios de impugnación fueron presentados en tiempo, toda vez que ante la ausencia de la respuesta del Sujeto Obligado, se constituye la </w:t>
      </w:r>
      <w:r w:rsidRPr="00F0768B">
        <w:rPr>
          <w:rFonts w:ascii="Palatino Linotype" w:hAnsi="Palatino Linotype" w:cs="Tahoma"/>
          <w:b/>
          <w:i/>
          <w:sz w:val="22"/>
          <w:szCs w:val="22"/>
          <w:lang w:val="es-ES"/>
        </w:rPr>
        <w:t xml:space="preserve">negativa ficta, </w:t>
      </w:r>
      <w:r w:rsidRPr="00F0768B">
        <w:rPr>
          <w:rFonts w:ascii="Palatino Linotype" w:hAnsi="Palatino Linotype" w:cs="Tahoma"/>
          <w:sz w:val="22"/>
          <w:szCs w:val="22"/>
          <w:lang w:val="es-ES"/>
        </w:rPr>
        <w:t>que genera la posibilidad de los particulares de interponer un medio de impugnación ante tal omisión, en cualquier momento, conforme a lo establecido en los artículos 166 y 178, párrafo segundo de la Ley de Transparencia y Acceso a la Información Pública del Estado de México y Municipios.</w:t>
      </w:r>
    </w:p>
    <w:p w:rsidR="00E622D5" w:rsidRPr="00F0768B" w:rsidRDefault="00E622D5" w:rsidP="00336D6C">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p>
    <w:p w:rsidR="00E622D5" w:rsidRPr="00F0768B" w:rsidRDefault="00E622D5" w:rsidP="00336D6C">
      <w:pPr>
        <w:widowControl w:val="0"/>
        <w:spacing w:line="360" w:lineRule="auto"/>
        <w:contextualSpacing/>
        <w:jc w:val="both"/>
        <w:rPr>
          <w:rFonts w:ascii="Palatino Linotype" w:hAnsi="Palatino Linotype" w:cs="Tahoma"/>
          <w:b/>
          <w:sz w:val="22"/>
          <w:szCs w:val="22"/>
          <w:lang w:val="es-ES"/>
        </w:rPr>
      </w:pPr>
      <w:r w:rsidRPr="00F0768B">
        <w:rPr>
          <w:rFonts w:ascii="Palatino Linotype" w:hAnsi="Palatino Linotype" w:cs="Tahoma"/>
          <w:sz w:val="22"/>
          <w:szCs w:val="22"/>
        </w:rPr>
        <w:lastRenderedPageBreak/>
        <w:t>Asimismo, </w:t>
      </w:r>
      <w:r w:rsidRPr="00F0768B">
        <w:rPr>
          <w:rFonts w:ascii="Palatino Linotype" w:hAnsi="Palatino Linotype" w:cs="Tahoma"/>
          <w:sz w:val="22"/>
          <w:szCs w:val="22"/>
          <w:lang w:val="es-ES"/>
        </w:rPr>
        <w:t xml:space="preserve">se actualiza la causal de procedencia señalada en el </w:t>
      </w:r>
      <w:r w:rsidRPr="00F0768B">
        <w:rPr>
          <w:rFonts w:ascii="Palatino Linotype" w:hAnsi="Palatino Linotype" w:cs="Tahoma"/>
          <w:b/>
          <w:sz w:val="22"/>
          <w:szCs w:val="22"/>
          <w:lang w:val="es-ES"/>
        </w:rPr>
        <w:t>artículo 179, fracción VII</w:t>
      </w:r>
      <w:r w:rsidRPr="00F0768B">
        <w:rPr>
          <w:rFonts w:ascii="Palatino Linotype" w:hAnsi="Palatino Linotype" w:cs="Tahoma"/>
          <w:sz w:val="22"/>
          <w:szCs w:val="22"/>
          <w:lang w:val="es-ES"/>
        </w:rPr>
        <w:t xml:space="preserve">, de la Ley en cita, en virtud de que el Recurrente </w:t>
      </w:r>
      <w:r w:rsidRPr="00F0768B">
        <w:rPr>
          <w:rFonts w:ascii="Palatino Linotype" w:hAnsi="Palatino Linotype" w:cs="Tahoma"/>
          <w:b/>
          <w:sz w:val="22"/>
          <w:szCs w:val="22"/>
          <w:lang w:val="es-ES"/>
        </w:rPr>
        <w:t>se inconformó con la falta de respuesta a su solicitud de información.</w:t>
      </w:r>
    </w:p>
    <w:p w:rsidR="00E622D5" w:rsidRPr="00F0768B" w:rsidRDefault="00E622D5" w:rsidP="00336D6C">
      <w:pPr>
        <w:widowControl w:val="0"/>
        <w:spacing w:line="360" w:lineRule="auto"/>
        <w:contextualSpacing/>
        <w:jc w:val="both"/>
        <w:rPr>
          <w:rFonts w:ascii="Palatino Linotype" w:hAnsi="Palatino Linotype" w:cs="Tahoma"/>
          <w:sz w:val="22"/>
          <w:szCs w:val="22"/>
          <w:lang w:val="es-ES"/>
        </w:rPr>
      </w:pPr>
    </w:p>
    <w:p w:rsidR="00E622D5" w:rsidRPr="00F0768B" w:rsidRDefault="00E622D5" w:rsidP="00336D6C">
      <w:pPr>
        <w:pStyle w:val="Prrafodelista"/>
        <w:numPr>
          <w:ilvl w:val="0"/>
          <w:numId w:val="5"/>
        </w:numPr>
        <w:spacing w:line="360" w:lineRule="auto"/>
        <w:jc w:val="both"/>
        <w:rPr>
          <w:rFonts w:ascii="Palatino Linotype" w:eastAsia="Calibri" w:hAnsi="Palatino Linotype" w:cs="Tahoma"/>
          <w:szCs w:val="22"/>
          <w:lang w:eastAsia="es-ES_tradnl"/>
        </w:rPr>
      </w:pPr>
      <w:r w:rsidRPr="00F0768B">
        <w:rPr>
          <w:rFonts w:ascii="Palatino Linotype" w:eastAsia="Calibri" w:hAnsi="Palatino Linotype" w:cs="Tahoma"/>
          <w:b/>
          <w:szCs w:val="22"/>
          <w:lang w:eastAsia="es-ES_tradnl"/>
        </w:rPr>
        <w:t>Causales de sobreseimiento.</w:t>
      </w:r>
    </w:p>
    <w:p w:rsidR="00E622D5" w:rsidRPr="00F0768B" w:rsidRDefault="00E622D5" w:rsidP="00336D6C">
      <w:pPr>
        <w:spacing w:line="360" w:lineRule="auto"/>
        <w:contextualSpacing/>
        <w:jc w:val="both"/>
        <w:rPr>
          <w:rFonts w:ascii="Palatino Linotype" w:eastAsia="Calibri" w:hAnsi="Palatino Linotype" w:cs="Tahoma"/>
          <w:sz w:val="22"/>
          <w:szCs w:val="22"/>
          <w:lang w:eastAsia="es-ES_tradnl"/>
        </w:rPr>
      </w:pPr>
    </w:p>
    <w:p w:rsidR="00E622D5" w:rsidRPr="00F0768B" w:rsidRDefault="00E622D5" w:rsidP="00336D6C">
      <w:pPr>
        <w:spacing w:line="360" w:lineRule="auto"/>
        <w:contextualSpacing/>
        <w:jc w:val="both"/>
        <w:rPr>
          <w:rFonts w:ascii="Palatino Linotype" w:eastAsia="Calibri" w:hAnsi="Palatino Linotype" w:cs="Tahoma"/>
          <w:sz w:val="22"/>
          <w:szCs w:val="22"/>
          <w:lang w:val="es-ES" w:eastAsia="es-ES_tradnl"/>
        </w:rPr>
      </w:pPr>
      <w:r w:rsidRPr="00F0768B">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F0768B">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F0768B">
        <w:rPr>
          <w:rFonts w:ascii="Palatino Linotype" w:eastAsia="Calibri" w:hAnsi="Palatino Linotype" w:cs="Tahoma"/>
          <w:sz w:val="22"/>
          <w:szCs w:val="22"/>
          <w:lang w:val="es-ES" w:eastAsia="es-ES_tradnl"/>
        </w:rPr>
        <w:t>lo anterior, en virtud de que no existe constancia en el expediente en que se actúa, de que el Recurrente se hubiera desistido de los recursos, hubiera fallecido, que sobreviniera alguna causal de improcedencia, que el Sujeto Obligado hubiese modificado o revocado los actos impugnados, o bien que los recursos de revisión hubieran quedado sin materia.</w:t>
      </w:r>
    </w:p>
    <w:p w:rsidR="00E622D5" w:rsidRPr="00F0768B" w:rsidRDefault="00E622D5" w:rsidP="00336D6C">
      <w:pPr>
        <w:spacing w:line="360" w:lineRule="auto"/>
        <w:contextualSpacing/>
        <w:jc w:val="both"/>
        <w:rPr>
          <w:rFonts w:ascii="Palatino Linotype" w:hAnsi="Palatino Linotype" w:cs="Tahoma"/>
          <w:sz w:val="22"/>
          <w:szCs w:val="22"/>
          <w:lang w:val="es-ES"/>
        </w:rPr>
      </w:pPr>
    </w:p>
    <w:p w:rsidR="00E622D5" w:rsidRPr="00F0768B" w:rsidRDefault="00E622D5" w:rsidP="00336D6C">
      <w:pPr>
        <w:spacing w:line="360" w:lineRule="auto"/>
        <w:contextualSpacing/>
        <w:jc w:val="both"/>
        <w:rPr>
          <w:rFonts w:ascii="Palatino Linotype" w:eastAsia="Calibri" w:hAnsi="Palatino Linotype" w:cs="Tahoma"/>
          <w:sz w:val="22"/>
          <w:szCs w:val="22"/>
          <w:lang w:val="es-ES" w:eastAsia="es-ES_tradnl"/>
        </w:rPr>
      </w:pPr>
      <w:r w:rsidRPr="00F0768B">
        <w:rPr>
          <w:rFonts w:ascii="Palatino Linotype" w:eastAsia="Calibri" w:hAnsi="Palatino Linotype" w:cs="Tahoma"/>
          <w:bCs/>
          <w:sz w:val="22"/>
          <w:szCs w:val="22"/>
          <w:lang w:val="es-ES" w:eastAsia="es-ES_tradnl"/>
        </w:rPr>
        <w:t xml:space="preserve">Una vez expuesto lo anterior, </w:t>
      </w:r>
      <w:r w:rsidRPr="00F0768B">
        <w:rPr>
          <w:rFonts w:ascii="Palatino Linotype" w:eastAsia="Calibri" w:hAnsi="Palatino Linotype" w:cs="Tahoma"/>
          <w:sz w:val="22"/>
          <w:szCs w:val="22"/>
          <w:lang w:val="es-ES" w:eastAsia="es-ES_tradnl"/>
        </w:rPr>
        <w:t xml:space="preserve">se considera procedente entrar al fondo del asunto. </w:t>
      </w:r>
    </w:p>
    <w:p w:rsidR="00E622D5" w:rsidRPr="00F0768B" w:rsidRDefault="00E622D5" w:rsidP="00336D6C">
      <w:pPr>
        <w:tabs>
          <w:tab w:val="left" w:pos="4962"/>
        </w:tabs>
        <w:spacing w:line="360" w:lineRule="auto"/>
        <w:contextualSpacing/>
        <w:jc w:val="both"/>
        <w:rPr>
          <w:rFonts w:ascii="Palatino Linotype" w:eastAsia="Calibri" w:hAnsi="Palatino Linotype" w:cs="Tahoma"/>
          <w:b/>
          <w:iCs/>
          <w:sz w:val="22"/>
          <w:szCs w:val="22"/>
          <w:lang w:val="es-ES" w:eastAsia="es-ES_tradnl"/>
        </w:rPr>
      </w:pPr>
    </w:p>
    <w:p w:rsidR="00E622D5" w:rsidRPr="00F0768B" w:rsidRDefault="00E622D5" w:rsidP="00336D6C">
      <w:pPr>
        <w:tabs>
          <w:tab w:val="left" w:pos="4962"/>
        </w:tabs>
        <w:spacing w:line="360" w:lineRule="auto"/>
        <w:contextualSpacing/>
        <w:jc w:val="both"/>
        <w:rPr>
          <w:rFonts w:ascii="Palatino Linotype" w:eastAsia="Calibri" w:hAnsi="Palatino Linotype" w:cs="Tahoma"/>
          <w:b/>
          <w:iCs/>
          <w:sz w:val="22"/>
          <w:szCs w:val="22"/>
          <w:lang w:val="es-ES" w:eastAsia="es-ES_tradnl"/>
        </w:rPr>
      </w:pPr>
      <w:r w:rsidRPr="00F0768B">
        <w:rPr>
          <w:rFonts w:ascii="Palatino Linotype" w:eastAsia="Calibri" w:hAnsi="Palatino Linotype" w:cs="Tahoma"/>
          <w:b/>
          <w:iCs/>
          <w:sz w:val="22"/>
          <w:szCs w:val="22"/>
          <w:lang w:val="es-ES" w:eastAsia="es-ES_tradnl"/>
        </w:rPr>
        <w:t xml:space="preserve">TERCERO. Determinación de la Controversia. </w:t>
      </w:r>
    </w:p>
    <w:p w:rsidR="00E622D5" w:rsidRPr="00F0768B" w:rsidRDefault="00E622D5" w:rsidP="00336D6C">
      <w:pPr>
        <w:tabs>
          <w:tab w:val="left" w:pos="4962"/>
        </w:tabs>
        <w:spacing w:line="360" w:lineRule="auto"/>
        <w:contextualSpacing/>
        <w:jc w:val="both"/>
        <w:rPr>
          <w:rFonts w:ascii="Palatino Linotype" w:eastAsia="Calibri" w:hAnsi="Palatino Linotype" w:cs="Tahoma"/>
          <w:b/>
          <w:iCs/>
          <w:sz w:val="22"/>
          <w:szCs w:val="22"/>
          <w:lang w:val="es-ES" w:eastAsia="es-ES_tradnl"/>
        </w:rPr>
      </w:pPr>
    </w:p>
    <w:p w:rsidR="00E622D5" w:rsidRDefault="00E622D5" w:rsidP="00336D6C">
      <w:pPr>
        <w:tabs>
          <w:tab w:val="left" w:pos="4962"/>
        </w:tabs>
        <w:spacing w:line="360" w:lineRule="auto"/>
        <w:contextualSpacing/>
        <w:jc w:val="both"/>
        <w:rPr>
          <w:rFonts w:ascii="Palatino Linotype" w:eastAsia="Calibri" w:hAnsi="Palatino Linotype" w:cs="Tahoma"/>
          <w:bCs/>
          <w:sz w:val="22"/>
          <w:szCs w:val="22"/>
          <w:lang w:eastAsia="en-US"/>
        </w:rPr>
      </w:pPr>
      <w:r w:rsidRPr="00F0768B">
        <w:rPr>
          <w:rFonts w:ascii="Palatino Linotype" w:eastAsia="Calibri" w:hAnsi="Palatino Linotype" w:cs="Tahoma"/>
          <w:iCs/>
          <w:sz w:val="22"/>
          <w:szCs w:val="22"/>
          <w:lang w:val="es-ES" w:eastAsia="es-ES_tradnl"/>
        </w:rPr>
        <w:t xml:space="preserve">El particular le requirió al </w:t>
      </w:r>
      <w:r w:rsidR="00BD3B29" w:rsidRPr="00BD3B29">
        <w:rPr>
          <w:rFonts w:ascii="Palatino Linotype" w:eastAsia="Calibri" w:hAnsi="Palatino Linotype" w:cs="Tahoma"/>
          <w:bCs/>
          <w:iCs/>
          <w:sz w:val="22"/>
          <w:szCs w:val="22"/>
          <w:lang w:eastAsia="en-US"/>
        </w:rPr>
        <w:t>Ayuntamiento de Tonatico</w:t>
      </w:r>
      <w:r w:rsidRPr="00F0768B">
        <w:rPr>
          <w:rFonts w:ascii="Palatino Linotype" w:eastAsia="Calibri" w:hAnsi="Palatino Linotype" w:cs="Tahoma"/>
          <w:bCs/>
          <w:sz w:val="22"/>
          <w:szCs w:val="22"/>
          <w:lang w:eastAsia="en-US"/>
        </w:rPr>
        <w:t xml:space="preserve">, a través de </w:t>
      </w:r>
      <w:r w:rsidR="00071A91">
        <w:rPr>
          <w:rFonts w:ascii="Palatino Linotype" w:eastAsia="Calibri" w:hAnsi="Palatino Linotype" w:cs="Tahoma"/>
          <w:bCs/>
          <w:sz w:val="22"/>
          <w:szCs w:val="22"/>
          <w:lang w:eastAsia="en-US"/>
        </w:rPr>
        <w:t>la solicitud de información, lo siguiente:</w:t>
      </w:r>
    </w:p>
    <w:p w:rsidR="00BD3B29" w:rsidRPr="00BD3B29" w:rsidRDefault="00BD3B29" w:rsidP="00BD3B29">
      <w:pPr>
        <w:tabs>
          <w:tab w:val="left" w:pos="4962"/>
        </w:tabs>
        <w:spacing w:line="360" w:lineRule="auto"/>
        <w:jc w:val="both"/>
        <w:rPr>
          <w:rFonts w:ascii="Palatino Linotype" w:eastAsia="Calibri" w:hAnsi="Palatino Linotype" w:cs="Tahoma"/>
          <w:bCs/>
          <w:sz w:val="22"/>
          <w:szCs w:val="22"/>
          <w:lang w:eastAsia="en-US"/>
        </w:rPr>
      </w:pPr>
    </w:p>
    <w:p w:rsidR="00BD3B29" w:rsidRPr="00BD3B29" w:rsidRDefault="00BD3B29" w:rsidP="00BD3B29">
      <w:pPr>
        <w:tabs>
          <w:tab w:val="left" w:pos="4962"/>
        </w:tabs>
        <w:spacing w:line="360" w:lineRule="auto"/>
        <w:jc w:val="both"/>
        <w:rPr>
          <w:rFonts w:ascii="Palatino Linotype" w:eastAsia="Calibri" w:hAnsi="Palatino Linotype" w:cs="Tahoma"/>
          <w:b/>
          <w:bCs/>
          <w:sz w:val="22"/>
          <w:szCs w:val="22"/>
          <w:lang w:eastAsia="en-US"/>
        </w:rPr>
      </w:pPr>
      <w:r w:rsidRPr="00BD3B29">
        <w:rPr>
          <w:rFonts w:ascii="Palatino Linotype" w:eastAsia="Calibri" w:hAnsi="Palatino Linotype" w:cs="Tahoma"/>
          <w:b/>
          <w:bCs/>
          <w:sz w:val="22"/>
          <w:szCs w:val="22"/>
          <w:lang w:eastAsia="en-US"/>
        </w:rPr>
        <w:t>Del ejercicio fiscal 2019:</w:t>
      </w:r>
    </w:p>
    <w:p w:rsidR="00071A91" w:rsidRPr="00BD3B29" w:rsidRDefault="00BD3B29" w:rsidP="00BD3B29">
      <w:pPr>
        <w:pStyle w:val="Prrafodelista"/>
        <w:numPr>
          <w:ilvl w:val="0"/>
          <w:numId w:val="7"/>
        </w:numPr>
        <w:tabs>
          <w:tab w:val="left" w:pos="4962"/>
        </w:tabs>
        <w:spacing w:line="360" w:lineRule="auto"/>
        <w:jc w:val="both"/>
        <w:rPr>
          <w:rFonts w:ascii="Palatino Linotype" w:eastAsia="Calibri" w:hAnsi="Palatino Linotype" w:cs="Tahoma"/>
          <w:bCs/>
          <w:szCs w:val="22"/>
          <w:lang w:eastAsia="en-US"/>
        </w:rPr>
      </w:pPr>
      <w:r w:rsidRPr="00BD3B29">
        <w:rPr>
          <w:rFonts w:ascii="Palatino Linotype" w:eastAsia="Calibri" w:hAnsi="Palatino Linotype" w:cs="Tahoma"/>
          <w:bCs/>
          <w:szCs w:val="22"/>
          <w:lang w:eastAsia="en-US"/>
        </w:rPr>
        <w:t>Los expedientes técnicos completos de las obras programadas a ejecutarse a cargo con los recursos del programa Fondo Estatal de Fortalecimiento Municipal</w:t>
      </w:r>
      <w:r>
        <w:rPr>
          <w:rFonts w:ascii="Palatino Linotype" w:eastAsia="Calibri" w:hAnsi="Palatino Linotype" w:cs="Tahoma"/>
          <w:bCs/>
          <w:szCs w:val="22"/>
          <w:lang w:eastAsia="en-US"/>
        </w:rPr>
        <w:t xml:space="preserve">; correspondientes a la lista que fue sometida al pleno del cabildo y que contempla 25 obras con un monto total de 22 millones, 687 mil 409.84 pesos. </w:t>
      </w:r>
    </w:p>
    <w:p w:rsidR="00E622D5" w:rsidRPr="00F0768B" w:rsidRDefault="00E622D5" w:rsidP="00336D6C">
      <w:pPr>
        <w:spacing w:line="360" w:lineRule="auto"/>
        <w:contextualSpacing/>
        <w:jc w:val="both"/>
        <w:rPr>
          <w:rFonts w:ascii="Palatino Linotype" w:hAnsi="Palatino Linotype"/>
          <w:szCs w:val="22"/>
        </w:rPr>
      </w:pPr>
    </w:p>
    <w:p w:rsidR="00E622D5" w:rsidRPr="00F0768B" w:rsidRDefault="00E622D5" w:rsidP="00336D6C">
      <w:pPr>
        <w:tabs>
          <w:tab w:val="left" w:pos="4962"/>
        </w:tabs>
        <w:spacing w:line="360" w:lineRule="auto"/>
        <w:contextualSpacing/>
        <w:jc w:val="both"/>
        <w:rPr>
          <w:rFonts w:ascii="Palatino Linotype" w:eastAsia="Calibri" w:hAnsi="Palatino Linotype" w:cs="Tahoma"/>
          <w:iCs/>
          <w:sz w:val="22"/>
          <w:szCs w:val="22"/>
          <w:lang w:val="es-ES" w:eastAsia="es-ES_tradnl"/>
        </w:rPr>
      </w:pPr>
      <w:r w:rsidRPr="00F0768B">
        <w:rPr>
          <w:rFonts w:ascii="Palatino Linotype" w:eastAsia="Calibri" w:hAnsi="Palatino Linotype" w:cs="Tahoma"/>
          <w:iCs/>
          <w:sz w:val="22"/>
          <w:szCs w:val="22"/>
          <w:lang w:val="es-ES" w:eastAsia="es-ES_tradnl"/>
        </w:rPr>
        <w:lastRenderedPageBreak/>
        <w:t>Ante la</w:t>
      </w:r>
      <w:r>
        <w:rPr>
          <w:rFonts w:ascii="Palatino Linotype" w:eastAsia="Calibri" w:hAnsi="Palatino Linotype" w:cs="Tahoma"/>
          <w:iCs/>
          <w:sz w:val="22"/>
          <w:szCs w:val="22"/>
          <w:lang w:val="es-ES" w:eastAsia="es-ES_tradnl"/>
        </w:rPr>
        <w:t xml:space="preserve"> solicitud</w:t>
      </w:r>
      <w:r w:rsidRPr="00F0768B">
        <w:rPr>
          <w:rFonts w:ascii="Palatino Linotype" w:eastAsia="Calibri" w:hAnsi="Palatino Linotype" w:cs="Tahoma"/>
          <w:iCs/>
          <w:sz w:val="22"/>
          <w:szCs w:val="22"/>
          <w:lang w:val="es-ES" w:eastAsia="es-ES_tradnl"/>
        </w:rPr>
        <w:t xml:space="preserve"> de información, el Sujeto Obligado omitió dar respuesta o emitir pronunciamiento alguno, por lo que el Recurrente, interpuso</w:t>
      </w:r>
      <w:r>
        <w:rPr>
          <w:rFonts w:ascii="Palatino Linotype" w:eastAsia="Calibri" w:hAnsi="Palatino Linotype" w:cs="Tahoma"/>
          <w:iCs/>
          <w:sz w:val="22"/>
          <w:szCs w:val="22"/>
          <w:lang w:val="es-ES" w:eastAsia="es-ES_tradnl"/>
        </w:rPr>
        <w:t xml:space="preserve"> el Recurso de Revisión, señalado</w:t>
      </w:r>
      <w:r w:rsidRPr="00F0768B">
        <w:rPr>
          <w:rFonts w:ascii="Palatino Linotype" w:eastAsia="Calibri" w:hAnsi="Palatino Linotype" w:cs="Tahoma"/>
          <w:iCs/>
          <w:sz w:val="22"/>
          <w:szCs w:val="22"/>
          <w:lang w:val="es-ES" w:eastAsia="es-ES_tradnl"/>
        </w:rPr>
        <w:t xml:space="preserve"> en el preámbulo del presente fallo, en el que manifestó como acto impugnado la falta de respuesta del Sujeto Obligado. </w:t>
      </w:r>
    </w:p>
    <w:p w:rsidR="00E622D5" w:rsidRPr="00F0768B" w:rsidRDefault="00E622D5" w:rsidP="00336D6C">
      <w:pPr>
        <w:tabs>
          <w:tab w:val="left" w:pos="4962"/>
        </w:tabs>
        <w:spacing w:line="360" w:lineRule="auto"/>
        <w:contextualSpacing/>
        <w:jc w:val="both"/>
        <w:rPr>
          <w:rFonts w:ascii="Palatino Linotype" w:eastAsia="Calibri" w:hAnsi="Palatino Linotype" w:cs="Tahoma"/>
          <w:iCs/>
          <w:sz w:val="22"/>
          <w:szCs w:val="22"/>
          <w:lang w:val="es-ES" w:eastAsia="es-ES_tradnl"/>
        </w:rPr>
      </w:pPr>
    </w:p>
    <w:p w:rsidR="000C710D" w:rsidRPr="00F0768B" w:rsidRDefault="00E622D5" w:rsidP="00336D6C">
      <w:pPr>
        <w:tabs>
          <w:tab w:val="left" w:pos="4962"/>
        </w:tabs>
        <w:spacing w:line="360" w:lineRule="auto"/>
        <w:contextualSpacing/>
        <w:jc w:val="both"/>
        <w:rPr>
          <w:rFonts w:ascii="Palatino Linotype" w:eastAsia="Calibri" w:hAnsi="Palatino Linotype" w:cs="Tahoma"/>
          <w:iCs/>
          <w:sz w:val="22"/>
          <w:szCs w:val="22"/>
          <w:lang w:val="es-ES" w:eastAsia="es-ES_tradnl"/>
        </w:rPr>
      </w:pPr>
      <w:r w:rsidRPr="00F0768B">
        <w:rPr>
          <w:rFonts w:ascii="Palatino Linotype" w:eastAsia="Calibri" w:hAnsi="Palatino Linotype" w:cs="Tahoma"/>
          <w:iCs/>
          <w:sz w:val="22"/>
          <w:szCs w:val="22"/>
          <w:lang w:val="es-ES" w:eastAsia="es-ES_tradnl"/>
        </w:rPr>
        <w:t>Durante la sustanciación d</w:t>
      </w:r>
      <w:r w:rsidR="000C710D">
        <w:rPr>
          <w:rFonts w:ascii="Palatino Linotype" w:eastAsia="Calibri" w:hAnsi="Palatino Linotype" w:cs="Tahoma"/>
          <w:iCs/>
          <w:sz w:val="22"/>
          <w:szCs w:val="22"/>
          <w:lang w:val="es-ES" w:eastAsia="es-ES_tradnl"/>
        </w:rPr>
        <w:t xml:space="preserve">el presente Recurso de Revisión, el Sujeto Obligado, </w:t>
      </w:r>
      <w:r w:rsidR="00BD3B29">
        <w:rPr>
          <w:rFonts w:ascii="Palatino Linotype" w:eastAsia="Calibri" w:hAnsi="Palatino Linotype" w:cs="Tahoma"/>
          <w:iCs/>
          <w:sz w:val="22"/>
          <w:szCs w:val="22"/>
          <w:lang w:val="es-ES" w:eastAsia="es-ES_tradnl"/>
        </w:rPr>
        <w:t xml:space="preserve">omitió remitir informe justificado; por su parte el Recurrente remitió una serie de manifestaciones en las que reitera en la solicitud de información y en los motivos de agravio. </w:t>
      </w:r>
    </w:p>
    <w:p w:rsidR="00E622D5" w:rsidRPr="00F0768B" w:rsidRDefault="00E622D5" w:rsidP="00336D6C">
      <w:pPr>
        <w:spacing w:line="360" w:lineRule="auto"/>
        <w:ind w:right="-93"/>
        <w:contextualSpacing/>
        <w:jc w:val="both"/>
        <w:rPr>
          <w:rFonts w:ascii="Palatino Linotype" w:hAnsi="Palatino Linotype" w:cs="Tahoma"/>
          <w:b/>
          <w:sz w:val="22"/>
          <w:szCs w:val="22"/>
          <w:lang w:val="es-ES"/>
        </w:rPr>
      </w:pPr>
    </w:p>
    <w:p w:rsidR="00E622D5" w:rsidRPr="00F0768B" w:rsidRDefault="00E622D5" w:rsidP="00336D6C">
      <w:pPr>
        <w:autoSpaceDE w:val="0"/>
        <w:autoSpaceDN w:val="0"/>
        <w:adjustRightInd w:val="0"/>
        <w:spacing w:line="360" w:lineRule="auto"/>
        <w:contextualSpacing/>
        <w:jc w:val="both"/>
        <w:rPr>
          <w:rFonts w:ascii="Palatino Linotype" w:eastAsia="Calibri" w:hAnsi="Palatino Linotype" w:cs="Tahoma"/>
          <w:bCs/>
          <w:color w:val="000000"/>
          <w:sz w:val="22"/>
          <w:szCs w:val="22"/>
        </w:rPr>
      </w:pPr>
      <w:r w:rsidRPr="00F0768B">
        <w:rPr>
          <w:rFonts w:ascii="Palatino Linotype" w:eastAsia="Calibri" w:hAnsi="Palatino Linotype" w:cs="Tahoma"/>
          <w:color w:val="000000"/>
          <w:sz w:val="22"/>
          <w:szCs w:val="22"/>
        </w:rPr>
        <w:t xml:space="preserve">Finalmente, en el asunto que nos ocupa se actualiza la causal de procedencia señalada en el </w:t>
      </w:r>
      <w:r w:rsidRPr="00F0768B">
        <w:rPr>
          <w:rFonts w:ascii="Palatino Linotype" w:eastAsia="Calibri" w:hAnsi="Palatino Linotype" w:cs="Tahoma"/>
          <w:b/>
          <w:sz w:val="22"/>
          <w:szCs w:val="22"/>
        </w:rPr>
        <w:t>artículo 179, fracción VII, de la Ley de la materia</w:t>
      </w:r>
      <w:r w:rsidRPr="00F0768B">
        <w:rPr>
          <w:rFonts w:ascii="Palatino Linotype" w:eastAsia="Calibri" w:hAnsi="Palatino Linotype" w:cs="Tahoma"/>
          <w:b/>
          <w:bCs/>
          <w:sz w:val="22"/>
          <w:szCs w:val="22"/>
        </w:rPr>
        <w:t>, toda vez que la parte solicitante se inconformó por la falta de respuesta a una solicitud de acceso a la información.</w:t>
      </w:r>
    </w:p>
    <w:p w:rsidR="00E622D5" w:rsidRPr="00F0768B" w:rsidRDefault="00E622D5" w:rsidP="00336D6C">
      <w:pPr>
        <w:spacing w:line="360" w:lineRule="auto"/>
        <w:ind w:right="-93"/>
        <w:contextualSpacing/>
        <w:jc w:val="both"/>
        <w:rPr>
          <w:rFonts w:ascii="Palatino Linotype" w:hAnsi="Palatino Linotype" w:cs="Tahoma"/>
          <w:b/>
          <w:sz w:val="22"/>
          <w:szCs w:val="22"/>
          <w:lang w:val="es-ES"/>
        </w:rPr>
      </w:pPr>
    </w:p>
    <w:p w:rsidR="00E622D5" w:rsidRPr="00F0768B" w:rsidRDefault="00E622D5" w:rsidP="00336D6C">
      <w:pPr>
        <w:spacing w:line="360" w:lineRule="auto"/>
        <w:ind w:right="-93"/>
        <w:contextualSpacing/>
        <w:jc w:val="both"/>
        <w:rPr>
          <w:rFonts w:ascii="Palatino Linotype" w:hAnsi="Palatino Linotype" w:cs="Tahoma"/>
          <w:b/>
          <w:sz w:val="22"/>
          <w:szCs w:val="22"/>
        </w:rPr>
      </w:pPr>
      <w:r w:rsidRPr="00F0768B">
        <w:rPr>
          <w:rFonts w:ascii="Palatino Linotype" w:hAnsi="Palatino Linotype" w:cs="Tahoma"/>
          <w:b/>
          <w:sz w:val="22"/>
          <w:szCs w:val="22"/>
          <w:lang w:val="es-ES"/>
        </w:rPr>
        <w:t xml:space="preserve">CUARTO. </w:t>
      </w:r>
      <w:r w:rsidRPr="00F0768B">
        <w:rPr>
          <w:rFonts w:ascii="Palatino Linotype" w:hAnsi="Palatino Linotype" w:cs="Tahoma"/>
          <w:b/>
          <w:sz w:val="22"/>
          <w:szCs w:val="22"/>
        </w:rPr>
        <w:t>Marco normativo aplicable en materia de transparencia y acceso a la información pública.</w:t>
      </w:r>
    </w:p>
    <w:p w:rsidR="00E622D5" w:rsidRPr="00F0768B" w:rsidRDefault="00E622D5" w:rsidP="00336D6C">
      <w:pPr>
        <w:spacing w:line="360" w:lineRule="auto"/>
        <w:ind w:right="-93"/>
        <w:contextualSpacing/>
        <w:jc w:val="both"/>
        <w:rPr>
          <w:rFonts w:ascii="Palatino Linotype" w:hAnsi="Palatino Linotype" w:cs="Tahoma"/>
          <w:b/>
          <w:sz w:val="22"/>
          <w:szCs w:val="22"/>
        </w:rPr>
      </w:pPr>
    </w:p>
    <w:p w:rsidR="00E622D5" w:rsidRPr="00F0768B" w:rsidRDefault="00E622D5" w:rsidP="00336D6C">
      <w:pPr>
        <w:spacing w:line="360" w:lineRule="auto"/>
        <w:contextualSpacing/>
        <w:jc w:val="both"/>
        <w:rPr>
          <w:rFonts w:ascii="Palatino Linotype" w:hAnsi="Palatino Linotype" w:cs="Tahoma"/>
          <w:sz w:val="22"/>
          <w:szCs w:val="22"/>
        </w:rPr>
      </w:pPr>
      <w:r w:rsidRPr="00F0768B">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autoridad, es pública y sólo podrá ser reservada temporalmente por razones de interés público. </w:t>
      </w:r>
    </w:p>
    <w:p w:rsidR="00E622D5" w:rsidRPr="00F0768B" w:rsidRDefault="00E622D5" w:rsidP="00336D6C">
      <w:pPr>
        <w:spacing w:line="360" w:lineRule="auto"/>
        <w:contextualSpacing/>
        <w:jc w:val="both"/>
        <w:rPr>
          <w:rFonts w:ascii="Palatino Linotype" w:hAnsi="Palatino Linotype" w:cs="Tahoma"/>
          <w:sz w:val="22"/>
          <w:szCs w:val="22"/>
        </w:rPr>
      </w:pPr>
    </w:p>
    <w:p w:rsidR="00E622D5" w:rsidRPr="00F0768B" w:rsidRDefault="00E622D5" w:rsidP="00336D6C">
      <w:pPr>
        <w:spacing w:line="360" w:lineRule="auto"/>
        <w:contextualSpacing/>
        <w:jc w:val="both"/>
        <w:rPr>
          <w:rFonts w:ascii="Palatino Linotype" w:hAnsi="Palatino Linotype" w:cs="Tahoma"/>
          <w:sz w:val="22"/>
          <w:szCs w:val="22"/>
        </w:rPr>
      </w:pPr>
      <w:r w:rsidRPr="00F0768B">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00E622D5" w:rsidRPr="00F0768B" w:rsidRDefault="00E622D5" w:rsidP="00336D6C">
      <w:pPr>
        <w:spacing w:line="360" w:lineRule="auto"/>
        <w:contextualSpacing/>
        <w:jc w:val="both"/>
        <w:rPr>
          <w:rFonts w:ascii="Palatino Linotype" w:hAnsi="Palatino Linotype" w:cs="Tahoma"/>
          <w:sz w:val="22"/>
          <w:szCs w:val="22"/>
        </w:rPr>
      </w:pPr>
    </w:p>
    <w:p w:rsidR="00E622D5" w:rsidRPr="00F0768B" w:rsidRDefault="00E622D5" w:rsidP="00336D6C">
      <w:pPr>
        <w:spacing w:line="360" w:lineRule="auto"/>
        <w:contextualSpacing/>
        <w:jc w:val="both"/>
        <w:rPr>
          <w:rFonts w:ascii="Palatino Linotype" w:hAnsi="Palatino Linotype" w:cs="Tahoma"/>
          <w:sz w:val="22"/>
          <w:szCs w:val="22"/>
        </w:rPr>
      </w:pPr>
      <w:r w:rsidRPr="00F0768B">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w:t>
      </w:r>
      <w:r w:rsidRPr="00F0768B">
        <w:rPr>
          <w:rFonts w:ascii="Palatino Linotype" w:hAnsi="Palatino Linotype" w:cs="Tahoma"/>
          <w:sz w:val="22"/>
          <w:szCs w:val="22"/>
        </w:rPr>
        <w:lastRenderedPageBreak/>
        <w:t>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00E622D5" w:rsidRPr="00F0768B" w:rsidRDefault="00E622D5" w:rsidP="00336D6C">
      <w:pPr>
        <w:spacing w:line="360" w:lineRule="auto"/>
        <w:contextualSpacing/>
        <w:jc w:val="both"/>
        <w:rPr>
          <w:rFonts w:ascii="Palatino Linotype" w:hAnsi="Palatino Linotype" w:cs="Tahoma"/>
          <w:sz w:val="22"/>
          <w:szCs w:val="22"/>
        </w:rPr>
      </w:pPr>
    </w:p>
    <w:p w:rsidR="00E622D5" w:rsidRPr="00F0768B" w:rsidRDefault="00E622D5" w:rsidP="00336D6C">
      <w:pPr>
        <w:spacing w:line="360" w:lineRule="auto"/>
        <w:contextualSpacing/>
        <w:jc w:val="both"/>
        <w:rPr>
          <w:rFonts w:ascii="Palatino Linotype" w:hAnsi="Palatino Linotype" w:cs="Tahoma"/>
          <w:sz w:val="22"/>
          <w:szCs w:val="22"/>
        </w:rPr>
      </w:pPr>
      <w:r w:rsidRPr="00F0768B">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E622D5" w:rsidRPr="00F0768B" w:rsidRDefault="00E622D5" w:rsidP="00336D6C">
      <w:pPr>
        <w:spacing w:line="360" w:lineRule="auto"/>
        <w:contextualSpacing/>
        <w:jc w:val="both"/>
        <w:rPr>
          <w:rFonts w:ascii="Palatino Linotype" w:hAnsi="Palatino Linotype" w:cs="Tahoma"/>
          <w:sz w:val="22"/>
          <w:szCs w:val="22"/>
        </w:rPr>
      </w:pPr>
    </w:p>
    <w:p w:rsidR="00E622D5" w:rsidRPr="00F0768B" w:rsidRDefault="00E622D5" w:rsidP="00336D6C">
      <w:pPr>
        <w:spacing w:line="360" w:lineRule="auto"/>
        <w:contextualSpacing/>
        <w:jc w:val="both"/>
        <w:rPr>
          <w:rFonts w:ascii="Palatino Linotype" w:hAnsi="Palatino Linotype" w:cs="Tahoma"/>
          <w:sz w:val="22"/>
          <w:szCs w:val="22"/>
        </w:rPr>
      </w:pPr>
      <w:r w:rsidRPr="00F0768B">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00E622D5" w:rsidRPr="00F0768B" w:rsidRDefault="00E622D5" w:rsidP="00336D6C">
      <w:pPr>
        <w:spacing w:line="360" w:lineRule="auto"/>
        <w:contextualSpacing/>
        <w:jc w:val="both"/>
        <w:rPr>
          <w:rFonts w:ascii="Palatino Linotype" w:hAnsi="Palatino Linotype" w:cs="Tahoma"/>
          <w:sz w:val="22"/>
          <w:szCs w:val="22"/>
        </w:rPr>
      </w:pPr>
    </w:p>
    <w:p w:rsidR="00E622D5" w:rsidRPr="00F0768B" w:rsidRDefault="00E622D5" w:rsidP="00336D6C">
      <w:pPr>
        <w:spacing w:line="360" w:lineRule="auto"/>
        <w:contextualSpacing/>
        <w:jc w:val="both"/>
        <w:rPr>
          <w:rFonts w:ascii="Palatino Linotype" w:hAnsi="Palatino Linotype" w:cs="Tahoma"/>
          <w:sz w:val="22"/>
          <w:szCs w:val="22"/>
        </w:rPr>
      </w:pPr>
      <w:r w:rsidRPr="00F0768B">
        <w:rPr>
          <w:rFonts w:ascii="Palatino Linotype" w:hAnsi="Palatino Linotype" w:cs="Tahoma"/>
          <w:sz w:val="22"/>
          <w:szCs w:val="22"/>
        </w:rPr>
        <w:t>El artículo 12, que, quienes generen, recopilen, administren, manejen, procesen, archiven o conserven información pública serán responsables de la misma.</w:t>
      </w:r>
    </w:p>
    <w:p w:rsidR="00E622D5" w:rsidRPr="00F0768B" w:rsidRDefault="00E622D5" w:rsidP="00336D6C">
      <w:pPr>
        <w:spacing w:line="360" w:lineRule="auto"/>
        <w:contextualSpacing/>
        <w:jc w:val="both"/>
        <w:rPr>
          <w:rFonts w:ascii="Palatino Linotype" w:hAnsi="Palatino Linotype" w:cs="Tahoma"/>
          <w:sz w:val="22"/>
          <w:szCs w:val="22"/>
        </w:rPr>
      </w:pPr>
    </w:p>
    <w:p w:rsidR="00E622D5" w:rsidRPr="00F0768B" w:rsidRDefault="00E622D5" w:rsidP="00336D6C">
      <w:pPr>
        <w:spacing w:line="360" w:lineRule="auto"/>
        <w:contextualSpacing/>
        <w:jc w:val="both"/>
        <w:rPr>
          <w:rFonts w:ascii="Palatino Linotype" w:hAnsi="Palatino Linotype" w:cs="Tahoma"/>
          <w:sz w:val="22"/>
          <w:szCs w:val="22"/>
        </w:rPr>
      </w:pPr>
      <w:r w:rsidRPr="00F0768B">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00E622D5" w:rsidRPr="00F0768B" w:rsidRDefault="00E622D5" w:rsidP="00336D6C">
      <w:pPr>
        <w:spacing w:line="360" w:lineRule="auto"/>
        <w:contextualSpacing/>
        <w:jc w:val="both"/>
        <w:rPr>
          <w:rFonts w:ascii="Palatino Linotype" w:hAnsi="Palatino Linotype" w:cs="Tahoma"/>
          <w:sz w:val="22"/>
          <w:szCs w:val="22"/>
        </w:rPr>
      </w:pPr>
    </w:p>
    <w:p w:rsidR="00E622D5" w:rsidRPr="00F0768B" w:rsidRDefault="00E622D5" w:rsidP="00336D6C">
      <w:pPr>
        <w:spacing w:line="360" w:lineRule="auto"/>
        <w:contextualSpacing/>
        <w:jc w:val="both"/>
        <w:rPr>
          <w:rFonts w:ascii="Palatino Linotype" w:hAnsi="Palatino Linotype" w:cs="Tahoma"/>
          <w:sz w:val="22"/>
          <w:szCs w:val="22"/>
        </w:rPr>
      </w:pPr>
      <w:r w:rsidRPr="00F0768B">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E622D5" w:rsidRPr="00F0768B" w:rsidRDefault="00E622D5" w:rsidP="00336D6C">
      <w:pPr>
        <w:spacing w:line="360" w:lineRule="auto"/>
        <w:contextualSpacing/>
        <w:jc w:val="both"/>
        <w:rPr>
          <w:rFonts w:ascii="Palatino Linotype" w:hAnsi="Palatino Linotype" w:cs="Tahoma"/>
          <w:sz w:val="22"/>
          <w:szCs w:val="22"/>
        </w:rPr>
      </w:pPr>
    </w:p>
    <w:p w:rsidR="00E622D5" w:rsidRPr="00F0768B" w:rsidRDefault="00E622D5" w:rsidP="00336D6C">
      <w:pPr>
        <w:spacing w:line="360" w:lineRule="auto"/>
        <w:ind w:right="-93"/>
        <w:contextualSpacing/>
        <w:jc w:val="both"/>
        <w:rPr>
          <w:rFonts w:ascii="Palatino Linotype" w:hAnsi="Palatino Linotype" w:cs="Tahoma"/>
          <w:b/>
          <w:sz w:val="22"/>
          <w:szCs w:val="22"/>
          <w:lang w:val="es-ES"/>
        </w:rPr>
      </w:pPr>
      <w:r w:rsidRPr="00F0768B">
        <w:rPr>
          <w:rFonts w:ascii="Palatino Linotype" w:hAnsi="Palatino Linotype" w:cs="Tahoma"/>
          <w:b/>
          <w:sz w:val="22"/>
          <w:szCs w:val="22"/>
          <w:lang w:val="es-ES"/>
        </w:rPr>
        <w:t>QUINTO. Estudio de Fondo.</w:t>
      </w:r>
    </w:p>
    <w:p w:rsidR="00E622D5" w:rsidRPr="00F0768B" w:rsidRDefault="00E622D5" w:rsidP="00336D6C">
      <w:pPr>
        <w:spacing w:line="360" w:lineRule="auto"/>
        <w:ind w:right="-93"/>
        <w:contextualSpacing/>
        <w:jc w:val="both"/>
        <w:rPr>
          <w:rFonts w:ascii="Palatino Linotype" w:eastAsia="Calibri" w:hAnsi="Palatino Linotype" w:cs="Tahoma"/>
          <w:bCs/>
          <w:sz w:val="22"/>
          <w:szCs w:val="22"/>
          <w:lang w:eastAsia="en-US"/>
        </w:rPr>
      </w:pPr>
      <w:r w:rsidRPr="00F0768B">
        <w:rPr>
          <w:rFonts w:ascii="Palatino Linotype" w:eastAsia="Calibri" w:hAnsi="Palatino Linotype" w:cs="Tahoma"/>
          <w:bCs/>
          <w:sz w:val="22"/>
          <w:szCs w:val="22"/>
          <w:lang w:eastAsia="en-US"/>
        </w:rPr>
        <w:lastRenderedPageBreak/>
        <w:t xml:space="preserve">Una vez expuesta la controversia, se procede al análisis de la información solicitada, así como de los documentos y manifestaciones que integran la sustanciación </w:t>
      </w:r>
      <w:r>
        <w:rPr>
          <w:rFonts w:ascii="Palatino Linotype" w:eastAsia="Calibri" w:hAnsi="Palatino Linotype" w:cs="Tahoma"/>
          <w:bCs/>
          <w:sz w:val="22"/>
          <w:szCs w:val="22"/>
          <w:lang w:eastAsia="en-US"/>
        </w:rPr>
        <w:t>del presente</w:t>
      </w:r>
      <w:r w:rsidRPr="00F0768B">
        <w:rPr>
          <w:rFonts w:ascii="Palatino Linotype" w:eastAsia="Calibri" w:hAnsi="Palatino Linotype" w:cs="Tahoma"/>
          <w:bCs/>
          <w:sz w:val="22"/>
          <w:szCs w:val="22"/>
          <w:lang w:eastAsia="en-US"/>
        </w:rPr>
        <w:t xml:space="preserve"> Recu</w:t>
      </w:r>
      <w:r>
        <w:rPr>
          <w:rFonts w:ascii="Palatino Linotype" w:eastAsia="Calibri" w:hAnsi="Palatino Linotype" w:cs="Tahoma"/>
          <w:bCs/>
          <w:sz w:val="22"/>
          <w:szCs w:val="22"/>
          <w:lang w:eastAsia="en-US"/>
        </w:rPr>
        <w:t>rso</w:t>
      </w:r>
      <w:r w:rsidRPr="00F0768B">
        <w:rPr>
          <w:rFonts w:ascii="Palatino Linotype" w:eastAsia="Calibri" w:hAnsi="Palatino Linotype" w:cs="Tahoma"/>
          <w:bCs/>
          <w:sz w:val="22"/>
          <w:szCs w:val="22"/>
          <w:lang w:eastAsia="en-US"/>
        </w:rPr>
        <w:t xml:space="preserve"> de Revisión.</w:t>
      </w:r>
    </w:p>
    <w:p w:rsidR="00E622D5" w:rsidRPr="00F0768B" w:rsidRDefault="00E622D5" w:rsidP="00336D6C">
      <w:pPr>
        <w:spacing w:line="360" w:lineRule="auto"/>
        <w:ind w:right="-93"/>
        <w:contextualSpacing/>
        <w:jc w:val="both"/>
        <w:rPr>
          <w:rFonts w:ascii="Palatino Linotype" w:eastAsia="Calibri" w:hAnsi="Palatino Linotype" w:cs="Tahoma"/>
          <w:bCs/>
          <w:sz w:val="22"/>
          <w:szCs w:val="22"/>
          <w:lang w:eastAsia="en-US"/>
        </w:rPr>
      </w:pPr>
    </w:p>
    <w:p w:rsidR="00E622D5" w:rsidRPr="00F0768B" w:rsidRDefault="00E622D5" w:rsidP="00336D6C">
      <w:pPr>
        <w:spacing w:line="360" w:lineRule="auto"/>
        <w:contextualSpacing/>
        <w:jc w:val="both"/>
        <w:rPr>
          <w:rFonts w:ascii="Palatino Linotype" w:hAnsi="Palatino Linotype" w:cs="Tahoma"/>
          <w:sz w:val="22"/>
          <w:szCs w:val="22"/>
          <w:lang w:val="es-ES"/>
        </w:rPr>
      </w:pPr>
      <w:r w:rsidRPr="00F0768B">
        <w:rPr>
          <w:rFonts w:ascii="Palatino Linotype" w:hAnsi="Palatino Linotype" w:cs="Tahoma"/>
          <w:sz w:val="22"/>
          <w:szCs w:val="22"/>
          <w:lang w:val="es-ES"/>
        </w:rPr>
        <w:t>Una vez que se han expuestos antecedentes, es procedente entrar al análisis de los agravios que dan motivo a la presente Resolución; por lo que es menester destacar la fuente obligacional del Sujeto Obligado, así como de la competencia con la que cuenta para generar o poseer la información que el hoy Recurrente solicitó y la naturaleza de la información solicitada, en los términos siguientes:</w:t>
      </w:r>
    </w:p>
    <w:p w:rsidR="00E622D5" w:rsidRPr="00F0768B" w:rsidRDefault="00E622D5" w:rsidP="00336D6C">
      <w:pPr>
        <w:spacing w:line="360" w:lineRule="auto"/>
        <w:ind w:right="-93"/>
        <w:contextualSpacing/>
        <w:jc w:val="both"/>
        <w:rPr>
          <w:rFonts w:ascii="Palatino Linotype" w:eastAsia="Calibri" w:hAnsi="Palatino Linotype" w:cs="Tahoma"/>
          <w:bCs/>
          <w:sz w:val="22"/>
          <w:szCs w:val="22"/>
          <w:lang w:eastAsia="en-US"/>
        </w:rPr>
      </w:pPr>
    </w:p>
    <w:p w:rsidR="00E622D5" w:rsidRPr="00F0768B" w:rsidRDefault="00E622D5" w:rsidP="00336D6C">
      <w:pPr>
        <w:pStyle w:val="Prrafodelista"/>
        <w:numPr>
          <w:ilvl w:val="0"/>
          <w:numId w:val="2"/>
        </w:numPr>
        <w:spacing w:line="360" w:lineRule="auto"/>
        <w:ind w:right="-93"/>
        <w:jc w:val="both"/>
        <w:rPr>
          <w:rFonts w:ascii="Palatino Linotype" w:eastAsia="Calibri" w:hAnsi="Palatino Linotype" w:cs="Tahoma"/>
          <w:bCs/>
          <w:szCs w:val="22"/>
          <w:lang w:eastAsia="en-US"/>
        </w:rPr>
      </w:pPr>
      <w:r w:rsidRPr="00F0768B">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rsidR="00E622D5" w:rsidRPr="00F0768B" w:rsidRDefault="00E622D5" w:rsidP="00336D6C">
      <w:pPr>
        <w:spacing w:line="360" w:lineRule="auto"/>
        <w:ind w:left="360" w:right="-93"/>
        <w:contextualSpacing/>
        <w:jc w:val="both"/>
        <w:rPr>
          <w:rFonts w:ascii="Palatino Linotype" w:eastAsia="Calibri" w:hAnsi="Palatino Linotype" w:cs="Tahoma"/>
          <w:bCs/>
          <w:sz w:val="22"/>
          <w:szCs w:val="22"/>
          <w:lang w:eastAsia="en-US"/>
        </w:rPr>
      </w:pPr>
    </w:p>
    <w:p w:rsidR="00E622D5" w:rsidRPr="00F0768B" w:rsidRDefault="00E622D5" w:rsidP="00336D6C">
      <w:pPr>
        <w:pStyle w:val="Prrafodelista"/>
        <w:numPr>
          <w:ilvl w:val="0"/>
          <w:numId w:val="2"/>
        </w:numPr>
        <w:spacing w:line="360" w:lineRule="auto"/>
        <w:ind w:right="-93"/>
        <w:jc w:val="both"/>
        <w:rPr>
          <w:rFonts w:ascii="Palatino Linotype" w:eastAsia="Calibri" w:hAnsi="Palatino Linotype" w:cs="Tahoma"/>
          <w:bCs/>
          <w:szCs w:val="22"/>
          <w:lang w:eastAsia="en-US"/>
        </w:rPr>
      </w:pPr>
      <w:r w:rsidRPr="00F0768B">
        <w:rPr>
          <w:rFonts w:ascii="Palatino Linotype" w:eastAsia="Calibri" w:hAnsi="Palatino Linotype" w:cs="Tahoma"/>
          <w:bCs/>
          <w:szCs w:val="22"/>
          <w:lang w:eastAsia="en-US"/>
        </w:rPr>
        <w:t>Transparentar la gestión pública, mediante la difusión de la información generada por los Sujetos Obligados, y</w:t>
      </w:r>
    </w:p>
    <w:p w:rsidR="00E622D5" w:rsidRPr="00F0768B" w:rsidRDefault="00E622D5" w:rsidP="00336D6C">
      <w:pPr>
        <w:pStyle w:val="Prrafodelista"/>
        <w:spacing w:line="360" w:lineRule="auto"/>
        <w:rPr>
          <w:rFonts w:ascii="Palatino Linotype" w:eastAsia="Calibri" w:hAnsi="Palatino Linotype" w:cs="Tahoma"/>
          <w:bCs/>
          <w:szCs w:val="22"/>
          <w:lang w:eastAsia="en-US"/>
        </w:rPr>
      </w:pPr>
    </w:p>
    <w:p w:rsidR="00E622D5" w:rsidRPr="00F0768B" w:rsidRDefault="00E622D5" w:rsidP="00336D6C">
      <w:pPr>
        <w:pStyle w:val="Prrafodelista"/>
        <w:numPr>
          <w:ilvl w:val="0"/>
          <w:numId w:val="2"/>
        </w:numPr>
        <w:spacing w:line="360" w:lineRule="auto"/>
        <w:ind w:right="-93"/>
        <w:jc w:val="both"/>
        <w:rPr>
          <w:rFonts w:ascii="Palatino Linotype" w:eastAsia="Calibri" w:hAnsi="Palatino Linotype" w:cs="Tahoma"/>
          <w:bCs/>
          <w:szCs w:val="22"/>
          <w:lang w:eastAsia="en-US"/>
        </w:rPr>
      </w:pPr>
      <w:r w:rsidRPr="00F0768B">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rsidR="00E622D5" w:rsidRPr="00F0768B" w:rsidRDefault="00E622D5" w:rsidP="00336D6C">
      <w:pPr>
        <w:spacing w:line="360" w:lineRule="auto"/>
        <w:ind w:right="-93"/>
        <w:contextualSpacing/>
        <w:jc w:val="both"/>
        <w:rPr>
          <w:rFonts w:ascii="Palatino Linotype" w:eastAsia="Calibri" w:hAnsi="Palatino Linotype" w:cs="Tahoma"/>
          <w:bCs/>
          <w:sz w:val="22"/>
          <w:szCs w:val="22"/>
          <w:lang w:eastAsia="en-US"/>
        </w:rPr>
      </w:pPr>
    </w:p>
    <w:p w:rsidR="00E622D5" w:rsidRPr="00F0768B" w:rsidRDefault="00E622D5" w:rsidP="00336D6C">
      <w:pPr>
        <w:spacing w:line="360" w:lineRule="auto"/>
        <w:ind w:right="-93"/>
        <w:contextualSpacing/>
        <w:jc w:val="both"/>
        <w:rPr>
          <w:rFonts w:ascii="Palatino Linotype" w:eastAsia="Calibri" w:hAnsi="Palatino Linotype" w:cs="Tahoma"/>
          <w:bCs/>
          <w:sz w:val="22"/>
          <w:szCs w:val="22"/>
          <w:lang w:eastAsia="en-US"/>
        </w:rPr>
      </w:pPr>
      <w:r w:rsidRPr="00F0768B">
        <w:rPr>
          <w:rFonts w:ascii="Palatino Linotype" w:eastAsia="Calibri" w:hAnsi="Palatino Linotype" w:cs="Tahoma"/>
          <w:bCs/>
          <w:sz w:val="22"/>
          <w:szCs w:val="22"/>
          <w:lang w:eastAsia="en-US"/>
        </w:rPr>
        <w:t xml:space="preserve">Conforme a lo anterior, se deprende que </w:t>
      </w:r>
      <w:r w:rsidRPr="00F0768B">
        <w:rPr>
          <w:rFonts w:ascii="Palatino Linotype" w:eastAsia="Calibri" w:hAnsi="Palatino Linotype" w:cs="Tahoma"/>
          <w:b/>
          <w:bCs/>
          <w:sz w:val="22"/>
          <w:szCs w:val="22"/>
          <w:lang w:eastAsia="en-US"/>
        </w:rPr>
        <w:t>los objetivos de la Ley de la materia,</w:t>
      </w:r>
      <w:r w:rsidRPr="00F0768B">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rsidR="00E622D5" w:rsidRPr="00F0768B" w:rsidRDefault="00E622D5" w:rsidP="00336D6C">
      <w:pPr>
        <w:spacing w:line="360" w:lineRule="auto"/>
        <w:ind w:right="-93"/>
        <w:contextualSpacing/>
        <w:jc w:val="both"/>
        <w:rPr>
          <w:rFonts w:ascii="Palatino Linotype" w:eastAsia="Calibri" w:hAnsi="Palatino Linotype" w:cs="Tahoma"/>
          <w:bCs/>
          <w:sz w:val="22"/>
          <w:szCs w:val="22"/>
          <w:lang w:eastAsia="en-US"/>
        </w:rPr>
      </w:pPr>
      <w:r w:rsidRPr="00F0768B">
        <w:rPr>
          <w:rFonts w:ascii="Palatino Linotype" w:eastAsia="Calibri" w:hAnsi="Palatino Linotype" w:cs="Tahoma"/>
          <w:bCs/>
          <w:sz w:val="22"/>
          <w:szCs w:val="22"/>
          <w:lang w:eastAsia="en-US"/>
        </w:rPr>
        <w:lastRenderedPageBreak/>
        <w:t xml:space="preserve">En ese orden de ideas, para la atención de las solicitudes de acceso a la información, debe privilegiarse el </w:t>
      </w:r>
      <w:r w:rsidRPr="00F0768B">
        <w:rPr>
          <w:rFonts w:ascii="Palatino Linotype" w:eastAsia="Calibri" w:hAnsi="Palatino Linotype" w:cs="Tahoma"/>
          <w:b/>
          <w:bCs/>
          <w:sz w:val="22"/>
          <w:szCs w:val="22"/>
          <w:lang w:eastAsia="en-US"/>
        </w:rPr>
        <w:t>principio de máxima publicidad</w:t>
      </w:r>
      <w:r w:rsidRPr="00F0768B">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00E622D5" w:rsidRPr="00F0768B" w:rsidRDefault="00E622D5" w:rsidP="00336D6C">
      <w:pPr>
        <w:spacing w:line="360" w:lineRule="auto"/>
        <w:ind w:right="-93"/>
        <w:contextualSpacing/>
        <w:jc w:val="both"/>
        <w:rPr>
          <w:rFonts w:ascii="Palatino Linotype" w:eastAsia="Calibri" w:hAnsi="Palatino Linotype" w:cs="Tahoma"/>
          <w:bCs/>
          <w:sz w:val="22"/>
          <w:szCs w:val="22"/>
          <w:lang w:eastAsia="en-US"/>
        </w:rPr>
      </w:pPr>
    </w:p>
    <w:p w:rsidR="00E622D5" w:rsidRPr="00F0768B" w:rsidRDefault="00E622D5" w:rsidP="00336D6C">
      <w:pPr>
        <w:spacing w:line="360" w:lineRule="auto"/>
        <w:ind w:right="-93"/>
        <w:contextualSpacing/>
        <w:jc w:val="both"/>
        <w:rPr>
          <w:rFonts w:ascii="Palatino Linotype" w:eastAsia="Calibri" w:hAnsi="Palatino Linotype" w:cs="Tahoma"/>
          <w:bCs/>
          <w:sz w:val="22"/>
          <w:szCs w:val="22"/>
          <w:lang w:eastAsia="en-US"/>
        </w:rPr>
      </w:pPr>
      <w:r w:rsidRPr="00F0768B">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00E622D5" w:rsidRPr="00F0768B" w:rsidRDefault="00E622D5" w:rsidP="00336D6C">
      <w:pPr>
        <w:spacing w:line="360" w:lineRule="auto"/>
        <w:ind w:right="-93"/>
        <w:contextualSpacing/>
        <w:jc w:val="both"/>
        <w:rPr>
          <w:rFonts w:ascii="Palatino Linotype" w:eastAsia="Calibri" w:hAnsi="Palatino Linotype" w:cs="Tahoma"/>
          <w:bCs/>
          <w:sz w:val="22"/>
          <w:szCs w:val="22"/>
          <w:lang w:eastAsia="en-US"/>
        </w:rPr>
      </w:pPr>
    </w:p>
    <w:p w:rsidR="00E622D5" w:rsidRPr="00F0768B" w:rsidRDefault="00E622D5" w:rsidP="00336D6C">
      <w:pPr>
        <w:pStyle w:val="Prrafodelista"/>
        <w:numPr>
          <w:ilvl w:val="0"/>
          <w:numId w:val="3"/>
        </w:numPr>
        <w:spacing w:line="360" w:lineRule="auto"/>
        <w:ind w:right="-93"/>
        <w:jc w:val="both"/>
        <w:rPr>
          <w:rFonts w:ascii="Palatino Linotype" w:eastAsia="Calibri" w:hAnsi="Palatino Linotype" w:cs="Tahoma"/>
          <w:bCs/>
          <w:szCs w:val="22"/>
          <w:lang w:eastAsia="en-US"/>
        </w:rPr>
      </w:pPr>
      <w:r w:rsidRPr="00F0768B">
        <w:rPr>
          <w:rFonts w:ascii="Palatino Linotype" w:eastAsia="Calibri" w:hAnsi="Palatino Linotype" w:cs="Tahoma"/>
          <w:bCs/>
          <w:szCs w:val="22"/>
          <w:lang w:eastAsia="en-US"/>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rsidR="00E622D5" w:rsidRPr="00F0768B" w:rsidRDefault="00E622D5" w:rsidP="00336D6C">
      <w:pPr>
        <w:pStyle w:val="Prrafodelista"/>
        <w:spacing w:line="360" w:lineRule="auto"/>
        <w:ind w:right="-93"/>
        <w:jc w:val="both"/>
        <w:rPr>
          <w:rFonts w:ascii="Palatino Linotype" w:eastAsia="Calibri" w:hAnsi="Palatino Linotype" w:cs="Tahoma"/>
          <w:bCs/>
          <w:szCs w:val="22"/>
          <w:lang w:eastAsia="en-US"/>
        </w:rPr>
      </w:pPr>
    </w:p>
    <w:p w:rsidR="00E622D5" w:rsidRPr="00F0768B" w:rsidRDefault="00E622D5" w:rsidP="00336D6C">
      <w:pPr>
        <w:pStyle w:val="Prrafodelista"/>
        <w:numPr>
          <w:ilvl w:val="0"/>
          <w:numId w:val="3"/>
        </w:numPr>
        <w:spacing w:line="360" w:lineRule="auto"/>
        <w:ind w:right="-93"/>
        <w:jc w:val="both"/>
        <w:rPr>
          <w:rFonts w:ascii="Palatino Linotype" w:eastAsia="Calibri" w:hAnsi="Palatino Linotype" w:cs="Tahoma"/>
          <w:bCs/>
          <w:szCs w:val="22"/>
          <w:lang w:eastAsia="en-US"/>
        </w:rPr>
      </w:pPr>
      <w:r w:rsidRPr="00F0768B">
        <w:rPr>
          <w:rFonts w:ascii="Palatino Linotype" w:eastAsia="Calibri" w:hAnsi="Palatino Linotype" w:cs="Tahoma"/>
          <w:bCs/>
          <w:szCs w:val="22"/>
          <w:lang w:eastAsia="en-US"/>
        </w:rPr>
        <w:t xml:space="preserve">La respuesta a los requerimientos informativos, deberán notificarse al interesado en el menor tiempo posible, que no podrá exceder de </w:t>
      </w:r>
      <w:r w:rsidRPr="00F0768B">
        <w:rPr>
          <w:rFonts w:ascii="Palatino Linotype" w:eastAsia="Calibri" w:hAnsi="Palatino Linotype" w:cs="Tahoma"/>
          <w:b/>
          <w:bCs/>
          <w:szCs w:val="22"/>
          <w:lang w:eastAsia="en-US"/>
        </w:rPr>
        <w:t>quince días hábiles, contados a partir del día siguiente a la presentación de esta.</w:t>
      </w:r>
      <w:r w:rsidRPr="00F0768B">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rsidR="00E622D5" w:rsidRPr="00F0768B" w:rsidRDefault="00E622D5" w:rsidP="00336D6C">
      <w:pPr>
        <w:pStyle w:val="Prrafodelista"/>
        <w:spacing w:line="360" w:lineRule="auto"/>
        <w:rPr>
          <w:rFonts w:ascii="Palatino Linotype" w:eastAsia="Calibri" w:hAnsi="Palatino Linotype" w:cs="Tahoma"/>
          <w:bCs/>
          <w:szCs w:val="22"/>
          <w:lang w:eastAsia="en-US"/>
        </w:rPr>
      </w:pPr>
    </w:p>
    <w:p w:rsidR="00E622D5" w:rsidRPr="00F0768B" w:rsidRDefault="00E622D5" w:rsidP="00336D6C">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F0768B">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w:t>
      </w:r>
      <w:r w:rsidRPr="00F0768B">
        <w:rPr>
          <w:rFonts w:ascii="Palatino Linotype" w:eastAsia="Calibri" w:hAnsi="Palatino Linotype" w:cs="Tahoma"/>
          <w:bCs/>
          <w:szCs w:val="22"/>
          <w:lang w:eastAsia="en-US"/>
        </w:rPr>
        <w:lastRenderedPageBreak/>
        <w:t xml:space="preserve">expresiones documentales </w:t>
      </w:r>
      <w:r w:rsidRPr="00F0768B">
        <w:rPr>
          <w:rFonts w:ascii="Palatino Linotype" w:eastAsia="Calibri" w:hAnsi="Palatino Linotype" w:cs="Tahoma"/>
          <w:b/>
          <w:bCs/>
          <w:szCs w:val="22"/>
          <w:lang w:eastAsia="en-US"/>
        </w:rPr>
        <w:t>que se encuentren en sus archivos o que estén constreñidos a elaborar;</w:t>
      </w:r>
    </w:p>
    <w:p w:rsidR="00E622D5" w:rsidRPr="00F0768B" w:rsidRDefault="00E622D5" w:rsidP="00336D6C">
      <w:pPr>
        <w:pStyle w:val="Prrafodelista"/>
        <w:spacing w:line="360" w:lineRule="auto"/>
        <w:rPr>
          <w:rFonts w:ascii="Palatino Linotype" w:eastAsia="Calibri" w:hAnsi="Palatino Linotype" w:cs="Tahoma"/>
          <w:b/>
          <w:bCs/>
          <w:szCs w:val="22"/>
          <w:lang w:eastAsia="en-US"/>
        </w:rPr>
      </w:pPr>
    </w:p>
    <w:p w:rsidR="00E622D5" w:rsidRPr="00F0768B" w:rsidRDefault="00E622D5" w:rsidP="00336D6C">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F0768B">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rsidR="00E622D5" w:rsidRPr="00F0768B" w:rsidRDefault="00E622D5" w:rsidP="00336D6C">
      <w:pPr>
        <w:pStyle w:val="Prrafodelista"/>
        <w:spacing w:line="360" w:lineRule="auto"/>
        <w:rPr>
          <w:rFonts w:ascii="Palatino Linotype" w:eastAsia="Calibri" w:hAnsi="Palatino Linotype" w:cs="Tahoma"/>
          <w:b/>
          <w:bCs/>
          <w:szCs w:val="22"/>
          <w:lang w:eastAsia="en-US"/>
        </w:rPr>
      </w:pPr>
    </w:p>
    <w:p w:rsidR="00E622D5" w:rsidRPr="00F0768B" w:rsidRDefault="00E622D5" w:rsidP="00336D6C">
      <w:pPr>
        <w:pStyle w:val="Prrafodelista"/>
        <w:numPr>
          <w:ilvl w:val="0"/>
          <w:numId w:val="3"/>
        </w:numPr>
        <w:spacing w:line="360" w:lineRule="auto"/>
        <w:ind w:right="-28"/>
        <w:jc w:val="both"/>
        <w:rPr>
          <w:rFonts w:ascii="Palatino Linotype" w:eastAsia="Calibri" w:hAnsi="Palatino Linotype" w:cs="Tahoma"/>
          <w:b/>
          <w:bCs/>
          <w:szCs w:val="22"/>
          <w:lang w:eastAsia="en-US"/>
        </w:rPr>
      </w:pPr>
      <w:r w:rsidRPr="00F0768B">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00E622D5" w:rsidRPr="00F0768B" w:rsidRDefault="00E622D5" w:rsidP="00336D6C">
      <w:pPr>
        <w:spacing w:line="360" w:lineRule="auto"/>
        <w:contextualSpacing/>
        <w:jc w:val="both"/>
        <w:rPr>
          <w:rFonts w:ascii="Palatino Linotype" w:eastAsia="Calibri" w:hAnsi="Palatino Linotype" w:cs="Tahoma"/>
          <w:b/>
          <w:bCs/>
          <w:sz w:val="22"/>
          <w:szCs w:val="22"/>
          <w:lang w:eastAsia="en-US"/>
        </w:rPr>
      </w:pPr>
    </w:p>
    <w:p w:rsidR="00E622D5" w:rsidRDefault="00E622D5" w:rsidP="00336D6C">
      <w:pPr>
        <w:spacing w:line="360" w:lineRule="auto"/>
        <w:contextualSpacing/>
        <w:jc w:val="both"/>
        <w:rPr>
          <w:rFonts w:ascii="Palatino Linotype" w:eastAsia="Calibri" w:hAnsi="Palatino Linotype" w:cs="Tahoma"/>
          <w:bCs/>
          <w:sz w:val="22"/>
          <w:szCs w:val="22"/>
          <w:lang w:eastAsia="en-US"/>
        </w:rPr>
      </w:pPr>
      <w:r w:rsidRPr="0089475E">
        <w:rPr>
          <w:rFonts w:ascii="Palatino Linotype" w:eastAsia="Calibri" w:hAnsi="Palatino Linotype" w:cs="Tahoma"/>
          <w:bCs/>
          <w:sz w:val="22"/>
          <w:szCs w:val="22"/>
          <w:lang w:eastAsia="en-US"/>
        </w:rPr>
        <w:t xml:space="preserve">Bajo esta perspectiva, es preciso indicar que el agravio del cual se inconforma el hoy Recurrente </w:t>
      </w:r>
      <w:r w:rsidRPr="0089475E">
        <w:rPr>
          <w:rFonts w:ascii="Palatino Linotype" w:eastAsia="Calibri" w:hAnsi="Palatino Linotype" w:cs="Tahoma"/>
          <w:b/>
          <w:bCs/>
          <w:sz w:val="22"/>
          <w:szCs w:val="22"/>
          <w:lang w:eastAsia="en-US"/>
        </w:rPr>
        <w:t xml:space="preserve">consiste en la falta de respuesta a su solicitud por parte del </w:t>
      </w:r>
      <w:r w:rsidR="00471E3B" w:rsidRPr="00471E3B">
        <w:rPr>
          <w:rFonts w:ascii="Palatino Linotype" w:eastAsia="Calibri" w:hAnsi="Palatino Linotype" w:cs="Tahoma"/>
          <w:b/>
          <w:bCs/>
          <w:iCs/>
          <w:color w:val="0D0D0D" w:themeColor="text1" w:themeTint="F2"/>
          <w:sz w:val="22"/>
          <w:szCs w:val="22"/>
          <w:lang w:eastAsia="en-US"/>
        </w:rPr>
        <w:t>Ayuntamiento de Naucalpan de Juárez</w:t>
      </w:r>
      <w:r w:rsidRPr="0089475E">
        <w:rPr>
          <w:rFonts w:ascii="Palatino Linotype" w:eastAsia="Calibri" w:hAnsi="Palatino Linotype" w:cs="Tahoma"/>
          <w:bCs/>
          <w:sz w:val="22"/>
          <w:szCs w:val="22"/>
          <w:lang w:eastAsia="en-US"/>
        </w:rPr>
        <w:t>, se estudia en los siguientes términos:</w:t>
      </w:r>
    </w:p>
    <w:p w:rsidR="00E622D5" w:rsidRPr="0089475E" w:rsidRDefault="00E622D5" w:rsidP="00336D6C">
      <w:pPr>
        <w:spacing w:line="360" w:lineRule="auto"/>
        <w:contextualSpacing/>
        <w:jc w:val="both"/>
        <w:rPr>
          <w:rFonts w:ascii="Palatino Linotype" w:eastAsia="Calibri" w:hAnsi="Palatino Linotype" w:cs="Tahoma"/>
          <w:bCs/>
          <w:sz w:val="22"/>
          <w:szCs w:val="22"/>
          <w:lang w:eastAsia="en-US"/>
        </w:rPr>
      </w:pPr>
    </w:p>
    <w:p w:rsidR="00E622D5" w:rsidRPr="0089475E" w:rsidRDefault="00E622D5" w:rsidP="00336D6C">
      <w:pPr>
        <w:spacing w:line="360" w:lineRule="auto"/>
        <w:contextualSpacing/>
        <w:jc w:val="both"/>
        <w:rPr>
          <w:rFonts w:ascii="Palatino Linotype" w:eastAsia="Calibri" w:hAnsi="Palatino Linotype" w:cs="Tahoma"/>
          <w:bCs/>
          <w:sz w:val="22"/>
          <w:szCs w:val="22"/>
          <w:lang w:eastAsia="en-US"/>
        </w:rPr>
      </w:pPr>
      <w:r w:rsidRPr="0089475E">
        <w:rPr>
          <w:rFonts w:ascii="Palatino Linotype" w:eastAsia="Calibri" w:hAnsi="Palatino Linotype" w:cs="Tahoma"/>
          <w:bCs/>
          <w:sz w:val="22"/>
          <w:szCs w:val="22"/>
          <w:lang w:eastAsia="en-US"/>
        </w:rPr>
        <w:t xml:space="preserve">El Instituto verificó, dentro de las actuaciones que conforman el expediente electrónico a través del Sistema de Acceso a la Información Mexiquense (SAIMEX), el </w:t>
      </w:r>
      <w:r w:rsidRPr="0089475E">
        <w:rPr>
          <w:rFonts w:ascii="Palatino Linotype" w:eastAsia="Calibri" w:hAnsi="Palatino Linotype" w:cs="Tahoma"/>
          <w:b/>
          <w:bCs/>
          <w:sz w:val="22"/>
          <w:szCs w:val="22"/>
          <w:lang w:eastAsia="en-US"/>
        </w:rPr>
        <w:t>Sujeto Obligado fue</w:t>
      </w:r>
      <w:r w:rsidR="00471E3B">
        <w:rPr>
          <w:rFonts w:ascii="Palatino Linotype" w:eastAsia="Calibri" w:hAnsi="Palatino Linotype" w:cs="Tahoma"/>
          <w:b/>
          <w:bCs/>
          <w:sz w:val="22"/>
          <w:szCs w:val="22"/>
          <w:lang w:eastAsia="en-US"/>
        </w:rPr>
        <w:t xml:space="preserve"> omiso en registrar respuesta </w:t>
      </w:r>
      <w:r w:rsidRPr="0089475E">
        <w:rPr>
          <w:rFonts w:ascii="Palatino Linotype" w:eastAsia="Calibri" w:hAnsi="Palatino Linotype" w:cs="Tahoma"/>
          <w:b/>
          <w:bCs/>
          <w:sz w:val="22"/>
          <w:szCs w:val="22"/>
          <w:lang w:eastAsia="en-US"/>
        </w:rPr>
        <w:t>a la solicitud interpuesta por el hoy Recurrente</w:t>
      </w:r>
      <w:r w:rsidRPr="0089475E">
        <w:rPr>
          <w:rFonts w:ascii="Palatino Linotype" w:eastAsia="Calibri" w:hAnsi="Palatino Linotype" w:cs="Tahoma"/>
          <w:bCs/>
          <w:sz w:val="22"/>
          <w:szCs w:val="22"/>
          <w:lang w:eastAsia="en-US"/>
        </w:rPr>
        <w:t xml:space="preserve"> </w:t>
      </w:r>
      <w:r w:rsidRPr="0089475E">
        <w:rPr>
          <w:rFonts w:ascii="Palatino Linotype" w:hAnsi="Palatino Linotype" w:cs="Tahoma"/>
          <w:sz w:val="22"/>
          <w:szCs w:val="22"/>
          <w:lang w:val="es-ES"/>
        </w:rPr>
        <w:t>durante el plazo de ley y hasta la fecha de emisión de la presente Resolución.</w:t>
      </w:r>
    </w:p>
    <w:p w:rsidR="007B00A0" w:rsidRDefault="007B00A0" w:rsidP="00336D6C">
      <w:pPr>
        <w:autoSpaceDE w:val="0"/>
        <w:autoSpaceDN w:val="0"/>
        <w:adjustRightInd w:val="0"/>
        <w:spacing w:line="360" w:lineRule="auto"/>
        <w:contextualSpacing/>
        <w:jc w:val="both"/>
        <w:rPr>
          <w:rFonts w:ascii="Palatino Linotype" w:eastAsia="Calibri" w:hAnsi="Palatino Linotype" w:cs="Tahoma"/>
          <w:b/>
          <w:bCs/>
          <w:sz w:val="22"/>
          <w:szCs w:val="22"/>
          <w:lang w:eastAsia="en-US"/>
        </w:rPr>
      </w:pPr>
    </w:p>
    <w:p w:rsidR="00471E3B" w:rsidRPr="001E0D8F" w:rsidRDefault="00471E3B" w:rsidP="00336D6C">
      <w:pPr>
        <w:spacing w:line="360" w:lineRule="auto"/>
        <w:ind w:right="-93" w:firstLine="1"/>
        <w:contextualSpacing/>
        <w:jc w:val="both"/>
        <w:rPr>
          <w:rFonts w:ascii="Palatino Linotype" w:eastAsia="Calibri" w:hAnsi="Palatino Linotype" w:cs="Tahoma"/>
          <w:bCs/>
          <w:sz w:val="22"/>
          <w:szCs w:val="22"/>
          <w:lang w:eastAsia="en-US"/>
        </w:rPr>
      </w:pPr>
      <w:r w:rsidRPr="00697E2D">
        <w:rPr>
          <w:rFonts w:ascii="Palatino Linotype" w:eastAsia="Calibri" w:hAnsi="Palatino Linotype" w:cs="Tahoma"/>
          <w:bCs/>
          <w:sz w:val="22"/>
          <w:szCs w:val="22"/>
          <w:lang w:eastAsia="en-US"/>
        </w:rPr>
        <w:t>En ese orden de ideas y de acuerdo con los artículos 163 y 3° fracción X de la Ley de Transparencia y Acceso a la Información</w:t>
      </w:r>
      <w:r w:rsidRPr="0089475E">
        <w:rPr>
          <w:rFonts w:ascii="Palatino Linotype" w:eastAsia="Calibri" w:hAnsi="Palatino Linotype" w:cs="Tahoma"/>
          <w:bCs/>
          <w:sz w:val="22"/>
          <w:szCs w:val="22"/>
          <w:lang w:eastAsia="en-US"/>
        </w:rPr>
        <w:t xml:space="preserve"> Pública del Estado de México y Municipios, el plazo con el que contaba el Sujeto Obligado para emitir contestación a la solicitud de acceso a la </w:t>
      </w:r>
      <w:r w:rsidRPr="0089475E">
        <w:rPr>
          <w:rFonts w:ascii="Palatino Linotype" w:eastAsia="Calibri" w:hAnsi="Palatino Linotype" w:cs="Tahoma"/>
          <w:bCs/>
          <w:sz w:val="22"/>
          <w:szCs w:val="22"/>
          <w:lang w:eastAsia="en-US"/>
        </w:rPr>
        <w:lastRenderedPageBreak/>
        <w:t>información comenzó el</w:t>
      </w:r>
      <w:r w:rsidRPr="00471E3B">
        <w:rPr>
          <w:rFonts w:ascii="Palatino Linotype" w:eastAsia="Calibri" w:hAnsi="Palatino Linotype" w:cs="Tahoma"/>
          <w:bCs/>
          <w:sz w:val="22"/>
          <w:szCs w:val="22"/>
          <w:lang w:eastAsia="en-US"/>
        </w:rPr>
        <w:t xml:space="preserve"> </w:t>
      </w:r>
      <w:r w:rsidRPr="001E0D8F">
        <w:rPr>
          <w:rFonts w:ascii="Palatino Linotype" w:eastAsia="Calibri" w:hAnsi="Palatino Linotype" w:cs="Tahoma"/>
          <w:bCs/>
          <w:sz w:val="22"/>
          <w:szCs w:val="22"/>
          <w:lang w:eastAsia="en-US"/>
        </w:rPr>
        <w:t xml:space="preserve">a correr el </w:t>
      </w:r>
      <w:r w:rsidR="00400761">
        <w:rPr>
          <w:rFonts w:ascii="Palatino Linotype" w:eastAsia="Calibri" w:hAnsi="Palatino Linotype" w:cs="Tahoma"/>
          <w:b/>
          <w:bCs/>
          <w:sz w:val="22"/>
          <w:szCs w:val="22"/>
          <w:lang w:eastAsia="en-US"/>
        </w:rPr>
        <w:t>tres de junio</w:t>
      </w:r>
      <w:r>
        <w:rPr>
          <w:rFonts w:ascii="Palatino Linotype" w:eastAsia="Calibri" w:hAnsi="Palatino Linotype" w:cs="Tahoma"/>
          <w:b/>
          <w:bCs/>
          <w:sz w:val="22"/>
          <w:szCs w:val="22"/>
          <w:lang w:eastAsia="en-US"/>
        </w:rPr>
        <w:t xml:space="preserve"> </w:t>
      </w:r>
      <w:r w:rsidRPr="001E0D8F">
        <w:rPr>
          <w:rFonts w:ascii="Palatino Linotype" w:eastAsia="Calibri" w:hAnsi="Palatino Linotype" w:cs="Tahoma"/>
          <w:b/>
          <w:bCs/>
          <w:sz w:val="22"/>
          <w:szCs w:val="22"/>
          <w:lang w:eastAsia="en-US"/>
        </w:rPr>
        <w:t>de la presente anualidad</w:t>
      </w:r>
      <w:r w:rsidRPr="001E0D8F">
        <w:rPr>
          <w:rFonts w:ascii="Palatino Linotype" w:eastAsia="Calibri" w:hAnsi="Palatino Linotype" w:cs="Tahoma"/>
          <w:bCs/>
          <w:sz w:val="22"/>
          <w:szCs w:val="22"/>
          <w:lang w:eastAsia="en-US"/>
        </w:rPr>
        <w:t xml:space="preserve"> y feneció el </w:t>
      </w:r>
      <w:r w:rsidR="00400761">
        <w:rPr>
          <w:rFonts w:ascii="Palatino Linotype" w:eastAsia="Calibri" w:hAnsi="Palatino Linotype" w:cs="Tahoma"/>
          <w:b/>
          <w:bCs/>
          <w:sz w:val="22"/>
          <w:szCs w:val="22"/>
          <w:lang w:eastAsia="en-US"/>
        </w:rPr>
        <w:t>veintiuno de junio</w:t>
      </w:r>
      <w:r>
        <w:rPr>
          <w:rFonts w:ascii="Palatino Linotype" w:eastAsia="Calibri" w:hAnsi="Palatino Linotype" w:cs="Tahoma"/>
          <w:b/>
          <w:bCs/>
          <w:sz w:val="22"/>
          <w:szCs w:val="22"/>
          <w:lang w:eastAsia="en-US"/>
        </w:rPr>
        <w:t xml:space="preserve"> del mismo </w:t>
      </w:r>
      <w:r w:rsidRPr="001E0D8F">
        <w:rPr>
          <w:rFonts w:ascii="Palatino Linotype" w:eastAsia="Calibri" w:hAnsi="Palatino Linotype" w:cs="Tahoma"/>
          <w:b/>
          <w:bCs/>
          <w:sz w:val="22"/>
          <w:szCs w:val="22"/>
          <w:lang w:eastAsia="en-US"/>
        </w:rPr>
        <w:t>año</w:t>
      </w:r>
      <w:r>
        <w:rPr>
          <w:rFonts w:ascii="Palatino Linotype" w:eastAsia="Calibri" w:hAnsi="Palatino Linotype" w:cs="Tahoma"/>
          <w:b/>
          <w:bCs/>
          <w:sz w:val="22"/>
          <w:szCs w:val="22"/>
          <w:lang w:eastAsia="en-US"/>
        </w:rPr>
        <w:t xml:space="preserve">, por lo que el </w:t>
      </w:r>
      <w:r w:rsidR="00400761">
        <w:rPr>
          <w:rFonts w:ascii="Palatino Linotype" w:eastAsia="Calibri" w:hAnsi="Palatino Linotype" w:cs="Tahoma"/>
          <w:b/>
          <w:bCs/>
          <w:sz w:val="22"/>
          <w:szCs w:val="22"/>
          <w:lang w:eastAsia="en-US"/>
        </w:rPr>
        <w:t>veintiuno de junio</w:t>
      </w:r>
      <w:r>
        <w:rPr>
          <w:rFonts w:ascii="Palatino Linotype" w:eastAsia="Calibri" w:hAnsi="Palatino Linotype" w:cs="Tahoma"/>
          <w:b/>
          <w:bCs/>
          <w:sz w:val="22"/>
          <w:szCs w:val="22"/>
          <w:lang w:eastAsia="en-US"/>
        </w:rPr>
        <w:t xml:space="preserve"> el Sujeto Obligado solicitó prórroga para atender la solicitud y esta venció el día </w:t>
      </w:r>
      <w:r w:rsidR="00400761">
        <w:rPr>
          <w:rFonts w:ascii="Palatino Linotype" w:eastAsia="Calibri" w:hAnsi="Palatino Linotype" w:cs="Tahoma"/>
          <w:b/>
          <w:bCs/>
          <w:sz w:val="22"/>
          <w:szCs w:val="22"/>
          <w:lang w:eastAsia="en-US"/>
        </w:rPr>
        <w:t>dos de julio</w:t>
      </w:r>
      <w:r>
        <w:rPr>
          <w:rFonts w:ascii="Palatino Linotype" w:eastAsia="Calibri" w:hAnsi="Palatino Linotype" w:cs="Tahoma"/>
          <w:b/>
          <w:bCs/>
          <w:sz w:val="22"/>
          <w:szCs w:val="22"/>
          <w:lang w:eastAsia="en-US"/>
        </w:rPr>
        <w:t xml:space="preserve"> del mismo año, </w:t>
      </w:r>
      <w:r w:rsidRPr="001E0D8F">
        <w:rPr>
          <w:rFonts w:ascii="Palatino Linotype" w:eastAsia="Calibri" w:hAnsi="Palatino Linotype" w:cs="Tahoma"/>
          <w:bCs/>
          <w:sz w:val="22"/>
          <w:szCs w:val="22"/>
          <w:lang w:eastAsia="en-US"/>
        </w:rPr>
        <w:t xml:space="preserve">lo anterior, sin contar los </w:t>
      </w:r>
      <w:r w:rsidR="00697E2D">
        <w:rPr>
          <w:rFonts w:ascii="Palatino Linotype" w:eastAsia="Calibri" w:hAnsi="Palatino Linotype" w:cs="Tahoma"/>
          <w:bCs/>
          <w:sz w:val="22"/>
          <w:szCs w:val="22"/>
          <w:lang w:eastAsia="en-US"/>
        </w:rPr>
        <w:t>primero, dos, ocho, nueve, quince, dieciséis, veintidós, veintitrés, veintinueve y treinta de junio del año en curso,</w:t>
      </w:r>
      <w:r w:rsidRPr="001E0D8F">
        <w:rPr>
          <w:rFonts w:ascii="Palatino Linotype" w:eastAsia="Calibri" w:hAnsi="Palatino Linotype" w:cs="Tahoma"/>
          <w:bCs/>
          <w:sz w:val="22"/>
          <w:szCs w:val="22"/>
          <w:lang w:eastAsia="en-US"/>
        </w:rPr>
        <w:t xml:space="preserve"> al ser inhábiles de conformidad con el artículo 3°, fracción X, de la Ley de Transparencia y Acceso a la Información Pública del Estado de México y Municipios, así como, el Calendario Oficial en Materia de Transparencia, Acceso a la Información Pública del Estado de México y Municipios, para el año dos mil diecinueve y enero dos mil veinte, publicado en el Periódico Oficial del Gobierno del Estado de México “Gaceta del Gobierno” el diecinueve de diciembre de dos mil dieciocho.</w:t>
      </w:r>
    </w:p>
    <w:p w:rsidR="00471E3B" w:rsidRPr="0089475E" w:rsidRDefault="00471E3B" w:rsidP="00336D6C">
      <w:pPr>
        <w:spacing w:line="360" w:lineRule="auto"/>
        <w:contextualSpacing/>
        <w:jc w:val="both"/>
        <w:rPr>
          <w:rFonts w:ascii="Palatino Linotype" w:eastAsia="Calibri" w:hAnsi="Palatino Linotype" w:cs="Tahoma"/>
          <w:bCs/>
          <w:sz w:val="22"/>
          <w:szCs w:val="22"/>
          <w:lang w:eastAsia="en-US"/>
        </w:rPr>
      </w:pPr>
    </w:p>
    <w:p w:rsidR="00471E3B" w:rsidRPr="0089475E" w:rsidRDefault="00471E3B" w:rsidP="00336D6C">
      <w:pPr>
        <w:spacing w:line="360" w:lineRule="auto"/>
        <w:contextualSpacing/>
        <w:jc w:val="both"/>
        <w:rPr>
          <w:rFonts w:ascii="Palatino Linotype" w:eastAsia="Calibri" w:hAnsi="Palatino Linotype" w:cs="Tahoma"/>
          <w:b/>
          <w:bCs/>
          <w:sz w:val="22"/>
          <w:szCs w:val="22"/>
          <w:lang w:eastAsia="en-US"/>
        </w:rPr>
      </w:pPr>
      <w:r w:rsidRPr="0089475E">
        <w:rPr>
          <w:rFonts w:ascii="Palatino Linotype" w:eastAsia="Calibri" w:hAnsi="Palatino Linotype" w:cs="Tahoma"/>
          <w:bCs/>
          <w:sz w:val="22"/>
          <w:szCs w:val="22"/>
          <w:lang w:eastAsia="en-US"/>
        </w:rPr>
        <w:t xml:space="preserve">Así, se advierte que, tal como lo indicó el Particular, el </w:t>
      </w:r>
      <w:r w:rsidRPr="0089475E">
        <w:rPr>
          <w:rFonts w:ascii="Palatino Linotype" w:eastAsia="Calibri" w:hAnsi="Palatino Linotype" w:cs="Tahoma"/>
          <w:sz w:val="22"/>
          <w:szCs w:val="22"/>
          <w:lang w:eastAsia="en-US"/>
        </w:rPr>
        <w:t xml:space="preserve">Sujeto Obligado </w:t>
      </w:r>
      <w:r w:rsidRPr="0089475E">
        <w:rPr>
          <w:rFonts w:ascii="Palatino Linotype" w:eastAsia="Calibri" w:hAnsi="Palatino Linotype" w:cs="Tahoma"/>
          <w:bCs/>
          <w:sz w:val="22"/>
          <w:szCs w:val="22"/>
          <w:lang w:eastAsia="en-US"/>
        </w:rPr>
        <w:t xml:space="preserve">no atendió su solicitud, para dar contestación a la misma, dentro de los plazos establecidos en el artículo 163 de la Ley de la materia, pues tenía hasta el </w:t>
      </w:r>
      <w:r w:rsidR="00697E2D">
        <w:rPr>
          <w:rFonts w:ascii="Palatino Linotype" w:eastAsia="Calibri" w:hAnsi="Palatino Linotype" w:cs="Tahoma"/>
          <w:b/>
          <w:bCs/>
          <w:sz w:val="22"/>
          <w:szCs w:val="22"/>
          <w:lang w:eastAsia="en-US"/>
        </w:rPr>
        <w:t>dos de julio</w:t>
      </w:r>
      <w:r>
        <w:rPr>
          <w:rFonts w:ascii="Palatino Linotype" w:eastAsia="Calibri" w:hAnsi="Palatino Linotype" w:cs="Tahoma"/>
          <w:b/>
          <w:bCs/>
          <w:sz w:val="22"/>
          <w:szCs w:val="22"/>
          <w:lang w:eastAsia="en-US"/>
        </w:rPr>
        <w:t xml:space="preserve"> </w:t>
      </w:r>
      <w:r w:rsidRPr="0089475E">
        <w:rPr>
          <w:rFonts w:ascii="Palatino Linotype" w:eastAsia="Calibri" w:hAnsi="Palatino Linotype" w:cs="Tahoma"/>
          <w:b/>
          <w:bCs/>
          <w:sz w:val="22"/>
          <w:szCs w:val="22"/>
          <w:lang w:eastAsia="en-US"/>
        </w:rPr>
        <w:t>de dos mil diecinueve</w:t>
      </w:r>
      <w:r w:rsidRPr="0089475E">
        <w:rPr>
          <w:rFonts w:ascii="Palatino Linotype" w:eastAsia="Calibri" w:hAnsi="Palatino Linotype" w:cs="Tahoma"/>
          <w:bCs/>
          <w:sz w:val="22"/>
          <w:szCs w:val="22"/>
          <w:lang w:eastAsia="en-US"/>
        </w:rPr>
        <w:t xml:space="preserve"> para notificar </w:t>
      </w:r>
      <w:r>
        <w:rPr>
          <w:rFonts w:ascii="Palatino Linotype" w:eastAsia="Calibri" w:hAnsi="Palatino Linotype" w:cs="Tahoma"/>
          <w:bCs/>
          <w:sz w:val="22"/>
          <w:szCs w:val="22"/>
          <w:lang w:eastAsia="en-US"/>
        </w:rPr>
        <w:t>la respuesta</w:t>
      </w:r>
      <w:r w:rsidRPr="0089475E">
        <w:rPr>
          <w:rFonts w:ascii="Palatino Linotype" w:eastAsia="Calibri" w:hAnsi="Palatino Linotype" w:cs="Tahoma"/>
          <w:bCs/>
          <w:sz w:val="22"/>
          <w:szCs w:val="22"/>
          <w:lang w:eastAsia="en-US"/>
        </w:rPr>
        <w:t xml:space="preserve"> de igual manera; por lo que, es evidente que </w:t>
      </w:r>
      <w:r w:rsidRPr="0089475E">
        <w:rPr>
          <w:rFonts w:ascii="Palatino Linotype" w:eastAsia="Calibri" w:hAnsi="Palatino Linotype" w:cs="Tahoma"/>
          <w:b/>
          <w:bCs/>
          <w:sz w:val="22"/>
          <w:szCs w:val="22"/>
          <w:lang w:eastAsia="en-US"/>
        </w:rPr>
        <w:t>el agravio hecho valer por el Recurrente resulta fundado.</w:t>
      </w:r>
    </w:p>
    <w:p w:rsidR="00E622D5" w:rsidRDefault="00E622D5" w:rsidP="00336D6C">
      <w:pPr>
        <w:autoSpaceDE w:val="0"/>
        <w:autoSpaceDN w:val="0"/>
        <w:adjustRightInd w:val="0"/>
        <w:spacing w:line="360" w:lineRule="auto"/>
        <w:contextualSpacing/>
        <w:jc w:val="both"/>
        <w:rPr>
          <w:rFonts w:ascii="Palatino Linotype" w:eastAsia="Calibri" w:hAnsi="Palatino Linotype" w:cs="Tahoma"/>
          <w:b/>
          <w:bCs/>
          <w:sz w:val="22"/>
          <w:szCs w:val="22"/>
          <w:lang w:eastAsia="en-US"/>
        </w:rPr>
      </w:pPr>
    </w:p>
    <w:p w:rsidR="006B6785" w:rsidRDefault="006C2987" w:rsidP="00336D6C">
      <w:pPr>
        <w:pStyle w:val="Prrafodelista"/>
        <w:numPr>
          <w:ilvl w:val="0"/>
          <w:numId w:val="3"/>
        </w:numPr>
        <w:autoSpaceDE w:val="0"/>
        <w:autoSpaceDN w:val="0"/>
        <w:adjustRightInd w:val="0"/>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ANÁLISIS</w:t>
      </w:r>
      <w:r w:rsidR="0004632C">
        <w:rPr>
          <w:rFonts w:ascii="Palatino Linotype" w:eastAsia="Calibri" w:hAnsi="Palatino Linotype" w:cs="Tahoma"/>
          <w:b/>
          <w:bCs/>
          <w:szCs w:val="22"/>
          <w:lang w:eastAsia="en-US"/>
        </w:rPr>
        <w:t xml:space="preserve"> A LA </w:t>
      </w:r>
      <w:r>
        <w:rPr>
          <w:rFonts w:ascii="Palatino Linotype" w:eastAsia="Calibri" w:hAnsi="Palatino Linotype" w:cs="Tahoma"/>
          <w:b/>
          <w:bCs/>
          <w:szCs w:val="22"/>
          <w:lang w:eastAsia="en-US"/>
        </w:rPr>
        <w:t>INFORMACIÓN</w:t>
      </w:r>
      <w:r w:rsidR="0004632C">
        <w:rPr>
          <w:rFonts w:ascii="Palatino Linotype" w:eastAsia="Calibri" w:hAnsi="Palatino Linotype" w:cs="Tahoma"/>
          <w:b/>
          <w:bCs/>
          <w:szCs w:val="22"/>
          <w:lang w:eastAsia="en-US"/>
        </w:rPr>
        <w:t xml:space="preserve"> SOLICITADA. </w:t>
      </w:r>
    </w:p>
    <w:p w:rsidR="00B64AF0" w:rsidRDefault="00B64AF0" w:rsidP="00B64AF0">
      <w:pPr>
        <w:pStyle w:val="Prrafodelista"/>
        <w:autoSpaceDE w:val="0"/>
        <w:autoSpaceDN w:val="0"/>
        <w:adjustRightInd w:val="0"/>
        <w:spacing w:line="360" w:lineRule="auto"/>
        <w:jc w:val="both"/>
        <w:rPr>
          <w:rFonts w:ascii="Palatino Linotype" w:eastAsia="Calibri" w:hAnsi="Palatino Linotype" w:cs="Tahoma"/>
          <w:b/>
          <w:bCs/>
          <w:szCs w:val="22"/>
          <w:lang w:eastAsia="en-US"/>
        </w:rPr>
      </w:pPr>
    </w:p>
    <w:p w:rsidR="00697E2D" w:rsidRDefault="00697E2D" w:rsidP="00697E2D">
      <w:pPr>
        <w:autoSpaceDE w:val="0"/>
        <w:autoSpaceDN w:val="0"/>
        <w:adjustRightInd w:val="0"/>
        <w:spacing w:line="360" w:lineRule="auto"/>
        <w:jc w:val="both"/>
        <w:rPr>
          <w:rFonts w:ascii="Palatino Linotype" w:eastAsia="Calibri" w:hAnsi="Palatino Linotype" w:cs="Tahoma"/>
          <w:bCs/>
          <w:sz w:val="22"/>
          <w:szCs w:val="22"/>
          <w:lang w:eastAsia="en-US"/>
        </w:rPr>
      </w:pPr>
      <w:r w:rsidRPr="00697E2D">
        <w:rPr>
          <w:rFonts w:ascii="Palatino Linotype" w:eastAsia="Calibri" w:hAnsi="Palatino Linotype" w:cs="Tahoma"/>
          <w:bCs/>
          <w:sz w:val="22"/>
          <w:szCs w:val="22"/>
          <w:lang w:eastAsia="en-US"/>
        </w:rPr>
        <w:t>E</w:t>
      </w:r>
      <w:r>
        <w:rPr>
          <w:rFonts w:ascii="Palatino Linotype" w:eastAsia="Calibri" w:hAnsi="Palatino Linotype" w:cs="Tahoma"/>
          <w:bCs/>
          <w:sz w:val="22"/>
          <w:szCs w:val="22"/>
          <w:lang w:eastAsia="en-US"/>
        </w:rPr>
        <w:t>n principio, es necesario establecer que el Sujeto Obligado fue totalmente omiso en emitir cualquier pronunciamiento que diera oportunidad de identi</w:t>
      </w:r>
      <w:r w:rsidR="00343B01">
        <w:rPr>
          <w:rFonts w:ascii="Palatino Linotype" w:eastAsia="Calibri" w:hAnsi="Palatino Linotype" w:cs="Tahoma"/>
          <w:bCs/>
          <w:sz w:val="22"/>
          <w:szCs w:val="22"/>
          <w:lang w:eastAsia="en-US"/>
        </w:rPr>
        <w:t xml:space="preserve">ficar si puede contar con la información solicitada, por lo que procede analizar la naturaleza de la información y advertir la competencia con la que puede contar el Sujeto Obligado para conocerla. </w:t>
      </w:r>
    </w:p>
    <w:p w:rsidR="00343B01" w:rsidRDefault="00343B01" w:rsidP="00697E2D">
      <w:pPr>
        <w:autoSpaceDE w:val="0"/>
        <w:autoSpaceDN w:val="0"/>
        <w:adjustRightInd w:val="0"/>
        <w:spacing w:line="360" w:lineRule="auto"/>
        <w:jc w:val="both"/>
        <w:rPr>
          <w:rFonts w:ascii="Palatino Linotype" w:eastAsia="Calibri" w:hAnsi="Palatino Linotype" w:cs="Tahoma"/>
          <w:bCs/>
          <w:sz w:val="22"/>
          <w:szCs w:val="22"/>
          <w:lang w:eastAsia="en-US"/>
        </w:rPr>
      </w:pPr>
    </w:p>
    <w:p w:rsidR="00343B01" w:rsidRDefault="00343B01" w:rsidP="00697E2D">
      <w:pPr>
        <w:autoSpaceDE w:val="0"/>
        <w:autoSpaceDN w:val="0"/>
        <w:adjustRightInd w:val="0"/>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este tenor, es preciso señalar </w:t>
      </w:r>
      <w:r w:rsidR="00465F60">
        <w:rPr>
          <w:rFonts w:ascii="Palatino Linotype" w:eastAsia="Calibri" w:hAnsi="Palatino Linotype" w:cs="Tahoma"/>
          <w:bCs/>
          <w:sz w:val="22"/>
          <w:szCs w:val="22"/>
          <w:lang w:eastAsia="en-US"/>
        </w:rPr>
        <w:t>que de la solicitud de información se advierten diversos elementos</w:t>
      </w:r>
      <w:r w:rsidR="00766AD8">
        <w:rPr>
          <w:rFonts w:ascii="Palatino Linotype" w:eastAsia="Calibri" w:hAnsi="Palatino Linotype" w:cs="Tahoma"/>
          <w:bCs/>
          <w:sz w:val="22"/>
          <w:szCs w:val="22"/>
          <w:lang w:eastAsia="en-US"/>
        </w:rPr>
        <w:t xml:space="preserve"> a analizar</w:t>
      </w:r>
      <w:r w:rsidR="00465F60">
        <w:rPr>
          <w:rFonts w:ascii="Palatino Linotype" w:eastAsia="Calibri" w:hAnsi="Palatino Linotype" w:cs="Tahoma"/>
          <w:bCs/>
          <w:sz w:val="22"/>
          <w:szCs w:val="22"/>
          <w:lang w:eastAsia="en-US"/>
        </w:rPr>
        <w:t>:</w:t>
      </w:r>
    </w:p>
    <w:p w:rsidR="001E7BA0" w:rsidRDefault="001E7BA0" w:rsidP="00697E2D">
      <w:pPr>
        <w:autoSpaceDE w:val="0"/>
        <w:autoSpaceDN w:val="0"/>
        <w:adjustRightInd w:val="0"/>
        <w:spacing w:line="360" w:lineRule="auto"/>
        <w:jc w:val="both"/>
        <w:rPr>
          <w:rFonts w:ascii="Palatino Linotype" w:eastAsia="Calibri" w:hAnsi="Palatino Linotype" w:cs="Tahoma"/>
          <w:bCs/>
          <w:sz w:val="22"/>
          <w:szCs w:val="22"/>
          <w:lang w:eastAsia="en-US"/>
        </w:rPr>
      </w:pPr>
    </w:p>
    <w:p w:rsidR="00766AD8" w:rsidRPr="008869C4" w:rsidRDefault="00766AD8" w:rsidP="00465F60">
      <w:pPr>
        <w:pStyle w:val="Prrafodelista"/>
        <w:numPr>
          <w:ilvl w:val="0"/>
          <w:numId w:val="15"/>
        </w:numPr>
        <w:autoSpaceDE w:val="0"/>
        <w:autoSpaceDN w:val="0"/>
        <w:adjustRightInd w:val="0"/>
        <w:spacing w:line="360" w:lineRule="auto"/>
        <w:jc w:val="both"/>
        <w:rPr>
          <w:rFonts w:ascii="Palatino Linotype" w:eastAsia="Calibri" w:hAnsi="Palatino Linotype" w:cs="Tahoma"/>
          <w:b/>
          <w:bCs/>
          <w:szCs w:val="22"/>
          <w:lang w:eastAsia="en-US"/>
        </w:rPr>
      </w:pPr>
      <w:r w:rsidRPr="008869C4">
        <w:rPr>
          <w:rFonts w:ascii="Palatino Linotype" w:eastAsia="Calibri" w:hAnsi="Palatino Linotype" w:cs="Tahoma"/>
          <w:b/>
          <w:bCs/>
          <w:szCs w:val="22"/>
          <w:lang w:eastAsia="en-US"/>
        </w:rPr>
        <w:lastRenderedPageBreak/>
        <w:t>El Fondo Estatal de Fortalecimiento Municipal 2019</w:t>
      </w:r>
    </w:p>
    <w:p w:rsidR="00465F60" w:rsidRDefault="00766AD8" w:rsidP="00465F60">
      <w:pPr>
        <w:pStyle w:val="Prrafodelista"/>
        <w:numPr>
          <w:ilvl w:val="0"/>
          <w:numId w:val="15"/>
        </w:numPr>
        <w:autoSpaceDE w:val="0"/>
        <w:autoSpaceDN w:val="0"/>
        <w:adjustRightInd w:val="0"/>
        <w:spacing w:line="360" w:lineRule="auto"/>
        <w:jc w:val="both"/>
        <w:rPr>
          <w:rFonts w:ascii="Palatino Linotype" w:eastAsia="Calibri" w:hAnsi="Palatino Linotype" w:cs="Tahoma"/>
          <w:b/>
          <w:bCs/>
          <w:szCs w:val="22"/>
          <w:lang w:eastAsia="en-US"/>
        </w:rPr>
      </w:pPr>
      <w:r w:rsidRPr="008869C4">
        <w:rPr>
          <w:rFonts w:ascii="Palatino Linotype" w:eastAsia="Calibri" w:hAnsi="Palatino Linotype" w:cs="Tahoma"/>
          <w:b/>
          <w:bCs/>
          <w:szCs w:val="22"/>
          <w:lang w:eastAsia="en-US"/>
        </w:rPr>
        <w:t>El contenido de los expedientes técnicos de obra</w:t>
      </w:r>
      <w:r w:rsidR="00465F60" w:rsidRPr="008869C4">
        <w:rPr>
          <w:rFonts w:ascii="Palatino Linotype" w:eastAsia="Calibri" w:hAnsi="Palatino Linotype" w:cs="Tahoma"/>
          <w:b/>
          <w:bCs/>
          <w:szCs w:val="22"/>
          <w:lang w:eastAsia="en-US"/>
        </w:rPr>
        <w:t>.</w:t>
      </w:r>
    </w:p>
    <w:p w:rsidR="008869C4" w:rsidRDefault="001E7BA0" w:rsidP="00465F60">
      <w:pPr>
        <w:pStyle w:val="Prrafodelista"/>
        <w:numPr>
          <w:ilvl w:val="0"/>
          <w:numId w:val="15"/>
        </w:numPr>
        <w:autoSpaceDE w:val="0"/>
        <w:autoSpaceDN w:val="0"/>
        <w:adjustRightInd w:val="0"/>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El acta de cabildo en el que se sometieron a aprobación 25 obras.</w:t>
      </w:r>
    </w:p>
    <w:p w:rsidR="005A727E" w:rsidRPr="005A727E" w:rsidRDefault="005A727E" w:rsidP="005A727E">
      <w:pPr>
        <w:pStyle w:val="Prrafodelista"/>
        <w:autoSpaceDE w:val="0"/>
        <w:autoSpaceDN w:val="0"/>
        <w:adjustRightInd w:val="0"/>
        <w:spacing w:line="360" w:lineRule="auto"/>
        <w:jc w:val="both"/>
        <w:rPr>
          <w:rFonts w:ascii="Palatino Linotype" w:eastAsia="Calibri" w:hAnsi="Palatino Linotype" w:cs="Tahoma"/>
          <w:b/>
          <w:bCs/>
          <w:szCs w:val="22"/>
          <w:lang w:eastAsia="en-US"/>
        </w:rPr>
      </w:pPr>
    </w:p>
    <w:p w:rsidR="008869C4" w:rsidRDefault="008869C4" w:rsidP="00465F60">
      <w:pPr>
        <w:autoSpaceDE w:val="0"/>
        <w:autoSpaceDN w:val="0"/>
        <w:adjustRightInd w:val="0"/>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Por lo que se procede al análisis de estos elementos en los siguientes términos:</w:t>
      </w:r>
    </w:p>
    <w:p w:rsidR="008869C4" w:rsidRDefault="008869C4" w:rsidP="00465F60">
      <w:pPr>
        <w:autoSpaceDE w:val="0"/>
        <w:autoSpaceDN w:val="0"/>
        <w:adjustRightInd w:val="0"/>
        <w:spacing w:line="360" w:lineRule="auto"/>
        <w:jc w:val="both"/>
        <w:rPr>
          <w:rFonts w:ascii="Palatino Linotype" w:eastAsia="Calibri" w:hAnsi="Palatino Linotype" w:cs="Tahoma"/>
          <w:bCs/>
          <w:sz w:val="22"/>
          <w:szCs w:val="22"/>
          <w:lang w:eastAsia="en-US"/>
        </w:rPr>
      </w:pPr>
    </w:p>
    <w:p w:rsidR="008869C4" w:rsidRPr="008869C4" w:rsidRDefault="008869C4" w:rsidP="008869C4">
      <w:pPr>
        <w:pStyle w:val="Prrafodelista"/>
        <w:numPr>
          <w:ilvl w:val="0"/>
          <w:numId w:val="17"/>
        </w:numPr>
        <w:autoSpaceDE w:val="0"/>
        <w:autoSpaceDN w:val="0"/>
        <w:adjustRightInd w:val="0"/>
        <w:spacing w:line="360" w:lineRule="auto"/>
        <w:jc w:val="both"/>
        <w:rPr>
          <w:rFonts w:ascii="Palatino Linotype" w:eastAsia="Calibri" w:hAnsi="Palatino Linotype" w:cs="Tahoma"/>
          <w:b/>
          <w:bCs/>
          <w:szCs w:val="22"/>
          <w:lang w:eastAsia="en-US"/>
        </w:rPr>
      </w:pPr>
      <w:r w:rsidRPr="008869C4">
        <w:rPr>
          <w:rFonts w:ascii="Palatino Linotype" w:eastAsia="Calibri" w:hAnsi="Palatino Linotype" w:cs="Tahoma"/>
          <w:b/>
          <w:bCs/>
          <w:szCs w:val="22"/>
          <w:lang w:eastAsia="en-US"/>
        </w:rPr>
        <w:t>El Fondo Estatal de Fortalecimiento Municipal 2019</w:t>
      </w:r>
    </w:p>
    <w:p w:rsidR="008869C4" w:rsidRDefault="008869C4" w:rsidP="00465F60">
      <w:pPr>
        <w:autoSpaceDE w:val="0"/>
        <w:autoSpaceDN w:val="0"/>
        <w:adjustRightInd w:val="0"/>
        <w:spacing w:line="360" w:lineRule="auto"/>
        <w:jc w:val="both"/>
        <w:rPr>
          <w:rFonts w:ascii="Palatino Linotype" w:eastAsia="Calibri" w:hAnsi="Palatino Linotype" w:cs="Tahoma"/>
          <w:bCs/>
          <w:sz w:val="22"/>
          <w:szCs w:val="22"/>
          <w:lang w:eastAsia="en-US"/>
        </w:rPr>
      </w:pPr>
    </w:p>
    <w:p w:rsidR="00E20C80" w:rsidRDefault="00766AD8" w:rsidP="00465F60">
      <w:pPr>
        <w:autoSpaceDE w:val="0"/>
        <w:autoSpaceDN w:val="0"/>
        <w:adjustRightInd w:val="0"/>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Por principio se establece que el Fondo Estatal de Fortalecimiento Municipal (FEFOM) es </w:t>
      </w:r>
      <w:r w:rsidR="00E20C80">
        <w:rPr>
          <w:rFonts w:ascii="Palatino Linotype" w:eastAsia="Calibri" w:hAnsi="Palatino Linotype" w:cs="Tahoma"/>
          <w:bCs/>
          <w:sz w:val="22"/>
          <w:szCs w:val="22"/>
          <w:lang w:eastAsia="en-US"/>
        </w:rPr>
        <w:t xml:space="preserve">analizado </w:t>
      </w:r>
      <w:r w:rsidRPr="00766AD8">
        <w:rPr>
          <w:rFonts w:ascii="Palatino Linotype" w:eastAsia="Calibri" w:hAnsi="Palatino Linotype" w:cs="Tahoma"/>
          <w:bCs/>
          <w:sz w:val="22"/>
          <w:szCs w:val="22"/>
          <w:lang w:eastAsia="en-US"/>
        </w:rPr>
        <w:t xml:space="preserve">por la Secretaria de Finanzas, a través del contenido de la </w:t>
      </w:r>
      <w:r w:rsidR="00E20C80" w:rsidRPr="00766AD8">
        <w:rPr>
          <w:rFonts w:ascii="Palatino Linotype" w:eastAsia="Calibri" w:hAnsi="Palatino Linotype" w:cs="Tahoma"/>
          <w:bCs/>
          <w:sz w:val="22"/>
          <w:szCs w:val="22"/>
          <w:lang w:eastAsia="en-US"/>
        </w:rPr>
        <w:t>página</w:t>
      </w:r>
      <w:r w:rsidRPr="00766AD8">
        <w:rPr>
          <w:rFonts w:ascii="Palatino Linotype" w:eastAsia="Calibri" w:hAnsi="Palatino Linotype" w:cs="Tahoma"/>
          <w:bCs/>
          <w:sz w:val="22"/>
          <w:szCs w:val="22"/>
          <w:lang w:eastAsia="en-US"/>
        </w:rPr>
        <w:t xml:space="preserve"> de inversión pública, visible en el enlace:</w:t>
      </w:r>
      <w:r w:rsidRPr="00766AD8">
        <w:rPr>
          <w:rFonts w:ascii="Palatino Linotype" w:hAnsi="Palatino Linotype"/>
          <w:sz w:val="22"/>
          <w:szCs w:val="22"/>
        </w:rPr>
        <w:t xml:space="preserve"> </w:t>
      </w:r>
      <w:hyperlink r:id="rId8" w:history="1">
        <w:r w:rsidRPr="00766AD8">
          <w:rPr>
            <w:rStyle w:val="Hipervnculo"/>
            <w:rFonts w:ascii="Palatino Linotype" w:eastAsiaTheme="majorEastAsia" w:hAnsi="Palatino Linotype"/>
            <w:sz w:val="22"/>
            <w:szCs w:val="22"/>
          </w:rPr>
          <w:t>http://inversionpublica.edomex.gob.mx/fefom</w:t>
        </w:r>
      </w:hyperlink>
      <w:r>
        <w:rPr>
          <w:rFonts w:ascii="Palatino Linotype" w:hAnsi="Palatino Linotype"/>
          <w:sz w:val="22"/>
          <w:szCs w:val="22"/>
        </w:rPr>
        <w:t xml:space="preserve">, </w:t>
      </w:r>
      <w:r w:rsidR="00E20C80">
        <w:rPr>
          <w:rFonts w:ascii="Palatino Linotype" w:hAnsi="Palatino Linotype"/>
          <w:sz w:val="22"/>
          <w:szCs w:val="22"/>
        </w:rPr>
        <w:t xml:space="preserve">en el que precisa que el </w:t>
      </w:r>
      <w:r w:rsidR="00E20C80">
        <w:rPr>
          <w:rFonts w:ascii="Palatino Linotype" w:eastAsia="Calibri" w:hAnsi="Palatino Linotype" w:cs="Tahoma"/>
          <w:bCs/>
          <w:sz w:val="22"/>
          <w:szCs w:val="22"/>
          <w:lang w:eastAsia="en-US"/>
        </w:rPr>
        <w:t xml:space="preserve">Fondo Estatal de Fortalecimiento Municipal (FEFOM), tiene cpo antecedente </w:t>
      </w:r>
      <w:r w:rsidR="00E20C80" w:rsidRPr="00766AD8">
        <w:rPr>
          <w:rFonts w:ascii="Palatino Linotype" w:hAnsi="Palatino Linotype"/>
          <w:b/>
          <w:sz w:val="22"/>
          <w:szCs w:val="22"/>
        </w:rPr>
        <w:t>el Programa de Apoyo al Gasto de Inversión de los Municipios (PAGIM)</w:t>
      </w:r>
      <w:r w:rsidR="00E20C80">
        <w:rPr>
          <w:rFonts w:ascii="Palatino Linotype" w:hAnsi="Palatino Linotype"/>
          <w:b/>
          <w:sz w:val="22"/>
          <w:szCs w:val="22"/>
        </w:rPr>
        <w:t xml:space="preserve">, </w:t>
      </w:r>
      <w:r w:rsidR="00E20C80">
        <w:rPr>
          <w:rFonts w:ascii="Palatino Linotype" w:hAnsi="Palatino Linotype"/>
          <w:sz w:val="22"/>
          <w:szCs w:val="22"/>
        </w:rPr>
        <w:t xml:space="preserve">que fue previsto en el Presupuesto de Egresos del Gobierno del Estado de México para el ejercicio fiscal 20015,  con la finalidad de apoyar a los ayuntamientos en materia de infraestructura en obra pública y su equipamiento, así, posteriormente este Programa fue sustituido por el </w:t>
      </w:r>
      <w:r w:rsidR="00E20C80">
        <w:rPr>
          <w:rFonts w:ascii="Palatino Linotype" w:eastAsia="Calibri" w:hAnsi="Palatino Linotype" w:cs="Tahoma"/>
          <w:bCs/>
          <w:sz w:val="22"/>
          <w:szCs w:val="22"/>
          <w:lang w:eastAsia="en-US"/>
        </w:rPr>
        <w:t>Fondo Estatal de Fortalecimiento Municipal (FEFOM), ampliando y adicionando los fondos a fin de ser utilizados en obras y proyectos de inversión ya iniciadas y su equipamiento, asimismo el recurso puede ser utilizado en casos de saneamiento financiero, autorización de créditos contratados para la realización de infraestructura, pago de reestructura al programa, pago de financiamientos, costos administrativos de sus programas, entre otros.</w:t>
      </w:r>
    </w:p>
    <w:p w:rsidR="00766AD8" w:rsidRDefault="00766AD8" w:rsidP="00465F60">
      <w:pPr>
        <w:autoSpaceDE w:val="0"/>
        <w:autoSpaceDN w:val="0"/>
        <w:adjustRightInd w:val="0"/>
        <w:spacing w:line="360" w:lineRule="auto"/>
        <w:jc w:val="both"/>
        <w:rPr>
          <w:rFonts w:ascii="Palatino Linotype" w:eastAsia="Calibri" w:hAnsi="Palatino Linotype" w:cs="Tahoma"/>
          <w:bCs/>
          <w:sz w:val="22"/>
          <w:szCs w:val="22"/>
          <w:lang w:eastAsia="en-US"/>
        </w:rPr>
      </w:pPr>
    </w:p>
    <w:p w:rsidR="00E20C80" w:rsidRDefault="00E20C80" w:rsidP="00465F60">
      <w:pPr>
        <w:autoSpaceDE w:val="0"/>
        <w:autoSpaceDN w:val="0"/>
        <w:adjustRightInd w:val="0"/>
        <w:spacing w:line="360" w:lineRule="auto"/>
        <w:jc w:val="both"/>
        <w:rPr>
          <w:rFonts w:ascii="Palatino Linotype" w:hAnsi="Palatino Linotype"/>
          <w:sz w:val="22"/>
          <w:szCs w:val="22"/>
        </w:rPr>
      </w:pPr>
      <w:r>
        <w:rPr>
          <w:rFonts w:ascii="Palatino Linotype" w:eastAsia="Calibri" w:hAnsi="Palatino Linotype" w:cs="Tahoma"/>
          <w:bCs/>
          <w:sz w:val="22"/>
          <w:szCs w:val="22"/>
          <w:lang w:eastAsia="en-US"/>
        </w:rPr>
        <w:t>A</w:t>
      </w:r>
      <w:r w:rsidRPr="00E20C80">
        <w:rPr>
          <w:rFonts w:ascii="Palatino Linotype" w:eastAsia="Calibri" w:hAnsi="Palatino Linotype" w:cs="Tahoma"/>
          <w:bCs/>
          <w:sz w:val="22"/>
          <w:szCs w:val="22"/>
          <w:lang w:eastAsia="en-US"/>
        </w:rPr>
        <w:t>hora bien, en la aprobación de la distribución de estos recursos se toma en consideración una serie de fórmulas para la asignación a cada municipio, por lo que se retoma el contenido del “Acuerdo por el que se dan a conocer las formulas u variables utilizadas para determinar el monto correspondiente a cada municipio del Fondo Estatal de Fortalecimiento Municipal  para el ejercicio fiscal 2019”, el cual puede ser visible en:</w:t>
      </w:r>
      <w:r w:rsidRPr="00E20C80">
        <w:rPr>
          <w:rFonts w:ascii="Palatino Linotype" w:hAnsi="Palatino Linotype"/>
          <w:sz w:val="22"/>
          <w:szCs w:val="22"/>
        </w:rPr>
        <w:t xml:space="preserve"> </w:t>
      </w:r>
      <w:hyperlink r:id="rId9" w:history="1">
        <w:r w:rsidRPr="00E20C80">
          <w:rPr>
            <w:rStyle w:val="Hipervnculo"/>
            <w:rFonts w:ascii="Palatino Linotype" w:eastAsiaTheme="majorEastAsia" w:hAnsi="Palatino Linotype"/>
            <w:sz w:val="22"/>
            <w:szCs w:val="22"/>
          </w:rPr>
          <w:t>https://transparenciafiscal.edomex.gob.mx/sites/transparenciafiscal.edomex.gob.mx/files/files/pdf/marco-programatico-presupuestal/FEFOM-2019.pdf</w:t>
        </w:r>
      </w:hyperlink>
      <w:r>
        <w:rPr>
          <w:rFonts w:ascii="Palatino Linotype" w:hAnsi="Palatino Linotype"/>
          <w:sz w:val="22"/>
          <w:szCs w:val="22"/>
        </w:rPr>
        <w:t>, en el cual aparece una tabla de asignación del monto de recursos provenientes del FEFOM, que son aplicables a cada municipio, cuyo número 110 muestra al ayuntamiento de Tonatico, con un monto asignado de $22,687,409.84 pesos, para mayor referencia se inserta la sección señalada:</w:t>
      </w:r>
    </w:p>
    <w:p w:rsidR="00E20C80" w:rsidRPr="00E20C80" w:rsidRDefault="00E20C80" w:rsidP="00465F60">
      <w:pPr>
        <w:autoSpaceDE w:val="0"/>
        <w:autoSpaceDN w:val="0"/>
        <w:adjustRightInd w:val="0"/>
        <w:spacing w:line="360" w:lineRule="auto"/>
        <w:jc w:val="both"/>
        <w:rPr>
          <w:rFonts w:ascii="Palatino Linotype" w:hAnsi="Palatino Linotype"/>
          <w:sz w:val="22"/>
          <w:szCs w:val="22"/>
        </w:rPr>
      </w:pPr>
      <w:r>
        <w:rPr>
          <w:rFonts w:ascii="Palatino Linotype" w:hAnsi="Palatino Linotype"/>
          <w:sz w:val="22"/>
          <w:szCs w:val="22"/>
        </w:rPr>
        <w:t xml:space="preserve"> </w:t>
      </w:r>
      <w:r>
        <w:rPr>
          <w:noProof/>
          <w:lang w:val="es-ES"/>
        </w:rPr>
        <w:drawing>
          <wp:inline distT="0" distB="0" distL="0" distR="0" wp14:anchorId="42DDC0B2" wp14:editId="4073B866">
            <wp:extent cx="5796951" cy="555019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569" t="27239" r="56890" b="19072"/>
                    <a:stretch/>
                  </pic:blipFill>
                  <pic:spPr bwMode="auto">
                    <a:xfrm>
                      <a:off x="0" y="0"/>
                      <a:ext cx="5816821" cy="5569221"/>
                    </a:xfrm>
                    <a:prstGeom prst="rect">
                      <a:avLst/>
                    </a:prstGeom>
                    <a:ln>
                      <a:noFill/>
                    </a:ln>
                    <a:extLst>
                      <a:ext uri="{53640926-AAD7-44D8-BBD7-CCE9431645EC}">
                        <a14:shadowObscured xmlns:a14="http://schemas.microsoft.com/office/drawing/2010/main"/>
                      </a:ext>
                    </a:extLst>
                  </pic:spPr>
                </pic:pic>
              </a:graphicData>
            </a:graphic>
          </wp:inline>
        </w:drawing>
      </w:r>
    </w:p>
    <w:p w:rsidR="00E20C80" w:rsidRDefault="00E20C80" w:rsidP="00465F60">
      <w:pPr>
        <w:autoSpaceDE w:val="0"/>
        <w:autoSpaceDN w:val="0"/>
        <w:adjustRightInd w:val="0"/>
        <w:spacing w:line="360" w:lineRule="auto"/>
        <w:jc w:val="both"/>
      </w:pPr>
    </w:p>
    <w:p w:rsidR="00E20C80" w:rsidRDefault="00E20C80" w:rsidP="00465F60">
      <w:pPr>
        <w:autoSpaceDE w:val="0"/>
        <w:autoSpaceDN w:val="0"/>
        <w:adjustRightInd w:val="0"/>
        <w:spacing w:line="360" w:lineRule="auto"/>
        <w:jc w:val="both"/>
      </w:pPr>
    </w:p>
    <w:p w:rsidR="00E20C80" w:rsidRDefault="00E20C80" w:rsidP="00465F60">
      <w:pPr>
        <w:autoSpaceDE w:val="0"/>
        <w:autoSpaceDN w:val="0"/>
        <w:adjustRightInd w:val="0"/>
        <w:spacing w:line="360" w:lineRule="auto"/>
        <w:jc w:val="both"/>
        <w:rPr>
          <w:rFonts w:ascii="Palatino Linotype" w:eastAsia="Calibri" w:hAnsi="Palatino Linotype" w:cs="Tahoma"/>
          <w:bCs/>
          <w:sz w:val="22"/>
          <w:szCs w:val="22"/>
          <w:lang w:eastAsia="en-US"/>
        </w:rPr>
      </w:pPr>
      <w:r w:rsidRPr="00714D73">
        <w:rPr>
          <w:rFonts w:ascii="Palatino Linotype" w:eastAsia="Calibri" w:hAnsi="Palatino Linotype" w:cs="Tahoma"/>
          <w:bCs/>
          <w:sz w:val="22"/>
          <w:szCs w:val="22"/>
          <w:lang w:eastAsia="en-US"/>
        </w:rPr>
        <w:lastRenderedPageBreak/>
        <w:t>De dicha tabla se advierte que al Sujeto Obligado le fue asignada una cantidad determinada de recursos provenientes</w:t>
      </w:r>
      <w:r>
        <w:t xml:space="preserve"> del </w:t>
      </w:r>
      <w:r>
        <w:rPr>
          <w:rFonts w:ascii="Palatino Linotype" w:eastAsia="Calibri" w:hAnsi="Palatino Linotype" w:cs="Tahoma"/>
          <w:bCs/>
          <w:sz w:val="22"/>
          <w:szCs w:val="22"/>
          <w:lang w:eastAsia="en-US"/>
        </w:rPr>
        <w:t xml:space="preserve">Fondo Estatal de Fortalecimiento Municipal (FEFOM), por lo que se advierte que el Ayuntamiento de Tonatico, conoce de la información relativa a dicho fondo y que la cantidad que señala el Particular corresponde al monto asignado al Municipio, por lo que se colige que el Sujeto Obligado es competente para conocer, generar y archivar información relacionada con el fondo. </w:t>
      </w:r>
    </w:p>
    <w:p w:rsidR="008869C4" w:rsidRDefault="008869C4" w:rsidP="00465F60">
      <w:pPr>
        <w:autoSpaceDE w:val="0"/>
        <w:autoSpaceDN w:val="0"/>
        <w:adjustRightInd w:val="0"/>
        <w:spacing w:line="360" w:lineRule="auto"/>
        <w:jc w:val="both"/>
        <w:rPr>
          <w:rFonts w:ascii="Palatino Linotype" w:eastAsia="Calibri" w:hAnsi="Palatino Linotype" w:cs="Tahoma"/>
          <w:bCs/>
          <w:sz w:val="22"/>
          <w:szCs w:val="22"/>
          <w:lang w:eastAsia="en-US"/>
        </w:rPr>
      </w:pPr>
    </w:p>
    <w:p w:rsidR="008869C4" w:rsidRDefault="008869C4" w:rsidP="00465F60">
      <w:pPr>
        <w:autoSpaceDE w:val="0"/>
        <w:autoSpaceDN w:val="0"/>
        <w:adjustRightInd w:val="0"/>
        <w:spacing w:line="360" w:lineRule="auto"/>
        <w:jc w:val="both"/>
        <w:rPr>
          <w:rFonts w:ascii="Palatino Linotype" w:hAnsi="Palatino Linotype"/>
          <w:sz w:val="22"/>
          <w:szCs w:val="22"/>
        </w:rPr>
      </w:pPr>
      <w:r>
        <w:rPr>
          <w:rFonts w:ascii="Palatino Linotype" w:eastAsia="Calibri" w:hAnsi="Palatino Linotype" w:cs="Tahoma"/>
          <w:bCs/>
          <w:sz w:val="22"/>
          <w:szCs w:val="22"/>
          <w:lang w:eastAsia="en-US"/>
        </w:rPr>
        <w:t xml:space="preserve">Ahora bien, para establecer los procesos de asignación, distribución y ejecución de los recursos provenientes del FOFEM se toman en consideración los </w:t>
      </w:r>
      <w:r w:rsidRPr="00766AD8">
        <w:rPr>
          <w:rFonts w:ascii="Palatino Linotype" w:eastAsia="Calibri" w:hAnsi="Palatino Linotype" w:cs="Tahoma"/>
          <w:bCs/>
          <w:sz w:val="22"/>
          <w:szCs w:val="22"/>
          <w:lang w:eastAsia="en-US"/>
        </w:rPr>
        <w:t xml:space="preserve">Lineamientos para la utilización del Fondo Estatal de Fortalecimiento Municipal y sus criterios de aplicación, publicados en la gaceta de gobierno de treinta y uno de enero de dos mil diecinueve, visibles en: </w:t>
      </w:r>
      <w:hyperlink r:id="rId11" w:history="1">
        <w:r w:rsidRPr="00766AD8">
          <w:rPr>
            <w:rStyle w:val="Hipervnculo"/>
            <w:rFonts w:ascii="Palatino Linotype" w:eastAsiaTheme="majorEastAsia" w:hAnsi="Palatino Linotype"/>
            <w:sz w:val="22"/>
            <w:szCs w:val="22"/>
          </w:rPr>
          <w:t>https://transparenciafiscal.edomex.gob.mx/sites/transparenciafiscal.edomex.gob.mx/files/files/pdf/marco-programatico-presupuestal/lineamientos-FEFOM-2019.pdf</w:t>
        </w:r>
      </w:hyperlink>
      <w:r>
        <w:rPr>
          <w:rFonts w:ascii="Palatino Linotype" w:hAnsi="Palatino Linotype"/>
          <w:sz w:val="22"/>
          <w:szCs w:val="22"/>
        </w:rPr>
        <w:t xml:space="preserve">, y que en su </w:t>
      </w:r>
      <w:r w:rsidR="00714D73">
        <w:rPr>
          <w:rFonts w:ascii="Palatino Linotype" w:hAnsi="Palatino Linotype"/>
          <w:sz w:val="22"/>
          <w:szCs w:val="22"/>
        </w:rPr>
        <w:t>artículo</w:t>
      </w:r>
      <w:r>
        <w:rPr>
          <w:rFonts w:ascii="Palatino Linotype" w:hAnsi="Palatino Linotype"/>
          <w:sz w:val="22"/>
          <w:szCs w:val="22"/>
        </w:rPr>
        <w:t xml:space="preserve"> 21 </w:t>
      </w:r>
      <w:r w:rsidR="00714D73">
        <w:rPr>
          <w:rFonts w:ascii="Palatino Linotype" w:hAnsi="Palatino Linotype"/>
          <w:sz w:val="22"/>
          <w:szCs w:val="22"/>
        </w:rPr>
        <w:t>prevé</w:t>
      </w:r>
      <w:r>
        <w:rPr>
          <w:rFonts w:ascii="Palatino Linotype" w:hAnsi="Palatino Linotype"/>
          <w:sz w:val="22"/>
          <w:szCs w:val="22"/>
        </w:rPr>
        <w:t xml:space="preserve"> lo siguiente: </w:t>
      </w:r>
    </w:p>
    <w:p w:rsidR="00714D73" w:rsidRDefault="00714D73" w:rsidP="00465F60">
      <w:pPr>
        <w:autoSpaceDE w:val="0"/>
        <w:autoSpaceDN w:val="0"/>
        <w:adjustRightInd w:val="0"/>
        <w:spacing w:line="360" w:lineRule="auto"/>
        <w:jc w:val="both"/>
        <w:rPr>
          <w:rFonts w:ascii="Palatino Linotype" w:hAnsi="Palatino Linotype"/>
          <w:sz w:val="22"/>
          <w:szCs w:val="22"/>
        </w:rPr>
      </w:pPr>
    </w:p>
    <w:p w:rsidR="00714D73" w:rsidRPr="00714D73" w:rsidRDefault="00714D73" w:rsidP="00714D73">
      <w:pPr>
        <w:autoSpaceDE w:val="0"/>
        <w:autoSpaceDN w:val="0"/>
        <w:adjustRightInd w:val="0"/>
        <w:spacing w:line="360" w:lineRule="auto"/>
        <w:ind w:left="567" w:right="539"/>
        <w:jc w:val="both"/>
        <w:rPr>
          <w:rFonts w:ascii="Palatino Linotype" w:hAnsi="Palatino Linotype"/>
          <w:i/>
        </w:rPr>
      </w:pPr>
      <w:r>
        <w:rPr>
          <w:rFonts w:ascii="Palatino Linotype" w:hAnsi="Palatino Linotype"/>
          <w:i/>
        </w:rPr>
        <w:t>“</w:t>
      </w:r>
      <w:r w:rsidR="008869C4" w:rsidRPr="00714D73">
        <w:rPr>
          <w:rFonts w:ascii="Palatino Linotype" w:hAnsi="Palatino Linotype"/>
          <w:i/>
        </w:rPr>
        <w:t xml:space="preserve">Los municipios </w:t>
      </w:r>
      <w:r w:rsidR="008869C4" w:rsidRPr="00714D73">
        <w:rPr>
          <w:rFonts w:ascii="Palatino Linotype" w:hAnsi="Palatino Linotype"/>
          <w:b/>
          <w:i/>
        </w:rPr>
        <w:t>tendrán la obligación de resguardar toda la documentación comprobatoria</w:t>
      </w:r>
      <w:r w:rsidR="008869C4" w:rsidRPr="00714D73">
        <w:rPr>
          <w:rFonts w:ascii="Palatino Linotype" w:hAnsi="Palatino Linotype"/>
          <w:i/>
        </w:rPr>
        <w:t xml:space="preserve"> </w:t>
      </w:r>
      <w:r w:rsidR="008869C4" w:rsidRPr="00714D73">
        <w:rPr>
          <w:rFonts w:ascii="Palatino Linotype" w:hAnsi="Palatino Linotype"/>
          <w:b/>
          <w:i/>
        </w:rPr>
        <w:t>de los recursos que le sean autorizados a través del Fefom</w:t>
      </w:r>
      <w:r w:rsidR="008869C4" w:rsidRPr="00714D73">
        <w:rPr>
          <w:rFonts w:ascii="Palatino Linotype" w:hAnsi="Palatino Linotype"/>
          <w:i/>
        </w:rPr>
        <w:t xml:space="preserve">, con la finalidad de que, en cualquier etapa de la ejecución de la obra o acción, o de las auditorías que se lleven a cabo, estén en la posibilidad de acreditar la correcta aplicación de los recursos; lo que eximirá de cualquier responsabilidad a la Secretaría. Asimismo, será responsabilidad de cada municipio resguardar los siguientes elementos: </w:t>
      </w:r>
    </w:p>
    <w:p w:rsidR="00714D73" w:rsidRPr="00714D73" w:rsidRDefault="008869C4" w:rsidP="00714D73">
      <w:pPr>
        <w:autoSpaceDE w:val="0"/>
        <w:autoSpaceDN w:val="0"/>
        <w:adjustRightInd w:val="0"/>
        <w:spacing w:line="360" w:lineRule="auto"/>
        <w:ind w:left="567" w:right="539"/>
        <w:jc w:val="both"/>
        <w:rPr>
          <w:rFonts w:ascii="Palatino Linotype" w:hAnsi="Palatino Linotype"/>
          <w:i/>
        </w:rPr>
      </w:pPr>
      <w:r w:rsidRPr="00714D73">
        <w:rPr>
          <w:rFonts w:ascii="Palatino Linotype" w:hAnsi="Palatino Linotype"/>
          <w:i/>
        </w:rPr>
        <w:t xml:space="preserve">a) El convenio marco de ejecución con la Secretaría y el anexo de obras propuestas. </w:t>
      </w:r>
    </w:p>
    <w:p w:rsidR="00714D73" w:rsidRPr="00714D73" w:rsidRDefault="008869C4" w:rsidP="00714D73">
      <w:pPr>
        <w:autoSpaceDE w:val="0"/>
        <w:autoSpaceDN w:val="0"/>
        <w:adjustRightInd w:val="0"/>
        <w:spacing w:line="360" w:lineRule="auto"/>
        <w:ind w:left="567" w:right="539"/>
        <w:jc w:val="both"/>
        <w:rPr>
          <w:rFonts w:ascii="Palatino Linotype" w:hAnsi="Palatino Linotype"/>
          <w:b/>
          <w:i/>
        </w:rPr>
      </w:pPr>
      <w:r w:rsidRPr="00714D73">
        <w:rPr>
          <w:rFonts w:ascii="Palatino Linotype" w:hAnsi="Palatino Linotype"/>
          <w:b/>
          <w:i/>
        </w:rPr>
        <w:t>b) La autorización de Cabildo para la realización de cada proyecto.</w:t>
      </w:r>
    </w:p>
    <w:p w:rsidR="00714D73" w:rsidRPr="00714D73" w:rsidRDefault="008869C4" w:rsidP="00714D73">
      <w:pPr>
        <w:autoSpaceDE w:val="0"/>
        <w:autoSpaceDN w:val="0"/>
        <w:adjustRightInd w:val="0"/>
        <w:spacing w:line="360" w:lineRule="auto"/>
        <w:ind w:left="567" w:right="539"/>
        <w:jc w:val="both"/>
        <w:rPr>
          <w:rFonts w:ascii="Palatino Linotype" w:hAnsi="Palatino Linotype"/>
          <w:i/>
        </w:rPr>
      </w:pPr>
      <w:r w:rsidRPr="00714D73">
        <w:rPr>
          <w:rFonts w:ascii="Palatino Linotype" w:hAnsi="Palatino Linotype"/>
          <w:i/>
        </w:rPr>
        <w:t xml:space="preserve">c) Contar con el dictamen del estudio socio-económico para los recursos destinados a proyectos de inversión. </w:t>
      </w:r>
    </w:p>
    <w:p w:rsidR="00714D73" w:rsidRPr="00714D73" w:rsidRDefault="008869C4" w:rsidP="00714D73">
      <w:pPr>
        <w:autoSpaceDE w:val="0"/>
        <w:autoSpaceDN w:val="0"/>
        <w:adjustRightInd w:val="0"/>
        <w:spacing w:line="360" w:lineRule="auto"/>
        <w:ind w:left="567" w:right="539"/>
        <w:jc w:val="both"/>
        <w:rPr>
          <w:rFonts w:ascii="Palatino Linotype" w:hAnsi="Palatino Linotype"/>
          <w:b/>
          <w:i/>
        </w:rPr>
      </w:pPr>
      <w:r w:rsidRPr="00714D73">
        <w:rPr>
          <w:rFonts w:ascii="Palatino Linotype" w:hAnsi="Palatino Linotype"/>
          <w:b/>
          <w:i/>
        </w:rPr>
        <w:t xml:space="preserve">d) Contar con el expediente técnico de cada proyecto, elaborado de acuerdo a las Reglas de Operación del PAD. </w:t>
      </w:r>
    </w:p>
    <w:p w:rsidR="00714D73" w:rsidRPr="00714D73" w:rsidRDefault="008869C4" w:rsidP="00714D73">
      <w:pPr>
        <w:autoSpaceDE w:val="0"/>
        <w:autoSpaceDN w:val="0"/>
        <w:adjustRightInd w:val="0"/>
        <w:spacing w:line="360" w:lineRule="auto"/>
        <w:ind w:left="567" w:right="539"/>
        <w:jc w:val="both"/>
        <w:rPr>
          <w:rFonts w:ascii="Palatino Linotype" w:hAnsi="Palatino Linotype"/>
          <w:i/>
        </w:rPr>
      </w:pPr>
      <w:r w:rsidRPr="00714D73">
        <w:rPr>
          <w:rFonts w:ascii="Palatino Linotype" w:hAnsi="Palatino Linotype"/>
          <w:i/>
        </w:rPr>
        <w:t xml:space="preserve">e) Contar con el proyecto ejecutivo conteniendo la información suficiente para su análisis y evaluación. </w:t>
      </w:r>
    </w:p>
    <w:p w:rsidR="008869C4" w:rsidRPr="00714D73" w:rsidRDefault="008869C4" w:rsidP="00714D73">
      <w:pPr>
        <w:autoSpaceDE w:val="0"/>
        <w:autoSpaceDN w:val="0"/>
        <w:adjustRightInd w:val="0"/>
        <w:spacing w:line="360" w:lineRule="auto"/>
        <w:ind w:left="567" w:right="539"/>
        <w:jc w:val="both"/>
        <w:rPr>
          <w:rFonts w:ascii="Palatino Linotype" w:eastAsia="Calibri" w:hAnsi="Palatino Linotype" w:cs="Tahoma"/>
          <w:bCs/>
          <w:i/>
          <w:sz w:val="22"/>
          <w:szCs w:val="22"/>
          <w:lang w:eastAsia="en-US"/>
        </w:rPr>
      </w:pPr>
      <w:r w:rsidRPr="00714D73">
        <w:rPr>
          <w:rFonts w:ascii="Palatino Linotype" w:hAnsi="Palatino Linotype"/>
          <w:i/>
        </w:rPr>
        <w:lastRenderedPageBreak/>
        <w:t>f) Contar con todos los permisos que fueron necesarios para la ejecución de los proyectos, mismos que deberán acreditar por su parte, en los casos en que así se requiera, ante los órganos fiscalizadores y cumplir con la normativa para el ejercicio de recursos estatales.</w:t>
      </w:r>
      <w:r w:rsidR="00714D73">
        <w:rPr>
          <w:rFonts w:ascii="Palatino Linotype" w:hAnsi="Palatino Linotype"/>
          <w:i/>
        </w:rPr>
        <w:t>”</w:t>
      </w:r>
    </w:p>
    <w:p w:rsidR="008869C4" w:rsidRDefault="008869C4" w:rsidP="00465F60">
      <w:pPr>
        <w:autoSpaceDE w:val="0"/>
        <w:autoSpaceDN w:val="0"/>
        <w:adjustRightInd w:val="0"/>
        <w:spacing w:line="360" w:lineRule="auto"/>
        <w:jc w:val="both"/>
      </w:pPr>
    </w:p>
    <w:p w:rsidR="008869C4" w:rsidRPr="00714D73" w:rsidRDefault="00714D73" w:rsidP="00465F60">
      <w:pPr>
        <w:autoSpaceDE w:val="0"/>
        <w:autoSpaceDN w:val="0"/>
        <w:adjustRightInd w:val="0"/>
        <w:spacing w:line="360" w:lineRule="auto"/>
        <w:jc w:val="both"/>
        <w:rPr>
          <w:rFonts w:ascii="Palatino Linotype" w:eastAsia="Calibri" w:hAnsi="Palatino Linotype" w:cs="Tahoma"/>
          <w:bCs/>
          <w:sz w:val="22"/>
          <w:szCs w:val="22"/>
          <w:lang w:eastAsia="en-US"/>
        </w:rPr>
      </w:pPr>
      <w:r>
        <w:rPr>
          <w:rFonts w:ascii="Palatino Linotype" w:hAnsi="Palatino Linotype"/>
          <w:sz w:val="22"/>
          <w:szCs w:val="22"/>
        </w:rPr>
        <w:t xml:space="preserve">Derivado de lo anterior se advierte que cada municipio tiene la obligación de resguardar toda la documentación que dé cuenta de los recursos que son autorizados para su ejecución del </w:t>
      </w:r>
      <w:r>
        <w:rPr>
          <w:rFonts w:ascii="Palatino Linotype" w:eastAsia="Calibri" w:hAnsi="Palatino Linotype" w:cs="Tahoma"/>
          <w:bCs/>
          <w:sz w:val="22"/>
          <w:szCs w:val="22"/>
          <w:lang w:eastAsia="en-US"/>
        </w:rPr>
        <w:t>Fondo Estatal de Fortalecimiento Municipal (FEFOM), incluyendo los expedientes técnicos de cada proyecto y las actas de cabildo en el que se autorizan dichas obras, por lo que se advierte que el Sujeto Obligado, tiene la competencia para conocer, generar y archivar la información solicitada específicamente los expedientes técnicos solicitados.</w:t>
      </w:r>
    </w:p>
    <w:p w:rsidR="008869C4" w:rsidRDefault="008869C4" w:rsidP="00465F60">
      <w:pPr>
        <w:autoSpaceDE w:val="0"/>
        <w:autoSpaceDN w:val="0"/>
        <w:adjustRightInd w:val="0"/>
        <w:spacing w:line="360" w:lineRule="auto"/>
        <w:jc w:val="both"/>
      </w:pPr>
    </w:p>
    <w:p w:rsidR="008869C4" w:rsidRPr="008869C4" w:rsidRDefault="008869C4" w:rsidP="008869C4">
      <w:pPr>
        <w:pStyle w:val="Prrafodelista"/>
        <w:numPr>
          <w:ilvl w:val="0"/>
          <w:numId w:val="17"/>
        </w:numPr>
        <w:autoSpaceDE w:val="0"/>
        <w:autoSpaceDN w:val="0"/>
        <w:adjustRightInd w:val="0"/>
        <w:spacing w:line="360" w:lineRule="auto"/>
        <w:jc w:val="both"/>
        <w:rPr>
          <w:rFonts w:ascii="Palatino Linotype" w:eastAsia="Calibri" w:hAnsi="Palatino Linotype" w:cs="Tahoma"/>
          <w:b/>
          <w:bCs/>
          <w:szCs w:val="22"/>
          <w:lang w:eastAsia="en-US"/>
        </w:rPr>
      </w:pPr>
      <w:r w:rsidRPr="008869C4">
        <w:rPr>
          <w:rFonts w:ascii="Palatino Linotype" w:eastAsia="Calibri" w:hAnsi="Palatino Linotype" w:cs="Tahoma"/>
          <w:b/>
          <w:bCs/>
          <w:szCs w:val="22"/>
          <w:lang w:eastAsia="en-US"/>
        </w:rPr>
        <w:t>El contenido de los expedientes técnicos de obra.</w:t>
      </w:r>
    </w:p>
    <w:p w:rsidR="00E20C80" w:rsidRDefault="00E20C80" w:rsidP="00465F60">
      <w:pPr>
        <w:autoSpaceDE w:val="0"/>
        <w:autoSpaceDN w:val="0"/>
        <w:adjustRightInd w:val="0"/>
        <w:spacing w:line="360" w:lineRule="auto"/>
        <w:jc w:val="both"/>
        <w:rPr>
          <w:rFonts w:ascii="Palatino Linotype" w:eastAsia="Calibri" w:hAnsi="Palatino Linotype" w:cs="Tahoma"/>
          <w:bCs/>
          <w:sz w:val="22"/>
          <w:szCs w:val="22"/>
          <w:lang w:eastAsia="en-US"/>
        </w:rPr>
      </w:pPr>
    </w:p>
    <w:p w:rsidR="00714D73" w:rsidRDefault="008869C4" w:rsidP="00465F60">
      <w:pPr>
        <w:autoSpaceDE w:val="0"/>
        <w:autoSpaceDN w:val="0"/>
        <w:adjustRightInd w:val="0"/>
        <w:spacing w:line="360" w:lineRule="auto"/>
        <w:jc w:val="both"/>
        <w:rPr>
          <w:rFonts w:ascii="Palatino Linotype" w:hAnsi="Palatino Linotype"/>
          <w:sz w:val="22"/>
          <w:szCs w:val="22"/>
        </w:rPr>
      </w:pPr>
      <w:r w:rsidRPr="00714D73">
        <w:rPr>
          <w:rFonts w:ascii="Palatino Linotype" w:eastAsia="Calibri" w:hAnsi="Palatino Linotype" w:cs="Tahoma"/>
          <w:bCs/>
          <w:sz w:val="22"/>
          <w:szCs w:val="22"/>
          <w:lang w:eastAsia="en-US"/>
        </w:rPr>
        <w:t xml:space="preserve">Ahora bien, es preciso señalar </w:t>
      </w:r>
      <w:r w:rsidR="00714D73" w:rsidRPr="00714D73">
        <w:rPr>
          <w:rFonts w:ascii="Palatino Linotype" w:eastAsia="Calibri" w:hAnsi="Palatino Linotype" w:cs="Tahoma"/>
          <w:bCs/>
          <w:sz w:val="22"/>
          <w:szCs w:val="22"/>
          <w:lang w:eastAsia="en-US"/>
        </w:rPr>
        <w:t>el contenido de los expedientes técnicos, al respecto se advierte que la Secretaria de Finanzas a través de su página en la que muestra información del Fondo Estatal de Fortalecimiento Municipal (FEFOM), visible en:</w:t>
      </w:r>
      <w:r w:rsidR="00714D73" w:rsidRPr="00714D73">
        <w:rPr>
          <w:rFonts w:ascii="Palatino Linotype" w:hAnsi="Palatino Linotype"/>
          <w:sz w:val="22"/>
          <w:szCs w:val="22"/>
        </w:rPr>
        <w:t xml:space="preserve"> </w:t>
      </w:r>
      <w:hyperlink r:id="rId12" w:history="1">
        <w:r w:rsidR="00714D73" w:rsidRPr="00714D73">
          <w:rPr>
            <w:rStyle w:val="Hipervnculo"/>
            <w:rFonts w:ascii="Palatino Linotype" w:eastAsiaTheme="majorEastAsia" w:hAnsi="Palatino Linotype"/>
            <w:sz w:val="22"/>
            <w:szCs w:val="22"/>
          </w:rPr>
          <w:t>http://fefom.edomex.gob.mx/expediente_tecnico</w:t>
        </w:r>
      </w:hyperlink>
      <w:r w:rsidR="00714D73" w:rsidRPr="00714D73">
        <w:rPr>
          <w:rFonts w:ascii="Palatino Linotype" w:hAnsi="Palatino Linotype"/>
          <w:sz w:val="22"/>
          <w:szCs w:val="22"/>
        </w:rPr>
        <w:t>, determina el contenido del expediente técnico, definiéndolo de la siguiente forma:</w:t>
      </w:r>
    </w:p>
    <w:p w:rsidR="00660923" w:rsidRPr="00714D73" w:rsidRDefault="00660923" w:rsidP="00465F60">
      <w:pPr>
        <w:autoSpaceDE w:val="0"/>
        <w:autoSpaceDN w:val="0"/>
        <w:adjustRightInd w:val="0"/>
        <w:spacing w:line="360" w:lineRule="auto"/>
        <w:jc w:val="both"/>
        <w:rPr>
          <w:rFonts w:ascii="Palatino Linotype" w:hAnsi="Palatino Linotype"/>
          <w:sz w:val="22"/>
          <w:szCs w:val="22"/>
        </w:rPr>
      </w:pPr>
    </w:p>
    <w:p w:rsidR="00714D73" w:rsidRPr="00660923" w:rsidRDefault="00660923" w:rsidP="00660923">
      <w:pPr>
        <w:autoSpaceDE w:val="0"/>
        <w:autoSpaceDN w:val="0"/>
        <w:adjustRightInd w:val="0"/>
        <w:spacing w:line="360" w:lineRule="auto"/>
        <w:ind w:left="567" w:right="680"/>
        <w:jc w:val="both"/>
        <w:rPr>
          <w:rFonts w:ascii="Palatino Linotype" w:eastAsia="Calibri" w:hAnsi="Palatino Linotype" w:cs="Tahoma"/>
          <w:bCs/>
          <w:i/>
          <w:szCs w:val="22"/>
          <w:lang w:eastAsia="en-US"/>
        </w:rPr>
      </w:pPr>
      <w:r w:rsidRPr="00660923">
        <w:rPr>
          <w:rFonts w:ascii="Palatino Linotype" w:eastAsia="Calibri" w:hAnsi="Palatino Linotype" w:cs="Tahoma"/>
          <w:bCs/>
          <w:i/>
          <w:szCs w:val="22"/>
          <w:lang w:eastAsia="en-US"/>
        </w:rPr>
        <w:t xml:space="preserve">“El Expediente Técnico </w:t>
      </w:r>
      <w:r w:rsidRPr="00660923">
        <w:rPr>
          <w:rFonts w:ascii="Palatino Linotype" w:eastAsia="Calibri" w:hAnsi="Palatino Linotype" w:cs="Tahoma"/>
          <w:b/>
          <w:bCs/>
          <w:i/>
          <w:szCs w:val="22"/>
          <w:lang w:eastAsia="en-US"/>
        </w:rPr>
        <w:t>es el documento mediante el cual  las dependencias, organismos auxiliares y órganos autónomos,  pueden solicitar  a la Secretaría de Finanzas, la asignación de presupuesto o adecuaciones al  mismo, para llevar a cabo la ejecución de proyectos de obra pública</w:t>
      </w:r>
      <w:r w:rsidRPr="00660923">
        <w:rPr>
          <w:rFonts w:ascii="Palatino Linotype" w:eastAsia="Calibri" w:hAnsi="Palatino Linotype" w:cs="Tahoma"/>
          <w:bCs/>
          <w:i/>
          <w:szCs w:val="22"/>
          <w:lang w:eastAsia="en-US"/>
        </w:rPr>
        <w:t>, servicios relacionados con la misma y/o acciones de desarrollo; así como para proporcionar la información suficiente que sustente su petición para su correspondiente valoración  y en su caso aprobación.”</w:t>
      </w:r>
    </w:p>
    <w:p w:rsidR="008869C4" w:rsidRDefault="008869C4" w:rsidP="00465F60">
      <w:pPr>
        <w:autoSpaceDE w:val="0"/>
        <w:autoSpaceDN w:val="0"/>
        <w:adjustRightInd w:val="0"/>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 </w:t>
      </w:r>
    </w:p>
    <w:p w:rsidR="00465F60" w:rsidRPr="00660923" w:rsidRDefault="00660923" w:rsidP="007A0504">
      <w:pPr>
        <w:spacing w:line="360" w:lineRule="auto"/>
        <w:jc w:val="both"/>
        <w:rPr>
          <w:rFonts w:ascii="Palatino Linotype" w:hAnsi="Palatino Linotype" w:cs="Tahoma"/>
          <w:sz w:val="22"/>
          <w:szCs w:val="22"/>
          <w:lang w:val="es-ES"/>
        </w:rPr>
      </w:pPr>
      <w:r w:rsidRPr="00660923">
        <w:rPr>
          <w:rFonts w:ascii="Palatino Linotype" w:hAnsi="Palatino Linotype" w:cs="Tahoma"/>
          <w:sz w:val="22"/>
          <w:szCs w:val="22"/>
          <w:lang w:val="es-ES"/>
        </w:rPr>
        <w:t>Ahora bien, el mismo enlace enumera la información que contiene el expediente técnico, que consiste en la siguiente:</w:t>
      </w:r>
    </w:p>
    <w:p w:rsidR="00660923" w:rsidRPr="00660923" w:rsidRDefault="00660923" w:rsidP="00660923">
      <w:pPr>
        <w:spacing w:line="360" w:lineRule="auto"/>
        <w:ind w:left="567" w:right="539"/>
        <w:jc w:val="both"/>
        <w:rPr>
          <w:rFonts w:ascii="Palatino Linotype" w:hAnsi="Palatino Linotype" w:cs="Tahoma"/>
          <w:i/>
          <w:szCs w:val="22"/>
          <w:lang w:val="es-ES"/>
        </w:rPr>
      </w:pPr>
      <w:r>
        <w:rPr>
          <w:rFonts w:ascii="Palatino Linotype" w:hAnsi="Palatino Linotype" w:cs="Tahoma"/>
          <w:i/>
          <w:szCs w:val="22"/>
          <w:lang w:val="es-ES"/>
        </w:rPr>
        <w:lastRenderedPageBreak/>
        <w:t>“</w:t>
      </w:r>
      <w:r w:rsidRPr="00660923">
        <w:rPr>
          <w:rFonts w:ascii="Palatino Linotype" w:hAnsi="Palatino Linotype" w:cs="Tahoma"/>
          <w:i/>
          <w:szCs w:val="22"/>
          <w:lang w:val="es-ES"/>
        </w:rPr>
        <w:t>El expediente técnico, deberá contener la siguiente información:</w:t>
      </w:r>
    </w:p>
    <w:p w:rsidR="00660923" w:rsidRPr="00660923" w:rsidRDefault="00660923" w:rsidP="00660923">
      <w:pPr>
        <w:spacing w:line="360" w:lineRule="auto"/>
        <w:ind w:left="567" w:right="539"/>
        <w:jc w:val="both"/>
        <w:rPr>
          <w:rFonts w:ascii="Palatino Linotype" w:hAnsi="Palatino Linotype" w:cs="Tahoma"/>
          <w:i/>
          <w:szCs w:val="22"/>
          <w:lang w:val="es-ES"/>
        </w:rPr>
      </w:pPr>
      <w:r w:rsidRPr="00660923">
        <w:rPr>
          <w:rFonts w:ascii="Palatino Linotype" w:hAnsi="Palatino Linotype" w:cs="Tahoma"/>
          <w:i/>
          <w:szCs w:val="22"/>
          <w:lang w:val="es-ES"/>
        </w:rPr>
        <w:t>•</w:t>
      </w:r>
      <w:r w:rsidRPr="00660923">
        <w:rPr>
          <w:rFonts w:ascii="Palatino Linotype" w:hAnsi="Palatino Linotype" w:cs="Tahoma"/>
          <w:i/>
          <w:szCs w:val="22"/>
          <w:lang w:val="es-ES"/>
        </w:rPr>
        <w:tab/>
        <w:t>Carátula (Formato Expediente Técnico)</w:t>
      </w:r>
    </w:p>
    <w:p w:rsidR="00660923" w:rsidRPr="00660923" w:rsidRDefault="00660923" w:rsidP="00660923">
      <w:pPr>
        <w:spacing w:line="360" w:lineRule="auto"/>
        <w:ind w:left="567" w:right="539"/>
        <w:jc w:val="both"/>
        <w:rPr>
          <w:rFonts w:ascii="Palatino Linotype" w:hAnsi="Palatino Linotype" w:cs="Tahoma"/>
          <w:i/>
          <w:szCs w:val="22"/>
          <w:lang w:val="es-ES"/>
        </w:rPr>
      </w:pPr>
      <w:r w:rsidRPr="00660923">
        <w:rPr>
          <w:rFonts w:ascii="Palatino Linotype" w:hAnsi="Palatino Linotype" w:cs="Tahoma"/>
          <w:i/>
          <w:szCs w:val="22"/>
          <w:lang w:val="es-ES"/>
        </w:rPr>
        <w:t>•</w:t>
      </w:r>
      <w:r w:rsidRPr="00660923">
        <w:rPr>
          <w:rFonts w:ascii="Palatino Linotype" w:hAnsi="Palatino Linotype" w:cs="Tahoma"/>
          <w:i/>
          <w:szCs w:val="22"/>
          <w:lang w:val="es-ES"/>
        </w:rPr>
        <w:tab/>
        <w:t>Croquis de localización ( Formato Localización de la Obra o Acción)</w:t>
      </w:r>
    </w:p>
    <w:p w:rsidR="00660923" w:rsidRPr="00660923" w:rsidRDefault="00660923" w:rsidP="00660923">
      <w:pPr>
        <w:spacing w:line="360" w:lineRule="auto"/>
        <w:ind w:left="567" w:right="539"/>
        <w:jc w:val="both"/>
        <w:rPr>
          <w:rFonts w:ascii="Palatino Linotype" w:hAnsi="Palatino Linotype" w:cs="Tahoma"/>
          <w:i/>
          <w:szCs w:val="22"/>
          <w:lang w:val="es-ES"/>
        </w:rPr>
      </w:pPr>
      <w:r w:rsidRPr="00660923">
        <w:rPr>
          <w:rFonts w:ascii="Palatino Linotype" w:hAnsi="Palatino Linotype" w:cs="Tahoma"/>
          <w:i/>
          <w:szCs w:val="22"/>
          <w:lang w:val="es-ES"/>
        </w:rPr>
        <w:t>•</w:t>
      </w:r>
      <w:r w:rsidRPr="00660923">
        <w:rPr>
          <w:rFonts w:ascii="Palatino Linotype" w:hAnsi="Palatino Linotype" w:cs="Tahoma"/>
          <w:i/>
          <w:szCs w:val="22"/>
          <w:lang w:val="es-ES"/>
        </w:rPr>
        <w:tab/>
        <w:t>Presupuesto de la obra/acción (Formato Presupuesto de la Obra o Acción)</w:t>
      </w:r>
    </w:p>
    <w:p w:rsidR="00660923" w:rsidRPr="00660923" w:rsidRDefault="00660923" w:rsidP="00660923">
      <w:pPr>
        <w:spacing w:line="360" w:lineRule="auto"/>
        <w:ind w:left="567" w:right="539"/>
        <w:jc w:val="both"/>
        <w:rPr>
          <w:rFonts w:ascii="Palatino Linotype" w:hAnsi="Palatino Linotype" w:cs="Tahoma"/>
          <w:i/>
          <w:szCs w:val="22"/>
          <w:lang w:val="es-ES"/>
        </w:rPr>
      </w:pPr>
      <w:r w:rsidRPr="00660923">
        <w:rPr>
          <w:rFonts w:ascii="Palatino Linotype" w:hAnsi="Palatino Linotype" w:cs="Tahoma"/>
          <w:i/>
          <w:szCs w:val="22"/>
          <w:lang w:val="es-ES"/>
        </w:rPr>
        <w:t>•</w:t>
      </w:r>
      <w:r w:rsidRPr="00660923">
        <w:rPr>
          <w:rFonts w:ascii="Palatino Linotype" w:hAnsi="Palatino Linotype" w:cs="Tahoma"/>
          <w:i/>
          <w:szCs w:val="22"/>
          <w:lang w:val="es-ES"/>
        </w:rPr>
        <w:tab/>
        <w:t>Calendarización de la obra/acción y de ministración de recursos (Formato Programa de Obra o Acción)</w:t>
      </w:r>
    </w:p>
    <w:p w:rsidR="00660923" w:rsidRPr="00660923" w:rsidRDefault="00660923" w:rsidP="00660923">
      <w:pPr>
        <w:spacing w:line="360" w:lineRule="auto"/>
        <w:ind w:left="567" w:right="539"/>
        <w:jc w:val="both"/>
        <w:rPr>
          <w:rFonts w:ascii="Palatino Linotype" w:hAnsi="Palatino Linotype" w:cs="Tahoma"/>
          <w:i/>
          <w:szCs w:val="22"/>
          <w:lang w:val="es-ES"/>
        </w:rPr>
      </w:pPr>
      <w:r w:rsidRPr="00660923">
        <w:rPr>
          <w:rFonts w:ascii="Palatino Linotype" w:hAnsi="Palatino Linotype" w:cs="Tahoma"/>
          <w:i/>
          <w:szCs w:val="22"/>
          <w:lang w:val="es-ES"/>
        </w:rPr>
        <w:t>•</w:t>
      </w:r>
      <w:r w:rsidRPr="00660923">
        <w:rPr>
          <w:rFonts w:ascii="Palatino Linotype" w:hAnsi="Palatino Linotype" w:cs="Tahoma"/>
          <w:i/>
          <w:szCs w:val="22"/>
          <w:lang w:val="es-ES"/>
        </w:rPr>
        <w:tab/>
        <w:t>Validación del expediente técni</w:t>
      </w:r>
      <w:r w:rsidR="007D5CC0">
        <w:rPr>
          <w:rFonts w:ascii="Palatino Linotype" w:hAnsi="Palatino Linotype" w:cs="Tahoma"/>
          <w:i/>
          <w:szCs w:val="22"/>
          <w:lang w:val="es-ES"/>
        </w:rPr>
        <w:t>co y dictamen de factibilidad (</w:t>
      </w:r>
      <w:r w:rsidRPr="00660923">
        <w:rPr>
          <w:rFonts w:ascii="Palatino Linotype" w:hAnsi="Palatino Linotype" w:cs="Tahoma"/>
          <w:i/>
          <w:szCs w:val="22"/>
          <w:lang w:val="es-ES"/>
        </w:rPr>
        <w:t>Formato Observaciones de la Dependencia y/o   Unidad Ejecutora y  Formato de Observaciones de  Dirección General de Inversión)</w:t>
      </w:r>
    </w:p>
    <w:p w:rsidR="00660923" w:rsidRPr="00660923" w:rsidRDefault="00660923" w:rsidP="00660923">
      <w:pPr>
        <w:spacing w:line="360" w:lineRule="auto"/>
        <w:ind w:left="567" w:right="539"/>
        <w:jc w:val="both"/>
        <w:rPr>
          <w:rFonts w:ascii="Palatino Linotype" w:hAnsi="Palatino Linotype" w:cs="Tahoma"/>
          <w:i/>
          <w:szCs w:val="22"/>
          <w:lang w:val="es-ES"/>
        </w:rPr>
      </w:pPr>
      <w:r w:rsidRPr="00660923">
        <w:rPr>
          <w:rFonts w:ascii="Palatino Linotype" w:hAnsi="Palatino Linotype" w:cs="Tahoma"/>
          <w:i/>
          <w:szCs w:val="22"/>
          <w:lang w:val="es-ES"/>
        </w:rPr>
        <w:t>•</w:t>
      </w:r>
      <w:r w:rsidRPr="00660923">
        <w:rPr>
          <w:rFonts w:ascii="Palatino Linotype" w:hAnsi="Palatino Linotype" w:cs="Tahoma"/>
          <w:i/>
          <w:szCs w:val="22"/>
          <w:lang w:val="es-ES"/>
        </w:rPr>
        <w:tab/>
        <w:t>Acta de aceptación por parte de la comunidad (Formato Recomendación Social de Orientación)</w:t>
      </w:r>
      <w:r w:rsidR="007D5CC0">
        <w:rPr>
          <w:rFonts w:ascii="Palatino Linotype" w:hAnsi="Palatino Linotype" w:cs="Tahoma"/>
          <w:i/>
          <w:szCs w:val="22"/>
          <w:lang w:val="es-ES"/>
        </w:rPr>
        <w:t>”</w:t>
      </w:r>
    </w:p>
    <w:p w:rsidR="00465F60" w:rsidRPr="007D5CC0" w:rsidRDefault="00465F60" w:rsidP="007A0504">
      <w:pPr>
        <w:spacing w:line="360" w:lineRule="auto"/>
        <w:jc w:val="both"/>
        <w:rPr>
          <w:rFonts w:ascii="Palatino Linotype" w:hAnsi="Palatino Linotype" w:cs="Tahoma"/>
          <w:b/>
          <w:sz w:val="22"/>
          <w:szCs w:val="22"/>
          <w:lang w:val="es-ES"/>
        </w:rPr>
      </w:pPr>
    </w:p>
    <w:p w:rsidR="00465F60" w:rsidRDefault="007D5CC0" w:rsidP="007A0504">
      <w:pPr>
        <w:spacing w:line="360" w:lineRule="auto"/>
        <w:jc w:val="both"/>
        <w:rPr>
          <w:rFonts w:ascii="Palatino Linotype" w:hAnsi="Palatino Linotype"/>
          <w:sz w:val="22"/>
          <w:szCs w:val="22"/>
        </w:rPr>
      </w:pPr>
      <w:r w:rsidRPr="007D5CC0">
        <w:rPr>
          <w:rFonts w:ascii="Palatino Linotype" w:hAnsi="Palatino Linotype" w:cs="Tahoma"/>
          <w:sz w:val="22"/>
          <w:szCs w:val="22"/>
          <w:lang w:val="es-ES"/>
        </w:rPr>
        <w:t>De igual forma al acceder al apartado de contenido y formatos de la misma página, se puede observar los formatos vacíos de cada uno de los documentos que integra el expediente técnico y que son visibles en el enlace:</w:t>
      </w:r>
      <w:r w:rsidRPr="007D5CC0">
        <w:rPr>
          <w:rFonts w:ascii="Palatino Linotype" w:hAnsi="Palatino Linotype"/>
          <w:sz w:val="22"/>
          <w:szCs w:val="22"/>
        </w:rPr>
        <w:t xml:space="preserve"> </w:t>
      </w:r>
      <w:hyperlink r:id="rId13" w:history="1">
        <w:r w:rsidRPr="007D5CC0">
          <w:rPr>
            <w:rStyle w:val="Hipervnculo"/>
            <w:rFonts w:ascii="Palatino Linotype" w:eastAsiaTheme="majorEastAsia" w:hAnsi="Palatino Linotype"/>
            <w:sz w:val="22"/>
            <w:szCs w:val="22"/>
          </w:rPr>
          <w:t>http://fefom.edomex.gob.mx/contenido_y_formatos</w:t>
        </w:r>
      </w:hyperlink>
      <w:r>
        <w:rPr>
          <w:rFonts w:ascii="Palatino Linotype" w:hAnsi="Palatino Linotype"/>
          <w:sz w:val="22"/>
          <w:szCs w:val="22"/>
        </w:rPr>
        <w:t>.</w:t>
      </w:r>
    </w:p>
    <w:p w:rsidR="001E7BA0" w:rsidRDefault="001E7BA0" w:rsidP="007A0504">
      <w:pPr>
        <w:spacing w:line="360" w:lineRule="auto"/>
        <w:jc w:val="both"/>
        <w:rPr>
          <w:rFonts w:ascii="Palatino Linotype" w:hAnsi="Palatino Linotype" w:cs="Tahoma"/>
          <w:b/>
          <w:sz w:val="22"/>
          <w:szCs w:val="22"/>
          <w:lang w:val="es-ES"/>
        </w:rPr>
      </w:pPr>
    </w:p>
    <w:p w:rsidR="001E7BA0" w:rsidRPr="005A727E" w:rsidRDefault="001E7BA0" w:rsidP="007A0504">
      <w:pPr>
        <w:spacing w:line="360" w:lineRule="auto"/>
        <w:jc w:val="both"/>
        <w:rPr>
          <w:rFonts w:ascii="Palatino Linotype" w:hAnsi="Palatino Linotype" w:cs="Tahoma"/>
          <w:b/>
          <w:sz w:val="22"/>
          <w:szCs w:val="22"/>
          <w:lang w:val="es-ES"/>
        </w:rPr>
      </w:pPr>
      <w:r>
        <w:rPr>
          <w:rFonts w:ascii="Palatino Linotype" w:hAnsi="Palatino Linotype" w:cs="Tahoma"/>
          <w:sz w:val="22"/>
          <w:szCs w:val="22"/>
          <w:lang w:val="es-ES"/>
        </w:rPr>
        <w:t>Derivado de todo lo antes expuesto, se colige que el Sujeto Obligado conoce el contenido de la información que solicita el R</w:t>
      </w:r>
      <w:r w:rsidR="005A727E">
        <w:rPr>
          <w:rFonts w:ascii="Palatino Linotype" w:hAnsi="Palatino Linotype" w:cs="Tahoma"/>
          <w:sz w:val="22"/>
          <w:szCs w:val="22"/>
          <w:lang w:val="es-ES"/>
        </w:rPr>
        <w:t xml:space="preserve">ecurrente y que esta </w:t>
      </w:r>
      <w:r w:rsidR="005A727E">
        <w:rPr>
          <w:rFonts w:ascii="Palatino Linotype" w:hAnsi="Palatino Linotype" w:cs="Tahoma"/>
          <w:b/>
          <w:sz w:val="22"/>
          <w:szCs w:val="22"/>
          <w:lang w:val="es-ES"/>
        </w:rPr>
        <w:t>no contiene procesos adquisitivos de las obras.</w:t>
      </w:r>
    </w:p>
    <w:p w:rsidR="001E7BA0" w:rsidRPr="001E7BA0" w:rsidRDefault="001E7BA0" w:rsidP="007A0504">
      <w:pPr>
        <w:spacing w:line="360" w:lineRule="auto"/>
        <w:jc w:val="both"/>
        <w:rPr>
          <w:rFonts w:ascii="Palatino Linotype" w:hAnsi="Palatino Linotype" w:cs="Tahoma"/>
          <w:sz w:val="22"/>
          <w:szCs w:val="22"/>
          <w:lang w:val="es-ES"/>
        </w:rPr>
      </w:pPr>
    </w:p>
    <w:p w:rsidR="001E7BA0" w:rsidRPr="008869C4" w:rsidRDefault="001E7BA0" w:rsidP="001E7BA0">
      <w:pPr>
        <w:pStyle w:val="Prrafodelista"/>
        <w:numPr>
          <w:ilvl w:val="0"/>
          <w:numId w:val="26"/>
        </w:numPr>
        <w:autoSpaceDE w:val="0"/>
        <w:autoSpaceDN w:val="0"/>
        <w:adjustRightInd w:val="0"/>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El acta de cabildo en el que se sometieron a aprobación 25 obras.</w:t>
      </w:r>
    </w:p>
    <w:p w:rsidR="001E7BA0" w:rsidRDefault="001E7BA0" w:rsidP="007A0504">
      <w:pPr>
        <w:spacing w:line="360" w:lineRule="auto"/>
        <w:jc w:val="both"/>
        <w:rPr>
          <w:rFonts w:ascii="Palatino Linotype" w:hAnsi="Palatino Linotype" w:cs="Tahoma"/>
          <w:sz w:val="22"/>
          <w:szCs w:val="22"/>
          <w:lang w:val="es-ES"/>
        </w:rPr>
      </w:pPr>
    </w:p>
    <w:p w:rsidR="00465F60" w:rsidRDefault="001E7BA0" w:rsidP="001E7BA0">
      <w:pPr>
        <w:autoSpaceDE w:val="0"/>
        <w:autoSpaceDN w:val="0"/>
        <w:adjustRightInd w:val="0"/>
        <w:spacing w:line="360" w:lineRule="auto"/>
        <w:jc w:val="both"/>
        <w:rPr>
          <w:rFonts w:ascii="Palatino Linotype" w:eastAsia="Calibri" w:hAnsi="Palatino Linotype" w:cs="Tahoma"/>
          <w:bCs/>
          <w:sz w:val="22"/>
          <w:szCs w:val="22"/>
          <w:lang w:val="es-ES" w:eastAsia="en-US"/>
        </w:rPr>
      </w:pPr>
      <w:r>
        <w:rPr>
          <w:rFonts w:ascii="Palatino Linotype" w:hAnsi="Palatino Linotype" w:cs="Tahoma"/>
          <w:sz w:val="22"/>
          <w:szCs w:val="22"/>
          <w:lang w:val="es-ES"/>
        </w:rPr>
        <w:t xml:space="preserve">En otro tenor, es preciso señalar que el Particular señaló que fueron sometidas a aprobación del cabildo una lista de 25 obras para su aprobación en la ejecución de los recursos provenientes del </w:t>
      </w:r>
      <w:r>
        <w:rPr>
          <w:rFonts w:ascii="Palatino Linotype" w:eastAsia="Calibri" w:hAnsi="Palatino Linotype" w:cs="Tahoma"/>
          <w:bCs/>
          <w:sz w:val="22"/>
          <w:szCs w:val="22"/>
          <w:lang w:eastAsia="en-US"/>
        </w:rPr>
        <w:t xml:space="preserve">Fondo Estatal de Fortalecimiento Municipal (FEFOM), sin proporcionar datos que permitan identificar la fecha de acta de cabildo o algún dato que permita identificar el acta referida, por lo que este Órgano Garante procedió a la búsqueda del acta de cabildo, pues de conformidad con el articulo 94 numeral II inciso b) de la </w:t>
      </w:r>
      <w:r w:rsidRPr="001E7BA0">
        <w:rPr>
          <w:rFonts w:ascii="Palatino Linotype" w:eastAsia="Calibri" w:hAnsi="Palatino Linotype" w:cs="Tahoma"/>
          <w:bCs/>
          <w:sz w:val="22"/>
          <w:szCs w:val="22"/>
          <w:lang w:eastAsia="en-US"/>
        </w:rPr>
        <w:t>Ley de Transparencia y Acceso a la Información Pública del Estado de México y Municipios</w:t>
      </w:r>
      <w:r>
        <w:rPr>
          <w:rFonts w:ascii="Palatino Linotype" w:eastAsia="Calibri" w:hAnsi="Palatino Linotype" w:cs="Tahoma"/>
          <w:bCs/>
          <w:sz w:val="22"/>
          <w:szCs w:val="22"/>
          <w:lang w:eastAsia="en-US"/>
        </w:rPr>
        <w:t>; en el que se estable</w:t>
      </w:r>
      <w:r w:rsidR="006D7D0E">
        <w:rPr>
          <w:rFonts w:ascii="Palatino Linotype" w:eastAsia="Calibri" w:hAnsi="Palatino Linotype" w:cs="Tahoma"/>
          <w:bCs/>
          <w:sz w:val="22"/>
          <w:szCs w:val="22"/>
          <w:lang w:eastAsia="en-US"/>
        </w:rPr>
        <w:t xml:space="preserve">ce que </w:t>
      </w:r>
      <w:r>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lastRenderedPageBreak/>
        <w:t xml:space="preserve">las actas de sesiones de cabildo constituyen </w:t>
      </w:r>
      <w:r w:rsidR="006D7D0E">
        <w:rPr>
          <w:rFonts w:ascii="Palatino Linotype" w:eastAsia="Calibri" w:hAnsi="Palatino Linotype" w:cs="Tahoma"/>
          <w:bCs/>
          <w:sz w:val="22"/>
          <w:szCs w:val="22"/>
          <w:lang w:eastAsia="en-US"/>
        </w:rPr>
        <w:t>información</w:t>
      </w:r>
      <w:r>
        <w:rPr>
          <w:rFonts w:ascii="Palatino Linotype" w:eastAsia="Calibri" w:hAnsi="Palatino Linotype" w:cs="Tahoma"/>
          <w:bCs/>
          <w:sz w:val="22"/>
          <w:szCs w:val="22"/>
          <w:lang w:eastAsia="en-US"/>
        </w:rPr>
        <w:t xml:space="preserve"> publica y es </w:t>
      </w:r>
      <w:r w:rsidR="006D7D0E">
        <w:rPr>
          <w:rFonts w:ascii="Palatino Linotype" w:eastAsia="Calibri" w:hAnsi="Palatino Linotype" w:cs="Tahoma"/>
          <w:bCs/>
          <w:sz w:val="22"/>
          <w:szCs w:val="22"/>
          <w:lang w:eastAsia="en-US"/>
        </w:rPr>
        <w:t>obligación</w:t>
      </w:r>
      <w:r>
        <w:rPr>
          <w:rFonts w:ascii="Palatino Linotype" w:eastAsia="Calibri" w:hAnsi="Palatino Linotype" w:cs="Tahoma"/>
          <w:bCs/>
          <w:sz w:val="22"/>
          <w:szCs w:val="22"/>
          <w:lang w:eastAsia="en-US"/>
        </w:rPr>
        <w:t xml:space="preserve"> en materia de Transparencia y Acceso a la </w:t>
      </w:r>
      <w:r w:rsidR="006D7D0E">
        <w:rPr>
          <w:rFonts w:ascii="Palatino Linotype" w:eastAsia="Calibri" w:hAnsi="Palatino Linotype" w:cs="Tahoma"/>
          <w:bCs/>
          <w:sz w:val="22"/>
          <w:szCs w:val="22"/>
          <w:lang w:eastAsia="en-US"/>
        </w:rPr>
        <w:t>Información</w:t>
      </w:r>
      <w:r>
        <w:rPr>
          <w:rFonts w:ascii="Palatino Linotype" w:eastAsia="Calibri" w:hAnsi="Palatino Linotype" w:cs="Tahoma"/>
          <w:bCs/>
          <w:sz w:val="22"/>
          <w:szCs w:val="22"/>
          <w:lang w:eastAsia="en-US"/>
        </w:rPr>
        <w:t xml:space="preserve">, su </w:t>
      </w:r>
      <w:r w:rsidR="006D7D0E">
        <w:rPr>
          <w:rFonts w:ascii="Palatino Linotype" w:eastAsia="Calibri" w:hAnsi="Palatino Linotype" w:cs="Tahoma"/>
          <w:bCs/>
          <w:sz w:val="22"/>
          <w:szCs w:val="22"/>
          <w:lang w:eastAsia="en-US"/>
        </w:rPr>
        <w:t>publicación</w:t>
      </w:r>
      <w:r>
        <w:rPr>
          <w:rFonts w:ascii="Palatino Linotype" w:eastAsia="Calibri" w:hAnsi="Palatino Linotype" w:cs="Tahoma"/>
          <w:bCs/>
          <w:sz w:val="22"/>
          <w:szCs w:val="22"/>
          <w:lang w:eastAsia="en-US"/>
        </w:rPr>
        <w:t xml:space="preserve"> en los sitios de </w:t>
      </w:r>
      <w:r w:rsidR="006D7D0E">
        <w:rPr>
          <w:rFonts w:ascii="Palatino Linotype" w:eastAsia="Calibri" w:hAnsi="Palatino Linotype" w:cs="Tahoma"/>
          <w:bCs/>
          <w:sz w:val="22"/>
          <w:szCs w:val="22"/>
          <w:lang w:eastAsia="en-US"/>
        </w:rPr>
        <w:t>información</w:t>
      </w:r>
      <w:r>
        <w:rPr>
          <w:rFonts w:ascii="Palatino Linotype" w:eastAsia="Calibri" w:hAnsi="Palatino Linotype" w:cs="Tahoma"/>
          <w:bCs/>
          <w:sz w:val="22"/>
          <w:szCs w:val="22"/>
          <w:lang w:eastAsia="en-US"/>
        </w:rPr>
        <w:t>,</w:t>
      </w:r>
      <w:r w:rsidR="006D7D0E">
        <w:rPr>
          <w:rFonts w:ascii="Palatino Linotype" w:eastAsia="Calibri" w:hAnsi="Palatino Linotype" w:cs="Tahoma"/>
          <w:bCs/>
          <w:sz w:val="22"/>
          <w:szCs w:val="22"/>
          <w:lang w:eastAsia="en-US"/>
        </w:rPr>
        <w:t xml:space="preserve"> por lo que se </w:t>
      </w:r>
      <w:r w:rsidR="005A727E">
        <w:rPr>
          <w:rFonts w:ascii="Palatino Linotype" w:eastAsia="Calibri" w:hAnsi="Palatino Linotype" w:cs="Tahoma"/>
          <w:bCs/>
          <w:sz w:val="22"/>
          <w:szCs w:val="22"/>
          <w:lang w:eastAsia="en-US"/>
        </w:rPr>
        <w:t>buscó</w:t>
      </w:r>
      <w:r w:rsidR="006D7D0E">
        <w:rPr>
          <w:rFonts w:ascii="Palatino Linotype" w:eastAsia="Calibri" w:hAnsi="Palatino Linotype" w:cs="Tahoma"/>
          <w:bCs/>
          <w:sz w:val="22"/>
          <w:szCs w:val="22"/>
          <w:lang w:eastAsia="en-US"/>
        </w:rPr>
        <w:t xml:space="preserve"> en el </w:t>
      </w:r>
      <w:r>
        <w:rPr>
          <w:rFonts w:ascii="Palatino Linotype" w:eastAsia="Calibri" w:hAnsi="Palatino Linotype" w:cs="Tahoma"/>
          <w:bCs/>
          <w:sz w:val="22"/>
          <w:szCs w:val="22"/>
          <w:lang w:eastAsia="en-US"/>
        </w:rPr>
        <w:t xml:space="preserve"> sitio </w:t>
      </w:r>
      <w:r w:rsidRPr="001E7BA0">
        <w:rPr>
          <w:rFonts w:ascii="Palatino Linotype" w:eastAsia="Calibri" w:hAnsi="Palatino Linotype" w:cs="Tahoma"/>
          <w:bCs/>
          <w:sz w:val="22"/>
          <w:szCs w:val="22"/>
          <w:lang w:val="es-ES" w:eastAsia="en-US"/>
        </w:rPr>
        <w:t>Información Pública de Oficio Mexiquense (Ipomex)</w:t>
      </w:r>
      <w:r w:rsidR="006D7D0E">
        <w:rPr>
          <w:rFonts w:ascii="Palatino Linotype" w:eastAsia="Calibri" w:hAnsi="Palatino Linotype" w:cs="Tahoma"/>
          <w:bCs/>
          <w:sz w:val="22"/>
          <w:szCs w:val="22"/>
          <w:lang w:val="es-ES" w:eastAsia="en-US"/>
        </w:rPr>
        <w:t>, a fin de localizar la multicitada acta de cabildo.</w:t>
      </w:r>
    </w:p>
    <w:p w:rsidR="006D7D0E" w:rsidRDefault="006D7D0E" w:rsidP="001E7BA0">
      <w:pPr>
        <w:autoSpaceDE w:val="0"/>
        <w:autoSpaceDN w:val="0"/>
        <w:adjustRightInd w:val="0"/>
        <w:spacing w:line="360" w:lineRule="auto"/>
        <w:jc w:val="both"/>
        <w:rPr>
          <w:rFonts w:ascii="Palatino Linotype" w:eastAsia="Calibri" w:hAnsi="Palatino Linotype" w:cs="Tahoma"/>
          <w:bCs/>
          <w:sz w:val="22"/>
          <w:szCs w:val="22"/>
          <w:lang w:val="es-ES" w:eastAsia="en-US"/>
        </w:rPr>
      </w:pPr>
    </w:p>
    <w:p w:rsidR="006D7D0E" w:rsidRDefault="006D7D0E" w:rsidP="001E7BA0">
      <w:pPr>
        <w:autoSpaceDE w:val="0"/>
        <w:autoSpaceDN w:val="0"/>
        <w:adjustRightInd w:val="0"/>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t xml:space="preserve">Ante la búsqueda en el sitio en referencia se advierte que el Sujeto Obligado no cuenta con </w:t>
      </w:r>
      <w:r w:rsidR="005A727E">
        <w:rPr>
          <w:rFonts w:ascii="Palatino Linotype" w:eastAsia="Calibri" w:hAnsi="Palatino Linotype" w:cs="Tahoma"/>
          <w:bCs/>
          <w:sz w:val="22"/>
          <w:szCs w:val="22"/>
          <w:lang w:val="es-ES" w:eastAsia="en-US"/>
        </w:rPr>
        <w:t>información</w:t>
      </w:r>
      <w:r>
        <w:rPr>
          <w:rFonts w:ascii="Palatino Linotype" w:eastAsia="Calibri" w:hAnsi="Palatino Linotype" w:cs="Tahoma"/>
          <w:bCs/>
          <w:sz w:val="22"/>
          <w:szCs w:val="22"/>
          <w:lang w:val="es-ES" w:eastAsia="en-US"/>
        </w:rPr>
        <w:t xml:space="preserve"> publicada en el sitio </w:t>
      </w:r>
      <w:r w:rsidRPr="006D7D0E">
        <w:rPr>
          <w:rFonts w:ascii="Palatino Linotype" w:eastAsia="Calibri" w:hAnsi="Palatino Linotype" w:cs="Tahoma"/>
          <w:bCs/>
          <w:sz w:val="22"/>
          <w:szCs w:val="22"/>
          <w:lang w:val="es-ES" w:eastAsia="en-US"/>
        </w:rPr>
        <w:t>Información Pública de Oficio Mexiquense (Ipomex)</w:t>
      </w:r>
      <w:r>
        <w:rPr>
          <w:rFonts w:ascii="Palatino Linotype" w:eastAsia="Calibri" w:hAnsi="Palatino Linotype" w:cs="Tahoma"/>
          <w:bCs/>
          <w:sz w:val="22"/>
          <w:szCs w:val="22"/>
          <w:lang w:val="es-ES" w:eastAsia="en-US"/>
        </w:rPr>
        <w:t>, e</w:t>
      </w:r>
      <w:r w:rsidR="006C57E2">
        <w:rPr>
          <w:rFonts w:ascii="Palatino Linotype" w:eastAsia="Calibri" w:hAnsi="Palatino Linotype" w:cs="Tahoma"/>
          <w:bCs/>
          <w:sz w:val="22"/>
          <w:szCs w:val="22"/>
          <w:lang w:val="es-ES" w:eastAsia="en-US"/>
        </w:rPr>
        <w:t xml:space="preserve">n el apartado correspondiente al </w:t>
      </w:r>
      <w:r w:rsidR="005A727E">
        <w:rPr>
          <w:rFonts w:ascii="Palatino Linotype" w:eastAsia="Calibri" w:hAnsi="Palatino Linotype" w:cs="Tahoma"/>
          <w:bCs/>
          <w:sz w:val="22"/>
          <w:szCs w:val="22"/>
          <w:lang w:val="es-ES" w:eastAsia="en-US"/>
        </w:rPr>
        <w:t>artículo</w:t>
      </w:r>
      <w:r w:rsidR="006C57E2">
        <w:rPr>
          <w:rFonts w:ascii="Palatino Linotype" w:eastAsia="Calibri" w:hAnsi="Palatino Linotype" w:cs="Tahoma"/>
          <w:bCs/>
          <w:sz w:val="22"/>
          <w:szCs w:val="22"/>
          <w:lang w:val="es-ES" w:eastAsia="en-US"/>
        </w:rPr>
        <w:t xml:space="preserve"> 94, fracción IIB2, de las sesiones celebradas de cabildo, se advierte que el </w:t>
      </w:r>
      <w:r w:rsidR="005A727E">
        <w:rPr>
          <w:rFonts w:ascii="Palatino Linotype" w:eastAsia="Calibri" w:hAnsi="Palatino Linotype" w:cs="Tahoma"/>
          <w:bCs/>
          <w:sz w:val="22"/>
          <w:szCs w:val="22"/>
          <w:lang w:val="es-ES" w:eastAsia="en-US"/>
        </w:rPr>
        <w:t>Sujeto</w:t>
      </w:r>
      <w:r w:rsidR="006C57E2">
        <w:rPr>
          <w:rFonts w:ascii="Palatino Linotype" w:eastAsia="Calibri" w:hAnsi="Palatino Linotype" w:cs="Tahoma"/>
          <w:bCs/>
          <w:sz w:val="22"/>
          <w:szCs w:val="22"/>
          <w:lang w:val="es-ES" w:eastAsia="en-US"/>
        </w:rPr>
        <w:t xml:space="preserve"> Obligado no cuenta con </w:t>
      </w:r>
      <w:r w:rsidR="005A727E">
        <w:rPr>
          <w:rFonts w:ascii="Palatino Linotype" w:eastAsia="Calibri" w:hAnsi="Palatino Linotype" w:cs="Tahoma"/>
          <w:bCs/>
          <w:sz w:val="22"/>
          <w:szCs w:val="22"/>
          <w:lang w:val="es-ES" w:eastAsia="en-US"/>
        </w:rPr>
        <w:t>información</w:t>
      </w:r>
      <w:r w:rsidR="006C57E2">
        <w:rPr>
          <w:rFonts w:ascii="Palatino Linotype" w:eastAsia="Calibri" w:hAnsi="Palatino Linotype" w:cs="Tahoma"/>
          <w:bCs/>
          <w:sz w:val="22"/>
          <w:szCs w:val="22"/>
          <w:lang w:val="es-ES" w:eastAsia="en-US"/>
        </w:rPr>
        <w:t xml:space="preserve"> publicada, para mayor referencia se inserta imagen del contenido. </w:t>
      </w:r>
    </w:p>
    <w:p w:rsidR="005A727E" w:rsidRDefault="005A727E" w:rsidP="001E7BA0">
      <w:pPr>
        <w:autoSpaceDE w:val="0"/>
        <w:autoSpaceDN w:val="0"/>
        <w:adjustRightInd w:val="0"/>
        <w:spacing w:line="360" w:lineRule="auto"/>
        <w:jc w:val="both"/>
        <w:rPr>
          <w:rFonts w:ascii="Palatino Linotype" w:eastAsia="Calibri" w:hAnsi="Palatino Linotype" w:cs="Tahoma"/>
          <w:bCs/>
          <w:sz w:val="22"/>
          <w:szCs w:val="22"/>
          <w:lang w:val="es-ES" w:eastAsia="en-US"/>
        </w:rPr>
      </w:pPr>
    </w:p>
    <w:p w:rsidR="006C57E2" w:rsidRPr="001E7BA0" w:rsidRDefault="006C57E2" w:rsidP="001E7BA0">
      <w:pPr>
        <w:autoSpaceDE w:val="0"/>
        <w:autoSpaceDN w:val="0"/>
        <w:adjustRightInd w:val="0"/>
        <w:spacing w:line="360" w:lineRule="auto"/>
        <w:jc w:val="both"/>
        <w:rPr>
          <w:rFonts w:ascii="Palatino Linotype" w:eastAsia="Calibri" w:hAnsi="Palatino Linotype" w:cs="Tahoma"/>
          <w:bCs/>
          <w:sz w:val="22"/>
          <w:szCs w:val="22"/>
          <w:lang w:eastAsia="en-US"/>
        </w:rPr>
      </w:pPr>
      <w:r>
        <w:rPr>
          <w:noProof/>
          <w:lang w:val="es-ES"/>
        </w:rPr>
        <w:drawing>
          <wp:inline distT="0" distB="0" distL="0" distR="0" wp14:anchorId="62E0AE59" wp14:editId="1BC30BF0">
            <wp:extent cx="5710686" cy="2874005"/>
            <wp:effectExtent l="0" t="0" r="4445"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620" t="10682" r="3406" b="48184"/>
                    <a:stretch/>
                  </pic:blipFill>
                  <pic:spPr bwMode="auto">
                    <a:xfrm>
                      <a:off x="0" y="0"/>
                      <a:ext cx="5727249" cy="2882341"/>
                    </a:xfrm>
                    <a:prstGeom prst="rect">
                      <a:avLst/>
                    </a:prstGeom>
                    <a:ln>
                      <a:noFill/>
                    </a:ln>
                    <a:extLst>
                      <a:ext uri="{53640926-AAD7-44D8-BBD7-CCE9431645EC}">
                        <a14:shadowObscured xmlns:a14="http://schemas.microsoft.com/office/drawing/2010/main"/>
                      </a:ext>
                    </a:extLst>
                  </pic:spPr>
                </pic:pic>
              </a:graphicData>
            </a:graphic>
          </wp:inline>
        </w:drawing>
      </w:r>
    </w:p>
    <w:p w:rsidR="00465F60" w:rsidRPr="006C57E2" w:rsidRDefault="006C57E2" w:rsidP="006C57E2">
      <w:pPr>
        <w:spacing w:line="360" w:lineRule="auto"/>
        <w:ind w:left="567" w:right="539"/>
        <w:jc w:val="both"/>
        <w:rPr>
          <w:rFonts w:ascii="Palatino Linotype" w:hAnsi="Palatino Linotype" w:cs="Tahoma"/>
          <w:bCs/>
          <w:iCs/>
        </w:rPr>
      </w:pPr>
      <w:r w:rsidRPr="006C57E2">
        <w:rPr>
          <w:rFonts w:ascii="Palatino Linotype" w:hAnsi="Palatino Linotype" w:cs="Tahoma"/>
          <w:bCs/>
          <w:iCs/>
        </w:rPr>
        <w:t>(Imagen extraída del enlace:</w:t>
      </w:r>
      <w:r w:rsidRPr="006C57E2">
        <w:rPr>
          <w:rFonts w:ascii="Palatino Linotype" w:hAnsi="Palatino Linotype"/>
        </w:rPr>
        <w:t xml:space="preserve"> </w:t>
      </w:r>
      <w:hyperlink r:id="rId15" w:history="1">
        <w:r w:rsidRPr="006C57E2">
          <w:rPr>
            <w:rStyle w:val="Hipervnculo"/>
            <w:rFonts w:ascii="Palatino Linotype" w:eastAsiaTheme="majorEastAsia" w:hAnsi="Palatino Linotype"/>
          </w:rPr>
          <w:t>https://www.ipomex.org.mx/ipo3/lgt/indice/TONATICO/art_94_ii_b2.web</w:t>
        </w:r>
      </w:hyperlink>
      <w:r w:rsidRPr="006C57E2">
        <w:rPr>
          <w:rFonts w:ascii="Palatino Linotype" w:hAnsi="Palatino Linotype"/>
        </w:rPr>
        <w:t>)</w:t>
      </w:r>
    </w:p>
    <w:p w:rsidR="0011232F" w:rsidRDefault="0011232F" w:rsidP="007A0504">
      <w:pPr>
        <w:spacing w:line="360" w:lineRule="auto"/>
        <w:jc w:val="both"/>
        <w:rPr>
          <w:rFonts w:ascii="Palatino Linotype" w:hAnsi="Palatino Linotype" w:cs="Tahoma"/>
          <w:bCs/>
          <w:iCs/>
          <w:sz w:val="22"/>
        </w:rPr>
      </w:pPr>
    </w:p>
    <w:p w:rsidR="006C57E2" w:rsidRPr="006C57E2" w:rsidRDefault="006C57E2" w:rsidP="007A0504">
      <w:pPr>
        <w:spacing w:line="360" w:lineRule="auto"/>
        <w:jc w:val="both"/>
        <w:rPr>
          <w:rFonts w:ascii="Palatino Linotype" w:hAnsi="Palatino Linotype" w:cs="Tahoma"/>
          <w:bCs/>
          <w:iCs/>
          <w:sz w:val="22"/>
        </w:rPr>
      </w:pPr>
      <w:r>
        <w:rPr>
          <w:rFonts w:ascii="Palatino Linotype" w:hAnsi="Palatino Linotype" w:cs="Tahoma"/>
          <w:bCs/>
          <w:iCs/>
          <w:sz w:val="22"/>
        </w:rPr>
        <w:t>Derivado de lo anterior no fue posible localizar el acta de cabildo en el que se apruebe o se someta a consideración las obras que refiere el P</w:t>
      </w:r>
      <w:r w:rsidR="0011232F">
        <w:rPr>
          <w:rFonts w:ascii="Palatino Linotype" w:hAnsi="Palatino Linotype" w:cs="Tahoma"/>
          <w:bCs/>
          <w:iCs/>
          <w:sz w:val="22"/>
        </w:rPr>
        <w:t xml:space="preserve">articular, por lo que no se cuenta con la constancia para determinar cuántas obras o bien la fecha en la que fueron aprobadas, por lo </w:t>
      </w:r>
      <w:r w:rsidR="0011232F">
        <w:rPr>
          <w:rFonts w:ascii="Palatino Linotype" w:hAnsi="Palatino Linotype" w:cs="Tahoma"/>
          <w:bCs/>
          <w:iCs/>
          <w:sz w:val="22"/>
        </w:rPr>
        <w:lastRenderedPageBreak/>
        <w:t xml:space="preserve">que el Sujeto Obligado deberá realizar una búsqueda exhaustiva y razonable en todas y cada una de las áreas a fin de entregar la información solicitada por el periodo que va del primero de enero a la fecha de la solicitud es decir al treinta y uno de mayo del dos mil diecinueve. </w:t>
      </w:r>
    </w:p>
    <w:p w:rsidR="005A727E" w:rsidRDefault="005A727E" w:rsidP="005A727E">
      <w:pPr>
        <w:tabs>
          <w:tab w:val="left" w:pos="2595"/>
        </w:tabs>
        <w:spacing w:line="360" w:lineRule="auto"/>
        <w:ind w:right="-93"/>
        <w:jc w:val="both"/>
        <w:rPr>
          <w:rFonts w:ascii="Palatino Linotype" w:eastAsia="Calibri" w:hAnsi="Palatino Linotype" w:cs="Tahoma"/>
          <w:b/>
          <w:bCs/>
          <w:sz w:val="22"/>
          <w:szCs w:val="22"/>
          <w:lang w:eastAsia="en-US"/>
        </w:rPr>
      </w:pPr>
    </w:p>
    <w:p w:rsidR="005A727E" w:rsidRPr="00BE2E04" w:rsidRDefault="005A727E" w:rsidP="005A727E">
      <w:pPr>
        <w:tabs>
          <w:tab w:val="left" w:pos="2595"/>
        </w:tabs>
        <w:spacing w:line="360" w:lineRule="auto"/>
        <w:ind w:right="-93"/>
        <w:jc w:val="both"/>
        <w:rPr>
          <w:rFonts w:ascii="Palatino Linotype" w:eastAsia="Calibri" w:hAnsi="Palatino Linotype" w:cs="Tahoma"/>
          <w:b/>
          <w:bCs/>
          <w:sz w:val="22"/>
          <w:szCs w:val="22"/>
          <w:lang w:eastAsia="en-US"/>
        </w:rPr>
      </w:pPr>
      <w:r w:rsidRPr="00BE2E04">
        <w:rPr>
          <w:rFonts w:ascii="Palatino Linotype" w:eastAsia="Calibri" w:hAnsi="Palatino Linotype" w:cs="Tahoma"/>
          <w:b/>
          <w:bCs/>
          <w:sz w:val="22"/>
          <w:szCs w:val="22"/>
          <w:lang w:eastAsia="en-US"/>
        </w:rPr>
        <w:t xml:space="preserve">VERSIÓN PÚBLICA </w:t>
      </w:r>
      <w:r>
        <w:rPr>
          <w:rFonts w:ascii="Palatino Linotype" w:eastAsia="Calibri" w:hAnsi="Palatino Linotype" w:cs="Tahoma"/>
          <w:b/>
          <w:bCs/>
          <w:sz w:val="22"/>
          <w:szCs w:val="22"/>
          <w:lang w:eastAsia="en-US"/>
        </w:rPr>
        <w:tab/>
      </w:r>
    </w:p>
    <w:p w:rsidR="005A727E" w:rsidRDefault="005A727E" w:rsidP="005A727E">
      <w:pPr>
        <w:tabs>
          <w:tab w:val="left" w:pos="2130"/>
        </w:tabs>
        <w:spacing w:line="360" w:lineRule="auto"/>
        <w:jc w:val="both"/>
        <w:rPr>
          <w:rFonts w:ascii="Palatino Linotype" w:eastAsia="Calibri" w:hAnsi="Palatino Linotype" w:cs="Tahoma"/>
          <w:bCs/>
          <w:sz w:val="22"/>
          <w:szCs w:val="22"/>
          <w:lang w:eastAsia="en-US"/>
        </w:rPr>
      </w:pPr>
    </w:p>
    <w:p w:rsidR="005A727E" w:rsidRDefault="005A727E" w:rsidP="005A727E">
      <w:pPr>
        <w:shd w:val="clear" w:color="auto" w:fill="FFFFFF"/>
        <w:spacing w:line="360" w:lineRule="auto"/>
        <w:jc w:val="both"/>
        <w:rPr>
          <w:rFonts w:ascii="Palatino Linotype" w:hAnsi="Palatino Linotype"/>
          <w:sz w:val="22"/>
        </w:rPr>
      </w:pPr>
      <w:r w:rsidRPr="00992904">
        <w:rPr>
          <w:rFonts w:ascii="Palatino Linotype" w:eastAsia="Calibri" w:hAnsi="Palatino Linotype" w:cs="Tahoma"/>
          <w:bCs/>
          <w:sz w:val="22"/>
          <w:szCs w:val="22"/>
          <w:lang w:eastAsia="en-US"/>
        </w:rPr>
        <w:t xml:space="preserve">Finalmente, </w:t>
      </w:r>
      <w:r>
        <w:rPr>
          <w:rFonts w:ascii="Palatino Linotype" w:eastAsia="Calibri" w:hAnsi="Palatino Linotype" w:cs="Tahoma"/>
          <w:bCs/>
          <w:sz w:val="22"/>
          <w:szCs w:val="22"/>
          <w:lang w:eastAsia="en-US"/>
        </w:rPr>
        <w:t>para el caso de que la información contenga</w:t>
      </w:r>
      <w:r w:rsidRPr="00992904">
        <w:rPr>
          <w:rFonts w:ascii="Palatino Linotype" w:eastAsia="Calibri" w:hAnsi="Palatino Linotype" w:cs="Tahoma"/>
          <w:bCs/>
          <w:sz w:val="22"/>
          <w:szCs w:val="22"/>
          <w:lang w:eastAsia="en-US"/>
        </w:rPr>
        <w:t xml:space="preserve"> datos </w:t>
      </w:r>
      <w:r>
        <w:rPr>
          <w:rFonts w:ascii="Palatino Linotype" w:eastAsia="Calibri" w:hAnsi="Palatino Linotype" w:cs="Tahoma"/>
          <w:bCs/>
          <w:sz w:val="22"/>
          <w:szCs w:val="22"/>
          <w:lang w:eastAsia="en-US"/>
        </w:rPr>
        <w:t xml:space="preserve">personales </w:t>
      </w:r>
      <w:r w:rsidRPr="00992904">
        <w:rPr>
          <w:rFonts w:ascii="Palatino Linotype" w:eastAsia="Calibri" w:hAnsi="Palatino Linotype" w:cs="Tahoma"/>
          <w:bCs/>
          <w:sz w:val="22"/>
          <w:szCs w:val="22"/>
          <w:lang w:eastAsia="en-US"/>
        </w:rPr>
        <w:t>confidenciales; en su caso, deberá entregar versión pública en la que se eliminen estos, junto con el acuerdo del Comité de Transparencia, en el que se funde y motive la eliminación de la información, de conformidad con lo establecido en los artículos 49, fracciones II y VIII, 128, 132, fracción I, 138, 143</w:t>
      </w:r>
      <w:r>
        <w:rPr>
          <w:rFonts w:ascii="Palatino Linotype" w:eastAsia="Calibri" w:hAnsi="Palatino Linotype" w:cs="Tahoma"/>
          <w:bCs/>
          <w:sz w:val="22"/>
          <w:szCs w:val="22"/>
          <w:lang w:eastAsia="en-US"/>
        </w:rPr>
        <w:t>, fracción I</w:t>
      </w:r>
      <w:r w:rsidRPr="00992904">
        <w:rPr>
          <w:rFonts w:ascii="Palatino Linotype" w:eastAsia="Calibri" w:hAnsi="Palatino Linotype" w:cs="Tahoma"/>
          <w:bCs/>
          <w:sz w:val="22"/>
          <w:szCs w:val="22"/>
          <w:lang w:eastAsia="en-US"/>
        </w:rPr>
        <w:t xml:space="preserve"> y 149 de la Ley de Transparencia y Acceso a la Información Pública de Estado de México y Municipios.</w:t>
      </w:r>
    </w:p>
    <w:p w:rsidR="00BA4C6C" w:rsidRDefault="00BA4C6C" w:rsidP="00336D6C">
      <w:pPr>
        <w:tabs>
          <w:tab w:val="left" w:pos="2066"/>
        </w:tabs>
        <w:spacing w:line="360" w:lineRule="auto"/>
        <w:contextualSpacing/>
        <w:jc w:val="both"/>
        <w:rPr>
          <w:rFonts w:ascii="Palatino Linotype" w:hAnsi="Palatino Linotype" w:cs="Tahoma"/>
          <w:sz w:val="22"/>
          <w:szCs w:val="22"/>
          <w:lang w:val="es-ES"/>
        </w:rPr>
      </w:pPr>
    </w:p>
    <w:p w:rsidR="00D12024" w:rsidRPr="0089475E" w:rsidRDefault="005A727E" w:rsidP="00D12024">
      <w:pPr>
        <w:spacing w:line="360" w:lineRule="auto"/>
        <w:contextualSpacing/>
        <w:jc w:val="both"/>
        <w:rPr>
          <w:rFonts w:ascii="Palatino Linotype" w:hAnsi="Palatino Linotype" w:cs="Tahoma"/>
          <w:b/>
          <w:sz w:val="22"/>
          <w:szCs w:val="22"/>
        </w:rPr>
      </w:pPr>
      <w:r>
        <w:rPr>
          <w:rFonts w:ascii="Palatino Linotype" w:hAnsi="Palatino Linotype" w:cs="Tahoma"/>
          <w:b/>
          <w:sz w:val="22"/>
          <w:szCs w:val="22"/>
        </w:rPr>
        <w:t>SEXTO</w:t>
      </w:r>
      <w:r w:rsidR="00D12024" w:rsidRPr="0089475E">
        <w:rPr>
          <w:rFonts w:ascii="Palatino Linotype" w:hAnsi="Palatino Linotype" w:cs="Tahoma"/>
          <w:b/>
          <w:sz w:val="22"/>
          <w:szCs w:val="22"/>
        </w:rPr>
        <w:t>. Decisión</w:t>
      </w:r>
    </w:p>
    <w:p w:rsidR="00D12024" w:rsidRPr="0089475E" w:rsidRDefault="00D12024" w:rsidP="00D12024">
      <w:pPr>
        <w:spacing w:line="360" w:lineRule="auto"/>
        <w:contextualSpacing/>
        <w:jc w:val="both"/>
        <w:rPr>
          <w:rFonts w:ascii="Palatino Linotype" w:hAnsi="Palatino Linotype" w:cs="Tahoma"/>
          <w:sz w:val="22"/>
          <w:szCs w:val="22"/>
        </w:rPr>
      </w:pPr>
    </w:p>
    <w:p w:rsidR="00D12024" w:rsidRDefault="00D12024" w:rsidP="00D12024">
      <w:pPr>
        <w:spacing w:line="360" w:lineRule="auto"/>
        <w:contextualSpacing/>
        <w:jc w:val="both"/>
        <w:rPr>
          <w:rFonts w:ascii="Palatino Linotype" w:hAnsi="Palatino Linotype" w:cs="Tahoma"/>
          <w:bCs/>
          <w:sz w:val="22"/>
          <w:szCs w:val="22"/>
        </w:rPr>
      </w:pPr>
      <w:r w:rsidRPr="0089475E">
        <w:rPr>
          <w:rFonts w:ascii="Palatino Linotype" w:hAnsi="Palatino Linotype" w:cs="Tahoma"/>
          <w:sz w:val="22"/>
          <w:szCs w:val="22"/>
        </w:rPr>
        <w:t xml:space="preserve">Con fundamento en el artículo 186, fracción IV, de la Ley de Transparencia y Acceso a la Información Pública del Estado de México y Municipios, este Instituto considera procedente </w:t>
      </w:r>
      <w:r w:rsidRPr="0089475E">
        <w:rPr>
          <w:rFonts w:ascii="Palatino Linotype" w:hAnsi="Palatino Linotype" w:cs="Tahoma"/>
          <w:b/>
          <w:sz w:val="22"/>
          <w:szCs w:val="22"/>
        </w:rPr>
        <w:t xml:space="preserve">ORDENAR </w:t>
      </w:r>
      <w:r w:rsidRPr="0089475E">
        <w:rPr>
          <w:rFonts w:ascii="Palatino Linotype" w:hAnsi="Palatino Linotype" w:cs="Tahoma"/>
          <w:sz w:val="22"/>
          <w:szCs w:val="22"/>
        </w:rPr>
        <w:t xml:space="preserve">al </w:t>
      </w:r>
      <w:r w:rsidR="004C0FB6" w:rsidRPr="004C0FB6">
        <w:rPr>
          <w:rFonts w:ascii="Palatino Linotype" w:eastAsia="Calibri" w:hAnsi="Palatino Linotype" w:cs="Tahoma"/>
          <w:b/>
          <w:bCs/>
          <w:iCs/>
          <w:color w:val="0D0D0D" w:themeColor="text1" w:themeTint="F2"/>
          <w:sz w:val="22"/>
          <w:szCs w:val="22"/>
          <w:lang w:eastAsia="en-US"/>
        </w:rPr>
        <w:t>Ayuntamiento de Tonatico</w:t>
      </w:r>
      <w:r w:rsidRPr="0089475E">
        <w:rPr>
          <w:rFonts w:ascii="Palatino Linotype" w:hAnsi="Palatino Linotype" w:cs="Tahoma"/>
          <w:sz w:val="22"/>
          <w:szCs w:val="22"/>
        </w:rPr>
        <w:t>, que previa búsqueda exhaustiva y razonable en todas las áreas competentes</w:t>
      </w:r>
      <w:r w:rsidRPr="0089475E">
        <w:rPr>
          <w:rFonts w:ascii="Palatino Linotype" w:hAnsi="Palatino Linotype" w:cs="Tahoma"/>
          <w:bCs/>
          <w:sz w:val="22"/>
          <w:szCs w:val="22"/>
        </w:rPr>
        <w:t>, otorgue acceso vía el Sistema de Acceso a la Información Mexiquense (SAIMEX), el documento o documentos, en versión pública que den cuenta de los siguientes:</w:t>
      </w:r>
    </w:p>
    <w:p w:rsidR="004C0FB6" w:rsidRPr="0089475E" w:rsidRDefault="004C0FB6" w:rsidP="00D12024">
      <w:pPr>
        <w:spacing w:line="360" w:lineRule="auto"/>
        <w:contextualSpacing/>
        <w:jc w:val="both"/>
        <w:rPr>
          <w:rFonts w:ascii="Palatino Linotype" w:hAnsi="Palatino Linotype" w:cs="Tahoma"/>
          <w:bCs/>
          <w:sz w:val="22"/>
          <w:szCs w:val="22"/>
        </w:rPr>
      </w:pPr>
    </w:p>
    <w:p w:rsidR="00D12024" w:rsidRDefault="004C0FB6" w:rsidP="00D12024">
      <w:pPr>
        <w:spacing w:line="360" w:lineRule="auto"/>
        <w:contextualSpacing/>
        <w:jc w:val="both"/>
        <w:rPr>
          <w:rFonts w:ascii="Palatino Linotype" w:hAnsi="Palatino Linotype" w:cs="Tahoma"/>
          <w:b/>
          <w:bCs/>
          <w:sz w:val="22"/>
          <w:szCs w:val="22"/>
        </w:rPr>
      </w:pPr>
      <w:r>
        <w:rPr>
          <w:rFonts w:ascii="Palatino Linotype" w:hAnsi="Palatino Linotype" w:cs="Tahoma"/>
          <w:b/>
          <w:bCs/>
          <w:sz w:val="22"/>
          <w:szCs w:val="22"/>
        </w:rPr>
        <w:t>Por el periodo del primero de enero al treinta y uno de mayo del dos mil diecinueve:</w:t>
      </w:r>
    </w:p>
    <w:p w:rsidR="004C0FB6" w:rsidRDefault="004C0FB6" w:rsidP="00D12024">
      <w:pPr>
        <w:spacing w:line="360" w:lineRule="auto"/>
        <w:contextualSpacing/>
        <w:jc w:val="both"/>
        <w:rPr>
          <w:rFonts w:ascii="Palatino Linotype" w:hAnsi="Palatino Linotype" w:cs="Tahoma"/>
          <w:b/>
          <w:bCs/>
          <w:sz w:val="22"/>
          <w:szCs w:val="22"/>
        </w:rPr>
      </w:pPr>
    </w:p>
    <w:p w:rsidR="004C0FB6" w:rsidRPr="004C0FB6" w:rsidRDefault="004C0FB6" w:rsidP="004C0FB6">
      <w:pPr>
        <w:pStyle w:val="Prrafodelista"/>
        <w:numPr>
          <w:ilvl w:val="0"/>
          <w:numId w:val="28"/>
        </w:numPr>
        <w:autoSpaceDE w:val="0"/>
        <w:autoSpaceDN w:val="0"/>
        <w:adjustRightInd w:val="0"/>
        <w:spacing w:line="360" w:lineRule="auto"/>
        <w:jc w:val="both"/>
        <w:rPr>
          <w:rFonts w:ascii="Palatino Linotype" w:eastAsia="Calibri" w:hAnsi="Palatino Linotype" w:cs="Tahoma"/>
          <w:bCs/>
          <w:szCs w:val="22"/>
          <w:lang w:eastAsia="en-US"/>
        </w:rPr>
      </w:pPr>
      <w:r w:rsidRPr="004C0FB6">
        <w:rPr>
          <w:rFonts w:ascii="Palatino Linotype" w:eastAsia="Calibri" w:hAnsi="Palatino Linotype" w:cs="Tahoma"/>
          <w:bCs/>
          <w:szCs w:val="22"/>
          <w:lang w:eastAsia="en-US"/>
        </w:rPr>
        <w:t xml:space="preserve">Los expedientes técnicos completos </w:t>
      </w:r>
      <w:r>
        <w:rPr>
          <w:rFonts w:ascii="Palatino Linotype" w:eastAsia="Calibri" w:hAnsi="Palatino Linotype" w:cs="Tahoma"/>
          <w:bCs/>
          <w:szCs w:val="22"/>
          <w:lang w:eastAsia="en-US"/>
        </w:rPr>
        <w:t xml:space="preserve">de cada obra programada </w:t>
      </w:r>
      <w:r w:rsidRPr="004C0FB6">
        <w:rPr>
          <w:rFonts w:ascii="Palatino Linotype" w:eastAsia="Calibri" w:hAnsi="Palatino Linotype" w:cs="Tahoma"/>
          <w:bCs/>
          <w:szCs w:val="22"/>
          <w:lang w:eastAsia="en-US"/>
        </w:rPr>
        <w:t>a ejecutarse con los recursos del Fondo Estatal de Fortalecimiento Municipal (FEFOM)</w:t>
      </w:r>
      <w:r>
        <w:rPr>
          <w:rFonts w:ascii="Palatino Linotype" w:eastAsia="Calibri" w:hAnsi="Palatino Linotype" w:cs="Tahoma"/>
          <w:bCs/>
          <w:szCs w:val="22"/>
          <w:lang w:eastAsia="en-US"/>
        </w:rPr>
        <w:t xml:space="preserve"> 2019, que asciende a la cantidad de 22 millones, 687 mil 409.84 pesos.</w:t>
      </w:r>
    </w:p>
    <w:p w:rsidR="001178C8" w:rsidRPr="006E1A88" w:rsidRDefault="001178C8" w:rsidP="001178C8">
      <w:pPr>
        <w:pStyle w:val="Prrafodelista"/>
        <w:spacing w:line="360" w:lineRule="auto"/>
        <w:ind w:left="0"/>
        <w:jc w:val="both"/>
        <w:rPr>
          <w:rFonts w:ascii="Palatino Linotype" w:hAnsi="Palatino Linotype"/>
        </w:rPr>
      </w:pPr>
      <w:r w:rsidRPr="00052624">
        <w:rPr>
          <w:rFonts w:ascii="Palatino Linotype" w:hAnsi="Palatino Linotype"/>
        </w:rPr>
        <w:lastRenderedPageBreak/>
        <w:t>En caso de no contar con la información señalada deberá emitir acuerdo de inexistencia de conformidad con lo establecido en los artículos 19, párrafo tercero y 169 de la Ley de Transparencia y Acceso a la Información Pública del Estado de México y Municipios.</w:t>
      </w:r>
      <w:r w:rsidRPr="006E1A88">
        <w:rPr>
          <w:rFonts w:ascii="Palatino Linotype" w:hAnsi="Palatino Linotype"/>
        </w:rPr>
        <w:t xml:space="preserve"> </w:t>
      </w:r>
    </w:p>
    <w:p w:rsidR="004C0FB6" w:rsidRDefault="004C0FB6" w:rsidP="00D12024">
      <w:pPr>
        <w:spacing w:line="360" w:lineRule="auto"/>
        <w:contextualSpacing/>
        <w:jc w:val="both"/>
        <w:rPr>
          <w:rFonts w:ascii="Palatino Linotype" w:hAnsi="Palatino Linotype" w:cs="Tahoma"/>
          <w:sz w:val="22"/>
          <w:szCs w:val="22"/>
        </w:rPr>
      </w:pPr>
    </w:p>
    <w:p w:rsidR="00D12024" w:rsidRPr="0089475E" w:rsidRDefault="001178C8" w:rsidP="00D12024">
      <w:pPr>
        <w:spacing w:line="360" w:lineRule="auto"/>
        <w:contextualSpacing/>
        <w:jc w:val="both"/>
        <w:rPr>
          <w:rFonts w:ascii="Palatino Linotype" w:hAnsi="Palatino Linotype" w:cs="Tahoma"/>
          <w:b/>
          <w:sz w:val="22"/>
          <w:szCs w:val="22"/>
        </w:rPr>
      </w:pPr>
      <w:r>
        <w:rPr>
          <w:rFonts w:ascii="Palatino Linotype" w:hAnsi="Palatino Linotype" w:cs="Tahoma"/>
          <w:b/>
          <w:sz w:val="22"/>
          <w:szCs w:val="22"/>
        </w:rPr>
        <w:t>SÉPTIMO</w:t>
      </w:r>
      <w:r w:rsidRPr="0089475E">
        <w:rPr>
          <w:rFonts w:ascii="Palatino Linotype" w:hAnsi="Palatino Linotype" w:cs="Tahoma"/>
          <w:b/>
          <w:sz w:val="22"/>
          <w:szCs w:val="22"/>
        </w:rPr>
        <w:t xml:space="preserve">. </w:t>
      </w:r>
      <w:r w:rsidR="00D12024" w:rsidRPr="0089475E">
        <w:rPr>
          <w:rFonts w:ascii="Palatino Linotype" w:hAnsi="Palatino Linotype" w:cs="Tahoma"/>
          <w:b/>
          <w:sz w:val="22"/>
          <w:szCs w:val="22"/>
        </w:rPr>
        <w:t xml:space="preserve">Vista a la Contraloría Interna y </w:t>
      </w:r>
      <w:r w:rsidR="00D12024" w:rsidRPr="0089475E">
        <w:rPr>
          <w:rFonts w:ascii="Palatino Linotype" w:eastAsia="Calibri" w:hAnsi="Palatino Linotype" w:cs="Tahoma"/>
          <w:b/>
          <w:bCs/>
          <w:sz w:val="22"/>
          <w:szCs w:val="22"/>
          <w:lang w:val="es-ES_tradnl" w:eastAsia="en-US"/>
        </w:rPr>
        <w:t>Órgano de Control y Vigilancia</w:t>
      </w:r>
      <w:r w:rsidR="00D12024" w:rsidRPr="0089475E">
        <w:rPr>
          <w:rFonts w:ascii="Palatino Linotype" w:hAnsi="Palatino Linotype" w:cs="Tahoma"/>
          <w:b/>
          <w:sz w:val="22"/>
          <w:szCs w:val="22"/>
        </w:rPr>
        <w:t xml:space="preserve">. </w:t>
      </w:r>
    </w:p>
    <w:p w:rsidR="00D12024" w:rsidRPr="0089475E" w:rsidRDefault="00D12024" w:rsidP="00D12024">
      <w:pPr>
        <w:spacing w:line="360" w:lineRule="auto"/>
        <w:contextualSpacing/>
        <w:jc w:val="both"/>
        <w:rPr>
          <w:rFonts w:ascii="Palatino Linotype" w:hAnsi="Palatino Linotype" w:cs="Tahoma"/>
          <w:b/>
          <w:sz w:val="22"/>
          <w:szCs w:val="22"/>
        </w:rPr>
      </w:pPr>
    </w:p>
    <w:p w:rsidR="00D12024" w:rsidRPr="0089475E" w:rsidRDefault="00D12024" w:rsidP="00D12024">
      <w:pPr>
        <w:spacing w:line="360" w:lineRule="auto"/>
        <w:contextualSpacing/>
        <w:jc w:val="both"/>
        <w:rPr>
          <w:rFonts w:ascii="Palatino Linotype" w:hAnsi="Palatino Linotype" w:cs="Tahoma"/>
          <w:sz w:val="22"/>
          <w:szCs w:val="22"/>
        </w:rPr>
      </w:pPr>
      <w:r w:rsidRPr="0089475E">
        <w:rPr>
          <w:rFonts w:ascii="Palatino Linotype" w:hAnsi="Palatino Linotype" w:cs="Tahoma"/>
          <w:sz w:val="22"/>
          <w:szCs w:val="22"/>
        </w:rPr>
        <w:t xml:space="preserve">En los asuntos en estudio, ha quedado señalado que el </w:t>
      </w:r>
      <w:r w:rsidRPr="0089475E">
        <w:rPr>
          <w:rFonts w:ascii="Palatino Linotype" w:eastAsia="Calibri" w:hAnsi="Palatino Linotype" w:cs="Tahoma"/>
          <w:sz w:val="22"/>
          <w:szCs w:val="22"/>
          <w:lang w:eastAsia="en-US"/>
        </w:rPr>
        <w:t>Ayuntamiento de T</w:t>
      </w:r>
      <w:r w:rsidR="001178C8">
        <w:rPr>
          <w:rFonts w:ascii="Palatino Linotype" w:eastAsia="Calibri" w:hAnsi="Palatino Linotype" w:cs="Tahoma"/>
          <w:sz w:val="22"/>
          <w:szCs w:val="22"/>
          <w:lang w:eastAsia="en-US"/>
        </w:rPr>
        <w:t>onatico</w:t>
      </w:r>
      <w:r w:rsidRPr="0089475E">
        <w:rPr>
          <w:rFonts w:ascii="Palatino Linotype" w:eastAsia="Calibri" w:hAnsi="Palatino Linotype" w:cs="Tahoma"/>
          <w:sz w:val="22"/>
          <w:szCs w:val="22"/>
          <w:lang w:eastAsia="en-US"/>
        </w:rPr>
        <w:t xml:space="preserve"> </w:t>
      </w:r>
      <w:r w:rsidRPr="0089475E">
        <w:rPr>
          <w:rFonts w:ascii="Palatino Linotype" w:hAnsi="Palatino Linotype" w:cs="Tahoma"/>
          <w:sz w:val="22"/>
          <w:szCs w:val="22"/>
        </w:rPr>
        <w:t>no emitió respuesta dentro del plazo señalado en el artículo 163 de la Ley de Transparencia y Acceso a la Información Pública del Estado de México y Municipios.</w:t>
      </w:r>
    </w:p>
    <w:p w:rsidR="00D12024" w:rsidRPr="0089475E" w:rsidRDefault="00D12024" w:rsidP="00D12024">
      <w:pPr>
        <w:spacing w:line="360" w:lineRule="auto"/>
        <w:contextualSpacing/>
        <w:jc w:val="both"/>
        <w:rPr>
          <w:rFonts w:ascii="Palatino Linotype" w:hAnsi="Palatino Linotype" w:cs="Tahoma"/>
          <w:sz w:val="22"/>
          <w:szCs w:val="22"/>
        </w:rPr>
      </w:pPr>
    </w:p>
    <w:p w:rsidR="00D12024" w:rsidRPr="0089475E" w:rsidRDefault="00D12024" w:rsidP="00D12024">
      <w:pPr>
        <w:spacing w:line="360" w:lineRule="auto"/>
        <w:contextualSpacing/>
        <w:jc w:val="both"/>
        <w:rPr>
          <w:rFonts w:ascii="Palatino Linotype" w:hAnsi="Palatino Linotype" w:cs="Tahoma"/>
          <w:sz w:val="22"/>
          <w:szCs w:val="22"/>
        </w:rPr>
      </w:pPr>
      <w:r w:rsidRPr="0089475E">
        <w:rPr>
          <w:rFonts w:ascii="Palatino Linotype" w:hAnsi="Palatino Linotype" w:cs="Tahoma"/>
          <w:sz w:val="22"/>
          <w:szCs w:val="22"/>
        </w:rPr>
        <w:t>Al respecto, en el artículo 36, fracción X, del ordenamiento jurídico en cita, se establece que es atribución de este Instituto hacer del conocimiento del Órgano Interno de Control o equivalente de cada Sujeto Obligado las infracciones a esta Ley.</w:t>
      </w:r>
    </w:p>
    <w:p w:rsidR="00D12024" w:rsidRPr="0089475E" w:rsidRDefault="00D12024" w:rsidP="00D12024">
      <w:pPr>
        <w:spacing w:line="360" w:lineRule="auto"/>
        <w:contextualSpacing/>
        <w:jc w:val="both"/>
        <w:rPr>
          <w:rFonts w:ascii="Palatino Linotype" w:hAnsi="Palatino Linotype" w:cs="Tahoma"/>
          <w:sz w:val="22"/>
          <w:szCs w:val="22"/>
        </w:rPr>
      </w:pPr>
    </w:p>
    <w:p w:rsidR="00D12024" w:rsidRPr="0089475E" w:rsidRDefault="00D12024" w:rsidP="00D12024">
      <w:pPr>
        <w:spacing w:line="360" w:lineRule="auto"/>
        <w:contextualSpacing/>
        <w:jc w:val="both"/>
        <w:rPr>
          <w:rFonts w:ascii="Palatino Linotype" w:eastAsia="Calibri" w:hAnsi="Palatino Linotype" w:cs="Tahoma"/>
          <w:bCs/>
          <w:sz w:val="22"/>
          <w:szCs w:val="22"/>
          <w:lang w:eastAsia="en-US"/>
        </w:rPr>
      </w:pPr>
      <w:r w:rsidRPr="0089475E">
        <w:rPr>
          <w:rFonts w:ascii="Palatino Linotype" w:eastAsia="Calibri" w:hAnsi="Palatino Linotype" w:cs="Tahoma"/>
          <w:bCs/>
          <w:sz w:val="22"/>
          <w:szCs w:val="22"/>
          <w:lang w:eastAsia="en-US"/>
        </w:rPr>
        <w:t>En ese sentido, de conformidad con lo previsto en el artículo 222, fracción II, de dicho ordenamiento, son causas de sanción por incumplimiento de las obligaciones establecida en la Ley de la materia, entre otras conductas, la falta de respuesta a las solicitudes de información en los plazos señalados, a saber, dentro de los quince días siguientes a la presentación del requerimiento.</w:t>
      </w:r>
    </w:p>
    <w:p w:rsidR="00D12024" w:rsidRPr="0089475E" w:rsidRDefault="00D12024" w:rsidP="00D12024">
      <w:pPr>
        <w:spacing w:line="360" w:lineRule="auto"/>
        <w:contextualSpacing/>
        <w:jc w:val="both"/>
        <w:rPr>
          <w:rFonts w:ascii="Palatino Linotype" w:eastAsia="Calibri" w:hAnsi="Palatino Linotype" w:cs="Tahoma"/>
          <w:bCs/>
          <w:sz w:val="22"/>
          <w:szCs w:val="22"/>
          <w:lang w:eastAsia="en-US"/>
        </w:rPr>
      </w:pPr>
    </w:p>
    <w:p w:rsidR="00D12024" w:rsidRPr="0089475E" w:rsidRDefault="00D12024" w:rsidP="00D12024">
      <w:pPr>
        <w:spacing w:line="360" w:lineRule="auto"/>
        <w:contextualSpacing/>
        <w:jc w:val="both"/>
        <w:rPr>
          <w:rFonts w:ascii="Palatino Linotype" w:eastAsia="Calibri" w:hAnsi="Palatino Linotype" w:cs="Tahoma"/>
          <w:bCs/>
          <w:sz w:val="22"/>
          <w:szCs w:val="22"/>
          <w:lang w:eastAsia="en-US"/>
        </w:rPr>
      </w:pPr>
      <w:r w:rsidRPr="0089475E">
        <w:rPr>
          <w:rFonts w:ascii="Palatino Linotype" w:eastAsia="Calibri" w:hAnsi="Palatino Linotype" w:cs="Tahoma"/>
          <w:bCs/>
          <w:sz w:val="22"/>
          <w:szCs w:val="22"/>
          <w:lang w:eastAsia="en-US"/>
        </w:rPr>
        <w:t>Por su parte, el artículo 223 de la Ley de Transparencia y Acceso a la Información Pública del Estado de México y Municipio prevé que este Instituto deberá dar vista a la Contraloría Interna, con el fin de que determine el grado de responsabilidad de los servidores públicos que incumplan con las obligaciones establecidas en la Ley.</w:t>
      </w:r>
    </w:p>
    <w:p w:rsidR="00D12024" w:rsidRPr="0089475E" w:rsidRDefault="00D12024" w:rsidP="00D12024">
      <w:pPr>
        <w:spacing w:line="360" w:lineRule="auto"/>
        <w:contextualSpacing/>
        <w:jc w:val="both"/>
        <w:rPr>
          <w:rFonts w:ascii="Palatino Linotype" w:eastAsia="Calibri" w:hAnsi="Palatino Linotype" w:cs="Tahoma"/>
          <w:bCs/>
          <w:sz w:val="22"/>
          <w:szCs w:val="22"/>
          <w:lang w:eastAsia="en-US"/>
        </w:rPr>
      </w:pPr>
    </w:p>
    <w:p w:rsidR="00D12024" w:rsidRPr="0089475E" w:rsidRDefault="00D12024" w:rsidP="00D12024">
      <w:pPr>
        <w:spacing w:line="360" w:lineRule="auto"/>
        <w:contextualSpacing/>
        <w:jc w:val="both"/>
        <w:rPr>
          <w:rFonts w:ascii="Palatino Linotype" w:eastAsia="Calibri" w:hAnsi="Palatino Linotype" w:cs="Tahoma"/>
          <w:bCs/>
          <w:sz w:val="22"/>
          <w:szCs w:val="22"/>
          <w:lang w:eastAsia="en-US"/>
        </w:rPr>
      </w:pPr>
      <w:r w:rsidRPr="0089475E">
        <w:rPr>
          <w:rFonts w:ascii="Palatino Linotype" w:eastAsia="Calibri" w:hAnsi="Palatino Linotype" w:cs="Tahoma"/>
          <w:bCs/>
          <w:sz w:val="22"/>
          <w:szCs w:val="22"/>
          <w:lang w:eastAsia="en-US"/>
        </w:rPr>
        <w:t xml:space="preserve">Sobre el particular, si bien, la presente resolución no tiene por objetivo investigar y determinar posibles violaciones al derecho de acceso a la información, toda vez que este Organismo </w:t>
      </w:r>
      <w:r w:rsidRPr="0089475E">
        <w:rPr>
          <w:rFonts w:ascii="Palatino Linotype" w:eastAsia="Calibri" w:hAnsi="Palatino Linotype" w:cs="Tahoma"/>
          <w:bCs/>
          <w:sz w:val="22"/>
          <w:szCs w:val="22"/>
          <w:lang w:eastAsia="en-US"/>
        </w:rPr>
        <w:lastRenderedPageBreak/>
        <w:t xml:space="preserve">Autónomo, advirtió la falta de respuesta del Sujeto Obligado, se considera procedente dar vista </w:t>
      </w:r>
      <w:r w:rsidRPr="0089475E">
        <w:rPr>
          <w:rFonts w:ascii="Palatino Linotype" w:eastAsia="Calibri" w:hAnsi="Palatino Linotype" w:cs="Tahoma"/>
          <w:bCs/>
          <w:sz w:val="22"/>
          <w:szCs w:val="22"/>
          <w:lang w:val="es-ES_tradnl" w:eastAsia="en-US"/>
        </w:rPr>
        <w:t>al Contralor Interno y Titular del Órgano de Control y Vigilancia de este Instituto</w:t>
      </w:r>
      <w:r w:rsidRPr="0089475E">
        <w:rPr>
          <w:rFonts w:ascii="Palatino Linotype" w:eastAsia="Calibri" w:hAnsi="Palatino Linotype" w:cs="Tahoma"/>
          <w:bCs/>
          <w:sz w:val="22"/>
          <w:szCs w:val="22"/>
          <w:lang w:eastAsia="en-US"/>
        </w:rPr>
        <w:t>.</w:t>
      </w:r>
    </w:p>
    <w:p w:rsidR="00D12024" w:rsidRPr="0089475E" w:rsidRDefault="00D12024" w:rsidP="00D12024">
      <w:pPr>
        <w:shd w:val="clear" w:color="auto" w:fill="FFFFFF" w:themeFill="background1"/>
        <w:spacing w:line="360" w:lineRule="auto"/>
        <w:contextualSpacing/>
        <w:jc w:val="both"/>
        <w:rPr>
          <w:rFonts w:ascii="Palatino Linotype" w:hAnsi="Palatino Linotype" w:cs="Tahoma"/>
          <w:sz w:val="22"/>
          <w:szCs w:val="22"/>
        </w:rPr>
      </w:pPr>
    </w:p>
    <w:p w:rsidR="00D12024" w:rsidRPr="0089475E" w:rsidRDefault="00D12024" w:rsidP="00D12024">
      <w:pPr>
        <w:spacing w:line="360" w:lineRule="auto"/>
        <w:contextualSpacing/>
        <w:jc w:val="both"/>
        <w:rPr>
          <w:rFonts w:ascii="Palatino Linotype" w:eastAsia="Calibri" w:hAnsi="Palatino Linotype" w:cs="Tahoma"/>
          <w:bCs/>
          <w:sz w:val="22"/>
          <w:szCs w:val="22"/>
          <w:lang w:eastAsia="en-US"/>
        </w:rPr>
      </w:pPr>
      <w:r w:rsidRPr="0089475E">
        <w:rPr>
          <w:rFonts w:ascii="Palatino Linotype" w:eastAsia="Calibri" w:hAnsi="Palatino Linotype" w:cs="Tahoma"/>
          <w:bCs/>
          <w:sz w:val="22"/>
          <w:szCs w:val="22"/>
          <w:lang w:eastAsia="en-US"/>
        </w:rPr>
        <w:t>Por lo expuesto y fundado, este Pleno:</w:t>
      </w:r>
    </w:p>
    <w:p w:rsidR="00D12024" w:rsidRPr="0089475E" w:rsidRDefault="00D12024" w:rsidP="00D12024">
      <w:pPr>
        <w:spacing w:line="360" w:lineRule="auto"/>
        <w:contextualSpacing/>
        <w:jc w:val="both"/>
        <w:rPr>
          <w:rFonts w:ascii="Palatino Linotype" w:eastAsia="Calibri" w:hAnsi="Palatino Linotype" w:cs="Tahoma"/>
          <w:bCs/>
          <w:sz w:val="22"/>
          <w:szCs w:val="22"/>
          <w:lang w:eastAsia="en-US"/>
        </w:rPr>
      </w:pPr>
    </w:p>
    <w:p w:rsidR="00D12024" w:rsidRPr="0089475E" w:rsidRDefault="00D12024" w:rsidP="00D12024">
      <w:pPr>
        <w:spacing w:line="360" w:lineRule="auto"/>
        <w:contextualSpacing/>
        <w:jc w:val="center"/>
        <w:rPr>
          <w:rFonts w:ascii="Palatino Linotype" w:eastAsia="Calibri" w:hAnsi="Palatino Linotype" w:cs="Tahoma"/>
          <w:b/>
          <w:bCs/>
          <w:sz w:val="22"/>
          <w:szCs w:val="22"/>
          <w:lang w:eastAsia="en-US"/>
        </w:rPr>
      </w:pPr>
      <w:r w:rsidRPr="0089475E">
        <w:rPr>
          <w:rFonts w:ascii="Palatino Linotype" w:eastAsia="Calibri" w:hAnsi="Palatino Linotype" w:cs="Tahoma"/>
          <w:b/>
          <w:bCs/>
          <w:sz w:val="22"/>
          <w:szCs w:val="22"/>
          <w:lang w:eastAsia="en-US"/>
        </w:rPr>
        <w:t>R E S U E L V E</w:t>
      </w:r>
    </w:p>
    <w:p w:rsidR="00D12024" w:rsidRPr="0089475E" w:rsidRDefault="00D12024" w:rsidP="00D12024">
      <w:pPr>
        <w:spacing w:line="360" w:lineRule="auto"/>
        <w:contextualSpacing/>
        <w:jc w:val="center"/>
        <w:rPr>
          <w:rFonts w:ascii="Palatino Linotype" w:eastAsia="Calibri" w:hAnsi="Palatino Linotype" w:cs="Tahoma"/>
          <w:b/>
          <w:bCs/>
          <w:sz w:val="22"/>
          <w:szCs w:val="22"/>
          <w:lang w:eastAsia="en-US"/>
        </w:rPr>
      </w:pPr>
    </w:p>
    <w:p w:rsidR="00D12024" w:rsidRPr="0089475E" w:rsidRDefault="00D12024" w:rsidP="00D12024">
      <w:pPr>
        <w:shd w:val="clear" w:color="auto" w:fill="FFFFFF" w:themeFill="background1"/>
        <w:spacing w:line="360" w:lineRule="auto"/>
        <w:contextualSpacing/>
        <w:jc w:val="both"/>
        <w:rPr>
          <w:rFonts w:ascii="Palatino Linotype" w:eastAsia="Calibri" w:hAnsi="Palatino Linotype" w:cs="Tahoma"/>
          <w:bCs/>
          <w:sz w:val="22"/>
          <w:szCs w:val="22"/>
          <w:lang w:eastAsia="en-US"/>
        </w:rPr>
      </w:pPr>
      <w:r w:rsidRPr="0089475E">
        <w:rPr>
          <w:rFonts w:ascii="Palatino Linotype" w:eastAsia="Calibri" w:hAnsi="Palatino Linotype" w:cs="Tahoma"/>
          <w:b/>
          <w:bCs/>
          <w:sz w:val="22"/>
          <w:szCs w:val="22"/>
          <w:lang w:eastAsia="en-US"/>
        </w:rPr>
        <w:t xml:space="preserve">PRIMERO. </w:t>
      </w:r>
      <w:r w:rsidRPr="0089475E">
        <w:rPr>
          <w:rFonts w:ascii="Palatino Linotype" w:eastAsia="Calibri" w:hAnsi="Palatino Linotype" w:cs="Tahoma"/>
          <w:bCs/>
          <w:sz w:val="22"/>
          <w:szCs w:val="22"/>
          <w:lang w:eastAsia="en-US"/>
        </w:rPr>
        <w:t xml:space="preserve">Resulta </w:t>
      </w:r>
      <w:r w:rsidRPr="0089475E">
        <w:rPr>
          <w:rFonts w:ascii="Palatino Linotype" w:eastAsia="Calibri" w:hAnsi="Palatino Linotype" w:cs="Tahoma"/>
          <w:b/>
          <w:bCs/>
          <w:sz w:val="22"/>
          <w:szCs w:val="22"/>
          <w:lang w:eastAsia="en-US"/>
        </w:rPr>
        <w:t>FUNDADA</w:t>
      </w:r>
      <w:r w:rsidRPr="0089475E">
        <w:rPr>
          <w:rFonts w:ascii="Palatino Linotype" w:eastAsia="Calibri" w:hAnsi="Palatino Linotype" w:cs="Tahoma"/>
          <w:bCs/>
          <w:sz w:val="22"/>
          <w:szCs w:val="22"/>
          <w:lang w:eastAsia="en-US"/>
        </w:rPr>
        <w:t xml:space="preserve"> la razón</w:t>
      </w:r>
      <w:r w:rsidR="00B64AF0">
        <w:rPr>
          <w:rFonts w:ascii="Palatino Linotype" w:eastAsia="Calibri" w:hAnsi="Palatino Linotype" w:cs="Tahoma"/>
          <w:bCs/>
          <w:sz w:val="22"/>
          <w:szCs w:val="22"/>
          <w:lang w:eastAsia="en-US"/>
        </w:rPr>
        <w:t xml:space="preserve"> o motivo de inconformidad hecha</w:t>
      </w:r>
      <w:r w:rsidRPr="0089475E">
        <w:rPr>
          <w:rFonts w:ascii="Palatino Linotype" w:eastAsia="Calibri" w:hAnsi="Palatino Linotype" w:cs="Tahoma"/>
          <w:bCs/>
          <w:sz w:val="22"/>
          <w:szCs w:val="22"/>
          <w:lang w:eastAsia="en-US"/>
        </w:rPr>
        <w:t xml:space="preserve"> valer por el Recurrente en el Recurso de Revisión </w:t>
      </w:r>
      <w:r w:rsidR="001178C8" w:rsidRPr="00700017">
        <w:rPr>
          <w:rFonts w:ascii="Palatino Linotype" w:hAnsi="Palatino Linotype" w:cs="Tahoma"/>
          <w:b/>
          <w:bCs/>
          <w:color w:val="0D0D0D" w:themeColor="text1" w:themeTint="F2"/>
          <w:sz w:val="22"/>
          <w:szCs w:val="22"/>
        </w:rPr>
        <w:t>06091/INFOEM/IP/RR/2019</w:t>
      </w:r>
      <w:r w:rsidRPr="0089475E">
        <w:rPr>
          <w:rFonts w:ascii="Palatino Linotype" w:eastAsia="Calibri" w:hAnsi="Palatino Linotype" w:cs="Tahoma"/>
          <w:bCs/>
          <w:sz w:val="22"/>
          <w:szCs w:val="22"/>
          <w:lang w:eastAsia="en-US"/>
        </w:rPr>
        <w:t xml:space="preserve">, en términos de los Considerandos </w:t>
      </w:r>
      <w:r w:rsidRPr="0089475E">
        <w:rPr>
          <w:rFonts w:ascii="Palatino Linotype" w:eastAsia="Calibri" w:hAnsi="Palatino Linotype" w:cs="Tahoma"/>
          <w:b/>
          <w:bCs/>
          <w:sz w:val="22"/>
          <w:szCs w:val="22"/>
          <w:lang w:eastAsia="en-US"/>
        </w:rPr>
        <w:t xml:space="preserve">QUINTO y </w:t>
      </w:r>
      <w:r w:rsidR="001178C8">
        <w:rPr>
          <w:rFonts w:ascii="Palatino Linotype" w:eastAsia="Calibri" w:hAnsi="Palatino Linotype" w:cs="Tahoma"/>
          <w:b/>
          <w:bCs/>
          <w:sz w:val="22"/>
          <w:szCs w:val="22"/>
          <w:lang w:eastAsia="en-US"/>
        </w:rPr>
        <w:t>SEXTO</w:t>
      </w:r>
      <w:r w:rsidRPr="0089475E">
        <w:rPr>
          <w:rFonts w:ascii="Palatino Linotype" w:eastAsia="Calibri" w:hAnsi="Palatino Linotype" w:cs="Tahoma"/>
          <w:bCs/>
          <w:sz w:val="22"/>
          <w:szCs w:val="22"/>
          <w:lang w:eastAsia="en-US"/>
        </w:rPr>
        <w:t xml:space="preserve"> de la presente Resolución.</w:t>
      </w:r>
    </w:p>
    <w:p w:rsidR="00D12024" w:rsidRPr="0089475E" w:rsidRDefault="00D12024" w:rsidP="00D12024">
      <w:pPr>
        <w:shd w:val="clear" w:color="auto" w:fill="FFFFFF" w:themeFill="background1"/>
        <w:spacing w:line="360" w:lineRule="auto"/>
        <w:contextualSpacing/>
        <w:jc w:val="both"/>
        <w:rPr>
          <w:rFonts w:ascii="Palatino Linotype" w:eastAsia="Calibri" w:hAnsi="Palatino Linotype" w:cs="Tahoma"/>
          <w:bCs/>
          <w:sz w:val="22"/>
          <w:szCs w:val="22"/>
          <w:lang w:eastAsia="en-US"/>
        </w:rPr>
      </w:pPr>
    </w:p>
    <w:p w:rsidR="001178C8" w:rsidRDefault="00D12024" w:rsidP="001178C8">
      <w:pPr>
        <w:spacing w:line="360" w:lineRule="auto"/>
        <w:jc w:val="both"/>
        <w:rPr>
          <w:rFonts w:ascii="Palatino Linotype" w:hAnsi="Palatino Linotype" w:cs="Tahoma"/>
          <w:bCs/>
          <w:sz w:val="22"/>
          <w:szCs w:val="22"/>
        </w:rPr>
      </w:pPr>
      <w:r w:rsidRPr="0089475E">
        <w:rPr>
          <w:rFonts w:ascii="Palatino Linotype" w:eastAsia="Calibri" w:hAnsi="Palatino Linotype" w:cs="Tahoma"/>
          <w:b/>
          <w:bCs/>
          <w:sz w:val="22"/>
          <w:szCs w:val="22"/>
          <w:lang w:eastAsia="en-US"/>
        </w:rPr>
        <w:t xml:space="preserve">SEGUNDO. </w:t>
      </w:r>
      <w:r w:rsidRPr="0089475E">
        <w:rPr>
          <w:rFonts w:ascii="Palatino Linotype" w:eastAsia="Calibri" w:hAnsi="Palatino Linotype" w:cs="Tahoma"/>
          <w:sz w:val="22"/>
          <w:szCs w:val="22"/>
          <w:lang w:eastAsia="es-MX"/>
        </w:rPr>
        <w:t xml:space="preserve">Se </w:t>
      </w:r>
      <w:r w:rsidRPr="0089475E">
        <w:rPr>
          <w:rFonts w:ascii="Palatino Linotype" w:eastAsia="Calibri" w:hAnsi="Palatino Linotype" w:cs="Tahoma"/>
          <w:b/>
          <w:sz w:val="22"/>
          <w:szCs w:val="22"/>
          <w:lang w:eastAsia="es-MX"/>
        </w:rPr>
        <w:t xml:space="preserve">ORDENA </w:t>
      </w:r>
      <w:r w:rsidRPr="0089475E">
        <w:rPr>
          <w:rFonts w:ascii="Palatino Linotype" w:eastAsia="Calibri" w:hAnsi="Palatino Linotype" w:cs="Tahoma"/>
          <w:sz w:val="22"/>
          <w:szCs w:val="22"/>
          <w:lang w:eastAsia="es-MX"/>
        </w:rPr>
        <w:t xml:space="preserve">al Sujeto Obligado, </w:t>
      </w:r>
      <w:r w:rsidR="00D56AF5" w:rsidRPr="00D56AF5">
        <w:rPr>
          <w:rFonts w:ascii="Palatino Linotype" w:eastAsia="Calibri" w:hAnsi="Palatino Linotype" w:cs="Tahoma"/>
          <w:b/>
          <w:bCs/>
          <w:iCs/>
          <w:color w:val="0D0D0D" w:themeColor="text1" w:themeTint="F2"/>
          <w:sz w:val="22"/>
          <w:szCs w:val="22"/>
          <w:lang w:eastAsia="en-US"/>
        </w:rPr>
        <w:t xml:space="preserve">Ayuntamiento de </w:t>
      </w:r>
      <w:r w:rsidR="001178C8">
        <w:rPr>
          <w:rFonts w:ascii="Palatino Linotype" w:eastAsia="Calibri" w:hAnsi="Palatino Linotype" w:cs="Tahoma"/>
          <w:b/>
          <w:bCs/>
          <w:iCs/>
          <w:color w:val="0D0D0D" w:themeColor="text1" w:themeTint="F2"/>
          <w:sz w:val="22"/>
          <w:szCs w:val="22"/>
          <w:lang w:eastAsia="en-US"/>
        </w:rPr>
        <w:t>Tonatico</w:t>
      </w:r>
      <w:r w:rsidRPr="0089475E">
        <w:rPr>
          <w:rFonts w:ascii="Palatino Linotype" w:eastAsia="Calibri" w:hAnsi="Palatino Linotype" w:cs="Tahoma"/>
          <w:sz w:val="22"/>
          <w:szCs w:val="22"/>
          <w:lang w:eastAsia="es-MX"/>
        </w:rPr>
        <w:t xml:space="preserve">, atienda la solicitud de acceso a la información pública con número </w:t>
      </w:r>
      <w:r w:rsidRPr="0089475E">
        <w:rPr>
          <w:rFonts w:ascii="Palatino Linotype" w:hAnsi="Palatino Linotype" w:cs="Tahoma"/>
          <w:sz w:val="22"/>
          <w:szCs w:val="22"/>
        </w:rPr>
        <w:t>de folio</w:t>
      </w:r>
      <w:r w:rsidRPr="0089475E">
        <w:rPr>
          <w:rFonts w:ascii="Palatino Linotype" w:hAnsi="Palatino Linotype"/>
          <w:b/>
          <w:bCs/>
          <w:color w:val="FF0000"/>
          <w:sz w:val="22"/>
          <w:szCs w:val="22"/>
          <w:lang w:val="es-ES"/>
        </w:rPr>
        <w:t xml:space="preserve"> </w:t>
      </w:r>
      <w:r w:rsidR="001178C8" w:rsidRPr="00700017">
        <w:rPr>
          <w:rFonts w:ascii="Palatino Linotype" w:hAnsi="Palatino Linotype" w:cs="Tahoma"/>
          <w:b/>
          <w:bCs/>
          <w:sz w:val="22"/>
          <w:szCs w:val="22"/>
        </w:rPr>
        <w:t>00059/TONATICO/IP/2019</w:t>
      </w:r>
      <w:r w:rsidR="001178C8">
        <w:rPr>
          <w:rFonts w:ascii="Palatino Linotype" w:hAnsi="Palatino Linotype" w:cs="Tahoma"/>
          <w:b/>
          <w:bCs/>
          <w:sz w:val="22"/>
          <w:szCs w:val="22"/>
        </w:rPr>
        <w:t xml:space="preserve"> </w:t>
      </w:r>
      <w:r w:rsidR="00B64AF0">
        <w:rPr>
          <w:rFonts w:ascii="Palatino Linotype" w:hAnsi="Palatino Linotype" w:cs="Tahoma"/>
          <w:bCs/>
          <w:sz w:val="22"/>
          <w:szCs w:val="22"/>
          <w:lang w:val="es-ES"/>
        </w:rPr>
        <w:t xml:space="preserve">y, </w:t>
      </w:r>
      <w:r w:rsidR="001178C8">
        <w:rPr>
          <w:rFonts w:ascii="Palatino Linotype" w:hAnsi="Palatino Linotype" w:cs="Tahoma"/>
          <w:sz w:val="22"/>
          <w:szCs w:val="22"/>
        </w:rPr>
        <w:t>previa búsqueda exhaustiva y razonable en todas las áreas competentes</w:t>
      </w:r>
      <w:r w:rsidR="001178C8">
        <w:rPr>
          <w:rFonts w:ascii="Palatino Linotype" w:hAnsi="Palatino Linotype" w:cs="Tahoma"/>
          <w:bCs/>
          <w:sz w:val="22"/>
          <w:szCs w:val="22"/>
        </w:rPr>
        <w:t>, otorgue acceso vía el Sistema de Acceso a la I</w:t>
      </w:r>
      <w:r w:rsidR="00B64AF0">
        <w:rPr>
          <w:rFonts w:ascii="Palatino Linotype" w:hAnsi="Palatino Linotype" w:cs="Tahoma"/>
          <w:bCs/>
          <w:sz w:val="22"/>
          <w:szCs w:val="22"/>
        </w:rPr>
        <w:t xml:space="preserve">nformación Mexiquense (SAIMEX),de los documentos </w:t>
      </w:r>
      <w:r w:rsidR="001178C8">
        <w:rPr>
          <w:rFonts w:ascii="Palatino Linotype" w:hAnsi="Palatino Linotype" w:cs="Tahoma"/>
          <w:bCs/>
          <w:sz w:val="22"/>
          <w:szCs w:val="22"/>
        </w:rPr>
        <w:t>siguientes:</w:t>
      </w:r>
    </w:p>
    <w:p w:rsidR="001178C8" w:rsidRDefault="001178C8" w:rsidP="001178C8">
      <w:pPr>
        <w:spacing w:line="360" w:lineRule="auto"/>
        <w:jc w:val="both"/>
        <w:rPr>
          <w:rFonts w:ascii="Palatino Linotype" w:hAnsi="Palatino Linotype" w:cs="Tahoma"/>
          <w:bCs/>
          <w:sz w:val="22"/>
          <w:szCs w:val="22"/>
        </w:rPr>
      </w:pPr>
    </w:p>
    <w:p w:rsidR="001178C8" w:rsidRDefault="001178C8" w:rsidP="001178C8">
      <w:pPr>
        <w:spacing w:line="360" w:lineRule="auto"/>
        <w:jc w:val="both"/>
        <w:rPr>
          <w:rFonts w:ascii="Palatino Linotype" w:hAnsi="Palatino Linotype" w:cs="Tahoma"/>
          <w:b/>
          <w:bCs/>
          <w:sz w:val="22"/>
          <w:szCs w:val="22"/>
        </w:rPr>
      </w:pPr>
      <w:r>
        <w:rPr>
          <w:rFonts w:ascii="Palatino Linotype" w:hAnsi="Palatino Linotype" w:cs="Tahoma"/>
          <w:b/>
          <w:bCs/>
          <w:sz w:val="22"/>
          <w:szCs w:val="22"/>
        </w:rPr>
        <w:t>Por el periodo del primero de enero al treinta y uno de mayo del dos mil diecinueve:</w:t>
      </w:r>
    </w:p>
    <w:p w:rsidR="001178C8" w:rsidRDefault="001178C8" w:rsidP="001178C8">
      <w:pPr>
        <w:spacing w:line="360" w:lineRule="auto"/>
        <w:jc w:val="both"/>
        <w:rPr>
          <w:rFonts w:ascii="Palatino Linotype" w:hAnsi="Palatino Linotype" w:cs="Tahoma"/>
          <w:b/>
          <w:bCs/>
          <w:sz w:val="22"/>
          <w:szCs w:val="22"/>
        </w:rPr>
      </w:pPr>
    </w:p>
    <w:p w:rsidR="001178C8" w:rsidRDefault="001178C8" w:rsidP="001178C8">
      <w:pPr>
        <w:pStyle w:val="Prrafodelista"/>
        <w:numPr>
          <w:ilvl w:val="0"/>
          <w:numId w:val="29"/>
        </w:numPr>
        <w:autoSpaceDE w:val="0"/>
        <w:autoSpaceDN w:val="0"/>
        <w:adjustRightInd w:val="0"/>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Los expedientes técnicos completos de cada obra programada a ejecutarse con los recursos del Fondo Estatal de Fortalecimiento Municipal (FEFOM) 2019.</w:t>
      </w:r>
    </w:p>
    <w:p w:rsidR="001178C8" w:rsidRDefault="001178C8" w:rsidP="001178C8">
      <w:pPr>
        <w:shd w:val="clear" w:color="auto" w:fill="FFFFFF" w:themeFill="background1"/>
        <w:spacing w:line="360" w:lineRule="auto"/>
        <w:jc w:val="both"/>
        <w:rPr>
          <w:rFonts w:ascii="Palatino Linotype" w:hAnsi="Palatino Linotype" w:cs="Tahoma"/>
          <w:sz w:val="22"/>
          <w:szCs w:val="22"/>
        </w:rPr>
      </w:pPr>
    </w:p>
    <w:p w:rsidR="001178C8" w:rsidRDefault="001178C8" w:rsidP="001178C8">
      <w:pPr>
        <w:pStyle w:val="Prrafodelista"/>
        <w:spacing w:line="360" w:lineRule="auto"/>
        <w:ind w:left="0"/>
        <w:jc w:val="both"/>
        <w:rPr>
          <w:rFonts w:ascii="Palatino Linotype" w:hAnsi="Palatino Linotype"/>
        </w:rPr>
      </w:pPr>
      <w:r>
        <w:rPr>
          <w:rFonts w:ascii="Palatino Linotype" w:hAnsi="Palatino Linotype"/>
        </w:rPr>
        <w:t xml:space="preserve">En caso de no contar con la información señalada deberá emitir acuerdo de inexistencia de conformidad con lo establecido en los artículos 19, párrafo tercero y 169 de la Ley de Transparencia y Acceso a la Información Pública del Estado de México y Municipios. </w:t>
      </w:r>
    </w:p>
    <w:p w:rsidR="001178C8" w:rsidRDefault="001178C8" w:rsidP="001178C8">
      <w:pPr>
        <w:spacing w:line="360" w:lineRule="auto"/>
        <w:jc w:val="both"/>
        <w:rPr>
          <w:rFonts w:ascii="Palatino Linotype" w:hAnsi="Palatino Linotype" w:cs="Tahoma"/>
          <w:sz w:val="22"/>
          <w:szCs w:val="22"/>
        </w:rPr>
      </w:pPr>
    </w:p>
    <w:p w:rsidR="00D12024" w:rsidRPr="0089475E" w:rsidRDefault="00D12024" w:rsidP="00D12024">
      <w:pPr>
        <w:spacing w:line="360" w:lineRule="auto"/>
        <w:contextualSpacing/>
        <w:jc w:val="both"/>
        <w:rPr>
          <w:rFonts w:ascii="Palatino Linotype" w:hAnsi="Palatino Linotype" w:cs="Tahoma"/>
          <w:i/>
          <w:sz w:val="22"/>
          <w:szCs w:val="22"/>
        </w:rPr>
      </w:pPr>
      <w:r w:rsidRPr="0089475E">
        <w:rPr>
          <w:rFonts w:ascii="Palatino Linotype" w:eastAsia="Calibri" w:hAnsi="Palatino Linotype" w:cs="Tahoma"/>
          <w:b/>
          <w:bCs/>
          <w:sz w:val="22"/>
          <w:szCs w:val="22"/>
          <w:lang w:eastAsia="en-US"/>
        </w:rPr>
        <w:t xml:space="preserve">TERCERO. </w:t>
      </w:r>
      <w:r w:rsidRPr="0089475E">
        <w:rPr>
          <w:rFonts w:ascii="Palatino Linotype" w:hAnsi="Palatino Linotype" w:cs="Tahoma"/>
          <w:b/>
          <w:sz w:val="22"/>
          <w:szCs w:val="22"/>
        </w:rPr>
        <w:t xml:space="preserve">NOTIFÍQUESE </w:t>
      </w:r>
      <w:r w:rsidRPr="0089475E">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w:t>
      </w:r>
      <w:r w:rsidRPr="0089475E">
        <w:rPr>
          <w:rFonts w:ascii="Palatino Linotype" w:hAnsi="Palatino Linotype" w:cs="Tahoma"/>
          <w:sz w:val="22"/>
          <w:szCs w:val="22"/>
        </w:rPr>
        <w:lastRenderedPageBreak/>
        <w:t>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00D12024" w:rsidRPr="0089475E" w:rsidRDefault="00D12024" w:rsidP="00D12024">
      <w:pPr>
        <w:shd w:val="clear" w:color="auto" w:fill="FFFFFF" w:themeFill="background1"/>
        <w:spacing w:line="360" w:lineRule="auto"/>
        <w:contextualSpacing/>
        <w:jc w:val="both"/>
        <w:rPr>
          <w:rFonts w:ascii="Palatino Linotype" w:eastAsia="Calibri" w:hAnsi="Palatino Linotype" w:cs="Tahoma"/>
          <w:sz w:val="22"/>
          <w:szCs w:val="22"/>
          <w:lang w:eastAsia="es-MX"/>
        </w:rPr>
      </w:pPr>
    </w:p>
    <w:p w:rsidR="00D12024" w:rsidRPr="0089475E" w:rsidRDefault="00D12024" w:rsidP="00D12024">
      <w:pPr>
        <w:shd w:val="clear" w:color="auto" w:fill="FFFFFF" w:themeFill="background1"/>
        <w:spacing w:line="360" w:lineRule="auto"/>
        <w:contextualSpacing/>
        <w:jc w:val="both"/>
        <w:rPr>
          <w:rFonts w:ascii="Palatino Linotype" w:hAnsi="Palatino Linotype" w:cs="Tahoma"/>
          <w:sz w:val="22"/>
          <w:szCs w:val="22"/>
        </w:rPr>
      </w:pPr>
      <w:r w:rsidRPr="0089475E">
        <w:rPr>
          <w:rFonts w:ascii="Palatino Linotype" w:eastAsia="Calibri" w:hAnsi="Palatino Linotype" w:cs="Tahoma"/>
          <w:b/>
          <w:sz w:val="22"/>
          <w:szCs w:val="22"/>
          <w:lang w:eastAsia="es-MX"/>
        </w:rPr>
        <w:t>CUARTO</w:t>
      </w:r>
      <w:r w:rsidRPr="0089475E">
        <w:rPr>
          <w:rFonts w:ascii="Palatino Linotype" w:eastAsia="Calibri" w:hAnsi="Palatino Linotype" w:cs="Tahoma"/>
          <w:b/>
          <w:bCs/>
          <w:sz w:val="22"/>
          <w:szCs w:val="22"/>
          <w:lang w:eastAsia="en-US"/>
        </w:rPr>
        <w:t xml:space="preserve">. </w:t>
      </w:r>
      <w:r w:rsidRPr="0089475E">
        <w:rPr>
          <w:rFonts w:ascii="Palatino Linotype" w:hAnsi="Palatino Linotype" w:cs="Tahoma"/>
          <w:b/>
          <w:sz w:val="22"/>
          <w:szCs w:val="22"/>
        </w:rPr>
        <w:t>NOTIFÍQUESE</w:t>
      </w:r>
      <w:r w:rsidRPr="0089475E">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Juicio de Amparo en los términos de las leyes aplicables.</w:t>
      </w:r>
    </w:p>
    <w:p w:rsidR="00D12024" w:rsidRPr="0089475E" w:rsidRDefault="00D12024" w:rsidP="00D12024">
      <w:pPr>
        <w:spacing w:line="360" w:lineRule="auto"/>
        <w:contextualSpacing/>
        <w:jc w:val="both"/>
        <w:rPr>
          <w:rFonts w:ascii="Palatino Linotype" w:eastAsia="Calibri" w:hAnsi="Palatino Linotype" w:cs="Tahoma"/>
          <w:b/>
          <w:bCs/>
          <w:sz w:val="22"/>
          <w:szCs w:val="22"/>
          <w:lang w:eastAsia="en-US"/>
        </w:rPr>
      </w:pPr>
    </w:p>
    <w:p w:rsidR="00D12024" w:rsidRPr="0089475E" w:rsidRDefault="00D12024" w:rsidP="00D12024">
      <w:pPr>
        <w:spacing w:line="360" w:lineRule="auto"/>
        <w:contextualSpacing/>
        <w:jc w:val="both"/>
        <w:rPr>
          <w:rFonts w:ascii="Palatino Linotype" w:eastAsia="Calibri" w:hAnsi="Palatino Linotype" w:cs="Tahoma"/>
          <w:bCs/>
          <w:sz w:val="22"/>
          <w:szCs w:val="22"/>
          <w:lang w:val="es-ES_tradnl" w:eastAsia="en-US"/>
        </w:rPr>
      </w:pPr>
      <w:r w:rsidRPr="0089475E">
        <w:rPr>
          <w:rFonts w:ascii="Palatino Linotype" w:eastAsia="Calibri" w:hAnsi="Palatino Linotype" w:cs="Tahoma"/>
          <w:b/>
          <w:bCs/>
          <w:sz w:val="22"/>
          <w:szCs w:val="22"/>
          <w:lang w:eastAsia="en-US"/>
        </w:rPr>
        <w:t xml:space="preserve">QUINTO. </w:t>
      </w:r>
      <w:r w:rsidRPr="0089475E">
        <w:rPr>
          <w:rFonts w:ascii="Palatino Linotype" w:eastAsia="Calibri" w:hAnsi="Palatino Linotype" w:cs="Tahoma"/>
          <w:bCs/>
          <w:sz w:val="22"/>
          <w:szCs w:val="22"/>
          <w:lang w:val="es-ES_tradnl" w:eastAsia="en-US"/>
        </w:rPr>
        <w:t xml:space="preserve">Con fundamento en lo dispuesto en los artículos 190 de la </w:t>
      </w:r>
      <w:r w:rsidRPr="0089475E">
        <w:rPr>
          <w:rFonts w:ascii="Palatino Linotype" w:hAnsi="Palatino Linotype" w:cs="Tahoma"/>
          <w:sz w:val="22"/>
          <w:szCs w:val="22"/>
        </w:rPr>
        <w:t>Ley de Transparencia y Acceso a la Información Pública del Estado de México y Municipios, gírese</w:t>
      </w:r>
      <w:r w:rsidRPr="0089475E">
        <w:rPr>
          <w:rFonts w:ascii="Palatino Linotype" w:eastAsia="Calibri" w:hAnsi="Palatino Linotype" w:cs="Tahoma"/>
          <w:bCs/>
          <w:sz w:val="22"/>
          <w:szCs w:val="22"/>
          <w:lang w:val="es-ES_tradnl" w:eastAsia="en-US"/>
        </w:rPr>
        <w:t xml:space="preserve"> oficio al Contralor Interno y Titular del Órgano de Control y Vigilancia de este Instituto con la finalidad de que actúe en razón de su competencia, en términos de lo dispuesto en el Considerando </w:t>
      </w:r>
      <w:r w:rsidR="001178C8">
        <w:rPr>
          <w:rFonts w:ascii="Palatino Linotype" w:eastAsia="Calibri" w:hAnsi="Palatino Linotype" w:cs="Tahoma"/>
          <w:bCs/>
          <w:sz w:val="22"/>
          <w:szCs w:val="22"/>
          <w:lang w:val="es-ES_tradnl" w:eastAsia="en-US"/>
        </w:rPr>
        <w:t>Séptimo</w:t>
      </w:r>
      <w:r w:rsidR="009B20A2" w:rsidRPr="009B20A2">
        <w:rPr>
          <w:rFonts w:ascii="Palatino Linotype" w:eastAsia="Calibri" w:hAnsi="Palatino Linotype" w:cs="Tahoma"/>
          <w:bCs/>
          <w:sz w:val="22"/>
          <w:szCs w:val="22"/>
          <w:lang w:val="es-ES_tradnl" w:eastAsia="en-US"/>
        </w:rPr>
        <w:t xml:space="preserve"> </w:t>
      </w:r>
      <w:r w:rsidRPr="0089475E">
        <w:rPr>
          <w:rFonts w:ascii="Palatino Linotype" w:eastAsia="Calibri" w:hAnsi="Palatino Linotype" w:cs="Tahoma"/>
          <w:bCs/>
          <w:sz w:val="22"/>
          <w:szCs w:val="22"/>
          <w:lang w:val="es-ES_tradnl" w:eastAsia="en-US"/>
        </w:rPr>
        <w:t>de la presente Resolución.</w:t>
      </w:r>
    </w:p>
    <w:p w:rsidR="00D12024" w:rsidRPr="0089475E" w:rsidRDefault="00D12024" w:rsidP="00D12024">
      <w:pPr>
        <w:spacing w:line="360" w:lineRule="auto"/>
        <w:contextualSpacing/>
        <w:jc w:val="both"/>
        <w:rPr>
          <w:rFonts w:ascii="Palatino Linotype" w:eastAsia="Calibri" w:hAnsi="Palatino Linotype" w:cs="Tahoma"/>
          <w:b/>
          <w:bCs/>
          <w:sz w:val="22"/>
          <w:szCs w:val="22"/>
          <w:lang w:eastAsia="en-US"/>
        </w:rPr>
      </w:pPr>
    </w:p>
    <w:p w:rsidR="00B27D0A" w:rsidRPr="00F012DF" w:rsidRDefault="00B27D0A" w:rsidP="00B27D0A">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 EVA ABAID YAPUR; JOSÉ GUADALUPE LUNA HERNÁNDEZ; JAVIER MARTÍNEZ CRUZ Y LUIS GUSTAVO PARRA NORIEGA, EN LA </w:t>
      </w:r>
      <w:r>
        <w:rPr>
          <w:rFonts w:ascii="Palatino Linotype" w:eastAsia="Calibri" w:hAnsi="Palatino Linotype" w:cs="Tahoma"/>
          <w:bCs/>
          <w:sz w:val="22"/>
          <w:szCs w:val="22"/>
          <w:lang w:val="es-ES_tradnl" w:eastAsia="en-US"/>
        </w:rPr>
        <w:t xml:space="preserve">TRIGÉSIMA CUARTA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DIECINUEVE DE SEPTIEMBRE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rsidR="00B27D0A" w:rsidRDefault="00B27D0A" w:rsidP="00B27D0A">
      <w:pPr>
        <w:spacing w:line="360" w:lineRule="auto"/>
        <w:ind w:right="-93"/>
        <w:jc w:val="both"/>
        <w:rPr>
          <w:rFonts w:ascii="Palatino Linotype" w:eastAsia="Calibri" w:hAnsi="Palatino Linotype" w:cs="Tahoma"/>
          <w:bCs/>
          <w:sz w:val="22"/>
          <w:szCs w:val="22"/>
          <w:lang w:eastAsia="en-US"/>
        </w:rPr>
      </w:pPr>
    </w:p>
    <w:p w:rsidR="00B27D0A" w:rsidRDefault="00B27D0A" w:rsidP="00B27D0A">
      <w:pPr>
        <w:spacing w:line="360" w:lineRule="auto"/>
        <w:ind w:right="-93"/>
        <w:jc w:val="both"/>
        <w:rPr>
          <w:rFonts w:ascii="Palatino Linotype" w:eastAsia="Calibri" w:hAnsi="Palatino Linotype" w:cs="Tahoma"/>
          <w:bCs/>
          <w:sz w:val="22"/>
          <w:szCs w:val="22"/>
          <w:lang w:eastAsia="en-US"/>
        </w:rPr>
      </w:pPr>
    </w:p>
    <w:p w:rsidR="00B27D0A" w:rsidRDefault="00B27D0A" w:rsidP="00B27D0A">
      <w:pPr>
        <w:spacing w:line="360" w:lineRule="auto"/>
        <w:ind w:right="-93"/>
        <w:jc w:val="both"/>
        <w:rPr>
          <w:rFonts w:ascii="Palatino Linotype" w:eastAsia="Calibri" w:hAnsi="Palatino Linotype" w:cs="Tahoma"/>
          <w:bCs/>
          <w:sz w:val="22"/>
          <w:szCs w:val="22"/>
          <w:lang w:eastAsia="en-US"/>
        </w:rPr>
      </w:pPr>
    </w:p>
    <w:p w:rsidR="00B27D0A" w:rsidRPr="00F012DF" w:rsidRDefault="00B27D0A" w:rsidP="00B27D0A">
      <w:pPr>
        <w:spacing w:line="360" w:lineRule="auto"/>
        <w:ind w:right="-93"/>
        <w:jc w:val="both"/>
        <w:rPr>
          <w:rFonts w:ascii="Palatino Linotype" w:eastAsia="Calibri" w:hAnsi="Palatino Linotype" w:cs="Tahoma"/>
          <w:bCs/>
          <w:sz w:val="22"/>
          <w:szCs w:val="22"/>
          <w:lang w:eastAsia="en-US"/>
        </w:rPr>
      </w:pPr>
    </w:p>
    <w:p w:rsidR="00B27D0A" w:rsidRDefault="00B27D0A" w:rsidP="00B27D0A">
      <w:pPr>
        <w:spacing w:line="360" w:lineRule="auto"/>
        <w:ind w:right="-93"/>
        <w:jc w:val="both"/>
        <w:rPr>
          <w:rFonts w:ascii="Palatino Linotype" w:eastAsia="Calibri" w:hAnsi="Palatino Linotype" w:cs="Tahoma"/>
          <w:bCs/>
          <w:sz w:val="22"/>
          <w:szCs w:val="22"/>
          <w:lang w:eastAsia="en-US"/>
        </w:rPr>
      </w:pPr>
    </w:p>
    <w:p w:rsidR="00B27D0A" w:rsidRDefault="00B27D0A" w:rsidP="00B27D0A">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59264" behindDoc="0" locked="0" layoutInCell="1" allowOverlap="1" wp14:anchorId="69F7F296" wp14:editId="6822448C">
                <wp:simplePos x="0" y="0"/>
                <wp:positionH relativeFrom="margin">
                  <wp:align>center</wp:align>
                </wp:positionH>
                <wp:positionV relativeFrom="paragraph">
                  <wp:posOffset>129540</wp:posOffset>
                </wp:positionV>
                <wp:extent cx="2551430" cy="809625"/>
                <wp:effectExtent l="0" t="0" r="20320" b="2857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27D0A" w:rsidRPr="00DA1AD1" w:rsidRDefault="00B27D0A" w:rsidP="00B27D0A">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rsidR="00B27D0A" w:rsidRPr="00DA1AD1" w:rsidRDefault="00B27D0A" w:rsidP="00B27D0A">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rsidR="00B27D0A" w:rsidRPr="00DA1AD1" w:rsidRDefault="00B27D0A" w:rsidP="00B27D0A">
                            <w:pPr>
                              <w:jc w:val="center"/>
                              <w:rPr>
                                <w:rFonts w:ascii="Palatino Linotype" w:hAnsi="Palatino Linotype"/>
                                <w:b/>
                                <w:sz w:val="22"/>
                                <w:szCs w:val="24"/>
                              </w:rPr>
                            </w:pPr>
                            <w:r w:rsidRPr="00DA1AD1">
                              <w:rPr>
                                <w:rFonts w:ascii="Palatino Linotype" w:hAnsi="Palatino Linotype"/>
                                <w:b/>
                                <w:sz w:val="22"/>
                                <w:szCs w:val="24"/>
                              </w:rPr>
                              <w:t>(Rúbrica)</w:t>
                            </w:r>
                          </w:p>
                          <w:p w:rsidR="00B27D0A" w:rsidRPr="00016AF3" w:rsidRDefault="00B27D0A" w:rsidP="00B27D0A">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F7F296" id="_x0000_t202" coordsize="21600,21600" o:spt="202" path="m,l,21600r21600,l21600,xe">
                <v:stroke joinstyle="miter"/>
                <v:path gradientshapeok="t" o:connecttype="rect"/>
              </v:shapetype>
              <v:shape id="Cuadro de texto 2" o:spid="_x0000_s1026" type="#_x0000_t202" style="position:absolute;left:0;text-align:left;margin-left:0;margin-top:10.2pt;width:200.9pt;height:6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" fillcolor="white [3201]" strokecolor="white [3212]" strokeweight=".5pt">
                <v:path arrowok="t"/>
                <v:textbox>
                  <w:txbxContent>
                    <w:p w:rsidR="00B27D0A" w:rsidRPr="00DA1AD1" w:rsidRDefault="00B27D0A" w:rsidP="00B27D0A">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rsidR="00B27D0A" w:rsidRPr="00DA1AD1" w:rsidRDefault="00B27D0A" w:rsidP="00B27D0A">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rsidR="00B27D0A" w:rsidRPr="00DA1AD1" w:rsidRDefault="00B27D0A" w:rsidP="00B27D0A">
                      <w:pPr>
                        <w:jc w:val="center"/>
                        <w:rPr>
                          <w:rFonts w:ascii="Palatino Linotype" w:hAnsi="Palatino Linotype"/>
                          <w:b/>
                          <w:sz w:val="22"/>
                          <w:szCs w:val="24"/>
                        </w:rPr>
                      </w:pPr>
                      <w:r w:rsidRPr="00DA1AD1">
                        <w:rPr>
                          <w:rFonts w:ascii="Palatino Linotype" w:hAnsi="Palatino Linotype"/>
                          <w:b/>
                          <w:sz w:val="22"/>
                          <w:szCs w:val="24"/>
                        </w:rPr>
                        <w:t>(Rúbrica)</w:t>
                      </w:r>
                    </w:p>
                    <w:p w:rsidR="00B27D0A" w:rsidRPr="00016AF3" w:rsidRDefault="00B27D0A" w:rsidP="00B27D0A">
                      <w:pPr>
                        <w:jc w:val="center"/>
                        <w:rPr>
                          <w:rFonts w:ascii="Palatino Linotype" w:hAnsi="Palatino Linotype"/>
                          <w:b/>
                          <w:sz w:val="24"/>
                          <w:szCs w:val="24"/>
                        </w:rPr>
                      </w:pPr>
                    </w:p>
                  </w:txbxContent>
                </v:textbox>
                <w10:wrap anchorx="margin"/>
              </v:shape>
            </w:pict>
          </mc:Fallback>
        </mc:AlternateContent>
      </w:r>
    </w:p>
    <w:p w:rsidR="00B27D0A" w:rsidRDefault="00B27D0A" w:rsidP="00B27D0A">
      <w:pPr>
        <w:spacing w:line="360" w:lineRule="auto"/>
        <w:ind w:right="-93"/>
        <w:jc w:val="both"/>
        <w:rPr>
          <w:rFonts w:ascii="Palatino Linotype" w:eastAsia="Calibri" w:hAnsi="Palatino Linotype" w:cs="Tahoma"/>
          <w:b/>
          <w:bCs/>
          <w:sz w:val="22"/>
          <w:szCs w:val="22"/>
          <w:lang w:eastAsia="en-US"/>
        </w:rPr>
      </w:pPr>
    </w:p>
    <w:p w:rsidR="00B27D0A" w:rsidRDefault="00B27D0A" w:rsidP="00B27D0A">
      <w:pPr>
        <w:spacing w:line="360" w:lineRule="auto"/>
        <w:ind w:right="-93"/>
        <w:jc w:val="both"/>
        <w:rPr>
          <w:rFonts w:ascii="Palatino Linotype" w:eastAsia="Calibri" w:hAnsi="Palatino Linotype" w:cs="Tahoma"/>
          <w:b/>
          <w:bCs/>
          <w:sz w:val="22"/>
          <w:szCs w:val="22"/>
          <w:lang w:eastAsia="en-US"/>
        </w:rPr>
      </w:pPr>
    </w:p>
    <w:p w:rsidR="00B27D0A" w:rsidRDefault="00B27D0A" w:rsidP="00B27D0A">
      <w:pPr>
        <w:spacing w:line="360" w:lineRule="auto"/>
        <w:ind w:right="-93"/>
        <w:jc w:val="both"/>
        <w:rPr>
          <w:rFonts w:ascii="Palatino Linotype" w:eastAsia="Calibri" w:hAnsi="Palatino Linotype" w:cs="Tahoma"/>
          <w:b/>
          <w:bCs/>
          <w:sz w:val="22"/>
          <w:szCs w:val="22"/>
          <w:lang w:eastAsia="en-US"/>
        </w:rPr>
      </w:pPr>
    </w:p>
    <w:p w:rsidR="00B27D0A" w:rsidRDefault="00B27D0A" w:rsidP="00B27D0A">
      <w:pPr>
        <w:spacing w:line="360" w:lineRule="auto"/>
        <w:ind w:right="-93"/>
        <w:jc w:val="both"/>
        <w:rPr>
          <w:rFonts w:ascii="Palatino Linotype" w:eastAsia="Calibri" w:hAnsi="Palatino Linotype" w:cs="Tahoma"/>
          <w:b/>
          <w:bCs/>
          <w:sz w:val="22"/>
          <w:szCs w:val="22"/>
          <w:lang w:eastAsia="en-US"/>
        </w:rPr>
      </w:pPr>
    </w:p>
    <w:p w:rsidR="00B27D0A" w:rsidRDefault="00B27D0A" w:rsidP="00B27D0A">
      <w:pPr>
        <w:spacing w:line="360" w:lineRule="auto"/>
        <w:ind w:right="-93"/>
        <w:jc w:val="both"/>
        <w:rPr>
          <w:rFonts w:ascii="Palatino Linotype" w:eastAsia="Calibri" w:hAnsi="Palatino Linotype" w:cs="Tahoma"/>
          <w:b/>
          <w:bCs/>
          <w:sz w:val="22"/>
          <w:szCs w:val="22"/>
          <w:lang w:eastAsia="en-US"/>
        </w:rPr>
      </w:pPr>
    </w:p>
    <w:p w:rsidR="00B27D0A" w:rsidRPr="00F012DF" w:rsidRDefault="00B27D0A" w:rsidP="00B27D0A">
      <w:pPr>
        <w:spacing w:line="360" w:lineRule="auto"/>
        <w:ind w:right="-93"/>
        <w:jc w:val="both"/>
        <w:rPr>
          <w:rFonts w:ascii="Palatino Linotype" w:eastAsia="Calibri" w:hAnsi="Palatino Linotype" w:cs="Tahoma"/>
          <w:b/>
          <w:bCs/>
          <w:sz w:val="22"/>
          <w:szCs w:val="22"/>
          <w:lang w:eastAsia="en-US"/>
        </w:rPr>
      </w:pPr>
    </w:p>
    <w:p w:rsidR="00B27D0A" w:rsidRPr="00F012DF" w:rsidRDefault="00B27D0A" w:rsidP="00B27D0A">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1312" behindDoc="0" locked="0" layoutInCell="1" allowOverlap="1" wp14:anchorId="05ACA9D2" wp14:editId="4BFB9389">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27D0A" w:rsidRPr="00DA1AD1" w:rsidRDefault="00B27D0A" w:rsidP="00B27D0A">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rsidR="00B27D0A" w:rsidRPr="00DA1AD1" w:rsidRDefault="00B27D0A" w:rsidP="00B27D0A">
                            <w:pPr>
                              <w:jc w:val="center"/>
                              <w:rPr>
                                <w:rFonts w:ascii="Palatino Linotype" w:hAnsi="Palatino Linotype" w:cs="Tahoma"/>
                                <w:sz w:val="22"/>
                                <w:szCs w:val="24"/>
                              </w:rPr>
                            </w:pPr>
                            <w:r w:rsidRPr="00DA1AD1">
                              <w:rPr>
                                <w:rFonts w:ascii="Palatino Linotype" w:hAnsi="Palatino Linotype" w:cs="Tahoma"/>
                                <w:sz w:val="22"/>
                                <w:szCs w:val="24"/>
                              </w:rPr>
                              <w:t>Comisionado</w:t>
                            </w:r>
                          </w:p>
                          <w:p w:rsidR="00B27D0A" w:rsidRPr="00DA1AD1" w:rsidRDefault="00B27D0A" w:rsidP="00B27D0A">
                            <w:pPr>
                              <w:jc w:val="center"/>
                              <w:rPr>
                                <w:rFonts w:ascii="Palatino Linotype" w:hAnsi="Palatino Linotype"/>
                                <w:b/>
                                <w:sz w:val="22"/>
                                <w:szCs w:val="24"/>
                              </w:rPr>
                            </w:pPr>
                            <w:r w:rsidRPr="00DA1AD1">
                              <w:rPr>
                                <w:rFonts w:ascii="Palatino Linotype" w:hAnsi="Palatino Linotype"/>
                                <w:b/>
                                <w:sz w:val="22"/>
                                <w:szCs w:val="24"/>
                              </w:rPr>
                              <w:t>(Rúbrica)</w:t>
                            </w:r>
                          </w:p>
                          <w:p w:rsidR="00B27D0A" w:rsidRPr="00DA1AD1" w:rsidRDefault="00B27D0A" w:rsidP="00B27D0A">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CA9D2" id="Cuadro de texto 35" o:spid="_x0000_s1027" type="#_x0000_t202" style="position:absolute;left:0;text-align:left;margin-left:237.15pt;margin-top:.75pt;width:220.5pt;height:61.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rsidR="00B27D0A" w:rsidRPr="00DA1AD1" w:rsidRDefault="00B27D0A" w:rsidP="00B27D0A">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rsidR="00B27D0A" w:rsidRPr="00DA1AD1" w:rsidRDefault="00B27D0A" w:rsidP="00B27D0A">
                      <w:pPr>
                        <w:jc w:val="center"/>
                        <w:rPr>
                          <w:rFonts w:ascii="Palatino Linotype" w:hAnsi="Palatino Linotype" w:cs="Tahoma"/>
                          <w:sz w:val="22"/>
                          <w:szCs w:val="24"/>
                        </w:rPr>
                      </w:pPr>
                      <w:r w:rsidRPr="00DA1AD1">
                        <w:rPr>
                          <w:rFonts w:ascii="Palatino Linotype" w:hAnsi="Palatino Linotype" w:cs="Tahoma"/>
                          <w:sz w:val="22"/>
                          <w:szCs w:val="24"/>
                        </w:rPr>
                        <w:t>Comisionado</w:t>
                      </w:r>
                    </w:p>
                    <w:p w:rsidR="00B27D0A" w:rsidRPr="00DA1AD1" w:rsidRDefault="00B27D0A" w:rsidP="00B27D0A">
                      <w:pPr>
                        <w:jc w:val="center"/>
                        <w:rPr>
                          <w:rFonts w:ascii="Palatino Linotype" w:hAnsi="Palatino Linotype"/>
                          <w:b/>
                          <w:sz w:val="22"/>
                          <w:szCs w:val="24"/>
                        </w:rPr>
                      </w:pPr>
                      <w:r w:rsidRPr="00DA1AD1">
                        <w:rPr>
                          <w:rFonts w:ascii="Palatino Linotype" w:hAnsi="Palatino Linotype"/>
                          <w:b/>
                          <w:sz w:val="22"/>
                          <w:szCs w:val="24"/>
                        </w:rPr>
                        <w:t>(Rúbrica)</w:t>
                      </w:r>
                    </w:p>
                    <w:p w:rsidR="00B27D0A" w:rsidRPr="00DA1AD1" w:rsidRDefault="00B27D0A" w:rsidP="00B27D0A">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0288" behindDoc="0" locked="0" layoutInCell="1" allowOverlap="1" wp14:anchorId="0D57DC18" wp14:editId="7EA338B7">
                <wp:simplePos x="0" y="0"/>
                <wp:positionH relativeFrom="margin">
                  <wp:align>left</wp:align>
                </wp:positionH>
                <wp:positionV relativeFrom="paragraph">
                  <wp:posOffset>12328</wp:posOffset>
                </wp:positionV>
                <wp:extent cx="1943100" cy="752475"/>
                <wp:effectExtent l="0" t="0" r="19050" b="2857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27D0A" w:rsidRPr="00DA1AD1" w:rsidRDefault="00B27D0A" w:rsidP="00B27D0A">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rsidR="00B27D0A" w:rsidRPr="00DA1AD1" w:rsidRDefault="00B27D0A" w:rsidP="00B27D0A">
                            <w:pPr>
                              <w:jc w:val="center"/>
                              <w:rPr>
                                <w:rFonts w:ascii="Palatino Linotype" w:hAnsi="Palatino Linotype" w:cs="Tahoma"/>
                                <w:sz w:val="22"/>
                                <w:szCs w:val="24"/>
                              </w:rPr>
                            </w:pPr>
                            <w:r w:rsidRPr="00DA1AD1">
                              <w:rPr>
                                <w:rFonts w:ascii="Palatino Linotype" w:hAnsi="Palatino Linotype" w:cs="Tahoma"/>
                                <w:sz w:val="22"/>
                                <w:szCs w:val="24"/>
                              </w:rPr>
                              <w:t>Comisionada</w:t>
                            </w:r>
                          </w:p>
                          <w:p w:rsidR="00B27D0A" w:rsidRPr="00DA1AD1" w:rsidRDefault="00B27D0A" w:rsidP="00B27D0A">
                            <w:pPr>
                              <w:jc w:val="center"/>
                              <w:rPr>
                                <w:rFonts w:ascii="Palatino Linotype" w:hAnsi="Palatino Linotype"/>
                                <w:b/>
                                <w:sz w:val="22"/>
                                <w:szCs w:val="24"/>
                              </w:rPr>
                            </w:pPr>
                            <w:r w:rsidRPr="00DA1AD1">
                              <w:rPr>
                                <w:rFonts w:ascii="Palatino Linotype" w:hAnsi="Palatino Linotype"/>
                                <w:b/>
                                <w:sz w:val="22"/>
                                <w:szCs w:val="24"/>
                              </w:rPr>
                              <w:t>(Rúbrica)</w:t>
                            </w:r>
                          </w:p>
                          <w:p w:rsidR="00B27D0A" w:rsidRPr="00DA1AD1" w:rsidRDefault="00B27D0A" w:rsidP="00B27D0A">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7DC18" id="Cuadro de texto 5" o:spid="_x0000_s1028" type="#_x0000_t202" style="position:absolute;left:0;text-align:left;margin-left:0;margin-top:.95pt;width:153pt;height:59.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" fillcolor="white [3201]" strokecolor="white [3212]" strokeweight=".5pt">
                <v:path arrowok="t"/>
                <v:textbox>
                  <w:txbxContent>
                    <w:p w:rsidR="00B27D0A" w:rsidRPr="00DA1AD1" w:rsidRDefault="00B27D0A" w:rsidP="00B27D0A">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rsidR="00B27D0A" w:rsidRPr="00DA1AD1" w:rsidRDefault="00B27D0A" w:rsidP="00B27D0A">
                      <w:pPr>
                        <w:jc w:val="center"/>
                        <w:rPr>
                          <w:rFonts w:ascii="Palatino Linotype" w:hAnsi="Palatino Linotype" w:cs="Tahoma"/>
                          <w:sz w:val="22"/>
                          <w:szCs w:val="24"/>
                        </w:rPr>
                      </w:pPr>
                      <w:r w:rsidRPr="00DA1AD1">
                        <w:rPr>
                          <w:rFonts w:ascii="Palatino Linotype" w:hAnsi="Palatino Linotype" w:cs="Tahoma"/>
                          <w:sz w:val="22"/>
                          <w:szCs w:val="24"/>
                        </w:rPr>
                        <w:t>Comisionada</w:t>
                      </w:r>
                    </w:p>
                    <w:p w:rsidR="00B27D0A" w:rsidRPr="00DA1AD1" w:rsidRDefault="00B27D0A" w:rsidP="00B27D0A">
                      <w:pPr>
                        <w:jc w:val="center"/>
                        <w:rPr>
                          <w:rFonts w:ascii="Palatino Linotype" w:hAnsi="Palatino Linotype"/>
                          <w:b/>
                          <w:sz w:val="22"/>
                          <w:szCs w:val="24"/>
                        </w:rPr>
                      </w:pPr>
                      <w:r w:rsidRPr="00DA1AD1">
                        <w:rPr>
                          <w:rFonts w:ascii="Palatino Linotype" w:hAnsi="Palatino Linotype"/>
                          <w:b/>
                          <w:sz w:val="22"/>
                          <w:szCs w:val="24"/>
                        </w:rPr>
                        <w:t>(Rúbrica)</w:t>
                      </w:r>
                    </w:p>
                    <w:p w:rsidR="00B27D0A" w:rsidRPr="00DA1AD1" w:rsidRDefault="00B27D0A" w:rsidP="00B27D0A">
                      <w:pPr>
                        <w:jc w:val="center"/>
                        <w:rPr>
                          <w:sz w:val="18"/>
                        </w:rPr>
                      </w:pPr>
                    </w:p>
                  </w:txbxContent>
                </v:textbox>
                <w10:wrap anchorx="margin"/>
              </v:shape>
            </w:pict>
          </mc:Fallback>
        </mc:AlternateContent>
      </w:r>
    </w:p>
    <w:p w:rsidR="00B27D0A" w:rsidRPr="00F012DF" w:rsidRDefault="00B27D0A" w:rsidP="00B27D0A">
      <w:pPr>
        <w:spacing w:line="360" w:lineRule="auto"/>
        <w:ind w:right="-93"/>
        <w:jc w:val="both"/>
        <w:rPr>
          <w:rFonts w:ascii="Palatino Linotype" w:eastAsia="Calibri" w:hAnsi="Palatino Linotype" w:cs="Tahoma"/>
          <w:b/>
          <w:bCs/>
          <w:sz w:val="22"/>
          <w:szCs w:val="22"/>
          <w:lang w:eastAsia="en-US"/>
        </w:rPr>
      </w:pPr>
    </w:p>
    <w:p w:rsidR="00B27D0A" w:rsidRPr="00F012DF" w:rsidRDefault="00B27D0A" w:rsidP="00B27D0A">
      <w:pPr>
        <w:spacing w:line="360" w:lineRule="auto"/>
        <w:ind w:right="-93"/>
        <w:jc w:val="both"/>
        <w:rPr>
          <w:rFonts w:ascii="Palatino Linotype" w:eastAsia="Calibri" w:hAnsi="Palatino Linotype" w:cs="Tahoma"/>
          <w:b/>
          <w:bCs/>
          <w:sz w:val="22"/>
          <w:szCs w:val="22"/>
          <w:lang w:eastAsia="en-US"/>
        </w:rPr>
      </w:pPr>
    </w:p>
    <w:p w:rsidR="00B27D0A" w:rsidRPr="00F012DF" w:rsidRDefault="00B27D0A" w:rsidP="00B27D0A">
      <w:pPr>
        <w:spacing w:line="360" w:lineRule="auto"/>
        <w:ind w:right="-93"/>
        <w:jc w:val="both"/>
        <w:rPr>
          <w:rFonts w:ascii="Palatino Linotype" w:eastAsia="Calibri" w:hAnsi="Palatino Linotype" w:cs="Tahoma"/>
          <w:b/>
          <w:bCs/>
          <w:sz w:val="22"/>
          <w:szCs w:val="22"/>
          <w:lang w:eastAsia="en-US"/>
        </w:rPr>
      </w:pPr>
    </w:p>
    <w:p w:rsidR="00B27D0A" w:rsidRDefault="00B27D0A" w:rsidP="00B27D0A">
      <w:pPr>
        <w:spacing w:line="360" w:lineRule="auto"/>
        <w:ind w:right="-93"/>
        <w:jc w:val="both"/>
        <w:rPr>
          <w:rFonts w:ascii="Palatino Linotype" w:eastAsia="Calibri" w:hAnsi="Palatino Linotype" w:cs="Tahoma"/>
          <w:b/>
          <w:bCs/>
          <w:sz w:val="22"/>
          <w:szCs w:val="22"/>
          <w:lang w:eastAsia="en-US"/>
        </w:rPr>
      </w:pPr>
    </w:p>
    <w:p w:rsidR="00B27D0A" w:rsidRDefault="00B27D0A" w:rsidP="00B27D0A">
      <w:pPr>
        <w:spacing w:line="360" w:lineRule="auto"/>
        <w:ind w:right="-93"/>
        <w:jc w:val="both"/>
        <w:rPr>
          <w:rFonts w:ascii="Palatino Linotype" w:eastAsia="Calibri" w:hAnsi="Palatino Linotype" w:cs="Tahoma"/>
          <w:b/>
          <w:bCs/>
          <w:sz w:val="22"/>
          <w:szCs w:val="22"/>
          <w:lang w:eastAsia="en-US"/>
        </w:rPr>
      </w:pPr>
    </w:p>
    <w:p w:rsidR="00B27D0A" w:rsidRDefault="00B27D0A" w:rsidP="00B27D0A">
      <w:pPr>
        <w:spacing w:line="360" w:lineRule="auto"/>
        <w:ind w:right="-93"/>
        <w:jc w:val="both"/>
        <w:rPr>
          <w:rFonts w:ascii="Palatino Linotype" w:eastAsia="Calibri" w:hAnsi="Palatino Linotype" w:cs="Tahoma"/>
          <w:b/>
          <w:bCs/>
          <w:sz w:val="22"/>
          <w:szCs w:val="22"/>
          <w:lang w:eastAsia="en-US"/>
        </w:rPr>
      </w:pPr>
    </w:p>
    <w:p w:rsidR="00B27D0A" w:rsidRPr="00F012DF" w:rsidRDefault="00B27D0A" w:rsidP="00B27D0A">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4384" behindDoc="0" locked="0" layoutInCell="1" allowOverlap="1" wp14:anchorId="56C3C6EE" wp14:editId="2FB37B71">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27D0A" w:rsidRPr="00DA1AD1" w:rsidRDefault="00B27D0A" w:rsidP="00B27D0A">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rsidR="00B27D0A" w:rsidRPr="00DA1AD1" w:rsidRDefault="00B27D0A" w:rsidP="00B27D0A">
                            <w:pPr>
                              <w:jc w:val="center"/>
                              <w:rPr>
                                <w:rFonts w:ascii="Palatino Linotype" w:hAnsi="Palatino Linotype" w:cs="Tahoma"/>
                                <w:sz w:val="22"/>
                                <w:szCs w:val="24"/>
                              </w:rPr>
                            </w:pPr>
                            <w:r w:rsidRPr="00DA1AD1">
                              <w:rPr>
                                <w:rFonts w:ascii="Palatino Linotype" w:hAnsi="Palatino Linotype" w:cs="Tahoma"/>
                                <w:sz w:val="22"/>
                                <w:szCs w:val="24"/>
                              </w:rPr>
                              <w:t>Comisionado</w:t>
                            </w:r>
                          </w:p>
                          <w:p w:rsidR="00B27D0A" w:rsidRPr="00DA1AD1" w:rsidRDefault="00B27D0A" w:rsidP="00B27D0A">
                            <w:pPr>
                              <w:jc w:val="center"/>
                              <w:rPr>
                                <w:rFonts w:ascii="Palatino Linotype" w:hAnsi="Palatino Linotype"/>
                                <w:b/>
                                <w:sz w:val="18"/>
                              </w:rPr>
                            </w:pPr>
                            <w:r w:rsidRPr="00DA1AD1">
                              <w:rPr>
                                <w:rFonts w:ascii="Palatino Linotype" w:hAnsi="Palatino Linotype"/>
                                <w:b/>
                                <w:sz w:val="22"/>
                                <w:szCs w:val="24"/>
                              </w:rPr>
                              <w:t>(Rúbrica)</w:t>
                            </w:r>
                          </w:p>
                          <w:p w:rsidR="00B27D0A" w:rsidRDefault="00B27D0A" w:rsidP="00B27D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3C6EE" id="Cuadro de texto 9" o:spid="_x0000_s1029" type="#_x0000_t202" style="position:absolute;left:0;text-align:left;margin-left:128.05pt;margin-top:.4pt;width:179.25pt;height:57.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rsidR="00B27D0A" w:rsidRPr="00DA1AD1" w:rsidRDefault="00B27D0A" w:rsidP="00B27D0A">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rsidR="00B27D0A" w:rsidRPr="00DA1AD1" w:rsidRDefault="00B27D0A" w:rsidP="00B27D0A">
                      <w:pPr>
                        <w:jc w:val="center"/>
                        <w:rPr>
                          <w:rFonts w:ascii="Palatino Linotype" w:hAnsi="Palatino Linotype" w:cs="Tahoma"/>
                          <w:sz w:val="22"/>
                          <w:szCs w:val="24"/>
                        </w:rPr>
                      </w:pPr>
                      <w:r w:rsidRPr="00DA1AD1">
                        <w:rPr>
                          <w:rFonts w:ascii="Palatino Linotype" w:hAnsi="Palatino Linotype" w:cs="Tahoma"/>
                          <w:sz w:val="22"/>
                          <w:szCs w:val="24"/>
                        </w:rPr>
                        <w:t>Comisionado</w:t>
                      </w:r>
                    </w:p>
                    <w:p w:rsidR="00B27D0A" w:rsidRPr="00DA1AD1" w:rsidRDefault="00B27D0A" w:rsidP="00B27D0A">
                      <w:pPr>
                        <w:jc w:val="center"/>
                        <w:rPr>
                          <w:rFonts w:ascii="Palatino Linotype" w:hAnsi="Palatino Linotype"/>
                          <w:b/>
                          <w:sz w:val="18"/>
                        </w:rPr>
                      </w:pPr>
                      <w:r w:rsidRPr="00DA1AD1">
                        <w:rPr>
                          <w:rFonts w:ascii="Palatino Linotype" w:hAnsi="Palatino Linotype"/>
                          <w:b/>
                          <w:sz w:val="22"/>
                          <w:szCs w:val="24"/>
                        </w:rPr>
                        <w:t>(Rúbrica)</w:t>
                      </w:r>
                    </w:p>
                    <w:p w:rsidR="00B27D0A" w:rsidRDefault="00B27D0A" w:rsidP="00B27D0A"/>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3360" behindDoc="0" locked="0" layoutInCell="1" allowOverlap="1" wp14:anchorId="139375DF" wp14:editId="1B1D9AFF">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27D0A" w:rsidRPr="00DA1AD1" w:rsidRDefault="00B27D0A" w:rsidP="00B27D0A">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rsidR="00B27D0A" w:rsidRPr="00DA1AD1" w:rsidRDefault="00B27D0A" w:rsidP="00B27D0A">
                            <w:pPr>
                              <w:jc w:val="center"/>
                              <w:rPr>
                                <w:rFonts w:ascii="Palatino Linotype" w:hAnsi="Palatino Linotype" w:cs="Tahoma"/>
                                <w:sz w:val="22"/>
                                <w:szCs w:val="24"/>
                              </w:rPr>
                            </w:pPr>
                            <w:r w:rsidRPr="00DA1AD1">
                              <w:rPr>
                                <w:rFonts w:ascii="Palatino Linotype" w:hAnsi="Palatino Linotype" w:cs="Tahoma"/>
                                <w:sz w:val="22"/>
                                <w:szCs w:val="24"/>
                              </w:rPr>
                              <w:t>Comisionado</w:t>
                            </w:r>
                          </w:p>
                          <w:p w:rsidR="00B27D0A" w:rsidRPr="00DA1AD1" w:rsidRDefault="00B27D0A" w:rsidP="00B27D0A">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375DF" id="Cuadro de texto 8" o:spid="_x0000_s1030" type="#_x0000_t202" style="position:absolute;left:0;text-align:left;margin-left:0;margin-top:.7pt;width:168pt;height:53.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rsidR="00B27D0A" w:rsidRPr="00DA1AD1" w:rsidRDefault="00B27D0A" w:rsidP="00B27D0A">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rsidR="00B27D0A" w:rsidRPr="00DA1AD1" w:rsidRDefault="00B27D0A" w:rsidP="00B27D0A">
                      <w:pPr>
                        <w:jc w:val="center"/>
                        <w:rPr>
                          <w:rFonts w:ascii="Palatino Linotype" w:hAnsi="Palatino Linotype" w:cs="Tahoma"/>
                          <w:sz w:val="22"/>
                          <w:szCs w:val="24"/>
                        </w:rPr>
                      </w:pPr>
                      <w:r w:rsidRPr="00DA1AD1">
                        <w:rPr>
                          <w:rFonts w:ascii="Palatino Linotype" w:hAnsi="Palatino Linotype" w:cs="Tahoma"/>
                          <w:sz w:val="22"/>
                          <w:szCs w:val="24"/>
                        </w:rPr>
                        <w:t>Comisionado</w:t>
                      </w:r>
                    </w:p>
                    <w:p w:rsidR="00B27D0A" w:rsidRPr="00DA1AD1" w:rsidRDefault="00B27D0A" w:rsidP="00B27D0A">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rsidR="00B27D0A" w:rsidRPr="00F012DF" w:rsidRDefault="00B27D0A" w:rsidP="00B27D0A">
      <w:pPr>
        <w:spacing w:line="360" w:lineRule="auto"/>
        <w:ind w:right="-93"/>
        <w:jc w:val="both"/>
        <w:rPr>
          <w:rFonts w:ascii="Palatino Linotype" w:eastAsia="Calibri" w:hAnsi="Palatino Linotype" w:cs="Tahoma"/>
          <w:bCs/>
          <w:sz w:val="22"/>
          <w:szCs w:val="22"/>
          <w:lang w:eastAsia="en-US"/>
        </w:rPr>
      </w:pPr>
    </w:p>
    <w:p w:rsidR="00B27D0A" w:rsidRPr="00F012DF" w:rsidRDefault="00B27D0A" w:rsidP="00B27D0A">
      <w:pPr>
        <w:spacing w:line="360" w:lineRule="auto"/>
        <w:ind w:right="-93"/>
        <w:jc w:val="both"/>
        <w:rPr>
          <w:rFonts w:ascii="Palatino Linotype" w:eastAsia="Calibri" w:hAnsi="Palatino Linotype" w:cs="Tahoma"/>
          <w:bCs/>
          <w:sz w:val="22"/>
          <w:szCs w:val="22"/>
          <w:lang w:eastAsia="en-US"/>
        </w:rPr>
      </w:pPr>
    </w:p>
    <w:p w:rsidR="00B27D0A" w:rsidRPr="00F012DF" w:rsidRDefault="00B27D0A" w:rsidP="00B27D0A">
      <w:pPr>
        <w:spacing w:line="360" w:lineRule="auto"/>
        <w:ind w:right="-93"/>
        <w:jc w:val="both"/>
        <w:rPr>
          <w:rFonts w:ascii="Palatino Linotype" w:eastAsia="Calibri" w:hAnsi="Palatino Linotype" w:cs="Tahoma"/>
          <w:bCs/>
          <w:sz w:val="22"/>
          <w:szCs w:val="22"/>
          <w:lang w:eastAsia="en-US"/>
        </w:rPr>
      </w:pPr>
    </w:p>
    <w:p w:rsidR="00B27D0A" w:rsidRDefault="00B27D0A" w:rsidP="00B27D0A">
      <w:pPr>
        <w:spacing w:line="360" w:lineRule="auto"/>
        <w:ind w:right="-93"/>
        <w:jc w:val="both"/>
        <w:rPr>
          <w:rFonts w:ascii="Palatino Linotype" w:eastAsia="Calibri" w:hAnsi="Palatino Linotype" w:cs="Tahoma"/>
          <w:bCs/>
          <w:sz w:val="22"/>
          <w:szCs w:val="22"/>
          <w:lang w:eastAsia="en-US"/>
        </w:rPr>
      </w:pPr>
    </w:p>
    <w:p w:rsidR="00B27D0A" w:rsidRDefault="00B27D0A" w:rsidP="00B27D0A">
      <w:pPr>
        <w:spacing w:line="360" w:lineRule="auto"/>
        <w:ind w:right="-93"/>
        <w:jc w:val="both"/>
        <w:rPr>
          <w:rFonts w:ascii="Palatino Linotype" w:eastAsia="Calibri" w:hAnsi="Palatino Linotype" w:cs="Tahoma"/>
          <w:bCs/>
          <w:sz w:val="22"/>
          <w:szCs w:val="22"/>
          <w:lang w:eastAsia="en-US"/>
        </w:rPr>
      </w:pPr>
    </w:p>
    <w:p w:rsidR="00B27D0A" w:rsidRDefault="00B27D0A" w:rsidP="00B27D0A">
      <w:pPr>
        <w:spacing w:line="360" w:lineRule="auto"/>
        <w:ind w:right="-93"/>
        <w:jc w:val="both"/>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2336" behindDoc="0" locked="0" layoutInCell="1" allowOverlap="1" wp14:anchorId="59CFD7D7" wp14:editId="15983D95">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27D0A" w:rsidRPr="00DA1AD1" w:rsidRDefault="00B27D0A" w:rsidP="00B27D0A">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rsidR="00B27D0A" w:rsidRPr="00DA1AD1" w:rsidRDefault="00B27D0A" w:rsidP="00B27D0A">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rsidR="00B27D0A" w:rsidRDefault="00B27D0A" w:rsidP="00B27D0A">
                            <w:pPr>
                              <w:jc w:val="center"/>
                              <w:rPr>
                                <w:rFonts w:ascii="Palatino Linotype" w:hAnsi="Palatino Linotype"/>
                                <w:b/>
                                <w:sz w:val="22"/>
                                <w:szCs w:val="24"/>
                              </w:rPr>
                            </w:pPr>
                            <w:r w:rsidRPr="00DA1AD1">
                              <w:rPr>
                                <w:rFonts w:ascii="Palatino Linotype" w:hAnsi="Palatino Linotype"/>
                                <w:b/>
                                <w:sz w:val="22"/>
                                <w:szCs w:val="24"/>
                              </w:rPr>
                              <w:t>(Rúbrica)</w:t>
                            </w:r>
                          </w:p>
                          <w:p w:rsidR="00B27D0A" w:rsidRDefault="00B27D0A" w:rsidP="00B27D0A">
                            <w:pPr>
                              <w:jc w:val="center"/>
                              <w:rPr>
                                <w:rFonts w:ascii="Palatino Linotype" w:hAnsi="Palatino Linotype"/>
                                <w:b/>
                                <w:sz w:val="22"/>
                                <w:szCs w:val="24"/>
                              </w:rPr>
                            </w:pPr>
                          </w:p>
                          <w:p w:rsidR="00B27D0A" w:rsidRPr="00DA1AD1" w:rsidRDefault="00B27D0A" w:rsidP="00B27D0A">
                            <w:pPr>
                              <w:jc w:val="center"/>
                              <w:rPr>
                                <w:rFonts w:ascii="Palatino Linotype" w:hAnsi="Palatino Linotype"/>
                                <w:b/>
                                <w:sz w:val="22"/>
                                <w:szCs w:val="24"/>
                              </w:rPr>
                            </w:pPr>
                          </w:p>
                          <w:p w:rsidR="00B27D0A" w:rsidRPr="00DA1AD1" w:rsidRDefault="00B27D0A" w:rsidP="00B27D0A">
                            <w:pPr>
                              <w:jc w:val="center"/>
                              <w:rPr>
                                <w:rFonts w:ascii="Palatino Linotype" w:hAnsi="Palatino Linotype"/>
                                <w:sz w:val="22"/>
                                <w:szCs w:val="24"/>
                              </w:rPr>
                            </w:pPr>
                          </w:p>
                          <w:p w:rsidR="00B27D0A" w:rsidRPr="00EF2FC0" w:rsidRDefault="00B27D0A" w:rsidP="00B27D0A">
                            <w:pPr>
                              <w:jc w:val="center"/>
                              <w:rPr>
                                <w:rFonts w:ascii="Palatino Linotype" w:hAnsi="Palatino Linotype"/>
                                <w:sz w:val="24"/>
                                <w:szCs w:val="24"/>
                              </w:rPr>
                            </w:pPr>
                          </w:p>
                          <w:p w:rsidR="00B27D0A" w:rsidRDefault="00B27D0A" w:rsidP="00B27D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FD7D7" id="Cuadro de texto 24" o:spid="_x0000_s1031" type="#_x0000_t202" style="position:absolute;left:0;text-align:left;margin-left:180.7pt;margin-top:.8pt;width:248.25pt;height:5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rsidR="00B27D0A" w:rsidRPr="00DA1AD1" w:rsidRDefault="00B27D0A" w:rsidP="00B27D0A">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rsidR="00B27D0A" w:rsidRPr="00DA1AD1" w:rsidRDefault="00B27D0A" w:rsidP="00B27D0A">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rsidR="00B27D0A" w:rsidRDefault="00B27D0A" w:rsidP="00B27D0A">
                      <w:pPr>
                        <w:jc w:val="center"/>
                        <w:rPr>
                          <w:rFonts w:ascii="Palatino Linotype" w:hAnsi="Palatino Linotype"/>
                          <w:b/>
                          <w:sz w:val="22"/>
                          <w:szCs w:val="24"/>
                        </w:rPr>
                      </w:pPr>
                      <w:r w:rsidRPr="00DA1AD1">
                        <w:rPr>
                          <w:rFonts w:ascii="Palatino Linotype" w:hAnsi="Palatino Linotype"/>
                          <w:b/>
                          <w:sz w:val="22"/>
                          <w:szCs w:val="24"/>
                        </w:rPr>
                        <w:t>(Rúbrica)</w:t>
                      </w:r>
                    </w:p>
                    <w:p w:rsidR="00B27D0A" w:rsidRDefault="00B27D0A" w:rsidP="00B27D0A">
                      <w:pPr>
                        <w:jc w:val="center"/>
                        <w:rPr>
                          <w:rFonts w:ascii="Palatino Linotype" w:hAnsi="Palatino Linotype"/>
                          <w:b/>
                          <w:sz w:val="22"/>
                          <w:szCs w:val="24"/>
                        </w:rPr>
                      </w:pPr>
                    </w:p>
                    <w:p w:rsidR="00B27D0A" w:rsidRPr="00DA1AD1" w:rsidRDefault="00B27D0A" w:rsidP="00B27D0A">
                      <w:pPr>
                        <w:jc w:val="center"/>
                        <w:rPr>
                          <w:rFonts w:ascii="Palatino Linotype" w:hAnsi="Palatino Linotype"/>
                          <w:b/>
                          <w:sz w:val="22"/>
                          <w:szCs w:val="24"/>
                        </w:rPr>
                      </w:pPr>
                    </w:p>
                    <w:p w:rsidR="00B27D0A" w:rsidRPr="00DA1AD1" w:rsidRDefault="00B27D0A" w:rsidP="00B27D0A">
                      <w:pPr>
                        <w:jc w:val="center"/>
                        <w:rPr>
                          <w:rFonts w:ascii="Palatino Linotype" w:hAnsi="Palatino Linotype"/>
                          <w:sz w:val="22"/>
                          <w:szCs w:val="24"/>
                        </w:rPr>
                      </w:pPr>
                    </w:p>
                    <w:p w:rsidR="00B27D0A" w:rsidRPr="00EF2FC0" w:rsidRDefault="00B27D0A" w:rsidP="00B27D0A">
                      <w:pPr>
                        <w:jc w:val="center"/>
                        <w:rPr>
                          <w:rFonts w:ascii="Palatino Linotype" w:hAnsi="Palatino Linotype"/>
                          <w:sz w:val="24"/>
                          <w:szCs w:val="24"/>
                        </w:rPr>
                      </w:pPr>
                    </w:p>
                    <w:p w:rsidR="00B27D0A" w:rsidRDefault="00B27D0A" w:rsidP="00B27D0A"/>
                  </w:txbxContent>
                </v:textbox>
                <w10:wrap anchorx="page"/>
              </v:shape>
            </w:pict>
          </mc:Fallback>
        </mc:AlternateContent>
      </w:r>
    </w:p>
    <w:p w:rsidR="00B27D0A" w:rsidRDefault="00B27D0A" w:rsidP="00B64AF0">
      <w:pPr>
        <w:tabs>
          <w:tab w:val="left" w:pos="8931"/>
        </w:tabs>
        <w:spacing w:line="360" w:lineRule="auto"/>
        <w:contextualSpacing/>
        <w:jc w:val="both"/>
        <w:rPr>
          <w:rFonts w:ascii="Palatino Linotype" w:eastAsia="Calibri" w:hAnsi="Palatino Linotype" w:cs="Tahoma"/>
          <w:sz w:val="22"/>
          <w:szCs w:val="22"/>
          <w:lang w:eastAsia="en-US"/>
        </w:rPr>
      </w:pPr>
    </w:p>
    <w:p w:rsidR="00B27D0A" w:rsidRDefault="00B27D0A" w:rsidP="00B64AF0">
      <w:pPr>
        <w:tabs>
          <w:tab w:val="left" w:pos="8931"/>
        </w:tabs>
        <w:spacing w:line="360" w:lineRule="auto"/>
        <w:contextualSpacing/>
        <w:jc w:val="both"/>
        <w:rPr>
          <w:rFonts w:ascii="Palatino Linotype" w:eastAsia="Calibri" w:hAnsi="Palatino Linotype" w:cs="Tahoma"/>
          <w:sz w:val="22"/>
          <w:szCs w:val="22"/>
          <w:lang w:eastAsia="en-US"/>
        </w:rPr>
      </w:pPr>
    </w:p>
    <w:p w:rsidR="00BA4C6C" w:rsidRPr="00B64AF0" w:rsidRDefault="00D12024" w:rsidP="00B64AF0">
      <w:pPr>
        <w:tabs>
          <w:tab w:val="left" w:pos="8931"/>
        </w:tabs>
        <w:spacing w:line="360" w:lineRule="auto"/>
        <w:contextualSpacing/>
        <w:jc w:val="both"/>
        <w:rPr>
          <w:rFonts w:ascii="Palatino Linotype" w:eastAsia="Calibri" w:hAnsi="Palatino Linotype" w:cs="Tahoma"/>
          <w:sz w:val="22"/>
          <w:szCs w:val="22"/>
        </w:rPr>
      </w:pPr>
      <w:r w:rsidRPr="0089475E">
        <w:rPr>
          <w:rFonts w:ascii="Palatino Linotype" w:eastAsia="Calibri" w:hAnsi="Palatino Linotype" w:cs="Tahoma"/>
          <w:sz w:val="22"/>
          <w:szCs w:val="22"/>
          <w:lang w:eastAsia="en-US"/>
        </w:rPr>
        <w:t xml:space="preserve">Esta foja corresponde a la resolución de fecha </w:t>
      </w:r>
      <w:r w:rsidR="001178C8">
        <w:rPr>
          <w:rFonts w:ascii="Palatino Linotype" w:eastAsia="Calibri" w:hAnsi="Palatino Linotype" w:cs="Tahoma"/>
          <w:sz w:val="22"/>
          <w:szCs w:val="22"/>
          <w:lang w:eastAsia="en-US"/>
        </w:rPr>
        <w:t>diecinueve</w:t>
      </w:r>
      <w:r w:rsidR="00D56AF5">
        <w:rPr>
          <w:rFonts w:ascii="Palatino Linotype" w:eastAsia="Calibri" w:hAnsi="Palatino Linotype" w:cs="Tahoma"/>
          <w:sz w:val="22"/>
          <w:szCs w:val="22"/>
          <w:lang w:eastAsia="en-US"/>
        </w:rPr>
        <w:t xml:space="preserve"> de septiembre</w:t>
      </w:r>
      <w:r w:rsidR="00B27D0A">
        <w:rPr>
          <w:rFonts w:ascii="Palatino Linotype" w:eastAsia="Calibri" w:hAnsi="Palatino Linotype" w:cs="Tahoma"/>
          <w:sz w:val="22"/>
          <w:szCs w:val="22"/>
          <w:lang w:eastAsia="en-US"/>
        </w:rPr>
        <w:t xml:space="preserve"> de dos mil diecinueve, </w:t>
      </w:r>
      <w:r w:rsidRPr="0089475E">
        <w:rPr>
          <w:rFonts w:ascii="Palatino Linotype" w:eastAsia="Calibri" w:hAnsi="Palatino Linotype" w:cs="Tahoma"/>
          <w:sz w:val="22"/>
          <w:szCs w:val="22"/>
          <w:lang w:eastAsia="en-US"/>
        </w:rPr>
        <w:t xml:space="preserve">emitida en el Recurso de Revisión número </w:t>
      </w:r>
      <w:r w:rsidR="001178C8" w:rsidRPr="00700017">
        <w:rPr>
          <w:rFonts w:ascii="Palatino Linotype" w:hAnsi="Palatino Linotype" w:cs="Tahoma"/>
          <w:b/>
          <w:bCs/>
          <w:color w:val="0D0D0D" w:themeColor="text1" w:themeTint="F2"/>
          <w:sz w:val="22"/>
          <w:szCs w:val="22"/>
        </w:rPr>
        <w:t>06091/INFOEM/IP/RR/2019</w:t>
      </w:r>
    </w:p>
    <w:sectPr w:rsidR="00BA4C6C" w:rsidRPr="00B64AF0" w:rsidSect="00DB7E5F">
      <w:headerReference w:type="default" r:id="rId16"/>
      <w:footerReference w:type="default" r:id="rId17"/>
      <w:headerReference w:type="first" r:id="rId18"/>
      <w:footerReference w:type="first" r:id="rId19"/>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071C" w:rsidRDefault="007F071C" w:rsidP="00B31222">
      <w:r>
        <w:separator/>
      </w:r>
    </w:p>
  </w:endnote>
  <w:endnote w:type="continuationSeparator" w:id="0">
    <w:p w:rsidR="007F071C" w:rsidRDefault="007F071C"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691231" w:rsidRDefault="0069123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911B0">
              <w:rPr>
                <w:b/>
                <w:bCs/>
                <w:noProof/>
              </w:rPr>
              <w:t>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911B0">
              <w:rPr>
                <w:b/>
                <w:bCs/>
                <w:noProof/>
              </w:rPr>
              <w:t>25</w:t>
            </w:r>
            <w:r>
              <w:rPr>
                <w:b/>
                <w:bCs/>
                <w:sz w:val="24"/>
                <w:szCs w:val="24"/>
              </w:rPr>
              <w:fldChar w:fldCharType="end"/>
            </w:r>
          </w:p>
        </w:sdtContent>
      </w:sdt>
    </w:sdtContent>
  </w:sdt>
  <w:p w:rsidR="00691231" w:rsidRDefault="0069123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rsidR="00691231" w:rsidRDefault="0069123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911B0">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911B0">
              <w:rPr>
                <w:b/>
                <w:bCs/>
                <w:noProof/>
              </w:rPr>
              <w:t>25</w:t>
            </w:r>
            <w:r>
              <w:rPr>
                <w:b/>
                <w:bCs/>
                <w:sz w:val="24"/>
                <w:szCs w:val="24"/>
              </w:rPr>
              <w:fldChar w:fldCharType="end"/>
            </w:r>
          </w:p>
        </w:sdtContent>
      </w:sdt>
    </w:sdtContent>
  </w:sdt>
  <w:p w:rsidR="00691231" w:rsidRDefault="0069123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071C" w:rsidRDefault="007F071C" w:rsidP="00B31222">
      <w:r>
        <w:separator/>
      </w:r>
    </w:p>
  </w:footnote>
  <w:footnote w:type="continuationSeparator" w:id="0">
    <w:p w:rsidR="007F071C" w:rsidRDefault="007F071C"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691231" w:rsidRPr="005C106F" w:rsidTr="00202DB8">
      <w:trPr>
        <w:trHeight w:val="1435"/>
      </w:trPr>
      <w:tc>
        <w:tcPr>
          <w:tcW w:w="2835" w:type="dxa"/>
          <w:shd w:val="clear" w:color="auto" w:fill="auto"/>
        </w:tcPr>
        <w:p w:rsidR="00691231" w:rsidRPr="005C106F" w:rsidRDefault="00691231" w:rsidP="00EF4A64">
          <w:pPr>
            <w:tabs>
              <w:tab w:val="right" w:pos="4273"/>
            </w:tabs>
            <w:rPr>
              <w:rFonts w:ascii="Garamond" w:eastAsia="Calibri" w:hAnsi="Garamond"/>
              <w:sz w:val="16"/>
              <w:szCs w:val="16"/>
              <w:lang w:eastAsia="en-US"/>
            </w:rPr>
          </w:pPr>
        </w:p>
      </w:tc>
      <w:tc>
        <w:tcPr>
          <w:tcW w:w="6733" w:type="dxa"/>
          <w:shd w:val="clear" w:color="auto" w:fill="auto"/>
        </w:tcPr>
        <w:p w:rsidR="00691231" w:rsidRDefault="00691231" w:rsidP="005743D2"/>
        <w:tbl>
          <w:tblPr>
            <w:tblStyle w:val="Tablaconcuadrcula"/>
            <w:tblW w:w="6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09"/>
          </w:tblGrid>
          <w:tr w:rsidR="00691231" w:rsidTr="00FF46FD">
            <w:trPr>
              <w:trHeight w:val="144"/>
            </w:trPr>
            <w:tc>
              <w:tcPr>
                <w:tcW w:w="2727" w:type="dxa"/>
              </w:tcPr>
              <w:p w:rsidR="00691231" w:rsidRPr="00FF46FD" w:rsidRDefault="00691231"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Recurso de Revisión:</w:t>
                </w:r>
              </w:p>
            </w:tc>
            <w:tc>
              <w:tcPr>
                <w:tcW w:w="3509" w:type="dxa"/>
              </w:tcPr>
              <w:p w:rsidR="00691231" w:rsidRPr="003F25D4" w:rsidRDefault="00691231" w:rsidP="00E43A0F">
                <w:pPr>
                  <w:tabs>
                    <w:tab w:val="right" w:pos="8838"/>
                  </w:tabs>
                  <w:ind w:left="-28" w:right="171"/>
                  <w:jc w:val="both"/>
                  <w:rPr>
                    <w:rFonts w:ascii="Palatino Linotype" w:eastAsia="Calibri" w:hAnsi="Palatino Linotype" w:cs="Tahoma"/>
                    <w:b/>
                    <w:bCs/>
                    <w:sz w:val="24"/>
                    <w:szCs w:val="24"/>
                    <w:lang w:eastAsia="en-US"/>
                  </w:rPr>
                </w:pPr>
                <w:r w:rsidRPr="00700017">
                  <w:rPr>
                    <w:rFonts w:ascii="Palatino Linotype" w:eastAsia="Calibri" w:hAnsi="Palatino Linotype" w:cs="Tahoma"/>
                    <w:b/>
                    <w:bCs/>
                    <w:sz w:val="24"/>
                    <w:szCs w:val="24"/>
                    <w:lang w:eastAsia="en-US"/>
                  </w:rPr>
                  <w:t>06091/INFOEM/IP/RR/2019</w:t>
                </w:r>
              </w:p>
            </w:tc>
          </w:tr>
          <w:tr w:rsidR="00691231" w:rsidTr="00FF46FD">
            <w:trPr>
              <w:trHeight w:val="283"/>
            </w:trPr>
            <w:tc>
              <w:tcPr>
                <w:tcW w:w="2727" w:type="dxa"/>
              </w:tcPr>
              <w:p w:rsidR="00691231" w:rsidRPr="00FF46FD" w:rsidRDefault="00691231"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Sujeto Obligado:</w:t>
                </w:r>
              </w:p>
            </w:tc>
            <w:tc>
              <w:tcPr>
                <w:tcW w:w="3509" w:type="dxa"/>
              </w:tcPr>
              <w:p w:rsidR="00691231" w:rsidRPr="00FF46FD" w:rsidRDefault="00691231" w:rsidP="00E43A0F">
                <w:pPr>
                  <w:tabs>
                    <w:tab w:val="left" w:pos="2834"/>
                    <w:tab w:val="right" w:pos="8838"/>
                  </w:tabs>
                  <w:ind w:right="171"/>
                  <w:jc w:val="both"/>
                  <w:rPr>
                    <w:rFonts w:ascii="Palatino Linotype" w:eastAsia="Calibri" w:hAnsi="Palatino Linotype" w:cs="Tahoma"/>
                    <w:b/>
                    <w:sz w:val="24"/>
                    <w:szCs w:val="24"/>
                    <w:lang w:val="es-MX" w:eastAsia="en-US"/>
                  </w:rPr>
                </w:pPr>
                <w:r w:rsidRPr="00700017">
                  <w:rPr>
                    <w:rFonts w:ascii="Palatino Linotype" w:eastAsia="Calibri" w:hAnsi="Palatino Linotype" w:cs="Tahoma"/>
                    <w:sz w:val="24"/>
                    <w:szCs w:val="24"/>
                    <w:lang w:val="es-MX" w:eastAsia="en-US"/>
                  </w:rPr>
                  <w:t>Ayuntamiento de Tonatico</w:t>
                </w:r>
              </w:p>
            </w:tc>
          </w:tr>
          <w:tr w:rsidR="00691231" w:rsidTr="00FF46FD">
            <w:trPr>
              <w:trHeight w:val="283"/>
            </w:trPr>
            <w:tc>
              <w:tcPr>
                <w:tcW w:w="2727" w:type="dxa"/>
              </w:tcPr>
              <w:p w:rsidR="00691231" w:rsidRPr="00FF46FD" w:rsidRDefault="00691231"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Comisionado Ponente:</w:t>
                </w:r>
              </w:p>
            </w:tc>
            <w:tc>
              <w:tcPr>
                <w:tcW w:w="3509" w:type="dxa"/>
              </w:tcPr>
              <w:p w:rsidR="00691231" w:rsidRPr="00FF46FD" w:rsidRDefault="00691231" w:rsidP="00E43A0F">
                <w:pPr>
                  <w:tabs>
                    <w:tab w:val="right" w:pos="8838"/>
                  </w:tabs>
                  <w:ind w:right="171"/>
                  <w:jc w:val="both"/>
                  <w:rPr>
                    <w:rFonts w:ascii="Palatino Linotype" w:eastAsia="Calibri" w:hAnsi="Palatino Linotype" w:cs="Tahoma"/>
                    <w:b/>
                    <w:sz w:val="24"/>
                    <w:szCs w:val="24"/>
                    <w:lang w:val="es-MX" w:eastAsia="en-US"/>
                  </w:rPr>
                </w:pPr>
                <w:r w:rsidRPr="00FF46FD">
                  <w:rPr>
                    <w:rFonts w:ascii="Palatino Linotype" w:eastAsia="Calibri" w:hAnsi="Palatino Linotype" w:cs="Tahoma"/>
                    <w:sz w:val="24"/>
                    <w:szCs w:val="24"/>
                    <w:lang w:val="es-MX" w:eastAsia="en-US"/>
                  </w:rPr>
                  <w:t>Luis Gustavo Parra Noriega</w:t>
                </w:r>
              </w:p>
            </w:tc>
          </w:tr>
        </w:tbl>
        <w:p w:rsidR="00691231" w:rsidRPr="005C106F" w:rsidRDefault="00691231" w:rsidP="005743D2">
          <w:pPr>
            <w:tabs>
              <w:tab w:val="right" w:pos="8838"/>
            </w:tabs>
            <w:ind w:left="-28"/>
            <w:jc w:val="both"/>
            <w:rPr>
              <w:rFonts w:ascii="Arial" w:eastAsia="Calibri" w:hAnsi="Arial" w:cs="Arial"/>
              <w:b/>
              <w:sz w:val="22"/>
              <w:szCs w:val="22"/>
              <w:lang w:eastAsia="en-US"/>
            </w:rPr>
          </w:pPr>
        </w:p>
      </w:tc>
    </w:tr>
  </w:tbl>
  <w:p w:rsidR="00691231" w:rsidRPr="00443C6B" w:rsidRDefault="00691231"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691231" w:rsidRPr="00330DA7" w:rsidTr="003B165A">
      <w:trPr>
        <w:trHeight w:val="1435"/>
      </w:trPr>
      <w:tc>
        <w:tcPr>
          <w:tcW w:w="2835" w:type="dxa"/>
          <w:shd w:val="clear" w:color="auto" w:fill="auto"/>
        </w:tcPr>
        <w:p w:rsidR="00691231" w:rsidRPr="00330DA7" w:rsidRDefault="00691231" w:rsidP="00DB7E5F">
          <w:pPr>
            <w:tabs>
              <w:tab w:val="right" w:pos="4273"/>
            </w:tabs>
            <w:rPr>
              <w:rFonts w:ascii="Garamond" w:eastAsia="Calibri" w:hAnsi="Garamond"/>
              <w:sz w:val="22"/>
              <w:szCs w:val="22"/>
              <w:lang w:eastAsia="en-US"/>
            </w:rPr>
          </w:pPr>
        </w:p>
      </w:tc>
      <w:tc>
        <w:tcPr>
          <w:tcW w:w="6733" w:type="dxa"/>
          <w:shd w:val="clear" w:color="auto" w:fill="auto"/>
        </w:tcPr>
        <w:tbl>
          <w:tblPr>
            <w:tblStyle w:val="Tablaconcuadrcula"/>
            <w:tblW w:w="6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686"/>
          </w:tblGrid>
          <w:tr w:rsidR="00691231" w:rsidRPr="00330DA7" w:rsidTr="00B27D0A">
            <w:trPr>
              <w:trHeight w:val="144"/>
            </w:trPr>
            <w:tc>
              <w:tcPr>
                <w:tcW w:w="2727" w:type="dxa"/>
              </w:tcPr>
              <w:p w:rsidR="00691231" w:rsidRPr="00330DA7" w:rsidRDefault="00691231" w:rsidP="002A67A2">
                <w:pPr>
                  <w:tabs>
                    <w:tab w:val="right" w:pos="8838"/>
                  </w:tabs>
                  <w:ind w:left="-74" w:right="-108"/>
                  <w:contextualSpacing/>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Recurso de Revisión:</w:t>
                </w:r>
              </w:p>
            </w:tc>
            <w:tc>
              <w:tcPr>
                <w:tcW w:w="3686" w:type="dxa"/>
              </w:tcPr>
              <w:p w:rsidR="00691231" w:rsidRPr="00AB7760" w:rsidRDefault="00691231" w:rsidP="00614619">
                <w:pPr>
                  <w:tabs>
                    <w:tab w:val="right" w:pos="8838"/>
                  </w:tabs>
                  <w:ind w:left="-74" w:right="-105"/>
                  <w:jc w:val="both"/>
                  <w:rPr>
                    <w:rFonts w:ascii="Palatino Linotype" w:eastAsia="Calibri" w:hAnsi="Palatino Linotype" w:cs="Tahoma"/>
                    <w:b/>
                    <w:bCs/>
                    <w:sz w:val="22"/>
                    <w:szCs w:val="22"/>
                    <w:lang w:eastAsia="en-US"/>
                  </w:rPr>
                </w:pPr>
                <w:r w:rsidRPr="00700017">
                  <w:rPr>
                    <w:rFonts w:ascii="Palatino Linotype" w:eastAsia="Calibri" w:hAnsi="Palatino Linotype" w:cs="Tahoma"/>
                    <w:b/>
                    <w:bCs/>
                    <w:sz w:val="22"/>
                    <w:szCs w:val="22"/>
                    <w:lang w:eastAsia="en-US"/>
                  </w:rPr>
                  <w:t>06091/INFOEM/IP/RR/2019</w:t>
                </w:r>
              </w:p>
            </w:tc>
          </w:tr>
          <w:tr w:rsidR="00691231" w:rsidRPr="00330DA7" w:rsidTr="00B27D0A">
            <w:trPr>
              <w:trHeight w:val="144"/>
            </w:trPr>
            <w:tc>
              <w:tcPr>
                <w:tcW w:w="2727" w:type="dxa"/>
              </w:tcPr>
              <w:p w:rsidR="00691231" w:rsidRPr="00330DA7" w:rsidRDefault="00691231" w:rsidP="002A67A2">
                <w:pPr>
                  <w:tabs>
                    <w:tab w:val="right" w:pos="8838"/>
                  </w:tabs>
                  <w:ind w:left="-74" w:right="-108"/>
                  <w:contextualSpacing/>
                  <w:rPr>
                    <w:rFonts w:ascii="Palatino Linotype" w:eastAsia="Calibri" w:hAnsi="Palatino Linotype" w:cs="Tahoma"/>
                    <w:b/>
                    <w:sz w:val="22"/>
                    <w:szCs w:val="22"/>
                    <w:lang w:val="es-MX" w:eastAsia="en-US"/>
                  </w:rPr>
                </w:pPr>
                <w:bookmarkStart w:id="1" w:name="_Hlk17202680"/>
                <w:r w:rsidRPr="00330DA7">
                  <w:rPr>
                    <w:rFonts w:ascii="Palatino Linotype" w:eastAsia="Calibri" w:hAnsi="Palatino Linotype" w:cs="Tahoma"/>
                    <w:b/>
                    <w:sz w:val="22"/>
                    <w:szCs w:val="22"/>
                    <w:lang w:val="es-MX" w:eastAsia="en-US"/>
                  </w:rPr>
                  <w:t>Recurrente:</w:t>
                </w:r>
              </w:p>
            </w:tc>
            <w:tc>
              <w:tcPr>
                <w:tcW w:w="3686" w:type="dxa"/>
              </w:tcPr>
              <w:p w:rsidR="00691231" w:rsidRPr="00330DA7" w:rsidRDefault="006911B0" w:rsidP="00614619">
                <w:pPr>
                  <w:tabs>
                    <w:tab w:val="left" w:pos="3122"/>
                    <w:tab w:val="right" w:pos="8838"/>
                  </w:tabs>
                  <w:ind w:left="-74" w:right="-105"/>
                  <w:jc w:val="both"/>
                  <w:rPr>
                    <w:rFonts w:ascii="Palatino Linotype" w:eastAsia="Calibri" w:hAnsi="Palatino Linotype" w:cs="Tahoma"/>
                    <w:sz w:val="22"/>
                    <w:szCs w:val="22"/>
                    <w:lang w:val="es-MX" w:eastAsia="en-US"/>
                  </w:rPr>
                </w:pPr>
                <w:r w:rsidRPr="006911B0">
                  <w:rPr>
                    <w:rFonts w:ascii="Palatino Linotype" w:eastAsia="Calibri" w:hAnsi="Palatino Linotype" w:cs="Tahoma"/>
                    <w:sz w:val="22"/>
                    <w:szCs w:val="22"/>
                    <w:highlight w:val="black"/>
                    <w:lang w:val="es-MX" w:eastAsia="en-US"/>
                  </w:rPr>
                  <w:t>XXXXXXXXXXXXXXXXXXXXXXXX</w:t>
                </w:r>
              </w:p>
            </w:tc>
          </w:tr>
          <w:bookmarkEnd w:id="1"/>
          <w:tr w:rsidR="00691231" w:rsidRPr="00330DA7" w:rsidTr="00B27D0A">
            <w:trPr>
              <w:trHeight w:val="283"/>
            </w:trPr>
            <w:tc>
              <w:tcPr>
                <w:tcW w:w="2727" w:type="dxa"/>
              </w:tcPr>
              <w:p w:rsidR="00691231" w:rsidRPr="00330DA7" w:rsidRDefault="00691231" w:rsidP="002A67A2">
                <w:pPr>
                  <w:tabs>
                    <w:tab w:val="right" w:pos="8838"/>
                  </w:tabs>
                  <w:ind w:left="-74" w:right="-108"/>
                  <w:contextualSpacing/>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Sujeto Obligado:</w:t>
                </w:r>
              </w:p>
            </w:tc>
            <w:tc>
              <w:tcPr>
                <w:tcW w:w="3686" w:type="dxa"/>
              </w:tcPr>
              <w:p w:rsidR="00691231" w:rsidRPr="00330DA7" w:rsidRDefault="00691231" w:rsidP="00924B6C">
                <w:pPr>
                  <w:tabs>
                    <w:tab w:val="left" w:pos="2834"/>
                    <w:tab w:val="right" w:pos="8838"/>
                  </w:tabs>
                  <w:ind w:left="-74" w:right="-105"/>
                  <w:jc w:val="both"/>
                  <w:rPr>
                    <w:rFonts w:ascii="Palatino Linotype" w:eastAsia="Calibri" w:hAnsi="Palatino Linotype" w:cs="Tahoma"/>
                    <w:b/>
                    <w:sz w:val="22"/>
                    <w:szCs w:val="22"/>
                    <w:lang w:val="es-MX" w:eastAsia="en-US"/>
                  </w:rPr>
                </w:pPr>
                <w:r w:rsidRPr="00700017">
                  <w:rPr>
                    <w:rFonts w:ascii="Palatino Linotype" w:eastAsia="Calibri" w:hAnsi="Palatino Linotype" w:cs="Tahoma"/>
                    <w:sz w:val="22"/>
                    <w:szCs w:val="22"/>
                    <w:lang w:val="es-MX" w:eastAsia="en-US"/>
                  </w:rPr>
                  <w:t>Ayuntamiento de Tonatico</w:t>
                </w:r>
              </w:p>
            </w:tc>
          </w:tr>
          <w:tr w:rsidR="00691231" w:rsidRPr="00330DA7" w:rsidTr="00B27D0A">
            <w:trPr>
              <w:trHeight w:val="283"/>
            </w:trPr>
            <w:tc>
              <w:tcPr>
                <w:tcW w:w="2727" w:type="dxa"/>
              </w:tcPr>
              <w:p w:rsidR="00691231" w:rsidRPr="00330DA7" w:rsidRDefault="00691231" w:rsidP="002A67A2">
                <w:pPr>
                  <w:tabs>
                    <w:tab w:val="right" w:pos="8838"/>
                  </w:tabs>
                  <w:ind w:left="-74" w:right="-108"/>
                  <w:contextualSpacing/>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Comisionado Ponente:</w:t>
                </w:r>
              </w:p>
            </w:tc>
            <w:tc>
              <w:tcPr>
                <w:tcW w:w="3686" w:type="dxa"/>
              </w:tcPr>
              <w:p w:rsidR="00691231" w:rsidRPr="00330DA7" w:rsidRDefault="00691231" w:rsidP="00844CB5">
                <w:pPr>
                  <w:tabs>
                    <w:tab w:val="right" w:pos="8838"/>
                  </w:tabs>
                  <w:ind w:left="-74" w:right="-105"/>
                  <w:jc w:val="both"/>
                  <w:rPr>
                    <w:rFonts w:ascii="Palatino Linotype" w:eastAsia="Calibri" w:hAnsi="Palatino Linotype" w:cs="Tahoma"/>
                    <w:b/>
                    <w:sz w:val="22"/>
                    <w:szCs w:val="22"/>
                    <w:lang w:val="es-MX" w:eastAsia="en-US"/>
                  </w:rPr>
                </w:pPr>
                <w:r w:rsidRPr="00330DA7">
                  <w:rPr>
                    <w:rFonts w:ascii="Palatino Linotype" w:eastAsia="Calibri" w:hAnsi="Palatino Linotype" w:cs="Tahoma"/>
                    <w:sz w:val="22"/>
                    <w:szCs w:val="22"/>
                    <w:lang w:val="es-MX" w:eastAsia="en-US"/>
                  </w:rPr>
                  <w:t>Luis Gustavo Parra Noriega</w:t>
                </w:r>
              </w:p>
            </w:tc>
          </w:tr>
        </w:tbl>
        <w:p w:rsidR="00691231" w:rsidRPr="00330DA7" w:rsidRDefault="00691231" w:rsidP="00DB7E5F">
          <w:pPr>
            <w:tabs>
              <w:tab w:val="right" w:pos="8838"/>
            </w:tabs>
            <w:ind w:left="-28"/>
            <w:jc w:val="both"/>
            <w:rPr>
              <w:rFonts w:ascii="Arial" w:eastAsia="Calibri" w:hAnsi="Arial" w:cs="Arial"/>
              <w:b/>
              <w:sz w:val="22"/>
              <w:szCs w:val="22"/>
              <w:lang w:eastAsia="en-US"/>
            </w:rPr>
          </w:pPr>
        </w:p>
      </w:tc>
    </w:tr>
  </w:tbl>
  <w:p w:rsidR="00691231" w:rsidRPr="00330DA7" w:rsidRDefault="00691231" w:rsidP="00B727C5">
    <w:pPr>
      <w:pStyle w:val="Encabezado"/>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16946D09"/>
    <w:multiLevelType w:val="hybridMultilevel"/>
    <w:tmpl w:val="0A524E02"/>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E21B8E"/>
    <w:multiLevelType w:val="hybridMultilevel"/>
    <w:tmpl w:val="5AA60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8D0ADE"/>
    <w:multiLevelType w:val="multilevel"/>
    <w:tmpl w:val="1DC2D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C943C8"/>
    <w:multiLevelType w:val="multilevel"/>
    <w:tmpl w:val="098EC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1245ED9"/>
    <w:multiLevelType w:val="hybridMultilevel"/>
    <w:tmpl w:val="92E283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8961593"/>
    <w:multiLevelType w:val="hybridMultilevel"/>
    <w:tmpl w:val="2C9482C8"/>
    <w:lvl w:ilvl="0" w:tplc="896C70BA">
      <w:start w:val="1"/>
      <w:numFmt w:val="decimal"/>
      <w:lvlText w:val="%1."/>
      <w:lvlJc w:val="left"/>
      <w:pPr>
        <w:ind w:left="720" w:hanging="360"/>
      </w:pPr>
      <w:rPr>
        <w:rFonts w:hint="default"/>
        <w:sz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AD8321C"/>
    <w:multiLevelType w:val="hybridMultilevel"/>
    <w:tmpl w:val="27F8CF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D8C59FC"/>
    <w:multiLevelType w:val="hybridMultilevel"/>
    <w:tmpl w:val="B83432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4EC5DF9"/>
    <w:multiLevelType w:val="hybridMultilevel"/>
    <w:tmpl w:val="0A524E02"/>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7BE033D"/>
    <w:multiLevelType w:val="hybridMultilevel"/>
    <w:tmpl w:val="640A4060"/>
    <w:lvl w:ilvl="0" w:tplc="5216A83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9DE1439"/>
    <w:multiLevelType w:val="hybridMultilevel"/>
    <w:tmpl w:val="2C9482C8"/>
    <w:lvl w:ilvl="0" w:tplc="896C70BA">
      <w:start w:val="1"/>
      <w:numFmt w:val="decimal"/>
      <w:lvlText w:val="%1."/>
      <w:lvlJc w:val="left"/>
      <w:pPr>
        <w:ind w:left="720" w:hanging="360"/>
      </w:pPr>
      <w:rPr>
        <w:rFonts w:hint="default"/>
        <w:sz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D5611F5"/>
    <w:multiLevelType w:val="hybridMultilevel"/>
    <w:tmpl w:val="9B189636"/>
    <w:lvl w:ilvl="0" w:tplc="25E4E83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7273FB7"/>
    <w:multiLevelType w:val="hybridMultilevel"/>
    <w:tmpl w:val="29224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C0D1D37"/>
    <w:multiLevelType w:val="hybridMultilevel"/>
    <w:tmpl w:val="E7462F4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38A76DA"/>
    <w:multiLevelType w:val="multilevel"/>
    <w:tmpl w:val="A8EE5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B740D3"/>
    <w:multiLevelType w:val="hybridMultilevel"/>
    <w:tmpl w:val="92E283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5110163"/>
    <w:multiLevelType w:val="hybridMultilevel"/>
    <w:tmpl w:val="7E1EAB0E"/>
    <w:lvl w:ilvl="0" w:tplc="5216A83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5FD6327"/>
    <w:multiLevelType w:val="multilevel"/>
    <w:tmpl w:val="49CC8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627BCE"/>
    <w:multiLevelType w:val="multilevel"/>
    <w:tmpl w:val="B8AE8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2860BF"/>
    <w:multiLevelType w:val="hybridMultilevel"/>
    <w:tmpl w:val="92E283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BA7770"/>
    <w:multiLevelType w:val="hybridMultilevel"/>
    <w:tmpl w:val="0A524E02"/>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7BC3E81"/>
    <w:multiLevelType w:val="hybridMultilevel"/>
    <w:tmpl w:val="3DCC2FD0"/>
    <w:lvl w:ilvl="0" w:tplc="5216A838">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CA81216"/>
    <w:multiLevelType w:val="multilevel"/>
    <w:tmpl w:val="32C65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24"/>
  </w:num>
  <w:num w:numId="4">
    <w:abstractNumId w:val="10"/>
  </w:num>
  <w:num w:numId="5">
    <w:abstractNumId w:val="2"/>
  </w:num>
  <w:num w:numId="6">
    <w:abstractNumId w:val="15"/>
  </w:num>
  <w:num w:numId="7">
    <w:abstractNumId w:val="23"/>
  </w:num>
  <w:num w:numId="8">
    <w:abstractNumId w:val="11"/>
  </w:num>
  <w:num w:numId="9">
    <w:abstractNumId w:val="9"/>
  </w:num>
  <w:num w:numId="10">
    <w:abstractNumId w:val="16"/>
  </w:num>
  <w:num w:numId="11">
    <w:abstractNumId w:val="13"/>
  </w:num>
  <w:num w:numId="12">
    <w:abstractNumId w:val="7"/>
  </w:num>
  <w:num w:numId="13">
    <w:abstractNumId w:val="1"/>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8"/>
  </w:num>
  <w:num w:numId="17">
    <w:abstractNumId w:val="14"/>
  </w:num>
  <w:num w:numId="18">
    <w:abstractNumId w:val="18"/>
  </w:num>
  <w:num w:numId="19">
    <w:abstractNumId w:val="21"/>
  </w:num>
  <w:num w:numId="20">
    <w:abstractNumId w:val="26"/>
  </w:num>
  <w:num w:numId="21">
    <w:abstractNumId w:val="20"/>
  </w:num>
  <w:num w:numId="22">
    <w:abstractNumId w:val="4"/>
  </w:num>
  <w:num w:numId="23">
    <w:abstractNumId w:val="3"/>
  </w:num>
  <w:num w:numId="24">
    <w:abstractNumId w:val="17"/>
  </w:num>
  <w:num w:numId="25">
    <w:abstractNumId w:val="22"/>
  </w:num>
  <w:num w:numId="26">
    <w:abstractNumId w:val="25"/>
  </w:num>
  <w:num w:numId="27">
    <w:abstractNumId w:val="12"/>
  </w:num>
  <w:num w:numId="28">
    <w:abstractNumId w:val="19"/>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7EB"/>
    <w:rsid w:val="0000339F"/>
    <w:rsid w:val="0000485A"/>
    <w:rsid w:val="00006543"/>
    <w:rsid w:val="00013A19"/>
    <w:rsid w:val="00014465"/>
    <w:rsid w:val="00017858"/>
    <w:rsid w:val="00017D26"/>
    <w:rsid w:val="00020818"/>
    <w:rsid w:val="000212E5"/>
    <w:rsid w:val="00021C64"/>
    <w:rsid w:val="000241C5"/>
    <w:rsid w:val="00024D74"/>
    <w:rsid w:val="00025F5D"/>
    <w:rsid w:val="000313A7"/>
    <w:rsid w:val="00032F5B"/>
    <w:rsid w:val="00033086"/>
    <w:rsid w:val="00034E9D"/>
    <w:rsid w:val="00035F9E"/>
    <w:rsid w:val="000373BC"/>
    <w:rsid w:val="000378BC"/>
    <w:rsid w:val="00037B34"/>
    <w:rsid w:val="00037F4B"/>
    <w:rsid w:val="000415F1"/>
    <w:rsid w:val="00043C4B"/>
    <w:rsid w:val="00045736"/>
    <w:rsid w:val="0004632C"/>
    <w:rsid w:val="0004646B"/>
    <w:rsid w:val="0004735D"/>
    <w:rsid w:val="000528E6"/>
    <w:rsid w:val="00057250"/>
    <w:rsid w:val="0006017B"/>
    <w:rsid w:val="000620E1"/>
    <w:rsid w:val="00064855"/>
    <w:rsid w:val="00071A4A"/>
    <w:rsid w:val="00071A91"/>
    <w:rsid w:val="000758B2"/>
    <w:rsid w:val="000813B0"/>
    <w:rsid w:val="0008148B"/>
    <w:rsid w:val="00092475"/>
    <w:rsid w:val="00097211"/>
    <w:rsid w:val="000A0518"/>
    <w:rsid w:val="000A0861"/>
    <w:rsid w:val="000A20A4"/>
    <w:rsid w:val="000A5058"/>
    <w:rsid w:val="000A7211"/>
    <w:rsid w:val="000B1D37"/>
    <w:rsid w:val="000B2C93"/>
    <w:rsid w:val="000B36DD"/>
    <w:rsid w:val="000B5711"/>
    <w:rsid w:val="000B6020"/>
    <w:rsid w:val="000C2283"/>
    <w:rsid w:val="000C27CA"/>
    <w:rsid w:val="000C59CB"/>
    <w:rsid w:val="000C710D"/>
    <w:rsid w:val="000D0810"/>
    <w:rsid w:val="000D0B08"/>
    <w:rsid w:val="000D1DDF"/>
    <w:rsid w:val="000D2A27"/>
    <w:rsid w:val="000D62EF"/>
    <w:rsid w:val="000E0BEA"/>
    <w:rsid w:val="000F24C8"/>
    <w:rsid w:val="000F2EBF"/>
    <w:rsid w:val="000F3DA0"/>
    <w:rsid w:val="000F4183"/>
    <w:rsid w:val="000F4876"/>
    <w:rsid w:val="000F555D"/>
    <w:rsid w:val="000F6834"/>
    <w:rsid w:val="000F76AB"/>
    <w:rsid w:val="000F7A45"/>
    <w:rsid w:val="000F7FD8"/>
    <w:rsid w:val="00100BAC"/>
    <w:rsid w:val="001017B7"/>
    <w:rsid w:val="001034C6"/>
    <w:rsid w:val="001049B0"/>
    <w:rsid w:val="00104ADB"/>
    <w:rsid w:val="001057BC"/>
    <w:rsid w:val="00107D2F"/>
    <w:rsid w:val="0011232F"/>
    <w:rsid w:val="001133D5"/>
    <w:rsid w:val="00114068"/>
    <w:rsid w:val="001150E9"/>
    <w:rsid w:val="001166C8"/>
    <w:rsid w:val="001171BD"/>
    <w:rsid w:val="001178C8"/>
    <w:rsid w:val="001221B8"/>
    <w:rsid w:val="00127757"/>
    <w:rsid w:val="001279BF"/>
    <w:rsid w:val="00132A80"/>
    <w:rsid w:val="00132F95"/>
    <w:rsid w:val="00134409"/>
    <w:rsid w:val="0013647C"/>
    <w:rsid w:val="0013791C"/>
    <w:rsid w:val="00137B8F"/>
    <w:rsid w:val="001412B6"/>
    <w:rsid w:val="00141895"/>
    <w:rsid w:val="0014307A"/>
    <w:rsid w:val="00144D0B"/>
    <w:rsid w:val="00147566"/>
    <w:rsid w:val="00147666"/>
    <w:rsid w:val="00147887"/>
    <w:rsid w:val="00150E21"/>
    <w:rsid w:val="00151053"/>
    <w:rsid w:val="00151FBB"/>
    <w:rsid w:val="0015381E"/>
    <w:rsid w:val="00155F96"/>
    <w:rsid w:val="00156408"/>
    <w:rsid w:val="00156A6B"/>
    <w:rsid w:val="00161DF9"/>
    <w:rsid w:val="00162383"/>
    <w:rsid w:val="00162CCE"/>
    <w:rsid w:val="00163387"/>
    <w:rsid w:val="00165891"/>
    <w:rsid w:val="00170545"/>
    <w:rsid w:val="00171ADD"/>
    <w:rsid w:val="00173E8F"/>
    <w:rsid w:val="0017459B"/>
    <w:rsid w:val="00175CEB"/>
    <w:rsid w:val="00176367"/>
    <w:rsid w:val="0017695B"/>
    <w:rsid w:val="00177532"/>
    <w:rsid w:val="00180DE9"/>
    <w:rsid w:val="00180FD8"/>
    <w:rsid w:val="001821D9"/>
    <w:rsid w:val="00182D6C"/>
    <w:rsid w:val="00182DCE"/>
    <w:rsid w:val="00182F0F"/>
    <w:rsid w:val="00183D24"/>
    <w:rsid w:val="001851A6"/>
    <w:rsid w:val="001875A7"/>
    <w:rsid w:val="001879E1"/>
    <w:rsid w:val="0019389B"/>
    <w:rsid w:val="00196522"/>
    <w:rsid w:val="001A1B94"/>
    <w:rsid w:val="001A22F5"/>
    <w:rsid w:val="001A4B83"/>
    <w:rsid w:val="001A79C6"/>
    <w:rsid w:val="001A7FD2"/>
    <w:rsid w:val="001B107D"/>
    <w:rsid w:val="001B2CD9"/>
    <w:rsid w:val="001B38FF"/>
    <w:rsid w:val="001B58BD"/>
    <w:rsid w:val="001B62A0"/>
    <w:rsid w:val="001C17B0"/>
    <w:rsid w:val="001C282F"/>
    <w:rsid w:val="001D0086"/>
    <w:rsid w:val="001D0094"/>
    <w:rsid w:val="001D67AC"/>
    <w:rsid w:val="001D7012"/>
    <w:rsid w:val="001D7BD2"/>
    <w:rsid w:val="001E2A4D"/>
    <w:rsid w:val="001E53C2"/>
    <w:rsid w:val="001E6FC5"/>
    <w:rsid w:val="001E7BA0"/>
    <w:rsid w:val="001F0E9C"/>
    <w:rsid w:val="001F0EB8"/>
    <w:rsid w:val="001F1540"/>
    <w:rsid w:val="001F652C"/>
    <w:rsid w:val="001F78D9"/>
    <w:rsid w:val="002020FA"/>
    <w:rsid w:val="00202DB8"/>
    <w:rsid w:val="002060B4"/>
    <w:rsid w:val="00207736"/>
    <w:rsid w:val="00210546"/>
    <w:rsid w:val="00210A50"/>
    <w:rsid w:val="00212460"/>
    <w:rsid w:val="00215D0D"/>
    <w:rsid w:val="00216939"/>
    <w:rsid w:val="00217476"/>
    <w:rsid w:val="00217AEF"/>
    <w:rsid w:val="00221EC9"/>
    <w:rsid w:val="00222731"/>
    <w:rsid w:val="00223C6D"/>
    <w:rsid w:val="00223ECD"/>
    <w:rsid w:val="002241A6"/>
    <w:rsid w:val="002241E8"/>
    <w:rsid w:val="00224774"/>
    <w:rsid w:val="002247B0"/>
    <w:rsid w:val="00224F7A"/>
    <w:rsid w:val="00225152"/>
    <w:rsid w:val="00230E81"/>
    <w:rsid w:val="00232061"/>
    <w:rsid w:val="00232673"/>
    <w:rsid w:val="00236863"/>
    <w:rsid w:val="00237C1F"/>
    <w:rsid w:val="00237D0D"/>
    <w:rsid w:val="00241116"/>
    <w:rsid w:val="002433A4"/>
    <w:rsid w:val="002435DC"/>
    <w:rsid w:val="00246501"/>
    <w:rsid w:val="002474B8"/>
    <w:rsid w:val="00247B17"/>
    <w:rsid w:val="00250389"/>
    <w:rsid w:val="00251FF7"/>
    <w:rsid w:val="00252669"/>
    <w:rsid w:val="00254209"/>
    <w:rsid w:val="00254288"/>
    <w:rsid w:val="0025469C"/>
    <w:rsid w:val="002579CE"/>
    <w:rsid w:val="00260FEC"/>
    <w:rsid w:val="00261DD6"/>
    <w:rsid w:val="002657E2"/>
    <w:rsid w:val="00271E0B"/>
    <w:rsid w:val="002727CC"/>
    <w:rsid w:val="00273679"/>
    <w:rsid w:val="00275CC4"/>
    <w:rsid w:val="00281A35"/>
    <w:rsid w:val="00281AD9"/>
    <w:rsid w:val="00284486"/>
    <w:rsid w:val="00285118"/>
    <w:rsid w:val="00285644"/>
    <w:rsid w:val="0028581E"/>
    <w:rsid w:val="00287034"/>
    <w:rsid w:val="00293491"/>
    <w:rsid w:val="00295F53"/>
    <w:rsid w:val="002A0FB8"/>
    <w:rsid w:val="002A1B97"/>
    <w:rsid w:val="002A57D2"/>
    <w:rsid w:val="002A6193"/>
    <w:rsid w:val="002A66CD"/>
    <w:rsid w:val="002A67A2"/>
    <w:rsid w:val="002A7BD4"/>
    <w:rsid w:val="002A7F32"/>
    <w:rsid w:val="002B20A1"/>
    <w:rsid w:val="002B226E"/>
    <w:rsid w:val="002B46D4"/>
    <w:rsid w:val="002B4C49"/>
    <w:rsid w:val="002B54CF"/>
    <w:rsid w:val="002C06E4"/>
    <w:rsid w:val="002C1CFA"/>
    <w:rsid w:val="002C3071"/>
    <w:rsid w:val="002C4046"/>
    <w:rsid w:val="002C458A"/>
    <w:rsid w:val="002D1BE4"/>
    <w:rsid w:val="002D1D6C"/>
    <w:rsid w:val="002D4C3D"/>
    <w:rsid w:val="002D4E8C"/>
    <w:rsid w:val="002E1218"/>
    <w:rsid w:val="002E2418"/>
    <w:rsid w:val="002E5015"/>
    <w:rsid w:val="002E7ACF"/>
    <w:rsid w:val="002F0C1A"/>
    <w:rsid w:val="002F0CE9"/>
    <w:rsid w:val="002F3BD0"/>
    <w:rsid w:val="002F58D8"/>
    <w:rsid w:val="0030032A"/>
    <w:rsid w:val="00300A0B"/>
    <w:rsid w:val="00301F46"/>
    <w:rsid w:val="00303CAD"/>
    <w:rsid w:val="00303E71"/>
    <w:rsid w:val="00304E7C"/>
    <w:rsid w:val="00306418"/>
    <w:rsid w:val="003100F3"/>
    <w:rsid w:val="00310C11"/>
    <w:rsid w:val="00311D8B"/>
    <w:rsid w:val="00312456"/>
    <w:rsid w:val="00316600"/>
    <w:rsid w:val="003172EC"/>
    <w:rsid w:val="0032170B"/>
    <w:rsid w:val="00323325"/>
    <w:rsid w:val="003243B0"/>
    <w:rsid w:val="00325EC0"/>
    <w:rsid w:val="00330729"/>
    <w:rsid w:val="00330DA7"/>
    <w:rsid w:val="003340EC"/>
    <w:rsid w:val="003350FF"/>
    <w:rsid w:val="00336D6C"/>
    <w:rsid w:val="0034057C"/>
    <w:rsid w:val="00343B01"/>
    <w:rsid w:val="00350142"/>
    <w:rsid w:val="00350D3D"/>
    <w:rsid w:val="00353B6D"/>
    <w:rsid w:val="00354920"/>
    <w:rsid w:val="00355DC6"/>
    <w:rsid w:val="00357700"/>
    <w:rsid w:val="003604D7"/>
    <w:rsid w:val="00361176"/>
    <w:rsid w:val="0036164E"/>
    <w:rsid w:val="0036351E"/>
    <w:rsid w:val="00363615"/>
    <w:rsid w:val="00364521"/>
    <w:rsid w:val="00365026"/>
    <w:rsid w:val="00367F82"/>
    <w:rsid w:val="00370CB0"/>
    <w:rsid w:val="00372803"/>
    <w:rsid w:val="00373387"/>
    <w:rsid w:val="003749EC"/>
    <w:rsid w:val="003756AF"/>
    <w:rsid w:val="00375815"/>
    <w:rsid w:val="00377913"/>
    <w:rsid w:val="00380441"/>
    <w:rsid w:val="00381447"/>
    <w:rsid w:val="00382696"/>
    <w:rsid w:val="0038358D"/>
    <w:rsid w:val="0038438A"/>
    <w:rsid w:val="003864D2"/>
    <w:rsid w:val="00390249"/>
    <w:rsid w:val="00390BF8"/>
    <w:rsid w:val="0039109D"/>
    <w:rsid w:val="00392877"/>
    <w:rsid w:val="00392E12"/>
    <w:rsid w:val="00394D7E"/>
    <w:rsid w:val="003956E9"/>
    <w:rsid w:val="003965EC"/>
    <w:rsid w:val="00396BA0"/>
    <w:rsid w:val="003A0E17"/>
    <w:rsid w:val="003A24F5"/>
    <w:rsid w:val="003A357E"/>
    <w:rsid w:val="003A6E62"/>
    <w:rsid w:val="003A78B5"/>
    <w:rsid w:val="003A7BE8"/>
    <w:rsid w:val="003A7C85"/>
    <w:rsid w:val="003A7FBE"/>
    <w:rsid w:val="003B0D09"/>
    <w:rsid w:val="003B165A"/>
    <w:rsid w:val="003B1A7B"/>
    <w:rsid w:val="003B2140"/>
    <w:rsid w:val="003B571C"/>
    <w:rsid w:val="003B5AD4"/>
    <w:rsid w:val="003B5D41"/>
    <w:rsid w:val="003B5F3B"/>
    <w:rsid w:val="003B6BEF"/>
    <w:rsid w:val="003C0AFA"/>
    <w:rsid w:val="003C1B21"/>
    <w:rsid w:val="003C28B8"/>
    <w:rsid w:val="003C4519"/>
    <w:rsid w:val="003C5C01"/>
    <w:rsid w:val="003C6934"/>
    <w:rsid w:val="003C7FD0"/>
    <w:rsid w:val="003D0268"/>
    <w:rsid w:val="003D1A43"/>
    <w:rsid w:val="003D1A64"/>
    <w:rsid w:val="003D5FF4"/>
    <w:rsid w:val="003D624F"/>
    <w:rsid w:val="003D75E8"/>
    <w:rsid w:val="003E31E5"/>
    <w:rsid w:val="003E32ED"/>
    <w:rsid w:val="003E3A39"/>
    <w:rsid w:val="003E58C9"/>
    <w:rsid w:val="003E601D"/>
    <w:rsid w:val="003E68B5"/>
    <w:rsid w:val="003F0DFC"/>
    <w:rsid w:val="003F25D4"/>
    <w:rsid w:val="003F650B"/>
    <w:rsid w:val="004004E9"/>
    <w:rsid w:val="00400761"/>
    <w:rsid w:val="00404940"/>
    <w:rsid w:val="004052C5"/>
    <w:rsid w:val="004059FB"/>
    <w:rsid w:val="00407A93"/>
    <w:rsid w:val="004100AA"/>
    <w:rsid w:val="00410BF9"/>
    <w:rsid w:val="00410CD2"/>
    <w:rsid w:val="00412203"/>
    <w:rsid w:val="00414F9B"/>
    <w:rsid w:val="00417DE3"/>
    <w:rsid w:val="00420B07"/>
    <w:rsid w:val="00422869"/>
    <w:rsid w:val="00423D2F"/>
    <w:rsid w:val="00423F48"/>
    <w:rsid w:val="00426448"/>
    <w:rsid w:val="00426613"/>
    <w:rsid w:val="00427457"/>
    <w:rsid w:val="004321C5"/>
    <w:rsid w:val="0043257A"/>
    <w:rsid w:val="004339FC"/>
    <w:rsid w:val="00434202"/>
    <w:rsid w:val="00436FD3"/>
    <w:rsid w:val="004406CF"/>
    <w:rsid w:val="00441804"/>
    <w:rsid w:val="004435B4"/>
    <w:rsid w:val="0044550A"/>
    <w:rsid w:val="00447F7D"/>
    <w:rsid w:val="00453729"/>
    <w:rsid w:val="00460032"/>
    <w:rsid w:val="0046048A"/>
    <w:rsid w:val="00465F60"/>
    <w:rsid w:val="00466346"/>
    <w:rsid w:val="0046745A"/>
    <w:rsid w:val="004702B0"/>
    <w:rsid w:val="00471E3B"/>
    <w:rsid w:val="004751D6"/>
    <w:rsid w:val="00475E6B"/>
    <w:rsid w:val="00477DBA"/>
    <w:rsid w:val="00477E20"/>
    <w:rsid w:val="00480BB8"/>
    <w:rsid w:val="00481D51"/>
    <w:rsid w:val="00483FEF"/>
    <w:rsid w:val="0048519E"/>
    <w:rsid w:val="00485EC7"/>
    <w:rsid w:val="004860BD"/>
    <w:rsid w:val="00487430"/>
    <w:rsid w:val="004A0A7B"/>
    <w:rsid w:val="004A0BB0"/>
    <w:rsid w:val="004A260B"/>
    <w:rsid w:val="004A26CD"/>
    <w:rsid w:val="004A2C97"/>
    <w:rsid w:val="004A3584"/>
    <w:rsid w:val="004A466C"/>
    <w:rsid w:val="004A5121"/>
    <w:rsid w:val="004A577A"/>
    <w:rsid w:val="004A5780"/>
    <w:rsid w:val="004A6ECB"/>
    <w:rsid w:val="004A7990"/>
    <w:rsid w:val="004B1796"/>
    <w:rsid w:val="004B1DA9"/>
    <w:rsid w:val="004B591D"/>
    <w:rsid w:val="004B7542"/>
    <w:rsid w:val="004B769A"/>
    <w:rsid w:val="004B7DB2"/>
    <w:rsid w:val="004C0FB6"/>
    <w:rsid w:val="004C14AC"/>
    <w:rsid w:val="004C4ACC"/>
    <w:rsid w:val="004C6F68"/>
    <w:rsid w:val="004C7E83"/>
    <w:rsid w:val="004D18F2"/>
    <w:rsid w:val="004D2B43"/>
    <w:rsid w:val="004D519A"/>
    <w:rsid w:val="004D583C"/>
    <w:rsid w:val="004D5DB3"/>
    <w:rsid w:val="004E345F"/>
    <w:rsid w:val="004E3BBA"/>
    <w:rsid w:val="004E401B"/>
    <w:rsid w:val="004E41C7"/>
    <w:rsid w:val="004E7DB7"/>
    <w:rsid w:val="004F14DE"/>
    <w:rsid w:val="004F2C69"/>
    <w:rsid w:val="004F2D88"/>
    <w:rsid w:val="004F3D21"/>
    <w:rsid w:val="004F60EF"/>
    <w:rsid w:val="005070C3"/>
    <w:rsid w:val="0051276F"/>
    <w:rsid w:val="005128AC"/>
    <w:rsid w:val="00512DDF"/>
    <w:rsid w:val="005130AC"/>
    <w:rsid w:val="005220BE"/>
    <w:rsid w:val="00526575"/>
    <w:rsid w:val="00533B79"/>
    <w:rsid w:val="00533FD4"/>
    <w:rsid w:val="00534258"/>
    <w:rsid w:val="00536006"/>
    <w:rsid w:val="00542D5F"/>
    <w:rsid w:val="005435DE"/>
    <w:rsid w:val="00543AD3"/>
    <w:rsid w:val="005441AD"/>
    <w:rsid w:val="00544C28"/>
    <w:rsid w:val="00546769"/>
    <w:rsid w:val="00546BAE"/>
    <w:rsid w:val="00546C4E"/>
    <w:rsid w:val="00552EBD"/>
    <w:rsid w:val="00553827"/>
    <w:rsid w:val="00555F71"/>
    <w:rsid w:val="005621C4"/>
    <w:rsid w:val="00563BEB"/>
    <w:rsid w:val="00566849"/>
    <w:rsid w:val="00570981"/>
    <w:rsid w:val="005723F0"/>
    <w:rsid w:val="005740F6"/>
    <w:rsid w:val="005743D2"/>
    <w:rsid w:val="00575905"/>
    <w:rsid w:val="005802BD"/>
    <w:rsid w:val="00580BBC"/>
    <w:rsid w:val="00586FA8"/>
    <w:rsid w:val="00587F23"/>
    <w:rsid w:val="00591E3A"/>
    <w:rsid w:val="00593CB4"/>
    <w:rsid w:val="00593E68"/>
    <w:rsid w:val="0059433D"/>
    <w:rsid w:val="005A2A18"/>
    <w:rsid w:val="005A52AC"/>
    <w:rsid w:val="005A5A7C"/>
    <w:rsid w:val="005A62BE"/>
    <w:rsid w:val="005A727E"/>
    <w:rsid w:val="005B08E6"/>
    <w:rsid w:val="005B0D7C"/>
    <w:rsid w:val="005B0E86"/>
    <w:rsid w:val="005B5CB1"/>
    <w:rsid w:val="005B6854"/>
    <w:rsid w:val="005B6C53"/>
    <w:rsid w:val="005C1943"/>
    <w:rsid w:val="005C37A0"/>
    <w:rsid w:val="005C4034"/>
    <w:rsid w:val="005C483A"/>
    <w:rsid w:val="005C651C"/>
    <w:rsid w:val="005C656A"/>
    <w:rsid w:val="005D1427"/>
    <w:rsid w:val="005D22D3"/>
    <w:rsid w:val="005D3B43"/>
    <w:rsid w:val="005D457F"/>
    <w:rsid w:val="005D49C8"/>
    <w:rsid w:val="005D5607"/>
    <w:rsid w:val="005D6A2B"/>
    <w:rsid w:val="005D6AD9"/>
    <w:rsid w:val="005E1EE5"/>
    <w:rsid w:val="005E37E9"/>
    <w:rsid w:val="005F03DB"/>
    <w:rsid w:val="005F48F1"/>
    <w:rsid w:val="00601E59"/>
    <w:rsid w:val="00603A46"/>
    <w:rsid w:val="00606194"/>
    <w:rsid w:val="0061115C"/>
    <w:rsid w:val="00611A49"/>
    <w:rsid w:val="00613017"/>
    <w:rsid w:val="00613A54"/>
    <w:rsid w:val="00614619"/>
    <w:rsid w:val="006157C9"/>
    <w:rsid w:val="00616189"/>
    <w:rsid w:val="0062078C"/>
    <w:rsid w:val="00620E8F"/>
    <w:rsid w:val="00621760"/>
    <w:rsid w:val="006217BB"/>
    <w:rsid w:val="0062343B"/>
    <w:rsid w:val="00625BD5"/>
    <w:rsid w:val="00625DFB"/>
    <w:rsid w:val="006277B7"/>
    <w:rsid w:val="00634D1A"/>
    <w:rsid w:val="00636904"/>
    <w:rsid w:val="00637179"/>
    <w:rsid w:val="006418ED"/>
    <w:rsid w:val="00642B13"/>
    <w:rsid w:val="006431FF"/>
    <w:rsid w:val="00645F7D"/>
    <w:rsid w:val="00646100"/>
    <w:rsid w:val="006476CA"/>
    <w:rsid w:val="006552AE"/>
    <w:rsid w:val="00655773"/>
    <w:rsid w:val="006563CA"/>
    <w:rsid w:val="006578FC"/>
    <w:rsid w:val="006608AB"/>
    <w:rsid w:val="00660923"/>
    <w:rsid w:val="006620DA"/>
    <w:rsid w:val="00664587"/>
    <w:rsid w:val="00666F25"/>
    <w:rsid w:val="00667C1C"/>
    <w:rsid w:val="0067001F"/>
    <w:rsid w:val="00670A43"/>
    <w:rsid w:val="00673DD4"/>
    <w:rsid w:val="00674AEB"/>
    <w:rsid w:val="0067655A"/>
    <w:rsid w:val="006828D8"/>
    <w:rsid w:val="0068455C"/>
    <w:rsid w:val="00684887"/>
    <w:rsid w:val="006867FA"/>
    <w:rsid w:val="006911B0"/>
    <w:rsid w:val="00691231"/>
    <w:rsid w:val="00693C8E"/>
    <w:rsid w:val="006969BA"/>
    <w:rsid w:val="00697E2D"/>
    <w:rsid w:val="00697FF1"/>
    <w:rsid w:val="006A026A"/>
    <w:rsid w:val="006A0425"/>
    <w:rsid w:val="006A1D62"/>
    <w:rsid w:val="006A4EAE"/>
    <w:rsid w:val="006A56C3"/>
    <w:rsid w:val="006A6B88"/>
    <w:rsid w:val="006A6D7F"/>
    <w:rsid w:val="006B0298"/>
    <w:rsid w:val="006B0E83"/>
    <w:rsid w:val="006B5493"/>
    <w:rsid w:val="006B6785"/>
    <w:rsid w:val="006B77E2"/>
    <w:rsid w:val="006C10C0"/>
    <w:rsid w:val="006C1B1D"/>
    <w:rsid w:val="006C2987"/>
    <w:rsid w:val="006C32BB"/>
    <w:rsid w:val="006C3747"/>
    <w:rsid w:val="006C57E2"/>
    <w:rsid w:val="006C7760"/>
    <w:rsid w:val="006C7EEA"/>
    <w:rsid w:val="006D233A"/>
    <w:rsid w:val="006D522C"/>
    <w:rsid w:val="006D56AA"/>
    <w:rsid w:val="006D7795"/>
    <w:rsid w:val="006D7ACB"/>
    <w:rsid w:val="006D7D0E"/>
    <w:rsid w:val="006E00EF"/>
    <w:rsid w:val="006E06BB"/>
    <w:rsid w:val="006E1A7A"/>
    <w:rsid w:val="006E4723"/>
    <w:rsid w:val="006E716F"/>
    <w:rsid w:val="006E7DA9"/>
    <w:rsid w:val="006E7DEE"/>
    <w:rsid w:val="006F01E7"/>
    <w:rsid w:val="006F1F3A"/>
    <w:rsid w:val="006F7EB8"/>
    <w:rsid w:val="00700017"/>
    <w:rsid w:val="0070094A"/>
    <w:rsid w:val="00702DD7"/>
    <w:rsid w:val="007047D3"/>
    <w:rsid w:val="00705663"/>
    <w:rsid w:val="00705C40"/>
    <w:rsid w:val="0071087E"/>
    <w:rsid w:val="007147C2"/>
    <w:rsid w:val="00714D73"/>
    <w:rsid w:val="0071508D"/>
    <w:rsid w:val="007169A8"/>
    <w:rsid w:val="00721648"/>
    <w:rsid w:val="007224B7"/>
    <w:rsid w:val="007229A1"/>
    <w:rsid w:val="00722F18"/>
    <w:rsid w:val="007235AA"/>
    <w:rsid w:val="00725E35"/>
    <w:rsid w:val="00730D35"/>
    <w:rsid w:val="00732289"/>
    <w:rsid w:val="007343FD"/>
    <w:rsid w:val="00735915"/>
    <w:rsid w:val="00735C21"/>
    <w:rsid w:val="0073614A"/>
    <w:rsid w:val="00736FF2"/>
    <w:rsid w:val="00740C8C"/>
    <w:rsid w:val="00741AC4"/>
    <w:rsid w:val="00742CA5"/>
    <w:rsid w:val="00743155"/>
    <w:rsid w:val="00747181"/>
    <w:rsid w:val="007513F0"/>
    <w:rsid w:val="007515BC"/>
    <w:rsid w:val="00752606"/>
    <w:rsid w:val="0075402E"/>
    <w:rsid w:val="00756D3D"/>
    <w:rsid w:val="007573B2"/>
    <w:rsid w:val="007574BB"/>
    <w:rsid w:val="0075764C"/>
    <w:rsid w:val="00762198"/>
    <w:rsid w:val="00763CE8"/>
    <w:rsid w:val="00766AD8"/>
    <w:rsid w:val="007678BA"/>
    <w:rsid w:val="00770792"/>
    <w:rsid w:val="007737B5"/>
    <w:rsid w:val="00774B5C"/>
    <w:rsid w:val="00774FFE"/>
    <w:rsid w:val="00775638"/>
    <w:rsid w:val="00775677"/>
    <w:rsid w:val="0077599A"/>
    <w:rsid w:val="00776811"/>
    <w:rsid w:val="0077724D"/>
    <w:rsid w:val="00777353"/>
    <w:rsid w:val="00780CD6"/>
    <w:rsid w:val="00781A64"/>
    <w:rsid w:val="00782EA4"/>
    <w:rsid w:val="00785461"/>
    <w:rsid w:val="00786FF3"/>
    <w:rsid w:val="007876CF"/>
    <w:rsid w:val="00787B77"/>
    <w:rsid w:val="00793090"/>
    <w:rsid w:val="0079392F"/>
    <w:rsid w:val="00796F2A"/>
    <w:rsid w:val="007A0176"/>
    <w:rsid w:val="007A0504"/>
    <w:rsid w:val="007A0F2A"/>
    <w:rsid w:val="007A2F67"/>
    <w:rsid w:val="007A3918"/>
    <w:rsid w:val="007A5398"/>
    <w:rsid w:val="007B00A0"/>
    <w:rsid w:val="007B0E89"/>
    <w:rsid w:val="007B2C38"/>
    <w:rsid w:val="007B2E54"/>
    <w:rsid w:val="007B31B9"/>
    <w:rsid w:val="007B56A8"/>
    <w:rsid w:val="007B7498"/>
    <w:rsid w:val="007B7AEE"/>
    <w:rsid w:val="007C5C9B"/>
    <w:rsid w:val="007C6C24"/>
    <w:rsid w:val="007C7EB6"/>
    <w:rsid w:val="007D2F75"/>
    <w:rsid w:val="007D5CC0"/>
    <w:rsid w:val="007D710E"/>
    <w:rsid w:val="007D7E3A"/>
    <w:rsid w:val="007E1177"/>
    <w:rsid w:val="007E22E7"/>
    <w:rsid w:val="007E2893"/>
    <w:rsid w:val="007E4232"/>
    <w:rsid w:val="007E5C74"/>
    <w:rsid w:val="007E69BB"/>
    <w:rsid w:val="007E6AB8"/>
    <w:rsid w:val="007E7E96"/>
    <w:rsid w:val="007F071C"/>
    <w:rsid w:val="007F2109"/>
    <w:rsid w:val="007F21C5"/>
    <w:rsid w:val="007F26EE"/>
    <w:rsid w:val="007F3EF1"/>
    <w:rsid w:val="007F636B"/>
    <w:rsid w:val="0080056E"/>
    <w:rsid w:val="00801457"/>
    <w:rsid w:val="00801BCE"/>
    <w:rsid w:val="00801E7D"/>
    <w:rsid w:val="00802515"/>
    <w:rsid w:val="00807232"/>
    <w:rsid w:val="0081283F"/>
    <w:rsid w:val="00812C0C"/>
    <w:rsid w:val="0081480A"/>
    <w:rsid w:val="008202EB"/>
    <w:rsid w:val="00820F86"/>
    <w:rsid w:val="008216D3"/>
    <w:rsid w:val="008242C5"/>
    <w:rsid w:val="00827F88"/>
    <w:rsid w:val="008315CE"/>
    <w:rsid w:val="008336A5"/>
    <w:rsid w:val="00835474"/>
    <w:rsid w:val="008373C0"/>
    <w:rsid w:val="0084105A"/>
    <w:rsid w:val="0084145F"/>
    <w:rsid w:val="00841DA2"/>
    <w:rsid w:val="00844CB5"/>
    <w:rsid w:val="008458F6"/>
    <w:rsid w:val="00845AED"/>
    <w:rsid w:val="0084708E"/>
    <w:rsid w:val="00851AE4"/>
    <w:rsid w:val="00855019"/>
    <w:rsid w:val="008554B6"/>
    <w:rsid w:val="0085598D"/>
    <w:rsid w:val="00862771"/>
    <w:rsid w:val="0086682F"/>
    <w:rsid w:val="00867687"/>
    <w:rsid w:val="008704DF"/>
    <w:rsid w:val="00874748"/>
    <w:rsid w:val="00874894"/>
    <w:rsid w:val="00876F54"/>
    <w:rsid w:val="00877292"/>
    <w:rsid w:val="0087754A"/>
    <w:rsid w:val="0087766C"/>
    <w:rsid w:val="00880552"/>
    <w:rsid w:val="008839DA"/>
    <w:rsid w:val="00884EE8"/>
    <w:rsid w:val="00885168"/>
    <w:rsid w:val="008869C4"/>
    <w:rsid w:val="0089173B"/>
    <w:rsid w:val="00891E76"/>
    <w:rsid w:val="0089220F"/>
    <w:rsid w:val="008935AA"/>
    <w:rsid w:val="008963F0"/>
    <w:rsid w:val="00897444"/>
    <w:rsid w:val="008A03A5"/>
    <w:rsid w:val="008A0DF3"/>
    <w:rsid w:val="008A1B76"/>
    <w:rsid w:val="008A282C"/>
    <w:rsid w:val="008A4138"/>
    <w:rsid w:val="008A5D96"/>
    <w:rsid w:val="008B5AB3"/>
    <w:rsid w:val="008B6848"/>
    <w:rsid w:val="008C2FA1"/>
    <w:rsid w:val="008C2FF4"/>
    <w:rsid w:val="008C4CAE"/>
    <w:rsid w:val="008C58DF"/>
    <w:rsid w:val="008D1369"/>
    <w:rsid w:val="008D2C4C"/>
    <w:rsid w:val="008D7E0D"/>
    <w:rsid w:val="008D7EDB"/>
    <w:rsid w:val="008E1829"/>
    <w:rsid w:val="008E1A61"/>
    <w:rsid w:val="008E2327"/>
    <w:rsid w:val="008E2D66"/>
    <w:rsid w:val="008E5077"/>
    <w:rsid w:val="008E64F0"/>
    <w:rsid w:val="008E6FF3"/>
    <w:rsid w:val="008E7B05"/>
    <w:rsid w:val="008F13A5"/>
    <w:rsid w:val="008F18ED"/>
    <w:rsid w:val="008F46C2"/>
    <w:rsid w:val="008F4CDB"/>
    <w:rsid w:val="008F7068"/>
    <w:rsid w:val="0090360E"/>
    <w:rsid w:val="00903D37"/>
    <w:rsid w:val="0091055D"/>
    <w:rsid w:val="00914C61"/>
    <w:rsid w:val="00917D6F"/>
    <w:rsid w:val="0092073B"/>
    <w:rsid w:val="00921B1A"/>
    <w:rsid w:val="00921B7F"/>
    <w:rsid w:val="00921DDA"/>
    <w:rsid w:val="00922DE1"/>
    <w:rsid w:val="00924B6C"/>
    <w:rsid w:val="00924F21"/>
    <w:rsid w:val="0092600D"/>
    <w:rsid w:val="00930345"/>
    <w:rsid w:val="0093039D"/>
    <w:rsid w:val="00931E4F"/>
    <w:rsid w:val="0093364D"/>
    <w:rsid w:val="00936574"/>
    <w:rsid w:val="00937EE1"/>
    <w:rsid w:val="00943BCE"/>
    <w:rsid w:val="009508A0"/>
    <w:rsid w:val="00953FF0"/>
    <w:rsid w:val="00960346"/>
    <w:rsid w:val="009617D3"/>
    <w:rsid w:val="0096463B"/>
    <w:rsid w:val="00967869"/>
    <w:rsid w:val="0096796E"/>
    <w:rsid w:val="00971F54"/>
    <w:rsid w:val="009725C5"/>
    <w:rsid w:val="00972AEA"/>
    <w:rsid w:val="00972B4E"/>
    <w:rsid w:val="00973F40"/>
    <w:rsid w:val="00980900"/>
    <w:rsid w:val="00983EDC"/>
    <w:rsid w:val="00983EED"/>
    <w:rsid w:val="009849EF"/>
    <w:rsid w:val="00986DB7"/>
    <w:rsid w:val="009934CF"/>
    <w:rsid w:val="00994396"/>
    <w:rsid w:val="00994FB1"/>
    <w:rsid w:val="009A0D75"/>
    <w:rsid w:val="009A306D"/>
    <w:rsid w:val="009A347A"/>
    <w:rsid w:val="009A620E"/>
    <w:rsid w:val="009B20A2"/>
    <w:rsid w:val="009B6452"/>
    <w:rsid w:val="009B6A6F"/>
    <w:rsid w:val="009C1AFE"/>
    <w:rsid w:val="009C3E33"/>
    <w:rsid w:val="009C5F24"/>
    <w:rsid w:val="009D048B"/>
    <w:rsid w:val="009D1B5D"/>
    <w:rsid w:val="009D43FE"/>
    <w:rsid w:val="009D45AD"/>
    <w:rsid w:val="009D653D"/>
    <w:rsid w:val="009D69C6"/>
    <w:rsid w:val="009D6F70"/>
    <w:rsid w:val="009E10E1"/>
    <w:rsid w:val="009E5419"/>
    <w:rsid w:val="009E5A6E"/>
    <w:rsid w:val="009E70E7"/>
    <w:rsid w:val="009F25A8"/>
    <w:rsid w:val="009F46DC"/>
    <w:rsid w:val="009F65AF"/>
    <w:rsid w:val="00A01C00"/>
    <w:rsid w:val="00A02488"/>
    <w:rsid w:val="00A03A1B"/>
    <w:rsid w:val="00A06CC5"/>
    <w:rsid w:val="00A11CAD"/>
    <w:rsid w:val="00A1620D"/>
    <w:rsid w:val="00A16AC0"/>
    <w:rsid w:val="00A16DC1"/>
    <w:rsid w:val="00A23D31"/>
    <w:rsid w:val="00A24C9B"/>
    <w:rsid w:val="00A26ECD"/>
    <w:rsid w:val="00A27D2B"/>
    <w:rsid w:val="00A301A7"/>
    <w:rsid w:val="00A30C34"/>
    <w:rsid w:val="00A30FD3"/>
    <w:rsid w:val="00A34223"/>
    <w:rsid w:val="00A34F11"/>
    <w:rsid w:val="00A35E2F"/>
    <w:rsid w:val="00A36013"/>
    <w:rsid w:val="00A37891"/>
    <w:rsid w:val="00A40A51"/>
    <w:rsid w:val="00A415BA"/>
    <w:rsid w:val="00A4594F"/>
    <w:rsid w:val="00A47916"/>
    <w:rsid w:val="00A50123"/>
    <w:rsid w:val="00A536DA"/>
    <w:rsid w:val="00A5406C"/>
    <w:rsid w:val="00A54801"/>
    <w:rsid w:val="00A5596D"/>
    <w:rsid w:val="00A56F39"/>
    <w:rsid w:val="00A571CD"/>
    <w:rsid w:val="00A57C3D"/>
    <w:rsid w:val="00A6697B"/>
    <w:rsid w:val="00A719AA"/>
    <w:rsid w:val="00A73DE3"/>
    <w:rsid w:val="00A74C2D"/>
    <w:rsid w:val="00A76B34"/>
    <w:rsid w:val="00A83487"/>
    <w:rsid w:val="00A84A8E"/>
    <w:rsid w:val="00A854FF"/>
    <w:rsid w:val="00A86E30"/>
    <w:rsid w:val="00A87035"/>
    <w:rsid w:val="00A8745D"/>
    <w:rsid w:val="00A908DA"/>
    <w:rsid w:val="00A90F9B"/>
    <w:rsid w:val="00A92694"/>
    <w:rsid w:val="00A93072"/>
    <w:rsid w:val="00A9629C"/>
    <w:rsid w:val="00AA0885"/>
    <w:rsid w:val="00AA2289"/>
    <w:rsid w:val="00AA35D5"/>
    <w:rsid w:val="00AA417B"/>
    <w:rsid w:val="00AA49FF"/>
    <w:rsid w:val="00AA533F"/>
    <w:rsid w:val="00AA5A86"/>
    <w:rsid w:val="00AA7F48"/>
    <w:rsid w:val="00AB010D"/>
    <w:rsid w:val="00AB0749"/>
    <w:rsid w:val="00AB086D"/>
    <w:rsid w:val="00AB76D8"/>
    <w:rsid w:val="00AB7760"/>
    <w:rsid w:val="00AB7E6A"/>
    <w:rsid w:val="00AC1B50"/>
    <w:rsid w:val="00AC1B61"/>
    <w:rsid w:val="00AC2C6E"/>
    <w:rsid w:val="00AC5EE6"/>
    <w:rsid w:val="00AD0D24"/>
    <w:rsid w:val="00AD1923"/>
    <w:rsid w:val="00AD2611"/>
    <w:rsid w:val="00AD3AC5"/>
    <w:rsid w:val="00AD3D57"/>
    <w:rsid w:val="00AD497C"/>
    <w:rsid w:val="00AD50F9"/>
    <w:rsid w:val="00AE0890"/>
    <w:rsid w:val="00AE0B4B"/>
    <w:rsid w:val="00AE19C0"/>
    <w:rsid w:val="00AE47BF"/>
    <w:rsid w:val="00AE489D"/>
    <w:rsid w:val="00AE552E"/>
    <w:rsid w:val="00AF0A77"/>
    <w:rsid w:val="00AF22C8"/>
    <w:rsid w:val="00AF4610"/>
    <w:rsid w:val="00AF4BF1"/>
    <w:rsid w:val="00AF4C29"/>
    <w:rsid w:val="00AF6432"/>
    <w:rsid w:val="00AF6DED"/>
    <w:rsid w:val="00AF79BD"/>
    <w:rsid w:val="00B01191"/>
    <w:rsid w:val="00B07F12"/>
    <w:rsid w:val="00B07FE3"/>
    <w:rsid w:val="00B10BAE"/>
    <w:rsid w:val="00B11642"/>
    <w:rsid w:val="00B14154"/>
    <w:rsid w:val="00B1415B"/>
    <w:rsid w:val="00B15278"/>
    <w:rsid w:val="00B222A2"/>
    <w:rsid w:val="00B234EC"/>
    <w:rsid w:val="00B269E0"/>
    <w:rsid w:val="00B274AE"/>
    <w:rsid w:val="00B274BF"/>
    <w:rsid w:val="00B27D0A"/>
    <w:rsid w:val="00B31222"/>
    <w:rsid w:val="00B31516"/>
    <w:rsid w:val="00B318C9"/>
    <w:rsid w:val="00B31FDB"/>
    <w:rsid w:val="00B42C7F"/>
    <w:rsid w:val="00B42E81"/>
    <w:rsid w:val="00B4329D"/>
    <w:rsid w:val="00B45BEE"/>
    <w:rsid w:val="00B520F9"/>
    <w:rsid w:val="00B52812"/>
    <w:rsid w:val="00B5495A"/>
    <w:rsid w:val="00B577A3"/>
    <w:rsid w:val="00B6144B"/>
    <w:rsid w:val="00B6170F"/>
    <w:rsid w:val="00B63796"/>
    <w:rsid w:val="00B64641"/>
    <w:rsid w:val="00B64AF0"/>
    <w:rsid w:val="00B7262F"/>
    <w:rsid w:val="00B727C5"/>
    <w:rsid w:val="00B73FD4"/>
    <w:rsid w:val="00B74FC5"/>
    <w:rsid w:val="00B75A6C"/>
    <w:rsid w:val="00B82F2D"/>
    <w:rsid w:val="00B83E2A"/>
    <w:rsid w:val="00B83E38"/>
    <w:rsid w:val="00B85DF3"/>
    <w:rsid w:val="00B86C19"/>
    <w:rsid w:val="00B924EF"/>
    <w:rsid w:val="00B92EDF"/>
    <w:rsid w:val="00B93510"/>
    <w:rsid w:val="00B93640"/>
    <w:rsid w:val="00B93E33"/>
    <w:rsid w:val="00B93FFB"/>
    <w:rsid w:val="00B94C73"/>
    <w:rsid w:val="00B954F3"/>
    <w:rsid w:val="00B956FC"/>
    <w:rsid w:val="00B95BCD"/>
    <w:rsid w:val="00B95CDC"/>
    <w:rsid w:val="00B95CE5"/>
    <w:rsid w:val="00B96107"/>
    <w:rsid w:val="00BA0D0B"/>
    <w:rsid w:val="00BA4C6C"/>
    <w:rsid w:val="00BA4CE5"/>
    <w:rsid w:val="00BA643E"/>
    <w:rsid w:val="00BB375D"/>
    <w:rsid w:val="00BB49A0"/>
    <w:rsid w:val="00BB515F"/>
    <w:rsid w:val="00BB532B"/>
    <w:rsid w:val="00BC0924"/>
    <w:rsid w:val="00BC11E0"/>
    <w:rsid w:val="00BC1FA5"/>
    <w:rsid w:val="00BC2C0C"/>
    <w:rsid w:val="00BC732A"/>
    <w:rsid w:val="00BC758B"/>
    <w:rsid w:val="00BD03B8"/>
    <w:rsid w:val="00BD2EAC"/>
    <w:rsid w:val="00BD3B29"/>
    <w:rsid w:val="00BD4BB3"/>
    <w:rsid w:val="00BE17C6"/>
    <w:rsid w:val="00BE2BD3"/>
    <w:rsid w:val="00BE4843"/>
    <w:rsid w:val="00BE4865"/>
    <w:rsid w:val="00BE5595"/>
    <w:rsid w:val="00BE69BF"/>
    <w:rsid w:val="00BE725A"/>
    <w:rsid w:val="00BE73C1"/>
    <w:rsid w:val="00BE7430"/>
    <w:rsid w:val="00BE7B48"/>
    <w:rsid w:val="00BF3381"/>
    <w:rsid w:val="00BF667D"/>
    <w:rsid w:val="00C10FCF"/>
    <w:rsid w:val="00C12810"/>
    <w:rsid w:val="00C14FAC"/>
    <w:rsid w:val="00C16B4B"/>
    <w:rsid w:val="00C17427"/>
    <w:rsid w:val="00C20C00"/>
    <w:rsid w:val="00C210FD"/>
    <w:rsid w:val="00C22901"/>
    <w:rsid w:val="00C25238"/>
    <w:rsid w:val="00C305F2"/>
    <w:rsid w:val="00C3345C"/>
    <w:rsid w:val="00C405CE"/>
    <w:rsid w:val="00C407E5"/>
    <w:rsid w:val="00C42DAC"/>
    <w:rsid w:val="00C4342B"/>
    <w:rsid w:val="00C459A9"/>
    <w:rsid w:val="00C477E7"/>
    <w:rsid w:val="00C502A5"/>
    <w:rsid w:val="00C521F7"/>
    <w:rsid w:val="00C53008"/>
    <w:rsid w:val="00C55151"/>
    <w:rsid w:val="00C5575D"/>
    <w:rsid w:val="00C558FF"/>
    <w:rsid w:val="00C560FA"/>
    <w:rsid w:val="00C56772"/>
    <w:rsid w:val="00C577C1"/>
    <w:rsid w:val="00C57FF9"/>
    <w:rsid w:val="00C6103F"/>
    <w:rsid w:val="00C64434"/>
    <w:rsid w:val="00C64A51"/>
    <w:rsid w:val="00C64B27"/>
    <w:rsid w:val="00C65C4D"/>
    <w:rsid w:val="00C7063C"/>
    <w:rsid w:val="00C73C57"/>
    <w:rsid w:val="00C746D9"/>
    <w:rsid w:val="00C74D43"/>
    <w:rsid w:val="00C75CA7"/>
    <w:rsid w:val="00C7683D"/>
    <w:rsid w:val="00C86432"/>
    <w:rsid w:val="00C86FC6"/>
    <w:rsid w:val="00C901BB"/>
    <w:rsid w:val="00C90CD3"/>
    <w:rsid w:val="00C92552"/>
    <w:rsid w:val="00C92C27"/>
    <w:rsid w:val="00C93F1B"/>
    <w:rsid w:val="00C96DFE"/>
    <w:rsid w:val="00C976D1"/>
    <w:rsid w:val="00CA308F"/>
    <w:rsid w:val="00CA71D4"/>
    <w:rsid w:val="00CB5D29"/>
    <w:rsid w:val="00CB675A"/>
    <w:rsid w:val="00CB6EC8"/>
    <w:rsid w:val="00CB7423"/>
    <w:rsid w:val="00CB782B"/>
    <w:rsid w:val="00CC082B"/>
    <w:rsid w:val="00CC0E77"/>
    <w:rsid w:val="00CC1C41"/>
    <w:rsid w:val="00CC2092"/>
    <w:rsid w:val="00CC285C"/>
    <w:rsid w:val="00CC5595"/>
    <w:rsid w:val="00CC5E76"/>
    <w:rsid w:val="00CD1770"/>
    <w:rsid w:val="00CD3A5D"/>
    <w:rsid w:val="00CD5FD4"/>
    <w:rsid w:val="00CE0DCE"/>
    <w:rsid w:val="00CE1BC9"/>
    <w:rsid w:val="00CE33C1"/>
    <w:rsid w:val="00CE4DD6"/>
    <w:rsid w:val="00CE76FF"/>
    <w:rsid w:val="00CF1CF7"/>
    <w:rsid w:val="00CF4012"/>
    <w:rsid w:val="00CF43D5"/>
    <w:rsid w:val="00D01F75"/>
    <w:rsid w:val="00D02BC6"/>
    <w:rsid w:val="00D0310D"/>
    <w:rsid w:val="00D05803"/>
    <w:rsid w:val="00D05C7C"/>
    <w:rsid w:val="00D06906"/>
    <w:rsid w:val="00D07742"/>
    <w:rsid w:val="00D12024"/>
    <w:rsid w:val="00D1276A"/>
    <w:rsid w:val="00D14DB7"/>
    <w:rsid w:val="00D15ED5"/>
    <w:rsid w:val="00D16656"/>
    <w:rsid w:val="00D200AB"/>
    <w:rsid w:val="00D276E8"/>
    <w:rsid w:val="00D278A7"/>
    <w:rsid w:val="00D31CD5"/>
    <w:rsid w:val="00D34402"/>
    <w:rsid w:val="00D348F7"/>
    <w:rsid w:val="00D3564E"/>
    <w:rsid w:val="00D36EF4"/>
    <w:rsid w:val="00D371D0"/>
    <w:rsid w:val="00D4062A"/>
    <w:rsid w:val="00D40BC3"/>
    <w:rsid w:val="00D434EC"/>
    <w:rsid w:val="00D44E9D"/>
    <w:rsid w:val="00D472A7"/>
    <w:rsid w:val="00D51515"/>
    <w:rsid w:val="00D54BD5"/>
    <w:rsid w:val="00D56AF5"/>
    <w:rsid w:val="00D575F0"/>
    <w:rsid w:val="00D60578"/>
    <w:rsid w:val="00D61A0E"/>
    <w:rsid w:val="00D62055"/>
    <w:rsid w:val="00D71CF9"/>
    <w:rsid w:val="00D73265"/>
    <w:rsid w:val="00D7675E"/>
    <w:rsid w:val="00D80080"/>
    <w:rsid w:val="00D80F9D"/>
    <w:rsid w:val="00D80FFB"/>
    <w:rsid w:val="00D81BAE"/>
    <w:rsid w:val="00D84B17"/>
    <w:rsid w:val="00D8507D"/>
    <w:rsid w:val="00D86735"/>
    <w:rsid w:val="00D8718E"/>
    <w:rsid w:val="00D871FB"/>
    <w:rsid w:val="00D90C9D"/>
    <w:rsid w:val="00D90E57"/>
    <w:rsid w:val="00D91910"/>
    <w:rsid w:val="00D91AA8"/>
    <w:rsid w:val="00D944A6"/>
    <w:rsid w:val="00D95B5F"/>
    <w:rsid w:val="00D96FC3"/>
    <w:rsid w:val="00DA0839"/>
    <w:rsid w:val="00DA12C3"/>
    <w:rsid w:val="00DA22B5"/>
    <w:rsid w:val="00DA495D"/>
    <w:rsid w:val="00DA4F15"/>
    <w:rsid w:val="00DA5DCA"/>
    <w:rsid w:val="00DA7BA0"/>
    <w:rsid w:val="00DB42F5"/>
    <w:rsid w:val="00DB469A"/>
    <w:rsid w:val="00DB52C3"/>
    <w:rsid w:val="00DB5454"/>
    <w:rsid w:val="00DB5DA3"/>
    <w:rsid w:val="00DB7E5F"/>
    <w:rsid w:val="00DC10B0"/>
    <w:rsid w:val="00DC1594"/>
    <w:rsid w:val="00DC4BCD"/>
    <w:rsid w:val="00DD1107"/>
    <w:rsid w:val="00DD178F"/>
    <w:rsid w:val="00DD186A"/>
    <w:rsid w:val="00DD1FE4"/>
    <w:rsid w:val="00DD4022"/>
    <w:rsid w:val="00DE2966"/>
    <w:rsid w:val="00DE40E0"/>
    <w:rsid w:val="00DE4107"/>
    <w:rsid w:val="00DE736A"/>
    <w:rsid w:val="00DF04ED"/>
    <w:rsid w:val="00DF0B5E"/>
    <w:rsid w:val="00DF0ED5"/>
    <w:rsid w:val="00DF72D9"/>
    <w:rsid w:val="00DF7EC8"/>
    <w:rsid w:val="00E0225F"/>
    <w:rsid w:val="00E028ED"/>
    <w:rsid w:val="00E0499F"/>
    <w:rsid w:val="00E104F6"/>
    <w:rsid w:val="00E10748"/>
    <w:rsid w:val="00E12F57"/>
    <w:rsid w:val="00E14282"/>
    <w:rsid w:val="00E156F2"/>
    <w:rsid w:val="00E200C4"/>
    <w:rsid w:val="00E20C80"/>
    <w:rsid w:val="00E2250E"/>
    <w:rsid w:val="00E2370C"/>
    <w:rsid w:val="00E24BF5"/>
    <w:rsid w:val="00E27DDF"/>
    <w:rsid w:val="00E27E01"/>
    <w:rsid w:val="00E30A90"/>
    <w:rsid w:val="00E32DBA"/>
    <w:rsid w:val="00E424DE"/>
    <w:rsid w:val="00E43469"/>
    <w:rsid w:val="00E4369C"/>
    <w:rsid w:val="00E43A0F"/>
    <w:rsid w:val="00E43AA2"/>
    <w:rsid w:val="00E445DA"/>
    <w:rsid w:val="00E45379"/>
    <w:rsid w:val="00E465CB"/>
    <w:rsid w:val="00E47C0D"/>
    <w:rsid w:val="00E50B22"/>
    <w:rsid w:val="00E51E18"/>
    <w:rsid w:val="00E533BD"/>
    <w:rsid w:val="00E53706"/>
    <w:rsid w:val="00E57CE2"/>
    <w:rsid w:val="00E617BD"/>
    <w:rsid w:val="00E61E05"/>
    <w:rsid w:val="00E622D5"/>
    <w:rsid w:val="00E64BD9"/>
    <w:rsid w:val="00E6519C"/>
    <w:rsid w:val="00E67E50"/>
    <w:rsid w:val="00E705B4"/>
    <w:rsid w:val="00E72967"/>
    <w:rsid w:val="00E8155D"/>
    <w:rsid w:val="00E84AD7"/>
    <w:rsid w:val="00E85CC0"/>
    <w:rsid w:val="00E96AB8"/>
    <w:rsid w:val="00E96E1A"/>
    <w:rsid w:val="00E974B4"/>
    <w:rsid w:val="00EA0E04"/>
    <w:rsid w:val="00EA220D"/>
    <w:rsid w:val="00EA3156"/>
    <w:rsid w:val="00EA40A2"/>
    <w:rsid w:val="00EA4CD5"/>
    <w:rsid w:val="00EA5D2C"/>
    <w:rsid w:val="00EA5D8E"/>
    <w:rsid w:val="00EB07CF"/>
    <w:rsid w:val="00EB3B88"/>
    <w:rsid w:val="00EC0C14"/>
    <w:rsid w:val="00EC2B42"/>
    <w:rsid w:val="00EC3B8F"/>
    <w:rsid w:val="00EC5CA0"/>
    <w:rsid w:val="00EC7372"/>
    <w:rsid w:val="00ED19D1"/>
    <w:rsid w:val="00ED2AC0"/>
    <w:rsid w:val="00ED30E8"/>
    <w:rsid w:val="00ED3B69"/>
    <w:rsid w:val="00ED3ECA"/>
    <w:rsid w:val="00ED3F39"/>
    <w:rsid w:val="00ED63AE"/>
    <w:rsid w:val="00ED6CD1"/>
    <w:rsid w:val="00ED7A42"/>
    <w:rsid w:val="00EE5F2E"/>
    <w:rsid w:val="00EF2C2D"/>
    <w:rsid w:val="00EF4A64"/>
    <w:rsid w:val="00F02171"/>
    <w:rsid w:val="00F033EF"/>
    <w:rsid w:val="00F061A6"/>
    <w:rsid w:val="00F0710C"/>
    <w:rsid w:val="00F11AB3"/>
    <w:rsid w:val="00F14017"/>
    <w:rsid w:val="00F1684C"/>
    <w:rsid w:val="00F20633"/>
    <w:rsid w:val="00F25CFE"/>
    <w:rsid w:val="00F26CBF"/>
    <w:rsid w:val="00F35243"/>
    <w:rsid w:val="00F36E9F"/>
    <w:rsid w:val="00F41B19"/>
    <w:rsid w:val="00F43E6E"/>
    <w:rsid w:val="00F43EBF"/>
    <w:rsid w:val="00F44423"/>
    <w:rsid w:val="00F50BE6"/>
    <w:rsid w:val="00F51236"/>
    <w:rsid w:val="00F5374C"/>
    <w:rsid w:val="00F541B8"/>
    <w:rsid w:val="00F56B6D"/>
    <w:rsid w:val="00F56CC2"/>
    <w:rsid w:val="00F60BC0"/>
    <w:rsid w:val="00F61B7F"/>
    <w:rsid w:val="00F62370"/>
    <w:rsid w:val="00F628D3"/>
    <w:rsid w:val="00F62EF2"/>
    <w:rsid w:val="00F6497E"/>
    <w:rsid w:val="00F677E2"/>
    <w:rsid w:val="00F717E6"/>
    <w:rsid w:val="00F7216B"/>
    <w:rsid w:val="00F73751"/>
    <w:rsid w:val="00F75EAD"/>
    <w:rsid w:val="00F77154"/>
    <w:rsid w:val="00F80F33"/>
    <w:rsid w:val="00F846D6"/>
    <w:rsid w:val="00F871D7"/>
    <w:rsid w:val="00F9173A"/>
    <w:rsid w:val="00F91800"/>
    <w:rsid w:val="00F928A6"/>
    <w:rsid w:val="00F94E99"/>
    <w:rsid w:val="00F9650A"/>
    <w:rsid w:val="00F967C7"/>
    <w:rsid w:val="00FA0437"/>
    <w:rsid w:val="00FA233F"/>
    <w:rsid w:val="00FA2E05"/>
    <w:rsid w:val="00FA3DF0"/>
    <w:rsid w:val="00FA7D57"/>
    <w:rsid w:val="00FB0008"/>
    <w:rsid w:val="00FB071C"/>
    <w:rsid w:val="00FB1ACE"/>
    <w:rsid w:val="00FB3EA0"/>
    <w:rsid w:val="00FB55F4"/>
    <w:rsid w:val="00FB58D8"/>
    <w:rsid w:val="00FB7140"/>
    <w:rsid w:val="00FC0B63"/>
    <w:rsid w:val="00FC2209"/>
    <w:rsid w:val="00FC7531"/>
    <w:rsid w:val="00FC7950"/>
    <w:rsid w:val="00FC7EAA"/>
    <w:rsid w:val="00FD4FA5"/>
    <w:rsid w:val="00FD5166"/>
    <w:rsid w:val="00FD758C"/>
    <w:rsid w:val="00FE4E2D"/>
    <w:rsid w:val="00FF05B9"/>
    <w:rsid w:val="00FF05E6"/>
    <w:rsid w:val="00FF0EB1"/>
    <w:rsid w:val="00FF3C10"/>
    <w:rsid w:val="00FF456A"/>
    <w:rsid w:val="00FF46FD"/>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1A9DAF9-95A8-4BC8-B659-E1A5F0C2F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97C"/>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766AD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5">
    <w:name w:val="heading 5"/>
    <w:basedOn w:val="Normal"/>
    <w:next w:val="Normal"/>
    <w:link w:val="Ttulo5Car"/>
    <w:uiPriority w:val="9"/>
    <w:semiHidden/>
    <w:unhideWhenUsed/>
    <w:qFormat/>
    <w:rsid w:val="00660923"/>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uiPriority w:val="22"/>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UnresolvedMention">
    <w:name w:val="Unresolved Mention"/>
    <w:basedOn w:val="Fuentedeprrafopredeter"/>
    <w:uiPriority w:val="99"/>
    <w:semiHidden/>
    <w:unhideWhenUsed/>
    <w:rsid w:val="002D4C3D"/>
    <w:rPr>
      <w:color w:val="605E5C"/>
      <w:shd w:val="clear" w:color="auto" w:fill="E1DFDD"/>
    </w:rPr>
  </w:style>
  <w:style w:type="character" w:customStyle="1" w:styleId="titulorubrolgt">
    <w:name w:val="titulorubrolgt"/>
    <w:basedOn w:val="Fuentedeprrafopredeter"/>
    <w:rsid w:val="00FF3C10"/>
  </w:style>
  <w:style w:type="character" w:customStyle="1" w:styleId="medium">
    <w:name w:val="medium"/>
    <w:basedOn w:val="Fuentedeprrafopredeter"/>
    <w:rsid w:val="00FF3C10"/>
  </w:style>
  <w:style w:type="character" w:customStyle="1" w:styleId="Ttulo2Car">
    <w:name w:val="Título 2 Car"/>
    <w:basedOn w:val="Fuentedeprrafopredeter"/>
    <w:link w:val="Ttulo2"/>
    <w:uiPriority w:val="9"/>
    <w:semiHidden/>
    <w:rsid w:val="00766AD8"/>
    <w:rPr>
      <w:rFonts w:asciiTheme="majorHAnsi" w:eastAsiaTheme="majorEastAsia" w:hAnsiTheme="majorHAnsi" w:cstheme="majorBidi"/>
      <w:color w:val="2F5496" w:themeColor="accent1" w:themeShade="BF"/>
      <w:sz w:val="26"/>
      <w:szCs w:val="26"/>
      <w:lang w:eastAsia="es-ES"/>
    </w:rPr>
  </w:style>
  <w:style w:type="character" w:customStyle="1" w:styleId="Ttulo5Car">
    <w:name w:val="Título 5 Car"/>
    <w:basedOn w:val="Fuentedeprrafopredeter"/>
    <w:link w:val="Ttulo5"/>
    <w:uiPriority w:val="9"/>
    <w:semiHidden/>
    <w:rsid w:val="00660923"/>
    <w:rPr>
      <w:rFonts w:asciiTheme="majorHAnsi" w:eastAsiaTheme="majorEastAsia" w:hAnsiTheme="majorHAnsi" w:cstheme="majorBidi"/>
      <w:color w:val="2F5496" w:themeColor="accent1" w:themeShade="BF"/>
      <w:sz w:val="20"/>
      <w:szCs w:val="20"/>
      <w:lang w:eastAsia="es-ES"/>
    </w:rPr>
  </w:style>
  <w:style w:type="paragraph" w:customStyle="1" w:styleId="rteindent1">
    <w:name w:val="rteindent1"/>
    <w:basedOn w:val="Normal"/>
    <w:rsid w:val="00660923"/>
    <w:pPr>
      <w:spacing w:before="100" w:beforeAutospacing="1" w:after="100" w:afterAutospacing="1"/>
    </w:pPr>
    <w:rPr>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873428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5773150">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18637295">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83782429">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54087">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587525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versionpublica.edomex.gob.mx/fefom" TargetMode="External"/><Relationship Id="rId13" Type="http://schemas.openxmlformats.org/officeDocument/2006/relationships/hyperlink" Target="http://fefom.edomex.gob.mx/contenido_y_formatos"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fefom.edomex.gob.mx/expediente_tecnic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ansparenciafiscal.edomex.gob.mx/sites/transparenciafiscal.edomex.gob.mx/files/files/pdf/marco-programatico-presupuestal/lineamientos-FEFOM-2019.pdf" TargetMode="External"/><Relationship Id="rId5" Type="http://schemas.openxmlformats.org/officeDocument/2006/relationships/webSettings" Target="webSettings.xml"/><Relationship Id="rId15" Type="http://schemas.openxmlformats.org/officeDocument/2006/relationships/hyperlink" Target="https://www.ipomex.org.mx/ipo3/lgt/indice/TONATICO/art_94_ii_b2.web" TargetMode="Externa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transparenciafiscal.edomex.gob.mx/sites/transparenciafiscal.edomex.gob.mx/files/files/pdf/marco-programatico-presupuestal/FEFOM-2019.pdf" TargetMode="Externa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6E3A6-788A-4465-A8D6-A18EB7FF4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5998</Words>
  <Characters>32989</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Fernado Lobato Rodríguez</dc:creator>
  <cp:lastModifiedBy>servicio infoem</cp:lastModifiedBy>
  <cp:revision>2</cp:revision>
  <cp:lastPrinted>2019-05-23T17:44:00Z</cp:lastPrinted>
  <dcterms:created xsi:type="dcterms:W3CDTF">2019-10-09T21:36:00Z</dcterms:created>
  <dcterms:modified xsi:type="dcterms:W3CDTF">2019-10-09T21:36:00Z</dcterms:modified>
</cp:coreProperties>
</file>